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210F94" w:rsidP="00210F94">
            <w:pPr>
              <w:jc w:val="right"/>
            </w:pPr>
            <w:r w:rsidRPr="00210F94">
              <w:rPr>
                <w:sz w:val="40"/>
              </w:rPr>
              <w:t>CCPR</w:t>
            </w:r>
            <w:r>
              <w:t>/C/MNE/CO/1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210F94" w:rsidRDefault="00210F94" w:rsidP="00464EEE">
            <w:pPr>
              <w:spacing w:before="240"/>
            </w:pPr>
            <w:proofErr w:type="spellStart"/>
            <w:r>
              <w:t>Distr</w:t>
            </w:r>
            <w:proofErr w:type="spellEnd"/>
            <w:r>
              <w:t>. générale</w:t>
            </w:r>
          </w:p>
          <w:p w:rsidR="00210F94" w:rsidRDefault="00830DCB" w:rsidP="00210F94">
            <w:pPr>
              <w:spacing w:line="240" w:lineRule="exact"/>
            </w:pPr>
            <w:r>
              <w:t>21 novembre</w:t>
            </w:r>
            <w:r w:rsidR="00210F94">
              <w:t xml:space="preserve"> 2014</w:t>
            </w:r>
          </w:p>
          <w:p w:rsidR="00210F94" w:rsidRDefault="00210F94" w:rsidP="00210F94">
            <w:pPr>
              <w:spacing w:line="240" w:lineRule="exact"/>
            </w:pPr>
            <w:r>
              <w:t>Français</w:t>
            </w:r>
          </w:p>
          <w:p w:rsidR="00AF1CE8" w:rsidRPr="00DB58B5" w:rsidRDefault="00210F94" w:rsidP="00210F94">
            <w:pPr>
              <w:spacing w:line="240" w:lineRule="exact"/>
            </w:pPr>
            <w:r>
              <w:t>Original: anglais</w:t>
            </w:r>
          </w:p>
        </w:tc>
      </w:tr>
    </w:tbl>
    <w:p w:rsidR="00DF3BF1" w:rsidRDefault="00DF3BF1" w:rsidP="00210F94">
      <w:pPr>
        <w:spacing w:before="120"/>
        <w:rPr>
          <w:b/>
          <w:sz w:val="24"/>
          <w:szCs w:val="24"/>
        </w:rPr>
      </w:pPr>
      <w:r w:rsidRPr="00DF3BF1">
        <w:rPr>
          <w:b/>
          <w:sz w:val="24"/>
          <w:szCs w:val="24"/>
        </w:rPr>
        <w:t>Comité des droits de l</w:t>
      </w:r>
      <w:r w:rsidR="00CA0C03">
        <w:rPr>
          <w:b/>
          <w:sz w:val="24"/>
          <w:szCs w:val="24"/>
        </w:rPr>
        <w:t>’</w:t>
      </w:r>
      <w:r w:rsidRPr="00DF3BF1">
        <w:rPr>
          <w:b/>
          <w:sz w:val="24"/>
          <w:szCs w:val="24"/>
        </w:rPr>
        <w:t>homme</w:t>
      </w:r>
    </w:p>
    <w:p w:rsidR="00830DCB" w:rsidRPr="003B08A1" w:rsidRDefault="00830DCB" w:rsidP="00830DCB">
      <w:pPr>
        <w:pStyle w:val="HChG"/>
      </w:pPr>
      <w:r w:rsidRPr="003B08A1">
        <w:tab/>
      </w:r>
      <w:r w:rsidRPr="003B08A1">
        <w:tab/>
        <w:t>Observations finales concernant le rapport initial</w:t>
      </w:r>
      <w:r w:rsidRPr="003B08A1">
        <w:br/>
        <w:t>du Monténégro</w:t>
      </w:r>
      <w:r w:rsidRPr="00830DCB">
        <w:rPr>
          <w:rStyle w:val="FootnoteReference"/>
          <w:b w:val="0"/>
          <w:sz w:val="20"/>
          <w:vertAlign w:val="baseline"/>
        </w:rPr>
        <w:footnoteReference w:customMarkFollows="1" w:id="2"/>
        <w:t>*</w:t>
      </w:r>
    </w:p>
    <w:p w:rsidR="00830DCB" w:rsidRPr="00CA0C03" w:rsidRDefault="00830DCB" w:rsidP="00CA0C03">
      <w:pPr>
        <w:pStyle w:val="ParNoG"/>
        <w:numPr>
          <w:ilvl w:val="0"/>
          <w:numId w:val="5"/>
        </w:numPr>
        <w:tabs>
          <w:tab w:val="clear" w:pos="1701"/>
        </w:tabs>
        <w:rPr>
          <w:spacing w:val="-1"/>
        </w:rPr>
      </w:pPr>
      <w:r w:rsidRPr="00CA0C03">
        <w:rPr>
          <w:spacing w:val="-1"/>
        </w:rPr>
        <w:t>Le Comité a examiné le rapport initial soumis par le Monténégro (CCPR/C/MNE/1) à ses 3108</w:t>
      </w:r>
      <w:r w:rsidRPr="00CA0C03">
        <w:rPr>
          <w:spacing w:val="-1"/>
          <w:vertAlign w:val="superscript"/>
        </w:rPr>
        <w:t>e</w:t>
      </w:r>
      <w:r w:rsidRPr="00CA0C03">
        <w:rPr>
          <w:spacing w:val="-1"/>
        </w:rPr>
        <w:t xml:space="preserve"> et 3109</w:t>
      </w:r>
      <w:r w:rsidRPr="00CA0C03">
        <w:rPr>
          <w:spacing w:val="-1"/>
          <w:vertAlign w:val="superscript"/>
        </w:rPr>
        <w:t>e</w:t>
      </w:r>
      <w:r w:rsidRPr="00CA0C03">
        <w:rPr>
          <w:spacing w:val="-1"/>
        </w:rPr>
        <w:t> séances (CCPR/C/SR.3108 et 3109), tenues les 14 et 15 octobre 2014. À</w:t>
      </w:r>
      <w:r w:rsidR="00412DDB">
        <w:rPr>
          <w:spacing w:val="-1"/>
        </w:rPr>
        <w:t> </w:t>
      </w:r>
      <w:r w:rsidRPr="00CA0C03">
        <w:rPr>
          <w:spacing w:val="-1"/>
        </w:rPr>
        <w:t>sa 3127</w:t>
      </w:r>
      <w:r w:rsidRPr="00CA0C03">
        <w:rPr>
          <w:spacing w:val="-1"/>
          <w:vertAlign w:val="superscript"/>
        </w:rPr>
        <w:t>e</w:t>
      </w:r>
      <w:r w:rsidRPr="00CA0C03">
        <w:rPr>
          <w:spacing w:val="-1"/>
        </w:rPr>
        <w:t> séance (CCPR/C/SR.3127), tenue le 28 octobre 2014, il a adopté les observations finales ci-après.</w:t>
      </w:r>
    </w:p>
    <w:p w:rsidR="00830DCB" w:rsidRPr="003B08A1" w:rsidRDefault="00830DCB" w:rsidP="00830DCB">
      <w:pPr>
        <w:pStyle w:val="H1G"/>
      </w:pPr>
      <w:r w:rsidRPr="003B08A1">
        <w:tab/>
        <w:t>A.</w:t>
      </w:r>
      <w:r w:rsidRPr="003B08A1">
        <w:tab/>
        <w:t>Introduction</w:t>
      </w:r>
    </w:p>
    <w:p w:rsidR="00830DCB" w:rsidRDefault="00830DCB" w:rsidP="00830DCB">
      <w:pPr>
        <w:pStyle w:val="ParNoG"/>
        <w:numPr>
          <w:ilvl w:val="0"/>
          <w:numId w:val="5"/>
        </w:numPr>
      </w:pPr>
      <w:r>
        <w:t xml:space="preserve">Le Comité a </w:t>
      </w:r>
      <w:r w:rsidDel="00C251D0">
        <w:t>pris note</w:t>
      </w:r>
      <w:r>
        <w:t xml:space="preserve"> avec satisfaction de la soumission du rapport initial du</w:t>
      </w:r>
      <w:r w:rsidR="00CA0C03">
        <w:t xml:space="preserve"> </w:t>
      </w:r>
      <w:r>
        <w:t>Monténégro et des informations qui figurent dans ce rapport. Il se félicite d</w:t>
      </w:r>
      <w:r w:rsidR="00CA0C03">
        <w:t>’</w:t>
      </w:r>
      <w:r>
        <w:t xml:space="preserve">avoir pu </w:t>
      </w:r>
      <w:r w:rsidDel="00C251D0">
        <w:t xml:space="preserve">mener </w:t>
      </w:r>
      <w:r>
        <w:t>avec la délégation de l</w:t>
      </w:r>
      <w:r w:rsidR="00CA0C03">
        <w:t>’</w:t>
      </w:r>
      <w:r>
        <w:t>État partie un dialogue constructif sur les mesures que celui-ci a prises, depuis que le Pacte est entré en vigueur pour lui, pour mettre en œuvre ses dispositions. Il remercie l</w:t>
      </w:r>
      <w:r w:rsidR="00CA0C03">
        <w:t>’</w:t>
      </w:r>
      <w:r>
        <w:t xml:space="preserve">État partie pour ses réponses écrites </w:t>
      </w:r>
      <w:r w:rsidRPr="003B08A1">
        <w:t xml:space="preserve">(CCPR/C/MNE/Q/1/Add.1) </w:t>
      </w:r>
      <w:r>
        <w:t>à la liste de questions, qui ont été complétées par les réponses fournies oralement par la délégation et par les informations complémentaires apportées par écrit.</w:t>
      </w:r>
    </w:p>
    <w:p w:rsidR="00830DCB" w:rsidRPr="003B08A1" w:rsidRDefault="00830DCB" w:rsidP="00830DCB">
      <w:pPr>
        <w:pStyle w:val="H1G"/>
      </w:pPr>
      <w:r w:rsidRPr="003B08A1">
        <w:tab/>
        <w:t>B.</w:t>
      </w:r>
      <w:r w:rsidRPr="003B08A1">
        <w:tab/>
      </w:r>
      <w:r>
        <w:t>A</w:t>
      </w:r>
      <w:r w:rsidRPr="003B08A1">
        <w:t>spects</w:t>
      </w:r>
      <w:r>
        <w:t xml:space="preserve"> positifs</w:t>
      </w:r>
    </w:p>
    <w:p w:rsidR="00830DCB" w:rsidRDefault="00830DCB" w:rsidP="00830DCB">
      <w:pPr>
        <w:pStyle w:val="ParNoG"/>
        <w:keepNext/>
        <w:numPr>
          <w:ilvl w:val="0"/>
          <w:numId w:val="5"/>
        </w:numPr>
      </w:pPr>
      <w:r>
        <w:t>Le Comité prend note avec satisfaction des mesures législatives et institutionnelles ci-après prises par l</w:t>
      </w:r>
      <w:r w:rsidR="00CA0C03">
        <w:t>’</w:t>
      </w:r>
      <w:r>
        <w:t>État partie depuis l</w:t>
      </w:r>
      <w:r w:rsidR="00CA0C03">
        <w:t>’</w:t>
      </w:r>
      <w:r>
        <w:t>entrée en vigueur du Pacte en 2006:</w:t>
      </w:r>
    </w:p>
    <w:p w:rsidR="00830DCB" w:rsidRDefault="00830DCB" w:rsidP="00830DCB">
      <w:pPr>
        <w:pStyle w:val="SingleTxtG"/>
        <w:ind w:firstLine="567"/>
      </w:pPr>
      <w:r w:rsidRPr="003B08A1">
        <w:t>a)</w:t>
      </w:r>
      <w:r w:rsidRPr="003B08A1">
        <w:tab/>
      </w:r>
      <w:r>
        <w:t>A</w:t>
      </w:r>
      <w:r w:rsidRPr="003B08A1">
        <w:t xml:space="preserve">doption </w:t>
      </w:r>
      <w:r>
        <w:t>de la loi portant modification de la loi relative au Défenseur des droits de l</w:t>
      </w:r>
      <w:r w:rsidR="00CA0C03">
        <w:t>’</w:t>
      </w:r>
      <w:r>
        <w:t>homme et des libertés du Monténégro, le 18 juin 2014;</w:t>
      </w:r>
    </w:p>
    <w:p w:rsidR="00830DCB" w:rsidRPr="003B08A1" w:rsidRDefault="00830DCB" w:rsidP="00830DCB">
      <w:pPr>
        <w:pStyle w:val="SingleTxtG"/>
        <w:ind w:firstLine="567"/>
      </w:pPr>
      <w:r w:rsidRPr="003B08A1">
        <w:t>b)</w:t>
      </w:r>
      <w:r w:rsidRPr="003B08A1">
        <w:tab/>
      </w:r>
      <w:r>
        <w:t>A</w:t>
      </w:r>
      <w:r w:rsidRPr="003B08A1">
        <w:t xml:space="preserve">doption </w:t>
      </w:r>
      <w:r>
        <w:t>de la loi portant modification de la loi relative à l</w:t>
      </w:r>
      <w:r w:rsidR="00CA0C03">
        <w:t>’</w:t>
      </w:r>
      <w:r>
        <w:t xml:space="preserve">interdiction de la discrimination, le </w:t>
      </w:r>
      <w:r w:rsidRPr="003B08A1">
        <w:t>26</w:t>
      </w:r>
      <w:r>
        <w:t> juin</w:t>
      </w:r>
      <w:r w:rsidRPr="003B08A1">
        <w:t xml:space="preserve"> 2014</w:t>
      </w:r>
      <w:r>
        <w:t>;</w:t>
      </w:r>
    </w:p>
    <w:p w:rsidR="00830DCB" w:rsidRDefault="00830DCB" w:rsidP="00830DCB">
      <w:pPr>
        <w:pStyle w:val="SingleTxtG"/>
        <w:ind w:firstLine="567"/>
      </w:pPr>
      <w:r w:rsidRPr="003B08A1">
        <w:t>c)</w:t>
      </w:r>
      <w:r w:rsidRPr="003B08A1">
        <w:tab/>
      </w:r>
      <w:r>
        <w:t>A</w:t>
      </w:r>
      <w:r w:rsidRPr="003B08A1">
        <w:t xml:space="preserve">doption </w:t>
      </w:r>
      <w:r>
        <w:t>de la loi portant modification de la loi relative à l</w:t>
      </w:r>
      <w:r w:rsidR="00CA0C03">
        <w:t>’</w:t>
      </w:r>
      <w:r>
        <w:t>élection des</w:t>
      </w:r>
      <w:r w:rsidR="00CA0C03">
        <w:t xml:space="preserve"> </w:t>
      </w:r>
      <w:r>
        <w:t>conseillers et des députés, le 21 mars 2014;</w:t>
      </w:r>
    </w:p>
    <w:p w:rsidR="00830DCB" w:rsidRPr="003B08A1" w:rsidRDefault="00830DCB" w:rsidP="00830DCB">
      <w:pPr>
        <w:pStyle w:val="SingleTxtG"/>
        <w:ind w:firstLine="567"/>
      </w:pPr>
      <w:r w:rsidRPr="003B08A1">
        <w:t>d)</w:t>
      </w:r>
      <w:r w:rsidRPr="003B08A1">
        <w:tab/>
      </w:r>
      <w:r>
        <w:t>A</w:t>
      </w:r>
      <w:r w:rsidRPr="003B08A1">
        <w:t xml:space="preserve">doption </w:t>
      </w:r>
      <w:r>
        <w:t>de la loi sur l</w:t>
      </w:r>
      <w:r w:rsidR="00CA0C03">
        <w:t>’</w:t>
      </w:r>
      <w:r>
        <w:t xml:space="preserve">aide juridique gratuite, le </w:t>
      </w:r>
      <w:r w:rsidRPr="003B08A1">
        <w:t>15</w:t>
      </w:r>
      <w:r>
        <w:t> avril</w:t>
      </w:r>
      <w:r w:rsidRPr="003B08A1">
        <w:t xml:space="preserve"> 2011</w:t>
      </w:r>
      <w:r>
        <w:t>;</w:t>
      </w:r>
    </w:p>
    <w:p w:rsidR="00830DCB" w:rsidRPr="003B08A1" w:rsidRDefault="00830DCB" w:rsidP="00830DCB">
      <w:pPr>
        <w:pStyle w:val="SingleTxtG"/>
        <w:ind w:firstLine="567"/>
      </w:pPr>
      <w:r w:rsidRPr="003B08A1">
        <w:t>e)</w:t>
      </w:r>
      <w:r w:rsidRPr="003B08A1">
        <w:tab/>
      </w:r>
      <w:r>
        <w:t>A</w:t>
      </w:r>
      <w:r w:rsidRPr="003B08A1">
        <w:t xml:space="preserve">doption </w:t>
      </w:r>
      <w:r>
        <w:t>du Plan d</w:t>
      </w:r>
      <w:r w:rsidR="00CA0C03">
        <w:t>’</w:t>
      </w:r>
      <w:r>
        <w:t>action et de la Stratégie visant à améliorer la qualité de vie des lesbiennes, des gays, des bisexuels et des trans</w:t>
      </w:r>
      <w:r w:rsidR="00866FE1">
        <w:t>s</w:t>
      </w:r>
      <w:r>
        <w:t xml:space="preserve">exuels </w:t>
      </w:r>
      <w:r w:rsidRPr="003B08A1">
        <w:t xml:space="preserve">(2013-2018); </w:t>
      </w:r>
    </w:p>
    <w:p w:rsidR="00830DCB" w:rsidRPr="003B08A1" w:rsidRDefault="00830DCB" w:rsidP="00830DCB">
      <w:pPr>
        <w:pStyle w:val="SingleTxtG"/>
        <w:ind w:firstLine="567"/>
      </w:pPr>
      <w:r w:rsidRPr="003B08A1">
        <w:t>f)</w:t>
      </w:r>
      <w:r w:rsidRPr="003B08A1">
        <w:tab/>
      </w:r>
      <w:r>
        <w:t>A</w:t>
      </w:r>
      <w:r w:rsidRPr="003B08A1">
        <w:t xml:space="preserve">doption </w:t>
      </w:r>
      <w:r>
        <w:t>du Plan d</w:t>
      </w:r>
      <w:r w:rsidR="00CA0C03">
        <w:t>’</w:t>
      </w:r>
      <w:r>
        <w:t>action pour l</w:t>
      </w:r>
      <w:r w:rsidR="00CA0C03">
        <w:t>’</w:t>
      </w:r>
      <w:r>
        <w:t xml:space="preserve">égalité des sexes </w:t>
      </w:r>
      <w:r w:rsidRPr="003B08A1">
        <w:t xml:space="preserve">(2013-2017); </w:t>
      </w:r>
    </w:p>
    <w:p w:rsidR="00830DCB" w:rsidRPr="003B08A1" w:rsidRDefault="00830DCB" w:rsidP="00830DCB">
      <w:pPr>
        <w:pStyle w:val="SingleTxtG"/>
        <w:ind w:firstLine="567"/>
      </w:pPr>
      <w:r w:rsidRPr="003B08A1">
        <w:t>g)</w:t>
      </w:r>
      <w:r w:rsidRPr="003B08A1">
        <w:tab/>
      </w:r>
      <w:r>
        <w:t>A</w:t>
      </w:r>
      <w:r w:rsidRPr="003B08A1">
        <w:t xml:space="preserve">doption </w:t>
      </w:r>
      <w:r>
        <w:t xml:space="preserve">de la Stratégie nationale pour la lutte contre la traite des êtres humains </w:t>
      </w:r>
      <w:r w:rsidRPr="003B08A1">
        <w:t>(2012-2018).</w:t>
      </w:r>
    </w:p>
    <w:p w:rsidR="00830DCB" w:rsidRPr="003B08A1" w:rsidRDefault="00830DCB" w:rsidP="00830DCB">
      <w:pPr>
        <w:pStyle w:val="ParNoG"/>
        <w:keepNext/>
        <w:numPr>
          <w:ilvl w:val="0"/>
          <w:numId w:val="5"/>
        </w:numPr>
      </w:pPr>
      <w:r>
        <w:t>Le Comité accueille avec satisfaction l</w:t>
      </w:r>
      <w:r w:rsidR="00CA0C03">
        <w:t>’</w:t>
      </w:r>
      <w:r>
        <w:t>adhésion de l</w:t>
      </w:r>
      <w:r w:rsidR="00CA0C03">
        <w:t>’</w:t>
      </w:r>
      <w:r>
        <w:t>État partie aux instruments internationaux ci-après, ou leur ratification</w:t>
      </w:r>
      <w:r w:rsidRPr="003B08A1">
        <w:t>:</w:t>
      </w:r>
    </w:p>
    <w:p w:rsidR="00830DCB" w:rsidRPr="00CF0E3D" w:rsidRDefault="00830DCB" w:rsidP="00830DCB">
      <w:pPr>
        <w:pStyle w:val="SingleTxtG"/>
        <w:ind w:firstLine="567"/>
        <w:rPr>
          <w:spacing w:val="-2"/>
        </w:rPr>
      </w:pPr>
      <w:r w:rsidRPr="00CF0E3D">
        <w:rPr>
          <w:spacing w:val="-2"/>
        </w:rPr>
        <w:t>a)</w:t>
      </w:r>
      <w:r w:rsidRPr="00CF0E3D">
        <w:rPr>
          <w:spacing w:val="-2"/>
        </w:rPr>
        <w:tab/>
        <w:t>Le Protocole facultatif à la Convention relative aux droits de l</w:t>
      </w:r>
      <w:r w:rsidR="00CA0C03">
        <w:rPr>
          <w:spacing w:val="-2"/>
        </w:rPr>
        <w:t>’</w:t>
      </w:r>
      <w:r w:rsidRPr="00CF0E3D">
        <w:rPr>
          <w:spacing w:val="-2"/>
        </w:rPr>
        <w:t>enfant</w:t>
      </w:r>
      <w:r>
        <w:rPr>
          <w:spacing w:val="-2"/>
        </w:rPr>
        <w:t>,</w:t>
      </w:r>
      <w:r w:rsidRPr="00CF0E3D">
        <w:rPr>
          <w:spacing w:val="-2"/>
        </w:rPr>
        <w:t xml:space="preserve"> en 2013;</w:t>
      </w:r>
    </w:p>
    <w:p w:rsidR="00830DCB" w:rsidRPr="003B08A1" w:rsidRDefault="00830DCB" w:rsidP="00830DCB">
      <w:pPr>
        <w:pStyle w:val="SingleTxtG"/>
        <w:ind w:firstLine="567"/>
      </w:pPr>
      <w:r w:rsidRPr="003B08A1">
        <w:t>b)</w:t>
      </w:r>
      <w:r w:rsidRPr="003B08A1">
        <w:tab/>
      </w:r>
      <w:r>
        <w:t xml:space="preserve">La </w:t>
      </w:r>
      <w:r w:rsidRPr="003B08A1">
        <w:t xml:space="preserve">Convention </w:t>
      </w:r>
      <w:r>
        <w:t>internationale pour la protection de toutes les personnes contre les disparitions forcées, en 2011;</w:t>
      </w:r>
    </w:p>
    <w:p w:rsidR="00830DCB" w:rsidRPr="003B08A1" w:rsidRDefault="00830DCB" w:rsidP="00830DCB">
      <w:pPr>
        <w:pStyle w:val="SingleTxtG"/>
        <w:ind w:firstLine="567"/>
      </w:pPr>
      <w:r w:rsidRPr="003B08A1">
        <w:t>c)</w:t>
      </w:r>
      <w:r w:rsidRPr="003B08A1">
        <w:tab/>
      </w:r>
      <w:r>
        <w:t xml:space="preserve">La </w:t>
      </w:r>
      <w:r w:rsidRPr="003B08A1">
        <w:t xml:space="preserve">Convention </w:t>
      </w:r>
      <w:r>
        <w:t xml:space="preserve">relative aux droits des personnes handicapées, en </w:t>
      </w:r>
      <w:r w:rsidRPr="003B08A1">
        <w:t>2009;</w:t>
      </w:r>
    </w:p>
    <w:p w:rsidR="00830DCB" w:rsidRPr="003B08A1" w:rsidRDefault="00830DCB" w:rsidP="00830DCB">
      <w:pPr>
        <w:pStyle w:val="SingleTxtG"/>
        <w:ind w:firstLine="567"/>
      </w:pPr>
      <w:r w:rsidRPr="003B08A1">
        <w:t>d)</w:t>
      </w:r>
      <w:r w:rsidRPr="003B08A1">
        <w:tab/>
      </w:r>
      <w:r>
        <w:t xml:space="preserve">Le Protocole facultatif à la </w:t>
      </w:r>
      <w:r w:rsidRPr="003B08A1">
        <w:t xml:space="preserve">Convention </w:t>
      </w:r>
      <w:r>
        <w:t>relative aux droits de l</w:t>
      </w:r>
      <w:r w:rsidR="00CA0C03">
        <w:t>’</w:t>
      </w:r>
      <w:r>
        <w:t>enfant, concernant l</w:t>
      </w:r>
      <w:r w:rsidR="00CA0C03">
        <w:t>’</w:t>
      </w:r>
      <w:r>
        <w:t>implication d</w:t>
      </w:r>
      <w:r w:rsidR="00CA0C03">
        <w:t>’</w:t>
      </w:r>
      <w:r>
        <w:t xml:space="preserve">enfants dans les conflits armés, en </w:t>
      </w:r>
      <w:r w:rsidRPr="003B08A1">
        <w:t>2007</w:t>
      </w:r>
      <w:r>
        <w:t>;</w:t>
      </w:r>
    </w:p>
    <w:p w:rsidR="00830DCB" w:rsidRPr="003B08A1" w:rsidRDefault="00830DCB" w:rsidP="00830DCB">
      <w:pPr>
        <w:pStyle w:val="SingleTxtG"/>
        <w:ind w:firstLine="567"/>
      </w:pPr>
      <w:r w:rsidRPr="003B08A1">
        <w:t>e)</w:t>
      </w:r>
      <w:r w:rsidRPr="003B08A1">
        <w:tab/>
      </w:r>
      <w:r>
        <w:t xml:space="preserve">Le Protocole additionnel à la Convention des </w:t>
      </w:r>
      <w:r>
        <w:rPr>
          <w:rFonts w:eastAsia="MS Mincho"/>
        </w:rPr>
        <w:t>Nations Unies</w:t>
      </w:r>
      <w:r>
        <w:t xml:space="preserve"> contre la criminalité transnationale organisée, visant à prévenir, réprimer et punir la traite des personnes, en particulier des femmes et des enfants, en </w:t>
      </w:r>
      <w:r w:rsidRPr="003B08A1">
        <w:t>2006</w:t>
      </w:r>
      <w:r>
        <w:t>.</w:t>
      </w:r>
    </w:p>
    <w:p w:rsidR="00830DCB" w:rsidRPr="003B08A1" w:rsidRDefault="00830DCB" w:rsidP="00830DCB">
      <w:pPr>
        <w:pStyle w:val="H1G"/>
      </w:pPr>
      <w:r w:rsidRPr="003B08A1">
        <w:tab/>
        <w:t>C.</w:t>
      </w:r>
      <w:r w:rsidRPr="003B08A1">
        <w:tab/>
        <w:t>Principa</w:t>
      </w:r>
      <w:r>
        <w:t>ux sujets de préoccupation et recommandations</w:t>
      </w:r>
    </w:p>
    <w:p w:rsidR="00830DCB" w:rsidRPr="003B08A1" w:rsidRDefault="00830DCB" w:rsidP="00830DCB">
      <w:pPr>
        <w:pStyle w:val="H23G"/>
      </w:pPr>
      <w:r w:rsidRPr="003B08A1">
        <w:tab/>
      </w:r>
      <w:r w:rsidRPr="003B08A1">
        <w:tab/>
        <w:t>Applicabilit</w:t>
      </w:r>
      <w:r>
        <w:t>é du Pacte par les juridictions nationales</w:t>
      </w:r>
    </w:p>
    <w:p w:rsidR="00830DCB" w:rsidRDefault="00830DCB" w:rsidP="00830DCB">
      <w:pPr>
        <w:pStyle w:val="ParNoG"/>
        <w:numPr>
          <w:ilvl w:val="0"/>
          <w:numId w:val="5"/>
        </w:numPr>
      </w:pPr>
      <w:r>
        <w:t>Le Comité prend note de l</w:t>
      </w:r>
      <w:r w:rsidR="00CA0C03">
        <w:t>’</w:t>
      </w:r>
      <w:r>
        <w:t>information indiquant que les dispositions des traités internationaux relatifs aux droits de l</w:t>
      </w:r>
      <w:r w:rsidR="00CA0C03">
        <w:t>’</w:t>
      </w:r>
      <w:r>
        <w:t>homme, notamment celles du Pacte, peuvent être directement invoquées en justice. Il note cependant que les dispositions du Pacte n</w:t>
      </w:r>
      <w:r w:rsidR="00CA0C03">
        <w:t>’</w:t>
      </w:r>
      <w:r>
        <w:t xml:space="preserve">ont été invoquées que dans un nombre limité de cas. Il prend note avec satisfaction des formations dispensées par le Centre de formation judiciaire, mais il </w:t>
      </w:r>
      <w:r w:rsidDel="00C251D0">
        <w:t>constate</w:t>
      </w:r>
      <w:r>
        <w:t xml:space="preserve"> avec préoccupation que les</w:t>
      </w:r>
      <w:r w:rsidR="00CA0C03">
        <w:t xml:space="preserve"> </w:t>
      </w:r>
      <w:r>
        <w:t>dispositions du Pacte sont insuffisamment connues des magistrats et de la communauté judiciaire au sens large, et qu</w:t>
      </w:r>
      <w:r w:rsidR="00CA0C03">
        <w:t>’</w:t>
      </w:r>
      <w:r>
        <w:t>elles ne sont pas suffisamment appliquées dans le système juridique interne (art. 2).</w:t>
      </w:r>
    </w:p>
    <w:p w:rsidR="00830DCB" w:rsidRPr="00F914FC" w:rsidRDefault="00830DCB" w:rsidP="00830DCB">
      <w:pPr>
        <w:pStyle w:val="SingleTxtG"/>
        <w:rPr>
          <w:b/>
        </w:rPr>
      </w:pPr>
      <w:r w:rsidRPr="00F914FC">
        <w:rPr>
          <w:b/>
        </w:rPr>
        <w:t>L</w:t>
      </w:r>
      <w:r w:rsidR="00CA0C03">
        <w:rPr>
          <w:b/>
        </w:rPr>
        <w:t>’</w:t>
      </w:r>
      <w:r w:rsidRPr="00F914FC">
        <w:rPr>
          <w:b/>
        </w:rPr>
        <w:t>État partie devrait prendre des mesures appropriées pour faire connaître le Pacte aux</w:t>
      </w:r>
      <w:r>
        <w:rPr>
          <w:b/>
        </w:rPr>
        <w:t xml:space="preserve"> </w:t>
      </w:r>
      <w:r w:rsidRPr="00F914FC">
        <w:rPr>
          <w:b/>
        </w:rPr>
        <w:t>ju</w:t>
      </w:r>
      <w:r>
        <w:rPr>
          <w:b/>
        </w:rPr>
        <w:t>ges, aux avocat</w:t>
      </w:r>
      <w:r w:rsidRPr="00F914FC">
        <w:rPr>
          <w:b/>
        </w:rPr>
        <w:t xml:space="preserve">s et aux procureurs, afin que ses dispositions soient prises en </w:t>
      </w:r>
      <w:r>
        <w:rPr>
          <w:b/>
        </w:rPr>
        <w:t>compte</w:t>
      </w:r>
      <w:r w:rsidRPr="00F914FC">
        <w:rPr>
          <w:b/>
        </w:rPr>
        <w:t xml:space="preserve"> par les juridictions nationales. À cet égard, il devrait prendre des mesures effectives pour diffuser largement le Pacte dans </w:t>
      </w:r>
      <w:r>
        <w:rPr>
          <w:b/>
        </w:rPr>
        <w:t>le pays</w:t>
      </w:r>
      <w:r w:rsidRPr="00F914FC">
        <w:rPr>
          <w:b/>
        </w:rPr>
        <w:t>.</w:t>
      </w:r>
    </w:p>
    <w:p w:rsidR="00830DCB" w:rsidRPr="003B08A1" w:rsidRDefault="00830DCB" w:rsidP="00830DCB">
      <w:pPr>
        <w:pStyle w:val="H23G"/>
      </w:pPr>
      <w:r w:rsidRPr="003B08A1">
        <w:tab/>
      </w:r>
      <w:r w:rsidRPr="003B08A1">
        <w:tab/>
        <w:t>R</w:t>
      </w:r>
      <w:r>
        <w:t xml:space="preserve">éparations pour les </w:t>
      </w:r>
      <w:r w:rsidRPr="003B08A1">
        <w:t>violations</w:t>
      </w:r>
      <w:r>
        <w:t xml:space="preserve"> des droits de l</w:t>
      </w:r>
      <w:r w:rsidR="00CA0C03">
        <w:t>’</w:t>
      </w:r>
      <w:r>
        <w:t>homme</w:t>
      </w:r>
    </w:p>
    <w:p w:rsidR="00830DCB" w:rsidRDefault="00830DCB" w:rsidP="00830DCB">
      <w:pPr>
        <w:pStyle w:val="ParNoG"/>
        <w:numPr>
          <w:ilvl w:val="0"/>
          <w:numId w:val="5"/>
        </w:numPr>
      </w:pPr>
      <w:r w:rsidRPr="00611D18">
        <w:t xml:space="preserve">Le </w:t>
      </w:r>
      <w:r>
        <w:t>Comité prend note avec préoccupation des difficultés que rencontrent les personnes qui tentent d</w:t>
      </w:r>
      <w:r w:rsidR="00CA0C03">
        <w:t>’</w:t>
      </w:r>
      <w:r>
        <w:t>obtenir de l</w:t>
      </w:r>
      <w:r w:rsidR="00CA0C03">
        <w:t>’</w:t>
      </w:r>
      <w:r>
        <w:t>État réparation pour des violations des droits de l</w:t>
      </w:r>
      <w:r w:rsidR="00CA0C03">
        <w:t>’</w:t>
      </w:r>
      <w:r>
        <w:t>homme, en particulier s</w:t>
      </w:r>
      <w:r w:rsidR="00CA0C03">
        <w:t>’</w:t>
      </w:r>
      <w:r>
        <w:t>agissant des crimes de guerre. À ce sujet, il relève avec inquiétude que la loi régissant l</w:t>
      </w:r>
      <w:r w:rsidR="00CA0C03">
        <w:t>’</w:t>
      </w:r>
      <w:r>
        <w:t>octroi de pensions aux victimes de guerre ne prévoit des réparations que pour les victimes de guerre qui ont subi au moins «50 % de dommages corporels» du fait des blessures qu</w:t>
      </w:r>
      <w:r w:rsidR="00CA0C03">
        <w:t>’</w:t>
      </w:r>
      <w:r>
        <w:t>elles ont reçues, et que l</w:t>
      </w:r>
      <w:r w:rsidR="00CA0C03">
        <w:t>’</w:t>
      </w:r>
      <w:r>
        <w:t>État partie ne reconnaît pas aux familles des personnes disparues le droit à des réparations (art. 2, 6 et 7).</w:t>
      </w:r>
    </w:p>
    <w:p w:rsidR="00830DCB" w:rsidRDefault="00830DCB" w:rsidP="00412DDB">
      <w:pPr>
        <w:pStyle w:val="SingleTxtG"/>
        <w:keepLines/>
        <w:rPr>
          <w:b/>
        </w:rPr>
      </w:pPr>
      <w:r w:rsidRPr="002A244C">
        <w:rPr>
          <w:b/>
        </w:rPr>
        <w:t>L</w:t>
      </w:r>
      <w:r w:rsidR="00CA0C03">
        <w:rPr>
          <w:b/>
        </w:rPr>
        <w:t>’</w:t>
      </w:r>
      <w:r w:rsidRPr="002A244C">
        <w:rPr>
          <w:b/>
        </w:rPr>
        <w:t>État partie devrait veiller à ce que toutes les victimes et leur famille, y compris les</w:t>
      </w:r>
      <w:r w:rsidR="00CA0C03">
        <w:rPr>
          <w:b/>
        </w:rPr>
        <w:t xml:space="preserve"> </w:t>
      </w:r>
      <w:r w:rsidRPr="002A244C">
        <w:rPr>
          <w:b/>
        </w:rPr>
        <w:t>victimes de torture mentale, bénéficient de réparations appropriées pour les violations des droits de l</w:t>
      </w:r>
      <w:r w:rsidR="00CA0C03">
        <w:rPr>
          <w:b/>
        </w:rPr>
        <w:t>’</w:t>
      </w:r>
      <w:r w:rsidRPr="002A244C">
        <w:rPr>
          <w:b/>
        </w:rPr>
        <w:t>homme qu</w:t>
      </w:r>
      <w:r w:rsidR="00CA0C03">
        <w:rPr>
          <w:b/>
        </w:rPr>
        <w:t>’</w:t>
      </w:r>
      <w:r w:rsidRPr="002A244C">
        <w:rPr>
          <w:b/>
        </w:rPr>
        <w:t>elles ont subies, par exemple des mesures de réadaptation, une indemnisation juste et équitable et l</w:t>
      </w:r>
      <w:r w:rsidR="00CA0C03">
        <w:rPr>
          <w:b/>
        </w:rPr>
        <w:t>’</w:t>
      </w:r>
      <w:r w:rsidRPr="002A244C">
        <w:rPr>
          <w:b/>
        </w:rPr>
        <w:t xml:space="preserve">accès à des programmes sociaux. </w:t>
      </w:r>
      <w:r>
        <w:rPr>
          <w:b/>
        </w:rPr>
        <w:t>Il</w:t>
      </w:r>
      <w:r w:rsidRPr="002A244C">
        <w:rPr>
          <w:b/>
        </w:rPr>
        <w:t xml:space="preserve"> devrait aussi </w:t>
      </w:r>
      <w:r>
        <w:rPr>
          <w:b/>
        </w:rPr>
        <w:t>s</w:t>
      </w:r>
      <w:r w:rsidR="00CA0C03">
        <w:rPr>
          <w:b/>
        </w:rPr>
        <w:t>’</w:t>
      </w:r>
      <w:r>
        <w:rPr>
          <w:b/>
        </w:rPr>
        <w:t xml:space="preserve">assurer </w:t>
      </w:r>
      <w:r w:rsidRPr="002A244C">
        <w:rPr>
          <w:b/>
        </w:rPr>
        <w:t xml:space="preserve">que les proches des personnes disparues </w:t>
      </w:r>
      <w:r>
        <w:rPr>
          <w:b/>
        </w:rPr>
        <w:t>ont</w:t>
      </w:r>
      <w:r w:rsidRPr="002A244C">
        <w:rPr>
          <w:b/>
        </w:rPr>
        <w:t xml:space="preserve"> accès à une indemnisation appropriée.</w:t>
      </w:r>
    </w:p>
    <w:p w:rsidR="00830DCB" w:rsidRPr="003B08A1" w:rsidRDefault="00830DCB" w:rsidP="00412DDB">
      <w:pPr>
        <w:pStyle w:val="H23G"/>
        <w:spacing w:after="100"/>
      </w:pPr>
      <w:r>
        <w:tab/>
      </w:r>
      <w:r>
        <w:tab/>
        <w:t xml:space="preserve">Institution nationale des </w:t>
      </w:r>
      <w:r w:rsidRPr="00322EDF">
        <w:t>droits</w:t>
      </w:r>
      <w:r>
        <w:t xml:space="preserve"> de l</w:t>
      </w:r>
      <w:r w:rsidR="00CA0C03">
        <w:t>’</w:t>
      </w:r>
      <w:r>
        <w:t>homme</w:t>
      </w:r>
    </w:p>
    <w:p w:rsidR="00830DCB" w:rsidRDefault="00830DCB" w:rsidP="00412DDB">
      <w:pPr>
        <w:pStyle w:val="ParNoG"/>
        <w:numPr>
          <w:ilvl w:val="0"/>
          <w:numId w:val="5"/>
        </w:numPr>
        <w:spacing w:after="100"/>
      </w:pPr>
      <w:r w:rsidRPr="00611D18">
        <w:t xml:space="preserve">Le </w:t>
      </w:r>
      <w:r>
        <w:t>Comité prend note de l</w:t>
      </w:r>
      <w:r w:rsidR="00CA0C03">
        <w:t>’</w:t>
      </w:r>
      <w:r>
        <w:t>adoption de la nouvelle loi portant modification de la loi relative au Défenseur des droits de l</w:t>
      </w:r>
      <w:r w:rsidR="00CA0C03">
        <w:t>’</w:t>
      </w:r>
      <w:r>
        <w:t>homme et des libertés du Monténégro, mais il est préoccupé par les informations indiquant que l</w:t>
      </w:r>
      <w:r w:rsidR="00CA0C03">
        <w:t>’</w:t>
      </w:r>
      <w:r>
        <w:t>institution nationale des droits de l</w:t>
      </w:r>
      <w:r w:rsidR="00CA0C03">
        <w:t>’</w:t>
      </w:r>
      <w:r>
        <w:t>homme n</w:t>
      </w:r>
      <w:r w:rsidR="00CA0C03">
        <w:t>’</w:t>
      </w:r>
      <w:r>
        <w:t>a pas les capacités nécessaires pour s</w:t>
      </w:r>
      <w:r w:rsidR="00CA0C03">
        <w:t>’</w:t>
      </w:r>
      <w:r>
        <w:t>acquitter d</w:t>
      </w:r>
      <w:r w:rsidR="00CA0C03">
        <w:t>’</w:t>
      </w:r>
      <w:r>
        <w:t xml:space="preserve">un mandat étendu, conformément aux </w:t>
      </w:r>
      <w:r w:rsidRPr="00384247">
        <w:t>Principes concernant le statut des institutions nationales pour la promotion et la protection des droits de l</w:t>
      </w:r>
      <w:r w:rsidR="00CA0C03">
        <w:t>’</w:t>
      </w:r>
      <w:r w:rsidRPr="00384247">
        <w:t xml:space="preserve">homme </w:t>
      </w:r>
      <w:r>
        <w:t>(Principes de Paris)</w:t>
      </w:r>
      <w:r w:rsidR="00866FE1">
        <w:t xml:space="preserve"> (art. 2)</w:t>
      </w:r>
      <w:r>
        <w:t>.</w:t>
      </w:r>
    </w:p>
    <w:p w:rsidR="00830DCB" w:rsidRPr="00412DDB" w:rsidRDefault="00830DCB" w:rsidP="00412DDB">
      <w:pPr>
        <w:pStyle w:val="SingleTxtG"/>
        <w:spacing w:after="100"/>
        <w:rPr>
          <w:rFonts w:ascii="Times New Roman Gras" w:hAnsi="Times New Roman Gras"/>
          <w:b/>
          <w:spacing w:val="-2"/>
        </w:rPr>
      </w:pPr>
      <w:r w:rsidRPr="00412DDB">
        <w:rPr>
          <w:rFonts w:ascii="Times New Roman Gras" w:hAnsi="Times New Roman Gras"/>
          <w:b/>
          <w:spacing w:val="-2"/>
        </w:rPr>
        <w:t>L</w:t>
      </w:r>
      <w:r w:rsidR="00CA0C03" w:rsidRPr="00412DDB">
        <w:rPr>
          <w:rFonts w:ascii="Times New Roman Gras" w:hAnsi="Times New Roman Gras"/>
          <w:b/>
          <w:spacing w:val="-2"/>
        </w:rPr>
        <w:t>’</w:t>
      </w:r>
      <w:r w:rsidRPr="00412DDB">
        <w:rPr>
          <w:rFonts w:ascii="Times New Roman Gras" w:hAnsi="Times New Roman Gras"/>
          <w:b/>
          <w:spacing w:val="-2"/>
        </w:rPr>
        <w:t>État partie devrait accroître les capacités de l</w:t>
      </w:r>
      <w:r w:rsidR="00CA0C03" w:rsidRPr="00412DDB">
        <w:rPr>
          <w:rFonts w:ascii="Times New Roman Gras" w:hAnsi="Times New Roman Gras"/>
          <w:b/>
          <w:spacing w:val="-2"/>
        </w:rPr>
        <w:t>’</w:t>
      </w:r>
      <w:r w:rsidRPr="00412DDB">
        <w:rPr>
          <w:rFonts w:ascii="Times New Roman Gras" w:hAnsi="Times New Roman Gras"/>
          <w:b/>
          <w:spacing w:val="-2"/>
        </w:rPr>
        <w:t>institution nationale des droits de l</w:t>
      </w:r>
      <w:r w:rsidR="00CA0C03" w:rsidRPr="00412DDB">
        <w:rPr>
          <w:rFonts w:ascii="Times New Roman Gras" w:hAnsi="Times New Roman Gras"/>
          <w:b/>
          <w:spacing w:val="-2"/>
        </w:rPr>
        <w:t>’</w:t>
      </w:r>
      <w:r w:rsidRPr="00412DDB">
        <w:rPr>
          <w:rFonts w:ascii="Times New Roman Gras" w:hAnsi="Times New Roman Gras"/>
          <w:b/>
          <w:spacing w:val="-2"/>
        </w:rPr>
        <w:t>homme</w:t>
      </w:r>
      <w:r w:rsidR="00CA0C03" w:rsidRPr="00412DDB">
        <w:rPr>
          <w:rFonts w:ascii="Times New Roman Gras" w:hAnsi="Times New Roman Gras"/>
          <w:b/>
          <w:spacing w:val="-2"/>
        </w:rPr>
        <w:t xml:space="preserve"> </w:t>
      </w:r>
      <w:r w:rsidRPr="00412DDB">
        <w:rPr>
          <w:rFonts w:ascii="Times New Roman Gras" w:hAnsi="Times New Roman Gras"/>
          <w:b/>
          <w:spacing w:val="-2"/>
        </w:rPr>
        <w:t>afin qu</w:t>
      </w:r>
      <w:r w:rsidR="00CA0C03" w:rsidRPr="00412DDB">
        <w:rPr>
          <w:rFonts w:ascii="Times New Roman Gras" w:hAnsi="Times New Roman Gras"/>
          <w:b/>
          <w:spacing w:val="-2"/>
        </w:rPr>
        <w:t>’</w:t>
      </w:r>
      <w:r w:rsidRPr="00412DDB">
        <w:rPr>
          <w:rFonts w:ascii="Times New Roman Gras" w:hAnsi="Times New Roman Gras"/>
          <w:b/>
          <w:spacing w:val="-2"/>
        </w:rPr>
        <w:t>elle puisse s</w:t>
      </w:r>
      <w:r w:rsidR="00CA0C03" w:rsidRPr="00412DDB">
        <w:rPr>
          <w:rFonts w:ascii="Times New Roman Gras" w:hAnsi="Times New Roman Gras"/>
          <w:b/>
          <w:spacing w:val="-2"/>
        </w:rPr>
        <w:t>’</w:t>
      </w:r>
      <w:r w:rsidRPr="00412DDB">
        <w:rPr>
          <w:rFonts w:ascii="Times New Roman Gras" w:hAnsi="Times New Roman Gras"/>
          <w:b/>
          <w:spacing w:val="-2"/>
        </w:rPr>
        <w:t>acquitter d</w:t>
      </w:r>
      <w:r w:rsidR="00CA0C03" w:rsidRPr="00412DDB">
        <w:rPr>
          <w:rFonts w:ascii="Times New Roman Gras" w:hAnsi="Times New Roman Gras"/>
          <w:b/>
          <w:spacing w:val="-2"/>
        </w:rPr>
        <w:t>’</w:t>
      </w:r>
      <w:r w:rsidRPr="00412DDB">
        <w:rPr>
          <w:rFonts w:ascii="Times New Roman Gras" w:hAnsi="Times New Roman Gras"/>
          <w:b/>
          <w:spacing w:val="-2"/>
        </w:rPr>
        <w:t>un mandat étendu dans le domaine des droits de l</w:t>
      </w:r>
      <w:r w:rsidR="00CA0C03" w:rsidRPr="00412DDB">
        <w:rPr>
          <w:rFonts w:ascii="Times New Roman Gras" w:hAnsi="Times New Roman Gras"/>
          <w:b/>
          <w:spacing w:val="-2"/>
        </w:rPr>
        <w:t>’</w:t>
      </w:r>
      <w:r w:rsidRPr="00412DDB">
        <w:rPr>
          <w:rFonts w:ascii="Times New Roman Gras" w:hAnsi="Times New Roman Gras"/>
          <w:b/>
          <w:spacing w:val="-2"/>
        </w:rPr>
        <w:t>homme, et la doter de ressources suffisantes, conformément aux Principes de Paris.</w:t>
      </w:r>
    </w:p>
    <w:p w:rsidR="00830DCB" w:rsidRPr="003B08A1" w:rsidRDefault="00830DCB" w:rsidP="00412DDB">
      <w:pPr>
        <w:pStyle w:val="H23G"/>
        <w:spacing w:after="100"/>
      </w:pPr>
      <w:r w:rsidRPr="003B08A1">
        <w:tab/>
      </w:r>
      <w:r w:rsidRPr="003B08A1">
        <w:tab/>
      </w:r>
      <w:r>
        <w:t>Discrimination fondée sur l</w:t>
      </w:r>
      <w:r w:rsidR="00CA0C03">
        <w:t>’</w:t>
      </w:r>
      <w:r>
        <w:t>orientation sexuelle et l</w:t>
      </w:r>
      <w:r w:rsidR="00CA0C03">
        <w:t>’</w:t>
      </w:r>
      <w:r>
        <w:t>identité de genre</w:t>
      </w:r>
    </w:p>
    <w:p w:rsidR="00830DCB" w:rsidRDefault="00830DCB" w:rsidP="00412DDB">
      <w:pPr>
        <w:pStyle w:val="ParNoG"/>
        <w:numPr>
          <w:ilvl w:val="0"/>
          <w:numId w:val="5"/>
        </w:numPr>
        <w:spacing w:after="100"/>
      </w:pPr>
      <w:r>
        <w:t>Tout en prenant note avec satisfaction des diverses mesures législatives et institutionnelles que l</w:t>
      </w:r>
      <w:r w:rsidR="00CA0C03">
        <w:t>’</w:t>
      </w:r>
      <w:r>
        <w:t>État partie a adoptées pour protéger les droits des lesbiennes, des gays, des bisexuels et des transgenres, le Comité est préoccupé par la prévalence des stéréotypes et des préjugés à l</w:t>
      </w:r>
      <w:r w:rsidR="00CA0C03">
        <w:t>’</w:t>
      </w:r>
      <w:r>
        <w:t>encontre de ces personnes. À ce sujet, il est particulièrement préoccupé par les informations faisant état d</w:t>
      </w:r>
      <w:r w:rsidR="00CA0C03">
        <w:t>’</w:t>
      </w:r>
      <w:r>
        <w:t xml:space="preserve">actes de </w:t>
      </w:r>
      <w:r w:rsidRPr="00BF6602">
        <w:t>violence</w:t>
      </w:r>
      <w:r>
        <w:t xml:space="preserve"> contre ces personnes et de l</w:t>
      </w:r>
      <w:r w:rsidR="00CA0C03">
        <w:t>’</w:t>
      </w:r>
      <w:r>
        <w:t>absence d</w:t>
      </w:r>
      <w:r w:rsidR="00CA0C03">
        <w:t>’</w:t>
      </w:r>
      <w:r>
        <w:t>enquêtes et de poursuites efficaces. Il s</w:t>
      </w:r>
      <w:r w:rsidR="00CA0C03">
        <w:t>’</w:t>
      </w:r>
      <w:r>
        <w:t>inquiète en particulier de ce que les atteintes aux droits de l</w:t>
      </w:r>
      <w:r w:rsidR="00CA0C03">
        <w:t>’</w:t>
      </w:r>
      <w:r>
        <w:t>homme qui se sont produites durant les marches des fiertés de Budva et Podgorica n</w:t>
      </w:r>
      <w:r w:rsidR="00CA0C03">
        <w:t>’</w:t>
      </w:r>
      <w:r>
        <w:t>ont pas donné lieu à des enquêtes approfondies (art. 2 et 26).</w:t>
      </w:r>
    </w:p>
    <w:p w:rsidR="00830DCB" w:rsidRPr="00EC403F" w:rsidRDefault="00830DCB" w:rsidP="00412DDB">
      <w:pPr>
        <w:pStyle w:val="SingleTxtG"/>
        <w:spacing w:after="100"/>
        <w:rPr>
          <w:b/>
        </w:rPr>
      </w:pPr>
      <w:r w:rsidRPr="00EC403F">
        <w:rPr>
          <w:b/>
        </w:rPr>
        <w:t>L</w:t>
      </w:r>
      <w:r w:rsidR="00CA0C03">
        <w:rPr>
          <w:b/>
        </w:rPr>
        <w:t>’</w:t>
      </w:r>
      <w:r w:rsidRPr="00EC403F">
        <w:rPr>
          <w:b/>
        </w:rPr>
        <w:t>État partie devrait redoubler d</w:t>
      </w:r>
      <w:r w:rsidR="00CA0C03">
        <w:rPr>
          <w:b/>
        </w:rPr>
        <w:t>’</w:t>
      </w:r>
      <w:r w:rsidRPr="00EC403F">
        <w:rPr>
          <w:b/>
        </w:rPr>
        <w:t>efforts pour lutter contre les stéréotypes et les préjugés à l</w:t>
      </w:r>
      <w:r w:rsidR="00CA0C03">
        <w:rPr>
          <w:b/>
        </w:rPr>
        <w:t>’</w:t>
      </w:r>
      <w:r>
        <w:rPr>
          <w:b/>
        </w:rPr>
        <w:t xml:space="preserve">égard </w:t>
      </w:r>
      <w:r w:rsidRPr="00EC403F">
        <w:rPr>
          <w:b/>
        </w:rPr>
        <w:t xml:space="preserve">des </w:t>
      </w:r>
      <w:r w:rsidRPr="00384247">
        <w:rPr>
          <w:b/>
        </w:rPr>
        <w:t>lesbiennes, des gays, des bisexuels et des transgenres</w:t>
      </w:r>
      <w:r w:rsidRPr="00EC403F">
        <w:rPr>
          <w:b/>
        </w:rPr>
        <w:t xml:space="preserve">, notamment en </w:t>
      </w:r>
      <w:r>
        <w:rPr>
          <w:b/>
        </w:rPr>
        <w:t>lançant</w:t>
      </w:r>
      <w:r w:rsidRPr="00EC403F">
        <w:rPr>
          <w:b/>
        </w:rPr>
        <w:t xml:space="preserve"> une campagne de sensibilisation à l</w:t>
      </w:r>
      <w:r w:rsidR="00CA0C03">
        <w:rPr>
          <w:b/>
        </w:rPr>
        <w:t>’</w:t>
      </w:r>
      <w:r w:rsidRPr="00EC403F">
        <w:rPr>
          <w:b/>
        </w:rPr>
        <w:t xml:space="preserve">intention du grand public et en dispensant une formation appropriée aux agents publics, de manière à mettre un terme à la stigmatisation sociale des </w:t>
      </w:r>
      <w:r w:rsidRPr="00384247">
        <w:rPr>
          <w:b/>
        </w:rPr>
        <w:t>lesbiennes, des gays, des bisexuels et des transgenres</w:t>
      </w:r>
      <w:r w:rsidRPr="00EC403F">
        <w:rPr>
          <w:b/>
        </w:rPr>
        <w:t xml:space="preserve">. Il </w:t>
      </w:r>
      <w:r>
        <w:rPr>
          <w:b/>
        </w:rPr>
        <w:t xml:space="preserve">devrait veiller à ce que tous les faits de violence contre des </w:t>
      </w:r>
      <w:r w:rsidRPr="00384247">
        <w:rPr>
          <w:b/>
        </w:rPr>
        <w:t>lesbiennes, des gays, des bisexuels et des transgenres</w:t>
      </w:r>
      <w:r w:rsidDel="00384247">
        <w:rPr>
          <w:b/>
        </w:rPr>
        <w:t xml:space="preserve"> fassent l</w:t>
      </w:r>
      <w:r w:rsidR="00CA0C03">
        <w:rPr>
          <w:b/>
        </w:rPr>
        <w:t>’</w:t>
      </w:r>
      <w:r w:rsidDel="00384247">
        <w:rPr>
          <w:b/>
        </w:rPr>
        <w:t>objet d</w:t>
      </w:r>
      <w:r w:rsidR="00CA0C03">
        <w:rPr>
          <w:b/>
        </w:rPr>
        <w:t>’</w:t>
      </w:r>
      <w:r>
        <w:rPr>
          <w:b/>
        </w:rPr>
        <w:t>enquêtes efficace et à ce que les auteurs de violence fondée sur le sexe soient poursuivis et punis.</w:t>
      </w:r>
    </w:p>
    <w:p w:rsidR="00830DCB" w:rsidRPr="003B08A1" w:rsidRDefault="00830DCB" w:rsidP="00412DDB">
      <w:pPr>
        <w:pStyle w:val="H23G"/>
        <w:spacing w:after="100"/>
      </w:pPr>
      <w:r w:rsidRPr="003B08A1">
        <w:tab/>
      </w:r>
      <w:r>
        <w:tab/>
        <w:t>Responsabilité pour les violations passées des droits de l</w:t>
      </w:r>
      <w:r w:rsidR="00CA0C03">
        <w:t>’</w:t>
      </w:r>
      <w:r>
        <w:t>homme</w:t>
      </w:r>
    </w:p>
    <w:p w:rsidR="00830DCB" w:rsidRDefault="00830DCB" w:rsidP="00412DDB">
      <w:pPr>
        <w:pStyle w:val="ParNoG"/>
        <w:numPr>
          <w:ilvl w:val="0"/>
          <w:numId w:val="5"/>
        </w:numPr>
        <w:spacing w:after="100"/>
      </w:pPr>
      <w:r w:rsidRPr="00611D18">
        <w:t xml:space="preserve">Le </w:t>
      </w:r>
      <w:r>
        <w:t>Comité est préoccupé par la persistance de l</w:t>
      </w:r>
      <w:r w:rsidR="00CA0C03">
        <w:t>’</w:t>
      </w:r>
      <w:r>
        <w:t>impunité des graves violations des droits de l</w:t>
      </w:r>
      <w:r w:rsidR="00CA0C03">
        <w:t>’</w:t>
      </w:r>
      <w:r>
        <w:t>homme commises pendant le conflit armé, dans les années </w:t>
      </w:r>
      <w:r w:rsidR="00866FE1">
        <w:t>19</w:t>
      </w:r>
      <w:r>
        <w:t>90. Il constate que les autorités de l</w:t>
      </w:r>
      <w:r w:rsidR="00CA0C03">
        <w:t>’</w:t>
      </w:r>
      <w:r>
        <w:t xml:space="preserve">État partie </w:t>
      </w:r>
      <w:r w:rsidRPr="00BF6602">
        <w:t>ont</w:t>
      </w:r>
      <w:r>
        <w:t xml:space="preserve"> mené des enquêtes sur ces crimes, mais regrette que seul un petit nombre d</w:t>
      </w:r>
      <w:r w:rsidR="00CA0C03">
        <w:t>’</w:t>
      </w:r>
      <w:r>
        <w:t>entre elles aient abouti à des poursuites et que des peines relativement légères, qui ne sont pas proportionnées à la gravité des crimes commis, aient été prononcées. Il est préoccupé en particulier par le verdict prononcé dans l</w:t>
      </w:r>
      <w:r w:rsidR="00CA0C03">
        <w:t>’</w:t>
      </w:r>
      <w:r>
        <w:t>affaire Bukovika, dans laquelle le tribunal a estimé que les actes perpétrés ne constituaient pas une infraction pénale au regard de la législation en vigueur lors de leur commission, et ce malgré l</w:t>
      </w:r>
      <w:r w:rsidR="00CA0C03">
        <w:t>’</w:t>
      </w:r>
      <w:r>
        <w:t>exception énoncée au paragraphe 2 de l</w:t>
      </w:r>
      <w:r w:rsidR="00CA0C03">
        <w:t>’</w:t>
      </w:r>
      <w:r>
        <w:t>article 15 du Pacte. Il regrette aussi que le sort réservé à 61 personnes portées disparues durant la guerre et le lieu où elles se trouvent ne soient toujours pas connus (art. 2, 6 et 7).</w:t>
      </w:r>
    </w:p>
    <w:p w:rsidR="00830DCB" w:rsidRPr="008B727C" w:rsidRDefault="00830DCB" w:rsidP="00412DDB">
      <w:pPr>
        <w:pStyle w:val="SingleTxtG"/>
        <w:spacing w:after="100"/>
        <w:rPr>
          <w:b/>
        </w:rPr>
      </w:pPr>
      <w:r w:rsidRPr="008B727C">
        <w:rPr>
          <w:b/>
        </w:rPr>
        <w:t>Le Comité rappelle que l</w:t>
      </w:r>
      <w:r w:rsidR="00CA0C03">
        <w:rPr>
          <w:b/>
        </w:rPr>
        <w:t>’</w:t>
      </w:r>
      <w:r w:rsidRPr="008B727C">
        <w:rPr>
          <w:b/>
        </w:rPr>
        <w:t>État partie a l</w:t>
      </w:r>
      <w:r w:rsidR="00CA0C03">
        <w:rPr>
          <w:b/>
        </w:rPr>
        <w:t>’</w:t>
      </w:r>
      <w:r w:rsidRPr="008B727C">
        <w:rPr>
          <w:b/>
        </w:rPr>
        <w:t>obligation d</w:t>
      </w:r>
      <w:r w:rsidR="00CA0C03">
        <w:rPr>
          <w:b/>
        </w:rPr>
        <w:t>’</w:t>
      </w:r>
      <w:r w:rsidRPr="008B727C">
        <w:rPr>
          <w:b/>
        </w:rPr>
        <w:t>enquêter de manière approfondie sur toutes les affaires de violations présumées des articles 6 et 7 du Pac</w:t>
      </w:r>
      <w:r>
        <w:rPr>
          <w:b/>
        </w:rPr>
        <w:t>te, et que l</w:t>
      </w:r>
      <w:r w:rsidR="00CA0C03">
        <w:rPr>
          <w:b/>
        </w:rPr>
        <w:t>’</w:t>
      </w:r>
      <w:r>
        <w:rPr>
          <w:b/>
        </w:rPr>
        <w:t>article 15 permet</w:t>
      </w:r>
      <w:r w:rsidRPr="008B727C">
        <w:rPr>
          <w:b/>
        </w:rPr>
        <w:t xml:space="preserve"> à l</w:t>
      </w:r>
      <w:r w:rsidR="00CA0C03">
        <w:rPr>
          <w:b/>
        </w:rPr>
        <w:t>’</w:t>
      </w:r>
      <w:r w:rsidRPr="008B727C">
        <w:rPr>
          <w:b/>
        </w:rPr>
        <w:t>État partie d</w:t>
      </w:r>
      <w:r w:rsidR="00CA0C03">
        <w:rPr>
          <w:b/>
        </w:rPr>
        <w:t>’</w:t>
      </w:r>
      <w:r w:rsidRPr="008B727C">
        <w:rPr>
          <w:b/>
        </w:rPr>
        <w:t>appliquer de manière rétroactive des lois pénales afin de traduire en justice les re</w:t>
      </w:r>
      <w:r>
        <w:rPr>
          <w:b/>
        </w:rPr>
        <w:t>sponsables de ces violations</w:t>
      </w:r>
      <w:r w:rsidRPr="008B727C">
        <w:rPr>
          <w:b/>
        </w:rPr>
        <w:t xml:space="preserve"> dès lors que les actes en question, </w:t>
      </w:r>
      <w:r>
        <w:rPr>
          <w:b/>
        </w:rPr>
        <w:t>au moment où ils ont été commis,</w:t>
      </w:r>
      <w:r w:rsidRPr="008B727C" w:rsidDel="00384247">
        <w:rPr>
          <w:b/>
        </w:rPr>
        <w:t xml:space="preserve"> étaient tenus pour </w:t>
      </w:r>
      <w:r w:rsidRPr="008B727C">
        <w:rPr>
          <w:b/>
        </w:rPr>
        <w:t>criminels</w:t>
      </w:r>
      <w:r>
        <w:rPr>
          <w:b/>
        </w:rPr>
        <w:t xml:space="preserve"> </w:t>
      </w:r>
      <w:r w:rsidRPr="008B727C" w:rsidDel="00384247">
        <w:rPr>
          <w:b/>
        </w:rPr>
        <w:t>d</w:t>
      </w:r>
      <w:r w:rsidR="00CA0C03">
        <w:rPr>
          <w:b/>
        </w:rPr>
        <w:t>’</w:t>
      </w:r>
      <w:r w:rsidRPr="008B727C" w:rsidDel="00384247">
        <w:rPr>
          <w:b/>
        </w:rPr>
        <w:t>après l</w:t>
      </w:r>
      <w:r w:rsidRPr="008B727C">
        <w:rPr>
          <w:b/>
        </w:rPr>
        <w:t>es principes généraux de droit reconnus par l</w:t>
      </w:r>
      <w:r w:rsidR="00CA0C03">
        <w:rPr>
          <w:b/>
        </w:rPr>
        <w:t>’</w:t>
      </w:r>
      <w:r w:rsidRPr="008B727C">
        <w:rPr>
          <w:b/>
        </w:rPr>
        <w:t>ensemble</w:t>
      </w:r>
      <w:r>
        <w:rPr>
          <w:b/>
        </w:rPr>
        <w:t xml:space="preserve"> des nations</w:t>
      </w:r>
      <w:r w:rsidRPr="008B727C">
        <w:rPr>
          <w:b/>
        </w:rPr>
        <w:t>. L</w:t>
      </w:r>
      <w:r w:rsidR="00CA0C03">
        <w:rPr>
          <w:b/>
        </w:rPr>
        <w:t>’</w:t>
      </w:r>
      <w:r w:rsidRPr="008B727C">
        <w:rPr>
          <w:b/>
        </w:rPr>
        <w:t>État partie devrait prendre des mesures immédiates et effectives pour mener des enquêtes sur tous les cas non résolus de personnes disparues et traduire les auteurs en justice. Il devrait veiller à ce que les parents de personnes disparues aient accès aux informations concernant le sort réservé aux victimes.</w:t>
      </w:r>
    </w:p>
    <w:p w:rsidR="00830DCB" w:rsidRPr="003B08A1" w:rsidRDefault="00830DCB" w:rsidP="00830DCB">
      <w:pPr>
        <w:pStyle w:val="H23G"/>
      </w:pPr>
      <w:r w:rsidRPr="003B08A1">
        <w:tab/>
      </w:r>
      <w:r>
        <w:tab/>
        <w:t>Non-discrimination et égalité entre les hommes et les femmes</w:t>
      </w:r>
    </w:p>
    <w:p w:rsidR="00830DCB" w:rsidRDefault="00830DCB" w:rsidP="00830DCB">
      <w:pPr>
        <w:pStyle w:val="ParNoG"/>
        <w:numPr>
          <w:ilvl w:val="0"/>
          <w:numId w:val="5"/>
        </w:numPr>
      </w:pPr>
      <w:r>
        <w:t>Le Comité prend note avec satisfaction de l</w:t>
      </w:r>
      <w:r w:rsidR="00CA0C03">
        <w:t>’</w:t>
      </w:r>
      <w:r>
        <w:t>adoption du Plan d</w:t>
      </w:r>
      <w:r w:rsidR="00CA0C03">
        <w:t>’</w:t>
      </w:r>
      <w:r>
        <w:t>action pour l</w:t>
      </w:r>
      <w:r w:rsidR="00CA0C03">
        <w:t>’</w:t>
      </w:r>
      <w:r>
        <w:t>égalité des sexes pour 2013</w:t>
      </w:r>
      <w:r w:rsidR="00CA0C03">
        <w:t>-</w:t>
      </w:r>
      <w:r>
        <w:t>2017 et de la loi portant modification de la loi relative à l</w:t>
      </w:r>
      <w:r w:rsidR="00CA0C03">
        <w:t>’</w:t>
      </w:r>
      <w:r>
        <w:t>élection des conseillers et des députés (21 mars</w:t>
      </w:r>
      <w:r w:rsidR="00CA0C03">
        <w:t xml:space="preserve"> </w:t>
      </w:r>
      <w:r>
        <w:t xml:space="preserve">2014), mais il constate avec préoccupation que les femmes demeurent sous-représentées </w:t>
      </w:r>
      <w:r w:rsidDel="00384247">
        <w:t xml:space="preserve">dans les </w:t>
      </w:r>
      <w:r>
        <w:t>postes élevés et les postes de prise de décisions du secteur public, notamment dans l</w:t>
      </w:r>
      <w:r w:rsidR="00CA0C03">
        <w:t>’</w:t>
      </w:r>
      <w:r>
        <w:t>appareil judiciaire (art. 2, 3 et 26).</w:t>
      </w:r>
    </w:p>
    <w:p w:rsidR="00830DCB" w:rsidRPr="005F79AE" w:rsidRDefault="00830DCB" w:rsidP="00830DCB">
      <w:pPr>
        <w:pStyle w:val="SingleTxtG"/>
        <w:rPr>
          <w:b/>
        </w:rPr>
      </w:pPr>
      <w:r w:rsidRPr="005F79AE">
        <w:rPr>
          <w:b/>
        </w:rPr>
        <w:t>L</w:t>
      </w:r>
      <w:r w:rsidR="00CA0C03">
        <w:rPr>
          <w:b/>
        </w:rPr>
        <w:t>’</w:t>
      </w:r>
      <w:r w:rsidRPr="005F79AE">
        <w:rPr>
          <w:b/>
        </w:rPr>
        <w:t>État partie devrait redoubler d</w:t>
      </w:r>
      <w:r w:rsidR="00CA0C03">
        <w:rPr>
          <w:b/>
        </w:rPr>
        <w:t>’</w:t>
      </w:r>
      <w:r w:rsidRPr="005F79AE">
        <w:rPr>
          <w:b/>
        </w:rPr>
        <w:t xml:space="preserve">efforts pour accroître la représentation des </w:t>
      </w:r>
      <w:r>
        <w:rPr>
          <w:b/>
        </w:rPr>
        <w:t>femmes dans le secteur public, si nécessaire</w:t>
      </w:r>
      <w:r w:rsidRPr="005F79AE">
        <w:rPr>
          <w:b/>
        </w:rPr>
        <w:t xml:space="preserve"> en adoptant les mesures temporaires spéciales requises pour donner effet aux dispositions du Pacte.</w:t>
      </w:r>
    </w:p>
    <w:p w:rsidR="00830DCB" w:rsidRPr="00026AE3" w:rsidRDefault="00830DCB" w:rsidP="00830DCB">
      <w:pPr>
        <w:pStyle w:val="H23G"/>
      </w:pPr>
      <w:r>
        <w:tab/>
      </w:r>
      <w:r>
        <w:tab/>
        <w:t>Violence à l</w:t>
      </w:r>
      <w:r w:rsidR="00CA0C03">
        <w:t>’</w:t>
      </w:r>
      <w:r>
        <w:t>égard des femmes</w:t>
      </w:r>
    </w:p>
    <w:p w:rsidR="00830DCB" w:rsidRDefault="00830DCB" w:rsidP="00830DCB">
      <w:pPr>
        <w:pStyle w:val="ParNoG"/>
        <w:numPr>
          <w:ilvl w:val="0"/>
          <w:numId w:val="5"/>
        </w:numPr>
      </w:pPr>
      <w:r>
        <w:t xml:space="preserve">Le Comité prend note des modifications apportées en 2013 au Code pénal, qui ont introduit de nouvelles mesures de sécurité visant à protéger les femmes de la violence familiale, mais il constate avec préoccupation </w:t>
      </w:r>
      <w:r w:rsidDel="00384247">
        <w:t xml:space="preserve">que des cas </w:t>
      </w:r>
      <w:r>
        <w:t>de violence sexiste, de harcèlement sexuel et de violence familiale contre des</w:t>
      </w:r>
      <w:r w:rsidR="00CA0C03">
        <w:t xml:space="preserve"> </w:t>
      </w:r>
      <w:r>
        <w:t>femmes et des enfants continuent d</w:t>
      </w:r>
      <w:r w:rsidR="00CA0C03">
        <w:t>’</w:t>
      </w:r>
      <w:r>
        <w:t>être signalés dans l</w:t>
      </w:r>
      <w:r w:rsidR="00CA0C03">
        <w:t>’</w:t>
      </w:r>
      <w:r>
        <w:t xml:space="preserve">État partie. Il est particulièrement préoccupé par les informations indiquant que les enquêtes et les poursuites engagées dans ces affaires sont insuffisantes et que des sentences clémentes sont </w:t>
      </w:r>
      <w:r w:rsidDel="00384247">
        <w:t>prononcées contre les</w:t>
      </w:r>
      <w:r>
        <w:t xml:space="preserve"> auteurs. Enfin, il est préoccupé par l</w:t>
      </w:r>
      <w:r w:rsidR="00CA0C03">
        <w:t>’</w:t>
      </w:r>
      <w:r>
        <w:t>insuffisance du nombre de foyers pour les victimes de violence familiale (art. 3, 7 et 24).</w:t>
      </w:r>
    </w:p>
    <w:p w:rsidR="00830DCB" w:rsidRPr="005A2F67" w:rsidRDefault="00830DCB" w:rsidP="00830DCB">
      <w:pPr>
        <w:pStyle w:val="SingleTxtG"/>
        <w:rPr>
          <w:b/>
        </w:rPr>
      </w:pPr>
      <w:r w:rsidRPr="005A2F67">
        <w:rPr>
          <w:b/>
        </w:rPr>
        <w:t>L</w:t>
      </w:r>
      <w:r w:rsidR="00CA0C03">
        <w:rPr>
          <w:b/>
        </w:rPr>
        <w:t>’</w:t>
      </w:r>
      <w:r w:rsidRPr="005A2F67">
        <w:rPr>
          <w:b/>
        </w:rPr>
        <w:t>État partie devrai</w:t>
      </w:r>
      <w:r>
        <w:rPr>
          <w:b/>
        </w:rPr>
        <w:t>t adopter</w:t>
      </w:r>
      <w:r w:rsidRPr="005A2F67">
        <w:rPr>
          <w:b/>
        </w:rPr>
        <w:t xml:space="preserve"> une approche globale pour prévenir la violence sexiste, sous toutes ses formes et </w:t>
      </w:r>
      <w:r>
        <w:rPr>
          <w:b/>
        </w:rPr>
        <w:t>quelles qu</w:t>
      </w:r>
      <w:r w:rsidR="00CA0C03">
        <w:rPr>
          <w:b/>
        </w:rPr>
        <w:t>’</w:t>
      </w:r>
      <w:r>
        <w:rPr>
          <w:b/>
        </w:rPr>
        <w:t xml:space="preserve">en soient les </w:t>
      </w:r>
      <w:r w:rsidRPr="005A2F67">
        <w:rPr>
          <w:b/>
        </w:rPr>
        <w:t>manifestations</w:t>
      </w:r>
      <w:r>
        <w:rPr>
          <w:b/>
        </w:rPr>
        <w:t>,</w:t>
      </w:r>
      <w:r w:rsidRPr="005A2F67">
        <w:rPr>
          <w:b/>
        </w:rPr>
        <w:t xml:space="preserve"> et lutter contre ce phénomène. À</w:t>
      </w:r>
      <w:r w:rsidR="00CA0C03">
        <w:rPr>
          <w:b/>
        </w:rPr>
        <w:t xml:space="preserve"> </w:t>
      </w:r>
      <w:r w:rsidRPr="005A2F67">
        <w:rPr>
          <w:b/>
        </w:rPr>
        <w:t>cet égard, il devrait intensifier les mesures qu</w:t>
      </w:r>
      <w:r w:rsidR="00CA0C03">
        <w:rPr>
          <w:b/>
        </w:rPr>
        <w:t>’</w:t>
      </w:r>
      <w:r w:rsidRPr="005A2F67">
        <w:rPr>
          <w:b/>
        </w:rPr>
        <w:t xml:space="preserve">il prend pour sensibiliser la police, les magistrats, les procureurs, les représentants des communautés, les femmes et les hommes </w:t>
      </w:r>
      <w:r>
        <w:rPr>
          <w:b/>
        </w:rPr>
        <w:t xml:space="preserve">à </w:t>
      </w:r>
      <w:r w:rsidRPr="005A2F67">
        <w:rPr>
          <w:b/>
        </w:rPr>
        <w:t>la gravité de la violence familiale et à ses effets préjudiciables sur la vie des victimes. Il devrait veiller à ce que les affaires de violence familiale donnent lieu à des enquêtes approfondies</w:t>
      </w:r>
      <w:r>
        <w:rPr>
          <w:b/>
        </w:rPr>
        <w:t>,</w:t>
      </w:r>
      <w:r w:rsidRPr="005A2F67">
        <w:rPr>
          <w:b/>
        </w:rPr>
        <w:t xml:space="preserve"> que les auteurs soient poursuivis et, s</w:t>
      </w:r>
      <w:r w:rsidR="00CA0C03">
        <w:rPr>
          <w:b/>
        </w:rPr>
        <w:t>’</w:t>
      </w:r>
      <w:r w:rsidRPr="005A2F67">
        <w:rPr>
          <w:b/>
        </w:rPr>
        <w:t>ils sont reconnus coupables, punis de peines appropriées</w:t>
      </w:r>
      <w:r>
        <w:rPr>
          <w:b/>
        </w:rPr>
        <w:t>,</w:t>
      </w:r>
      <w:r w:rsidRPr="005A2F67">
        <w:rPr>
          <w:b/>
        </w:rPr>
        <w:t xml:space="preserve"> et que les victimes soient correctement indemnisées. Il devrait également </w:t>
      </w:r>
      <w:r>
        <w:rPr>
          <w:b/>
        </w:rPr>
        <w:t>veiller à ce qu</w:t>
      </w:r>
      <w:r w:rsidR="00CA0C03">
        <w:rPr>
          <w:b/>
        </w:rPr>
        <w:t>’</w:t>
      </w:r>
      <w:r>
        <w:rPr>
          <w:b/>
        </w:rPr>
        <w:t>il existe</w:t>
      </w:r>
      <w:r w:rsidRPr="005A2F67">
        <w:rPr>
          <w:b/>
        </w:rPr>
        <w:t xml:space="preserve"> un nombre suffisant de foyers </w:t>
      </w:r>
      <w:r>
        <w:rPr>
          <w:b/>
        </w:rPr>
        <w:t>dotés</w:t>
      </w:r>
      <w:r w:rsidRPr="005A2F67">
        <w:rPr>
          <w:b/>
        </w:rPr>
        <w:t xml:space="preserve"> des ressources </w:t>
      </w:r>
      <w:r w:rsidDel="00384247">
        <w:rPr>
          <w:b/>
        </w:rPr>
        <w:t>nécessaires</w:t>
      </w:r>
      <w:r w:rsidRPr="005A2F67">
        <w:rPr>
          <w:b/>
        </w:rPr>
        <w:t>.</w:t>
      </w:r>
    </w:p>
    <w:p w:rsidR="00830DCB" w:rsidRPr="00026AE3" w:rsidRDefault="00830DCB" w:rsidP="00830DCB">
      <w:pPr>
        <w:pStyle w:val="H23G"/>
      </w:pPr>
      <w:r>
        <w:tab/>
      </w:r>
      <w:r>
        <w:tab/>
        <w:t>Interdiction de la torture et des mauvais traitements</w:t>
      </w:r>
    </w:p>
    <w:p w:rsidR="00830DCB" w:rsidRDefault="00830DCB" w:rsidP="00830DCB">
      <w:pPr>
        <w:pStyle w:val="ParNoG"/>
        <w:numPr>
          <w:ilvl w:val="0"/>
          <w:numId w:val="5"/>
        </w:numPr>
      </w:pPr>
      <w:r>
        <w:t>Le Comité prend note avec satisfaction des mesures que l</w:t>
      </w:r>
      <w:r w:rsidR="00CA0C03">
        <w:t>’</w:t>
      </w:r>
      <w:r>
        <w:t xml:space="preserve">État partie a prises pour prévenir et réprimer les faits de torture et de mauvais traitements commis par des agents de la force publique, mais il est préoccupé par le </w:t>
      </w:r>
      <w:r w:rsidRPr="00DD38AB">
        <w:t>grand</w:t>
      </w:r>
      <w:r>
        <w:t xml:space="preserve"> nombre de cas signalés de mauvais traitements dans les centres de détention et le faible nombre de poursuites engagées dans ces affaires (art. 7 et 10).</w:t>
      </w:r>
    </w:p>
    <w:p w:rsidR="00830DCB" w:rsidRPr="00DD38AB" w:rsidRDefault="00830DCB" w:rsidP="00830DCB">
      <w:pPr>
        <w:pStyle w:val="SingleTxtG"/>
        <w:rPr>
          <w:b/>
        </w:rPr>
      </w:pPr>
      <w:r w:rsidRPr="00DD38AB">
        <w:rPr>
          <w:b/>
        </w:rPr>
        <w:t>L</w:t>
      </w:r>
      <w:r w:rsidR="00CA0C03">
        <w:rPr>
          <w:b/>
        </w:rPr>
        <w:t>’</w:t>
      </w:r>
      <w:r w:rsidRPr="00DD38AB">
        <w:rPr>
          <w:b/>
        </w:rPr>
        <w:t xml:space="preserve">État partie devrait </w:t>
      </w:r>
      <w:r w:rsidRPr="00DD38AB" w:rsidDel="00384247">
        <w:rPr>
          <w:b/>
        </w:rPr>
        <w:t xml:space="preserve">créer un mécanisme </w:t>
      </w:r>
      <w:r w:rsidRPr="00DD38AB">
        <w:rPr>
          <w:b/>
        </w:rPr>
        <w:t>chargé d</w:t>
      </w:r>
      <w:r w:rsidR="00CA0C03">
        <w:rPr>
          <w:b/>
        </w:rPr>
        <w:t>’</w:t>
      </w:r>
      <w:r w:rsidRPr="00DD38AB">
        <w:rPr>
          <w:b/>
        </w:rPr>
        <w:t xml:space="preserve">examiner les allégations de mauvais traitements ou renforcer le mécanisme déjà existant. À cet égard, il devrait veiller à ce que les agents de la force publique reçoivent une formation </w:t>
      </w:r>
      <w:r>
        <w:rPr>
          <w:b/>
        </w:rPr>
        <w:t>au sujet d</w:t>
      </w:r>
      <w:r w:rsidRPr="00DD38AB">
        <w:rPr>
          <w:b/>
        </w:rPr>
        <w:t>es</w:t>
      </w:r>
      <w:r w:rsidR="00CA0C03">
        <w:rPr>
          <w:b/>
        </w:rPr>
        <w:t xml:space="preserve"> </w:t>
      </w:r>
      <w:r w:rsidRPr="00DD38AB">
        <w:rPr>
          <w:b/>
        </w:rPr>
        <w:t>enquêtes sur la torture et les mauvais traitements, en intégrant le Manuel pour enquêter efficacement sur la torture et autres peines ou traitements cruels, inhumains ou dégradants (Protocole d</w:t>
      </w:r>
      <w:r w:rsidR="00CA0C03">
        <w:rPr>
          <w:b/>
        </w:rPr>
        <w:t>’</w:t>
      </w:r>
      <w:r w:rsidRPr="00DD38AB">
        <w:rPr>
          <w:b/>
        </w:rPr>
        <w:t xml:space="preserve">Istanbul) </w:t>
      </w:r>
      <w:r>
        <w:rPr>
          <w:b/>
        </w:rPr>
        <w:t>à</w:t>
      </w:r>
      <w:r w:rsidRPr="00DD38AB">
        <w:rPr>
          <w:b/>
        </w:rPr>
        <w:t xml:space="preserve"> tous les programmes de formation des représentants de l</w:t>
      </w:r>
      <w:r w:rsidR="00CA0C03">
        <w:rPr>
          <w:b/>
        </w:rPr>
        <w:t>’</w:t>
      </w:r>
      <w:r w:rsidRPr="00DD38AB">
        <w:rPr>
          <w:b/>
        </w:rPr>
        <w:t xml:space="preserve">ordre. Il devrait veiller à ce que les allégations de mauvais traitements donnent effectivement lieu à des enquêtes, que les auteurs </w:t>
      </w:r>
      <w:r>
        <w:rPr>
          <w:b/>
        </w:rPr>
        <w:t>présum</w:t>
      </w:r>
      <w:r w:rsidRPr="00DD38AB">
        <w:rPr>
          <w:b/>
        </w:rPr>
        <w:t>és de ces actes soient poursuivis et, s</w:t>
      </w:r>
      <w:r w:rsidR="00CA0C03">
        <w:rPr>
          <w:b/>
        </w:rPr>
        <w:t>’</w:t>
      </w:r>
      <w:r w:rsidRPr="00DD38AB">
        <w:rPr>
          <w:b/>
        </w:rPr>
        <w:t xml:space="preserve">ils sont reconnus coupables, </w:t>
      </w:r>
      <w:r>
        <w:rPr>
          <w:b/>
        </w:rPr>
        <w:t>punis de</w:t>
      </w:r>
      <w:r w:rsidRPr="00DD38AB">
        <w:rPr>
          <w:b/>
        </w:rPr>
        <w:t xml:space="preserve"> sanctions proportionnées à la gravité </w:t>
      </w:r>
      <w:r>
        <w:rPr>
          <w:b/>
        </w:rPr>
        <w:t>de l</w:t>
      </w:r>
      <w:r w:rsidR="00CA0C03">
        <w:rPr>
          <w:b/>
        </w:rPr>
        <w:t>’</w:t>
      </w:r>
      <w:r>
        <w:rPr>
          <w:b/>
        </w:rPr>
        <w:t>infraction</w:t>
      </w:r>
      <w:r w:rsidRPr="00DD38AB">
        <w:rPr>
          <w:b/>
        </w:rPr>
        <w:t>, et que les victimes soient correctement indemnisées.</w:t>
      </w:r>
    </w:p>
    <w:p w:rsidR="00830DCB" w:rsidRPr="00026AE3" w:rsidRDefault="00830DCB" w:rsidP="00830DCB">
      <w:pPr>
        <w:pStyle w:val="H23G"/>
      </w:pPr>
      <w:r>
        <w:tab/>
      </w:r>
      <w:r>
        <w:tab/>
        <w:t>Châtiments corporels</w:t>
      </w:r>
    </w:p>
    <w:p w:rsidR="00830DCB" w:rsidRDefault="00830DCB" w:rsidP="00830DCB">
      <w:pPr>
        <w:pStyle w:val="ParNoG"/>
        <w:numPr>
          <w:ilvl w:val="0"/>
          <w:numId w:val="5"/>
        </w:numPr>
      </w:pPr>
      <w:r>
        <w:t>Le Comité note que la loi interdit la violence à l</w:t>
      </w:r>
      <w:r w:rsidR="00CA0C03">
        <w:t>’</w:t>
      </w:r>
      <w:r>
        <w:t>égard des enfants et les châtiments corporels dans les écoles et quelques milieux institutionnels, mais il constate que les châtiments corporels constituent toujours un sujet de préoccupation, en particulier dans la famille où ils continuent d</w:t>
      </w:r>
      <w:r w:rsidR="00CA0C03">
        <w:t>’</w:t>
      </w:r>
      <w:r>
        <w:t>être traditionnellement acceptés et pratiqués comme une forme de discipline par les parents et les tuteurs (art. 7 et 24).</w:t>
      </w:r>
    </w:p>
    <w:p w:rsidR="00830DCB" w:rsidRDefault="00830DCB" w:rsidP="00830DCB">
      <w:pPr>
        <w:pStyle w:val="SingleTxtG"/>
        <w:rPr>
          <w:b/>
        </w:rPr>
      </w:pPr>
      <w:r>
        <w:rPr>
          <w:b/>
        </w:rPr>
        <w:t>L</w:t>
      </w:r>
      <w:r w:rsidR="00CA0C03">
        <w:rPr>
          <w:b/>
        </w:rPr>
        <w:t>’</w:t>
      </w:r>
      <w:r>
        <w:rPr>
          <w:b/>
        </w:rPr>
        <w:t>État partie devrait adopter des mesures concrètes, y compris par l</w:t>
      </w:r>
      <w:r w:rsidR="00CA0C03">
        <w:rPr>
          <w:b/>
        </w:rPr>
        <w:t>’</w:t>
      </w:r>
      <w:r>
        <w:rPr>
          <w:b/>
        </w:rPr>
        <w:t>intermédiaire de dispositions législatives s</w:t>
      </w:r>
      <w:r w:rsidR="00CA0C03">
        <w:rPr>
          <w:b/>
        </w:rPr>
        <w:t>’</w:t>
      </w:r>
      <w:r>
        <w:rPr>
          <w:b/>
        </w:rPr>
        <w:t>il y a lieu, pour mettre un terme aux châtiments corporels dans tous les contextes. Il devrait encourager les formes non violentes de discipline comme mesures de substitution aux châtiments corporels, et mener des campagnes d</w:t>
      </w:r>
      <w:r w:rsidR="00CA0C03">
        <w:rPr>
          <w:b/>
        </w:rPr>
        <w:t>’</w:t>
      </w:r>
      <w:r>
        <w:rPr>
          <w:b/>
        </w:rPr>
        <w:t>information pour sensibiliser le public aux effets néfastes de ces châtiments.</w:t>
      </w:r>
    </w:p>
    <w:p w:rsidR="00830DCB" w:rsidRPr="00C279F1" w:rsidRDefault="00830DCB" w:rsidP="00830DCB">
      <w:pPr>
        <w:pStyle w:val="H23G"/>
      </w:pPr>
      <w:r>
        <w:tab/>
      </w:r>
      <w:r w:rsidRPr="00C279F1">
        <w:tab/>
        <w:t>Traite des personnes</w:t>
      </w:r>
    </w:p>
    <w:p w:rsidR="00830DCB" w:rsidRPr="00C279F1" w:rsidRDefault="00830DCB" w:rsidP="00830DCB">
      <w:pPr>
        <w:pStyle w:val="ParNoG"/>
        <w:numPr>
          <w:ilvl w:val="0"/>
          <w:numId w:val="5"/>
        </w:numPr>
      </w:pPr>
      <w:r w:rsidRPr="00C279F1">
        <w:t xml:space="preserve">Le Comité </w:t>
      </w:r>
      <w:r w:rsidRPr="00FC129C">
        <w:t>prend</w:t>
      </w:r>
      <w:r w:rsidRPr="00C279F1">
        <w:t xml:space="preserve"> acte des progrès réalisés dans la lutte contre la traite des personnes, mais s</w:t>
      </w:r>
      <w:r w:rsidR="00CA0C03">
        <w:t>’</w:t>
      </w:r>
      <w:r w:rsidRPr="00C279F1">
        <w:t>inquiète de l</w:t>
      </w:r>
      <w:r w:rsidR="00CA0C03">
        <w:t>’</w:t>
      </w:r>
      <w:r w:rsidRPr="00C279F1">
        <w:t>importance de ce phénomène, en particulier en ce qui concerne les</w:t>
      </w:r>
      <w:r w:rsidR="00CA0C03">
        <w:t xml:space="preserve"> </w:t>
      </w:r>
      <w:r>
        <w:t>filles et les femmes roms, ashk</w:t>
      </w:r>
      <w:r w:rsidRPr="00C279F1">
        <w:t>ali</w:t>
      </w:r>
      <w:r>
        <w:t>e</w:t>
      </w:r>
      <w:r w:rsidRPr="00C279F1">
        <w:t xml:space="preserve">s et égyptiennes. Il est aussi préoccupé par le faible nombre de poursuites engagées et par </w:t>
      </w:r>
      <w:r>
        <w:t xml:space="preserve">la clémence des sentences prononcées contre les </w:t>
      </w:r>
      <w:r w:rsidRPr="00C279F1">
        <w:t>auteurs (art. 8).</w:t>
      </w:r>
    </w:p>
    <w:p w:rsidR="00830DCB" w:rsidRPr="00686160" w:rsidRDefault="00830DCB" w:rsidP="00830DCB">
      <w:pPr>
        <w:pStyle w:val="SingleTxtG"/>
        <w:rPr>
          <w:b/>
          <w:spacing w:val="-2"/>
        </w:rPr>
      </w:pPr>
      <w:r w:rsidRPr="00686160">
        <w:rPr>
          <w:b/>
          <w:spacing w:val="-2"/>
        </w:rPr>
        <w:t>L</w:t>
      </w:r>
      <w:r w:rsidR="00CA0C03">
        <w:rPr>
          <w:b/>
          <w:spacing w:val="-2"/>
        </w:rPr>
        <w:t>’</w:t>
      </w:r>
      <w:r w:rsidRPr="00686160">
        <w:rPr>
          <w:b/>
          <w:spacing w:val="-2"/>
        </w:rPr>
        <w:t xml:space="preserve">État partie devrait poursuivre résolument sa politique de lutte contre la traite, en particulier la traite </w:t>
      </w:r>
      <w:r>
        <w:rPr>
          <w:b/>
          <w:spacing w:val="-2"/>
        </w:rPr>
        <w:t>des femmes et filles roms, ashk</w:t>
      </w:r>
      <w:r w:rsidRPr="00686160">
        <w:rPr>
          <w:b/>
          <w:spacing w:val="-2"/>
        </w:rPr>
        <w:t>ali</w:t>
      </w:r>
      <w:r>
        <w:rPr>
          <w:b/>
          <w:spacing w:val="-2"/>
        </w:rPr>
        <w:t>e</w:t>
      </w:r>
      <w:r w:rsidRPr="00686160">
        <w:rPr>
          <w:b/>
          <w:spacing w:val="-2"/>
        </w:rPr>
        <w:t>s et égyptiennes. Il devrait continuer de s</w:t>
      </w:r>
      <w:r w:rsidR="00CA0C03">
        <w:rPr>
          <w:b/>
          <w:spacing w:val="-2"/>
        </w:rPr>
        <w:t>’</w:t>
      </w:r>
      <w:r w:rsidRPr="00686160">
        <w:rPr>
          <w:b/>
          <w:spacing w:val="-2"/>
        </w:rPr>
        <w:t>efforcer de sensibiliser l</w:t>
      </w:r>
      <w:r w:rsidR="00CA0C03">
        <w:rPr>
          <w:b/>
          <w:spacing w:val="-2"/>
        </w:rPr>
        <w:t>’</w:t>
      </w:r>
      <w:r w:rsidRPr="00686160">
        <w:rPr>
          <w:b/>
          <w:spacing w:val="-2"/>
        </w:rPr>
        <w:t>opinion et de lutter contre la traite des personnes, y compris au niveau régional et en collaboration avec les pays voisins. Il devrait également assurer la formation des policiers, des gardes frontière, des juges, des avocats et autres personnels concernés pour mieux faire connaître le phénomène de la traite et les droits des victimes. Il devrait veiller à ce que tous les responsables de la traite des personnes soient poursuivis et punis de peines proportionnées à la gravité des infractions commises, et à ce que les victimes de la traite soient réinsérées.</w:t>
      </w:r>
    </w:p>
    <w:p w:rsidR="00830DCB" w:rsidRPr="00C279F1" w:rsidRDefault="00830DCB" w:rsidP="00830DCB">
      <w:pPr>
        <w:pStyle w:val="H23G"/>
      </w:pPr>
      <w:r w:rsidRPr="00C279F1">
        <w:tab/>
      </w:r>
      <w:r w:rsidRPr="00C279F1">
        <w:tab/>
      </w:r>
      <w:r w:rsidRPr="00FC129C">
        <w:t>Administration</w:t>
      </w:r>
      <w:r w:rsidRPr="00C279F1">
        <w:t xml:space="preserve"> de la justice</w:t>
      </w:r>
    </w:p>
    <w:p w:rsidR="00830DCB" w:rsidRPr="00C279F1" w:rsidRDefault="00830DCB" w:rsidP="00830DCB">
      <w:pPr>
        <w:pStyle w:val="ParNoG"/>
        <w:numPr>
          <w:ilvl w:val="0"/>
          <w:numId w:val="5"/>
        </w:numPr>
      </w:pPr>
      <w:r w:rsidRPr="00C279F1">
        <w:t>Le Comité salue l</w:t>
      </w:r>
      <w:r w:rsidR="00CA0C03">
        <w:t>’</w:t>
      </w:r>
      <w:r w:rsidRPr="00C279F1">
        <w:t>action menée par l</w:t>
      </w:r>
      <w:r w:rsidR="00CA0C03">
        <w:t>’</w:t>
      </w:r>
      <w:r w:rsidRPr="00C279F1">
        <w:t>État partie pour renforcer l</w:t>
      </w:r>
      <w:r w:rsidR="00CA0C03">
        <w:t>’</w:t>
      </w:r>
      <w:r w:rsidRPr="00C279F1">
        <w:t>indépendance du pouvoir judiciaire, mais il est préoccupé par les allégations d</w:t>
      </w:r>
      <w:r w:rsidR="00CA0C03">
        <w:t>’</w:t>
      </w:r>
      <w:r w:rsidRPr="00C279F1">
        <w:t xml:space="preserve">ingérence politique dans le système judiciaire. Il est particulièrement préoccupé par la procédure relative à la nomination et à la révocation des juges, </w:t>
      </w:r>
      <w:r>
        <w:t>notamment</w:t>
      </w:r>
      <w:r w:rsidRPr="00C279F1">
        <w:t xml:space="preserve"> dans les tribunaux correctionnels, et par le processus d</w:t>
      </w:r>
      <w:r w:rsidR="00CA0C03">
        <w:t>’</w:t>
      </w:r>
      <w:r w:rsidRPr="00C279F1">
        <w:t>allocation de fonds à l</w:t>
      </w:r>
      <w:r w:rsidR="00CA0C03">
        <w:t>’</w:t>
      </w:r>
      <w:r w:rsidRPr="00C279F1">
        <w:t>appareil judiciaire (art. 14).</w:t>
      </w:r>
    </w:p>
    <w:p w:rsidR="00830DCB" w:rsidRPr="000C5F96" w:rsidRDefault="00830DCB" w:rsidP="00830DCB">
      <w:pPr>
        <w:pStyle w:val="SingleTxtG"/>
        <w:rPr>
          <w:b/>
          <w:spacing w:val="-2"/>
        </w:rPr>
      </w:pPr>
      <w:r w:rsidRPr="000C5F96">
        <w:rPr>
          <w:b/>
          <w:spacing w:val="-2"/>
        </w:rPr>
        <w:t>L</w:t>
      </w:r>
      <w:r w:rsidR="00CA0C03">
        <w:rPr>
          <w:b/>
          <w:spacing w:val="-2"/>
        </w:rPr>
        <w:t>’</w:t>
      </w:r>
      <w:r w:rsidRPr="000C5F96">
        <w:rPr>
          <w:b/>
          <w:spacing w:val="-2"/>
        </w:rPr>
        <w:t>État partie devrait prendre des mesures pour consacrer l</w:t>
      </w:r>
      <w:r w:rsidR="00CA0C03">
        <w:rPr>
          <w:b/>
          <w:spacing w:val="-2"/>
        </w:rPr>
        <w:t>’</w:t>
      </w:r>
      <w:r w:rsidRPr="000C5F96">
        <w:rPr>
          <w:b/>
          <w:spacing w:val="-2"/>
        </w:rPr>
        <w:t>indépendance de la justice en faisant en sorte que la nomination et la révocation de magistrats obéissent à des critères objectifs de compétence et d</w:t>
      </w:r>
      <w:r w:rsidR="00CA0C03">
        <w:rPr>
          <w:b/>
          <w:spacing w:val="-2"/>
        </w:rPr>
        <w:t>’</w:t>
      </w:r>
      <w:r w:rsidRPr="000C5F96">
        <w:rPr>
          <w:b/>
          <w:spacing w:val="-2"/>
        </w:rPr>
        <w:t>indépendance. Il devrait aussi veiller à ce que l</w:t>
      </w:r>
      <w:r w:rsidR="00CA0C03">
        <w:rPr>
          <w:b/>
          <w:spacing w:val="-2"/>
        </w:rPr>
        <w:t>’</w:t>
      </w:r>
      <w:r w:rsidRPr="000C5F96">
        <w:rPr>
          <w:b/>
          <w:spacing w:val="-2"/>
        </w:rPr>
        <w:t>allocation des budgets ne nuise pas à l</w:t>
      </w:r>
      <w:r w:rsidR="00CA0C03">
        <w:rPr>
          <w:b/>
          <w:spacing w:val="-2"/>
        </w:rPr>
        <w:t>’</w:t>
      </w:r>
      <w:r w:rsidRPr="000C5F96">
        <w:rPr>
          <w:b/>
          <w:spacing w:val="-2"/>
        </w:rPr>
        <w:t>indépendance du pouvoir judiciaire.</w:t>
      </w:r>
    </w:p>
    <w:p w:rsidR="00830DCB" w:rsidRPr="00C279F1" w:rsidRDefault="00830DCB" w:rsidP="00830DCB">
      <w:pPr>
        <w:pStyle w:val="H23G"/>
      </w:pPr>
      <w:r w:rsidRPr="00C279F1">
        <w:tab/>
      </w:r>
      <w:r w:rsidRPr="00C279F1">
        <w:tab/>
        <w:t>Aide juridique gratuite</w:t>
      </w:r>
    </w:p>
    <w:p w:rsidR="00830DCB" w:rsidRPr="00C279F1" w:rsidRDefault="00830DCB" w:rsidP="00830DCB">
      <w:pPr>
        <w:pStyle w:val="ParNoG"/>
        <w:numPr>
          <w:ilvl w:val="0"/>
          <w:numId w:val="5"/>
        </w:numPr>
      </w:pPr>
      <w:r w:rsidRPr="00C279F1">
        <w:t>Le Comité prend acte de l</w:t>
      </w:r>
      <w:r w:rsidR="00CA0C03">
        <w:t>’</w:t>
      </w:r>
      <w:r w:rsidRPr="00C279F1">
        <w:t>adoption de la loi relative à l</w:t>
      </w:r>
      <w:r w:rsidR="00CA0C03">
        <w:t>’</w:t>
      </w:r>
      <w:r w:rsidRPr="00C279F1">
        <w:t xml:space="preserve">aide juridique gratuite, mais il </w:t>
      </w:r>
      <w:r>
        <w:t xml:space="preserve">est préoccupé par la qualité de cette aide et par son accessibilité pour les groupes les plus vulnérables </w:t>
      </w:r>
      <w:r w:rsidRPr="00C279F1">
        <w:t>(art. 14).</w:t>
      </w:r>
    </w:p>
    <w:p w:rsidR="00830DCB" w:rsidRPr="00FC129C" w:rsidRDefault="00830DCB" w:rsidP="00830DCB">
      <w:pPr>
        <w:pStyle w:val="SingleTxtG"/>
        <w:rPr>
          <w:b/>
        </w:rPr>
      </w:pPr>
      <w:r w:rsidRPr="00FC129C">
        <w:rPr>
          <w:b/>
        </w:rPr>
        <w:t>L</w:t>
      </w:r>
      <w:r w:rsidR="00CA0C03">
        <w:rPr>
          <w:b/>
        </w:rPr>
        <w:t>’</w:t>
      </w:r>
      <w:r w:rsidRPr="00FC129C">
        <w:rPr>
          <w:b/>
        </w:rPr>
        <w:t>État partie devrait revoir son système d</w:t>
      </w:r>
      <w:r w:rsidR="00CA0C03">
        <w:rPr>
          <w:b/>
        </w:rPr>
        <w:t>’</w:t>
      </w:r>
      <w:r w:rsidRPr="00FC129C">
        <w:rPr>
          <w:b/>
        </w:rPr>
        <w:t>aide juridique gratuite afin d</w:t>
      </w:r>
      <w:r w:rsidR="00CA0C03">
        <w:rPr>
          <w:b/>
        </w:rPr>
        <w:t>’</w:t>
      </w:r>
      <w:r w:rsidRPr="00FC129C">
        <w:rPr>
          <w:b/>
        </w:rPr>
        <w:t>offrir une assistance gratuite chaque fois que l</w:t>
      </w:r>
      <w:r w:rsidR="00CA0C03">
        <w:rPr>
          <w:b/>
        </w:rPr>
        <w:t>’</w:t>
      </w:r>
      <w:r w:rsidRPr="00FC129C">
        <w:rPr>
          <w:b/>
        </w:rPr>
        <w:t>intérêt de la justice l</w:t>
      </w:r>
      <w:r w:rsidR="00CA0C03">
        <w:rPr>
          <w:b/>
        </w:rPr>
        <w:t>’</w:t>
      </w:r>
      <w:r w:rsidRPr="00FC129C">
        <w:rPr>
          <w:b/>
        </w:rPr>
        <w:t>exige. Il devrait aussi allouer les ressources nécessaires aux bureaux d</w:t>
      </w:r>
      <w:r w:rsidR="00CA0C03">
        <w:rPr>
          <w:b/>
        </w:rPr>
        <w:t>’</w:t>
      </w:r>
      <w:r w:rsidRPr="00FC129C">
        <w:rPr>
          <w:b/>
        </w:rPr>
        <w:t>aide juridique gratuite afin que ceux-ci puissent s</w:t>
      </w:r>
      <w:r w:rsidR="00CA0C03">
        <w:rPr>
          <w:b/>
        </w:rPr>
        <w:t>’</w:t>
      </w:r>
      <w:r w:rsidRPr="00FC129C">
        <w:rPr>
          <w:b/>
        </w:rPr>
        <w:t>acquitter pleinement de leurs fonctions, et mettre en place des mécanismes chargés de contrôler la qualité de l</w:t>
      </w:r>
      <w:r w:rsidR="00CA0C03">
        <w:rPr>
          <w:b/>
        </w:rPr>
        <w:t>’</w:t>
      </w:r>
      <w:r w:rsidRPr="00FC129C">
        <w:rPr>
          <w:b/>
        </w:rPr>
        <w:t>aide juridique dispensée.</w:t>
      </w:r>
    </w:p>
    <w:p w:rsidR="00830DCB" w:rsidRPr="00C279F1" w:rsidRDefault="00830DCB" w:rsidP="00412DDB">
      <w:pPr>
        <w:pStyle w:val="H23G"/>
        <w:spacing w:after="100"/>
      </w:pPr>
      <w:r w:rsidRPr="00C279F1">
        <w:tab/>
      </w:r>
      <w:r w:rsidRPr="00C279F1">
        <w:tab/>
        <w:t xml:space="preserve">Droits des minorités, </w:t>
      </w:r>
      <w:r w:rsidRPr="00FC129C">
        <w:t>enregistrement</w:t>
      </w:r>
      <w:r w:rsidRPr="00C279F1">
        <w:t xml:space="preserve"> de</w:t>
      </w:r>
      <w:r>
        <w:t>s</w:t>
      </w:r>
      <w:r w:rsidRPr="00C279F1">
        <w:t xml:space="preserve"> naissance</w:t>
      </w:r>
      <w:r>
        <w:t>s, réfugiés</w:t>
      </w:r>
      <w:r w:rsidR="00412DDB">
        <w:t xml:space="preserve"> </w:t>
      </w:r>
      <w:r w:rsidRPr="00C279F1">
        <w:t xml:space="preserve">et personnes </w:t>
      </w:r>
      <w:r>
        <w:t>déplacées</w:t>
      </w:r>
      <w:r w:rsidRPr="00C279F1">
        <w:t>, et mariages précoces</w:t>
      </w:r>
    </w:p>
    <w:p w:rsidR="00830DCB" w:rsidRPr="00C279F1" w:rsidRDefault="00830DCB" w:rsidP="00412DDB">
      <w:pPr>
        <w:pStyle w:val="ParNoG"/>
        <w:numPr>
          <w:ilvl w:val="0"/>
          <w:numId w:val="5"/>
        </w:numPr>
        <w:spacing w:after="100" w:line="238" w:lineRule="exact"/>
      </w:pPr>
      <w:r w:rsidRPr="00C279F1">
        <w:t>Le Comité salue les efforts faits pour résoudre les difficultés que pose l</w:t>
      </w:r>
      <w:r w:rsidR="00CA0C03">
        <w:t>’</w:t>
      </w:r>
      <w:r w:rsidRPr="00C279F1">
        <w:t xml:space="preserve">enregistrement des naissances, mais </w:t>
      </w:r>
      <w:r>
        <w:t>constate avec préoccupation que, souvent, il n</w:t>
      </w:r>
      <w:r w:rsidR="00CA0C03">
        <w:t>’</w:t>
      </w:r>
      <w:r>
        <w:t>est pas délivré d</w:t>
      </w:r>
      <w:r w:rsidR="00CA0C03">
        <w:t>’</w:t>
      </w:r>
      <w:r>
        <w:t>acte de naissance pour</w:t>
      </w:r>
      <w:r w:rsidRPr="00C279F1">
        <w:t xml:space="preserve"> les enfan</w:t>
      </w:r>
      <w:r>
        <w:t>ts roms, ashkalis et égyptiens</w:t>
      </w:r>
      <w:r w:rsidRPr="00C279F1">
        <w:t xml:space="preserve">. </w:t>
      </w:r>
      <w:r>
        <w:t>Il</w:t>
      </w:r>
      <w:r w:rsidRPr="00C279F1">
        <w:t xml:space="preserve"> </w:t>
      </w:r>
      <w:r>
        <w:t>prend note du</w:t>
      </w:r>
      <w:r w:rsidRPr="00C279F1">
        <w:t xml:space="preserve"> projet de loi portant modification de la loi sur la procédure non contentieuse, mais regrette qu</w:t>
      </w:r>
      <w:r w:rsidR="00CA0C03">
        <w:t>’</w:t>
      </w:r>
      <w:r w:rsidRPr="00C279F1">
        <w:t>il n</w:t>
      </w:r>
      <w:r w:rsidR="00CA0C03">
        <w:t>’</w:t>
      </w:r>
      <w:r w:rsidRPr="00C279F1">
        <w:t>y ait pas de stratégie globale permettant de repérer les enfants qui n</w:t>
      </w:r>
      <w:r w:rsidR="00CA0C03">
        <w:t>’</w:t>
      </w:r>
      <w:r w:rsidRPr="00C279F1">
        <w:t>ont pas été enregistrés à la naissance et/ou qui n</w:t>
      </w:r>
      <w:r w:rsidR="00CA0C03">
        <w:t>’</w:t>
      </w:r>
      <w:r w:rsidRPr="00C279F1">
        <w:t>ont pas de documents d</w:t>
      </w:r>
      <w:r w:rsidR="00CA0C03">
        <w:t>’</w:t>
      </w:r>
      <w:r w:rsidRPr="00C279F1">
        <w:t>identité, et de délivrer rétroactivement de tels documents (art. 16 et 24).</w:t>
      </w:r>
    </w:p>
    <w:p w:rsidR="00830DCB" w:rsidRPr="00412DDB" w:rsidRDefault="00830DCB" w:rsidP="00412DDB">
      <w:pPr>
        <w:pStyle w:val="SingleTxtG"/>
        <w:spacing w:after="100" w:line="238" w:lineRule="exact"/>
        <w:rPr>
          <w:rFonts w:ascii="Times New Roman Gras" w:hAnsi="Times New Roman Gras"/>
          <w:b/>
        </w:rPr>
      </w:pPr>
      <w:r w:rsidRPr="00412DDB">
        <w:rPr>
          <w:rFonts w:ascii="Times New Roman Gras" w:hAnsi="Times New Roman Gras"/>
          <w:b/>
        </w:rPr>
        <w:t>L</w:t>
      </w:r>
      <w:r w:rsidR="00CA0C03" w:rsidRPr="00412DDB">
        <w:rPr>
          <w:rFonts w:ascii="Times New Roman Gras" w:hAnsi="Times New Roman Gras"/>
          <w:b/>
        </w:rPr>
        <w:t>’</w:t>
      </w:r>
      <w:r w:rsidRPr="00412DDB">
        <w:rPr>
          <w:rFonts w:ascii="Times New Roman Gras" w:hAnsi="Times New Roman Gras"/>
          <w:b/>
        </w:rPr>
        <w:t>État partie devrait redoubler d</w:t>
      </w:r>
      <w:r w:rsidR="00CA0C03" w:rsidRPr="00412DDB">
        <w:rPr>
          <w:rFonts w:ascii="Times New Roman Gras" w:hAnsi="Times New Roman Gras"/>
          <w:b/>
        </w:rPr>
        <w:t>’</w:t>
      </w:r>
      <w:r w:rsidRPr="00412DDB">
        <w:rPr>
          <w:rFonts w:ascii="Times New Roman Gras" w:hAnsi="Times New Roman Gras"/>
          <w:b/>
        </w:rPr>
        <w:t>efforts pour améliorer l</w:t>
      </w:r>
      <w:r w:rsidR="00CA0C03" w:rsidRPr="00412DDB">
        <w:rPr>
          <w:rFonts w:ascii="Times New Roman Gras" w:hAnsi="Times New Roman Gras"/>
          <w:b/>
        </w:rPr>
        <w:t>’</w:t>
      </w:r>
      <w:r w:rsidRPr="00412DDB">
        <w:rPr>
          <w:rFonts w:ascii="Times New Roman Gras" w:hAnsi="Times New Roman Gras"/>
          <w:b/>
        </w:rPr>
        <w:t>enregistrement des naissances et la délivrance d</w:t>
      </w:r>
      <w:r w:rsidR="00CA0C03" w:rsidRPr="00412DDB">
        <w:rPr>
          <w:rFonts w:ascii="Times New Roman Gras" w:hAnsi="Times New Roman Gras"/>
          <w:b/>
        </w:rPr>
        <w:t>’</w:t>
      </w:r>
      <w:r w:rsidRPr="00412DDB">
        <w:rPr>
          <w:rFonts w:ascii="Times New Roman Gras" w:hAnsi="Times New Roman Gras"/>
          <w:b/>
        </w:rPr>
        <w:t xml:space="preserve">actes de naissance, notamment </w:t>
      </w:r>
      <w:r w:rsidRPr="00412DDB" w:rsidDel="00384247">
        <w:rPr>
          <w:rFonts w:ascii="Times New Roman Gras" w:hAnsi="Times New Roman Gras"/>
          <w:b/>
        </w:rPr>
        <w:t>en ce qui concerne</w:t>
      </w:r>
      <w:r w:rsidRPr="00412DDB">
        <w:rPr>
          <w:rFonts w:ascii="Times New Roman Gras" w:hAnsi="Times New Roman Gras"/>
          <w:b/>
        </w:rPr>
        <w:t xml:space="preserve"> les enfants </w:t>
      </w:r>
      <w:r w:rsidRPr="00412DDB" w:rsidDel="00384247">
        <w:rPr>
          <w:rFonts w:ascii="Times New Roman Gras" w:hAnsi="Times New Roman Gras"/>
          <w:b/>
        </w:rPr>
        <w:t>r</w:t>
      </w:r>
      <w:r w:rsidRPr="00412DDB">
        <w:rPr>
          <w:rFonts w:ascii="Times New Roman Gras" w:hAnsi="Times New Roman Gras"/>
          <w:b/>
        </w:rPr>
        <w:t xml:space="preserve">oms, </w:t>
      </w:r>
      <w:r w:rsidRPr="00412DDB" w:rsidDel="00384247">
        <w:rPr>
          <w:rFonts w:ascii="Times New Roman Gras" w:hAnsi="Times New Roman Gras"/>
          <w:b/>
        </w:rPr>
        <w:t>a</w:t>
      </w:r>
      <w:r w:rsidRPr="00412DDB">
        <w:rPr>
          <w:rFonts w:ascii="Times New Roman Gras" w:hAnsi="Times New Roman Gras"/>
          <w:b/>
        </w:rPr>
        <w:t xml:space="preserve">shkalis et </w:t>
      </w:r>
      <w:r w:rsidRPr="00412DDB" w:rsidDel="00384247">
        <w:rPr>
          <w:rFonts w:ascii="Times New Roman Gras" w:hAnsi="Times New Roman Gras"/>
          <w:b/>
        </w:rPr>
        <w:t>é</w:t>
      </w:r>
      <w:r w:rsidRPr="00412DDB">
        <w:rPr>
          <w:rFonts w:ascii="Times New Roman Gras" w:hAnsi="Times New Roman Gras"/>
          <w:b/>
        </w:rPr>
        <w:t>gyptiens, par des interventions appropriées telles que le lancement de programmes de sensibilisation visant à faire évoluer les mentalités au sujet de la nécessité d</w:t>
      </w:r>
      <w:r w:rsidR="00CA0C03" w:rsidRPr="00412DDB">
        <w:rPr>
          <w:rFonts w:ascii="Times New Roman Gras" w:hAnsi="Times New Roman Gras"/>
          <w:b/>
        </w:rPr>
        <w:t>’</w:t>
      </w:r>
      <w:r w:rsidRPr="00412DDB">
        <w:rPr>
          <w:rFonts w:ascii="Times New Roman Gras" w:hAnsi="Times New Roman Gras"/>
          <w:b/>
        </w:rPr>
        <w:t>enregistrer les naissances ou d</w:t>
      </w:r>
      <w:r w:rsidR="00CA0C03" w:rsidRPr="00412DDB">
        <w:rPr>
          <w:rFonts w:ascii="Times New Roman Gras" w:hAnsi="Times New Roman Gras"/>
          <w:b/>
        </w:rPr>
        <w:t>’</w:t>
      </w:r>
      <w:r w:rsidRPr="00412DDB">
        <w:rPr>
          <w:rFonts w:ascii="Times New Roman Gras" w:hAnsi="Times New Roman Gras"/>
          <w:b/>
        </w:rPr>
        <w:t>obtenir un acte de naissance. Il devrait également prendre des mesures immédiates pour repérer les enfants qui n</w:t>
      </w:r>
      <w:r w:rsidR="00CA0C03" w:rsidRPr="00412DDB">
        <w:rPr>
          <w:rFonts w:ascii="Times New Roman Gras" w:hAnsi="Times New Roman Gras"/>
          <w:b/>
        </w:rPr>
        <w:t>’</w:t>
      </w:r>
      <w:r w:rsidRPr="00412DDB">
        <w:rPr>
          <w:rFonts w:ascii="Times New Roman Gras" w:hAnsi="Times New Roman Gras"/>
          <w:b/>
        </w:rPr>
        <w:t>ont pas été enregistrés à la naissance et/ou qui n</w:t>
      </w:r>
      <w:r w:rsidR="00CA0C03" w:rsidRPr="00412DDB">
        <w:rPr>
          <w:rFonts w:ascii="Times New Roman Gras" w:hAnsi="Times New Roman Gras"/>
          <w:b/>
        </w:rPr>
        <w:t>’</w:t>
      </w:r>
      <w:r w:rsidRPr="00412DDB">
        <w:rPr>
          <w:rFonts w:ascii="Times New Roman Gras" w:hAnsi="Times New Roman Gras"/>
          <w:b/>
        </w:rPr>
        <w:t>ont pas de documents d</w:t>
      </w:r>
      <w:r w:rsidR="00CA0C03" w:rsidRPr="00412DDB">
        <w:rPr>
          <w:rFonts w:ascii="Times New Roman Gras" w:hAnsi="Times New Roman Gras"/>
          <w:b/>
        </w:rPr>
        <w:t>’</w:t>
      </w:r>
      <w:r w:rsidRPr="00412DDB">
        <w:rPr>
          <w:rFonts w:ascii="Times New Roman Gras" w:hAnsi="Times New Roman Gras"/>
          <w:b/>
        </w:rPr>
        <w:t>identité, et procéder à l</w:t>
      </w:r>
      <w:r w:rsidR="00CA0C03" w:rsidRPr="00412DDB">
        <w:rPr>
          <w:rFonts w:ascii="Times New Roman Gras" w:hAnsi="Times New Roman Gras"/>
          <w:b/>
        </w:rPr>
        <w:t>’</w:t>
      </w:r>
      <w:r w:rsidRPr="00412DDB">
        <w:rPr>
          <w:rFonts w:ascii="Times New Roman Gras" w:hAnsi="Times New Roman Gras"/>
          <w:b/>
        </w:rPr>
        <w:t>enregistrement rétroactif de leur naissance et leur délivrer des documents d</w:t>
      </w:r>
      <w:r w:rsidR="00CA0C03" w:rsidRPr="00412DDB">
        <w:rPr>
          <w:rFonts w:ascii="Times New Roman Gras" w:hAnsi="Times New Roman Gras"/>
          <w:b/>
        </w:rPr>
        <w:t>’</w:t>
      </w:r>
      <w:r w:rsidRPr="00412DDB">
        <w:rPr>
          <w:rFonts w:ascii="Times New Roman Gras" w:hAnsi="Times New Roman Gras"/>
          <w:b/>
        </w:rPr>
        <w:t>identité.</w:t>
      </w:r>
    </w:p>
    <w:p w:rsidR="00830DCB" w:rsidRPr="00C279F1" w:rsidRDefault="00830DCB" w:rsidP="00412DDB">
      <w:pPr>
        <w:pStyle w:val="ParNoG"/>
        <w:numPr>
          <w:ilvl w:val="0"/>
          <w:numId w:val="5"/>
        </w:numPr>
        <w:spacing w:after="100" w:line="238" w:lineRule="exact"/>
      </w:pPr>
      <w:r w:rsidRPr="00C279F1">
        <w:t xml:space="preserve">Le Comité note avec préoccupation que les </w:t>
      </w:r>
      <w:r>
        <w:t>réfugiés et les personnes déplacées</w:t>
      </w:r>
      <w:r w:rsidRPr="00C279F1">
        <w:t xml:space="preserve">, en </w:t>
      </w:r>
      <w:r w:rsidRPr="00FC129C">
        <w:t>particulier</w:t>
      </w:r>
      <w:r>
        <w:t xml:space="preserve"> les Roms, les Ashk</w:t>
      </w:r>
      <w:r w:rsidRPr="00C279F1">
        <w:t>alis et les Égyptiens, ne reçoivent pas l</w:t>
      </w:r>
      <w:r w:rsidR="00CA0C03">
        <w:t>’</w:t>
      </w:r>
      <w:r w:rsidRPr="00C279F1">
        <w:t xml:space="preserve">appui </w:t>
      </w:r>
      <w:r>
        <w:t>qui leur permettrait d</w:t>
      </w:r>
      <w:r w:rsidR="00CA0C03">
        <w:t>’</w:t>
      </w:r>
      <w:r>
        <w:t>obtenir</w:t>
      </w:r>
      <w:r w:rsidRPr="00C279F1">
        <w:t xml:space="preserve"> </w:t>
      </w:r>
      <w:r>
        <w:t>les documents officiels nécessaires pour</w:t>
      </w:r>
      <w:r w:rsidRPr="00761442">
        <w:t xml:space="preserve"> solliciter le statut de résident permanent</w:t>
      </w:r>
      <w:r w:rsidRPr="00C279F1">
        <w:t xml:space="preserve"> en application de la loi sur les étrangers, telle que modifiée. Il </w:t>
      </w:r>
      <w:r>
        <w:t>constate aussi avec préoccupation</w:t>
      </w:r>
      <w:r w:rsidRPr="00C279F1">
        <w:t xml:space="preserve"> que les infrastructures et les services de base sont insuffisants dans l</w:t>
      </w:r>
      <w:r>
        <w:t>es camps de réfugiés roms, ashk</w:t>
      </w:r>
      <w:r w:rsidRPr="00C279F1">
        <w:t>alis et égyptiens. En particulier, il trouve inquiétant que, malgré l</w:t>
      </w:r>
      <w:r w:rsidR="00CA0C03">
        <w:t>’</w:t>
      </w:r>
      <w:r w:rsidRPr="00C279F1">
        <w:t>adoption en 2012 d</w:t>
      </w:r>
      <w:r w:rsidR="00CA0C03">
        <w:t>’</w:t>
      </w:r>
      <w:r w:rsidRPr="00C279F1">
        <w:t xml:space="preserve">une stratégie </w:t>
      </w:r>
      <w:r w:rsidRPr="00C279F1" w:rsidDel="00384247">
        <w:t>visant à</w:t>
      </w:r>
      <w:r w:rsidRPr="00C279F1">
        <w:t xml:space="preserve"> fournir un logement a</w:t>
      </w:r>
      <w:r>
        <w:t>ux Roms, aux Ashkalis et</w:t>
      </w:r>
      <w:r w:rsidRPr="00C279F1">
        <w:t xml:space="preserve"> aux Égyptiens, la construction de logements pour les habitants du camp de Konik n</w:t>
      </w:r>
      <w:r w:rsidR="00CA0C03">
        <w:t>’</w:t>
      </w:r>
      <w:r w:rsidRPr="00C279F1">
        <w:t>ait toujours pas commencé (art. 2, 12 et 26).</w:t>
      </w:r>
    </w:p>
    <w:p w:rsidR="00830DCB" w:rsidRPr="00686160" w:rsidRDefault="00830DCB" w:rsidP="00412DDB">
      <w:pPr>
        <w:pStyle w:val="SingleTxtG"/>
        <w:spacing w:after="100" w:line="238" w:lineRule="exact"/>
        <w:rPr>
          <w:b/>
          <w:spacing w:val="-2"/>
        </w:rPr>
      </w:pPr>
      <w:r w:rsidRPr="00686160">
        <w:rPr>
          <w:b/>
          <w:spacing w:val="-2"/>
        </w:rPr>
        <w:t>L</w:t>
      </w:r>
      <w:r w:rsidR="00CA0C03">
        <w:rPr>
          <w:b/>
          <w:spacing w:val="-2"/>
        </w:rPr>
        <w:t>’</w:t>
      </w:r>
      <w:r w:rsidRPr="00686160">
        <w:rPr>
          <w:b/>
          <w:spacing w:val="-2"/>
        </w:rPr>
        <w:t>État partie devrait poursuivre l</w:t>
      </w:r>
      <w:r w:rsidR="00CA0C03">
        <w:rPr>
          <w:b/>
          <w:spacing w:val="-2"/>
        </w:rPr>
        <w:t>’</w:t>
      </w:r>
      <w:r w:rsidRPr="00686160">
        <w:rPr>
          <w:b/>
          <w:spacing w:val="-2"/>
        </w:rPr>
        <w:t>action qu</w:t>
      </w:r>
      <w:r w:rsidR="00CA0C03">
        <w:rPr>
          <w:b/>
          <w:spacing w:val="-2"/>
        </w:rPr>
        <w:t>’</w:t>
      </w:r>
      <w:r w:rsidRPr="00686160">
        <w:rPr>
          <w:b/>
          <w:spacing w:val="-2"/>
        </w:rPr>
        <w:t>il mène pour faciliter l</w:t>
      </w:r>
      <w:r w:rsidR="00CA0C03">
        <w:rPr>
          <w:b/>
          <w:spacing w:val="-2"/>
        </w:rPr>
        <w:t>’</w:t>
      </w:r>
      <w:r w:rsidRPr="00686160">
        <w:rPr>
          <w:b/>
          <w:spacing w:val="-2"/>
        </w:rPr>
        <w:t>accès des réfugiés et des personnes déplacées à la procédure permettant d</w:t>
      </w:r>
      <w:r w:rsidR="00CA0C03">
        <w:rPr>
          <w:b/>
          <w:spacing w:val="-2"/>
        </w:rPr>
        <w:t>’</w:t>
      </w:r>
      <w:r w:rsidRPr="00686160">
        <w:rPr>
          <w:b/>
          <w:spacing w:val="-2"/>
        </w:rPr>
        <w:t xml:space="preserve">obtenir </w:t>
      </w:r>
      <w:r w:rsidRPr="00686160" w:rsidDel="00384247">
        <w:rPr>
          <w:b/>
          <w:spacing w:val="-2"/>
        </w:rPr>
        <w:t>le</w:t>
      </w:r>
      <w:r w:rsidRPr="00686160">
        <w:rPr>
          <w:b/>
          <w:spacing w:val="-2"/>
        </w:rPr>
        <w:t xml:space="preserve"> statut de résident permanent et </w:t>
      </w:r>
      <w:r w:rsidRPr="00686160" w:rsidDel="00384247">
        <w:rPr>
          <w:b/>
          <w:spacing w:val="-2"/>
        </w:rPr>
        <w:t xml:space="preserve">leur </w:t>
      </w:r>
      <w:r w:rsidRPr="00686160">
        <w:rPr>
          <w:b/>
          <w:spacing w:val="-2"/>
        </w:rPr>
        <w:t>garantir l</w:t>
      </w:r>
      <w:r w:rsidR="00CA0C03">
        <w:rPr>
          <w:b/>
          <w:spacing w:val="-2"/>
        </w:rPr>
        <w:t>’</w:t>
      </w:r>
      <w:r w:rsidRPr="00686160">
        <w:rPr>
          <w:b/>
          <w:spacing w:val="-2"/>
        </w:rPr>
        <w:t>accès, dans des conditions d</w:t>
      </w:r>
      <w:r w:rsidR="00CA0C03">
        <w:rPr>
          <w:b/>
          <w:spacing w:val="-2"/>
        </w:rPr>
        <w:t>’</w:t>
      </w:r>
      <w:r w:rsidRPr="00686160">
        <w:rPr>
          <w:b/>
          <w:spacing w:val="-2"/>
        </w:rPr>
        <w:t>égalité, aux opportunités économiques et sociales qu</w:t>
      </w:r>
      <w:r w:rsidR="00CA0C03">
        <w:rPr>
          <w:b/>
          <w:spacing w:val="-2"/>
        </w:rPr>
        <w:t>’</w:t>
      </w:r>
      <w:r w:rsidRPr="00686160">
        <w:rPr>
          <w:b/>
          <w:spacing w:val="-2"/>
        </w:rPr>
        <w:t>il offre. Il devrait aussi adopter et appliquer, en conce</w:t>
      </w:r>
      <w:r>
        <w:rPr>
          <w:b/>
          <w:spacing w:val="-2"/>
        </w:rPr>
        <w:t>rtation avec les Roms, les Ashk</w:t>
      </w:r>
      <w:r w:rsidRPr="00686160">
        <w:rPr>
          <w:b/>
          <w:spacing w:val="-2"/>
        </w:rPr>
        <w:t>alis et les Égyptiens qui vivent dans des camps, une stratégie durable visant à améliorer leurs conditions de vie et leur accès aux services de base. Il est rappelé à l</w:t>
      </w:r>
      <w:r w:rsidR="00CA0C03">
        <w:rPr>
          <w:b/>
          <w:spacing w:val="-2"/>
        </w:rPr>
        <w:t>’</w:t>
      </w:r>
      <w:r w:rsidRPr="00686160">
        <w:rPr>
          <w:b/>
          <w:spacing w:val="-2"/>
        </w:rPr>
        <w:t>État partie que toute réinstallation doit se dérouler de manière non discriminatoire et être conforme aux normes internationales relatives aux droits de l</w:t>
      </w:r>
      <w:r w:rsidR="00CA0C03">
        <w:rPr>
          <w:b/>
          <w:spacing w:val="-2"/>
        </w:rPr>
        <w:t>’</w:t>
      </w:r>
      <w:r w:rsidRPr="00686160">
        <w:rPr>
          <w:b/>
          <w:spacing w:val="-2"/>
        </w:rPr>
        <w:t>homme, y compris aux droits des intéressés d</w:t>
      </w:r>
      <w:r w:rsidR="00CA0C03">
        <w:rPr>
          <w:b/>
          <w:spacing w:val="-2"/>
        </w:rPr>
        <w:t>’</w:t>
      </w:r>
      <w:r w:rsidRPr="00686160">
        <w:rPr>
          <w:b/>
          <w:spacing w:val="-2"/>
        </w:rPr>
        <w:t>être pleinement informés et consultés, et de bénéficier d</w:t>
      </w:r>
      <w:r w:rsidR="00CA0C03">
        <w:rPr>
          <w:b/>
          <w:spacing w:val="-2"/>
        </w:rPr>
        <w:t>’</w:t>
      </w:r>
      <w:r w:rsidRPr="00686160">
        <w:rPr>
          <w:b/>
          <w:spacing w:val="-2"/>
        </w:rPr>
        <w:t>un recours utile et d</w:t>
      </w:r>
      <w:r w:rsidR="00CA0C03">
        <w:rPr>
          <w:b/>
          <w:spacing w:val="-2"/>
        </w:rPr>
        <w:t>’</w:t>
      </w:r>
      <w:r w:rsidRPr="00686160">
        <w:rPr>
          <w:b/>
          <w:spacing w:val="-2"/>
        </w:rPr>
        <w:t>une autre possibilité de logement approprié.</w:t>
      </w:r>
    </w:p>
    <w:p w:rsidR="00830DCB" w:rsidRPr="00C279F1" w:rsidRDefault="00830DCB" w:rsidP="00412DDB">
      <w:pPr>
        <w:pStyle w:val="ParNoG"/>
        <w:numPr>
          <w:ilvl w:val="0"/>
          <w:numId w:val="5"/>
        </w:numPr>
        <w:spacing w:after="100" w:line="238" w:lineRule="exact"/>
      </w:pPr>
      <w:r w:rsidRPr="00C279F1">
        <w:t>Le Comité salue l</w:t>
      </w:r>
      <w:r w:rsidR="00CA0C03">
        <w:t>’</w:t>
      </w:r>
      <w:r w:rsidRPr="00C279F1">
        <w:t>action menée pour lutter contre la discrimination de fait dont s</w:t>
      </w:r>
      <w:r>
        <w:t>ont victimes les Roms, les Ashk</w:t>
      </w:r>
      <w:r w:rsidRPr="00C279F1">
        <w:t>alis et les Égyptiens, mais il est préoccupé par le fait que ces personnes continuent d</w:t>
      </w:r>
      <w:r w:rsidR="00CA0C03">
        <w:t>’</w:t>
      </w:r>
      <w:r w:rsidRPr="00C279F1">
        <w:t>être victimes de discrimination dans l</w:t>
      </w:r>
      <w:r w:rsidR="00CA0C03">
        <w:t>’</w:t>
      </w:r>
      <w:r w:rsidRPr="00C279F1">
        <w:t>accès au logement, à l</w:t>
      </w:r>
      <w:r w:rsidR="00CA0C03">
        <w:t>’</w:t>
      </w:r>
      <w:r w:rsidRPr="00C279F1">
        <w:t>emploi, à l</w:t>
      </w:r>
      <w:r w:rsidR="00CA0C03">
        <w:t>’</w:t>
      </w:r>
      <w:r w:rsidRPr="00C279F1">
        <w:t>éducation et aux services sociaux et dans la participation à la vie politique. Il est aussi préoccupé par la persistance du travail des enfants, n</w:t>
      </w:r>
      <w:r>
        <w:t>otamment les enfants roms, ashk</w:t>
      </w:r>
      <w:r w:rsidRPr="00C279F1">
        <w:t>alis ou égyptiens, qui sont souvent employés à des travaux dangereux ou exploités, en particulier dans la mendicité (art. 2, 8, 24, 25, 26 et 27).</w:t>
      </w:r>
    </w:p>
    <w:p w:rsidR="00830DCB" w:rsidRPr="00FC129C" w:rsidRDefault="00830DCB" w:rsidP="00412DDB">
      <w:pPr>
        <w:pStyle w:val="SingleTxtG"/>
        <w:spacing w:after="100" w:line="234" w:lineRule="exact"/>
        <w:rPr>
          <w:b/>
        </w:rPr>
      </w:pPr>
      <w:r w:rsidRPr="00FC129C">
        <w:rPr>
          <w:b/>
        </w:rPr>
        <w:t>L</w:t>
      </w:r>
      <w:r w:rsidR="00CA0C03">
        <w:rPr>
          <w:b/>
        </w:rPr>
        <w:t>’</w:t>
      </w:r>
      <w:r w:rsidRPr="00FC129C">
        <w:rPr>
          <w:b/>
        </w:rPr>
        <w:t xml:space="preserve">État partie devrait prendre immédiatement des mesures, en concertation avec le </w:t>
      </w:r>
      <w:r w:rsidRPr="00384247">
        <w:rPr>
          <w:b/>
        </w:rPr>
        <w:t>Défenseur</w:t>
      </w:r>
      <w:r>
        <w:t xml:space="preserve"> </w:t>
      </w:r>
      <w:r w:rsidRPr="00FC129C">
        <w:rPr>
          <w:b/>
        </w:rPr>
        <w:t>des droits de l</w:t>
      </w:r>
      <w:r w:rsidR="00CA0C03">
        <w:rPr>
          <w:b/>
        </w:rPr>
        <w:t>’</w:t>
      </w:r>
      <w:r w:rsidRPr="00FC129C">
        <w:rPr>
          <w:b/>
        </w:rPr>
        <w:t>homme et des libertés, les organisations de la société civile et les communautés rom, ashkali</w:t>
      </w:r>
      <w:r>
        <w:rPr>
          <w:b/>
        </w:rPr>
        <w:t>e</w:t>
      </w:r>
      <w:r w:rsidRPr="00FC129C">
        <w:rPr>
          <w:b/>
        </w:rPr>
        <w:t xml:space="preserve"> et égyptienne, afin de renforcer les droits des membres de ces communautés en ce qui concerne l</w:t>
      </w:r>
      <w:r w:rsidR="00CA0C03">
        <w:rPr>
          <w:b/>
        </w:rPr>
        <w:t>’</w:t>
      </w:r>
      <w:r w:rsidRPr="00FC129C">
        <w:rPr>
          <w:b/>
        </w:rPr>
        <w:t>accès au logement, aux soins de santé et à l</w:t>
      </w:r>
      <w:r w:rsidR="00CA0C03">
        <w:rPr>
          <w:b/>
        </w:rPr>
        <w:t>’</w:t>
      </w:r>
      <w:r w:rsidRPr="00FC129C">
        <w:rPr>
          <w:b/>
        </w:rPr>
        <w:t>emploi et leur participation à la conduite des affaires publiques. Il devrait redoubler d</w:t>
      </w:r>
      <w:r w:rsidR="00CA0C03">
        <w:rPr>
          <w:b/>
        </w:rPr>
        <w:t>’</w:t>
      </w:r>
      <w:r w:rsidRPr="00FC129C">
        <w:rPr>
          <w:b/>
        </w:rPr>
        <w:t>efforts pour éliminer le travail des enfants et veiller à ce que les infractions constatées fassent effectivement l</w:t>
      </w:r>
      <w:r w:rsidR="00CA0C03">
        <w:rPr>
          <w:b/>
        </w:rPr>
        <w:t>’</w:t>
      </w:r>
      <w:r w:rsidRPr="00FC129C">
        <w:rPr>
          <w:b/>
        </w:rPr>
        <w:t>objet d</w:t>
      </w:r>
      <w:r w:rsidR="00CA0C03">
        <w:rPr>
          <w:b/>
        </w:rPr>
        <w:t>’</w:t>
      </w:r>
      <w:r w:rsidRPr="00FC129C">
        <w:rPr>
          <w:b/>
        </w:rPr>
        <w:t xml:space="preserve">enquêtes et que les </w:t>
      </w:r>
      <w:r w:rsidRPr="00FC129C" w:rsidDel="00384247">
        <w:rPr>
          <w:b/>
        </w:rPr>
        <w:t>responsables</w:t>
      </w:r>
      <w:r w:rsidRPr="00FC129C">
        <w:rPr>
          <w:b/>
        </w:rPr>
        <w:t xml:space="preserve"> soient poursuivis et punis. Il devrait en outre adopter des stratégies durables pour soutenir les familles vulnérables qui risquent de devenir victimes de ce type de pratiques, et intensifier les campagnes de sensibilisation qu</w:t>
      </w:r>
      <w:r w:rsidR="00CA0C03">
        <w:rPr>
          <w:b/>
        </w:rPr>
        <w:t>’</w:t>
      </w:r>
      <w:r w:rsidRPr="00FC129C">
        <w:rPr>
          <w:b/>
        </w:rPr>
        <w:t>il mène.</w:t>
      </w:r>
    </w:p>
    <w:p w:rsidR="00830DCB" w:rsidRPr="00821D0C" w:rsidRDefault="00830DCB" w:rsidP="00412DDB">
      <w:pPr>
        <w:pStyle w:val="ParNoG"/>
        <w:numPr>
          <w:ilvl w:val="0"/>
          <w:numId w:val="5"/>
        </w:numPr>
        <w:spacing w:after="100" w:line="234" w:lineRule="exact"/>
      </w:pPr>
      <w:r w:rsidRPr="00821D0C">
        <w:t>Le Comité est préoccupé par les informations faisant état de la persistance des mariages précoces dans l</w:t>
      </w:r>
      <w:r w:rsidR="00CA0C03">
        <w:t>’</w:t>
      </w:r>
      <w:r w:rsidRPr="00821D0C">
        <w:t xml:space="preserve">État partie, en particulier dans les communautés </w:t>
      </w:r>
      <w:r w:rsidRPr="00821D0C" w:rsidDel="00384247">
        <w:t>r</w:t>
      </w:r>
      <w:r w:rsidRPr="00821D0C">
        <w:t xml:space="preserve">om, </w:t>
      </w:r>
      <w:r w:rsidRPr="00821D0C" w:rsidDel="00384247">
        <w:t>a</w:t>
      </w:r>
      <w:r w:rsidRPr="00821D0C">
        <w:t xml:space="preserve">shkalie et </w:t>
      </w:r>
      <w:r w:rsidRPr="00821D0C" w:rsidDel="00384247">
        <w:t>é</w:t>
      </w:r>
      <w:r w:rsidRPr="00821D0C">
        <w:t>gyptienne (art. 2, 3, 24 et 26).</w:t>
      </w:r>
    </w:p>
    <w:p w:rsidR="00830DCB" w:rsidRPr="00FC129C" w:rsidRDefault="00830DCB" w:rsidP="00412DDB">
      <w:pPr>
        <w:pStyle w:val="SingleTxtG"/>
        <w:spacing w:after="100" w:line="234" w:lineRule="exact"/>
        <w:rPr>
          <w:b/>
        </w:rPr>
      </w:pPr>
      <w:r w:rsidRPr="00FC129C">
        <w:rPr>
          <w:b/>
        </w:rPr>
        <w:t>L</w:t>
      </w:r>
      <w:r w:rsidR="00CA0C03">
        <w:rPr>
          <w:b/>
        </w:rPr>
        <w:t>’</w:t>
      </w:r>
      <w:r w:rsidRPr="00FC129C">
        <w:rPr>
          <w:b/>
        </w:rPr>
        <w:t xml:space="preserve">État partie devrait renforcer encore ses mesures de lutte contre le mariage précoce en appliquant des stratégies de sensibilisation des communautés, axées sur les conséquences des mariages précoces, en </w:t>
      </w:r>
      <w:r>
        <w:rPr>
          <w:b/>
        </w:rPr>
        <w:t>particulier à l</w:t>
      </w:r>
      <w:r w:rsidR="00CA0C03">
        <w:rPr>
          <w:b/>
        </w:rPr>
        <w:t>’</w:t>
      </w:r>
      <w:r>
        <w:rPr>
          <w:b/>
        </w:rPr>
        <w:t>intention des communautés rom, ashkalie</w:t>
      </w:r>
      <w:r w:rsidRPr="00FC129C">
        <w:rPr>
          <w:b/>
        </w:rPr>
        <w:t xml:space="preserve"> et</w:t>
      </w:r>
      <w:r>
        <w:rPr>
          <w:b/>
        </w:rPr>
        <w:t xml:space="preserve"> égyptienne</w:t>
      </w:r>
      <w:r w:rsidRPr="00FC129C">
        <w:rPr>
          <w:b/>
        </w:rPr>
        <w:t>. Il devrait aussi collecter des données sur les mariages précoces et les communiquer au Comité dans son rapport périodique.</w:t>
      </w:r>
    </w:p>
    <w:p w:rsidR="00830DCB" w:rsidRPr="00821D0C" w:rsidRDefault="00830DCB" w:rsidP="00412DDB">
      <w:pPr>
        <w:pStyle w:val="H23G"/>
        <w:spacing w:after="100"/>
      </w:pPr>
      <w:r w:rsidRPr="00821D0C">
        <w:tab/>
      </w:r>
      <w:r w:rsidRPr="00821D0C">
        <w:tab/>
        <w:t xml:space="preserve">Liberté </w:t>
      </w:r>
      <w:r w:rsidRPr="00FC129C">
        <w:t>d</w:t>
      </w:r>
      <w:r w:rsidR="00CA0C03">
        <w:t>’</w:t>
      </w:r>
      <w:r w:rsidRPr="00FC129C">
        <w:t>opinion</w:t>
      </w:r>
      <w:r w:rsidRPr="00821D0C">
        <w:t xml:space="preserve"> et d</w:t>
      </w:r>
      <w:r w:rsidR="00CA0C03">
        <w:t>’</w:t>
      </w:r>
      <w:r w:rsidRPr="00821D0C">
        <w:t>expression</w:t>
      </w:r>
    </w:p>
    <w:p w:rsidR="00830DCB" w:rsidRPr="00821D0C" w:rsidRDefault="00830DCB" w:rsidP="00412DDB">
      <w:pPr>
        <w:pStyle w:val="ParNoG"/>
        <w:numPr>
          <w:ilvl w:val="0"/>
          <w:numId w:val="5"/>
        </w:numPr>
        <w:spacing w:after="100" w:line="234" w:lineRule="exact"/>
      </w:pPr>
      <w:r w:rsidRPr="00821D0C">
        <w:t xml:space="preserve">Le Comité est préoccupé par les </w:t>
      </w:r>
      <w:r>
        <w:t xml:space="preserve">multiples informations </w:t>
      </w:r>
      <w:r w:rsidRPr="00821D0C">
        <w:t>faisant état d</w:t>
      </w:r>
      <w:r w:rsidR="00CA0C03">
        <w:t>’</w:t>
      </w:r>
      <w:r>
        <w:t>actes d</w:t>
      </w:r>
      <w:r w:rsidR="00CA0C03">
        <w:t>’</w:t>
      </w:r>
      <w:r>
        <w:t>intimidation</w:t>
      </w:r>
      <w:r w:rsidRPr="00821D0C">
        <w:t xml:space="preserve"> et de violence </w:t>
      </w:r>
      <w:r>
        <w:t>contre</w:t>
      </w:r>
      <w:r w:rsidRPr="00821D0C">
        <w:t xml:space="preserve"> </w:t>
      </w:r>
      <w:r w:rsidRPr="00821D0C" w:rsidDel="00384247">
        <w:t>d</w:t>
      </w:r>
      <w:r w:rsidRPr="00821D0C">
        <w:t>es jou</w:t>
      </w:r>
      <w:r>
        <w:t>rnalistes, en particulier</w:t>
      </w:r>
      <w:r w:rsidRPr="00821D0C">
        <w:t xml:space="preserve"> ceux qui </w:t>
      </w:r>
      <w:r>
        <w:t xml:space="preserve">enquêtent sur des problèmes tels que </w:t>
      </w:r>
      <w:r w:rsidRPr="00821D0C">
        <w:t xml:space="preserve">la criminalité organisée ou </w:t>
      </w:r>
      <w:r>
        <w:t>les</w:t>
      </w:r>
      <w:r w:rsidRPr="00821D0C">
        <w:t xml:space="preserve"> liens éventuels entre </w:t>
      </w:r>
      <w:r>
        <w:t>celle-ci</w:t>
      </w:r>
      <w:r w:rsidRPr="00821D0C">
        <w:t xml:space="preserve"> et les autorités. Il note avec préoccupation que nombre des attaques contre des journalistes n</w:t>
      </w:r>
      <w:r w:rsidR="00CA0C03">
        <w:t>’</w:t>
      </w:r>
      <w:r w:rsidRPr="00821D0C">
        <w:t>ont pas fait l</w:t>
      </w:r>
      <w:r w:rsidR="00CA0C03">
        <w:t>’</w:t>
      </w:r>
      <w:r w:rsidRPr="00821D0C">
        <w:t>objet d</w:t>
      </w:r>
      <w:r w:rsidR="00CA0C03">
        <w:t>’</w:t>
      </w:r>
      <w:r w:rsidRPr="00821D0C">
        <w:t xml:space="preserve">enquêtes </w:t>
      </w:r>
      <w:r>
        <w:t>et de poursuites</w:t>
      </w:r>
      <w:r w:rsidRPr="00821D0C">
        <w:t xml:space="preserve">. Il note aussi avec préoccupation que, malgré son intention de privatiser le journal </w:t>
      </w:r>
      <w:r w:rsidRPr="00866FE1">
        <w:rPr>
          <w:i/>
        </w:rPr>
        <w:t>Pobjeda</w:t>
      </w:r>
      <w:r>
        <w:t xml:space="preserve">, </w:t>
      </w:r>
      <w:r w:rsidRPr="00821D0C">
        <w:t>l</w:t>
      </w:r>
      <w:r w:rsidR="00CA0C03">
        <w:t>’</w:t>
      </w:r>
      <w:r w:rsidRPr="00821D0C">
        <w:t>un des principaux journaux de l</w:t>
      </w:r>
      <w:r w:rsidR="00CA0C03">
        <w:t>’</w:t>
      </w:r>
      <w:r w:rsidRPr="00821D0C">
        <w:t>État partie, l</w:t>
      </w:r>
      <w:r w:rsidR="00CA0C03">
        <w:t>’</w:t>
      </w:r>
      <w:r w:rsidRPr="00821D0C">
        <w:t xml:space="preserve">État </w:t>
      </w:r>
      <w:r>
        <w:t>en demeure le</w:t>
      </w:r>
      <w:r w:rsidRPr="00821D0C">
        <w:t xml:space="preserve"> propriétaire et continue de le financer, et que les colonnes de </w:t>
      </w:r>
      <w:r>
        <w:t>ce journal</w:t>
      </w:r>
      <w:r w:rsidRPr="00821D0C">
        <w:t xml:space="preserve"> sont souvent utilisées pour critiquer d</w:t>
      </w:r>
      <w:r w:rsidR="00CA0C03">
        <w:t>’</w:t>
      </w:r>
      <w:r w:rsidRPr="00821D0C">
        <w:t>autres journalistes (art. 6, 7 et 19).</w:t>
      </w:r>
    </w:p>
    <w:p w:rsidR="00830DCB" w:rsidRPr="00686160" w:rsidRDefault="00830DCB" w:rsidP="00412DDB">
      <w:pPr>
        <w:pStyle w:val="SingleTxtG"/>
        <w:spacing w:after="100" w:line="234" w:lineRule="exact"/>
        <w:rPr>
          <w:b/>
          <w:spacing w:val="-2"/>
        </w:rPr>
      </w:pPr>
      <w:r w:rsidRPr="00686160">
        <w:rPr>
          <w:b/>
          <w:spacing w:val="-2"/>
        </w:rPr>
        <w:t xml:space="preserve">Rappelant son Observation générale </w:t>
      </w:r>
      <w:r w:rsidRPr="00686160">
        <w:rPr>
          <w:rFonts w:eastAsia="MS Mincho"/>
          <w:b/>
          <w:spacing w:val="-2"/>
        </w:rPr>
        <w:t>n</w:t>
      </w:r>
      <w:r w:rsidRPr="00686160">
        <w:rPr>
          <w:rFonts w:eastAsia="MS Mincho"/>
          <w:b/>
          <w:spacing w:val="-2"/>
          <w:vertAlign w:val="superscript"/>
        </w:rPr>
        <w:t>o</w:t>
      </w:r>
      <w:r w:rsidRPr="00686160">
        <w:rPr>
          <w:b/>
          <w:spacing w:val="-2"/>
        </w:rPr>
        <w:t> 34 (2011) sur la liberté d</w:t>
      </w:r>
      <w:r w:rsidR="00CA0C03">
        <w:rPr>
          <w:b/>
          <w:spacing w:val="-2"/>
        </w:rPr>
        <w:t>’</w:t>
      </w:r>
      <w:r w:rsidRPr="00686160">
        <w:rPr>
          <w:b/>
          <w:spacing w:val="-2"/>
        </w:rPr>
        <w:t>opinion et d</w:t>
      </w:r>
      <w:r w:rsidR="00CA0C03">
        <w:rPr>
          <w:b/>
          <w:spacing w:val="-2"/>
        </w:rPr>
        <w:t>’</w:t>
      </w:r>
      <w:r w:rsidRPr="00686160">
        <w:rPr>
          <w:b/>
          <w:spacing w:val="-2"/>
        </w:rPr>
        <w:t>expression, le Comité recommande à l</w:t>
      </w:r>
      <w:r w:rsidR="00CA0C03">
        <w:rPr>
          <w:b/>
          <w:spacing w:val="-2"/>
        </w:rPr>
        <w:t>’</w:t>
      </w:r>
      <w:r w:rsidRPr="00686160">
        <w:rPr>
          <w:b/>
          <w:spacing w:val="-2"/>
        </w:rPr>
        <w:t>État partie de prendre des mesures efficaces pour garantir pleinement le droit à la liberté d</w:t>
      </w:r>
      <w:r w:rsidR="00CA0C03">
        <w:rPr>
          <w:b/>
          <w:spacing w:val="-2"/>
        </w:rPr>
        <w:t>’</w:t>
      </w:r>
      <w:r w:rsidRPr="00686160">
        <w:rPr>
          <w:b/>
          <w:spacing w:val="-2"/>
        </w:rPr>
        <w:t>opinion et d</w:t>
      </w:r>
      <w:r w:rsidR="00CA0C03">
        <w:rPr>
          <w:b/>
          <w:spacing w:val="-2"/>
        </w:rPr>
        <w:t>’</w:t>
      </w:r>
      <w:r w:rsidRPr="00686160">
        <w:rPr>
          <w:b/>
          <w:spacing w:val="-2"/>
        </w:rPr>
        <w:t>expression sous toutes ses formes. À cet égard, selon l</w:t>
      </w:r>
      <w:r w:rsidR="00CA0C03">
        <w:rPr>
          <w:b/>
          <w:spacing w:val="-2"/>
        </w:rPr>
        <w:t>’</w:t>
      </w:r>
      <w:r>
        <w:rPr>
          <w:b/>
          <w:spacing w:val="-2"/>
        </w:rPr>
        <w:t>O</w:t>
      </w:r>
      <w:r w:rsidRPr="00686160">
        <w:rPr>
          <w:b/>
          <w:spacing w:val="-2"/>
        </w:rPr>
        <w:t xml:space="preserve">bservation générale </w:t>
      </w:r>
      <w:r w:rsidRPr="00686160">
        <w:rPr>
          <w:rFonts w:eastAsia="MS Mincho"/>
          <w:b/>
          <w:spacing w:val="-2"/>
        </w:rPr>
        <w:t>n</w:t>
      </w:r>
      <w:r w:rsidRPr="00686160">
        <w:rPr>
          <w:rFonts w:eastAsia="MS Mincho"/>
          <w:b/>
          <w:spacing w:val="-2"/>
          <w:vertAlign w:val="superscript"/>
        </w:rPr>
        <w:t>o</w:t>
      </w:r>
      <w:r w:rsidRPr="00686160">
        <w:rPr>
          <w:b/>
          <w:spacing w:val="-2"/>
        </w:rPr>
        <w:t> 34, «il faut veiller à garantir que le subventionnement public aux organes d</w:t>
      </w:r>
      <w:r w:rsidR="00CA0C03">
        <w:rPr>
          <w:b/>
          <w:spacing w:val="-2"/>
        </w:rPr>
        <w:t>’</w:t>
      </w:r>
      <w:r w:rsidRPr="00686160">
        <w:rPr>
          <w:b/>
          <w:spacing w:val="-2"/>
        </w:rPr>
        <w:t>information et les insertions d</w:t>
      </w:r>
      <w:r w:rsidR="00CA0C03">
        <w:rPr>
          <w:b/>
          <w:spacing w:val="-2"/>
        </w:rPr>
        <w:t>’</w:t>
      </w:r>
      <w:r w:rsidRPr="00686160">
        <w:rPr>
          <w:b/>
          <w:spacing w:val="-2"/>
        </w:rPr>
        <w:t xml:space="preserve">annonces publicitaires par le </w:t>
      </w:r>
      <w:r w:rsidRPr="00686160" w:rsidDel="00384247">
        <w:rPr>
          <w:b/>
          <w:spacing w:val="-2"/>
        </w:rPr>
        <w:t>g</w:t>
      </w:r>
      <w:r w:rsidRPr="00686160">
        <w:rPr>
          <w:b/>
          <w:spacing w:val="-2"/>
        </w:rPr>
        <w:t>ouvernement ne soient pas utilisés à l</w:t>
      </w:r>
      <w:r w:rsidR="00CA0C03">
        <w:rPr>
          <w:b/>
          <w:spacing w:val="-2"/>
        </w:rPr>
        <w:t>’</w:t>
      </w:r>
      <w:r w:rsidRPr="00686160">
        <w:rPr>
          <w:b/>
          <w:spacing w:val="-2"/>
        </w:rPr>
        <w:t>effet d</w:t>
      </w:r>
      <w:r w:rsidR="00CA0C03">
        <w:rPr>
          <w:b/>
          <w:spacing w:val="-2"/>
        </w:rPr>
        <w:t>’</w:t>
      </w:r>
      <w:r w:rsidRPr="00686160">
        <w:rPr>
          <w:b/>
          <w:spacing w:val="-2"/>
        </w:rPr>
        <w:t>entraver la liberté d</w:t>
      </w:r>
      <w:r w:rsidR="00CA0C03">
        <w:rPr>
          <w:b/>
          <w:spacing w:val="-2"/>
        </w:rPr>
        <w:t>’</w:t>
      </w:r>
      <w:r w:rsidRPr="00686160">
        <w:rPr>
          <w:b/>
          <w:spacing w:val="-2"/>
        </w:rPr>
        <w:t>expression». L</w:t>
      </w:r>
      <w:r w:rsidR="00CA0C03">
        <w:rPr>
          <w:b/>
          <w:spacing w:val="-2"/>
        </w:rPr>
        <w:t>’</w:t>
      </w:r>
      <w:r w:rsidRPr="00686160">
        <w:rPr>
          <w:b/>
          <w:spacing w:val="-2"/>
        </w:rPr>
        <w:t>État partie devrait mieux protéger les journalistes et les médias contre toute forme de violence et de censure. De plus, en cas d</w:t>
      </w:r>
      <w:r w:rsidR="00CA0C03">
        <w:rPr>
          <w:b/>
          <w:spacing w:val="-2"/>
        </w:rPr>
        <w:t>’</w:t>
      </w:r>
      <w:r w:rsidRPr="00686160">
        <w:rPr>
          <w:b/>
          <w:spacing w:val="-2"/>
        </w:rPr>
        <w:t>attaques contre des journalistes et des médias, il devrait mener une enquête et traduire les responsables en justice.</w:t>
      </w:r>
    </w:p>
    <w:p w:rsidR="00830DCB" w:rsidRPr="00821D0C" w:rsidRDefault="00830DCB" w:rsidP="00412DDB">
      <w:pPr>
        <w:pStyle w:val="H23G"/>
        <w:spacing w:after="100"/>
      </w:pPr>
      <w:r w:rsidRPr="00821D0C">
        <w:tab/>
      </w:r>
      <w:r w:rsidRPr="00821D0C">
        <w:tab/>
        <w:t xml:space="preserve">Diffusion </w:t>
      </w:r>
      <w:r w:rsidRPr="00FC129C">
        <w:t>d</w:t>
      </w:r>
      <w:r w:rsidR="00CA0C03">
        <w:t>’</w:t>
      </w:r>
      <w:r w:rsidRPr="00FC129C">
        <w:t>informations</w:t>
      </w:r>
      <w:r w:rsidRPr="00821D0C">
        <w:t xml:space="preserve"> concernant le Pacte et les Protocoles facultatifs</w:t>
      </w:r>
    </w:p>
    <w:p w:rsidR="00830DCB" w:rsidRPr="00821D0C" w:rsidRDefault="00830DCB" w:rsidP="00412DDB">
      <w:pPr>
        <w:pStyle w:val="ParNoG"/>
        <w:numPr>
          <w:ilvl w:val="0"/>
          <w:numId w:val="5"/>
        </w:numPr>
        <w:tabs>
          <w:tab w:val="clear" w:pos="1701"/>
        </w:tabs>
        <w:spacing w:after="100" w:line="234" w:lineRule="exact"/>
      </w:pPr>
      <w:r w:rsidRPr="00821D0C">
        <w:t>L</w:t>
      </w:r>
      <w:r w:rsidR="00CA0C03">
        <w:t>’</w:t>
      </w:r>
      <w:r w:rsidRPr="00821D0C">
        <w:t xml:space="preserve">État </w:t>
      </w:r>
      <w:r w:rsidRPr="00FC129C">
        <w:t>partie</w:t>
      </w:r>
      <w:r w:rsidRPr="00821D0C">
        <w:t xml:space="preserve"> devrait diffuser largement le texte du Pacte, des deux Protocoles facultatifs s</w:t>
      </w:r>
      <w:r w:rsidR="00CA0C03">
        <w:t>’</w:t>
      </w:r>
      <w:r w:rsidRPr="00821D0C">
        <w:t xml:space="preserve">y rapportant, du rapport périodique initial, des réponses écrites à la liste des points à traiter établie par le Comité et des présentes observations finales afin de sensibiliser davantage </w:t>
      </w:r>
      <w:r w:rsidRPr="00821D0C" w:rsidDel="00384247">
        <w:t>l</w:t>
      </w:r>
      <w:r w:rsidRPr="00821D0C">
        <w:t xml:space="preserve">es autorités judiciaires, législatives et administratives, la société civile et les organisations non gouvernementales présentes dans le pays, ainsi que </w:t>
      </w:r>
      <w:r w:rsidRPr="00821D0C" w:rsidDel="00384247">
        <w:t>le</w:t>
      </w:r>
      <w:r w:rsidRPr="00821D0C">
        <w:t xml:space="preserve"> grand public. Le Comité suggère également que le rapport et les observations finales soient traduits dans l</w:t>
      </w:r>
      <w:r w:rsidR="00CA0C03">
        <w:t>’</w:t>
      </w:r>
      <w:r w:rsidRPr="00821D0C">
        <w:t>autre langue officielle de l</w:t>
      </w:r>
      <w:r w:rsidR="00CA0C03">
        <w:t>’</w:t>
      </w:r>
      <w:r w:rsidRPr="00821D0C">
        <w:t>État partie. Il demande aussi à l</w:t>
      </w:r>
      <w:r w:rsidR="00CA0C03">
        <w:t>’</w:t>
      </w:r>
      <w:r w:rsidRPr="00821D0C">
        <w:t>État partie, lorsqu</w:t>
      </w:r>
      <w:r w:rsidR="00CA0C03">
        <w:t>’</w:t>
      </w:r>
      <w:r w:rsidRPr="00821D0C">
        <w:t>il élaborera son deuxième rapport périodique, d</w:t>
      </w:r>
      <w:r w:rsidR="00CA0C03">
        <w:t>’</w:t>
      </w:r>
      <w:r w:rsidRPr="00821D0C">
        <w:t>engager de larges consultations avec la société civile et les organisations non gouvernementales.</w:t>
      </w:r>
    </w:p>
    <w:p w:rsidR="00830DCB" w:rsidRPr="00821D0C" w:rsidRDefault="00830DCB" w:rsidP="00412DDB">
      <w:pPr>
        <w:pStyle w:val="ParNoG"/>
        <w:numPr>
          <w:ilvl w:val="0"/>
          <w:numId w:val="5"/>
        </w:numPr>
        <w:spacing w:after="100" w:line="234" w:lineRule="exact"/>
      </w:pPr>
      <w:r w:rsidRPr="00821D0C">
        <w:t>Conformément au paragraphe 5 de l</w:t>
      </w:r>
      <w:r w:rsidR="00CA0C03">
        <w:t>’</w:t>
      </w:r>
      <w:r w:rsidRPr="00821D0C">
        <w:t xml:space="preserve">article 71 du </w:t>
      </w:r>
      <w:r w:rsidRPr="00821D0C" w:rsidDel="00384247">
        <w:t>r</w:t>
      </w:r>
      <w:r w:rsidRPr="00821D0C">
        <w:t>èglement intérieur du Comité, l</w:t>
      </w:r>
      <w:r w:rsidR="00CA0C03">
        <w:t>’</w:t>
      </w:r>
      <w:r w:rsidRPr="00821D0C">
        <w:t>État partie devrait faire parvenir au Comité, dans un délai d</w:t>
      </w:r>
      <w:r w:rsidR="00CA0C03">
        <w:t>’</w:t>
      </w:r>
      <w:r w:rsidRPr="00821D0C">
        <w:t>un an, des renseignements sur la suite qu</w:t>
      </w:r>
      <w:r w:rsidR="00CA0C03">
        <w:t>’</w:t>
      </w:r>
      <w:r w:rsidRPr="00821D0C">
        <w:t>il aura donnée aux recommandations figurant au</w:t>
      </w:r>
      <w:r>
        <w:t>x</w:t>
      </w:r>
      <w:r w:rsidRPr="00821D0C">
        <w:t xml:space="preserve"> paragraphe</w:t>
      </w:r>
      <w:r>
        <w:t>s</w:t>
      </w:r>
      <w:r w:rsidRPr="00821D0C">
        <w:t> 7, 9 et 18.</w:t>
      </w:r>
    </w:p>
    <w:p w:rsidR="00830DCB" w:rsidRPr="00830DCB" w:rsidRDefault="00830DCB" w:rsidP="00412DDB">
      <w:pPr>
        <w:pStyle w:val="ParNoG"/>
        <w:numPr>
          <w:ilvl w:val="0"/>
          <w:numId w:val="5"/>
        </w:numPr>
        <w:spacing w:after="100" w:line="234" w:lineRule="exact"/>
        <w:rPr>
          <w:b/>
          <w:sz w:val="24"/>
          <w:szCs w:val="24"/>
        </w:rPr>
      </w:pPr>
      <w:r w:rsidRPr="00821D0C">
        <w:t>Le Comité demande à l</w:t>
      </w:r>
      <w:r w:rsidR="00CA0C03">
        <w:t>’</w:t>
      </w:r>
      <w:r w:rsidRPr="00821D0C">
        <w:t xml:space="preserve">État partie de faire figurer dans son prochain rapport périodique, qui devra lui parvenir au </w:t>
      </w:r>
      <w:r w:rsidRPr="00FC129C">
        <w:t>plus</w:t>
      </w:r>
      <w:r w:rsidRPr="00821D0C">
        <w:t xml:space="preserve"> tard le 31</w:t>
      </w:r>
      <w:r w:rsidR="00CA0C03">
        <w:t> </w:t>
      </w:r>
      <w:r w:rsidRPr="00821D0C">
        <w:t xml:space="preserve">octobre 2020, des informations </w:t>
      </w:r>
      <w:r>
        <w:t xml:space="preserve">actualisées </w:t>
      </w:r>
      <w:r w:rsidRPr="00821D0C">
        <w:t>et précises sur la mise en œuvre de toutes les recommandations et sur l</w:t>
      </w:r>
      <w:r w:rsidR="00CA0C03">
        <w:t>’</w:t>
      </w:r>
      <w:r w:rsidRPr="00821D0C">
        <w:t>applicati</w:t>
      </w:r>
      <w:r>
        <w:t>on du Pacte dans son ensemble. Il lui demande aussi</w:t>
      </w:r>
      <w:r w:rsidRPr="00821D0C">
        <w:t xml:space="preserve"> d</w:t>
      </w:r>
      <w:r w:rsidR="00CA0C03">
        <w:t>’</w:t>
      </w:r>
      <w:r w:rsidRPr="00821D0C">
        <w:t>engager</w:t>
      </w:r>
      <w:r>
        <w:t>,</w:t>
      </w:r>
      <w:r w:rsidRPr="00821D0C">
        <w:t xml:space="preserve"> lorsqu</w:t>
      </w:r>
      <w:r w:rsidR="00CA0C03">
        <w:t>’</w:t>
      </w:r>
      <w:r w:rsidRPr="00821D0C">
        <w:t>il élaborera son prochain</w:t>
      </w:r>
      <w:r>
        <w:t xml:space="preserve"> </w:t>
      </w:r>
      <w:r w:rsidRPr="00821D0C">
        <w:t>rapport périodique, de larges consultations avec la société civile et les organisations non gouvernementales présentes dans le pays.</w:t>
      </w:r>
    </w:p>
    <w:p w:rsidR="00830DCB" w:rsidRPr="00830DCB" w:rsidRDefault="00830DCB" w:rsidP="00412DDB">
      <w:pPr>
        <w:pStyle w:val="SingleTxtG"/>
        <w:spacing w:before="200" w:after="0"/>
        <w:jc w:val="center"/>
        <w:rPr>
          <w:u w:val="single"/>
        </w:rPr>
      </w:pPr>
      <w:r>
        <w:rPr>
          <w:u w:val="single"/>
        </w:rPr>
        <w:tab/>
      </w:r>
      <w:r>
        <w:rPr>
          <w:u w:val="single"/>
        </w:rPr>
        <w:tab/>
      </w:r>
      <w:r>
        <w:rPr>
          <w:u w:val="single"/>
        </w:rPr>
        <w:tab/>
      </w:r>
    </w:p>
    <w:sectPr w:rsidR="00830DCB" w:rsidRPr="00830DCB" w:rsidSect="00210F9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03" w:rsidRDefault="00CA0C03"/>
  </w:endnote>
  <w:endnote w:type="continuationSeparator" w:id="0">
    <w:p w:rsidR="00CA0C03" w:rsidRDefault="00CA0C03"/>
  </w:endnote>
  <w:endnote w:type="continuationNotice" w:id="1">
    <w:p w:rsidR="00CA0C03" w:rsidRPr="00903B66" w:rsidRDefault="00CA0C03"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3" w:rsidRPr="00210F94" w:rsidRDefault="00CA0C03" w:rsidP="00210F94">
    <w:pPr>
      <w:pStyle w:val="Footer"/>
      <w:tabs>
        <w:tab w:val="right" w:pos="9638"/>
      </w:tabs>
    </w:pPr>
    <w:r w:rsidRPr="00210F94">
      <w:rPr>
        <w:b/>
        <w:sz w:val="18"/>
      </w:rPr>
      <w:fldChar w:fldCharType="begin"/>
    </w:r>
    <w:r w:rsidRPr="00210F94">
      <w:rPr>
        <w:b/>
        <w:sz w:val="18"/>
      </w:rPr>
      <w:instrText xml:space="preserve"> PAGE  \* MERGEFORMAT </w:instrText>
    </w:r>
    <w:r w:rsidRPr="00210F94">
      <w:rPr>
        <w:b/>
        <w:sz w:val="18"/>
      </w:rPr>
      <w:fldChar w:fldCharType="separate"/>
    </w:r>
    <w:r w:rsidR="00866FE1">
      <w:rPr>
        <w:b/>
        <w:noProof/>
        <w:sz w:val="18"/>
      </w:rPr>
      <w:t>6</w:t>
    </w:r>
    <w:r w:rsidRPr="00210F94">
      <w:rPr>
        <w:b/>
        <w:sz w:val="18"/>
      </w:rPr>
      <w:fldChar w:fldCharType="end"/>
    </w:r>
    <w:r>
      <w:rPr>
        <w:b/>
        <w:sz w:val="18"/>
      </w:rPr>
      <w:tab/>
    </w:r>
    <w:r>
      <w:t>GE.14-22562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3" w:rsidRPr="00210F94" w:rsidRDefault="00CA0C03" w:rsidP="00210F94">
    <w:pPr>
      <w:pStyle w:val="Footer"/>
      <w:tabs>
        <w:tab w:val="right" w:pos="9638"/>
      </w:tabs>
      <w:rPr>
        <w:b/>
        <w:sz w:val="18"/>
      </w:rPr>
    </w:pPr>
    <w:r>
      <w:t>GE.14-22562</w:t>
    </w:r>
    <w:r>
      <w:tab/>
    </w:r>
    <w:r w:rsidRPr="00210F94">
      <w:rPr>
        <w:b/>
        <w:sz w:val="18"/>
      </w:rPr>
      <w:fldChar w:fldCharType="begin"/>
    </w:r>
    <w:r w:rsidRPr="00210F94">
      <w:rPr>
        <w:b/>
        <w:sz w:val="18"/>
      </w:rPr>
      <w:instrText xml:space="preserve"> PAGE  \* MERGEFORMAT </w:instrText>
    </w:r>
    <w:r w:rsidRPr="00210F94">
      <w:rPr>
        <w:b/>
        <w:sz w:val="18"/>
      </w:rPr>
      <w:fldChar w:fldCharType="separate"/>
    </w:r>
    <w:r w:rsidR="00866FE1">
      <w:rPr>
        <w:b/>
        <w:noProof/>
        <w:sz w:val="18"/>
      </w:rPr>
      <w:t>7</w:t>
    </w:r>
    <w:r w:rsidRPr="00210F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3" w:rsidRDefault="00CA0C03" w:rsidP="00210F94">
    <w:pPr>
      <w:pStyle w:val="Footer"/>
      <w:spacing w:before="120"/>
    </w:pPr>
    <w:r>
      <w:rPr>
        <w:sz w:val="20"/>
      </w:rPr>
      <w:t>GE.14-22562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051214    081214</w:t>
    </w:r>
    <w:r>
      <w:rPr>
        <w:sz w:val="20"/>
      </w:rPr>
      <w:br/>
    </w:r>
    <w:r w:rsidRPr="00210F94">
      <w:rPr>
        <w:rFonts w:ascii="C39T30Lfz" w:hAnsi="C39T30Lfz"/>
        <w:sz w:val="56"/>
      </w:rPr>
      <w:t></w:t>
    </w:r>
    <w:r w:rsidRPr="00210F94">
      <w:rPr>
        <w:rFonts w:ascii="C39T30Lfz" w:hAnsi="C39T30Lfz"/>
        <w:sz w:val="56"/>
      </w:rPr>
      <w:t></w:t>
    </w:r>
    <w:r w:rsidRPr="00210F94">
      <w:rPr>
        <w:rFonts w:ascii="C39T30Lfz" w:hAnsi="C39T30Lfz"/>
        <w:sz w:val="56"/>
      </w:rPr>
      <w:t></w:t>
    </w:r>
    <w:r w:rsidRPr="00210F94">
      <w:rPr>
        <w:rFonts w:ascii="C39T30Lfz" w:hAnsi="C39T30Lfz"/>
        <w:sz w:val="56"/>
      </w:rPr>
      <w:t></w:t>
    </w:r>
    <w:r w:rsidRPr="00210F94">
      <w:rPr>
        <w:rFonts w:ascii="C39T30Lfz" w:hAnsi="C39T30Lfz"/>
        <w:sz w:val="56"/>
      </w:rPr>
      <w:t></w:t>
    </w:r>
    <w:r w:rsidRPr="00210F94">
      <w:rPr>
        <w:rFonts w:ascii="C39T30Lfz" w:hAnsi="C39T30Lfz"/>
        <w:sz w:val="56"/>
      </w:rPr>
      <w:t></w:t>
    </w:r>
    <w:r w:rsidRPr="00210F94">
      <w:rPr>
        <w:rFonts w:ascii="C39T30Lfz" w:hAnsi="C39T30Lfz"/>
        <w:sz w:val="56"/>
      </w:rPr>
      <w:t></w:t>
    </w:r>
    <w:r w:rsidRPr="00210F94">
      <w:rPr>
        <w:rFonts w:ascii="C39T30Lfz" w:hAnsi="C39T30Lfz"/>
        <w:sz w:val="56"/>
      </w:rPr>
      <w:t></w:t>
    </w:r>
    <w:r w:rsidRPr="00210F94">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03" w:rsidRPr="00D27D5E" w:rsidRDefault="00CA0C03" w:rsidP="00D27D5E">
      <w:pPr>
        <w:tabs>
          <w:tab w:val="right" w:pos="2155"/>
        </w:tabs>
        <w:spacing w:after="80"/>
        <w:ind w:left="680"/>
        <w:rPr>
          <w:u w:val="single"/>
        </w:rPr>
      </w:pPr>
      <w:r>
        <w:rPr>
          <w:u w:val="single"/>
        </w:rPr>
        <w:tab/>
      </w:r>
    </w:p>
  </w:footnote>
  <w:footnote w:type="continuationSeparator" w:id="0">
    <w:p w:rsidR="00CA0C03" w:rsidRPr="00091505" w:rsidRDefault="00CA0C03" w:rsidP="00091505">
      <w:pPr>
        <w:tabs>
          <w:tab w:val="right" w:pos="2155"/>
        </w:tabs>
        <w:spacing w:after="80"/>
        <w:ind w:left="680"/>
        <w:rPr>
          <w:u w:val="single"/>
        </w:rPr>
      </w:pPr>
      <w:r w:rsidRPr="00091505">
        <w:rPr>
          <w:u w:val="single"/>
        </w:rPr>
        <w:tab/>
      </w:r>
    </w:p>
  </w:footnote>
  <w:footnote w:type="continuationNotice" w:id="1">
    <w:p w:rsidR="00CA0C03" w:rsidRPr="00903B66" w:rsidRDefault="00CA0C03" w:rsidP="00903B66">
      <w:pPr>
        <w:spacing w:line="240" w:lineRule="auto"/>
        <w:rPr>
          <w:sz w:val="2"/>
          <w:szCs w:val="2"/>
        </w:rPr>
      </w:pPr>
    </w:p>
  </w:footnote>
  <w:footnote w:id="2">
    <w:p w:rsidR="00CA0C03" w:rsidRPr="00830DCB" w:rsidRDefault="00CA0C03" w:rsidP="00CA0C03">
      <w:pPr>
        <w:pStyle w:val="FootnoteText"/>
      </w:pPr>
      <w:r>
        <w:tab/>
      </w:r>
      <w:r w:rsidRPr="00830DCB">
        <w:rPr>
          <w:rStyle w:val="FootnoteReference"/>
          <w:sz w:val="20"/>
          <w:vertAlign w:val="baseline"/>
        </w:rPr>
        <w:t>*</w:t>
      </w:r>
      <w:r>
        <w:rPr>
          <w:sz w:val="20"/>
        </w:rPr>
        <w:tab/>
      </w:r>
      <w:r w:rsidRPr="004F5DF2">
        <w:t>Adoptées par le Comité à sa 112</w:t>
      </w:r>
      <w:r w:rsidRPr="00C251D0">
        <w:rPr>
          <w:vertAlign w:val="superscript"/>
        </w:rPr>
        <w:t>e</w:t>
      </w:r>
      <w:r w:rsidR="00B2063B">
        <w:t> </w:t>
      </w:r>
      <w:r w:rsidRPr="004F5DF2">
        <w:t>session (7-31</w:t>
      </w:r>
      <w:r w:rsidR="00B2063B">
        <w:t> </w:t>
      </w:r>
      <w:r w:rsidRPr="004F5DF2">
        <w:t>octobre 2014</w:t>
      </w:r>
      <w:r>
        <w:t>)</w:t>
      </w:r>
      <w:r w:rsidRPr="004F5D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3" w:rsidRPr="00210F94" w:rsidRDefault="00CA0C03">
    <w:pPr>
      <w:pStyle w:val="Header"/>
    </w:pPr>
    <w:r>
      <w:t>CCPR/C/MNE/CO/1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3" w:rsidRPr="00210F94" w:rsidRDefault="00CA0C03" w:rsidP="00210F94">
    <w:pPr>
      <w:pStyle w:val="Header"/>
      <w:jc w:val="right"/>
    </w:pPr>
    <w:r>
      <w:t>CCPR/C/MNE/CO/1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52C"/>
    <w:rsid w:val="00016AC5"/>
    <w:rsid w:val="00091505"/>
    <w:rsid w:val="000A147A"/>
    <w:rsid w:val="000E61F8"/>
    <w:rsid w:val="000F41F2"/>
    <w:rsid w:val="001317E7"/>
    <w:rsid w:val="00160540"/>
    <w:rsid w:val="00192EEB"/>
    <w:rsid w:val="001A20FB"/>
    <w:rsid w:val="001B102E"/>
    <w:rsid w:val="001C3080"/>
    <w:rsid w:val="001D7F8A"/>
    <w:rsid w:val="001E3FEB"/>
    <w:rsid w:val="001E4A02"/>
    <w:rsid w:val="001F25C4"/>
    <w:rsid w:val="00210F94"/>
    <w:rsid w:val="00225A8C"/>
    <w:rsid w:val="002659F1"/>
    <w:rsid w:val="0027751F"/>
    <w:rsid w:val="00287E79"/>
    <w:rsid w:val="002928F9"/>
    <w:rsid w:val="002A5D07"/>
    <w:rsid w:val="002E0222"/>
    <w:rsid w:val="002E1A7F"/>
    <w:rsid w:val="003016B7"/>
    <w:rsid w:val="00326067"/>
    <w:rsid w:val="003515AA"/>
    <w:rsid w:val="00366F5B"/>
    <w:rsid w:val="00374106"/>
    <w:rsid w:val="003976D5"/>
    <w:rsid w:val="003D6C68"/>
    <w:rsid w:val="00412DDB"/>
    <w:rsid w:val="00413931"/>
    <w:rsid w:val="004159D0"/>
    <w:rsid w:val="00464EEE"/>
    <w:rsid w:val="00543D5E"/>
    <w:rsid w:val="0056252C"/>
    <w:rsid w:val="00571F41"/>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75D99"/>
    <w:rsid w:val="00791575"/>
    <w:rsid w:val="00796940"/>
    <w:rsid w:val="007C7846"/>
    <w:rsid w:val="007F55CB"/>
    <w:rsid w:val="00830DCB"/>
    <w:rsid w:val="0083135C"/>
    <w:rsid w:val="00844750"/>
    <w:rsid w:val="00866FE1"/>
    <w:rsid w:val="00873B3C"/>
    <w:rsid w:val="00892241"/>
    <w:rsid w:val="008A39ED"/>
    <w:rsid w:val="008B44C4"/>
    <w:rsid w:val="008E7FAE"/>
    <w:rsid w:val="008F53ED"/>
    <w:rsid w:val="00903B66"/>
    <w:rsid w:val="00911BF7"/>
    <w:rsid w:val="00943FFD"/>
    <w:rsid w:val="00977EC8"/>
    <w:rsid w:val="00993DE6"/>
    <w:rsid w:val="009D3A8C"/>
    <w:rsid w:val="009E7956"/>
    <w:rsid w:val="00A228B4"/>
    <w:rsid w:val="00A2492E"/>
    <w:rsid w:val="00A720C2"/>
    <w:rsid w:val="00A9469F"/>
    <w:rsid w:val="00AA3390"/>
    <w:rsid w:val="00AB51C8"/>
    <w:rsid w:val="00AC67A1"/>
    <w:rsid w:val="00AC7977"/>
    <w:rsid w:val="00AE352C"/>
    <w:rsid w:val="00AF1CE8"/>
    <w:rsid w:val="00B2063B"/>
    <w:rsid w:val="00B32E2D"/>
    <w:rsid w:val="00B61990"/>
    <w:rsid w:val="00B93051"/>
    <w:rsid w:val="00BF0374"/>
    <w:rsid w:val="00BF0556"/>
    <w:rsid w:val="00BF6AF3"/>
    <w:rsid w:val="00C261F8"/>
    <w:rsid w:val="00C33100"/>
    <w:rsid w:val="00C4083C"/>
    <w:rsid w:val="00CA0C03"/>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81E94"/>
    <w:rsid w:val="00E82607"/>
    <w:rsid w:val="00EF318A"/>
    <w:rsid w:val="00F33865"/>
    <w:rsid w:val="00FA5A79"/>
    <w:rsid w:val="00FB0BFE"/>
    <w:rsid w:val="00FB4C51"/>
    <w:rsid w:val="00FE43E4"/>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eastAsia="en-US"/>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rPr>
      <w:rFonts w:ascii="Times New Roman" w:hAnsi="Times New Roman"/>
      <w:sz w:val="18"/>
      <w:vertAlign w:val="superscript"/>
      <w:lang w:val="fr-CH"/>
    </w:rPr>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semiHidden/>
    <w:rsid w:val="00BF0374"/>
    <w:rPr>
      <w:color w:val="0000FF"/>
      <w:u w:val="none"/>
    </w:rPr>
  </w:style>
  <w:style w:type="character" w:styleId="FollowedHyperlink">
    <w:name w:val="FollowedHyperlink"/>
    <w:semiHidden/>
    <w:rsid w:val="00BF0374"/>
    <w:rPr>
      <w:color w:val="0000FF"/>
      <w:u w:val="none"/>
    </w:rPr>
  </w:style>
  <w:style w:type="paragraph" w:customStyle="1" w:styleId="ParNoG">
    <w:name w:val="_ParNo_G"/>
    <w:basedOn w:val="SingleTxtG"/>
    <w:rsid w:val="00BF0374"/>
    <w:pPr>
      <w:numPr>
        <w:numId w:val="8"/>
      </w:numPr>
    </w:pPr>
  </w:style>
  <w:style w:type="table" w:styleId="TableGrid">
    <w:name w:val="Table Grid"/>
    <w:basedOn w:val="TableNormal"/>
    <w:semiHidden/>
    <w:rsid w:val="00BF03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7</Pages>
  <Words>3753</Words>
  <Characters>20597</Characters>
  <Application>Microsoft Office Word</Application>
  <DocSecurity>4</DocSecurity>
  <Lines>318</Lines>
  <Paragraphs>80</Paragraphs>
  <ScaleCrop>false</ScaleCrop>
  <HeadingPairs>
    <vt:vector size="2" baseType="variant">
      <vt:variant>
        <vt:lpstr>Titre</vt:lpstr>
      </vt:variant>
      <vt:variant>
        <vt:i4>1</vt:i4>
      </vt:variant>
    </vt:vector>
  </HeadingPairs>
  <TitlesOfParts>
    <vt:vector size="1" baseType="lpstr">
      <vt:lpstr>CCPR/C/MNE/CO/1</vt:lpstr>
    </vt:vector>
  </TitlesOfParts>
  <Company>CSD</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CCPR/C/MNE/CO/1</dc:title>
  <dc:subject>Final</dc:subject>
  <dc:creator>Beysard</dc:creator>
  <cp:keywords/>
  <dc:description/>
  <cp:lastModifiedBy>Beysard</cp:lastModifiedBy>
  <cp:revision>2</cp:revision>
  <cp:lastPrinted>2014-12-08T07:46:00Z</cp:lastPrinted>
  <dcterms:created xsi:type="dcterms:W3CDTF">2014-12-08T08:09:00Z</dcterms:created>
  <dcterms:modified xsi:type="dcterms:W3CDTF">2014-12-08T08:09:00Z</dcterms:modified>
</cp:coreProperties>
</file>