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133AD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133AD6" w:rsidRDefault="00133AD6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133AD6" w:rsidRDefault="00133AD6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33AD6" w:rsidRDefault="00133AD6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133AD6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858306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l’enfant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 w:after="240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133AD6" w:rsidRDefault="002D3ABF" w:rsidP="00497CAD">
            <w:pPr>
              <w:spacing w:after="240"/>
            </w:pPr>
            <w:r w:rsidRPr="002D3ABF">
              <w:t>CRC/C/ROM/Q/4</w:t>
            </w:r>
            <w:bookmarkStart w:id="1" w:name="a3"/>
            <w:r w:rsidR="00133AD6">
              <w:br/>
            </w:r>
            <w:bookmarkEnd w:id="1"/>
            <w:r>
              <w:t>9 mars</w:t>
            </w:r>
            <w:r w:rsidR="00133AD6">
              <w:t xml:space="preserve"> 200</w:t>
            </w:r>
            <w:r w:rsidR="00CE590A">
              <w:t>9</w:t>
            </w:r>
          </w:p>
          <w:p w:rsidR="00133AD6" w:rsidRDefault="00133AD6" w:rsidP="00497CAD">
            <w:pPr>
              <w:spacing w:after="12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2D3ABF" w:rsidRPr="00E10A6B" w:rsidRDefault="002D3ABF" w:rsidP="002D3ABF">
      <w:pPr>
        <w:spacing w:before="120" w:after="360"/>
      </w:pPr>
      <w:r w:rsidRPr="00E10A6B">
        <w:t>COMITÉ DES DROITS DE L</w:t>
      </w:r>
      <w:r>
        <w:t>’</w:t>
      </w:r>
      <w:r w:rsidRPr="00E10A6B">
        <w:t>ENFANT</w:t>
      </w:r>
      <w:r w:rsidRPr="00E10A6B">
        <w:br/>
        <w:t>Cinquante et unième session</w:t>
      </w:r>
      <w:r w:rsidRPr="00E10A6B">
        <w:br/>
        <w:t>25 mai</w:t>
      </w:r>
      <w:r w:rsidRPr="00E10A6B">
        <w:noBreakHyphen/>
        <w:t>12 juin 2009</w:t>
      </w:r>
    </w:p>
    <w:p w:rsidR="002D3ABF" w:rsidRPr="00E10A6B" w:rsidRDefault="002D3ABF" w:rsidP="002D3ABF">
      <w:pPr>
        <w:spacing w:after="240"/>
        <w:jc w:val="center"/>
        <w:rPr>
          <w:b/>
        </w:rPr>
      </w:pPr>
      <w:r w:rsidRPr="00E10A6B">
        <w:rPr>
          <w:b/>
        </w:rPr>
        <w:t>APPLICATION DE LA CONVENTION RELATIVE AUX DROITS DE L</w:t>
      </w:r>
      <w:r>
        <w:rPr>
          <w:b/>
        </w:rPr>
        <w:t>’</w:t>
      </w:r>
      <w:r w:rsidRPr="00E10A6B">
        <w:rPr>
          <w:b/>
        </w:rPr>
        <w:t>ENFANT</w:t>
      </w:r>
    </w:p>
    <w:p w:rsidR="002D3ABF" w:rsidRPr="00E10A6B" w:rsidRDefault="002D3ABF" w:rsidP="002D3ABF">
      <w:pPr>
        <w:spacing w:after="240"/>
        <w:jc w:val="center"/>
        <w:rPr>
          <w:b/>
        </w:rPr>
      </w:pPr>
      <w:r w:rsidRPr="00E10A6B">
        <w:rPr>
          <w:b/>
        </w:rPr>
        <w:t>Liste des points à traiter à l</w:t>
      </w:r>
      <w:r>
        <w:rPr>
          <w:b/>
        </w:rPr>
        <w:t>’</w:t>
      </w:r>
      <w:r w:rsidRPr="00E10A6B">
        <w:rPr>
          <w:b/>
        </w:rPr>
        <w:t>occasion de l</w:t>
      </w:r>
      <w:r>
        <w:rPr>
          <w:b/>
        </w:rPr>
        <w:t>’</w:t>
      </w:r>
      <w:r w:rsidRPr="00E10A6B">
        <w:rPr>
          <w:b/>
        </w:rPr>
        <w:t>examen des troisième et quatrième</w:t>
      </w:r>
      <w:r w:rsidRPr="00E10A6B">
        <w:rPr>
          <w:b/>
        </w:rPr>
        <w:br/>
        <w:t>rapports périodiq</w:t>
      </w:r>
      <w:r>
        <w:rPr>
          <w:b/>
        </w:rPr>
        <w:t>ues de la Roumanie (CRC/C/ROM/4)</w:t>
      </w:r>
    </w:p>
    <w:p w:rsidR="002D3ABF" w:rsidRPr="00E10A6B" w:rsidRDefault="002D3ABF" w:rsidP="00BB4846">
      <w:pPr>
        <w:spacing w:after="240"/>
        <w:rPr>
          <w:b/>
        </w:rPr>
      </w:pPr>
      <w:r w:rsidRPr="00E10A6B">
        <w:rPr>
          <w:b/>
        </w:rPr>
        <w:t>Sous cette rubrique, l</w:t>
      </w:r>
      <w:r>
        <w:rPr>
          <w:b/>
        </w:rPr>
        <w:t>’</w:t>
      </w:r>
      <w:r w:rsidRPr="00E10A6B">
        <w:rPr>
          <w:b/>
        </w:rPr>
        <w:t>État partie est</w:t>
      </w:r>
      <w:r>
        <w:rPr>
          <w:b/>
        </w:rPr>
        <w:t xml:space="preserve"> invité à communiquer </w:t>
      </w:r>
      <w:r w:rsidRPr="00BB4846">
        <w:rPr>
          <w:b/>
          <w:u w:val="single"/>
        </w:rPr>
        <w:t>par écrit</w:t>
      </w:r>
      <w:r w:rsidR="00BB4846">
        <w:rPr>
          <w:b/>
        </w:rPr>
        <w:t xml:space="preserve"> </w:t>
      </w:r>
      <w:r w:rsidRPr="00E10A6B">
        <w:rPr>
          <w:b/>
        </w:rPr>
        <w:t>des renseignem</w:t>
      </w:r>
      <w:r>
        <w:rPr>
          <w:b/>
        </w:rPr>
        <w:t>ents supplémentaires et à jour,</w:t>
      </w:r>
      <w:r w:rsidR="00BB4846">
        <w:rPr>
          <w:b/>
        </w:rPr>
        <w:t xml:space="preserve"> </w:t>
      </w:r>
      <w:r w:rsidRPr="00BB4846">
        <w:rPr>
          <w:b/>
          <w:u w:val="single"/>
        </w:rPr>
        <w:t>si possible avant le 6 avril 2009</w:t>
      </w:r>
      <w:r w:rsidR="00EC4BAF" w:rsidRPr="00EC4BAF">
        <w:rPr>
          <w:b/>
        </w:rPr>
        <w:t>.</w:t>
      </w:r>
    </w:p>
    <w:p w:rsidR="002D3ABF" w:rsidRPr="00E10A6B" w:rsidRDefault="00BB4846" w:rsidP="002D3ABF">
      <w:pPr>
        <w:spacing w:after="240"/>
        <w:jc w:val="center"/>
        <w:rPr>
          <w:b/>
        </w:rPr>
      </w:pPr>
      <w:r w:rsidRPr="00E10A6B">
        <w:rPr>
          <w:b/>
        </w:rPr>
        <w:t>PREMIÈRE PARTIE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1.</w:t>
      </w:r>
      <w:r w:rsidRPr="00E10A6B">
        <w:tab/>
        <w:t xml:space="preserve">Indiquer si les tribunaux nationaux ont invoqué ou cité directement la </w:t>
      </w:r>
      <w:r>
        <w:t>C</w:t>
      </w:r>
      <w:r w:rsidRPr="00E10A6B">
        <w:t>onvention relative aux droits de l</w:t>
      </w:r>
      <w:r>
        <w:t>’</w:t>
      </w:r>
      <w:r w:rsidRPr="00E10A6B">
        <w:t>enfant et, dans l</w:t>
      </w:r>
      <w:r>
        <w:t>’</w:t>
      </w:r>
      <w:r w:rsidRPr="00E10A6B">
        <w:t>affirmative, donner des exemples.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2.</w:t>
      </w:r>
      <w:r w:rsidRPr="00E10A6B">
        <w:tab/>
        <w:t>Indiquer brièvement l</w:t>
      </w:r>
      <w:r>
        <w:t>’</w:t>
      </w:r>
      <w:r w:rsidRPr="00E10A6B">
        <w:t>état d</w:t>
      </w:r>
      <w:r>
        <w:t>’</w:t>
      </w:r>
      <w:r w:rsidRPr="00E10A6B">
        <w:t>avancement du projet d</w:t>
      </w:r>
      <w:r>
        <w:t>’</w:t>
      </w:r>
      <w:r w:rsidRPr="00E10A6B">
        <w:t>amendement du Code civil visant à fixer à 18 ans l</w:t>
      </w:r>
      <w:r>
        <w:t>’</w:t>
      </w:r>
      <w:r w:rsidRPr="00E10A6B">
        <w:t xml:space="preserve">âge </w:t>
      </w:r>
      <w:r w:rsidR="00E81D2F">
        <w:t xml:space="preserve">légal </w:t>
      </w:r>
      <w:r w:rsidRPr="00E10A6B">
        <w:t>du mariage aussi bien pour les garçons que pour les filles.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3.</w:t>
      </w:r>
      <w:r w:rsidRPr="00E10A6B">
        <w:tab/>
        <w:t>Informer le Comité de</w:t>
      </w:r>
      <w:r w:rsidR="00E81D2F">
        <w:t xml:space="preserve"> tout fait nouveau concernant la nomination du </w:t>
      </w:r>
      <w:r w:rsidRPr="00E10A6B">
        <w:t>médiateur</w:t>
      </w:r>
      <w:r w:rsidR="00E81D2F">
        <w:t xml:space="preserve"> adjoint chargé</w:t>
      </w:r>
      <w:r w:rsidRPr="00E10A6B">
        <w:t xml:space="preserve">, </w:t>
      </w:r>
      <w:r w:rsidR="00E81D2F">
        <w:t xml:space="preserve">entre autres, </w:t>
      </w:r>
      <w:r w:rsidRPr="00E10A6B">
        <w:t>d</w:t>
      </w:r>
      <w:r>
        <w:t>’</w:t>
      </w:r>
      <w:r w:rsidRPr="00E10A6B">
        <w:t>examiner les plaintes pour violation des droits de l</w:t>
      </w:r>
      <w:r>
        <w:t>’</w:t>
      </w:r>
      <w:r w:rsidRPr="00E10A6B">
        <w:t>enfant. Des progrès ont-ils été faits dans le sens de la création d</w:t>
      </w:r>
      <w:r>
        <w:t>’</w:t>
      </w:r>
      <w:r w:rsidRPr="00E10A6B">
        <w:t>un médiateur pour l</w:t>
      </w:r>
      <w:r>
        <w:t>’</w:t>
      </w:r>
      <w:r w:rsidRPr="00E10A6B">
        <w:t>enfance?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4.</w:t>
      </w:r>
      <w:r w:rsidRPr="00E10A6B">
        <w:tab/>
        <w:t>Comment l</w:t>
      </w:r>
      <w:r>
        <w:t>’</w:t>
      </w:r>
      <w:r w:rsidRPr="00E10A6B">
        <w:t>État partie évalue</w:t>
      </w:r>
      <w:r w:rsidRPr="00E10A6B">
        <w:noBreakHyphen/>
        <w:t>t</w:t>
      </w:r>
      <w:r w:rsidRPr="00E10A6B">
        <w:noBreakHyphen/>
        <w:t>il le processus de décentralisation en cours, y compris la création de directions générales de l</w:t>
      </w:r>
      <w:r>
        <w:t>’</w:t>
      </w:r>
      <w:r w:rsidRPr="00E10A6B">
        <w:t>a</w:t>
      </w:r>
      <w:r w:rsidR="00E81D2F">
        <w:t xml:space="preserve">ide </w:t>
      </w:r>
      <w:r w:rsidRPr="00E10A6B">
        <w:t>sociale et de la protection de</w:t>
      </w:r>
      <w:r w:rsidR="00E81D2F">
        <w:t xml:space="preserve">s enfants </w:t>
      </w:r>
      <w:r w:rsidRPr="00E10A6B">
        <w:t>au niveau local? Tous les services (santé, éducati</w:t>
      </w:r>
      <w:r w:rsidR="00E81D2F">
        <w:t>on</w:t>
      </w:r>
      <w:r w:rsidRPr="00E10A6B">
        <w:t>, s</w:t>
      </w:r>
      <w:r w:rsidR="00E81D2F">
        <w:t>ervices s</w:t>
      </w:r>
      <w:r w:rsidRPr="00E10A6B">
        <w:t>ociaux et protection de l</w:t>
      </w:r>
      <w:r>
        <w:t>’</w:t>
      </w:r>
      <w:r w:rsidR="00E81D2F">
        <w:t>enfance) s</w:t>
      </w:r>
      <w:r w:rsidRPr="00E10A6B">
        <w:t>ont</w:t>
      </w:r>
      <w:r w:rsidRPr="00E10A6B">
        <w:noBreakHyphen/>
        <w:t xml:space="preserve">ils </w:t>
      </w:r>
      <w:r w:rsidR="00E81D2F">
        <w:t xml:space="preserve">concernés par </w:t>
      </w:r>
      <w:r w:rsidRPr="00E10A6B">
        <w:t>la décentralisation? Comment l</w:t>
      </w:r>
      <w:r>
        <w:t>’</w:t>
      </w:r>
      <w:r w:rsidRPr="00E10A6B">
        <w:t>État partie veille</w:t>
      </w:r>
      <w:r w:rsidR="00160A55">
        <w:noBreakHyphen/>
      </w:r>
      <w:r w:rsidRPr="00E10A6B">
        <w:t>t</w:t>
      </w:r>
      <w:r w:rsidRPr="00E10A6B">
        <w:noBreakHyphen/>
        <w:t xml:space="preserve">il à ce que cette décentralisation ne provoque de disparités dans la fourniture de services entre les différents </w:t>
      </w:r>
      <w:r w:rsidR="00E81D2F">
        <w:t>comtés</w:t>
      </w:r>
      <w:r w:rsidRPr="00E10A6B">
        <w:t>?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5.</w:t>
      </w:r>
      <w:r w:rsidRPr="00E10A6B">
        <w:tab/>
        <w:t xml:space="preserve">Indiquer les processus et mécanismes </w:t>
      </w:r>
      <w:r w:rsidR="00E81D2F">
        <w:t xml:space="preserve">mis en place pour garantir l’efficacité de </w:t>
      </w:r>
      <w:r w:rsidRPr="00E10A6B">
        <w:t xml:space="preserve">la coordination </w:t>
      </w:r>
      <w:r w:rsidR="00E81D2F">
        <w:t>en matière d</w:t>
      </w:r>
      <w:r>
        <w:t>’</w:t>
      </w:r>
      <w:r w:rsidRPr="00E10A6B">
        <w:t xml:space="preserve">élaboration de politiques et de stratégies </w:t>
      </w:r>
      <w:r w:rsidR="00E81D2F">
        <w:t>s’agissant des programmes, des services et d</w:t>
      </w:r>
      <w:r w:rsidRPr="00E10A6B">
        <w:t>es lois visant à l</w:t>
      </w:r>
      <w:r>
        <w:t>’</w:t>
      </w:r>
      <w:r w:rsidRPr="00E10A6B">
        <w:t>application de la Convention.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6.</w:t>
      </w:r>
      <w:r w:rsidRPr="00E10A6B">
        <w:tab/>
        <w:t>Indiquer si l</w:t>
      </w:r>
      <w:r>
        <w:t>’</w:t>
      </w:r>
      <w:r w:rsidRPr="00E10A6B">
        <w:t>éducation aux droits de l</w:t>
      </w:r>
      <w:r>
        <w:t>’</w:t>
      </w:r>
      <w:r w:rsidRPr="00E10A6B">
        <w:t>homme, y compris aux droits de l</w:t>
      </w:r>
      <w:r>
        <w:t>’</w:t>
      </w:r>
      <w:r w:rsidRPr="00E10A6B">
        <w:t>enfant, fait partie des programmes scolaires. En outre, la formation aux droits de l</w:t>
      </w:r>
      <w:r>
        <w:t>’</w:t>
      </w:r>
      <w:r w:rsidRPr="00E10A6B">
        <w:t>enfant est</w:t>
      </w:r>
      <w:r w:rsidRPr="00E10A6B">
        <w:noBreakHyphen/>
        <w:t>elle systématiquement dispensée aux enseignants, aux responsables de l</w:t>
      </w:r>
      <w:r>
        <w:t>’</w:t>
      </w:r>
      <w:r w:rsidRPr="00E10A6B">
        <w:t xml:space="preserve">application des lois, aux juges, aux travailleurs sociaux et </w:t>
      </w:r>
      <w:r w:rsidR="00E81D2F">
        <w:t xml:space="preserve">aux </w:t>
      </w:r>
      <w:r w:rsidRPr="00E10A6B">
        <w:t>autres professionnels travaillant avec et pour les enfants?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7.</w:t>
      </w:r>
      <w:r w:rsidRPr="00E10A6B">
        <w:tab/>
        <w:t xml:space="preserve">Informer le Comité des mesures prises afin de réduire les disparités </w:t>
      </w:r>
      <w:r w:rsidR="00E81D2F">
        <w:t xml:space="preserve">entre zones urbaines et zones rurales </w:t>
      </w:r>
      <w:r w:rsidRPr="00E10A6B">
        <w:t>en ce qui concerne l</w:t>
      </w:r>
      <w:r>
        <w:t>’</w:t>
      </w:r>
      <w:r w:rsidRPr="00E10A6B">
        <w:t>accès à l</w:t>
      </w:r>
      <w:r>
        <w:t>’</w:t>
      </w:r>
      <w:r w:rsidRPr="00E10A6B">
        <w:t>éducation et l</w:t>
      </w:r>
      <w:r w:rsidR="00E81D2F">
        <w:t>a fréquentation scolaire</w:t>
      </w:r>
      <w:r w:rsidRPr="00E10A6B">
        <w:t>. Également en ce qui concerne l</w:t>
      </w:r>
      <w:r>
        <w:t>’</w:t>
      </w:r>
      <w:r w:rsidRPr="00E10A6B">
        <w:t xml:space="preserve">éducation, </w:t>
      </w:r>
      <w:r w:rsidR="00E81D2F">
        <w:t xml:space="preserve">fournir </w:t>
      </w:r>
      <w:r w:rsidRPr="00E10A6B">
        <w:t xml:space="preserve">des informations à jour sur les mesures prises pour mettre </w:t>
      </w:r>
      <w:r w:rsidR="00E81D2F">
        <w:t xml:space="preserve">fin </w:t>
      </w:r>
      <w:r w:rsidRPr="00E10A6B">
        <w:t xml:space="preserve">aux préjugés et à la stigmatisation </w:t>
      </w:r>
      <w:r w:rsidR="00E81D2F">
        <w:t xml:space="preserve">dont est victime la </w:t>
      </w:r>
      <w:r w:rsidRPr="00E10A6B">
        <w:t>communauté rom et à la ségrégation d</w:t>
      </w:r>
      <w:r w:rsidR="00E81D2F">
        <w:t xml:space="preserve">es </w:t>
      </w:r>
      <w:r w:rsidRPr="00E10A6B">
        <w:t xml:space="preserve">enfants roms </w:t>
      </w:r>
      <w:r w:rsidR="00E81D2F">
        <w:t>à l’</w:t>
      </w:r>
      <w:r w:rsidRPr="00E10A6B">
        <w:t xml:space="preserve">école. </w:t>
      </w:r>
      <w:r w:rsidR="00E81D2F">
        <w:t>Les écoles mettent</w:t>
      </w:r>
      <w:r w:rsidR="00E81D2F">
        <w:noBreakHyphen/>
        <w:t xml:space="preserve">elles en œuvre des </w:t>
      </w:r>
      <w:r w:rsidRPr="00E10A6B">
        <w:t xml:space="preserve">programmes visant à promouvoir </w:t>
      </w:r>
      <w:r w:rsidR="00E81D2F">
        <w:t xml:space="preserve">chez </w:t>
      </w:r>
      <w:r w:rsidRPr="00E10A6B">
        <w:t>les enfants une culture de la tolérance, de la communication non violente et de l</w:t>
      </w:r>
      <w:r>
        <w:t>’</w:t>
      </w:r>
      <w:r w:rsidRPr="00E10A6B">
        <w:t>acceptation de l</w:t>
      </w:r>
      <w:r>
        <w:t>’</w:t>
      </w:r>
      <w:r w:rsidRPr="00E10A6B">
        <w:t>autre?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8.</w:t>
      </w:r>
      <w:r w:rsidRPr="00E10A6B">
        <w:tab/>
      </w:r>
      <w:r w:rsidR="00E81D2F">
        <w:t>Existe</w:t>
      </w:r>
      <w:r w:rsidR="00E81D2F">
        <w:noBreakHyphen/>
        <w:t>t</w:t>
      </w:r>
      <w:r w:rsidR="00E81D2F">
        <w:noBreakHyphen/>
        <w:t>il u</w:t>
      </w:r>
      <w:r w:rsidRPr="00E10A6B">
        <w:t xml:space="preserve">n mécanisme </w:t>
      </w:r>
      <w:r w:rsidR="00E81D2F">
        <w:t xml:space="preserve">permettant aux </w:t>
      </w:r>
      <w:r w:rsidRPr="00E10A6B">
        <w:t xml:space="preserve">enfants, en particulier ceux privés de liberté et ceux placés en institution psychiatrique, </w:t>
      </w:r>
      <w:r w:rsidR="00E81D2F">
        <w:t xml:space="preserve">de </w:t>
      </w:r>
      <w:r w:rsidRPr="00E10A6B">
        <w:t>porter plainte au sujet de leur privation de liberté, de leurs conditions de détention</w:t>
      </w:r>
      <w:r w:rsidR="00E81D2F">
        <w:t xml:space="preserve"> ou </w:t>
      </w:r>
      <w:r w:rsidRPr="00E10A6B">
        <w:t>d</w:t>
      </w:r>
      <w:r>
        <w:t>’</w:t>
      </w:r>
      <w:r w:rsidRPr="00E10A6B">
        <w:t xml:space="preserve">internement et de </w:t>
      </w:r>
      <w:r w:rsidR="00E81D2F">
        <w:t>la façon dont ils sont traités</w:t>
      </w:r>
      <w:r w:rsidRPr="00E10A6B">
        <w:t>?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9.</w:t>
      </w:r>
      <w:r w:rsidRPr="00E10A6B">
        <w:tab/>
        <w:t xml:space="preserve">Expliquer </w:t>
      </w:r>
      <w:r w:rsidR="00E81D2F">
        <w:t xml:space="preserve">de quelle manière </w:t>
      </w:r>
      <w:r w:rsidRPr="00E10A6B">
        <w:t>le droit de tous les enfants au repos et aux loisirs, de se livrer au jeu et à des activités récréatives propres à leur âge est consacré par la législation et garanti dans la pratique.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10.</w:t>
      </w:r>
      <w:r w:rsidRPr="00E10A6B">
        <w:tab/>
        <w:t>Informer le Comité des mesures prises pour protéger les droits des enfants touchés par le</w:t>
      </w:r>
      <w:r w:rsidR="00E81D2F">
        <w:t xml:space="preserve">s </w:t>
      </w:r>
      <w:r w:rsidRPr="00E10A6B">
        <w:t>migration</w:t>
      </w:r>
      <w:r w:rsidR="00E81D2F">
        <w:t>s</w:t>
      </w:r>
      <w:r w:rsidRPr="00E10A6B">
        <w:t xml:space="preserve">, en particulier ceux </w:t>
      </w:r>
      <w:r w:rsidR="00E81D2F">
        <w:t>que leurs parents ont laissés au pays</w:t>
      </w:r>
      <w:r w:rsidRPr="00E10A6B">
        <w:t>.</w:t>
      </w:r>
    </w:p>
    <w:p w:rsidR="002D3ABF" w:rsidRPr="00E10A6B" w:rsidRDefault="002D3ABF" w:rsidP="00E81D2F">
      <w:pPr>
        <w:spacing w:after="240"/>
      </w:pPr>
      <w:r w:rsidRPr="00E10A6B">
        <w:t>11.</w:t>
      </w:r>
      <w:r w:rsidRPr="00E10A6B">
        <w:tab/>
        <w:t>Indiquer au Comité:</w:t>
      </w:r>
    </w:p>
    <w:p w:rsidR="002D3ABF" w:rsidRPr="00E10A6B" w:rsidRDefault="002D3ABF" w:rsidP="00D80AFF">
      <w:pPr>
        <w:spacing w:after="240"/>
        <w:ind w:left="1134" w:hanging="567"/>
      </w:pPr>
      <w:r w:rsidRPr="00E10A6B">
        <w:t>a)</w:t>
      </w:r>
      <w:r w:rsidRPr="00E10A6B">
        <w:tab/>
        <w:t>Si l</w:t>
      </w:r>
      <w:r>
        <w:t>’</w:t>
      </w:r>
      <w:r w:rsidRPr="00E10A6B">
        <w:t xml:space="preserve">État partie a mis au point un système </w:t>
      </w:r>
      <w:r w:rsidR="00D80AFF">
        <w:t>global</w:t>
      </w:r>
      <w:r w:rsidRPr="00E10A6B">
        <w:t xml:space="preserve"> de justice pour mineurs, conformément au paragraphe 3 de l</w:t>
      </w:r>
      <w:r>
        <w:t>’</w:t>
      </w:r>
      <w:r w:rsidRPr="00E10A6B">
        <w:t>article 40 de la Convention;</w:t>
      </w:r>
    </w:p>
    <w:p w:rsidR="002D3ABF" w:rsidRPr="00E10A6B" w:rsidRDefault="002D3ABF" w:rsidP="00D80AFF">
      <w:pPr>
        <w:spacing w:after="240"/>
        <w:ind w:left="1134" w:hanging="567"/>
      </w:pPr>
      <w:r w:rsidRPr="00E10A6B">
        <w:t>b)</w:t>
      </w:r>
      <w:r w:rsidRPr="00E10A6B">
        <w:tab/>
        <w:t>Si toutes les affaires concernant des personnes âgées de moins de 18 ans sont examinées par des tribunaux pour mineurs composés de juges spécialisés;</w:t>
      </w:r>
    </w:p>
    <w:p w:rsidR="002D3ABF" w:rsidRPr="00E10A6B" w:rsidRDefault="002D3ABF" w:rsidP="00D80AFF">
      <w:pPr>
        <w:spacing w:after="240"/>
        <w:ind w:left="1134" w:hanging="567"/>
      </w:pPr>
      <w:r w:rsidRPr="00E10A6B">
        <w:t>c)</w:t>
      </w:r>
      <w:r w:rsidRPr="00E10A6B">
        <w:tab/>
        <w:t>Quel est le traitement des enfants n</w:t>
      </w:r>
      <w:r>
        <w:t>’</w:t>
      </w:r>
      <w:r w:rsidRPr="00E10A6B">
        <w:t>ayant pas atteint l</w:t>
      </w:r>
      <w:r>
        <w:t>’</w:t>
      </w:r>
      <w:r w:rsidRPr="00E10A6B">
        <w:t>âge de la responsabilité pénale qui sont présumés être en conflit avec la loi.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12.</w:t>
      </w:r>
      <w:r w:rsidRPr="00E10A6B">
        <w:tab/>
        <w:t>Indiquer les questions intéressant les enfants qu</w:t>
      </w:r>
      <w:r w:rsidR="00D80AFF">
        <w:t xml:space="preserve">e </w:t>
      </w:r>
      <w:r w:rsidRPr="00E10A6B">
        <w:t>l</w:t>
      </w:r>
      <w:r>
        <w:t>’</w:t>
      </w:r>
      <w:r w:rsidRPr="00E10A6B">
        <w:t>État partie</w:t>
      </w:r>
      <w:r w:rsidR="00D80AFF">
        <w:t xml:space="preserve"> considère </w:t>
      </w:r>
      <w:r w:rsidRPr="00E10A6B">
        <w:t>priorit</w:t>
      </w:r>
      <w:r w:rsidR="00D80AFF">
        <w:t xml:space="preserve">aires </w:t>
      </w:r>
      <w:r w:rsidRPr="00E10A6B">
        <w:t>et qui appellent une attention immédiate en vue de l</w:t>
      </w:r>
      <w:r>
        <w:t>’</w:t>
      </w:r>
      <w:r w:rsidRPr="00E10A6B">
        <w:t>application de la Convention.</w:t>
      </w:r>
    </w:p>
    <w:p w:rsidR="002D3ABF" w:rsidRPr="00E10A6B" w:rsidRDefault="00BB4846" w:rsidP="002D3ABF">
      <w:pPr>
        <w:keepNext/>
        <w:spacing w:after="240"/>
        <w:jc w:val="center"/>
        <w:rPr>
          <w:b/>
        </w:rPr>
      </w:pPr>
      <w:r w:rsidRPr="00E10A6B">
        <w:rPr>
          <w:b/>
        </w:rPr>
        <w:t>DEUXIÈME PARTIE</w:t>
      </w:r>
    </w:p>
    <w:p w:rsidR="002D3ABF" w:rsidRPr="00E10A6B" w:rsidRDefault="002D3ABF" w:rsidP="002D3ABF">
      <w:pPr>
        <w:spacing w:after="240"/>
      </w:pPr>
      <w:r w:rsidRPr="00E10A6B">
        <w:tab/>
        <w:t>Dans cette section, l</w:t>
      </w:r>
      <w:r>
        <w:t>’</w:t>
      </w:r>
      <w:r w:rsidRPr="00E10A6B">
        <w:t>État partie est invité à mettre à jour brièvement (en trois pages au maximum) les renseignements fournis dans son rapport en ce qui concerne:</w:t>
      </w:r>
    </w:p>
    <w:p w:rsidR="002D3ABF" w:rsidRPr="00E10A6B" w:rsidRDefault="00630FC2" w:rsidP="00630FC2">
      <w:pPr>
        <w:spacing w:after="240"/>
        <w:ind w:firstLine="567"/>
      </w:pPr>
      <w:r>
        <w:t>−</w:t>
      </w:r>
      <w:r>
        <w:tab/>
      </w:r>
      <w:r w:rsidR="002D3ABF" w:rsidRPr="00E10A6B">
        <w:t xml:space="preserve">Les nouveaux projets </w:t>
      </w:r>
      <w:r w:rsidR="00D80AFF">
        <w:t>o</w:t>
      </w:r>
      <w:r w:rsidR="002D3ABF" w:rsidRPr="00E10A6B">
        <w:t>u texte</w:t>
      </w:r>
      <w:r w:rsidR="00D80AFF">
        <w:t>s</w:t>
      </w:r>
      <w:r w:rsidR="002D3ABF" w:rsidRPr="00E10A6B">
        <w:t xml:space="preserve"> de loi;</w:t>
      </w:r>
    </w:p>
    <w:p w:rsidR="002D3ABF" w:rsidRPr="00E10A6B" w:rsidRDefault="00630FC2" w:rsidP="00630FC2">
      <w:pPr>
        <w:spacing w:after="240"/>
        <w:ind w:firstLine="567"/>
      </w:pPr>
      <w:r>
        <w:t>−</w:t>
      </w:r>
      <w:r>
        <w:tab/>
      </w:r>
      <w:r w:rsidR="002D3ABF" w:rsidRPr="00E10A6B">
        <w:t>Les nouvelles institutions;</w:t>
      </w:r>
    </w:p>
    <w:p w:rsidR="002D3ABF" w:rsidRPr="00E10A6B" w:rsidRDefault="00630FC2" w:rsidP="00630FC2">
      <w:pPr>
        <w:spacing w:after="240"/>
        <w:ind w:firstLine="567"/>
      </w:pPr>
      <w:r>
        <w:t>−</w:t>
      </w:r>
      <w:r>
        <w:tab/>
      </w:r>
      <w:r w:rsidR="002D3ABF" w:rsidRPr="00E10A6B">
        <w:t xml:space="preserve">Les politiques récemment mises en </w:t>
      </w:r>
      <w:r>
        <w:t>œuvre</w:t>
      </w:r>
      <w:r w:rsidR="002D3ABF" w:rsidRPr="00E10A6B">
        <w:t>;</w:t>
      </w:r>
    </w:p>
    <w:p w:rsidR="002D3ABF" w:rsidRPr="00E10A6B" w:rsidRDefault="00630FC2" w:rsidP="00630FC2">
      <w:pPr>
        <w:spacing w:after="240"/>
        <w:ind w:firstLine="567"/>
      </w:pPr>
      <w:r>
        <w:t>−</w:t>
      </w:r>
      <w:r>
        <w:tab/>
      </w:r>
      <w:r w:rsidR="002D3ABF" w:rsidRPr="00E10A6B">
        <w:t xml:space="preserve">Les programmes et projets </w:t>
      </w:r>
      <w:r>
        <w:t>entrepris</w:t>
      </w:r>
      <w:r w:rsidR="00BB4846">
        <w:t xml:space="preserve"> récemment</w:t>
      </w:r>
      <w:r>
        <w:t>, et leur portée</w:t>
      </w:r>
      <w:r w:rsidR="002D3ABF" w:rsidRPr="00E10A6B">
        <w:t>.</w:t>
      </w:r>
    </w:p>
    <w:p w:rsidR="002D3ABF" w:rsidRPr="00E10A6B" w:rsidRDefault="002D3ABF" w:rsidP="002D3ABF">
      <w:pPr>
        <w:keepNext/>
        <w:spacing w:after="240"/>
        <w:jc w:val="center"/>
        <w:rPr>
          <w:b/>
        </w:rPr>
      </w:pPr>
      <w:r w:rsidRPr="00E10A6B">
        <w:rPr>
          <w:b/>
        </w:rPr>
        <w:t>T</w:t>
      </w:r>
      <w:r w:rsidR="00BB4846" w:rsidRPr="00E10A6B">
        <w:rPr>
          <w:b/>
        </w:rPr>
        <w:t>ROISIÈME PARTIE</w:t>
      </w:r>
    </w:p>
    <w:p w:rsidR="002D3ABF" w:rsidRPr="00E10A6B" w:rsidRDefault="002D3ABF" w:rsidP="002D3ABF">
      <w:pPr>
        <w:keepNext/>
        <w:spacing w:after="240"/>
        <w:jc w:val="center"/>
        <w:rPr>
          <w:b/>
        </w:rPr>
      </w:pPr>
      <w:r w:rsidRPr="00E10A6B">
        <w:rPr>
          <w:b/>
        </w:rPr>
        <w:t xml:space="preserve">Données </w:t>
      </w:r>
      <w:r w:rsidR="00630FC2">
        <w:rPr>
          <w:b/>
        </w:rPr>
        <w:t xml:space="preserve">et </w:t>
      </w:r>
      <w:r w:rsidRPr="00E10A6B">
        <w:rPr>
          <w:b/>
        </w:rPr>
        <w:t>statistiques, si disponibles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1.</w:t>
      </w:r>
      <w:r w:rsidRPr="00E10A6B">
        <w:tab/>
        <w:t>À la lumière de l</w:t>
      </w:r>
      <w:r>
        <w:t>’</w:t>
      </w:r>
      <w:r w:rsidRPr="00E10A6B">
        <w:t>article 4 de la Convention, fournir pour les années 2006, 2007 et 2008 des données actualisées sur les crédits budgétaires (y compris une analyse des tendances) concernant l</w:t>
      </w:r>
      <w:r>
        <w:t>’</w:t>
      </w:r>
      <w:r w:rsidRPr="00E10A6B">
        <w:t xml:space="preserve">application de la </w:t>
      </w:r>
      <w:r w:rsidR="00630FC2">
        <w:t>C</w:t>
      </w:r>
      <w:r w:rsidRPr="00E10A6B">
        <w:t>onvention dans tout le pays, notamment dans les domaines de l</w:t>
      </w:r>
      <w:r>
        <w:t>’</w:t>
      </w:r>
      <w:r w:rsidRPr="00E10A6B">
        <w:t>éducation et de la santé.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2.</w:t>
      </w:r>
      <w:r w:rsidRPr="00E10A6B">
        <w:tab/>
        <w:t>In</w:t>
      </w:r>
      <w:r w:rsidR="00630FC2">
        <w:t xml:space="preserve">diquer le </w:t>
      </w:r>
      <w:r w:rsidRPr="00E10A6B">
        <w:t>nombre d</w:t>
      </w:r>
      <w:r>
        <w:t>’</w:t>
      </w:r>
      <w:r w:rsidRPr="00E10A6B">
        <w:t>enfants pl</w:t>
      </w:r>
      <w:r w:rsidR="00630FC2">
        <w:t>acés en hôpitaux psychiatriques</w:t>
      </w:r>
      <w:r w:rsidRPr="00E10A6B">
        <w:t xml:space="preserve"> pour les années 2006, 2007 et 2008 et la raison de leur internement. In</w:t>
      </w:r>
      <w:r w:rsidR="00630FC2">
        <w:t xml:space="preserve">diquer également le </w:t>
      </w:r>
      <w:r w:rsidRPr="00E10A6B">
        <w:t xml:space="preserve">nombre de cas </w:t>
      </w:r>
      <w:r w:rsidR="00630FC2">
        <w:t xml:space="preserve">signalés </w:t>
      </w:r>
      <w:r w:rsidRPr="00E10A6B">
        <w:t>de sévices à l</w:t>
      </w:r>
      <w:r>
        <w:t>’</w:t>
      </w:r>
      <w:r w:rsidRPr="00E10A6B">
        <w:t>égard d</w:t>
      </w:r>
      <w:r>
        <w:t>’</w:t>
      </w:r>
      <w:r w:rsidRPr="00E10A6B">
        <w:t xml:space="preserve">enfants placés dans ces </w:t>
      </w:r>
      <w:r w:rsidR="00630FC2">
        <w:t xml:space="preserve">établissements ainsi que </w:t>
      </w:r>
      <w:r w:rsidRPr="00E10A6B">
        <w:t>la suite donnée à ces affaires.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3.</w:t>
      </w:r>
      <w:r w:rsidRPr="00E10A6B">
        <w:tab/>
        <w:t>Fournir des données portant sur les trois dernières années concernant le nombre d</w:t>
      </w:r>
      <w:r>
        <w:t>’</w:t>
      </w:r>
      <w:r w:rsidRPr="00E10A6B">
        <w:t>enfants âgés de moins de 2 ans qui sont placés en institution pour raisons de santé. À cet égard, préciser quelle autorité est chargée de décider de leur placement en institu</w:t>
      </w:r>
      <w:r w:rsidR="00630FC2">
        <w:t>tion et indiquer la fréquence du ré</w:t>
      </w:r>
      <w:r w:rsidRPr="00E10A6B">
        <w:t xml:space="preserve">examen </w:t>
      </w:r>
      <w:r w:rsidR="00630FC2">
        <w:t xml:space="preserve">de ce </w:t>
      </w:r>
      <w:r w:rsidRPr="00E10A6B">
        <w:t>placement.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4.</w:t>
      </w:r>
      <w:r w:rsidRPr="00E10A6B">
        <w:tab/>
        <w:t>Fournir des données portant sur les trois dernières années concernant le nombre d</w:t>
      </w:r>
      <w:r>
        <w:t>’</w:t>
      </w:r>
      <w:r w:rsidRPr="00E10A6B">
        <w:t xml:space="preserve">abandons scolaires dans le primaire et secondaire, ventilées par sexe, origine sociale et ethnique et </w:t>
      </w:r>
      <w:r w:rsidR="00630FC2">
        <w:t xml:space="preserve">zone </w:t>
      </w:r>
      <w:r w:rsidRPr="00E10A6B">
        <w:t>géographique.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5.</w:t>
      </w:r>
      <w:r w:rsidRPr="00E10A6B">
        <w:tab/>
        <w:t xml:space="preserve">Fournir des données portant sur les trois dernières années concernant: </w:t>
      </w:r>
    </w:p>
    <w:p w:rsidR="002D3ABF" w:rsidRPr="00E10A6B" w:rsidRDefault="002D3ABF" w:rsidP="00630FC2">
      <w:pPr>
        <w:spacing w:after="240"/>
        <w:ind w:left="1134" w:hanging="567"/>
      </w:pPr>
      <w:r w:rsidRPr="00E10A6B">
        <w:t>d)</w:t>
      </w:r>
      <w:r w:rsidRPr="00E10A6B">
        <w:tab/>
        <w:t>Le nombre de personnes âgées de moins de 18 ans</w:t>
      </w:r>
      <w:r w:rsidR="00630FC2">
        <w:t xml:space="preserve"> qui ont été </w:t>
      </w:r>
      <w:r w:rsidRPr="00E10A6B">
        <w:t>jugées comme des adultes;</w:t>
      </w:r>
    </w:p>
    <w:p w:rsidR="002D3ABF" w:rsidRPr="00E10A6B" w:rsidRDefault="002D3ABF" w:rsidP="00630FC2">
      <w:pPr>
        <w:spacing w:after="240"/>
        <w:ind w:left="1134" w:hanging="567"/>
      </w:pPr>
      <w:r w:rsidRPr="00E10A6B">
        <w:t>e)</w:t>
      </w:r>
      <w:r w:rsidRPr="00E10A6B">
        <w:tab/>
        <w:t>Le nombre de personnes âgées de moins de 18 ans détenues dans des prisons pour adultes;</w:t>
      </w:r>
    </w:p>
    <w:p w:rsidR="002D3ABF" w:rsidRPr="00E10A6B" w:rsidRDefault="002D3ABF" w:rsidP="00630FC2">
      <w:pPr>
        <w:spacing w:after="240"/>
        <w:ind w:left="1134" w:hanging="567"/>
      </w:pPr>
      <w:r w:rsidRPr="00E10A6B">
        <w:t>f)</w:t>
      </w:r>
      <w:r w:rsidRPr="00E10A6B">
        <w:tab/>
        <w:t>Le nombre d</w:t>
      </w:r>
      <w:r>
        <w:t>’</w:t>
      </w:r>
      <w:r w:rsidRPr="00E10A6B">
        <w:t>enfants n</w:t>
      </w:r>
      <w:r>
        <w:t>’</w:t>
      </w:r>
      <w:r w:rsidRPr="00E10A6B">
        <w:t>ayant pas atteint l</w:t>
      </w:r>
      <w:r>
        <w:t>’</w:t>
      </w:r>
      <w:r w:rsidRPr="00E10A6B">
        <w:t>âge de la responsabilité pénale qui entrent en conflit avec la loi;</w:t>
      </w:r>
    </w:p>
    <w:p w:rsidR="002D3ABF" w:rsidRPr="00E10A6B" w:rsidRDefault="002D3ABF" w:rsidP="00630FC2">
      <w:pPr>
        <w:spacing w:after="240"/>
        <w:ind w:left="1134" w:hanging="567"/>
      </w:pPr>
      <w:r w:rsidRPr="00E10A6B">
        <w:t>g)</w:t>
      </w:r>
      <w:r w:rsidRPr="00E10A6B">
        <w:tab/>
        <w:t xml:space="preserve">Les cas </w:t>
      </w:r>
      <w:r w:rsidR="00630FC2">
        <w:t>signal</w:t>
      </w:r>
      <w:r w:rsidRPr="00E10A6B">
        <w:t>és de sévices ou de mauvais traitements infligés à des enfants en conflit avec la loi lors de leur arrestation et/ou de leur détention, ainsi que la suite donnée à ces affaires.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6.</w:t>
      </w:r>
      <w:r w:rsidRPr="00E10A6B">
        <w:tab/>
        <w:t>Fournir des données portant sur les trois dernières années concernant le nombre d</w:t>
      </w:r>
      <w:r>
        <w:t>’</w:t>
      </w:r>
      <w:r w:rsidRPr="00E10A6B">
        <w:t>enfants qui ont été victimes de traite ou d</w:t>
      </w:r>
      <w:r>
        <w:t>’</w:t>
      </w:r>
      <w:r w:rsidRPr="00E10A6B">
        <w:t xml:space="preserve">exploitation sexuelle, y compris de la prostitution et de la pornographie. À cet égard, donner de plus amples renseignements sur le type de services </w:t>
      </w:r>
      <w:r w:rsidR="00630FC2">
        <w:t xml:space="preserve">destinés </w:t>
      </w:r>
      <w:r w:rsidRPr="00E10A6B">
        <w:t xml:space="preserve">spécifiquement </w:t>
      </w:r>
      <w:r w:rsidR="00630FC2">
        <w:t xml:space="preserve">à la </w:t>
      </w:r>
      <w:r w:rsidRPr="00E10A6B">
        <w:t xml:space="preserve">réadaptation et </w:t>
      </w:r>
      <w:r w:rsidR="00630FC2">
        <w:t xml:space="preserve">à la </w:t>
      </w:r>
      <w:r w:rsidRPr="00E10A6B">
        <w:t>réinsertion</w:t>
      </w:r>
      <w:r w:rsidR="00630FC2">
        <w:t xml:space="preserve"> des victimes</w:t>
      </w:r>
      <w:r w:rsidRPr="00E10A6B">
        <w:t>, ainsi que sur le nombre d</w:t>
      </w:r>
      <w:r>
        <w:t>’</w:t>
      </w:r>
      <w:r w:rsidRPr="00E10A6B">
        <w:t xml:space="preserve">enfants </w:t>
      </w:r>
      <w:r w:rsidR="00630FC2">
        <w:t xml:space="preserve">qui ont eu </w:t>
      </w:r>
      <w:r w:rsidRPr="00E10A6B">
        <w:t>accès à ces services. Les enfants victimes d</w:t>
      </w:r>
      <w:r>
        <w:t>’</w:t>
      </w:r>
      <w:r w:rsidRPr="00E10A6B">
        <w:t xml:space="preserve">exploitation, </w:t>
      </w:r>
      <w:r w:rsidR="00630FC2">
        <w:t xml:space="preserve">notamment ceux </w:t>
      </w:r>
      <w:r w:rsidRPr="00E10A6B">
        <w:t>qui sont victimes de la traite et utilisés à des fins de prostitution, sont</w:t>
      </w:r>
      <w:r w:rsidRPr="00E10A6B">
        <w:noBreakHyphen/>
        <w:t>ils toujours considérés comme des victimes dans le processus de justice pénale?</w:t>
      </w:r>
    </w:p>
    <w:p w:rsidR="002D3ABF" w:rsidRPr="00E10A6B" w:rsidRDefault="002D3ABF" w:rsidP="002D3ABF">
      <w:pPr>
        <w:keepNext/>
        <w:spacing w:after="240"/>
        <w:jc w:val="center"/>
        <w:rPr>
          <w:b/>
        </w:rPr>
      </w:pPr>
      <w:r w:rsidRPr="00E10A6B">
        <w:rPr>
          <w:b/>
        </w:rPr>
        <w:t>Quatrième partie</w:t>
      </w:r>
    </w:p>
    <w:p w:rsidR="002D3ABF" w:rsidRPr="00E10A6B" w:rsidRDefault="002D3ABF" w:rsidP="00BB4846">
      <w:pPr>
        <w:keepNext/>
        <w:spacing w:after="240"/>
        <w:ind w:firstLine="567"/>
        <w:rPr>
          <w:b/>
        </w:rPr>
      </w:pPr>
      <w:r w:rsidRPr="00E10A6B">
        <w:rPr>
          <w:b/>
        </w:rPr>
        <w:t>On trouvera ci</w:t>
      </w:r>
      <w:r w:rsidRPr="00E10A6B">
        <w:rPr>
          <w:b/>
        </w:rPr>
        <w:noBreakHyphen/>
        <w:t>après une liste préliminaire des principales questions (qui ne contient pas les questions déjà mentionnées dans la première partie) que le Comité a l</w:t>
      </w:r>
      <w:r>
        <w:rPr>
          <w:b/>
        </w:rPr>
        <w:t>’</w:t>
      </w:r>
      <w:r w:rsidRPr="00E10A6B">
        <w:rPr>
          <w:b/>
        </w:rPr>
        <w:t>intention d</w:t>
      </w:r>
      <w:r>
        <w:rPr>
          <w:b/>
        </w:rPr>
        <w:t>’</w:t>
      </w:r>
      <w:r w:rsidRPr="00E10A6B">
        <w:rPr>
          <w:b/>
        </w:rPr>
        <w:t>aborder dans le cadre du dialogue avec l</w:t>
      </w:r>
      <w:r>
        <w:rPr>
          <w:b/>
        </w:rPr>
        <w:t>’</w:t>
      </w:r>
      <w:r w:rsidRPr="00E10A6B">
        <w:rPr>
          <w:b/>
        </w:rPr>
        <w:t xml:space="preserve">État partie. </w:t>
      </w:r>
      <w:r w:rsidRPr="00E10A6B">
        <w:rPr>
          <w:b/>
          <w:u w:val="single"/>
        </w:rPr>
        <w:t>Elles n</w:t>
      </w:r>
      <w:r>
        <w:rPr>
          <w:b/>
          <w:u w:val="single"/>
        </w:rPr>
        <w:t>’</w:t>
      </w:r>
      <w:r w:rsidRPr="00E10A6B">
        <w:rPr>
          <w:b/>
          <w:u w:val="single"/>
        </w:rPr>
        <w:t>appellent pas de réponse écrite</w:t>
      </w:r>
      <w:r w:rsidRPr="00630FC2">
        <w:rPr>
          <w:b/>
        </w:rPr>
        <w:t>.</w:t>
      </w:r>
      <w:r w:rsidRPr="00E10A6B">
        <w:rPr>
          <w:b/>
        </w:rPr>
        <w:t xml:space="preserve"> Cette liste n</w:t>
      </w:r>
      <w:r>
        <w:rPr>
          <w:b/>
        </w:rPr>
        <w:t>’</w:t>
      </w:r>
      <w:r w:rsidRPr="00E10A6B">
        <w:rPr>
          <w:b/>
        </w:rPr>
        <w:t>est pas exhaustive, d</w:t>
      </w:r>
      <w:r>
        <w:rPr>
          <w:b/>
        </w:rPr>
        <w:t>’</w:t>
      </w:r>
      <w:r w:rsidRPr="00E10A6B">
        <w:rPr>
          <w:b/>
        </w:rPr>
        <w:t>autres questions po</w:t>
      </w:r>
      <w:r w:rsidR="000B431B">
        <w:rPr>
          <w:b/>
        </w:rPr>
        <w:t>uvant être soulevées pendant le </w:t>
      </w:r>
      <w:r w:rsidRPr="00E10A6B">
        <w:rPr>
          <w:b/>
        </w:rPr>
        <w:t>dialogue.</w:t>
      </w:r>
    </w:p>
    <w:p w:rsidR="002D3ABF" w:rsidRPr="00E10A6B" w:rsidRDefault="002D3ABF" w:rsidP="002D3ABF">
      <w:pPr>
        <w:spacing w:after="240"/>
        <w:ind w:left="567" w:hanging="567"/>
      </w:pPr>
      <w:r w:rsidRPr="00E10A6B">
        <w:t>1.</w:t>
      </w:r>
      <w:r w:rsidRPr="00E10A6B">
        <w:tab/>
        <w:t>La protection contre la discrimination, en particulier en ce qui concerne les enfants roms, les enfants bénéficiant d</w:t>
      </w:r>
      <w:r w:rsidR="00630FC2">
        <w:t>’un</w:t>
      </w:r>
      <w:r w:rsidRPr="00E10A6B">
        <w:t xml:space="preserve">e </w:t>
      </w:r>
      <w:r w:rsidR="00630FC2">
        <w:t>protection de remplacement</w:t>
      </w:r>
      <w:r w:rsidRPr="00E10A6B">
        <w:t>, les enfants vivant dans la pauvreté, les enfants handicapés, les enfants infectés par le VIH/sida, les enfants en conflit avec la loi, les enfants migrants.</w:t>
      </w:r>
    </w:p>
    <w:p w:rsidR="002D3ABF" w:rsidRPr="00E10A6B" w:rsidRDefault="002D3ABF" w:rsidP="002D3ABF">
      <w:pPr>
        <w:spacing w:after="240"/>
      </w:pPr>
      <w:r w:rsidRPr="00E10A6B">
        <w:t>2.</w:t>
      </w:r>
      <w:r w:rsidRPr="00E10A6B">
        <w:tab/>
        <w:t>L</w:t>
      </w:r>
      <w:r w:rsidR="00630FC2">
        <w:t xml:space="preserve">es mécanismes indépendants de </w:t>
      </w:r>
      <w:r w:rsidRPr="00E10A6B">
        <w:t>supervision, d</w:t>
      </w:r>
      <w:r>
        <w:t>’</w:t>
      </w:r>
      <w:r w:rsidRPr="00E10A6B">
        <w:t>évaluation et d</w:t>
      </w:r>
      <w:r w:rsidR="00630FC2">
        <w:t>e</w:t>
      </w:r>
      <w:r w:rsidRPr="00E10A6B">
        <w:t xml:space="preserve"> suivi.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3.</w:t>
      </w:r>
      <w:r w:rsidRPr="00E10A6B">
        <w:tab/>
        <w:t>Les enfants bénéficiant d</w:t>
      </w:r>
      <w:r w:rsidR="00630FC2">
        <w:t>’un</w:t>
      </w:r>
      <w:r w:rsidRPr="00E10A6B">
        <w:t xml:space="preserve">e </w:t>
      </w:r>
      <w:r w:rsidR="00630FC2">
        <w:t>protection de remplacement</w:t>
      </w:r>
      <w:r w:rsidRPr="00E10A6B">
        <w:t>, y compris la formation des familles d</w:t>
      </w:r>
      <w:r>
        <w:t>’</w:t>
      </w:r>
      <w:r w:rsidRPr="00E10A6B">
        <w:t>accueil et des superviseurs.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4.</w:t>
      </w:r>
      <w:r w:rsidRPr="00E10A6B">
        <w:tab/>
        <w:t xml:space="preserve">Les crèches et autres </w:t>
      </w:r>
      <w:r w:rsidR="00630FC2">
        <w:t xml:space="preserve">arrangements pour les </w:t>
      </w:r>
      <w:r w:rsidRPr="00E10A6B">
        <w:t xml:space="preserve">enfants </w:t>
      </w:r>
      <w:r w:rsidR="00630FC2">
        <w:t xml:space="preserve">de moins </w:t>
      </w:r>
      <w:r w:rsidRPr="00E10A6B">
        <w:t xml:space="preserve">de </w:t>
      </w:r>
      <w:r w:rsidR="00BB4846">
        <w:t>3 </w:t>
      </w:r>
      <w:r w:rsidRPr="00E10A6B">
        <w:t>ans.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5.</w:t>
      </w:r>
      <w:r w:rsidRPr="00E10A6B">
        <w:tab/>
        <w:t xml:space="preserve">La violence familiale, y compris les </w:t>
      </w:r>
      <w:r w:rsidR="00630FC2">
        <w:t xml:space="preserve">châtiments corporels </w:t>
      </w:r>
      <w:r w:rsidRPr="00E10A6B">
        <w:t>et les sévices sexuels.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6.</w:t>
      </w:r>
      <w:r w:rsidRPr="00E10A6B">
        <w:tab/>
        <w:t xml:space="preserve">Les enfants handicapés, en particulier leur accès </w:t>
      </w:r>
      <w:r w:rsidR="00AB3ABF">
        <w:t xml:space="preserve">à l’éducation, </w:t>
      </w:r>
      <w:r w:rsidRPr="00E10A6B">
        <w:t>aux services sociaux et aux services de santé, ainsi qu</w:t>
      </w:r>
      <w:r>
        <w:t>’</w:t>
      </w:r>
      <w:r w:rsidRPr="00E10A6B">
        <w:t>aux activités culturelles et récréatives.</w:t>
      </w:r>
    </w:p>
    <w:p w:rsidR="002D3ABF" w:rsidRPr="00E10A6B" w:rsidRDefault="002D3ABF" w:rsidP="002D3ABF">
      <w:pPr>
        <w:spacing w:after="240"/>
      </w:pPr>
      <w:r w:rsidRPr="00E10A6B">
        <w:t>7.</w:t>
      </w:r>
      <w:r w:rsidRPr="00E10A6B">
        <w:tab/>
        <w:t>L</w:t>
      </w:r>
      <w:r w:rsidR="00AB3ABF">
        <w:t xml:space="preserve">a </w:t>
      </w:r>
      <w:r w:rsidRPr="00E10A6B">
        <w:t xml:space="preserve">santé </w:t>
      </w:r>
      <w:r w:rsidR="00AB3ABF">
        <w:t>de base et le bien-être</w:t>
      </w:r>
      <w:r w:rsidRPr="00E10A6B">
        <w:t>, l</w:t>
      </w:r>
      <w:r>
        <w:t>’</w:t>
      </w:r>
      <w:r w:rsidRPr="00E10A6B">
        <w:t>accès aux services de santé.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8.</w:t>
      </w:r>
      <w:r w:rsidRPr="00E10A6B">
        <w:tab/>
        <w:t xml:space="preserve">La santé des adolescents (par exemple, suicides, grossesses </w:t>
      </w:r>
      <w:r w:rsidR="00AB3ABF">
        <w:t>précoces</w:t>
      </w:r>
      <w:r w:rsidRPr="00E10A6B">
        <w:t xml:space="preserve">), </w:t>
      </w:r>
      <w:r w:rsidR="00AB3ABF">
        <w:t xml:space="preserve">la </w:t>
      </w:r>
      <w:r w:rsidRPr="00E10A6B">
        <w:t xml:space="preserve">toxicomanie, </w:t>
      </w:r>
      <w:r w:rsidR="00AB3ABF">
        <w:t xml:space="preserve">la </w:t>
      </w:r>
      <w:r w:rsidRPr="00E10A6B">
        <w:t xml:space="preserve">santé de la </w:t>
      </w:r>
      <w:r w:rsidR="00AB3ABF">
        <w:t xml:space="preserve">procréation </w:t>
      </w:r>
      <w:r w:rsidRPr="00E10A6B">
        <w:t xml:space="preserve">et </w:t>
      </w:r>
      <w:r w:rsidR="00AB3ABF">
        <w:t xml:space="preserve">la </w:t>
      </w:r>
      <w:r w:rsidRPr="00E10A6B">
        <w:t>santé mentale.</w:t>
      </w:r>
    </w:p>
    <w:p w:rsidR="002D3ABF" w:rsidRPr="00E10A6B" w:rsidRDefault="002D3ABF" w:rsidP="002D3ABF">
      <w:pPr>
        <w:spacing w:after="240"/>
      </w:pPr>
      <w:r w:rsidRPr="00E10A6B">
        <w:t>9.</w:t>
      </w:r>
      <w:r w:rsidRPr="00E10A6B">
        <w:tab/>
        <w:t xml:space="preserve">Le niveau de vie, en particulier </w:t>
      </w:r>
      <w:r w:rsidR="000B431B">
        <w:t xml:space="preserve">celui de </w:t>
      </w:r>
      <w:r w:rsidRPr="00E10A6B">
        <w:t>la communauté rom.</w:t>
      </w:r>
    </w:p>
    <w:p w:rsidR="002D3ABF" w:rsidRPr="00E10A6B" w:rsidRDefault="002D3ABF" w:rsidP="002D3ABF">
      <w:pPr>
        <w:spacing w:after="240"/>
      </w:pPr>
      <w:r w:rsidRPr="00E10A6B">
        <w:t>10.</w:t>
      </w:r>
      <w:r w:rsidRPr="00E10A6B">
        <w:tab/>
        <w:t>Les enfants et l</w:t>
      </w:r>
      <w:r>
        <w:t>’</w:t>
      </w:r>
      <w:r w:rsidRPr="00E10A6B">
        <w:t>éducation, y compris les buts de l</w:t>
      </w:r>
      <w:r>
        <w:t>’</w:t>
      </w:r>
      <w:r w:rsidRPr="00E10A6B">
        <w:t>éducation et l</w:t>
      </w:r>
      <w:r>
        <w:t>’</w:t>
      </w:r>
      <w:r w:rsidRPr="00E10A6B">
        <w:t>éducation de qualité.</w:t>
      </w:r>
    </w:p>
    <w:p w:rsidR="002D3ABF" w:rsidRPr="00E10A6B" w:rsidRDefault="002D3ABF" w:rsidP="002D3ABF">
      <w:pPr>
        <w:spacing w:after="240"/>
      </w:pPr>
      <w:r w:rsidRPr="00E10A6B">
        <w:t>11.</w:t>
      </w:r>
      <w:r w:rsidRPr="00E10A6B">
        <w:tab/>
        <w:t>Les loisirs et les jeux.</w:t>
      </w:r>
    </w:p>
    <w:p w:rsidR="002D3ABF" w:rsidRPr="00E10A6B" w:rsidRDefault="002D3ABF" w:rsidP="002D3ABF">
      <w:pPr>
        <w:spacing w:after="240"/>
      </w:pPr>
      <w:r w:rsidRPr="00E10A6B">
        <w:t>12.</w:t>
      </w:r>
      <w:r w:rsidRPr="00E10A6B">
        <w:tab/>
        <w:t>La traite et l</w:t>
      </w:r>
      <w:r>
        <w:t>’</w:t>
      </w:r>
      <w:r w:rsidRPr="00E10A6B">
        <w:t>exploitation sexuelle des enfants.</w:t>
      </w:r>
    </w:p>
    <w:p w:rsidR="002D3ABF" w:rsidRPr="00E10A6B" w:rsidRDefault="002D3ABF" w:rsidP="00630FC2">
      <w:pPr>
        <w:spacing w:after="240"/>
        <w:ind w:left="567" w:hanging="567"/>
      </w:pPr>
      <w:r w:rsidRPr="00E10A6B">
        <w:t>13.</w:t>
      </w:r>
      <w:r w:rsidRPr="00E10A6B">
        <w:tab/>
        <w:t>L</w:t>
      </w:r>
      <w:r>
        <w:t>’</w:t>
      </w:r>
      <w:r w:rsidRPr="00E10A6B">
        <w:t xml:space="preserve">administration de la justice pour mineurs, notamment </w:t>
      </w:r>
      <w:r w:rsidR="000B431B">
        <w:t xml:space="preserve">pour ce qui est des </w:t>
      </w:r>
      <w:r w:rsidRPr="00E10A6B">
        <w:t>conditions dans les lieux de détention pour enfants, les procès devant les tribunaux pour adultes et la détention avec des adultes.</w:t>
      </w:r>
    </w:p>
    <w:p w:rsidR="002D3ABF" w:rsidRDefault="002D3ABF" w:rsidP="002D3ABF">
      <w:pPr>
        <w:spacing w:after="240"/>
      </w:pPr>
      <w:r w:rsidRPr="00E10A6B">
        <w:t>14.</w:t>
      </w:r>
      <w:r w:rsidRPr="00E10A6B">
        <w:tab/>
        <w:t xml:space="preserve">Les enfants appartenant </w:t>
      </w:r>
      <w:r w:rsidR="000B431B">
        <w:t>à un groupe minoritaire</w:t>
      </w:r>
      <w:r w:rsidRPr="00E10A6B">
        <w:t>, en particulier les Roms.</w:t>
      </w:r>
    </w:p>
    <w:p w:rsidR="002D3ABF" w:rsidRDefault="000B431B" w:rsidP="000B431B">
      <w:pPr>
        <w:tabs>
          <w:tab w:val="left" w:pos="6240"/>
        </w:tabs>
        <w:spacing w:after="240"/>
        <w:jc w:val="center"/>
      </w:pPr>
      <w:r>
        <w:t>-----</w:t>
      </w:r>
    </w:p>
    <w:p w:rsidR="00133AD6" w:rsidRDefault="00133AD6" w:rsidP="002D3ABF">
      <w:pPr>
        <w:spacing w:before="240" w:after="240"/>
      </w:pPr>
    </w:p>
    <w:sectPr w:rsidR="00133AD6" w:rsidSect="002D3ABF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B2" w:rsidRDefault="00A573B2">
      <w:r>
        <w:separator/>
      </w:r>
    </w:p>
  </w:endnote>
  <w:endnote w:type="continuationSeparator" w:id="0">
    <w:p w:rsidR="00A573B2" w:rsidRDefault="00A5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C" w:rsidRDefault="007B636C">
    <w:pPr>
      <w:pStyle w:val="Footer"/>
      <w:spacing w:before="240"/>
    </w:pPr>
    <w:r>
      <w:t>GE.09</w:t>
    </w:r>
    <w:r>
      <w:noBreakHyphen/>
    </w:r>
    <w:r w:rsidR="000B431B">
      <w:t xml:space="preserve">40995 </w:t>
    </w:r>
    <w:r>
      <w:t>(F)</w:t>
    </w:r>
    <w:r w:rsidR="000B431B">
      <w:t xml:space="preserve">    230409    2</w:t>
    </w:r>
    <w:r w:rsidR="00972BAD">
      <w:t>3</w:t>
    </w:r>
    <w:r w:rsidR="000B431B">
      <w:t>0409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B2" w:rsidRDefault="00A573B2">
      <w:r>
        <w:separator/>
      </w:r>
    </w:p>
  </w:footnote>
  <w:footnote w:type="continuationSeparator" w:id="0">
    <w:p w:rsidR="00A573B2" w:rsidRDefault="00A5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BF" w:rsidRDefault="002D3ABF">
    <w:pPr>
      <w:pStyle w:val="Header"/>
    </w:pPr>
    <w:r>
      <w:t>CRC/C/ROM/Q/4</w:t>
    </w:r>
  </w:p>
  <w:p w:rsidR="002D3ABF" w:rsidRDefault="002D3ABF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4950">
      <w:rPr>
        <w:noProof/>
      </w:rPr>
      <w:t>4</w:t>
    </w:r>
    <w:r>
      <w:fldChar w:fldCharType="end"/>
    </w:r>
  </w:p>
  <w:p w:rsidR="007B636C" w:rsidRDefault="007B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BF" w:rsidRDefault="002D3ABF" w:rsidP="002D3ABF">
    <w:pPr>
      <w:pStyle w:val="Header"/>
      <w:tabs>
        <w:tab w:val="clear" w:pos="4320"/>
        <w:tab w:val="clear" w:pos="8640"/>
        <w:tab w:val="left" w:pos="6803"/>
      </w:tabs>
    </w:pPr>
    <w:r>
      <w:tab/>
      <w:t>CRC/C/ROM/Q/4</w:t>
    </w:r>
  </w:p>
  <w:p w:rsidR="002D3ABF" w:rsidRDefault="002D3ABF" w:rsidP="002D3ABF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4950">
      <w:rPr>
        <w:noProof/>
      </w:rPr>
      <w:t>3</w:t>
    </w:r>
    <w:r>
      <w:fldChar w:fldCharType="end"/>
    </w:r>
  </w:p>
  <w:p w:rsidR="007B636C" w:rsidRDefault="007B636C" w:rsidP="002D3ABF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639"/>
    <w:multiLevelType w:val="hybridMultilevel"/>
    <w:tmpl w:val="6896DB84"/>
    <w:lvl w:ilvl="0" w:tplc="EAD8064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"/>
  </w:num>
  <w:num w:numId="35">
    <w:abstractNumId w:val="4"/>
  </w:num>
  <w:num w:numId="36">
    <w:abstractNumId w:val="4"/>
  </w:num>
  <w:num w:numId="37">
    <w:abstractNumId w:val="1"/>
  </w:num>
  <w:num w:numId="38">
    <w:abstractNumId w:val="4"/>
  </w:num>
  <w:num w:numId="39">
    <w:abstractNumId w:val="1"/>
  </w:num>
  <w:num w:numId="40">
    <w:abstractNumId w:val="1"/>
  </w:num>
  <w:num w:numId="41">
    <w:abstractNumId w:val="1"/>
  </w:num>
  <w:num w:numId="42">
    <w:abstractNumId w:val="4"/>
  </w:num>
  <w:num w:numId="43">
    <w:abstractNumId w:val="1"/>
  </w:num>
  <w:num w:numId="44">
    <w:abstractNumId w:val="4"/>
  </w:num>
  <w:num w:numId="45">
    <w:abstractNumId w:val="1"/>
  </w:num>
  <w:num w:numId="46">
    <w:abstractNumId w:val="1"/>
  </w:num>
  <w:num w:numId="47">
    <w:abstractNumId w:val="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36C"/>
    <w:rsid w:val="000B431B"/>
    <w:rsid w:val="00133AD6"/>
    <w:rsid w:val="00160A55"/>
    <w:rsid w:val="002D3ABF"/>
    <w:rsid w:val="00497CAD"/>
    <w:rsid w:val="004B4950"/>
    <w:rsid w:val="00630FC2"/>
    <w:rsid w:val="007B636C"/>
    <w:rsid w:val="00972BAD"/>
    <w:rsid w:val="009B5CC0"/>
    <w:rsid w:val="00A573B2"/>
    <w:rsid w:val="00A8648A"/>
    <w:rsid w:val="00AB3ABF"/>
    <w:rsid w:val="00BB4846"/>
    <w:rsid w:val="00BC3C1E"/>
    <w:rsid w:val="00BC6C1E"/>
    <w:rsid w:val="00CE590A"/>
    <w:rsid w:val="00D80AFF"/>
    <w:rsid w:val="00E81D2F"/>
    <w:rsid w:val="00E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5CC0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5CC0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5CC0"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rsid w:val="009B5CC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5CC0"/>
  </w:style>
  <w:style w:type="character" w:styleId="FootnoteReference">
    <w:name w:val="footnote reference"/>
    <w:rsid w:val="009B5CC0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rsid w:val="009B5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CC0"/>
  </w:style>
  <w:style w:type="paragraph" w:styleId="Footer">
    <w:name w:val="footer"/>
    <w:basedOn w:val="Normal"/>
    <w:rsid w:val="009B5C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9B5CC0"/>
  </w:style>
  <w:style w:type="character" w:styleId="EndnoteReference">
    <w:name w:val="endnote reference"/>
    <w:rsid w:val="009B5CC0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rsid w:val="009B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4</Pages>
  <Words>1362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CRC/C/ROM/Q/4</vt:lpstr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CRC/C/ROM/Q/4</dc:title>
  <dc:subject>Final</dc:subject>
  <dc:creator>N. Monnin</dc:creator>
  <cp:keywords/>
  <dc:description/>
  <cp:lastModifiedBy>N. Monnin</cp:lastModifiedBy>
  <cp:revision>2</cp:revision>
  <cp:lastPrinted>2009-04-23T13:43:00Z</cp:lastPrinted>
  <dcterms:created xsi:type="dcterms:W3CDTF">2009-04-23T13:44:00Z</dcterms:created>
  <dcterms:modified xsi:type="dcterms:W3CDTF">2009-04-23T13:44:00Z</dcterms:modified>
</cp:coreProperties>
</file>