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25A0533C" w14:textId="77777777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D78AFAD" w14:textId="77777777" w:rsidR="002D5AAC" w:rsidRDefault="002D5AAC" w:rsidP="00C06C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69F8369E" w14:textId="77777777"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72544322" w14:textId="77777777" w:rsidR="002D5AAC" w:rsidRDefault="00C06C2B" w:rsidP="00C06C2B">
            <w:pPr>
              <w:jc w:val="right"/>
            </w:pPr>
            <w:r w:rsidRPr="00C06C2B">
              <w:rPr>
                <w:sz w:val="40"/>
              </w:rPr>
              <w:t>CERD</w:t>
            </w:r>
            <w:r>
              <w:t>/C/COL/CO/17-19</w:t>
            </w:r>
          </w:p>
        </w:tc>
      </w:tr>
      <w:tr w:rsidR="002D5AAC" w:rsidRPr="00C06C2B" w14:paraId="36B419C7" w14:textId="77777777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A5DD39" w14:textId="77777777"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40C93F4" wp14:editId="2194ED9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247E92" w14:textId="77777777"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318569F" w14:textId="77777777" w:rsidR="002D5AAC" w:rsidRPr="00C06C2B" w:rsidRDefault="00C06C2B" w:rsidP="008D2AAD">
            <w:pPr>
              <w:spacing w:before="240"/>
              <w:rPr>
                <w:lang w:val="en-US"/>
              </w:rPr>
            </w:pPr>
            <w:r w:rsidRPr="00C06C2B">
              <w:rPr>
                <w:lang w:val="en-US"/>
              </w:rPr>
              <w:t>Distr.: General</w:t>
            </w:r>
          </w:p>
          <w:p w14:paraId="27BFD25A" w14:textId="77777777" w:rsidR="00C06C2B" w:rsidRPr="00C06C2B" w:rsidRDefault="00C06C2B" w:rsidP="00C06C2B">
            <w:pPr>
              <w:spacing w:line="240" w:lineRule="exact"/>
              <w:rPr>
                <w:lang w:val="en-US"/>
              </w:rPr>
            </w:pPr>
            <w:r w:rsidRPr="00C06C2B">
              <w:rPr>
                <w:lang w:val="en-US"/>
              </w:rPr>
              <w:t>22 January 2020</w:t>
            </w:r>
          </w:p>
          <w:p w14:paraId="04F59E92" w14:textId="77777777" w:rsidR="00C06C2B" w:rsidRPr="00C06C2B" w:rsidRDefault="00C06C2B" w:rsidP="00C06C2B">
            <w:pPr>
              <w:spacing w:line="240" w:lineRule="exact"/>
              <w:rPr>
                <w:lang w:val="en-US"/>
              </w:rPr>
            </w:pPr>
            <w:r w:rsidRPr="00C06C2B">
              <w:rPr>
                <w:lang w:val="en-US"/>
              </w:rPr>
              <w:t>Russian</w:t>
            </w:r>
          </w:p>
          <w:p w14:paraId="5DD104DA" w14:textId="77777777" w:rsidR="00C06C2B" w:rsidRPr="00C06C2B" w:rsidRDefault="00C06C2B" w:rsidP="00C06C2B">
            <w:pPr>
              <w:spacing w:line="240" w:lineRule="exact"/>
              <w:rPr>
                <w:lang w:val="en-US"/>
              </w:rPr>
            </w:pPr>
            <w:r w:rsidRPr="00C06C2B">
              <w:rPr>
                <w:lang w:val="en-US"/>
              </w:rPr>
              <w:t>Original: Spanish</w:t>
            </w:r>
          </w:p>
        </w:tc>
      </w:tr>
    </w:tbl>
    <w:p w14:paraId="364DC76D" w14:textId="77777777" w:rsidR="00C06C2B" w:rsidRPr="00DE3F0B" w:rsidRDefault="00C06C2B" w:rsidP="00C06C2B">
      <w:pPr>
        <w:spacing w:before="120"/>
        <w:rPr>
          <w:sz w:val="24"/>
          <w:szCs w:val="24"/>
        </w:rPr>
      </w:pPr>
      <w:r w:rsidRPr="00DE3F0B">
        <w:rPr>
          <w:b/>
          <w:bCs/>
          <w:sz w:val="24"/>
          <w:szCs w:val="24"/>
        </w:rPr>
        <w:t>Комите</w:t>
      </w:r>
      <w:bookmarkStart w:id="0" w:name="_GoBack"/>
      <w:bookmarkEnd w:id="0"/>
      <w:r w:rsidRPr="00DE3F0B">
        <w:rPr>
          <w:b/>
          <w:bCs/>
          <w:sz w:val="24"/>
          <w:szCs w:val="24"/>
        </w:rPr>
        <w:t>т по ликвидации расовой дискриминации</w:t>
      </w:r>
    </w:p>
    <w:p w14:paraId="60E87C29" w14:textId="77777777" w:rsidR="00C06C2B" w:rsidRPr="00712D2F" w:rsidRDefault="00C06C2B" w:rsidP="00C06C2B">
      <w:pPr>
        <w:pStyle w:val="HChG"/>
      </w:pPr>
      <w:r>
        <w:tab/>
      </w:r>
      <w:r>
        <w:tab/>
      </w:r>
      <w:r>
        <w:rPr>
          <w:bCs/>
        </w:rPr>
        <w:t>Заключительные замечания по объединенным семнадцатому–девятнадцатому периодическим докладам Колумбии</w:t>
      </w:r>
      <w:r w:rsidRPr="00DE3F0B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51F00962" w14:textId="77777777" w:rsidR="00C06C2B" w:rsidRPr="004842B2" w:rsidRDefault="00C06C2B" w:rsidP="00C06C2B">
      <w:pPr>
        <w:pStyle w:val="SingleTxtG"/>
        <w:rPr>
          <w:rFonts w:eastAsia="SimSun"/>
        </w:rPr>
      </w:pPr>
      <w:r>
        <w:t>1.</w:t>
      </w:r>
      <w:r>
        <w:tab/>
        <w:t>Комитет рассмотрел объединенные семнадцатый–девятнадцатый периодические доклады Колумбии, представленные в одном документе (CERD/C/</w:t>
      </w:r>
      <w:r w:rsidR="00DE3F0B">
        <w:br/>
      </w:r>
      <w:r>
        <w:t>COL/17-19), на своих 2778-м и 2779-м заседаниях (CERD/C/SR.2778 и 2779), состоявшихся 27 и 28 ноября 2019 года. На своем 2795-м заседании, состоявшемся 10</w:t>
      </w:r>
      <w:r w:rsidR="00DE3F0B">
        <w:rPr>
          <w:lang w:val="en-US"/>
        </w:rPr>
        <w:t> </w:t>
      </w:r>
      <w:r>
        <w:t>декабря 2019 года, он принял настоящие заключительные замечания.</w:t>
      </w:r>
    </w:p>
    <w:p w14:paraId="00A4E24D" w14:textId="77777777" w:rsidR="00C06C2B" w:rsidRPr="00493B2A" w:rsidRDefault="00DE3F0B" w:rsidP="00DE3F0B">
      <w:pPr>
        <w:pStyle w:val="H1G"/>
        <w:rPr>
          <w:rFonts w:eastAsia="SimSun"/>
        </w:rPr>
      </w:pPr>
      <w:r>
        <w:tab/>
      </w:r>
      <w:r w:rsidR="00C06C2B">
        <w:t>A.</w:t>
      </w:r>
      <w:r w:rsidR="00C06C2B">
        <w:tab/>
        <w:t>Введение</w:t>
      </w:r>
    </w:p>
    <w:p w14:paraId="508A5473" w14:textId="77777777" w:rsidR="00C06C2B" w:rsidRPr="00493B2A" w:rsidRDefault="00C06C2B" w:rsidP="00C06C2B">
      <w:pPr>
        <w:pStyle w:val="SingleTxtG"/>
        <w:rPr>
          <w:rFonts w:eastAsia="SimSun"/>
        </w:rPr>
      </w:pPr>
      <w:r w:rsidRPr="00DE3F0B">
        <w:rPr>
          <w:spacing w:val="-2"/>
        </w:rPr>
        <w:t>2.</w:t>
      </w:r>
      <w:r w:rsidRPr="00DE3F0B">
        <w:rPr>
          <w:spacing w:val="-2"/>
        </w:rPr>
        <w:tab/>
        <w:t>Комитет приветствует своевременное представление семнадцатого–девятнадцатого периодических докладов государства-участника (CERD/C/COL/17-19)</w:t>
      </w:r>
      <w:r>
        <w:t>, объединенных в одном документе. Он с удовлетворением отмечает открытый диалог с делегацией высокого уровня государства-участника и благодарит ее за информацию, представленную ему в письменном виде.</w:t>
      </w:r>
    </w:p>
    <w:p w14:paraId="65D6AD9F" w14:textId="77777777" w:rsidR="00C06C2B" w:rsidRPr="00493B2A" w:rsidRDefault="00DE3F0B" w:rsidP="00DE3F0B">
      <w:pPr>
        <w:pStyle w:val="H1G"/>
        <w:rPr>
          <w:rFonts w:eastAsia="SimSun"/>
        </w:rPr>
      </w:pPr>
      <w:r>
        <w:tab/>
      </w:r>
      <w:r w:rsidR="00C06C2B">
        <w:t>B.</w:t>
      </w:r>
      <w:r w:rsidR="00C06C2B">
        <w:tab/>
        <w:t>Позитивные аспекты</w:t>
      </w:r>
    </w:p>
    <w:p w14:paraId="77CF9D00" w14:textId="77777777" w:rsidR="00C06C2B" w:rsidRDefault="00C06C2B" w:rsidP="00C06C2B">
      <w:pPr>
        <w:pStyle w:val="SingleTxtG"/>
        <w:rPr>
          <w:rFonts w:eastAsia="SimSun"/>
        </w:rPr>
      </w:pPr>
      <w:r>
        <w:t>3.</w:t>
      </w:r>
      <w:r>
        <w:tab/>
        <w:t>Комитет приветствует принятые государством-участником следующие законодательные, институциональные и политические меры:</w:t>
      </w:r>
    </w:p>
    <w:p w14:paraId="72C70CF2" w14:textId="77777777" w:rsidR="00C06C2B" w:rsidRPr="00576F4F" w:rsidRDefault="00C06C2B" w:rsidP="00C06C2B">
      <w:pPr>
        <w:pStyle w:val="SingleTxtG"/>
        <w:ind w:firstLine="567"/>
        <w:rPr>
          <w:rFonts w:eastAsia="SimSun"/>
        </w:rPr>
      </w:pPr>
      <w:r>
        <w:t>a)</w:t>
      </w:r>
      <w:r>
        <w:tab/>
        <w:t xml:space="preserve">Национальный план развития на 2018–2022 годы </w:t>
      </w:r>
      <w:r w:rsidR="00DE3F0B">
        <w:t>«</w:t>
      </w:r>
      <w:r>
        <w:t>Пакт для Колумбии, пакт за справедливость</w:t>
      </w:r>
      <w:r w:rsidR="00DE3F0B">
        <w:t>»</w:t>
      </w:r>
      <w:r>
        <w:t xml:space="preserve"> (Закон № 1955 от 2019 года);</w:t>
      </w:r>
    </w:p>
    <w:p w14:paraId="59489B2B" w14:textId="77777777" w:rsidR="00C06C2B" w:rsidRPr="009B70B0" w:rsidRDefault="00C06C2B" w:rsidP="00C06C2B">
      <w:pPr>
        <w:pStyle w:val="SingleTxtG"/>
        <w:ind w:firstLine="567"/>
        <w:rPr>
          <w:rFonts w:eastAsia="SimSun"/>
        </w:rPr>
      </w:pPr>
      <w:r>
        <w:t>b)</w:t>
      </w:r>
      <w:r>
        <w:tab/>
        <w:t>Закон № 1997 от 2019 года, на основании которого был изменен порядок предоставления гражданства детям венесуэльских мигрантов, родившимся в Колумбии;</w:t>
      </w:r>
    </w:p>
    <w:p w14:paraId="5175B92E" w14:textId="77777777" w:rsidR="00C06C2B" w:rsidRPr="009B70B0" w:rsidRDefault="00C06C2B" w:rsidP="00C06C2B">
      <w:pPr>
        <w:pStyle w:val="SingleTxtG"/>
        <w:ind w:firstLine="567"/>
        <w:rPr>
          <w:rFonts w:eastAsia="SimSun"/>
        </w:rPr>
      </w:pPr>
      <w:r>
        <w:t>c)</w:t>
      </w:r>
      <w:r>
        <w:tab/>
        <w:t>Закон № 1833 от 2017 года о создании юридической комиссии Конгресса Колумбии по защите прав чернокожих общин или афроколумбийского населения;</w:t>
      </w:r>
    </w:p>
    <w:p w14:paraId="2C4DFD84" w14:textId="77777777" w:rsidR="00C06C2B" w:rsidRPr="009B70B0" w:rsidRDefault="00C06C2B" w:rsidP="00C06C2B">
      <w:pPr>
        <w:pStyle w:val="SingleTxtG"/>
        <w:ind w:firstLine="567"/>
      </w:pPr>
      <w:r>
        <w:t>d)</w:t>
      </w:r>
      <w:r>
        <w:tab/>
        <w:t>указ № 2124 от 2017 года, который регламентирует функционирование системы по предупреждению и оповещению для быстрого реагирования на существование, действия и/или деятельность организаций и на преступные деяния и поведение, которые ставят под угрозу права населения и осуществление Окончательного соглашения о прекращении вооруженного конфликта и строительстве стабильного и прочного мира;</w:t>
      </w:r>
    </w:p>
    <w:p w14:paraId="470388B2" w14:textId="77777777" w:rsidR="00C06C2B" w:rsidRPr="00CB198F" w:rsidRDefault="00C06C2B" w:rsidP="00C06C2B">
      <w:pPr>
        <w:pStyle w:val="SingleTxtG"/>
        <w:ind w:firstLine="567"/>
      </w:pPr>
      <w:r>
        <w:t>e)</w:t>
      </w:r>
      <w:r>
        <w:tab/>
        <w:t>вступивший в силу в 2018 году указ № 1953 от 2014 года, в соответствии с которым был признан первый в Колумбии университет коренных народов – Автономный межкультурный университет коренных народов в Кауке;</w:t>
      </w:r>
    </w:p>
    <w:p w14:paraId="6D9FE309" w14:textId="77777777" w:rsidR="00C06C2B" w:rsidRPr="00200A11" w:rsidRDefault="00C06C2B" w:rsidP="00C06C2B">
      <w:pPr>
        <w:pStyle w:val="SingleTxtG"/>
        <w:ind w:firstLine="567"/>
        <w:rPr>
          <w:rFonts w:eastAsia="SimSun"/>
        </w:rPr>
      </w:pPr>
      <w:r>
        <w:t>f)</w:t>
      </w:r>
      <w:r>
        <w:tab/>
        <w:t>Национальная стратегия по обеспечению прав человека</w:t>
      </w:r>
      <w:r w:rsidR="00DE3F0B">
        <w:br/>
      </w:r>
      <w:r>
        <w:t>на 2014–2034 годы.</w:t>
      </w:r>
    </w:p>
    <w:p w14:paraId="29D5D053" w14:textId="77777777" w:rsidR="00C06C2B" w:rsidRPr="006B129C" w:rsidRDefault="00DE3F0B" w:rsidP="00C06C2B">
      <w:pPr>
        <w:pStyle w:val="H1G"/>
      </w:pPr>
      <w:r>
        <w:rPr>
          <w:bCs/>
        </w:rPr>
        <w:tab/>
      </w:r>
      <w:r w:rsidR="00C06C2B">
        <w:rPr>
          <w:bCs/>
        </w:rPr>
        <w:t>C.</w:t>
      </w:r>
      <w:r w:rsidR="00C06C2B">
        <w:rPr>
          <w:bCs/>
        </w:rPr>
        <w:tab/>
        <w:t>Вопросы, вызывающие озабоченность, и рекомендации</w:t>
      </w:r>
    </w:p>
    <w:p w14:paraId="0AA5C3F7" w14:textId="77777777" w:rsidR="00C06C2B" w:rsidRPr="00392A9B" w:rsidRDefault="00C06C2B" w:rsidP="00C06C2B">
      <w:pPr>
        <w:pStyle w:val="H23G"/>
      </w:pPr>
      <w:r>
        <w:tab/>
      </w:r>
      <w:r>
        <w:tab/>
      </w:r>
      <w:r>
        <w:rPr>
          <w:bCs/>
        </w:rPr>
        <w:t>Демографический состав населения</w:t>
      </w:r>
    </w:p>
    <w:p w14:paraId="145B9CF8" w14:textId="77777777" w:rsidR="00C06C2B" w:rsidRDefault="00C06C2B" w:rsidP="00C06C2B">
      <w:pPr>
        <w:pStyle w:val="SingleTxtG"/>
        <w:rPr>
          <w:rFonts w:eastAsia="SimSun"/>
        </w:rPr>
      </w:pPr>
      <w:r>
        <w:t>4.</w:t>
      </w:r>
      <w:r>
        <w:tab/>
        <w:t>Комитет принимает к сведению проведение в 2018 году национальной переписи населения и жилого фонда и участие в ней коренного населения, лиц африканского происхождения и рома. Вместе с тем он выражает обеспокоенность по поводу того, что результаты переписи не отражают должным образом численности афроколумбийцев, чернокожих лиц и представителей общин паленкеро и раисалес, поскольку, согласно данным, полученным в ходе этой переписи, указанная группа населения сократилась почти на 31% по сравнению с переписью 2005 года. Признавая усилия государства-участника, направленные на коррекцию этих данных и доведение указанной цифры до уровня оценки, основанной на сведениях, полученных в ходе состоявшегося в 2018 году обзора качества жизни, Комитет, тем не менее, считает, что данные по этой группе населения отражены неточно (статья 2).</w:t>
      </w:r>
    </w:p>
    <w:p w14:paraId="19A19F74" w14:textId="77777777" w:rsidR="00C06C2B" w:rsidRPr="007814BB" w:rsidRDefault="00C06C2B" w:rsidP="00C06C2B">
      <w:pPr>
        <w:pStyle w:val="SingleTxtG"/>
        <w:rPr>
          <w:rFonts w:eastAsia="SimSun"/>
          <w:b/>
          <w:bCs/>
        </w:rPr>
      </w:pPr>
      <w:r>
        <w:t>5.</w:t>
      </w:r>
      <w:r>
        <w:tab/>
      </w:r>
      <w:r>
        <w:rPr>
          <w:b/>
          <w:bCs/>
        </w:rPr>
        <w:t>Комитет подтверждает свою рекомендацию и настоятельно призывает государство-участник собирать и представлять надежные, обновленные и полные статистические данные о демографическом составе населения, а также о социально-экономических показателях в разбивке по этнической принадлежности, полу, возрасту, регионам и городским и сельским районам, включая наиболее отдаленные из них.</w:t>
      </w:r>
      <w:r>
        <w:t xml:space="preserve"> </w:t>
      </w:r>
      <w:r>
        <w:rPr>
          <w:b/>
          <w:bCs/>
        </w:rPr>
        <w:t>В этой связи Комитет призывает государство-участник при содействии коренного населения, лиц африканского происхождения и рома продолжать усилия, направленные на освоение надлежащей методологии для проведения следующей переписи населения и жилого фонда, которая обеспечит сбор точных и надежных статистических данных об этих группах населения, в частности об афроколумбийцах, чернокожих лицах и представителях общин паленкеро и раисалес.</w:t>
      </w:r>
      <w:r>
        <w:t xml:space="preserve"> </w:t>
      </w:r>
      <w:r>
        <w:rPr>
          <w:b/>
          <w:bCs/>
        </w:rPr>
        <w:t>Кроме того, он рекомендует обеспечить адекватную подготовку сотрудников Национального административного управления статистики, ответственных за проведение переписи населения и жилого фонда, с тем чтобы гарантировать надлежащее применение и учет критерия самоидентификации.</w:t>
      </w:r>
      <w:r>
        <w:t xml:space="preserve"> </w:t>
      </w:r>
      <w:r>
        <w:rPr>
          <w:b/>
          <w:bCs/>
        </w:rPr>
        <w:t>Комитет обращает внимание государства-участника на свою общую рекомендацию № 4 (1973 год), касающуюся представления докладов государствами-участниками, в части, относящейся к демографическому составу населения.</w:t>
      </w:r>
    </w:p>
    <w:p w14:paraId="686ED1F2" w14:textId="77777777" w:rsidR="00C06C2B" w:rsidRDefault="00C06C2B" w:rsidP="00C06C2B">
      <w:pPr>
        <w:pStyle w:val="H23G"/>
      </w:pPr>
      <w:r>
        <w:tab/>
      </w:r>
      <w:r>
        <w:tab/>
      </w:r>
      <w:r>
        <w:rPr>
          <w:bCs/>
        </w:rPr>
        <w:t>Определение расовой дискриминации</w:t>
      </w:r>
      <w:r>
        <w:t xml:space="preserve"> </w:t>
      </w:r>
    </w:p>
    <w:p w14:paraId="7E792294" w14:textId="77777777" w:rsidR="00C06C2B" w:rsidRDefault="00C06C2B" w:rsidP="00C06C2B">
      <w:pPr>
        <w:pStyle w:val="SingleTxtG"/>
        <w:rPr>
          <w:rFonts w:eastAsia="Calibri"/>
        </w:rPr>
      </w:pPr>
      <w:r>
        <w:t>6.</w:t>
      </w:r>
      <w:r>
        <w:tab/>
        <w:t>Комитет обеспокоен тем, что определение расовой дискриминации, содержащееся в Законе № 1482 от 2011 года, по-прежнему не соответствует пункту 1 статьи 1 Конвенции. Кроме того, он озабочен неэффективным применением этого закона, о чем свидетельствует незначительное число расследований и обвинительных приговоров по делам о расовой дискриминации (статьи 1, 2, 5 и 6).</w:t>
      </w:r>
    </w:p>
    <w:p w14:paraId="083076AA" w14:textId="77777777" w:rsidR="00C06C2B" w:rsidRDefault="00C06C2B" w:rsidP="00C06C2B">
      <w:pPr>
        <w:pStyle w:val="SingleTxtG"/>
        <w:rPr>
          <w:rFonts w:eastAsia="Calibri"/>
          <w:b/>
        </w:rPr>
      </w:pPr>
      <w:r>
        <w:t>7.</w:t>
      </w:r>
      <w:r>
        <w:tab/>
      </w:r>
      <w:r>
        <w:rPr>
          <w:b/>
          <w:bCs/>
        </w:rPr>
        <w:t>Комитет подтверждает свою предыдущую рекомендацию (CERD/C/COL/</w:t>
      </w:r>
      <w:r w:rsidR="00DE3F0B">
        <w:rPr>
          <w:b/>
          <w:bCs/>
        </w:rPr>
        <w:br/>
      </w:r>
      <w:r>
        <w:rPr>
          <w:b/>
          <w:bCs/>
        </w:rPr>
        <w:t>CO/15-16, пункт 10) и настоятельно призывает государство-участник включить в свое законодательство определение расовой дискриминации, которое соответствовало бы статье 1 Конвенции.</w:t>
      </w:r>
      <w:r>
        <w:t xml:space="preserve"> </w:t>
      </w:r>
      <w:r>
        <w:rPr>
          <w:b/>
          <w:bCs/>
        </w:rPr>
        <w:t>Комитет настоятельно призывает государство-участник принять необходимые меры для обеспечения эффективного соблюдения Закона № 1482 и провести тщательное расследование случаев расовой дискриминации, надлежащим образом наказав виновных.</w:t>
      </w:r>
    </w:p>
    <w:p w14:paraId="464504A4" w14:textId="77777777" w:rsidR="00C06C2B" w:rsidRDefault="00C06C2B" w:rsidP="00C06C2B">
      <w:pPr>
        <w:pStyle w:val="H23G"/>
        <w:rPr>
          <w:rFonts w:eastAsia="Calibri"/>
        </w:rPr>
      </w:pPr>
      <w:r>
        <w:tab/>
      </w:r>
      <w:r>
        <w:tab/>
      </w:r>
      <w:r>
        <w:rPr>
          <w:bCs/>
        </w:rPr>
        <w:t>Запрет на прямую и косвенную дискриминацию</w:t>
      </w:r>
    </w:p>
    <w:p w14:paraId="60CFD9D9" w14:textId="77777777" w:rsidR="00C06C2B" w:rsidRDefault="00C06C2B" w:rsidP="00C06C2B">
      <w:pPr>
        <w:pStyle w:val="SingleTxtG"/>
        <w:rPr>
          <w:rFonts w:eastAsia="Calibri"/>
        </w:rPr>
      </w:pPr>
      <w:r>
        <w:t>8.</w:t>
      </w:r>
      <w:r>
        <w:tab/>
        <w:t xml:space="preserve">Комитет по-прежнему обеспокоен отсутствием в административном или гражданском законодательстве общего положения, запрещающего прямую и косвенную расовую дискриминацию во всех сферах общественной жизни и в отношении прав, закрепленных в статье 5 Конвенции (статьи 2 и 5). </w:t>
      </w:r>
    </w:p>
    <w:p w14:paraId="20E5449B" w14:textId="77777777" w:rsidR="00C06C2B" w:rsidRDefault="00C06C2B" w:rsidP="00C06C2B">
      <w:pPr>
        <w:pStyle w:val="SingleTxtG"/>
        <w:rPr>
          <w:rFonts w:eastAsia="Calibri"/>
          <w:b/>
        </w:rPr>
      </w:pPr>
      <w:r>
        <w:t>9.</w:t>
      </w:r>
      <w:r>
        <w:tab/>
      </w:r>
      <w:r>
        <w:rPr>
          <w:b/>
          <w:bCs/>
        </w:rPr>
        <w:t>Комитет рекомендует государству-участнику включить в свое административное и гражданское законодательство запрет на прямую и косвенную дискриминацию во всех сферах общественной жизни, а также в отношении прав, закрепленных в статье 5 Конвенции.</w:t>
      </w:r>
    </w:p>
    <w:p w14:paraId="1685C1EE" w14:textId="77777777" w:rsidR="00C06C2B" w:rsidRDefault="00C06C2B" w:rsidP="00C06C2B">
      <w:pPr>
        <w:pStyle w:val="H23G"/>
        <w:rPr>
          <w:rFonts w:eastAsia="Calibri"/>
        </w:rPr>
      </w:pPr>
      <w:r>
        <w:tab/>
      </w:r>
      <w:r>
        <w:tab/>
      </w:r>
      <w:r>
        <w:rPr>
          <w:bCs/>
        </w:rPr>
        <w:t>Расовая ненависть и подстрекательство к расовой дискриминации</w:t>
      </w:r>
    </w:p>
    <w:p w14:paraId="246D9636" w14:textId="77777777" w:rsidR="00C06C2B" w:rsidRDefault="00C06C2B" w:rsidP="00C06C2B">
      <w:pPr>
        <w:pStyle w:val="SingleTxtG"/>
        <w:rPr>
          <w:rFonts w:eastAsia="Calibri"/>
        </w:rPr>
      </w:pPr>
      <w:r>
        <w:t>10.</w:t>
      </w:r>
      <w:r>
        <w:tab/>
        <w:t>Комитет обеспокоен ростом в государстве-участнике числа высказываний, носящих дискриминационный, расово ненавистнический и ксенофобский характер, особенно в отношении мигрантов, в частности инфицированных ВИЧ и принадлежащих к числу ЛГБТИ. Комитет подтверждает ранее высказывавшуюся им озабоченность по поводу того, что уголовное законодательство по-прежнему не в полной мере соответствует статье 4 Конвенции и что в него до сих пор не включено ни одно упоминание о пропагандистской деятельности, поощряющей расовую дискриминацию и подстрекающей к ней (статьи 4 и 6).</w:t>
      </w:r>
    </w:p>
    <w:p w14:paraId="1B286BCA" w14:textId="77777777" w:rsidR="00C06C2B" w:rsidRPr="007432EC" w:rsidRDefault="00C06C2B" w:rsidP="00C06C2B">
      <w:pPr>
        <w:pStyle w:val="SingleTxtG"/>
        <w:rPr>
          <w:rFonts w:eastAsia="SimSun"/>
          <w:b/>
          <w:bCs/>
        </w:rPr>
      </w:pPr>
      <w:r>
        <w:t>11.</w:t>
      </w:r>
      <w:r>
        <w:tab/>
      </w:r>
      <w:r>
        <w:rPr>
          <w:b/>
          <w:bCs/>
        </w:rPr>
        <w:t>Комитет обращает внимание государства-участника на свои общие рекомендации № 15 (1993 год) по статье 4 Конвенции и № 35 (2013 год) о борьбе с ненавистническими высказываниями расистского толка и рекомендует государству-участнику:</w:t>
      </w:r>
    </w:p>
    <w:p w14:paraId="78BBD382" w14:textId="77777777" w:rsidR="00C06C2B" w:rsidRPr="00DE3F0B" w:rsidRDefault="00C06C2B" w:rsidP="00C06C2B">
      <w:pPr>
        <w:pStyle w:val="SingleTxtG"/>
        <w:ind w:firstLine="567"/>
        <w:rPr>
          <w:rFonts w:eastAsia="Calibri"/>
          <w:b/>
        </w:rPr>
      </w:pPr>
      <w:r w:rsidRPr="00DE3F0B">
        <w:rPr>
          <w:b/>
        </w:rPr>
        <w:t>a)</w:t>
      </w:r>
      <w:r w:rsidRPr="00DE3F0B">
        <w:rPr>
          <w:b/>
        </w:rPr>
        <w:tab/>
      </w:r>
      <w:r w:rsidRPr="00DE3F0B">
        <w:rPr>
          <w:b/>
          <w:bCs/>
        </w:rPr>
        <w:t>принимать эффективные меры по предупреждению и пресечению высказываний, направленных на разжигание ненависти, расовую дискриминацию и проявления расизма;</w:t>
      </w:r>
    </w:p>
    <w:p w14:paraId="58AE2C18" w14:textId="77777777" w:rsidR="00C06C2B" w:rsidRPr="00DE3F0B" w:rsidRDefault="00C06C2B" w:rsidP="00C06C2B">
      <w:pPr>
        <w:pStyle w:val="SingleTxtG"/>
        <w:ind w:firstLine="567"/>
        <w:rPr>
          <w:rFonts w:eastAsia="SimSun"/>
          <w:b/>
          <w:bCs/>
        </w:rPr>
      </w:pPr>
      <w:r w:rsidRPr="00DE3F0B">
        <w:rPr>
          <w:b/>
        </w:rPr>
        <w:t>b)</w:t>
      </w:r>
      <w:r w:rsidRPr="00DE3F0B">
        <w:rPr>
          <w:b/>
        </w:rPr>
        <w:tab/>
      </w:r>
      <w:r w:rsidRPr="00DE3F0B">
        <w:rPr>
          <w:b/>
          <w:bCs/>
        </w:rPr>
        <w:t>обеспечить расследование всех случаев ксенофобии и подстрекательства к ненависти и расовой дискриминации или к насилию по признаку расы, а также привлечение к ответственности и надлежащее наказание виновных;</w:t>
      </w:r>
    </w:p>
    <w:p w14:paraId="2CDE76F4" w14:textId="77777777" w:rsidR="00C06C2B" w:rsidRPr="00DE3F0B" w:rsidRDefault="00C06C2B" w:rsidP="00C06C2B">
      <w:pPr>
        <w:pStyle w:val="SingleTxtG"/>
        <w:ind w:firstLine="567"/>
        <w:rPr>
          <w:b/>
        </w:rPr>
      </w:pPr>
      <w:r w:rsidRPr="00DE3F0B">
        <w:rPr>
          <w:b/>
        </w:rPr>
        <w:t>с)</w:t>
      </w:r>
      <w:r w:rsidRPr="00DE3F0B">
        <w:rPr>
          <w:b/>
        </w:rPr>
        <w:tab/>
      </w:r>
      <w:r w:rsidRPr="00DE3F0B">
        <w:rPr>
          <w:b/>
          <w:bCs/>
        </w:rPr>
        <w:t>проводить среди населения информационно-просветительские кампании по вопросам уважения разнообразия и ликвидации расовой дискриминации;</w:t>
      </w:r>
    </w:p>
    <w:p w14:paraId="6D862722" w14:textId="77777777" w:rsidR="00C06C2B" w:rsidRPr="00DE3F0B" w:rsidRDefault="00C06C2B" w:rsidP="00C06C2B">
      <w:pPr>
        <w:pStyle w:val="SingleTxtG"/>
        <w:ind w:firstLine="567"/>
        <w:rPr>
          <w:rFonts w:eastAsia="SimSun"/>
          <w:b/>
          <w:bCs/>
        </w:rPr>
      </w:pPr>
      <w:r w:rsidRPr="00DE3F0B">
        <w:rPr>
          <w:b/>
        </w:rPr>
        <w:t>d)</w:t>
      </w:r>
      <w:r w:rsidRPr="00DE3F0B">
        <w:rPr>
          <w:b/>
        </w:rPr>
        <w:tab/>
      </w:r>
      <w:r w:rsidRPr="00DE3F0B">
        <w:rPr>
          <w:b/>
          <w:bCs/>
        </w:rPr>
        <w:t>в соответствии с предыдущими рекомендациями Комитета установить уголовную ответственность за распространение идей, которые оправдывают или поощряют расовую ненависть, и запретить организации, которые поощряют расовую дискриминацию и подстрекают к ней.</w:t>
      </w:r>
    </w:p>
    <w:p w14:paraId="4E9841E8" w14:textId="77777777" w:rsidR="00C06C2B" w:rsidRPr="00E3547B" w:rsidRDefault="00C06C2B" w:rsidP="00C06C2B">
      <w:pPr>
        <w:pStyle w:val="H23G"/>
      </w:pPr>
      <w:r>
        <w:tab/>
      </w:r>
      <w:r>
        <w:tab/>
      </w:r>
      <w:r>
        <w:rPr>
          <w:bCs/>
        </w:rPr>
        <w:t>Воздействие вооруженного конфликта, Мирное соглашение, правосудие и</w:t>
      </w:r>
      <w:r w:rsidR="00F47252">
        <w:rPr>
          <w:bCs/>
        </w:rPr>
        <w:t> </w:t>
      </w:r>
      <w:r>
        <w:rPr>
          <w:bCs/>
        </w:rPr>
        <w:t>возмещение ущерба</w:t>
      </w:r>
    </w:p>
    <w:p w14:paraId="4225332E" w14:textId="77777777" w:rsidR="00C06C2B" w:rsidRPr="00900534" w:rsidRDefault="00C06C2B" w:rsidP="00C06C2B">
      <w:pPr>
        <w:pStyle w:val="SingleTxtG"/>
        <w:rPr>
          <w:bCs/>
        </w:rPr>
      </w:pPr>
      <w:r>
        <w:t>12.</w:t>
      </w:r>
      <w:r>
        <w:tab/>
        <w:t>Комитет озабочен насилием, которое сохраняется даже после подписания Мирного соглашения, затрагивая коренные народы и общины лиц африканского происхождения и создавая для них серьезную угрозу. В частности, его беспокоят вторжения военизированных формирований на территории, где живут эти группы населения, избирательные убийства членов общин лиц африканского происхождения и коренных народов, увеличение числа вынужденных и массовых внутренних перемещений, а также отсутствие защиты этих групп населения и продолжающаяся практика вербовки детей из числа коренных народов и детей африканского происхождения негосударственными вооруженными группами. Комитет обеспокоен также информацией о том, что сообщения о рисках, направляемые системой раннего предупреждения Управления Народного защитника, не рассматриваются межотраслевой комиссией по быстрому реагированию на ранние предупреждения должным образом и что рекомендации, выносимые Министерством внутренних дел по сообщениям о рисках, направляемым системой раннего предупреждения, не выполняются должным образом (статьи 2, 5 и 6).</w:t>
      </w:r>
    </w:p>
    <w:p w14:paraId="282933A5" w14:textId="77777777" w:rsidR="00C06C2B" w:rsidRPr="005433B6" w:rsidRDefault="00C06C2B" w:rsidP="00DE3F0B">
      <w:pPr>
        <w:pStyle w:val="SingleTxtG"/>
        <w:spacing w:line="234" w:lineRule="atLeast"/>
        <w:rPr>
          <w:b/>
          <w:bCs/>
        </w:rPr>
      </w:pPr>
      <w:r>
        <w:t>13.</w:t>
      </w:r>
      <w:r>
        <w:tab/>
      </w:r>
      <w:r>
        <w:rPr>
          <w:b/>
          <w:bCs/>
        </w:rPr>
        <w:t>Комитет подтверждает свою предыдущую рекомендацию (CERD/C/COL/</w:t>
      </w:r>
      <w:r w:rsidR="00F47252">
        <w:rPr>
          <w:b/>
          <w:bCs/>
        </w:rPr>
        <w:br/>
      </w:r>
      <w:r>
        <w:rPr>
          <w:b/>
          <w:bCs/>
        </w:rPr>
        <w:t>CO/15-16, пункт 12) и настоятельно призывает государство-участник:</w:t>
      </w:r>
      <w:r>
        <w:t xml:space="preserve"> </w:t>
      </w:r>
    </w:p>
    <w:p w14:paraId="4FAF02CE" w14:textId="77777777" w:rsidR="00C06C2B" w:rsidRPr="00DE3F0B" w:rsidRDefault="00C06C2B" w:rsidP="00DE3F0B">
      <w:pPr>
        <w:pStyle w:val="SingleTxtG"/>
        <w:spacing w:line="234" w:lineRule="atLeast"/>
        <w:ind w:firstLine="567"/>
        <w:rPr>
          <w:b/>
        </w:rPr>
      </w:pPr>
      <w:r w:rsidRPr="00DE3F0B">
        <w:rPr>
          <w:b/>
        </w:rPr>
        <w:t>a)</w:t>
      </w:r>
      <w:r w:rsidRPr="00DE3F0B">
        <w:rPr>
          <w:b/>
        </w:rPr>
        <w:tab/>
      </w:r>
      <w:r w:rsidRPr="00DE3F0B">
        <w:rPr>
          <w:b/>
          <w:bCs/>
        </w:rPr>
        <w:t>удвоить усилия по обеспечению защиты коренных народов и общин лиц африканского происхождения от насилия, которое сохраняется в рамках конфликта и по-прежнему оказывает несоразмерное воздействие на эти группы населения, и гарантировать полное соблюдение решений Конституционного суда по этому вопросу;</w:t>
      </w:r>
    </w:p>
    <w:p w14:paraId="080B65B7" w14:textId="77777777" w:rsidR="00C06C2B" w:rsidRPr="00DE3F0B" w:rsidRDefault="00C06C2B" w:rsidP="00DE3F0B">
      <w:pPr>
        <w:pStyle w:val="SingleTxtG"/>
        <w:spacing w:line="234" w:lineRule="atLeast"/>
        <w:ind w:firstLine="567"/>
        <w:rPr>
          <w:b/>
        </w:rPr>
      </w:pPr>
      <w:r w:rsidRPr="00DE3F0B">
        <w:rPr>
          <w:b/>
        </w:rPr>
        <w:t>b)</w:t>
      </w:r>
      <w:r w:rsidRPr="00DE3F0B">
        <w:rPr>
          <w:b/>
        </w:rPr>
        <w:tab/>
      </w:r>
      <w:r w:rsidRPr="00DE3F0B">
        <w:rPr>
          <w:b/>
          <w:bCs/>
        </w:rPr>
        <w:t>гарантировать надлежащую защиту от насильственного перемещения, уважая при этом права, обычаи, традиции и культуру коренных народов, обеспечивая полное соблюдение решений Конституционного суда по этому вопросу и принимая во внимание положения статьи 10 Декларации Организации Объединенных Наций о правах коренных народов, и гарантировать им, когда это возможно, возможность возвращения;</w:t>
      </w:r>
      <w:r w:rsidRPr="00DE3F0B">
        <w:rPr>
          <w:b/>
        </w:rPr>
        <w:t xml:space="preserve"> </w:t>
      </w:r>
    </w:p>
    <w:p w14:paraId="3849DEE5" w14:textId="77777777" w:rsidR="00C06C2B" w:rsidRPr="00DE3F0B" w:rsidRDefault="00C06C2B" w:rsidP="00DE3F0B">
      <w:pPr>
        <w:pStyle w:val="SingleTxtG"/>
        <w:spacing w:line="234" w:lineRule="atLeast"/>
        <w:ind w:firstLine="567"/>
        <w:rPr>
          <w:b/>
        </w:rPr>
      </w:pPr>
      <w:r w:rsidRPr="00DE3F0B">
        <w:rPr>
          <w:b/>
        </w:rPr>
        <w:t>с)</w:t>
      </w:r>
      <w:r w:rsidRPr="00DE3F0B">
        <w:rPr>
          <w:b/>
        </w:rPr>
        <w:tab/>
      </w:r>
      <w:r w:rsidRPr="00DE3F0B">
        <w:rPr>
          <w:b/>
          <w:bCs/>
        </w:rPr>
        <w:t>активизировать усилия по предотвращению и искоренению вербовки детей из числа коренных народов и общин лиц африканского происхождения негосударственными вооруженными группами и обеспечить эффективное осуществление мер, принимаемых для их демобилизации и реинтеграции;</w:t>
      </w:r>
    </w:p>
    <w:p w14:paraId="04F8C0A0" w14:textId="77777777" w:rsidR="00C06C2B" w:rsidRPr="00DE3F0B" w:rsidRDefault="00C06C2B" w:rsidP="00DE3F0B">
      <w:pPr>
        <w:pStyle w:val="SingleTxtG"/>
        <w:spacing w:line="234" w:lineRule="atLeast"/>
        <w:ind w:firstLine="567"/>
        <w:rPr>
          <w:b/>
        </w:rPr>
      </w:pPr>
      <w:r w:rsidRPr="00DE3F0B">
        <w:rPr>
          <w:b/>
        </w:rPr>
        <w:t>d)</w:t>
      </w:r>
      <w:r w:rsidRPr="00DE3F0B">
        <w:rPr>
          <w:b/>
        </w:rPr>
        <w:tab/>
      </w:r>
      <w:r w:rsidRPr="00DE3F0B">
        <w:rPr>
          <w:b/>
          <w:bCs/>
        </w:rPr>
        <w:t>обеспечивать, чтобы сообщения о рисках, направляемые системой раннего предупреждения Управления Народного защитника, должным образом принимались во внимание соответствующими властями, особенно межотраслевой комиссией по быстрому реагированию на ранние предупреждения, и чтобы рекомендации, выносимые Министерством внутренних дел по сообщениям о рисках, направляемым системой раннего предупреждения, выполнялись должным образом.</w:t>
      </w:r>
    </w:p>
    <w:p w14:paraId="56026DE6" w14:textId="77777777" w:rsidR="00C06C2B" w:rsidRPr="00F73B5F" w:rsidRDefault="00C06C2B" w:rsidP="00DE3F0B">
      <w:pPr>
        <w:pStyle w:val="SingleTxtG"/>
        <w:spacing w:line="234" w:lineRule="atLeast"/>
        <w:rPr>
          <w:bCs/>
        </w:rPr>
      </w:pPr>
      <w:r>
        <w:t>14.</w:t>
      </w:r>
      <w:r>
        <w:tab/>
        <w:t>Комитет принимает к сведению включение в Мирное соглашение главы, посвященной этническим вопросам. Вместе с тем он обеспокоен информацией о невыполнении положений этой главы, а также отсутствием гарантий эффективного участия коренных народов и общин лиц африканского происхождения в осуществлении Мирного соглашения. Он озабочен также отсутствием прогресса в расследованиях, судебном преследовании, наказании виновных и возмещении ущерба за нарушения прав человека, совершенные в отношении представителей коренных народов и общин лиц африканского происхождения в контексте вооруженного конфликта, включая коллективное возмещение ущерба, в частности Координационному совету женщин африканского происхождения, перемещенных в условиях сопротивления (статьи 2, 5 и 6).</w:t>
      </w:r>
    </w:p>
    <w:p w14:paraId="363EFE1A" w14:textId="77777777" w:rsidR="00C06C2B" w:rsidRDefault="00C06C2B" w:rsidP="00DE3F0B">
      <w:pPr>
        <w:pStyle w:val="SingleTxtG"/>
        <w:spacing w:line="234" w:lineRule="atLeast"/>
        <w:rPr>
          <w:b/>
          <w:bCs/>
        </w:rPr>
      </w:pPr>
      <w:r>
        <w:t>15.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29A6F45A" w14:textId="77777777" w:rsidR="00C06C2B" w:rsidRPr="00DE3F0B" w:rsidRDefault="00C06C2B" w:rsidP="00DE3F0B">
      <w:pPr>
        <w:pStyle w:val="SingleTxtG"/>
        <w:spacing w:line="234" w:lineRule="atLeast"/>
        <w:ind w:firstLine="567"/>
        <w:rPr>
          <w:b/>
        </w:rPr>
      </w:pPr>
      <w:r w:rsidRPr="00DE3F0B">
        <w:rPr>
          <w:b/>
        </w:rPr>
        <w:t>a)</w:t>
      </w:r>
      <w:r w:rsidRPr="00DE3F0B">
        <w:rPr>
          <w:b/>
        </w:rPr>
        <w:tab/>
      </w:r>
      <w:r w:rsidRPr="00DE3F0B">
        <w:rPr>
          <w:b/>
          <w:bCs/>
        </w:rPr>
        <w:t>гарантировать осуществление главы Мирного соглашения, посвященной этническим вопросам, в том числе посредством надлежащего финансирования, и обеспечить участие представителей коренных народов и общин лиц африканского происхождения, особенно женщин, в осуществлении соглашения при уважении процессов традиционного отбора, характерных для коренных народов и общин лиц африканского происхождения;</w:t>
      </w:r>
    </w:p>
    <w:p w14:paraId="04F8F06C" w14:textId="77777777" w:rsidR="00C06C2B" w:rsidRPr="00DE3F0B" w:rsidRDefault="00C06C2B" w:rsidP="00DE3F0B">
      <w:pPr>
        <w:pStyle w:val="SingleTxtG"/>
        <w:spacing w:line="234" w:lineRule="atLeast"/>
        <w:ind w:firstLine="567"/>
        <w:rPr>
          <w:b/>
        </w:rPr>
      </w:pPr>
      <w:r w:rsidRPr="00DE3F0B">
        <w:rPr>
          <w:b/>
        </w:rPr>
        <w:t>b)</w:t>
      </w:r>
      <w:r w:rsidRPr="00DE3F0B">
        <w:rPr>
          <w:b/>
        </w:rPr>
        <w:tab/>
      </w:r>
      <w:r w:rsidRPr="00DE3F0B">
        <w:rPr>
          <w:b/>
          <w:bCs/>
        </w:rPr>
        <w:t>провести исчерпывающие и эффективные расследования в целях судебного преследования и наказания лиц, ответственных за нарушения прав человека, совершенные в отношении представителей коренных народов и общин лиц африканского происхождения, затронутых вооруженным конфликтом, и принять необходимые меры для обеспечения полного возмещения ущерба жертвам, гарантировав выделение необходимых ресурсов.</w:t>
      </w:r>
    </w:p>
    <w:p w14:paraId="5D2C1CE6" w14:textId="77777777" w:rsidR="00C06C2B" w:rsidRPr="00064D4D" w:rsidRDefault="00C06C2B" w:rsidP="00C06C2B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rFonts w:eastAsia="SimSun"/>
          <w:b/>
        </w:rPr>
      </w:pPr>
      <w:r>
        <w:tab/>
      </w:r>
      <w:r>
        <w:tab/>
      </w:r>
      <w:r>
        <w:rPr>
          <w:b/>
          <w:bCs/>
        </w:rPr>
        <w:t>Структурная дискриминация</w:t>
      </w:r>
    </w:p>
    <w:p w14:paraId="005D9034" w14:textId="77777777" w:rsidR="00C06C2B" w:rsidRPr="003B0A42" w:rsidRDefault="00C06C2B" w:rsidP="00C06C2B">
      <w:pPr>
        <w:pStyle w:val="SingleTxtG"/>
        <w:rPr>
          <w:rFonts w:eastAsia="Calibri"/>
          <w:bCs/>
        </w:rPr>
      </w:pPr>
      <w:r>
        <w:t>16.</w:t>
      </w:r>
      <w:r>
        <w:tab/>
        <w:t>Комитет обеспокоен сохраняющейся структурной и исторической дискриминацией представителей коренных народов и общин лиц африканского происхождения, о чем свидетельствуют высокие показатели нищеты и социальной изоляции среди них по сравнению с остальным населением. Он озабочен также воздействием дискриминации на осуществление прав, закрепленных в статье 5 Конвенции, в частности прав на труд, на здоровье, на образование и на участие в политической жизни. В этой связи он обеспокоен: a) барьерами, препятствующими вовлечению этих групп населения в трудовую деятельность; b) отсутствием и недоступностью медицинских услуг, особенно в отдаленных сельских районах, где проживает большинство коренных народов и значительное число лиц африканского происхождения; c) случаями хронического недоедания среди детей из числа коренных народов и смерти, связанной с истощением, особенно среди детей из народностей вайю, аморуа и сикуани; d) низким уровнем образования этих групп населения по сравнению с остальным населением; и e) все еще недостаточной представленностью лиц африканского происхождения и коренных народов на всех уровнях государственного управления (статьи 1, 2, 5 и 7).</w:t>
      </w:r>
    </w:p>
    <w:p w14:paraId="2071DCE8" w14:textId="77777777" w:rsidR="00C06C2B" w:rsidRDefault="00C06C2B" w:rsidP="00C06C2B">
      <w:pPr>
        <w:pStyle w:val="SingleTxtG"/>
        <w:rPr>
          <w:rFonts w:eastAsia="Calibri"/>
          <w:b/>
          <w:bCs/>
        </w:rPr>
      </w:pPr>
      <w:r>
        <w:t>17.</w:t>
      </w:r>
      <w:r>
        <w:tab/>
      </w:r>
      <w:r>
        <w:rPr>
          <w:b/>
          <w:bCs/>
        </w:rPr>
        <w:t>Основываясь на своих общих рекомендациях № 23 (1997 год) о правах коренных народов, № 32 (2009 год) о значении и сфере применения особых мер в Конвенции и № 34 (2011 год) о расовой дискриминации в отношении лиц африканского происхождения, Комитет рекомендует государству-участнику:</w:t>
      </w:r>
      <w:r>
        <w:t xml:space="preserve"> </w:t>
      </w:r>
    </w:p>
    <w:p w14:paraId="4B3464BB" w14:textId="77777777" w:rsidR="00C06C2B" w:rsidRPr="00DE3F0B" w:rsidRDefault="00C06C2B" w:rsidP="00C06C2B">
      <w:pPr>
        <w:pStyle w:val="SingleTxtG"/>
        <w:ind w:firstLine="567"/>
        <w:rPr>
          <w:rFonts w:eastAsia="Calibri"/>
          <w:b/>
        </w:rPr>
      </w:pPr>
      <w:r w:rsidRPr="00DE3F0B">
        <w:rPr>
          <w:b/>
        </w:rPr>
        <w:t>a)</w:t>
      </w:r>
      <w:r w:rsidRPr="00DE3F0B">
        <w:rPr>
          <w:b/>
        </w:rPr>
        <w:tab/>
      </w:r>
      <w:r w:rsidRPr="00DE3F0B">
        <w:rPr>
          <w:b/>
          <w:bCs/>
        </w:rPr>
        <w:t>гарантировать защиту представителей коренных народов и лиц африканского происхождения от дискриминации со стороны государственных учреждений и должностных лиц, а также любых частных лиц, групп или организаций;</w:t>
      </w:r>
      <w:r w:rsidRPr="00DE3F0B">
        <w:rPr>
          <w:b/>
        </w:rPr>
        <w:t xml:space="preserve"> </w:t>
      </w:r>
    </w:p>
    <w:p w14:paraId="340947DB" w14:textId="77777777" w:rsidR="00C06C2B" w:rsidRPr="00DE3F0B" w:rsidRDefault="00C06C2B" w:rsidP="00C06C2B">
      <w:pPr>
        <w:pStyle w:val="SingleTxtG"/>
        <w:ind w:firstLine="567"/>
        <w:rPr>
          <w:rFonts w:eastAsia="Calibri"/>
          <w:b/>
        </w:rPr>
      </w:pPr>
      <w:r w:rsidRPr="00DE3F0B">
        <w:rPr>
          <w:b/>
        </w:rPr>
        <w:t>b)</w:t>
      </w:r>
      <w:r w:rsidRPr="00DE3F0B">
        <w:rPr>
          <w:b/>
        </w:rPr>
        <w:tab/>
      </w:r>
      <w:r w:rsidRPr="00DE3F0B">
        <w:rPr>
          <w:b/>
          <w:bCs/>
        </w:rPr>
        <w:t>эффективно содействовать социальной интеграции и снижению высоких показателей нищеты и неравенства среди представителей коренных народов и лиц африканского происхождения, в том числе посредством принятия специальных мер, направленных на ликвидацию структурной дискриминации в их отношении;</w:t>
      </w:r>
    </w:p>
    <w:p w14:paraId="631661F1" w14:textId="77777777" w:rsidR="00C06C2B" w:rsidRPr="00DE3F0B" w:rsidRDefault="00C06C2B" w:rsidP="00C06C2B">
      <w:pPr>
        <w:pStyle w:val="SingleTxtG"/>
        <w:ind w:firstLine="567"/>
        <w:rPr>
          <w:rFonts w:eastAsia="Calibri"/>
          <w:b/>
        </w:rPr>
      </w:pPr>
      <w:r w:rsidRPr="00DE3F0B">
        <w:rPr>
          <w:b/>
        </w:rPr>
        <w:t>с)</w:t>
      </w:r>
      <w:r w:rsidRPr="00DE3F0B">
        <w:rPr>
          <w:b/>
        </w:rPr>
        <w:tab/>
      </w:r>
      <w:r w:rsidRPr="00DE3F0B">
        <w:rPr>
          <w:b/>
          <w:bCs/>
        </w:rPr>
        <w:t>устранить все препятствия на пути эффективного осуществления экономических, социальных и культурных прав представителей коренных народов и общин лиц африканского происхождения, особенно в сфере труда, здравоохранения и образования;</w:t>
      </w:r>
    </w:p>
    <w:p w14:paraId="6CB83C08" w14:textId="77777777" w:rsidR="00C06C2B" w:rsidRPr="00DE3F0B" w:rsidRDefault="00C06C2B" w:rsidP="00C06C2B">
      <w:pPr>
        <w:pStyle w:val="SingleTxtG"/>
        <w:ind w:firstLine="567"/>
        <w:rPr>
          <w:rFonts w:eastAsia="Calibri"/>
          <w:b/>
          <w:bCs/>
        </w:rPr>
      </w:pPr>
      <w:r w:rsidRPr="00DE3F0B">
        <w:rPr>
          <w:b/>
        </w:rPr>
        <w:t>d)</w:t>
      </w:r>
      <w:r w:rsidRPr="00DE3F0B">
        <w:rPr>
          <w:b/>
        </w:rPr>
        <w:tab/>
      </w:r>
      <w:r w:rsidRPr="00DE3F0B">
        <w:rPr>
          <w:b/>
          <w:bCs/>
        </w:rPr>
        <w:t>принять необходимые меры для сокращения показателей хронического недоедания среди детей из числа коренных народов и для обеспечения права коренных народов на достаточное питание;</w:t>
      </w:r>
    </w:p>
    <w:p w14:paraId="72E3E4CE" w14:textId="77777777" w:rsidR="00C06C2B" w:rsidRPr="00DE3F0B" w:rsidRDefault="00C06C2B" w:rsidP="00C06C2B">
      <w:pPr>
        <w:pStyle w:val="SingleTxtG"/>
        <w:ind w:firstLine="567"/>
        <w:rPr>
          <w:rFonts w:eastAsia="Calibri"/>
          <w:b/>
          <w:bCs/>
        </w:rPr>
      </w:pPr>
      <w:r w:rsidRPr="00DE3F0B">
        <w:rPr>
          <w:b/>
        </w:rPr>
        <w:t>e)</w:t>
      </w:r>
      <w:r w:rsidRPr="00DE3F0B">
        <w:rPr>
          <w:b/>
        </w:rPr>
        <w:tab/>
      </w:r>
      <w:r w:rsidRPr="00DE3F0B">
        <w:rPr>
          <w:b/>
          <w:bCs/>
        </w:rPr>
        <w:t>в консультации с коренными народами и общинами лиц африканского происхождения и при их участии принять эффективные меры, в том числе законодательные, для обеспечения их полного участия в государственных делах как на руководящих должностях, так и в представительных учреждениях, а также обеспечить равные возможности для представленности коренных народов и общин лиц африканского происхождения на всех уровнях государственного управления как на национальном, так и на местном уровнях.</w:t>
      </w:r>
    </w:p>
    <w:p w14:paraId="2BCDB43D" w14:textId="77777777" w:rsidR="00C06C2B" w:rsidRPr="00514F6D" w:rsidRDefault="00C06C2B" w:rsidP="00C06C2B">
      <w:pPr>
        <w:pStyle w:val="H23G"/>
        <w:rPr>
          <w:rFonts w:eastAsia="Calibri"/>
        </w:rPr>
      </w:pPr>
      <w:r>
        <w:tab/>
      </w:r>
      <w:r>
        <w:tab/>
      </w:r>
      <w:r>
        <w:rPr>
          <w:bCs/>
        </w:rPr>
        <w:t>Право на предварительные консультации</w:t>
      </w:r>
    </w:p>
    <w:p w14:paraId="0D885650" w14:textId="77777777" w:rsidR="00C06C2B" w:rsidRPr="00686634" w:rsidRDefault="00C06C2B" w:rsidP="00C06C2B">
      <w:pPr>
        <w:pStyle w:val="SingleTxtG"/>
      </w:pPr>
      <w:r>
        <w:t>18.</w:t>
      </w:r>
      <w:r>
        <w:tab/>
        <w:t>Комитет обеспокоен тем, что, хотя право на предварительные консультации официально признано в колумбийском законодательстве, он получает информацию о том, что законодательные процессы в целом и выдача лицензий на инвестиционные проекты, в частности на туризм, крупное рыболовство или добычу полезных ископаемых, которые реализуются на территориях коренных народов и общин лиц африканского происхождения, осуществляются без надлежащих предварительных, свободных и осознанных консультаций в соответствии с положениями Конвенции Международной организации труда (МОТ) 1989 года о коренных народах и народах, ведущих племенной образ жизни (№ 169), и без должных мер предосторожности в отношении окружающей среды (статьи 2 и 5).</w:t>
      </w:r>
    </w:p>
    <w:p w14:paraId="4263FFD9" w14:textId="77777777" w:rsidR="00C06C2B" w:rsidRPr="007074B1" w:rsidRDefault="00C06C2B" w:rsidP="00C06C2B">
      <w:pPr>
        <w:pStyle w:val="SingleTxtG"/>
        <w:rPr>
          <w:b/>
        </w:rPr>
      </w:pPr>
      <w:r>
        <w:t>19.</w:t>
      </w:r>
      <w:r>
        <w:tab/>
      </w:r>
      <w:r>
        <w:rPr>
          <w:b/>
          <w:bCs/>
        </w:rPr>
        <w:t>Напоминая свою предыдущую рекомендацию (CERD/C/COL/CO/15-16, пункт 22) и общую рекомендацию № 23 (1997 год) о правах коренных народов, Комитет настоятельно призывает государство-участник:</w:t>
      </w:r>
    </w:p>
    <w:p w14:paraId="115AF7EF" w14:textId="77777777" w:rsidR="00C06C2B" w:rsidRPr="00DE3F0B" w:rsidRDefault="00C06C2B" w:rsidP="00DE3F0B">
      <w:pPr>
        <w:pStyle w:val="SingleTxtG"/>
        <w:spacing w:line="234" w:lineRule="atLeast"/>
        <w:ind w:firstLine="567"/>
        <w:rPr>
          <w:b/>
        </w:rPr>
      </w:pPr>
      <w:r w:rsidRPr="00DE3F0B">
        <w:rPr>
          <w:b/>
        </w:rPr>
        <w:t>a)</w:t>
      </w:r>
      <w:r w:rsidRPr="00DE3F0B">
        <w:rPr>
          <w:b/>
        </w:rPr>
        <w:tab/>
      </w:r>
      <w:r w:rsidRPr="00DE3F0B">
        <w:rPr>
          <w:b/>
          <w:bCs/>
        </w:rPr>
        <w:t>гарантировать право коренных народов и общин лиц африканского происхождения на проведение с ними консультаций в отношении любого проекта, деятельности, законодательных или административных мер, которые могут затрагивать их права, в частности право на землю и природные ресурсы, которыми они обладают или традиционно пользуются, в целях получения их свободного, предварительного и осознанного согласия в соответствии с Декларацией Организации Объединенных Наций о правах коренных народов и другими международными стандартами;</w:t>
      </w:r>
    </w:p>
    <w:p w14:paraId="69E645F7" w14:textId="77777777" w:rsidR="00C06C2B" w:rsidRPr="00DE3F0B" w:rsidRDefault="00C06C2B" w:rsidP="00DE3F0B">
      <w:pPr>
        <w:pStyle w:val="SingleTxtG"/>
        <w:spacing w:line="234" w:lineRule="atLeast"/>
        <w:ind w:firstLine="567"/>
        <w:rPr>
          <w:b/>
          <w:bCs/>
        </w:rPr>
      </w:pPr>
      <w:r w:rsidRPr="00DE3F0B">
        <w:rPr>
          <w:b/>
        </w:rPr>
        <w:t>b)</w:t>
      </w:r>
      <w:r w:rsidRPr="00DE3F0B">
        <w:rPr>
          <w:b/>
        </w:rPr>
        <w:tab/>
      </w:r>
      <w:r w:rsidRPr="00DE3F0B">
        <w:rPr>
          <w:b/>
          <w:bCs/>
        </w:rPr>
        <w:t>обеспечить, чтобы в качестве неотъемлемой части процесса предварительных консультаций, предшествующих выдаче лицензий, и с момента разработки до осуществления проектов, работ или деятельности беспристрастные и независимые структуры проводили исследования по вопросам того воздействия на окружающую среду и права человека, которое могут оказывать проекты экономического развития и эксплуатации природных ресурсов, реализуемые на территориях коренных народов и общин лиц африканского происхождения;</w:t>
      </w:r>
      <w:r w:rsidRPr="00DE3F0B">
        <w:rPr>
          <w:b/>
        </w:rPr>
        <w:t xml:space="preserve"> </w:t>
      </w:r>
    </w:p>
    <w:p w14:paraId="42171322" w14:textId="77777777" w:rsidR="00C06C2B" w:rsidRPr="00DE3F0B" w:rsidRDefault="00C06C2B" w:rsidP="00DE3F0B">
      <w:pPr>
        <w:pStyle w:val="SingleTxtG"/>
        <w:spacing w:line="234" w:lineRule="atLeast"/>
        <w:ind w:firstLine="567"/>
        <w:rPr>
          <w:b/>
          <w:bCs/>
        </w:rPr>
      </w:pPr>
      <w:r w:rsidRPr="00DE3F0B">
        <w:rPr>
          <w:b/>
        </w:rPr>
        <w:t>с)</w:t>
      </w:r>
      <w:r w:rsidRPr="00DE3F0B">
        <w:rPr>
          <w:b/>
        </w:rPr>
        <w:tab/>
      </w:r>
      <w:r w:rsidRPr="00DE3F0B">
        <w:rPr>
          <w:b/>
          <w:bCs/>
        </w:rPr>
        <w:t>в консультации с коренными народами и общинами лиц африканского происхождения, чьи территории и ресурсы затрагиваются указанными проектами, определять меры по смягчению воздействия, размеры компенсации за причиненный ущерб или понесенные потери и пути участия в выгодах, получаемых от их осуществления.</w:t>
      </w:r>
      <w:r w:rsidRPr="00DE3F0B">
        <w:rPr>
          <w:b/>
        </w:rPr>
        <w:t xml:space="preserve"> </w:t>
      </w:r>
    </w:p>
    <w:p w14:paraId="0A45E99A" w14:textId="77777777" w:rsidR="00C06C2B" w:rsidRPr="0038473D" w:rsidRDefault="00C06C2B" w:rsidP="00C06C2B">
      <w:pPr>
        <w:pStyle w:val="H23G"/>
      </w:pPr>
      <w:r>
        <w:tab/>
      </w:r>
      <w:r>
        <w:tab/>
      </w:r>
      <w:r>
        <w:rPr>
          <w:bCs/>
        </w:rPr>
        <w:t>Территориальные права и реституция земель</w:t>
      </w:r>
      <w:r>
        <w:t xml:space="preserve"> </w:t>
      </w:r>
    </w:p>
    <w:p w14:paraId="371F8227" w14:textId="77777777" w:rsidR="00C06C2B" w:rsidRPr="001F0E4F" w:rsidRDefault="00C06C2B" w:rsidP="00DE3F0B">
      <w:pPr>
        <w:pStyle w:val="SingleTxtG"/>
        <w:spacing w:line="236" w:lineRule="atLeast"/>
      </w:pPr>
      <w:r>
        <w:t>20.</w:t>
      </w:r>
      <w:r>
        <w:tab/>
        <w:t>Комитет обеспокоен ограниченностью прогресса, достигнутого в деле осуществления законодательства о защите и реституции территорий коренных народов и лиц африканского происхождения, а также об оформлении прав собственности на них, в том числе Закона № 1448 от 2011 года о реституции земель жертвам вооруженного конфликта, Закона № 70 от 1993 года, в котором признается право афроколумбийцев на коллективную собственность, и указов № 1953 от 2014 года и № 632 от 2018 года. В этой связи Комитет озабочен полученной информацией о том, что Отдел по реституции земель отклонил 64% запросов о возвращении территорий, серьезными задержками со стороны Национального земельного агентства в осуществлении судебных решений, требующих оформления прав собственности на коллективные территории, а также сокращением бюджетов обеих структур. Комитет обеспокоен также положением, с которым в настоящее время сталкиваются некоторые коренные народы, проживающие в охраняемых районах, в том числе в национальном парке Тайрона, поскольку их свободное распоряжение своими территориями и природными ресурсами ограничено (статьи 2 и 5).</w:t>
      </w:r>
    </w:p>
    <w:p w14:paraId="4ED0D767" w14:textId="77777777" w:rsidR="00C06C2B" w:rsidRPr="008B0116" w:rsidRDefault="00C06C2B" w:rsidP="00DE3F0B">
      <w:pPr>
        <w:pStyle w:val="SingleTxtG"/>
        <w:spacing w:line="236" w:lineRule="atLeast"/>
        <w:rPr>
          <w:b/>
        </w:rPr>
      </w:pPr>
      <w:r>
        <w:t>21.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3CE45DF7" w14:textId="77777777" w:rsidR="00C06C2B" w:rsidRPr="00DE3F0B" w:rsidRDefault="00C06C2B" w:rsidP="00DE3F0B">
      <w:pPr>
        <w:pStyle w:val="SingleTxtG"/>
        <w:spacing w:line="236" w:lineRule="atLeast"/>
        <w:ind w:firstLine="567"/>
        <w:rPr>
          <w:b/>
        </w:rPr>
      </w:pPr>
      <w:r w:rsidRPr="00DE3F0B">
        <w:rPr>
          <w:b/>
        </w:rPr>
        <w:t>a)</w:t>
      </w:r>
      <w:r w:rsidRPr="00DE3F0B">
        <w:rPr>
          <w:b/>
        </w:rPr>
        <w:tab/>
      </w:r>
      <w:r w:rsidRPr="00DE3F0B">
        <w:rPr>
          <w:b/>
          <w:bCs/>
        </w:rPr>
        <w:t>удвоить усилия по незамедлительному обеспечению, упрощению и ускорению практического осуществления законодательных мер, в том числе Закона № 70 от 1993 года, Закона № 1448 от 2011 года и указов № 1953 от 2014 года и № 632 от 2018 года, направленных на гарантирование, сохранение и восстановление прав коренных народов и лиц африканского происхождения на владение, использование, освоение и контроль своих земель, территорий и ресурсов в условиях полной безопасности, а также на их защиту от любых незаконных посягательств;</w:t>
      </w:r>
    </w:p>
    <w:p w14:paraId="1FF59484" w14:textId="77777777" w:rsidR="00C06C2B" w:rsidRPr="00DE3F0B" w:rsidRDefault="00C06C2B" w:rsidP="00DE3F0B">
      <w:pPr>
        <w:pStyle w:val="SingleTxtG"/>
        <w:spacing w:line="236" w:lineRule="atLeast"/>
        <w:ind w:firstLine="567"/>
        <w:rPr>
          <w:b/>
        </w:rPr>
      </w:pPr>
      <w:r w:rsidRPr="00DE3F0B">
        <w:rPr>
          <w:b/>
        </w:rPr>
        <w:t>b)</w:t>
      </w:r>
      <w:r w:rsidRPr="00DE3F0B">
        <w:rPr>
          <w:b/>
        </w:rPr>
        <w:tab/>
      </w:r>
      <w:r w:rsidRPr="00DE3F0B">
        <w:rPr>
          <w:b/>
          <w:bCs/>
        </w:rPr>
        <w:t>обеспечить, чтобы Отдел по реституции земель и Национальное земельное агентство располагали достаточными кадровыми, материальными и экономическими ресурсами, гарантирующими осуществление законодательных мер, связанных с реституцией земель, при обеспечении эффективного участия коренных народов и общин лиц африканского происхождения;</w:t>
      </w:r>
    </w:p>
    <w:p w14:paraId="2B4F3FE1" w14:textId="77777777" w:rsidR="00C06C2B" w:rsidRPr="00DE3F0B" w:rsidRDefault="00C06C2B" w:rsidP="00DE3F0B">
      <w:pPr>
        <w:pStyle w:val="SingleTxtG"/>
        <w:spacing w:line="236" w:lineRule="atLeast"/>
        <w:ind w:firstLine="567"/>
        <w:rPr>
          <w:b/>
        </w:rPr>
      </w:pPr>
      <w:r w:rsidRPr="00DE3F0B">
        <w:rPr>
          <w:b/>
        </w:rPr>
        <w:t>с)</w:t>
      </w:r>
      <w:r w:rsidRPr="00DE3F0B">
        <w:rPr>
          <w:b/>
        </w:rPr>
        <w:tab/>
      </w:r>
      <w:r w:rsidRPr="00DE3F0B">
        <w:rPr>
          <w:b/>
          <w:bCs/>
        </w:rPr>
        <w:t>гарантировать реституцию земель, принадлежащих общинам коренных народов и лиц африканского происхождения, и обеспечить, чтобы запросы о реституции земель должным образом оценивались на основе установленных правовых критериев и чтобы судебные решения в пользу реституции земель выполнялись без промедления;</w:t>
      </w:r>
    </w:p>
    <w:p w14:paraId="1A526FDC" w14:textId="77777777" w:rsidR="00C06C2B" w:rsidRPr="00DE3F0B" w:rsidRDefault="00C06C2B" w:rsidP="00C06C2B">
      <w:pPr>
        <w:pStyle w:val="SingleTxtG"/>
        <w:ind w:firstLine="567"/>
        <w:rPr>
          <w:b/>
        </w:rPr>
      </w:pPr>
      <w:r w:rsidRPr="00DE3F0B">
        <w:rPr>
          <w:b/>
        </w:rPr>
        <w:t>d)</w:t>
      </w:r>
      <w:r w:rsidRPr="00DE3F0B">
        <w:rPr>
          <w:b/>
        </w:rPr>
        <w:tab/>
      </w:r>
      <w:r w:rsidRPr="00DE3F0B">
        <w:rPr>
          <w:b/>
          <w:bCs/>
        </w:rPr>
        <w:t>принять необходимые меры для обеспечения того, чтобы коренные народы, поселившиеся в охраняемых районах, особенно в национальном парке Тайрона, могли свободно распоряжаться своими территориями и природными ресурсами и чтобы с ними проводились консультации по всем затрагивающим их процессам и решениям.</w:t>
      </w:r>
    </w:p>
    <w:p w14:paraId="679A0B95" w14:textId="77777777" w:rsidR="00C06C2B" w:rsidRPr="00CB58DC" w:rsidRDefault="00C06C2B" w:rsidP="00C06C2B">
      <w:pPr>
        <w:pStyle w:val="H23G"/>
        <w:rPr>
          <w:rFonts w:eastAsia="SimSun"/>
        </w:rPr>
      </w:pPr>
      <w:r>
        <w:tab/>
      </w:r>
      <w:r>
        <w:tab/>
      </w:r>
      <w:r>
        <w:rPr>
          <w:bCs/>
        </w:rPr>
        <w:t>Коренные народы, находящиеся на грани исчезновения, в изоляции или</w:t>
      </w:r>
      <w:r w:rsidR="00DE3F0B">
        <w:rPr>
          <w:bCs/>
        </w:rPr>
        <w:t> </w:t>
      </w:r>
      <w:r>
        <w:rPr>
          <w:bCs/>
        </w:rPr>
        <w:t>на</w:t>
      </w:r>
      <w:r w:rsidR="00DE3F0B">
        <w:rPr>
          <w:bCs/>
        </w:rPr>
        <w:t> </w:t>
      </w:r>
      <w:r>
        <w:rPr>
          <w:bCs/>
        </w:rPr>
        <w:t>стадии первоначальных контактов</w:t>
      </w:r>
      <w:r>
        <w:t xml:space="preserve"> </w:t>
      </w:r>
    </w:p>
    <w:p w14:paraId="1BBB49F8" w14:textId="77777777" w:rsidR="00C06C2B" w:rsidRPr="00CB58DC" w:rsidRDefault="00C06C2B" w:rsidP="00C06C2B">
      <w:pPr>
        <w:pStyle w:val="SingleTxtG"/>
        <w:rPr>
          <w:b/>
        </w:rPr>
      </w:pPr>
      <w:r>
        <w:t>22.</w:t>
      </w:r>
      <w:r>
        <w:tab/>
        <w:t>Комитет выражает сожаление по поводу отсутствия значительного прогресса в осуществлении решений Конституционного суда и планов по обеспечению этнической защиты коренных народов и лиц африканского происхождения, которые, как установлено, находятся на грани физического или культурного исчезновения или в условиях чрезвычайной уязвимости, в частности народностей ава и уитото. Кроме того, Комитет обеспокоен отсутствием эффективных мер защиты коренных народов, находящихся в добровольной изоляции или на стадии первоначальных контактов, в частности народности нукак-маку (статьи 2, 4, 5 и 6).</w:t>
      </w:r>
    </w:p>
    <w:p w14:paraId="7B1165B7" w14:textId="77777777" w:rsidR="00C06C2B" w:rsidRPr="00CB58DC" w:rsidRDefault="00C06C2B" w:rsidP="00C06C2B">
      <w:pPr>
        <w:pStyle w:val="SingleTxtG"/>
        <w:rPr>
          <w:b/>
        </w:rPr>
      </w:pPr>
      <w:r>
        <w:t>23.</w:t>
      </w:r>
      <w:r>
        <w:tab/>
      </w:r>
      <w:r>
        <w:rPr>
          <w:b/>
          <w:bCs/>
        </w:rPr>
        <w:t>Комитет подтверждает свою предыдущую рекомендацию (CERD/C/COL/</w:t>
      </w:r>
      <w:r w:rsidR="00DE3F0B">
        <w:rPr>
          <w:b/>
          <w:bCs/>
        </w:rPr>
        <w:br/>
      </w:r>
      <w:r>
        <w:rPr>
          <w:b/>
          <w:bCs/>
        </w:rPr>
        <w:t>CO/15-16, пункт 16) и настоятельно призывает государство-участник обеспечить эффективное выполнение решений Конституционного суда, а также завершить разработку планов этнической защиты народов, которые, как установлено, находятся на грани физического или культурного исчезновения, и обеспечить их эффективное осуществление.</w:t>
      </w:r>
      <w:r>
        <w:t xml:space="preserve"> </w:t>
      </w:r>
      <w:r>
        <w:rPr>
          <w:b/>
          <w:bCs/>
        </w:rPr>
        <w:t>Комитет рекомендует государству-участнику принять срочные меры, необходимые для обеспечения физического и культурного выживания коренных народов, которые находятся в добровольной изоляции или на стадии первоначальных контактов, в частности народности нукак-маку.</w:t>
      </w:r>
      <w:r>
        <w:t xml:space="preserve"> </w:t>
      </w:r>
    </w:p>
    <w:p w14:paraId="65780747" w14:textId="77777777" w:rsidR="00C06C2B" w:rsidRDefault="00C06C2B" w:rsidP="00C06C2B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>
        <w:tab/>
      </w:r>
      <w:r>
        <w:tab/>
      </w:r>
      <w:r>
        <w:rPr>
          <w:b/>
          <w:bCs/>
        </w:rPr>
        <w:t>Положение женщин африканского происхождения и женщин из числа коренных народов</w:t>
      </w:r>
      <w:r>
        <w:t xml:space="preserve"> </w:t>
      </w:r>
    </w:p>
    <w:p w14:paraId="48BC1AEA" w14:textId="77777777" w:rsidR="00C06C2B" w:rsidRDefault="00C06C2B" w:rsidP="00C06C2B">
      <w:pPr>
        <w:pStyle w:val="SingleTxtG"/>
      </w:pPr>
      <w:r>
        <w:t>24.</w:t>
      </w:r>
      <w:r>
        <w:tab/>
        <w:t xml:space="preserve">Комитет обеспокоен многочисленными формами дискриминации, с которыми сталкиваются женщины из числа коренных народов и женщины африканского происхождения по сравнению с женщинами из остальной части населения, особенно в отношении доступа к занятости, образованию и здравоохранению, включая услуги в области сексуального и репродуктивного здоровья. Кроме того, Комитет озабочен высокими показателями сексуального насилия, которое непропорционально сильно затрагивает женщин из числа коренных народов и женщин африканского происхождения, особенно в связи с вооруженным конфликтом, а также отсутствием помощи, защиты и правосудия для жертв и высоким уровнем безнаказанности за подобные преступления (статьи 2, 5 и 6). </w:t>
      </w:r>
    </w:p>
    <w:p w14:paraId="736160F7" w14:textId="77777777" w:rsidR="00C06C2B" w:rsidRPr="00B7435F" w:rsidRDefault="00C06C2B" w:rsidP="00C06C2B">
      <w:pPr>
        <w:pStyle w:val="SingleTxtG"/>
        <w:rPr>
          <w:b/>
          <w:bCs/>
        </w:rPr>
      </w:pPr>
      <w:r>
        <w:t>25.</w:t>
      </w:r>
      <w:r>
        <w:tab/>
      </w:r>
      <w:r>
        <w:rPr>
          <w:b/>
          <w:bCs/>
        </w:rPr>
        <w:t>В свете своей общей рекомендации № 25 (2000 год) о гендерных аспектах расовой дискриминации Комитет настоятельно призывает государство-участник:</w:t>
      </w:r>
      <w:r>
        <w:t xml:space="preserve"> </w:t>
      </w:r>
    </w:p>
    <w:p w14:paraId="79D1DB63" w14:textId="77777777" w:rsidR="00C06C2B" w:rsidRPr="00DE3F0B" w:rsidRDefault="00C06C2B" w:rsidP="00C06C2B">
      <w:pPr>
        <w:pStyle w:val="SingleTxtG"/>
        <w:ind w:firstLine="567"/>
        <w:rPr>
          <w:b/>
        </w:rPr>
      </w:pPr>
      <w:r w:rsidRPr="00DE3F0B">
        <w:rPr>
          <w:b/>
        </w:rPr>
        <w:t>a)</w:t>
      </w:r>
      <w:r w:rsidRPr="00DE3F0B">
        <w:rPr>
          <w:b/>
        </w:rPr>
        <w:tab/>
      </w:r>
      <w:r w:rsidRPr="00DE3F0B">
        <w:rPr>
          <w:b/>
          <w:bCs/>
        </w:rPr>
        <w:t>активизировать усилия по борьбе с многочисленными формами дискриминации, с которыми сталкиваются женщины из числа коренных народов и женщины африканского происхождения, в целях предоставления им эффективного и достаточного доступа к правосудию, занятости, образованию и здравоохранению, включая услуги в области репродуктивного здоровья, с учетом культурных и языковых различий;</w:t>
      </w:r>
      <w:r w:rsidRPr="00DE3F0B">
        <w:rPr>
          <w:b/>
        </w:rPr>
        <w:t xml:space="preserve"> </w:t>
      </w:r>
    </w:p>
    <w:p w14:paraId="02DA6851" w14:textId="77777777" w:rsidR="00C06C2B" w:rsidRPr="00DE3F0B" w:rsidRDefault="00C06C2B" w:rsidP="00C06C2B">
      <w:pPr>
        <w:pStyle w:val="SingleTxtG"/>
        <w:ind w:firstLine="567"/>
        <w:rPr>
          <w:b/>
        </w:rPr>
      </w:pPr>
      <w:r w:rsidRPr="00DE3F0B">
        <w:rPr>
          <w:b/>
        </w:rPr>
        <w:t>b)</w:t>
      </w:r>
      <w:r w:rsidRPr="00DE3F0B">
        <w:rPr>
          <w:b/>
        </w:rPr>
        <w:tab/>
      </w:r>
      <w:r w:rsidRPr="00DE3F0B">
        <w:rPr>
          <w:b/>
          <w:bCs/>
        </w:rPr>
        <w:t>принять необходимые меры для предотвращения сексуального насилия в отношении женщин из числа коренных народов и женщин африканского происхождения и гарантировать жертвам доступ к надлежащей помощи и эффективным и учитывающим культурные особенности механизмам защиты;</w:t>
      </w:r>
    </w:p>
    <w:p w14:paraId="0FE0AEF0" w14:textId="77777777" w:rsidR="00C06C2B" w:rsidRPr="00DE3F0B" w:rsidRDefault="00C06C2B" w:rsidP="00C06C2B">
      <w:pPr>
        <w:pStyle w:val="SingleTxtG"/>
        <w:ind w:firstLine="567"/>
        <w:rPr>
          <w:b/>
        </w:rPr>
      </w:pPr>
      <w:r w:rsidRPr="00DE3F0B">
        <w:rPr>
          <w:b/>
        </w:rPr>
        <w:t>с)</w:t>
      </w:r>
      <w:r w:rsidRPr="00DE3F0B">
        <w:rPr>
          <w:b/>
        </w:rPr>
        <w:tab/>
      </w:r>
      <w:r w:rsidRPr="00DE3F0B">
        <w:rPr>
          <w:b/>
          <w:bCs/>
        </w:rPr>
        <w:t>обеспечить эффективное осуществление Закона № 1719 от 2014 года о доступе к правосудию для жертв сексуального насилия, особенно в связи с вооруженным конфликтом, а также выполнение решений № 92/08 и № 9/15 Конституционного суда, гарантирующих, чтобы все случаи сексуального насилия должным образом расследовались, виновные привлекались к ответственности и должным образом наказывались, а жертвы получали всеобъемлющее возмещение ущерба.</w:t>
      </w:r>
    </w:p>
    <w:p w14:paraId="39A3F9EB" w14:textId="77777777" w:rsidR="00C06C2B" w:rsidRPr="007A5A44" w:rsidRDefault="00C06C2B" w:rsidP="00C06C2B">
      <w:pPr>
        <w:pStyle w:val="H23G"/>
        <w:rPr>
          <w:rFonts w:eastAsia="SimSun"/>
        </w:rPr>
      </w:pPr>
      <w:r>
        <w:tab/>
      </w:r>
      <w:r>
        <w:tab/>
      </w:r>
      <w:r>
        <w:rPr>
          <w:bCs/>
        </w:rPr>
        <w:t>Венесуэльские мигранты</w:t>
      </w:r>
    </w:p>
    <w:p w14:paraId="62B776D9" w14:textId="77777777" w:rsidR="00C06C2B" w:rsidRPr="007A5A44" w:rsidRDefault="00C06C2B" w:rsidP="00C06C2B">
      <w:pPr>
        <w:pStyle w:val="SingleTxtG"/>
        <w:rPr>
          <w:rFonts w:eastAsia="SimSun"/>
        </w:rPr>
      </w:pPr>
      <w:r>
        <w:t>26.</w:t>
      </w:r>
      <w:r>
        <w:tab/>
        <w:t>Комитет выражает обеспокоенность по поводу уязвимого положения венесуэльских мигрантов в государстве-участнике и дискриминации, которой они подвергаются, в частности в плане доступа к здравоохранению и занятости, а также по поводу препятствий, с которыми они сталкиваются при получении документов (статьи</w:t>
      </w:r>
      <w:r w:rsidR="00935C09">
        <w:t> </w:t>
      </w:r>
      <w:r>
        <w:t>2 и 5).</w:t>
      </w:r>
    </w:p>
    <w:p w14:paraId="335751CD" w14:textId="77777777" w:rsidR="00C06C2B" w:rsidRPr="00FE6850" w:rsidRDefault="00C06C2B" w:rsidP="00C06C2B">
      <w:pPr>
        <w:pStyle w:val="SingleTxtG"/>
        <w:rPr>
          <w:rFonts w:eastAsia="SimSun"/>
          <w:b/>
        </w:rPr>
      </w:pPr>
      <w:r>
        <w:t>27.</w:t>
      </w:r>
      <w:r>
        <w:tab/>
      </w:r>
      <w:r>
        <w:rPr>
          <w:b/>
          <w:bCs/>
        </w:rPr>
        <w:t>Комитет рекомендует государству-участнику принять необходимые меры для предупреждения дискриминации в отношении мигрантов, в частности в том, что касается их доступа к медицинскому обслуживанию и занятости, а также упрощения получения ими документов, в целях поощрения их интеграции и обеспечения того, чтобы жертвы дискриминации имели доступ к эффективным средствам правовой защиты.</w:t>
      </w:r>
      <w:r>
        <w:t xml:space="preserve"> </w:t>
      </w:r>
    </w:p>
    <w:p w14:paraId="37E9FFB0" w14:textId="77777777" w:rsidR="00C06C2B" w:rsidRPr="00B17687" w:rsidRDefault="00C06C2B" w:rsidP="00C06C2B">
      <w:pPr>
        <w:pStyle w:val="H23G"/>
        <w:rPr>
          <w:rFonts w:eastAsia="SimSun"/>
        </w:rPr>
      </w:pPr>
      <w:r>
        <w:tab/>
      </w:r>
      <w:r>
        <w:tab/>
      </w:r>
      <w:r>
        <w:rPr>
          <w:bCs/>
        </w:rPr>
        <w:t>Правозащитники</w:t>
      </w:r>
      <w:r>
        <w:t xml:space="preserve"> </w:t>
      </w:r>
    </w:p>
    <w:p w14:paraId="2702D117" w14:textId="77777777" w:rsidR="00C06C2B" w:rsidRDefault="00C06C2B" w:rsidP="00C06C2B">
      <w:pPr>
        <w:pStyle w:val="SingleTxtG"/>
        <w:rPr>
          <w:bCs/>
        </w:rPr>
      </w:pPr>
      <w:r>
        <w:t>28.</w:t>
      </w:r>
      <w:r>
        <w:tab/>
        <w:t>Комитет крайне обеспокоен убийствами и постоянными актами насилия, угрозами, запугиванием и репрессиями в отношении правозащитников и лидеров коренных народов и общин лиц африканского происхождения, особенно в Кауке, в частности недавним убийством Кристины Баутисты, совершенным 29 октября. Он</w:t>
      </w:r>
      <w:r w:rsidR="00935C09">
        <w:t> </w:t>
      </w:r>
      <w:r>
        <w:t>озабочен также незначительным количеством расследований, судебных преследований и наказаний за подобные преступления. Кроме того, он обеспокоен информацией о нехватке ресурсов у Национальной службы защиты и о неэффективности ее мер защиты, особенно в сельских районах. Помимо этого, Комитет озабочен актами диффамации в отношении правозащитников, в том числе принадлежащих к коренным народам и общинам лиц африканского происхождения, и случаями их привлечения к уголовной ответственности (статьи 4, 5 и 6).</w:t>
      </w:r>
    </w:p>
    <w:p w14:paraId="321C2424" w14:textId="77777777" w:rsidR="00C06C2B" w:rsidRPr="003461A9" w:rsidRDefault="00C06C2B" w:rsidP="00C06C2B">
      <w:pPr>
        <w:pStyle w:val="SingleTxtG"/>
        <w:rPr>
          <w:b/>
          <w:bCs/>
          <w:snapToGrid w:val="0"/>
        </w:rPr>
      </w:pPr>
      <w:r>
        <w:t>29.</w:t>
      </w:r>
      <w:r>
        <w:tab/>
      </w:r>
      <w:r>
        <w:rPr>
          <w:b/>
          <w:bCs/>
        </w:rPr>
        <w:t>Комитет настоятельно призывает государство-участник:</w:t>
      </w:r>
      <w:r>
        <w:t xml:space="preserve"> </w:t>
      </w:r>
    </w:p>
    <w:p w14:paraId="7CA3492C" w14:textId="77777777" w:rsidR="00C06C2B" w:rsidRPr="00935C09" w:rsidRDefault="00C06C2B" w:rsidP="00C06C2B">
      <w:pPr>
        <w:pStyle w:val="SingleTxtG"/>
        <w:ind w:firstLine="567"/>
        <w:rPr>
          <w:b/>
          <w:bCs/>
        </w:rPr>
      </w:pPr>
      <w:r w:rsidRPr="00935C09">
        <w:rPr>
          <w:b/>
        </w:rPr>
        <w:t>a)</w:t>
      </w:r>
      <w:r w:rsidRPr="00935C09">
        <w:rPr>
          <w:b/>
        </w:rPr>
        <w:tab/>
      </w:r>
      <w:r w:rsidRPr="00935C09">
        <w:rPr>
          <w:b/>
          <w:bCs/>
        </w:rPr>
        <w:t>принять дополнительные эффективные меры по предотвращению актов насилия, угроз, запугивания и репрессий в отношении правозащитников, в частности лидеров коренных народов и общин лиц африканского происхождения, и обеспечить тщательное, беспристрастное и эффективное расследование всех утверждений о подобных актах, привлечение к ответственности и надлежащее наказание виновных, будь то собственно правонарушители или идеологические подстрекатели либо авторы преступлений, а также полное возмещение ущерба жертвам или их семьям;</w:t>
      </w:r>
    </w:p>
    <w:p w14:paraId="1F3B23DC" w14:textId="77777777" w:rsidR="00C06C2B" w:rsidRPr="00935C09" w:rsidRDefault="00C06C2B" w:rsidP="00C06C2B">
      <w:pPr>
        <w:pStyle w:val="SingleTxtG"/>
        <w:ind w:firstLine="567"/>
        <w:rPr>
          <w:rFonts w:eastAsia="SimSun"/>
          <w:b/>
        </w:rPr>
      </w:pPr>
      <w:r w:rsidRPr="00935C09">
        <w:rPr>
          <w:b/>
        </w:rPr>
        <w:t>b)</w:t>
      </w:r>
      <w:r w:rsidRPr="00935C09">
        <w:rPr>
          <w:b/>
        </w:rPr>
        <w:tab/>
      </w:r>
      <w:r w:rsidRPr="00935C09">
        <w:rPr>
          <w:b/>
          <w:bCs/>
        </w:rPr>
        <w:t>гарантировать действенную защиту их жизни и личной неприкосновенности, обеспечивая принятие мер защиты с участием затрагиваемых лиц, народов и общин в соответствии с их обычаями и культурой, а также эффективное осуществление и регулярный пересмотр указанных мер;</w:t>
      </w:r>
      <w:r w:rsidRPr="00935C09">
        <w:rPr>
          <w:b/>
        </w:rPr>
        <w:t xml:space="preserve"> </w:t>
      </w:r>
    </w:p>
    <w:p w14:paraId="3ADB609A" w14:textId="77777777" w:rsidR="00C06C2B" w:rsidRPr="00935C09" w:rsidRDefault="00C06C2B" w:rsidP="00C06C2B">
      <w:pPr>
        <w:pStyle w:val="SingleTxtG"/>
        <w:ind w:firstLine="567"/>
        <w:rPr>
          <w:rFonts w:eastAsia="SimSun"/>
          <w:b/>
        </w:rPr>
      </w:pPr>
      <w:r w:rsidRPr="00935C09">
        <w:rPr>
          <w:b/>
        </w:rPr>
        <w:t>с)</w:t>
      </w:r>
      <w:r w:rsidRPr="00935C09">
        <w:rPr>
          <w:b/>
        </w:rPr>
        <w:tab/>
      </w:r>
      <w:r w:rsidRPr="00935C09">
        <w:rPr>
          <w:b/>
          <w:bCs/>
        </w:rPr>
        <w:t>укреплять, при помощи достаточных ресурсов и четкого правового признания, механизмы коллективной защиты, ранее существовавшие в затрагиваемых общинах, в частности гвардию коренных народов и гвардию маронов;</w:t>
      </w:r>
      <w:r w:rsidRPr="00935C09">
        <w:rPr>
          <w:b/>
        </w:rPr>
        <w:t xml:space="preserve"> </w:t>
      </w:r>
    </w:p>
    <w:p w14:paraId="0D15B7D5" w14:textId="77777777" w:rsidR="00C06C2B" w:rsidRPr="00935C09" w:rsidRDefault="00C06C2B" w:rsidP="00C06C2B">
      <w:pPr>
        <w:pStyle w:val="SingleTxtG"/>
        <w:ind w:firstLine="567"/>
        <w:rPr>
          <w:rFonts w:eastAsia="SimSun"/>
          <w:b/>
        </w:rPr>
      </w:pPr>
      <w:r w:rsidRPr="00935C09">
        <w:rPr>
          <w:b/>
        </w:rPr>
        <w:t>d)</w:t>
      </w:r>
      <w:r w:rsidRPr="00935C09">
        <w:rPr>
          <w:b/>
        </w:rPr>
        <w:tab/>
      </w:r>
      <w:r w:rsidRPr="00935C09">
        <w:rPr>
          <w:b/>
          <w:bCs/>
        </w:rPr>
        <w:t>обеспечить эффективное функционирование Национальной службы защиты, в том числе путем пересмотра и совершенствования существенных стратегий защиты, принятия и осуществления коллективных мер защиты, а также адресных мер защиты лиц, живущих в сельских районах, и мер защиты женщин и выделения надлежащих кадровых, финансовых и технических ресурсов;</w:t>
      </w:r>
    </w:p>
    <w:p w14:paraId="153A2F96" w14:textId="77777777" w:rsidR="00C06C2B" w:rsidRPr="00935C09" w:rsidRDefault="00C06C2B" w:rsidP="00935C09">
      <w:pPr>
        <w:pStyle w:val="SingleTxtG"/>
        <w:pageBreakBefore/>
        <w:spacing w:line="234" w:lineRule="atLeast"/>
        <w:ind w:firstLine="567"/>
        <w:rPr>
          <w:b/>
          <w:bCs/>
        </w:rPr>
      </w:pPr>
      <w:r w:rsidRPr="00935C09">
        <w:rPr>
          <w:b/>
        </w:rPr>
        <w:t>e)</w:t>
      </w:r>
      <w:r w:rsidRPr="00935C09">
        <w:rPr>
          <w:b/>
        </w:rPr>
        <w:tab/>
      </w:r>
      <w:r w:rsidRPr="00935C09">
        <w:rPr>
          <w:b/>
          <w:bCs/>
        </w:rPr>
        <w:t>проводить информационно-просветительские кампании, признавая огромную работу правозащитников, направленную на создание атмосферы терпимости, позволяющей им заниматься своей деятельностью без запугивания, угроз и репрессий любого рода.</w:t>
      </w:r>
    </w:p>
    <w:p w14:paraId="744052B9" w14:textId="77777777" w:rsidR="00C06C2B" w:rsidRPr="00947B60" w:rsidRDefault="00C06C2B" w:rsidP="00C06C2B">
      <w:pPr>
        <w:pStyle w:val="H23G"/>
        <w:rPr>
          <w:rFonts w:eastAsia="SimSun"/>
        </w:rPr>
      </w:pPr>
      <w:r>
        <w:tab/>
      </w:r>
      <w:r>
        <w:tab/>
      </w:r>
      <w:r>
        <w:rPr>
          <w:bCs/>
        </w:rPr>
        <w:t>Доступ к правосудию и судебные инстанции коренных народов</w:t>
      </w:r>
    </w:p>
    <w:p w14:paraId="62B27D1D" w14:textId="77777777" w:rsidR="00C06C2B" w:rsidRDefault="00C06C2B" w:rsidP="00935C09">
      <w:pPr>
        <w:pStyle w:val="SingleTxtG"/>
        <w:spacing w:line="234" w:lineRule="atLeast"/>
      </w:pPr>
      <w:r>
        <w:t>30.</w:t>
      </w:r>
      <w:r>
        <w:tab/>
        <w:t>Комитет принимает к сведению Национальную программу домов правосудия и гражданского сосуществования и стратегию местных систем правосудия, направленную на укрепление функционирования специальных судебных инстанций коренных народов и на улучшение доступа к правосудию для коренных народов и общин лиц африканского происхождения. Вместе с тем он по-прежнему обеспокоен тем, что эти меры не являются достаточными для того, чтобы гарантировать доступ указанных групп населения к правосудию, поскольку они доступны не на всех территориях государства-участника (статья 6).</w:t>
      </w:r>
    </w:p>
    <w:p w14:paraId="7476AFC0" w14:textId="77777777" w:rsidR="00C06C2B" w:rsidRPr="0053296A" w:rsidRDefault="00C06C2B" w:rsidP="00935C09">
      <w:pPr>
        <w:pStyle w:val="SingleTxtG"/>
        <w:spacing w:line="234" w:lineRule="atLeast"/>
        <w:rPr>
          <w:b/>
          <w:bCs/>
        </w:rPr>
      </w:pPr>
      <w:r>
        <w:t>31.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08416060" w14:textId="77777777" w:rsidR="00C06C2B" w:rsidRPr="00935C09" w:rsidRDefault="00C06C2B" w:rsidP="00935C09">
      <w:pPr>
        <w:pStyle w:val="SingleTxtG"/>
        <w:spacing w:line="234" w:lineRule="atLeast"/>
        <w:ind w:firstLine="567"/>
        <w:rPr>
          <w:b/>
        </w:rPr>
      </w:pPr>
      <w:r w:rsidRPr="00935C09">
        <w:rPr>
          <w:b/>
        </w:rPr>
        <w:t>a)</w:t>
      </w:r>
      <w:r w:rsidRPr="00935C09">
        <w:rPr>
          <w:b/>
        </w:rPr>
        <w:tab/>
      </w:r>
      <w:r w:rsidRPr="00935C09">
        <w:rPr>
          <w:b/>
          <w:bCs/>
        </w:rPr>
        <w:t>активизировать усилия по обеспечению доступа к правосудию для коренных народов и общин лиц африканского происхождения, обеспечив охват всей территории, на которой они проживают;</w:t>
      </w:r>
    </w:p>
    <w:p w14:paraId="4F1AEDA9" w14:textId="77777777" w:rsidR="00C06C2B" w:rsidRPr="00935C09" w:rsidRDefault="00C06C2B" w:rsidP="00935C09">
      <w:pPr>
        <w:pStyle w:val="SingleTxtG"/>
        <w:spacing w:line="234" w:lineRule="atLeast"/>
        <w:ind w:firstLine="567"/>
        <w:rPr>
          <w:rFonts w:eastAsia="SimSun"/>
          <w:b/>
        </w:rPr>
      </w:pPr>
      <w:r w:rsidRPr="00935C09">
        <w:rPr>
          <w:b/>
        </w:rPr>
        <w:t>b)</w:t>
      </w:r>
      <w:r w:rsidRPr="00935C09">
        <w:rPr>
          <w:b/>
        </w:rPr>
        <w:tab/>
      </w:r>
      <w:r w:rsidRPr="00935C09">
        <w:rPr>
          <w:b/>
          <w:bCs/>
        </w:rPr>
        <w:t>продолжать усилия по признанию, уважению и укреплению системы правосудия коренных народов, в частности путем гармонизации, сотрудничества и координации между органами обычной системы правосудия и судебными инстанциями коренных народов.</w:t>
      </w:r>
    </w:p>
    <w:p w14:paraId="571C3B5E" w14:textId="77777777" w:rsidR="00C06C2B" w:rsidRPr="00493B2A" w:rsidRDefault="00935C09" w:rsidP="00C06C2B">
      <w:pPr>
        <w:pStyle w:val="H1G"/>
        <w:rPr>
          <w:rFonts w:eastAsia="SimSun"/>
        </w:rPr>
      </w:pPr>
      <w:r>
        <w:rPr>
          <w:bCs/>
        </w:rPr>
        <w:tab/>
      </w:r>
      <w:r w:rsidR="00C06C2B">
        <w:rPr>
          <w:bCs/>
        </w:rPr>
        <w:t>D.</w:t>
      </w:r>
      <w:r w:rsidR="00C06C2B">
        <w:tab/>
      </w:r>
      <w:r w:rsidR="00C06C2B">
        <w:rPr>
          <w:bCs/>
        </w:rPr>
        <w:t>Другие рекомендации</w:t>
      </w:r>
    </w:p>
    <w:p w14:paraId="711E7038" w14:textId="77777777" w:rsidR="00C06C2B" w:rsidRPr="000F6B30" w:rsidRDefault="00C06C2B" w:rsidP="00C06C2B">
      <w:pPr>
        <w:pStyle w:val="H23G"/>
        <w:rPr>
          <w:rFonts w:eastAsia="SimSun"/>
        </w:rPr>
      </w:pPr>
      <w:r>
        <w:tab/>
      </w:r>
      <w:r>
        <w:tab/>
      </w:r>
      <w:r>
        <w:rPr>
          <w:bCs/>
        </w:rPr>
        <w:t>Ратификация других договоров</w:t>
      </w:r>
      <w:r>
        <w:t xml:space="preserve"> </w:t>
      </w:r>
    </w:p>
    <w:p w14:paraId="37C403D6" w14:textId="77777777" w:rsidR="00C06C2B" w:rsidRPr="008B0116" w:rsidRDefault="00C06C2B" w:rsidP="00935C09">
      <w:pPr>
        <w:pStyle w:val="SingleTxtG"/>
        <w:spacing w:line="234" w:lineRule="atLeast"/>
        <w:rPr>
          <w:rFonts w:eastAsia="SimSun"/>
          <w:b/>
          <w:bCs/>
        </w:rPr>
      </w:pPr>
      <w:r>
        <w:t>32.</w:t>
      </w:r>
      <w:r>
        <w:tab/>
      </w:r>
      <w:r>
        <w:rPr>
          <w:b/>
          <w:bCs/>
        </w:rPr>
        <w:t>С учетом неделимости всех прав человека Комитет призывает государство-участник рассмотреть возможность ратификации еще не ратифицированных им международных договоров по правам человека, в частности Факультативного протокола к Конвенции о правах инвалидов,</w:t>
      </w:r>
      <w:r>
        <w:t xml:space="preserve"> </w:t>
      </w:r>
      <w:r>
        <w:rPr>
          <w:b/>
          <w:bCs/>
        </w:rPr>
        <w:t>Факультативного протокола к Конвенции против пыток и других жестоких, бесчеловечных или унижающих достоинство видов обращения и наказания,</w:t>
      </w:r>
      <w:r>
        <w:t xml:space="preserve"> </w:t>
      </w:r>
      <w:r>
        <w:rPr>
          <w:b/>
          <w:bCs/>
        </w:rPr>
        <w:t>Факультативного протокола к Международному пакту об экономических, социальных и культурных правах</w:t>
      </w:r>
      <w:r>
        <w:t xml:space="preserve"> </w:t>
      </w:r>
      <w:r>
        <w:rPr>
          <w:b/>
          <w:bCs/>
        </w:rPr>
        <w:t>и Факультативного протокола к Конвенции о правах ребенка, касающегося процедуры сообщений.</w:t>
      </w:r>
      <w:r>
        <w:t xml:space="preserve"> </w:t>
      </w:r>
      <w:r>
        <w:rPr>
          <w:b/>
          <w:bCs/>
        </w:rPr>
        <w:t>Кроме того, Комитет рекомендует государству-участнику рассмотреть возможность ратификации Межамериканской конвенции против расизма, расовой дискриминации и связанных с ними форм нетерпимости.</w:t>
      </w:r>
    </w:p>
    <w:p w14:paraId="75D40D5E" w14:textId="77777777" w:rsidR="00C06C2B" w:rsidRPr="000F6B30" w:rsidRDefault="00C06C2B" w:rsidP="00C06C2B">
      <w:pPr>
        <w:pStyle w:val="H23G"/>
        <w:rPr>
          <w:rFonts w:eastAsia="SimSun"/>
        </w:rPr>
      </w:pPr>
      <w:r>
        <w:tab/>
      </w:r>
      <w:r>
        <w:tab/>
      </w:r>
      <w:r>
        <w:rPr>
          <w:bCs/>
        </w:rPr>
        <w:t>Заявление в соответствии со статьей 14 Конвенции</w:t>
      </w:r>
    </w:p>
    <w:p w14:paraId="6311CD2D" w14:textId="77777777" w:rsidR="00C06C2B" w:rsidRPr="008B0116" w:rsidRDefault="00C06C2B" w:rsidP="00C06C2B">
      <w:pPr>
        <w:pStyle w:val="SingleTxtG"/>
        <w:rPr>
          <w:rFonts w:eastAsia="SimSun"/>
          <w:b/>
          <w:bCs/>
        </w:rPr>
      </w:pPr>
      <w:r>
        <w:t>33.</w:t>
      </w:r>
      <w:r>
        <w:tab/>
      </w:r>
      <w:r>
        <w:rPr>
          <w:b/>
          <w:bCs/>
        </w:rPr>
        <w:t>Комитет призывает государство-участник сделать предусмотренное в статье 14 Конвенции факультативное заявление о признании компетенции Комитета принимать и рассматривать индивидуальные сообщения.</w:t>
      </w:r>
    </w:p>
    <w:p w14:paraId="3CF92545" w14:textId="77777777" w:rsidR="00C06C2B" w:rsidRPr="002C2675" w:rsidRDefault="00C06C2B" w:rsidP="00C06C2B">
      <w:pPr>
        <w:pStyle w:val="H23G"/>
        <w:rPr>
          <w:bCs/>
        </w:rPr>
      </w:pPr>
      <w:r>
        <w:tab/>
      </w:r>
      <w:r>
        <w:tab/>
      </w:r>
      <w:r>
        <w:rPr>
          <w:bCs/>
        </w:rPr>
        <w:t>Последующие меры в связи с Дурбанской декларацией и Программой действий</w:t>
      </w:r>
      <w:r>
        <w:t xml:space="preserve"> </w:t>
      </w:r>
    </w:p>
    <w:p w14:paraId="3D178D73" w14:textId="77777777" w:rsidR="00C06C2B" w:rsidRPr="008B0116" w:rsidRDefault="00C06C2B" w:rsidP="00C06C2B">
      <w:pPr>
        <w:pStyle w:val="SingleTxtG"/>
        <w:rPr>
          <w:rFonts w:eastAsia="SimSun"/>
          <w:b/>
          <w:bCs/>
        </w:rPr>
      </w:pPr>
      <w:r>
        <w:t>34.</w:t>
      </w:r>
      <w:r>
        <w:tab/>
      </w:r>
      <w:r>
        <w:rPr>
          <w:b/>
          <w:bCs/>
        </w:rPr>
        <w:t>В свете своей общей рекомендации № 33 (2009 год) о последующих мерах в связи с Конференцией по обзору Дурбанского процесса Комитет рекомендует государству-участнику при осуществлении Конвенции в рамках своего внутреннего законодательства предпринять шаги по выполнению Дурбанской декларации и Программы действий, принятых в сентябре 2001 года Всемирной конференцией по борьбе против расизма, расовой дискриминации, ксенофобии и связанной с ними нетерпимости, учитывая при этом итоговый документ Конференции по обзору Дурбанского процесса, состоявшейся в Женеве в апреле 2009 года.</w:t>
      </w:r>
      <w:r>
        <w:t xml:space="preserve"> </w:t>
      </w:r>
      <w:r>
        <w:rPr>
          <w:b/>
          <w:bCs/>
        </w:rPr>
        <w:t>Комитет просит государство-участник включить в его следующий периодический доклад конкретную информацию об утвержденных планах действий и о других принятых мерах с целью осуществления Дурбанской декларации и Программы действий на национальном уровне.</w:t>
      </w:r>
      <w:r>
        <w:t xml:space="preserve"> </w:t>
      </w:r>
    </w:p>
    <w:p w14:paraId="4B9A5642" w14:textId="77777777" w:rsidR="00C06C2B" w:rsidRPr="000F6B30" w:rsidRDefault="00C06C2B" w:rsidP="00C06C2B">
      <w:pPr>
        <w:pStyle w:val="H23G"/>
      </w:pPr>
      <w:r>
        <w:tab/>
      </w:r>
      <w:r>
        <w:tab/>
      </w:r>
      <w:r>
        <w:rPr>
          <w:bCs/>
        </w:rPr>
        <w:t>Международное десятилетие лиц африканского происхождения</w:t>
      </w:r>
      <w:r>
        <w:t xml:space="preserve"> </w:t>
      </w:r>
    </w:p>
    <w:p w14:paraId="7AEC07E0" w14:textId="77777777" w:rsidR="00C06C2B" w:rsidRPr="008B0116" w:rsidRDefault="00C06C2B" w:rsidP="00C06C2B">
      <w:pPr>
        <w:pStyle w:val="SingleTxtG"/>
        <w:rPr>
          <w:rFonts w:eastAsia="SimSun"/>
          <w:b/>
          <w:bCs/>
        </w:rPr>
      </w:pPr>
      <w:r>
        <w:t>35.</w:t>
      </w:r>
      <w:r>
        <w:tab/>
      </w:r>
      <w:r w:rsidRPr="005115A2">
        <w:rPr>
          <w:b/>
          <w:bCs/>
        </w:rPr>
        <w:t>В свете резолюции 68/237 Генеральной Ассамблеи, в которой Ассамблея провозгласила 2015–2024 годы Международным десятилетием лиц африканского происхождения, и резолюции 69/16 Ассамблеи о программе мероприятий по проведению Десятилетия Комитет рекомендует государству-участнику продолжать усилия по реализации соответствующей программы мер и стратегий в сотрудничестве с организациями лиц африканского происхождения.</w:t>
      </w:r>
      <w:r w:rsidRPr="005115A2">
        <w:t xml:space="preserve"> </w:t>
      </w:r>
      <w:r w:rsidRPr="005115A2">
        <w:rPr>
          <w:b/>
          <w:bCs/>
        </w:rPr>
        <w:t>Комитет просит государство-участник включить в его следующий доклад точные сведения о принятых им в этой связи конкретных мерах с учетом общей рекомендации № 34 (2011</w:t>
      </w:r>
      <w:r w:rsidR="00F47252">
        <w:rPr>
          <w:b/>
          <w:bCs/>
        </w:rPr>
        <w:t xml:space="preserve"> год</w:t>
      </w:r>
      <w:r w:rsidRPr="005115A2">
        <w:rPr>
          <w:b/>
          <w:bCs/>
        </w:rPr>
        <w:t>) о расовой дискриминации в отношении лиц африканского происхождения.</w:t>
      </w:r>
      <w:r>
        <w:t xml:space="preserve"> </w:t>
      </w:r>
    </w:p>
    <w:p w14:paraId="4BF71DC7" w14:textId="77777777" w:rsidR="00C06C2B" w:rsidRPr="000F6B30" w:rsidRDefault="00C06C2B" w:rsidP="00C06C2B">
      <w:pPr>
        <w:pStyle w:val="H23G"/>
        <w:rPr>
          <w:bCs/>
        </w:rPr>
      </w:pPr>
      <w:r>
        <w:tab/>
      </w:r>
      <w:r>
        <w:tab/>
      </w:r>
      <w:r>
        <w:rPr>
          <w:bCs/>
        </w:rPr>
        <w:t>Распространение информации</w:t>
      </w:r>
      <w:r>
        <w:t xml:space="preserve"> </w:t>
      </w:r>
    </w:p>
    <w:p w14:paraId="623E2971" w14:textId="77777777" w:rsidR="00C06C2B" w:rsidRPr="008B0116" w:rsidRDefault="00C06C2B" w:rsidP="00C06C2B">
      <w:pPr>
        <w:pStyle w:val="SingleTxtG"/>
        <w:rPr>
          <w:rFonts w:eastAsia="SimSun"/>
          <w:b/>
          <w:bCs/>
        </w:rPr>
      </w:pPr>
      <w:r>
        <w:t>36.</w:t>
      </w:r>
      <w:r>
        <w:tab/>
      </w:r>
      <w:r>
        <w:rPr>
          <w:b/>
          <w:bCs/>
        </w:rPr>
        <w:t>Комитет рекомендует, чтобы доклады государства-участника были доступны общественности на момент их представления и чтобы настоящие заключительные замечания были распространены на официальном языке, а также на других языках, широко используемых в государстве-участнике.</w:t>
      </w:r>
    </w:p>
    <w:p w14:paraId="05C8BF34" w14:textId="77777777" w:rsidR="00C06C2B" w:rsidRPr="000F6B30" w:rsidRDefault="00C06C2B" w:rsidP="00C06C2B">
      <w:pPr>
        <w:pStyle w:val="H23G"/>
        <w:rPr>
          <w:bCs/>
        </w:rPr>
      </w:pPr>
      <w:r>
        <w:tab/>
      </w:r>
      <w:r>
        <w:tab/>
      </w:r>
      <w:r>
        <w:rPr>
          <w:bCs/>
        </w:rPr>
        <w:t>Консультации с гражданским обществом</w:t>
      </w:r>
      <w:r>
        <w:t xml:space="preserve"> </w:t>
      </w:r>
    </w:p>
    <w:p w14:paraId="015BD7A1" w14:textId="77777777" w:rsidR="00C06C2B" w:rsidRPr="008B0116" w:rsidRDefault="00C06C2B" w:rsidP="00C06C2B">
      <w:pPr>
        <w:pStyle w:val="SingleTxtG"/>
        <w:rPr>
          <w:rFonts w:eastAsia="SimSun"/>
          <w:b/>
          <w:bCs/>
        </w:rPr>
      </w:pPr>
      <w:r>
        <w:t>37.</w:t>
      </w:r>
      <w:r>
        <w:tab/>
      </w:r>
      <w:r>
        <w:rPr>
          <w:b/>
          <w:bCs/>
        </w:rPr>
        <w:t>Комитет рекомендует государству-участнику продолжать проводить консультации и расширять диалог с организациями гражданского общества, занимающимися защитой прав человека, в частности ведущими борьбу против расовой дискриминации, в рамках подготовки следующего периодического доклада и принятия последующих мер по настоящим заключительным замечаниям.</w:t>
      </w:r>
    </w:p>
    <w:p w14:paraId="3B6BF5A2" w14:textId="77777777" w:rsidR="00C06C2B" w:rsidRPr="00C71DDE" w:rsidRDefault="00C06C2B" w:rsidP="00C06C2B">
      <w:pPr>
        <w:pStyle w:val="H23G"/>
        <w:rPr>
          <w:bCs/>
        </w:rPr>
      </w:pPr>
      <w:r>
        <w:tab/>
      </w:r>
      <w:r>
        <w:tab/>
      </w:r>
      <w:r>
        <w:tab/>
      </w:r>
      <w:r>
        <w:rPr>
          <w:bCs/>
        </w:rPr>
        <w:t>Последующие меры по выполнению настоящих заключительных замечаний</w:t>
      </w:r>
      <w:r>
        <w:t xml:space="preserve"> </w:t>
      </w:r>
    </w:p>
    <w:p w14:paraId="37BB1FE5" w14:textId="77777777" w:rsidR="00C06C2B" w:rsidRPr="007432EC" w:rsidRDefault="00C06C2B" w:rsidP="00C06C2B">
      <w:pPr>
        <w:pStyle w:val="SingleTxtG"/>
        <w:rPr>
          <w:rFonts w:eastAsia="SimSun"/>
          <w:b/>
          <w:bCs/>
        </w:rPr>
      </w:pPr>
      <w:r>
        <w:t>38.</w:t>
      </w:r>
      <w:r>
        <w:tab/>
      </w:r>
      <w:r>
        <w:rPr>
          <w:b/>
          <w:bCs/>
        </w:rPr>
        <w:t>В соответствии с пунктом 1 статьи 9 Конвенции и правилом 65 своих правил процедуры Комитет просит государство-участник представить в течение одного года после принятия настоящих заключительных замечаний информацию о выполнении им рекомендаций, содержащихся в подпункте a) пункта 21 (территориальные права и реституция земель) и пункте 23 (коренные народы, находящиеся на грани исчезновения, в изоляции или на стадии первоначальных контактов).</w:t>
      </w:r>
    </w:p>
    <w:p w14:paraId="20C3638B" w14:textId="77777777" w:rsidR="00C06C2B" w:rsidRPr="0091422B" w:rsidRDefault="00C06C2B" w:rsidP="00C06C2B">
      <w:pPr>
        <w:pStyle w:val="H23G"/>
        <w:rPr>
          <w:bCs/>
        </w:rPr>
      </w:pPr>
      <w:r>
        <w:tab/>
      </w:r>
      <w:r>
        <w:tab/>
      </w:r>
      <w:r>
        <w:rPr>
          <w:bCs/>
        </w:rPr>
        <w:t>Пункты, имеющие особое значение</w:t>
      </w:r>
      <w:r>
        <w:t xml:space="preserve"> </w:t>
      </w:r>
    </w:p>
    <w:p w14:paraId="02CE8CB0" w14:textId="77777777" w:rsidR="00C06C2B" w:rsidRPr="0091422B" w:rsidRDefault="00C06C2B" w:rsidP="00C06C2B">
      <w:pPr>
        <w:pStyle w:val="SingleTxtG"/>
        <w:rPr>
          <w:rFonts w:eastAsia="SimSun"/>
          <w:b/>
          <w:bCs/>
        </w:rPr>
      </w:pPr>
      <w:r>
        <w:t>39.</w:t>
      </w:r>
      <w:r>
        <w:tab/>
      </w:r>
      <w:r>
        <w:rPr>
          <w:b/>
          <w:bCs/>
        </w:rPr>
        <w:t>Комитет хотел бы обратить внимание государства-участника на особое значение рекомендаций, содержащихся в пунктах 11 (ненавистнические высказывания), 17 (структурная дискриминация), 19 (право на предварительные консультации) и 29 (защита правозащитников и лидеров этнических групп), и просит государство-участник представить в своем следующем периодическом докладе подробную информацию о конкретных мерах, принятых с целью выполнения этих рекомендаций.</w:t>
      </w:r>
    </w:p>
    <w:p w14:paraId="48F7F076" w14:textId="77777777" w:rsidR="00C06C2B" w:rsidRPr="0091422B" w:rsidRDefault="00C06C2B" w:rsidP="00C06C2B">
      <w:pPr>
        <w:pStyle w:val="H23G"/>
        <w:rPr>
          <w:bCs/>
        </w:rPr>
      </w:pPr>
      <w:r>
        <w:tab/>
      </w:r>
      <w:r>
        <w:tab/>
      </w:r>
      <w:r>
        <w:rPr>
          <w:bCs/>
        </w:rPr>
        <w:t>Подготовка следующего периодического доклада</w:t>
      </w:r>
      <w:r>
        <w:t xml:space="preserve"> </w:t>
      </w:r>
    </w:p>
    <w:p w14:paraId="6AD0C55F" w14:textId="77777777" w:rsidR="00C06C2B" w:rsidRPr="00875419" w:rsidRDefault="00C06C2B" w:rsidP="00C06C2B">
      <w:pPr>
        <w:pStyle w:val="SingleTxtG"/>
        <w:rPr>
          <w:rFonts w:eastAsia="SimSun"/>
          <w:sz w:val="18"/>
        </w:rPr>
      </w:pPr>
      <w:r>
        <w:t>40.</w:t>
      </w:r>
      <w:r>
        <w:tab/>
      </w:r>
      <w:r>
        <w:rPr>
          <w:b/>
          <w:bCs/>
        </w:rPr>
        <w:t>Комитет рекомендует государству-участнику представить свои объединенные двадцатый</w:t>
      </w:r>
      <w:r w:rsidR="00F47252">
        <w:rPr>
          <w:b/>
          <w:bCs/>
        </w:rPr>
        <w:t xml:space="preserve"> </w:t>
      </w:r>
      <w:r>
        <w:rPr>
          <w:b/>
          <w:bCs/>
        </w:rPr>
        <w:t>–</w:t>
      </w:r>
      <w:r w:rsidR="00F47252">
        <w:rPr>
          <w:b/>
          <w:bCs/>
        </w:rPr>
        <w:t xml:space="preserve"> </w:t>
      </w:r>
      <w:r>
        <w:rPr>
          <w:b/>
          <w:bCs/>
        </w:rPr>
        <w:t>двадцать первый периодические доклады в одном документе к 2 октября 2022 года, приняв во внимание руководящие принципы подготовки и представления докладов, утвержденные Комитетом на его семьдесят первой сессии (CERD/C/2007/1), и отразив в них все вопросы, поднятые в настоящих заключительных замечаниях.</w:t>
      </w:r>
      <w:r>
        <w:t xml:space="preserve"> </w:t>
      </w:r>
      <w:r>
        <w:rPr>
          <w:b/>
          <w:bCs/>
        </w:rPr>
        <w:t>В свете резолюции 68/268 Генеральной Ассамблеи Комитет настоятельно призывает государство-участник соблюдать установленное для объема периодических докладов ограничение</w:t>
      </w:r>
      <w:r w:rsidR="00F47252">
        <w:rPr>
          <w:b/>
          <w:bCs/>
        </w:rPr>
        <w:br/>
      </w:r>
      <w:r>
        <w:rPr>
          <w:b/>
          <w:bCs/>
        </w:rPr>
        <w:t>в 21 200 слов.</w:t>
      </w:r>
    </w:p>
    <w:p w14:paraId="6630AA92" w14:textId="77777777" w:rsidR="00381C24" w:rsidRPr="00935C09" w:rsidRDefault="00C06C2B" w:rsidP="00935C0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935C09" w:rsidSect="00C06C2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70E35" w14:textId="77777777" w:rsidR="00924E4A" w:rsidRPr="00A312BC" w:rsidRDefault="00924E4A" w:rsidP="00A312BC"/>
  </w:endnote>
  <w:endnote w:type="continuationSeparator" w:id="0">
    <w:p w14:paraId="4B90D9AF" w14:textId="77777777" w:rsidR="00924E4A" w:rsidRPr="00A312BC" w:rsidRDefault="00924E4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5101D" w14:textId="77777777" w:rsidR="00C06C2B" w:rsidRPr="00C06C2B" w:rsidRDefault="00C06C2B">
    <w:pPr>
      <w:pStyle w:val="a8"/>
    </w:pPr>
    <w:r w:rsidRPr="00C06C2B">
      <w:rPr>
        <w:b/>
        <w:sz w:val="18"/>
      </w:rPr>
      <w:fldChar w:fldCharType="begin"/>
    </w:r>
    <w:r w:rsidRPr="00C06C2B">
      <w:rPr>
        <w:b/>
        <w:sz w:val="18"/>
      </w:rPr>
      <w:instrText xml:space="preserve"> PAGE  \* MERGEFORMAT </w:instrText>
    </w:r>
    <w:r w:rsidRPr="00C06C2B">
      <w:rPr>
        <w:b/>
        <w:sz w:val="18"/>
      </w:rPr>
      <w:fldChar w:fldCharType="separate"/>
    </w:r>
    <w:r w:rsidRPr="00C06C2B">
      <w:rPr>
        <w:b/>
        <w:noProof/>
        <w:sz w:val="18"/>
      </w:rPr>
      <w:t>2</w:t>
    </w:r>
    <w:r w:rsidRPr="00C06C2B">
      <w:rPr>
        <w:b/>
        <w:sz w:val="18"/>
      </w:rPr>
      <w:fldChar w:fldCharType="end"/>
    </w:r>
    <w:r>
      <w:rPr>
        <w:b/>
        <w:sz w:val="18"/>
      </w:rPr>
      <w:tab/>
    </w:r>
    <w:r>
      <w:t>GE.20-00927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5FF28" w14:textId="77777777" w:rsidR="00C06C2B" w:rsidRPr="00C06C2B" w:rsidRDefault="00C06C2B" w:rsidP="00C06C2B">
    <w:pPr>
      <w:pStyle w:val="a8"/>
      <w:tabs>
        <w:tab w:val="clear" w:pos="9639"/>
        <w:tab w:val="right" w:pos="9638"/>
      </w:tabs>
      <w:rPr>
        <w:b/>
        <w:sz w:val="18"/>
      </w:rPr>
    </w:pPr>
    <w:r>
      <w:t>GE.20-00927</w:t>
    </w:r>
    <w:r>
      <w:tab/>
    </w:r>
    <w:r w:rsidRPr="00C06C2B">
      <w:rPr>
        <w:b/>
        <w:sz w:val="18"/>
      </w:rPr>
      <w:fldChar w:fldCharType="begin"/>
    </w:r>
    <w:r w:rsidRPr="00C06C2B">
      <w:rPr>
        <w:b/>
        <w:sz w:val="18"/>
      </w:rPr>
      <w:instrText xml:space="preserve"> PAGE  \* MERGEFORMAT </w:instrText>
    </w:r>
    <w:r w:rsidRPr="00C06C2B">
      <w:rPr>
        <w:b/>
        <w:sz w:val="18"/>
      </w:rPr>
      <w:fldChar w:fldCharType="separate"/>
    </w:r>
    <w:r w:rsidRPr="00C06C2B">
      <w:rPr>
        <w:b/>
        <w:noProof/>
        <w:sz w:val="18"/>
      </w:rPr>
      <w:t>3</w:t>
    </w:r>
    <w:r w:rsidRPr="00C06C2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C6F79" w14:textId="77777777" w:rsidR="00042B72" w:rsidRPr="00C06C2B" w:rsidRDefault="00C06C2B" w:rsidP="00C06C2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5549E17" wp14:editId="7A41CC9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20-00927  (R)</w:t>
    </w:r>
    <w:r w:rsidR="00DE3F0B">
      <w:t xml:space="preserve">  100320  110320</w:t>
    </w:r>
    <w:r>
      <w:br/>
    </w:r>
    <w:r w:rsidRPr="00C06C2B">
      <w:rPr>
        <w:rFonts w:ascii="C39T30Lfz" w:hAnsi="C39T30Lfz"/>
        <w:kern w:val="14"/>
        <w:sz w:val="56"/>
      </w:rPr>
      <w:t></w:t>
    </w:r>
    <w:r w:rsidRPr="00C06C2B">
      <w:rPr>
        <w:rFonts w:ascii="C39T30Lfz" w:hAnsi="C39T30Lfz"/>
        <w:kern w:val="14"/>
        <w:sz w:val="56"/>
      </w:rPr>
      <w:t></w:t>
    </w:r>
    <w:r w:rsidRPr="00C06C2B">
      <w:rPr>
        <w:rFonts w:ascii="C39T30Lfz" w:hAnsi="C39T30Lfz"/>
        <w:kern w:val="14"/>
        <w:sz w:val="56"/>
      </w:rPr>
      <w:t></w:t>
    </w:r>
    <w:r w:rsidRPr="00C06C2B">
      <w:rPr>
        <w:rFonts w:ascii="C39T30Lfz" w:hAnsi="C39T30Lfz"/>
        <w:kern w:val="14"/>
        <w:sz w:val="56"/>
      </w:rPr>
      <w:t></w:t>
    </w:r>
    <w:r w:rsidRPr="00C06C2B">
      <w:rPr>
        <w:rFonts w:ascii="C39T30Lfz" w:hAnsi="C39T30Lfz"/>
        <w:kern w:val="14"/>
        <w:sz w:val="56"/>
      </w:rPr>
      <w:t></w:t>
    </w:r>
    <w:r w:rsidRPr="00C06C2B">
      <w:rPr>
        <w:rFonts w:ascii="C39T30Lfz" w:hAnsi="C39T30Lfz"/>
        <w:kern w:val="14"/>
        <w:sz w:val="56"/>
      </w:rPr>
      <w:t></w:t>
    </w:r>
    <w:r w:rsidRPr="00C06C2B">
      <w:rPr>
        <w:rFonts w:ascii="C39T30Lfz" w:hAnsi="C39T30Lfz"/>
        <w:kern w:val="14"/>
        <w:sz w:val="56"/>
      </w:rPr>
      <w:t></w:t>
    </w:r>
    <w:r w:rsidRPr="00C06C2B">
      <w:rPr>
        <w:rFonts w:ascii="C39T30Lfz" w:hAnsi="C39T30Lfz"/>
        <w:kern w:val="14"/>
        <w:sz w:val="56"/>
      </w:rPr>
      <w:t></w:t>
    </w:r>
    <w:r w:rsidRPr="00C06C2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5C8D4E6" wp14:editId="549C370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ERD/C/COL/CO/17-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COL/CO/17-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7AAE0" w14:textId="77777777" w:rsidR="00924E4A" w:rsidRPr="001075E9" w:rsidRDefault="00924E4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972942" w14:textId="77777777" w:rsidR="00924E4A" w:rsidRDefault="00924E4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7F8A9BE" w14:textId="77777777" w:rsidR="00C06C2B" w:rsidRPr="00B12627" w:rsidRDefault="00C06C2B" w:rsidP="00C06C2B">
      <w:pPr>
        <w:pStyle w:val="ad"/>
      </w:pPr>
      <w:r>
        <w:tab/>
      </w:r>
      <w:r w:rsidRPr="00DE3F0B">
        <w:rPr>
          <w:sz w:val="20"/>
        </w:rPr>
        <w:t>*</w:t>
      </w:r>
      <w:r>
        <w:tab/>
        <w:t xml:space="preserve">Приняты Комитетом на его </w:t>
      </w:r>
      <w:r w:rsidR="00550C80">
        <w:t>100-</w:t>
      </w:r>
      <w:r>
        <w:t>й сессии (25 ноября – 13 декабря 2019 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5968F" w14:textId="36FD7F04" w:rsidR="00C06C2B" w:rsidRPr="00C06C2B" w:rsidRDefault="00C06C2B">
    <w:pPr>
      <w:pStyle w:val="a5"/>
    </w:pPr>
    <w:fldSimple w:instr=" TITLE  \* MERGEFORMAT ">
      <w:r w:rsidR="003A32C9">
        <w:t>CERD/C/COL/CO/17-19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9AC61" w14:textId="00BF051B" w:rsidR="00C06C2B" w:rsidRPr="00C06C2B" w:rsidRDefault="00C06C2B" w:rsidP="00C06C2B">
    <w:pPr>
      <w:pStyle w:val="a5"/>
      <w:jc w:val="right"/>
    </w:pPr>
    <w:fldSimple w:instr=" TITLE  \* MERGEFORMAT ">
      <w:r w:rsidR="003A32C9">
        <w:t>CERD/C/COL/CO/17-19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4A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32C9"/>
    <w:rsid w:val="003B00E5"/>
    <w:rsid w:val="003D11EA"/>
    <w:rsid w:val="004055E9"/>
    <w:rsid w:val="00407B78"/>
    <w:rsid w:val="00424203"/>
    <w:rsid w:val="00452493"/>
    <w:rsid w:val="00453318"/>
    <w:rsid w:val="00454E07"/>
    <w:rsid w:val="00472C5C"/>
    <w:rsid w:val="004A1C15"/>
    <w:rsid w:val="004E104A"/>
    <w:rsid w:val="0050108D"/>
    <w:rsid w:val="00503601"/>
    <w:rsid w:val="00513081"/>
    <w:rsid w:val="00517901"/>
    <w:rsid w:val="00526683"/>
    <w:rsid w:val="00550C80"/>
    <w:rsid w:val="0057071C"/>
    <w:rsid w:val="005709E0"/>
    <w:rsid w:val="00572E19"/>
    <w:rsid w:val="005961C8"/>
    <w:rsid w:val="005D7914"/>
    <w:rsid w:val="005E2B41"/>
    <w:rsid w:val="005F0B42"/>
    <w:rsid w:val="00627C61"/>
    <w:rsid w:val="006306AC"/>
    <w:rsid w:val="00641A8C"/>
    <w:rsid w:val="0067000F"/>
    <w:rsid w:val="00681A10"/>
    <w:rsid w:val="006A1ED8"/>
    <w:rsid w:val="006C2031"/>
    <w:rsid w:val="006D461A"/>
    <w:rsid w:val="006F35EE"/>
    <w:rsid w:val="007021FF"/>
    <w:rsid w:val="00706B3D"/>
    <w:rsid w:val="00712895"/>
    <w:rsid w:val="00757357"/>
    <w:rsid w:val="007C46C9"/>
    <w:rsid w:val="007C49AB"/>
    <w:rsid w:val="00825F8D"/>
    <w:rsid w:val="00834B71"/>
    <w:rsid w:val="0086445C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24E4A"/>
    <w:rsid w:val="00935C09"/>
    <w:rsid w:val="00951972"/>
    <w:rsid w:val="009608F3"/>
    <w:rsid w:val="009A24AC"/>
    <w:rsid w:val="009D5FCE"/>
    <w:rsid w:val="00A14DA8"/>
    <w:rsid w:val="00A312BC"/>
    <w:rsid w:val="00A84021"/>
    <w:rsid w:val="00A84D35"/>
    <w:rsid w:val="00A917B3"/>
    <w:rsid w:val="00AB4B51"/>
    <w:rsid w:val="00B10CC7"/>
    <w:rsid w:val="00B27969"/>
    <w:rsid w:val="00B32719"/>
    <w:rsid w:val="00B36DF7"/>
    <w:rsid w:val="00B539E7"/>
    <w:rsid w:val="00B62458"/>
    <w:rsid w:val="00B67B12"/>
    <w:rsid w:val="00BC18B2"/>
    <w:rsid w:val="00BD33EE"/>
    <w:rsid w:val="00C06C2B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E3F0B"/>
    <w:rsid w:val="00DF71B9"/>
    <w:rsid w:val="00E73F76"/>
    <w:rsid w:val="00EA2C9F"/>
    <w:rsid w:val="00EA420E"/>
    <w:rsid w:val="00ED0BDA"/>
    <w:rsid w:val="00EF1360"/>
    <w:rsid w:val="00EF3220"/>
    <w:rsid w:val="00F0540A"/>
    <w:rsid w:val="00F41B03"/>
    <w:rsid w:val="00F43903"/>
    <w:rsid w:val="00F47252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9DDD2F"/>
  <w15:docId w15:val="{EA8D96F0-2111-45CA-A243-A3E75652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55E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641A8C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627C6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627C6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055E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306AC"/>
    <w:rPr>
      <w:color w:val="0000FF" w:themeColor="hyperlink"/>
      <w:u w:val="none"/>
    </w:rPr>
  </w:style>
  <w:style w:type="character" w:styleId="af2">
    <w:name w:val="FollowedHyperlink"/>
    <w:basedOn w:val="a0"/>
    <w:rsid w:val="006306AC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C06C2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10</Pages>
  <Words>4045</Words>
  <Characters>28431</Characters>
  <Application>Microsoft Office Word</Application>
  <DocSecurity>0</DocSecurity>
  <Lines>515</Lines>
  <Paragraphs>113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CERD/C/COL/CO/17-19</vt:lpstr>
      <vt:lpstr>A/</vt:lpstr>
      <vt:lpstr>A/</vt:lpstr>
    </vt:vector>
  </TitlesOfParts>
  <Company>DCM</Company>
  <LinksUpToDate>false</LinksUpToDate>
  <CharactersWithSpaces>32447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CERD/C/COL/CO/17-19</dc:title>
  <dc:subject/>
  <dc:creator>Uliana ANTIPOVA</dc:creator>
  <cp:keywords/>
  <cp:lastModifiedBy>Uliana ANTIPOVA</cp:lastModifiedBy>
  <cp:revision>3</cp:revision>
  <cp:lastPrinted>2020-03-11T08:27:00Z</cp:lastPrinted>
  <dcterms:created xsi:type="dcterms:W3CDTF">2020-03-11T08:27:00Z</dcterms:created>
  <dcterms:modified xsi:type="dcterms:W3CDTF">2020-03-11T08:28:00Z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