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704CE" w:rsidRPr="00CE3B6F" w:rsidTr="00377075">
        <w:trPr>
          <w:trHeight w:hRule="exact" w:val="851"/>
        </w:trPr>
        <w:tc>
          <w:tcPr>
            <w:tcW w:w="1276" w:type="dxa"/>
            <w:tcBorders>
              <w:bottom w:val="single" w:sz="4" w:space="0" w:color="auto"/>
            </w:tcBorders>
          </w:tcPr>
          <w:p w:rsidR="000704CE" w:rsidRPr="00806E56" w:rsidRDefault="000704CE" w:rsidP="00377075">
            <w:pPr>
              <w:rPr>
                <w:lang w:val="fr-FR"/>
              </w:rPr>
            </w:pPr>
          </w:p>
        </w:tc>
        <w:tc>
          <w:tcPr>
            <w:tcW w:w="2268" w:type="dxa"/>
            <w:tcBorders>
              <w:bottom w:val="single" w:sz="4" w:space="0" w:color="auto"/>
            </w:tcBorders>
            <w:vAlign w:val="bottom"/>
          </w:tcPr>
          <w:p w:rsidR="000704CE" w:rsidRPr="00806E56" w:rsidRDefault="000704CE" w:rsidP="00377075">
            <w:pPr>
              <w:spacing w:after="80" w:line="300" w:lineRule="exact"/>
              <w:rPr>
                <w:sz w:val="28"/>
                <w:lang w:val="fr-FR"/>
              </w:rPr>
            </w:pPr>
            <w:r w:rsidRPr="00806E56">
              <w:rPr>
                <w:sz w:val="28"/>
                <w:lang w:val="fr-FR"/>
              </w:rPr>
              <w:t>Nations Unies</w:t>
            </w:r>
          </w:p>
        </w:tc>
        <w:tc>
          <w:tcPr>
            <w:tcW w:w="6095" w:type="dxa"/>
            <w:gridSpan w:val="2"/>
            <w:tcBorders>
              <w:bottom w:val="single" w:sz="4" w:space="0" w:color="auto"/>
            </w:tcBorders>
            <w:vAlign w:val="bottom"/>
          </w:tcPr>
          <w:p w:rsidR="000704CE" w:rsidRPr="00806E56" w:rsidRDefault="0060533C" w:rsidP="0060533C">
            <w:pPr>
              <w:jc w:val="right"/>
              <w:rPr>
                <w:lang w:val="fr-FR"/>
              </w:rPr>
            </w:pPr>
            <w:r w:rsidRPr="00806E56">
              <w:rPr>
                <w:sz w:val="40"/>
                <w:szCs w:val="40"/>
                <w:lang w:val="fr-FR"/>
              </w:rPr>
              <w:t>CAT</w:t>
            </w:r>
            <w:r w:rsidRPr="00806E56">
              <w:rPr>
                <w:szCs w:val="40"/>
                <w:lang w:val="fr-FR"/>
              </w:rPr>
              <w:t>/C/FRA/CO/7</w:t>
            </w:r>
          </w:p>
        </w:tc>
      </w:tr>
      <w:tr w:rsidR="000704CE" w:rsidRPr="00CE3B6F" w:rsidTr="00377075">
        <w:trPr>
          <w:trHeight w:hRule="exact" w:val="2835"/>
        </w:trPr>
        <w:tc>
          <w:tcPr>
            <w:tcW w:w="1276" w:type="dxa"/>
            <w:tcBorders>
              <w:top w:val="single" w:sz="4" w:space="0" w:color="auto"/>
              <w:bottom w:val="single" w:sz="12" w:space="0" w:color="auto"/>
            </w:tcBorders>
          </w:tcPr>
          <w:p w:rsidR="000704CE" w:rsidRPr="00806E56" w:rsidRDefault="005714E3" w:rsidP="00377075">
            <w:pPr>
              <w:spacing w:before="120"/>
              <w:jc w:val="center"/>
              <w:rPr>
                <w:lang w:val="fr-FR"/>
              </w:rPr>
            </w:pPr>
            <w:r w:rsidRPr="00005512">
              <w:rPr>
                <w:noProof/>
                <w:lang w:eastAsia="fr-CH"/>
              </w:rPr>
              <w:drawing>
                <wp:inline distT="0" distB="0" distL="0" distR="0" wp14:anchorId="1888A248" wp14:editId="4CC65383">
                  <wp:extent cx="710565" cy="59182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0565" cy="59182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704CE" w:rsidRPr="00806E56" w:rsidRDefault="000704CE" w:rsidP="00377075">
            <w:pPr>
              <w:spacing w:before="120" w:line="380" w:lineRule="exact"/>
              <w:rPr>
                <w:b/>
                <w:sz w:val="40"/>
                <w:szCs w:val="40"/>
                <w:lang w:val="fr-FR"/>
              </w:rPr>
            </w:pPr>
            <w:r w:rsidRPr="00806E56">
              <w:rPr>
                <w:b/>
                <w:sz w:val="34"/>
                <w:szCs w:val="34"/>
                <w:lang w:val="fr-FR"/>
              </w:rPr>
              <w:t>Convention contre</w:t>
            </w:r>
            <w:r w:rsidRPr="00806E56">
              <w:rPr>
                <w:b/>
                <w:sz w:val="34"/>
                <w:szCs w:val="34"/>
                <w:lang w:val="fr-FR"/>
              </w:rPr>
              <w:br/>
              <w:t>la torture et autres peines</w:t>
            </w:r>
            <w:r w:rsidRPr="00806E56">
              <w:rPr>
                <w:b/>
                <w:sz w:val="34"/>
                <w:szCs w:val="34"/>
                <w:lang w:val="fr-FR"/>
              </w:rPr>
              <w:br/>
              <w:t>ou traitements cruels</w:t>
            </w:r>
            <w:proofErr w:type="gramStart"/>
            <w:r w:rsidRPr="00806E56">
              <w:rPr>
                <w:b/>
                <w:sz w:val="34"/>
                <w:szCs w:val="34"/>
                <w:lang w:val="fr-FR"/>
              </w:rPr>
              <w:t>,</w:t>
            </w:r>
            <w:proofErr w:type="gramEnd"/>
            <w:r w:rsidRPr="00806E56">
              <w:rPr>
                <w:b/>
                <w:sz w:val="34"/>
                <w:szCs w:val="34"/>
                <w:lang w:val="fr-FR"/>
              </w:rPr>
              <w:br/>
              <w:t>inhumains ou dégradants</w:t>
            </w:r>
          </w:p>
        </w:tc>
        <w:tc>
          <w:tcPr>
            <w:tcW w:w="2835" w:type="dxa"/>
            <w:tcBorders>
              <w:top w:val="single" w:sz="4" w:space="0" w:color="auto"/>
              <w:bottom w:val="single" w:sz="12" w:space="0" w:color="auto"/>
            </w:tcBorders>
          </w:tcPr>
          <w:p w:rsidR="000704CE" w:rsidRPr="00806E56" w:rsidRDefault="000704CE" w:rsidP="00377075">
            <w:pPr>
              <w:suppressAutoHyphens w:val="0"/>
              <w:spacing w:before="240" w:line="240" w:lineRule="exact"/>
              <w:rPr>
                <w:lang w:val="fr-FR"/>
              </w:rPr>
            </w:pPr>
            <w:proofErr w:type="spellStart"/>
            <w:r w:rsidRPr="00806E56">
              <w:rPr>
                <w:lang w:val="fr-FR"/>
              </w:rPr>
              <w:t>Distr</w:t>
            </w:r>
            <w:proofErr w:type="spellEnd"/>
            <w:r w:rsidRPr="00806E56">
              <w:rPr>
                <w:lang w:val="fr-FR"/>
              </w:rPr>
              <w:t xml:space="preserve">. </w:t>
            </w:r>
            <w:r w:rsidR="001A5784" w:rsidRPr="00806E56">
              <w:rPr>
                <w:lang w:val="fr-FR"/>
              </w:rPr>
              <w:t>générale</w:t>
            </w:r>
          </w:p>
          <w:p w:rsidR="000704CE" w:rsidRPr="00806E56" w:rsidRDefault="007D218F" w:rsidP="00377075">
            <w:pPr>
              <w:suppressAutoHyphens w:val="0"/>
              <w:rPr>
                <w:lang w:val="fr-FR"/>
              </w:rPr>
            </w:pPr>
            <w:r>
              <w:rPr>
                <w:lang w:val="fr-FR"/>
              </w:rPr>
              <w:t>10</w:t>
            </w:r>
            <w:r w:rsidR="000B59D4">
              <w:rPr>
                <w:lang w:val="fr-FR"/>
              </w:rPr>
              <w:t xml:space="preserve"> juin</w:t>
            </w:r>
            <w:r w:rsidR="0044516B" w:rsidRPr="00806E56">
              <w:rPr>
                <w:lang w:val="fr-FR"/>
              </w:rPr>
              <w:t xml:space="preserve"> </w:t>
            </w:r>
            <w:r w:rsidR="009A0B83" w:rsidRPr="00806E56">
              <w:rPr>
                <w:lang w:val="fr-FR"/>
              </w:rPr>
              <w:t>2016</w:t>
            </w:r>
          </w:p>
          <w:p w:rsidR="000704CE" w:rsidRPr="00806E56" w:rsidRDefault="000704CE" w:rsidP="00377075">
            <w:pPr>
              <w:suppressAutoHyphens w:val="0"/>
              <w:rPr>
                <w:lang w:val="fr-FR"/>
              </w:rPr>
            </w:pPr>
          </w:p>
          <w:p w:rsidR="000704CE" w:rsidRPr="00CE3B6F" w:rsidRDefault="009A0B83" w:rsidP="00377075">
            <w:pPr>
              <w:rPr>
                <w:lang w:val="fr-FR"/>
              </w:rPr>
            </w:pPr>
            <w:r w:rsidRPr="00806E56">
              <w:rPr>
                <w:lang w:val="fr-FR"/>
              </w:rPr>
              <w:t>Original</w:t>
            </w:r>
            <w:r w:rsidR="00FE7CC8">
              <w:rPr>
                <w:lang w:val="fr-FR"/>
              </w:rPr>
              <w:t> </w:t>
            </w:r>
            <w:r w:rsidRPr="00806E56">
              <w:rPr>
                <w:lang w:val="fr-FR"/>
              </w:rPr>
              <w:t>: français</w:t>
            </w:r>
          </w:p>
          <w:p w:rsidR="00B24757" w:rsidRPr="00806E56" w:rsidRDefault="00B24757" w:rsidP="00377075">
            <w:pPr>
              <w:rPr>
                <w:lang w:val="fr-FR"/>
              </w:rPr>
            </w:pPr>
          </w:p>
        </w:tc>
      </w:tr>
    </w:tbl>
    <w:p w:rsidR="009A0B83" w:rsidRPr="00CE3B6F" w:rsidRDefault="009A0B83" w:rsidP="00806E56">
      <w:pPr>
        <w:suppressAutoHyphens w:val="0"/>
        <w:autoSpaceDE w:val="0"/>
        <w:autoSpaceDN w:val="0"/>
        <w:adjustRightInd w:val="0"/>
        <w:spacing w:before="120" w:line="240" w:lineRule="auto"/>
        <w:rPr>
          <w:b/>
          <w:bCs/>
          <w:color w:val="000000"/>
          <w:lang w:val="fr-FR" w:eastAsia="en-GB"/>
        </w:rPr>
      </w:pPr>
      <w:r w:rsidRPr="00CE3B6F">
        <w:rPr>
          <w:b/>
          <w:bCs/>
          <w:color w:val="000000"/>
          <w:sz w:val="24"/>
          <w:szCs w:val="24"/>
          <w:lang w:val="fr-FR" w:eastAsia="en-GB"/>
        </w:rPr>
        <w:t>Comité contre la torture</w:t>
      </w:r>
    </w:p>
    <w:p w:rsidR="009A0B83" w:rsidRPr="00CE3B6F" w:rsidRDefault="000704CE" w:rsidP="009A0B83">
      <w:pPr>
        <w:pStyle w:val="HChG"/>
        <w:rPr>
          <w:lang w:val="fr-FR" w:eastAsia="en-GB"/>
        </w:rPr>
      </w:pPr>
      <w:r w:rsidRPr="00806E56">
        <w:rPr>
          <w:lang w:val="fr-FR"/>
        </w:rPr>
        <w:tab/>
      </w:r>
      <w:r w:rsidRPr="00806E56">
        <w:rPr>
          <w:lang w:val="fr-FR"/>
        </w:rPr>
        <w:tab/>
        <w:t xml:space="preserve">Observations finales concernant </w:t>
      </w:r>
      <w:r w:rsidR="009A0B83" w:rsidRPr="00CE3B6F">
        <w:rPr>
          <w:lang w:val="fr-FR" w:eastAsia="en-GB"/>
        </w:rPr>
        <w:t>le septième rapport périodique de</w:t>
      </w:r>
      <w:r w:rsidR="007559C5" w:rsidRPr="00CE3B6F">
        <w:rPr>
          <w:lang w:val="fr-FR" w:eastAsia="en-GB"/>
        </w:rPr>
        <w:t xml:space="preserve"> </w:t>
      </w:r>
      <w:r w:rsidR="009A0B83" w:rsidRPr="00CE3B6F">
        <w:rPr>
          <w:lang w:val="fr-FR" w:eastAsia="en-GB"/>
        </w:rPr>
        <w:t>la France</w:t>
      </w:r>
      <w:r w:rsidR="00F81AF2" w:rsidRPr="00806E56">
        <w:rPr>
          <w:rStyle w:val="Appelnotedebasdep"/>
          <w:b w:val="0"/>
          <w:sz w:val="20"/>
          <w:vertAlign w:val="baseline"/>
          <w:lang w:val="fr-FR"/>
        </w:rPr>
        <w:footnoteReference w:customMarkFollows="1" w:id="2"/>
        <w:t>*</w:t>
      </w:r>
    </w:p>
    <w:p w:rsidR="009A0B83" w:rsidRPr="00806E56" w:rsidRDefault="008B0D30" w:rsidP="008B0D30">
      <w:pPr>
        <w:pStyle w:val="SingleTxtG"/>
        <w:rPr>
          <w:lang w:val="fr-FR"/>
        </w:rPr>
      </w:pPr>
      <w:r w:rsidRPr="00806E56">
        <w:rPr>
          <w:lang w:val="fr-FR"/>
        </w:rPr>
        <w:t>1.</w:t>
      </w:r>
      <w:r w:rsidRPr="00806E56">
        <w:rPr>
          <w:lang w:val="fr-FR"/>
        </w:rPr>
        <w:tab/>
      </w:r>
      <w:r w:rsidR="009A0B83" w:rsidRPr="00806E56">
        <w:rPr>
          <w:lang w:val="fr-FR"/>
        </w:rPr>
        <w:t>Le Comité contre la torture a examiné le septième rapport périodique de la France (CAT/C/FRA/7) à ses 1396</w:t>
      </w:r>
      <w:r w:rsidR="009A0B83" w:rsidRPr="00806E56">
        <w:rPr>
          <w:vertAlign w:val="superscript"/>
          <w:lang w:val="fr-FR"/>
        </w:rPr>
        <w:t>e</w:t>
      </w:r>
      <w:r w:rsidR="000101E9">
        <w:rPr>
          <w:vertAlign w:val="superscript"/>
          <w:lang w:val="fr-FR"/>
        </w:rPr>
        <w:t xml:space="preserve"> </w:t>
      </w:r>
      <w:r w:rsidR="009A0B83" w:rsidRPr="00806E56">
        <w:rPr>
          <w:lang w:val="fr-FR"/>
        </w:rPr>
        <w:t>et 1399</w:t>
      </w:r>
      <w:r w:rsidR="009A0B83" w:rsidRPr="00806E56">
        <w:rPr>
          <w:vertAlign w:val="superscript"/>
          <w:lang w:val="fr-FR"/>
        </w:rPr>
        <w:t>e</w:t>
      </w:r>
      <w:r w:rsidR="000101E9">
        <w:rPr>
          <w:vertAlign w:val="superscript"/>
          <w:lang w:val="fr-FR"/>
        </w:rPr>
        <w:t xml:space="preserve"> </w:t>
      </w:r>
      <w:r w:rsidR="009A0B83" w:rsidRPr="00806E56">
        <w:rPr>
          <w:lang w:val="fr-FR"/>
        </w:rPr>
        <w:t>séances, les 19 et 20 avril 2016 (</w:t>
      </w:r>
      <w:r w:rsidR="000101E9">
        <w:rPr>
          <w:lang w:val="fr-FR"/>
        </w:rPr>
        <w:t xml:space="preserve">voir </w:t>
      </w:r>
      <w:r w:rsidR="009A0B83" w:rsidRPr="00806E56">
        <w:rPr>
          <w:lang w:val="fr-FR"/>
        </w:rPr>
        <w:t>CAT/C/SR.1396 et 1399), et a adopté les obser</w:t>
      </w:r>
      <w:r w:rsidR="00B24757" w:rsidRPr="00806E56">
        <w:rPr>
          <w:lang w:val="fr-FR"/>
        </w:rPr>
        <w:t xml:space="preserve">vations finales ci-après à sa </w:t>
      </w:r>
      <w:r w:rsidR="00E60479" w:rsidRPr="00806E56">
        <w:rPr>
          <w:lang w:val="fr-FR"/>
        </w:rPr>
        <w:t>1418</w:t>
      </w:r>
      <w:r w:rsidR="00E60479" w:rsidRPr="00806E56">
        <w:rPr>
          <w:vertAlign w:val="superscript"/>
          <w:lang w:val="fr-FR"/>
        </w:rPr>
        <w:t>e</w:t>
      </w:r>
      <w:r w:rsidR="00E60479" w:rsidRPr="00806E56">
        <w:rPr>
          <w:lang w:val="fr-FR"/>
        </w:rPr>
        <w:t xml:space="preserve"> </w:t>
      </w:r>
      <w:r w:rsidR="00B24757" w:rsidRPr="00806E56">
        <w:rPr>
          <w:lang w:val="fr-FR"/>
        </w:rPr>
        <w:t xml:space="preserve">séance, le </w:t>
      </w:r>
      <w:r w:rsidR="00BA03A2" w:rsidRPr="00806E56">
        <w:rPr>
          <w:lang w:val="fr-FR"/>
        </w:rPr>
        <w:t xml:space="preserve">4 </w:t>
      </w:r>
      <w:r w:rsidR="009A0B83" w:rsidRPr="00806E56">
        <w:rPr>
          <w:lang w:val="fr-FR"/>
        </w:rPr>
        <w:t>mai 2016.</w:t>
      </w:r>
    </w:p>
    <w:p w:rsidR="009A0B83" w:rsidRPr="00806E56" w:rsidRDefault="007559C5" w:rsidP="007559C5">
      <w:pPr>
        <w:pStyle w:val="H1G"/>
        <w:rPr>
          <w:lang w:val="fr-FR"/>
        </w:rPr>
      </w:pPr>
      <w:r w:rsidRPr="00806E56">
        <w:rPr>
          <w:lang w:val="fr-FR"/>
        </w:rPr>
        <w:tab/>
        <w:t>A.</w:t>
      </w:r>
      <w:r w:rsidRPr="00806E56">
        <w:rPr>
          <w:lang w:val="fr-FR"/>
        </w:rPr>
        <w:tab/>
      </w:r>
      <w:r w:rsidR="009A0B83" w:rsidRPr="00806E56">
        <w:rPr>
          <w:lang w:val="fr-FR"/>
        </w:rPr>
        <w:t>Introduction</w:t>
      </w:r>
    </w:p>
    <w:p w:rsidR="009A0B83" w:rsidRPr="00806E56" w:rsidRDefault="008B0D30" w:rsidP="008B0D30">
      <w:pPr>
        <w:pStyle w:val="SingleTxtG"/>
        <w:rPr>
          <w:lang w:val="fr-FR"/>
        </w:rPr>
      </w:pPr>
      <w:r w:rsidRPr="00806E56">
        <w:rPr>
          <w:lang w:val="fr-FR"/>
        </w:rPr>
        <w:t>2.</w:t>
      </w:r>
      <w:r w:rsidRPr="00806E56">
        <w:rPr>
          <w:lang w:val="fr-FR"/>
        </w:rPr>
        <w:tab/>
      </w:r>
      <w:r w:rsidR="009A0B83" w:rsidRPr="00CE3B6F">
        <w:rPr>
          <w:lang w:val="fr-FR"/>
        </w:rPr>
        <w:t>Le Comité accueille avec satisfaction le septième rapport périodique de la France qui est conforme aux lignes directrices pour la</w:t>
      </w:r>
      <w:r w:rsidR="0044516B" w:rsidRPr="00CE3B6F">
        <w:rPr>
          <w:lang w:val="fr-FR"/>
        </w:rPr>
        <w:t xml:space="preserve"> </w:t>
      </w:r>
      <w:r w:rsidR="009A0B83" w:rsidRPr="00CE3B6F">
        <w:rPr>
          <w:lang w:val="fr-FR"/>
        </w:rPr>
        <w:t>réda</w:t>
      </w:r>
      <w:r w:rsidR="007559C5" w:rsidRPr="00CE3B6F">
        <w:rPr>
          <w:lang w:val="fr-FR"/>
        </w:rPr>
        <w:t>ction des rapports périodiques.</w:t>
      </w:r>
    </w:p>
    <w:p w:rsidR="009A0B83" w:rsidRPr="00806E56" w:rsidRDefault="008B0D30" w:rsidP="008B0D30">
      <w:pPr>
        <w:pStyle w:val="SingleTxtG"/>
        <w:rPr>
          <w:lang w:val="fr-FR"/>
        </w:rPr>
      </w:pPr>
      <w:r w:rsidRPr="00806E56">
        <w:rPr>
          <w:lang w:val="fr-FR"/>
        </w:rPr>
        <w:t>3.</w:t>
      </w:r>
      <w:r w:rsidRPr="00806E56">
        <w:rPr>
          <w:lang w:val="fr-FR"/>
        </w:rPr>
        <w:tab/>
      </w:r>
      <w:r w:rsidR="009A0B83" w:rsidRPr="00806E56">
        <w:rPr>
          <w:lang w:val="fr-FR"/>
        </w:rPr>
        <w:t>Il se félicite du dialogue franc et constructif conduit avec la délégation</w:t>
      </w:r>
      <w:r w:rsidR="00E60479" w:rsidRPr="00806E56">
        <w:rPr>
          <w:lang w:val="fr-FR"/>
        </w:rPr>
        <w:t xml:space="preserve"> </w:t>
      </w:r>
      <w:r w:rsidR="009A0B83" w:rsidRPr="00806E56">
        <w:rPr>
          <w:lang w:val="fr-FR"/>
        </w:rPr>
        <w:t>de l’</w:t>
      </w:r>
      <w:r w:rsidR="00CE3B6F" w:rsidRPr="00CE3B6F">
        <w:rPr>
          <w:lang w:val="fr-FR"/>
        </w:rPr>
        <w:t>État</w:t>
      </w:r>
      <w:r w:rsidR="009A0B83" w:rsidRPr="00806E56">
        <w:rPr>
          <w:lang w:val="fr-FR"/>
        </w:rPr>
        <w:t xml:space="preserve"> partie et la remercie</w:t>
      </w:r>
      <w:r w:rsidR="0044516B" w:rsidRPr="00806E56">
        <w:rPr>
          <w:lang w:val="fr-FR"/>
        </w:rPr>
        <w:t xml:space="preserve"> </w:t>
      </w:r>
      <w:r w:rsidR="009A0B83" w:rsidRPr="00806E56">
        <w:rPr>
          <w:lang w:val="fr-FR"/>
        </w:rPr>
        <w:t>pour ses réponses détaillées</w:t>
      </w:r>
      <w:r w:rsidR="007559C5" w:rsidRPr="00806E56">
        <w:rPr>
          <w:lang w:val="fr-FR"/>
        </w:rPr>
        <w:t xml:space="preserve"> aux</w:t>
      </w:r>
      <w:r w:rsidR="0044516B" w:rsidRPr="00806E56">
        <w:rPr>
          <w:lang w:val="fr-FR"/>
        </w:rPr>
        <w:t xml:space="preserve"> </w:t>
      </w:r>
      <w:r w:rsidR="007559C5" w:rsidRPr="00806E56">
        <w:rPr>
          <w:lang w:val="fr-FR"/>
        </w:rPr>
        <w:t>préoccupations du Comité.</w:t>
      </w:r>
    </w:p>
    <w:p w:rsidR="009A0B83" w:rsidRPr="00806E56" w:rsidRDefault="007559C5" w:rsidP="007559C5">
      <w:pPr>
        <w:pStyle w:val="H1G"/>
        <w:rPr>
          <w:lang w:val="fr-FR"/>
        </w:rPr>
      </w:pPr>
      <w:r w:rsidRPr="00806E56">
        <w:rPr>
          <w:lang w:val="fr-FR"/>
        </w:rPr>
        <w:tab/>
        <w:t>B.</w:t>
      </w:r>
      <w:r w:rsidRPr="00806E56">
        <w:rPr>
          <w:lang w:val="fr-FR"/>
        </w:rPr>
        <w:tab/>
        <w:t>A</w:t>
      </w:r>
      <w:r w:rsidR="009A0B83" w:rsidRPr="00806E56">
        <w:rPr>
          <w:lang w:val="fr-FR"/>
        </w:rPr>
        <w:t>spects positifs</w:t>
      </w:r>
    </w:p>
    <w:p w:rsidR="009A0B83" w:rsidRPr="00806E56" w:rsidRDefault="008B0D30" w:rsidP="008B0D30">
      <w:pPr>
        <w:pStyle w:val="SingleTxtG"/>
        <w:rPr>
          <w:lang w:val="fr-FR"/>
        </w:rPr>
      </w:pPr>
      <w:r w:rsidRPr="00806E56">
        <w:rPr>
          <w:lang w:val="fr-FR"/>
        </w:rPr>
        <w:t>4.</w:t>
      </w:r>
      <w:r w:rsidRPr="00806E56">
        <w:rPr>
          <w:lang w:val="fr-FR"/>
        </w:rPr>
        <w:tab/>
      </w:r>
      <w:r w:rsidR="009A0B83" w:rsidRPr="00806E56">
        <w:rPr>
          <w:lang w:val="fr-FR"/>
        </w:rPr>
        <w:t>Le Comité constate avec satisfaction que, depuis l’examen du dernier rapport, l’</w:t>
      </w:r>
      <w:r w:rsidR="00CE3B6F" w:rsidRPr="00CE3B6F">
        <w:rPr>
          <w:lang w:val="fr-FR"/>
        </w:rPr>
        <w:t>État</w:t>
      </w:r>
      <w:r w:rsidR="009A0B83" w:rsidRPr="00806E56">
        <w:rPr>
          <w:lang w:val="fr-FR"/>
        </w:rPr>
        <w:t xml:space="preserve"> partie a ratifié</w:t>
      </w:r>
      <w:r w:rsidR="00A877AA">
        <w:rPr>
          <w:lang w:val="fr-FR"/>
        </w:rPr>
        <w:t> </w:t>
      </w:r>
      <w:r w:rsidR="009A0B83" w:rsidRPr="00806E56">
        <w:rPr>
          <w:lang w:val="fr-FR"/>
        </w:rPr>
        <w:t>:</w:t>
      </w:r>
    </w:p>
    <w:p w:rsidR="009A0B83" w:rsidRPr="00806E56" w:rsidRDefault="007559C5" w:rsidP="007559C5">
      <w:pPr>
        <w:pStyle w:val="SingleTxtG"/>
        <w:rPr>
          <w:lang w:val="fr-FR"/>
        </w:rPr>
      </w:pPr>
      <w:r w:rsidRPr="00806E56">
        <w:rPr>
          <w:lang w:val="fr-FR"/>
        </w:rPr>
        <w:tab/>
        <w:t>a)</w:t>
      </w:r>
      <w:r w:rsidRPr="00806E56">
        <w:rPr>
          <w:lang w:val="fr-FR"/>
        </w:rPr>
        <w:tab/>
      </w:r>
      <w:r w:rsidR="009A0B83" w:rsidRPr="00806E56">
        <w:rPr>
          <w:lang w:val="fr-FR"/>
        </w:rPr>
        <w:t>La Convention du Conseil de l’Europe sur la prévention et la lutte contre la violence à l’égard des femmes et la violence domestique</w:t>
      </w:r>
      <w:r w:rsidR="005B1B39" w:rsidRPr="00806E56">
        <w:rPr>
          <w:lang w:val="fr-FR"/>
        </w:rPr>
        <w:t>, le 4 juillet 2014</w:t>
      </w:r>
      <w:r w:rsidR="00A877AA">
        <w:rPr>
          <w:lang w:val="fr-FR"/>
        </w:rPr>
        <w:t> </w:t>
      </w:r>
      <w:r w:rsidR="009A0B83" w:rsidRPr="00806E56">
        <w:rPr>
          <w:lang w:val="fr-FR"/>
        </w:rPr>
        <w:t>;</w:t>
      </w:r>
    </w:p>
    <w:p w:rsidR="009A0B83" w:rsidRPr="00806E56" w:rsidRDefault="007559C5" w:rsidP="007559C5">
      <w:pPr>
        <w:pStyle w:val="SingleTxtG"/>
        <w:rPr>
          <w:lang w:val="fr-FR"/>
        </w:rPr>
      </w:pPr>
      <w:r w:rsidRPr="00806E56">
        <w:rPr>
          <w:lang w:val="fr-FR"/>
        </w:rPr>
        <w:tab/>
      </w:r>
      <w:r w:rsidR="00CE06FD" w:rsidRPr="00806E56">
        <w:rPr>
          <w:lang w:val="fr-FR"/>
        </w:rPr>
        <w:t>b</w:t>
      </w:r>
      <w:r w:rsidRPr="00806E56">
        <w:rPr>
          <w:lang w:val="fr-FR"/>
        </w:rPr>
        <w:t>)</w:t>
      </w:r>
      <w:r w:rsidRPr="00806E56">
        <w:rPr>
          <w:lang w:val="fr-FR"/>
        </w:rPr>
        <w:tab/>
      </w:r>
      <w:r w:rsidR="009A0B83" w:rsidRPr="00CE3B6F">
        <w:rPr>
          <w:rFonts w:eastAsia="Calibri"/>
          <w:lang w:val="fr-FR"/>
        </w:rPr>
        <w:t>Le Protocole facultatif se rapportant au Pacte international relatif aux droits économiques, sociaux et culturels</w:t>
      </w:r>
      <w:r w:rsidR="005B1B39" w:rsidRPr="00CE3B6F">
        <w:rPr>
          <w:rFonts w:eastAsia="Calibri"/>
          <w:lang w:val="fr-FR"/>
        </w:rPr>
        <w:t>, le 18 mars 2015</w:t>
      </w:r>
      <w:r w:rsidR="009A0B83" w:rsidRPr="00CE3B6F">
        <w:rPr>
          <w:rFonts w:eastAsia="Calibri"/>
          <w:lang w:val="fr-FR"/>
        </w:rPr>
        <w:t>.</w:t>
      </w:r>
    </w:p>
    <w:p w:rsidR="009A0B83" w:rsidRPr="00806E56" w:rsidRDefault="008B0D30" w:rsidP="008B0D30">
      <w:pPr>
        <w:pStyle w:val="SingleTxtG"/>
        <w:rPr>
          <w:lang w:val="fr-FR"/>
        </w:rPr>
      </w:pPr>
      <w:r w:rsidRPr="00806E56">
        <w:rPr>
          <w:lang w:val="fr-FR"/>
        </w:rPr>
        <w:t>5.</w:t>
      </w:r>
      <w:r w:rsidRPr="00806E56">
        <w:rPr>
          <w:lang w:val="fr-FR"/>
        </w:rPr>
        <w:tab/>
      </w:r>
      <w:r w:rsidR="009A0B83" w:rsidRPr="00806E56">
        <w:rPr>
          <w:lang w:val="fr-FR"/>
        </w:rPr>
        <w:t>Le Comité salue les efforts que continue de déployer l’</w:t>
      </w:r>
      <w:r w:rsidR="007B5502" w:rsidRPr="00CE3B6F">
        <w:rPr>
          <w:lang w:val="fr-FR"/>
        </w:rPr>
        <w:t>État</w:t>
      </w:r>
      <w:r w:rsidR="009A0B83" w:rsidRPr="00806E56">
        <w:rPr>
          <w:lang w:val="fr-FR"/>
        </w:rPr>
        <w:t xml:space="preserve"> partie en révisant sa législation afin de donner plein effet aux précédentes recommandations du Comité, </w:t>
      </w:r>
      <w:r w:rsidR="0074479A">
        <w:rPr>
          <w:lang w:val="fr-FR"/>
        </w:rPr>
        <w:t>avec notamment</w:t>
      </w:r>
      <w:r w:rsidR="00A877AA">
        <w:rPr>
          <w:lang w:val="fr-FR"/>
        </w:rPr>
        <w:t> </w:t>
      </w:r>
      <w:r w:rsidR="009A0B83" w:rsidRPr="00806E56">
        <w:rPr>
          <w:lang w:val="fr-FR"/>
        </w:rPr>
        <w:t>:</w:t>
      </w:r>
    </w:p>
    <w:p w:rsidR="009A0B83" w:rsidRPr="00806E56" w:rsidRDefault="00B24757" w:rsidP="0074479A">
      <w:pPr>
        <w:pStyle w:val="SingleTxtG"/>
        <w:rPr>
          <w:lang w:val="fr-FR"/>
        </w:rPr>
      </w:pPr>
      <w:r w:rsidRPr="00806E56">
        <w:rPr>
          <w:lang w:val="fr-FR"/>
        </w:rPr>
        <w:tab/>
      </w:r>
      <w:r w:rsidR="009A0B83" w:rsidRPr="00806E56">
        <w:rPr>
          <w:lang w:val="fr-FR"/>
        </w:rPr>
        <w:t>a)</w:t>
      </w:r>
      <w:r w:rsidRPr="00806E56">
        <w:rPr>
          <w:lang w:val="fr-FR"/>
        </w:rPr>
        <w:tab/>
      </w:r>
      <w:r w:rsidR="009A0B83" w:rsidRPr="00806E56">
        <w:rPr>
          <w:lang w:val="fr-FR"/>
        </w:rPr>
        <w:t xml:space="preserve">La </w:t>
      </w:r>
      <w:r w:rsidR="0065188F">
        <w:rPr>
          <w:lang w:val="fr-FR"/>
        </w:rPr>
        <w:t>l</w:t>
      </w:r>
      <w:r w:rsidR="0065188F" w:rsidRPr="00806E56">
        <w:rPr>
          <w:lang w:val="fr-FR"/>
        </w:rPr>
        <w:t xml:space="preserve">oi </w:t>
      </w:r>
      <w:r w:rsidR="009A0B83" w:rsidRPr="00806E56">
        <w:rPr>
          <w:lang w:val="fr-FR"/>
        </w:rPr>
        <w:t>du 26 mai 2014 relative au Contrôleur général des lieux de privation de liberté</w:t>
      </w:r>
      <w:r w:rsidR="00323FF8">
        <w:rPr>
          <w:lang w:val="fr-FR"/>
        </w:rPr>
        <w:t xml:space="preserve"> qui</w:t>
      </w:r>
      <w:r w:rsidR="0044516B" w:rsidRPr="00806E56">
        <w:rPr>
          <w:lang w:val="fr-FR"/>
        </w:rPr>
        <w:t xml:space="preserve"> </w:t>
      </w:r>
      <w:r w:rsidR="00323FF8" w:rsidRPr="00806E56">
        <w:rPr>
          <w:lang w:val="fr-FR"/>
        </w:rPr>
        <w:t>renfor</w:t>
      </w:r>
      <w:r w:rsidR="00323FF8">
        <w:rPr>
          <w:lang w:val="fr-FR"/>
        </w:rPr>
        <w:t>ce</w:t>
      </w:r>
      <w:r w:rsidR="00323FF8" w:rsidRPr="00806E56">
        <w:rPr>
          <w:lang w:val="fr-FR"/>
        </w:rPr>
        <w:t xml:space="preserve"> </w:t>
      </w:r>
      <w:r w:rsidR="009A0B83" w:rsidRPr="00806E56">
        <w:rPr>
          <w:lang w:val="fr-FR"/>
        </w:rPr>
        <w:t>les pouvoirs de cette institution</w:t>
      </w:r>
      <w:r w:rsidR="007B5502">
        <w:rPr>
          <w:lang w:val="fr-FR"/>
        </w:rPr>
        <w:t> ;</w:t>
      </w:r>
      <w:r w:rsidR="00CF30AE" w:rsidRPr="00806E56">
        <w:rPr>
          <w:lang w:val="fr-FR"/>
        </w:rPr>
        <w:t xml:space="preserve"> </w:t>
      </w:r>
    </w:p>
    <w:p w:rsidR="009A0B83" w:rsidRPr="00806E56" w:rsidRDefault="00B24757">
      <w:pPr>
        <w:pStyle w:val="SingleTxtG"/>
        <w:rPr>
          <w:lang w:val="fr-FR"/>
        </w:rPr>
      </w:pPr>
      <w:r w:rsidRPr="00806E56">
        <w:rPr>
          <w:lang w:val="fr-FR"/>
        </w:rPr>
        <w:tab/>
      </w:r>
      <w:r w:rsidR="009A0B83" w:rsidRPr="00806E56">
        <w:rPr>
          <w:lang w:val="fr-FR"/>
        </w:rPr>
        <w:t>b)</w:t>
      </w:r>
      <w:r w:rsidRPr="00806E56">
        <w:rPr>
          <w:lang w:val="fr-FR"/>
        </w:rPr>
        <w:tab/>
      </w:r>
      <w:r w:rsidR="009A0B83" w:rsidRPr="00806E56">
        <w:rPr>
          <w:lang w:val="fr-FR"/>
        </w:rPr>
        <w:t xml:space="preserve">La </w:t>
      </w:r>
      <w:r w:rsidR="0065188F">
        <w:rPr>
          <w:lang w:val="fr-FR"/>
        </w:rPr>
        <w:t>l</w:t>
      </w:r>
      <w:r w:rsidR="0065188F" w:rsidRPr="00806E56">
        <w:rPr>
          <w:lang w:val="fr-FR"/>
        </w:rPr>
        <w:t xml:space="preserve">oi </w:t>
      </w:r>
      <w:r w:rsidR="009A0B83" w:rsidRPr="00806E56">
        <w:rPr>
          <w:lang w:val="fr-FR"/>
        </w:rPr>
        <w:t>du 29 juillet 2015 sur la réforme de l’asile qui prévoit un effet suspensif de l’exécution de renvoi des demandeurs d’asile placés en procédure accélérée qui ont fait</w:t>
      </w:r>
      <w:r w:rsidR="0044516B" w:rsidRPr="00806E56">
        <w:rPr>
          <w:lang w:val="fr-FR"/>
        </w:rPr>
        <w:t xml:space="preserve"> </w:t>
      </w:r>
      <w:r w:rsidR="009A0B83" w:rsidRPr="00806E56">
        <w:rPr>
          <w:lang w:val="fr-FR"/>
        </w:rPr>
        <w:t xml:space="preserve">recours devant la Cour nationale du droit d’asile, après rejet de leur demande par l’Office français </w:t>
      </w:r>
      <w:r w:rsidR="00323FF8">
        <w:rPr>
          <w:lang w:val="fr-FR"/>
        </w:rPr>
        <w:t>de protection d</w:t>
      </w:r>
      <w:r w:rsidR="009A0B83" w:rsidRPr="00806E56">
        <w:rPr>
          <w:lang w:val="fr-FR"/>
        </w:rPr>
        <w:t xml:space="preserve">es </w:t>
      </w:r>
      <w:r w:rsidR="003C4F11" w:rsidRPr="00806E56">
        <w:rPr>
          <w:lang w:val="fr-FR"/>
        </w:rPr>
        <w:t>réfugiés</w:t>
      </w:r>
      <w:r w:rsidR="009A0B83" w:rsidRPr="00806E56">
        <w:rPr>
          <w:lang w:val="fr-FR"/>
        </w:rPr>
        <w:t xml:space="preserve"> et apatrides.</w:t>
      </w:r>
    </w:p>
    <w:p w:rsidR="009A0B83" w:rsidRPr="00806E56" w:rsidRDefault="008B0D30" w:rsidP="008B0D30">
      <w:pPr>
        <w:pStyle w:val="SingleTxtG"/>
        <w:rPr>
          <w:lang w:val="fr-FR"/>
        </w:rPr>
      </w:pPr>
      <w:r w:rsidRPr="00806E56">
        <w:rPr>
          <w:lang w:val="fr-FR"/>
        </w:rPr>
        <w:lastRenderedPageBreak/>
        <w:t>6.</w:t>
      </w:r>
      <w:r w:rsidRPr="00806E56">
        <w:rPr>
          <w:lang w:val="fr-FR"/>
        </w:rPr>
        <w:tab/>
      </w:r>
      <w:r w:rsidR="009A0B83" w:rsidRPr="00806E56">
        <w:rPr>
          <w:lang w:val="fr-FR"/>
        </w:rPr>
        <w:t>Le Comité salue la participation et la contribution de la Commission nationale consultative des droits de l’homme et du Contrôleur général des lieux de privation de liberté ainsi que celles des organisations non gouvernementales à l’examen du septième rapport périodique de la France.</w:t>
      </w:r>
    </w:p>
    <w:p w:rsidR="009A0B83" w:rsidRPr="00806E56" w:rsidRDefault="00C27945" w:rsidP="00C27945">
      <w:pPr>
        <w:pStyle w:val="H1G"/>
        <w:rPr>
          <w:lang w:val="fr-FR"/>
        </w:rPr>
      </w:pPr>
      <w:r w:rsidRPr="00806E56">
        <w:rPr>
          <w:lang w:val="fr-FR"/>
        </w:rPr>
        <w:tab/>
        <w:t>C.</w:t>
      </w:r>
      <w:r w:rsidRPr="00806E56">
        <w:rPr>
          <w:lang w:val="fr-FR"/>
        </w:rPr>
        <w:tab/>
      </w:r>
      <w:r w:rsidR="009A0B83" w:rsidRPr="00806E56">
        <w:rPr>
          <w:lang w:val="fr-FR"/>
        </w:rPr>
        <w:t>Principaux sujets de préoccupation et recommandations</w:t>
      </w:r>
    </w:p>
    <w:p w:rsidR="009A0B83" w:rsidRPr="00806E56" w:rsidRDefault="00C27945" w:rsidP="00C27945">
      <w:pPr>
        <w:pStyle w:val="H23G"/>
        <w:rPr>
          <w:lang w:val="fr-FR"/>
        </w:rPr>
      </w:pPr>
      <w:r w:rsidRPr="00806E56">
        <w:rPr>
          <w:lang w:val="fr-FR"/>
        </w:rPr>
        <w:tab/>
      </w:r>
      <w:r w:rsidRPr="00806E56">
        <w:rPr>
          <w:lang w:val="fr-FR"/>
        </w:rPr>
        <w:tab/>
      </w:r>
      <w:r w:rsidR="009A0B83" w:rsidRPr="00806E56">
        <w:rPr>
          <w:lang w:val="fr-FR"/>
        </w:rPr>
        <w:t>Questions pendantes concernant la pr</w:t>
      </w:r>
      <w:r w:rsidR="00CF30AE" w:rsidRPr="00806E56">
        <w:rPr>
          <w:lang w:val="fr-FR"/>
        </w:rPr>
        <w:t>océdure de suivi</w:t>
      </w:r>
    </w:p>
    <w:p w:rsidR="009A0B83" w:rsidRPr="00806E56" w:rsidRDefault="008B0D30" w:rsidP="008B0D30">
      <w:pPr>
        <w:pStyle w:val="SingleTxtG"/>
        <w:rPr>
          <w:bCs/>
          <w:lang w:val="fr-FR"/>
        </w:rPr>
      </w:pPr>
      <w:r w:rsidRPr="00806E56">
        <w:rPr>
          <w:bCs/>
          <w:lang w:val="fr-FR"/>
        </w:rPr>
        <w:t>7.</w:t>
      </w:r>
      <w:r w:rsidRPr="00806E56">
        <w:rPr>
          <w:bCs/>
          <w:lang w:val="fr-FR"/>
        </w:rPr>
        <w:tab/>
      </w:r>
      <w:r w:rsidR="009A0B83" w:rsidRPr="00806E56">
        <w:rPr>
          <w:bCs/>
          <w:lang w:val="fr-FR"/>
        </w:rPr>
        <w:t>Tout en notant les informations de l’</w:t>
      </w:r>
      <w:r w:rsidR="00D42BEC" w:rsidRPr="00CE3B6F">
        <w:rPr>
          <w:bCs/>
          <w:lang w:val="fr-FR"/>
        </w:rPr>
        <w:t>État</w:t>
      </w:r>
      <w:r w:rsidR="009A0B83" w:rsidRPr="00806E56">
        <w:rPr>
          <w:bCs/>
          <w:lang w:val="fr-FR"/>
        </w:rPr>
        <w:t xml:space="preserve"> partie du 22 juin 2011 sur la mise en </w:t>
      </w:r>
      <w:r w:rsidR="00D42BEC" w:rsidRPr="00CE3B6F">
        <w:rPr>
          <w:bCs/>
          <w:lang w:val="fr-FR"/>
        </w:rPr>
        <w:t>œuvre</w:t>
      </w:r>
      <w:r w:rsidR="009A0B83" w:rsidRPr="00806E56">
        <w:rPr>
          <w:bCs/>
          <w:lang w:val="fr-FR"/>
        </w:rPr>
        <w:t xml:space="preserve"> des recommandations contenues dans les paragraphes 21, 24</w:t>
      </w:r>
      <w:r w:rsidR="005B1B39" w:rsidRPr="00806E56">
        <w:rPr>
          <w:bCs/>
          <w:lang w:val="fr-FR"/>
        </w:rPr>
        <w:t xml:space="preserve"> et</w:t>
      </w:r>
      <w:r w:rsidR="009A0B83" w:rsidRPr="00806E56">
        <w:rPr>
          <w:bCs/>
          <w:lang w:val="fr-FR"/>
        </w:rPr>
        <w:t xml:space="preserve"> 28</w:t>
      </w:r>
      <w:r w:rsidR="005B1B39" w:rsidRPr="00806E56">
        <w:rPr>
          <w:bCs/>
          <w:lang w:val="fr-FR"/>
        </w:rPr>
        <w:t xml:space="preserve"> </w:t>
      </w:r>
      <w:r w:rsidR="009A0B83" w:rsidRPr="00806E56">
        <w:rPr>
          <w:bCs/>
          <w:lang w:val="fr-FR"/>
        </w:rPr>
        <w:t>des précédentes observations finales (CAT/C/FRA</w:t>
      </w:r>
      <w:r w:rsidR="00237AC5">
        <w:rPr>
          <w:bCs/>
          <w:lang w:val="fr-FR"/>
        </w:rPr>
        <w:t>/CO</w:t>
      </w:r>
      <w:r w:rsidR="009A0B83" w:rsidRPr="00806E56">
        <w:rPr>
          <w:bCs/>
          <w:lang w:val="fr-FR"/>
        </w:rPr>
        <w:t xml:space="preserve">/4-6), le Comité regrette l’absence de </w:t>
      </w:r>
      <w:r w:rsidR="0042202A" w:rsidRPr="00806E56">
        <w:rPr>
          <w:bCs/>
          <w:lang w:val="fr-FR"/>
        </w:rPr>
        <w:t xml:space="preserve">mesures </w:t>
      </w:r>
      <w:r w:rsidR="009A0B83" w:rsidRPr="00806E56">
        <w:rPr>
          <w:bCs/>
          <w:lang w:val="fr-FR"/>
        </w:rPr>
        <w:t>adéquate</w:t>
      </w:r>
      <w:r w:rsidR="0042202A" w:rsidRPr="00806E56">
        <w:rPr>
          <w:bCs/>
          <w:lang w:val="fr-FR"/>
        </w:rPr>
        <w:t>s</w:t>
      </w:r>
      <w:r w:rsidR="009A0B83" w:rsidRPr="00806E56">
        <w:rPr>
          <w:bCs/>
          <w:lang w:val="fr-FR"/>
        </w:rPr>
        <w:t xml:space="preserve"> à </w:t>
      </w:r>
      <w:r w:rsidR="0042202A" w:rsidRPr="00806E56">
        <w:rPr>
          <w:bCs/>
          <w:lang w:val="fr-FR"/>
        </w:rPr>
        <w:t xml:space="preserve">propos de </w:t>
      </w:r>
      <w:r w:rsidR="009A0B83" w:rsidRPr="00806E56">
        <w:rPr>
          <w:bCs/>
          <w:lang w:val="fr-FR"/>
        </w:rPr>
        <w:t>toute</w:t>
      </w:r>
      <w:r w:rsidR="00CF30AE" w:rsidRPr="00806E56">
        <w:rPr>
          <w:bCs/>
          <w:lang w:val="fr-FR"/>
        </w:rPr>
        <w:t>s les préoccupations soulevées.</w:t>
      </w:r>
    </w:p>
    <w:p w:rsidR="009A0B83" w:rsidRPr="00806E56" w:rsidRDefault="00C27945" w:rsidP="00C27945">
      <w:pPr>
        <w:pStyle w:val="H23G"/>
        <w:rPr>
          <w:lang w:val="fr-FR"/>
        </w:rPr>
      </w:pPr>
      <w:r w:rsidRPr="00806E56">
        <w:rPr>
          <w:lang w:val="fr-FR"/>
        </w:rPr>
        <w:tab/>
      </w:r>
      <w:r w:rsidRPr="00806E56">
        <w:rPr>
          <w:lang w:val="fr-FR"/>
        </w:rPr>
        <w:tab/>
      </w:r>
      <w:r w:rsidR="009A0B83" w:rsidRPr="00806E56">
        <w:rPr>
          <w:lang w:val="fr-FR"/>
        </w:rPr>
        <w:t>Définition et imprescriptibilité de la torture</w:t>
      </w:r>
    </w:p>
    <w:p w:rsidR="009A0B83" w:rsidRPr="00806E56" w:rsidRDefault="008B0D30" w:rsidP="008B0D30">
      <w:pPr>
        <w:pStyle w:val="SingleTxtG"/>
        <w:rPr>
          <w:lang w:val="fr-FR"/>
        </w:rPr>
      </w:pPr>
      <w:r w:rsidRPr="00806E56">
        <w:rPr>
          <w:lang w:val="fr-FR"/>
        </w:rPr>
        <w:t>8.</w:t>
      </w:r>
      <w:r w:rsidRPr="00806E56">
        <w:rPr>
          <w:lang w:val="fr-FR"/>
        </w:rPr>
        <w:tab/>
      </w:r>
      <w:r w:rsidR="009A0B83" w:rsidRPr="00806E56">
        <w:rPr>
          <w:lang w:val="fr-FR"/>
        </w:rPr>
        <w:t>Le Comité est préoccupé par le fait que, malgré ses précédentes recommandations (</w:t>
      </w:r>
      <w:r w:rsidR="000F59EF">
        <w:rPr>
          <w:lang w:val="fr-FR"/>
        </w:rPr>
        <w:t xml:space="preserve">voir </w:t>
      </w:r>
      <w:r w:rsidR="009A0B83" w:rsidRPr="00806E56">
        <w:rPr>
          <w:lang w:val="fr-FR"/>
        </w:rPr>
        <w:t>CAT/C/FRA/CO/4-6, par.</w:t>
      </w:r>
      <w:r w:rsidR="00D42BEC">
        <w:rPr>
          <w:lang w:val="fr-FR"/>
        </w:rPr>
        <w:t> </w:t>
      </w:r>
      <w:r w:rsidR="009A0B83" w:rsidRPr="00806E56">
        <w:rPr>
          <w:lang w:val="fr-FR"/>
        </w:rPr>
        <w:t>13), l’</w:t>
      </w:r>
      <w:r w:rsidR="00D42BEC" w:rsidRPr="00CE3B6F">
        <w:rPr>
          <w:lang w:val="fr-FR"/>
        </w:rPr>
        <w:t>État</w:t>
      </w:r>
      <w:r w:rsidR="009A0B83" w:rsidRPr="00806E56">
        <w:rPr>
          <w:lang w:val="fr-FR"/>
        </w:rPr>
        <w:t xml:space="preserve"> partie continue de considérer que les dispositions de l’article</w:t>
      </w:r>
      <w:r w:rsidR="005C0FC2">
        <w:rPr>
          <w:lang w:val="fr-FR"/>
        </w:rPr>
        <w:t> </w:t>
      </w:r>
      <w:r w:rsidR="009A0B83" w:rsidRPr="00806E56">
        <w:rPr>
          <w:lang w:val="fr-FR"/>
        </w:rPr>
        <w:t xml:space="preserve">222-1 de son Code pénal qui incriminent les « actes de torture et de barbarie », telles qu’interprétées par ses tribunaux, satisfont aux exigences de la définition prévue à l’article </w:t>
      </w:r>
      <w:r w:rsidR="008B31D9">
        <w:rPr>
          <w:lang w:val="fr-FR"/>
        </w:rPr>
        <w:t>premier</w:t>
      </w:r>
      <w:r w:rsidR="008B31D9" w:rsidRPr="00806E56">
        <w:rPr>
          <w:lang w:val="fr-FR"/>
        </w:rPr>
        <w:t xml:space="preserve"> </w:t>
      </w:r>
      <w:r w:rsidR="009A0B83" w:rsidRPr="00806E56">
        <w:rPr>
          <w:lang w:val="fr-FR"/>
        </w:rPr>
        <w:t>de la Convention. Or, le Comité constate que cet article 222-1 ne définit pas la torture et il regrette que l’</w:t>
      </w:r>
      <w:r w:rsidR="00D42BEC" w:rsidRPr="00CE3B6F">
        <w:rPr>
          <w:lang w:val="fr-FR"/>
        </w:rPr>
        <w:t>État</w:t>
      </w:r>
      <w:r w:rsidR="009A0B83" w:rsidRPr="00806E56">
        <w:rPr>
          <w:lang w:val="fr-FR"/>
        </w:rPr>
        <w:t xml:space="preserve"> partie n’a</w:t>
      </w:r>
      <w:r w:rsidR="00A55B90">
        <w:rPr>
          <w:lang w:val="fr-FR"/>
        </w:rPr>
        <w:t>it</w:t>
      </w:r>
      <w:r w:rsidR="009A0B83" w:rsidRPr="00806E56">
        <w:rPr>
          <w:lang w:val="fr-FR"/>
        </w:rPr>
        <w:t xml:space="preserve"> pas introduit une telle définition dans sa législation pénale. Tout en notant l’arrêt de la Cour de </w:t>
      </w:r>
      <w:r w:rsidR="00A55B90">
        <w:rPr>
          <w:lang w:val="fr-FR"/>
        </w:rPr>
        <w:t>c</w:t>
      </w:r>
      <w:r w:rsidR="00A55B90" w:rsidRPr="00806E56">
        <w:rPr>
          <w:lang w:val="fr-FR"/>
        </w:rPr>
        <w:t xml:space="preserve">assation </w:t>
      </w:r>
      <w:r w:rsidR="009A0B83" w:rsidRPr="00806E56">
        <w:rPr>
          <w:lang w:val="fr-FR"/>
        </w:rPr>
        <w:t>du 21 avril 2016</w:t>
      </w:r>
      <w:r w:rsidR="0044516B" w:rsidRPr="00806E56">
        <w:rPr>
          <w:lang w:val="fr-FR"/>
        </w:rPr>
        <w:t xml:space="preserve"> </w:t>
      </w:r>
      <w:r w:rsidR="009A0B83" w:rsidRPr="00806E56">
        <w:rPr>
          <w:lang w:val="fr-FR"/>
        </w:rPr>
        <w:t xml:space="preserve">reconnaissant que le Code pénal ne « définit pas les tortures et barbarie qu’il incrimine » et faisant une brève référence à l’article </w:t>
      </w:r>
      <w:r w:rsidR="008B31D9">
        <w:rPr>
          <w:lang w:val="fr-FR"/>
        </w:rPr>
        <w:t>premier</w:t>
      </w:r>
      <w:r w:rsidR="008B31D9" w:rsidRPr="00806E56">
        <w:rPr>
          <w:lang w:val="fr-FR"/>
        </w:rPr>
        <w:t xml:space="preserve"> </w:t>
      </w:r>
      <w:r w:rsidR="009A0B83" w:rsidRPr="00806E56">
        <w:rPr>
          <w:lang w:val="fr-FR"/>
        </w:rPr>
        <w:t>de la Convention</w:t>
      </w:r>
      <w:r w:rsidR="00792BA7" w:rsidRPr="00806E56">
        <w:rPr>
          <w:lang w:val="fr-FR"/>
        </w:rPr>
        <w:t>,</w:t>
      </w:r>
      <w:r w:rsidR="009A0B83" w:rsidRPr="00806E56">
        <w:rPr>
          <w:lang w:val="fr-FR"/>
        </w:rPr>
        <w:t xml:space="preserve"> le Comité considère qu’il ne saurait suffire à déduire une conformité du Code pénal </w:t>
      </w:r>
      <w:r w:rsidR="003B5DC7">
        <w:rPr>
          <w:lang w:val="fr-FR"/>
        </w:rPr>
        <w:t>avec</w:t>
      </w:r>
      <w:r w:rsidR="003B5DC7" w:rsidRPr="00806E56">
        <w:rPr>
          <w:lang w:val="fr-FR"/>
        </w:rPr>
        <w:t xml:space="preserve"> </w:t>
      </w:r>
      <w:r w:rsidR="009A0B83" w:rsidRPr="00806E56">
        <w:rPr>
          <w:lang w:val="fr-FR"/>
        </w:rPr>
        <w:t>l’article</w:t>
      </w:r>
      <w:r w:rsidR="008B31D9">
        <w:rPr>
          <w:lang w:val="fr-FR"/>
        </w:rPr>
        <w:t xml:space="preserve"> premier</w:t>
      </w:r>
      <w:r w:rsidR="009A0B83" w:rsidRPr="00806E56">
        <w:rPr>
          <w:lang w:val="fr-FR"/>
        </w:rPr>
        <w:t xml:space="preserve"> de la Convention. Malgré les explications de la délégation, le Comité regrette également que l’</w:t>
      </w:r>
      <w:r w:rsidR="00D42BEC" w:rsidRPr="00CE3B6F">
        <w:rPr>
          <w:lang w:val="fr-FR"/>
        </w:rPr>
        <w:t>État</w:t>
      </w:r>
      <w:r w:rsidR="009A0B83" w:rsidRPr="00806E56">
        <w:rPr>
          <w:lang w:val="fr-FR"/>
        </w:rPr>
        <w:t xml:space="preserve"> partie n’ait pas encore érigé la torture </w:t>
      </w:r>
      <w:r w:rsidR="00A55B90">
        <w:rPr>
          <w:lang w:val="fr-FR"/>
        </w:rPr>
        <w:t>en</w:t>
      </w:r>
      <w:r w:rsidR="009A0B83" w:rsidRPr="00806E56">
        <w:rPr>
          <w:lang w:val="fr-FR"/>
        </w:rPr>
        <w:t xml:space="preserve"> infraction imprescriptible (art.</w:t>
      </w:r>
      <w:r w:rsidR="00D42BEC">
        <w:rPr>
          <w:lang w:val="fr-FR"/>
        </w:rPr>
        <w:t> </w:t>
      </w:r>
      <w:r w:rsidR="009A0B83" w:rsidRPr="00806E56">
        <w:rPr>
          <w:lang w:val="fr-FR"/>
        </w:rPr>
        <w:t>1).</w:t>
      </w:r>
    </w:p>
    <w:p w:rsidR="009A0B83" w:rsidRPr="00806E56" w:rsidRDefault="008B0D30" w:rsidP="008B0D30">
      <w:pPr>
        <w:pStyle w:val="SingleTxtG"/>
        <w:rPr>
          <w:b/>
          <w:lang w:val="fr-FR"/>
        </w:rPr>
      </w:pPr>
      <w:r w:rsidRPr="00806E56">
        <w:rPr>
          <w:lang w:val="fr-FR"/>
        </w:rPr>
        <w:t>9.</w:t>
      </w:r>
      <w:r w:rsidRPr="00806E56">
        <w:rPr>
          <w:lang w:val="fr-FR"/>
        </w:rPr>
        <w:tab/>
      </w:r>
      <w:r w:rsidR="009A0B83" w:rsidRPr="00806E56">
        <w:rPr>
          <w:b/>
          <w:lang w:val="fr-FR"/>
        </w:rPr>
        <w:t>Le Comité réitère sa recommandation à l’</w:t>
      </w:r>
      <w:r w:rsidR="00D42BEC" w:rsidRPr="00CE3B6F">
        <w:rPr>
          <w:b/>
          <w:lang w:val="fr-FR"/>
        </w:rPr>
        <w:t>État</w:t>
      </w:r>
      <w:r w:rsidR="009A0B83" w:rsidRPr="00806E56">
        <w:rPr>
          <w:b/>
          <w:lang w:val="fr-FR"/>
        </w:rPr>
        <w:t xml:space="preserve"> partie d’intégrer dans sa législation pénale une définition de la torture qui recouvre l’ensemble des éléments prévus à l’article</w:t>
      </w:r>
      <w:r w:rsidR="008B31D9">
        <w:rPr>
          <w:b/>
          <w:lang w:val="fr-FR"/>
        </w:rPr>
        <w:t xml:space="preserve"> premier</w:t>
      </w:r>
      <w:r w:rsidR="009A0B83" w:rsidRPr="00806E56">
        <w:rPr>
          <w:b/>
          <w:lang w:val="fr-FR"/>
        </w:rPr>
        <w:t xml:space="preserve"> de la Convention.</w:t>
      </w:r>
      <w:r w:rsidR="009A0B83" w:rsidRPr="00806E56">
        <w:rPr>
          <w:b/>
          <w:bCs/>
          <w:lang w:val="fr-FR"/>
        </w:rPr>
        <w:t xml:space="preserve"> </w:t>
      </w:r>
      <w:r w:rsidR="009C2623">
        <w:rPr>
          <w:b/>
          <w:bCs/>
          <w:lang w:val="fr-FR"/>
        </w:rPr>
        <w:t>L</w:t>
      </w:r>
      <w:r w:rsidR="009A0B83" w:rsidRPr="00806E56">
        <w:rPr>
          <w:b/>
          <w:bCs/>
          <w:lang w:val="fr-FR"/>
        </w:rPr>
        <w:t xml:space="preserve">e Comité réitère </w:t>
      </w:r>
      <w:r w:rsidR="009C2623">
        <w:rPr>
          <w:b/>
          <w:bCs/>
          <w:lang w:val="fr-FR"/>
        </w:rPr>
        <w:t xml:space="preserve">également </w:t>
      </w:r>
      <w:r w:rsidR="009A0B83" w:rsidRPr="00806E56">
        <w:rPr>
          <w:b/>
          <w:bCs/>
          <w:lang w:val="fr-FR"/>
        </w:rPr>
        <w:t>à l’</w:t>
      </w:r>
      <w:r w:rsidR="00D42BEC" w:rsidRPr="00CE3B6F">
        <w:rPr>
          <w:b/>
          <w:bCs/>
          <w:lang w:val="fr-FR"/>
        </w:rPr>
        <w:t>État</w:t>
      </w:r>
      <w:r w:rsidR="009A0B83" w:rsidRPr="00806E56">
        <w:rPr>
          <w:b/>
          <w:bCs/>
          <w:lang w:val="fr-FR"/>
        </w:rPr>
        <w:t xml:space="preserve"> partie sa recommandation d’ériger la torture </w:t>
      </w:r>
      <w:r w:rsidR="00C50566">
        <w:rPr>
          <w:b/>
          <w:bCs/>
          <w:lang w:val="fr-FR"/>
        </w:rPr>
        <w:t>en</w:t>
      </w:r>
      <w:r w:rsidR="0044516B" w:rsidRPr="00806E56">
        <w:rPr>
          <w:b/>
          <w:bCs/>
          <w:lang w:val="fr-FR"/>
        </w:rPr>
        <w:t xml:space="preserve"> </w:t>
      </w:r>
      <w:r w:rsidR="009A0B83" w:rsidRPr="00806E56">
        <w:rPr>
          <w:b/>
          <w:bCs/>
          <w:lang w:val="fr-FR"/>
        </w:rPr>
        <w:t>infraction imprescriptible.</w:t>
      </w:r>
    </w:p>
    <w:p w:rsidR="009A0B83" w:rsidRPr="00806E56" w:rsidRDefault="00C27945" w:rsidP="00C27945">
      <w:pPr>
        <w:pStyle w:val="H23G"/>
        <w:rPr>
          <w:lang w:val="fr-FR"/>
        </w:rPr>
      </w:pPr>
      <w:r w:rsidRPr="00806E56">
        <w:rPr>
          <w:lang w:val="fr-FR"/>
        </w:rPr>
        <w:tab/>
      </w:r>
      <w:r w:rsidRPr="00806E56">
        <w:rPr>
          <w:lang w:val="fr-FR"/>
        </w:rPr>
        <w:tab/>
      </w:r>
      <w:r w:rsidR="009A0B83" w:rsidRPr="00806E56">
        <w:rPr>
          <w:lang w:val="fr-FR"/>
        </w:rPr>
        <w:t>Garanties juridiques fondamentales</w:t>
      </w:r>
    </w:p>
    <w:p w:rsidR="009A0B83" w:rsidRPr="00806E56" w:rsidRDefault="008B0D30" w:rsidP="008B0D30">
      <w:pPr>
        <w:pStyle w:val="SingleTxtG"/>
        <w:rPr>
          <w:b/>
          <w:lang w:val="fr-FR"/>
        </w:rPr>
      </w:pPr>
      <w:r w:rsidRPr="00806E56">
        <w:rPr>
          <w:lang w:val="fr-FR"/>
        </w:rPr>
        <w:t>10.</w:t>
      </w:r>
      <w:r w:rsidRPr="00806E56">
        <w:rPr>
          <w:lang w:val="fr-FR"/>
        </w:rPr>
        <w:tab/>
      </w:r>
      <w:r w:rsidR="009A0B83" w:rsidRPr="00806E56">
        <w:rPr>
          <w:lang w:val="fr-FR"/>
        </w:rPr>
        <w:t xml:space="preserve">Tout en notant qu’aux termes de l’article 63-3-1 du Code </w:t>
      </w:r>
      <w:r w:rsidR="0042202A" w:rsidRPr="00806E56">
        <w:rPr>
          <w:lang w:val="fr-FR"/>
        </w:rPr>
        <w:t xml:space="preserve">de </w:t>
      </w:r>
      <w:r w:rsidR="009A0B83" w:rsidRPr="00806E56">
        <w:rPr>
          <w:lang w:val="fr-FR"/>
        </w:rPr>
        <w:t>procédure pénale « dès le début de la garde à vue, la personne peut être assistée par un avocat », le Comité demeure préoccupé par le fait que, dans le cadre du terrorisme et de la criminalité organisée, l’intervention de l’avocat peut être reportée jusqu’à une durée maximale de 72</w:t>
      </w:r>
      <w:r w:rsidR="00D931F2">
        <w:rPr>
          <w:lang w:val="fr-FR"/>
        </w:rPr>
        <w:t> </w:t>
      </w:r>
      <w:r w:rsidR="009A0B83" w:rsidRPr="00806E56">
        <w:rPr>
          <w:lang w:val="fr-FR"/>
        </w:rPr>
        <w:t>heures et que cette mesure n’est pas susceptible d’un recours</w:t>
      </w:r>
      <w:r w:rsidR="0044516B" w:rsidRPr="00806E56">
        <w:rPr>
          <w:lang w:val="fr-FR"/>
        </w:rPr>
        <w:t xml:space="preserve"> </w:t>
      </w:r>
      <w:r w:rsidR="009A0B83" w:rsidRPr="00806E56">
        <w:rPr>
          <w:lang w:val="fr-FR"/>
        </w:rPr>
        <w:t>(art.</w:t>
      </w:r>
      <w:r w:rsidR="007661F0">
        <w:rPr>
          <w:lang w:val="fr-FR"/>
        </w:rPr>
        <w:t> </w:t>
      </w:r>
      <w:r w:rsidR="009A0B83" w:rsidRPr="00806E56">
        <w:rPr>
          <w:lang w:val="fr-FR"/>
        </w:rPr>
        <w:t>2 et 11).</w:t>
      </w:r>
    </w:p>
    <w:p w:rsidR="009A0B83" w:rsidRPr="00806E56" w:rsidRDefault="008B0D30" w:rsidP="008B0D30">
      <w:pPr>
        <w:pStyle w:val="SingleTxtG"/>
        <w:rPr>
          <w:b/>
          <w:lang w:val="fr-FR"/>
        </w:rPr>
      </w:pPr>
      <w:r w:rsidRPr="00806E56">
        <w:rPr>
          <w:lang w:val="fr-FR"/>
        </w:rPr>
        <w:t>11.</w:t>
      </w:r>
      <w:r w:rsidRPr="00806E56">
        <w:rPr>
          <w:lang w:val="fr-FR"/>
        </w:rPr>
        <w:tab/>
      </w:r>
      <w:r w:rsidR="009A0B83" w:rsidRPr="00806E56">
        <w:rPr>
          <w:b/>
          <w:lang w:val="fr-FR"/>
        </w:rPr>
        <w:t>Le Comité recommande à l’</w:t>
      </w:r>
      <w:r w:rsidR="007661F0" w:rsidRPr="00CE3B6F">
        <w:rPr>
          <w:b/>
          <w:lang w:val="fr-FR"/>
        </w:rPr>
        <w:t>État</w:t>
      </w:r>
      <w:r w:rsidR="009A0B83" w:rsidRPr="00806E56">
        <w:rPr>
          <w:b/>
          <w:lang w:val="fr-FR"/>
        </w:rPr>
        <w:t xml:space="preserve"> partie d</w:t>
      </w:r>
      <w:r w:rsidR="00180928" w:rsidRPr="00806E56">
        <w:rPr>
          <w:b/>
          <w:lang w:val="fr-FR"/>
        </w:rPr>
        <w:t xml:space="preserve">’amender son Code de procédure pénale afin de garantir l’intervention de l’avocat auprès de la personne gardée à vue dès le début de la détention, et dans tous les cas. </w:t>
      </w:r>
    </w:p>
    <w:p w:rsidR="009A0B83" w:rsidRPr="00806E56" w:rsidRDefault="00C27945" w:rsidP="00C27945">
      <w:pPr>
        <w:pStyle w:val="H23G"/>
        <w:rPr>
          <w:lang w:val="fr-FR"/>
        </w:rPr>
      </w:pPr>
      <w:r w:rsidRPr="00806E56">
        <w:rPr>
          <w:lang w:val="fr-FR"/>
        </w:rPr>
        <w:tab/>
      </w:r>
      <w:r w:rsidRPr="00806E56">
        <w:rPr>
          <w:lang w:val="fr-FR"/>
        </w:rPr>
        <w:tab/>
      </w:r>
      <w:r w:rsidR="007661F0" w:rsidRPr="00CE3B6F">
        <w:rPr>
          <w:lang w:val="fr-FR"/>
        </w:rPr>
        <w:t>État</w:t>
      </w:r>
      <w:r w:rsidR="00CF30AE" w:rsidRPr="00806E56">
        <w:rPr>
          <w:lang w:val="fr-FR"/>
        </w:rPr>
        <w:t xml:space="preserve"> d’urgence</w:t>
      </w:r>
    </w:p>
    <w:p w:rsidR="009A0B83" w:rsidRPr="00806E56" w:rsidRDefault="008B0D30" w:rsidP="008B0D30">
      <w:pPr>
        <w:pStyle w:val="SingleTxtG"/>
        <w:rPr>
          <w:lang w:val="fr-FR"/>
        </w:rPr>
      </w:pPr>
      <w:r w:rsidRPr="00806E56">
        <w:rPr>
          <w:lang w:val="fr-FR"/>
        </w:rPr>
        <w:t>12.</w:t>
      </w:r>
      <w:r w:rsidRPr="00806E56">
        <w:rPr>
          <w:lang w:val="fr-FR"/>
        </w:rPr>
        <w:tab/>
      </w:r>
      <w:r w:rsidR="009A0B83" w:rsidRPr="00806E56">
        <w:rPr>
          <w:lang w:val="fr-FR"/>
        </w:rPr>
        <w:t>Tout en notant que l’</w:t>
      </w:r>
      <w:r w:rsidR="007661F0" w:rsidRPr="00CE3B6F">
        <w:rPr>
          <w:lang w:val="fr-FR"/>
        </w:rPr>
        <w:t>État</w:t>
      </w:r>
      <w:r w:rsidR="009A0B83" w:rsidRPr="00806E56">
        <w:rPr>
          <w:lang w:val="fr-FR"/>
        </w:rPr>
        <w:t xml:space="preserve"> partie a pris des mesures législatives et administratives pour renforcer les pouvoirs des autorités dans le cadre de la lutte contre le terrorisme</w:t>
      </w:r>
      <w:r w:rsidR="00CC421F">
        <w:rPr>
          <w:lang w:val="fr-FR"/>
        </w:rPr>
        <w:t>,</w:t>
      </w:r>
      <w:r w:rsidR="009A0B83" w:rsidRPr="00806E56">
        <w:rPr>
          <w:lang w:val="fr-FR"/>
        </w:rPr>
        <w:t xml:space="preserve"> notamment l’état d’urgence du 14 novembre 2015, prorogé par les lois du 20 novembre 2015 et du 20 février 2016 et </w:t>
      </w:r>
      <w:r w:rsidR="00180928" w:rsidRPr="00806E56">
        <w:rPr>
          <w:lang w:val="fr-FR"/>
        </w:rPr>
        <w:t xml:space="preserve">qui était encore </w:t>
      </w:r>
      <w:r w:rsidR="009A0B83" w:rsidRPr="00806E56">
        <w:rPr>
          <w:lang w:val="fr-FR"/>
        </w:rPr>
        <w:t xml:space="preserve">en vigueur </w:t>
      </w:r>
      <w:r w:rsidR="00180928" w:rsidRPr="00806E56">
        <w:rPr>
          <w:lang w:val="fr-FR"/>
        </w:rPr>
        <w:t xml:space="preserve">au mois de </w:t>
      </w:r>
      <w:r w:rsidR="009A0B83" w:rsidRPr="00806E56">
        <w:rPr>
          <w:lang w:val="fr-FR"/>
        </w:rPr>
        <w:t>mai 2016</w:t>
      </w:r>
      <w:r w:rsidR="00CC421F">
        <w:rPr>
          <w:lang w:val="fr-FR"/>
        </w:rPr>
        <w:t>,</w:t>
      </w:r>
      <w:r w:rsidR="009A0B83" w:rsidRPr="00806E56">
        <w:rPr>
          <w:lang w:val="fr-FR"/>
        </w:rPr>
        <w:t xml:space="preserve"> </w:t>
      </w:r>
      <w:r w:rsidR="00180928" w:rsidRPr="00806E56">
        <w:rPr>
          <w:lang w:val="fr-FR"/>
        </w:rPr>
        <w:t xml:space="preserve">et </w:t>
      </w:r>
      <w:r w:rsidR="009A0B83" w:rsidRPr="00806E56">
        <w:rPr>
          <w:lang w:val="fr-FR"/>
        </w:rPr>
        <w:t>rappelant le caractère non</w:t>
      </w:r>
      <w:r w:rsidR="0000044C">
        <w:rPr>
          <w:lang w:val="fr-FR"/>
        </w:rPr>
        <w:t xml:space="preserve"> </w:t>
      </w:r>
      <w:r w:rsidR="009A0B83" w:rsidRPr="00806E56">
        <w:rPr>
          <w:lang w:val="fr-FR"/>
        </w:rPr>
        <w:t>dérogatoire de la torture, le Comité est préoccupé par les informations sur l’usage excessif de la force par les forces de police au cours de certaines perquisitions ayant</w:t>
      </w:r>
      <w:r w:rsidR="00CC421F">
        <w:rPr>
          <w:lang w:val="fr-FR"/>
        </w:rPr>
        <w:t>,</w:t>
      </w:r>
      <w:r w:rsidR="009A0B83" w:rsidRPr="00806E56">
        <w:rPr>
          <w:lang w:val="fr-FR"/>
        </w:rPr>
        <w:t xml:space="preserve"> dans certains cas</w:t>
      </w:r>
      <w:r w:rsidR="00180928" w:rsidRPr="00806E56">
        <w:rPr>
          <w:lang w:val="fr-FR"/>
        </w:rPr>
        <w:t>,</w:t>
      </w:r>
      <w:r w:rsidR="009A0B83" w:rsidRPr="00806E56">
        <w:rPr>
          <w:lang w:val="fr-FR"/>
        </w:rPr>
        <w:t xml:space="preserve"> entraîné des séquelles psychologiques chez les personnes concernées. Le Comité s’inquiète de ce que l’application de certaines mesures dans le cadre </w:t>
      </w:r>
      <w:r w:rsidR="009A0B83" w:rsidRPr="00806E56">
        <w:rPr>
          <w:lang w:val="fr-FR"/>
        </w:rPr>
        <w:lastRenderedPageBreak/>
        <w:t>de l’état d’urgence puisse constituer une atteinte</w:t>
      </w:r>
      <w:r w:rsidR="0044516B" w:rsidRPr="00806E56">
        <w:rPr>
          <w:lang w:val="fr-FR"/>
        </w:rPr>
        <w:t xml:space="preserve"> </w:t>
      </w:r>
      <w:r w:rsidR="009A0B83" w:rsidRPr="00806E56">
        <w:rPr>
          <w:lang w:val="fr-FR"/>
        </w:rPr>
        <w:t>aux droits prévus au titre de la Convention.</w:t>
      </w:r>
      <w:r w:rsidR="0044516B" w:rsidRPr="00806E56">
        <w:rPr>
          <w:lang w:val="fr-FR"/>
        </w:rPr>
        <w:t xml:space="preserve"> </w:t>
      </w:r>
      <w:r w:rsidR="009A0B83" w:rsidRPr="00806E56">
        <w:rPr>
          <w:lang w:val="fr-FR"/>
        </w:rPr>
        <w:t>Enfin, le Comité regrette l’absence d’informations sur les recours formés pour violences ou usage excessif de la force lors de perqu</w:t>
      </w:r>
      <w:r w:rsidR="00CF30AE" w:rsidRPr="00806E56">
        <w:rPr>
          <w:lang w:val="fr-FR"/>
        </w:rPr>
        <w:t>isitions (art.</w:t>
      </w:r>
      <w:r w:rsidR="007661F0">
        <w:rPr>
          <w:lang w:val="fr-FR"/>
        </w:rPr>
        <w:t> </w:t>
      </w:r>
      <w:r w:rsidR="00CF30AE" w:rsidRPr="00806E56">
        <w:rPr>
          <w:lang w:val="fr-FR"/>
        </w:rPr>
        <w:t>2, 11, 14, 16).</w:t>
      </w:r>
    </w:p>
    <w:p w:rsidR="009A0B83" w:rsidRPr="00806E56" w:rsidRDefault="008B0D30" w:rsidP="008B0D30">
      <w:pPr>
        <w:pStyle w:val="SingleTxtG"/>
        <w:rPr>
          <w:lang w:val="fr-FR"/>
        </w:rPr>
      </w:pPr>
      <w:r w:rsidRPr="00806E56">
        <w:rPr>
          <w:lang w:val="fr-FR"/>
        </w:rPr>
        <w:t>13.</w:t>
      </w:r>
      <w:r w:rsidRPr="00806E56">
        <w:rPr>
          <w:lang w:val="fr-FR"/>
        </w:rPr>
        <w:tab/>
      </w:r>
      <w:r w:rsidR="009A0B83" w:rsidRPr="00806E56">
        <w:rPr>
          <w:b/>
          <w:bCs/>
          <w:lang w:val="fr-FR"/>
        </w:rPr>
        <w:t>Le Comité recommande à l’État partie de s’assurer que, dans la pratique, l’application des mesures de lutte contre le terrorisme n’a pas un effet négatif sur l’exercice des droits protégés par la Convention. En particulier, le Comité recommande à l’</w:t>
      </w:r>
      <w:r w:rsidR="007661F0" w:rsidRPr="00CE3B6F">
        <w:rPr>
          <w:b/>
          <w:bCs/>
          <w:lang w:val="fr-FR"/>
        </w:rPr>
        <w:t>État</w:t>
      </w:r>
      <w:r w:rsidR="009A0B83" w:rsidRPr="00806E56">
        <w:rPr>
          <w:b/>
          <w:bCs/>
          <w:lang w:val="fr-FR"/>
        </w:rPr>
        <w:t xml:space="preserve"> partie de veiller à ce que l’exécution des mesures de perquisition se déroule dans le strict respect de la Convention. Il recommande également à l’</w:t>
      </w:r>
      <w:r w:rsidR="007661F0" w:rsidRPr="00CE3B6F">
        <w:rPr>
          <w:b/>
          <w:bCs/>
          <w:lang w:val="fr-FR"/>
        </w:rPr>
        <w:t>État</w:t>
      </w:r>
      <w:r w:rsidR="009A0B83" w:rsidRPr="00806E56">
        <w:rPr>
          <w:b/>
          <w:bCs/>
          <w:lang w:val="fr-FR"/>
        </w:rPr>
        <w:t xml:space="preserve"> partie de s’assurer que les personnes victimes d’un usage excessif de la force au cours de </w:t>
      </w:r>
      <w:r w:rsidR="00180928" w:rsidRPr="00806E56">
        <w:rPr>
          <w:b/>
          <w:bCs/>
          <w:lang w:val="fr-FR"/>
        </w:rPr>
        <w:t xml:space="preserve">ces </w:t>
      </w:r>
      <w:r w:rsidR="009A0B83" w:rsidRPr="00806E56">
        <w:rPr>
          <w:b/>
          <w:bCs/>
          <w:lang w:val="fr-FR"/>
        </w:rPr>
        <w:t>perquisitions puissent avoir la possibilité de porter plainte, que les enquêtes soient menées, les poursuites éventuelles engagées et les sanctions prononcées contre les responsables</w:t>
      </w:r>
      <w:r w:rsidR="00CF30AE" w:rsidRPr="00806E56">
        <w:rPr>
          <w:b/>
          <w:bCs/>
          <w:lang w:val="fr-FR"/>
        </w:rPr>
        <w:t>.</w:t>
      </w:r>
    </w:p>
    <w:p w:rsidR="00121ED7" w:rsidRPr="00806E56" w:rsidRDefault="007661F0" w:rsidP="00806E56">
      <w:pPr>
        <w:pStyle w:val="H23G"/>
        <w:rPr>
          <w:b w:val="0"/>
          <w:lang w:val="fr-FR"/>
        </w:rPr>
      </w:pPr>
      <w:r>
        <w:rPr>
          <w:lang w:val="fr-FR"/>
        </w:rPr>
        <w:tab/>
      </w:r>
      <w:r>
        <w:rPr>
          <w:lang w:val="fr-FR"/>
        </w:rPr>
        <w:tab/>
      </w:r>
      <w:r w:rsidR="00121ED7" w:rsidRPr="00806E56">
        <w:rPr>
          <w:lang w:val="fr-FR"/>
        </w:rPr>
        <w:t>Protection des individus et des populations marginalisés contre la violence motivée par la haine</w:t>
      </w:r>
    </w:p>
    <w:p w:rsidR="00121ED7" w:rsidRPr="00806E56" w:rsidRDefault="008B0D30" w:rsidP="008B0D30">
      <w:pPr>
        <w:pStyle w:val="SingleTxtG"/>
        <w:rPr>
          <w:lang w:val="fr-FR"/>
        </w:rPr>
      </w:pPr>
      <w:r w:rsidRPr="00806E56">
        <w:rPr>
          <w:lang w:val="fr-FR"/>
        </w:rPr>
        <w:t>14.</w:t>
      </w:r>
      <w:r w:rsidRPr="00806E56">
        <w:rPr>
          <w:lang w:val="fr-FR"/>
        </w:rPr>
        <w:tab/>
      </w:r>
      <w:r w:rsidR="00121ED7" w:rsidRPr="00806E56">
        <w:rPr>
          <w:lang w:val="fr-FR"/>
        </w:rPr>
        <w:t>Le Comité est préoccupé par les informations faisant état d’une augmentation de la violence et d</w:t>
      </w:r>
      <w:r w:rsidR="005B7BB2">
        <w:rPr>
          <w:lang w:val="fr-FR"/>
        </w:rPr>
        <w:t xml:space="preserve">es </w:t>
      </w:r>
      <w:r w:rsidR="00121ED7" w:rsidRPr="00806E56">
        <w:rPr>
          <w:lang w:val="fr-FR"/>
        </w:rPr>
        <w:t xml:space="preserve">actes criminels motivés par la haine contre certaines populations </w:t>
      </w:r>
      <w:r w:rsidR="0023347A" w:rsidRPr="00806E56">
        <w:rPr>
          <w:lang w:val="fr-FR"/>
        </w:rPr>
        <w:t xml:space="preserve">ou </w:t>
      </w:r>
      <w:r w:rsidR="005B7BB2">
        <w:rPr>
          <w:lang w:val="fr-FR"/>
        </w:rPr>
        <w:t xml:space="preserve">certains </w:t>
      </w:r>
      <w:r w:rsidR="0023347A" w:rsidRPr="00806E56">
        <w:rPr>
          <w:lang w:val="fr-FR"/>
        </w:rPr>
        <w:t xml:space="preserve">individus </w:t>
      </w:r>
      <w:r w:rsidR="00121ED7" w:rsidRPr="00806E56">
        <w:rPr>
          <w:lang w:val="fr-FR"/>
        </w:rPr>
        <w:t>vulnérables dans l’</w:t>
      </w:r>
      <w:r w:rsidR="007661F0" w:rsidRPr="00CE3B6F">
        <w:rPr>
          <w:lang w:val="fr-FR"/>
        </w:rPr>
        <w:t>État</w:t>
      </w:r>
      <w:r w:rsidR="00121ED7" w:rsidRPr="00806E56">
        <w:rPr>
          <w:lang w:val="fr-FR"/>
        </w:rPr>
        <w:t xml:space="preserve"> partie, notamment les Roms, les musulmans, les juifs et les migrants, en particulier depuis les dernières attaques terroristes qui ont entraîné l’adoption de l’état d’urgence (art.</w:t>
      </w:r>
      <w:r w:rsidR="007661F0">
        <w:rPr>
          <w:lang w:val="fr-FR"/>
        </w:rPr>
        <w:t> </w:t>
      </w:r>
      <w:r w:rsidR="00121ED7" w:rsidRPr="00806E56">
        <w:rPr>
          <w:lang w:val="fr-FR"/>
        </w:rPr>
        <w:t>2, 16).</w:t>
      </w:r>
    </w:p>
    <w:p w:rsidR="0023347A" w:rsidRPr="00806E56" w:rsidRDefault="008B0D30" w:rsidP="008B0D30">
      <w:pPr>
        <w:pStyle w:val="SingleTxtG"/>
        <w:rPr>
          <w:b/>
          <w:lang w:val="fr-FR"/>
        </w:rPr>
      </w:pPr>
      <w:r w:rsidRPr="00806E56">
        <w:rPr>
          <w:lang w:val="fr-FR"/>
        </w:rPr>
        <w:t>15.</w:t>
      </w:r>
      <w:r w:rsidRPr="00806E56">
        <w:rPr>
          <w:lang w:val="fr-FR"/>
        </w:rPr>
        <w:tab/>
      </w:r>
      <w:r w:rsidR="0023347A" w:rsidRPr="00806E56">
        <w:rPr>
          <w:b/>
          <w:lang w:val="fr-FR"/>
        </w:rPr>
        <w:t xml:space="preserve">Le Comité rappelle que la protection de certaines populations ou </w:t>
      </w:r>
      <w:r w:rsidR="005B7BB2">
        <w:rPr>
          <w:b/>
          <w:lang w:val="fr-FR"/>
        </w:rPr>
        <w:t xml:space="preserve">certains </w:t>
      </w:r>
      <w:r w:rsidR="0023347A" w:rsidRPr="00806E56">
        <w:rPr>
          <w:b/>
          <w:lang w:val="fr-FR"/>
        </w:rPr>
        <w:t>individus vulnérables qui risque</w:t>
      </w:r>
      <w:r w:rsidR="00674D48">
        <w:rPr>
          <w:b/>
          <w:lang w:val="fr-FR"/>
        </w:rPr>
        <w:t>nt</w:t>
      </w:r>
      <w:r w:rsidR="0023347A" w:rsidRPr="00806E56">
        <w:rPr>
          <w:b/>
          <w:lang w:val="fr-FR"/>
        </w:rPr>
        <w:t xml:space="preserve"> d’</w:t>
      </w:r>
      <w:r w:rsidR="00E57C97" w:rsidRPr="00806E56">
        <w:rPr>
          <w:b/>
          <w:lang w:val="fr-FR"/>
        </w:rPr>
        <w:t>être maltraités</w:t>
      </w:r>
      <w:r w:rsidR="0023347A" w:rsidRPr="00806E56">
        <w:rPr>
          <w:b/>
          <w:lang w:val="fr-FR"/>
        </w:rPr>
        <w:t xml:space="preserve"> fait partie des mesures de protection que doit prendre l’</w:t>
      </w:r>
      <w:r w:rsidR="007661F0" w:rsidRPr="00CE3B6F">
        <w:rPr>
          <w:b/>
          <w:lang w:val="fr-FR"/>
        </w:rPr>
        <w:t>État</w:t>
      </w:r>
      <w:r w:rsidR="00E57C97" w:rsidRPr="00806E56">
        <w:rPr>
          <w:b/>
          <w:lang w:val="fr-FR"/>
        </w:rPr>
        <w:t>, à la lumière de</w:t>
      </w:r>
      <w:r w:rsidR="0023347A" w:rsidRPr="00806E56">
        <w:rPr>
          <w:b/>
          <w:lang w:val="fr-FR"/>
        </w:rPr>
        <w:t xml:space="preserve"> l</w:t>
      </w:r>
      <w:r w:rsidR="002C192C" w:rsidRPr="002C192C">
        <w:rPr>
          <w:b/>
          <w:lang w:val="fr-FR"/>
        </w:rPr>
        <w:t>’</w:t>
      </w:r>
      <w:r w:rsidR="002C192C">
        <w:rPr>
          <w:b/>
          <w:lang w:val="fr-FR"/>
        </w:rPr>
        <w:t>observation</w:t>
      </w:r>
      <w:r w:rsidR="0023347A" w:rsidRPr="00806E56">
        <w:rPr>
          <w:b/>
          <w:lang w:val="fr-FR"/>
        </w:rPr>
        <w:t xml:space="preserve"> générale n</w:t>
      </w:r>
      <w:r w:rsidR="0023347A" w:rsidRPr="00806E56">
        <w:rPr>
          <w:b/>
          <w:vertAlign w:val="superscript"/>
          <w:lang w:val="fr-FR"/>
        </w:rPr>
        <w:t>o</w:t>
      </w:r>
      <w:r w:rsidR="007661F0">
        <w:rPr>
          <w:b/>
          <w:lang w:val="fr-FR"/>
        </w:rPr>
        <w:t> </w:t>
      </w:r>
      <w:r w:rsidR="0023347A" w:rsidRPr="00806E56">
        <w:rPr>
          <w:b/>
          <w:lang w:val="fr-FR"/>
        </w:rPr>
        <w:t xml:space="preserve">2 </w:t>
      </w:r>
      <w:r w:rsidR="0012529D">
        <w:rPr>
          <w:b/>
          <w:lang w:val="fr-FR"/>
        </w:rPr>
        <w:t xml:space="preserve">(2007) </w:t>
      </w:r>
      <w:r w:rsidR="0023347A" w:rsidRPr="00806E56">
        <w:rPr>
          <w:b/>
          <w:lang w:val="fr-FR"/>
        </w:rPr>
        <w:t>du Comité</w:t>
      </w:r>
      <w:r w:rsidR="0012529D">
        <w:rPr>
          <w:b/>
          <w:lang w:val="fr-FR"/>
        </w:rPr>
        <w:t xml:space="preserve"> sur l</w:t>
      </w:r>
      <w:r w:rsidR="0012529D" w:rsidRPr="0012529D">
        <w:rPr>
          <w:b/>
          <w:lang w:val="fr-FR"/>
        </w:rPr>
        <w:t>’</w:t>
      </w:r>
      <w:r w:rsidR="0012529D">
        <w:rPr>
          <w:b/>
          <w:lang w:val="fr-FR"/>
        </w:rPr>
        <w:t>application de l</w:t>
      </w:r>
      <w:r w:rsidR="0012529D" w:rsidRPr="0012529D">
        <w:rPr>
          <w:b/>
          <w:lang w:val="fr-FR"/>
        </w:rPr>
        <w:t>’</w:t>
      </w:r>
      <w:r w:rsidR="0012529D">
        <w:rPr>
          <w:b/>
          <w:lang w:val="fr-FR"/>
        </w:rPr>
        <w:t>article 2 par les États parties</w:t>
      </w:r>
      <w:r w:rsidR="0023347A" w:rsidRPr="00806E56">
        <w:rPr>
          <w:b/>
          <w:lang w:val="fr-FR"/>
        </w:rPr>
        <w:t>. Il recommande à l’</w:t>
      </w:r>
      <w:r w:rsidR="007661F0" w:rsidRPr="00CE3B6F">
        <w:rPr>
          <w:b/>
          <w:lang w:val="fr-FR"/>
        </w:rPr>
        <w:t>État</w:t>
      </w:r>
      <w:r w:rsidR="0023347A" w:rsidRPr="00806E56">
        <w:rPr>
          <w:b/>
          <w:lang w:val="fr-FR"/>
        </w:rPr>
        <w:t xml:space="preserve"> partie d’intensifier ses efforts pour prévenir la violence et les actes criminels motivés par la haine ou l’intolérance et en poursuivre les auteurs.</w:t>
      </w:r>
    </w:p>
    <w:p w:rsidR="009A0B83" w:rsidRPr="00806E56" w:rsidRDefault="007661F0">
      <w:pPr>
        <w:pStyle w:val="H23G"/>
        <w:rPr>
          <w:sz w:val="24"/>
          <w:szCs w:val="24"/>
          <w:lang w:val="fr-FR"/>
        </w:rPr>
      </w:pPr>
      <w:r>
        <w:rPr>
          <w:lang w:val="fr-FR"/>
        </w:rPr>
        <w:tab/>
      </w:r>
      <w:r>
        <w:rPr>
          <w:lang w:val="fr-FR"/>
        </w:rPr>
        <w:tab/>
      </w:r>
      <w:r w:rsidR="009A0B83" w:rsidRPr="00806E56">
        <w:rPr>
          <w:lang w:val="fr-FR"/>
        </w:rPr>
        <w:t xml:space="preserve">Allégations d’usage excessif de la force </w:t>
      </w:r>
      <w:r w:rsidR="00CF30AE" w:rsidRPr="00806E56">
        <w:rPr>
          <w:lang w:val="fr-FR"/>
        </w:rPr>
        <w:t>par la police et la gendarmerie</w:t>
      </w:r>
    </w:p>
    <w:p w:rsidR="009A0B83" w:rsidRPr="00806E56" w:rsidRDefault="008B0D30" w:rsidP="008B0D30">
      <w:pPr>
        <w:pStyle w:val="SingleTxtG"/>
        <w:rPr>
          <w:lang w:val="fr-FR"/>
        </w:rPr>
      </w:pPr>
      <w:r w:rsidRPr="00806E56">
        <w:rPr>
          <w:lang w:val="fr-FR"/>
        </w:rPr>
        <w:t>16.</w:t>
      </w:r>
      <w:r w:rsidRPr="00806E56">
        <w:rPr>
          <w:lang w:val="fr-FR"/>
        </w:rPr>
        <w:tab/>
      </w:r>
      <w:r w:rsidR="009A0B83" w:rsidRPr="00806E56">
        <w:rPr>
          <w:lang w:val="fr-FR"/>
        </w:rPr>
        <w:t>Le Comité est préoccupé par les allégations d’usage excessif de la force par les fonctionnaires de police et de gendarmerie ayant, dans certains cas, entraîné des blessures graves ou des décès. Il est également préoccupé par : a)</w:t>
      </w:r>
      <w:r w:rsidR="005C0FC2">
        <w:rPr>
          <w:lang w:val="fr-FR"/>
        </w:rPr>
        <w:t> </w:t>
      </w:r>
      <w:r w:rsidR="009A0B83" w:rsidRPr="00806E56">
        <w:rPr>
          <w:lang w:val="fr-FR"/>
        </w:rPr>
        <w:t>les informations faisant état</w:t>
      </w:r>
      <w:r w:rsidR="0044516B" w:rsidRPr="00806E56">
        <w:rPr>
          <w:lang w:val="fr-FR"/>
        </w:rPr>
        <w:t xml:space="preserve"> </w:t>
      </w:r>
      <w:r w:rsidR="009A0B83" w:rsidRPr="00806E56">
        <w:rPr>
          <w:lang w:val="fr-FR"/>
        </w:rPr>
        <w:t>d’obstacles rencontrés par les victimes pour porter plainte</w:t>
      </w:r>
      <w:r w:rsidR="00450536">
        <w:rPr>
          <w:lang w:val="fr-FR"/>
        </w:rPr>
        <w:t> </w:t>
      </w:r>
      <w:r w:rsidR="009A0B83" w:rsidRPr="00806E56">
        <w:rPr>
          <w:lang w:val="fr-FR"/>
        </w:rPr>
        <w:t>; b)</w:t>
      </w:r>
      <w:r w:rsidR="00450536">
        <w:rPr>
          <w:lang w:val="fr-FR"/>
        </w:rPr>
        <w:t> </w:t>
      </w:r>
      <w:r w:rsidR="009A0B83" w:rsidRPr="00806E56">
        <w:rPr>
          <w:lang w:val="fr-FR"/>
        </w:rPr>
        <w:t>l’absence de données statistiques sur les plaintes permettant de faire une comparaison par rapport aux enquêtes ouvertes et aux poursuites engagées</w:t>
      </w:r>
      <w:r w:rsidR="00450536">
        <w:rPr>
          <w:lang w:val="fr-FR"/>
        </w:rPr>
        <w:t> </w:t>
      </w:r>
      <w:r w:rsidR="009A0B83" w:rsidRPr="00806E56">
        <w:rPr>
          <w:lang w:val="fr-FR"/>
        </w:rPr>
        <w:t>; c)</w:t>
      </w:r>
      <w:r w:rsidR="00450536">
        <w:rPr>
          <w:lang w:val="fr-FR"/>
        </w:rPr>
        <w:t> </w:t>
      </w:r>
      <w:r w:rsidR="009A0B83" w:rsidRPr="00806E56">
        <w:rPr>
          <w:lang w:val="fr-FR"/>
        </w:rPr>
        <w:t>le manque d’informations détaillées sur les condamnations judiciaires des fonctionnaires de police et de gendarmerie reconnus coupables</w:t>
      </w:r>
      <w:r w:rsidR="0028588A">
        <w:rPr>
          <w:lang w:val="fr-FR"/>
        </w:rPr>
        <w:t xml:space="preserve"> </w:t>
      </w:r>
      <w:r w:rsidR="009A0B83" w:rsidRPr="00806E56">
        <w:rPr>
          <w:lang w:val="fr-FR"/>
        </w:rPr>
        <w:t>et les sanctions prononcées à leur égard</w:t>
      </w:r>
      <w:r w:rsidR="00450536">
        <w:rPr>
          <w:lang w:val="fr-FR"/>
        </w:rPr>
        <w:t> </w:t>
      </w:r>
      <w:r w:rsidR="009A0B83" w:rsidRPr="00806E56">
        <w:rPr>
          <w:lang w:val="fr-FR"/>
        </w:rPr>
        <w:t>; d)</w:t>
      </w:r>
      <w:r w:rsidR="00450536">
        <w:rPr>
          <w:lang w:val="fr-FR"/>
        </w:rPr>
        <w:t> </w:t>
      </w:r>
      <w:r w:rsidR="009A0B83" w:rsidRPr="00806E56">
        <w:rPr>
          <w:lang w:val="fr-FR"/>
        </w:rPr>
        <w:t>des informations faisant état d’un nombre important de non-lieu</w:t>
      </w:r>
      <w:r w:rsidR="00420E4A">
        <w:rPr>
          <w:lang w:val="fr-FR"/>
        </w:rPr>
        <w:t>x</w:t>
      </w:r>
      <w:r w:rsidR="009A0B83" w:rsidRPr="00806E56">
        <w:rPr>
          <w:lang w:val="fr-FR"/>
        </w:rPr>
        <w:t xml:space="preserve"> et de classement</w:t>
      </w:r>
      <w:r w:rsidR="00420E4A">
        <w:rPr>
          <w:lang w:val="fr-FR"/>
        </w:rPr>
        <w:t>s</w:t>
      </w:r>
      <w:r w:rsidR="009A0B83" w:rsidRPr="00806E56">
        <w:rPr>
          <w:lang w:val="fr-FR"/>
        </w:rPr>
        <w:t xml:space="preserve"> sans suite, de sanctions administratives peu sévères ou non proportionnelles à la gravité des faits et d</w:t>
      </w:r>
      <w:r w:rsidR="00420E4A">
        <w:rPr>
          <w:lang w:val="fr-FR"/>
        </w:rPr>
        <w:t>u</w:t>
      </w:r>
      <w:r w:rsidR="009A0B83" w:rsidRPr="00806E56">
        <w:rPr>
          <w:lang w:val="fr-FR"/>
        </w:rPr>
        <w:t xml:space="preserve"> peu de sanctions judiciaires prononcées contre les fonctionnaire</w:t>
      </w:r>
      <w:r w:rsidR="001110A3">
        <w:rPr>
          <w:lang w:val="fr-FR"/>
        </w:rPr>
        <w:t>s</w:t>
      </w:r>
      <w:r w:rsidR="009A0B83" w:rsidRPr="00806E56">
        <w:rPr>
          <w:lang w:val="fr-FR"/>
        </w:rPr>
        <w:t xml:space="preserve"> de police et de gendarmerie. Le Comité est par ailleurs préoccupé par les allégations de violences contre les demandeurs d’asile et les migrants</w:t>
      </w:r>
      <w:r w:rsidR="002F34F2">
        <w:rPr>
          <w:lang w:val="fr-FR"/>
        </w:rPr>
        <w:t>,</w:t>
      </w:r>
      <w:r w:rsidR="009A0B83" w:rsidRPr="00806E56">
        <w:rPr>
          <w:lang w:val="fr-FR"/>
        </w:rPr>
        <w:t xml:space="preserve"> </w:t>
      </w:r>
      <w:r w:rsidR="00180928" w:rsidRPr="00806E56">
        <w:rPr>
          <w:lang w:val="fr-FR"/>
        </w:rPr>
        <w:t xml:space="preserve">ainsi que par leur situation </w:t>
      </w:r>
      <w:r w:rsidR="009A0B83" w:rsidRPr="00806E56">
        <w:rPr>
          <w:lang w:val="fr-FR"/>
        </w:rPr>
        <w:t>à Calais et dans sa région (art.</w:t>
      </w:r>
      <w:r w:rsidR="00296072">
        <w:rPr>
          <w:lang w:val="fr-FR"/>
        </w:rPr>
        <w:t> </w:t>
      </w:r>
      <w:r w:rsidR="009A0B83" w:rsidRPr="00806E56">
        <w:rPr>
          <w:lang w:val="fr-FR"/>
        </w:rPr>
        <w:t>2, 12, 13).</w:t>
      </w:r>
    </w:p>
    <w:p w:rsidR="009A0B83" w:rsidRPr="00806E56" w:rsidRDefault="008B0D30" w:rsidP="008B0D30">
      <w:pPr>
        <w:pStyle w:val="SingleTxtG"/>
        <w:rPr>
          <w:b/>
          <w:lang w:val="fr-FR"/>
        </w:rPr>
      </w:pPr>
      <w:r w:rsidRPr="00806E56">
        <w:rPr>
          <w:lang w:val="fr-FR"/>
        </w:rPr>
        <w:t>17.</w:t>
      </w:r>
      <w:r w:rsidRPr="00806E56">
        <w:rPr>
          <w:lang w:val="fr-FR"/>
        </w:rPr>
        <w:tab/>
      </w:r>
      <w:r w:rsidR="009A0B83" w:rsidRPr="00806E56">
        <w:rPr>
          <w:b/>
          <w:lang w:val="fr-FR"/>
        </w:rPr>
        <w:t>Le Comité recommande à l’</w:t>
      </w:r>
      <w:r w:rsidR="00296072" w:rsidRPr="00CE3B6F">
        <w:rPr>
          <w:b/>
          <w:lang w:val="fr-FR"/>
        </w:rPr>
        <w:t>État</w:t>
      </w:r>
      <w:r w:rsidR="009A0B83" w:rsidRPr="00806E56">
        <w:rPr>
          <w:b/>
          <w:lang w:val="fr-FR"/>
        </w:rPr>
        <w:t xml:space="preserve"> partie</w:t>
      </w:r>
      <w:r w:rsidR="00296072">
        <w:rPr>
          <w:b/>
          <w:lang w:val="fr-FR"/>
        </w:rPr>
        <w:t xml:space="preserve"> </w:t>
      </w:r>
      <w:r w:rsidR="009A0B83" w:rsidRPr="00806E56">
        <w:rPr>
          <w:b/>
          <w:lang w:val="fr-FR"/>
        </w:rPr>
        <w:t>de renforcer la lutte contre tout usage excessif de la force par la police et la gend</w:t>
      </w:r>
      <w:r w:rsidR="00CF30AE" w:rsidRPr="00806E56">
        <w:rPr>
          <w:b/>
          <w:lang w:val="fr-FR"/>
        </w:rPr>
        <w:t>armerie et de veiller à ce que</w:t>
      </w:r>
      <w:r w:rsidR="00A877AA">
        <w:rPr>
          <w:b/>
          <w:lang w:val="fr-FR"/>
        </w:rPr>
        <w:t> </w:t>
      </w:r>
      <w:r w:rsidR="00CF30AE" w:rsidRPr="00806E56">
        <w:rPr>
          <w:b/>
          <w:lang w:val="fr-FR"/>
        </w:rPr>
        <w:t>:</w:t>
      </w:r>
    </w:p>
    <w:p w:rsidR="009A0B83" w:rsidRPr="00806E56" w:rsidRDefault="00C27945" w:rsidP="00C27945">
      <w:pPr>
        <w:pStyle w:val="SingleTxtG"/>
        <w:rPr>
          <w:b/>
          <w:lang w:val="fr-FR"/>
        </w:rPr>
      </w:pPr>
      <w:r w:rsidRPr="00806E56">
        <w:rPr>
          <w:lang w:val="fr-FR"/>
        </w:rPr>
        <w:tab/>
        <w:t>a)</w:t>
      </w:r>
      <w:r w:rsidRPr="00806E56">
        <w:rPr>
          <w:lang w:val="fr-FR"/>
        </w:rPr>
        <w:tab/>
      </w:r>
      <w:r w:rsidR="00296072" w:rsidRPr="00CE3B6F">
        <w:rPr>
          <w:b/>
          <w:lang w:val="fr-FR"/>
        </w:rPr>
        <w:t xml:space="preserve">Les </w:t>
      </w:r>
      <w:r w:rsidR="009A0B83" w:rsidRPr="00806E56">
        <w:rPr>
          <w:b/>
          <w:lang w:val="fr-FR"/>
        </w:rPr>
        <w:t>mesures nécessaires soient prises pour garantir que, dans la pratique, les victimes de violences policières puissent déposer plainte, que celles-ci soient enregistrées et que, le cas échéant, les plaignants soient protégés contre tout risque de représailles</w:t>
      </w:r>
      <w:r w:rsidR="00296072">
        <w:rPr>
          <w:b/>
          <w:lang w:val="fr-FR"/>
        </w:rPr>
        <w:t> </w:t>
      </w:r>
      <w:r w:rsidR="009A0B83" w:rsidRPr="00806E56">
        <w:rPr>
          <w:b/>
          <w:lang w:val="fr-FR"/>
        </w:rPr>
        <w:t>;</w:t>
      </w:r>
    </w:p>
    <w:p w:rsidR="009A0B83" w:rsidRPr="00806E56" w:rsidRDefault="00C27945" w:rsidP="00C27945">
      <w:pPr>
        <w:pStyle w:val="SingleTxtG"/>
        <w:rPr>
          <w:b/>
          <w:lang w:val="fr-FR"/>
        </w:rPr>
      </w:pPr>
      <w:r w:rsidRPr="00806E56">
        <w:rPr>
          <w:lang w:val="fr-FR"/>
        </w:rPr>
        <w:tab/>
        <w:t>b)</w:t>
      </w:r>
      <w:r w:rsidRPr="00806E56">
        <w:rPr>
          <w:lang w:val="fr-FR"/>
        </w:rPr>
        <w:tab/>
      </w:r>
      <w:r w:rsidR="00296072" w:rsidRPr="00CE3B6F">
        <w:rPr>
          <w:b/>
          <w:lang w:val="fr-FR"/>
        </w:rPr>
        <w:t xml:space="preserve">Dans </w:t>
      </w:r>
      <w:r w:rsidR="009A0B83" w:rsidRPr="00806E56">
        <w:rPr>
          <w:b/>
          <w:lang w:val="fr-FR"/>
        </w:rPr>
        <w:t>tous les cas qui lui sont signalés, une enquête prompte, impartiale, indépendante et transparente soit menée dans des délais raisonnables</w:t>
      </w:r>
      <w:r w:rsidR="00296072">
        <w:rPr>
          <w:b/>
          <w:lang w:val="fr-FR"/>
        </w:rPr>
        <w:t> </w:t>
      </w:r>
      <w:r w:rsidR="009A0B83" w:rsidRPr="00806E56">
        <w:rPr>
          <w:b/>
          <w:lang w:val="fr-FR"/>
        </w:rPr>
        <w:t>;</w:t>
      </w:r>
    </w:p>
    <w:p w:rsidR="009A0B83" w:rsidRPr="00806E56" w:rsidRDefault="00C27945" w:rsidP="008E1193">
      <w:pPr>
        <w:pStyle w:val="SingleTxtG"/>
        <w:rPr>
          <w:b/>
          <w:lang w:val="fr-FR"/>
        </w:rPr>
      </w:pPr>
      <w:r w:rsidRPr="00806E56">
        <w:rPr>
          <w:lang w:val="fr-FR"/>
        </w:rPr>
        <w:lastRenderedPageBreak/>
        <w:tab/>
        <w:t>c)</w:t>
      </w:r>
      <w:r w:rsidRPr="00806E56">
        <w:rPr>
          <w:lang w:val="fr-FR"/>
        </w:rPr>
        <w:tab/>
      </w:r>
      <w:r w:rsidR="00B46FAE" w:rsidRPr="00CE3B6F">
        <w:rPr>
          <w:b/>
          <w:lang w:val="fr-FR"/>
        </w:rPr>
        <w:t xml:space="preserve">Des </w:t>
      </w:r>
      <w:r w:rsidR="009A0B83" w:rsidRPr="00806E56">
        <w:rPr>
          <w:b/>
          <w:lang w:val="fr-FR"/>
        </w:rPr>
        <w:t>poursuites puissent être engagées et, en cas de condamnation, des sanctions proportionnelles à la gravi</w:t>
      </w:r>
      <w:r w:rsidR="00CF30AE" w:rsidRPr="00806E56">
        <w:rPr>
          <w:b/>
          <w:lang w:val="fr-FR"/>
        </w:rPr>
        <w:t>té des faits soient prononcées</w:t>
      </w:r>
      <w:r w:rsidR="00B46FAE">
        <w:rPr>
          <w:b/>
          <w:lang w:val="fr-FR"/>
        </w:rPr>
        <w:t> </w:t>
      </w:r>
      <w:r w:rsidR="00CF30AE" w:rsidRPr="00806E56">
        <w:rPr>
          <w:b/>
          <w:lang w:val="fr-FR"/>
        </w:rPr>
        <w:t>;</w:t>
      </w:r>
    </w:p>
    <w:p w:rsidR="009A0B83" w:rsidRPr="00806E56" w:rsidRDefault="00C27945" w:rsidP="00C27945">
      <w:pPr>
        <w:pStyle w:val="SingleTxtG"/>
        <w:rPr>
          <w:b/>
          <w:lang w:val="fr-FR"/>
        </w:rPr>
      </w:pPr>
      <w:r w:rsidRPr="00806E56">
        <w:rPr>
          <w:lang w:val="fr-FR"/>
        </w:rPr>
        <w:tab/>
        <w:t>d)</w:t>
      </w:r>
      <w:r w:rsidRPr="00806E56">
        <w:rPr>
          <w:lang w:val="fr-FR"/>
        </w:rPr>
        <w:tab/>
      </w:r>
      <w:r w:rsidR="00B46FAE" w:rsidRPr="00CE3B6F">
        <w:rPr>
          <w:b/>
          <w:lang w:val="fr-FR"/>
        </w:rPr>
        <w:t xml:space="preserve">Des </w:t>
      </w:r>
      <w:r w:rsidR="009A0B83" w:rsidRPr="00806E56">
        <w:rPr>
          <w:b/>
          <w:lang w:val="fr-FR"/>
        </w:rPr>
        <w:t xml:space="preserve">données statistiques complètes et ventilées soient établies sur les plaintes déposées et </w:t>
      </w:r>
      <w:r w:rsidR="00186E4D">
        <w:rPr>
          <w:b/>
          <w:lang w:val="fr-FR"/>
        </w:rPr>
        <w:t xml:space="preserve">les </w:t>
      </w:r>
      <w:r w:rsidR="009A0B83" w:rsidRPr="00806E56">
        <w:rPr>
          <w:b/>
          <w:lang w:val="fr-FR"/>
        </w:rPr>
        <w:t xml:space="preserve">signalements pour faits de violence et d’usage excessif de la force, </w:t>
      </w:r>
      <w:r w:rsidR="00117CC6">
        <w:rPr>
          <w:b/>
          <w:lang w:val="fr-FR"/>
        </w:rPr>
        <w:t xml:space="preserve">et sur </w:t>
      </w:r>
      <w:r w:rsidR="009A0B83" w:rsidRPr="00806E56">
        <w:rPr>
          <w:b/>
          <w:lang w:val="fr-FR"/>
        </w:rPr>
        <w:t>les enquêtes administratives ou judiciaires ouvertes concernant tant la police que la gendarmerie, les poursuites engagées, les condamnations et les sanctions prononcées, les décisions de non-lieu</w:t>
      </w:r>
      <w:r w:rsidR="003C1D13">
        <w:rPr>
          <w:b/>
          <w:lang w:val="fr-FR"/>
        </w:rPr>
        <w:t>x</w:t>
      </w:r>
      <w:r w:rsidR="009A0B83" w:rsidRPr="00806E56">
        <w:rPr>
          <w:b/>
          <w:lang w:val="fr-FR"/>
        </w:rPr>
        <w:t xml:space="preserve"> et les classements sans suite.</w:t>
      </w:r>
    </w:p>
    <w:p w:rsidR="009A0B83" w:rsidRPr="00806E56" w:rsidRDefault="008B0D30" w:rsidP="008B0D30">
      <w:pPr>
        <w:pStyle w:val="SingleTxtG"/>
        <w:rPr>
          <w:bCs/>
          <w:lang w:val="fr-FR"/>
        </w:rPr>
      </w:pPr>
      <w:r w:rsidRPr="00806E56">
        <w:rPr>
          <w:bCs/>
          <w:lang w:val="fr-FR"/>
        </w:rPr>
        <w:t>18.</w:t>
      </w:r>
      <w:r w:rsidRPr="00806E56">
        <w:rPr>
          <w:bCs/>
          <w:lang w:val="fr-FR"/>
        </w:rPr>
        <w:tab/>
      </w:r>
      <w:r w:rsidR="009A0B83" w:rsidRPr="00806E56">
        <w:rPr>
          <w:b/>
          <w:bCs/>
          <w:lang w:val="fr-FR"/>
        </w:rPr>
        <w:t>Le Comité invite l’</w:t>
      </w:r>
      <w:r w:rsidR="00AC14FF" w:rsidRPr="00AC14FF">
        <w:rPr>
          <w:b/>
          <w:bCs/>
          <w:lang w:val="fr-FR"/>
        </w:rPr>
        <w:t>État</w:t>
      </w:r>
      <w:r w:rsidR="009A0B83" w:rsidRPr="00806E56">
        <w:rPr>
          <w:b/>
          <w:bCs/>
          <w:lang w:val="fr-FR"/>
        </w:rPr>
        <w:t xml:space="preserve"> partie à l’informer </w:t>
      </w:r>
      <w:r w:rsidR="002B3E87">
        <w:rPr>
          <w:b/>
          <w:bCs/>
          <w:lang w:val="fr-FR"/>
        </w:rPr>
        <w:t>d</w:t>
      </w:r>
      <w:r w:rsidR="009A0B83" w:rsidRPr="00806E56">
        <w:rPr>
          <w:b/>
          <w:bCs/>
          <w:lang w:val="fr-FR"/>
        </w:rPr>
        <w:t>es suites données a)</w:t>
      </w:r>
      <w:r w:rsidR="005C0FC2">
        <w:rPr>
          <w:b/>
          <w:bCs/>
          <w:lang w:val="fr-FR"/>
        </w:rPr>
        <w:t> </w:t>
      </w:r>
      <w:r w:rsidR="009A0B83" w:rsidRPr="00806E56">
        <w:rPr>
          <w:b/>
          <w:bCs/>
          <w:lang w:val="fr-FR"/>
        </w:rPr>
        <w:t>aux plaintes déposées auprès du Défenseur des droits et b)</w:t>
      </w:r>
      <w:r w:rsidR="005C0FC2">
        <w:rPr>
          <w:b/>
          <w:bCs/>
          <w:lang w:val="fr-FR"/>
        </w:rPr>
        <w:t> </w:t>
      </w:r>
      <w:r w:rsidR="009A0B83" w:rsidRPr="00806E56">
        <w:rPr>
          <w:b/>
          <w:bCs/>
          <w:lang w:val="fr-FR"/>
        </w:rPr>
        <w:t xml:space="preserve">aux allégations de violences </w:t>
      </w:r>
      <w:r w:rsidR="00180928" w:rsidRPr="00806E56">
        <w:rPr>
          <w:b/>
          <w:bCs/>
          <w:lang w:val="fr-FR"/>
        </w:rPr>
        <w:t>par l</w:t>
      </w:r>
      <w:r w:rsidR="009A0B83" w:rsidRPr="00806E56">
        <w:rPr>
          <w:b/>
          <w:bCs/>
          <w:lang w:val="fr-FR"/>
        </w:rPr>
        <w:t>es forces de police sur les demandeurs d’asile et les migrants</w:t>
      </w:r>
      <w:r w:rsidR="00E23F41">
        <w:rPr>
          <w:b/>
          <w:bCs/>
          <w:lang w:val="fr-FR"/>
        </w:rPr>
        <w:t>, et à l</w:t>
      </w:r>
      <w:r w:rsidR="00E23F41" w:rsidRPr="00E23F41">
        <w:rPr>
          <w:b/>
          <w:bCs/>
          <w:lang w:val="fr-FR"/>
        </w:rPr>
        <w:t>’</w:t>
      </w:r>
      <w:r w:rsidR="00E23F41">
        <w:rPr>
          <w:b/>
          <w:bCs/>
          <w:lang w:val="fr-FR"/>
        </w:rPr>
        <w:t>informer</w:t>
      </w:r>
      <w:r w:rsidR="00180928" w:rsidRPr="00806E56">
        <w:rPr>
          <w:b/>
          <w:bCs/>
          <w:lang w:val="fr-FR"/>
        </w:rPr>
        <w:t xml:space="preserve"> </w:t>
      </w:r>
      <w:r w:rsidR="002B3E87">
        <w:rPr>
          <w:b/>
          <w:bCs/>
          <w:lang w:val="fr-FR"/>
        </w:rPr>
        <w:t>de</w:t>
      </w:r>
      <w:r w:rsidR="00180928" w:rsidRPr="00806E56">
        <w:rPr>
          <w:b/>
          <w:bCs/>
          <w:lang w:val="fr-FR"/>
        </w:rPr>
        <w:t xml:space="preserve"> l</w:t>
      </w:r>
      <w:r w:rsidR="002B3E87">
        <w:rPr>
          <w:b/>
          <w:bCs/>
          <w:lang w:val="fr-FR"/>
        </w:rPr>
        <w:t>a</w:t>
      </w:r>
      <w:r w:rsidR="00180928" w:rsidRPr="00806E56">
        <w:rPr>
          <w:b/>
          <w:bCs/>
          <w:lang w:val="fr-FR"/>
        </w:rPr>
        <w:t xml:space="preserve"> situation</w:t>
      </w:r>
      <w:r w:rsidR="009A0B83" w:rsidRPr="00806E56">
        <w:rPr>
          <w:b/>
          <w:bCs/>
          <w:lang w:val="fr-FR"/>
        </w:rPr>
        <w:t xml:space="preserve"> </w:t>
      </w:r>
      <w:r w:rsidR="002B3E87">
        <w:rPr>
          <w:b/>
          <w:bCs/>
          <w:lang w:val="fr-FR"/>
        </w:rPr>
        <w:t xml:space="preserve">de ces derniers </w:t>
      </w:r>
      <w:r w:rsidR="009A0B83" w:rsidRPr="00806E56">
        <w:rPr>
          <w:b/>
          <w:bCs/>
          <w:lang w:val="fr-FR"/>
        </w:rPr>
        <w:t xml:space="preserve">à Calais et </w:t>
      </w:r>
      <w:r w:rsidR="00E23F41">
        <w:rPr>
          <w:b/>
          <w:bCs/>
          <w:lang w:val="fr-FR"/>
        </w:rPr>
        <w:t xml:space="preserve">dans </w:t>
      </w:r>
      <w:r w:rsidR="009A0B83" w:rsidRPr="00806E56">
        <w:rPr>
          <w:b/>
          <w:bCs/>
          <w:lang w:val="fr-FR"/>
        </w:rPr>
        <w:t>sa région.</w:t>
      </w:r>
    </w:p>
    <w:p w:rsidR="009A0B83" w:rsidRPr="00806E56" w:rsidRDefault="00C27945" w:rsidP="00C27945">
      <w:pPr>
        <w:pStyle w:val="H23G"/>
        <w:rPr>
          <w:lang w:val="fr-FR"/>
        </w:rPr>
      </w:pPr>
      <w:r w:rsidRPr="00806E56">
        <w:rPr>
          <w:lang w:val="fr-FR"/>
        </w:rPr>
        <w:tab/>
      </w:r>
      <w:r w:rsidRPr="00806E56">
        <w:rPr>
          <w:lang w:val="fr-FR"/>
        </w:rPr>
        <w:tab/>
        <w:t>Non-refoulement</w:t>
      </w:r>
    </w:p>
    <w:p w:rsidR="009A0B83" w:rsidRPr="00806E56" w:rsidRDefault="008B0D30" w:rsidP="008B0D30">
      <w:pPr>
        <w:pStyle w:val="SingleTxtG"/>
        <w:rPr>
          <w:lang w:val="fr-FR"/>
        </w:rPr>
      </w:pPr>
      <w:r w:rsidRPr="00806E56">
        <w:rPr>
          <w:lang w:val="fr-FR"/>
        </w:rPr>
        <w:t>19.</w:t>
      </w:r>
      <w:r w:rsidRPr="00806E56">
        <w:rPr>
          <w:lang w:val="fr-FR"/>
        </w:rPr>
        <w:tab/>
      </w:r>
      <w:r w:rsidR="009A0B83" w:rsidRPr="00806E56">
        <w:rPr>
          <w:lang w:val="fr-FR"/>
        </w:rPr>
        <w:t>Tout en notant les explications de l’</w:t>
      </w:r>
      <w:r w:rsidR="00AC14FF" w:rsidRPr="00CE3B6F">
        <w:rPr>
          <w:lang w:val="fr-FR"/>
        </w:rPr>
        <w:t>État</w:t>
      </w:r>
      <w:r w:rsidR="009A0B83" w:rsidRPr="00806E56">
        <w:rPr>
          <w:lang w:val="fr-FR"/>
        </w:rPr>
        <w:t xml:space="preserve"> partie, le Comité est préoccupé par le </w:t>
      </w:r>
      <w:r w:rsidR="008E1193">
        <w:rPr>
          <w:lang w:val="fr-FR"/>
        </w:rPr>
        <w:t>risque</w:t>
      </w:r>
      <w:r w:rsidR="008E1193" w:rsidRPr="00806E56">
        <w:rPr>
          <w:lang w:val="fr-FR"/>
        </w:rPr>
        <w:t xml:space="preserve"> </w:t>
      </w:r>
      <w:r w:rsidR="009A0B83" w:rsidRPr="00806E56">
        <w:rPr>
          <w:lang w:val="fr-FR"/>
        </w:rPr>
        <w:t>que l’application des nombreux critères prévus à l’article</w:t>
      </w:r>
      <w:r w:rsidR="00067B58">
        <w:rPr>
          <w:lang w:val="fr-FR"/>
        </w:rPr>
        <w:t> </w:t>
      </w:r>
      <w:r w:rsidR="009A0B83" w:rsidRPr="00806E56">
        <w:rPr>
          <w:lang w:val="fr-FR"/>
        </w:rPr>
        <w:t>L 723-2 du Code d</w:t>
      </w:r>
      <w:r w:rsidR="00490F99">
        <w:rPr>
          <w:lang w:val="fr-FR"/>
        </w:rPr>
        <w:t>e l</w:t>
      </w:r>
      <w:r w:rsidR="009A0B83" w:rsidRPr="00806E56">
        <w:rPr>
          <w:lang w:val="fr-FR"/>
        </w:rPr>
        <w:t>’entrée et d</w:t>
      </w:r>
      <w:r w:rsidR="00490F99">
        <w:rPr>
          <w:lang w:val="fr-FR"/>
        </w:rPr>
        <w:t>u</w:t>
      </w:r>
      <w:r w:rsidR="009A0B83" w:rsidRPr="00806E56">
        <w:rPr>
          <w:lang w:val="fr-FR"/>
        </w:rPr>
        <w:t xml:space="preserve"> séjour des étrangers et du droit d’asile</w:t>
      </w:r>
      <w:r w:rsidR="008256E3">
        <w:rPr>
          <w:lang w:val="fr-FR"/>
        </w:rPr>
        <w:t>,</w:t>
      </w:r>
      <w:r w:rsidR="009A0B83" w:rsidRPr="00806E56">
        <w:rPr>
          <w:lang w:val="fr-FR"/>
        </w:rPr>
        <w:t xml:space="preserve"> tel</w:t>
      </w:r>
      <w:r w:rsidR="008256E3">
        <w:rPr>
          <w:lang w:val="fr-FR"/>
        </w:rPr>
        <w:t>s</w:t>
      </w:r>
      <w:r w:rsidR="009A0B83" w:rsidRPr="00806E56">
        <w:rPr>
          <w:lang w:val="fr-FR"/>
        </w:rPr>
        <w:t xml:space="preserve"> que la provenance d’un pays d’origine « sûr », n’entraîne un accroissement plus important d</w:t>
      </w:r>
      <w:r w:rsidR="00DD1FEE">
        <w:rPr>
          <w:lang w:val="fr-FR"/>
        </w:rPr>
        <w:t>u</w:t>
      </w:r>
      <w:r w:rsidR="009A0B83" w:rsidRPr="00806E56">
        <w:rPr>
          <w:lang w:val="fr-FR"/>
        </w:rPr>
        <w:t xml:space="preserve"> placement des demande</w:t>
      </w:r>
      <w:r w:rsidR="00490F99">
        <w:rPr>
          <w:lang w:val="fr-FR"/>
        </w:rPr>
        <w:t>ur</w:t>
      </w:r>
      <w:r w:rsidR="009A0B83" w:rsidRPr="00806E56">
        <w:rPr>
          <w:lang w:val="fr-FR"/>
        </w:rPr>
        <w:t>s d’asile en procédure accélérée (</w:t>
      </w:r>
      <w:r w:rsidR="00FA7573">
        <w:rPr>
          <w:lang w:val="fr-FR"/>
        </w:rPr>
        <w:t xml:space="preserve">procédure </w:t>
      </w:r>
      <w:r w:rsidR="009A0B83" w:rsidRPr="00806E56">
        <w:rPr>
          <w:lang w:val="fr-FR"/>
        </w:rPr>
        <w:t>qui représente 25 à 30</w:t>
      </w:r>
      <w:r w:rsidR="00AC14FF">
        <w:rPr>
          <w:lang w:val="fr-FR"/>
        </w:rPr>
        <w:t> </w:t>
      </w:r>
      <w:r w:rsidR="009A0B83" w:rsidRPr="00806E56">
        <w:rPr>
          <w:lang w:val="fr-FR"/>
        </w:rPr>
        <w:t>% de la demande globale selon l’</w:t>
      </w:r>
      <w:r w:rsidR="00AC14FF" w:rsidRPr="00CE3B6F">
        <w:rPr>
          <w:lang w:val="fr-FR"/>
        </w:rPr>
        <w:t>État</w:t>
      </w:r>
      <w:r w:rsidR="009A0B83" w:rsidRPr="00806E56">
        <w:rPr>
          <w:lang w:val="fr-FR"/>
        </w:rPr>
        <w:t xml:space="preserve"> partie), y compris de manière automatique. Le Comité estime que la brièveté du délai imparti pour l’examen par l’</w:t>
      </w:r>
      <w:r w:rsidR="00B7144E" w:rsidRPr="00935178">
        <w:rPr>
          <w:lang w:val="fr-FR"/>
        </w:rPr>
        <w:t xml:space="preserve">Office français </w:t>
      </w:r>
      <w:r w:rsidR="00B7144E">
        <w:rPr>
          <w:lang w:val="fr-FR"/>
        </w:rPr>
        <w:t>de protection d</w:t>
      </w:r>
      <w:r w:rsidR="00B7144E" w:rsidRPr="00935178">
        <w:rPr>
          <w:lang w:val="fr-FR"/>
        </w:rPr>
        <w:t>es réfugiés et apatride</w:t>
      </w:r>
      <w:r w:rsidR="005005CA">
        <w:rPr>
          <w:lang w:val="fr-FR"/>
        </w:rPr>
        <w:t>s</w:t>
      </w:r>
      <w:r w:rsidR="009A0B83" w:rsidRPr="00806E56">
        <w:rPr>
          <w:lang w:val="fr-FR"/>
        </w:rPr>
        <w:t xml:space="preserve">, conjuguée au nombre de demandes en procédure accélérée, est de nature à conduire à un manque d’approfondissement </w:t>
      </w:r>
      <w:r w:rsidR="00490F99" w:rsidRPr="00806E56">
        <w:rPr>
          <w:lang w:val="fr-FR"/>
        </w:rPr>
        <w:t>d</w:t>
      </w:r>
      <w:r w:rsidR="00490F99">
        <w:rPr>
          <w:lang w:val="fr-FR"/>
        </w:rPr>
        <w:t>e</w:t>
      </w:r>
      <w:r w:rsidR="00490F99" w:rsidRPr="00806E56">
        <w:rPr>
          <w:lang w:val="fr-FR"/>
        </w:rPr>
        <w:t xml:space="preserve"> </w:t>
      </w:r>
      <w:r w:rsidR="009A0B83" w:rsidRPr="00806E56">
        <w:rPr>
          <w:lang w:val="fr-FR"/>
        </w:rPr>
        <w:t xml:space="preserve">l’étude et </w:t>
      </w:r>
      <w:r w:rsidR="00490F99">
        <w:rPr>
          <w:lang w:val="fr-FR"/>
        </w:rPr>
        <w:t xml:space="preserve">de </w:t>
      </w:r>
      <w:r w:rsidR="009A0B83" w:rsidRPr="00806E56">
        <w:rPr>
          <w:lang w:val="fr-FR"/>
        </w:rPr>
        <w:t>l’évaluation des risques, y compris de torture et de mauvais traitements, que peut encourir un demandeur d’asile en cas de renvoi.</w:t>
      </w:r>
      <w:r w:rsidR="003516B0">
        <w:rPr>
          <w:lang w:val="fr-FR"/>
        </w:rPr>
        <w:t xml:space="preserve"> </w:t>
      </w:r>
      <w:r w:rsidR="009A0B83" w:rsidRPr="00806E56">
        <w:rPr>
          <w:lang w:val="fr-FR"/>
        </w:rPr>
        <w:t xml:space="preserve">Le Comité est aussi préoccupé par le fait que la brièveté des délais de recours </w:t>
      </w:r>
      <w:r w:rsidR="00BF6981" w:rsidRPr="00806E56">
        <w:rPr>
          <w:lang w:val="fr-FR"/>
        </w:rPr>
        <w:t>accordés aux</w:t>
      </w:r>
      <w:r w:rsidR="0044516B" w:rsidRPr="00806E56">
        <w:rPr>
          <w:lang w:val="fr-FR"/>
        </w:rPr>
        <w:t xml:space="preserve"> </w:t>
      </w:r>
      <w:r w:rsidR="009A0B83" w:rsidRPr="00806E56">
        <w:rPr>
          <w:lang w:val="fr-FR"/>
        </w:rPr>
        <w:t xml:space="preserve">demandeurs d’asile </w:t>
      </w:r>
      <w:r w:rsidR="00BF6981" w:rsidRPr="00806E56">
        <w:rPr>
          <w:lang w:val="fr-FR"/>
        </w:rPr>
        <w:t xml:space="preserve">en </w:t>
      </w:r>
      <w:r w:rsidR="009A0B83" w:rsidRPr="00806E56">
        <w:rPr>
          <w:lang w:val="fr-FR"/>
        </w:rPr>
        <w:t>zone d’attente (soit 48</w:t>
      </w:r>
      <w:r w:rsidR="002C3DC7">
        <w:rPr>
          <w:lang w:val="fr-FR"/>
        </w:rPr>
        <w:t> </w:t>
      </w:r>
      <w:r w:rsidR="009A0B83" w:rsidRPr="00806E56">
        <w:rPr>
          <w:lang w:val="fr-FR"/>
        </w:rPr>
        <w:t>h</w:t>
      </w:r>
      <w:r w:rsidR="002D3147">
        <w:rPr>
          <w:lang w:val="fr-FR"/>
        </w:rPr>
        <w:t>eures</w:t>
      </w:r>
      <w:r w:rsidR="009A0B83" w:rsidRPr="00806E56">
        <w:rPr>
          <w:lang w:val="fr-FR"/>
        </w:rPr>
        <w:t xml:space="preserve">) et en centre de rétention administrative (soit </w:t>
      </w:r>
      <w:r w:rsidR="002D3147">
        <w:rPr>
          <w:lang w:val="fr-FR"/>
        </w:rPr>
        <w:t xml:space="preserve">cinq </w:t>
      </w:r>
      <w:r w:rsidR="009A0B83" w:rsidRPr="00806E56">
        <w:rPr>
          <w:lang w:val="fr-FR"/>
        </w:rPr>
        <w:t>jours)</w:t>
      </w:r>
      <w:r w:rsidR="00EA0220">
        <w:rPr>
          <w:lang w:val="fr-FR"/>
        </w:rPr>
        <w:t>,</w:t>
      </w:r>
      <w:r w:rsidR="00BF6981" w:rsidRPr="00806E56">
        <w:rPr>
          <w:lang w:val="fr-FR"/>
        </w:rPr>
        <w:t xml:space="preserve"> ainsi qu’aux mineurs non accompagnés</w:t>
      </w:r>
      <w:r w:rsidR="009A0B83" w:rsidRPr="00806E56">
        <w:rPr>
          <w:lang w:val="fr-FR"/>
        </w:rPr>
        <w:t xml:space="preserve">, ne permet pas </w:t>
      </w:r>
      <w:r w:rsidR="00BF6981" w:rsidRPr="00806E56">
        <w:rPr>
          <w:lang w:val="fr-FR"/>
        </w:rPr>
        <w:t xml:space="preserve">à ceux-ci </w:t>
      </w:r>
      <w:r w:rsidR="009A0B83" w:rsidRPr="00806E56">
        <w:rPr>
          <w:lang w:val="fr-FR"/>
        </w:rPr>
        <w:t xml:space="preserve">de bénéficier d’une assistance juridique ou linguistique adéquate pour </w:t>
      </w:r>
      <w:r w:rsidR="00BF6981" w:rsidRPr="00806E56">
        <w:rPr>
          <w:lang w:val="fr-FR"/>
        </w:rPr>
        <w:t>leur</w:t>
      </w:r>
      <w:r w:rsidR="009A0B83" w:rsidRPr="00806E56">
        <w:rPr>
          <w:lang w:val="fr-FR"/>
        </w:rPr>
        <w:t xml:space="preserve"> défense</w:t>
      </w:r>
      <w:r w:rsidR="007B4955">
        <w:rPr>
          <w:lang w:val="fr-FR"/>
        </w:rPr>
        <w:t>,</w:t>
      </w:r>
      <w:r w:rsidR="00BF6981" w:rsidRPr="00806E56">
        <w:rPr>
          <w:lang w:val="fr-FR"/>
        </w:rPr>
        <w:t xml:space="preserve"> ce qui pourrait porter </w:t>
      </w:r>
      <w:r w:rsidR="009A0B83" w:rsidRPr="00806E56">
        <w:rPr>
          <w:lang w:val="fr-FR"/>
        </w:rPr>
        <w:t>préjudice à l’exposé de tous les risques encourus en cas de renvoi</w:t>
      </w:r>
      <w:r w:rsidR="0044516B" w:rsidRPr="00806E56">
        <w:rPr>
          <w:lang w:val="fr-FR"/>
        </w:rPr>
        <w:t xml:space="preserve"> </w:t>
      </w:r>
      <w:r w:rsidR="009A0B83" w:rsidRPr="00806E56">
        <w:rPr>
          <w:lang w:val="fr-FR"/>
        </w:rPr>
        <w:t>(art.</w:t>
      </w:r>
      <w:r w:rsidR="002C3DC7">
        <w:rPr>
          <w:lang w:val="fr-FR"/>
        </w:rPr>
        <w:t> </w:t>
      </w:r>
      <w:r w:rsidR="009A0B83" w:rsidRPr="00806E56">
        <w:rPr>
          <w:lang w:val="fr-FR"/>
        </w:rPr>
        <w:t>3).</w:t>
      </w:r>
    </w:p>
    <w:p w:rsidR="009A0B83" w:rsidRPr="00806E56" w:rsidRDefault="008B0D30" w:rsidP="008B0D30">
      <w:pPr>
        <w:pStyle w:val="SingleTxtG"/>
        <w:rPr>
          <w:b/>
          <w:lang w:val="fr-FR"/>
        </w:rPr>
      </w:pPr>
      <w:r w:rsidRPr="00806E56">
        <w:rPr>
          <w:lang w:val="fr-FR"/>
        </w:rPr>
        <w:t>20.</w:t>
      </w:r>
      <w:r w:rsidRPr="00806E56">
        <w:rPr>
          <w:lang w:val="fr-FR"/>
        </w:rPr>
        <w:tab/>
      </w:r>
      <w:r w:rsidR="009A0B83" w:rsidRPr="00806E56">
        <w:rPr>
          <w:b/>
          <w:lang w:val="fr-FR"/>
        </w:rPr>
        <w:t>Le Comité recommande à l’</w:t>
      </w:r>
      <w:r w:rsidR="002C3DC7" w:rsidRPr="00CE3B6F">
        <w:rPr>
          <w:b/>
          <w:lang w:val="fr-FR"/>
        </w:rPr>
        <w:t>État</w:t>
      </w:r>
      <w:r w:rsidR="009A0B83" w:rsidRPr="00806E56">
        <w:rPr>
          <w:b/>
          <w:lang w:val="fr-FR"/>
        </w:rPr>
        <w:t xml:space="preserve"> partie de prendre les mesures nécessaires afin que l’application des critères relatifs au placement en procédure accélérée</w:t>
      </w:r>
      <w:r w:rsidR="00EA0220">
        <w:rPr>
          <w:b/>
          <w:lang w:val="fr-FR"/>
        </w:rPr>
        <w:t>,</w:t>
      </w:r>
      <w:r w:rsidR="009A0B83" w:rsidRPr="00806E56">
        <w:rPr>
          <w:b/>
          <w:lang w:val="fr-FR"/>
        </w:rPr>
        <w:t xml:space="preserve"> notamment celui dit du pays d’origine « sûr », n’aboutisse </w:t>
      </w:r>
      <w:r w:rsidR="00316B47">
        <w:rPr>
          <w:b/>
          <w:lang w:val="fr-FR"/>
        </w:rPr>
        <w:t xml:space="preserve">pas </w:t>
      </w:r>
      <w:r w:rsidR="009A0B83" w:rsidRPr="00806E56">
        <w:rPr>
          <w:b/>
          <w:lang w:val="fr-FR"/>
        </w:rPr>
        <w:t>à un</w:t>
      </w:r>
      <w:r w:rsidR="009A0B83" w:rsidRPr="00806E56">
        <w:rPr>
          <w:lang w:val="fr-FR"/>
        </w:rPr>
        <w:t xml:space="preserve"> </w:t>
      </w:r>
      <w:r w:rsidR="009A0B83" w:rsidRPr="00806E56">
        <w:rPr>
          <w:b/>
          <w:lang w:val="fr-FR"/>
        </w:rPr>
        <w:t>placement automatique ou systématique en procédure accélérée. Il recommande également à l’</w:t>
      </w:r>
      <w:r w:rsidR="00E30C72" w:rsidRPr="00CE3B6F">
        <w:rPr>
          <w:b/>
          <w:lang w:val="fr-FR"/>
        </w:rPr>
        <w:t>État</w:t>
      </w:r>
      <w:r w:rsidR="009A0B83" w:rsidRPr="00806E56">
        <w:rPr>
          <w:b/>
          <w:lang w:val="fr-FR"/>
        </w:rPr>
        <w:t xml:space="preserve"> partie de s’assurer que, dans le cadre de cette procédure, l’examen des risques pour chaque demandeur se fasse de manière très approfondie. Le Comité recommande enfin à l’</w:t>
      </w:r>
      <w:r w:rsidR="00E30C72" w:rsidRPr="00CE3B6F">
        <w:rPr>
          <w:b/>
          <w:lang w:val="fr-FR"/>
        </w:rPr>
        <w:t>État</w:t>
      </w:r>
      <w:r w:rsidR="009A0B83" w:rsidRPr="00806E56">
        <w:rPr>
          <w:b/>
          <w:lang w:val="fr-FR"/>
        </w:rPr>
        <w:t xml:space="preserve"> partie de prendre les mesures nécessaires pour s’assurer que, dans tous les cas, les demandeurs d’asile bénéficient de manière effective d’une assistance juridique et linguistique ou autre qui leur permette une préparation adéquate pour défendre leur cas. Il invite l’</w:t>
      </w:r>
      <w:r w:rsidR="00E30C72" w:rsidRPr="00CE3B6F">
        <w:rPr>
          <w:b/>
          <w:lang w:val="fr-FR"/>
        </w:rPr>
        <w:t>État</w:t>
      </w:r>
      <w:r w:rsidR="009A0B83" w:rsidRPr="00806E56">
        <w:rPr>
          <w:b/>
          <w:lang w:val="fr-FR"/>
        </w:rPr>
        <w:t xml:space="preserve"> partie à revoir les délais impartis dans le cadre de</w:t>
      </w:r>
      <w:r w:rsidR="00F02A24">
        <w:rPr>
          <w:b/>
          <w:lang w:val="fr-FR"/>
        </w:rPr>
        <w:t>s</w:t>
      </w:r>
      <w:r w:rsidR="009A0B83" w:rsidRPr="00806E56">
        <w:rPr>
          <w:b/>
          <w:lang w:val="fr-FR"/>
        </w:rPr>
        <w:t xml:space="preserve"> recours formés auprès de la Cour nationale du droit d’asile par les demandeurs d’asile en zone d’attente et en cent</w:t>
      </w:r>
      <w:r w:rsidR="00CF30AE" w:rsidRPr="00806E56">
        <w:rPr>
          <w:b/>
          <w:lang w:val="fr-FR"/>
        </w:rPr>
        <w:t>re de rétention administrative.</w:t>
      </w:r>
    </w:p>
    <w:p w:rsidR="009A0B83" w:rsidRPr="00806E56" w:rsidRDefault="00C27945" w:rsidP="00C27945">
      <w:pPr>
        <w:pStyle w:val="H23G"/>
        <w:rPr>
          <w:lang w:val="fr-FR"/>
        </w:rPr>
      </w:pPr>
      <w:r w:rsidRPr="00806E56">
        <w:rPr>
          <w:lang w:val="fr-FR"/>
        </w:rPr>
        <w:tab/>
      </w:r>
      <w:r w:rsidRPr="00806E56">
        <w:rPr>
          <w:lang w:val="fr-FR"/>
        </w:rPr>
        <w:tab/>
      </w:r>
      <w:r w:rsidR="009A0B83" w:rsidRPr="00806E56">
        <w:rPr>
          <w:lang w:val="fr-FR"/>
        </w:rPr>
        <w:t>Conditions de détention</w:t>
      </w:r>
    </w:p>
    <w:p w:rsidR="009A0B83" w:rsidRPr="00806E56" w:rsidRDefault="008B0D30" w:rsidP="008B0D30">
      <w:pPr>
        <w:pStyle w:val="SingleTxtG"/>
        <w:rPr>
          <w:lang w:val="fr-FR"/>
        </w:rPr>
      </w:pPr>
      <w:r w:rsidRPr="00806E56">
        <w:rPr>
          <w:lang w:val="fr-FR"/>
        </w:rPr>
        <w:t>21.</w:t>
      </w:r>
      <w:r w:rsidRPr="00806E56">
        <w:rPr>
          <w:lang w:val="fr-FR"/>
        </w:rPr>
        <w:tab/>
      </w:r>
      <w:r w:rsidR="009A0B83" w:rsidRPr="00806E56">
        <w:rPr>
          <w:lang w:val="fr-FR"/>
        </w:rPr>
        <w:t>Tout en notant les mesures prises par l’</w:t>
      </w:r>
      <w:r w:rsidR="00E30C72" w:rsidRPr="00CE3B6F">
        <w:rPr>
          <w:lang w:val="fr-FR"/>
        </w:rPr>
        <w:t>État</w:t>
      </w:r>
      <w:r w:rsidR="003557D3">
        <w:rPr>
          <w:lang w:val="fr-FR"/>
        </w:rPr>
        <w:t xml:space="preserve"> </w:t>
      </w:r>
      <w:r w:rsidR="009A0B83" w:rsidRPr="00806E56">
        <w:rPr>
          <w:lang w:val="fr-FR"/>
        </w:rPr>
        <w:t>partie, le Comité est préoccupé par le taux très élevé de surpopulation carcérale illustrée par un taux de remplissage de 116</w:t>
      </w:r>
      <w:r w:rsidR="00CE3B6F" w:rsidRPr="00806E56">
        <w:rPr>
          <w:lang w:val="fr-FR"/>
        </w:rPr>
        <w:t> </w:t>
      </w:r>
      <w:r w:rsidR="009A0B83" w:rsidRPr="00806E56">
        <w:rPr>
          <w:lang w:val="fr-FR"/>
        </w:rPr>
        <w:t>% en 2014, et même au-delà dans certaines prisons telles que celles de Marseille (147</w:t>
      </w:r>
      <w:r w:rsidR="00CE3B6F" w:rsidRPr="00806E56">
        <w:rPr>
          <w:lang w:val="fr-FR"/>
        </w:rPr>
        <w:t> </w:t>
      </w:r>
      <w:r w:rsidR="009A0B83" w:rsidRPr="00806E56">
        <w:rPr>
          <w:lang w:val="fr-FR"/>
        </w:rPr>
        <w:t xml:space="preserve">%) et </w:t>
      </w:r>
      <w:r w:rsidR="00197DD5">
        <w:rPr>
          <w:lang w:val="fr-FR"/>
        </w:rPr>
        <w:t xml:space="preserve">de </w:t>
      </w:r>
      <w:r w:rsidR="009A0B83" w:rsidRPr="00806E56">
        <w:rPr>
          <w:lang w:val="fr-FR"/>
        </w:rPr>
        <w:t>Nîmes (219</w:t>
      </w:r>
      <w:r w:rsidR="00E30C72">
        <w:rPr>
          <w:lang w:val="fr-FR"/>
        </w:rPr>
        <w:t> </w:t>
      </w:r>
      <w:r w:rsidR="009A0B83" w:rsidRPr="00806E56">
        <w:rPr>
          <w:lang w:val="fr-FR"/>
        </w:rPr>
        <w:t>%)</w:t>
      </w:r>
      <w:r w:rsidR="00197DD5">
        <w:rPr>
          <w:lang w:val="fr-FR"/>
        </w:rPr>
        <w:t>, de même qu</w:t>
      </w:r>
      <w:r w:rsidR="00197DD5" w:rsidRPr="00197DD5">
        <w:rPr>
          <w:lang w:val="fr-FR"/>
        </w:rPr>
        <w:t>’</w:t>
      </w:r>
      <w:r w:rsidR="009A0B83" w:rsidRPr="00806E56">
        <w:rPr>
          <w:lang w:val="fr-FR"/>
        </w:rPr>
        <w:t>en Polynésie (294</w:t>
      </w:r>
      <w:r w:rsidR="00E30C72">
        <w:rPr>
          <w:lang w:val="fr-FR"/>
        </w:rPr>
        <w:t> </w:t>
      </w:r>
      <w:r w:rsidR="009A0B83" w:rsidRPr="00806E56">
        <w:rPr>
          <w:lang w:val="fr-FR"/>
        </w:rPr>
        <w:t>%). Le Comité déplore également les conditions matérielles inadéquates de détention qui prévalent dans certains établissements</w:t>
      </w:r>
      <w:r w:rsidR="00197DD5">
        <w:rPr>
          <w:lang w:val="fr-FR"/>
        </w:rPr>
        <w:t>,</w:t>
      </w:r>
      <w:r w:rsidR="009A0B83" w:rsidRPr="00806E56">
        <w:rPr>
          <w:lang w:val="fr-FR"/>
        </w:rPr>
        <w:t xml:space="preserve"> notamment la vétusté</w:t>
      </w:r>
      <w:r w:rsidR="00407DB2">
        <w:rPr>
          <w:lang w:val="fr-FR"/>
        </w:rPr>
        <w:t xml:space="preserve"> et</w:t>
      </w:r>
      <w:r w:rsidR="00407DB2" w:rsidRPr="00806E56">
        <w:rPr>
          <w:lang w:val="fr-FR"/>
        </w:rPr>
        <w:t xml:space="preserve"> </w:t>
      </w:r>
      <w:r w:rsidR="009A0B83" w:rsidRPr="00806E56">
        <w:rPr>
          <w:lang w:val="fr-FR"/>
        </w:rPr>
        <w:t xml:space="preserve">l’absence d’hygiène et de salubrité. Il est aussi préoccupé par la persistance de la violence entre détenus ainsi que </w:t>
      </w:r>
      <w:r w:rsidR="00197DD5">
        <w:rPr>
          <w:lang w:val="fr-FR"/>
        </w:rPr>
        <w:t>par l</w:t>
      </w:r>
      <w:r w:rsidR="00197DD5" w:rsidRPr="00806E56">
        <w:rPr>
          <w:lang w:val="fr-FR"/>
        </w:rPr>
        <w:t xml:space="preserve">es </w:t>
      </w:r>
      <w:r w:rsidR="009A0B83" w:rsidRPr="00806E56">
        <w:rPr>
          <w:lang w:val="fr-FR"/>
        </w:rPr>
        <w:t>allégations de mauvais traitements par le personnel pénitentiaire. Le Comité est enfin préoccupé par les difficultés rencontré</w:t>
      </w:r>
      <w:r w:rsidR="00895E70">
        <w:rPr>
          <w:lang w:val="fr-FR"/>
        </w:rPr>
        <w:t>e</w:t>
      </w:r>
      <w:r w:rsidR="009A0B83" w:rsidRPr="00806E56">
        <w:rPr>
          <w:lang w:val="fr-FR"/>
        </w:rPr>
        <w:t xml:space="preserve">s </w:t>
      </w:r>
      <w:r w:rsidR="009A0B83" w:rsidRPr="00806E56">
        <w:rPr>
          <w:lang w:val="fr-FR"/>
        </w:rPr>
        <w:lastRenderedPageBreak/>
        <w:t>par certains détenus pour porter plainte contre ces violences, soit auprès des autorités administratives ou judiciaires, soit auprès d</w:t>
      </w:r>
      <w:r w:rsidR="00197DD5">
        <w:rPr>
          <w:lang w:val="fr-FR"/>
        </w:rPr>
        <w:t>u</w:t>
      </w:r>
      <w:r w:rsidR="009A0B83" w:rsidRPr="00806E56">
        <w:rPr>
          <w:lang w:val="fr-FR"/>
        </w:rPr>
        <w:t xml:space="preserve"> Contrôleur général des lieux de privation de liberté (art.</w:t>
      </w:r>
      <w:r w:rsidR="001B6036">
        <w:rPr>
          <w:lang w:val="fr-FR"/>
        </w:rPr>
        <w:t> </w:t>
      </w:r>
      <w:r w:rsidR="009A0B83" w:rsidRPr="00806E56">
        <w:rPr>
          <w:lang w:val="fr-FR"/>
        </w:rPr>
        <w:t>11, 16).</w:t>
      </w:r>
    </w:p>
    <w:p w:rsidR="009A0B83" w:rsidRPr="00806E56" w:rsidRDefault="008B0D30" w:rsidP="008B0D30">
      <w:pPr>
        <w:pStyle w:val="SingleTxtG"/>
        <w:rPr>
          <w:lang w:val="fr-FR"/>
        </w:rPr>
      </w:pPr>
      <w:r w:rsidRPr="00806E56">
        <w:rPr>
          <w:lang w:val="fr-FR"/>
        </w:rPr>
        <w:t>22.</w:t>
      </w:r>
      <w:r w:rsidRPr="00806E56">
        <w:rPr>
          <w:lang w:val="fr-FR"/>
        </w:rPr>
        <w:tab/>
      </w:r>
      <w:r w:rsidR="009A0B83" w:rsidRPr="00806E56">
        <w:rPr>
          <w:b/>
          <w:lang w:val="fr-FR"/>
        </w:rPr>
        <w:t>Le Comité recommande à l’</w:t>
      </w:r>
      <w:r w:rsidR="001B6036" w:rsidRPr="00CE3B6F">
        <w:rPr>
          <w:b/>
          <w:lang w:val="fr-FR"/>
        </w:rPr>
        <w:t>État</w:t>
      </w:r>
      <w:r w:rsidR="009A0B83" w:rsidRPr="00806E56">
        <w:rPr>
          <w:b/>
          <w:lang w:val="fr-FR"/>
        </w:rPr>
        <w:t xml:space="preserve"> partie</w:t>
      </w:r>
      <w:r w:rsidR="001B6036">
        <w:rPr>
          <w:lang w:val="fr-FR"/>
        </w:rPr>
        <w:t xml:space="preserve"> </w:t>
      </w:r>
      <w:r w:rsidR="009A0B83" w:rsidRPr="00806E56">
        <w:rPr>
          <w:b/>
          <w:bCs/>
          <w:lang w:val="fr-FR"/>
        </w:rPr>
        <w:t>de poursuivre ses efforts pour améliorer d’urgence les conditions de détention en tenant compte des recommandations d</w:t>
      </w:r>
      <w:r w:rsidR="00485839">
        <w:rPr>
          <w:b/>
          <w:bCs/>
          <w:lang w:val="fr-FR"/>
        </w:rPr>
        <w:t>u</w:t>
      </w:r>
      <w:r w:rsidR="009A0B83" w:rsidRPr="00806E56">
        <w:rPr>
          <w:b/>
          <w:bCs/>
          <w:lang w:val="fr-FR"/>
        </w:rPr>
        <w:t xml:space="preserve"> Contrôleur général des lieux de privation de liberté</w:t>
      </w:r>
      <w:r w:rsidR="00052C41">
        <w:rPr>
          <w:b/>
          <w:bCs/>
          <w:lang w:val="fr-FR"/>
        </w:rPr>
        <w:t>,</w:t>
      </w:r>
      <w:r w:rsidR="009A0B83" w:rsidRPr="00806E56">
        <w:rPr>
          <w:b/>
          <w:bCs/>
          <w:lang w:val="fr-FR"/>
        </w:rPr>
        <w:t xml:space="preserve"> et notamment</w:t>
      </w:r>
      <w:r w:rsidR="00A877AA">
        <w:rPr>
          <w:b/>
          <w:bCs/>
          <w:lang w:val="fr-FR"/>
        </w:rPr>
        <w:t> </w:t>
      </w:r>
      <w:r w:rsidR="009A0B83" w:rsidRPr="00806E56">
        <w:rPr>
          <w:b/>
          <w:bCs/>
          <w:lang w:val="fr-FR"/>
        </w:rPr>
        <w:t>:</w:t>
      </w:r>
      <w:r w:rsidR="0044516B" w:rsidRPr="00806E56">
        <w:rPr>
          <w:b/>
          <w:bCs/>
          <w:lang w:val="fr-FR"/>
        </w:rPr>
        <w:t xml:space="preserve"> </w:t>
      </w:r>
      <w:r w:rsidR="009A0B83" w:rsidRPr="00806E56">
        <w:rPr>
          <w:b/>
          <w:lang w:val="fr-FR"/>
        </w:rPr>
        <w:t>a)</w:t>
      </w:r>
      <w:r w:rsidR="009A0B83" w:rsidRPr="00806E56">
        <w:rPr>
          <w:lang w:val="fr-FR"/>
        </w:rPr>
        <w:t xml:space="preserve"> </w:t>
      </w:r>
      <w:r w:rsidR="009A0B83" w:rsidRPr="00806E56">
        <w:rPr>
          <w:b/>
          <w:bCs/>
          <w:lang w:val="fr-FR"/>
        </w:rPr>
        <w:t xml:space="preserve">de réduire de manière soutenue la surpopulation carcérale, en particulier par un recours accru à des peines </w:t>
      </w:r>
      <w:r w:rsidR="00485839">
        <w:rPr>
          <w:b/>
          <w:bCs/>
          <w:lang w:val="fr-FR"/>
        </w:rPr>
        <w:t>de substitution</w:t>
      </w:r>
      <w:r w:rsidR="00485839" w:rsidRPr="00806E56">
        <w:rPr>
          <w:b/>
          <w:bCs/>
          <w:lang w:val="fr-FR"/>
        </w:rPr>
        <w:t xml:space="preserve"> </w:t>
      </w:r>
      <w:r w:rsidR="009A0B83" w:rsidRPr="00806E56">
        <w:rPr>
          <w:b/>
          <w:bCs/>
          <w:lang w:val="fr-FR"/>
        </w:rPr>
        <w:t xml:space="preserve">à la privation de liberté, conformément aux Règles minima des Nations Unies pour l’élaboration de mesures non privatives de liberté (Règles de Tokyo) et </w:t>
      </w:r>
      <w:r w:rsidR="00D4064E">
        <w:rPr>
          <w:b/>
          <w:bCs/>
          <w:lang w:val="fr-FR"/>
        </w:rPr>
        <w:t>aux</w:t>
      </w:r>
      <w:r w:rsidR="00D4064E" w:rsidRPr="00806E56">
        <w:rPr>
          <w:b/>
          <w:bCs/>
          <w:lang w:val="fr-FR"/>
        </w:rPr>
        <w:t xml:space="preserve"> </w:t>
      </w:r>
      <w:r w:rsidR="009A0B83" w:rsidRPr="00806E56">
        <w:rPr>
          <w:b/>
          <w:bCs/>
          <w:lang w:val="fr-FR"/>
        </w:rPr>
        <w:t>Règles des Nations Unies concernant le traitement des détenu</w:t>
      </w:r>
      <w:r w:rsidR="00101F5B">
        <w:rPr>
          <w:b/>
          <w:bCs/>
          <w:lang w:val="fr-FR"/>
        </w:rPr>
        <w:t>e</w:t>
      </w:r>
      <w:r w:rsidR="009A0B83" w:rsidRPr="00806E56">
        <w:rPr>
          <w:b/>
          <w:bCs/>
          <w:lang w:val="fr-FR"/>
        </w:rPr>
        <w:t>s et l’imposition de mesures non privatives de liberté aux délinquantes (Règles de Bangkok)</w:t>
      </w:r>
      <w:r w:rsidR="00A877AA">
        <w:rPr>
          <w:b/>
          <w:bCs/>
          <w:lang w:val="fr-FR"/>
        </w:rPr>
        <w:t> </w:t>
      </w:r>
      <w:r w:rsidR="009A0B83" w:rsidRPr="00806E56">
        <w:rPr>
          <w:b/>
          <w:bCs/>
          <w:lang w:val="fr-FR"/>
        </w:rPr>
        <w:t>; b) d’améliorer les cond</w:t>
      </w:r>
      <w:r w:rsidR="00CF30AE" w:rsidRPr="00806E56">
        <w:rPr>
          <w:b/>
          <w:bCs/>
          <w:lang w:val="fr-FR"/>
        </w:rPr>
        <w:t>itions matérielles de détention</w:t>
      </w:r>
      <w:r w:rsidR="00A877AA">
        <w:rPr>
          <w:b/>
          <w:bCs/>
          <w:lang w:val="fr-FR"/>
        </w:rPr>
        <w:t> </w:t>
      </w:r>
      <w:r w:rsidR="009A0B83" w:rsidRPr="00806E56">
        <w:rPr>
          <w:b/>
          <w:bCs/>
          <w:lang w:val="fr-FR"/>
        </w:rPr>
        <w:t>; c) de s’assurer que les faits de violence dans les établissements pénitentiaires sont portés à la connaissance des autorités compétentes</w:t>
      </w:r>
      <w:r w:rsidR="00BB4F37">
        <w:rPr>
          <w:b/>
          <w:bCs/>
          <w:lang w:val="fr-FR"/>
        </w:rPr>
        <w:t xml:space="preserve"> et</w:t>
      </w:r>
      <w:r w:rsidR="009A0B83" w:rsidRPr="00806E56">
        <w:rPr>
          <w:b/>
          <w:bCs/>
          <w:lang w:val="fr-FR"/>
        </w:rPr>
        <w:t xml:space="preserve"> </w:t>
      </w:r>
      <w:r w:rsidR="00CF30AE" w:rsidRPr="00806E56">
        <w:rPr>
          <w:b/>
          <w:bCs/>
          <w:lang w:val="fr-FR"/>
        </w:rPr>
        <w:t>que</w:t>
      </w:r>
      <w:r w:rsidR="009A0B83" w:rsidRPr="00806E56">
        <w:rPr>
          <w:b/>
          <w:bCs/>
          <w:lang w:val="fr-FR"/>
        </w:rPr>
        <w:t xml:space="preserve"> des enquêtes approfondies et impartiales sont menées </w:t>
      </w:r>
      <w:r w:rsidR="00CF30AE" w:rsidRPr="00806E56">
        <w:rPr>
          <w:b/>
          <w:bCs/>
          <w:lang w:val="fr-FR"/>
        </w:rPr>
        <w:t>sur ces actes de violence</w:t>
      </w:r>
      <w:r w:rsidR="00A877AA">
        <w:rPr>
          <w:b/>
          <w:bCs/>
          <w:lang w:val="fr-FR"/>
        </w:rPr>
        <w:t> </w:t>
      </w:r>
      <w:r w:rsidR="009A0B83" w:rsidRPr="00806E56">
        <w:rPr>
          <w:b/>
          <w:bCs/>
          <w:lang w:val="fr-FR"/>
        </w:rPr>
        <w:t>; d) de renforcer son Plan d’action national de lutte contre les p</w:t>
      </w:r>
      <w:r w:rsidR="00CF30AE" w:rsidRPr="00806E56">
        <w:rPr>
          <w:b/>
          <w:bCs/>
          <w:lang w:val="fr-FR"/>
        </w:rPr>
        <w:t>hénomènes de violence en prison</w:t>
      </w:r>
      <w:r w:rsidR="00A877AA">
        <w:rPr>
          <w:b/>
          <w:bCs/>
          <w:lang w:val="fr-FR"/>
        </w:rPr>
        <w:t> </w:t>
      </w:r>
      <w:r w:rsidR="009A0B83" w:rsidRPr="00806E56">
        <w:rPr>
          <w:b/>
          <w:bCs/>
          <w:lang w:val="fr-FR"/>
        </w:rPr>
        <w:t>; e) et de s’assurer que les détenus peuvent porter plainte sans peur de représailles</w:t>
      </w:r>
      <w:r w:rsidR="00485839">
        <w:rPr>
          <w:b/>
          <w:bCs/>
          <w:lang w:val="fr-FR"/>
        </w:rPr>
        <w:t>,</w:t>
      </w:r>
      <w:r w:rsidR="009A0B83" w:rsidRPr="00806E56">
        <w:rPr>
          <w:b/>
          <w:bCs/>
          <w:lang w:val="fr-FR"/>
        </w:rPr>
        <w:t xml:space="preserve"> notamment auprès du Contrôleur général des</w:t>
      </w:r>
      <w:r w:rsidR="00CF30AE" w:rsidRPr="00806E56">
        <w:rPr>
          <w:b/>
          <w:bCs/>
          <w:lang w:val="fr-FR"/>
        </w:rPr>
        <w:t xml:space="preserve"> lieux de privation de liberté.</w:t>
      </w:r>
    </w:p>
    <w:p w:rsidR="009A0B83" w:rsidRPr="00806E56" w:rsidRDefault="00C27945" w:rsidP="00C27945">
      <w:pPr>
        <w:pStyle w:val="H23G"/>
        <w:rPr>
          <w:lang w:val="fr-FR"/>
        </w:rPr>
      </w:pPr>
      <w:r w:rsidRPr="00806E56">
        <w:rPr>
          <w:lang w:val="fr-FR"/>
        </w:rPr>
        <w:tab/>
      </w:r>
      <w:r w:rsidRPr="00806E56">
        <w:rPr>
          <w:lang w:val="fr-FR"/>
        </w:rPr>
        <w:tab/>
      </w:r>
      <w:r w:rsidR="009A0B83" w:rsidRPr="00806E56">
        <w:rPr>
          <w:lang w:val="fr-FR"/>
        </w:rPr>
        <w:t>Accès aux soins psychiatriques dans les prisons</w:t>
      </w:r>
    </w:p>
    <w:p w:rsidR="009A0B83" w:rsidRPr="00806E56" w:rsidRDefault="008B0D30" w:rsidP="008B0D30">
      <w:pPr>
        <w:pStyle w:val="SingleTxtG"/>
        <w:rPr>
          <w:lang w:val="fr-FR"/>
        </w:rPr>
      </w:pPr>
      <w:r w:rsidRPr="00806E56">
        <w:rPr>
          <w:lang w:val="fr-FR"/>
        </w:rPr>
        <w:t>23.</w:t>
      </w:r>
      <w:r w:rsidRPr="00806E56">
        <w:rPr>
          <w:lang w:val="fr-FR"/>
        </w:rPr>
        <w:tab/>
      </w:r>
      <w:r w:rsidR="009A0B83" w:rsidRPr="00806E56">
        <w:rPr>
          <w:lang w:val="fr-FR"/>
        </w:rPr>
        <w:t>Le Comité est préoccupé par les informations faisant état : a)</w:t>
      </w:r>
      <w:r w:rsidR="00067B58">
        <w:rPr>
          <w:lang w:val="fr-FR"/>
        </w:rPr>
        <w:t> </w:t>
      </w:r>
      <w:r w:rsidR="009A0B83" w:rsidRPr="00806E56">
        <w:rPr>
          <w:lang w:val="fr-FR"/>
        </w:rPr>
        <w:t>de l’insuffisance de l’offre de soins psychiatriques dans les prisons ; b)</w:t>
      </w:r>
      <w:r w:rsidR="00067B58">
        <w:rPr>
          <w:lang w:val="fr-FR"/>
        </w:rPr>
        <w:t> </w:t>
      </w:r>
      <w:r w:rsidR="009A0B83" w:rsidRPr="00806E56">
        <w:rPr>
          <w:lang w:val="fr-FR"/>
        </w:rPr>
        <w:t>du manque de personnel médical psychiatrique dans les unités de soins des établissements pénitentiaires ; c)</w:t>
      </w:r>
      <w:r w:rsidR="00067B58">
        <w:rPr>
          <w:lang w:val="fr-FR"/>
        </w:rPr>
        <w:t> </w:t>
      </w:r>
      <w:r w:rsidR="009A0B83" w:rsidRPr="00806E56">
        <w:rPr>
          <w:lang w:val="fr-FR"/>
        </w:rPr>
        <w:t>d’un recours fréquent à l’isolement des détenus présentant des pathologies psychiatriques et des conditions matérielles inadéquates de leur détention. Il est également préoccupé par le fait que les détenus présentant des troubles psychiatriques sont souvent placés en chambres d’isolement et de contention lorsqu’ils sont transférés dans les hôpitaux de rattachement (art.</w:t>
      </w:r>
      <w:r w:rsidR="003F7818">
        <w:rPr>
          <w:lang w:val="fr-FR"/>
        </w:rPr>
        <w:t> </w:t>
      </w:r>
      <w:r w:rsidR="009A0B83" w:rsidRPr="00806E56">
        <w:rPr>
          <w:lang w:val="fr-FR"/>
        </w:rPr>
        <w:t>11, 16).</w:t>
      </w:r>
    </w:p>
    <w:p w:rsidR="009A0B83" w:rsidRPr="00806E56" w:rsidRDefault="008B0D30" w:rsidP="008B0D30">
      <w:pPr>
        <w:pStyle w:val="SingleTxtG"/>
        <w:rPr>
          <w:b/>
          <w:lang w:val="fr-FR"/>
        </w:rPr>
      </w:pPr>
      <w:r w:rsidRPr="00806E56">
        <w:rPr>
          <w:lang w:val="fr-FR"/>
        </w:rPr>
        <w:t>24.</w:t>
      </w:r>
      <w:r w:rsidRPr="00806E56">
        <w:rPr>
          <w:lang w:val="fr-FR"/>
        </w:rPr>
        <w:tab/>
      </w:r>
      <w:r w:rsidR="009A0B83" w:rsidRPr="00806E56">
        <w:rPr>
          <w:b/>
          <w:lang w:val="fr-FR"/>
        </w:rPr>
        <w:t>Le Comité recommande à l’</w:t>
      </w:r>
      <w:r w:rsidR="003F7818" w:rsidRPr="00CE3B6F">
        <w:rPr>
          <w:b/>
          <w:lang w:val="fr-FR"/>
        </w:rPr>
        <w:t>État</w:t>
      </w:r>
      <w:r w:rsidR="009A0B83" w:rsidRPr="00806E56">
        <w:rPr>
          <w:b/>
          <w:lang w:val="fr-FR"/>
        </w:rPr>
        <w:t xml:space="preserve"> partie</w:t>
      </w:r>
      <w:r w:rsidR="003F7818">
        <w:rPr>
          <w:b/>
          <w:lang w:val="fr-FR"/>
        </w:rPr>
        <w:t xml:space="preserve"> </w:t>
      </w:r>
      <w:r w:rsidR="009A0B83" w:rsidRPr="00806E56">
        <w:rPr>
          <w:b/>
          <w:lang w:val="fr-FR"/>
        </w:rPr>
        <w:t>de prendre des mesures adéquates pour : a)</w:t>
      </w:r>
      <w:r w:rsidR="003E739C">
        <w:rPr>
          <w:b/>
          <w:lang w:val="fr-FR"/>
        </w:rPr>
        <w:t> </w:t>
      </w:r>
      <w:r w:rsidR="009A0B83" w:rsidRPr="00806E56">
        <w:rPr>
          <w:b/>
          <w:lang w:val="fr-FR"/>
        </w:rPr>
        <w:t>augmenter l’offre de soins psychiatriques dans les établissements pénitentiaires ainsi que l</w:t>
      </w:r>
      <w:r w:rsidR="00847D88">
        <w:rPr>
          <w:b/>
          <w:lang w:val="fr-FR"/>
        </w:rPr>
        <w:t>a disponibilité</w:t>
      </w:r>
      <w:r w:rsidR="009A0B83" w:rsidRPr="00806E56">
        <w:rPr>
          <w:b/>
          <w:lang w:val="fr-FR"/>
        </w:rPr>
        <w:t xml:space="preserve"> de personnel de santé spécialisé et formé ; b)</w:t>
      </w:r>
      <w:r w:rsidR="003F7818">
        <w:rPr>
          <w:b/>
          <w:lang w:val="fr-FR"/>
        </w:rPr>
        <w:t> </w:t>
      </w:r>
      <w:r w:rsidR="009A0B83" w:rsidRPr="00806E56">
        <w:rPr>
          <w:b/>
          <w:lang w:val="fr-FR"/>
        </w:rPr>
        <w:t>établir un contrôle sur le recours à l’isolement aussi bien dans les unités de soins se trouvant dans les prisons que dans les hôpitaux de rattachement</w:t>
      </w:r>
      <w:r w:rsidR="00CF30AE" w:rsidRPr="00806E56">
        <w:rPr>
          <w:b/>
          <w:lang w:val="fr-FR"/>
        </w:rPr>
        <w:t>.</w:t>
      </w:r>
    </w:p>
    <w:p w:rsidR="009A0B83" w:rsidRPr="00806E56" w:rsidRDefault="00C27945" w:rsidP="00C27945">
      <w:pPr>
        <w:pStyle w:val="H23G"/>
        <w:rPr>
          <w:lang w:val="fr-FR"/>
        </w:rPr>
      </w:pPr>
      <w:r w:rsidRPr="00806E56">
        <w:rPr>
          <w:lang w:val="fr-FR"/>
        </w:rPr>
        <w:tab/>
      </w:r>
      <w:r w:rsidRPr="00806E56">
        <w:rPr>
          <w:lang w:val="fr-FR"/>
        </w:rPr>
        <w:tab/>
      </w:r>
      <w:r w:rsidR="009A0B83" w:rsidRPr="00806E56">
        <w:rPr>
          <w:lang w:val="fr-FR"/>
        </w:rPr>
        <w:t>Suicides en prison</w:t>
      </w:r>
    </w:p>
    <w:p w:rsidR="009A0B83" w:rsidRPr="00806E56" w:rsidRDefault="008B0D30" w:rsidP="008B0D30">
      <w:pPr>
        <w:pStyle w:val="SingleTxtG"/>
        <w:rPr>
          <w:lang w:val="fr-FR"/>
        </w:rPr>
      </w:pPr>
      <w:r w:rsidRPr="00806E56">
        <w:rPr>
          <w:lang w:val="fr-FR"/>
        </w:rPr>
        <w:t>25.</w:t>
      </w:r>
      <w:r w:rsidRPr="00806E56">
        <w:rPr>
          <w:lang w:val="fr-FR"/>
        </w:rPr>
        <w:tab/>
      </w:r>
      <w:r w:rsidR="009A0B83" w:rsidRPr="00806E56">
        <w:rPr>
          <w:lang w:val="fr-FR"/>
        </w:rPr>
        <w:t>Tout en notant les informations de l’</w:t>
      </w:r>
      <w:r w:rsidR="003F7818" w:rsidRPr="00CE3B6F">
        <w:rPr>
          <w:lang w:val="fr-FR"/>
        </w:rPr>
        <w:t>État</w:t>
      </w:r>
      <w:r w:rsidR="009A0B83" w:rsidRPr="00806E56">
        <w:rPr>
          <w:lang w:val="fr-FR"/>
        </w:rPr>
        <w:t xml:space="preserve"> partie, le Comité reste préoccupé par le taux élevé de suicides dans les prisons de l’</w:t>
      </w:r>
      <w:r w:rsidR="003F7818" w:rsidRPr="00CE3B6F">
        <w:rPr>
          <w:lang w:val="fr-FR"/>
        </w:rPr>
        <w:t>État</w:t>
      </w:r>
      <w:r w:rsidR="009A0B83" w:rsidRPr="00806E56">
        <w:rPr>
          <w:lang w:val="fr-FR"/>
        </w:rPr>
        <w:t xml:space="preserve"> partie</w:t>
      </w:r>
      <w:r w:rsidR="000E4E65">
        <w:rPr>
          <w:lang w:val="fr-FR"/>
        </w:rPr>
        <w:t>,</w:t>
      </w:r>
      <w:r w:rsidR="009A0B83" w:rsidRPr="00806E56">
        <w:rPr>
          <w:lang w:val="fr-FR"/>
        </w:rPr>
        <w:t xml:space="preserve"> malgré les mesures prises dans le cadre de la mise en œuvre du Plan d’action national de prévention et de lutte contre le suicide en milieu carcéral de 2009. Le Comité partage les préoccupations du Contrôleur général de</w:t>
      </w:r>
      <w:r w:rsidR="00197DD5">
        <w:rPr>
          <w:lang w:val="fr-FR"/>
        </w:rPr>
        <w:t>s</w:t>
      </w:r>
      <w:r w:rsidR="009A0B83" w:rsidRPr="00806E56">
        <w:rPr>
          <w:lang w:val="fr-FR"/>
        </w:rPr>
        <w:t xml:space="preserve"> lieux de privation de liberté sur certains facteurs contribuant au risque suicidaire, tel</w:t>
      </w:r>
      <w:r w:rsidR="001F1BA7">
        <w:rPr>
          <w:lang w:val="fr-FR"/>
        </w:rPr>
        <w:t>s</w:t>
      </w:r>
      <w:r w:rsidR="009A0B83" w:rsidRPr="00806E56">
        <w:rPr>
          <w:lang w:val="fr-FR"/>
        </w:rPr>
        <w:t xml:space="preserve"> que le placement en quartier disciplinaire, ainsi que sur les limites du recours systématique à la dotation de protection d’urgence et de la cellule de protection d’urgence pour prévenir les suicides (art.</w:t>
      </w:r>
      <w:r w:rsidR="003F7818">
        <w:rPr>
          <w:lang w:val="fr-FR"/>
        </w:rPr>
        <w:t> </w:t>
      </w:r>
      <w:r w:rsidR="009A0B83" w:rsidRPr="00806E56">
        <w:rPr>
          <w:lang w:val="fr-FR"/>
        </w:rPr>
        <w:t>11, 16).</w:t>
      </w:r>
    </w:p>
    <w:p w:rsidR="009A0B83" w:rsidRPr="00806E56" w:rsidRDefault="008B0D30" w:rsidP="008B0D30">
      <w:pPr>
        <w:pStyle w:val="SingleTxtG"/>
        <w:rPr>
          <w:b/>
          <w:lang w:val="fr-FR"/>
        </w:rPr>
      </w:pPr>
      <w:r w:rsidRPr="00806E56">
        <w:rPr>
          <w:lang w:val="fr-FR"/>
        </w:rPr>
        <w:t>26.</w:t>
      </w:r>
      <w:r w:rsidRPr="00806E56">
        <w:rPr>
          <w:lang w:val="fr-FR"/>
        </w:rPr>
        <w:tab/>
      </w:r>
      <w:r w:rsidR="009A0B83" w:rsidRPr="00806E56">
        <w:rPr>
          <w:b/>
          <w:bCs/>
          <w:lang w:val="fr-FR"/>
        </w:rPr>
        <w:t>Le</w:t>
      </w:r>
      <w:r w:rsidR="009A0B83" w:rsidRPr="00806E56">
        <w:rPr>
          <w:b/>
          <w:lang w:val="fr-FR"/>
        </w:rPr>
        <w:t xml:space="preserve"> Comité recommande à l’</w:t>
      </w:r>
      <w:r w:rsidR="003F7818" w:rsidRPr="00CE3B6F">
        <w:rPr>
          <w:b/>
          <w:lang w:val="fr-FR"/>
        </w:rPr>
        <w:t>État</w:t>
      </w:r>
      <w:r w:rsidR="009A0B83" w:rsidRPr="00806E56">
        <w:rPr>
          <w:b/>
          <w:lang w:val="fr-FR"/>
        </w:rPr>
        <w:t xml:space="preserve"> partie de renforcer sa politique de prévention et de lutte contre les suicides en prison, notamment</w:t>
      </w:r>
      <w:r w:rsidR="003F7818">
        <w:rPr>
          <w:b/>
          <w:lang w:val="fr-FR"/>
        </w:rPr>
        <w:t> </w:t>
      </w:r>
      <w:r w:rsidR="009A0B83" w:rsidRPr="00806E56">
        <w:rPr>
          <w:b/>
          <w:lang w:val="fr-FR"/>
        </w:rPr>
        <w:t>: a)</w:t>
      </w:r>
      <w:r w:rsidR="00957BC5">
        <w:rPr>
          <w:b/>
          <w:lang w:val="fr-FR"/>
        </w:rPr>
        <w:t> </w:t>
      </w:r>
      <w:r w:rsidR="009A0B83" w:rsidRPr="00806E56">
        <w:rPr>
          <w:b/>
          <w:lang w:val="fr-FR"/>
        </w:rPr>
        <w:t>en réduisant les facteurs de risque</w:t>
      </w:r>
      <w:r w:rsidR="003F7818">
        <w:rPr>
          <w:b/>
          <w:lang w:val="fr-FR"/>
        </w:rPr>
        <w:t> </w:t>
      </w:r>
      <w:r w:rsidR="009A0B83" w:rsidRPr="00806E56">
        <w:rPr>
          <w:b/>
          <w:lang w:val="fr-FR"/>
        </w:rPr>
        <w:t>; b)</w:t>
      </w:r>
      <w:r w:rsidR="00957BC5">
        <w:rPr>
          <w:b/>
          <w:lang w:val="fr-FR"/>
        </w:rPr>
        <w:t> </w:t>
      </w:r>
      <w:r w:rsidR="009A0B83" w:rsidRPr="00806E56">
        <w:rPr>
          <w:b/>
          <w:lang w:val="fr-FR"/>
        </w:rPr>
        <w:t>en recourant au placement en quartier disciplinaire uniquement de manière exceptionnelle pour les détenus en situation suicidaire</w:t>
      </w:r>
      <w:r w:rsidR="003F7818">
        <w:rPr>
          <w:b/>
          <w:lang w:val="fr-FR"/>
        </w:rPr>
        <w:t> </w:t>
      </w:r>
      <w:r w:rsidR="009A0B83" w:rsidRPr="00806E56">
        <w:rPr>
          <w:b/>
          <w:lang w:val="fr-FR"/>
        </w:rPr>
        <w:t>; c)</w:t>
      </w:r>
      <w:r w:rsidR="00957BC5">
        <w:rPr>
          <w:b/>
          <w:lang w:val="fr-FR"/>
        </w:rPr>
        <w:t> </w:t>
      </w:r>
      <w:r w:rsidR="009A0B83" w:rsidRPr="00806E56">
        <w:rPr>
          <w:b/>
          <w:lang w:val="fr-FR"/>
        </w:rPr>
        <w:t>en renforçant les mesures d’accompagnement des dispositifs de protection d’urgence et de la cellule de protection d’urgence. Le Comité invite l’</w:t>
      </w:r>
      <w:r w:rsidR="003F7818" w:rsidRPr="00CE3B6F">
        <w:rPr>
          <w:b/>
          <w:lang w:val="fr-FR"/>
        </w:rPr>
        <w:t>État</w:t>
      </w:r>
      <w:r w:rsidR="009A0B83" w:rsidRPr="00806E56">
        <w:rPr>
          <w:b/>
          <w:lang w:val="fr-FR"/>
        </w:rPr>
        <w:t xml:space="preserve"> partie à faire une évaluation du Plan d’action national </w:t>
      </w:r>
      <w:r w:rsidR="00147154" w:rsidRPr="00806E56">
        <w:rPr>
          <w:b/>
          <w:lang w:val="fr-FR"/>
        </w:rPr>
        <w:t xml:space="preserve">de prévention et de lutte contre le suicide en milieu carcéral </w:t>
      </w:r>
      <w:r w:rsidR="009A0B83" w:rsidRPr="00806E56">
        <w:rPr>
          <w:b/>
          <w:lang w:val="fr-FR"/>
        </w:rPr>
        <w:t xml:space="preserve">et </w:t>
      </w:r>
      <w:r w:rsidR="00147154">
        <w:rPr>
          <w:b/>
          <w:lang w:val="fr-FR"/>
        </w:rPr>
        <w:t>à</w:t>
      </w:r>
      <w:r w:rsidR="00147154" w:rsidRPr="00806E56">
        <w:rPr>
          <w:b/>
          <w:lang w:val="fr-FR"/>
        </w:rPr>
        <w:t xml:space="preserve"> </w:t>
      </w:r>
      <w:r w:rsidR="009A0B83" w:rsidRPr="00806E56">
        <w:rPr>
          <w:b/>
          <w:lang w:val="fr-FR"/>
        </w:rPr>
        <w:t>lui</w:t>
      </w:r>
      <w:r w:rsidR="00CF30AE" w:rsidRPr="00806E56">
        <w:rPr>
          <w:b/>
          <w:lang w:val="fr-FR"/>
        </w:rPr>
        <w:t xml:space="preserve"> en communiquer les résultats.</w:t>
      </w:r>
    </w:p>
    <w:p w:rsidR="009A0B83" w:rsidRPr="00806E56" w:rsidRDefault="00C27945" w:rsidP="00C27945">
      <w:pPr>
        <w:pStyle w:val="H23G"/>
        <w:rPr>
          <w:lang w:val="fr-FR"/>
        </w:rPr>
      </w:pPr>
      <w:r w:rsidRPr="00806E56">
        <w:rPr>
          <w:lang w:val="fr-FR"/>
        </w:rPr>
        <w:lastRenderedPageBreak/>
        <w:tab/>
      </w:r>
      <w:r w:rsidRPr="00806E56">
        <w:rPr>
          <w:lang w:val="fr-FR"/>
        </w:rPr>
        <w:tab/>
      </w:r>
      <w:r w:rsidR="009A0B83" w:rsidRPr="00806E56">
        <w:rPr>
          <w:lang w:val="fr-FR"/>
        </w:rPr>
        <w:t>Fouilles</w:t>
      </w:r>
    </w:p>
    <w:p w:rsidR="009A0B83" w:rsidRPr="00806E56" w:rsidRDefault="008B0D30" w:rsidP="008B0D30">
      <w:pPr>
        <w:pStyle w:val="SingleTxtG"/>
        <w:rPr>
          <w:lang w:val="fr-FR"/>
        </w:rPr>
      </w:pPr>
      <w:r w:rsidRPr="00806E56">
        <w:rPr>
          <w:lang w:val="fr-FR"/>
        </w:rPr>
        <w:t>27.</w:t>
      </w:r>
      <w:r w:rsidRPr="00806E56">
        <w:rPr>
          <w:lang w:val="fr-FR"/>
        </w:rPr>
        <w:tab/>
      </w:r>
      <w:r w:rsidR="009A0B83" w:rsidRPr="00806E56">
        <w:rPr>
          <w:lang w:val="fr-FR"/>
        </w:rPr>
        <w:t>Tout en notant les explications de l’</w:t>
      </w:r>
      <w:r w:rsidR="003F7818" w:rsidRPr="00CE3B6F">
        <w:rPr>
          <w:lang w:val="fr-FR"/>
        </w:rPr>
        <w:t>État</w:t>
      </w:r>
      <w:r w:rsidR="009A0B83" w:rsidRPr="00806E56">
        <w:rPr>
          <w:lang w:val="fr-FR"/>
        </w:rPr>
        <w:t xml:space="preserve"> partie, le Comité reste préoccupé par les informations faisant état d’un recours plus fréquent</w:t>
      </w:r>
      <w:r w:rsidR="000D0B1B">
        <w:rPr>
          <w:lang w:val="fr-FR"/>
        </w:rPr>
        <w:t>,</w:t>
      </w:r>
      <w:r w:rsidR="009A0B83" w:rsidRPr="00806E56">
        <w:rPr>
          <w:lang w:val="fr-FR"/>
        </w:rPr>
        <w:t xml:space="preserve"> voire systématique</w:t>
      </w:r>
      <w:r w:rsidR="000D0B1B">
        <w:rPr>
          <w:lang w:val="fr-FR"/>
        </w:rPr>
        <w:t>,</w:t>
      </w:r>
      <w:r w:rsidR="009A0B83" w:rsidRPr="00806E56">
        <w:rPr>
          <w:lang w:val="fr-FR"/>
        </w:rPr>
        <w:t xml:space="preserve"> aux fouilles intégrales dans certains établissements. Le Comité est aussi préoccupé par le fait que, malgré l’adoption de la loi pénitentiaire de 2009 et la </w:t>
      </w:r>
      <w:r w:rsidR="000D0B1B">
        <w:rPr>
          <w:lang w:val="fr-FR"/>
        </w:rPr>
        <w:t>n</w:t>
      </w:r>
      <w:r w:rsidR="000D0B1B" w:rsidRPr="00806E56">
        <w:rPr>
          <w:lang w:val="fr-FR"/>
        </w:rPr>
        <w:t xml:space="preserve">ote </w:t>
      </w:r>
      <w:r w:rsidR="009A0B83" w:rsidRPr="00806E56">
        <w:rPr>
          <w:lang w:val="fr-FR"/>
        </w:rPr>
        <w:t xml:space="preserve">du 15 novembre 2013, les méthodes les plus intrusives et </w:t>
      </w:r>
      <w:r w:rsidR="00FA29C7">
        <w:rPr>
          <w:lang w:val="fr-FR"/>
        </w:rPr>
        <w:t xml:space="preserve">des méthodes </w:t>
      </w:r>
      <w:r w:rsidR="009A0B83" w:rsidRPr="00806E56">
        <w:rPr>
          <w:lang w:val="fr-FR"/>
        </w:rPr>
        <w:t xml:space="preserve">non respectueuses de l’intégrité physique des détenus </w:t>
      </w:r>
      <w:r w:rsidR="00A84D75">
        <w:rPr>
          <w:lang w:val="fr-FR"/>
        </w:rPr>
        <w:t>continuent d</w:t>
      </w:r>
      <w:r w:rsidR="00A84D75" w:rsidRPr="00A84D75">
        <w:rPr>
          <w:lang w:val="fr-FR"/>
        </w:rPr>
        <w:t>’</w:t>
      </w:r>
      <w:r w:rsidR="00A84D75">
        <w:rPr>
          <w:lang w:val="fr-FR"/>
        </w:rPr>
        <w:t>être employées</w:t>
      </w:r>
      <w:r w:rsidR="009A0B83" w:rsidRPr="00806E56">
        <w:rPr>
          <w:lang w:val="fr-FR"/>
        </w:rPr>
        <w:t>, et que le caractère exceptionnel des fouilles intégrales ne semble pas toujours limité aux principes de nécessité et de proportionnalité (art.</w:t>
      </w:r>
      <w:r w:rsidR="003F7818">
        <w:rPr>
          <w:lang w:val="fr-FR"/>
        </w:rPr>
        <w:t> </w:t>
      </w:r>
      <w:r w:rsidR="009A0B83" w:rsidRPr="00806E56">
        <w:rPr>
          <w:lang w:val="fr-FR"/>
        </w:rPr>
        <w:t>11, 16).</w:t>
      </w:r>
    </w:p>
    <w:p w:rsidR="009A0B83" w:rsidRPr="00806E56" w:rsidRDefault="008B0D30" w:rsidP="008B0D30">
      <w:pPr>
        <w:pStyle w:val="SingleTxtG"/>
        <w:rPr>
          <w:b/>
          <w:lang w:val="fr-FR"/>
        </w:rPr>
      </w:pPr>
      <w:r w:rsidRPr="00806E56">
        <w:rPr>
          <w:lang w:val="fr-FR"/>
        </w:rPr>
        <w:t>28.</w:t>
      </w:r>
      <w:r w:rsidRPr="00806E56">
        <w:rPr>
          <w:lang w:val="fr-FR"/>
        </w:rPr>
        <w:tab/>
      </w:r>
      <w:r w:rsidR="009A0B83" w:rsidRPr="00806E56">
        <w:rPr>
          <w:b/>
          <w:bCs/>
          <w:lang w:val="fr-FR"/>
        </w:rPr>
        <w:t xml:space="preserve">Le </w:t>
      </w:r>
      <w:r w:rsidR="009A0B83" w:rsidRPr="00806E56">
        <w:rPr>
          <w:b/>
          <w:lang w:val="fr-FR"/>
        </w:rPr>
        <w:t>Comité recommande à l’</w:t>
      </w:r>
      <w:r w:rsidR="003F7818" w:rsidRPr="00CE3B6F">
        <w:rPr>
          <w:b/>
          <w:lang w:val="fr-FR"/>
        </w:rPr>
        <w:t>État</w:t>
      </w:r>
      <w:r w:rsidR="009A0B83" w:rsidRPr="00806E56">
        <w:rPr>
          <w:b/>
          <w:lang w:val="fr-FR"/>
        </w:rPr>
        <w:t xml:space="preserve"> partie de veiller à </w:t>
      </w:r>
      <w:r w:rsidR="00913DB3">
        <w:rPr>
          <w:b/>
          <w:lang w:val="fr-FR"/>
        </w:rPr>
        <w:t>limiter</w:t>
      </w:r>
      <w:r w:rsidR="00913DB3" w:rsidRPr="00806E56">
        <w:rPr>
          <w:b/>
          <w:lang w:val="fr-FR"/>
        </w:rPr>
        <w:t xml:space="preserve"> </w:t>
      </w:r>
      <w:r w:rsidR="009A0B83" w:rsidRPr="00806E56">
        <w:rPr>
          <w:b/>
          <w:lang w:val="fr-FR"/>
        </w:rPr>
        <w:t xml:space="preserve">les fouilles intégrales à la stricte nécessité et à la proportionnalité par rapport au but poursuivi et d’assurer un strict contrôle des règles établies par la loi pénitentiaire de 2009 et la </w:t>
      </w:r>
      <w:r w:rsidR="000D0B1B">
        <w:rPr>
          <w:b/>
          <w:lang w:val="fr-FR"/>
        </w:rPr>
        <w:t>n</w:t>
      </w:r>
      <w:r w:rsidR="000D0B1B" w:rsidRPr="00806E56">
        <w:rPr>
          <w:b/>
          <w:lang w:val="fr-FR"/>
        </w:rPr>
        <w:t xml:space="preserve">ote </w:t>
      </w:r>
      <w:r w:rsidR="009A0B83" w:rsidRPr="00806E56">
        <w:rPr>
          <w:b/>
          <w:lang w:val="fr-FR"/>
        </w:rPr>
        <w:t xml:space="preserve">du 15 novembre 2015. Il recommande </w:t>
      </w:r>
      <w:r w:rsidR="00D35C07">
        <w:rPr>
          <w:b/>
          <w:lang w:val="fr-FR"/>
        </w:rPr>
        <w:t xml:space="preserve">également </w:t>
      </w:r>
      <w:r w:rsidR="009A0B83" w:rsidRPr="00806E56">
        <w:rPr>
          <w:b/>
          <w:lang w:val="fr-FR"/>
        </w:rPr>
        <w:t>à l’</w:t>
      </w:r>
      <w:r w:rsidR="003F7818" w:rsidRPr="00CE3B6F">
        <w:rPr>
          <w:b/>
          <w:lang w:val="fr-FR"/>
        </w:rPr>
        <w:t>État</w:t>
      </w:r>
      <w:r w:rsidR="009A0B83" w:rsidRPr="00806E56">
        <w:rPr>
          <w:b/>
          <w:lang w:val="fr-FR"/>
        </w:rPr>
        <w:t xml:space="preserve"> partie de poursuivre ses efforts </w:t>
      </w:r>
      <w:r w:rsidR="00822AA6">
        <w:rPr>
          <w:b/>
          <w:lang w:val="fr-FR"/>
        </w:rPr>
        <w:t>po</w:t>
      </w:r>
      <w:r w:rsidR="009A0B83" w:rsidRPr="00806E56">
        <w:rPr>
          <w:b/>
          <w:lang w:val="fr-FR"/>
        </w:rPr>
        <w:t>ur la formation du personnel et l’information des détenus sur les règles relatives aux fouilles et à une uniformisation des régimes dans tous les établissements, comme le souligne le Contrôleur général des lieux de privation de liberté, afin d’éviter un risque d’arbitraire</w:t>
      </w:r>
      <w:r w:rsidR="000716E1">
        <w:rPr>
          <w:b/>
          <w:lang w:val="fr-FR"/>
        </w:rPr>
        <w:t xml:space="preserve"> dans la décision de mener les fouilles</w:t>
      </w:r>
      <w:r w:rsidR="009A0B83" w:rsidRPr="00806E56">
        <w:rPr>
          <w:b/>
          <w:lang w:val="fr-FR"/>
        </w:rPr>
        <w:t xml:space="preserve">. Il recommande </w:t>
      </w:r>
      <w:r w:rsidR="00D35C07">
        <w:rPr>
          <w:b/>
          <w:lang w:val="fr-FR"/>
        </w:rPr>
        <w:t xml:space="preserve">en outre </w:t>
      </w:r>
      <w:r w:rsidR="009A0B83" w:rsidRPr="00806E56">
        <w:rPr>
          <w:b/>
          <w:lang w:val="fr-FR"/>
        </w:rPr>
        <w:t>à l’</w:t>
      </w:r>
      <w:r w:rsidR="003F7818" w:rsidRPr="00CE3B6F">
        <w:rPr>
          <w:b/>
          <w:lang w:val="fr-FR"/>
        </w:rPr>
        <w:t>État</w:t>
      </w:r>
      <w:r w:rsidR="009A0B83" w:rsidRPr="00806E56">
        <w:rPr>
          <w:b/>
          <w:lang w:val="fr-FR"/>
        </w:rPr>
        <w:t xml:space="preserve"> partie de s’assurer que ces fouilles, dans les cas où elles s’avèrent inévitables, se </w:t>
      </w:r>
      <w:r w:rsidR="00822AA6">
        <w:rPr>
          <w:b/>
          <w:lang w:val="fr-FR"/>
        </w:rPr>
        <w:t>font</w:t>
      </w:r>
      <w:r w:rsidR="00822AA6" w:rsidRPr="00806E56">
        <w:rPr>
          <w:b/>
          <w:lang w:val="fr-FR"/>
        </w:rPr>
        <w:t xml:space="preserve"> </w:t>
      </w:r>
      <w:r w:rsidR="009A0B83" w:rsidRPr="00806E56">
        <w:rPr>
          <w:b/>
          <w:lang w:val="fr-FR"/>
        </w:rPr>
        <w:t xml:space="preserve">dans </w:t>
      </w:r>
      <w:r w:rsidR="00822AA6">
        <w:rPr>
          <w:b/>
          <w:lang w:val="fr-FR"/>
        </w:rPr>
        <w:t>d</w:t>
      </w:r>
      <w:r w:rsidR="009A0B83" w:rsidRPr="00806E56">
        <w:rPr>
          <w:b/>
          <w:lang w:val="fr-FR"/>
        </w:rPr>
        <w:t>es conditions qui respectent la dignité des détenus</w:t>
      </w:r>
      <w:r w:rsidR="00CF30AE" w:rsidRPr="00806E56">
        <w:rPr>
          <w:b/>
          <w:lang w:val="fr-FR"/>
        </w:rPr>
        <w:t>.</w:t>
      </w:r>
    </w:p>
    <w:p w:rsidR="009A0B83" w:rsidRPr="00806E56" w:rsidRDefault="00C27945" w:rsidP="00C27945">
      <w:pPr>
        <w:pStyle w:val="H23G"/>
        <w:rPr>
          <w:lang w:val="fr-FR"/>
        </w:rPr>
      </w:pPr>
      <w:r w:rsidRPr="00806E56">
        <w:rPr>
          <w:lang w:val="fr-FR"/>
        </w:rPr>
        <w:tab/>
      </w:r>
      <w:r w:rsidRPr="00806E56">
        <w:rPr>
          <w:lang w:val="fr-FR"/>
        </w:rPr>
        <w:tab/>
      </w:r>
      <w:r w:rsidR="003F7818" w:rsidRPr="00CE3B6F">
        <w:rPr>
          <w:lang w:val="fr-FR"/>
        </w:rPr>
        <w:t>Établissements</w:t>
      </w:r>
      <w:r w:rsidR="009A0B83" w:rsidRPr="00806E56">
        <w:rPr>
          <w:lang w:val="fr-FR"/>
        </w:rPr>
        <w:t xml:space="preserve"> psychiatriques</w:t>
      </w:r>
    </w:p>
    <w:p w:rsidR="009A0B83" w:rsidRPr="00806E56" w:rsidRDefault="008B0D30" w:rsidP="008B0D30">
      <w:pPr>
        <w:pStyle w:val="SingleTxtG"/>
        <w:rPr>
          <w:b/>
          <w:lang w:val="fr-FR"/>
        </w:rPr>
      </w:pPr>
      <w:r w:rsidRPr="00806E56">
        <w:rPr>
          <w:lang w:val="fr-FR"/>
        </w:rPr>
        <w:t>29.</w:t>
      </w:r>
      <w:r w:rsidRPr="00806E56">
        <w:rPr>
          <w:lang w:val="fr-FR"/>
        </w:rPr>
        <w:tab/>
      </w:r>
      <w:r w:rsidR="009A0B83" w:rsidRPr="00806E56">
        <w:rPr>
          <w:lang w:val="fr-FR"/>
        </w:rPr>
        <w:t>Le Comité est préoccupé par : a)</w:t>
      </w:r>
      <w:r w:rsidR="00230421">
        <w:rPr>
          <w:lang w:val="fr-FR"/>
        </w:rPr>
        <w:t> </w:t>
      </w:r>
      <w:r w:rsidR="009A0B83" w:rsidRPr="00806E56">
        <w:rPr>
          <w:lang w:val="fr-FR"/>
        </w:rPr>
        <w:t>les conditions matérielles de détention inadéquates des malades dans certains établissements psychiatriques ; b)</w:t>
      </w:r>
      <w:r w:rsidR="00230421">
        <w:rPr>
          <w:lang w:val="fr-FR"/>
        </w:rPr>
        <w:t> </w:t>
      </w:r>
      <w:r w:rsidR="009A0B83" w:rsidRPr="00806E56">
        <w:rPr>
          <w:lang w:val="fr-FR"/>
        </w:rPr>
        <w:t>le recours fréquent et pour plusieurs jours à l’isolement avec ou sans contention malgré la loi du 26 janvier 2016 sur la modernisation du système de santé</w:t>
      </w:r>
      <w:r w:rsidR="00654F96">
        <w:rPr>
          <w:lang w:val="fr-FR"/>
        </w:rPr>
        <w:t xml:space="preserve"> </w:t>
      </w:r>
      <w:r w:rsidR="009A0B83" w:rsidRPr="00806E56">
        <w:rPr>
          <w:lang w:val="fr-FR"/>
        </w:rPr>
        <w:t xml:space="preserve">et les recommandations de </w:t>
      </w:r>
      <w:r w:rsidR="003021BB" w:rsidRPr="00806E56">
        <w:rPr>
          <w:lang w:val="fr-FR"/>
        </w:rPr>
        <w:t xml:space="preserve">bonnes pratiques de </w:t>
      </w:r>
      <w:r w:rsidR="009A0B83" w:rsidRPr="00806E56">
        <w:rPr>
          <w:lang w:val="fr-FR"/>
        </w:rPr>
        <w:t xml:space="preserve">la Haute Autorité de </w:t>
      </w:r>
      <w:r w:rsidR="00040738">
        <w:rPr>
          <w:lang w:val="fr-FR"/>
        </w:rPr>
        <w:t>s</w:t>
      </w:r>
      <w:r w:rsidR="00040738" w:rsidRPr="00806E56">
        <w:rPr>
          <w:lang w:val="fr-FR"/>
        </w:rPr>
        <w:t xml:space="preserve">anté </w:t>
      </w:r>
      <w:r w:rsidR="009A0B83" w:rsidRPr="00806E56">
        <w:rPr>
          <w:lang w:val="fr-FR"/>
        </w:rPr>
        <w:t>de 1998</w:t>
      </w:r>
      <w:r w:rsidR="003021BB" w:rsidRPr="00806E56">
        <w:rPr>
          <w:lang w:val="fr-FR"/>
        </w:rPr>
        <w:t xml:space="preserve"> et de 2004</w:t>
      </w:r>
      <w:r w:rsidR="00115336">
        <w:rPr>
          <w:lang w:val="fr-FR"/>
        </w:rPr>
        <w:t> </w:t>
      </w:r>
      <w:r w:rsidR="009A0B83" w:rsidRPr="00806E56">
        <w:rPr>
          <w:lang w:val="fr-FR"/>
        </w:rPr>
        <w:t>; c)</w:t>
      </w:r>
      <w:r w:rsidR="00230421">
        <w:rPr>
          <w:lang w:val="fr-FR"/>
        </w:rPr>
        <w:t> </w:t>
      </w:r>
      <w:r w:rsidR="009A0B83" w:rsidRPr="00806E56">
        <w:rPr>
          <w:lang w:val="fr-FR"/>
        </w:rPr>
        <w:t xml:space="preserve">l’absence de registre relatif à l’isolement et </w:t>
      </w:r>
      <w:r w:rsidR="0036246B">
        <w:rPr>
          <w:lang w:val="fr-FR"/>
        </w:rPr>
        <w:t xml:space="preserve">à </w:t>
      </w:r>
      <w:r w:rsidR="009A0B83" w:rsidRPr="00806E56">
        <w:rPr>
          <w:lang w:val="fr-FR"/>
        </w:rPr>
        <w:t>la contention comme le prévoit la loi du 26 janvier 2016 ; d)</w:t>
      </w:r>
      <w:r w:rsidR="00230421">
        <w:rPr>
          <w:lang w:val="fr-FR"/>
        </w:rPr>
        <w:t> </w:t>
      </w:r>
      <w:r w:rsidR="009A0B83" w:rsidRPr="00806E56">
        <w:rPr>
          <w:lang w:val="fr-FR"/>
        </w:rPr>
        <w:t>le fait que le recours à la contention mécanique n’obéit pas toujours aux mêmes critères et que sa durée est variable</w:t>
      </w:r>
      <w:r w:rsidR="0036246B">
        <w:rPr>
          <w:lang w:val="fr-FR"/>
        </w:rPr>
        <w:t> ;</w:t>
      </w:r>
      <w:r w:rsidR="009A0B83" w:rsidRPr="00806E56">
        <w:rPr>
          <w:lang w:val="fr-FR"/>
        </w:rPr>
        <w:t xml:space="preserve"> e)</w:t>
      </w:r>
      <w:r w:rsidR="00230421">
        <w:rPr>
          <w:lang w:val="fr-FR"/>
        </w:rPr>
        <w:t> </w:t>
      </w:r>
      <w:r w:rsidR="009A0B83" w:rsidRPr="00806E56">
        <w:rPr>
          <w:lang w:val="fr-FR"/>
        </w:rPr>
        <w:t xml:space="preserve">et </w:t>
      </w:r>
      <w:r w:rsidR="0036246B">
        <w:rPr>
          <w:lang w:val="fr-FR"/>
        </w:rPr>
        <w:t xml:space="preserve">le fait </w:t>
      </w:r>
      <w:r w:rsidR="009A0B83" w:rsidRPr="00806E56">
        <w:rPr>
          <w:lang w:val="fr-FR"/>
        </w:rPr>
        <w:t>que les patients concernés par les mesures de placement en isolement et en contention ne sont pas toujours informés de leurs droits et des moyens de recours contre ces décisions. Tout en notant les explications de l’</w:t>
      </w:r>
      <w:r w:rsidR="003F7818" w:rsidRPr="00CE3B6F">
        <w:rPr>
          <w:lang w:val="fr-FR"/>
        </w:rPr>
        <w:t>État</w:t>
      </w:r>
      <w:r w:rsidR="009A0B83" w:rsidRPr="00806E56">
        <w:rPr>
          <w:lang w:val="fr-FR"/>
        </w:rPr>
        <w:t xml:space="preserve"> partie sur les mesures prises, le Comité s’inquiète en particulier des consta</w:t>
      </w:r>
      <w:r w:rsidR="00792BA7" w:rsidRPr="00806E56">
        <w:rPr>
          <w:lang w:val="fr-FR"/>
        </w:rPr>
        <w:t>ta</w:t>
      </w:r>
      <w:r w:rsidR="009A0B83" w:rsidRPr="00806E56">
        <w:rPr>
          <w:lang w:val="fr-FR"/>
        </w:rPr>
        <w:t>tions faites par l</w:t>
      </w:r>
      <w:r w:rsidR="00197DD5">
        <w:rPr>
          <w:lang w:val="fr-FR"/>
        </w:rPr>
        <w:t>e</w:t>
      </w:r>
      <w:r w:rsidR="009A0B83" w:rsidRPr="00806E56">
        <w:rPr>
          <w:lang w:val="fr-FR"/>
        </w:rPr>
        <w:t xml:space="preserve"> Contrôleur général des lieux de privation de liberté concernant le recours à l’isolement et à la contention dans le Centre psychothérapique de l’Ain et les conditions matérielles des personnes concernées qui </w:t>
      </w:r>
      <w:r w:rsidR="00CF30AE" w:rsidRPr="00806E56">
        <w:rPr>
          <w:lang w:val="fr-FR"/>
        </w:rPr>
        <w:t>y sont internées (art.</w:t>
      </w:r>
      <w:r w:rsidR="003F7818">
        <w:rPr>
          <w:lang w:val="fr-FR"/>
        </w:rPr>
        <w:t> </w:t>
      </w:r>
      <w:r w:rsidR="00CF30AE" w:rsidRPr="00806E56">
        <w:rPr>
          <w:lang w:val="fr-FR"/>
        </w:rPr>
        <w:t>11, 16).</w:t>
      </w:r>
    </w:p>
    <w:p w:rsidR="009A0B83" w:rsidRPr="00806E56" w:rsidRDefault="008B0D30" w:rsidP="008B0D30">
      <w:pPr>
        <w:pStyle w:val="SingleTxtG"/>
        <w:rPr>
          <w:b/>
          <w:lang w:val="fr-FR"/>
        </w:rPr>
      </w:pPr>
      <w:r w:rsidRPr="00806E56">
        <w:rPr>
          <w:lang w:val="fr-FR"/>
        </w:rPr>
        <w:t>30.</w:t>
      </w:r>
      <w:r w:rsidRPr="00806E56">
        <w:rPr>
          <w:lang w:val="fr-FR"/>
        </w:rPr>
        <w:tab/>
      </w:r>
      <w:r w:rsidR="009A0B83" w:rsidRPr="00806E56">
        <w:rPr>
          <w:b/>
          <w:lang w:val="fr-FR"/>
        </w:rPr>
        <w:t>Le Comité recommande</w:t>
      </w:r>
      <w:r w:rsidR="00C27945" w:rsidRPr="00806E56">
        <w:rPr>
          <w:b/>
          <w:lang w:val="fr-FR"/>
        </w:rPr>
        <w:t xml:space="preserve"> </w:t>
      </w:r>
      <w:r w:rsidR="009A0B83" w:rsidRPr="00806E56">
        <w:rPr>
          <w:b/>
          <w:lang w:val="fr-FR"/>
        </w:rPr>
        <w:t>à l’</w:t>
      </w:r>
      <w:r w:rsidR="0094465F" w:rsidRPr="00CE3B6F">
        <w:rPr>
          <w:b/>
          <w:lang w:val="fr-FR"/>
        </w:rPr>
        <w:t>État</w:t>
      </w:r>
      <w:r w:rsidR="009A0B83" w:rsidRPr="00806E56">
        <w:rPr>
          <w:b/>
          <w:lang w:val="fr-FR"/>
        </w:rPr>
        <w:t xml:space="preserve"> partie</w:t>
      </w:r>
      <w:r w:rsidR="00052032">
        <w:rPr>
          <w:b/>
          <w:lang w:val="fr-FR"/>
        </w:rPr>
        <w:t> </w:t>
      </w:r>
      <w:r w:rsidR="00C27945" w:rsidRPr="00806E56">
        <w:rPr>
          <w:b/>
          <w:lang w:val="fr-FR"/>
        </w:rPr>
        <w:t>:</w:t>
      </w:r>
    </w:p>
    <w:p w:rsidR="009A0B83" w:rsidRPr="00806E56" w:rsidRDefault="00C27945" w:rsidP="00C27945">
      <w:pPr>
        <w:pStyle w:val="SingleTxtG"/>
        <w:rPr>
          <w:b/>
          <w:lang w:val="fr-FR"/>
        </w:rPr>
      </w:pPr>
      <w:r w:rsidRPr="00806E56">
        <w:rPr>
          <w:b/>
          <w:lang w:val="fr-FR"/>
        </w:rPr>
        <w:tab/>
      </w:r>
      <w:r w:rsidR="009A0B83" w:rsidRPr="00806E56">
        <w:rPr>
          <w:bCs/>
          <w:lang w:val="fr-FR"/>
        </w:rPr>
        <w:t>a)</w:t>
      </w:r>
      <w:r w:rsidRPr="00806E56">
        <w:rPr>
          <w:b/>
          <w:lang w:val="fr-FR"/>
        </w:rPr>
        <w:tab/>
      </w:r>
      <w:r w:rsidR="00A37F78">
        <w:rPr>
          <w:b/>
          <w:lang w:val="fr-FR"/>
        </w:rPr>
        <w:t>D</w:t>
      </w:r>
      <w:r w:rsidR="00A37F78" w:rsidRPr="00A37F78">
        <w:rPr>
          <w:b/>
          <w:lang w:val="fr-FR"/>
        </w:rPr>
        <w:t>’</w:t>
      </w:r>
      <w:r w:rsidR="00A37F78">
        <w:rPr>
          <w:b/>
          <w:lang w:val="fr-FR"/>
        </w:rPr>
        <w:t>a</w:t>
      </w:r>
      <w:r w:rsidR="0094465F" w:rsidRPr="00CE3B6F">
        <w:rPr>
          <w:b/>
          <w:lang w:val="fr-FR"/>
        </w:rPr>
        <w:t xml:space="preserve">méliorer </w:t>
      </w:r>
      <w:r w:rsidR="009A0B83" w:rsidRPr="00806E56">
        <w:rPr>
          <w:b/>
          <w:lang w:val="fr-FR"/>
        </w:rPr>
        <w:t>les conditions de détention des personnes internées dans les hô</w:t>
      </w:r>
      <w:r w:rsidR="00CF30AE" w:rsidRPr="00806E56">
        <w:rPr>
          <w:b/>
          <w:lang w:val="fr-FR"/>
        </w:rPr>
        <w:t>pitaux psychiatriques</w:t>
      </w:r>
      <w:r w:rsidR="0094465F">
        <w:rPr>
          <w:b/>
          <w:lang w:val="fr-FR"/>
        </w:rPr>
        <w:t> </w:t>
      </w:r>
      <w:r w:rsidR="00CF30AE" w:rsidRPr="00806E56">
        <w:rPr>
          <w:b/>
          <w:lang w:val="fr-FR"/>
        </w:rPr>
        <w:t>;</w:t>
      </w:r>
    </w:p>
    <w:p w:rsidR="009A0B83" w:rsidRPr="00806E56" w:rsidRDefault="00C27945" w:rsidP="006A49E8">
      <w:pPr>
        <w:pStyle w:val="SingleTxtG"/>
        <w:rPr>
          <w:b/>
          <w:lang w:val="fr-FR"/>
        </w:rPr>
      </w:pPr>
      <w:r w:rsidRPr="00806E56">
        <w:rPr>
          <w:b/>
          <w:lang w:val="fr-FR"/>
        </w:rPr>
        <w:tab/>
      </w:r>
      <w:r w:rsidR="009A0B83" w:rsidRPr="00806E56">
        <w:rPr>
          <w:bCs/>
          <w:lang w:val="fr-FR"/>
        </w:rPr>
        <w:t>b)</w:t>
      </w:r>
      <w:r w:rsidRPr="00806E56">
        <w:rPr>
          <w:b/>
          <w:lang w:val="fr-FR"/>
        </w:rPr>
        <w:tab/>
      </w:r>
      <w:r w:rsidR="00A37F78">
        <w:rPr>
          <w:b/>
          <w:lang w:val="fr-FR"/>
        </w:rPr>
        <w:t>De s</w:t>
      </w:r>
      <w:r w:rsidR="0094465F" w:rsidRPr="00CE3B6F">
        <w:rPr>
          <w:b/>
          <w:lang w:val="fr-FR"/>
        </w:rPr>
        <w:t xml:space="preserve">’assurer </w:t>
      </w:r>
      <w:r w:rsidR="009A0B83" w:rsidRPr="00806E56">
        <w:rPr>
          <w:b/>
          <w:lang w:val="fr-FR"/>
        </w:rPr>
        <w:t>qu’il n’est pas fait un usage trop fréquent</w:t>
      </w:r>
      <w:r w:rsidR="00857C91">
        <w:rPr>
          <w:b/>
          <w:lang w:val="fr-FR"/>
        </w:rPr>
        <w:t>,</w:t>
      </w:r>
      <w:r w:rsidR="009A0B83" w:rsidRPr="00806E56">
        <w:rPr>
          <w:b/>
          <w:lang w:val="fr-FR"/>
        </w:rPr>
        <w:t xml:space="preserve"> voire systématique</w:t>
      </w:r>
      <w:r w:rsidR="00857C91">
        <w:rPr>
          <w:b/>
          <w:lang w:val="fr-FR"/>
        </w:rPr>
        <w:t>,</w:t>
      </w:r>
      <w:r w:rsidR="009A0B83" w:rsidRPr="00806E56">
        <w:rPr>
          <w:b/>
          <w:lang w:val="fr-FR"/>
        </w:rPr>
        <w:t xml:space="preserve"> de l’isolement et de la contention</w:t>
      </w:r>
      <w:r w:rsidR="0094465F">
        <w:rPr>
          <w:b/>
          <w:lang w:val="fr-FR"/>
        </w:rPr>
        <w:t> </w:t>
      </w:r>
      <w:r w:rsidR="009A0B83" w:rsidRPr="00806E56">
        <w:rPr>
          <w:b/>
          <w:lang w:val="fr-FR"/>
        </w:rPr>
        <w:t xml:space="preserve">; </w:t>
      </w:r>
    </w:p>
    <w:p w:rsidR="009A0B83" w:rsidRPr="00806E56" w:rsidRDefault="00C27945" w:rsidP="00C27945">
      <w:pPr>
        <w:pStyle w:val="SingleTxtG"/>
        <w:rPr>
          <w:b/>
          <w:lang w:val="fr-FR"/>
        </w:rPr>
      </w:pPr>
      <w:r w:rsidRPr="00806E56">
        <w:rPr>
          <w:b/>
          <w:lang w:val="fr-FR"/>
        </w:rPr>
        <w:tab/>
      </w:r>
      <w:r w:rsidRPr="00806E56">
        <w:rPr>
          <w:bCs/>
          <w:lang w:val="fr-FR"/>
        </w:rPr>
        <w:t>c)</w:t>
      </w:r>
      <w:r w:rsidRPr="00806E56">
        <w:rPr>
          <w:b/>
          <w:lang w:val="fr-FR"/>
        </w:rPr>
        <w:tab/>
      </w:r>
      <w:r w:rsidR="00A37F78">
        <w:rPr>
          <w:b/>
          <w:lang w:val="fr-FR"/>
        </w:rPr>
        <w:t>De r</w:t>
      </w:r>
      <w:r w:rsidR="0094465F" w:rsidRPr="00CE3B6F">
        <w:rPr>
          <w:b/>
          <w:lang w:val="fr-FR"/>
        </w:rPr>
        <w:t xml:space="preserve">enforcer </w:t>
      </w:r>
      <w:r w:rsidR="009A0B83" w:rsidRPr="00806E56">
        <w:rPr>
          <w:b/>
          <w:lang w:val="fr-FR"/>
        </w:rPr>
        <w:t>la formation des personnels des établissements psychiatriques afin qu’il soit fait une application effective des règles prévues par la loi du 26 janvier 2016 sur la modernisation du système de santé</w:t>
      </w:r>
      <w:r w:rsidR="0094465F">
        <w:rPr>
          <w:b/>
          <w:lang w:val="fr-FR"/>
        </w:rPr>
        <w:t xml:space="preserve"> </w:t>
      </w:r>
      <w:r w:rsidR="009A0B83" w:rsidRPr="00806E56">
        <w:rPr>
          <w:b/>
          <w:lang w:val="fr-FR"/>
        </w:rPr>
        <w:t xml:space="preserve">et </w:t>
      </w:r>
      <w:r w:rsidR="00533B5D">
        <w:rPr>
          <w:b/>
          <w:lang w:val="fr-FR"/>
        </w:rPr>
        <w:t>d</w:t>
      </w:r>
      <w:r w:rsidR="009A0B83" w:rsidRPr="00806E56">
        <w:rPr>
          <w:b/>
          <w:lang w:val="fr-FR"/>
        </w:rPr>
        <w:t xml:space="preserve">es recommandations de </w:t>
      </w:r>
      <w:r w:rsidR="003021BB" w:rsidRPr="00806E56">
        <w:rPr>
          <w:b/>
          <w:lang w:val="fr-FR"/>
        </w:rPr>
        <w:t xml:space="preserve">bonnes pratiques de </w:t>
      </w:r>
      <w:r w:rsidR="009A0B83" w:rsidRPr="00806E56">
        <w:rPr>
          <w:b/>
          <w:lang w:val="fr-FR"/>
        </w:rPr>
        <w:t>la Haute Autorité de santé de</w:t>
      </w:r>
      <w:r w:rsidR="00CF30AE" w:rsidRPr="00806E56">
        <w:rPr>
          <w:b/>
          <w:lang w:val="fr-FR"/>
        </w:rPr>
        <w:t xml:space="preserve"> 1998</w:t>
      </w:r>
      <w:r w:rsidR="003021BB" w:rsidRPr="00806E56">
        <w:rPr>
          <w:b/>
          <w:lang w:val="fr-FR"/>
        </w:rPr>
        <w:t xml:space="preserve"> et de 2004</w:t>
      </w:r>
      <w:r w:rsidR="00115336">
        <w:rPr>
          <w:b/>
          <w:lang w:val="fr-FR"/>
        </w:rPr>
        <w:t> </w:t>
      </w:r>
      <w:r w:rsidR="00CF30AE" w:rsidRPr="00806E56">
        <w:rPr>
          <w:b/>
          <w:lang w:val="fr-FR"/>
        </w:rPr>
        <w:t>;</w:t>
      </w:r>
    </w:p>
    <w:p w:rsidR="009A0B83" w:rsidRPr="00806E56" w:rsidRDefault="00C27945" w:rsidP="00C27945">
      <w:pPr>
        <w:pStyle w:val="SingleTxtG"/>
        <w:rPr>
          <w:b/>
          <w:lang w:val="fr-FR"/>
        </w:rPr>
      </w:pPr>
      <w:r w:rsidRPr="00806E56">
        <w:rPr>
          <w:b/>
          <w:lang w:val="fr-FR"/>
        </w:rPr>
        <w:tab/>
      </w:r>
      <w:r w:rsidR="009A0B83" w:rsidRPr="00806E56">
        <w:rPr>
          <w:bCs/>
          <w:lang w:val="fr-FR"/>
        </w:rPr>
        <w:t>d)</w:t>
      </w:r>
      <w:r w:rsidRPr="00806E56">
        <w:rPr>
          <w:b/>
          <w:lang w:val="fr-FR"/>
        </w:rPr>
        <w:tab/>
      </w:r>
      <w:r w:rsidR="00A37F78">
        <w:rPr>
          <w:b/>
          <w:lang w:val="fr-FR"/>
        </w:rPr>
        <w:t>De v</w:t>
      </w:r>
      <w:r w:rsidR="0094465F" w:rsidRPr="00CE3B6F">
        <w:rPr>
          <w:b/>
          <w:lang w:val="fr-FR"/>
        </w:rPr>
        <w:t xml:space="preserve">eiller </w:t>
      </w:r>
      <w:r w:rsidR="009A0B83" w:rsidRPr="00806E56">
        <w:rPr>
          <w:b/>
          <w:lang w:val="fr-FR"/>
        </w:rPr>
        <w:t>à ce que, dans tous les cas d’hospitalisation sans consentement, la loi du 5 juillet 2011</w:t>
      </w:r>
      <w:r w:rsidR="00A72B04">
        <w:rPr>
          <w:b/>
          <w:lang w:val="fr-FR"/>
        </w:rPr>
        <w:t>,</w:t>
      </w:r>
      <w:r w:rsidR="009A0B83" w:rsidRPr="00806E56">
        <w:rPr>
          <w:b/>
          <w:lang w:val="fr-FR"/>
        </w:rPr>
        <w:t xml:space="preserve"> modifiée le 25 septembre 2013, soit appliquée de manière effective quant au contrôle de ces hospitalisations, et que les patients soient informés de leurs droits et des possibilités de recours existant</w:t>
      </w:r>
      <w:r w:rsidR="00A72B04">
        <w:rPr>
          <w:b/>
          <w:lang w:val="fr-FR"/>
        </w:rPr>
        <w:t>e</w:t>
      </w:r>
      <w:r w:rsidR="009A0B83" w:rsidRPr="00806E56">
        <w:rPr>
          <w:b/>
          <w:lang w:val="fr-FR"/>
        </w:rPr>
        <w:t>s</w:t>
      </w:r>
      <w:r w:rsidR="00CF30AE" w:rsidRPr="00806E56">
        <w:rPr>
          <w:b/>
          <w:lang w:val="fr-FR"/>
        </w:rPr>
        <w:t>.</w:t>
      </w:r>
    </w:p>
    <w:p w:rsidR="009A0B83" w:rsidRPr="00806E56" w:rsidRDefault="008B0D30" w:rsidP="008B0D30">
      <w:pPr>
        <w:pStyle w:val="SingleTxtG"/>
        <w:rPr>
          <w:b/>
          <w:lang w:val="fr-FR"/>
        </w:rPr>
      </w:pPr>
      <w:r w:rsidRPr="00806E56">
        <w:rPr>
          <w:lang w:val="fr-FR"/>
        </w:rPr>
        <w:t>31.</w:t>
      </w:r>
      <w:r w:rsidRPr="00806E56">
        <w:rPr>
          <w:lang w:val="fr-FR"/>
        </w:rPr>
        <w:tab/>
      </w:r>
      <w:r w:rsidR="009A0B83" w:rsidRPr="00806E56">
        <w:rPr>
          <w:b/>
          <w:lang w:val="fr-FR"/>
        </w:rPr>
        <w:t>Tout en prenant acte des mesures mises en place pour changer la situation dans le Centre psychothérapique de l’Ain, le Comité invite l’</w:t>
      </w:r>
      <w:r w:rsidR="00052032" w:rsidRPr="00CE3B6F">
        <w:rPr>
          <w:b/>
          <w:lang w:val="fr-FR"/>
        </w:rPr>
        <w:t>État</w:t>
      </w:r>
      <w:r w:rsidR="009A0B83" w:rsidRPr="00806E56">
        <w:rPr>
          <w:b/>
          <w:lang w:val="fr-FR"/>
        </w:rPr>
        <w:t xml:space="preserve"> partie à mettre en œuvre, </w:t>
      </w:r>
      <w:r w:rsidR="009A0B83" w:rsidRPr="00806E56">
        <w:rPr>
          <w:b/>
          <w:lang w:val="fr-FR"/>
        </w:rPr>
        <w:lastRenderedPageBreak/>
        <w:t xml:space="preserve">en urgence, toutes les recommandations du Contrôleur général des lieux de privation de liberté concernant ce </w:t>
      </w:r>
      <w:r w:rsidR="00197DD5">
        <w:rPr>
          <w:b/>
          <w:lang w:val="fr-FR"/>
        </w:rPr>
        <w:t>c</w:t>
      </w:r>
      <w:r w:rsidR="009A0B83" w:rsidRPr="00806E56">
        <w:rPr>
          <w:b/>
          <w:lang w:val="fr-FR"/>
        </w:rPr>
        <w:t>entre.</w:t>
      </w:r>
    </w:p>
    <w:p w:rsidR="009A0B83" w:rsidRPr="00806E56" w:rsidRDefault="00C27945">
      <w:pPr>
        <w:pStyle w:val="H23G"/>
        <w:rPr>
          <w:lang w:val="fr-FR"/>
        </w:rPr>
      </w:pPr>
      <w:r w:rsidRPr="00806E56">
        <w:rPr>
          <w:lang w:val="fr-FR"/>
        </w:rPr>
        <w:tab/>
      </w:r>
      <w:r w:rsidRPr="00806E56">
        <w:rPr>
          <w:lang w:val="fr-FR"/>
        </w:rPr>
        <w:tab/>
      </w:r>
      <w:r w:rsidR="00BF6981" w:rsidRPr="00806E56">
        <w:rPr>
          <w:lang w:val="fr-FR"/>
        </w:rPr>
        <w:t>A</w:t>
      </w:r>
      <w:r w:rsidR="009A0B83" w:rsidRPr="00806E56">
        <w:rPr>
          <w:lang w:val="fr-FR"/>
        </w:rPr>
        <w:t>bus</w:t>
      </w:r>
      <w:r w:rsidR="00CF30AE" w:rsidRPr="00806E56">
        <w:rPr>
          <w:lang w:val="fr-FR"/>
        </w:rPr>
        <w:t xml:space="preserve"> sexuels commis en Centrafrique</w:t>
      </w:r>
    </w:p>
    <w:p w:rsidR="009A0B83" w:rsidRPr="00806E56" w:rsidRDefault="008B0D30" w:rsidP="008B0D30">
      <w:pPr>
        <w:pStyle w:val="SingleTxtG"/>
        <w:rPr>
          <w:lang w:val="fr-FR"/>
        </w:rPr>
      </w:pPr>
      <w:r w:rsidRPr="00806E56">
        <w:rPr>
          <w:lang w:val="fr-FR"/>
        </w:rPr>
        <w:t>32.</w:t>
      </w:r>
      <w:r w:rsidRPr="00806E56">
        <w:rPr>
          <w:lang w:val="fr-FR"/>
        </w:rPr>
        <w:tab/>
      </w:r>
      <w:r w:rsidR="009A0B83" w:rsidRPr="00806E56">
        <w:rPr>
          <w:color w:val="333333"/>
          <w:shd w:val="clear" w:color="auto" w:fill="FFFFFF"/>
          <w:lang w:val="fr-FR"/>
        </w:rPr>
        <w:t xml:space="preserve">Le Comité est préoccupé par les </w:t>
      </w:r>
      <w:r w:rsidR="00BF6981" w:rsidRPr="00806E56">
        <w:rPr>
          <w:color w:val="333333"/>
          <w:shd w:val="clear" w:color="auto" w:fill="FFFFFF"/>
          <w:lang w:val="fr-FR"/>
        </w:rPr>
        <w:t>nombreuses</w:t>
      </w:r>
      <w:r w:rsidR="0044516B" w:rsidRPr="00806E56">
        <w:rPr>
          <w:color w:val="333333"/>
          <w:shd w:val="clear" w:color="auto" w:fill="FFFFFF"/>
          <w:lang w:val="fr-FR"/>
        </w:rPr>
        <w:t xml:space="preserve"> </w:t>
      </w:r>
      <w:r w:rsidR="009A0B83" w:rsidRPr="00806E56">
        <w:rPr>
          <w:color w:val="333333"/>
          <w:shd w:val="clear" w:color="auto" w:fill="FFFFFF"/>
          <w:lang w:val="fr-FR"/>
        </w:rPr>
        <w:t xml:space="preserve">allégations d’abus sexuels perpétrés par </w:t>
      </w:r>
      <w:r w:rsidR="00BF6981" w:rsidRPr="00806E56">
        <w:rPr>
          <w:color w:val="333333"/>
          <w:shd w:val="clear" w:color="auto" w:fill="FFFFFF"/>
          <w:lang w:val="fr-FR"/>
        </w:rPr>
        <w:t xml:space="preserve">des </w:t>
      </w:r>
      <w:r w:rsidR="009A0B83" w:rsidRPr="00806E56">
        <w:rPr>
          <w:color w:val="333333"/>
          <w:shd w:val="clear" w:color="auto" w:fill="FFFFFF"/>
          <w:lang w:val="fr-FR"/>
        </w:rPr>
        <w:t>soldats français sur des enfants dans le cadre de l’opération</w:t>
      </w:r>
      <w:r w:rsidR="009A0B83" w:rsidRPr="00E23F83">
        <w:rPr>
          <w:iCs/>
          <w:color w:val="333333"/>
          <w:shd w:val="clear" w:color="auto" w:fill="FFFFFF"/>
          <w:lang w:val="fr-FR"/>
        </w:rPr>
        <w:t xml:space="preserve"> </w:t>
      </w:r>
      <w:proofErr w:type="spellStart"/>
      <w:r w:rsidR="009A0B83" w:rsidRPr="00E23F83">
        <w:rPr>
          <w:iCs/>
          <w:color w:val="333333"/>
          <w:shd w:val="clear" w:color="auto" w:fill="FFFFFF"/>
          <w:lang w:val="fr-FR"/>
        </w:rPr>
        <w:t>Sangaris</w:t>
      </w:r>
      <w:proofErr w:type="spellEnd"/>
      <w:r w:rsidR="00C4273B">
        <w:rPr>
          <w:i/>
          <w:color w:val="333333"/>
          <w:shd w:val="clear" w:color="auto" w:fill="FFFFFF"/>
          <w:lang w:val="fr-FR"/>
        </w:rPr>
        <w:t xml:space="preserve"> </w:t>
      </w:r>
      <w:r w:rsidR="00C4273B" w:rsidRPr="00FF14A7">
        <w:rPr>
          <w:color w:val="333333"/>
          <w:shd w:val="clear" w:color="auto" w:fill="FFFFFF"/>
          <w:lang w:val="fr-FR"/>
        </w:rPr>
        <w:t>en Centrafrique</w:t>
      </w:r>
      <w:r w:rsidR="003021BB" w:rsidRPr="00806E56">
        <w:rPr>
          <w:iCs/>
          <w:color w:val="333333"/>
          <w:shd w:val="clear" w:color="auto" w:fill="FFFFFF"/>
          <w:lang w:val="fr-FR"/>
        </w:rPr>
        <w:t>,</w:t>
      </w:r>
      <w:r w:rsidR="009A0B83" w:rsidRPr="00806E56">
        <w:rPr>
          <w:iCs/>
          <w:color w:val="333333"/>
          <w:shd w:val="clear" w:color="auto" w:fill="FFFFFF"/>
          <w:lang w:val="fr-FR"/>
        </w:rPr>
        <w:t xml:space="preserve"> </w:t>
      </w:r>
      <w:r w:rsidR="003021BB" w:rsidRPr="00806E56">
        <w:rPr>
          <w:color w:val="333333"/>
          <w:shd w:val="clear" w:color="auto" w:fill="FFFFFF"/>
          <w:lang w:val="fr-FR"/>
        </w:rPr>
        <w:t xml:space="preserve">autorisée par la résolution 2127 (2013) du Conseil de sécurité, </w:t>
      </w:r>
      <w:r w:rsidR="00524D41" w:rsidRPr="00806E56">
        <w:rPr>
          <w:color w:val="333333"/>
          <w:shd w:val="clear" w:color="auto" w:fill="FFFFFF"/>
          <w:lang w:val="fr-FR"/>
        </w:rPr>
        <w:t>ainsi que par de récents cas similaires survenus dans le même contexte</w:t>
      </w:r>
      <w:r w:rsidR="009A0B83" w:rsidRPr="00806E56">
        <w:rPr>
          <w:color w:val="333333"/>
          <w:shd w:val="clear" w:color="auto" w:fill="FFFFFF"/>
          <w:lang w:val="fr-FR"/>
        </w:rPr>
        <w:t xml:space="preserve">. Il note </w:t>
      </w:r>
      <w:r w:rsidR="009A0B83" w:rsidRPr="00806E56">
        <w:rPr>
          <w:lang w:val="fr-FR"/>
        </w:rPr>
        <w:t>les informations faisant état d’enquêtes initiées par les autorités françaises en 2014 et 2015, mais reste préoccupé par le fait qu’aucun procès</w:t>
      </w:r>
      <w:r w:rsidR="00524D41" w:rsidRPr="00806E56">
        <w:rPr>
          <w:lang w:val="fr-FR"/>
        </w:rPr>
        <w:t>, aucun jugement et aucune sanction</w:t>
      </w:r>
      <w:r w:rsidR="009A0B83" w:rsidRPr="00806E56">
        <w:rPr>
          <w:lang w:val="fr-FR"/>
        </w:rPr>
        <w:t xml:space="preserve"> </w:t>
      </w:r>
      <w:r w:rsidR="00707987" w:rsidRPr="00806E56">
        <w:rPr>
          <w:lang w:val="fr-FR"/>
        </w:rPr>
        <w:t>n’</w:t>
      </w:r>
      <w:r w:rsidR="00707987">
        <w:rPr>
          <w:lang w:val="fr-FR"/>
        </w:rPr>
        <w:t>on</w:t>
      </w:r>
      <w:r w:rsidR="00707987" w:rsidRPr="00806E56">
        <w:rPr>
          <w:lang w:val="fr-FR"/>
        </w:rPr>
        <w:t xml:space="preserve">t </w:t>
      </w:r>
      <w:r w:rsidR="009A0B83" w:rsidRPr="00806E56">
        <w:rPr>
          <w:lang w:val="fr-FR"/>
        </w:rPr>
        <w:t>encore eu lieu</w:t>
      </w:r>
      <w:r w:rsidR="0044516B" w:rsidRPr="00806E56">
        <w:rPr>
          <w:lang w:val="fr-FR"/>
        </w:rPr>
        <w:t xml:space="preserve"> </w:t>
      </w:r>
      <w:r w:rsidR="00707987">
        <w:rPr>
          <w:lang w:val="fr-FR"/>
        </w:rPr>
        <w:t>à ce jour</w:t>
      </w:r>
      <w:r w:rsidR="00707987" w:rsidRPr="00FF14A7">
        <w:rPr>
          <w:lang w:val="fr-FR"/>
        </w:rPr>
        <w:t xml:space="preserve"> </w:t>
      </w:r>
      <w:r w:rsidR="009A0B83" w:rsidRPr="00806E56">
        <w:rPr>
          <w:lang w:val="fr-FR"/>
        </w:rPr>
        <w:t>(art.</w:t>
      </w:r>
      <w:r w:rsidR="00052032">
        <w:rPr>
          <w:lang w:val="fr-FR"/>
        </w:rPr>
        <w:t> </w:t>
      </w:r>
      <w:r w:rsidR="00524D41" w:rsidRPr="00806E56">
        <w:rPr>
          <w:lang w:val="fr-FR"/>
        </w:rPr>
        <w:t xml:space="preserve">2, 12, </w:t>
      </w:r>
      <w:r w:rsidR="009A0B83" w:rsidRPr="00806E56">
        <w:rPr>
          <w:lang w:val="fr-FR"/>
        </w:rPr>
        <w:t>16).</w:t>
      </w:r>
    </w:p>
    <w:p w:rsidR="009A0B83" w:rsidRPr="00806E56" w:rsidRDefault="008B0D30" w:rsidP="008B0D30">
      <w:pPr>
        <w:pStyle w:val="SingleTxtG"/>
        <w:rPr>
          <w:lang w:val="fr-FR"/>
        </w:rPr>
      </w:pPr>
      <w:r w:rsidRPr="00806E56">
        <w:rPr>
          <w:lang w:val="fr-FR"/>
        </w:rPr>
        <w:t>33.</w:t>
      </w:r>
      <w:r w:rsidRPr="00806E56">
        <w:rPr>
          <w:lang w:val="fr-FR"/>
        </w:rPr>
        <w:tab/>
      </w:r>
      <w:r w:rsidR="009A0B83" w:rsidRPr="00806E56">
        <w:rPr>
          <w:b/>
          <w:lang w:val="fr-FR"/>
        </w:rPr>
        <w:t>Le Comité recommande à l’</w:t>
      </w:r>
      <w:r w:rsidR="00103B84" w:rsidRPr="00CE3B6F">
        <w:rPr>
          <w:b/>
          <w:lang w:val="fr-FR"/>
        </w:rPr>
        <w:t>État</w:t>
      </w:r>
      <w:r w:rsidR="009A0B83" w:rsidRPr="00806E56">
        <w:rPr>
          <w:b/>
          <w:lang w:val="fr-FR"/>
        </w:rPr>
        <w:t xml:space="preserve"> partie de continuer de veiller</w:t>
      </w:r>
      <w:r w:rsidR="009A0B83" w:rsidRPr="00806E56">
        <w:rPr>
          <w:lang w:val="fr-FR"/>
        </w:rPr>
        <w:t xml:space="preserve"> </w:t>
      </w:r>
      <w:r w:rsidR="009A0B83" w:rsidRPr="00806E56">
        <w:rPr>
          <w:b/>
          <w:bCs/>
          <w:shd w:val="clear" w:color="auto" w:fill="FFFFFF"/>
          <w:lang w:val="fr-FR"/>
        </w:rPr>
        <w:t>à ce que toutes les allégations d’abus sexuels sur des enfants commis par des soldats français en Centrafrique fassent l’objet d’une enquête prompte et efficace et que les auteurs soient traduits en justice dans les meilleurs délais et sanctionnés de peines proportionnelles à la gravité des faits. Le Comité recommande également à l’</w:t>
      </w:r>
      <w:r w:rsidR="00103B84" w:rsidRPr="00CE3B6F">
        <w:rPr>
          <w:b/>
          <w:bCs/>
          <w:shd w:val="clear" w:color="auto" w:fill="FFFFFF"/>
          <w:lang w:val="fr-FR"/>
        </w:rPr>
        <w:t>État</w:t>
      </w:r>
      <w:r w:rsidR="009A0B83" w:rsidRPr="00806E56">
        <w:rPr>
          <w:b/>
          <w:bCs/>
          <w:shd w:val="clear" w:color="auto" w:fill="FFFFFF"/>
          <w:lang w:val="fr-FR"/>
        </w:rPr>
        <w:t xml:space="preserve"> partie de s’assurer qu’une assistance psychologique et sociale</w:t>
      </w:r>
      <w:r w:rsidR="00547D44">
        <w:rPr>
          <w:b/>
          <w:bCs/>
          <w:shd w:val="clear" w:color="auto" w:fill="FFFFFF"/>
          <w:lang w:val="fr-FR"/>
        </w:rPr>
        <w:t>,</w:t>
      </w:r>
      <w:r w:rsidR="009A0B83" w:rsidRPr="00806E56">
        <w:rPr>
          <w:b/>
          <w:bCs/>
          <w:shd w:val="clear" w:color="auto" w:fill="FFFFFF"/>
          <w:lang w:val="fr-FR"/>
        </w:rPr>
        <w:t xml:space="preserve"> ainsi que des réparations, sont offertes aux victimes</w:t>
      </w:r>
      <w:r w:rsidR="00524D41" w:rsidRPr="00806E56">
        <w:rPr>
          <w:b/>
          <w:bCs/>
          <w:shd w:val="clear" w:color="auto" w:fill="FFFFFF"/>
          <w:lang w:val="fr-FR"/>
        </w:rPr>
        <w:t xml:space="preserve">, et </w:t>
      </w:r>
      <w:r w:rsidR="00547D44">
        <w:rPr>
          <w:b/>
          <w:bCs/>
          <w:shd w:val="clear" w:color="auto" w:fill="FFFFFF"/>
          <w:lang w:val="fr-FR"/>
        </w:rPr>
        <w:t>que</w:t>
      </w:r>
      <w:r w:rsidR="00524D41" w:rsidRPr="00806E56">
        <w:rPr>
          <w:b/>
          <w:bCs/>
          <w:shd w:val="clear" w:color="auto" w:fill="FFFFFF"/>
          <w:lang w:val="fr-FR"/>
        </w:rPr>
        <w:t xml:space="preserve"> des informations mises à jour sur l’état d’avancement des enquêtes qui les concernent</w:t>
      </w:r>
      <w:r w:rsidR="00547D44">
        <w:rPr>
          <w:b/>
          <w:bCs/>
          <w:shd w:val="clear" w:color="auto" w:fill="FFFFFF"/>
          <w:lang w:val="fr-FR"/>
        </w:rPr>
        <w:t xml:space="preserve"> leur sont fournies</w:t>
      </w:r>
      <w:r w:rsidR="009A0B83" w:rsidRPr="00806E56">
        <w:rPr>
          <w:b/>
          <w:bCs/>
          <w:shd w:val="clear" w:color="auto" w:fill="FFFFFF"/>
          <w:lang w:val="fr-FR"/>
        </w:rPr>
        <w:t>. Le Comité recommande enfin à l’</w:t>
      </w:r>
      <w:r w:rsidR="00103B84" w:rsidRPr="00CE3B6F">
        <w:rPr>
          <w:b/>
          <w:bCs/>
          <w:shd w:val="clear" w:color="auto" w:fill="FFFFFF"/>
          <w:lang w:val="fr-FR"/>
        </w:rPr>
        <w:t>État</w:t>
      </w:r>
      <w:r w:rsidR="009A0B83" w:rsidRPr="00806E56">
        <w:rPr>
          <w:b/>
          <w:bCs/>
          <w:shd w:val="clear" w:color="auto" w:fill="FFFFFF"/>
          <w:lang w:val="fr-FR"/>
        </w:rPr>
        <w:t xml:space="preserve"> partie de renforcer les mesures visant à pré</w:t>
      </w:r>
      <w:r w:rsidR="00CF30AE" w:rsidRPr="00806E56">
        <w:rPr>
          <w:b/>
          <w:bCs/>
          <w:shd w:val="clear" w:color="auto" w:fill="FFFFFF"/>
          <w:lang w:val="fr-FR"/>
        </w:rPr>
        <w:t>venir de tels faits à l’avenir.</w:t>
      </w:r>
    </w:p>
    <w:p w:rsidR="009A0B83" w:rsidRPr="00806E56" w:rsidRDefault="00C27945" w:rsidP="00C27945">
      <w:pPr>
        <w:pStyle w:val="H23G"/>
        <w:rPr>
          <w:lang w:val="fr-FR"/>
        </w:rPr>
      </w:pPr>
      <w:r w:rsidRPr="00806E56">
        <w:rPr>
          <w:lang w:val="fr-FR"/>
        </w:rPr>
        <w:tab/>
      </w:r>
      <w:r w:rsidRPr="00806E56">
        <w:rPr>
          <w:lang w:val="fr-FR"/>
        </w:rPr>
        <w:tab/>
      </w:r>
      <w:r w:rsidR="009A0B83" w:rsidRPr="00806E56">
        <w:rPr>
          <w:lang w:val="fr-FR"/>
        </w:rPr>
        <w:t>Personnes intersexuées</w:t>
      </w:r>
    </w:p>
    <w:p w:rsidR="009A0B83" w:rsidRPr="00806E56" w:rsidRDefault="008B0D30" w:rsidP="008B0D30">
      <w:pPr>
        <w:pStyle w:val="SingleTxtG"/>
        <w:rPr>
          <w:lang w:val="fr-FR"/>
        </w:rPr>
      </w:pPr>
      <w:r w:rsidRPr="00806E56">
        <w:rPr>
          <w:lang w:val="fr-FR"/>
        </w:rPr>
        <w:t>34.</w:t>
      </w:r>
      <w:r w:rsidRPr="00806E56">
        <w:rPr>
          <w:lang w:val="fr-FR"/>
        </w:rPr>
        <w:tab/>
      </w:r>
      <w:r w:rsidR="009A0B83" w:rsidRPr="00806E56">
        <w:rPr>
          <w:lang w:val="fr-FR"/>
        </w:rPr>
        <w:t xml:space="preserve">Le Comité est préoccupé par les informations faisant état d’interventions chirurgicales non nécessaires et parfois irréversibles pratiquées sur des </w:t>
      </w:r>
      <w:r w:rsidR="00765468" w:rsidRPr="00806E56">
        <w:rPr>
          <w:lang w:val="fr-FR"/>
        </w:rPr>
        <w:t>enfants</w:t>
      </w:r>
      <w:r w:rsidR="009A0B83" w:rsidRPr="00806E56">
        <w:rPr>
          <w:lang w:val="fr-FR"/>
        </w:rPr>
        <w:t xml:space="preserve"> intersexués sans le consentement éclairé de ces</w:t>
      </w:r>
      <w:r w:rsidR="0044516B" w:rsidRPr="00806E56">
        <w:rPr>
          <w:lang w:val="fr-FR"/>
        </w:rPr>
        <w:t xml:space="preserve"> </w:t>
      </w:r>
      <w:r w:rsidR="009A0B83" w:rsidRPr="00806E56">
        <w:rPr>
          <w:lang w:val="fr-FR"/>
        </w:rPr>
        <w:t xml:space="preserve">personnes ou de leurs proches et sans que toutes les options possibles leur aient toujours été exposées. Il est aussi préoccupé par le fait que ces interventions, qui entraîneraient des souffrances physiques et psychologiques, n’ont encore donné lieu à aucune enquête, sanction ou réparation. Il regrette l’absence d’informations sur les mesures législatives et administratives spécifiques </w:t>
      </w:r>
      <w:r w:rsidR="00246538">
        <w:rPr>
          <w:lang w:val="fr-FR"/>
        </w:rPr>
        <w:t xml:space="preserve">qui </w:t>
      </w:r>
      <w:r w:rsidR="009A0B83" w:rsidRPr="00806E56">
        <w:rPr>
          <w:lang w:val="fr-FR"/>
        </w:rPr>
        <w:t>permett</w:t>
      </w:r>
      <w:r w:rsidR="00246538">
        <w:rPr>
          <w:lang w:val="fr-FR"/>
        </w:rPr>
        <w:t>e</w:t>
      </w:r>
      <w:r w:rsidR="009A0B83" w:rsidRPr="00806E56">
        <w:rPr>
          <w:lang w:val="fr-FR"/>
        </w:rPr>
        <w:t>nt d’encadrer la situation des personnes intersexuées (art.</w:t>
      </w:r>
      <w:r w:rsidR="00103B84">
        <w:rPr>
          <w:lang w:val="fr-FR"/>
        </w:rPr>
        <w:t> </w:t>
      </w:r>
      <w:r w:rsidR="009A0B83" w:rsidRPr="00806E56">
        <w:rPr>
          <w:lang w:val="fr-FR"/>
        </w:rPr>
        <w:t>2, 12, 14, 16).</w:t>
      </w:r>
    </w:p>
    <w:p w:rsidR="009A0B83" w:rsidRPr="00806E56" w:rsidRDefault="008B0D30" w:rsidP="008B0D30">
      <w:pPr>
        <w:pStyle w:val="SingleTxtG"/>
        <w:rPr>
          <w:lang w:val="fr-FR"/>
        </w:rPr>
      </w:pPr>
      <w:r w:rsidRPr="00806E56">
        <w:rPr>
          <w:lang w:val="fr-FR"/>
        </w:rPr>
        <w:t>35.</w:t>
      </w:r>
      <w:r w:rsidRPr="00806E56">
        <w:rPr>
          <w:lang w:val="fr-FR"/>
        </w:rPr>
        <w:tab/>
      </w:r>
      <w:r w:rsidR="009A0B83" w:rsidRPr="00806E56">
        <w:rPr>
          <w:b/>
          <w:lang w:val="fr-FR"/>
        </w:rPr>
        <w:t>Le Comité recommande à l’</w:t>
      </w:r>
      <w:r w:rsidR="00103B84" w:rsidRPr="00CE3B6F">
        <w:rPr>
          <w:b/>
          <w:lang w:val="fr-FR"/>
        </w:rPr>
        <w:t>État</w:t>
      </w:r>
      <w:r w:rsidR="009A0B83" w:rsidRPr="00806E56">
        <w:rPr>
          <w:b/>
          <w:lang w:val="fr-FR"/>
        </w:rPr>
        <w:t xml:space="preserve"> partie</w:t>
      </w:r>
      <w:r w:rsidR="00A877AA">
        <w:rPr>
          <w:b/>
          <w:lang w:val="fr-FR"/>
        </w:rPr>
        <w:t> </w:t>
      </w:r>
      <w:r w:rsidR="00CF30AE" w:rsidRPr="00806E56">
        <w:rPr>
          <w:b/>
          <w:lang w:val="fr-FR"/>
        </w:rPr>
        <w:t>:</w:t>
      </w:r>
    </w:p>
    <w:p w:rsidR="009A0B83" w:rsidRPr="00806E56" w:rsidRDefault="00DF03A5" w:rsidP="00DF03A5">
      <w:pPr>
        <w:pStyle w:val="SingleTxtG"/>
        <w:rPr>
          <w:b/>
          <w:bCs/>
          <w:lang w:val="fr-FR"/>
        </w:rPr>
      </w:pPr>
      <w:r w:rsidRPr="00806E56">
        <w:rPr>
          <w:b/>
          <w:lang w:val="fr-FR"/>
        </w:rPr>
        <w:tab/>
      </w:r>
      <w:r w:rsidRPr="00806E56">
        <w:rPr>
          <w:bCs/>
          <w:lang w:val="fr-FR"/>
        </w:rPr>
        <w:t>a)</w:t>
      </w:r>
      <w:r w:rsidRPr="00806E56">
        <w:rPr>
          <w:b/>
          <w:lang w:val="fr-FR"/>
        </w:rPr>
        <w:tab/>
      </w:r>
      <w:r w:rsidR="00D35C07">
        <w:rPr>
          <w:b/>
          <w:lang w:val="fr-FR"/>
        </w:rPr>
        <w:t>De p</w:t>
      </w:r>
      <w:r w:rsidR="00103B84" w:rsidRPr="00CE3B6F">
        <w:rPr>
          <w:b/>
          <w:lang w:val="fr-FR"/>
        </w:rPr>
        <w:t xml:space="preserve">rendre </w:t>
      </w:r>
      <w:r w:rsidR="009A0B83" w:rsidRPr="00806E56">
        <w:rPr>
          <w:b/>
          <w:lang w:val="fr-FR"/>
        </w:rPr>
        <w:t xml:space="preserve">des mesures législatives, administratives ou autres nécessaires pour garantir le respect de l’intégrité physique des personnes intersexuées </w:t>
      </w:r>
      <w:r w:rsidR="009A0B83" w:rsidRPr="00806E56">
        <w:rPr>
          <w:b/>
          <w:bCs/>
          <w:lang w:val="fr-FR"/>
        </w:rPr>
        <w:t>afin que nul ne soit soumis durant l’enfance à des traitements médicaux ou chirurgicaux visant à déterminer le sexe d’un enfant qui ne présentent aucun caractère d’urgence médicale</w:t>
      </w:r>
      <w:r w:rsidR="00B03648">
        <w:rPr>
          <w:b/>
          <w:bCs/>
          <w:lang w:val="fr-FR"/>
        </w:rPr>
        <w:t> </w:t>
      </w:r>
      <w:r w:rsidR="009A0B83" w:rsidRPr="00806E56">
        <w:rPr>
          <w:b/>
          <w:bCs/>
          <w:lang w:val="fr-FR"/>
        </w:rPr>
        <w:t>;</w:t>
      </w:r>
    </w:p>
    <w:p w:rsidR="009A0B83" w:rsidRPr="00806E56" w:rsidRDefault="00DF03A5" w:rsidP="009340A0">
      <w:pPr>
        <w:pStyle w:val="SingleTxtG"/>
        <w:rPr>
          <w:b/>
          <w:bCs/>
          <w:lang w:val="fr-FR"/>
        </w:rPr>
      </w:pPr>
      <w:r w:rsidRPr="00806E56">
        <w:rPr>
          <w:b/>
          <w:lang w:val="fr-FR"/>
        </w:rPr>
        <w:tab/>
      </w:r>
      <w:r w:rsidRPr="00806E56">
        <w:rPr>
          <w:bCs/>
          <w:lang w:val="fr-FR"/>
        </w:rPr>
        <w:t>b)</w:t>
      </w:r>
      <w:r w:rsidRPr="00806E56">
        <w:rPr>
          <w:b/>
          <w:lang w:val="fr-FR"/>
        </w:rPr>
        <w:tab/>
      </w:r>
      <w:r w:rsidR="00D35C07">
        <w:rPr>
          <w:b/>
          <w:bCs/>
          <w:lang w:val="fr-FR"/>
        </w:rPr>
        <w:t>De s</w:t>
      </w:r>
      <w:r w:rsidR="00103B84" w:rsidRPr="00CE3B6F">
        <w:rPr>
          <w:b/>
          <w:bCs/>
          <w:lang w:val="fr-FR"/>
        </w:rPr>
        <w:t xml:space="preserve">’assurer </w:t>
      </w:r>
      <w:r w:rsidR="006B1EDE">
        <w:rPr>
          <w:b/>
          <w:bCs/>
          <w:lang w:val="fr-FR"/>
        </w:rPr>
        <w:t xml:space="preserve">que </w:t>
      </w:r>
      <w:r w:rsidR="006B1EDE" w:rsidRPr="00FF14A7">
        <w:rPr>
          <w:b/>
          <w:bCs/>
          <w:lang w:val="fr-FR"/>
        </w:rPr>
        <w:t>les personnes concernées et leurs parents ou leurs proches</w:t>
      </w:r>
      <w:r w:rsidR="006B1EDE">
        <w:rPr>
          <w:b/>
          <w:bCs/>
          <w:lang w:val="fr-FR"/>
        </w:rPr>
        <w:t xml:space="preserve"> bénéficient </w:t>
      </w:r>
      <w:r w:rsidR="009A0B83" w:rsidRPr="00806E56">
        <w:rPr>
          <w:b/>
          <w:bCs/>
          <w:lang w:val="fr-FR"/>
        </w:rPr>
        <w:t>des services d</w:t>
      </w:r>
      <w:r w:rsidR="00765468" w:rsidRPr="00806E56">
        <w:rPr>
          <w:b/>
          <w:bCs/>
          <w:lang w:val="fr-FR"/>
        </w:rPr>
        <w:t>’un</w:t>
      </w:r>
      <w:r w:rsidR="009A0B83" w:rsidRPr="00806E56">
        <w:rPr>
          <w:b/>
          <w:bCs/>
          <w:lang w:val="fr-FR"/>
        </w:rPr>
        <w:t xml:space="preserve"> conseil </w:t>
      </w:r>
      <w:r w:rsidR="00765468" w:rsidRPr="00806E56">
        <w:rPr>
          <w:b/>
          <w:bCs/>
          <w:lang w:val="fr-FR"/>
        </w:rPr>
        <w:t xml:space="preserve">impartial </w:t>
      </w:r>
      <w:r w:rsidR="009A0B83" w:rsidRPr="00806E56">
        <w:rPr>
          <w:b/>
          <w:bCs/>
          <w:lang w:val="fr-FR"/>
        </w:rPr>
        <w:t xml:space="preserve">et </w:t>
      </w:r>
      <w:r w:rsidR="006B1EDE">
        <w:rPr>
          <w:b/>
          <w:bCs/>
          <w:lang w:val="fr-FR"/>
        </w:rPr>
        <w:t>d</w:t>
      </w:r>
      <w:r w:rsidR="006B1EDE" w:rsidRPr="006B1EDE">
        <w:rPr>
          <w:b/>
          <w:bCs/>
          <w:lang w:val="fr-FR"/>
        </w:rPr>
        <w:t>’</w:t>
      </w:r>
      <w:r w:rsidR="009A0B83" w:rsidRPr="00806E56">
        <w:rPr>
          <w:b/>
          <w:bCs/>
          <w:lang w:val="fr-FR"/>
        </w:rPr>
        <w:t>un accompagnement psychosocial gratuit</w:t>
      </w:r>
      <w:r w:rsidR="00B03648">
        <w:rPr>
          <w:b/>
          <w:bCs/>
          <w:lang w:val="fr-FR"/>
        </w:rPr>
        <w:t> </w:t>
      </w:r>
      <w:r w:rsidR="00CF30AE" w:rsidRPr="00806E56">
        <w:rPr>
          <w:b/>
          <w:bCs/>
          <w:lang w:val="fr-FR"/>
        </w:rPr>
        <w:t>;</w:t>
      </w:r>
    </w:p>
    <w:p w:rsidR="009A0B83" w:rsidRPr="00806E56" w:rsidRDefault="00DF03A5" w:rsidP="006C07A0">
      <w:pPr>
        <w:pStyle w:val="SingleTxtG"/>
        <w:rPr>
          <w:b/>
          <w:bCs/>
          <w:lang w:val="fr-FR"/>
        </w:rPr>
      </w:pPr>
      <w:r w:rsidRPr="00806E56">
        <w:rPr>
          <w:b/>
          <w:lang w:val="fr-FR"/>
        </w:rPr>
        <w:tab/>
      </w:r>
      <w:r w:rsidRPr="00806E56">
        <w:rPr>
          <w:bCs/>
          <w:lang w:val="fr-FR"/>
        </w:rPr>
        <w:t>c)</w:t>
      </w:r>
      <w:r w:rsidRPr="00806E56">
        <w:rPr>
          <w:b/>
          <w:lang w:val="fr-FR"/>
        </w:rPr>
        <w:tab/>
      </w:r>
      <w:r w:rsidR="00D35C07">
        <w:rPr>
          <w:b/>
          <w:bCs/>
          <w:lang w:val="fr-FR"/>
        </w:rPr>
        <w:t>De v</w:t>
      </w:r>
      <w:r w:rsidR="00103B84" w:rsidRPr="00CE3B6F">
        <w:rPr>
          <w:b/>
          <w:bCs/>
          <w:lang w:val="fr-FR"/>
        </w:rPr>
        <w:t xml:space="preserve">eiller </w:t>
      </w:r>
      <w:r w:rsidR="009A0B83" w:rsidRPr="00806E56">
        <w:rPr>
          <w:b/>
          <w:bCs/>
          <w:lang w:val="fr-FR"/>
        </w:rPr>
        <w:t xml:space="preserve">à ce qu’aucune intervention chirurgicale </w:t>
      </w:r>
      <w:r w:rsidR="008A7BAC">
        <w:rPr>
          <w:b/>
          <w:bCs/>
          <w:lang w:val="fr-FR"/>
        </w:rPr>
        <w:t>et à ce qu</w:t>
      </w:r>
      <w:r w:rsidR="008A7BAC" w:rsidRPr="008A7BAC">
        <w:rPr>
          <w:b/>
          <w:bCs/>
          <w:lang w:val="fr-FR"/>
        </w:rPr>
        <w:t>’</w:t>
      </w:r>
      <w:r w:rsidR="008A7BAC">
        <w:rPr>
          <w:b/>
          <w:bCs/>
          <w:lang w:val="fr-FR"/>
        </w:rPr>
        <w:t xml:space="preserve">aucun </w:t>
      </w:r>
      <w:r w:rsidR="009A0B83" w:rsidRPr="00806E56">
        <w:rPr>
          <w:b/>
          <w:bCs/>
          <w:lang w:val="fr-FR"/>
        </w:rPr>
        <w:t xml:space="preserve">traitement médical ne soit effectué sans qu’un consentement </w:t>
      </w:r>
      <w:r w:rsidR="00765468" w:rsidRPr="00806E56">
        <w:rPr>
          <w:b/>
          <w:bCs/>
          <w:lang w:val="fr-FR"/>
        </w:rPr>
        <w:t xml:space="preserve">plein, libre et </w:t>
      </w:r>
      <w:r w:rsidR="009A0B83" w:rsidRPr="00806E56">
        <w:rPr>
          <w:b/>
          <w:bCs/>
          <w:lang w:val="fr-FR"/>
        </w:rPr>
        <w:t xml:space="preserve">éclairé n’ait été obtenu et </w:t>
      </w:r>
      <w:r w:rsidR="008A7BAC">
        <w:rPr>
          <w:b/>
          <w:bCs/>
          <w:lang w:val="fr-FR"/>
        </w:rPr>
        <w:t xml:space="preserve">sans </w:t>
      </w:r>
      <w:r w:rsidR="009A0B83" w:rsidRPr="00806E56">
        <w:rPr>
          <w:b/>
          <w:bCs/>
          <w:lang w:val="fr-FR"/>
        </w:rPr>
        <w:t>que ces personnes</w:t>
      </w:r>
      <w:r w:rsidR="00765468" w:rsidRPr="00806E56">
        <w:rPr>
          <w:b/>
          <w:bCs/>
          <w:lang w:val="fr-FR"/>
        </w:rPr>
        <w:t>, leurs parents ou leurs proches</w:t>
      </w:r>
      <w:r w:rsidR="009A0B83" w:rsidRPr="00806E56">
        <w:rPr>
          <w:b/>
          <w:bCs/>
          <w:lang w:val="fr-FR"/>
        </w:rPr>
        <w:t xml:space="preserve"> n’aient été informés </w:t>
      </w:r>
      <w:r w:rsidR="00D46654">
        <w:rPr>
          <w:b/>
          <w:bCs/>
          <w:lang w:val="fr-FR"/>
        </w:rPr>
        <w:t>d</w:t>
      </w:r>
      <w:r w:rsidR="009A0B83" w:rsidRPr="00806E56">
        <w:rPr>
          <w:b/>
          <w:bCs/>
          <w:lang w:val="fr-FR"/>
        </w:rPr>
        <w:t>es différentes options, y compris celle de reporter toute décision sur des traitements non nécessaire</w:t>
      </w:r>
      <w:r w:rsidR="008A7BAC">
        <w:rPr>
          <w:b/>
          <w:bCs/>
          <w:lang w:val="fr-FR"/>
        </w:rPr>
        <w:t>s</w:t>
      </w:r>
      <w:r w:rsidR="009A0B83" w:rsidRPr="00806E56">
        <w:rPr>
          <w:b/>
          <w:bCs/>
          <w:lang w:val="fr-FR"/>
        </w:rPr>
        <w:t xml:space="preserve"> jusqu’à </w:t>
      </w:r>
      <w:r w:rsidR="008A7BAC">
        <w:rPr>
          <w:b/>
          <w:bCs/>
          <w:lang w:val="fr-FR"/>
        </w:rPr>
        <w:t xml:space="preserve">ce </w:t>
      </w:r>
      <w:r w:rsidR="009A0B83" w:rsidRPr="00806E56">
        <w:rPr>
          <w:b/>
          <w:bCs/>
          <w:lang w:val="fr-FR"/>
        </w:rPr>
        <w:t>que la personne concernée puis</w:t>
      </w:r>
      <w:r w:rsidR="00CF30AE" w:rsidRPr="00806E56">
        <w:rPr>
          <w:b/>
          <w:bCs/>
          <w:lang w:val="fr-FR"/>
        </w:rPr>
        <w:t>se se prononcer par elle-même</w:t>
      </w:r>
      <w:r w:rsidR="00B03648">
        <w:rPr>
          <w:b/>
          <w:bCs/>
          <w:lang w:val="fr-FR"/>
        </w:rPr>
        <w:t> </w:t>
      </w:r>
      <w:r w:rsidR="00CF30AE" w:rsidRPr="00806E56">
        <w:rPr>
          <w:b/>
          <w:bCs/>
          <w:lang w:val="fr-FR"/>
        </w:rPr>
        <w:t>;</w:t>
      </w:r>
    </w:p>
    <w:p w:rsidR="009A0B83" w:rsidRPr="00806E56" w:rsidRDefault="00DF03A5" w:rsidP="00DF03A5">
      <w:pPr>
        <w:pStyle w:val="SingleTxtG"/>
        <w:rPr>
          <w:b/>
          <w:bCs/>
          <w:lang w:val="fr-FR"/>
        </w:rPr>
      </w:pPr>
      <w:r w:rsidRPr="00806E56">
        <w:rPr>
          <w:b/>
          <w:lang w:val="fr-FR"/>
        </w:rPr>
        <w:tab/>
      </w:r>
      <w:r w:rsidRPr="00806E56">
        <w:rPr>
          <w:bCs/>
          <w:lang w:val="fr-FR"/>
        </w:rPr>
        <w:t>d)</w:t>
      </w:r>
      <w:r w:rsidRPr="00806E56">
        <w:rPr>
          <w:b/>
          <w:lang w:val="fr-FR"/>
        </w:rPr>
        <w:tab/>
      </w:r>
      <w:r w:rsidR="00D35C07">
        <w:rPr>
          <w:b/>
          <w:bCs/>
          <w:lang w:val="fr-FR"/>
        </w:rPr>
        <w:t>D</w:t>
      </w:r>
      <w:r w:rsidR="00D35C07" w:rsidRPr="00D35C07">
        <w:rPr>
          <w:b/>
          <w:bCs/>
          <w:lang w:val="fr-FR"/>
        </w:rPr>
        <w:t>’</w:t>
      </w:r>
      <w:r w:rsidR="00D35C07">
        <w:rPr>
          <w:b/>
          <w:bCs/>
          <w:lang w:val="fr-FR"/>
        </w:rPr>
        <w:t>e</w:t>
      </w:r>
      <w:r w:rsidR="00103B84" w:rsidRPr="00CE3B6F">
        <w:rPr>
          <w:b/>
          <w:bCs/>
          <w:lang w:val="fr-FR"/>
        </w:rPr>
        <w:t xml:space="preserve">nvisager </w:t>
      </w:r>
      <w:r w:rsidR="00D46654">
        <w:rPr>
          <w:b/>
          <w:bCs/>
          <w:lang w:val="fr-FR"/>
        </w:rPr>
        <w:t xml:space="preserve">de mener </w:t>
      </w:r>
      <w:r w:rsidR="009A0B83" w:rsidRPr="00806E56">
        <w:rPr>
          <w:b/>
          <w:bCs/>
          <w:lang w:val="fr-FR"/>
        </w:rPr>
        <w:t xml:space="preserve">des enquêtes sur les cas de traitements médicaux ou chirurgicaux que des personnes intersexuées auraient subis sans avoir donné leur </w:t>
      </w:r>
      <w:r w:rsidR="009A0B83" w:rsidRPr="00806E56">
        <w:rPr>
          <w:b/>
          <w:bCs/>
          <w:lang w:val="fr-FR"/>
        </w:rPr>
        <w:lastRenderedPageBreak/>
        <w:t>consentement effectif et éclairé, et d’adopter des mesures afin d’accorder réparation à toutes les victimes, y compr</w:t>
      </w:r>
      <w:r w:rsidR="00CF30AE" w:rsidRPr="00806E56">
        <w:rPr>
          <w:b/>
          <w:bCs/>
          <w:lang w:val="fr-FR"/>
        </w:rPr>
        <w:t>is une indemnisation adéquate</w:t>
      </w:r>
      <w:r w:rsidR="00B03648">
        <w:rPr>
          <w:b/>
          <w:bCs/>
          <w:lang w:val="fr-FR"/>
        </w:rPr>
        <w:t> </w:t>
      </w:r>
      <w:r w:rsidR="00CF30AE" w:rsidRPr="00806E56">
        <w:rPr>
          <w:b/>
          <w:bCs/>
          <w:lang w:val="fr-FR"/>
        </w:rPr>
        <w:t>;</w:t>
      </w:r>
    </w:p>
    <w:p w:rsidR="009A0B83" w:rsidRPr="00806E56" w:rsidRDefault="00DF03A5" w:rsidP="00DF03A5">
      <w:pPr>
        <w:pStyle w:val="SingleTxtG"/>
        <w:rPr>
          <w:b/>
          <w:bCs/>
          <w:lang w:val="fr-FR"/>
        </w:rPr>
      </w:pPr>
      <w:r w:rsidRPr="00806E56">
        <w:rPr>
          <w:b/>
          <w:lang w:val="fr-FR"/>
        </w:rPr>
        <w:tab/>
      </w:r>
      <w:r w:rsidRPr="00806E56">
        <w:rPr>
          <w:bCs/>
          <w:lang w:val="fr-FR"/>
        </w:rPr>
        <w:t>e)</w:t>
      </w:r>
      <w:r w:rsidRPr="00806E56">
        <w:rPr>
          <w:b/>
          <w:lang w:val="fr-FR"/>
        </w:rPr>
        <w:tab/>
      </w:r>
      <w:r w:rsidR="00D35C07">
        <w:rPr>
          <w:b/>
          <w:bCs/>
          <w:lang w:val="fr-FR"/>
        </w:rPr>
        <w:t>De c</w:t>
      </w:r>
      <w:r w:rsidR="00103B84" w:rsidRPr="00CE3B6F">
        <w:rPr>
          <w:b/>
          <w:bCs/>
          <w:lang w:val="fr-FR"/>
        </w:rPr>
        <w:t xml:space="preserve">onduire </w:t>
      </w:r>
      <w:r w:rsidR="009A0B83" w:rsidRPr="00806E56">
        <w:rPr>
          <w:b/>
          <w:bCs/>
          <w:lang w:val="fr-FR"/>
        </w:rPr>
        <w:t>des études sur cette question afin de mieux la comprendre et la traiter.</w:t>
      </w:r>
    </w:p>
    <w:p w:rsidR="009A0B83" w:rsidRPr="00806E56" w:rsidRDefault="00DF03A5" w:rsidP="00DF03A5">
      <w:pPr>
        <w:pStyle w:val="H23G"/>
        <w:rPr>
          <w:shd w:val="clear" w:color="auto" w:fill="FFFFFF"/>
          <w:lang w:val="fr-FR"/>
        </w:rPr>
      </w:pPr>
      <w:r w:rsidRPr="00806E56">
        <w:rPr>
          <w:shd w:val="clear" w:color="auto" w:fill="FFFFFF"/>
          <w:lang w:val="fr-FR"/>
        </w:rPr>
        <w:tab/>
      </w:r>
      <w:r w:rsidRPr="00806E56">
        <w:rPr>
          <w:shd w:val="clear" w:color="auto" w:fill="FFFFFF"/>
          <w:lang w:val="fr-FR"/>
        </w:rPr>
        <w:tab/>
      </w:r>
      <w:r w:rsidR="009A0B83" w:rsidRPr="00806E56">
        <w:rPr>
          <w:shd w:val="clear" w:color="auto" w:fill="FFFFFF"/>
          <w:lang w:val="fr-FR"/>
        </w:rPr>
        <w:t>Formation</w:t>
      </w:r>
    </w:p>
    <w:p w:rsidR="009A0B83" w:rsidRPr="00806E56" w:rsidRDefault="008B0D30" w:rsidP="008B0D30">
      <w:pPr>
        <w:pStyle w:val="SingleTxtG"/>
        <w:rPr>
          <w:lang w:val="fr-FR"/>
        </w:rPr>
      </w:pPr>
      <w:r w:rsidRPr="00806E56">
        <w:rPr>
          <w:lang w:val="fr-FR"/>
        </w:rPr>
        <w:t>36.</w:t>
      </w:r>
      <w:r w:rsidRPr="00806E56">
        <w:rPr>
          <w:lang w:val="fr-FR"/>
        </w:rPr>
        <w:tab/>
      </w:r>
      <w:r w:rsidR="009A0B83" w:rsidRPr="00806E56">
        <w:rPr>
          <w:lang w:val="fr-FR"/>
        </w:rPr>
        <w:t>Tout en notant les informations de l’</w:t>
      </w:r>
      <w:r w:rsidR="00786C85" w:rsidRPr="00CE3B6F">
        <w:rPr>
          <w:lang w:val="fr-FR"/>
        </w:rPr>
        <w:t>État</w:t>
      </w:r>
      <w:r w:rsidR="009A0B83" w:rsidRPr="00806E56">
        <w:rPr>
          <w:lang w:val="fr-FR"/>
        </w:rPr>
        <w:t xml:space="preserve"> partie, le Comité reste préoccupé par le fait que les formations destinées à certaines catégories de fonctionnaires de la police (adjoints de sécurité et gardiens de la paix) et de la gendarmerie (sous-officiers et gendarmes-adjoints volontaires)</w:t>
      </w:r>
      <w:r w:rsidR="0044516B" w:rsidRPr="00806E56">
        <w:rPr>
          <w:lang w:val="fr-FR"/>
        </w:rPr>
        <w:t xml:space="preserve"> </w:t>
      </w:r>
      <w:r w:rsidR="009A0B83" w:rsidRPr="00806E56">
        <w:rPr>
          <w:lang w:val="fr-FR"/>
        </w:rPr>
        <w:t>couvrent davantage l’éthique et la déontologie que les droits de l’homme et les dispositions de la Convention. Il est aussi préoccupé par le fait que le Manuel pour enquêter efficacement sur la torture et autres peines ou traitements cruels, inhumains ou dégradants (Protocole d’Istanbul) ne soit pas intégré dans la formation, y compris dans celle du personnel civil et médical qui intervient dans la garde et le traitement de tout individu arrêté, détenu ou emprisonné. Enfin</w:t>
      </w:r>
      <w:r w:rsidR="003F401F">
        <w:rPr>
          <w:lang w:val="fr-FR"/>
        </w:rPr>
        <w:t>,</w:t>
      </w:r>
      <w:r w:rsidR="009A0B83" w:rsidRPr="00806E56">
        <w:rPr>
          <w:lang w:val="fr-FR"/>
        </w:rPr>
        <w:t xml:space="preserve"> il regrette l’absence d’informations précises sur la formation aux droits de l’homme destinée aux agents de sécurité privée ainsi que sur les résultats obtenus suite aux formations dispensées à la police et </w:t>
      </w:r>
      <w:r w:rsidR="003F401F">
        <w:rPr>
          <w:lang w:val="fr-FR"/>
        </w:rPr>
        <w:t xml:space="preserve">à </w:t>
      </w:r>
      <w:r w:rsidR="009A0B83" w:rsidRPr="00806E56">
        <w:rPr>
          <w:lang w:val="fr-FR"/>
        </w:rPr>
        <w:t>la gendarmerie, en ce qui concerne la réduction des mauvais traitements</w:t>
      </w:r>
      <w:r w:rsidR="00CF30AE" w:rsidRPr="00806E56">
        <w:rPr>
          <w:lang w:val="fr-FR"/>
        </w:rPr>
        <w:t xml:space="preserve"> (art.</w:t>
      </w:r>
      <w:r w:rsidR="00786C85">
        <w:rPr>
          <w:lang w:val="fr-FR"/>
        </w:rPr>
        <w:t> </w:t>
      </w:r>
      <w:r w:rsidR="00CF30AE" w:rsidRPr="00806E56">
        <w:rPr>
          <w:lang w:val="fr-FR"/>
        </w:rPr>
        <w:t>10).</w:t>
      </w:r>
    </w:p>
    <w:p w:rsidR="009A0B83" w:rsidRPr="00806E56" w:rsidRDefault="008B0D30" w:rsidP="008B0D30">
      <w:pPr>
        <w:pStyle w:val="SingleTxtG"/>
        <w:rPr>
          <w:lang w:val="fr-FR"/>
        </w:rPr>
      </w:pPr>
      <w:r w:rsidRPr="00806E56">
        <w:rPr>
          <w:lang w:val="fr-FR"/>
        </w:rPr>
        <w:t>37.</w:t>
      </w:r>
      <w:r w:rsidRPr="00806E56">
        <w:rPr>
          <w:lang w:val="fr-FR"/>
        </w:rPr>
        <w:tab/>
      </w:r>
      <w:r w:rsidR="009A0B83" w:rsidRPr="00806E56">
        <w:rPr>
          <w:b/>
          <w:bCs/>
          <w:lang w:val="fr-FR"/>
        </w:rPr>
        <w:t xml:space="preserve">Le Comité recommande à l’État partie de renforcer le contenu de ses formations </w:t>
      </w:r>
      <w:r w:rsidR="00C233F0">
        <w:rPr>
          <w:b/>
          <w:bCs/>
          <w:lang w:val="fr-FR"/>
        </w:rPr>
        <w:t>relatives aux</w:t>
      </w:r>
      <w:r w:rsidR="009A0B83" w:rsidRPr="00806E56">
        <w:rPr>
          <w:b/>
          <w:bCs/>
          <w:lang w:val="fr-FR"/>
        </w:rPr>
        <w:t xml:space="preserve"> droits de l’homme et </w:t>
      </w:r>
      <w:r w:rsidR="00C233F0">
        <w:rPr>
          <w:b/>
          <w:bCs/>
          <w:lang w:val="fr-FR"/>
        </w:rPr>
        <w:t>à</w:t>
      </w:r>
      <w:r w:rsidR="00C233F0" w:rsidRPr="00806E56">
        <w:rPr>
          <w:b/>
          <w:bCs/>
          <w:lang w:val="fr-FR"/>
        </w:rPr>
        <w:t xml:space="preserve"> </w:t>
      </w:r>
      <w:r w:rsidR="009A0B83" w:rsidRPr="00806E56">
        <w:rPr>
          <w:b/>
          <w:bCs/>
          <w:lang w:val="fr-FR"/>
        </w:rPr>
        <w:t xml:space="preserve">la Convention dispensées aux </w:t>
      </w:r>
      <w:r w:rsidR="009A0B83" w:rsidRPr="00806E56">
        <w:rPr>
          <w:b/>
          <w:lang w:val="fr-FR"/>
        </w:rPr>
        <w:t>adjoints de sécurité</w:t>
      </w:r>
      <w:r w:rsidR="00172727">
        <w:rPr>
          <w:b/>
          <w:lang w:val="fr-FR"/>
        </w:rPr>
        <w:t>,</w:t>
      </w:r>
      <w:r w:rsidR="009A0B83" w:rsidRPr="00806E56">
        <w:rPr>
          <w:b/>
          <w:lang w:val="fr-FR"/>
        </w:rPr>
        <w:t xml:space="preserve"> gardiens de la paix,</w:t>
      </w:r>
      <w:r w:rsidR="009A0B83" w:rsidRPr="00806E56">
        <w:rPr>
          <w:b/>
          <w:bCs/>
          <w:lang w:val="fr-FR"/>
        </w:rPr>
        <w:t xml:space="preserve"> </w:t>
      </w:r>
      <w:r w:rsidR="009A0B83" w:rsidRPr="00806E56">
        <w:rPr>
          <w:b/>
          <w:lang w:val="fr-FR"/>
        </w:rPr>
        <w:t>sous-officiers et gendarmes-adjoints volontaires</w:t>
      </w:r>
      <w:r w:rsidR="00172727">
        <w:rPr>
          <w:b/>
          <w:lang w:val="fr-FR"/>
        </w:rPr>
        <w:t>,</w:t>
      </w:r>
      <w:r w:rsidR="009A0B83" w:rsidRPr="00806E56">
        <w:rPr>
          <w:b/>
          <w:lang w:val="fr-FR"/>
        </w:rPr>
        <w:t xml:space="preserve"> et de </w:t>
      </w:r>
      <w:r w:rsidR="009A0B83" w:rsidRPr="00806E56">
        <w:rPr>
          <w:b/>
          <w:bCs/>
          <w:lang w:val="fr-FR"/>
        </w:rPr>
        <w:t>s’assurer que les personnels des compagnies de sécurité privées</w:t>
      </w:r>
      <w:r w:rsidR="0044516B" w:rsidRPr="00806E56">
        <w:rPr>
          <w:b/>
          <w:bCs/>
          <w:lang w:val="fr-FR"/>
        </w:rPr>
        <w:t xml:space="preserve"> </w:t>
      </w:r>
      <w:r w:rsidR="009A0B83" w:rsidRPr="00806E56">
        <w:rPr>
          <w:b/>
          <w:bCs/>
          <w:lang w:val="fr-FR"/>
        </w:rPr>
        <w:t>bénéficient également d’une telle formation. Le Comité recommande également à l’</w:t>
      </w:r>
      <w:r w:rsidR="00786C85" w:rsidRPr="00CE3B6F">
        <w:rPr>
          <w:b/>
          <w:bCs/>
          <w:lang w:val="fr-FR"/>
        </w:rPr>
        <w:t>État</w:t>
      </w:r>
      <w:r w:rsidR="009A0B83" w:rsidRPr="00806E56">
        <w:rPr>
          <w:b/>
          <w:bCs/>
          <w:lang w:val="fr-FR"/>
        </w:rPr>
        <w:t xml:space="preserve"> partie d’intégrer de façon systématique le Protocole d’Istanbul dans toutes les formations destinées au personnel de la police</w:t>
      </w:r>
      <w:r w:rsidR="00A258AE">
        <w:rPr>
          <w:b/>
          <w:bCs/>
          <w:lang w:val="fr-FR"/>
        </w:rPr>
        <w:t xml:space="preserve"> et</w:t>
      </w:r>
      <w:r w:rsidR="00A258AE" w:rsidRPr="00806E56">
        <w:rPr>
          <w:b/>
          <w:bCs/>
          <w:lang w:val="fr-FR"/>
        </w:rPr>
        <w:t xml:space="preserve"> </w:t>
      </w:r>
      <w:r w:rsidR="009A0B83" w:rsidRPr="00806E56">
        <w:rPr>
          <w:b/>
          <w:bCs/>
          <w:lang w:val="fr-FR"/>
        </w:rPr>
        <w:t xml:space="preserve">de la gendarmerie ainsi qu’au personnel civil et médical </w:t>
      </w:r>
      <w:r w:rsidR="009A0B83" w:rsidRPr="00806E56">
        <w:rPr>
          <w:b/>
          <w:lang w:val="fr-FR"/>
        </w:rPr>
        <w:t>qui intervient dans la garde et le traitement de tout</w:t>
      </w:r>
      <w:r w:rsidR="009A0B83" w:rsidRPr="00806E56">
        <w:rPr>
          <w:lang w:val="fr-FR"/>
        </w:rPr>
        <w:t xml:space="preserve"> </w:t>
      </w:r>
      <w:r w:rsidR="009A0B83" w:rsidRPr="00806E56">
        <w:rPr>
          <w:b/>
          <w:lang w:val="fr-FR"/>
        </w:rPr>
        <w:t>individu arrêté, détenu ou emprisonné.</w:t>
      </w:r>
      <w:r w:rsidR="009A0B83" w:rsidRPr="00806E56">
        <w:rPr>
          <w:b/>
          <w:bCs/>
          <w:lang w:val="fr-FR"/>
        </w:rPr>
        <w:t xml:space="preserve"> Le Comité recommande enfin à l’</w:t>
      </w:r>
      <w:r w:rsidR="00786C85" w:rsidRPr="00CE3B6F">
        <w:rPr>
          <w:b/>
          <w:bCs/>
          <w:lang w:val="fr-FR"/>
        </w:rPr>
        <w:t>État</w:t>
      </w:r>
      <w:r w:rsidR="009A0B83" w:rsidRPr="00806E56">
        <w:rPr>
          <w:b/>
          <w:bCs/>
          <w:lang w:val="fr-FR"/>
        </w:rPr>
        <w:t xml:space="preserve"> partie de mettre en place des méthodologies spécifiques </w:t>
      </w:r>
      <w:r w:rsidR="00F838C1">
        <w:rPr>
          <w:b/>
          <w:bCs/>
          <w:lang w:val="fr-FR"/>
        </w:rPr>
        <w:t>pour</w:t>
      </w:r>
      <w:r w:rsidR="00F838C1" w:rsidRPr="00806E56">
        <w:rPr>
          <w:b/>
          <w:bCs/>
          <w:lang w:val="fr-FR"/>
        </w:rPr>
        <w:t xml:space="preserve"> </w:t>
      </w:r>
      <w:r w:rsidR="009A0B83" w:rsidRPr="00806E56">
        <w:rPr>
          <w:b/>
          <w:bCs/>
          <w:lang w:val="fr-FR"/>
        </w:rPr>
        <w:t>l’évaluation des résultats obtenus par ses programmes de formation sur l’interdiction absolue de la torture et des mauvais traitements.</w:t>
      </w:r>
    </w:p>
    <w:p w:rsidR="009A0B83" w:rsidRPr="00806E56" w:rsidRDefault="00DF03A5" w:rsidP="00DF03A5">
      <w:pPr>
        <w:pStyle w:val="H23G"/>
        <w:rPr>
          <w:lang w:val="fr-FR"/>
        </w:rPr>
      </w:pPr>
      <w:r w:rsidRPr="00806E56">
        <w:rPr>
          <w:lang w:val="fr-FR"/>
        </w:rPr>
        <w:tab/>
      </w:r>
      <w:r w:rsidRPr="00806E56">
        <w:rPr>
          <w:lang w:val="fr-FR"/>
        </w:rPr>
        <w:tab/>
      </w:r>
      <w:r w:rsidR="009A0B83" w:rsidRPr="00806E56">
        <w:rPr>
          <w:lang w:val="fr-FR"/>
        </w:rPr>
        <w:t>Mesures de r</w:t>
      </w:r>
      <w:r w:rsidR="00CF30AE" w:rsidRPr="00806E56">
        <w:rPr>
          <w:lang w:val="fr-FR"/>
        </w:rPr>
        <w:t>éparation et de réhabilitation</w:t>
      </w:r>
    </w:p>
    <w:p w:rsidR="009A0B83" w:rsidRPr="00806E56" w:rsidRDefault="008B0D30" w:rsidP="008B0D30">
      <w:pPr>
        <w:pStyle w:val="SingleTxtG"/>
        <w:rPr>
          <w:lang w:val="fr-FR"/>
        </w:rPr>
      </w:pPr>
      <w:r w:rsidRPr="00806E56">
        <w:rPr>
          <w:lang w:val="fr-FR"/>
        </w:rPr>
        <w:t>38.</w:t>
      </w:r>
      <w:r w:rsidRPr="00806E56">
        <w:rPr>
          <w:lang w:val="fr-FR"/>
        </w:rPr>
        <w:tab/>
      </w:r>
      <w:r w:rsidR="00765468" w:rsidRPr="00806E56">
        <w:rPr>
          <w:lang w:val="fr-FR"/>
        </w:rPr>
        <w:t xml:space="preserve">Le Comité prend note des </w:t>
      </w:r>
      <w:r w:rsidR="009A0B83" w:rsidRPr="00806E56">
        <w:rPr>
          <w:lang w:val="fr-FR"/>
        </w:rPr>
        <w:t>informations de l’</w:t>
      </w:r>
      <w:r w:rsidR="0044516B" w:rsidRPr="00806E56">
        <w:rPr>
          <w:lang w:val="fr-FR"/>
        </w:rPr>
        <w:t>État</w:t>
      </w:r>
      <w:r w:rsidR="009A0B83" w:rsidRPr="00806E56">
        <w:rPr>
          <w:lang w:val="fr-FR"/>
        </w:rPr>
        <w:t xml:space="preserve"> partie sur</w:t>
      </w:r>
      <w:r w:rsidR="0044516B" w:rsidRPr="00806E56">
        <w:rPr>
          <w:lang w:val="fr-FR"/>
        </w:rPr>
        <w:t xml:space="preserve"> </w:t>
      </w:r>
      <w:r w:rsidR="009A0B83" w:rsidRPr="00806E56">
        <w:rPr>
          <w:lang w:val="fr-FR"/>
        </w:rPr>
        <w:t xml:space="preserve">les dispositifs </w:t>
      </w:r>
      <w:r w:rsidR="00765468" w:rsidRPr="00806E56">
        <w:rPr>
          <w:lang w:val="fr-FR"/>
        </w:rPr>
        <w:t xml:space="preserve">mis en place pour </w:t>
      </w:r>
      <w:r w:rsidR="009340A0">
        <w:rPr>
          <w:lang w:val="fr-FR"/>
        </w:rPr>
        <w:t>qu</w:t>
      </w:r>
      <w:r w:rsidR="009340A0" w:rsidRPr="009340A0">
        <w:rPr>
          <w:lang w:val="fr-FR"/>
        </w:rPr>
        <w:t>’</w:t>
      </w:r>
      <w:r w:rsidR="009340A0">
        <w:rPr>
          <w:lang w:val="fr-FR"/>
        </w:rPr>
        <w:t>une</w:t>
      </w:r>
      <w:r w:rsidR="007D074C">
        <w:rPr>
          <w:lang w:val="fr-FR"/>
        </w:rPr>
        <w:t xml:space="preserve"> </w:t>
      </w:r>
      <w:r w:rsidR="009A0B83" w:rsidRPr="00806E56">
        <w:rPr>
          <w:lang w:val="fr-FR"/>
        </w:rPr>
        <w:t xml:space="preserve">réparation et </w:t>
      </w:r>
      <w:r w:rsidR="009340A0">
        <w:rPr>
          <w:lang w:val="fr-FR"/>
        </w:rPr>
        <w:t>une</w:t>
      </w:r>
      <w:r w:rsidR="009A0B83" w:rsidRPr="00806E56">
        <w:rPr>
          <w:lang w:val="fr-FR"/>
        </w:rPr>
        <w:t xml:space="preserve"> réhabilitation </w:t>
      </w:r>
      <w:r w:rsidR="007D074C">
        <w:rPr>
          <w:lang w:val="fr-FR"/>
        </w:rPr>
        <w:t>soient offertes aux</w:t>
      </w:r>
      <w:r w:rsidR="009A0B83" w:rsidRPr="00806E56">
        <w:rPr>
          <w:lang w:val="fr-FR"/>
        </w:rPr>
        <w:t xml:space="preserve"> victimes, notamment les </w:t>
      </w:r>
      <w:r w:rsidR="00B53220">
        <w:rPr>
          <w:lang w:val="fr-FR"/>
        </w:rPr>
        <w:t>b</w:t>
      </w:r>
      <w:r w:rsidR="00B53220" w:rsidRPr="00806E56">
        <w:rPr>
          <w:lang w:val="fr-FR"/>
        </w:rPr>
        <w:t xml:space="preserve">ureaux </w:t>
      </w:r>
      <w:r w:rsidR="009A0B83" w:rsidRPr="00806E56">
        <w:rPr>
          <w:lang w:val="fr-FR"/>
        </w:rPr>
        <w:t xml:space="preserve">d’aide aux victimes </w:t>
      </w:r>
      <w:r w:rsidR="00765468" w:rsidRPr="00806E56">
        <w:rPr>
          <w:lang w:val="fr-FR"/>
        </w:rPr>
        <w:t xml:space="preserve">qui </w:t>
      </w:r>
      <w:r w:rsidR="009A0B83" w:rsidRPr="00806E56">
        <w:rPr>
          <w:lang w:val="fr-FR"/>
        </w:rPr>
        <w:t>concern</w:t>
      </w:r>
      <w:r w:rsidR="00765468" w:rsidRPr="00806E56">
        <w:rPr>
          <w:lang w:val="fr-FR"/>
        </w:rPr>
        <w:t>e</w:t>
      </w:r>
      <w:r w:rsidR="009A0B83" w:rsidRPr="00806E56">
        <w:rPr>
          <w:lang w:val="fr-FR"/>
        </w:rPr>
        <w:t>nt surtout les victimes de traite plutôt que celles de la torture et de mauvais traitements</w:t>
      </w:r>
      <w:r w:rsidR="00765468" w:rsidRPr="00806E56">
        <w:rPr>
          <w:lang w:val="fr-FR"/>
        </w:rPr>
        <w:t xml:space="preserve">, ainsi que des </w:t>
      </w:r>
      <w:r w:rsidR="009A0B83" w:rsidRPr="00806E56">
        <w:rPr>
          <w:lang w:val="fr-FR"/>
        </w:rPr>
        <w:t xml:space="preserve">mesures prises pour la détection et la prise en charge de la vulnérabilité des demandeurs d’asile dans le cadre de la procédure d’asile prévues à l’article L-723-3 du </w:t>
      </w:r>
      <w:r w:rsidR="00490F99" w:rsidRPr="00B9677A">
        <w:rPr>
          <w:lang w:val="fr-FR"/>
        </w:rPr>
        <w:t>Code d</w:t>
      </w:r>
      <w:r w:rsidR="00490F99">
        <w:rPr>
          <w:lang w:val="fr-FR"/>
        </w:rPr>
        <w:t>e l</w:t>
      </w:r>
      <w:r w:rsidR="00490F99" w:rsidRPr="00B9677A">
        <w:rPr>
          <w:lang w:val="fr-FR"/>
        </w:rPr>
        <w:t>’entrée et d</w:t>
      </w:r>
      <w:r w:rsidR="00490F99">
        <w:rPr>
          <w:lang w:val="fr-FR"/>
        </w:rPr>
        <w:t>u</w:t>
      </w:r>
      <w:r w:rsidR="00490F99" w:rsidRPr="00B9677A">
        <w:rPr>
          <w:lang w:val="fr-FR"/>
        </w:rPr>
        <w:t xml:space="preserve"> séjour des étrangers et du droit d’asile</w:t>
      </w:r>
      <w:r w:rsidR="00765468" w:rsidRPr="00806E56">
        <w:rPr>
          <w:lang w:val="fr-FR"/>
        </w:rPr>
        <w:t>. Néanmoins</w:t>
      </w:r>
      <w:r w:rsidR="009A0B83" w:rsidRPr="00806E56">
        <w:rPr>
          <w:lang w:val="fr-FR"/>
        </w:rPr>
        <w:t>, le Comité est préoccupé par</w:t>
      </w:r>
      <w:r w:rsidR="00A877AA">
        <w:rPr>
          <w:lang w:val="fr-FR"/>
        </w:rPr>
        <w:t> </w:t>
      </w:r>
      <w:r w:rsidR="009A0B83" w:rsidRPr="00806E56">
        <w:rPr>
          <w:lang w:val="fr-FR"/>
        </w:rPr>
        <w:t>: a)</w:t>
      </w:r>
      <w:r w:rsidR="004B3591">
        <w:rPr>
          <w:lang w:val="fr-FR"/>
        </w:rPr>
        <w:t> </w:t>
      </w:r>
      <w:r w:rsidR="009A0B83" w:rsidRPr="00806E56">
        <w:rPr>
          <w:lang w:val="fr-FR"/>
        </w:rPr>
        <w:t>les informations faisant état d’une absence d</w:t>
      </w:r>
      <w:r w:rsidR="002B4A42">
        <w:rPr>
          <w:lang w:val="fr-FR"/>
        </w:rPr>
        <w:t>e</w:t>
      </w:r>
      <w:r w:rsidR="009A0B83" w:rsidRPr="00806E56">
        <w:rPr>
          <w:lang w:val="fr-FR"/>
        </w:rPr>
        <w:t xml:space="preserve"> politique de réhabilitation des victimes de la torture et de la difficulté d’accès aux structures existantes</w:t>
      </w:r>
      <w:r w:rsidR="002B4A42" w:rsidRPr="00FF14A7">
        <w:rPr>
          <w:lang w:val="fr-FR"/>
        </w:rPr>
        <w:t> ;</w:t>
      </w:r>
      <w:r w:rsidR="009A0B83" w:rsidRPr="00806E56">
        <w:rPr>
          <w:lang w:val="fr-FR"/>
        </w:rPr>
        <w:t xml:space="preserve"> b)</w:t>
      </w:r>
      <w:r w:rsidR="004B3591">
        <w:rPr>
          <w:lang w:val="fr-FR"/>
        </w:rPr>
        <w:t> </w:t>
      </w:r>
      <w:r w:rsidR="009A0B83" w:rsidRPr="00806E56">
        <w:rPr>
          <w:lang w:val="fr-FR"/>
        </w:rPr>
        <w:t xml:space="preserve">l’absence d’une procédure systématique d’évaluation de la vulnérabilité qui </w:t>
      </w:r>
      <w:r w:rsidR="002B4A42">
        <w:rPr>
          <w:lang w:val="fr-FR"/>
        </w:rPr>
        <w:t>soit faite</w:t>
      </w:r>
      <w:r w:rsidR="009A0B83" w:rsidRPr="00806E56">
        <w:rPr>
          <w:lang w:val="fr-FR"/>
        </w:rPr>
        <w:t xml:space="preserve"> le plus tôt possible dans la démarche de </w:t>
      </w:r>
      <w:r w:rsidR="002B4A42">
        <w:rPr>
          <w:lang w:val="fr-FR"/>
        </w:rPr>
        <w:t xml:space="preserve">demande </w:t>
      </w:r>
      <w:r w:rsidR="009A0B83" w:rsidRPr="00806E56">
        <w:rPr>
          <w:lang w:val="fr-FR"/>
        </w:rPr>
        <w:t>d’asile ; c)</w:t>
      </w:r>
      <w:r w:rsidR="004B3591">
        <w:rPr>
          <w:lang w:val="fr-FR"/>
        </w:rPr>
        <w:t> </w:t>
      </w:r>
      <w:r w:rsidR="009A0B83" w:rsidRPr="00806E56">
        <w:rPr>
          <w:lang w:val="fr-FR"/>
        </w:rPr>
        <w:t>l’insuffisance de</w:t>
      </w:r>
      <w:r w:rsidR="000531E2">
        <w:rPr>
          <w:lang w:val="fr-FR"/>
        </w:rPr>
        <w:t>s</w:t>
      </w:r>
      <w:r w:rsidR="009A0B83" w:rsidRPr="00806E56">
        <w:rPr>
          <w:lang w:val="fr-FR"/>
        </w:rPr>
        <w:t xml:space="preserve"> ressources disponibles pour les associations et les structures qui offrent des soins et </w:t>
      </w:r>
      <w:r w:rsidR="000531E2">
        <w:rPr>
          <w:lang w:val="fr-FR"/>
        </w:rPr>
        <w:t>une</w:t>
      </w:r>
      <w:r w:rsidR="000531E2" w:rsidRPr="00806E56">
        <w:rPr>
          <w:lang w:val="fr-FR"/>
        </w:rPr>
        <w:t xml:space="preserve"> </w:t>
      </w:r>
      <w:r w:rsidR="009A0B83" w:rsidRPr="00806E56">
        <w:rPr>
          <w:lang w:val="fr-FR"/>
        </w:rPr>
        <w:t>prise en charge spécifiquement adaptés aux victimes de la torture, y compris les demandeurs d’asile</w:t>
      </w:r>
      <w:r w:rsidR="004B3591">
        <w:rPr>
          <w:lang w:val="fr-FR"/>
        </w:rPr>
        <w:t> </w:t>
      </w:r>
      <w:r w:rsidR="009A0B83" w:rsidRPr="00806E56">
        <w:rPr>
          <w:lang w:val="fr-FR"/>
        </w:rPr>
        <w:t>; d)</w:t>
      </w:r>
      <w:r w:rsidR="004B3591">
        <w:rPr>
          <w:lang w:val="fr-FR"/>
        </w:rPr>
        <w:t> </w:t>
      </w:r>
      <w:r w:rsidR="009A0B83" w:rsidRPr="00806E56">
        <w:rPr>
          <w:lang w:val="fr-FR"/>
        </w:rPr>
        <w:t>le manque de professionnels suffisamment formés à la détection et à la prise en charge de cette catégorie de personnes ; e)</w:t>
      </w:r>
      <w:r w:rsidR="004B3591">
        <w:rPr>
          <w:lang w:val="fr-FR"/>
        </w:rPr>
        <w:t> </w:t>
      </w:r>
      <w:r w:rsidR="009A0B83" w:rsidRPr="00806E56">
        <w:rPr>
          <w:lang w:val="fr-FR"/>
        </w:rPr>
        <w:t>et l’absence de données statistiques sur les mesures de réparation et de réhabilitation prononcées par les tribunaux au bénéfice des victimes de la torture et</w:t>
      </w:r>
      <w:r w:rsidR="002B4A42">
        <w:rPr>
          <w:lang w:val="fr-FR"/>
        </w:rPr>
        <w:t xml:space="preserve"> sur</w:t>
      </w:r>
      <w:r w:rsidR="009A0B83" w:rsidRPr="00806E56">
        <w:rPr>
          <w:lang w:val="fr-FR"/>
        </w:rPr>
        <w:t xml:space="preserve"> le nombre de demandeurs d’asile ayant bénéficié de telles mesures (art.</w:t>
      </w:r>
      <w:r w:rsidR="00786C85">
        <w:rPr>
          <w:lang w:val="fr-FR"/>
        </w:rPr>
        <w:t> </w:t>
      </w:r>
      <w:r w:rsidR="009A0B83" w:rsidRPr="00806E56">
        <w:rPr>
          <w:lang w:val="fr-FR"/>
        </w:rPr>
        <w:t>2, 13).</w:t>
      </w:r>
    </w:p>
    <w:p w:rsidR="009A0B83" w:rsidRPr="00806E56" w:rsidRDefault="008B0D30" w:rsidP="008B0D30">
      <w:pPr>
        <w:pStyle w:val="SingleTxtG"/>
        <w:rPr>
          <w:b/>
          <w:lang w:val="fr-FR"/>
        </w:rPr>
      </w:pPr>
      <w:r w:rsidRPr="00806E56">
        <w:rPr>
          <w:lang w:val="fr-FR"/>
        </w:rPr>
        <w:t>39.</w:t>
      </w:r>
      <w:r w:rsidRPr="00806E56">
        <w:rPr>
          <w:lang w:val="fr-FR"/>
        </w:rPr>
        <w:tab/>
      </w:r>
      <w:r w:rsidR="009A0B83" w:rsidRPr="00806E56">
        <w:rPr>
          <w:b/>
          <w:lang w:val="fr-FR"/>
        </w:rPr>
        <w:t>Le Comité recommande à l’</w:t>
      </w:r>
      <w:r w:rsidR="00071CC1" w:rsidRPr="00CE3B6F">
        <w:rPr>
          <w:b/>
          <w:lang w:val="fr-FR"/>
        </w:rPr>
        <w:t>État</w:t>
      </w:r>
      <w:r w:rsidR="009A0B83" w:rsidRPr="00806E56">
        <w:rPr>
          <w:b/>
          <w:lang w:val="fr-FR"/>
        </w:rPr>
        <w:t xml:space="preserve"> partie, à la lumière</w:t>
      </w:r>
      <w:r w:rsidR="009647BC">
        <w:rPr>
          <w:b/>
          <w:lang w:val="fr-FR"/>
        </w:rPr>
        <w:t xml:space="preserve"> de</w:t>
      </w:r>
      <w:r w:rsidR="009A0B83" w:rsidRPr="00806E56">
        <w:rPr>
          <w:b/>
          <w:lang w:val="fr-FR"/>
        </w:rPr>
        <w:t xml:space="preserve"> son observation générale n</w:t>
      </w:r>
      <w:r w:rsidR="009A0B83" w:rsidRPr="00806E56">
        <w:rPr>
          <w:b/>
          <w:vertAlign w:val="superscript"/>
          <w:lang w:val="fr-FR"/>
        </w:rPr>
        <w:t>o</w:t>
      </w:r>
      <w:r w:rsidR="00071CC1">
        <w:rPr>
          <w:b/>
          <w:lang w:val="fr-FR"/>
        </w:rPr>
        <w:t> </w:t>
      </w:r>
      <w:r w:rsidR="009A0B83" w:rsidRPr="00806E56">
        <w:rPr>
          <w:b/>
          <w:lang w:val="fr-FR"/>
        </w:rPr>
        <w:t>3</w:t>
      </w:r>
      <w:r w:rsidR="009647BC">
        <w:rPr>
          <w:b/>
          <w:lang w:val="fr-FR"/>
        </w:rPr>
        <w:t xml:space="preserve"> (2012) sur l</w:t>
      </w:r>
      <w:r w:rsidR="009647BC" w:rsidRPr="009647BC">
        <w:rPr>
          <w:b/>
          <w:lang w:val="fr-FR"/>
        </w:rPr>
        <w:t>’</w:t>
      </w:r>
      <w:r w:rsidR="009647BC">
        <w:rPr>
          <w:b/>
          <w:lang w:val="fr-FR"/>
        </w:rPr>
        <w:t>application de l</w:t>
      </w:r>
      <w:r w:rsidR="009647BC" w:rsidRPr="009647BC">
        <w:rPr>
          <w:b/>
          <w:lang w:val="fr-FR"/>
        </w:rPr>
        <w:t>’</w:t>
      </w:r>
      <w:r w:rsidR="009647BC">
        <w:rPr>
          <w:b/>
          <w:lang w:val="fr-FR"/>
        </w:rPr>
        <w:t>article 14 par l</w:t>
      </w:r>
      <w:r w:rsidR="00CD734F">
        <w:rPr>
          <w:b/>
          <w:lang w:val="fr-FR"/>
        </w:rPr>
        <w:t xml:space="preserve">es </w:t>
      </w:r>
      <w:r w:rsidR="009647BC">
        <w:rPr>
          <w:b/>
          <w:lang w:val="fr-FR"/>
        </w:rPr>
        <w:t>État</w:t>
      </w:r>
      <w:r w:rsidR="00CD734F">
        <w:rPr>
          <w:b/>
          <w:lang w:val="fr-FR"/>
        </w:rPr>
        <w:t>s</w:t>
      </w:r>
      <w:r w:rsidR="009647BC">
        <w:rPr>
          <w:b/>
          <w:lang w:val="fr-FR"/>
        </w:rPr>
        <w:t xml:space="preserve"> partie</w:t>
      </w:r>
      <w:r w:rsidR="00CD734F">
        <w:rPr>
          <w:b/>
          <w:lang w:val="fr-FR"/>
        </w:rPr>
        <w:t>s</w:t>
      </w:r>
      <w:r w:rsidR="00871A3B" w:rsidRPr="00806E56">
        <w:rPr>
          <w:b/>
          <w:lang w:val="fr-FR"/>
        </w:rPr>
        <w:t> : a)</w:t>
      </w:r>
      <w:r w:rsidR="00EE3727">
        <w:rPr>
          <w:b/>
          <w:lang w:val="fr-FR"/>
        </w:rPr>
        <w:t> </w:t>
      </w:r>
      <w:r w:rsidR="009A0B83" w:rsidRPr="00806E56">
        <w:rPr>
          <w:b/>
          <w:lang w:val="fr-FR"/>
        </w:rPr>
        <w:t>de mettre en place une politique de réhabilitation des victimes de la torture</w:t>
      </w:r>
      <w:r w:rsidR="00871A3B" w:rsidRPr="00806E56">
        <w:rPr>
          <w:b/>
          <w:lang w:val="fr-FR"/>
        </w:rPr>
        <w:t xml:space="preserve"> et </w:t>
      </w:r>
      <w:r w:rsidR="009A0B83" w:rsidRPr="00806E56">
        <w:rPr>
          <w:b/>
          <w:lang w:val="fr-FR"/>
        </w:rPr>
        <w:t xml:space="preserve">de faciliter </w:t>
      </w:r>
      <w:r w:rsidR="009A0B83" w:rsidRPr="00806E56">
        <w:rPr>
          <w:b/>
          <w:lang w:val="fr-FR"/>
        </w:rPr>
        <w:lastRenderedPageBreak/>
        <w:t xml:space="preserve">l’accessibilité aux structures de réhabilitation ; </w:t>
      </w:r>
      <w:r w:rsidR="00871A3B" w:rsidRPr="00806E56">
        <w:rPr>
          <w:b/>
          <w:lang w:val="fr-FR"/>
        </w:rPr>
        <w:t>b)</w:t>
      </w:r>
      <w:r w:rsidR="00EE3727">
        <w:rPr>
          <w:b/>
          <w:lang w:val="fr-FR"/>
        </w:rPr>
        <w:t> </w:t>
      </w:r>
      <w:r w:rsidR="009A0B83" w:rsidRPr="00806E56">
        <w:rPr>
          <w:b/>
          <w:lang w:val="fr-FR"/>
        </w:rPr>
        <w:t xml:space="preserve">de renforcer les mesures et dispositifs de détection et de prise en charge </w:t>
      </w:r>
      <w:r w:rsidR="00181071">
        <w:rPr>
          <w:b/>
          <w:lang w:val="fr-FR"/>
        </w:rPr>
        <w:t>le plus tôt possible</w:t>
      </w:r>
      <w:r w:rsidR="00181071" w:rsidRPr="00806E56">
        <w:rPr>
          <w:b/>
          <w:lang w:val="fr-FR"/>
        </w:rPr>
        <w:t xml:space="preserve"> </w:t>
      </w:r>
      <w:r w:rsidR="009A0B83" w:rsidRPr="00806E56">
        <w:rPr>
          <w:b/>
          <w:lang w:val="fr-FR"/>
        </w:rPr>
        <w:t>de</w:t>
      </w:r>
      <w:r w:rsidR="00833FBF">
        <w:rPr>
          <w:b/>
          <w:lang w:val="fr-FR"/>
        </w:rPr>
        <w:t>s</w:t>
      </w:r>
      <w:r w:rsidR="009A0B83" w:rsidRPr="00806E56">
        <w:rPr>
          <w:b/>
          <w:lang w:val="fr-FR"/>
        </w:rPr>
        <w:t xml:space="preserve"> demandeurs d’asile ayant subi la torture ou des traitements cruels, inhumains ou dégradants ; </w:t>
      </w:r>
      <w:r w:rsidR="00871A3B" w:rsidRPr="00806E56">
        <w:rPr>
          <w:b/>
          <w:lang w:val="fr-FR"/>
        </w:rPr>
        <w:t>c)</w:t>
      </w:r>
      <w:r w:rsidR="00946D26">
        <w:rPr>
          <w:b/>
          <w:lang w:val="fr-FR"/>
        </w:rPr>
        <w:t> </w:t>
      </w:r>
      <w:r w:rsidR="009A0B83" w:rsidRPr="00806E56">
        <w:rPr>
          <w:b/>
          <w:lang w:val="fr-FR"/>
        </w:rPr>
        <w:t>d’assurer une formation adéquate et en nombre suffisant de professionnels, d’accroître l’offre de soins spécifiquement adapté</w:t>
      </w:r>
      <w:r w:rsidR="00CC5A30">
        <w:rPr>
          <w:b/>
          <w:lang w:val="fr-FR"/>
        </w:rPr>
        <w:t>s</w:t>
      </w:r>
      <w:r w:rsidR="009A0B83" w:rsidRPr="00806E56">
        <w:rPr>
          <w:b/>
          <w:lang w:val="fr-FR"/>
        </w:rPr>
        <w:t xml:space="preserve"> à cette population et d’assurer la dotation </w:t>
      </w:r>
      <w:r w:rsidR="003B131E">
        <w:rPr>
          <w:b/>
          <w:lang w:val="fr-FR"/>
        </w:rPr>
        <w:t>des</w:t>
      </w:r>
      <w:r w:rsidR="003B131E" w:rsidRPr="00806E56">
        <w:rPr>
          <w:b/>
          <w:lang w:val="fr-FR"/>
        </w:rPr>
        <w:t xml:space="preserve"> </w:t>
      </w:r>
      <w:r w:rsidR="009A0B83" w:rsidRPr="00806E56">
        <w:rPr>
          <w:b/>
          <w:lang w:val="fr-FR"/>
        </w:rPr>
        <w:t xml:space="preserve">associations et autres structures qui s’occupent des victimes de la torture </w:t>
      </w:r>
      <w:r w:rsidR="003B131E">
        <w:rPr>
          <w:b/>
          <w:lang w:val="fr-FR"/>
        </w:rPr>
        <w:t>en</w:t>
      </w:r>
      <w:r w:rsidR="003B131E" w:rsidRPr="00FF14A7">
        <w:rPr>
          <w:b/>
          <w:lang w:val="fr-FR"/>
        </w:rPr>
        <w:t xml:space="preserve"> ressources adéquates </w:t>
      </w:r>
      <w:r w:rsidR="009A0B83" w:rsidRPr="00806E56">
        <w:rPr>
          <w:b/>
          <w:lang w:val="fr-FR"/>
        </w:rPr>
        <w:t>afin qu’elles puissent faire face aux besoins dans ce domaine.</w:t>
      </w:r>
    </w:p>
    <w:p w:rsidR="009A0B83" w:rsidRPr="00806E56" w:rsidRDefault="00DF03A5" w:rsidP="00DF03A5">
      <w:pPr>
        <w:pStyle w:val="H23G"/>
        <w:rPr>
          <w:lang w:val="fr-FR"/>
        </w:rPr>
      </w:pPr>
      <w:r w:rsidRPr="00806E56">
        <w:rPr>
          <w:lang w:val="fr-FR"/>
        </w:rPr>
        <w:tab/>
      </w:r>
      <w:r w:rsidRPr="00806E56">
        <w:rPr>
          <w:lang w:val="fr-FR"/>
        </w:rPr>
        <w:tab/>
      </w:r>
      <w:r w:rsidR="009A0B83" w:rsidRPr="00806E56">
        <w:rPr>
          <w:lang w:val="fr-FR"/>
        </w:rPr>
        <w:t>Pr</w:t>
      </w:r>
      <w:r w:rsidR="00CF30AE" w:rsidRPr="00806E56">
        <w:rPr>
          <w:lang w:val="fr-FR"/>
        </w:rPr>
        <w:t>océdure de suivi</w:t>
      </w:r>
    </w:p>
    <w:p w:rsidR="009A0B83" w:rsidRPr="00806E56" w:rsidRDefault="008B0D30" w:rsidP="008B0D30">
      <w:pPr>
        <w:pStyle w:val="SingleTxtG"/>
        <w:rPr>
          <w:b/>
          <w:lang w:val="fr-FR"/>
        </w:rPr>
      </w:pPr>
      <w:r w:rsidRPr="00806E56">
        <w:rPr>
          <w:lang w:val="fr-FR"/>
        </w:rPr>
        <w:t>40.</w:t>
      </w:r>
      <w:r w:rsidRPr="00806E56">
        <w:rPr>
          <w:lang w:val="fr-FR"/>
        </w:rPr>
        <w:tab/>
      </w:r>
      <w:r w:rsidR="009A0B83" w:rsidRPr="00806E56">
        <w:rPr>
          <w:lang w:val="fr-FR"/>
        </w:rPr>
        <w:t>Le Comité demande à l’État par</w:t>
      </w:r>
      <w:r w:rsidR="00DF03A5" w:rsidRPr="00806E56">
        <w:rPr>
          <w:lang w:val="fr-FR"/>
        </w:rPr>
        <w:t xml:space="preserve">tie de lui faire parvenir, le </w:t>
      </w:r>
      <w:r w:rsidR="00E57C97" w:rsidRPr="00806E56">
        <w:rPr>
          <w:lang w:val="fr-FR"/>
        </w:rPr>
        <w:t>13 mai 2017</w:t>
      </w:r>
      <w:r w:rsidR="0044516B" w:rsidRPr="00806E56">
        <w:rPr>
          <w:lang w:val="fr-FR"/>
        </w:rPr>
        <w:t xml:space="preserve"> </w:t>
      </w:r>
      <w:r w:rsidR="009A0B83" w:rsidRPr="00806E56">
        <w:rPr>
          <w:lang w:val="fr-FR"/>
        </w:rPr>
        <w:t>au plus tard, des renseignements sur la suite donnée aux recommandati</w:t>
      </w:r>
      <w:r w:rsidR="00CF30AE" w:rsidRPr="00806E56">
        <w:rPr>
          <w:lang w:val="fr-FR"/>
        </w:rPr>
        <w:t>ons formulées au</w:t>
      </w:r>
      <w:r w:rsidR="00871A3B" w:rsidRPr="00806E56">
        <w:rPr>
          <w:lang w:val="fr-FR"/>
        </w:rPr>
        <w:t>x</w:t>
      </w:r>
      <w:r w:rsidR="00CF30AE" w:rsidRPr="00806E56">
        <w:rPr>
          <w:lang w:val="fr-FR"/>
        </w:rPr>
        <w:t xml:space="preserve"> paragraphe</w:t>
      </w:r>
      <w:r w:rsidR="00CE06FD" w:rsidRPr="00806E56">
        <w:rPr>
          <w:lang w:val="fr-FR"/>
        </w:rPr>
        <w:t>s 17</w:t>
      </w:r>
      <w:r w:rsidR="00032CCC">
        <w:rPr>
          <w:lang w:val="fr-FR"/>
        </w:rPr>
        <w:t> </w:t>
      </w:r>
      <w:r w:rsidR="00CE06FD" w:rsidRPr="00806E56">
        <w:rPr>
          <w:lang w:val="fr-FR"/>
        </w:rPr>
        <w:t>c), 23 et 31</w:t>
      </w:r>
      <w:r w:rsidR="00871A3B" w:rsidRPr="00806E56">
        <w:rPr>
          <w:lang w:val="fr-FR"/>
        </w:rPr>
        <w:t>.</w:t>
      </w:r>
    </w:p>
    <w:p w:rsidR="009A0B83" w:rsidRPr="00806E56" w:rsidRDefault="00DF03A5" w:rsidP="00DF03A5">
      <w:pPr>
        <w:pStyle w:val="H23G"/>
        <w:rPr>
          <w:lang w:val="fr-FR"/>
        </w:rPr>
      </w:pPr>
      <w:r w:rsidRPr="00806E56">
        <w:rPr>
          <w:lang w:val="fr-FR"/>
        </w:rPr>
        <w:tab/>
      </w:r>
      <w:r w:rsidRPr="00806E56">
        <w:rPr>
          <w:lang w:val="fr-FR"/>
        </w:rPr>
        <w:tab/>
      </w:r>
      <w:r w:rsidR="009A0B83" w:rsidRPr="00806E56">
        <w:rPr>
          <w:lang w:val="fr-FR"/>
        </w:rPr>
        <w:t>Autre questions</w:t>
      </w:r>
    </w:p>
    <w:p w:rsidR="009A0B83" w:rsidRPr="00806E56" w:rsidRDefault="008B0D30" w:rsidP="008B0D30">
      <w:pPr>
        <w:pStyle w:val="SingleTxtG"/>
        <w:rPr>
          <w:lang w:val="fr-FR"/>
        </w:rPr>
      </w:pPr>
      <w:r w:rsidRPr="00806E56">
        <w:rPr>
          <w:lang w:val="fr-FR"/>
        </w:rPr>
        <w:t>41.</w:t>
      </w:r>
      <w:r w:rsidRPr="00806E56">
        <w:rPr>
          <w:lang w:val="fr-FR"/>
        </w:rPr>
        <w:tab/>
      </w:r>
      <w:r w:rsidR="009A0B83" w:rsidRPr="00CE3B6F">
        <w:rPr>
          <w:rFonts w:eastAsia="Calibri"/>
          <w:lang w:val="fr-FR"/>
        </w:rPr>
        <w:t>Le Comité invite l’État partie à envisager d</w:t>
      </w:r>
      <w:r w:rsidR="009A0B83" w:rsidRPr="00CE3B6F">
        <w:rPr>
          <w:lang w:val="fr-FR"/>
        </w:rPr>
        <w:t xml:space="preserve">e ratifier </w:t>
      </w:r>
      <w:r w:rsidR="009A0B83" w:rsidRPr="00CE3B6F">
        <w:rPr>
          <w:rFonts w:eastAsia="Calibri"/>
          <w:lang w:val="fr-FR"/>
        </w:rPr>
        <w:t xml:space="preserve">la Convention internationale sur la protection des droits de tous les travailleurs migrants et des membres de leur famille, à laquelle il n’est pas encore </w:t>
      </w:r>
      <w:r w:rsidR="009A0B83" w:rsidRPr="00946D26">
        <w:rPr>
          <w:rFonts w:eastAsia="Calibri"/>
          <w:lang w:val="fr-FR"/>
        </w:rPr>
        <w:t>partie.</w:t>
      </w:r>
    </w:p>
    <w:p w:rsidR="009A0B83" w:rsidRPr="00806E56" w:rsidRDefault="008B0D30" w:rsidP="008B0D30">
      <w:pPr>
        <w:pStyle w:val="SingleTxtG"/>
        <w:rPr>
          <w:lang w:val="fr-FR"/>
        </w:rPr>
      </w:pPr>
      <w:r w:rsidRPr="00806E56">
        <w:rPr>
          <w:lang w:val="fr-FR"/>
        </w:rPr>
        <w:t>42.</w:t>
      </w:r>
      <w:r w:rsidRPr="00806E56">
        <w:rPr>
          <w:lang w:val="fr-FR"/>
        </w:rPr>
        <w:tab/>
      </w:r>
      <w:r w:rsidR="009A0B83" w:rsidRPr="00806E56">
        <w:rPr>
          <w:lang w:val="fr-FR"/>
        </w:rPr>
        <w:t>Le</w:t>
      </w:r>
      <w:r w:rsidR="009A0B83" w:rsidRPr="00946D26">
        <w:rPr>
          <w:rFonts w:eastAsia="Calibri"/>
          <w:lang w:val="fr-FR"/>
        </w:rPr>
        <w:t xml:space="preserve"> Comité invite </w:t>
      </w:r>
      <w:r w:rsidR="00120D14">
        <w:rPr>
          <w:rFonts w:eastAsia="Calibri"/>
          <w:lang w:val="fr-FR"/>
        </w:rPr>
        <w:t>l</w:t>
      </w:r>
      <w:r w:rsidR="00120D14" w:rsidRPr="00120D14">
        <w:rPr>
          <w:rFonts w:eastAsia="Calibri"/>
          <w:lang w:val="fr-FR"/>
        </w:rPr>
        <w:t>’</w:t>
      </w:r>
      <w:r w:rsidR="009A0B83" w:rsidRPr="00946D26">
        <w:rPr>
          <w:rFonts w:eastAsia="Calibri"/>
          <w:lang w:val="fr-FR"/>
        </w:rPr>
        <w:t>État partie</w:t>
      </w:r>
      <w:r w:rsidR="0044516B" w:rsidRPr="00946D26">
        <w:rPr>
          <w:rFonts w:eastAsia="Calibri"/>
          <w:lang w:val="fr-FR"/>
        </w:rPr>
        <w:t xml:space="preserve"> </w:t>
      </w:r>
      <w:r w:rsidR="009A0B83" w:rsidRPr="00946D26">
        <w:rPr>
          <w:rFonts w:eastAsia="Calibri"/>
          <w:lang w:val="fr-FR"/>
        </w:rPr>
        <w:t xml:space="preserve">à diffuser largement le rapport soumis au Comité ainsi que les présentes observations finales, dans les langues voulues, par le biais des sites </w:t>
      </w:r>
      <w:r w:rsidR="001433F6" w:rsidRPr="00946D26">
        <w:rPr>
          <w:rFonts w:eastAsia="Calibri"/>
          <w:lang w:val="fr-FR"/>
        </w:rPr>
        <w:t>W</w:t>
      </w:r>
      <w:r w:rsidR="009A0B83" w:rsidRPr="00946D26">
        <w:rPr>
          <w:rFonts w:eastAsia="Calibri"/>
          <w:lang w:val="fr-FR"/>
        </w:rPr>
        <w:t>eb officiels, des médias et des organisations non gouvernementales.</w:t>
      </w:r>
    </w:p>
    <w:p w:rsidR="00CD044C" w:rsidRPr="00806E56" w:rsidRDefault="008B0D30" w:rsidP="008B0D30">
      <w:pPr>
        <w:pStyle w:val="SingleTxtG"/>
        <w:rPr>
          <w:lang w:val="fr-FR"/>
        </w:rPr>
      </w:pPr>
      <w:r w:rsidRPr="00806E56">
        <w:rPr>
          <w:lang w:val="fr-FR"/>
        </w:rPr>
        <w:t>43.</w:t>
      </w:r>
      <w:r w:rsidRPr="00806E56">
        <w:rPr>
          <w:lang w:val="fr-FR"/>
        </w:rPr>
        <w:tab/>
      </w:r>
      <w:r w:rsidR="009A0B83" w:rsidRPr="00806E56">
        <w:rPr>
          <w:lang w:val="fr-FR"/>
        </w:rPr>
        <w:t>Le Comité invite l’État partie</w:t>
      </w:r>
      <w:r w:rsidR="0044516B" w:rsidRPr="00806E56">
        <w:rPr>
          <w:lang w:val="fr-FR"/>
        </w:rPr>
        <w:t xml:space="preserve"> </w:t>
      </w:r>
      <w:r w:rsidR="009A0B83" w:rsidRPr="00806E56">
        <w:rPr>
          <w:lang w:val="fr-FR"/>
        </w:rPr>
        <w:t>à présenter son prochain rapport périodique, qui sera le huitième, le 1</w:t>
      </w:r>
      <w:r w:rsidR="00871A3B" w:rsidRPr="00806E56">
        <w:rPr>
          <w:lang w:val="fr-FR"/>
        </w:rPr>
        <w:t>3</w:t>
      </w:r>
      <w:r w:rsidR="009A0B83" w:rsidRPr="00806E56">
        <w:rPr>
          <w:lang w:val="fr-FR"/>
        </w:rPr>
        <w:t xml:space="preserve"> mai 2020 au plus tard. À cette fin, </w:t>
      </w:r>
      <w:r w:rsidR="00A86F35">
        <w:rPr>
          <w:lang w:val="fr-FR"/>
        </w:rPr>
        <w:t xml:space="preserve">étant donné que </w:t>
      </w:r>
      <w:r w:rsidR="009A0B83" w:rsidRPr="00806E56">
        <w:rPr>
          <w:lang w:val="fr-FR"/>
        </w:rPr>
        <w:t>l’</w:t>
      </w:r>
      <w:r w:rsidR="00946D26" w:rsidRPr="00CE3B6F">
        <w:rPr>
          <w:lang w:val="fr-FR"/>
        </w:rPr>
        <w:t>État</w:t>
      </w:r>
      <w:r w:rsidR="009A0B83" w:rsidRPr="00806E56">
        <w:rPr>
          <w:lang w:val="fr-FR"/>
        </w:rPr>
        <w:t xml:space="preserve"> partie a déclaré lors de l’examen ayant donné lieu aux présentes recommandations qu’il avait accepté la procédure de rapport simplifié, le Comité adressera en temps voulu à l’État partie une liste préalable de points </w:t>
      </w:r>
      <w:r w:rsidR="007559C5" w:rsidRPr="00806E56">
        <w:rPr>
          <w:lang w:val="fr-FR"/>
        </w:rPr>
        <w:t>conformément à cette procédure.</w:t>
      </w:r>
    </w:p>
    <w:p w:rsidR="007559C5" w:rsidRPr="00806E56" w:rsidRDefault="007559C5" w:rsidP="007559C5">
      <w:pPr>
        <w:pStyle w:val="SingleTxtG"/>
        <w:spacing w:before="240" w:after="0"/>
        <w:jc w:val="center"/>
        <w:rPr>
          <w:u w:val="single"/>
          <w:lang w:val="fr-FR"/>
        </w:rPr>
      </w:pPr>
      <w:r w:rsidRPr="00806E56">
        <w:rPr>
          <w:u w:val="single"/>
          <w:lang w:val="fr-FR"/>
        </w:rPr>
        <w:tab/>
      </w:r>
      <w:r w:rsidRPr="00806E56">
        <w:rPr>
          <w:u w:val="single"/>
          <w:lang w:val="fr-FR"/>
        </w:rPr>
        <w:tab/>
      </w:r>
      <w:r w:rsidRPr="00806E56">
        <w:rPr>
          <w:u w:val="single"/>
          <w:lang w:val="fr-FR"/>
        </w:rPr>
        <w:tab/>
      </w:r>
    </w:p>
    <w:sectPr w:rsidR="007559C5" w:rsidRPr="00806E56" w:rsidSect="0044516B">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B11" w:rsidRDefault="002E7B11"/>
  </w:endnote>
  <w:endnote w:type="continuationSeparator" w:id="0">
    <w:p w:rsidR="002E7B11" w:rsidRDefault="002E7B11">
      <w:pPr>
        <w:pStyle w:val="Pieddepage"/>
      </w:pPr>
    </w:p>
  </w:endnote>
  <w:endnote w:type="continuationNotice" w:id="1">
    <w:p w:rsidR="002E7B11" w:rsidRPr="00C451B9" w:rsidRDefault="002E7B11"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E56" w:rsidRPr="000704CE" w:rsidRDefault="00806E56" w:rsidP="000704CE">
    <w:pPr>
      <w:pStyle w:val="Pieddepage"/>
      <w:tabs>
        <w:tab w:val="right" w:pos="9638"/>
      </w:tabs>
    </w:pPr>
    <w:r w:rsidRPr="000704CE">
      <w:rPr>
        <w:b/>
        <w:sz w:val="18"/>
      </w:rPr>
      <w:fldChar w:fldCharType="begin"/>
    </w:r>
    <w:r w:rsidRPr="000704CE">
      <w:rPr>
        <w:b/>
        <w:sz w:val="18"/>
      </w:rPr>
      <w:instrText xml:space="preserve"> PAGE  \* MERGEFORMAT </w:instrText>
    </w:r>
    <w:r w:rsidRPr="000704CE">
      <w:rPr>
        <w:b/>
        <w:sz w:val="18"/>
      </w:rPr>
      <w:fldChar w:fldCharType="separate"/>
    </w:r>
    <w:r w:rsidR="00787BAA">
      <w:rPr>
        <w:b/>
        <w:noProof/>
        <w:sz w:val="18"/>
      </w:rPr>
      <w:t>8</w:t>
    </w:r>
    <w:r w:rsidRPr="000704CE">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E56" w:rsidRPr="000704CE" w:rsidRDefault="00806E56" w:rsidP="000704CE">
    <w:pPr>
      <w:pStyle w:val="Pieddepage"/>
      <w:tabs>
        <w:tab w:val="right" w:pos="9638"/>
      </w:tabs>
      <w:rPr>
        <w:b/>
        <w:sz w:val="18"/>
      </w:rPr>
    </w:pPr>
    <w:r>
      <w:tab/>
    </w:r>
    <w:r w:rsidRPr="000704CE">
      <w:rPr>
        <w:b/>
        <w:sz w:val="18"/>
      </w:rPr>
      <w:fldChar w:fldCharType="begin"/>
    </w:r>
    <w:r w:rsidRPr="000704CE">
      <w:rPr>
        <w:b/>
        <w:sz w:val="18"/>
      </w:rPr>
      <w:instrText xml:space="preserve"> PAGE  \* MERGEFORMAT </w:instrText>
    </w:r>
    <w:r w:rsidRPr="000704CE">
      <w:rPr>
        <w:b/>
        <w:sz w:val="18"/>
      </w:rPr>
      <w:fldChar w:fldCharType="separate"/>
    </w:r>
    <w:r w:rsidR="00787BAA">
      <w:rPr>
        <w:b/>
        <w:noProof/>
        <w:sz w:val="18"/>
      </w:rPr>
      <w:t>9</w:t>
    </w:r>
    <w:r w:rsidRPr="000704C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E56" w:rsidRPr="00E122B6" w:rsidRDefault="00303322" w:rsidP="00303322">
    <w:pPr>
      <w:rPr>
        <w:rFonts w:ascii="C39T30Lfz" w:hAnsi="C39T30Lfz"/>
        <w:sz w:val="56"/>
      </w:rPr>
    </w:pPr>
    <w:r w:rsidRPr="00303322">
      <w:rPr>
        <w:rFonts w:eastAsiaTheme="minorHAnsi"/>
      </w:rPr>
      <w:t>GE.</w:t>
    </w:r>
    <w:r w:rsidR="00123C36">
      <w:rPr>
        <w:rFonts w:eastAsiaTheme="minorHAnsi"/>
      </w:rPr>
      <w:t>16</w:t>
    </w:r>
    <w:r w:rsidRPr="00303322">
      <w:rPr>
        <w:rFonts w:eastAsiaTheme="minorHAnsi"/>
      </w:rPr>
      <w:t>-09568  (F)</w:t>
    </w:r>
    <w:r>
      <w:t xml:space="preserve"> </w:t>
    </w:r>
    <w:r>
      <w:br/>
    </w:r>
    <w:r w:rsidR="00E122B6">
      <w:rPr>
        <w:noProof/>
        <w:lang w:eastAsia="fr-CH"/>
      </w:rPr>
      <w:drawing>
        <wp:anchor distT="0" distB="0" distL="114300" distR="114300" simplePos="0" relativeHeight="251660288" behindDoc="0" locked="0" layoutInCell="1" allowOverlap="0" wp14:anchorId="0F9BBB15" wp14:editId="6464DC1C">
          <wp:simplePos x="0" y="0"/>
          <wp:positionH relativeFrom="margin">
            <wp:posOffset>4290695</wp:posOffset>
          </wp:positionH>
          <wp:positionV relativeFrom="margin">
            <wp:posOffset>8362373</wp:posOffset>
          </wp:positionV>
          <wp:extent cx="1104900" cy="23368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33680"/>
                  </a:xfrm>
                  <a:prstGeom prst="rect">
                    <a:avLst/>
                  </a:prstGeom>
                  <a:noFill/>
                  <a:ln>
                    <a:noFill/>
                  </a:ln>
                </pic:spPr>
              </pic:pic>
            </a:graphicData>
          </a:graphic>
          <wp14:sizeRelH relativeFrom="page">
            <wp14:pctWidth>0</wp14:pctWidth>
          </wp14:sizeRelH>
          <wp14:sizeRelV relativeFrom="page">
            <wp14:pctHeight>0</wp14:pctHeight>
          </wp14:sizeRelV>
        </wp:anchor>
      </w:drawing>
    </w:r>
    <w:r w:rsidR="00E122B6">
      <w:rPr>
        <w:rFonts w:ascii="C39T30Lfz" w:hAnsi="C39T30Lfz"/>
        <w:noProof/>
        <w:sz w:val="56"/>
        <w:lang w:eastAsia="fr-CH"/>
      </w:rPr>
      <w:drawing>
        <wp:anchor distT="0" distB="0" distL="114300" distR="114300" simplePos="0" relativeHeight="251658240" behindDoc="0" locked="0" layoutInCell="1" allowOverlap="1" wp14:anchorId="0C5D02F4" wp14:editId="674709E1">
          <wp:simplePos x="0" y="0"/>
          <wp:positionH relativeFrom="column">
            <wp:posOffset>5472430</wp:posOffset>
          </wp:positionH>
          <wp:positionV relativeFrom="paragraph">
            <wp:posOffset>0</wp:posOffset>
          </wp:positionV>
          <wp:extent cx="638175" cy="638175"/>
          <wp:effectExtent l="0" t="0" r="9525" b="9525"/>
          <wp:wrapNone/>
          <wp:docPr id="2" name="Image 1" descr="http://undocs.org/m2/QRCode.ashx?DS=CAT/C/FRA/CO/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C/FRA/CO/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87BAA">
      <w:rPr>
        <w:rFonts w:ascii="C39T30Lfz" w:hAnsi="C39T30Lfz"/>
        <w:sz w:val="56"/>
      </w:rPr>
      <w:t></w:t>
    </w:r>
    <w:r w:rsidR="00787BAA">
      <w:rPr>
        <w:rFonts w:ascii="C39T30Lfz" w:hAnsi="C39T30Lfz"/>
        <w:sz w:val="56"/>
      </w:rPr>
      <w:t></w:t>
    </w:r>
    <w:r w:rsidR="00787BAA">
      <w:rPr>
        <w:rFonts w:ascii="C39T30Lfz" w:hAnsi="C39T30Lfz"/>
        <w:sz w:val="56"/>
      </w:rPr>
      <w:t></w:t>
    </w:r>
    <w:r w:rsidR="00787BAA">
      <w:rPr>
        <w:rFonts w:ascii="C39T30Lfz" w:hAnsi="C39T30Lfz"/>
        <w:sz w:val="56"/>
      </w:rPr>
      <w:t></w:t>
    </w:r>
    <w:r w:rsidR="00787BAA">
      <w:rPr>
        <w:rFonts w:ascii="C39T30Lfz" w:hAnsi="C39T30Lfz"/>
        <w:sz w:val="56"/>
      </w:rPr>
      <w:t></w:t>
    </w:r>
    <w:r w:rsidR="00787BAA">
      <w:rPr>
        <w:rFonts w:ascii="C39T30Lfz" w:hAnsi="C39T30Lfz"/>
        <w:sz w:val="56"/>
      </w:rPr>
      <w:t></w:t>
    </w:r>
    <w:r w:rsidR="00787BAA">
      <w:rPr>
        <w:rFonts w:ascii="C39T30Lfz" w:hAnsi="C39T30Lfz"/>
        <w:sz w:val="56"/>
      </w:rPr>
      <w:t></w:t>
    </w:r>
    <w:r w:rsidR="00787BAA">
      <w:rPr>
        <w:rFonts w:ascii="C39T30Lfz" w:hAnsi="C39T30Lfz"/>
        <w:sz w:val="56"/>
      </w:rPr>
      <w:t></w:t>
    </w:r>
    <w:bookmarkStart w:id="0" w:name="_GoBack"/>
    <w:bookmarkEnd w:id="0"/>
    <w:r w:rsidR="00E122B6" w:rsidRPr="00E122B6">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B11" w:rsidRPr="00D27D5E" w:rsidRDefault="002E7B11" w:rsidP="00D27D5E">
      <w:pPr>
        <w:tabs>
          <w:tab w:val="right" w:pos="2155"/>
        </w:tabs>
        <w:spacing w:after="80"/>
        <w:ind w:left="680"/>
        <w:rPr>
          <w:u w:val="single"/>
        </w:rPr>
      </w:pPr>
      <w:r>
        <w:rPr>
          <w:u w:val="single"/>
        </w:rPr>
        <w:tab/>
      </w:r>
    </w:p>
  </w:footnote>
  <w:footnote w:type="continuationSeparator" w:id="0">
    <w:p w:rsidR="002E7B11" w:rsidRPr="00D171D4" w:rsidRDefault="002E7B11" w:rsidP="00D171D4">
      <w:pPr>
        <w:tabs>
          <w:tab w:val="right" w:pos="2155"/>
        </w:tabs>
        <w:spacing w:after="80"/>
        <w:ind w:left="680"/>
        <w:rPr>
          <w:u w:val="single"/>
        </w:rPr>
      </w:pPr>
      <w:r w:rsidRPr="00D171D4">
        <w:rPr>
          <w:u w:val="single"/>
        </w:rPr>
        <w:tab/>
      </w:r>
    </w:p>
  </w:footnote>
  <w:footnote w:type="continuationNotice" w:id="1">
    <w:p w:rsidR="002E7B11" w:rsidRPr="00C451B9" w:rsidRDefault="002E7B11" w:rsidP="00C451B9">
      <w:pPr>
        <w:spacing w:line="240" w:lineRule="auto"/>
        <w:rPr>
          <w:sz w:val="2"/>
          <w:szCs w:val="2"/>
        </w:rPr>
      </w:pPr>
    </w:p>
  </w:footnote>
  <w:footnote w:id="2">
    <w:p w:rsidR="00806E56" w:rsidRPr="007559C5" w:rsidRDefault="00806E56" w:rsidP="00F81AF2">
      <w:pPr>
        <w:pStyle w:val="Notedebasdepage"/>
      </w:pPr>
      <w:r>
        <w:tab/>
      </w:r>
      <w:r w:rsidRPr="00806E56">
        <w:rPr>
          <w:rStyle w:val="Appelnotedebasdep"/>
          <w:sz w:val="20"/>
          <w:vertAlign w:val="baseline"/>
        </w:rPr>
        <w:t>*</w:t>
      </w:r>
      <w:r w:rsidRPr="00C27945">
        <w:tab/>
      </w:r>
      <w:r>
        <w:t>Adopté</w:t>
      </w:r>
      <w:r w:rsidRPr="00FA5A54">
        <w:t>es</w:t>
      </w:r>
      <w:r>
        <w:t xml:space="preserve"> par le Comité à sa cinquante-septième session (18 avril-13 mai 2016).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E56" w:rsidRPr="007559C5" w:rsidRDefault="00806E56">
    <w:pPr>
      <w:pStyle w:val="En-tte"/>
      <w:rPr>
        <w:lang w:val="en-GB"/>
      </w:rPr>
    </w:pPr>
    <w:r w:rsidRPr="007559C5">
      <w:rPr>
        <w:lang w:val="en-GB"/>
      </w:rPr>
      <w:t>CAT/C/FRA/CO/7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E56" w:rsidRPr="007559C5" w:rsidRDefault="00806E56" w:rsidP="00806E56">
    <w:pPr>
      <w:pStyle w:val="En-tte"/>
      <w:jc w:val="right"/>
      <w:rPr>
        <w:lang w:val="en-GB"/>
      </w:rPr>
    </w:pPr>
    <w:r w:rsidRPr="007559C5">
      <w:rPr>
        <w:lang w:val="en-GB"/>
      </w:rPr>
      <w:t>CAT/C/FRA/CO/7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BAA" w:rsidRDefault="00787BA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5CEA"/>
    <w:multiLevelType w:val="hybridMultilevel"/>
    <w:tmpl w:val="A296C0F8"/>
    <w:lvl w:ilvl="0" w:tplc="9E8E544C">
      <w:start w:val="1"/>
      <w:numFmt w:val="decimal"/>
      <w:lvlText w:val="%1."/>
      <w:lvlJc w:val="left"/>
      <w:pPr>
        <w:ind w:left="1832" w:hanging="555"/>
      </w:pPr>
      <w:rPr>
        <w:rFonts w:hint="default"/>
        <w:b w:val="0"/>
        <w:i w:val="0"/>
        <w:color w:val="auto"/>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3"/>
  </w:num>
  <w:num w:numId="2">
    <w:abstractNumId w:val="2"/>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fr-CH"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89A"/>
    <w:rsid w:val="0000044C"/>
    <w:rsid w:val="00005512"/>
    <w:rsid w:val="000101E3"/>
    <w:rsid w:val="000101E9"/>
    <w:rsid w:val="0001470D"/>
    <w:rsid w:val="000160E6"/>
    <w:rsid w:val="00016165"/>
    <w:rsid w:val="00016AC5"/>
    <w:rsid w:val="00021907"/>
    <w:rsid w:val="000233A5"/>
    <w:rsid w:val="000236D2"/>
    <w:rsid w:val="00023FBB"/>
    <w:rsid w:val="0002445D"/>
    <w:rsid w:val="00024C50"/>
    <w:rsid w:val="00025E92"/>
    <w:rsid w:val="000276A3"/>
    <w:rsid w:val="00032060"/>
    <w:rsid w:val="00032AB1"/>
    <w:rsid w:val="00032CCC"/>
    <w:rsid w:val="000340AE"/>
    <w:rsid w:val="00040539"/>
    <w:rsid w:val="00040598"/>
    <w:rsid w:val="00040738"/>
    <w:rsid w:val="00047F10"/>
    <w:rsid w:val="00052032"/>
    <w:rsid w:val="00052157"/>
    <w:rsid w:val="000522AA"/>
    <w:rsid w:val="00052C41"/>
    <w:rsid w:val="000531E2"/>
    <w:rsid w:val="0005346D"/>
    <w:rsid w:val="00055FE4"/>
    <w:rsid w:val="00057AF2"/>
    <w:rsid w:val="00063930"/>
    <w:rsid w:val="000641CE"/>
    <w:rsid w:val="00067310"/>
    <w:rsid w:val="00067B58"/>
    <w:rsid w:val="000704CE"/>
    <w:rsid w:val="000716E1"/>
    <w:rsid w:val="00071CC1"/>
    <w:rsid w:val="00077E35"/>
    <w:rsid w:val="00083296"/>
    <w:rsid w:val="00086129"/>
    <w:rsid w:val="0008669E"/>
    <w:rsid w:val="00090599"/>
    <w:rsid w:val="00094627"/>
    <w:rsid w:val="000951D1"/>
    <w:rsid w:val="000A1501"/>
    <w:rsid w:val="000A2494"/>
    <w:rsid w:val="000A2685"/>
    <w:rsid w:val="000A41E8"/>
    <w:rsid w:val="000A6B7E"/>
    <w:rsid w:val="000A6BC8"/>
    <w:rsid w:val="000B59D4"/>
    <w:rsid w:val="000B71C2"/>
    <w:rsid w:val="000C6CDB"/>
    <w:rsid w:val="000D0B1B"/>
    <w:rsid w:val="000D5044"/>
    <w:rsid w:val="000D5C25"/>
    <w:rsid w:val="000E3135"/>
    <w:rsid w:val="000E4E65"/>
    <w:rsid w:val="000E4F06"/>
    <w:rsid w:val="000E5601"/>
    <w:rsid w:val="000F41F2"/>
    <w:rsid w:val="000F59EF"/>
    <w:rsid w:val="000F6E9F"/>
    <w:rsid w:val="00101F5B"/>
    <w:rsid w:val="0010373B"/>
    <w:rsid w:val="00103B84"/>
    <w:rsid w:val="001110A3"/>
    <w:rsid w:val="0011505B"/>
    <w:rsid w:val="00115336"/>
    <w:rsid w:val="00117CC6"/>
    <w:rsid w:val="00120D14"/>
    <w:rsid w:val="00121ED7"/>
    <w:rsid w:val="00123C36"/>
    <w:rsid w:val="0012529D"/>
    <w:rsid w:val="00125446"/>
    <w:rsid w:val="00130D70"/>
    <w:rsid w:val="001358D9"/>
    <w:rsid w:val="00141E26"/>
    <w:rsid w:val="001433F6"/>
    <w:rsid w:val="00143EB9"/>
    <w:rsid w:val="00144664"/>
    <w:rsid w:val="00145852"/>
    <w:rsid w:val="001469C7"/>
    <w:rsid w:val="00147154"/>
    <w:rsid w:val="001514F5"/>
    <w:rsid w:val="0015389C"/>
    <w:rsid w:val="00160540"/>
    <w:rsid w:val="00166C68"/>
    <w:rsid w:val="00172409"/>
    <w:rsid w:val="00172727"/>
    <w:rsid w:val="00174814"/>
    <w:rsid w:val="00180928"/>
    <w:rsid w:val="00181071"/>
    <w:rsid w:val="00181A90"/>
    <w:rsid w:val="00184466"/>
    <w:rsid w:val="00185D95"/>
    <w:rsid w:val="00186E4D"/>
    <w:rsid w:val="00190D5D"/>
    <w:rsid w:val="00192EEB"/>
    <w:rsid w:val="00194484"/>
    <w:rsid w:val="00197DD5"/>
    <w:rsid w:val="001A2040"/>
    <w:rsid w:val="001A20FB"/>
    <w:rsid w:val="001A376F"/>
    <w:rsid w:val="001A5784"/>
    <w:rsid w:val="001B09BB"/>
    <w:rsid w:val="001B6036"/>
    <w:rsid w:val="001C1B89"/>
    <w:rsid w:val="001C1FD7"/>
    <w:rsid w:val="001C3D8D"/>
    <w:rsid w:val="001C6497"/>
    <w:rsid w:val="001D7F8A"/>
    <w:rsid w:val="001E0447"/>
    <w:rsid w:val="001E1495"/>
    <w:rsid w:val="001E34CB"/>
    <w:rsid w:val="001E3FEB"/>
    <w:rsid w:val="001E4541"/>
    <w:rsid w:val="001E4A02"/>
    <w:rsid w:val="001E4E3F"/>
    <w:rsid w:val="001E4E6A"/>
    <w:rsid w:val="001E5065"/>
    <w:rsid w:val="001E653B"/>
    <w:rsid w:val="001E6DF0"/>
    <w:rsid w:val="001F1BA7"/>
    <w:rsid w:val="001F3E68"/>
    <w:rsid w:val="001F4931"/>
    <w:rsid w:val="00200CBA"/>
    <w:rsid w:val="002031C3"/>
    <w:rsid w:val="00204B66"/>
    <w:rsid w:val="002059CE"/>
    <w:rsid w:val="00205CD9"/>
    <w:rsid w:val="00206AD4"/>
    <w:rsid w:val="00224B8B"/>
    <w:rsid w:val="00225A8C"/>
    <w:rsid w:val="00230421"/>
    <w:rsid w:val="00231A7F"/>
    <w:rsid w:val="0023347A"/>
    <w:rsid w:val="002340B3"/>
    <w:rsid w:val="00237775"/>
    <w:rsid w:val="00237AC5"/>
    <w:rsid w:val="00241C3A"/>
    <w:rsid w:val="00241F56"/>
    <w:rsid w:val="00242BBD"/>
    <w:rsid w:val="0024586F"/>
    <w:rsid w:val="00246538"/>
    <w:rsid w:val="00246BC8"/>
    <w:rsid w:val="00251F95"/>
    <w:rsid w:val="00252317"/>
    <w:rsid w:val="0025397E"/>
    <w:rsid w:val="00254444"/>
    <w:rsid w:val="002627DC"/>
    <w:rsid w:val="002659F1"/>
    <w:rsid w:val="002672B3"/>
    <w:rsid w:val="00271E41"/>
    <w:rsid w:val="0027294A"/>
    <w:rsid w:val="00284C19"/>
    <w:rsid w:val="0028588A"/>
    <w:rsid w:val="00286E23"/>
    <w:rsid w:val="002876A1"/>
    <w:rsid w:val="00287CA6"/>
    <w:rsid w:val="00287E79"/>
    <w:rsid w:val="002928F9"/>
    <w:rsid w:val="00294D5B"/>
    <w:rsid w:val="00296072"/>
    <w:rsid w:val="002A2A2C"/>
    <w:rsid w:val="002A5D07"/>
    <w:rsid w:val="002B3E87"/>
    <w:rsid w:val="002B4A42"/>
    <w:rsid w:val="002B7667"/>
    <w:rsid w:val="002C192C"/>
    <w:rsid w:val="002C3DC7"/>
    <w:rsid w:val="002C68AB"/>
    <w:rsid w:val="002D25CA"/>
    <w:rsid w:val="002D2BDA"/>
    <w:rsid w:val="002D3147"/>
    <w:rsid w:val="002D3DA4"/>
    <w:rsid w:val="002D52A8"/>
    <w:rsid w:val="002D781B"/>
    <w:rsid w:val="002E08FD"/>
    <w:rsid w:val="002E2F5C"/>
    <w:rsid w:val="002E3B59"/>
    <w:rsid w:val="002E4B16"/>
    <w:rsid w:val="002E6294"/>
    <w:rsid w:val="002E6FFF"/>
    <w:rsid w:val="002E7B11"/>
    <w:rsid w:val="002F0C48"/>
    <w:rsid w:val="002F34F2"/>
    <w:rsid w:val="002F4736"/>
    <w:rsid w:val="002F5552"/>
    <w:rsid w:val="002F5616"/>
    <w:rsid w:val="00301100"/>
    <w:rsid w:val="003016B7"/>
    <w:rsid w:val="003021BB"/>
    <w:rsid w:val="00303322"/>
    <w:rsid w:val="0030754C"/>
    <w:rsid w:val="00316B47"/>
    <w:rsid w:val="00317E54"/>
    <w:rsid w:val="003219ED"/>
    <w:rsid w:val="00322DF1"/>
    <w:rsid w:val="00323FF8"/>
    <w:rsid w:val="00324EBF"/>
    <w:rsid w:val="0032556C"/>
    <w:rsid w:val="003272DB"/>
    <w:rsid w:val="00330508"/>
    <w:rsid w:val="0033286A"/>
    <w:rsid w:val="00333130"/>
    <w:rsid w:val="00346E32"/>
    <w:rsid w:val="00347C84"/>
    <w:rsid w:val="003515AA"/>
    <w:rsid w:val="003516B0"/>
    <w:rsid w:val="003557D3"/>
    <w:rsid w:val="0036246B"/>
    <w:rsid w:val="0036384C"/>
    <w:rsid w:val="00364F0F"/>
    <w:rsid w:val="00364F13"/>
    <w:rsid w:val="0036776C"/>
    <w:rsid w:val="00372A7A"/>
    <w:rsid w:val="00372D1D"/>
    <w:rsid w:val="00374106"/>
    <w:rsid w:val="0037679A"/>
    <w:rsid w:val="00377075"/>
    <w:rsid w:val="0038047C"/>
    <w:rsid w:val="003805E5"/>
    <w:rsid w:val="003909FE"/>
    <w:rsid w:val="00390EEF"/>
    <w:rsid w:val="00394410"/>
    <w:rsid w:val="003961E8"/>
    <w:rsid w:val="003976D5"/>
    <w:rsid w:val="003A0276"/>
    <w:rsid w:val="003A028F"/>
    <w:rsid w:val="003A07E7"/>
    <w:rsid w:val="003A79FD"/>
    <w:rsid w:val="003B131E"/>
    <w:rsid w:val="003B53B6"/>
    <w:rsid w:val="003B5DC7"/>
    <w:rsid w:val="003C1D13"/>
    <w:rsid w:val="003C4F11"/>
    <w:rsid w:val="003D6C68"/>
    <w:rsid w:val="003E01D0"/>
    <w:rsid w:val="003E1411"/>
    <w:rsid w:val="003E49B9"/>
    <w:rsid w:val="003E5F12"/>
    <w:rsid w:val="003E739C"/>
    <w:rsid w:val="003E786C"/>
    <w:rsid w:val="003F0B90"/>
    <w:rsid w:val="003F2A89"/>
    <w:rsid w:val="003F401F"/>
    <w:rsid w:val="003F4A54"/>
    <w:rsid w:val="003F7818"/>
    <w:rsid w:val="0040144C"/>
    <w:rsid w:val="004067AE"/>
    <w:rsid w:val="004070AE"/>
    <w:rsid w:val="00407DB2"/>
    <w:rsid w:val="00410521"/>
    <w:rsid w:val="004110B2"/>
    <w:rsid w:val="0041381F"/>
    <w:rsid w:val="00413BB0"/>
    <w:rsid w:val="004159D0"/>
    <w:rsid w:val="00417326"/>
    <w:rsid w:val="00420E4A"/>
    <w:rsid w:val="0042202A"/>
    <w:rsid w:val="00422499"/>
    <w:rsid w:val="00422B34"/>
    <w:rsid w:val="00423A27"/>
    <w:rsid w:val="004342E2"/>
    <w:rsid w:val="00434354"/>
    <w:rsid w:val="004363C5"/>
    <w:rsid w:val="00440BC8"/>
    <w:rsid w:val="00443120"/>
    <w:rsid w:val="0044516B"/>
    <w:rsid w:val="00447E36"/>
    <w:rsid w:val="00450536"/>
    <w:rsid w:val="0045493F"/>
    <w:rsid w:val="00454F8D"/>
    <w:rsid w:val="00454FEE"/>
    <w:rsid w:val="004567EB"/>
    <w:rsid w:val="00460E72"/>
    <w:rsid w:val="00461BA6"/>
    <w:rsid w:val="00464CBA"/>
    <w:rsid w:val="0046662C"/>
    <w:rsid w:val="00467412"/>
    <w:rsid w:val="00470635"/>
    <w:rsid w:val="00473B20"/>
    <w:rsid w:val="00475D98"/>
    <w:rsid w:val="00476265"/>
    <w:rsid w:val="0048265C"/>
    <w:rsid w:val="00485839"/>
    <w:rsid w:val="00490F56"/>
    <w:rsid w:val="00490F99"/>
    <w:rsid w:val="00491F39"/>
    <w:rsid w:val="004A49A5"/>
    <w:rsid w:val="004A66A2"/>
    <w:rsid w:val="004B3591"/>
    <w:rsid w:val="004B51CD"/>
    <w:rsid w:val="004C54C0"/>
    <w:rsid w:val="004C56B2"/>
    <w:rsid w:val="004C5E85"/>
    <w:rsid w:val="004C5FEA"/>
    <w:rsid w:val="004C76B5"/>
    <w:rsid w:val="004C76DF"/>
    <w:rsid w:val="004D00B2"/>
    <w:rsid w:val="004D4898"/>
    <w:rsid w:val="004E4963"/>
    <w:rsid w:val="004E54DD"/>
    <w:rsid w:val="004E6809"/>
    <w:rsid w:val="004E7F24"/>
    <w:rsid w:val="005005CA"/>
    <w:rsid w:val="005111B1"/>
    <w:rsid w:val="0051457E"/>
    <w:rsid w:val="0051714B"/>
    <w:rsid w:val="00520F80"/>
    <w:rsid w:val="0052370F"/>
    <w:rsid w:val="005239FF"/>
    <w:rsid w:val="00523DB8"/>
    <w:rsid w:val="00524D41"/>
    <w:rsid w:val="00525FB8"/>
    <w:rsid w:val="00533150"/>
    <w:rsid w:val="00533B5D"/>
    <w:rsid w:val="00535287"/>
    <w:rsid w:val="00535E75"/>
    <w:rsid w:val="005379F6"/>
    <w:rsid w:val="00543B57"/>
    <w:rsid w:val="00543C47"/>
    <w:rsid w:val="00543D5E"/>
    <w:rsid w:val="00545A07"/>
    <w:rsid w:val="00547D44"/>
    <w:rsid w:val="00552260"/>
    <w:rsid w:val="00552777"/>
    <w:rsid w:val="00555494"/>
    <w:rsid w:val="00555CBA"/>
    <w:rsid w:val="00565B29"/>
    <w:rsid w:val="005714E3"/>
    <w:rsid w:val="00571BC1"/>
    <w:rsid w:val="00571F41"/>
    <w:rsid w:val="00573299"/>
    <w:rsid w:val="00575476"/>
    <w:rsid w:val="00584373"/>
    <w:rsid w:val="00591DB3"/>
    <w:rsid w:val="005939ED"/>
    <w:rsid w:val="005947BC"/>
    <w:rsid w:val="00595E8A"/>
    <w:rsid w:val="005A0268"/>
    <w:rsid w:val="005A069E"/>
    <w:rsid w:val="005A5F2B"/>
    <w:rsid w:val="005A6014"/>
    <w:rsid w:val="005B1B39"/>
    <w:rsid w:val="005B37C9"/>
    <w:rsid w:val="005B473C"/>
    <w:rsid w:val="005B7BB2"/>
    <w:rsid w:val="005C0695"/>
    <w:rsid w:val="005C0717"/>
    <w:rsid w:val="005C0FC2"/>
    <w:rsid w:val="005C549A"/>
    <w:rsid w:val="005D470D"/>
    <w:rsid w:val="005D7719"/>
    <w:rsid w:val="005E1B9B"/>
    <w:rsid w:val="005E1E99"/>
    <w:rsid w:val="005E26F0"/>
    <w:rsid w:val="005E2992"/>
    <w:rsid w:val="005E32D1"/>
    <w:rsid w:val="005E5D1F"/>
    <w:rsid w:val="00603033"/>
    <w:rsid w:val="0060533C"/>
    <w:rsid w:val="0061113B"/>
    <w:rsid w:val="00611D43"/>
    <w:rsid w:val="00612D48"/>
    <w:rsid w:val="00613A5E"/>
    <w:rsid w:val="0061690E"/>
    <w:rsid w:val="00616B45"/>
    <w:rsid w:val="0061721B"/>
    <w:rsid w:val="00621706"/>
    <w:rsid w:val="00622764"/>
    <w:rsid w:val="006241C6"/>
    <w:rsid w:val="00626B35"/>
    <w:rsid w:val="00630D9B"/>
    <w:rsid w:val="00631953"/>
    <w:rsid w:val="0063208D"/>
    <w:rsid w:val="00636970"/>
    <w:rsid w:val="00643814"/>
    <w:rsid w:val="006439EC"/>
    <w:rsid w:val="00643B4B"/>
    <w:rsid w:val="00645090"/>
    <w:rsid w:val="0064581F"/>
    <w:rsid w:val="00647059"/>
    <w:rsid w:val="00647162"/>
    <w:rsid w:val="0065029A"/>
    <w:rsid w:val="0065188F"/>
    <w:rsid w:val="00654F96"/>
    <w:rsid w:val="00657376"/>
    <w:rsid w:val="00657AB5"/>
    <w:rsid w:val="00661279"/>
    <w:rsid w:val="00661E96"/>
    <w:rsid w:val="00665786"/>
    <w:rsid w:val="00671C93"/>
    <w:rsid w:val="00671F00"/>
    <w:rsid w:val="006729C8"/>
    <w:rsid w:val="00674D48"/>
    <w:rsid w:val="00675501"/>
    <w:rsid w:val="00675CDE"/>
    <w:rsid w:val="0068562A"/>
    <w:rsid w:val="006A0DBA"/>
    <w:rsid w:val="006A13E8"/>
    <w:rsid w:val="006A254F"/>
    <w:rsid w:val="006A49E8"/>
    <w:rsid w:val="006A5981"/>
    <w:rsid w:val="006A6B31"/>
    <w:rsid w:val="006A6C95"/>
    <w:rsid w:val="006A7B29"/>
    <w:rsid w:val="006B0EB2"/>
    <w:rsid w:val="006B0FF8"/>
    <w:rsid w:val="006B1EDE"/>
    <w:rsid w:val="006B4590"/>
    <w:rsid w:val="006B5F4D"/>
    <w:rsid w:val="006C07A0"/>
    <w:rsid w:val="006C340C"/>
    <w:rsid w:val="006D77C5"/>
    <w:rsid w:val="006F109E"/>
    <w:rsid w:val="006F1D0B"/>
    <w:rsid w:val="006F27A8"/>
    <w:rsid w:val="006F3493"/>
    <w:rsid w:val="006F3544"/>
    <w:rsid w:val="006F39E0"/>
    <w:rsid w:val="006F60B0"/>
    <w:rsid w:val="0070347C"/>
    <w:rsid w:val="00707987"/>
    <w:rsid w:val="007102D2"/>
    <w:rsid w:val="00710CAD"/>
    <w:rsid w:val="00714A66"/>
    <w:rsid w:val="007176C1"/>
    <w:rsid w:val="00720BC0"/>
    <w:rsid w:val="0072116B"/>
    <w:rsid w:val="00724B0C"/>
    <w:rsid w:val="00724CBF"/>
    <w:rsid w:val="00725063"/>
    <w:rsid w:val="00732E72"/>
    <w:rsid w:val="007332B3"/>
    <w:rsid w:val="00740937"/>
    <w:rsid w:val="00741D90"/>
    <w:rsid w:val="0074479A"/>
    <w:rsid w:val="0074799A"/>
    <w:rsid w:val="007559C5"/>
    <w:rsid w:val="00757BD8"/>
    <w:rsid w:val="0076043E"/>
    <w:rsid w:val="007607B1"/>
    <w:rsid w:val="00765296"/>
    <w:rsid w:val="00765468"/>
    <w:rsid w:val="007661F0"/>
    <w:rsid w:val="00766D28"/>
    <w:rsid w:val="00766EC6"/>
    <w:rsid w:val="007723C2"/>
    <w:rsid w:val="00777C13"/>
    <w:rsid w:val="007815B9"/>
    <w:rsid w:val="00782572"/>
    <w:rsid w:val="00785F1F"/>
    <w:rsid w:val="007867CB"/>
    <w:rsid w:val="00786C85"/>
    <w:rsid w:val="00787BAA"/>
    <w:rsid w:val="00790034"/>
    <w:rsid w:val="00790B9D"/>
    <w:rsid w:val="00792BA7"/>
    <w:rsid w:val="00793316"/>
    <w:rsid w:val="00796316"/>
    <w:rsid w:val="007A1C58"/>
    <w:rsid w:val="007A20D2"/>
    <w:rsid w:val="007A2A7E"/>
    <w:rsid w:val="007A2B3F"/>
    <w:rsid w:val="007A7445"/>
    <w:rsid w:val="007A79CD"/>
    <w:rsid w:val="007B4955"/>
    <w:rsid w:val="007B5502"/>
    <w:rsid w:val="007B61E8"/>
    <w:rsid w:val="007C4561"/>
    <w:rsid w:val="007D04B1"/>
    <w:rsid w:val="007D074C"/>
    <w:rsid w:val="007D218F"/>
    <w:rsid w:val="007D2668"/>
    <w:rsid w:val="007D3119"/>
    <w:rsid w:val="007F1867"/>
    <w:rsid w:val="007F1EC4"/>
    <w:rsid w:val="007F55CB"/>
    <w:rsid w:val="007F768E"/>
    <w:rsid w:val="007F7D6A"/>
    <w:rsid w:val="008021D4"/>
    <w:rsid w:val="00803C1D"/>
    <w:rsid w:val="00806E56"/>
    <w:rsid w:val="008101A7"/>
    <w:rsid w:val="00810E11"/>
    <w:rsid w:val="008149F9"/>
    <w:rsid w:val="0081537E"/>
    <w:rsid w:val="0081625A"/>
    <w:rsid w:val="008204A2"/>
    <w:rsid w:val="00822AA6"/>
    <w:rsid w:val="008245B7"/>
    <w:rsid w:val="008256E3"/>
    <w:rsid w:val="0082755E"/>
    <w:rsid w:val="00831A18"/>
    <w:rsid w:val="00833FBF"/>
    <w:rsid w:val="00835B70"/>
    <w:rsid w:val="00835E0D"/>
    <w:rsid w:val="00837345"/>
    <w:rsid w:val="00840A14"/>
    <w:rsid w:val="00844750"/>
    <w:rsid w:val="00846884"/>
    <w:rsid w:val="00847D88"/>
    <w:rsid w:val="00850983"/>
    <w:rsid w:val="00851A74"/>
    <w:rsid w:val="00853AB8"/>
    <w:rsid w:val="00854C34"/>
    <w:rsid w:val="0085586A"/>
    <w:rsid w:val="00857C91"/>
    <w:rsid w:val="00860C86"/>
    <w:rsid w:val="00862961"/>
    <w:rsid w:val="00863658"/>
    <w:rsid w:val="00871A3B"/>
    <w:rsid w:val="008824BA"/>
    <w:rsid w:val="00887EB3"/>
    <w:rsid w:val="00895DE5"/>
    <w:rsid w:val="00895E70"/>
    <w:rsid w:val="008A0FA8"/>
    <w:rsid w:val="008A1EC0"/>
    <w:rsid w:val="008A7BAC"/>
    <w:rsid w:val="008B0D30"/>
    <w:rsid w:val="008B31D9"/>
    <w:rsid w:val="008B44C4"/>
    <w:rsid w:val="008B765B"/>
    <w:rsid w:val="008C322B"/>
    <w:rsid w:val="008C4B74"/>
    <w:rsid w:val="008D1156"/>
    <w:rsid w:val="008D59DB"/>
    <w:rsid w:val="008E0319"/>
    <w:rsid w:val="008E1193"/>
    <w:rsid w:val="008E33C0"/>
    <w:rsid w:val="008E3C5B"/>
    <w:rsid w:val="008E4DE2"/>
    <w:rsid w:val="008E7CE2"/>
    <w:rsid w:val="008E7FAE"/>
    <w:rsid w:val="008F4936"/>
    <w:rsid w:val="00911BF7"/>
    <w:rsid w:val="00911FC7"/>
    <w:rsid w:val="00913DB3"/>
    <w:rsid w:val="0091594A"/>
    <w:rsid w:val="009230F1"/>
    <w:rsid w:val="0093211C"/>
    <w:rsid w:val="009337C4"/>
    <w:rsid w:val="009340A0"/>
    <w:rsid w:val="00934E7B"/>
    <w:rsid w:val="00935490"/>
    <w:rsid w:val="009418DE"/>
    <w:rsid w:val="0094465F"/>
    <w:rsid w:val="009454E4"/>
    <w:rsid w:val="00946D26"/>
    <w:rsid w:val="009516B7"/>
    <w:rsid w:val="009577E7"/>
    <w:rsid w:val="00957BC5"/>
    <w:rsid w:val="00957CE5"/>
    <w:rsid w:val="009624E2"/>
    <w:rsid w:val="009647BC"/>
    <w:rsid w:val="00976E47"/>
    <w:rsid w:val="00977EC8"/>
    <w:rsid w:val="00991EFD"/>
    <w:rsid w:val="009A0B83"/>
    <w:rsid w:val="009A3048"/>
    <w:rsid w:val="009A3617"/>
    <w:rsid w:val="009A6C26"/>
    <w:rsid w:val="009B17AD"/>
    <w:rsid w:val="009B2F96"/>
    <w:rsid w:val="009B3031"/>
    <w:rsid w:val="009B3F8C"/>
    <w:rsid w:val="009B45E0"/>
    <w:rsid w:val="009B540F"/>
    <w:rsid w:val="009C2623"/>
    <w:rsid w:val="009C4391"/>
    <w:rsid w:val="009D15EB"/>
    <w:rsid w:val="009D3A8C"/>
    <w:rsid w:val="009E1BA9"/>
    <w:rsid w:val="009E2876"/>
    <w:rsid w:val="009E2F0B"/>
    <w:rsid w:val="009E7956"/>
    <w:rsid w:val="009F072F"/>
    <w:rsid w:val="009F26C1"/>
    <w:rsid w:val="009F3F95"/>
    <w:rsid w:val="00A023FC"/>
    <w:rsid w:val="00A0338D"/>
    <w:rsid w:val="00A05142"/>
    <w:rsid w:val="00A05DD1"/>
    <w:rsid w:val="00A077E9"/>
    <w:rsid w:val="00A16568"/>
    <w:rsid w:val="00A22E80"/>
    <w:rsid w:val="00A2389A"/>
    <w:rsid w:val="00A2492E"/>
    <w:rsid w:val="00A258AE"/>
    <w:rsid w:val="00A31163"/>
    <w:rsid w:val="00A326A2"/>
    <w:rsid w:val="00A34593"/>
    <w:rsid w:val="00A34850"/>
    <w:rsid w:val="00A360BB"/>
    <w:rsid w:val="00A364DB"/>
    <w:rsid w:val="00A37F78"/>
    <w:rsid w:val="00A45E90"/>
    <w:rsid w:val="00A468CE"/>
    <w:rsid w:val="00A4770F"/>
    <w:rsid w:val="00A50D6B"/>
    <w:rsid w:val="00A50EE4"/>
    <w:rsid w:val="00A51050"/>
    <w:rsid w:val="00A52978"/>
    <w:rsid w:val="00A55B90"/>
    <w:rsid w:val="00A56945"/>
    <w:rsid w:val="00A57027"/>
    <w:rsid w:val="00A5750C"/>
    <w:rsid w:val="00A64AC6"/>
    <w:rsid w:val="00A72486"/>
    <w:rsid w:val="00A72B04"/>
    <w:rsid w:val="00A72C35"/>
    <w:rsid w:val="00A752BB"/>
    <w:rsid w:val="00A81766"/>
    <w:rsid w:val="00A81F93"/>
    <w:rsid w:val="00A84D75"/>
    <w:rsid w:val="00A867CF"/>
    <w:rsid w:val="00A86F35"/>
    <w:rsid w:val="00A87164"/>
    <w:rsid w:val="00A877AA"/>
    <w:rsid w:val="00A9247E"/>
    <w:rsid w:val="00A929EE"/>
    <w:rsid w:val="00AA0499"/>
    <w:rsid w:val="00AA43D9"/>
    <w:rsid w:val="00AA7796"/>
    <w:rsid w:val="00AC14FF"/>
    <w:rsid w:val="00AC1C85"/>
    <w:rsid w:val="00AC67A1"/>
    <w:rsid w:val="00AC7977"/>
    <w:rsid w:val="00AC7E56"/>
    <w:rsid w:val="00AD33A0"/>
    <w:rsid w:val="00AD5ED8"/>
    <w:rsid w:val="00AE1655"/>
    <w:rsid w:val="00AE2096"/>
    <w:rsid w:val="00AE2617"/>
    <w:rsid w:val="00AE30BC"/>
    <w:rsid w:val="00AE352C"/>
    <w:rsid w:val="00AE5882"/>
    <w:rsid w:val="00AE79AC"/>
    <w:rsid w:val="00B01AAD"/>
    <w:rsid w:val="00B03648"/>
    <w:rsid w:val="00B101DB"/>
    <w:rsid w:val="00B133CE"/>
    <w:rsid w:val="00B21751"/>
    <w:rsid w:val="00B24757"/>
    <w:rsid w:val="00B256F0"/>
    <w:rsid w:val="00B27A54"/>
    <w:rsid w:val="00B31D7D"/>
    <w:rsid w:val="00B32E2D"/>
    <w:rsid w:val="00B370D6"/>
    <w:rsid w:val="00B43741"/>
    <w:rsid w:val="00B45642"/>
    <w:rsid w:val="00B46FAE"/>
    <w:rsid w:val="00B52F29"/>
    <w:rsid w:val="00B53220"/>
    <w:rsid w:val="00B5388D"/>
    <w:rsid w:val="00B55C55"/>
    <w:rsid w:val="00B61983"/>
    <w:rsid w:val="00B61990"/>
    <w:rsid w:val="00B6249B"/>
    <w:rsid w:val="00B70CCD"/>
    <w:rsid w:val="00B7144E"/>
    <w:rsid w:val="00B75E66"/>
    <w:rsid w:val="00B773BF"/>
    <w:rsid w:val="00B81809"/>
    <w:rsid w:val="00B8246A"/>
    <w:rsid w:val="00B86907"/>
    <w:rsid w:val="00B94D63"/>
    <w:rsid w:val="00BA03A2"/>
    <w:rsid w:val="00BB1B73"/>
    <w:rsid w:val="00BB4F37"/>
    <w:rsid w:val="00BB5E34"/>
    <w:rsid w:val="00BC3F20"/>
    <w:rsid w:val="00BC449B"/>
    <w:rsid w:val="00BC5C83"/>
    <w:rsid w:val="00BD28B2"/>
    <w:rsid w:val="00BD3A64"/>
    <w:rsid w:val="00BD3D0C"/>
    <w:rsid w:val="00BD5A8D"/>
    <w:rsid w:val="00BD7343"/>
    <w:rsid w:val="00BE13A5"/>
    <w:rsid w:val="00BE2801"/>
    <w:rsid w:val="00BE69FF"/>
    <w:rsid w:val="00BF0556"/>
    <w:rsid w:val="00BF3045"/>
    <w:rsid w:val="00BF37EE"/>
    <w:rsid w:val="00BF4807"/>
    <w:rsid w:val="00BF6981"/>
    <w:rsid w:val="00C024A1"/>
    <w:rsid w:val="00C02C42"/>
    <w:rsid w:val="00C0445D"/>
    <w:rsid w:val="00C10FB1"/>
    <w:rsid w:val="00C11282"/>
    <w:rsid w:val="00C14108"/>
    <w:rsid w:val="00C21247"/>
    <w:rsid w:val="00C233F0"/>
    <w:rsid w:val="00C261F8"/>
    <w:rsid w:val="00C26E6A"/>
    <w:rsid w:val="00C27662"/>
    <w:rsid w:val="00C27945"/>
    <w:rsid w:val="00C33100"/>
    <w:rsid w:val="00C4273B"/>
    <w:rsid w:val="00C451B9"/>
    <w:rsid w:val="00C477B2"/>
    <w:rsid w:val="00C50566"/>
    <w:rsid w:val="00C51AB5"/>
    <w:rsid w:val="00C51D9C"/>
    <w:rsid w:val="00C54DA4"/>
    <w:rsid w:val="00C55118"/>
    <w:rsid w:val="00C577D1"/>
    <w:rsid w:val="00C57A2D"/>
    <w:rsid w:val="00C6018C"/>
    <w:rsid w:val="00C63D51"/>
    <w:rsid w:val="00C67B07"/>
    <w:rsid w:val="00C67D23"/>
    <w:rsid w:val="00C71827"/>
    <w:rsid w:val="00C7345C"/>
    <w:rsid w:val="00C809C4"/>
    <w:rsid w:val="00C825E5"/>
    <w:rsid w:val="00C95EB8"/>
    <w:rsid w:val="00C964B8"/>
    <w:rsid w:val="00CA6E00"/>
    <w:rsid w:val="00CB02C5"/>
    <w:rsid w:val="00CB1BF5"/>
    <w:rsid w:val="00CB39CD"/>
    <w:rsid w:val="00CC421F"/>
    <w:rsid w:val="00CC5A30"/>
    <w:rsid w:val="00CC7CE6"/>
    <w:rsid w:val="00CD044C"/>
    <w:rsid w:val="00CD1A71"/>
    <w:rsid w:val="00CD1FBB"/>
    <w:rsid w:val="00CD734F"/>
    <w:rsid w:val="00CE033D"/>
    <w:rsid w:val="00CE06FD"/>
    <w:rsid w:val="00CE08E5"/>
    <w:rsid w:val="00CE3B6F"/>
    <w:rsid w:val="00CF1036"/>
    <w:rsid w:val="00CF24E1"/>
    <w:rsid w:val="00CF30AE"/>
    <w:rsid w:val="00CF3B5B"/>
    <w:rsid w:val="00CF6B6F"/>
    <w:rsid w:val="00D016B5"/>
    <w:rsid w:val="00D034F1"/>
    <w:rsid w:val="00D14F42"/>
    <w:rsid w:val="00D171D4"/>
    <w:rsid w:val="00D24F62"/>
    <w:rsid w:val="00D27D5E"/>
    <w:rsid w:val="00D303F2"/>
    <w:rsid w:val="00D3276B"/>
    <w:rsid w:val="00D32B08"/>
    <w:rsid w:val="00D32D9F"/>
    <w:rsid w:val="00D35C07"/>
    <w:rsid w:val="00D4064E"/>
    <w:rsid w:val="00D407D1"/>
    <w:rsid w:val="00D41F51"/>
    <w:rsid w:val="00D42BEC"/>
    <w:rsid w:val="00D43E5F"/>
    <w:rsid w:val="00D46654"/>
    <w:rsid w:val="00D47DE4"/>
    <w:rsid w:val="00D51CE6"/>
    <w:rsid w:val="00D639BD"/>
    <w:rsid w:val="00D65777"/>
    <w:rsid w:val="00D66378"/>
    <w:rsid w:val="00D66E0D"/>
    <w:rsid w:val="00D675C8"/>
    <w:rsid w:val="00D7425A"/>
    <w:rsid w:val="00D74F7E"/>
    <w:rsid w:val="00D7685D"/>
    <w:rsid w:val="00D7695F"/>
    <w:rsid w:val="00D9039B"/>
    <w:rsid w:val="00D910B7"/>
    <w:rsid w:val="00D931F2"/>
    <w:rsid w:val="00D93582"/>
    <w:rsid w:val="00D978D1"/>
    <w:rsid w:val="00DA41A2"/>
    <w:rsid w:val="00DA43A1"/>
    <w:rsid w:val="00DA5E1D"/>
    <w:rsid w:val="00DA61A6"/>
    <w:rsid w:val="00DB0313"/>
    <w:rsid w:val="00DC031C"/>
    <w:rsid w:val="00DC0A54"/>
    <w:rsid w:val="00DC11C1"/>
    <w:rsid w:val="00DC1EC8"/>
    <w:rsid w:val="00DC4F43"/>
    <w:rsid w:val="00DC60FC"/>
    <w:rsid w:val="00DD17B4"/>
    <w:rsid w:val="00DD1FEE"/>
    <w:rsid w:val="00DD2D94"/>
    <w:rsid w:val="00DE0376"/>
    <w:rsid w:val="00DE2696"/>
    <w:rsid w:val="00DE6D90"/>
    <w:rsid w:val="00DE7F74"/>
    <w:rsid w:val="00DF002F"/>
    <w:rsid w:val="00DF03A5"/>
    <w:rsid w:val="00E0244D"/>
    <w:rsid w:val="00E026DF"/>
    <w:rsid w:val="00E02F48"/>
    <w:rsid w:val="00E03712"/>
    <w:rsid w:val="00E06B3F"/>
    <w:rsid w:val="00E10A73"/>
    <w:rsid w:val="00E11FFC"/>
    <w:rsid w:val="00E122B6"/>
    <w:rsid w:val="00E14F27"/>
    <w:rsid w:val="00E151C4"/>
    <w:rsid w:val="00E171D2"/>
    <w:rsid w:val="00E21EFC"/>
    <w:rsid w:val="00E23F41"/>
    <w:rsid w:val="00E23F83"/>
    <w:rsid w:val="00E25534"/>
    <w:rsid w:val="00E25CB1"/>
    <w:rsid w:val="00E30C72"/>
    <w:rsid w:val="00E319B6"/>
    <w:rsid w:val="00E32145"/>
    <w:rsid w:val="00E32F5A"/>
    <w:rsid w:val="00E36D41"/>
    <w:rsid w:val="00E510F3"/>
    <w:rsid w:val="00E51CD7"/>
    <w:rsid w:val="00E56A36"/>
    <w:rsid w:val="00E57C97"/>
    <w:rsid w:val="00E60012"/>
    <w:rsid w:val="00E60479"/>
    <w:rsid w:val="00E62CFF"/>
    <w:rsid w:val="00E6623A"/>
    <w:rsid w:val="00E665EE"/>
    <w:rsid w:val="00E679AE"/>
    <w:rsid w:val="00E71570"/>
    <w:rsid w:val="00E73B13"/>
    <w:rsid w:val="00E74EFD"/>
    <w:rsid w:val="00E75C58"/>
    <w:rsid w:val="00E76819"/>
    <w:rsid w:val="00E8151C"/>
    <w:rsid w:val="00E81E94"/>
    <w:rsid w:val="00E82607"/>
    <w:rsid w:val="00E83043"/>
    <w:rsid w:val="00E84A82"/>
    <w:rsid w:val="00E85025"/>
    <w:rsid w:val="00E9286E"/>
    <w:rsid w:val="00E9483E"/>
    <w:rsid w:val="00E96710"/>
    <w:rsid w:val="00EA0220"/>
    <w:rsid w:val="00EA3B1D"/>
    <w:rsid w:val="00EA70FB"/>
    <w:rsid w:val="00EA725F"/>
    <w:rsid w:val="00EB64D0"/>
    <w:rsid w:val="00EB77B9"/>
    <w:rsid w:val="00EB7D07"/>
    <w:rsid w:val="00ED09F3"/>
    <w:rsid w:val="00ED0D3F"/>
    <w:rsid w:val="00ED3A26"/>
    <w:rsid w:val="00EE3727"/>
    <w:rsid w:val="00EE45AA"/>
    <w:rsid w:val="00EF70BB"/>
    <w:rsid w:val="00F02A24"/>
    <w:rsid w:val="00F02FA9"/>
    <w:rsid w:val="00F05BDB"/>
    <w:rsid w:val="00F06660"/>
    <w:rsid w:val="00F116EB"/>
    <w:rsid w:val="00F1224A"/>
    <w:rsid w:val="00F1346C"/>
    <w:rsid w:val="00F176B8"/>
    <w:rsid w:val="00F1794E"/>
    <w:rsid w:val="00F2062F"/>
    <w:rsid w:val="00F211AF"/>
    <w:rsid w:val="00F25EC3"/>
    <w:rsid w:val="00F32ADB"/>
    <w:rsid w:val="00F32C98"/>
    <w:rsid w:val="00F33A31"/>
    <w:rsid w:val="00F37E12"/>
    <w:rsid w:val="00F424BD"/>
    <w:rsid w:val="00F42770"/>
    <w:rsid w:val="00F515AD"/>
    <w:rsid w:val="00F57895"/>
    <w:rsid w:val="00F57DD7"/>
    <w:rsid w:val="00F636AD"/>
    <w:rsid w:val="00F65C63"/>
    <w:rsid w:val="00F72B88"/>
    <w:rsid w:val="00F73158"/>
    <w:rsid w:val="00F734D9"/>
    <w:rsid w:val="00F73F83"/>
    <w:rsid w:val="00F74902"/>
    <w:rsid w:val="00F80DF1"/>
    <w:rsid w:val="00F81AF2"/>
    <w:rsid w:val="00F838C1"/>
    <w:rsid w:val="00F85A4E"/>
    <w:rsid w:val="00F904DE"/>
    <w:rsid w:val="00F90999"/>
    <w:rsid w:val="00F92D5A"/>
    <w:rsid w:val="00F9353A"/>
    <w:rsid w:val="00F955FB"/>
    <w:rsid w:val="00F965C2"/>
    <w:rsid w:val="00F96A94"/>
    <w:rsid w:val="00F97275"/>
    <w:rsid w:val="00FA1A30"/>
    <w:rsid w:val="00FA27D4"/>
    <w:rsid w:val="00FA29C7"/>
    <w:rsid w:val="00FA3222"/>
    <w:rsid w:val="00FA33FF"/>
    <w:rsid w:val="00FA5A54"/>
    <w:rsid w:val="00FA5A79"/>
    <w:rsid w:val="00FA7573"/>
    <w:rsid w:val="00FB0BFE"/>
    <w:rsid w:val="00FB4300"/>
    <w:rsid w:val="00FB4C51"/>
    <w:rsid w:val="00FB734D"/>
    <w:rsid w:val="00FC649B"/>
    <w:rsid w:val="00FD02A2"/>
    <w:rsid w:val="00FD5E64"/>
    <w:rsid w:val="00FD6CBE"/>
    <w:rsid w:val="00FD7985"/>
    <w:rsid w:val="00FE6526"/>
    <w:rsid w:val="00FE69DC"/>
    <w:rsid w:val="00FE7CC8"/>
    <w:rsid w:val="00FF1DBD"/>
    <w:rsid w:val="00FF1E4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5A8C"/>
    <w:pPr>
      <w:suppressAutoHyphens/>
      <w:spacing w:line="240" w:lineRule="atLeast"/>
    </w:pPr>
    <w:rPr>
      <w:lang w:val="fr-CH" w:eastAsia="en-US"/>
    </w:rPr>
  </w:style>
  <w:style w:type="paragraph" w:styleId="Titre1">
    <w:name w:val="heading 1"/>
    <w:aliases w:val="Table_G"/>
    <w:basedOn w:val="SingleTxtG"/>
    <w:next w:val="SingleTxtG"/>
    <w:qFormat/>
    <w:rsid w:val="00A50D6B"/>
    <w:pPr>
      <w:keepNext/>
      <w:keepLines/>
      <w:spacing w:after="0" w:line="240" w:lineRule="auto"/>
      <w:ind w:right="0"/>
      <w:jc w:val="left"/>
      <w:outlineLvl w:val="0"/>
    </w:pPr>
  </w:style>
  <w:style w:type="paragraph" w:styleId="Titre2">
    <w:name w:val="heading 2"/>
    <w:basedOn w:val="Normal"/>
    <w:next w:val="Normal"/>
    <w:qFormat/>
    <w:rsid w:val="00287E79"/>
    <w:pPr>
      <w:outlineLvl w:val="1"/>
    </w:pPr>
  </w:style>
  <w:style w:type="paragraph" w:styleId="Titre3">
    <w:name w:val="heading 3"/>
    <w:basedOn w:val="Normal"/>
    <w:next w:val="Normal"/>
    <w:qFormat/>
    <w:rsid w:val="00287E79"/>
    <w:pPr>
      <w:outlineLvl w:val="2"/>
    </w:pPr>
  </w:style>
  <w:style w:type="paragraph" w:styleId="Titre4">
    <w:name w:val="heading 4"/>
    <w:basedOn w:val="Normal"/>
    <w:next w:val="Normal"/>
    <w:qFormat/>
    <w:pPr>
      <w:outlineLvl w:val="3"/>
    </w:pPr>
  </w:style>
  <w:style w:type="paragraph" w:styleId="Titre5">
    <w:name w:val="heading 5"/>
    <w:basedOn w:val="Normal"/>
    <w:next w:val="Normal"/>
    <w:qFormat/>
    <w:pPr>
      <w:outlineLvl w:val="4"/>
    </w:pPr>
  </w:style>
  <w:style w:type="paragraph" w:styleId="Titre6">
    <w:name w:val="heading 6"/>
    <w:basedOn w:val="Normal"/>
    <w:next w:val="Normal"/>
    <w:qFormat/>
    <w:pPr>
      <w:outlineLvl w:val="5"/>
    </w:pPr>
  </w:style>
  <w:style w:type="paragraph" w:styleId="Titre7">
    <w:name w:val="heading 7"/>
    <w:basedOn w:val="Normal"/>
    <w:next w:val="Normal"/>
    <w:qFormat/>
    <w:pPr>
      <w:outlineLvl w:val="6"/>
    </w:pPr>
  </w:style>
  <w:style w:type="paragraph" w:styleId="Titre8">
    <w:name w:val="heading 8"/>
    <w:basedOn w:val="Normal"/>
    <w:next w:val="Normal"/>
    <w:qFormat/>
    <w:pPr>
      <w:outlineLvl w:val="7"/>
    </w:pPr>
  </w:style>
  <w:style w:type="paragraph" w:styleId="Titre9">
    <w:name w:val="heading 9"/>
    <w:basedOn w:val="Normal"/>
    <w:next w:val="Normal"/>
    <w:qFormat/>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rsid w:val="001D7F8A"/>
    <w:pPr>
      <w:spacing w:after="120"/>
      <w:ind w:left="1134" w:right="1134"/>
      <w:jc w:val="both"/>
    </w:pPr>
  </w:style>
  <w:style w:type="paragraph" w:styleId="Notedefin">
    <w:name w:val="endnote text"/>
    <w:aliases w:val="2_G"/>
    <w:basedOn w:val="Notedebasdepage"/>
    <w:rsid w:val="00D016B5"/>
  </w:style>
  <w:style w:type="paragraph" w:styleId="Notedebasdepage">
    <w:name w:val="footnote text"/>
    <w:aliases w:val="5_G"/>
    <w:basedOn w:val="Normal"/>
    <w:link w:val="NotedebasdepageCar"/>
    <w:rsid w:val="00C10FB1"/>
    <w:pPr>
      <w:tabs>
        <w:tab w:val="right" w:pos="1021"/>
      </w:tabs>
      <w:spacing w:line="220" w:lineRule="exact"/>
      <w:ind w:left="1134" w:right="1134" w:hanging="1134"/>
    </w:pPr>
    <w:rPr>
      <w:sz w:val="18"/>
    </w:rPr>
  </w:style>
  <w:style w:type="paragraph" w:styleId="Pieddepage">
    <w:name w:val="footer"/>
    <w:aliases w:val="3_G"/>
    <w:basedOn w:val="Normal"/>
    <w:next w:val="Normal"/>
    <w:rsid w:val="001D7F8A"/>
    <w:pPr>
      <w:spacing w:line="240" w:lineRule="auto"/>
    </w:pPr>
    <w:rPr>
      <w:sz w:val="16"/>
    </w:rPr>
  </w:style>
  <w:style w:type="character" w:styleId="Appeldenotedefin">
    <w:name w:val="endnote reference"/>
    <w:aliases w:val="1_G"/>
    <w:rsid w:val="00D016B5"/>
    <w:rPr>
      <w:rFonts w:ascii="Times New Roman" w:hAnsi="Times New Roman"/>
      <w:sz w:val="18"/>
      <w:vertAlign w:val="superscript"/>
      <w:lang w:val="fr-CH"/>
    </w:rPr>
  </w:style>
  <w:style w:type="character" w:styleId="Appelnotedebasdep">
    <w:name w:val="footnote reference"/>
    <w:aliases w:val="4_G"/>
    <w:rsid w:val="00D016B5"/>
    <w:rPr>
      <w:rFonts w:ascii="Times New Roman" w:hAnsi="Times New Roman"/>
      <w:sz w:val="18"/>
      <w:vertAlign w:val="superscript"/>
      <w:lang w:val="fr-CH"/>
    </w:rPr>
  </w:style>
  <w:style w:type="character" w:styleId="Numrodepage">
    <w:name w:val="page number"/>
    <w:aliases w:val="7_G"/>
    <w:rsid w:val="00287E79"/>
    <w:rPr>
      <w:rFonts w:ascii="Times New Roman" w:hAnsi="Times New Roman"/>
      <w:b/>
      <w:sz w:val="18"/>
      <w:lang w:val="fr-CH"/>
    </w:rPr>
  </w:style>
  <w:style w:type="paragraph" w:styleId="En-tte">
    <w:name w:val="header"/>
    <w:aliases w:val="6_G"/>
    <w:basedOn w:val="Normal"/>
    <w:next w:val="Normal"/>
    <w:rsid w:val="007723C2"/>
    <w:pPr>
      <w:pBdr>
        <w:bottom w:val="single" w:sz="4" w:space="4" w:color="auto"/>
      </w:pBdr>
      <w:spacing w:line="240" w:lineRule="auto"/>
    </w:pPr>
    <w:rPr>
      <w:b/>
      <w:sz w:val="18"/>
    </w:rPr>
  </w:style>
  <w:style w:type="paragraph" w:customStyle="1" w:styleId="H1G">
    <w:name w:val="_ H_1_G"/>
    <w:basedOn w:val="Normal"/>
    <w:next w:val="Normal"/>
    <w:rsid w:val="00D016B5"/>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D016B5"/>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D016B5"/>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D016B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016B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016B5"/>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1D7F8A"/>
    <w:pPr>
      <w:keepNext/>
      <w:keepLines/>
      <w:spacing w:before="240" w:after="240" w:line="420" w:lineRule="exact"/>
      <w:ind w:left="1134" w:right="1134"/>
    </w:pPr>
    <w:rPr>
      <w:b/>
      <w:sz w:val="40"/>
    </w:rPr>
  </w:style>
  <w:style w:type="paragraph" w:customStyle="1" w:styleId="SLG">
    <w:name w:val="__S_L_G"/>
    <w:basedOn w:val="Normal"/>
    <w:next w:val="Normal"/>
    <w:rsid w:val="001D7F8A"/>
    <w:pPr>
      <w:keepNext/>
      <w:keepLines/>
      <w:spacing w:before="240" w:after="240" w:line="580" w:lineRule="exact"/>
      <w:ind w:left="1134" w:right="1134"/>
    </w:pPr>
    <w:rPr>
      <w:b/>
      <w:sz w:val="56"/>
    </w:rPr>
  </w:style>
  <w:style w:type="paragraph" w:customStyle="1" w:styleId="SSG">
    <w:name w:val="__S_S_G"/>
    <w:basedOn w:val="Normal"/>
    <w:next w:val="Normal"/>
    <w:rsid w:val="001D7F8A"/>
    <w:pPr>
      <w:keepNext/>
      <w:keepLines/>
      <w:spacing w:before="240" w:after="240" w:line="300" w:lineRule="exact"/>
      <w:ind w:left="1134" w:right="1134"/>
    </w:pPr>
    <w:rPr>
      <w:b/>
      <w:sz w:val="28"/>
    </w:rPr>
  </w:style>
  <w:style w:type="paragraph" w:customStyle="1" w:styleId="XLargeG">
    <w:name w:val="__XLarge_G"/>
    <w:basedOn w:val="Normal"/>
    <w:next w:val="Normal"/>
    <w:rsid w:val="001D7F8A"/>
    <w:pPr>
      <w:keepNext/>
      <w:keepLines/>
      <w:spacing w:before="240" w:after="240" w:line="420" w:lineRule="exact"/>
      <w:ind w:left="1134" w:right="1134"/>
    </w:pPr>
    <w:rPr>
      <w:b/>
      <w:sz w:val="40"/>
    </w:rPr>
  </w:style>
  <w:style w:type="paragraph" w:customStyle="1" w:styleId="Bullet1G">
    <w:name w:val="_Bullet 1_G"/>
    <w:basedOn w:val="Normal"/>
    <w:rsid w:val="00D016B5"/>
    <w:pPr>
      <w:numPr>
        <w:numId w:val="1"/>
      </w:numPr>
      <w:spacing w:after="120"/>
      <w:ind w:right="1134"/>
      <w:jc w:val="both"/>
    </w:pPr>
  </w:style>
  <w:style w:type="paragraph" w:customStyle="1" w:styleId="Bullet2G">
    <w:name w:val="_Bullet 2_G"/>
    <w:basedOn w:val="Normal"/>
    <w:rsid w:val="00D016B5"/>
    <w:pPr>
      <w:numPr>
        <w:numId w:val="2"/>
      </w:numPr>
      <w:spacing w:after="120"/>
      <w:ind w:right="1134"/>
      <w:jc w:val="both"/>
    </w:pPr>
  </w:style>
  <w:style w:type="table" w:styleId="Grilledutableau">
    <w:name w:val="Table Grid"/>
    <w:basedOn w:val="TableauNormal"/>
    <w:semiHidden/>
    <w:rsid w:val="00372D1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arNoG">
    <w:name w:val="_ParNo_G"/>
    <w:basedOn w:val="SingleTxtG"/>
    <w:rsid w:val="002D781B"/>
    <w:pPr>
      <w:numPr>
        <w:numId w:val="3"/>
      </w:numPr>
    </w:pPr>
  </w:style>
  <w:style w:type="character" w:styleId="Lienhypertexte">
    <w:name w:val="Hyperlink"/>
    <w:semiHidden/>
    <w:rsid w:val="00491F39"/>
    <w:rPr>
      <w:color w:val="auto"/>
      <w:u w:val="none"/>
    </w:rPr>
  </w:style>
  <w:style w:type="character" w:styleId="Lienhypertextesuivivisit">
    <w:name w:val="FollowedHyperlink"/>
    <w:semiHidden/>
    <w:rsid w:val="00491F39"/>
    <w:rPr>
      <w:color w:val="auto"/>
      <w:u w:val="none"/>
    </w:rPr>
  </w:style>
  <w:style w:type="paragraph" w:customStyle="1" w:styleId="Default">
    <w:name w:val="Default"/>
    <w:rsid w:val="009A0B83"/>
    <w:pPr>
      <w:autoSpaceDE w:val="0"/>
      <w:autoSpaceDN w:val="0"/>
      <w:adjustRightInd w:val="0"/>
    </w:pPr>
    <w:rPr>
      <w:color w:val="000000"/>
      <w:sz w:val="24"/>
      <w:szCs w:val="24"/>
    </w:rPr>
  </w:style>
  <w:style w:type="paragraph" w:styleId="Paragraphedeliste">
    <w:name w:val="List Paragraph"/>
    <w:basedOn w:val="Normal"/>
    <w:uiPriority w:val="34"/>
    <w:qFormat/>
    <w:rsid w:val="009A0B83"/>
    <w:pPr>
      <w:ind w:left="720"/>
    </w:pPr>
  </w:style>
  <w:style w:type="paragraph" w:styleId="Textedebulles">
    <w:name w:val="Balloon Text"/>
    <w:basedOn w:val="Normal"/>
    <w:link w:val="TextedebullesCar"/>
    <w:rsid w:val="005714E3"/>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5714E3"/>
    <w:rPr>
      <w:rFonts w:ascii="Tahoma" w:hAnsi="Tahoma" w:cs="Tahoma"/>
      <w:sz w:val="16"/>
      <w:szCs w:val="16"/>
      <w:lang w:val="fr-CH" w:eastAsia="en-US"/>
    </w:rPr>
  </w:style>
  <w:style w:type="character" w:customStyle="1" w:styleId="NotedebasdepageCar">
    <w:name w:val="Note de bas de page Car"/>
    <w:aliases w:val="5_G Car"/>
    <w:basedOn w:val="Policepardfaut"/>
    <w:link w:val="Notedebasdepage"/>
    <w:rsid w:val="00F81AF2"/>
    <w:rPr>
      <w:sz w:val="18"/>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5A8C"/>
    <w:pPr>
      <w:suppressAutoHyphens/>
      <w:spacing w:line="240" w:lineRule="atLeast"/>
    </w:pPr>
    <w:rPr>
      <w:lang w:val="fr-CH" w:eastAsia="en-US"/>
    </w:rPr>
  </w:style>
  <w:style w:type="paragraph" w:styleId="Titre1">
    <w:name w:val="heading 1"/>
    <w:aliases w:val="Table_G"/>
    <w:basedOn w:val="SingleTxtG"/>
    <w:next w:val="SingleTxtG"/>
    <w:qFormat/>
    <w:rsid w:val="00A50D6B"/>
    <w:pPr>
      <w:keepNext/>
      <w:keepLines/>
      <w:spacing w:after="0" w:line="240" w:lineRule="auto"/>
      <w:ind w:right="0"/>
      <w:jc w:val="left"/>
      <w:outlineLvl w:val="0"/>
    </w:pPr>
  </w:style>
  <w:style w:type="paragraph" w:styleId="Titre2">
    <w:name w:val="heading 2"/>
    <w:basedOn w:val="Normal"/>
    <w:next w:val="Normal"/>
    <w:qFormat/>
    <w:rsid w:val="00287E79"/>
    <w:pPr>
      <w:outlineLvl w:val="1"/>
    </w:pPr>
  </w:style>
  <w:style w:type="paragraph" w:styleId="Titre3">
    <w:name w:val="heading 3"/>
    <w:basedOn w:val="Normal"/>
    <w:next w:val="Normal"/>
    <w:qFormat/>
    <w:rsid w:val="00287E79"/>
    <w:pPr>
      <w:outlineLvl w:val="2"/>
    </w:pPr>
  </w:style>
  <w:style w:type="paragraph" w:styleId="Titre4">
    <w:name w:val="heading 4"/>
    <w:basedOn w:val="Normal"/>
    <w:next w:val="Normal"/>
    <w:qFormat/>
    <w:pPr>
      <w:outlineLvl w:val="3"/>
    </w:pPr>
  </w:style>
  <w:style w:type="paragraph" w:styleId="Titre5">
    <w:name w:val="heading 5"/>
    <w:basedOn w:val="Normal"/>
    <w:next w:val="Normal"/>
    <w:qFormat/>
    <w:pPr>
      <w:outlineLvl w:val="4"/>
    </w:pPr>
  </w:style>
  <w:style w:type="paragraph" w:styleId="Titre6">
    <w:name w:val="heading 6"/>
    <w:basedOn w:val="Normal"/>
    <w:next w:val="Normal"/>
    <w:qFormat/>
    <w:pPr>
      <w:outlineLvl w:val="5"/>
    </w:pPr>
  </w:style>
  <w:style w:type="paragraph" w:styleId="Titre7">
    <w:name w:val="heading 7"/>
    <w:basedOn w:val="Normal"/>
    <w:next w:val="Normal"/>
    <w:qFormat/>
    <w:pPr>
      <w:outlineLvl w:val="6"/>
    </w:pPr>
  </w:style>
  <w:style w:type="paragraph" w:styleId="Titre8">
    <w:name w:val="heading 8"/>
    <w:basedOn w:val="Normal"/>
    <w:next w:val="Normal"/>
    <w:qFormat/>
    <w:pPr>
      <w:outlineLvl w:val="7"/>
    </w:pPr>
  </w:style>
  <w:style w:type="paragraph" w:styleId="Titre9">
    <w:name w:val="heading 9"/>
    <w:basedOn w:val="Normal"/>
    <w:next w:val="Normal"/>
    <w:qFormat/>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rsid w:val="001D7F8A"/>
    <w:pPr>
      <w:spacing w:after="120"/>
      <w:ind w:left="1134" w:right="1134"/>
      <w:jc w:val="both"/>
    </w:pPr>
  </w:style>
  <w:style w:type="paragraph" w:styleId="Notedefin">
    <w:name w:val="endnote text"/>
    <w:aliases w:val="2_G"/>
    <w:basedOn w:val="Notedebasdepage"/>
    <w:rsid w:val="00D016B5"/>
  </w:style>
  <w:style w:type="paragraph" w:styleId="Notedebasdepage">
    <w:name w:val="footnote text"/>
    <w:aliases w:val="5_G"/>
    <w:basedOn w:val="Normal"/>
    <w:link w:val="NotedebasdepageCar"/>
    <w:rsid w:val="00C10FB1"/>
    <w:pPr>
      <w:tabs>
        <w:tab w:val="right" w:pos="1021"/>
      </w:tabs>
      <w:spacing w:line="220" w:lineRule="exact"/>
      <w:ind w:left="1134" w:right="1134" w:hanging="1134"/>
    </w:pPr>
    <w:rPr>
      <w:sz w:val="18"/>
    </w:rPr>
  </w:style>
  <w:style w:type="paragraph" w:styleId="Pieddepage">
    <w:name w:val="footer"/>
    <w:aliases w:val="3_G"/>
    <w:basedOn w:val="Normal"/>
    <w:next w:val="Normal"/>
    <w:rsid w:val="001D7F8A"/>
    <w:pPr>
      <w:spacing w:line="240" w:lineRule="auto"/>
    </w:pPr>
    <w:rPr>
      <w:sz w:val="16"/>
    </w:rPr>
  </w:style>
  <w:style w:type="character" w:styleId="Appeldenotedefin">
    <w:name w:val="endnote reference"/>
    <w:aliases w:val="1_G"/>
    <w:rsid w:val="00D016B5"/>
    <w:rPr>
      <w:rFonts w:ascii="Times New Roman" w:hAnsi="Times New Roman"/>
      <w:sz w:val="18"/>
      <w:vertAlign w:val="superscript"/>
      <w:lang w:val="fr-CH"/>
    </w:rPr>
  </w:style>
  <w:style w:type="character" w:styleId="Appelnotedebasdep">
    <w:name w:val="footnote reference"/>
    <w:aliases w:val="4_G"/>
    <w:rsid w:val="00D016B5"/>
    <w:rPr>
      <w:rFonts w:ascii="Times New Roman" w:hAnsi="Times New Roman"/>
      <w:sz w:val="18"/>
      <w:vertAlign w:val="superscript"/>
      <w:lang w:val="fr-CH"/>
    </w:rPr>
  </w:style>
  <w:style w:type="character" w:styleId="Numrodepage">
    <w:name w:val="page number"/>
    <w:aliases w:val="7_G"/>
    <w:rsid w:val="00287E79"/>
    <w:rPr>
      <w:rFonts w:ascii="Times New Roman" w:hAnsi="Times New Roman"/>
      <w:b/>
      <w:sz w:val="18"/>
      <w:lang w:val="fr-CH"/>
    </w:rPr>
  </w:style>
  <w:style w:type="paragraph" w:styleId="En-tte">
    <w:name w:val="header"/>
    <w:aliases w:val="6_G"/>
    <w:basedOn w:val="Normal"/>
    <w:next w:val="Normal"/>
    <w:rsid w:val="007723C2"/>
    <w:pPr>
      <w:pBdr>
        <w:bottom w:val="single" w:sz="4" w:space="4" w:color="auto"/>
      </w:pBdr>
      <w:spacing w:line="240" w:lineRule="auto"/>
    </w:pPr>
    <w:rPr>
      <w:b/>
      <w:sz w:val="18"/>
    </w:rPr>
  </w:style>
  <w:style w:type="paragraph" w:customStyle="1" w:styleId="H1G">
    <w:name w:val="_ H_1_G"/>
    <w:basedOn w:val="Normal"/>
    <w:next w:val="Normal"/>
    <w:rsid w:val="00D016B5"/>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D016B5"/>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D016B5"/>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D016B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016B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016B5"/>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1D7F8A"/>
    <w:pPr>
      <w:keepNext/>
      <w:keepLines/>
      <w:spacing w:before="240" w:after="240" w:line="420" w:lineRule="exact"/>
      <w:ind w:left="1134" w:right="1134"/>
    </w:pPr>
    <w:rPr>
      <w:b/>
      <w:sz w:val="40"/>
    </w:rPr>
  </w:style>
  <w:style w:type="paragraph" w:customStyle="1" w:styleId="SLG">
    <w:name w:val="__S_L_G"/>
    <w:basedOn w:val="Normal"/>
    <w:next w:val="Normal"/>
    <w:rsid w:val="001D7F8A"/>
    <w:pPr>
      <w:keepNext/>
      <w:keepLines/>
      <w:spacing w:before="240" w:after="240" w:line="580" w:lineRule="exact"/>
      <w:ind w:left="1134" w:right="1134"/>
    </w:pPr>
    <w:rPr>
      <w:b/>
      <w:sz w:val="56"/>
    </w:rPr>
  </w:style>
  <w:style w:type="paragraph" w:customStyle="1" w:styleId="SSG">
    <w:name w:val="__S_S_G"/>
    <w:basedOn w:val="Normal"/>
    <w:next w:val="Normal"/>
    <w:rsid w:val="001D7F8A"/>
    <w:pPr>
      <w:keepNext/>
      <w:keepLines/>
      <w:spacing w:before="240" w:after="240" w:line="300" w:lineRule="exact"/>
      <w:ind w:left="1134" w:right="1134"/>
    </w:pPr>
    <w:rPr>
      <w:b/>
      <w:sz w:val="28"/>
    </w:rPr>
  </w:style>
  <w:style w:type="paragraph" w:customStyle="1" w:styleId="XLargeG">
    <w:name w:val="__XLarge_G"/>
    <w:basedOn w:val="Normal"/>
    <w:next w:val="Normal"/>
    <w:rsid w:val="001D7F8A"/>
    <w:pPr>
      <w:keepNext/>
      <w:keepLines/>
      <w:spacing w:before="240" w:after="240" w:line="420" w:lineRule="exact"/>
      <w:ind w:left="1134" w:right="1134"/>
    </w:pPr>
    <w:rPr>
      <w:b/>
      <w:sz w:val="40"/>
    </w:rPr>
  </w:style>
  <w:style w:type="paragraph" w:customStyle="1" w:styleId="Bullet1G">
    <w:name w:val="_Bullet 1_G"/>
    <w:basedOn w:val="Normal"/>
    <w:rsid w:val="00D016B5"/>
    <w:pPr>
      <w:numPr>
        <w:numId w:val="1"/>
      </w:numPr>
      <w:spacing w:after="120"/>
      <w:ind w:right="1134"/>
      <w:jc w:val="both"/>
    </w:pPr>
  </w:style>
  <w:style w:type="paragraph" w:customStyle="1" w:styleId="Bullet2G">
    <w:name w:val="_Bullet 2_G"/>
    <w:basedOn w:val="Normal"/>
    <w:rsid w:val="00D016B5"/>
    <w:pPr>
      <w:numPr>
        <w:numId w:val="2"/>
      </w:numPr>
      <w:spacing w:after="120"/>
      <w:ind w:right="1134"/>
      <w:jc w:val="both"/>
    </w:pPr>
  </w:style>
  <w:style w:type="table" w:styleId="Grilledutableau">
    <w:name w:val="Table Grid"/>
    <w:basedOn w:val="TableauNormal"/>
    <w:semiHidden/>
    <w:rsid w:val="00372D1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arNoG">
    <w:name w:val="_ParNo_G"/>
    <w:basedOn w:val="SingleTxtG"/>
    <w:rsid w:val="002D781B"/>
    <w:pPr>
      <w:numPr>
        <w:numId w:val="3"/>
      </w:numPr>
    </w:pPr>
  </w:style>
  <w:style w:type="character" w:styleId="Lienhypertexte">
    <w:name w:val="Hyperlink"/>
    <w:semiHidden/>
    <w:rsid w:val="00491F39"/>
    <w:rPr>
      <w:color w:val="auto"/>
      <w:u w:val="none"/>
    </w:rPr>
  </w:style>
  <w:style w:type="character" w:styleId="Lienhypertextesuivivisit">
    <w:name w:val="FollowedHyperlink"/>
    <w:semiHidden/>
    <w:rsid w:val="00491F39"/>
    <w:rPr>
      <w:color w:val="auto"/>
      <w:u w:val="none"/>
    </w:rPr>
  </w:style>
  <w:style w:type="paragraph" w:customStyle="1" w:styleId="Default">
    <w:name w:val="Default"/>
    <w:rsid w:val="009A0B83"/>
    <w:pPr>
      <w:autoSpaceDE w:val="0"/>
      <w:autoSpaceDN w:val="0"/>
      <w:adjustRightInd w:val="0"/>
    </w:pPr>
    <w:rPr>
      <w:color w:val="000000"/>
      <w:sz w:val="24"/>
      <w:szCs w:val="24"/>
    </w:rPr>
  </w:style>
  <w:style w:type="paragraph" w:styleId="Paragraphedeliste">
    <w:name w:val="List Paragraph"/>
    <w:basedOn w:val="Normal"/>
    <w:uiPriority w:val="34"/>
    <w:qFormat/>
    <w:rsid w:val="009A0B83"/>
    <w:pPr>
      <w:ind w:left="720"/>
    </w:pPr>
  </w:style>
  <w:style w:type="paragraph" w:styleId="Textedebulles">
    <w:name w:val="Balloon Text"/>
    <w:basedOn w:val="Normal"/>
    <w:link w:val="TextedebullesCar"/>
    <w:rsid w:val="005714E3"/>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5714E3"/>
    <w:rPr>
      <w:rFonts w:ascii="Tahoma" w:hAnsi="Tahoma" w:cs="Tahoma"/>
      <w:sz w:val="16"/>
      <w:szCs w:val="16"/>
      <w:lang w:val="fr-CH" w:eastAsia="en-US"/>
    </w:rPr>
  </w:style>
  <w:style w:type="character" w:customStyle="1" w:styleId="NotedebasdepageCar">
    <w:name w:val="Note de bas de page Car"/>
    <w:aliases w:val="5_G Car"/>
    <w:basedOn w:val="Policepardfaut"/>
    <w:link w:val="Notedebasdepage"/>
    <w:rsid w:val="00F81AF2"/>
    <w:rPr>
      <w:sz w:val="18"/>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F5C9D-89F3-44C9-9B6F-C5EDFF4DB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4584</Words>
  <Characters>25213</Characters>
  <Application>Microsoft Office Word</Application>
  <DocSecurity>0</DocSecurity>
  <Lines>210</Lines>
  <Paragraphs>59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CAT/C/FRA/CO/7</vt:lpstr>
      <vt:lpstr>CAT/C/FRA/CO/R.7</vt:lpstr>
    </vt:vector>
  </TitlesOfParts>
  <Company>CSD</Company>
  <LinksUpToDate>false</LinksUpToDate>
  <CharactersWithSpaces>29738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CAT/C/FRA/CO/7</dc:title>
  <dc:subject>Final</dc:subject>
  <dc:creator>Nath V.</dc:creator>
  <cp:lastModifiedBy>Nath V.</cp:lastModifiedBy>
  <cp:revision>3</cp:revision>
  <cp:lastPrinted>2016-06-14T05:21:00Z</cp:lastPrinted>
  <dcterms:created xsi:type="dcterms:W3CDTF">2016-06-14T05:21:00Z</dcterms:created>
  <dcterms:modified xsi:type="dcterms:W3CDTF">2016-06-14T05:21:00Z</dcterms:modified>
</cp:coreProperties>
</file>