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5825862A" w14:textId="77777777" w:rsidTr="004C4D99">
        <w:trPr>
          <w:trHeight w:hRule="exact" w:val="851"/>
        </w:trPr>
        <w:tc>
          <w:tcPr>
            <w:tcW w:w="1276" w:type="dxa"/>
            <w:tcBorders>
              <w:bottom w:val="single" w:sz="4" w:space="0" w:color="auto"/>
            </w:tcBorders>
          </w:tcPr>
          <w:p w14:paraId="1A53D539" w14:textId="77777777" w:rsidR="00392B1D" w:rsidRPr="00DB58B5" w:rsidRDefault="00392B1D" w:rsidP="008A72B9"/>
        </w:tc>
        <w:tc>
          <w:tcPr>
            <w:tcW w:w="2268" w:type="dxa"/>
            <w:tcBorders>
              <w:bottom w:val="single" w:sz="4" w:space="0" w:color="auto"/>
            </w:tcBorders>
            <w:vAlign w:val="bottom"/>
          </w:tcPr>
          <w:p w14:paraId="1D27B8F6"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7EF7343" w14:textId="769F9C6E" w:rsidR="00392B1D" w:rsidRPr="00DB58B5" w:rsidRDefault="008A72B9" w:rsidP="008A72B9">
            <w:pPr>
              <w:jc w:val="right"/>
            </w:pPr>
            <w:r w:rsidRPr="008A72B9">
              <w:rPr>
                <w:sz w:val="40"/>
              </w:rPr>
              <w:t>CED</w:t>
            </w:r>
            <w:r>
              <w:t>/C/URY/OAI/1</w:t>
            </w:r>
          </w:p>
        </w:tc>
      </w:tr>
      <w:tr w:rsidR="00392B1D" w:rsidRPr="00DB58B5" w14:paraId="4154F8F8" w14:textId="77777777" w:rsidTr="004C4D99">
        <w:trPr>
          <w:trHeight w:hRule="exact" w:val="2835"/>
        </w:trPr>
        <w:tc>
          <w:tcPr>
            <w:tcW w:w="1276" w:type="dxa"/>
            <w:tcBorders>
              <w:top w:val="single" w:sz="4" w:space="0" w:color="auto"/>
              <w:bottom w:val="single" w:sz="12" w:space="0" w:color="auto"/>
            </w:tcBorders>
          </w:tcPr>
          <w:p w14:paraId="3298D545" w14:textId="77777777" w:rsidR="00392B1D" w:rsidRPr="00DB58B5" w:rsidRDefault="00392B1D" w:rsidP="004C4D99">
            <w:pPr>
              <w:spacing w:before="120"/>
              <w:jc w:val="center"/>
            </w:pPr>
            <w:r>
              <w:rPr>
                <w:noProof/>
                <w:lang w:eastAsia="fr-CH"/>
              </w:rPr>
              <w:drawing>
                <wp:inline distT="0" distB="0" distL="0" distR="0" wp14:anchorId="519ABA3E" wp14:editId="37E7AC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3A9401"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673CD1BD" w14:textId="77777777" w:rsidR="00392B1D" w:rsidRDefault="008A72B9" w:rsidP="004C4D99">
            <w:pPr>
              <w:spacing w:before="240"/>
            </w:pPr>
            <w:r>
              <w:t>Distr. générale</w:t>
            </w:r>
          </w:p>
          <w:p w14:paraId="3603CDAE" w14:textId="77777777" w:rsidR="008A72B9" w:rsidRDefault="008A72B9" w:rsidP="008A72B9">
            <w:pPr>
              <w:spacing w:line="240" w:lineRule="exact"/>
            </w:pPr>
            <w:r>
              <w:t>20 octobre 2022</w:t>
            </w:r>
          </w:p>
          <w:p w14:paraId="6E374181" w14:textId="77777777" w:rsidR="008A72B9" w:rsidRDefault="008A72B9" w:rsidP="008A72B9">
            <w:pPr>
              <w:spacing w:line="240" w:lineRule="exact"/>
            </w:pPr>
            <w:r>
              <w:t>Français</w:t>
            </w:r>
          </w:p>
          <w:p w14:paraId="5E4CBF55" w14:textId="12BA7FC0" w:rsidR="008A72B9" w:rsidRPr="00DB58B5" w:rsidRDefault="008A72B9" w:rsidP="008A72B9">
            <w:pPr>
              <w:spacing w:line="240" w:lineRule="exact"/>
            </w:pPr>
            <w:r>
              <w:t>Original</w:t>
            </w:r>
            <w:r w:rsidR="003F0CA1">
              <w:t> :</w:t>
            </w:r>
            <w:r>
              <w:t xml:space="preserve"> espagnol</w:t>
            </w:r>
          </w:p>
        </w:tc>
      </w:tr>
    </w:tbl>
    <w:p w14:paraId="73E01ACE" w14:textId="77777777" w:rsidR="00392B1D" w:rsidRPr="00D55CFF" w:rsidRDefault="00392B1D" w:rsidP="00392B1D">
      <w:pPr>
        <w:spacing w:before="120"/>
        <w:rPr>
          <w:b/>
          <w:sz w:val="24"/>
          <w:szCs w:val="24"/>
        </w:rPr>
      </w:pPr>
      <w:r w:rsidRPr="00D55CFF">
        <w:rPr>
          <w:b/>
          <w:sz w:val="24"/>
          <w:szCs w:val="24"/>
        </w:rPr>
        <w:t>Comité des disparitions forcées</w:t>
      </w:r>
    </w:p>
    <w:p w14:paraId="65350F76" w14:textId="14093491" w:rsidR="003F0CA1" w:rsidRPr="001302B9" w:rsidRDefault="003F0CA1" w:rsidP="003F0CA1">
      <w:pPr>
        <w:pStyle w:val="HChG"/>
        <w:rPr>
          <w:bCs/>
          <w:sz w:val="20"/>
          <w:lang w:val="fr-FR"/>
        </w:rPr>
      </w:pPr>
      <w:r w:rsidRPr="001302B9">
        <w:rPr>
          <w:lang w:val="fr-FR"/>
        </w:rPr>
        <w:tab/>
      </w:r>
      <w:r w:rsidRPr="001302B9">
        <w:rPr>
          <w:lang w:val="fr-FR"/>
        </w:rPr>
        <w:tab/>
        <w:t>Observations</w:t>
      </w:r>
      <w:r>
        <w:rPr>
          <w:lang w:val="fr-FR"/>
        </w:rPr>
        <w:t xml:space="preserve"> </w:t>
      </w:r>
      <w:r w:rsidRPr="001302B9">
        <w:rPr>
          <w:lang w:val="fr-FR"/>
        </w:rPr>
        <w:t>finales</w:t>
      </w:r>
      <w:r>
        <w:rPr>
          <w:lang w:val="fr-FR"/>
        </w:rPr>
        <w:t xml:space="preserve"> </w:t>
      </w:r>
      <w:r w:rsidRPr="001302B9">
        <w:rPr>
          <w:lang w:val="fr-FR"/>
        </w:rPr>
        <w:t>concernant</w:t>
      </w:r>
      <w:r>
        <w:rPr>
          <w:lang w:val="fr-FR"/>
        </w:rPr>
        <w:t xml:space="preserve"> </w:t>
      </w:r>
      <w:r w:rsidRPr="001302B9">
        <w:rPr>
          <w:lang w:val="fr-FR"/>
        </w:rPr>
        <w:t>les</w:t>
      </w:r>
      <w:r>
        <w:rPr>
          <w:lang w:val="fr-FR"/>
        </w:rPr>
        <w:t xml:space="preserve"> </w:t>
      </w:r>
      <w:r w:rsidRPr="001302B9">
        <w:rPr>
          <w:lang w:val="fr-FR"/>
        </w:rPr>
        <w:t>renseignements</w:t>
      </w:r>
      <w:r>
        <w:rPr>
          <w:lang w:val="fr-FR"/>
        </w:rPr>
        <w:t xml:space="preserve"> </w:t>
      </w:r>
      <w:r w:rsidRPr="001302B9">
        <w:rPr>
          <w:lang w:val="fr-FR"/>
        </w:rPr>
        <w:t>complémentaires</w:t>
      </w:r>
      <w:r>
        <w:rPr>
          <w:lang w:val="fr-FR"/>
        </w:rPr>
        <w:t xml:space="preserve"> </w:t>
      </w:r>
      <w:r w:rsidRPr="001302B9">
        <w:rPr>
          <w:lang w:val="fr-FR"/>
        </w:rPr>
        <w:t>soumis</w:t>
      </w:r>
      <w:r>
        <w:rPr>
          <w:lang w:val="fr-FR"/>
        </w:rPr>
        <w:t xml:space="preserve"> </w:t>
      </w:r>
      <w:r w:rsidRPr="001302B9">
        <w:rPr>
          <w:lang w:val="fr-FR"/>
        </w:rPr>
        <w:t>par</w:t>
      </w:r>
      <w:r>
        <w:rPr>
          <w:lang w:val="fr-FR"/>
        </w:rPr>
        <w:t xml:space="preserve"> </w:t>
      </w:r>
      <w:r w:rsidRPr="001302B9">
        <w:rPr>
          <w:lang w:val="fr-FR"/>
        </w:rPr>
        <w:t>l’Uruguay</w:t>
      </w:r>
      <w:r>
        <w:rPr>
          <w:lang w:val="fr-FR"/>
        </w:rPr>
        <w:t xml:space="preserve"> </w:t>
      </w:r>
      <w:r w:rsidRPr="001302B9">
        <w:rPr>
          <w:lang w:val="fr-FR"/>
        </w:rPr>
        <w:t>en</w:t>
      </w:r>
      <w:r>
        <w:rPr>
          <w:lang w:val="fr-FR"/>
        </w:rPr>
        <w:t xml:space="preserve"> </w:t>
      </w:r>
      <w:r w:rsidRPr="001302B9">
        <w:rPr>
          <w:lang w:val="fr-FR"/>
        </w:rPr>
        <w:t>application</w:t>
      </w:r>
      <w:r>
        <w:rPr>
          <w:lang w:val="fr-FR"/>
        </w:rPr>
        <w:t xml:space="preserve"> </w:t>
      </w:r>
      <w:r w:rsidRPr="001302B9">
        <w:rPr>
          <w:lang w:val="fr-FR"/>
        </w:rPr>
        <w:br/>
        <w:t>de</w:t>
      </w:r>
      <w:r>
        <w:rPr>
          <w:lang w:val="fr-FR"/>
        </w:rPr>
        <w:t xml:space="preserve"> </w:t>
      </w:r>
      <w:r w:rsidRPr="001302B9">
        <w:rPr>
          <w:lang w:val="fr-FR"/>
        </w:rPr>
        <w:t>l’article</w:t>
      </w:r>
      <w:r>
        <w:rPr>
          <w:lang w:val="fr-FR"/>
        </w:rPr>
        <w:t xml:space="preserve"> </w:t>
      </w:r>
      <w:r w:rsidRPr="001302B9">
        <w:rPr>
          <w:lang w:val="fr-FR"/>
        </w:rPr>
        <w:t>29</w:t>
      </w:r>
      <w:r>
        <w:rPr>
          <w:lang w:val="fr-FR"/>
        </w:rPr>
        <w:t xml:space="preserve"> </w:t>
      </w:r>
      <w:r w:rsidRPr="001302B9">
        <w:rPr>
          <w:lang w:val="fr-FR"/>
        </w:rPr>
        <w:t>(</w:t>
      </w:r>
      <w:r>
        <w:rPr>
          <w:lang w:val="fr-FR"/>
        </w:rPr>
        <w:t>par. </w:t>
      </w:r>
      <w:r w:rsidRPr="001302B9">
        <w:rPr>
          <w:lang w:val="fr-FR"/>
        </w:rPr>
        <w:t>4)</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Convention</w:t>
      </w:r>
      <w:r w:rsidRPr="00731A47">
        <w:rPr>
          <w:rStyle w:val="Appelnotedebasdep"/>
          <w:b w:val="0"/>
          <w:sz w:val="20"/>
          <w:vertAlign w:val="baseline"/>
        </w:rPr>
        <w:footnoteReference w:customMarkFollows="1" w:id="2"/>
        <w:t>*</w:t>
      </w:r>
    </w:p>
    <w:p w14:paraId="3F9F01DA" w14:textId="77777777" w:rsidR="003F0CA1" w:rsidRPr="001302B9" w:rsidRDefault="003F0CA1" w:rsidP="003F0CA1">
      <w:pPr>
        <w:pStyle w:val="H1G"/>
        <w:rPr>
          <w:lang w:val="fr-FR"/>
        </w:rPr>
      </w:pPr>
      <w:r w:rsidRPr="001302B9">
        <w:rPr>
          <w:lang w:val="fr-FR"/>
        </w:rPr>
        <w:tab/>
        <w:t>A.</w:t>
      </w:r>
      <w:r w:rsidRPr="001302B9">
        <w:rPr>
          <w:lang w:val="fr-FR"/>
        </w:rPr>
        <w:tab/>
        <w:t>Introduction</w:t>
      </w:r>
    </w:p>
    <w:p w14:paraId="5216D5D2" w14:textId="33C4BA3C" w:rsidR="003F0CA1" w:rsidRPr="001302B9" w:rsidRDefault="003F0CA1" w:rsidP="003F0CA1">
      <w:pPr>
        <w:pStyle w:val="SingleTxtG"/>
        <w:rPr>
          <w:lang w:val="fr-FR"/>
        </w:rPr>
      </w:pPr>
      <w:r w:rsidRPr="001302B9">
        <w:rPr>
          <w:lang w:val="fr-FR"/>
        </w:rPr>
        <w:t>1.</w:t>
      </w:r>
      <w:r w:rsidRPr="001302B9">
        <w:rPr>
          <w:lang w:val="fr-FR"/>
        </w:rPr>
        <w:tab/>
        <w:t>Le</w:t>
      </w:r>
      <w:r>
        <w:rPr>
          <w:lang w:val="fr-FR"/>
        </w:rPr>
        <w:t xml:space="preserve"> </w:t>
      </w:r>
      <w:r w:rsidRPr="001302B9">
        <w:rPr>
          <w:lang w:val="fr-FR"/>
        </w:rPr>
        <w:t>Comité</w:t>
      </w:r>
      <w:r>
        <w:rPr>
          <w:lang w:val="fr-FR"/>
        </w:rPr>
        <w:t xml:space="preserve"> </w:t>
      </w:r>
      <w:r w:rsidRPr="001302B9">
        <w:rPr>
          <w:lang w:val="fr-FR"/>
        </w:rPr>
        <w:t>accueille</w:t>
      </w:r>
      <w:r>
        <w:rPr>
          <w:lang w:val="fr-FR"/>
        </w:rPr>
        <w:t xml:space="preserve"> </w:t>
      </w:r>
      <w:r w:rsidRPr="001302B9">
        <w:rPr>
          <w:lang w:val="fr-FR"/>
        </w:rPr>
        <w:t>avec</w:t>
      </w:r>
      <w:r>
        <w:rPr>
          <w:lang w:val="fr-FR"/>
        </w:rPr>
        <w:t xml:space="preserve"> </w:t>
      </w:r>
      <w:r w:rsidRPr="001302B9">
        <w:rPr>
          <w:lang w:val="fr-FR"/>
        </w:rPr>
        <w:t>satisfaction</w:t>
      </w:r>
      <w:r>
        <w:rPr>
          <w:lang w:val="fr-FR"/>
        </w:rPr>
        <w:t xml:space="preserve"> </w:t>
      </w:r>
      <w:r w:rsidRPr="001302B9">
        <w:rPr>
          <w:lang w:val="fr-FR"/>
        </w:rPr>
        <w:t>les</w:t>
      </w:r>
      <w:r>
        <w:rPr>
          <w:lang w:val="fr-FR"/>
        </w:rPr>
        <w:t xml:space="preserve"> </w:t>
      </w:r>
      <w:r w:rsidRPr="001302B9">
        <w:rPr>
          <w:lang w:val="fr-FR"/>
        </w:rPr>
        <w:t>renseignements</w:t>
      </w:r>
      <w:r>
        <w:rPr>
          <w:lang w:val="fr-FR"/>
        </w:rPr>
        <w:t xml:space="preserve"> </w:t>
      </w:r>
      <w:r w:rsidRPr="001302B9">
        <w:rPr>
          <w:lang w:val="fr-FR"/>
        </w:rPr>
        <w:t>complémentaires</w:t>
      </w:r>
      <w:r>
        <w:rPr>
          <w:lang w:val="fr-FR"/>
        </w:rPr>
        <w:t xml:space="preserve"> </w:t>
      </w:r>
      <w:r w:rsidRPr="001302B9">
        <w:rPr>
          <w:lang w:val="fr-FR"/>
        </w:rPr>
        <w:t>communiqués</w:t>
      </w:r>
      <w:r>
        <w:rPr>
          <w:lang w:val="fr-FR"/>
        </w:rPr>
        <w:t xml:space="preserve"> </w:t>
      </w:r>
      <w:r w:rsidRPr="001302B9">
        <w:rPr>
          <w:lang w:val="fr-FR"/>
        </w:rPr>
        <w:t>en</w:t>
      </w:r>
      <w:r>
        <w:rPr>
          <w:lang w:val="fr-FR"/>
        </w:rPr>
        <w:t xml:space="preserve"> </w:t>
      </w:r>
      <w:r w:rsidRPr="001302B9">
        <w:rPr>
          <w:lang w:val="fr-FR"/>
        </w:rPr>
        <w:t>temps</w:t>
      </w:r>
      <w:r>
        <w:rPr>
          <w:lang w:val="fr-FR"/>
        </w:rPr>
        <w:t xml:space="preserve"> </w:t>
      </w:r>
      <w:r w:rsidRPr="001302B9">
        <w:rPr>
          <w:lang w:val="fr-FR"/>
        </w:rPr>
        <w:t>voulu</w:t>
      </w:r>
      <w:r>
        <w:rPr>
          <w:lang w:val="fr-FR"/>
        </w:rPr>
        <w:t xml:space="preserve"> </w:t>
      </w:r>
      <w:r w:rsidRPr="001302B9">
        <w:rPr>
          <w:lang w:val="fr-FR"/>
        </w:rPr>
        <w:t>par</w:t>
      </w:r>
      <w:r>
        <w:rPr>
          <w:lang w:val="fr-FR"/>
        </w:rPr>
        <w:t xml:space="preserve"> </w:t>
      </w:r>
      <w:r w:rsidRPr="001302B9">
        <w:rPr>
          <w:lang w:val="fr-FR"/>
        </w:rPr>
        <w:t>l’Uruguay</w:t>
      </w:r>
      <w:r>
        <w:rPr>
          <w:lang w:val="fr-FR"/>
        </w:rPr>
        <w:t xml:space="preserve"> </w:t>
      </w:r>
      <w:r w:rsidRPr="001302B9">
        <w:rPr>
          <w:lang w:val="fr-FR"/>
        </w:rPr>
        <w:t>en</w:t>
      </w:r>
      <w:r>
        <w:rPr>
          <w:lang w:val="fr-FR"/>
        </w:rPr>
        <w:t xml:space="preserve"> </w:t>
      </w:r>
      <w:r w:rsidRPr="001302B9">
        <w:rPr>
          <w:lang w:val="fr-FR"/>
        </w:rPr>
        <w:t>application</w:t>
      </w:r>
      <w:r>
        <w:rPr>
          <w:lang w:val="fr-FR"/>
        </w:rPr>
        <w:t xml:space="preserve"> </w:t>
      </w:r>
      <w:r w:rsidRPr="001302B9">
        <w:rPr>
          <w:lang w:val="fr-FR"/>
        </w:rPr>
        <w:t>de</w:t>
      </w:r>
      <w:r>
        <w:rPr>
          <w:lang w:val="fr-FR"/>
        </w:rPr>
        <w:t xml:space="preserve"> </w:t>
      </w:r>
      <w:r w:rsidRPr="001302B9">
        <w:rPr>
          <w:lang w:val="fr-FR"/>
        </w:rPr>
        <w:t>l’article</w:t>
      </w:r>
      <w:r>
        <w:rPr>
          <w:lang w:val="fr-FR"/>
        </w:rPr>
        <w:t xml:space="preserve"> </w:t>
      </w:r>
      <w:r w:rsidRPr="001302B9">
        <w:rPr>
          <w:lang w:val="fr-FR"/>
        </w:rPr>
        <w:t>29</w:t>
      </w:r>
      <w:r>
        <w:rPr>
          <w:lang w:val="fr-FR"/>
        </w:rPr>
        <w:t xml:space="preserve"> </w:t>
      </w:r>
      <w:r w:rsidRPr="001302B9">
        <w:rPr>
          <w:lang w:val="fr-FR"/>
        </w:rPr>
        <w:t>(</w:t>
      </w:r>
      <w:r>
        <w:rPr>
          <w:lang w:val="fr-FR"/>
        </w:rPr>
        <w:t>par. </w:t>
      </w:r>
      <w:r w:rsidRPr="001302B9">
        <w:rPr>
          <w:lang w:val="fr-FR"/>
        </w:rPr>
        <w:t>4)</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Convention</w:t>
      </w:r>
      <w:r w:rsidRPr="00731A47">
        <w:rPr>
          <w:rStyle w:val="Appelnotedebasdep"/>
          <w:lang w:val="fr-FR"/>
        </w:rPr>
        <w:footnoteReference w:id="3"/>
      </w:r>
      <w:r w:rsidRPr="001302B9">
        <w:rPr>
          <w:lang w:val="fr-FR"/>
        </w:rPr>
        <w:t>,</w:t>
      </w:r>
      <w:r>
        <w:rPr>
          <w:lang w:val="fr-FR"/>
        </w:rPr>
        <w:t xml:space="preserve"> </w:t>
      </w:r>
      <w:r w:rsidRPr="001302B9">
        <w:rPr>
          <w:lang w:val="fr-FR"/>
        </w:rPr>
        <w:t>renseignements</w:t>
      </w:r>
      <w:r>
        <w:rPr>
          <w:lang w:val="fr-FR"/>
        </w:rPr>
        <w:t xml:space="preserve"> </w:t>
      </w:r>
      <w:r w:rsidRPr="001302B9">
        <w:rPr>
          <w:lang w:val="fr-FR"/>
        </w:rPr>
        <w:t>que</w:t>
      </w:r>
      <w:r>
        <w:rPr>
          <w:lang w:val="fr-FR"/>
        </w:rPr>
        <w:t xml:space="preserve"> </w:t>
      </w:r>
      <w:r w:rsidRPr="001302B9">
        <w:rPr>
          <w:lang w:val="fr-FR"/>
        </w:rPr>
        <w:t>le</w:t>
      </w:r>
      <w:r>
        <w:rPr>
          <w:lang w:val="fr-FR"/>
        </w:rPr>
        <w:t xml:space="preserve"> </w:t>
      </w:r>
      <w:r w:rsidRPr="001302B9">
        <w:rPr>
          <w:lang w:val="fr-FR"/>
        </w:rPr>
        <w:t>Comité</w:t>
      </w:r>
      <w:r>
        <w:rPr>
          <w:lang w:val="fr-FR"/>
        </w:rPr>
        <w:t xml:space="preserve"> </w:t>
      </w:r>
      <w:r w:rsidRPr="001302B9">
        <w:rPr>
          <w:lang w:val="fr-FR"/>
        </w:rPr>
        <w:t>avait</w:t>
      </w:r>
      <w:r>
        <w:rPr>
          <w:lang w:val="fr-FR"/>
        </w:rPr>
        <w:t xml:space="preserve"> </w:t>
      </w:r>
      <w:r w:rsidRPr="001302B9">
        <w:rPr>
          <w:lang w:val="fr-FR"/>
        </w:rPr>
        <w:t>demandé</w:t>
      </w:r>
      <w:r>
        <w:rPr>
          <w:lang w:val="fr-FR"/>
        </w:rPr>
        <w:t xml:space="preserve"> </w:t>
      </w:r>
      <w:r w:rsidRPr="001302B9">
        <w:rPr>
          <w:lang w:val="fr-FR"/>
        </w:rPr>
        <w:t>dans</w:t>
      </w:r>
      <w:r>
        <w:rPr>
          <w:lang w:val="fr-FR"/>
        </w:rPr>
        <w:t xml:space="preserve"> </w:t>
      </w:r>
      <w:r w:rsidRPr="001302B9">
        <w:rPr>
          <w:lang w:val="fr-FR"/>
        </w:rPr>
        <w:t>ses</w:t>
      </w:r>
      <w:r>
        <w:rPr>
          <w:lang w:val="fr-FR"/>
        </w:rPr>
        <w:t xml:space="preserve"> </w:t>
      </w:r>
      <w:r w:rsidRPr="001302B9">
        <w:rPr>
          <w:lang w:val="fr-FR"/>
        </w:rPr>
        <w:t>observations</w:t>
      </w:r>
      <w:r>
        <w:rPr>
          <w:lang w:val="fr-FR"/>
        </w:rPr>
        <w:t xml:space="preserve"> </w:t>
      </w:r>
      <w:r w:rsidRPr="001302B9">
        <w:rPr>
          <w:lang w:val="fr-FR"/>
        </w:rPr>
        <w:t>finales</w:t>
      </w:r>
      <w:r>
        <w:rPr>
          <w:lang w:val="fr-FR"/>
        </w:rPr>
        <w:t xml:space="preserve"> </w:t>
      </w:r>
      <w:r w:rsidRPr="001302B9">
        <w:rPr>
          <w:lang w:val="fr-FR"/>
        </w:rPr>
        <w:t>de</w:t>
      </w:r>
      <w:r>
        <w:rPr>
          <w:lang w:val="fr-FR"/>
        </w:rPr>
        <w:t xml:space="preserve"> </w:t>
      </w:r>
      <w:r w:rsidRPr="001302B9">
        <w:rPr>
          <w:lang w:val="fr-FR"/>
        </w:rPr>
        <w:t>2013</w:t>
      </w:r>
      <w:r w:rsidRPr="00731A47">
        <w:rPr>
          <w:rStyle w:val="Appelnotedebasdep"/>
          <w:lang w:val="fr-FR"/>
        </w:rPr>
        <w:footnoteReference w:id="4"/>
      </w:r>
      <w:r w:rsidRPr="001302B9">
        <w:rPr>
          <w:lang w:val="fr-FR"/>
        </w:rPr>
        <w:t>.</w:t>
      </w:r>
      <w:r>
        <w:rPr>
          <w:lang w:val="fr-FR"/>
        </w:rPr>
        <w:t xml:space="preserve"> </w:t>
      </w:r>
      <w:r w:rsidRPr="001302B9">
        <w:rPr>
          <w:lang w:val="fr-FR"/>
        </w:rPr>
        <w:t>Il</w:t>
      </w:r>
      <w:r>
        <w:rPr>
          <w:lang w:val="fr-FR"/>
        </w:rPr>
        <w:t xml:space="preserve"> </w:t>
      </w:r>
      <w:r w:rsidRPr="001302B9">
        <w:rPr>
          <w:lang w:val="fr-FR"/>
        </w:rPr>
        <w:t>se</w:t>
      </w:r>
      <w:r>
        <w:rPr>
          <w:lang w:val="fr-FR"/>
        </w:rPr>
        <w:t xml:space="preserve"> </w:t>
      </w:r>
      <w:r w:rsidRPr="001302B9">
        <w:rPr>
          <w:lang w:val="fr-FR"/>
        </w:rPr>
        <w:t>félicite</w:t>
      </w:r>
      <w:r>
        <w:rPr>
          <w:lang w:val="fr-FR"/>
        </w:rPr>
        <w:t xml:space="preserve"> </w:t>
      </w:r>
      <w:r w:rsidRPr="001302B9">
        <w:rPr>
          <w:lang w:val="fr-FR"/>
        </w:rPr>
        <w:t>également</w:t>
      </w:r>
      <w:r>
        <w:rPr>
          <w:lang w:val="fr-FR"/>
        </w:rPr>
        <w:t xml:space="preserve"> </w:t>
      </w:r>
      <w:r w:rsidRPr="001302B9">
        <w:rPr>
          <w:lang w:val="fr-FR"/>
        </w:rPr>
        <w:t>des</w:t>
      </w:r>
      <w:r>
        <w:rPr>
          <w:lang w:val="fr-FR"/>
        </w:rPr>
        <w:t xml:space="preserve"> </w:t>
      </w:r>
      <w:r w:rsidRPr="001302B9">
        <w:rPr>
          <w:lang w:val="fr-FR"/>
        </w:rPr>
        <w:t>informations</w:t>
      </w:r>
      <w:r>
        <w:rPr>
          <w:lang w:val="fr-FR"/>
        </w:rPr>
        <w:t xml:space="preserve"> </w:t>
      </w:r>
      <w:r w:rsidRPr="001302B9">
        <w:rPr>
          <w:lang w:val="fr-FR"/>
        </w:rPr>
        <w:t>écrites</w:t>
      </w:r>
      <w:r>
        <w:rPr>
          <w:lang w:val="fr-FR"/>
        </w:rPr>
        <w:t xml:space="preserve"> </w:t>
      </w:r>
      <w:r w:rsidRPr="001302B9">
        <w:rPr>
          <w:lang w:val="fr-FR"/>
        </w:rPr>
        <w:t>supplémentaires</w:t>
      </w:r>
      <w:r>
        <w:rPr>
          <w:lang w:val="fr-FR"/>
        </w:rPr>
        <w:t xml:space="preserve"> </w:t>
      </w:r>
      <w:r w:rsidRPr="001302B9">
        <w:rPr>
          <w:lang w:val="fr-FR"/>
        </w:rPr>
        <w:t>fournies</w:t>
      </w:r>
      <w:r>
        <w:rPr>
          <w:lang w:val="fr-FR"/>
        </w:rPr>
        <w:t xml:space="preserve"> </w:t>
      </w:r>
      <w:r w:rsidRPr="001302B9">
        <w:rPr>
          <w:lang w:val="fr-FR"/>
        </w:rPr>
        <w:t>en</w:t>
      </w:r>
      <w:r>
        <w:rPr>
          <w:lang w:val="fr-FR"/>
        </w:rPr>
        <w:t xml:space="preserve"> </w:t>
      </w:r>
      <w:r w:rsidRPr="001302B9">
        <w:rPr>
          <w:lang w:val="fr-FR"/>
        </w:rPr>
        <w:t>réponse</w:t>
      </w:r>
      <w:r>
        <w:rPr>
          <w:lang w:val="fr-FR"/>
        </w:rPr>
        <w:t xml:space="preserve"> </w:t>
      </w:r>
      <w:r w:rsidRPr="001302B9">
        <w:rPr>
          <w:lang w:val="fr-FR"/>
        </w:rPr>
        <w:t>à</w:t>
      </w:r>
      <w:r>
        <w:rPr>
          <w:lang w:val="fr-FR"/>
        </w:rPr>
        <w:t xml:space="preserve"> </w:t>
      </w:r>
      <w:r w:rsidRPr="001302B9">
        <w:rPr>
          <w:lang w:val="fr-FR"/>
        </w:rPr>
        <w:t>la</w:t>
      </w:r>
      <w:r>
        <w:rPr>
          <w:lang w:val="fr-FR"/>
        </w:rPr>
        <w:t xml:space="preserve"> </w:t>
      </w:r>
      <w:r w:rsidRPr="001302B9">
        <w:rPr>
          <w:lang w:val="fr-FR"/>
        </w:rPr>
        <w:t>liste</w:t>
      </w:r>
      <w:r>
        <w:rPr>
          <w:lang w:val="fr-FR"/>
        </w:rPr>
        <w:t xml:space="preserve"> </w:t>
      </w:r>
      <w:r w:rsidRPr="001302B9">
        <w:rPr>
          <w:lang w:val="fr-FR"/>
        </w:rPr>
        <w:t>des</w:t>
      </w:r>
      <w:r>
        <w:rPr>
          <w:lang w:val="fr-FR"/>
        </w:rPr>
        <w:t xml:space="preserve"> </w:t>
      </w:r>
      <w:r w:rsidRPr="001302B9">
        <w:rPr>
          <w:lang w:val="fr-FR"/>
        </w:rPr>
        <w:t>points</w:t>
      </w:r>
      <w:r>
        <w:rPr>
          <w:lang w:val="fr-FR"/>
        </w:rPr>
        <w:t xml:space="preserve"> </w:t>
      </w:r>
      <w:r w:rsidRPr="001302B9">
        <w:rPr>
          <w:lang w:val="fr-FR"/>
        </w:rPr>
        <w:t>à</w:t>
      </w:r>
      <w:r>
        <w:rPr>
          <w:lang w:val="fr-FR"/>
        </w:rPr>
        <w:t xml:space="preserve"> </w:t>
      </w:r>
      <w:r w:rsidRPr="001302B9">
        <w:rPr>
          <w:lang w:val="fr-FR"/>
        </w:rPr>
        <w:t>traiter</w:t>
      </w:r>
      <w:r>
        <w:rPr>
          <w:lang w:val="fr-FR"/>
        </w:rPr>
        <w:t xml:space="preserve"> </w:t>
      </w:r>
      <w:r w:rsidRPr="001302B9">
        <w:rPr>
          <w:lang w:val="fr-FR"/>
        </w:rPr>
        <w:t>communiquée</w:t>
      </w:r>
      <w:r>
        <w:rPr>
          <w:lang w:val="fr-FR"/>
        </w:rPr>
        <w:t xml:space="preserve"> </w:t>
      </w:r>
      <w:r w:rsidRPr="001302B9">
        <w:rPr>
          <w:lang w:val="fr-FR"/>
        </w:rPr>
        <w:t>à</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le</w:t>
      </w:r>
      <w:r>
        <w:rPr>
          <w:lang w:val="fr-FR"/>
        </w:rPr>
        <w:t xml:space="preserve"> </w:t>
      </w:r>
      <w:r w:rsidRPr="001302B9">
        <w:rPr>
          <w:lang w:val="fr-FR"/>
        </w:rPr>
        <w:t>5</w:t>
      </w:r>
      <w:r>
        <w:rPr>
          <w:lang w:val="fr-FR"/>
        </w:rPr>
        <w:t> </w:t>
      </w:r>
      <w:r w:rsidRPr="001302B9">
        <w:rPr>
          <w:lang w:val="fr-FR"/>
        </w:rPr>
        <w:t>mai</w:t>
      </w:r>
      <w:r>
        <w:rPr>
          <w:lang w:val="fr-FR"/>
        </w:rPr>
        <w:t xml:space="preserve"> </w:t>
      </w:r>
      <w:r w:rsidRPr="001302B9">
        <w:rPr>
          <w:lang w:val="fr-FR"/>
        </w:rPr>
        <w:t>2022</w:t>
      </w:r>
      <w:r w:rsidRPr="00731A47">
        <w:rPr>
          <w:rStyle w:val="Appelnotedebasdep"/>
          <w:lang w:val="fr-FR"/>
        </w:rPr>
        <w:footnoteReference w:id="5"/>
      </w:r>
      <w:r w:rsidRPr="001302B9">
        <w:rPr>
          <w:lang w:val="fr-FR"/>
        </w:rPr>
        <w:t>,</w:t>
      </w:r>
      <w:r>
        <w:rPr>
          <w:lang w:val="fr-FR"/>
        </w:rPr>
        <w:t xml:space="preserve"> </w:t>
      </w:r>
      <w:r w:rsidRPr="001302B9">
        <w:rPr>
          <w:lang w:val="fr-FR"/>
        </w:rPr>
        <w:t>ainsi</w:t>
      </w:r>
      <w:r>
        <w:rPr>
          <w:lang w:val="fr-FR"/>
        </w:rPr>
        <w:t xml:space="preserve"> </w:t>
      </w:r>
      <w:r w:rsidRPr="001302B9">
        <w:rPr>
          <w:lang w:val="fr-FR"/>
        </w:rPr>
        <w:t>que</w:t>
      </w:r>
      <w:r>
        <w:rPr>
          <w:lang w:val="fr-FR"/>
        </w:rPr>
        <w:t xml:space="preserve"> </w:t>
      </w:r>
      <w:r w:rsidRPr="001302B9">
        <w:rPr>
          <w:lang w:val="fr-FR"/>
        </w:rPr>
        <w:t>du</w:t>
      </w:r>
      <w:r>
        <w:rPr>
          <w:lang w:val="fr-FR"/>
        </w:rPr>
        <w:t xml:space="preserve"> </w:t>
      </w:r>
      <w:r w:rsidRPr="001302B9">
        <w:rPr>
          <w:lang w:val="fr-FR"/>
        </w:rPr>
        <w:t>dialogue</w:t>
      </w:r>
      <w:r>
        <w:rPr>
          <w:lang w:val="fr-FR"/>
        </w:rPr>
        <w:t xml:space="preserve"> </w:t>
      </w:r>
      <w:r w:rsidRPr="001302B9">
        <w:rPr>
          <w:lang w:val="fr-FR"/>
        </w:rPr>
        <w:t>ouvert,</w:t>
      </w:r>
      <w:r>
        <w:rPr>
          <w:lang w:val="fr-FR"/>
        </w:rPr>
        <w:t xml:space="preserve"> </w:t>
      </w:r>
      <w:r w:rsidRPr="001302B9">
        <w:rPr>
          <w:lang w:val="fr-FR"/>
        </w:rPr>
        <w:t>fructueux</w:t>
      </w:r>
      <w:r>
        <w:rPr>
          <w:lang w:val="fr-FR"/>
        </w:rPr>
        <w:t xml:space="preserve"> </w:t>
      </w:r>
      <w:r w:rsidRPr="001302B9">
        <w:rPr>
          <w:lang w:val="fr-FR"/>
        </w:rPr>
        <w:t>et</w:t>
      </w:r>
      <w:r>
        <w:rPr>
          <w:lang w:val="fr-FR"/>
        </w:rPr>
        <w:t xml:space="preserve"> </w:t>
      </w:r>
      <w:r w:rsidRPr="001302B9">
        <w:rPr>
          <w:lang w:val="fr-FR"/>
        </w:rPr>
        <w:t>constructif</w:t>
      </w:r>
      <w:r>
        <w:rPr>
          <w:lang w:val="fr-FR"/>
        </w:rPr>
        <w:t xml:space="preserve"> </w:t>
      </w:r>
      <w:r w:rsidRPr="001302B9">
        <w:rPr>
          <w:lang w:val="fr-FR"/>
        </w:rPr>
        <w:t>qu’il</w:t>
      </w:r>
      <w:r>
        <w:rPr>
          <w:lang w:val="fr-FR"/>
        </w:rPr>
        <w:t xml:space="preserve"> </w:t>
      </w:r>
      <w:r w:rsidRPr="001302B9">
        <w:rPr>
          <w:lang w:val="fr-FR"/>
        </w:rPr>
        <w:t>a</w:t>
      </w:r>
      <w:r>
        <w:rPr>
          <w:lang w:val="fr-FR"/>
        </w:rPr>
        <w:t xml:space="preserve"> </w:t>
      </w:r>
      <w:r w:rsidRPr="001302B9">
        <w:rPr>
          <w:lang w:val="fr-FR"/>
        </w:rPr>
        <w:t>eu</w:t>
      </w:r>
      <w:r>
        <w:rPr>
          <w:lang w:val="fr-FR"/>
        </w:rPr>
        <w:t xml:space="preserve"> </w:t>
      </w:r>
      <w:r w:rsidRPr="001302B9">
        <w:rPr>
          <w:lang w:val="fr-FR"/>
        </w:rPr>
        <w:t>avec</w:t>
      </w:r>
      <w:r>
        <w:rPr>
          <w:lang w:val="fr-FR"/>
        </w:rPr>
        <w:t xml:space="preserve"> </w:t>
      </w:r>
      <w:r w:rsidRPr="001302B9">
        <w:rPr>
          <w:lang w:val="fr-FR"/>
        </w:rPr>
        <w:t>la</w:t>
      </w:r>
      <w:r>
        <w:rPr>
          <w:lang w:val="fr-FR"/>
        </w:rPr>
        <w:t xml:space="preserve"> </w:t>
      </w:r>
      <w:r w:rsidRPr="001302B9">
        <w:rPr>
          <w:lang w:val="fr-FR"/>
        </w:rPr>
        <w:t>délégation</w:t>
      </w:r>
      <w:r>
        <w:rPr>
          <w:lang w:val="fr-FR"/>
        </w:rPr>
        <w:t xml:space="preserve"> </w:t>
      </w:r>
      <w:r w:rsidRPr="001302B9">
        <w:rPr>
          <w:lang w:val="fr-FR"/>
        </w:rPr>
        <w:t>de</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lors</w:t>
      </w:r>
      <w:r>
        <w:rPr>
          <w:lang w:val="fr-FR"/>
        </w:rPr>
        <w:t xml:space="preserve"> </w:t>
      </w:r>
      <w:r w:rsidRPr="001302B9">
        <w:rPr>
          <w:lang w:val="fr-FR"/>
        </w:rPr>
        <w:t>de</w:t>
      </w:r>
      <w:r>
        <w:rPr>
          <w:lang w:val="fr-FR"/>
        </w:rPr>
        <w:t xml:space="preserve"> </w:t>
      </w:r>
      <w:r w:rsidRPr="001302B9">
        <w:rPr>
          <w:lang w:val="fr-FR"/>
        </w:rPr>
        <w:t>sa</w:t>
      </w:r>
      <w:r>
        <w:rPr>
          <w:lang w:val="fr-FR"/>
        </w:rPr>
        <w:t xml:space="preserve"> </w:t>
      </w:r>
      <w:r w:rsidRPr="001302B9">
        <w:rPr>
          <w:lang w:val="fr-FR"/>
        </w:rPr>
        <w:t>409</w:t>
      </w:r>
      <w:r w:rsidRPr="003F0CA1">
        <w:rPr>
          <w:vertAlign w:val="superscript"/>
          <w:lang w:val="fr-FR"/>
        </w:rPr>
        <w:t>e</w:t>
      </w:r>
      <w:r>
        <w:rPr>
          <w:lang w:val="fr-FR"/>
        </w:rPr>
        <w:t> </w:t>
      </w:r>
      <w:r w:rsidRPr="001302B9">
        <w:rPr>
          <w:lang w:val="fr-FR"/>
        </w:rPr>
        <w:t>séance,</w:t>
      </w:r>
      <w:r>
        <w:rPr>
          <w:lang w:val="fr-FR"/>
        </w:rPr>
        <w:t xml:space="preserve"> </w:t>
      </w:r>
      <w:r w:rsidRPr="001302B9">
        <w:rPr>
          <w:lang w:val="fr-FR"/>
        </w:rPr>
        <w:t>le</w:t>
      </w:r>
      <w:r>
        <w:rPr>
          <w:lang w:val="fr-FR"/>
        </w:rPr>
        <w:t xml:space="preserve"> </w:t>
      </w:r>
      <w:r w:rsidRPr="001302B9">
        <w:rPr>
          <w:lang w:val="fr-FR"/>
        </w:rPr>
        <w:t>15</w:t>
      </w:r>
      <w:r>
        <w:rPr>
          <w:lang w:val="fr-FR"/>
        </w:rPr>
        <w:t> </w:t>
      </w:r>
      <w:r w:rsidRPr="001302B9">
        <w:rPr>
          <w:lang w:val="fr-FR"/>
        </w:rPr>
        <w:t>septembre</w:t>
      </w:r>
      <w:r>
        <w:rPr>
          <w:lang w:val="fr-FR"/>
        </w:rPr>
        <w:t xml:space="preserve"> </w:t>
      </w:r>
      <w:r w:rsidRPr="001302B9">
        <w:rPr>
          <w:lang w:val="fr-FR"/>
        </w:rPr>
        <w:t>2022</w:t>
      </w:r>
      <w:r w:rsidRPr="00731A47">
        <w:rPr>
          <w:rStyle w:val="Appelnotedebasdep"/>
          <w:lang w:val="fr-FR"/>
        </w:rPr>
        <w:footnoteReference w:id="6"/>
      </w:r>
      <w:r w:rsidRPr="001302B9">
        <w:rPr>
          <w:lang w:val="fr-FR"/>
        </w:rPr>
        <w:t>,</w:t>
      </w:r>
      <w:r>
        <w:rPr>
          <w:lang w:val="fr-FR"/>
        </w:rPr>
        <w:t xml:space="preserve"> </w:t>
      </w:r>
      <w:r w:rsidRPr="001302B9">
        <w:rPr>
          <w:lang w:val="fr-FR"/>
        </w:rPr>
        <w:t>sur</w:t>
      </w:r>
      <w:r>
        <w:rPr>
          <w:lang w:val="fr-FR"/>
        </w:rPr>
        <w:t xml:space="preserve"> </w:t>
      </w:r>
      <w:r w:rsidRPr="001302B9">
        <w:rPr>
          <w:lang w:val="fr-FR"/>
        </w:rPr>
        <w:t>les</w:t>
      </w:r>
      <w:r>
        <w:rPr>
          <w:lang w:val="fr-FR"/>
        </w:rPr>
        <w:t xml:space="preserve"> </w:t>
      </w:r>
      <w:r w:rsidRPr="001302B9">
        <w:rPr>
          <w:lang w:val="fr-FR"/>
        </w:rPr>
        <w:t>mesures</w:t>
      </w:r>
      <w:r>
        <w:rPr>
          <w:lang w:val="fr-FR"/>
        </w:rPr>
        <w:t xml:space="preserve"> </w:t>
      </w:r>
      <w:r w:rsidRPr="001302B9">
        <w:rPr>
          <w:lang w:val="fr-FR"/>
        </w:rPr>
        <w:t>prises</w:t>
      </w:r>
      <w:r>
        <w:rPr>
          <w:lang w:val="fr-FR"/>
        </w:rPr>
        <w:t xml:space="preserve"> </w:t>
      </w:r>
      <w:r w:rsidRPr="001302B9">
        <w:rPr>
          <w:lang w:val="fr-FR"/>
        </w:rPr>
        <w:t>pour</w:t>
      </w:r>
      <w:r>
        <w:rPr>
          <w:lang w:val="fr-FR"/>
        </w:rPr>
        <w:t xml:space="preserve"> </w:t>
      </w:r>
      <w:r w:rsidRPr="001302B9">
        <w:rPr>
          <w:lang w:val="fr-FR"/>
        </w:rPr>
        <w:t>s’acquitter</w:t>
      </w:r>
      <w:r>
        <w:rPr>
          <w:lang w:val="fr-FR"/>
        </w:rPr>
        <w:t xml:space="preserve"> </w:t>
      </w:r>
      <w:r w:rsidRPr="001302B9">
        <w:rPr>
          <w:lang w:val="fr-FR"/>
        </w:rPr>
        <w:t>des</w:t>
      </w:r>
      <w:r>
        <w:rPr>
          <w:lang w:val="fr-FR"/>
        </w:rPr>
        <w:t xml:space="preserve"> </w:t>
      </w:r>
      <w:r w:rsidRPr="001302B9">
        <w:rPr>
          <w:lang w:val="fr-FR"/>
        </w:rPr>
        <w:t>obligations</w:t>
      </w:r>
      <w:r>
        <w:rPr>
          <w:lang w:val="fr-FR"/>
        </w:rPr>
        <w:t xml:space="preserve"> </w:t>
      </w:r>
      <w:r w:rsidRPr="001302B9">
        <w:rPr>
          <w:lang w:val="fr-FR"/>
        </w:rPr>
        <w:t>découlant</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Convention,</w:t>
      </w:r>
      <w:r>
        <w:rPr>
          <w:lang w:val="fr-FR"/>
        </w:rPr>
        <w:t xml:space="preserve"> </w:t>
      </w:r>
      <w:r w:rsidRPr="001302B9">
        <w:rPr>
          <w:lang w:val="fr-FR"/>
        </w:rPr>
        <w:t>concernant</w:t>
      </w:r>
      <w:r>
        <w:rPr>
          <w:lang w:val="fr-FR"/>
        </w:rPr>
        <w:t xml:space="preserve"> </w:t>
      </w:r>
      <w:r w:rsidRPr="001302B9">
        <w:rPr>
          <w:lang w:val="fr-FR"/>
        </w:rPr>
        <w:t>les</w:t>
      </w:r>
      <w:r>
        <w:rPr>
          <w:lang w:val="fr-FR"/>
        </w:rPr>
        <w:t xml:space="preserve"> </w:t>
      </w:r>
      <w:r w:rsidRPr="001302B9">
        <w:rPr>
          <w:lang w:val="fr-FR"/>
        </w:rPr>
        <w:t>points</w:t>
      </w:r>
      <w:r>
        <w:rPr>
          <w:lang w:val="fr-FR"/>
        </w:rPr>
        <w:t xml:space="preserve"> </w:t>
      </w:r>
      <w:r w:rsidRPr="001302B9">
        <w:rPr>
          <w:lang w:val="fr-FR"/>
        </w:rPr>
        <w:t>suivants</w:t>
      </w:r>
      <w:r>
        <w:rPr>
          <w:lang w:val="fr-FR"/>
        </w:rPr>
        <w:t xml:space="preserve"> : </w:t>
      </w:r>
      <w:r w:rsidRPr="001302B9">
        <w:rPr>
          <w:lang w:val="fr-FR"/>
        </w:rPr>
        <w:t>a)</w:t>
      </w:r>
      <w:r>
        <w:rPr>
          <w:lang w:val="fr-FR"/>
        </w:rPr>
        <w:t> </w:t>
      </w:r>
      <w:r w:rsidRPr="001302B9">
        <w:rPr>
          <w:lang w:val="fr-FR"/>
        </w:rPr>
        <w:t>harmonisation</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législation</w:t>
      </w:r>
      <w:r>
        <w:rPr>
          <w:lang w:val="fr-FR"/>
        </w:rPr>
        <w:t xml:space="preserve"> ; </w:t>
      </w:r>
      <w:r w:rsidRPr="001302B9">
        <w:rPr>
          <w:lang w:val="fr-FR"/>
        </w:rPr>
        <w:t>b)</w:t>
      </w:r>
      <w:r>
        <w:rPr>
          <w:lang w:val="fr-FR"/>
        </w:rPr>
        <w:t> </w:t>
      </w:r>
      <w:r w:rsidRPr="001302B9">
        <w:rPr>
          <w:lang w:val="fr-FR"/>
        </w:rPr>
        <w:t>recherches</w:t>
      </w:r>
      <w:r>
        <w:rPr>
          <w:lang w:val="fr-FR"/>
        </w:rPr>
        <w:t xml:space="preserve"> </w:t>
      </w:r>
      <w:r w:rsidRPr="001302B9">
        <w:rPr>
          <w:lang w:val="fr-FR"/>
        </w:rPr>
        <w:t>et</w:t>
      </w:r>
      <w:r>
        <w:rPr>
          <w:lang w:val="fr-FR"/>
        </w:rPr>
        <w:t xml:space="preserve"> </w:t>
      </w:r>
      <w:r w:rsidRPr="001302B9">
        <w:rPr>
          <w:lang w:val="fr-FR"/>
        </w:rPr>
        <w:t>enquêtes</w:t>
      </w:r>
      <w:r>
        <w:rPr>
          <w:lang w:val="fr-FR"/>
        </w:rPr>
        <w:t> ; c</w:t>
      </w:r>
      <w:r w:rsidRPr="001302B9">
        <w:rPr>
          <w:lang w:val="fr-FR"/>
        </w:rPr>
        <w:t>)</w:t>
      </w:r>
      <w:r>
        <w:t> </w:t>
      </w:r>
      <w:r w:rsidRPr="001302B9">
        <w:rPr>
          <w:lang w:val="fr-FR"/>
        </w:rPr>
        <w:t>réparation</w:t>
      </w:r>
      <w:r>
        <w:rPr>
          <w:lang w:val="fr-FR"/>
        </w:rPr>
        <w:t xml:space="preserve"> </w:t>
      </w:r>
      <w:r w:rsidRPr="001302B9">
        <w:rPr>
          <w:lang w:val="fr-FR"/>
        </w:rPr>
        <w:t>intégrale.</w:t>
      </w:r>
      <w:r>
        <w:rPr>
          <w:lang w:val="fr-FR"/>
        </w:rPr>
        <w:t xml:space="preserve"> </w:t>
      </w:r>
      <w:r w:rsidRPr="001302B9">
        <w:rPr>
          <w:lang w:val="fr-FR"/>
        </w:rPr>
        <w:t>Le</w:t>
      </w:r>
      <w:r>
        <w:rPr>
          <w:lang w:val="fr-FR"/>
        </w:rPr>
        <w:t xml:space="preserve"> </w:t>
      </w:r>
      <w:r w:rsidRPr="001302B9">
        <w:rPr>
          <w:lang w:val="fr-FR"/>
        </w:rPr>
        <w:t>Comité</w:t>
      </w:r>
      <w:r>
        <w:rPr>
          <w:lang w:val="fr-FR"/>
        </w:rPr>
        <w:t xml:space="preserve"> </w:t>
      </w:r>
      <w:r w:rsidRPr="001302B9">
        <w:rPr>
          <w:lang w:val="fr-FR"/>
        </w:rPr>
        <w:t>remercie</w:t>
      </w:r>
      <w:r>
        <w:rPr>
          <w:lang w:val="fr-FR"/>
        </w:rPr>
        <w:t xml:space="preserve"> </w:t>
      </w:r>
      <w:r w:rsidRPr="001302B9">
        <w:rPr>
          <w:lang w:val="fr-FR"/>
        </w:rPr>
        <w:t>également</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pour</w:t>
      </w:r>
      <w:r>
        <w:rPr>
          <w:lang w:val="fr-FR"/>
        </w:rPr>
        <w:t xml:space="preserve"> </w:t>
      </w:r>
      <w:r w:rsidRPr="001302B9">
        <w:rPr>
          <w:lang w:val="fr-FR"/>
        </w:rPr>
        <w:t>les</w:t>
      </w:r>
      <w:r>
        <w:rPr>
          <w:lang w:val="fr-FR"/>
        </w:rPr>
        <w:t xml:space="preserve"> </w:t>
      </w:r>
      <w:r w:rsidRPr="001302B9">
        <w:rPr>
          <w:lang w:val="fr-FR"/>
        </w:rPr>
        <w:t>informations</w:t>
      </w:r>
      <w:r>
        <w:rPr>
          <w:lang w:val="fr-FR"/>
        </w:rPr>
        <w:t xml:space="preserve"> </w:t>
      </w:r>
      <w:r w:rsidRPr="001302B9">
        <w:rPr>
          <w:lang w:val="fr-FR"/>
        </w:rPr>
        <w:t>complémentaires</w:t>
      </w:r>
      <w:r>
        <w:rPr>
          <w:lang w:val="fr-FR"/>
        </w:rPr>
        <w:t xml:space="preserve"> </w:t>
      </w:r>
      <w:r w:rsidRPr="001302B9">
        <w:rPr>
          <w:lang w:val="fr-FR"/>
        </w:rPr>
        <w:t>qu’il</w:t>
      </w:r>
      <w:r>
        <w:rPr>
          <w:lang w:val="fr-FR"/>
        </w:rPr>
        <w:t xml:space="preserve"> </w:t>
      </w:r>
      <w:r w:rsidRPr="001302B9">
        <w:rPr>
          <w:lang w:val="fr-FR"/>
        </w:rPr>
        <w:t>lui</w:t>
      </w:r>
      <w:r>
        <w:rPr>
          <w:lang w:val="fr-FR"/>
        </w:rPr>
        <w:t xml:space="preserve"> </w:t>
      </w:r>
      <w:r w:rsidRPr="001302B9">
        <w:rPr>
          <w:lang w:val="fr-FR"/>
        </w:rPr>
        <w:t>a</w:t>
      </w:r>
      <w:r>
        <w:rPr>
          <w:lang w:val="fr-FR"/>
        </w:rPr>
        <w:t xml:space="preserve"> </w:t>
      </w:r>
      <w:r w:rsidRPr="001302B9">
        <w:rPr>
          <w:lang w:val="fr-FR"/>
        </w:rPr>
        <w:t>fournies</w:t>
      </w:r>
      <w:r>
        <w:rPr>
          <w:lang w:val="fr-FR"/>
        </w:rPr>
        <w:t xml:space="preserve"> </w:t>
      </w:r>
      <w:r w:rsidRPr="001302B9">
        <w:rPr>
          <w:lang w:val="fr-FR"/>
        </w:rPr>
        <w:t>par</w:t>
      </w:r>
      <w:r>
        <w:rPr>
          <w:lang w:val="fr-FR"/>
        </w:rPr>
        <w:t xml:space="preserve"> </w:t>
      </w:r>
      <w:r w:rsidRPr="001302B9">
        <w:rPr>
          <w:lang w:val="fr-FR"/>
        </w:rPr>
        <w:t>écrit</w:t>
      </w:r>
      <w:r>
        <w:rPr>
          <w:lang w:val="fr-FR"/>
        </w:rPr>
        <w:t xml:space="preserve"> </w:t>
      </w:r>
      <w:r w:rsidRPr="001302B9">
        <w:rPr>
          <w:lang w:val="fr-FR"/>
        </w:rPr>
        <w:t>à</w:t>
      </w:r>
      <w:r>
        <w:rPr>
          <w:lang w:val="fr-FR"/>
        </w:rPr>
        <w:t xml:space="preserve"> </w:t>
      </w:r>
      <w:r w:rsidRPr="001302B9">
        <w:rPr>
          <w:lang w:val="fr-FR"/>
        </w:rPr>
        <w:t>l’issue</w:t>
      </w:r>
      <w:r>
        <w:rPr>
          <w:lang w:val="fr-FR"/>
        </w:rPr>
        <w:t xml:space="preserve"> </w:t>
      </w:r>
      <w:r w:rsidRPr="001302B9">
        <w:rPr>
          <w:lang w:val="fr-FR"/>
        </w:rPr>
        <w:t>du</w:t>
      </w:r>
      <w:r>
        <w:rPr>
          <w:lang w:val="fr-FR"/>
        </w:rPr>
        <w:t xml:space="preserve"> </w:t>
      </w:r>
      <w:r w:rsidRPr="001302B9">
        <w:rPr>
          <w:lang w:val="fr-FR"/>
        </w:rPr>
        <w:t>dialogue.</w:t>
      </w:r>
    </w:p>
    <w:p w14:paraId="5115BA05" w14:textId="5A2DD1F5" w:rsidR="003F0CA1" w:rsidRPr="001302B9" w:rsidRDefault="003F0CA1" w:rsidP="003F0CA1">
      <w:pPr>
        <w:pStyle w:val="SingleTxtG"/>
        <w:rPr>
          <w:lang w:val="fr-FR"/>
        </w:rPr>
      </w:pPr>
      <w:r w:rsidRPr="001302B9">
        <w:rPr>
          <w:lang w:val="fr-FR"/>
        </w:rPr>
        <w:t>2.</w:t>
      </w:r>
      <w:r w:rsidRPr="001302B9">
        <w:rPr>
          <w:lang w:val="fr-FR"/>
        </w:rPr>
        <w:tab/>
        <w:t>À</w:t>
      </w:r>
      <w:r>
        <w:rPr>
          <w:lang w:val="fr-FR"/>
        </w:rPr>
        <w:t xml:space="preserve"> </w:t>
      </w:r>
      <w:r w:rsidRPr="001302B9">
        <w:rPr>
          <w:lang w:val="fr-FR"/>
        </w:rPr>
        <w:t>sa</w:t>
      </w:r>
      <w:r>
        <w:rPr>
          <w:lang w:val="fr-FR"/>
        </w:rPr>
        <w:t xml:space="preserve"> </w:t>
      </w:r>
      <w:r w:rsidRPr="001302B9">
        <w:rPr>
          <w:lang w:val="fr-FR"/>
        </w:rPr>
        <w:t>420</w:t>
      </w:r>
      <w:r w:rsidRPr="003F0CA1">
        <w:rPr>
          <w:vertAlign w:val="superscript"/>
          <w:lang w:val="fr-FR"/>
        </w:rPr>
        <w:t>e</w:t>
      </w:r>
      <w:r>
        <w:rPr>
          <w:lang w:val="fr-FR"/>
        </w:rPr>
        <w:t> </w:t>
      </w:r>
      <w:r w:rsidRPr="001302B9">
        <w:rPr>
          <w:lang w:val="fr-FR"/>
        </w:rPr>
        <w:t>séance,</w:t>
      </w:r>
      <w:r>
        <w:rPr>
          <w:lang w:val="fr-FR"/>
        </w:rPr>
        <w:t xml:space="preserve"> </w:t>
      </w:r>
      <w:r w:rsidRPr="001302B9">
        <w:rPr>
          <w:lang w:val="fr-FR"/>
        </w:rPr>
        <w:t>le</w:t>
      </w:r>
      <w:r>
        <w:rPr>
          <w:lang w:val="fr-FR"/>
        </w:rPr>
        <w:t xml:space="preserve"> </w:t>
      </w:r>
      <w:r w:rsidRPr="001302B9">
        <w:rPr>
          <w:lang w:val="fr-FR"/>
        </w:rPr>
        <w:t>23</w:t>
      </w:r>
      <w:r>
        <w:rPr>
          <w:lang w:val="fr-FR"/>
        </w:rPr>
        <w:t> </w:t>
      </w:r>
      <w:r w:rsidRPr="001302B9">
        <w:rPr>
          <w:lang w:val="fr-FR"/>
        </w:rPr>
        <w:t>septembre</w:t>
      </w:r>
      <w:r>
        <w:rPr>
          <w:lang w:val="fr-FR"/>
        </w:rPr>
        <w:t xml:space="preserve"> </w:t>
      </w:r>
      <w:r w:rsidRPr="001302B9">
        <w:rPr>
          <w:lang w:val="fr-FR"/>
        </w:rPr>
        <w:t>2022,</w:t>
      </w:r>
      <w:r>
        <w:rPr>
          <w:lang w:val="fr-FR"/>
        </w:rPr>
        <w:t xml:space="preserve"> </w:t>
      </w:r>
      <w:r w:rsidRPr="001302B9">
        <w:rPr>
          <w:lang w:val="fr-FR"/>
        </w:rPr>
        <w:t>le</w:t>
      </w:r>
      <w:r>
        <w:rPr>
          <w:lang w:val="fr-FR"/>
        </w:rPr>
        <w:t xml:space="preserve"> </w:t>
      </w:r>
      <w:r w:rsidRPr="001302B9">
        <w:rPr>
          <w:lang w:val="fr-FR"/>
        </w:rPr>
        <w:t>Comité</w:t>
      </w:r>
      <w:r>
        <w:rPr>
          <w:lang w:val="fr-FR"/>
        </w:rPr>
        <w:t xml:space="preserve"> </w:t>
      </w:r>
      <w:r w:rsidRPr="001302B9">
        <w:rPr>
          <w:lang w:val="fr-FR"/>
        </w:rPr>
        <w:t>a</w:t>
      </w:r>
      <w:r>
        <w:rPr>
          <w:lang w:val="fr-FR"/>
        </w:rPr>
        <w:t xml:space="preserve"> </w:t>
      </w:r>
      <w:r w:rsidRPr="001302B9">
        <w:rPr>
          <w:lang w:val="fr-FR"/>
        </w:rPr>
        <w:t>adopté</w:t>
      </w:r>
      <w:r>
        <w:rPr>
          <w:lang w:val="fr-FR"/>
        </w:rPr>
        <w:t xml:space="preserve"> </w:t>
      </w:r>
      <w:r w:rsidRPr="001302B9">
        <w:rPr>
          <w:lang w:val="fr-FR"/>
        </w:rPr>
        <w:t>les</w:t>
      </w:r>
      <w:r>
        <w:rPr>
          <w:lang w:val="fr-FR"/>
        </w:rPr>
        <w:t xml:space="preserve"> </w:t>
      </w:r>
      <w:r w:rsidRPr="001302B9">
        <w:rPr>
          <w:lang w:val="fr-FR"/>
        </w:rPr>
        <w:t>observations</w:t>
      </w:r>
      <w:r>
        <w:rPr>
          <w:lang w:val="fr-FR"/>
        </w:rPr>
        <w:t xml:space="preserve"> </w:t>
      </w:r>
      <w:r w:rsidRPr="001302B9">
        <w:rPr>
          <w:lang w:val="fr-FR"/>
        </w:rPr>
        <w:t>finales</w:t>
      </w:r>
      <w:r>
        <w:rPr>
          <w:lang w:val="fr-FR"/>
        </w:rPr>
        <w:t xml:space="preserve"> </w:t>
      </w:r>
      <w:r w:rsidRPr="001302B9">
        <w:rPr>
          <w:lang w:val="fr-FR"/>
        </w:rPr>
        <w:t>ci-après.</w:t>
      </w:r>
    </w:p>
    <w:p w14:paraId="498E3EC3" w14:textId="77777777" w:rsidR="003F0CA1" w:rsidRPr="001302B9" w:rsidRDefault="003F0CA1" w:rsidP="003F0CA1">
      <w:pPr>
        <w:pStyle w:val="H1G"/>
        <w:rPr>
          <w:lang w:val="fr-FR"/>
        </w:rPr>
      </w:pPr>
      <w:r w:rsidRPr="001302B9">
        <w:rPr>
          <w:lang w:val="fr-FR"/>
        </w:rPr>
        <w:tab/>
        <w:t>B.</w:t>
      </w:r>
      <w:r w:rsidRPr="001302B9">
        <w:rPr>
          <w:lang w:val="fr-FR"/>
        </w:rPr>
        <w:tab/>
        <w:t>Aspects</w:t>
      </w:r>
      <w:r>
        <w:rPr>
          <w:lang w:val="fr-FR"/>
        </w:rPr>
        <w:t xml:space="preserve"> </w:t>
      </w:r>
      <w:r w:rsidRPr="001302B9">
        <w:rPr>
          <w:lang w:val="fr-FR"/>
        </w:rPr>
        <w:t>positifs</w:t>
      </w:r>
    </w:p>
    <w:p w14:paraId="710A9CB9" w14:textId="647EB458" w:rsidR="003F0CA1" w:rsidRPr="001302B9" w:rsidRDefault="003F0CA1" w:rsidP="003F0CA1">
      <w:pPr>
        <w:pStyle w:val="SingleTxtG"/>
        <w:keepNext/>
        <w:rPr>
          <w:lang w:val="fr-FR"/>
        </w:rPr>
      </w:pPr>
      <w:r w:rsidRPr="001302B9">
        <w:rPr>
          <w:lang w:val="fr-FR"/>
        </w:rPr>
        <w:t>3.</w:t>
      </w:r>
      <w:r w:rsidRPr="001302B9">
        <w:rPr>
          <w:lang w:val="fr-FR"/>
        </w:rPr>
        <w:tab/>
        <w:t>Le</w:t>
      </w:r>
      <w:r>
        <w:rPr>
          <w:lang w:val="fr-FR"/>
        </w:rPr>
        <w:t xml:space="preserve"> </w:t>
      </w:r>
      <w:r w:rsidRPr="001302B9">
        <w:rPr>
          <w:lang w:val="fr-FR"/>
        </w:rPr>
        <w:t>Comité</w:t>
      </w:r>
      <w:r>
        <w:rPr>
          <w:lang w:val="fr-FR"/>
        </w:rPr>
        <w:t xml:space="preserve"> </w:t>
      </w:r>
      <w:r w:rsidRPr="001302B9">
        <w:rPr>
          <w:lang w:val="fr-FR"/>
        </w:rPr>
        <w:t>se</w:t>
      </w:r>
      <w:r>
        <w:rPr>
          <w:lang w:val="fr-FR"/>
        </w:rPr>
        <w:t xml:space="preserve"> </w:t>
      </w:r>
      <w:r w:rsidRPr="001302B9">
        <w:rPr>
          <w:lang w:val="fr-FR"/>
        </w:rPr>
        <w:t>félicite</w:t>
      </w:r>
      <w:r>
        <w:rPr>
          <w:lang w:val="fr-FR"/>
        </w:rPr>
        <w:t xml:space="preserve"> </w:t>
      </w:r>
      <w:r w:rsidRPr="001302B9">
        <w:rPr>
          <w:lang w:val="fr-FR"/>
        </w:rPr>
        <w:t>des</w:t>
      </w:r>
      <w:r>
        <w:rPr>
          <w:lang w:val="fr-FR"/>
        </w:rPr>
        <w:t xml:space="preserve"> </w:t>
      </w:r>
      <w:r w:rsidRPr="001302B9">
        <w:rPr>
          <w:lang w:val="fr-FR"/>
        </w:rPr>
        <w:t>mesures</w:t>
      </w:r>
      <w:r>
        <w:rPr>
          <w:lang w:val="fr-FR"/>
        </w:rPr>
        <w:t xml:space="preserve"> </w:t>
      </w:r>
      <w:r w:rsidRPr="001302B9">
        <w:rPr>
          <w:lang w:val="fr-FR"/>
        </w:rPr>
        <w:t>prises</w:t>
      </w:r>
      <w:r>
        <w:rPr>
          <w:lang w:val="fr-FR"/>
        </w:rPr>
        <w:t xml:space="preserve"> </w:t>
      </w:r>
      <w:r w:rsidRPr="001302B9">
        <w:rPr>
          <w:lang w:val="fr-FR"/>
        </w:rPr>
        <w:t>par</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pour</w:t>
      </w:r>
      <w:r>
        <w:rPr>
          <w:lang w:val="fr-FR"/>
        </w:rPr>
        <w:t xml:space="preserve"> </w:t>
      </w:r>
      <w:r w:rsidRPr="001302B9">
        <w:rPr>
          <w:lang w:val="fr-FR"/>
        </w:rPr>
        <w:t>donner</w:t>
      </w:r>
      <w:r>
        <w:rPr>
          <w:lang w:val="fr-FR"/>
        </w:rPr>
        <w:t xml:space="preserve"> </w:t>
      </w:r>
      <w:r w:rsidRPr="001302B9">
        <w:rPr>
          <w:lang w:val="fr-FR"/>
        </w:rPr>
        <w:t>suite</w:t>
      </w:r>
      <w:r>
        <w:rPr>
          <w:lang w:val="fr-FR"/>
        </w:rPr>
        <w:t xml:space="preserve"> </w:t>
      </w:r>
      <w:r w:rsidRPr="001302B9">
        <w:rPr>
          <w:lang w:val="fr-FR"/>
        </w:rPr>
        <w:t>à</w:t>
      </w:r>
      <w:r>
        <w:rPr>
          <w:lang w:val="fr-FR"/>
        </w:rPr>
        <w:t xml:space="preserve"> </w:t>
      </w:r>
      <w:r w:rsidRPr="001302B9">
        <w:rPr>
          <w:lang w:val="fr-FR"/>
        </w:rPr>
        <w:t>ses</w:t>
      </w:r>
      <w:r>
        <w:rPr>
          <w:lang w:val="fr-FR"/>
        </w:rPr>
        <w:t xml:space="preserve"> </w:t>
      </w:r>
      <w:r w:rsidRPr="001302B9">
        <w:rPr>
          <w:lang w:val="fr-FR"/>
        </w:rPr>
        <w:t>précédentes</w:t>
      </w:r>
      <w:r>
        <w:rPr>
          <w:lang w:val="fr-FR"/>
        </w:rPr>
        <w:t xml:space="preserve"> </w:t>
      </w:r>
      <w:r w:rsidRPr="001302B9">
        <w:rPr>
          <w:lang w:val="fr-FR"/>
        </w:rPr>
        <w:t>observations</w:t>
      </w:r>
      <w:r>
        <w:rPr>
          <w:lang w:val="fr-FR"/>
        </w:rPr>
        <w:t xml:space="preserve"> </w:t>
      </w:r>
      <w:r w:rsidRPr="001302B9">
        <w:rPr>
          <w:lang w:val="fr-FR"/>
        </w:rPr>
        <w:t>finales,</w:t>
      </w:r>
      <w:r>
        <w:rPr>
          <w:lang w:val="fr-FR"/>
        </w:rPr>
        <w:t xml:space="preserve"> </w:t>
      </w:r>
      <w:r w:rsidRPr="001302B9">
        <w:rPr>
          <w:lang w:val="fr-FR"/>
        </w:rPr>
        <w:t>notamment</w:t>
      </w:r>
      <w:r>
        <w:rPr>
          <w:lang w:val="fr-FR"/>
        </w:rPr>
        <w:t> :</w:t>
      </w:r>
    </w:p>
    <w:p w14:paraId="3F2B55E6" w14:textId="6A7AFA9E" w:rsidR="003F0CA1" w:rsidRPr="001302B9" w:rsidRDefault="003F0CA1" w:rsidP="003F0CA1">
      <w:pPr>
        <w:pStyle w:val="SingleTxtG"/>
        <w:ind w:firstLine="567"/>
        <w:rPr>
          <w:lang w:val="fr-FR"/>
        </w:rPr>
      </w:pPr>
      <w:r w:rsidRPr="001302B9">
        <w:rPr>
          <w:lang w:val="fr-FR"/>
        </w:rPr>
        <w:t>a)</w:t>
      </w:r>
      <w:r w:rsidRPr="001302B9">
        <w:rPr>
          <w:lang w:val="fr-FR"/>
        </w:rPr>
        <w:tab/>
        <w:t>La</w:t>
      </w:r>
      <w:r>
        <w:rPr>
          <w:lang w:val="fr-FR"/>
        </w:rPr>
        <w:t xml:space="preserve"> </w:t>
      </w:r>
      <w:r w:rsidRPr="001302B9">
        <w:rPr>
          <w:lang w:val="fr-FR"/>
        </w:rPr>
        <w:t>promulgation</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loi</w:t>
      </w:r>
      <w:r>
        <w:rPr>
          <w:lang w:val="fr-FR"/>
        </w:rPr>
        <w:t xml:space="preserve"> </w:t>
      </w:r>
      <w:r w:rsidRPr="001302B9">
        <w:rPr>
          <w:rFonts w:eastAsia="MS Mincho"/>
          <w:lang w:val="fr-FR"/>
        </w:rPr>
        <w:t>n</w:t>
      </w:r>
      <w:r w:rsidRPr="001302B9">
        <w:rPr>
          <w:rFonts w:eastAsia="MS Mincho"/>
          <w:vertAlign w:val="superscript"/>
          <w:lang w:val="fr-FR"/>
        </w:rPr>
        <w:t>o</w:t>
      </w:r>
      <w:r>
        <w:rPr>
          <w:lang w:val="fr-FR"/>
        </w:rPr>
        <w:t> </w:t>
      </w:r>
      <w:r w:rsidRPr="001302B9">
        <w:rPr>
          <w:lang w:val="fr-FR"/>
        </w:rPr>
        <w:t>19.859</w:t>
      </w:r>
      <w:r>
        <w:rPr>
          <w:lang w:val="fr-FR"/>
        </w:rPr>
        <w:t xml:space="preserve"> </w:t>
      </w:r>
      <w:r w:rsidRPr="001302B9">
        <w:rPr>
          <w:lang w:val="fr-FR"/>
        </w:rPr>
        <w:t>de</w:t>
      </w:r>
      <w:r>
        <w:rPr>
          <w:lang w:val="fr-FR"/>
        </w:rPr>
        <w:t xml:space="preserve"> </w:t>
      </w:r>
      <w:r w:rsidRPr="001302B9">
        <w:rPr>
          <w:lang w:val="fr-FR"/>
        </w:rPr>
        <w:t>décembre</w:t>
      </w:r>
      <w:r>
        <w:rPr>
          <w:lang w:val="fr-FR"/>
        </w:rPr>
        <w:t xml:space="preserve"> </w:t>
      </w:r>
      <w:r w:rsidRPr="001302B9">
        <w:rPr>
          <w:lang w:val="fr-FR"/>
        </w:rPr>
        <w:t>2019,</w:t>
      </w:r>
      <w:r>
        <w:rPr>
          <w:lang w:val="fr-FR"/>
        </w:rPr>
        <w:t xml:space="preserve"> </w:t>
      </w:r>
      <w:r w:rsidRPr="001302B9">
        <w:rPr>
          <w:lang w:val="fr-FR"/>
        </w:rPr>
        <w:t>qui</w:t>
      </w:r>
      <w:r>
        <w:rPr>
          <w:lang w:val="fr-FR"/>
        </w:rPr>
        <w:t xml:space="preserve"> </w:t>
      </w:r>
      <w:r w:rsidRPr="001302B9">
        <w:rPr>
          <w:lang w:val="fr-FR"/>
        </w:rPr>
        <w:t>dispose,</w:t>
      </w:r>
      <w:r>
        <w:rPr>
          <w:lang w:val="fr-FR"/>
        </w:rPr>
        <w:t xml:space="preserve"> </w:t>
      </w:r>
      <w:r w:rsidRPr="001302B9">
        <w:rPr>
          <w:lang w:val="fr-FR"/>
        </w:rPr>
        <w:t>à</w:t>
      </w:r>
      <w:r>
        <w:rPr>
          <w:lang w:val="fr-FR"/>
        </w:rPr>
        <w:t xml:space="preserve"> </w:t>
      </w:r>
      <w:r w:rsidRPr="001302B9">
        <w:rPr>
          <w:lang w:val="fr-FR"/>
        </w:rPr>
        <w:t>titre</w:t>
      </w:r>
      <w:r>
        <w:rPr>
          <w:lang w:val="fr-FR"/>
        </w:rPr>
        <w:t xml:space="preserve"> </w:t>
      </w:r>
      <w:r w:rsidRPr="001302B9">
        <w:rPr>
          <w:lang w:val="fr-FR"/>
        </w:rPr>
        <w:t>interprétatif,</w:t>
      </w:r>
      <w:r>
        <w:rPr>
          <w:lang w:val="fr-FR"/>
        </w:rPr>
        <w:t xml:space="preserve"> </w:t>
      </w:r>
      <w:r w:rsidRPr="001302B9">
        <w:rPr>
          <w:lang w:val="fr-FR"/>
        </w:rPr>
        <w:t>que</w:t>
      </w:r>
      <w:r>
        <w:rPr>
          <w:lang w:val="fr-FR"/>
        </w:rPr>
        <w:t xml:space="preserve"> </w:t>
      </w:r>
      <w:r w:rsidRPr="001302B9">
        <w:rPr>
          <w:lang w:val="fr-FR"/>
        </w:rPr>
        <w:t>le</w:t>
      </w:r>
      <w:r>
        <w:rPr>
          <w:lang w:val="fr-FR"/>
        </w:rPr>
        <w:t xml:space="preserve"> </w:t>
      </w:r>
      <w:r w:rsidRPr="001302B9">
        <w:rPr>
          <w:lang w:val="fr-FR"/>
        </w:rPr>
        <w:t>droit</w:t>
      </w:r>
      <w:r>
        <w:rPr>
          <w:lang w:val="fr-FR"/>
        </w:rPr>
        <w:t xml:space="preserve"> </w:t>
      </w:r>
      <w:r w:rsidRPr="001302B9">
        <w:rPr>
          <w:lang w:val="fr-FR"/>
        </w:rPr>
        <w:t>de</w:t>
      </w:r>
      <w:r>
        <w:rPr>
          <w:lang w:val="fr-FR"/>
        </w:rPr>
        <w:t xml:space="preserve"> </w:t>
      </w:r>
      <w:r w:rsidRPr="001302B9">
        <w:rPr>
          <w:lang w:val="fr-FR"/>
        </w:rPr>
        <w:t>recevoir</w:t>
      </w:r>
      <w:r>
        <w:rPr>
          <w:lang w:val="fr-FR"/>
        </w:rPr>
        <w:t xml:space="preserve"> </w:t>
      </w:r>
      <w:r w:rsidRPr="001302B9">
        <w:rPr>
          <w:lang w:val="fr-FR"/>
        </w:rPr>
        <w:t>à</w:t>
      </w:r>
      <w:r>
        <w:rPr>
          <w:lang w:val="fr-FR"/>
        </w:rPr>
        <w:t xml:space="preserve"> </w:t>
      </w:r>
      <w:r w:rsidRPr="001302B9">
        <w:rPr>
          <w:lang w:val="fr-FR"/>
        </w:rPr>
        <w:t>vie</w:t>
      </w:r>
      <w:r>
        <w:rPr>
          <w:lang w:val="fr-FR"/>
        </w:rPr>
        <w:t xml:space="preserve"> </w:t>
      </w:r>
      <w:r w:rsidRPr="001302B9">
        <w:rPr>
          <w:lang w:val="fr-FR"/>
        </w:rPr>
        <w:t>des</w:t>
      </w:r>
      <w:r>
        <w:rPr>
          <w:lang w:val="fr-FR"/>
        </w:rPr>
        <w:t xml:space="preserve"> </w:t>
      </w:r>
      <w:r w:rsidRPr="001302B9">
        <w:rPr>
          <w:lang w:val="fr-FR"/>
        </w:rPr>
        <w:t>soins</w:t>
      </w:r>
      <w:r>
        <w:rPr>
          <w:lang w:val="fr-FR"/>
        </w:rPr>
        <w:t xml:space="preserve"> </w:t>
      </w:r>
      <w:r w:rsidRPr="001302B9">
        <w:rPr>
          <w:lang w:val="fr-FR"/>
        </w:rPr>
        <w:t>de</w:t>
      </w:r>
      <w:r>
        <w:rPr>
          <w:lang w:val="fr-FR"/>
        </w:rPr>
        <w:t xml:space="preserve"> </w:t>
      </w:r>
      <w:r w:rsidRPr="001302B9">
        <w:rPr>
          <w:lang w:val="fr-FR"/>
        </w:rPr>
        <w:t>santé</w:t>
      </w:r>
      <w:r>
        <w:rPr>
          <w:lang w:val="fr-FR"/>
        </w:rPr>
        <w:t xml:space="preserve"> </w:t>
      </w:r>
      <w:r w:rsidRPr="001302B9">
        <w:rPr>
          <w:lang w:val="fr-FR"/>
        </w:rPr>
        <w:t>complets</w:t>
      </w:r>
      <w:r>
        <w:rPr>
          <w:lang w:val="fr-FR"/>
        </w:rPr>
        <w:t xml:space="preserve"> </w:t>
      </w:r>
      <w:r w:rsidRPr="001302B9">
        <w:rPr>
          <w:lang w:val="fr-FR"/>
        </w:rPr>
        <w:t>et</w:t>
      </w:r>
      <w:r>
        <w:rPr>
          <w:lang w:val="fr-FR"/>
        </w:rPr>
        <w:t xml:space="preserve"> </w:t>
      </w:r>
      <w:r w:rsidRPr="001302B9">
        <w:rPr>
          <w:lang w:val="fr-FR"/>
        </w:rPr>
        <w:t>gratuits</w:t>
      </w:r>
      <w:r>
        <w:rPr>
          <w:lang w:val="fr-FR"/>
        </w:rPr>
        <w:t xml:space="preserve"> </w:t>
      </w:r>
      <w:r w:rsidRPr="001302B9">
        <w:rPr>
          <w:lang w:val="fr-FR"/>
        </w:rPr>
        <w:t>dans</w:t>
      </w:r>
      <w:r>
        <w:rPr>
          <w:lang w:val="fr-FR"/>
        </w:rPr>
        <w:t xml:space="preserve"> </w:t>
      </w:r>
      <w:r w:rsidRPr="001302B9">
        <w:rPr>
          <w:lang w:val="fr-FR"/>
        </w:rPr>
        <w:t>le</w:t>
      </w:r>
      <w:r>
        <w:rPr>
          <w:lang w:val="fr-FR"/>
        </w:rPr>
        <w:t xml:space="preserve"> </w:t>
      </w:r>
      <w:r w:rsidRPr="001302B9">
        <w:rPr>
          <w:lang w:val="fr-FR"/>
        </w:rPr>
        <w:t>cadre</w:t>
      </w:r>
      <w:r>
        <w:rPr>
          <w:lang w:val="fr-FR"/>
        </w:rPr>
        <w:t xml:space="preserve"> </w:t>
      </w:r>
      <w:r w:rsidRPr="001302B9">
        <w:rPr>
          <w:lang w:val="fr-FR"/>
        </w:rPr>
        <w:t>du</w:t>
      </w:r>
      <w:r>
        <w:rPr>
          <w:lang w:val="fr-FR"/>
        </w:rPr>
        <w:t xml:space="preserve"> </w:t>
      </w:r>
      <w:r w:rsidRPr="001302B9">
        <w:rPr>
          <w:lang w:val="fr-FR"/>
        </w:rPr>
        <w:t>système</w:t>
      </w:r>
      <w:r>
        <w:rPr>
          <w:lang w:val="fr-FR"/>
        </w:rPr>
        <w:t xml:space="preserve"> </w:t>
      </w:r>
      <w:r w:rsidRPr="001302B9">
        <w:rPr>
          <w:lang w:val="fr-FR"/>
        </w:rPr>
        <w:t>national</w:t>
      </w:r>
      <w:r>
        <w:rPr>
          <w:lang w:val="fr-FR"/>
        </w:rPr>
        <w:t xml:space="preserve"> </w:t>
      </w:r>
      <w:r w:rsidRPr="001302B9">
        <w:rPr>
          <w:lang w:val="fr-FR"/>
        </w:rPr>
        <w:t>de</w:t>
      </w:r>
      <w:r>
        <w:rPr>
          <w:lang w:val="fr-FR"/>
        </w:rPr>
        <w:t xml:space="preserve"> </w:t>
      </w:r>
      <w:r w:rsidRPr="001302B9">
        <w:rPr>
          <w:lang w:val="fr-FR"/>
        </w:rPr>
        <w:t>santé</w:t>
      </w:r>
      <w:r>
        <w:rPr>
          <w:lang w:val="fr-FR"/>
        </w:rPr>
        <w:t xml:space="preserve"> </w:t>
      </w:r>
      <w:r w:rsidRPr="001302B9">
        <w:rPr>
          <w:lang w:val="fr-FR"/>
        </w:rPr>
        <w:t>est</w:t>
      </w:r>
      <w:r>
        <w:rPr>
          <w:lang w:val="fr-FR"/>
        </w:rPr>
        <w:t xml:space="preserve"> </w:t>
      </w:r>
      <w:r w:rsidRPr="001302B9">
        <w:rPr>
          <w:lang w:val="fr-FR"/>
        </w:rPr>
        <w:t>reconnu</w:t>
      </w:r>
      <w:r>
        <w:rPr>
          <w:lang w:val="fr-FR"/>
        </w:rPr>
        <w:t xml:space="preserve"> </w:t>
      </w:r>
      <w:r w:rsidRPr="001302B9">
        <w:rPr>
          <w:lang w:val="fr-FR"/>
        </w:rPr>
        <w:t>à</w:t>
      </w:r>
      <w:r>
        <w:rPr>
          <w:lang w:val="fr-FR"/>
        </w:rPr>
        <w:t xml:space="preserve"> </w:t>
      </w:r>
      <w:r w:rsidRPr="001302B9">
        <w:rPr>
          <w:lang w:val="fr-FR"/>
        </w:rPr>
        <w:t>un</w:t>
      </w:r>
      <w:r>
        <w:rPr>
          <w:lang w:val="fr-FR"/>
        </w:rPr>
        <w:t xml:space="preserve"> </w:t>
      </w:r>
      <w:r w:rsidRPr="001302B9">
        <w:rPr>
          <w:lang w:val="fr-FR"/>
        </w:rPr>
        <w:t>certain</w:t>
      </w:r>
      <w:r>
        <w:rPr>
          <w:lang w:val="fr-FR"/>
        </w:rPr>
        <w:t xml:space="preserve"> </w:t>
      </w:r>
      <w:r w:rsidRPr="001302B9">
        <w:rPr>
          <w:lang w:val="fr-FR"/>
        </w:rPr>
        <w:t>nombre</w:t>
      </w:r>
      <w:r>
        <w:rPr>
          <w:lang w:val="fr-FR"/>
        </w:rPr>
        <w:t xml:space="preserve"> </w:t>
      </w:r>
      <w:r w:rsidRPr="001302B9">
        <w:rPr>
          <w:lang w:val="fr-FR"/>
        </w:rPr>
        <w:t>de</w:t>
      </w:r>
      <w:r>
        <w:rPr>
          <w:lang w:val="fr-FR"/>
        </w:rPr>
        <w:t xml:space="preserve"> </w:t>
      </w:r>
      <w:r w:rsidRPr="001302B9">
        <w:rPr>
          <w:lang w:val="fr-FR"/>
        </w:rPr>
        <w:t>personnes</w:t>
      </w:r>
      <w:r>
        <w:rPr>
          <w:lang w:val="fr-FR"/>
        </w:rPr>
        <w:t xml:space="preserve"> </w:t>
      </w:r>
      <w:r w:rsidRPr="001302B9">
        <w:rPr>
          <w:lang w:val="fr-FR"/>
        </w:rPr>
        <w:t>qui</w:t>
      </w:r>
      <w:r>
        <w:rPr>
          <w:lang w:val="fr-FR"/>
        </w:rPr>
        <w:t xml:space="preserve"> </w:t>
      </w:r>
      <w:r w:rsidRPr="001302B9">
        <w:rPr>
          <w:lang w:val="fr-FR"/>
        </w:rPr>
        <w:t>ont</w:t>
      </w:r>
      <w:r>
        <w:rPr>
          <w:lang w:val="fr-FR"/>
        </w:rPr>
        <w:t xml:space="preserve"> </w:t>
      </w:r>
      <w:r w:rsidRPr="001302B9">
        <w:rPr>
          <w:lang w:val="fr-FR"/>
        </w:rPr>
        <w:t>été</w:t>
      </w:r>
      <w:r>
        <w:rPr>
          <w:lang w:val="fr-FR"/>
        </w:rPr>
        <w:t xml:space="preserve"> </w:t>
      </w:r>
      <w:r w:rsidRPr="001302B9">
        <w:rPr>
          <w:lang w:val="fr-FR"/>
        </w:rPr>
        <w:t>victimes</w:t>
      </w:r>
      <w:r>
        <w:rPr>
          <w:lang w:val="fr-FR"/>
        </w:rPr>
        <w:t xml:space="preserve"> </w:t>
      </w:r>
      <w:r w:rsidRPr="001302B9">
        <w:rPr>
          <w:lang w:val="fr-FR"/>
        </w:rPr>
        <w:t>de</w:t>
      </w:r>
      <w:r>
        <w:rPr>
          <w:lang w:val="fr-FR"/>
        </w:rPr>
        <w:t xml:space="preserve"> </w:t>
      </w:r>
      <w:r w:rsidRPr="001302B9">
        <w:rPr>
          <w:lang w:val="fr-FR"/>
        </w:rPr>
        <w:t>violations</w:t>
      </w:r>
      <w:r>
        <w:rPr>
          <w:lang w:val="fr-FR"/>
        </w:rPr>
        <w:t xml:space="preserve"> </w:t>
      </w:r>
      <w:r w:rsidRPr="001302B9">
        <w:rPr>
          <w:lang w:val="fr-FR"/>
        </w:rPr>
        <w:t>des</w:t>
      </w:r>
      <w:r>
        <w:rPr>
          <w:lang w:val="fr-FR"/>
        </w:rPr>
        <w:t xml:space="preserve"> </w:t>
      </w:r>
      <w:r w:rsidRPr="001302B9">
        <w:rPr>
          <w:lang w:val="fr-FR"/>
        </w:rPr>
        <w:t>droits</w:t>
      </w:r>
      <w:r>
        <w:rPr>
          <w:lang w:val="fr-FR"/>
        </w:rPr>
        <w:t xml:space="preserve"> </w:t>
      </w:r>
      <w:r w:rsidRPr="001302B9">
        <w:rPr>
          <w:lang w:val="fr-FR"/>
        </w:rPr>
        <w:t>de</w:t>
      </w:r>
      <w:r>
        <w:rPr>
          <w:lang w:val="fr-FR"/>
        </w:rPr>
        <w:t xml:space="preserve"> </w:t>
      </w:r>
      <w:r w:rsidRPr="001302B9">
        <w:rPr>
          <w:lang w:val="fr-FR"/>
        </w:rPr>
        <w:t>l’homme</w:t>
      </w:r>
      <w:r>
        <w:rPr>
          <w:lang w:val="fr-FR"/>
        </w:rPr>
        <w:t xml:space="preserve"> </w:t>
      </w:r>
      <w:r w:rsidRPr="001302B9">
        <w:rPr>
          <w:lang w:val="fr-FR"/>
        </w:rPr>
        <w:t>entre</w:t>
      </w:r>
      <w:r>
        <w:rPr>
          <w:lang w:val="fr-FR"/>
        </w:rPr>
        <w:t xml:space="preserve"> </w:t>
      </w:r>
      <w:r w:rsidRPr="001302B9">
        <w:rPr>
          <w:lang w:val="fr-FR"/>
        </w:rPr>
        <w:t>1968</w:t>
      </w:r>
      <w:r>
        <w:rPr>
          <w:lang w:val="fr-FR"/>
        </w:rPr>
        <w:t xml:space="preserve"> </w:t>
      </w:r>
      <w:r w:rsidRPr="001302B9">
        <w:rPr>
          <w:lang w:val="fr-FR"/>
        </w:rPr>
        <w:t>et</w:t>
      </w:r>
      <w:r>
        <w:rPr>
          <w:lang w:val="fr-FR"/>
        </w:rPr>
        <w:t xml:space="preserve"> </w:t>
      </w:r>
      <w:r w:rsidRPr="001302B9">
        <w:rPr>
          <w:lang w:val="fr-FR"/>
        </w:rPr>
        <w:t>1985,</w:t>
      </w:r>
      <w:r>
        <w:rPr>
          <w:lang w:val="fr-FR"/>
        </w:rPr>
        <w:t xml:space="preserve"> </w:t>
      </w:r>
      <w:r w:rsidRPr="001302B9">
        <w:rPr>
          <w:lang w:val="fr-FR"/>
        </w:rPr>
        <w:t>ainsi</w:t>
      </w:r>
      <w:r>
        <w:rPr>
          <w:lang w:val="fr-FR"/>
        </w:rPr>
        <w:t xml:space="preserve"> </w:t>
      </w:r>
      <w:r w:rsidRPr="001302B9">
        <w:rPr>
          <w:lang w:val="fr-FR"/>
        </w:rPr>
        <w:t>qu’à</w:t>
      </w:r>
      <w:r>
        <w:rPr>
          <w:lang w:val="fr-FR"/>
        </w:rPr>
        <w:t xml:space="preserve"> </w:t>
      </w:r>
      <w:r w:rsidRPr="001302B9">
        <w:rPr>
          <w:lang w:val="fr-FR"/>
        </w:rPr>
        <w:t>leurs</w:t>
      </w:r>
      <w:r>
        <w:rPr>
          <w:lang w:val="fr-FR"/>
        </w:rPr>
        <w:t xml:space="preserve"> </w:t>
      </w:r>
      <w:r w:rsidRPr="001302B9">
        <w:rPr>
          <w:lang w:val="fr-FR"/>
        </w:rPr>
        <w:t>enfants</w:t>
      </w:r>
      <w:r>
        <w:rPr>
          <w:lang w:val="fr-FR"/>
        </w:rPr>
        <w:t xml:space="preserve"> </w:t>
      </w:r>
      <w:r w:rsidRPr="001302B9">
        <w:rPr>
          <w:lang w:val="fr-FR"/>
        </w:rPr>
        <w:t>et</w:t>
      </w:r>
      <w:r>
        <w:rPr>
          <w:lang w:val="fr-FR"/>
        </w:rPr>
        <w:t xml:space="preserve"> </w:t>
      </w:r>
      <w:r w:rsidRPr="001302B9">
        <w:rPr>
          <w:lang w:val="fr-FR"/>
        </w:rPr>
        <w:t>petits-enfants</w:t>
      </w:r>
      <w:r>
        <w:rPr>
          <w:lang w:val="fr-FR"/>
        </w:rPr>
        <w:t> ;</w:t>
      </w:r>
    </w:p>
    <w:p w14:paraId="7C8B3995" w14:textId="233F74FC" w:rsidR="003F0CA1" w:rsidRPr="001302B9" w:rsidRDefault="003F0CA1" w:rsidP="003F0CA1">
      <w:pPr>
        <w:pStyle w:val="SingleTxtG"/>
        <w:ind w:firstLine="567"/>
        <w:rPr>
          <w:lang w:val="fr-FR"/>
        </w:rPr>
      </w:pPr>
      <w:r w:rsidRPr="001302B9">
        <w:rPr>
          <w:lang w:val="fr-FR"/>
        </w:rPr>
        <w:t>b)</w:t>
      </w:r>
      <w:r w:rsidRPr="001302B9">
        <w:rPr>
          <w:lang w:val="fr-FR"/>
        </w:rPr>
        <w:tab/>
        <w:t>La</w:t>
      </w:r>
      <w:r>
        <w:rPr>
          <w:lang w:val="fr-FR"/>
        </w:rPr>
        <w:t xml:space="preserve"> </w:t>
      </w:r>
      <w:r w:rsidRPr="001302B9">
        <w:rPr>
          <w:lang w:val="fr-FR"/>
        </w:rPr>
        <w:t>promulgation</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loi</w:t>
      </w:r>
      <w:r>
        <w:rPr>
          <w:lang w:val="fr-FR"/>
        </w:rPr>
        <w:t xml:space="preserve"> </w:t>
      </w:r>
      <w:r w:rsidRPr="001302B9">
        <w:rPr>
          <w:rFonts w:eastAsia="MS Mincho"/>
          <w:lang w:val="fr-FR"/>
        </w:rPr>
        <w:t>n</w:t>
      </w:r>
      <w:r w:rsidRPr="001302B9">
        <w:rPr>
          <w:rFonts w:eastAsia="MS Mincho"/>
          <w:vertAlign w:val="superscript"/>
          <w:lang w:val="fr-FR"/>
        </w:rPr>
        <w:t>o</w:t>
      </w:r>
      <w:r>
        <w:rPr>
          <w:lang w:val="fr-FR"/>
        </w:rPr>
        <w:t> </w:t>
      </w:r>
      <w:r w:rsidRPr="001302B9">
        <w:rPr>
          <w:lang w:val="fr-FR"/>
        </w:rPr>
        <w:t>19.822</w:t>
      </w:r>
      <w:r>
        <w:rPr>
          <w:lang w:val="fr-FR"/>
        </w:rPr>
        <w:t xml:space="preserve"> </w:t>
      </w:r>
      <w:r w:rsidRPr="001302B9">
        <w:rPr>
          <w:lang w:val="fr-FR"/>
        </w:rPr>
        <w:t>de</w:t>
      </w:r>
      <w:r>
        <w:rPr>
          <w:lang w:val="fr-FR"/>
        </w:rPr>
        <w:t xml:space="preserve"> </w:t>
      </w:r>
      <w:r w:rsidRPr="001302B9">
        <w:rPr>
          <w:lang w:val="fr-FR"/>
        </w:rPr>
        <w:t>septembre</w:t>
      </w:r>
      <w:r>
        <w:rPr>
          <w:lang w:val="fr-FR"/>
        </w:rPr>
        <w:t xml:space="preserve"> </w:t>
      </w:r>
      <w:r w:rsidRPr="001302B9">
        <w:rPr>
          <w:lang w:val="fr-FR"/>
        </w:rPr>
        <w:t>2019,</w:t>
      </w:r>
      <w:r>
        <w:rPr>
          <w:lang w:val="fr-FR"/>
        </w:rPr>
        <w:t xml:space="preserve"> </w:t>
      </w:r>
      <w:r w:rsidRPr="001302B9">
        <w:rPr>
          <w:lang w:val="fr-FR"/>
        </w:rPr>
        <w:t>qui</w:t>
      </w:r>
      <w:r>
        <w:rPr>
          <w:lang w:val="fr-FR"/>
        </w:rPr>
        <w:t xml:space="preserve"> </w:t>
      </w:r>
      <w:r w:rsidRPr="001302B9">
        <w:rPr>
          <w:lang w:val="fr-FR"/>
        </w:rPr>
        <w:t>charge</w:t>
      </w:r>
      <w:r>
        <w:rPr>
          <w:lang w:val="fr-FR"/>
        </w:rPr>
        <w:t xml:space="preserve"> </w:t>
      </w:r>
      <w:r w:rsidRPr="001302B9">
        <w:rPr>
          <w:lang w:val="fr-FR"/>
        </w:rPr>
        <w:t>l’</w:t>
      </w:r>
      <w:r w:rsidR="00E54583">
        <w:rPr>
          <w:lang w:val="fr-FR"/>
        </w:rPr>
        <w:t>I</w:t>
      </w:r>
      <w:r w:rsidRPr="001302B9">
        <w:rPr>
          <w:lang w:val="fr-FR"/>
        </w:rPr>
        <w:t>nstitution</w:t>
      </w:r>
      <w:r>
        <w:rPr>
          <w:lang w:val="fr-FR"/>
        </w:rPr>
        <w:t xml:space="preserve"> </w:t>
      </w:r>
      <w:r w:rsidRPr="001302B9">
        <w:rPr>
          <w:lang w:val="fr-FR"/>
        </w:rPr>
        <w:t>nationale</w:t>
      </w:r>
      <w:r>
        <w:rPr>
          <w:lang w:val="fr-FR"/>
        </w:rPr>
        <w:t xml:space="preserve"> </w:t>
      </w:r>
      <w:r w:rsidRPr="001302B9">
        <w:rPr>
          <w:lang w:val="fr-FR"/>
        </w:rPr>
        <w:t>des</w:t>
      </w:r>
      <w:r>
        <w:rPr>
          <w:lang w:val="fr-FR"/>
        </w:rPr>
        <w:t xml:space="preserve"> </w:t>
      </w:r>
      <w:r w:rsidRPr="001302B9">
        <w:rPr>
          <w:lang w:val="fr-FR"/>
        </w:rPr>
        <w:t>droits</w:t>
      </w:r>
      <w:r>
        <w:rPr>
          <w:lang w:val="fr-FR"/>
        </w:rPr>
        <w:t xml:space="preserve"> </w:t>
      </w:r>
      <w:r w:rsidRPr="001302B9">
        <w:rPr>
          <w:lang w:val="fr-FR"/>
        </w:rPr>
        <w:t>de</w:t>
      </w:r>
      <w:r>
        <w:rPr>
          <w:lang w:val="fr-FR"/>
        </w:rPr>
        <w:t xml:space="preserve"> </w:t>
      </w:r>
      <w:r w:rsidRPr="001302B9">
        <w:rPr>
          <w:lang w:val="fr-FR"/>
        </w:rPr>
        <w:t>l’homme</w:t>
      </w:r>
      <w:r>
        <w:rPr>
          <w:lang w:val="fr-FR"/>
        </w:rPr>
        <w:t xml:space="preserve"> </w:t>
      </w:r>
      <w:r w:rsidRPr="001302B9">
        <w:rPr>
          <w:lang w:val="fr-FR"/>
        </w:rPr>
        <w:t>et</w:t>
      </w:r>
      <w:r>
        <w:rPr>
          <w:lang w:val="fr-FR"/>
        </w:rPr>
        <w:t xml:space="preserve"> </w:t>
      </w:r>
      <w:r w:rsidRPr="001302B9">
        <w:rPr>
          <w:lang w:val="fr-FR"/>
        </w:rPr>
        <w:t>le</w:t>
      </w:r>
      <w:r>
        <w:rPr>
          <w:lang w:val="fr-FR"/>
        </w:rPr>
        <w:t xml:space="preserve"> </w:t>
      </w:r>
      <w:r w:rsidRPr="001302B9">
        <w:rPr>
          <w:lang w:val="fr-FR"/>
        </w:rPr>
        <w:t>Bureau</w:t>
      </w:r>
      <w:r>
        <w:rPr>
          <w:lang w:val="fr-FR"/>
        </w:rPr>
        <w:t xml:space="preserve"> </w:t>
      </w:r>
      <w:r w:rsidRPr="001302B9">
        <w:rPr>
          <w:lang w:val="fr-FR"/>
        </w:rPr>
        <w:t>du</w:t>
      </w:r>
      <w:r>
        <w:rPr>
          <w:lang w:val="fr-FR"/>
        </w:rPr>
        <w:t xml:space="preserve"> </w:t>
      </w:r>
      <w:r w:rsidRPr="001302B9">
        <w:rPr>
          <w:lang w:val="fr-FR"/>
        </w:rPr>
        <w:t>Défenseur</w:t>
      </w:r>
      <w:r>
        <w:rPr>
          <w:lang w:val="fr-FR"/>
        </w:rPr>
        <w:t xml:space="preserve"> </w:t>
      </w:r>
      <w:r w:rsidRPr="001302B9">
        <w:rPr>
          <w:lang w:val="fr-FR"/>
        </w:rPr>
        <w:t>du</w:t>
      </w:r>
      <w:r>
        <w:rPr>
          <w:lang w:val="fr-FR"/>
        </w:rPr>
        <w:t xml:space="preserve"> </w:t>
      </w:r>
      <w:r w:rsidRPr="001302B9">
        <w:rPr>
          <w:lang w:val="fr-FR"/>
        </w:rPr>
        <w:t>peuple</w:t>
      </w:r>
      <w:r>
        <w:rPr>
          <w:lang w:val="fr-FR"/>
        </w:rPr>
        <w:t xml:space="preserve"> </w:t>
      </w:r>
      <w:r w:rsidRPr="001302B9">
        <w:rPr>
          <w:lang w:val="fr-FR"/>
        </w:rPr>
        <w:t>de</w:t>
      </w:r>
      <w:r>
        <w:rPr>
          <w:lang w:val="fr-FR"/>
        </w:rPr>
        <w:t xml:space="preserve"> </w:t>
      </w:r>
      <w:r w:rsidRPr="001302B9">
        <w:rPr>
          <w:lang w:val="fr-FR"/>
        </w:rPr>
        <w:t>rechercher</w:t>
      </w:r>
      <w:r>
        <w:rPr>
          <w:lang w:val="fr-FR"/>
        </w:rPr>
        <w:t xml:space="preserve"> </w:t>
      </w:r>
      <w:r w:rsidRPr="001302B9">
        <w:rPr>
          <w:lang w:val="fr-FR"/>
        </w:rPr>
        <w:t>les</w:t>
      </w:r>
      <w:r>
        <w:rPr>
          <w:lang w:val="fr-FR"/>
        </w:rPr>
        <w:t xml:space="preserve"> </w:t>
      </w:r>
      <w:r w:rsidRPr="001302B9">
        <w:rPr>
          <w:lang w:val="fr-FR"/>
        </w:rPr>
        <w:t>personnes</w:t>
      </w:r>
      <w:r>
        <w:rPr>
          <w:lang w:val="fr-FR"/>
        </w:rPr>
        <w:t xml:space="preserve"> </w:t>
      </w:r>
      <w:r w:rsidRPr="001302B9">
        <w:rPr>
          <w:lang w:val="fr-FR"/>
        </w:rPr>
        <w:t>détenues</w:t>
      </w:r>
      <w:r>
        <w:rPr>
          <w:lang w:val="fr-FR"/>
        </w:rPr>
        <w:t xml:space="preserve"> </w:t>
      </w:r>
      <w:r w:rsidRPr="001302B9">
        <w:rPr>
          <w:lang w:val="fr-FR"/>
        </w:rPr>
        <w:t>et</w:t>
      </w:r>
      <w:r>
        <w:rPr>
          <w:lang w:val="fr-FR"/>
        </w:rPr>
        <w:t xml:space="preserve"> </w:t>
      </w:r>
      <w:r w:rsidRPr="001302B9">
        <w:rPr>
          <w:lang w:val="fr-FR"/>
        </w:rPr>
        <w:t>disparues</w:t>
      </w:r>
      <w:r>
        <w:rPr>
          <w:lang w:val="fr-FR"/>
        </w:rPr>
        <w:t xml:space="preserve"> </w:t>
      </w:r>
      <w:r w:rsidRPr="001302B9">
        <w:rPr>
          <w:lang w:val="fr-FR"/>
        </w:rPr>
        <w:t>entre</w:t>
      </w:r>
      <w:r>
        <w:rPr>
          <w:lang w:val="fr-FR"/>
        </w:rPr>
        <w:t xml:space="preserve"> </w:t>
      </w:r>
      <w:r w:rsidRPr="001302B9">
        <w:rPr>
          <w:lang w:val="fr-FR"/>
        </w:rPr>
        <w:t>1968</w:t>
      </w:r>
      <w:r>
        <w:rPr>
          <w:lang w:val="fr-FR"/>
        </w:rPr>
        <w:t xml:space="preserve"> </w:t>
      </w:r>
      <w:r w:rsidRPr="001302B9">
        <w:rPr>
          <w:lang w:val="fr-FR"/>
        </w:rPr>
        <w:t>et</w:t>
      </w:r>
      <w:r>
        <w:rPr>
          <w:lang w:val="fr-FR"/>
        </w:rPr>
        <w:t xml:space="preserve"> </w:t>
      </w:r>
      <w:r w:rsidRPr="001302B9">
        <w:rPr>
          <w:lang w:val="fr-FR"/>
        </w:rPr>
        <w:t>1985</w:t>
      </w:r>
      <w:r>
        <w:rPr>
          <w:lang w:val="fr-FR"/>
        </w:rPr>
        <w:t> ;</w:t>
      </w:r>
    </w:p>
    <w:p w14:paraId="042D11F4" w14:textId="16FCC3E5" w:rsidR="003F0CA1" w:rsidRPr="001302B9" w:rsidRDefault="003F0CA1" w:rsidP="003F0CA1">
      <w:pPr>
        <w:pStyle w:val="SingleTxtG"/>
        <w:ind w:firstLine="567"/>
        <w:rPr>
          <w:lang w:val="fr-FR"/>
        </w:rPr>
      </w:pPr>
      <w:r w:rsidRPr="001302B9">
        <w:rPr>
          <w:lang w:val="fr-FR"/>
        </w:rPr>
        <w:t>c)</w:t>
      </w:r>
      <w:r w:rsidRPr="001302B9">
        <w:rPr>
          <w:lang w:val="fr-FR"/>
        </w:rPr>
        <w:tab/>
        <w:t>La</w:t>
      </w:r>
      <w:r>
        <w:rPr>
          <w:lang w:val="fr-FR"/>
        </w:rPr>
        <w:t xml:space="preserve"> </w:t>
      </w:r>
      <w:r w:rsidRPr="001302B9">
        <w:rPr>
          <w:lang w:val="fr-FR"/>
        </w:rPr>
        <w:t>promulgation</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loi</w:t>
      </w:r>
      <w:r>
        <w:rPr>
          <w:lang w:val="fr-FR"/>
        </w:rPr>
        <w:t xml:space="preserve"> </w:t>
      </w:r>
      <w:r w:rsidRPr="001302B9">
        <w:rPr>
          <w:rFonts w:eastAsia="MS Mincho"/>
          <w:lang w:val="fr-FR"/>
        </w:rPr>
        <w:t>n</w:t>
      </w:r>
      <w:r w:rsidRPr="001302B9">
        <w:rPr>
          <w:rFonts w:eastAsia="MS Mincho"/>
          <w:vertAlign w:val="superscript"/>
          <w:lang w:val="fr-FR"/>
        </w:rPr>
        <w:t>o</w:t>
      </w:r>
      <w:r>
        <w:rPr>
          <w:lang w:val="fr-FR"/>
        </w:rPr>
        <w:t> </w:t>
      </w:r>
      <w:r w:rsidRPr="001302B9">
        <w:rPr>
          <w:lang w:val="fr-FR"/>
        </w:rPr>
        <w:t>19.641</w:t>
      </w:r>
      <w:r>
        <w:rPr>
          <w:lang w:val="fr-FR"/>
        </w:rPr>
        <w:t xml:space="preserve"> </w:t>
      </w:r>
      <w:r w:rsidRPr="001302B9">
        <w:rPr>
          <w:lang w:val="fr-FR"/>
        </w:rPr>
        <w:t>de</w:t>
      </w:r>
      <w:r>
        <w:rPr>
          <w:lang w:val="fr-FR"/>
        </w:rPr>
        <w:t xml:space="preserve"> </w:t>
      </w:r>
      <w:r w:rsidRPr="001302B9">
        <w:rPr>
          <w:lang w:val="fr-FR"/>
        </w:rPr>
        <w:t>juillet</w:t>
      </w:r>
      <w:r>
        <w:rPr>
          <w:lang w:val="fr-FR"/>
        </w:rPr>
        <w:t xml:space="preserve"> </w:t>
      </w:r>
      <w:r w:rsidRPr="001302B9">
        <w:rPr>
          <w:lang w:val="fr-FR"/>
        </w:rPr>
        <w:t>2018</w:t>
      </w:r>
      <w:r>
        <w:rPr>
          <w:lang w:val="fr-FR"/>
        </w:rPr>
        <w:t xml:space="preserve"> </w:t>
      </w:r>
      <w:r w:rsidRPr="001302B9">
        <w:rPr>
          <w:lang w:val="fr-FR"/>
        </w:rPr>
        <w:t>relative</w:t>
      </w:r>
      <w:r>
        <w:rPr>
          <w:lang w:val="fr-FR"/>
        </w:rPr>
        <w:t xml:space="preserve"> </w:t>
      </w:r>
      <w:r w:rsidRPr="001302B9">
        <w:rPr>
          <w:lang w:val="fr-FR"/>
        </w:rPr>
        <w:t>à</w:t>
      </w:r>
      <w:r>
        <w:rPr>
          <w:lang w:val="fr-FR"/>
        </w:rPr>
        <w:t xml:space="preserve"> </w:t>
      </w:r>
      <w:r w:rsidRPr="001302B9">
        <w:rPr>
          <w:lang w:val="fr-FR"/>
        </w:rPr>
        <w:t>la</w:t>
      </w:r>
      <w:r>
        <w:rPr>
          <w:lang w:val="fr-FR"/>
        </w:rPr>
        <w:t xml:space="preserve"> </w:t>
      </w:r>
      <w:r w:rsidRPr="001302B9">
        <w:rPr>
          <w:lang w:val="fr-FR"/>
        </w:rPr>
        <w:t>désignation</w:t>
      </w:r>
      <w:r>
        <w:rPr>
          <w:lang w:val="fr-FR"/>
        </w:rPr>
        <w:t xml:space="preserve"> </w:t>
      </w:r>
      <w:r w:rsidRPr="001302B9">
        <w:rPr>
          <w:lang w:val="fr-FR"/>
        </w:rPr>
        <w:t>et</w:t>
      </w:r>
      <w:r>
        <w:rPr>
          <w:lang w:val="fr-FR"/>
        </w:rPr>
        <w:t xml:space="preserve"> </w:t>
      </w:r>
      <w:r w:rsidRPr="001302B9">
        <w:rPr>
          <w:lang w:val="fr-FR"/>
        </w:rPr>
        <w:t>à</w:t>
      </w:r>
      <w:r>
        <w:rPr>
          <w:lang w:val="fr-FR"/>
        </w:rPr>
        <w:t xml:space="preserve"> </w:t>
      </w:r>
      <w:r w:rsidRPr="001302B9">
        <w:rPr>
          <w:lang w:val="fr-FR"/>
        </w:rPr>
        <w:t>l’établissement</w:t>
      </w:r>
      <w:r>
        <w:rPr>
          <w:lang w:val="fr-FR"/>
        </w:rPr>
        <w:t xml:space="preserve"> </w:t>
      </w:r>
      <w:r w:rsidRPr="001302B9">
        <w:rPr>
          <w:lang w:val="fr-FR"/>
        </w:rPr>
        <w:t>de</w:t>
      </w:r>
      <w:r>
        <w:rPr>
          <w:lang w:val="fr-FR"/>
        </w:rPr>
        <w:t xml:space="preserve"> </w:t>
      </w:r>
      <w:r w:rsidRPr="001302B9">
        <w:rPr>
          <w:lang w:val="fr-FR"/>
        </w:rPr>
        <w:t>sites</w:t>
      </w:r>
      <w:r>
        <w:rPr>
          <w:lang w:val="fr-FR"/>
        </w:rPr>
        <w:t xml:space="preserve"> </w:t>
      </w:r>
      <w:r w:rsidRPr="001302B9">
        <w:rPr>
          <w:lang w:val="fr-FR"/>
        </w:rPr>
        <w:t>commémoratifs</w:t>
      </w:r>
      <w:r>
        <w:rPr>
          <w:lang w:val="fr-FR"/>
        </w:rPr>
        <w:t xml:space="preserve"> </w:t>
      </w:r>
      <w:r w:rsidRPr="001302B9">
        <w:rPr>
          <w:lang w:val="fr-FR"/>
        </w:rPr>
        <w:t>du</w:t>
      </w:r>
      <w:r>
        <w:rPr>
          <w:lang w:val="fr-FR"/>
        </w:rPr>
        <w:t xml:space="preserve"> </w:t>
      </w:r>
      <w:r w:rsidRPr="001302B9">
        <w:rPr>
          <w:lang w:val="fr-FR"/>
        </w:rPr>
        <w:t>passé</w:t>
      </w:r>
      <w:r>
        <w:rPr>
          <w:lang w:val="fr-FR"/>
        </w:rPr>
        <w:t xml:space="preserve"> </w:t>
      </w:r>
      <w:r w:rsidRPr="001302B9">
        <w:rPr>
          <w:lang w:val="fr-FR"/>
        </w:rPr>
        <w:t>récent</w:t>
      </w:r>
      <w:r>
        <w:rPr>
          <w:lang w:val="fr-FR"/>
        </w:rPr>
        <w:t> ;</w:t>
      </w:r>
    </w:p>
    <w:p w14:paraId="501664D4" w14:textId="0CC86451" w:rsidR="003F0CA1" w:rsidRPr="001302B9" w:rsidRDefault="003F0CA1" w:rsidP="003F0CA1">
      <w:pPr>
        <w:pStyle w:val="SingleTxtG"/>
        <w:ind w:firstLine="567"/>
        <w:rPr>
          <w:lang w:val="fr-FR"/>
        </w:rPr>
      </w:pPr>
      <w:r w:rsidRPr="001302B9">
        <w:rPr>
          <w:lang w:val="fr-FR"/>
        </w:rPr>
        <w:lastRenderedPageBreak/>
        <w:t>d)</w:t>
      </w:r>
      <w:r w:rsidRPr="001302B9">
        <w:rPr>
          <w:lang w:val="fr-FR"/>
        </w:rPr>
        <w:tab/>
        <w:t>La</w:t>
      </w:r>
      <w:r>
        <w:rPr>
          <w:lang w:val="fr-FR"/>
        </w:rPr>
        <w:t xml:space="preserve"> </w:t>
      </w:r>
      <w:r w:rsidRPr="001302B9">
        <w:rPr>
          <w:lang w:val="fr-FR"/>
        </w:rPr>
        <w:t>promulgation</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loi</w:t>
      </w:r>
      <w:r>
        <w:rPr>
          <w:lang w:val="fr-FR"/>
        </w:rPr>
        <w:t xml:space="preserve"> </w:t>
      </w:r>
      <w:r w:rsidRPr="003F0CA1">
        <w:t>n</w:t>
      </w:r>
      <w:r w:rsidRPr="003F0CA1">
        <w:rPr>
          <w:vertAlign w:val="superscript"/>
        </w:rPr>
        <w:t>o</w:t>
      </w:r>
      <w:r>
        <w:t> </w:t>
      </w:r>
      <w:r w:rsidRPr="003F0CA1">
        <w:t>19</w:t>
      </w:r>
      <w:r w:rsidRPr="001302B9">
        <w:rPr>
          <w:lang w:val="fr-FR"/>
        </w:rPr>
        <w:t>.550</w:t>
      </w:r>
      <w:r>
        <w:rPr>
          <w:lang w:val="fr-FR"/>
        </w:rPr>
        <w:t xml:space="preserve"> </w:t>
      </w:r>
      <w:r w:rsidRPr="001302B9">
        <w:rPr>
          <w:lang w:val="fr-FR"/>
        </w:rPr>
        <w:t>d’octobre</w:t>
      </w:r>
      <w:r>
        <w:rPr>
          <w:lang w:val="fr-FR"/>
        </w:rPr>
        <w:t xml:space="preserve"> </w:t>
      </w:r>
      <w:r w:rsidRPr="001302B9">
        <w:rPr>
          <w:lang w:val="fr-FR"/>
        </w:rPr>
        <w:t>2017,</w:t>
      </w:r>
      <w:r>
        <w:rPr>
          <w:lang w:val="fr-FR"/>
        </w:rPr>
        <w:t xml:space="preserve"> </w:t>
      </w:r>
      <w:r w:rsidRPr="001302B9">
        <w:rPr>
          <w:lang w:val="fr-FR"/>
        </w:rPr>
        <w:t>qui</w:t>
      </w:r>
      <w:r>
        <w:rPr>
          <w:lang w:val="fr-FR"/>
        </w:rPr>
        <w:t xml:space="preserve"> </w:t>
      </w:r>
      <w:r w:rsidRPr="001302B9">
        <w:rPr>
          <w:lang w:val="fr-FR"/>
        </w:rPr>
        <w:t>habilite</w:t>
      </w:r>
      <w:r>
        <w:rPr>
          <w:lang w:val="fr-FR"/>
        </w:rPr>
        <w:t xml:space="preserve"> </w:t>
      </w:r>
      <w:r w:rsidRPr="001302B9">
        <w:rPr>
          <w:lang w:val="fr-FR"/>
        </w:rPr>
        <w:t>le</w:t>
      </w:r>
      <w:r>
        <w:rPr>
          <w:lang w:val="fr-FR"/>
        </w:rPr>
        <w:t xml:space="preserve"> </w:t>
      </w:r>
      <w:r w:rsidRPr="001302B9">
        <w:rPr>
          <w:lang w:val="fr-FR"/>
        </w:rPr>
        <w:t>Bureau</w:t>
      </w:r>
      <w:r>
        <w:rPr>
          <w:lang w:val="fr-FR"/>
        </w:rPr>
        <w:t xml:space="preserve"> </w:t>
      </w:r>
      <w:r w:rsidRPr="001302B9">
        <w:rPr>
          <w:lang w:val="fr-FR"/>
        </w:rPr>
        <w:t>du</w:t>
      </w:r>
      <w:r>
        <w:rPr>
          <w:lang w:val="fr-FR"/>
        </w:rPr>
        <w:t xml:space="preserve"> </w:t>
      </w:r>
      <w:r w:rsidRPr="001302B9">
        <w:rPr>
          <w:lang w:val="fr-FR"/>
        </w:rPr>
        <w:t>Procureur</w:t>
      </w:r>
      <w:r>
        <w:rPr>
          <w:lang w:val="fr-FR"/>
        </w:rPr>
        <w:t xml:space="preserve"> </w:t>
      </w:r>
      <w:r w:rsidRPr="001302B9">
        <w:rPr>
          <w:lang w:val="fr-FR"/>
        </w:rPr>
        <w:t>général</w:t>
      </w:r>
      <w:r>
        <w:rPr>
          <w:lang w:val="fr-FR"/>
        </w:rPr>
        <w:t xml:space="preserve"> </w:t>
      </w:r>
      <w:r w:rsidRPr="001302B9">
        <w:rPr>
          <w:lang w:val="fr-FR"/>
        </w:rPr>
        <w:t>à</w:t>
      </w:r>
      <w:r>
        <w:rPr>
          <w:lang w:val="fr-FR"/>
        </w:rPr>
        <w:t xml:space="preserve"> </w:t>
      </w:r>
      <w:r w:rsidRPr="001302B9">
        <w:rPr>
          <w:lang w:val="fr-FR"/>
        </w:rPr>
        <w:t>faire</w:t>
      </w:r>
      <w:r>
        <w:rPr>
          <w:lang w:val="fr-FR"/>
        </w:rPr>
        <w:t xml:space="preserve"> </w:t>
      </w:r>
      <w:r w:rsidRPr="001302B9">
        <w:rPr>
          <w:lang w:val="fr-FR"/>
        </w:rPr>
        <w:t>d’un</w:t>
      </w:r>
      <w:r>
        <w:rPr>
          <w:lang w:val="fr-FR"/>
        </w:rPr>
        <w:t xml:space="preserve"> </w:t>
      </w:r>
      <w:r w:rsidRPr="001302B9">
        <w:rPr>
          <w:lang w:val="fr-FR"/>
        </w:rPr>
        <w:t>parquet</w:t>
      </w:r>
      <w:r>
        <w:rPr>
          <w:lang w:val="fr-FR"/>
        </w:rPr>
        <w:t xml:space="preserve"> </w:t>
      </w:r>
      <w:r w:rsidRPr="001302B9">
        <w:rPr>
          <w:lang w:val="fr-FR"/>
        </w:rPr>
        <w:t>national</w:t>
      </w:r>
      <w:r>
        <w:rPr>
          <w:lang w:val="fr-FR"/>
        </w:rPr>
        <w:t xml:space="preserve"> </w:t>
      </w:r>
      <w:r w:rsidRPr="001302B9">
        <w:rPr>
          <w:lang w:val="fr-FR"/>
        </w:rPr>
        <w:t>un</w:t>
      </w:r>
      <w:r>
        <w:rPr>
          <w:lang w:val="fr-FR"/>
        </w:rPr>
        <w:t xml:space="preserve"> </w:t>
      </w:r>
      <w:r w:rsidRPr="001302B9">
        <w:rPr>
          <w:lang w:val="fr-FR"/>
        </w:rPr>
        <w:t>parquet</w:t>
      </w:r>
      <w:r>
        <w:rPr>
          <w:lang w:val="fr-FR"/>
        </w:rPr>
        <w:t xml:space="preserve"> </w:t>
      </w:r>
      <w:r w:rsidRPr="001302B9">
        <w:rPr>
          <w:lang w:val="fr-FR"/>
        </w:rPr>
        <w:t>spécialisé</w:t>
      </w:r>
      <w:r>
        <w:rPr>
          <w:lang w:val="fr-FR"/>
        </w:rPr>
        <w:t xml:space="preserve"> </w:t>
      </w:r>
      <w:r w:rsidRPr="001302B9">
        <w:rPr>
          <w:lang w:val="fr-FR"/>
        </w:rPr>
        <w:t>dans</w:t>
      </w:r>
      <w:r>
        <w:rPr>
          <w:lang w:val="fr-FR"/>
        </w:rPr>
        <w:t xml:space="preserve"> </w:t>
      </w:r>
      <w:r w:rsidRPr="001302B9">
        <w:rPr>
          <w:lang w:val="fr-FR"/>
        </w:rPr>
        <w:t>les</w:t>
      </w:r>
      <w:r>
        <w:rPr>
          <w:lang w:val="fr-FR"/>
        </w:rPr>
        <w:t xml:space="preserve"> </w:t>
      </w:r>
      <w:r w:rsidRPr="001302B9">
        <w:rPr>
          <w:lang w:val="fr-FR"/>
        </w:rPr>
        <w:t>crimes</w:t>
      </w:r>
      <w:r>
        <w:rPr>
          <w:lang w:val="fr-FR"/>
        </w:rPr>
        <w:t xml:space="preserve"> </w:t>
      </w:r>
      <w:r w:rsidRPr="001302B9">
        <w:rPr>
          <w:lang w:val="fr-FR"/>
        </w:rPr>
        <w:t>contre</w:t>
      </w:r>
      <w:r>
        <w:rPr>
          <w:lang w:val="fr-FR"/>
        </w:rPr>
        <w:t xml:space="preserve"> </w:t>
      </w:r>
      <w:r w:rsidRPr="001302B9">
        <w:rPr>
          <w:lang w:val="fr-FR"/>
        </w:rPr>
        <w:t>l’humanité,</w:t>
      </w:r>
      <w:r>
        <w:rPr>
          <w:lang w:val="fr-FR"/>
        </w:rPr>
        <w:t xml:space="preserve"> </w:t>
      </w:r>
      <w:r w:rsidRPr="001302B9">
        <w:rPr>
          <w:lang w:val="fr-FR"/>
        </w:rPr>
        <w:t>et</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décision</w:t>
      </w:r>
      <w:r>
        <w:rPr>
          <w:lang w:val="fr-FR"/>
        </w:rPr>
        <w:t xml:space="preserve"> </w:t>
      </w:r>
      <w:r w:rsidRPr="001302B9">
        <w:rPr>
          <w:rFonts w:eastAsia="MS Mincho"/>
          <w:lang w:val="fr-FR"/>
        </w:rPr>
        <w:t>n</w:t>
      </w:r>
      <w:r w:rsidRPr="001302B9">
        <w:rPr>
          <w:rFonts w:eastAsia="MS Mincho"/>
          <w:vertAlign w:val="superscript"/>
          <w:lang w:val="fr-FR"/>
        </w:rPr>
        <w:t>o</w:t>
      </w:r>
      <w:r>
        <w:rPr>
          <w:lang w:val="fr-FR"/>
        </w:rPr>
        <w:t> </w:t>
      </w:r>
      <w:r w:rsidRPr="001302B9">
        <w:rPr>
          <w:lang w:val="fr-FR"/>
        </w:rPr>
        <w:t>075/2018</w:t>
      </w:r>
      <w:r>
        <w:rPr>
          <w:lang w:val="fr-FR"/>
        </w:rPr>
        <w:t xml:space="preserve"> </w:t>
      </w:r>
      <w:r w:rsidRPr="001302B9">
        <w:rPr>
          <w:lang w:val="fr-FR"/>
        </w:rPr>
        <w:t>de</w:t>
      </w:r>
      <w:r>
        <w:rPr>
          <w:lang w:val="fr-FR"/>
        </w:rPr>
        <w:t xml:space="preserve"> </w:t>
      </w:r>
      <w:r w:rsidRPr="001302B9">
        <w:rPr>
          <w:lang w:val="fr-FR"/>
        </w:rPr>
        <w:t>février</w:t>
      </w:r>
      <w:r>
        <w:rPr>
          <w:lang w:val="fr-FR"/>
        </w:rPr>
        <w:t xml:space="preserve"> </w:t>
      </w:r>
      <w:r w:rsidRPr="001302B9">
        <w:rPr>
          <w:lang w:val="fr-FR"/>
        </w:rPr>
        <w:t>2018,</w:t>
      </w:r>
      <w:r>
        <w:rPr>
          <w:lang w:val="fr-FR"/>
        </w:rPr>
        <w:t xml:space="preserve"> </w:t>
      </w:r>
      <w:r w:rsidRPr="001302B9">
        <w:rPr>
          <w:lang w:val="fr-FR"/>
        </w:rPr>
        <w:t>par</w:t>
      </w:r>
      <w:r>
        <w:rPr>
          <w:lang w:val="fr-FR"/>
        </w:rPr>
        <w:t xml:space="preserve"> </w:t>
      </w:r>
      <w:r w:rsidRPr="001302B9">
        <w:rPr>
          <w:lang w:val="fr-FR"/>
        </w:rPr>
        <w:t>laquelle</w:t>
      </w:r>
      <w:r>
        <w:rPr>
          <w:lang w:val="fr-FR"/>
        </w:rPr>
        <w:t xml:space="preserve"> </w:t>
      </w:r>
      <w:r w:rsidRPr="001302B9">
        <w:rPr>
          <w:lang w:val="fr-FR"/>
        </w:rPr>
        <w:t>le</w:t>
      </w:r>
      <w:r>
        <w:rPr>
          <w:lang w:val="fr-FR"/>
        </w:rPr>
        <w:t xml:space="preserve"> </w:t>
      </w:r>
      <w:r w:rsidRPr="001302B9">
        <w:rPr>
          <w:lang w:val="fr-FR"/>
        </w:rPr>
        <w:t>parquet</w:t>
      </w:r>
      <w:r>
        <w:rPr>
          <w:lang w:val="fr-FR"/>
        </w:rPr>
        <w:t xml:space="preserve"> </w:t>
      </w:r>
      <w:r w:rsidRPr="001302B9">
        <w:rPr>
          <w:lang w:val="fr-FR"/>
        </w:rPr>
        <w:t>de</w:t>
      </w:r>
      <w:r>
        <w:rPr>
          <w:lang w:val="fr-FR"/>
        </w:rPr>
        <w:t xml:space="preserve"> </w:t>
      </w:r>
      <w:r w:rsidRPr="001302B9">
        <w:rPr>
          <w:lang w:val="fr-FR"/>
        </w:rPr>
        <w:t>Montevideo</w:t>
      </w:r>
      <w:r>
        <w:rPr>
          <w:lang w:val="fr-FR"/>
        </w:rPr>
        <w:t xml:space="preserve"> </w:t>
      </w:r>
      <w:r w:rsidRPr="001302B9">
        <w:rPr>
          <w:lang w:val="fr-FR"/>
        </w:rPr>
        <w:t>de</w:t>
      </w:r>
      <w:r>
        <w:rPr>
          <w:lang w:val="fr-FR"/>
        </w:rPr>
        <w:t xml:space="preserve"> </w:t>
      </w:r>
      <w:r w:rsidRPr="001302B9">
        <w:rPr>
          <w:lang w:val="fr-FR"/>
        </w:rPr>
        <w:t>25</w:t>
      </w:r>
      <w:r w:rsidRPr="001302B9">
        <w:rPr>
          <w:vertAlign w:val="superscript"/>
          <w:lang w:val="fr-FR"/>
        </w:rPr>
        <w:t>e</w:t>
      </w:r>
      <w:r>
        <w:rPr>
          <w:lang w:val="fr-FR"/>
        </w:rPr>
        <w:t> </w:t>
      </w:r>
      <w:proofErr w:type="spellStart"/>
      <w:r w:rsidRPr="001302B9">
        <w:rPr>
          <w:i/>
          <w:iCs/>
          <w:lang w:val="fr-FR"/>
        </w:rPr>
        <w:t>turno</w:t>
      </w:r>
      <w:proofErr w:type="spellEnd"/>
      <w:r>
        <w:rPr>
          <w:i/>
          <w:iCs/>
          <w:lang w:val="fr-FR"/>
        </w:rPr>
        <w:t xml:space="preserve"> </w:t>
      </w:r>
      <w:r w:rsidRPr="001302B9">
        <w:rPr>
          <w:lang w:val="fr-FR"/>
        </w:rPr>
        <w:t>(tour</w:t>
      </w:r>
      <w:r>
        <w:rPr>
          <w:lang w:val="fr-FR"/>
        </w:rPr>
        <w:t xml:space="preserve"> </w:t>
      </w:r>
      <w:r w:rsidRPr="001302B9">
        <w:rPr>
          <w:lang w:val="fr-FR"/>
        </w:rPr>
        <w:t>de</w:t>
      </w:r>
      <w:r>
        <w:rPr>
          <w:lang w:val="fr-FR"/>
        </w:rPr>
        <w:t xml:space="preserve"> </w:t>
      </w:r>
      <w:r w:rsidRPr="001302B9">
        <w:rPr>
          <w:lang w:val="fr-FR"/>
        </w:rPr>
        <w:t>permanence)</w:t>
      </w:r>
      <w:r>
        <w:rPr>
          <w:lang w:val="fr-FR"/>
        </w:rPr>
        <w:t xml:space="preserve"> </w:t>
      </w:r>
      <w:r w:rsidRPr="001302B9">
        <w:rPr>
          <w:lang w:val="fr-FR"/>
        </w:rPr>
        <w:t>devient</w:t>
      </w:r>
      <w:r>
        <w:rPr>
          <w:lang w:val="fr-FR"/>
        </w:rPr>
        <w:t xml:space="preserve"> </w:t>
      </w:r>
      <w:r w:rsidRPr="001302B9">
        <w:rPr>
          <w:lang w:val="fr-FR"/>
        </w:rPr>
        <w:t>un</w:t>
      </w:r>
      <w:r>
        <w:rPr>
          <w:lang w:val="fr-FR"/>
        </w:rPr>
        <w:t xml:space="preserve"> </w:t>
      </w:r>
      <w:r w:rsidRPr="001302B9">
        <w:rPr>
          <w:lang w:val="fr-FR"/>
        </w:rPr>
        <w:t>parquet</w:t>
      </w:r>
      <w:r>
        <w:rPr>
          <w:lang w:val="fr-FR"/>
        </w:rPr>
        <w:t xml:space="preserve"> </w:t>
      </w:r>
      <w:r w:rsidRPr="001302B9">
        <w:rPr>
          <w:lang w:val="fr-FR"/>
        </w:rPr>
        <w:t>spécialisé</w:t>
      </w:r>
      <w:r>
        <w:rPr>
          <w:lang w:val="fr-FR"/>
        </w:rPr>
        <w:t xml:space="preserve"> </w:t>
      </w:r>
      <w:r w:rsidRPr="001302B9">
        <w:rPr>
          <w:lang w:val="fr-FR"/>
        </w:rPr>
        <w:t>dans</w:t>
      </w:r>
      <w:r>
        <w:rPr>
          <w:lang w:val="fr-FR"/>
        </w:rPr>
        <w:t xml:space="preserve"> </w:t>
      </w:r>
      <w:r w:rsidRPr="001302B9">
        <w:rPr>
          <w:lang w:val="fr-FR"/>
        </w:rPr>
        <w:t>les</w:t>
      </w:r>
      <w:r>
        <w:rPr>
          <w:lang w:val="fr-FR"/>
        </w:rPr>
        <w:t xml:space="preserve"> </w:t>
      </w:r>
      <w:r w:rsidRPr="001302B9">
        <w:rPr>
          <w:lang w:val="fr-FR"/>
        </w:rPr>
        <w:t>crimes</w:t>
      </w:r>
      <w:r>
        <w:rPr>
          <w:lang w:val="fr-FR"/>
        </w:rPr>
        <w:t xml:space="preserve"> </w:t>
      </w:r>
      <w:r w:rsidRPr="001302B9">
        <w:rPr>
          <w:lang w:val="fr-FR"/>
        </w:rPr>
        <w:t>contre</w:t>
      </w:r>
      <w:r>
        <w:rPr>
          <w:lang w:val="fr-FR"/>
        </w:rPr>
        <w:t xml:space="preserve"> </w:t>
      </w:r>
      <w:r w:rsidRPr="001302B9">
        <w:rPr>
          <w:lang w:val="fr-FR"/>
        </w:rPr>
        <w:t>l’humanité</w:t>
      </w:r>
      <w:r>
        <w:rPr>
          <w:lang w:val="fr-FR"/>
        </w:rPr>
        <w:t> ;</w:t>
      </w:r>
    </w:p>
    <w:p w14:paraId="0626F2C9" w14:textId="39EA342D" w:rsidR="003F0CA1" w:rsidRPr="001302B9" w:rsidRDefault="003F0CA1" w:rsidP="003F0CA1">
      <w:pPr>
        <w:pStyle w:val="SingleTxtG"/>
        <w:ind w:firstLine="567"/>
        <w:rPr>
          <w:lang w:val="fr-FR"/>
        </w:rPr>
      </w:pPr>
      <w:r w:rsidRPr="001302B9">
        <w:rPr>
          <w:lang w:val="fr-FR"/>
        </w:rPr>
        <w:t>e)</w:t>
      </w:r>
      <w:r w:rsidRPr="001302B9">
        <w:rPr>
          <w:lang w:val="fr-FR"/>
        </w:rPr>
        <w:tab/>
        <w:t>La</w:t>
      </w:r>
      <w:r>
        <w:rPr>
          <w:lang w:val="fr-FR"/>
        </w:rPr>
        <w:t xml:space="preserve"> </w:t>
      </w:r>
      <w:r w:rsidRPr="001302B9">
        <w:rPr>
          <w:lang w:val="fr-FR"/>
        </w:rPr>
        <w:t>création,</w:t>
      </w:r>
      <w:r>
        <w:rPr>
          <w:lang w:val="fr-FR"/>
        </w:rPr>
        <w:t xml:space="preserve"> </w:t>
      </w:r>
      <w:r w:rsidRPr="001302B9">
        <w:rPr>
          <w:lang w:val="fr-FR"/>
        </w:rPr>
        <w:t>en</w:t>
      </w:r>
      <w:r>
        <w:rPr>
          <w:lang w:val="fr-FR"/>
        </w:rPr>
        <w:t xml:space="preserve"> </w:t>
      </w:r>
      <w:r w:rsidRPr="001302B9">
        <w:rPr>
          <w:lang w:val="fr-FR"/>
        </w:rPr>
        <w:t>application</w:t>
      </w:r>
      <w:r>
        <w:rPr>
          <w:lang w:val="fr-FR"/>
        </w:rPr>
        <w:t xml:space="preserve"> </w:t>
      </w:r>
      <w:r w:rsidRPr="001302B9">
        <w:rPr>
          <w:lang w:val="fr-FR"/>
        </w:rPr>
        <w:t>décret</w:t>
      </w:r>
      <w:r>
        <w:rPr>
          <w:lang w:val="fr-FR"/>
        </w:rPr>
        <w:t xml:space="preserve"> </w:t>
      </w:r>
      <w:r w:rsidRPr="001302B9">
        <w:rPr>
          <w:lang w:val="fr-FR"/>
        </w:rPr>
        <w:t>exécutif</w:t>
      </w:r>
      <w:r>
        <w:rPr>
          <w:lang w:val="fr-FR"/>
        </w:rPr>
        <w:t xml:space="preserve"> </w:t>
      </w:r>
      <w:r w:rsidRPr="001302B9">
        <w:rPr>
          <w:rFonts w:eastAsia="MS Mincho"/>
          <w:lang w:val="fr-FR"/>
        </w:rPr>
        <w:t>n</w:t>
      </w:r>
      <w:r w:rsidRPr="001302B9">
        <w:rPr>
          <w:rFonts w:eastAsia="MS Mincho"/>
          <w:vertAlign w:val="superscript"/>
          <w:lang w:val="fr-FR"/>
        </w:rPr>
        <w:t>o</w:t>
      </w:r>
      <w:r>
        <w:rPr>
          <w:lang w:val="fr-FR"/>
        </w:rPr>
        <w:t> </w:t>
      </w:r>
      <w:r w:rsidRPr="001302B9">
        <w:rPr>
          <w:lang w:val="fr-FR"/>
        </w:rPr>
        <w:t>358/2016</w:t>
      </w:r>
      <w:r>
        <w:rPr>
          <w:lang w:val="fr-FR"/>
        </w:rPr>
        <w:t xml:space="preserve"> </w:t>
      </w:r>
      <w:r w:rsidRPr="001302B9">
        <w:rPr>
          <w:lang w:val="fr-FR"/>
        </w:rPr>
        <w:t>de</w:t>
      </w:r>
      <w:r>
        <w:rPr>
          <w:lang w:val="fr-FR"/>
        </w:rPr>
        <w:t xml:space="preserve"> </w:t>
      </w:r>
      <w:r w:rsidRPr="001302B9">
        <w:rPr>
          <w:lang w:val="fr-FR"/>
        </w:rPr>
        <w:t>novembre</w:t>
      </w:r>
      <w:r>
        <w:rPr>
          <w:lang w:val="fr-FR"/>
        </w:rPr>
        <w:t xml:space="preserve"> </w:t>
      </w:r>
      <w:r w:rsidRPr="001302B9">
        <w:rPr>
          <w:lang w:val="fr-FR"/>
        </w:rPr>
        <w:t>2016,</w:t>
      </w:r>
      <w:r>
        <w:rPr>
          <w:lang w:val="fr-FR"/>
        </w:rPr>
        <w:t xml:space="preserve"> </w:t>
      </w:r>
      <w:r w:rsidRPr="001302B9">
        <w:rPr>
          <w:lang w:val="fr-FR"/>
        </w:rPr>
        <w:t>du</w:t>
      </w:r>
      <w:r>
        <w:rPr>
          <w:lang w:val="fr-FR"/>
        </w:rPr>
        <w:t xml:space="preserve"> </w:t>
      </w:r>
      <w:r w:rsidRPr="001302B9">
        <w:rPr>
          <w:lang w:val="fr-FR"/>
        </w:rPr>
        <w:t>Réseau</w:t>
      </w:r>
      <w:r>
        <w:rPr>
          <w:lang w:val="fr-FR"/>
        </w:rPr>
        <w:t xml:space="preserve"> </w:t>
      </w:r>
      <w:r w:rsidRPr="001302B9">
        <w:rPr>
          <w:lang w:val="fr-FR"/>
        </w:rPr>
        <w:t>interinstitutionnel</w:t>
      </w:r>
      <w:r>
        <w:rPr>
          <w:lang w:val="fr-FR"/>
        </w:rPr>
        <w:t xml:space="preserve"> </w:t>
      </w:r>
      <w:r w:rsidRPr="001302B9">
        <w:rPr>
          <w:lang w:val="fr-FR"/>
        </w:rPr>
        <w:t>chargé</w:t>
      </w:r>
      <w:r>
        <w:rPr>
          <w:lang w:val="fr-FR"/>
        </w:rPr>
        <w:t xml:space="preserve"> </w:t>
      </w:r>
      <w:r w:rsidRPr="001302B9">
        <w:rPr>
          <w:lang w:val="fr-FR"/>
        </w:rPr>
        <w:t>de</w:t>
      </w:r>
      <w:r>
        <w:rPr>
          <w:lang w:val="fr-FR"/>
        </w:rPr>
        <w:t xml:space="preserve"> </w:t>
      </w:r>
      <w:r w:rsidRPr="001302B9">
        <w:rPr>
          <w:lang w:val="fr-FR"/>
        </w:rPr>
        <w:t>l’établissement</w:t>
      </w:r>
      <w:r>
        <w:rPr>
          <w:lang w:val="fr-FR"/>
        </w:rPr>
        <w:t xml:space="preserve"> </w:t>
      </w:r>
      <w:r w:rsidRPr="001302B9">
        <w:rPr>
          <w:lang w:val="fr-FR"/>
        </w:rPr>
        <w:t>des</w:t>
      </w:r>
      <w:r>
        <w:rPr>
          <w:lang w:val="fr-FR"/>
        </w:rPr>
        <w:t xml:space="preserve"> </w:t>
      </w:r>
      <w:r w:rsidRPr="001302B9">
        <w:rPr>
          <w:lang w:val="fr-FR"/>
        </w:rPr>
        <w:t>rapports</w:t>
      </w:r>
      <w:r>
        <w:rPr>
          <w:lang w:val="fr-FR"/>
        </w:rPr>
        <w:t xml:space="preserve"> </w:t>
      </w:r>
      <w:r w:rsidRPr="001302B9">
        <w:rPr>
          <w:lang w:val="fr-FR"/>
        </w:rPr>
        <w:t>et</w:t>
      </w:r>
      <w:r>
        <w:rPr>
          <w:lang w:val="fr-FR"/>
        </w:rPr>
        <w:t xml:space="preserve"> </w:t>
      </w:r>
      <w:r w:rsidRPr="001302B9">
        <w:rPr>
          <w:lang w:val="fr-FR"/>
        </w:rPr>
        <w:t>du</w:t>
      </w:r>
      <w:r>
        <w:rPr>
          <w:lang w:val="fr-FR"/>
        </w:rPr>
        <w:t xml:space="preserve"> </w:t>
      </w:r>
      <w:r w:rsidRPr="001302B9">
        <w:rPr>
          <w:lang w:val="fr-FR"/>
        </w:rPr>
        <w:t>suivi</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mise</w:t>
      </w:r>
      <w:r>
        <w:rPr>
          <w:lang w:val="fr-FR"/>
        </w:rPr>
        <w:t xml:space="preserve"> </w:t>
      </w:r>
      <w:r w:rsidRPr="001302B9">
        <w:rPr>
          <w:lang w:val="fr-FR"/>
        </w:rPr>
        <w:t>en</w:t>
      </w:r>
      <w:r>
        <w:rPr>
          <w:lang w:val="fr-FR"/>
        </w:rPr>
        <w:t xml:space="preserve"> </w:t>
      </w:r>
      <w:r w:rsidRPr="001302B9">
        <w:rPr>
          <w:lang w:val="fr-FR"/>
        </w:rPr>
        <w:t>application</w:t>
      </w:r>
      <w:r>
        <w:rPr>
          <w:lang w:val="fr-FR"/>
        </w:rPr>
        <w:t xml:space="preserve"> </w:t>
      </w:r>
      <w:r w:rsidRPr="001302B9">
        <w:rPr>
          <w:lang w:val="fr-FR"/>
        </w:rPr>
        <w:t>des</w:t>
      </w:r>
      <w:r>
        <w:rPr>
          <w:lang w:val="fr-FR"/>
        </w:rPr>
        <w:t xml:space="preserve"> </w:t>
      </w:r>
      <w:r w:rsidRPr="001302B9">
        <w:rPr>
          <w:lang w:val="fr-FR"/>
        </w:rPr>
        <w:t>recommandations</w:t>
      </w:r>
      <w:r>
        <w:rPr>
          <w:lang w:val="fr-FR"/>
        </w:rPr>
        <w:t xml:space="preserve"> </w:t>
      </w:r>
      <w:r w:rsidRPr="001302B9">
        <w:rPr>
          <w:lang w:val="fr-FR"/>
        </w:rPr>
        <w:t>et</w:t>
      </w:r>
      <w:r>
        <w:rPr>
          <w:lang w:val="fr-FR"/>
        </w:rPr>
        <w:t xml:space="preserve"> </w:t>
      </w:r>
      <w:r w:rsidRPr="001302B9">
        <w:rPr>
          <w:lang w:val="fr-FR"/>
        </w:rPr>
        <w:t>observations</w:t>
      </w:r>
      <w:r>
        <w:rPr>
          <w:lang w:val="fr-FR"/>
        </w:rPr>
        <w:t xml:space="preserve"> </w:t>
      </w:r>
      <w:r w:rsidRPr="001302B9">
        <w:rPr>
          <w:lang w:val="fr-FR"/>
        </w:rPr>
        <w:t>formulées</w:t>
      </w:r>
      <w:r>
        <w:rPr>
          <w:lang w:val="fr-FR"/>
        </w:rPr>
        <w:t xml:space="preserve"> </w:t>
      </w:r>
      <w:r w:rsidRPr="001302B9">
        <w:rPr>
          <w:lang w:val="fr-FR"/>
        </w:rPr>
        <w:t>en</w:t>
      </w:r>
      <w:r>
        <w:rPr>
          <w:lang w:val="fr-FR"/>
        </w:rPr>
        <w:t xml:space="preserve"> </w:t>
      </w:r>
      <w:r w:rsidRPr="001302B9">
        <w:rPr>
          <w:lang w:val="fr-FR"/>
        </w:rPr>
        <w:t>matière</w:t>
      </w:r>
      <w:r>
        <w:rPr>
          <w:lang w:val="fr-FR"/>
        </w:rPr>
        <w:t xml:space="preserve"> </w:t>
      </w:r>
      <w:r w:rsidRPr="001302B9">
        <w:rPr>
          <w:lang w:val="fr-FR"/>
        </w:rPr>
        <w:t>de</w:t>
      </w:r>
      <w:r>
        <w:rPr>
          <w:lang w:val="fr-FR"/>
        </w:rPr>
        <w:t xml:space="preserve"> </w:t>
      </w:r>
      <w:r w:rsidRPr="001302B9">
        <w:rPr>
          <w:lang w:val="fr-FR"/>
        </w:rPr>
        <w:t>droits</w:t>
      </w:r>
      <w:r>
        <w:rPr>
          <w:lang w:val="fr-FR"/>
        </w:rPr>
        <w:t xml:space="preserve"> </w:t>
      </w:r>
      <w:r w:rsidRPr="001302B9">
        <w:rPr>
          <w:lang w:val="fr-FR"/>
        </w:rPr>
        <w:t>de</w:t>
      </w:r>
      <w:r>
        <w:rPr>
          <w:lang w:val="fr-FR"/>
        </w:rPr>
        <w:t xml:space="preserve"> </w:t>
      </w:r>
      <w:r w:rsidRPr="001302B9">
        <w:rPr>
          <w:lang w:val="fr-FR"/>
        </w:rPr>
        <w:t>l’homme</w:t>
      </w:r>
      <w:r>
        <w:rPr>
          <w:lang w:val="fr-FR"/>
        </w:rPr>
        <w:t xml:space="preserve"> </w:t>
      </w:r>
      <w:r w:rsidRPr="001302B9">
        <w:rPr>
          <w:lang w:val="fr-FR"/>
        </w:rPr>
        <w:t>et</w:t>
      </w:r>
      <w:r>
        <w:rPr>
          <w:lang w:val="fr-FR"/>
        </w:rPr>
        <w:t xml:space="preserve"> </w:t>
      </w:r>
      <w:r w:rsidRPr="001302B9">
        <w:rPr>
          <w:lang w:val="fr-FR"/>
        </w:rPr>
        <w:t>du</w:t>
      </w:r>
      <w:r>
        <w:rPr>
          <w:lang w:val="fr-FR"/>
        </w:rPr>
        <w:t xml:space="preserve"> </w:t>
      </w:r>
      <w:r w:rsidRPr="001302B9">
        <w:rPr>
          <w:lang w:val="fr-FR"/>
        </w:rPr>
        <w:t>Système</w:t>
      </w:r>
      <w:r>
        <w:rPr>
          <w:lang w:val="fr-FR"/>
        </w:rPr>
        <w:t xml:space="preserve"> </w:t>
      </w:r>
      <w:r w:rsidRPr="001302B9">
        <w:rPr>
          <w:lang w:val="fr-FR"/>
        </w:rPr>
        <w:t>de</w:t>
      </w:r>
      <w:r>
        <w:rPr>
          <w:lang w:val="fr-FR"/>
        </w:rPr>
        <w:t xml:space="preserve"> </w:t>
      </w:r>
      <w:r w:rsidRPr="001302B9">
        <w:rPr>
          <w:lang w:val="fr-FR"/>
        </w:rPr>
        <w:t>suivi</w:t>
      </w:r>
      <w:r>
        <w:rPr>
          <w:lang w:val="fr-FR"/>
        </w:rPr>
        <w:t xml:space="preserve"> </w:t>
      </w:r>
      <w:r w:rsidRPr="001302B9">
        <w:rPr>
          <w:lang w:val="fr-FR"/>
        </w:rPr>
        <w:t>des</w:t>
      </w:r>
      <w:r>
        <w:rPr>
          <w:lang w:val="fr-FR"/>
        </w:rPr>
        <w:t xml:space="preserve"> </w:t>
      </w:r>
      <w:r w:rsidRPr="001302B9">
        <w:rPr>
          <w:lang w:val="fr-FR"/>
        </w:rPr>
        <w:t>recommandations,</w:t>
      </w:r>
      <w:r>
        <w:rPr>
          <w:lang w:val="fr-FR"/>
        </w:rPr>
        <w:t xml:space="preserve"> </w:t>
      </w:r>
      <w:r w:rsidRPr="001302B9">
        <w:rPr>
          <w:lang w:val="fr-FR"/>
        </w:rPr>
        <w:t>qui</w:t>
      </w:r>
      <w:r>
        <w:rPr>
          <w:lang w:val="fr-FR"/>
        </w:rPr>
        <w:t xml:space="preserve"> </w:t>
      </w:r>
      <w:r w:rsidRPr="001302B9">
        <w:rPr>
          <w:lang w:val="fr-FR"/>
        </w:rPr>
        <w:t>constitue</w:t>
      </w:r>
      <w:r>
        <w:rPr>
          <w:lang w:val="fr-FR"/>
        </w:rPr>
        <w:t xml:space="preserve"> </w:t>
      </w:r>
      <w:r w:rsidRPr="001302B9">
        <w:rPr>
          <w:lang w:val="fr-FR"/>
        </w:rPr>
        <w:t>un</w:t>
      </w:r>
      <w:r>
        <w:rPr>
          <w:lang w:val="fr-FR"/>
        </w:rPr>
        <w:t xml:space="preserve"> </w:t>
      </w:r>
      <w:r w:rsidRPr="001302B9">
        <w:rPr>
          <w:lang w:val="fr-FR"/>
        </w:rPr>
        <w:t>registre</w:t>
      </w:r>
      <w:r>
        <w:rPr>
          <w:lang w:val="fr-FR"/>
        </w:rPr>
        <w:t xml:space="preserve"> </w:t>
      </w:r>
      <w:r w:rsidRPr="001302B9">
        <w:rPr>
          <w:lang w:val="fr-FR"/>
        </w:rPr>
        <w:t>public</w:t>
      </w:r>
      <w:r>
        <w:rPr>
          <w:lang w:val="fr-FR"/>
        </w:rPr>
        <w:t xml:space="preserve"> </w:t>
      </w:r>
      <w:r w:rsidRPr="001302B9">
        <w:rPr>
          <w:lang w:val="fr-FR"/>
        </w:rPr>
        <w:t>des</w:t>
      </w:r>
      <w:r>
        <w:rPr>
          <w:lang w:val="fr-FR"/>
        </w:rPr>
        <w:t xml:space="preserve"> </w:t>
      </w:r>
      <w:r w:rsidRPr="001302B9">
        <w:rPr>
          <w:lang w:val="fr-FR"/>
        </w:rPr>
        <w:t>mesures</w:t>
      </w:r>
      <w:r>
        <w:rPr>
          <w:lang w:val="fr-FR"/>
        </w:rPr>
        <w:t xml:space="preserve"> </w:t>
      </w:r>
      <w:r w:rsidRPr="001302B9">
        <w:rPr>
          <w:lang w:val="fr-FR"/>
        </w:rPr>
        <w:t>prises</w:t>
      </w:r>
      <w:r>
        <w:rPr>
          <w:lang w:val="fr-FR"/>
        </w:rPr>
        <w:t xml:space="preserve"> </w:t>
      </w:r>
      <w:r w:rsidRPr="001302B9">
        <w:rPr>
          <w:lang w:val="fr-FR"/>
        </w:rPr>
        <w:t>pour</w:t>
      </w:r>
      <w:r>
        <w:rPr>
          <w:lang w:val="fr-FR"/>
        </w:rPr>
        <w:t xml:space="preserve"> </w:t>
      </w:r>
      <w:r w:rsidRPr="001302B9">
        <w:rPr>
          <w:lang w:val="fr-FR"/>
        </w:rPr>
        <w:t>appliquer</w:t>
      </w:r>
      <w:r>
        <w:rPr>
          <w:lang w:val="fr-FR"/>
        </w:rPr>
        <w:t xml:space="preserve"> </w:t>
      </w:r>
      <w:r w:rsidRPr="001302B9">
        <w:rPr>
          <w:lang w:val="fr-FR"/>
        </w:rPr>
        <w:t>les</w:t>
      </w:r>
      <w:r>
        <w:rPr>
          <w:lang w:val="fr-FR"/>
        </w:rPr>
        <w:t xml:space="preserve"> </w:t>
      </w:r>
      <w:r w:rsidRPr="001302B9">
        <w:rPr>
          <w:lang w:val="fr-FR"/>
        </w:rPr>
        <w:t>recommandations</w:t>
      </w:r>
      <w:r>
        <w:rPr>
          <w:lang w:val="fr-FR"/>
        </w:rPr>
        <w:t xml:space="preserve"> </w:t>
      </w:r>
      <w:r w:rsidRPr="001302B9">
        <w:rPr>
          <w:lang w:val="fr-FR"/>
        </w:rPr>
        <w:t>et</w:t>
      </w:r>
      <w:r>
        <w:rPr>
          <w:lang w:val="fr-FR"/>
        </w:rPr>
        <w:t xml:space="preserve"> </w:t>
      </w:r>
      <w:r w:rsidRPr="001302B9">
        <w:rPr>
          <w:lang w:val="fr-FR"/>
        </w:rPr>
        <w:t>observations</w:t>
      </w:r>
      <w:r>
        <w:rPr>
          <w:lang w:val="fr-FR"/>
        </w:rPr>
        <w:t xml:space="preserve"> </w:t>
      </w:r>
      <w:r w:rsidRPr="001302B9">
        <w:rPr>
          <w:lang w:val="fr-FR"/>
        </w:rPr>
        <w:t>formulées</w:t>
      </w:r>
      <w:r>
        <w:rPr>
          <w:lang w:val="fr-FR"/>
        </w:rPr>
        <w:t xml:space="preserve"> </w:t>
      </w:r>
      <w:r w:rsidRPr="001302B9">
        <w:rPr>
          <w:lang w:val="fr-FR"/>
        </w:rPr>
        <w:t>par</w:t>
      </w:r>
      <w:r>
        <w:rPr>
          <w:lang w:val="fr-FR"/>
        </w:rPr>
        <w:t xml:space="preserve"> </w:t>
      </w:r>
      <w:r w:rsidRPr="001302B9">
        <w:rPr>
          <w:lang w:val="fr-FR"/>
        </w:rPr>
        <w:t>le</w:t>
      </w:r>
      <w:r>
        <w:rPr>
          <w:lang w:val="fr-FR"/>
        </w:rPr>
        <w:t xml:space="preserve"> </w:t>
      </w:r>
      <w:r w:rsidRPr="001302B9">
        <w:rPr>
          <w:lang w:val="fr-FR"/>
        </w:rPr>
        <w:t>système</w:t>
      </w:r>
      <w:r>
        <w:rPr>
          <w:lang w:val="fr-FR"/>
        </w:rPr>
        <w:t xml:space="preserve"> </w:t>
      </w:r>
      <w:r w:rsidRPr="001302B9">
        <w:rPr>
          <w:lang w:val="fr-FR"/>
        </w:rPr>
        <w:t>universel</w:t>
      </w:r>
      <w:r>
        <w:rPr>
          <w:lang w:val="fr-FR"/>
        </w:rPr>
        <w:t xml:space="preserve"> </w:t>
      </w:r>
      <w:r w:rsidRPr="001302B9">
        <w:rPr>
          <w:lang w:val="fr-FR"/>
        </w:rPr>
        <w:t>de</w:t>
      </w:r>
      <w:r>
        <w:rPr>
          <w:lang w:val="fr-FR"/>
        </w:rPr>
        <w:t xml:space="preserve"> </w:t>
      </w:r>
      <w:r w:rsidRPr="001302B9">
        <w:rPr>
          <w:lang w:val="fr-FR"/>
        </w:rPr>
        <w:t>protection</w:t>
      </w:r>
      <w:r>
        <w:rPr>
          <w:lang w:val="fr-FR"/>
        </w:rPr>
        <w:t xml:space="preserve"> </w:t>
      </w:r>
      <w:r w:rsidRPr="001302B9">
        <w:rPr>
          <w:lang w:val="fr-FR"/>
        </w:rPr>
        <w:t>des</w:t>
      </w:r>
      <w:r>
        <w:rPr>
          <w:lang w:val="fr-FR"/>
        </w:rPr>
        <w:t xml:space="preserve"> </w:t>
      </w:r>
      <w:r w:rsidRPr="001302B9">
        <w:rPr>
          <w:lang w:val="fr-FR"/>
        </w:rPr>
        <w:t>droits</w:t>
      </w:r>
      <w:r>
        <w:rPr>
          <w:lang w:val="fr-FR"/>
        </w:rPr>
        <w:t xml:space="preserve"> </w:t>
      </w:r>
      <w:r w:rsidRPr="001302B9">
        <w:rPr>
          <w:lang w:val="fr-FR"/>
        </w:rPr>
        <w:t>de</w:t>
      </w:r>
      <w:r>
        <w:rPr>
          <w:lang w:val="fr-FR"/>
        </w:rPr>
        <w:t xml:space="preserve"> </w:t>
      </w:r>
      <w:r w:rsidRPr="001302B9">
        <w:rPr>
          <w:lang w:val="fr-FR"/>
        </w:rPr>
        <w:t>l’homme</w:t>
      </w:r>
      <w:r>
        <w:rPr>
          <w:lang w:val="fr-FR"/>
        </w:rPr>
        <w:t> ;</w:t>
      </w:r>
    </w:p>
    <w:p w14:paraId="1F3CAD5D" w14:textId="6D58FA57" w:rsidR="003F0CA1" w:rsidRPr="001302B9" w:rsidRDefault="003F0CA1" w:rsidP="003F0CA1">
      <w:pPr>
        <w:pStyle w:val="SingleTxtG"/>
        <w:ind w:firstLine="567"/>
        <w:rPr>
          <w:lang w:val="fr-FR"/>
        </w:rPr>
      </w:pPr>
      <w:r w:rsidRPr="001302B9">
        <w:rPr>
          <w:lang w:val="fr-FR"/>
        </w:rPr>
        <w:t>f)</w:t>
      </w:r>
      <w:r w:rsidRPr="001302B9">
        <w:rPr>
          <w:lang w:val="fr-FR"/>
        </w:rPr>
        <w:tab/>
        <w:t>Le</w:t>
      </w:r>
      <w:r>
        <w:rPr>
          <w:lang w:val="fr-FR"/>
        </w:rPr>
        <w:t xml:space="preserve"> </w:t>
      </w:r>
      <w:r w:rsidRPr="001302B9">
        <w:rPr>
          <w:lang w:val="fr-FR"/>
        </w:rPr>
        <w:t>fait</w:t>
      </w:r>
      <w:r>
        <w:rPr>
          <w:lang w:val="fr-FR"/>
        </w:rPr>
        <w:t xml:space="preserve"> </w:t>
      </w:r>
      <w:r w:rsidRPr="001302B9">
        <w:rPr>
          <w:lang w:val="fr-FR"/>
        </w:rPr>
        <w:t>que,</w:t>
      </w:r>
      <w:r>
        <w:rPr>
          <w:lang w:val="fr-FR"/>
        </w:rPr>
        <w:t xml:space="preserve"> </w:t>
      </w:r>
      <w:r w:rsidRPr="001302B9">
        <w:rPr>
          <w:lang w:val="fr-FR"/>
        </w:rPr>
        <w:t>en</w:t>
      </w:r>
      <w:r>
        <w:rPr>
          <w:lang w:val="fr-FR"/>
        </w:rPr>
        <w:t xml:space="preserve"> </w:t>
      </w:r>
      <w:r w:rsidRPr="001302B9">
        <w:rPr>
          <w:lang w:val="fr-FR"/>
        </w:rPr>
        <w:t>mai</w:t>
      </w:r>
      <w:r>
        <w:rPr>
          <w:lang w:val="fr-FR"/>
        </w:rPr>
        <w:t xml:space="preserve"> </w:t>
      </w:r>
      <w:r w:rsidRPr="001302B9">
        <w:rPr>
          <w:lang w:val="fr-FR"/>
        </w:rPr>
        <w:t>2016,</w:t>
      </w:r>
      <w:r>
        <w:rPr>
          <w:lang w:val="fr-FR"/>
        </w:rPr>
        <w:t xml:space="preserve"> </w:t>
      </w:r>
      <w:r w:rsidRPr="001302B9">
        <w:rPr>
          <w:lang w:val="fr-FR"/>
        </w:rPr>
        <w:t>l’institution</w:t>
      </w:r>
      <w:r>
        <w:rPr>
          <w:lang w:val="fr-FR"/>
        </w:rPr>
        <w:t xml:space="preserve"> </w:t>
      </w:r>
      <w:r w:rsidRPr="001302B9">
        <w:rPr>
          <w:lang w:val="fr-FR"/>
        </w:rPr>
        <w:t>nationale</w:t>
      </w:r>
      <w:r>
        <w:rPr>
          <w:lang w:val="fr-FR"/>
        </w:rPr>
        <w:t xml:space="preserve"> </w:t>
      </w:r>
      <w:r w:rsidRPr="001302B9">
        <w:rPr>
          <w:lang w:val="fr-FR"/>
        </w:rPr>
        <w:t>des</w:t>
      </w:r>
      <w:r>
        <w:rPr>
          <w:lang w:val="fr-FR"/>
        </w:rPr>
        <w:t xml:space="preserve"> </w:t>
      </w:r>
      <w:r w:rsidRPr="001302B9">
        <w:rPr>
          <w:lang w:val="fr-FR"/>
        </w:rPr>
        <w:t>droits</w:t>
      </w:r>
      <w:r>
        <w:rPr>
          <w:lang w:val="fr-FR"/>
        </w:rPr>
        <w:t xml:space="preserve"> </w:t>
      </w:r>
      <w:r w:rsidRPr="001302B9">
        <w:rPr>
          <w:lang w:val="fr-FR"/>
        </w:rPr>
        <w:t>de</w:t>
      </w:r>
      <w:r>
        <w:rPr>
          <w:lang w:val="fr-FR"/>
        </w:rPr>
        <w:t xml:space="preserve"> </w:t>
      </w:r>
      <w:r w:rsidRPr="001302B9">
        <w:rPr>
          <w:lang w:val="fr-FR"/>
        </w:rPr>
        <w:t>l’homme</w:t>
      </w:r>
      <w:r>
        <w:rPr>
          <w:lang w:val="fr-FR"/>
        </w:rPr>
        <w:t xml:space="preserve"> </w:t>
      </w:r>
      <w:r w:rsidRPr="001302B9">
        <w:rPr>
          <w:lang w:val="fr-FR"/>
        </w:rPr>
        <w:t>et</w:t>
      </w:r>
      <w:r>
        <w:rPr>
          <w:lang w:val="fr-FR"/>
        </w:rPr>
        <w:t xml:space="preserve"> </w:t>
      </w:r>
      <w:r w:rsidRPr="001302B9">
        <w:rPr>
          <w:lang w:val="fr-FR"/>
        </w:rPr>
        <w:t>le</w:t>
      </w:r>
      <w:r>
        <w:rPr>
          <w:lang w:val="fr-FR"/>
        </w:rPr>
        <w:t xml:space="preserve"> </w:t>
      </w:r>
      <w:r w:rsidRPr="001302B9">
        <w:rPr>
          <w:lang w:val="fr-FR"/>
        </w:rPr>
        <w:t>Bureau</w:t>
      </w:r>
      <w:r>
        <w:rPr>
          <w:lang w:val="fr-FR"/>
        </w:rPr>
        <w:t xml:space="preserve"> </w:t>
      </w:r>
      <w:r w:rsidRPr="001302B9">
        <w:rPr>
          <w:lang w:val="fr-FR"/>
        </w:rPr>
        <w:t>du</w:t>
      </w:r>
      <w:r>
        <w:rPr>
          <w:lang w:val="fr-FR"/>
        </w:rPr>
        <w:t xml:space="preserve"> </w:t>
      </w:r>
      <w:r w:rsidRPr="001302B9">
        <w:rPr>
          <w:lang w:val="fr-FR"/>
        </w:rPr>
        <w:t>Défenseur</w:t>
      </w:r>
      <w:r>
        <w:rPr>
          <w:lang w:val="fr-FR"/>
        </w:rPr>
        <w:t xml:space="preserve"> </w:t>
      </w:r>
      <w:r w:rsidRPr="001302B9">
        <w:rPr>
          <w:lang w:val="fr-FR"/>
        </w:rPr>
        <w:t>du</w:t>
      </w:r>
      <w:r>
        <w:rPr>
          <w:lang w:val="fr-FR"/>
        </w:rPr>
        <w:t xml:space="preserve"> </w:t>
      </w:r>
      <w:r w:rsidRPr="001302B9">
        <w:rPr>
          <w:lang w:val="fr-FR"/>
        </w:rPr>
        <w:t>peuple</w:t>
      </w:r>
      <w:r>
        <w:rPr>
          <w:lang w:val="fr-FR"/>
        </w:rPr>
        <w:t xml:space="preserve"> </w:t>
      </w:r>
      <w:r w:rsidRPr="001302B9">
        <w:rPr>
          <w:lang w:val="fr-FR"/>
        </w:rPr>
        <w:t>se</w:t>
      </w:r>
      <w:r>
        <w:rPr>
          <w:lang w:val="fr-FR"/>
        </w:rPr>
        <w:t xml:space="preserve"> </w:t>
      </w:r>
      <w:r w:rsidRPr="001302B9">
        <w:rPr>
          <w:lang w:val="fr-FR"/>
        </w:rPr>
        <w:t>sont</w:t>
      </w:r>
      <w:r>
        <w:rPr>
          <w:lang w:val="fr-FR"/>
        </w:rPr>
        <w:t xml:space="preserve"> </w:t>
      </w:r>
      <w:r w:rsidRPr="001302B9">
        <w:rPr>
          <w:lang w:val="fr-FR"/>
        </w:rPr>
        <w:t>fait</w:t>
      </w:r>
      <w:r>
        <w:rPr>
          <w:lang w:val="fr-FR"/>
        </w:rPr>
        <w:t xml:space="preserve"> </w:t>
      </w:r>
      <w:r w:rsidRPr="001302B9">
        <w:rPr>
          <w:lang w:val="fr-FR"/>
        </w:rPr>
        <w:t>accorder</w:t>
      </w:r>
      <w:r>
        <w:rPr>
          <w:lang w:val="fr-FR"/>
        </w:rPr>
        <w:t xml:space="preserve"> </w:t>
      </w:r>
      <w:r w:rsidRPr="001302B9">
        <w:rPr>
          <w:lang w:val="fr-FR"/>
        </w:rPr>
        <w:t>le</w:t>
      </w:r>
      <w:r>
        <w:rPr>
          <w:lang w:val="fr-FR"/>
        </w:rPr>
        <w:t xml:space="preserve"> </w:t>
      </w:r>
      <w:r w:rsidRPr="001302B9">
        <w:rPr>
          <w:lang w:val="fr-FR"/>
        </w:rPr>
        <w:t>statut</w:t>
      </w:r>
      <w:r>
        <w:rPr>
          <w:lang w:val="fr-FR"/>
        </w:rPr>
        <w:t xml:space="preserve"> </w:t>
      </w:r>
      <w:r w:rsidRPr="001302B9">
        <w:rPr>
          <w:lang w:val="fr-FR"/>
        </w:rPr>
        <w:t>d’accréditation</w:t>
      </w:r>
      <w:r>
        <w:rPr>
          <w:lang w:val="fr-FR"/>
        </w:rPr>
        <w:t xml:space="preserve"> </w:t>
      </w:r>
      <w:r w:rsidRPr="001302B9">
        <w:rPr>
          <w:lang w:val="fr-FR"/>
        </w:rPr>
        <w:t>«</w:t>
      </w:r>
      <w:r w:rsidR="00CD45C4">
        <w:rPr>
          <w:lang w:val="fr-FR"/>
        </w:rPr>
        <w:t> </w:t>
      </w:r>
      <w:r w:rsidRPr="001302B9">
        <w:rPr>
          <w:lang w:val="fr-FR"/>
        </w:rPr>
        <w:t>A</w:t>
      </w:r>
      <w:r w:rsidR="00CD45C4">
        <w:rPr>
          <w:lang w:val="fr-FR"/>
        </w:rPr>
        <w:t> </w:t>
      </w:r>
      <w:r w:rsidRPr="001302B9">
        <w:rPr>
          <w:lang w:val="fr-FR"/>
        </w:rPr>
        <w:t>»</w:t>
      </w:r>
      <w:r>
        <w:rPr>
          <w:lang w:val="fr-FR"/>
        </w:rPr>
        <w:t xml:space="preserve"> </w:t>
      </w:r>
      <w:r w:rsidRPr="001302B9">
        <w:rPr>
          <w:lang w:val="fr-FR"/>
        </w:rPr>
        <w:t>par</w:t>
      </w:r>
      <w:r>
        <w:rPr>
          <w:lang w:val="fr-FR"/>
        </w:rPr>
        <w:t xml:space="preserve"> </w:t>
      </w:r>
      <w:r w:rsidRPr="001302B9">
        <w:rPr>
          <w:lang w:val="fr-FR"/>
        </w:rPr>
        <w:t>l’Alliance</w:t>
      </w:r>
      <w:r>
        <w:rPr>
          <w:lang w:val="fr-FR"/>
        </w:rPr>
        <w:t xml:space="preserve"> </w:t>
      </w:r>
      <w:r w:rsidRPr="001302B9">
        <w:rPr>
          <w:lang w:val="fr-FR"/>
        </w:rPr>
        <w:t>mondiale</w:t>
      </w:r>
      <w:r>
        <w:rPr>
          <w:lang w:val="fr-FR"/>
        </w:rPr>
        <w:t xml:space="preserve"> </w:t>
      </w:r>
      <w:r w:rsidRPr="001302B9">
        <w:rPr>
          <w:lang w:val="fr-FR"/>
        </w:rPr>
        <w:t>des</w:t>
      </w:r>
      <w:r>
        <w:rPr>
          <w:lang w:val="fr-FR"/>
        </w:rPr>
        <w:t xml:space="preserve"> </w:t>
      </w:r>
      <w:r w:rsidRPr="001302B9">
        <w:rPr>
          <w:lang w:val="fr-FR"/>
        </w:rPr>
        <w:t>institutions</w:t>
      </w:r>
      <w:r>
        <w:rPr>
          <w:lang w:val="fr-FR"/>
        </w:rPr>
        <w:t xml:space="preserve"> </w:t>
      </w:r>
      <w:r w:rsidRPr="001302B9">
        <w:rPr>
          <w:lang w:val="fr-FR"/>
        </w:rPr>
        <w:t>nationales</w:t>
      </w:r>
      <w:r>
        <w:rPr>
          <w:lang w:val="fr-FR"/>
        </w:rPr>
        <w:t xml:space="preserve"> </w:t>
      </w:r>
      <w:r w:rsidRPr="001302B9">
        <w:rPr>
          <w:lang w:val="fr-FR"/>
        </w:rPr>
        <w:t>des</w:t>
      </w:r>
      <w:r>
        <w:rPr>
          <w:lang w:val="fr-FR"/>
        </w:rPr>
        <w:t xml:space="preserve"> </w:t>
      </w:r>
      <w:r w:rsidRPr="001302B9">
        <w:rPr>
          <w:lang w:val="fr-FR"/>
        </w:rPr>
        <w:t>droits</w:t>
      </w:r>
      <w:r>
        <w:rPr>
          <w:lang w:val="fr-FR"/>
        </w:rPr>
        <w:t xml:space="preserve"> </w:t>
      </w:r>
      <w:r w:rsidRPr="001302B9">
        <w:rPr>
          <w:lang w:val="fr-FR"/>
        </w:rPr>
        <w:t>de</w:t>
      </w:r>
      <w:r>
        <w:rPr>
          <w:lang w:val="fr-FR"/>
        </w:rPr>
        <w:t xml:space="preserve"> </w:t>
      </w:r>
      <w:r w:rsidRPr="001302B9">
        <w:rPr>
          <w:lang w:val="fr-FR"/>
        </w:rPr>
        <w:t>l’homme</w:t>
      </w:r>
      <w:r>
        <w:rPr>
          <w:lang w:val="fr-FR"/>
        </w:rPr>
        <w:t> ;</w:t>
      </w:r>
    </w:p>
    <w:p w14:paraId="75D37FEE" w14:textId="61123534" w:rsidR="003F0CA1" w:rsidRPr="00CD45C4" w:rsidRDefault="003F0CA1" w:rsidP="003F0CA1">
      <w:pPr>
        <w:pStyle w:val="SingleTxtG"/>
        <w:ind w:firstLine="567"/>
        <w:rPr>
          <w:spacing w:val="-2"/>
          <w:lang w:val="fr-FR"/>
        </w:rPr>
      </w:pPr>
      <w:r w:rsidRPr="00CD45C4">
        <w:rPr>
          <w:spacing w:val="-2"/>
          <w:lang w:val="fr-FR"/>
        </w:rPr>
        <w:t>g)</w:t>
      </w:r>
      <w:r w:rsidRPr="00CD45C4">
        <w:rPr>
          <w:spacing w:val="-2"/>
          <w:lang w:val="fr-FR"/>
        </w:rPr>
        <w:tab/>
        <w:t xml:space="preserve">La création, au sein du Ministère de l’intérieur, d’une équipe spécialisée dans les violations graves des droits de l’homme, en application de la loi </w:t>
      </w:r>
      <w:r w:rsidRPr="00CD45C4">
        <w:rPr>
          <w:rFonts w:eastAsia="MS Mincho"/>
          <w:spacing w:val="-2"/>
          <w:lang w:val="fr-FR"/>
        </w:rPr>
        <w:t>n</w:t>
      </w:r>
      <w:r w:rsidRPr="00CD45C4">
        <w:rPr>
          <w:rFonts w:eastAsia="MS Mincho"/>
          <w:spacing w:val="-2"/>
          <w:vertAlign w:val="superscript"/>
          <w:lang w:val="fr-FR"/>
        </w:rPr>
        <w:t>o</w:t>
      </w:r>
      <w:r w:rsidR="00CD45C4" w:rsidRPr="00CD45C4">
        <w:rPr>
          <w:spacing w:val="-2"/>
          <w:lang w:val="fr-FR"/>
        </w:rPr>
        <w:t> </w:t>
      </w:r>
      <w:r w:rsidRPr="00CD45C4">
        <w:rPr>
          <w:spacing w:val="-2"/>
          <w:lang w:val="fr-FR"/>
        </w:rPr>
        <w:t>19.355 de décembre 2015 ;</w:t>
      </w:r>
    </w:p>
    <w:p w14:paraId="4DDFC1AD" w14:textId="3A49B09C" w:rsidR="003F0CA1" w:rsidRPr="001302B9" w:rsidRDefault="003F0CA1" w:rsidP="003F0CA1">
      <w:pPr>
        <w:pStyle w:val="SingleTxtG"/>
        <w:ind w:firstLine="567"/>
        <w:rPr>
          <w:lang w:val="fr-FR"/>
        </w:rPr>
      </w:pPr>
      <w:r w:rsidRPr="001302B9">
        <w:rPr>
          <w:lang w:val="fr-FR"/>
        </w:rPr>
        <w:t>h)</w:t>
      </w:r>
      <w:r w:rsidRPr="001302B9">
        <w:rPr>
          <w:lang w:val="fr-FR"/>
        </w:rPr>
        <w:tab/>
        <w:t>La</w:t>
      </w:r>
      <w:r>
        <w:rPr>
          <w:lang w:val="fr-FR"/>
        </w:rPr>
        <w:t xml:space="preserve"> </w:t>
      </w:r>
      <w:r w:rsidRPr="001302B9">
        <w:rPr>
          <w:lang w:val="fr-FR"/>
        </w:rPr>
        <w:t>création</w:t>
      </w:r>
      <w:r>
        <w:rPr>
          <w:lang w:val="fr-FR"/>
        </w:rPr>
        <w:t xml:space="preserve"> </w:t>
      </w:r>
      <w:r w:rsidRPr="001302B9">
        <w:rPr>
          <w:lang w:val="fr-FR"/>
        </w:rPr>
        <w:t>du</w:t>
      </w:r>
      <w:r>
        <w:rPr>
          <w:lang w:val="fr-FR"/>
        </w:rPr>
        <w:t xml:space="preserve"> </w:t>
      </w:r>
      <w:r w:rsidRPr="001302B9">
        <w:rPr>
          <w:lang w:val="fr-FR"/>
        </w:rPr>
        <w:t>groupe</w:t>
      </w:r>
      <w:r>
        <w:rPr>
          <w:lang w:val="fr-FR"/>
        </w:rPr>
        <w:t xml:space="preserve"> </w:t>
      </w:r>
      <w:r w:rsidRPr="001302B9">
        <w:rPr>
          <w:lang w:val="fr-FR"/>
        </w:rPr>
        <w:t>de</w:t>
      </w:r>
      <w:r>
        <w:rPr>
          <w:lang w:val="fr-FR"/>
        </w:rPr>
        <w:t xml:space="preserve"> </w:t>
      </w:r>
      <w:r w:rsidRPr="001302B9">
        <w:rPr>
          <w:lang w:val="fr-FR"/>
        </w:rPr>
        <w:t>travail</w:t>
      </w:r>
      <w:r>
        <w:rPr>
          <w:lang w:val="fr-FR"/>
        </w:rPr>
        <w:t xml:space="preserve"> </w:t>
      </w:r>
      <w:r w:rsidRPr="001302B9">
        <w:rPr>
          <w:lang w:val="fr-FR"/>
        </w:rPr>
        <w:t>pour</w:t>
      </w:r>
      <w:r>
        <w:rPr>
          <w:lang w:val="fr-FR"/>
        </w:rPr>
        <w:t xml:space="preserve"> </w:t>
      </w:r>
      <w:r w:rsidRPr="001302B9">
        <w:rPr>
          <w:lang w:val="fr-FR"/>
        </w:rPr>
        <w:t>la</w:t>
      </w:r>
      <w:r>
        <w:rPr>
          <w:lang w:val="fr-FR"/>
        </w:rPr>
        <w:t xml:space="preserve"> </w:t>
      </w:r>
      <w:r w:rsidRPr="001302B9">
        <w:rPr>
          <w:lang w:val="fr-FR"/>
        </w:rPr>
        <w:t>vérité</w:t>
      </w:r>
      <w:r>
        <w:rPr>
          <w:lang w:val="fr-FR"/>
        </w:rPr>
        <w:t xml:space="preserve"> </w:t>
      </w:r>
      <w:r w:rsidRPr="001302B9">
        <w:rPr>
          <w:lang w:val="fr-FR"/>
        </w:rPr>
        <w:t>et</w:t>
      </w:r>
      <w:r>
        <w:rPr>
          <w:lang w:val="fr-FR"/>
        </w:rPr>
        <w:t xml:space="preserve"> </w:t>
      </w:r>
      <w:r w:rsidRPr="001302B9">
        <w:rPr>
          <w:lang w:val="fr-FR"/>
        </w:rPr>
        <w:t>la</w:t>
      </w:r>
      <w:r>
        <w:rPr>
          <w:lang w:val="fr-FR"/>
        </w:rPr>
        <w:t xml:space="preserve"> </w:t>
      </w:r>
      <w:r w:rsidRPr="001302B9">
        <w:rPr>
          <w:lang w:val="fr-FR"/>
        </w:rPr>
        <w:t>justice,</w:t>
      </w:r>
      <w:r>
        <w:rPr>
          <w:lang w:val="fr-FR"/>
        </w:rPr>
        <w:t xml:space="preserve"> </w:t>
      </w:r>
      <w:r w:rsidRPr="001302B9">
        <w:rPr>
          <w:lang w:val="fr-FR"/>
        </w:rPr>
        <w:t>en</w:t>
      </w:r>
      <w:r>
        <w:rPr>
          <w:lang w:val="fr-FR"/>
        </w:rPr>
        <w:t xml:space="preserve"> </w:t>
      </w:r>
      <w:r w:rsidRPr="001302B9">
        <w:rPr>
          <w:lang w:val="fr-FR"/>
        </w:rPr>
        <w:t>application</w:t>
      </w:r>
      <w:r>
        <w:rPr>
          <w:lang w:val="fr-FR"/>
        </w:rPr>
        <w:t xml:space="preserve"> </w:t>
      </w:r>
      <w:r w:rsidRPr="001302B9">
        <w:rPr>
          <w:lang w:val="fr-FR"/>
        </w:rPr>
        <w:t>du</w:t>
      </w:r>
      <w:r>
        <w:rPr>
          <w:lang w:val="fr-FR"/>
        </w:rPr>
        <w:t xml:space="preserve"> </w:t>
      </w:r>
      <w:r w:rsidRPr="001302B9">
        <w:rPr>
          <w:lang w:val="fr-FR"/>
        </w:rPr>
        <w:t>décret</w:t>
      </w:r>
      <w:r>
        <w:rPr>
          <w:lang w:val="fr-FR"/>
        </w:rPr>
        <w:t xml:space="preserve"> </w:t>
      </w:r>
      <w:r w:rsidRPr="001302B9">
        <w:rPr>
          <w:lang w:val="fr-FR"/>
        </w:rPr>
        <w:t>exécutif</w:t>
      </w:r>
      <w:r>
        <w:rPr>
          <w:lang w:val="fr-FR"/>
        </w:rPr>
        <w:t xml:space="preserve"> </w:t>
      </w:r>
      <w:r w:rsidRPr="001302B9">
        <w:rPr>
          <w:rFonts w:eastAsia="MS Mincho"/>
          <w:lang w:val="fr-FR"/>
        </w:rPr>
        <w:t>n</w:t>
      </w:r>
      <w:r w:rsidRPr="001302B9">
        <w:rPr>
          <w:rFonts w:eastAsia="MS Mincho"/>
          <w:vertAlign w:val="superscript"/>
          <w:lang w:val="fr-FR"/>
        </w:rPr>
        <w:t>o</w:t>
      </w:r>
      <w:r w:rsidR="00CD45C4">
        <w:rPr>
          <w:lang w:val="fr-FR"/>
        </w:rPr>
        <w:t> </w:t>
      </w:r>
      <w:r w:rsidRPr="001302B9">
        <w:rPr>
          <w:lang w:val="fr-FR"/>
        </w:rPr>
        <w:t>131/2015</w:t>
      </w:r>
      <w:r>
        <w:rPr>
          <w:lang w:val="fr-FR"/>
        </w:rPr>
        <w:t xml:space="preserve"> </w:t>
      </w:r>
      <w:r w:rsidRPr="001302B9">
        <w:rPr>
          <w:lang w:val="fr-FR"/>
        </w:rPr>
        <w:t>de</w:t>
      </w:r>
      <w:r>
        <w:rPr>
          <w:lang w:val="fr-FR"/>
        </w:rPr>
        <w:t xml:space="preserve"> </w:t>
      </w:r>
      <w:r w:rsidRPr="001302B9">
        <w:rPr>
          <w:lang w:val="fr-FR"/>
        </w:rPr>
        <w:t>mai</w:t>
      </w:r>
      <w:r>
        <w:rPr>
          <w:lang w:val="fr-FR"/>
        </w:rPr>
        <w:t xml:space="preserve"> </w:t>
      </w:r>
      <w:r w:rsidRPr="001302B9">
        <w:rPr>
          <w:lang w:val="fr-FR"/>
        </w:rPr>
        <w:t>2015.</w:t>
      </w:r>
    </w:p>
    <w:p w14:paraId="1C15D933" w14:textId="77777777" w:rsidR="003F0CA1" w:rsidRPr="001302B9" w:rsidRDefault="003F0CA1" w:rsidP="003F0CA1">
      <w:pPr>
        <w:pStyle w:val="SingleTxtG"/>
        <w:rPr>
          <w:lang w:val="fr-FR"/>
        </w:rPr>
      </w:pPr>
      <w:r w:rsidRPr="001302B9">
        <w:rPr>
          <w:lang w:val="fr-FR"/>
        </w:rPr>
        <w:t>4.</w:t>
      </w:r>
      <w:r w:rsidRPr="001302B9">
        <w:rPr>
          <w:lang w:val="fr-FR"/>
        </w:rPr>
        <w:tab/>
        <w:t>Le</w:t>
      </w:r>
      <w:r>
        <w:rPr>
          <w:lang w:val="fr-FR"/>
        </w:rPr>
        <w:t xml:space="preserve"> </w:t>
      </w:r>
      <w:r w:rsidRPr="001302B9">
        <w:rPr>
          <w:lang w:val="fr-FR"/>
        </w:rPr>
        <w:t>Comité</w:t>
      </w:r>
      <w:r>
        <w:rPr>
          <w:lang w:val="fr-FR"/>
        </w:rPr>
        <w:t xml:space="preserve"> </w:t>
      </w:r>
      <w:r w:rsidRPr="001302B9">
        <w:rPr>
          <w:lang w:val="fr-FR"/>
        </w:rPr>
        <w:t>constate</w:t>
      </w:r>
      <w:r>
        <w:rPr>
          <w:lang w:val="fr-FR"/>
        </w:rPr>
        <w:t xml:space="preserve"> </w:t>
      </w:r>
      <w:r w:rsidRPr="001302B9">
        <w:rPr>
          <w:lang w:val="fr-FR"/>
        </w:rPr>
        <w:t>avec</w:t>
      </w:r>
      <w:r>
        <w:rPr>
          <w:lang w:val="fr-FR"/>
        </w:rPr>
        <w:t xml:space="preserve"> </w:t>
      </w:r>
      <w:r w:rsidRPr="001302B9">
        <w:rPr>
          <w:lang w:val="fr-FR"/>
        </w:rPr>
        <w:t>satisfaction</w:t>
      </w:r>
      <w:r>
        <w:rPr>
          <w:lang w:val="fr-FR"/>
        </w:rPr>
        <w:t xml:space="preserve"> </w:t>
      </w:r>
      <w:r w:rsidRPr="001302B9">
        <w:rPr>
          <w:lang w:val="fr-FR"/>
        </w:rPr>
        <w:t>que</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a</w:t>
      </w:r>
      <w:r>
        <w:rPr>
          <w:lang w:val="fr-FR"/>
        </w:rPr>
        <w:t xml:space="preserve"> </w:t>
      </w:r>
      <w:r w:rsidRPr="001302B9">
        <w:rPr>
          <w:lang w:val="fr-FR"/>
        </w:rPr>
        <w:t>adressé</w:t>
      </w:r>
      <w:r>
        <w:rPr>
          <w:lang w:val="fr-FR"/>
        </w:rPr>
        <w:t xml:space="preserve"> </w:t>
      </w:r>
      <w:r w:rsidRPr="001302B9">
        <w:rPr>
          <w:lang w:val="fr-FR"/>
        </w:rPr>
        <w:t>une</w:t>
      </w:r>
      <w:r>
        <w:rPr>
          <w:lang w:val="fr-FR"/>
        </w:rPr>
        <w:t xml:space="preserve"> </w:t>
      </w:r>
      <w:r w:rsidRPr="001302B9">
        <w:rPr>
          <w:lang w:val="fr-FR"/>
        </w:rPr>
        <w:t>invitation</w:t>
      </w:r>
      <w:r>
        <w:rPr>
          <w:lang w:val="fr-FR"/>
        </w:rPr>
        <w:t xml:space="preserve"> </w:t>
      </w:r>
      <w:r w:rsidRPr="001302B9">
        <w:rPr>
          <w:lang w:val="fr-FR"/>
        </w:rPr>
        <w:t>permanente</w:t>
      </w:r>
      <w:r>
        <w:rPr>
          <w:lang w:val="fr-FR"/>
        </w:rPr>
        <w:t xml:space="preserve"> </w:t>
      </w:r>
      <w:r w:rsidRPr="001302B9">
        <w:rPr>
          <w:lang w:val="fr-FR"/>
        </w:rPr>
        <w:t>à</w:t>
      </w:r>
      <w:r>
        <w:rPr>
          <w:lang w:val="fr-FR"/>
        </w:rPr>
        <w:t xml:space="preserve"> </w:t>
      </w:r>
      <w:r w:rsidRPr="001302B9">
        <w:rPr>
          <w:lang w:val="fr-FR"/>
        </w:rPr>
        <w:t>se</w:t>
      </w:r>
      <w:r>
        <w:rPr>
          <w:lang w:val="fr-FR"/>
        </w:rPr>
        <w:t xml:space="preserve"> </w:t>
      </w:r>
      <w:r w:rsidRPr="001302B9">
        <w:rPr>
          <w:lang w:val="fr-FR"/>
        </w:rPr>
        <w:t>rendre</w:t>
      </w:r>
      <w:r>
        <w:rPr>
          <w:lang w:val="fr-FR"/>
        </w:rPr>
        <w:t xml:space="preserve"> </w:t>
      </w:r>
      <w:r w:rsidRPr="001302B9">
        <w:rPr>
          <w:lang w:val="fr-FR"/>
        </w:rPr>
        <w:t>dans</w:t>
      </w:r>
      <w:r>
        <w:rPr>
          <w:lang w:val="fr-FR"/>
        </w:rPr>
        <w:t xml:space="preserve"> </w:t>
      </w:r>
      <w:r w:rsidRPr="001302B9">
        <w:rPr>
          <w:lang w:val="fr-FR"/>
        </w:rPr>
        <w:t>le</w:t>
      </w:r>
      <w:r>
        <w:rPr>
          <w:lang w:val="fr-FR"/>
        </w:rPr>
        <w:t xml:space="preserve"> </w:t>
      </w:r>
      <w:r w:rsidRPr="001302B9">
        <w:rPr>
          <w:lang w:val="fr-FR"/>
        </w:rPr>
        <w:t>pays</w:t>
      </w:r>
      <w:r>
        <w:rPr>
          <w:lang w:val="fr-FR"/>
        </w:rPr>
        <w:t xml:space="preserve"> </w:t>
      </w:r>
      <w:r w:rsidRPr="001302B9">
        <w:rPr>
          <w:lang w:val="fr-FR"/>
        </w:rPr>
        <w:t>à</w:t>
      </w:r>
      <w:r>
        <w:rPr>
          <w:lang w:val="fr-FR"/>
        </w:rPr>
        <w:t xml:space="preserve"> </w:t>
      </w:r>
      <w:r w:rsidRPr="001302B9">
        <w:rPr>
          <w:lang w:val="fr-FR"/>
        </w:rPr>
        <w:t>tous</w:t>
      </w:r>
      <w:r>
        <w:rPr>
          <w:lang w:val="fr-FR"/>
        </w:rPr>
        <w:t xml:space="preserve"> </w:t>
      </w:r>
      <w:r w:rsidRPr="001302B9">
        <w:rPr>
          <w:lang w:val="fr-FR"/>
        </w:rPr>
        <w:t>les</w:t>
      </w:r>
      <w:r>
        <w:rPr>
          <w:lang w:val="fr-FR"/>
        </w:rPr>
        <w:t xml:space="preserve"> </w:t>
      </w:r>
      <w:r w:rsidRPr="001302B9">
        <w:rPr>
          <w:lang w:val="fr-FR"/>
        </w:rPr>
        <w:t>titulaires</w:t>
      </w:r>
      <w:r>
        <w:rPr>
          <w:lang w:val="fr-FR"/>
        </w:rPr>
        <w:t xml:space="preserve"> </w:t>
      </w:r>
      <w:r w:rsidRPr="001302B9">
        <w:rPr>
          <w:lang w:val="fr-FR"/>
        </w:rPr>
        <w:t>de</w:t>
      </w:r>
      <w:r>
        <w:rPr>
          <w:lang w:val="fr-FR"/>
        </w:rPr>
        <w:t xml:space="preserve"> </w:t>
      </w:r>
      <w:r w:rsidRPr="001302B9">
        <w:rPr>
          <w:lang w:val="fr-FR"/>
        </w:rPr>
        <w:t>mandat</w:t>
      </w:r>
      <w:r>
        <w:rPr>
          <w:lang w:val="fr-FR"/>
        </w:rPr>
        <w:t xml:space="preserve"> </w:t>
      </w:r>
      <w:r w:rsidRPr="001302B9">
        <w:rPr>
          <w:lang w:val="fr-FR"/>
        </w:rPr>
        <w:t>au</w:t>
      </w:r>
      <w:r>
        <w:rPr>
          <w:lang w:val="fr-FR"/>
        </w:rPr>
        <w:t xml:space="preserve"> </w:t>
      </w:r>
      <w:r w:rsidRPr="001302B9">
        <w:rPr>
          <w:lang w:val="fr-FR"/>
        </w:rPr>
        <w:t>titre</w:t>
      </w:r>
      <w:r>
        <w:rPr>
          <w:lang w:val="fr-FR"/>
        </w:rPr>
        <w:t xml:space="preserve"> </w:t>
      </w:r>
      <w:r w:rsidRPr="001302B9">
        <w:rPr>
          <w:lang w:val="fr-FR"/>
        </w:rPr>
        <w:t>des</w:t>
      </w:r>
      <w:r>
        <w:rPr>
          <w:lang w:val="fr-FR"/>
        </w:rPr>
        <w:t xml:space="preserve"> </w:t>
      </w:r>
      <w:r w:rsidRPr="001302B9">
        <w:rPr>
          <w:lang w:val="fr-FR"/>
        </w:rPr>
        <w:t>procédures</w:t>
      </w:r>
      <w:r>
        <w:rPr>
          <w:lang w:val="fr-FR"/>
        </w:rPr>
        <w:t xml:space="preserve"> </w:t>
      </w:r>
      <w:r w:rsidRPr="001302B9">
        <w:rPr>
          <w:lang w:val="fr-FR"/>
        </w:rPr>
        <w:t>spéciales</w:t>
      </w:r>
      <w:r>
        <w:rPr>
          <w:lang w:val="fr-FR"/>
        </w:rPr>
        <w:t xml:space="preserve"> </w:t>
      </w:r>
      <w:r w:rsidRPr="001302B9">
        <w:rPr>
          <w:lang w:val="fr-FR"/>
        </w:rPr>
        <w:t>du</w:t>
      </w:r>
      <w:r>
        <w:rPr>
          <w:lang w:val="fr-FR"/>
        </w:rPr>
        <w:t xml:space="preserve"> </w:t>
      </w:r>
      <w:r w:rsidRPr="001302B9">
        <w:rPr>
          <w:lang w:val="fr-FR"/>
        </w:rPr>
        <w:t>Conseil</w:t>
      </w:r>
      <w:r>
        <w:rPr>
          <w:lang w:val="fr-FR"/>
        </w:rPr>
        <w:t xml:space="preserve"> </w:t>
      </w:r>
      <w:r w:rsidRPr="001302B9">
        <w:rPr>
          <w:lang w:val="fr-FR"/>
        </w:rPr>
        <w:t>des</w:t>
      </w:r>
      <w:r>
        <w:rPr>
          <w:lang w:val="fr-FR"/>
        </w:rPr>
        <w:t xml:space="preserve"> </w:t>
      </w:r>
      <w:r w:rsidRPr="001302B9">
        <w:rPr>
          <w:lang w:val="fr-FR"/>
        </w:rPr>
        <w:t>droits</w:t>
      </w:r>
      <w:r>
        <w:rPr>
          <w:lang w:val="fr-FR"/>
        </w:rPr>
        <w:t xml:space="preserve"> </w:t>
      </w:r>
      <w:r w:rsidRPr="001302B9">
        <w:rPr>
          <w:lang w:val="fr-FR"/>
        </w:rPr>
        <w:t>de</w:t>
      </w:r>
      <w:r>
        <w:rPr>
          <w:lang w:val="fr-FR"/>
        </w:rPr>
        <w:t xml:space="preserve"> </w:t>
      </w:r>
      <w:r w:rsidRPr="001302B9">
        <w:rPr>
          <w:lang w:val="fr-FR"/>
        </w:rPr>
        <w:t>l’homme.</w:t>
      </w:r>
      <w:r>
        <w:rPr>
          <w:lang w:val="fr-FR"/>
        </w:rPr>
        <w:t xml:space="preserve"> </w:t>
      </w:r>
      <w:r w:rsidRPr="001302B9">
        <w:rPr>
          <w:lang w:val="fr-FR"/>
        </w:rPr>
        <w:t>À</w:t>
      </w:r>
      <w:r>
        <w:rPr>
          <w:lang w:val="fr-FR"/>
        </w:rPr>
        <w:t xml:space="preserve"> </w:t>
      </w:r>
      <w:r w:rsidRPr="001302B9">
        <w:rPr>
          <w:lang w:val="fr-FR"/>
        </w:rPr>
        <w:t>cet</w:t>
      </w:r>
      <w:r>
        <w:rPr>
          <w:lang w:val="fr-FR"/>
        </w:rPr>
        <w:t xml:space="preserve"> </w:t>
      </w:r>
      <w:r w:rsidRPr="001302B9">
        <w:rPr>
          <w:lang w:val="fr-FR"/>
        </w:rPr>
        <w:t>égard,</w:t>
      </w:r>
      <w:r>
        <w:rPr>
          <w:lang w:val="fr-FR"/>
        </w:rPr>
        <w:t xml:space="preserve"> </w:t>
      </w:r>
      <w:r w:rsidRPr="001302B9">
        <w:rPr>
          <w:lang w:val="fr-FR"/>
        </w:rPr>
        <w:t>il</w:t>
      </w:r>
      <w:r>
        <w:rPr>
          <w:lang w:val="fr-FR"/>
        </w:rPr>
        <w:t xml:space="preserve"> </w:t>
      </w:r>
      <w:r w:rsidRPr="001302B9">
        <w:rPr>
          <w:lang w:val="fr-FR"/>
        </w:rPr>
        <w:t>se</w:t>
      </w:r>
      <w:r>
        <w:rPr>
          <w:lang w:val="fr-FR"/>
        </w:rPr>
        <w:t xml:space="preserve"> </w:t>
      </w:r>
      <w:r w:rsidRPr="001302B9">
        <w:rPr>
          <w:lang w:val="fr-FR"/>
        </w:rPr>
        <w:t>félicite</w:t>
      </w:r>
      <w:r>
        <w:rPr>
          <w:lang w:val="fr-FR"/>
        </w:rPr>
        <w:t xml:space="preserve"> </w:t>
      </w:r>
      <w:r w:rsidRPr="001302B9">
        <w:rPr>
          <w:lang w:val="fr-FR"/>
        </w:rPr>
        <w:t>que</w:t>
      </w:r>
      <w:r>
        <w:rPr>
          <w:lang w:val="fr-FR"/>
        </w:rPr>
        <w:t xml:space="preserve"> </w:t>
      </w:r>
      <w:r w:rsidRPr="001302B9">
        <w:rPr>
          <w:lang w:val="fr-FR"/>
        </w:rPr>
        <w:t>le</w:t>
      </w:r>
      <w:r>
        <w:rPr>
          <w:lang w:val="fr-FR"/>
        </w:rPr>
        <w:t xml:space="preserve"> </w:t>
      </w:r>
      <w:r w:rsidRPr="001302B9">
        <w:rPr>
          <w:lang w:val="fr-FR"/>
        </w:rPr>
        <w:t>Groupe</w:t>
      </w:r>
      <w:r>
        <w:rPr>
          <w:lang w:val="fr-FR"/>
        </w:rPr>
        <w:t xml:space="preserve"> </w:t>
      </w:r>
      <w:r w:rsidRPr="001302B9">
        <w:rPr>
          <w:lang w:val="fr-FR"/>
        </w:rPr>
        <w:t>de</w:t>
      </w:r>
      <w:r>
        <w:rPr>
          <w:lang w:val="fr-FR"/>
        </w:rPr>
        <w:t xml:space="preserve"> </w:t>
      </w:r>
      <w:r w:rsidRPr="001302B9">
        <w:rPr>
          <w:lang w:val="fr-FR"/>
        </w:rPr>
        <w:t>travail</w:t>
      </w:r>
      <w:r>
        <w:rPr>
          <w:lang w:val="fr-FR"/>
        </w:rPr>
        <w:t xml:space="preserve"> </w:t>
      </w:r>
      <w:r w:rsidRPr="001302B9">
        <w:rPr>
          <w:lang w:val="fr-FR"/>
        </w:rPr>
        <w:t>sur</w:t>
      </w:r>
      <w:r>
        <w:rPr>
          <w:lang w:val="fr-FR"/>
        </w:rPr>
        <w:t xml:space="preserve"> </w:t>
      </w:r>
      <w:r w:rsidRPr="001302B9">
        <w:rPr>
          <w:lang w:val="fr-FR"/>
        </w:rPr>
        <w:t>les</w:t>
      </w:r>
      <w:r>
        <w:rPr>
          <w:lang w:val="fr-FR"/>
        </w:rPr>
        <w:t xml:space="preserve"> </w:t>
      </w:r>
      <w:r w:rsidRPr="001302B9">
        <w:rPr>
          <w:lang w:val="fr-FR"/>
        </w:rPr>
        <w:t>disparitions</w:t>
      </w:r>
      <w:r>
        <w:rPr>
          <w:lang w:val="fr-FR"/>
        </w:rPr>
        <w:t xml:space="preserve"> </w:t>
      </w:r>
      <w:r w:rsidRPr="001302B9">
        <w:rPr>
          <w:lang w:val="fr-FR"/>
        </w:rPr>
        <w:t>forcées</w:t>
      </w:r>
      <w:r>
        <w:rPr>
          <w:lang w:val="fr-FR"/>
        </w:rPr>
        <w:t xml:space="preserve"> </w:t>
      </w:r>
      <w:r w:rsidRPr="001302B9">
        <w:rPr>
          <w:lang w:val="fr-FR"/>
        </w:rPr>
        <w:t>ou</w:t>
      </w:r>
      <w:r>
        <w:rPr>
          <w:lang w:val="fr-FR"/>
        </w:rPr>
        <w:t xml:space="preserve"> </w:t>
      </w:r>
      <w:r w:rsidRPr="001302B9">
        <w:rPr>
          <w:lang w:val="fr-FR"/>
        </w:rPr>
        <w:t>involontaires,</w:t>
      </w:r>
      <w:r>
        <w:rPr>
          <w:lang w:val="fr-FR"/>
        </w:rPr>
        <w:t xml:space="preserve"> </w:t>
      </w:r>
      <w:r w:rsidRPr="001302B9">
        <w:rPr>
          <w:lang w:val="fr-FR"/>
        </w:rPr>
        <w:t>dont</w:t>
      </w:r>
      <w:r>
        <w:rPr>
          <w:lang w:val="fr-FR"/>
        </w:rPr>
        <w:t xml:space="preserve"> </w:t>
      </w:r>
      <w:r w:rsidRPr="001302B9">
        <w:rPr>
          <w:lang w:val="fr-FR"/>
        </w:rPr>
        <w:t>il</w:t>
      </w:r>
      <w:r>
        <w:rPr>
          <w:lang w:val="fr-FR"/>
        </w:rPr>
        <w:t xml:space="preserve"> </w:t>
      </w:r>
      <w:r w:rsidRPr="001302B9">
        <w:rPr>
          <w:lang w:val="fr-FR"/>
        </w:rPr>
        <w:t>a</w:t>
      </w:r>
      <w:r>
        <w:rPr>
          <w:lang w:val="fr-FR"/>
        </w:rPr>
        <w:t xml:space="preserve"> </w:t>
      </w:r>
      <w:r w:rsidRPr="001302B9">
        <w:rPr>
          <w:lang w:val="fr-FR"/>
        </w:rPr>
        <w:t>pris</w:t>
      </w:r>
      <w:r>
        <w:rPr>
          <w:lang w:val="fr-FR"/>
        </w:rPr>
        <w:t xml:space="preserve"> </w:t>
      </w:r>
      <w:r w:rsidRPr="001302B9">
        <w:rPr>
          <w:lang w:val="fr-FR"/>
        </w:rPr>
        <w:t>connaissance</w:t>
      </w:r>
      <w:r>
        <w:rPr>
          <w:lang w:val="fr-FR"/>
        </w:rPr>
        <w:t xml:space="preserve"> </w:t>
      </w:r>
      <w:r w:rsidRPr="001302B9">
        <w:rPr>
          <w:lang w:val="fr-FR"/>
        </w:rPr>
        <w:t>des</w:t>
      </w:r>
      <w:r>
        <w:rPr>
          <w:lang w:val="fr-FR"/>
        </w:rPr>
        <w:t xml:space="preserve"> </w:t>
      </w:r>
      <w:r w:rsidRPr="001302B9">
        <w:rPr>
          <w:lang w:val="fr-FR"/>
        </w:rPr>
        <w:t>observations</w:t>
      </w:r>
      <w:r>
        <w:rPr>
          <w:lang w:val="fr-FR"/>
        </w:rPr>
        <w:t xml:space="preserve"> </w:t>
      </w:r>
      <w:r w:rsidRPr="001302B9">
        <w:rPr>
          <w:lang w:val="fr-FR"/>
        </w:rPr>
        <w:t>préliminaires</w:t>
      </w:r>
      <w:r>
        <w:rPr>
          <w:lang w:val="fr-FR"/>
        </w:rPr>
        <w:t xml:space="preserve"> </w:t>
      </w:r>
      <w:r w:rsidRPr="001302B9">
        <w:rPr>
          <w:lang w:val="fr-FR"/>
        </w:rPr>
        <w:t>avec</w:t>
      </w:r>
      <w:r>
        <w:rPr>
          <w:lang w:val="fr-FR"/>
        </w:rPr>
        <w:t xml:space="preserve"> </w:t>
      </w:r>
      <w:r w:rsidRPr="001302B9">
        <w:rPr>
          <w:lang w:val="fr-FR"/>
        </w:rPr>
        <w:t>intérêt,</w:t>
      </w:r>
      <w:r>
        <w:rPr>
          <w:lang w:val="fr-FR"/>
        </w:rPr>
        <w:t xml:space="preserve"> </w:t>
      </w:r>
      <w:r w:rsidRPr="001302B9">
        <w:rPr>
          <w:lang w:val="fr-FR"/>
        </w:rPr>
        <w:t>se</w:t>
      </w:r>
      <w:r>
        <w:rPr>
          <w:lang w:val="fr-FR"/>
        </w:rPr>
        <w:t xml:space="preserve"> </w:t>
      </w:r>
      <w:r w:rsidRPr="001302B9">
        <w:rPr>
          <w:lang w:val="fr-FR"/>
        </w:rPr>
        <w:t>soit</w:t>
      </w:r>
      <w:r>
        <w:rPr>
          <w:lang w:val="fr-FR"/>
        </w:rPr>
        <w:t xml:space="preserve"> </w:t>
      </w:r>
      <w:r w:rsidRPr="001302B9">
        <w:rPr>
          <w:lang w:val="fr-FR"/>
        </w:rPr>
        <w:t>récemment</w:t>
      </w:r>
      <w:r>
        <w:rPr>
          <w:lang w:val="fr-FR"/>
        </w:rPr>
        <w:t xml:space="preserve"> </w:t>
      </w:r>
      <w:r w:rsidRPr="001302B9">
        <w:rPr>
          <w:lang w:val="fr-FR"/>
        </w:rPr>
        <w:t>rendu</w:t>
      </w:r>
      <w:r>
        <w:rPr>
          <w:lang w:val="fr-FR"/>
        </w:rPr>
        <w:t xml:space="preserve"> </w:t>
      </w:r>
      <w:r w:rsidRPr="001302B9">
        <w:rPr>
          <w:lang w:val="fr-FR"/>
        </w:rPr>
        <w:t>en</w:t>
      </w:r>
      <w:r>
        <w:rPr>
          <w:lang w:val="fr-FR"/>
        </w:rPr>
        <w:t xml:space="preserve"> </w:t>
      </w:r>
      <w:r w:rsidRPr="001302B9">
        <w:rPr>
          <w:lang w:val="fr-FR"/>
        </w:rPr>
        <w:t>Uruguay,</w:t>
      </w:r>
      <w:r>
        <w:rPr>
          <w:lang w:val="fr-FR"/>
        </w:rPr>
        <w:t xml:space="preserve"> </w:t>
      </w:r>
      <w:r w:rsidRPr="001302B9">
        <w:rPr>
          <w:lang w:val="fr-FR"/>
        </w:rPr>
        <w:t>et</w:t>
      </w:r>
      <w:r>
        <w:rPr>
          <w:lang w:val="fr-FR"/>
        </w:rPr>
        <w:t xml:space="preserve"> </w:t>
      </w:r>
      <w:r w:rsidRPr="001302B9">
        <w:rPr>
          <w:lang w:val="fr-FR"/>
        </w:rPr>
        <w:t>encourage</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à</w:t>
      </w:r>
      <w:r>
        <w:rPr>
          <w:lang w:val="fr-FR"/>
        </w:rPr>
        <w:t xml:space="preserve"> </w:t>
      </w:r>
      <w:r w:rsidRPr="001302B9">
        <w:rPr>
          <w:lang w:val="fr-FR"/>
        </w:rPr>
        <w:t>continuer</w:t>
      </w:r>
      <w:r>
        <w:rPr>
          <w:lang w:val="fr-FR"/>
        </w:rPr>
        <w:t xml:space="preserve"> </w:t>
      </w:r>
      <w:r w:rsidRPr="001302B9">
        <w:rPr>
          <w:lang w:val="fr-FR"/>
        </w:rPr>
        <w:t>de</w:t>
      </w:r>
      <w:r>
        <w:rPr>
          <w:lang w:val="fr-FR"/>
        </w:rPr>
        <w:t xml:space="preserve"> </w:t>
      </w:r>
      <w:r w:rsidRPr="001302B9">
        <w:rPr>
          <w:lang w:val="fr-FR"/>
        </w:rPr>
        <w:t>coopérer</w:t>
      </w:r>
      <w:r>
        <w:rPr>
          <w:lang w:val="fr-FR"/>
        </w:rPr>
        <w:t xml:space="preserve"> </w:t>
      </w:r>
      <w:r w:rsidRPr="001302B9">
        <w:rPr>
          <w:lang w:val="fr-FR"/>
        </w:rPr>
        <w:t>avec</w:t>
      </w:r>
      <w:r>
        <w:rPr>
          <w:lang w:val="fr-FR"/>
        </w:rPr>
        <w:t xml:space="preserve"> </w:t>
      </w:r>
      <w:r w:rsidRPr="001302B9">
        <w:rPr>
          <w:lang w:val="fr-FR"/>
        </w:rPr>
        <w:t>ce</w:t>
      </w:r>
      <w:r>
        <w:rPr>
          <w:lang w:val="fr-FR"/>
        </w:rPr>
        <w:t xml:space="preserve"> </w:t>
      </w:r>
      <w:r w:rsidRPr="001302B9">
        <w:rPr>
          <w:lang w:val="fr-FR"/>
        </w:rPr>
        <w:t>mécanisme</w:t>
      </w:r>
      <w:r>
        <w:rPr>
          <w:lang w:val="fr-FR"/>
        </w:rPr>
        <w:t xml:space="preserve"> </w:t>
      </w:r>
      <w:r w:rsidRPr="001302B9">
        <w:rPr>
          <w:lang w:val="fr-FR"/>
        </w:rPr>
        <w:t>dans</w:t>
      </w:r>
      <w:r>
        <w:rPr>
          <w:lang w:val="fr-FR"/>
        </w:rPr>
        <w:t xml:space="preserve"> </w:t>
      </w:r>
      <w:r w:rsidRPr="001302B9">
        <w:rPr>
          <w:lang w:val="fr-FR"/>
        </w:rPr>
        <w:t>le</w:t>
      </w:r>
      <w:r>
        <w:rPr>
          <w:lang w:val="fr-FR"/>
        </w:rPr>
        <w:t xml:space="preserve"> </w:t>
      </w:r>
      <w:r w:rsidRPr="001302B9">
        <w:rPr>
          <w:lang w:val="fr-FR"/>
        </w:rPr>
        <w:t>cadre</w:t>
      </w:r>
      <w:r>
        <w:rPr>
          <w:lang w:val="fr-FR"/>
        </w:rPr>
        <w:t xml:space="preserve"> </w:t>
      </w:r>
      <w:r w:rsidRPr="001302B9">
        <w:rPr>
          <w:lang w:val="fr-FR"/>
        </w:rPr>
        <w:t>de</w:t>
      </w:r>
      <w:r>
        <w:rPr>
          <w:lang w:val="fr-FR"/>
        </w:rPr>
        <w:t xml:space="preserve"> </w:t>
      </w:r>
      <w:r w:rsidRPr="001302B9">
        <w:rPr>
          <w:lang w:val="fr-FR"/>
        </w:rPr>
        <w:t>son</w:t>
      </w:r>
      <w:r>
        <w:rPr>
          <w:lang w:val="fr-FR"/>
        </w:rPr>
        <w:t xml:space="preserve"> </w:t>
      </w:r>
      <w:r w:rsidRPr="001302B9">
        <w:rPr>
          <w:lang w:val="fr-FR"/>
        </w:rPr>
        <w:t>mandat.</w:t>
      </w:r>
    </w:p>
    <w:p w14:paraId="0D3A3AB8" w14:textId="77777777" w:rsidR="003F0CA1" w:rsidRPr="001302B9" w:rsidRDefault="003F0CA1" w:rsidP="003F0CA1">
      <w:pPr>
        <w:pStyle w:val="H1G"/>
        <w:rPr>
          <w:lang w:val="fr-FR"/>
        </w:rPr>
      </w:pPr>
      <w:r w:rsidRPr="001302B9">
        <w:rPr>
          <w:lang w:val="fr-FR"/>
        </w:rPr>
        <w:tab/>
        <w:t>C.</w:t>
      </w:r>
      <w:r w:rsidRPr="001302B9">
        <w:rPr>
          <w:lang w:val="fr-FR"/>
        </w:rPr>
        <w:tab/>
        <w:t>Mise</w:t>
      </w:r>
      <w:r>
        <w:rPr>
          <w:lang w:val="fr-FR"/>
        </w:rPr>
        <w:t xml:space="preserve"> </w:t>
      </w:r>
      <w:r w:rsidRPr="001302B9">
        <w:rPr>
          <w:lang w:val="fr-FR"/>
        </w:rPr>
        <w:t>en</w:t>
      </w:r>
      <w:r>
        <w:rPr>
          <w:lang w:val="fr-FR"/>
        </w:rPr>
        <w:t xml:space="preserve"> </w:t>
      </w:r>
      <w:r w:rsidRPr="001302B9">
        <w:rPr>
          <w:lang w:val="fr-FR"/>
        </w:rPr>
        <w:t>application</w:t>
      </w:r>
      <w:r>
        <w:rPr>
          <w:lang w:val="fr-FR"/>
        </w:rPr>
        <w:t xml:space="preserve"> </w:t>
      </w:r>
      <w:r w:rsidRPr="001302B9">
        <w:rPr>
          <w:lang w:val="fr-FR"/>
        </w:rPr>
        <w:t>des</w:t>
      </w:r>
      <w:r>
        <w:rPr>
          <w:lang w:val="fr-FR"/>
        </w:rPr>
        <w:t xml:space="preserve"> </w:t>
      </w:r>
      <w:r w:rsidRPr="001302B9">
        <w:rPr>
          <w:lang w:val="fr-FR"/>
        </w:rPr>
        <w:t>recommandations</w:t>
      </w:r>
      <w:r>
        <w:rPr>
          <w:lang w:val="fr-FR"/>
        </w:rPr>
        <w:t xml:space="preserve"> </w:t>
      </w:r>
      <w:r w:rsidRPr="001302B9">
        <w:rPr>
          <w:lang w:val="fr-FR"/>
        </w:rPr>
        <w:t>du</w:t>
      </w:r>
      <w:r>
        <w:rPr>
          <w:lang w:val="fr-FR"/>
        </w:rPr>
        <w:t xml:space="preserve"> </w:t>
      </w:r>
      <w:r w:rsidRPr="001302B9">
        <w:rPr>
          <w:lang w:val="fr-FR"/>
        </w:rPr>
        <w:t>Comité</w:t>
      </w:r>
      <w:r>
        <w:rPr>
          <w:lang w:val="fr-FR"/>
        </w:rPr>
        <w:t xml:space="preserve"> </w:t>
      </w:r>
      <w:r w:rsidRPr="001302B9">
        <w:rPr>
          <w:lang w:val="fr-FR"/>
        </w:rPr>
        <w:t>et</w:t>
      </w:r>
      <w:r>
        <w:rPr>
          <w:lang w:val="fr-FR"/>
        </w:rPr>
        <w:t xml:space="preserve"> </w:t>
      </w:r>
      <w:r w:rsidRPr="001302B9">
        <w:rPr>
          <w:lang w:val="fr-FR"/>
        </w:rPr>
        <w:t>faits</w:t>
      </w:r>
      <w:r>
        <w:rPr>
          <w:lang w:val="fr-FR"/>
        </w:rPr>
        <w:t xml:space="preserve"> </w:t>
      </w:r>
      <w:r w:rsidRPr="001302B9">
        <w:rPr>
          <w:lang w:val="fr-FR"/>
        </w:rPr>
        <w:t>nouveaux</w:t>
      </w:r>
      <w:r>
        <w:rPr>
          <w:lang w:val="fr-FR"/>
        </w:rPr>
        <w:t xml:space="preserve"> </w:t>
      </w:r>
      <w:r w:rsidRPr="001302B9">
        <w:rPr>
          <w:lang w:val="fr-FR"/>
        </w:rPr>
        <w:t>survenus</w:t>
      </w:r>
      <w:r>
        <w:rPr>
          <w:lang w:val="fr-FR"/>
        </w:rPr>
        <w:t xml:space="preserve"> </w:t>
      </w:r>
      <w:r w:rsidRPr="001302B9">
        <w:rPr>
          <w:lang w:val="fr-FR"/>
        </w:rPr>
        <w:t>dans</w:t>
      </w:r>
      <w:r>
        <w:rPr>
          <w:lang w:val="fr-FR"/>
        </w:rPr>
        <w:t xml:space="preserve"> </w:t>
      </w:r>
      <w:r w:rsidRPr="001302B9">
        <w:rPr>
          <w:lang w:val="fr-FR"/>
        </w:rPr>
        <w:t>l’État</w:t>
      </w:r>
      <w:r>
        <w:rPr>
          <w:lang w:val="fr-FR"/>
        </w:rPr>
        <w:t xml:space="preserve"> </w:t>
      </w:r>
      <w:r w:rsidRPr="001302B9">
        <w:rPr>
          <w:lang w:val="fr-FR"/>
        </w:rPr>
        <w:t>partie</w:t>
      </w:r>
    </w:p>
    <w:p w14:paraId="0DEB595F" w14:textId="77777777" w:rsidR="003F0CA1" w:rsidRPr="001302B9" w:rsidRDefault="003F0CA1" w:rsidP="003F0CA1">
      <w:pPr>
        <w:pStyle w:val="H23G"/>
        <w:rPr>
          <w:lang w:val="fr-FR"/>
        </w:rPr>
      </w:pPr>
      <w:r w:rsidRPr="001302B9">
        <w:rPr>
          <w:lang w:val="fr-FR"/>
        </w:rPr>
        <w:tab/>
        <w:t>1.</w:t>
      </w:r>
      <w:r w:rsidRPr="001302B9">
        <w:rPr>
          <w:lang w:val="fr-FR"/>
        </w:rPr>
        <w:tab/>
        <w:t>Renseignements</w:t>
      </w:r>
      <w:r>
        <w:rPr>
          <w:lang w:val="fr-FR"/>
        </w:rPr>
        <w:t xml:space="preserve"> </w:t>
      </w:r>
      <w:r w:rsidRPr="001302B9">
        <w:rPr>
          <w:lang w:val="fr-FR"/>
        </w:rPr>
        <w:t>d’ordre</w:t>
      </w:r>
      <w:r>
        <w:rPr>
          <w:lang w:val="fr-FR"/>
        </w:rPr>
        <w:t xml:space="preserve"> </w:t>
      </w:r>
      <w:r w:rsidRPr="001302B9">
        <w:rPr>
          <w:lang w:val="fr-FR"/>
        </w:rPr>
        <w:t>général</w:t>
      </w:r>
    </w:p>
    <w:p w14:paraId="18D051A7" w14:textId="77777777" w:rsidR="003F0CA1" w:rsidRDefault="003F0CA1" w:rsidP="003F0CA1">
      <w:pPr>
        <w:pStyle w:val="SingleTxtG"/>
        <w:rPr>
          <w:lang w:val="fr-FR"/>
        </w:rPr>
      </w:pPr>
      <w:r w:rsidRPr="001302B9">
        <w:rPr>
          <w:lang w:val="fr-FR"/>
        </w:rPr>
        <w:t>5.</w:t>
      </w:r>
      <w:r w:rsidRPr="001302B9">
        <w:rPr>
          <w:lang w:val="fr-FR"/>
        </w:rPr>
        <w:tab/>
        <w:t>Le</w:t>
      </w:r>
      <w:r>
        <w:rPr>
          <w:lang w:val="fr-FR"/>
        </w:rPr>
        <w:t xml:space="preserve"> </w:t>
      </w:r>
      <w:r w:rsidRPr="001302B9">
        <w:rPr>
          <w:lang w:val="fr-FR"/>
        </w:rPr>
        <w:t>Comité</w:t>
      </w:r>
      <w:r>
        <w:rPr>
          <w:lang w:val="fr-FR"/>
        </w:rPr>
        <w:t xml:space="preserve"> </w:t>
      </w:r>
      <w:r w:rsidRPr="001302B9">
        <w:rPr>
          <w:lang w:val="fr-FR"/>
        </w:rPr>
        <w:t>se</w:t>
      </w:r>
      <w:r>
        <w:rPr>
          <w:lang w:val="fr-FR"/>
        </w:rPr>
        <w:t xml:space="preserve"> </w:t>
      </w:r>
      <w:r w:rsidRPr="001302B9">
        <w:rPr>
          <w:lang w:val="fr-FR"/>
        </w:rPr>
        <w:t>félicite</w:t>
      </w:r>
      <w:r>
        <w:rPr>
          <w:lang w:val="fr-FR"/>
        </w:rPr>
        <w:t xml:space="preserve"> </w:t>
      </w:r>
      <w:r w:rsidRPr="001302B9">
        <w:rPr>
          <w:lang w:val="fr-FR"/>
        </w:rPr>
        <w:t>des</w:t>
      </w:r>
      <w:r>
        <w:rPr>
          <w:lang w:val="fr-FR"/>
        </w:rPr>
        <w:t xml:space="preserve"> </w:t>
      </w:r>
      <w:r w:rsidRPr="001302B9">
        <w:rPr>
          <w:lang w:val="fr-FR"/>
        </w:rPr>
        <w:t>différentes</w:t>
      </w:r>
      <w:r>
        <w:rPr>
          <w:lang w:val="fr-FR"/>
        </w:rPr>
        <w:t xml:space="preserve"> </w:t>
      </w:r>
      <w:r w:rsidRPr="001302B9">
        <w:rPr>
          <w:lang w:val="fr-FR"/>
        </w:rPr>
        <w:t>mesures</w:t>
      </w:r>
      <w:r>
        <w:rPr>
          <w:lang w:val="fr-FR"/>
        </w:rPr>
        <w:t xml:space="preserve"> </w:t>
      </w:r>
      <w:r w:rsidRPr="001302B9">
        <w:rPr>
          <w:lang w:val="fr-FR"/>
        </w:rPr>
        <w:t>que</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a</w:t>
      </w:r>
      <w:r>
        <w:rPr>
          <w:lang w:val="fr-FR"/>
        </w:rPr>
        <w:t xml:space="preserve"> </w:t>
      </w:r>
      <w:r w:rsidRPr="001302B9">
        <w:rPr>
          <w:lang w:val="fr-FR"/>
        </w:rPr>
        <w:t>prises</w:t>
      </w:r>
      <w:r>
        <w:rPr>
          <w:lang w:val="fr-FR"/>
        </w:rPr>
        <w:t xml:space="preserve"> </w:t>
      </w:r>
      <w:r w:rsidRPr="001302B9">
        <w:rPr>
          <w:lang w:val="fr-FR"/>
        </w:rPr>
        <w:t>depuis</w:t>
      </w:r>
      <w:r>
        <w:rPr>
          <w:lang w:val="fr-FR"/>
        </w:rPr>
        <w:t xml:space="preserve"> </w:t>
      </w:r>
      <w:r w:rsidRPr="001302B9">
        <w:rPr>
          <w:lang w:val="fr-FR"/>
        </w:rPr>
        <w:t>ses</w:t>
      </w:r>
      <w:r>
        <w:rPr>
          <w:lang w:val="fr-FR"/>
        </w:rPr>
        <w:t xml:space="preserve"> </w:t>
      </w:r>
      <w:r w:rsidRPr="001302B9">
        <w:rPr>
          <w:lang w:val="fr-FR"/>
        </w:rPr>
        <w:t>précédentes</w:t>
      </w:r>
      <w:r>
        <w:rPr>
          <w:lang w:val="fr-FR"/>
        </w:rPr>
        <w:t xml:space="preserve"> </w:t>
      </w:r>
      <w:r w:rsidRPr="001302B9">
        <w:rPr>
          <w:lang w:val="fr-FR"/>
        </w:rPr>
        <w:t>observations</w:t>
      </w:r>
      <w:r>
        <w:rPr>
          <w:lang w:val="fr-FR"/>
        </w:rPr>
        <w:t xml:space="preserve"> </w:t>
      </w:r>
      <w:r w:rsidRPr="001302B9">
        <w:rPr>
          <w:lang w:val="fr-FR"/>
        </w:rPr>
        <w:t>finales</w:t>
      </w:r>
      <w:r>
        <w:rPr>
          <w:lang w:val="fr-FR"/>
        </w:rPr>
        <w:t xml:space="preserve"> </w:t>
      </w:r>
      <w:r w:rsidRPr="001302B9">
        <w:rPr>
          <w:lang w:val="fr-FR"/>
        </w:rPr>
        <w:t>en</w:t>
      </w:r>
      <w:r>
        <w:rPr>
          <w:lang w:val="fr-FR"/>
        </w:rPr>
        <w:t xml:space="preserve"> </w:t>
      </w:r>
      <w:r w:rsidRPr="001302B9">
        <w:rPr>
          <w:lang w:val="fr-FR"/>
        </w:rPr>
        <w:t>ce</w:t>
      </w:r>
      <w:r>
        <w:rPr>
          <w:lang w:val="fr-FR"/>
        </w:rPr>
        <w:t xml:space="preserve"> </w:t>
      </w:r>
      <w:r w:rsidRPr="001302B9">
        <w:rPr>
          <w:lang w:val="fr-FR"/>
        </w:rPr>
        <w:t>qui</w:t>
      </w:r>
      <w:r>
        <w:rPr>
          <w:lang w:val="fr-FR"/>
        </w:rPr>
        <w:t xml:space="preserve"> </w:t>
      </w:r>
      <w:r w:rsidRPr="001302B9">
        <w:rPr>
          <w:lang w:val="fr-FR"/>
        </w:rPr>
        <w:t>concerne</w:t>
      </w:r>
      <w:r>
        <w:rPr>
          <w:lang w:val="fr-FR"/>
        </w:rPr>
        <w:t xml:space="preserve"> </w:t>
      </w:r>
      <w:r w:rsidRPr="001302B9">
        <w:rPr>
          <w:lang w:val="fr-FR"/>
        </w:rPr>
        <w:t>la</w:t>
      </w:r>
      <w:r>
        <w:rPr>
          <w:lang w:val="fr-FR"/>
        </w:rPr>
        <w:t xml:space="preserve"> </w:t>
      </w:r>
      <w:r w:rsidRPr="001302B9">
        <w:rPr>
          <w:lang w:val="fr-FR"/>
        </w:rPr>
        <w:t>justice,</w:t>
      </w:r>
      <w:r>
        <w:rPr>
          <w:lang w:val="fr-FR"/>
        </w:rPr>
        <w:t xml:space="preserve"> </w:t>
      </w:r>
      <w:r w:rsidRPr="001302B9">
        <w:rPr>
          <w:lang w:val="fr-FR"/>
        </w:rPr>
        <w:t>la</w:t>
      </w:r>
      <w:r>
        <w:rPr>
          <w:lang w:val="fr-FR"/>
        </w:rPr>
        <w:t xml:space="preserve"> </w:t>
      </w:r>
      <w:r w:rsidRPr="001302B9">
        <w:rPr>
          <w:lang w:val="fr-FR"/>
        </w:rPr>
        <w:t>vérité</w:t>
      </w:r>
      <w:r>
        <w:rPr>
          <w:lang w:val="fr-FR"/>
        </w:rPr>
        <w:t xml:space="preserve"> </w:t>
      </w:r>
      <w:r w:rsidRPr="001302B9">
        <w:rPr>
          <w:lang w:val="fr-FR"/>
        </w:rPr>
        <w:t>et</w:t>
      </w:r>
      <w:r>
        <w:rPr>
          <w:lang w:val="fr-FR"/>
        </w:rPr>
        <w:t xml:space="preserve"> </w:t>
      </w:r>
      <w:r w:rsidRPr="001302B9">
        <w:rPr>
          <w:lang w:val="fr-FR"/>
        </w:rPr>
        <w:t>la</w:t>
      </w:r>
      <w:r>
        <w:rPr>
          <w:lang w:val="fr-FR"/>
        </w:rPr>
        <w:t xml:space="preserve"> </w:t>
      </w:r>
      <w:r w:rsidRPr="001302B9">
        <w:rPr>
          <w:lang w:val="fr-FR"/>
        </w:rPr>
        <w:t>réparation.</w:t>
      </w:r>
      <w:r>
        <w:rPr>
          <w:lang w:val="fr-FR"/>
        </w:rPr>
        <w:t xml:space="preserve"> </w:t>
      </w:r>
      <w:r w:rsidRPr="001302B9">
        <w:rPr>
          <w:lang w:val="fr-FR"/>
        </w:rPr>
        <w:t>Toutefois,</w:t>
      </w:r>
      <w:r>
        <w:rPr>
          <w:lang w:val="fr-FR"/>
        </w:rPr>
        <w:t xml:space="preserve"> </w:t>
      </w:r>
      <w:r w:rsidRPr="001302B9">
        <w:rPr>
          <w:lang w:val="fr-FR"/>
        </w:rPr>
        <w:t>il</w:t>
      </w:r>
      <w:r>
        <w:rPr>
          <w:lang w:val="fr-FR"/>
        </w:rPr>
        <w:t xml:space="preserve"> </w:t>
      </w:r>
      <w:r w:rsidRPr="001302B9">
        <w:rPr>
          <w:lang w:val="fr-FR"/>
        </w:rPr>
        <w:t>estime</w:t>
      </w:r>
      <w:r>
        <w:rPr>
          <w:lang w:val="fr-FR"/>
        </w:rPr>
        <w:t xml:space="preserve"> </w:t>
      </w:r>
      <w:r w:rsidRPr="001302B9">
        <w:rPr>
          <w:lang w:val="fr-FR"/>
        </w:rPr>
        <w:t>que</w:t>
      </w:r>
      <w:r>
        <w:rPr>
          <w:lang w:val="fr-FR"/>
        </w:rPr>
        <w:t xml:space="preserve"> </w:t>
      </w:r>
      <w:r w:rsidRPr="001302B9">
        <w:rPr>
          <w:lang w:val="fr-FR"/>
        </w:rPr>
        <w:t>le</w:t>
      </w:r>
      <w:r>
        <w:rPr>
          <w:lang w:val="fr-FR"/>
        </w:rPr>
        <w:t xml:space="preserve"> </w:t>
      </w:r>
      <w:r w:rsidRPr="001302B9">
        <w:rPr>
          <w:lang w:val="fr-FR"/>
        </w:rPr>
        <w:t>contenu</w:t>
      </w:r>
      <w:r>
        <w:rPr>
          <w:lang w:val="fr-FR"/>
        </w:rPr>
        <w:t xml:space="preserve"> </w:t>
      </w:r>
      <w:r w:rsidRPr="001302B9">
        <w:rPr>
          <w:lang w:val="fr-FR"/>
        </w:rPr>
        <w:t>et</w:t>
      </w:r>
      <w:r>
        <w:rPr>
          <w:lang w:val="fr-FR"/>
        </w:rPr>
        <w:t xml:space="preserve"> </w:t>
      </w:r>
      <w:r w:rsidRPr="001302B9">
        <w:rPr>
          <w:lang w:val="fr-FR"/>
        </w:rPr>
        <w:t>l’application</w:t>
      </w:r>
      <w:r>
        <w:rPr>
          <w:lang w:val="fr-FR"/>
        </w:rPr>
        <w:t xml:space="preserve"> </w:t>
      </w:r>
      <w:r w:rsidRPr="001302B9">
        <w:rPr>
          <w:lang w:val="fr-FR"/>
        </w:rPr>
        <w:t>du</w:t>
      </w:r>
      <w:r>
        <w:rPr>
          <w:lang w:val="fr-FR"/>
        </w:rPr>
        <w:t xml:space="preserve"> </w:t>
      </w:r>
      <w:r w:rsidRPr="001302B9">
        <w:rPr>
          <w:lang w:val="fr-FR"/>
        </w:rPr>
        <w:t>cadre</w:t>
      </w:r>
      <w:r>
        <w:rPr>
          <w:lang w:val="fr-FR"/>
        </w:rPr>
        <w:t xml:space="preserve"> </w:t>
      </w:r>
      <w:r w:rsidRPr="001302B9">
        <w:rPr>
          <w:lang w:val="fr-FR"/>
        </w:rPr>
        <w:t>normatif</w:t>
      </w:r>
      <w:r>
        <w:rPr>
          <w:lang w:val="fr-FR"/>
        </w:rPr>
        <w:t xml:space="preserve"> </w:t>
      </w:r>
      <w:r w:rsidRPr="001302B9">
        <w:rPr>
          <w:lang w:val="fr-FR"/>
        </w:rPr>
        <w:t>en</w:t>
      </w:r>
      <w:r>
        <w:rPr>
          <w:lang w:val="fr-FR"/>
        </w:rPr>
        <w:t xml:space="preserve"> </w:t>
      </w:r>
      <w:r w:rsidRPr="001302B9">
        <w:rPr>
          <w:lang w:val="fr-FR"/>
        </w:rPr>
        <w:t>vigueur</w:t>
      </w:r>
      <w:r>
        <w:rPr>
          <w:lang w:val="fr-FR"/>
        </w:rPr>
        <w:t xml:space="preserve"> </w:t>
      </w:r>
      <w:r w:rsidRPr="001302B9">
        <w:rPr>
          <w:lang w:val="fr-FR"/>
        </w:rPr>
        <w:t>ne</w:t>
      </w:r>
      <w:r>
        <w:rPr>
          <w:lang w:val="fr-FR"/>
        </w:rPr>
        <w:t xml:space="preserve"> </w:t>
      </w:r>
      <w:r w:rsidRPr="001302B9">
        <w:rPr>
          <w:lang w:val="fr-FR"/>
        </w:rPr>
        <w:t>sont</w:t>
      </w:r>
      <w:r>
        <w:rPr>
          <w:lang w:val="fr-FR"/>
        </w:rPr>
        <w:t xml:space="preserve"> </w:t>
      </w:r>
      <w:r w:rsidRPr="001302B9">
        <w:rPr>
          <w:lang w:val="fr-FR"/>
        </w:rPr>
        <w:t>toujours</w:t>
      </w:r>
      <w:r>
        <w:rPr>
          <w:lang w:val="fr-FR"/>
        </w:rPr>
        <w:t xml:space="preserve"> </w:t>
      </w:r>
      <w:r w:rsidRPr="001302B9">
        <w:rPr>
          <w:lang w:val="fr-FR"/>
        </w:rPr>
        <w:t>pas</w:t>
      </w:r>
      <w:r>
        <w:rPr>
          <w:lang w:val="fr-FR"/>
        </w:rPr>
        <w:t xml:space="preserve"> </w:t>
      </w:r>
      <w:r w:rsidRPr="001302B9">
        <w:rPr>
          <w:lang w:val="fr-FR"/>
        </w:rPr>
        <w:t>pleinement</w:t>
      </w:r>
      <w:r>
        <w:rPr>
          <w:lang w:val="fr-FR"/>
        </w:rPr>
        <w:t xml:space="preserve"> </w:t>
      </w:r>
      <w:r w:rsidRPr="001302B9">
        <w:rPr>
          <w:lang w:val="fr-FR"/>
        </w:rPr>
        <w:t>conformes</w:t>
      </w:r>
      <w:r>
        <w:rPr>
          <w:lang w:val="fr-FR"/>
        </w:rPr>
        <w:t xml:space="preserve"> </w:t>
      </w:r>
      <w:r w:rsidRPr="001302B9">
        <w:rPr>
          <w:lang w:val="fr-FR"/>
        </w:rPr>
        <w:t>à</w:t>
      </w:r>
      <w:r>
        <w:rPr>
          <w:lang w:val="fr-FR"/>
        </w:rPr>
        <w:t xml:space="preserve"> </w:t>
      </w:r>
      <w:r w:rsidRPr="001302B9">
        <w:rPr>
          <w:lang w:val="fr-FR"/>
        </w:rPr>
        <w:t>la</w:t>
      </w:r>
      <w:r>
        <w:rPr>
          <w:lang w:val="fr-FR"/>
        </w:rPr>
        <w:t xml:space="preserve"> </w:t>
      </w:r>
      <w:r w:rsidRPr="001302B9">
        <w:rPr>
          <w:lang w:val="fr-FR"/>
        </w:rPr>
        <w:t>Convention.</w:t>
      </w:r>
      <w:r>
        <w:rPr>
          <w:lang w:val="fr-FR"/>
        </w:rPr>
        <w:t xml:space="preserve"> </w:t>
      </w:r>
      <w:r w:rsidRPr="001302B9">
        <w:rPr>
          <w:lang w:val="fr-FR"/>
        </w:rPr>
        <w:t>Il</w:t>
      </w:r>
      <w:r>
        <w:rPr>
          <w:lang w:val="fr-FR"/>
        </w:rPr>
        <w:t xml:space="preserve"> </w:t>
      </w:r>
      <w:r w:rsidRPr="001302B9">
        <w:rPr>
          <w:lang w:val="fr-FR"/>
        </w:rPr>
        <w:t>engage</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à</w:t>
      </w:r>
      <w:r>
        <w:rPr>
          <w:lang w:val="fr-FR"/>
        </w:rPr>
        <w:t xml:space="preserve"> </w:t>
      </w:r>
      <w:r w:rsidRPr="001302B9">
        <w:rPr>
          <w:lang w:val="fr-FR"/>
        </w:rPr>
        <w:t>tenir</w:t>
      </w:r>
      <w:r>
        <w:rPr>
          <w:lang w:val="fr-FR"/>
        </w:rPr>
        <w:t xml:space="preserve"> </w:t>
      </w:r>
      <w:r w:rsidRPr="001302B9">
        <w:rPr>
          <w:lang w:val="fr-FR"/>
        </w:rPr>
        <w:t>compte</w:t>
      </w:r>
      <w:r>
        <w:rPr>
          <w:lang w:val="fr-FR"/>
        </w:rPr>
        <w:t xml:space="preserve"> </w:t>
      </w:r>
      <w:r w:rsidRPr="001302B9">
        <w:rPr>
          <w:lang w:val="fr-FR"/>
        </w:rPr>
        <w:t>de</w:t>
      </w:r>
      <w:r>
        <w:rPr>
          <w:lang w:val="fr-FR"/>
        </w:rPr>
        <w:t xml:space="preserve"> </w:t>
      </w:r>
      <w:r w:rsidRPr="001302B9">
        <w:rPr>
          <w:lang w:val="fr-FR"/>
        </w:rPr>
        <w:t>ses</w:t>
      </w:r>
      <w:r>
        <w:rPr>
          <w:lang w:val="fr-FR"/>
        </w:rPr>
        <w:t xml:space="preserve"> </w:t>
      </w:r>
      <w:r w:rsidRPr="001302B9">
        <w:rPr>
          <w:lang w:val="fr-FR"/>
        </w:rPr>
        <w:t>recommandations,</w:t>
      </w:r>
      <w:r>
        <w:rPr>
          <w:lang w:val="fr-FR"/>
        </w:rPr>
        <w:t xml:space="preserve"> </w:t>
      </w:r>
      <w:r w:rsidRPr="001302B9">
        <w:rPr>
          <w:lang w:val="fr-FR"/>
        </w:rPr>
        <w:t>formulées</w:t>
      </w:r>
      <w:r>
        <w:rPr>
          <w:lang w:val="fr-FR"/>
        </w:rPr>
        <w:t xml:space="preserve"> </w:t>
      </w:r>
      <w:r w:rsidRPr="001302B9">
        <w:rPr>
          <w:lang w:val="fr-FR"/>
        </w:rPr>
        <w:t>dans</w:t>
      </w:r>
      <w:r>
        <w:rPr>
          <w:lang w:val="fr-FR"/>
        </w:rPr>
        <w:t xml:space="preserve"> </w:t>
      </w:r>
      <w:r w:rsidRPr="001302B9">
        <w:rPr>
          <w:lang w:val="fr-FR"/>
        </w:rPr>
        <w:t>un</w:t>
      </w:r>
      <w:r>
        <w:rPr>
          <w:lang w:val="fr-FR"/>
        </w:rPr>
        <w:t xml:space="preserve"> </w:t>
      </w:r>
      <w:r w:rsidRPr="001302B9">
        <w:rPr>
          <w:lang w:val="fr-FR"/>
        </w:rPr>
        <w:t>esprit</w:t>
      </w:r>
      <w:r>
        <w:rPr>
          <w:lang w:val="fr-FR"/>
        </w:rPr>
        <w:t xml:space="preserve"> </w:t>
      </w:r>
      <w:r w:rsidRPr="001302B9">
        <w:rPr>
          <w:lang w:val="fr-FR"/>
        </w:rPr>
        <w:t>constructif</w:t>
      </w:r>
      <w:r>
        <w:rPr>
          <w:lang w:val="fr-FR"/>
        </w:rPr>
        <w:t xml:space="preserve"> </w:t>
      </w:r>
      <w:r w:rsidRPr="001302B9">
        <w:rPr>
          <w:lang w:val="fr-FR"/>
        </w:rPr>
        <w:t>de</w:t>
      </w:r>
      <w:r>
        <w:rPr>
          <w:lang w:val="fr-FR"/>
        </w:rPr>
        <w:t xml:space="preserve"> </w:t>
      </w:r>
      <w:r w:rsidRPr="001302B9">
        <w:rPr>
          <w:lang w:val="fr-FR"/>
        </w:rPr>
        <w:t>coopération,</w:t>
      </w:r>
      <w:r>
        <w:rPr>
          <w:lang w:val="fr-FR"/>
        </w:rPr>
        <w:t xml:space="preserve"> </w:t>
      </w:r>
      <w:r w:rsidRPr="001302B9">
        <w:rPr>
          <w:lang w:val="fr-FR"/>
        </w:rPr>
        <w:t>afin</w:t>
      </w:r>
      <w:r>
        <w:rPr>
          <w:lang w:val="fr-FR"/>
        </w:rPr>
        <w:t xml:space="preserve"> </w:t>
      </w:r>
      <w:r w:rsidRPr="001302B9">
        <w:rPr>
          <w:lang w:val="fr-FR"/>
        </w:rPr>
        <w:t>de</w:t>
      </w:r>
      <w:r>
        <w:rPr>
          <w:lang w:val="fr-FR"/>
        </w:rPr>
        <w:t xml:space="preserve"> </w:t>
      </w:r>
      <w:r w:rsidRPr="001302B9">
        <w:rPr>
          <w:lang w:val="fr-FR"/>
        </w:rPr>
        <w:t>continuer</w:t>
      </w:r>
      <w:r>
        <w:rPr>
          <w:lang w:val="fr-FR"/>
        </w:rPr>
        <w:t xml:space="preserve"> </w:t>
      </w:r>
      <w:r w:rsidRPr="001302B9">
        <w:rPr>
          <w:lang w:val="fr-FR"/>
        </w:rPr>
        <w:t>de</w:t>
      </w:r>
      <w:r>
        <w:rPr>
          <w:lang w:val="fr-FR"/>
        </w:rPr>
        <w:t xml:space="preserve"> </w:t>
      </w:r>
      <w:r w:rsidRPr="001302B9">
        <w:rPr>
          <w:lang w:val="fr-FR"/>
        </w:rPr>
        <w:t>renforcer</w:t>
      </w:r>
      <w:r>
        <w:rPr>
          <w:lang w:val="fr-FR"/>
        </w:rPr>
        <w:t xml:space="preserve"> </w:t>
      </w:r>
      <w:r w:rsidRPr="001302B9">
        <w:rPr>
          <w:lang w:val="fr-FR"/>
        </w:rPr>
        <w:t>le</w:t>
      </w:r>
      <w:r>
        <w:rPr>
          <w:lang w:val="fr-FR"/>
        </w:rPr>
        <w:t xml:space="preserve"> </w:t>
      </w:r>
      <w:r w:rsidRPr="001302B9">
        <w:rPr>
          <w:lang w:val="fr-FR"/>
        </w:rPr>
        <w:t>cadre</w:t>
      </w:r>
      <w:r>
        <w:rPr>
          <w:lang w:val="fr-FR"/>
        </w:rPr>
        <w:t xml:space="preserve"> </w:t>
      </w:r>
      <w:r w:rsidRPr="001302B9">
        <w:rPr>
          <w:lang w:val="fr-FR"/>
        </w:rPr>
        <w:t>normatif</w:t>
      </w:r>
      <w:r>
        <w:rPr>
          <w:lang w:val="fr-FR"/>
        </w:rPr>
        <w:t xml:space="preserve"> </w:t>
      </w:r>
      <w:r w:rsidRPr="001302B9">
        <w:rPr>
          <w:lang w:val="fr-FR"/>
        </w:rPr>
        <w:t>existant</w:t>
      </w:r>
      <w:r>
        <w:rPr>
          <w:lang w:val="fr-FR"/>
        </w:rPr>
        <w:t xml:space="preserve"> </w:t>
      </w:r>
      <w:r w:rsidRPr="001302B9">
        <w:rPr>
          <w:lang w:val="fr-FR"/>
        </w:rPr>
        <w:t>et</w:t>
      </w:r>
      <w:r>
        <w:rPr>
          <w:lang w:val="fr-FR"/>
        </w:rPr>
        <w:t xml:space="preserve"> </w:t>
      </w:r>
      <w:r w:rsidRPr="001302B9">
        <w:rPr>
          <w:lang w:val="fr-FR"/>
        </w:rPr>
        <w:t>de</w:t>
      </w:r>
      <w:r>
        <w:rPr>
          <w:lang w:val="fr-FR"/>
        </w:rPr>
        <w:t xml:space="preserve"> </w:t>
      </w:r>
      <w:r w:rsidRPr="001302B9">
        <w:rPr>
          <w:lang w:val="fr-FR"/>
        </w:rPr>
        <w:t>faire</w:t>
      </w:r>
      <w:r>
        <w:rPr>
          <w:lang w:val="fr-FR"/>
        </w:rPr>
        <w:t xml:space="preserve"> </w:t>
      </w:r>
      <w:r w:rsidRPr="001302B9">
        <w:rPr>
          <w:lang w:val="fr-FR"/>
        </w:rPr>
        <w:t>en</w:t>
      </w:r>
      <w:r>
        <w:rPr>
          <w:lang w:val="fr-FR"/>
        </w:rPr>
        <w:t xml:space="preserve"> </w:t>
      </w:r>
      <w:r w:rsidRPr="001302B9">
        <w:rPr>
          <w:lang w:val="fr-FR"/>
        </w:rPr>
        <w:t>sorte</w:t>
      </w:r>
      <w:r>
        <w:rPr>
          <w:lang w:val="fr-FR"/>
        </w:rPr>
        <w:t xml:space="preserve"> </w:t>
      </w:r>
      <w:r w:rsidRPr="001302B9">
        <w:rPr>
          <w:lang w:val="fr-FR"/>
        </w:rPr>
        <w:t>que</w:t>
      </w:r>
      <w:r>
        <w:rPr>
          <w:lang w:val="fr-FR"/>
        </w:rPr>
        <w:t xml:space="preserve"> </w:t>
      </w:r>
      <w:r w:rsidRPr="001302B9">
        <w:rPr>
          <w:lang w:val="fr-FR"/>
        </w:rPr>
        <w:t>celui-ci</w:t>
      </w:r>
      <w:r>
        <w:rPr>
          <w:lang w:val="fr-FR"/>
        </w:rPr>
        <w:t xml:space="preserve"> </w:t>
      </w:r>
      <w:r w:rsidRPr="001302B9">
        <w:rPr>
          <w:lang w:val="fr-FR"/>
        </w:rPr>
        <w:t>soit</w:t>
      </w:r>
      <w:r>
        <w:rPr>
          <w:lang w:val="fr-FR"/>
        </w:rPr>
        <w:t xml:space="preserve"> </w:t>
      </w:r>
      <w:r w:rsidRPr="001302B9">
        <w:rPr>
          <w:lang w:val="fr-FR"/>
        </w:rPr>
        <w:t>conforme</w:t>
      </w:r>
      <w:r>
        <w:rPr>
          <w:lang w:val="fr-FR"/>
        </w:rPr>
        <w:t xml:space="preserve"> </w:t>
      </w:r>
      <w:r w:rsidRPr="001302B9">
        <w:rPr>
          <w:lang w:val="fr-FR"/>
        </w:rPr>
        <w:t>aux</w:t>
      </w:r>
      <w:r>
        <w:rPr>
          <w:lang w:val="fr-FR"/>
        </w:rPr>
        <w:t xml:space="preserve"> </w:t>
      </w:r>
      <w:r w:rsidRPr="001302B9">
        <w:rPr>
          <w:lang w:val="fr-FR"/>
        </w:rPr>
        <w:t>droits</w:t>
      </w:r>
      <w:r>
        <w:rPr>
          <w:lang w:val="fr-FR"/>
        </w:rPr>
        <w:t xml:space="preserve"> </w:t>
      </w:r>
      <w:r w:rsidRPr="001302B9">
        <w:rPr>
          <w:lang w:val="fr-FR"/>
        </w:rPr>
        <w:t>et</w:t>
      </w:r>
      <w:r>
        <w:rPr>
          <w:lang w:val="fr-FR"/>
        </w:rPr>
        <w:t xml:space="preserve"> </w:t>
      </w:r>
      <w:r w:rsidRPr="001302B9">
        <w:rPr>
          <w:lang w:val="fr-FR"/>
        </w:rPr>
        <w:t>obligations</w:t>
      </w:r>
      <w:r>
        <w:rPr>
          <w:lang w:val="fr-FR"/>
        </w:rPr>
        <w:t xml:space="preserve"> </w:t>
      </w:r>
      <w:r w:rsidRPr="001302B9">
        <w:rPr>
          <w:lang w:val="fr-FR"/>
        </w:rPr>
        <w:t>énoncés</w:t>
      </w:r>
      <w:r>
        <w:rPr>
          <w:lang w:val="fr-FR"/>
        </w:rPr>
        <w:t xml:space="preserve"> </w:t>
      </w:r>
      <w:r w:rsidRPr="001302B9">
        <w:rPr>
          <w:lang w:val="fr-FR"/>
        </w:rPr>
        <w:t>dans</w:t>
      </w:r>
      <w:r>
        <w:rPr>
          <w:lang w:val="fr-FR"/>
        </w:rPr>
        <w:t xml:space="preserve"> </w:t>
      </w:r>
      <w:r w:rsidRPr="001302B9">
        <w:rPr>
          <w:lang w:val="fr-FR"/>
        </w:rPr>
        <w:t>la</w:t>
      </w:r>
      <w:r>
        <w:rPr>
          <w:lang w:val="fr-FR"/>
        </w:rPr>
        <w:t xml:space="preserve"> </w:t>
      </w:r>
      <w:r w:rsidRPr="001302B9">
        <w:rPr>
          <w:lang w:val="fr-FR"/>
        </w:rPr>
        <w:t>Convention,</w:t>
      </w:r>
      <w:r>
        <w:rPr>
          <w:lang w:val="fr-FR"/>
        </w:rPr>
        <w:t xml:space="preserve"> </w:t>
      </w:r>
      <w:r w:rsidRPr="001302B9">
        <w:rPr>
          <w:lang w:val="fr-FR"/>
        </w:rPr>
        <w:t>de</w:t>
      </w:r>
      <w:r>
        <w:rPr>
          <w:lang w:val="fr-FR"/>
        </w:rPr>
        <w:t xml:space="preserve"> </w:t>
      </w:r>
      <w:r w:rsidRPr="001302B9">
        <w:rPr>
          <w:lang w:val="fr-FR"/>
        </w:rPr>
        <w:t>même</w:t>
      </w:r>
      <w:r>
        <w:rPr>
          <w:lang w:val="fr-FR"/>
        </w:rPr>
        <w:t xml:space="preserve"> </w:t>
      </w:r>
      <w:r w:rsidRPr="001302B9">
        <w:rPr>
          <w:lang w:val="fr-FR"/>
        </w:rPr>
        <w:t>que</w:t>
      </w:r>
      <w:r>
        <w:rPr>
          <w:lang w:val="fr-FR"/>
        </w:rPr>
        <w:t xml:space="preserve"> </w:t>
      </w:r>
      <w:r w:rsidRPr="001302B9">
        <w:rPr>
          <w:lang w:val="fr-FR"/>
        </w:rPr>
        <w:t>tous</w:t>
      </w:r>
      <w:r>
        <w:rPr>
          <w:lang w:val="fr-FR"/>
        </w:rPr>
        <w:t xml:space="preserve"> </w:t>
      </w:r>
      <w:r w:rsidRPr="001302B9">
        <w:rPr>
          <w:lang w:val="fr-FR"/>
        </w:rPr>
        <w:t>les</w:t>
      </w:r>
      <w:r>
        <w:rPr>
          <w:lang w:val="fr-FR"/>
        </w:rPr>
        <w:t xml:space="preserve"> </w:t>
      </w:r>
      <w:r w:rsidRPr="001302B9">
        <w:rPr>
          <w:lang w:val="fr-FR"/>
        </w:rPr>
        <w:t>actes</w:t>
      </w:r>
      <w:r>
        <w:rPr>
          <w:lang w:val="fr-FR"/>
        </w:rPr>
        <w:t xml:space="preserve"> </w:t>
      </w:r>
      <w:r w:rsidRPr="001302B9">
        <w:rPr>
          <w:lang w:val="fr-FR"/>
        </w:rPr>
        <w:t>émanant</w:t>
      </w:r>
      <w:r>
        <w:rPr>
          <w:lang w:val="fr-FR"/>
        </w:rPr>
        <w:t xml:space="preserve"> </w:t>
      </w:r>
      <w:r w:rsidRPr="001302B9">
        <w:rPr>
          <w:lang w:val="fr-FR"/>
        </w:rPr>
        <w:t>des</w:t>
      </w:r>
      <w:r>
        <w:rPr>
          <w:lang w:val="fr-FR"/>
        </w:rPr>
        <w:t xml:space="preserve"> </w:t>
      </w:r>
      <w:r w:rsidRPr="001302B9">
        <w:rPr>
          <w:lang w:val="fr-FR"/>
        </w:rPr>
        <w:t>autorités</w:t>
      </w:r>
      <w:r>
        <w:rPr>
          <w:lang w:val="fr-FR"/>
        </w:rPr>
        <w:t xml:space="preserve"> </w:t>
      </w:r>
      <w:r w:rsidRPr="001302B9">
        <w:rPr>
          <w:lang w:val="fr-FR"/>
        </w:rPr>
        <w:t>de</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Dans</w:t>
      </w:r>
      <w:r>
        <w:rPr>
          <w:lang w:val="fr-FR"/>
        </w:rPr>
        <w:t xml:space="preserve"> </w:t>
      </w:r>
      <w:r w:rsidRPr="001302B9">
        <w:rPr>
          <w:lang w:val="fr-FR"/>
        </w:rPr>
        <w:t>ce</w:t>
      </w:r>
      <w:r>
        <w:rPr>
          <w:lang w:val="fr-FR"/>
        </w:rPr>
        <w:t xml:space="preserve"> </w:t>
      </w:r>
      <w:r w:rsidRPr="001302B9">
        <w:rPr>
          <w:lang w:val="fr-FR"/>
        </w:rPr>
        <w:t>contexte,</w:t>
      </w:r>
      <w:r>
        <w:rPr>
          <w:lang w:val="fr-FR"/>
        </w:rPr>
        <w:t xml:space="preserve"> </w:t>
      </w:r>
      <w:r w:rsidRPr="001302B9">
        <w:rPr>
          <w:lang w:val="fr-FR"/>
        </w:rPr>
        <w:t>le</w:t>
      </w:r>
      <w:r>
        <w:rPr>
          <w:lang w:val="fr-FR"/>
        </w:rPr>
        <w:t xml:space="preserve"> </w:t>
      </w:r>
      <w:r w:rsidRPr="001302B9">
        <w:rPr>
          <w:lang w:val="fr-FR"/>
        </w:rPr>
        <w:t>Comité</w:t>
      </w:r>
      <w:r>
        <w:rPr>
          <w:lang w:val="fr-FR"/>
        </w:rPr>
        <w:t xml:space="preserve"> </w:t>
      </w:r>
      <w:r w:rsidRPr="001302B9">
        <w:rPr>
          <w:lang w:val="fr-FR"/>
        </w:rPr>
        <w:t>recommande</w:t>
      </w:r>
      <w:r>
        <w:rPr>
          <w:lang w:val="fr-FR"/>
        </w:rPr>
        <w:t xml:space="preserve"> </w:t>
      </w:r>
      <w:r w:rsidRPr="001302B9">
        <w:rPr>
          <w:lang w:val="fr-FR"/>
        </w:rPr>
        <w:t>à</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de</w:t>
      </w:r>
      <w:r>
        <w:rPr>
          <w:lang w:val="fr-FR"/>
        </w:rPr>
        <w:t xml:space="preserve"> </w:t>
      </w:r>
      <w:r w:rsidRPr="001302B9">
        <w:rPr>
          <w:lang w:val="fr-FR"/>
        </w:rPr>
        <w:t>se</w:t>
      </w:r>
      <w:r>
        <w:rPr>
          <w:lang w:val="fr-FR"/>
        </w:rPr>
        <w:t xml:space="preserve"> </w:t>
      </w:r>
      <w:r w:rsidRPr="001302B9">
        <w:rPr>
          <w:lang w:val="fr-FR"/>
        </w:rPr>
        <w:t>doter</w:t>
      </w:r>
      <w:r>
        <w:rPr>
          <w:lang w:val="fr-FR"/>
        </w:rPr>
        <w:t xml:space="preserve"> </w:t>
      </w:r>
      <w:r w:rsidRPr="001302B9">
        <w:rPr>
          <w:lang w:val="fr-FR"/>
        </w:rPr>
        <w:t>d’une</w:t>
      </w:r>
      <w:r>
        <w:rPr>
          <w:lang w:val="fr-FR"/>
        </w:rPr>
        <w:t xml:space="preserve"> </w:t>
      </w:r>
      <w:r w:rsidRPr="001302B9">
        <w:rPr>
          <w:lang w:val="fr-FR"/>
        </w:rPr>
        <w:t>politique</w:t>
      </w:r>
      <w:r>
        <w:rPr>
          <w:lang w:val="fr-FR"/>
        </w:rPr>
        <w:t xml:space="preserve"> </w:t>
      </w:r>
      <w:r w:rsidRPr="001302B9">
        <w:rPr>
          <w:lang w:val="fr-FR"/>
        </w:rPr>
        <w:t>nationale</w:t>
      </w:r>
      <w:r>
        <w:rPr>
          <w:lang w:val="fr-FR"/>
        </w:rPr>
        <w:t xml:space="preserve"> </w:t>
      </w:r>
      <w:r w:rsidRPr="001302B9">
        <w:rPr>
          <w:lang w:val="fr-FR"/>
        </w:rPr>
        <w:t>en</w:t>
      </w:r>
      <w:r>
        <w:rPr>
          <w:lang w:val="fr-FR"/>
        </w:rPr>
        <w:t xml:space="preserve"> </w:t>
      </w:r>
      <w:r w:rsidRPr="001302B9">
        <w:rPr>
          <w:lang w:val="fr-FR"/>
        </w:rPr>
        <w:t>matière</w:t>
      </w:r>
      <w:r>
        <w:rPr>
          <w:lang w:val="fr-FR"/>
        </w:rPr>
        <w:t xml:space="preserve"> </w:t>
      </w:r>
      <w:r w:rsidRPr="001302B9">
        <w:rPr>
          <w:lang w:val="fr-FR"/>
        </w:rPr>
        <w:t>de</w:t>
      </w:r>
      <w:r>
        <w:rPr>
          <w:lang w:val="fr-FR"/>
        </w:rPr>
        <w:t xml:space="preserve"> </w:t>
      </w:r>
      <w:r w:rsidRPr="001302B9">
        <w:rPr>
          <w:lang w:val="fr-FR"/>
        </w:rPr>
        <w:t>disparitions</w:t>
      </w:r>
      <w:r>
        <w:rPr>
          <w:lang w:val="fr-FR"/>
        </w:rPr>
        <w:t xml:space="preserve"> </w:t>
      </w:r>
      <w:r w:rsidRPr="001302B9">
        <w:rPr>
          <w:lang w:val="fr-FR"/>
        </w:rPr>
        <w:t>forcées</w:t>
      </w:r>
      <w:r>
        <w:rPr>
          <w:lang w:val="fr-FR"/>
        </w:rPr>
        <w:t xml:space="preserve"> </w:t>
      </w:r>
      <w:r w:rsidRPr="001302B9">
        <w:rPr>
          <w:lang w:val="fr-FR"/>
        </w:rPr>
        <w:t>qui</w:t>
      </w:r>
      <w:r>
        <w:rPr>
          <w:lang w:val="fr-FR"/>
        </w:rPr>
        <w:t xml:space="preserve"> </w:t>
      </w:r>
      <w:r w:rsidRPr="001302B9">
        <w:rPr>
          <w:lang w:val="fr-FR"/>
        </w:rPr>
        <w:t>tienne</w:t>
      </w:r>
      <w:r>
        <w:rPr>
          <w:lang w:val="fr-FR"/>
        </w:rPr>
        <w:t xml:space="preserve"> </w:t>
      </w:r>
      <w:r w:rsidRPr="001302B9">
        <w:rPr>
          <w:lang w:val="fr-FR"/>
        </w:rPr>
        <w:t>compte</w:t>
      </w:r>
      <w:r>
        <w:rPr>
          <w:lang w:val="fr-FR"/>
        </w:rPr>
        <w:t xml:space="preserve"> </w:t>
      </w:r>
      <w:r w:rsidRPr="001302B9">
        <w:rPr>
          <w:lang w:val="fr-FR"/>
        </w:rPr>
        <w:t>à</w:t>
      </w:r>
      <w:r>
        <w:rPr>
          <w:lang w:val="fr-FR"/>
        </w:rPr>
        <w:t xml:space="preserve"> </w:t>
      </w:r>
      <w:r w:rsidRPr="001302B9">
        <w:rPr>
          <w:lang w:val="fr-FR"/>
        </w:rPr>
        <w:t>la</w:t>
      </w:r>
      <w:r>
        <w:rPr>
          <w:lang w:val="fr-FR"/>
        </w:rPr>
        <w:t xml:space="preserve"> </w:t>
      </w:r>
      <w:r w:rsidRPr="001302B9">
        <w:rPr>
          <w:lang w:val="fr-FR"/>
        </w:rPr>
        <w:t>fois</w:t>
      </w:r>
      <w:r>
        <w:rPr>
          <w:lang w:val="fr-FR"/>
        </w:rPr>
        <w:t xml:space="preserve"> </w:t>
      </w:r>
      <w:r w:rsidRPr="001302B9">
        <w:rPr>
          <w:lang w:val="fr-FR"/>
        </w:rPr>
        <w:t>des</w:t>
      </w:r>
      <w:r>
        <w:rPr>
          <w:lang w:val="fr-FR"/>
        </w:rPr>
        <w:t xml:space="preserve"> </w:t>
      </w:r>
      <w:r w:rsidRPr="001302B9">
        <w:rPr>
          <w:lang w:val="fr-FR"/>
        </w:rPr>
        <w:t>enseignements</w:t>
      </w:r>
      <w:r>
        <w:rPr>
          <w:lang w:val="fr-FR"/>
        </w:rPr>
        <w:t xml:space="preserve"> </w:t>
      </w:r>
      <w:r w:rsidRPr="001302B9">
        <w:rPr>
          <w:lang w:val="fr-FR"/>
        </w:rPr>
        <w:t>tirés</w:t>
      </w:r>
      <w:r>
        <w:rPr>
          <w:lang w:val="fr-FR"/>
        </w:rPr>
        <w:t xml:space="preserve"> </w:t>
      </w:r>
      <w:r w:rsidRPr="001302B9">
        <w:rPr>
          <w:lang w:val="fr-FR"/>
        </w:rPr>
        <w:t>du</w:t>
      </w:r>
      <w:r>
        <w:rPr>
          <w:lang w:val="fr-FR"/>
        </w:rPr>
        <w:t xml:space="preserve"> </w:t>
      </w:r>
      <w:r w:rsidRPr="001302B9">
        <w:rPr>
          <w:lang w:val="fr-FR"/>
        </w:rPr>
        <w:t>passé</w:t>
      </w:r>
      <w:r>
        <w:rPr>
          <w:lang w:val="fr-FR"/>
        </w:rPr>
        <w:t xml:space="preserve"> </w:t>
      </w:r>
      <w:r w:rsidRPr="001302B9">
        <w:rPr>
          <w:lang w:val="fr-FR"/>
        </w:rPr>
        <w:t>et</w:t>
      </w:r>
      <w:r>
        <w:rPr>
          <w:lang w:val="fr-FR"/>
        </w:rPr>
        <w:t xml:space="preserve"> </w:t>
      </w:r>
      <w:r w:rsidRPr="001302B9">
        <w:rPr>
          <w:lang w:val="fr-FR"/>
        </w:rPr>
        <w:t>des</w:t>
      </w:r>
      <w:r>
        <w:rPr>
          <w:lang w:val="fr-FR"/>
        </w:rPr>
        <w:t xml:space="preserve"> </w:t>
      </w:r>
      <w:r w:rsidRPr="001302B9">
        <w:rPr>
          <w:lang w:val="fr-FR"/>
        </w:rPr>
        <w:t>obstacles</w:t>
      </w:r>
      <w:r>
        <w:rPr>
          <w:lang w:val="fr-FR"/>
        </w:rPr>
        <w:t xml:space="preserve"> </w:t>
      </w:r>
      <w:r w:rsidRPr="001302B9">
        <w:rPr>
          <w:lang w:val="fr-FR"/>
        </w:rPr>
        <w:t>rencontrés</w:t>
      </w:r>
      <w:r>
        <w:rPr>
          <w:lang w:val="fr-FR"/>
        </w:rPr>
        <w:t xml:space="preserve"> </w:t>
      </w:r>
      <w:r w:rsidRPr="001302B9">
        <w:rPr>
          <w:lang w:val="fr-FR"/>
        </w:rPr>
        <w:t>actuellement</w:t>
      </w:r>
      <w:r>
        <w:rPr>
          <w:lang w:val="fr-FR"/>
        </w:rPr>
        <w:t xml:space="preserve"> </w:t>
      </w:r>
      <w:r w:rsidRPr="001302B9">
        <w:rPr>
          <w:lang w:val="fr-FR"/>
        </w:rPr>
        <w:t>s’agissant</w:t>
      </w:r>
      <w:r>
        <w:rPr>
          <w:lang w:val="fr-FR"/>
        </w:rPr>
        <w:t xml:space="preserve"> </w:t>
      </w:r>
      <w:r w:rsidRPr="001302B9">
        <w:rPr>
          <w:lang w:val="fr-FR"/>
        </w:rPr>
        <w:t>de</w:t>
      </w:r>
      <w:r>
        <w:rPr>
          <w:lang w:val="fr-FR"/>
        </w:rPr>
        <w:t xml:space="preserve"> </w:t>
      </w:r>
      <w:r w:rsidRPr="001302B9">
        <w:rPr>
          <w:lang w:val="fr-FR"/>
        </w:rPr>
        <w:t>rechercher</w:t>
      </w:r>
      <w:r>
        <w:rPr>
          <w:lang w:val="fr-FR"/>
        </w:rPr>
        <w:t xml:space="preserve"> </w:t>
      </w:r>
      <w:r w:rsidRPr="001302B9">
        <w:rPr>
          <w:lang w:val="fr-FR"/>
        </w:rPr>
        <w:t>les</w:t>
      </w:r>
      <w:r>
        <w:rPr>
          <w:lang w:val="fr-FR"/>
        </w:rPr>
        <w:t xml:space="preserve"> </w:t>
      </w:r>
      <w:r w:rsidRPr="001302B9">
        <w:rPr>
          <w:lang w:val="fr-FR"/>
        </w:rPr>
        <w:t>personnes</w:t>
      </w:r>
      <w:r>
        <w:rPr>
          <w:lang w:val="fr-FR"/>
        </w:rPr>
        <w:t xml:space="preserve"> </w:t>
      </w:r>
      <w:r w:rsidRPr="001302B9">
        <w:rPr>
          <w:lang w:val="fr-FR"/>
        </w:rPr>
        <w:t>disparues,</w:t>
      </w:r>
      <w:r>
        <w:rPr>
          <w:lang w:val="fr-FR"/>
        </w:rPr>
        <w:t xml:space="preserve"> </w:t>
      </w:r>
      <w:r w:rsidRPr="001302B9">
        <w:rPr>
          <w:lang w:val="fr-FR"/>
        </w:rPr>
        <w:t>d’enquêter</w:t>
      </w:r>
      <w:r>
        <w:rPr>
          <w:lang w:val="fr-FR"/>
        </w:rPr>
        <w:t xml:space="preserve"> </w:t>
      </w:r>
      <w:r w:rsidRPr="001302B9">
        <w:rPr>
          <w:lang w:val="fr-FR"/>
        </w:rPr>
        <w:t>sur</w:t>
      </w:r>
      <w:r>
        <w:rPr>
          <w:lang w:val="fr-FR"/>
        </w:rPr>
        <w:t xml:space="preserve"> </w:t>
      </w:r>
      <w:r w:rsidRPr="001302B9">
        <w:rPr>
          <w:lang w:val="fr-FR"/>
        </w:rPr>
        <w:t>les</w:t>
      </w:r>
      <w:r>
        <w:rPr>
          <w:lang w:val="fr-FR"/>
        </w:rPr>
        <w:t xml:space="preserve"> </w:t>
      </w:r>
      <w:r w:rsidRPr="001302B9">
        <w:rPr>
          <w:lang w:val="fr-FR"/>
        </w:rPr>
        <w:t>disparitions</w:t>
      </w:r>
      <w:r>
        <w:rPr>
          <w:lang w:val="fr-FR"/>
        </w:rPr>
        <w:t xml:space="preserve"> </w:t>
      </w:r>
      <w:r w:rsidRPr="001302B9">
        <w:rPr>
          <w:lang w:val="fr-FR"/>
        </w:rPr>
        <w:t>forcées</w:t>
      </w:r>
      <w:r>
        <w:rPr>
          <w:lang w:val="fr-FR"/>
        </w:rPr>
        <w:t xml:space="preserve"> </w:t>
      </w:r>
      <w:r w:rsidRPr="001302B9">
        <w:rPr>
          <w:lang w:val="fr-FR"/>
        </w:rPr>
        <w:t>perpétrées</w:t>
      </w:r>
      <w:r>
        <w:rPr>
          <w:lang w:val="fr-FR"/>
        </w:rPr>
        <w:t xml:space="preserve"> </w:t>
      </w:r>
      <w:r w:rsidRPr="001302B9">
        <w:rPr>
          <w:lang w:val="fr-FR"/>
        </w:rPr>
        <w:t>entre</w:t>
      </w:r>
      <w:r>
        <w:rPr>
          <w:lang w:val="fr-FR"/>
        </w:rPr>
        <w:t xml:space="preserve"> </w:t>
      </w:r>
      <w:r w:rsidRPr="001302B9">
        <w:rPr>
          <w:lang w:val="fr-FR"/>
        </w:rPr>
        <w:t>1968</w:t>
      </w:r>
      <w:r>
        <w:rPr>
          <w:lang w:val="fr-FR"/>
        </w:rPr>
        <w:t xml:space="preserve"> </w:t>
      </w:r>
      <w:r w:rsidRPr="001302B9">
        <w:rPr>
          <w:lang w:val="fr-FR"/>
        </w:rPr>
        <w:t>et</w:t>
      </w:r>
      <w:r>
        <w:rPr>
          <w:lang w:val="fr-FR"/>
        </w:rPr>
        <w:t xml:space="preserve"> </w:t>
      </w:r>
      <w:r w:rsidRPr="001302B9">
        <w:rPr>
          <w:lang w:val="fr-FR"/>
        </w:rPr>
        <w:t>1985,</w:t>
      </w:r>
      <w:r>
        <w:rPr>
          <w:lang w:val="fr-FR"/>
        </w:rPr>
        <w:t xml:space="preserve"> </w:t>
      </w:r>
      <w:r w:rsidRPr="001302B9">
        <w:rPr>
          <w:lang w:val="fr-FR"/>
        </w:rPr>
        <w:t>d’en</w:t>
      </w:r>
      <w:r>
        <w:rPr>
          <w:lang w:val="fr-FR"/>
        </w:rPr>
        <w:t xml:space="preserve"> </w:t>
      </w:r>
      <w:r w:rsidRPr="001302B9">
        <w:rPr>
          <w:lang w:val="fr-FR"/>
        </w:rPr>
        <w:t>punir</w:t>
      </w:r>
      <w:r>
        <w:rPr>
          <w:lang w:val="fr-FR"/>
        </w:rPr>
        <w:t xml:space="preserve"> </w:t>
      </w:r>
      <w:r w:rsidRPr="001302B9">
        <w:rPr>
          <w:lang w:val="fr-FR"/>
        </w:rPr>
        <w:t>les</w:t>
      </w:r>
      <w:r>
        <w:rPr>
          <w:lang w:val="fr-FR"/>
        </w:rPr>
        <w:t xml:space="preserve"> </w:t>
      </w:r>
      <w:r w:rsidRPr="001302B9">
        <w:rPr>
          <w:lang w:val="fr-FR"/>
        </w:rPr>
        <w:t>auteurs</w:t>
      </w:r>
      <w:r>
        <w:rPr>
          <w:lang w:val="fr-FR"/>
        </w:rPr>
        <w:t xml:space="preserve"> </w:t>
      </w:r>
      <w:r w:rsidRPr="001302B9">
        <w:rPr>
          <w:lang w:val="fr-FR"/>
        </w:rPr>
        <w:t>et</w:t>
      </w:r>
      <w:r>
        <w:rPr>
          <w:lang w:val="fr-FR"/>
        </w:rPr>
        <w:t xml:space="preserve"> </w:t>
      </w:r>
      <w:r w:rsidRPr="001302B9">
        <w:rPr>
          <w:lang w:val="fr-FR"/>
        </w:rPr>
        <w:t>de</w:t>
      </w:r>
      <w:r>
        <w:rPr>
          <w:lang w:val="fr-FR"/>
        </w:rPr>
        <w:t xml:space="preserve"> </w:t>
      </w:r>
      <w:r w:rsidRPr="001302B9">
        <w:rPr>
          <w:lang w:val="fr-FR"/>
        </w:rPr>
        <w:t>garantir</w:t>
      </w:r>
      <w:r>
        <w:rPr>
          <w:lang w:val="fr-FR"/>
        </w:rPr>
        <w:t xml:space="preserve"> </w:t>
      </w:r>
      <w:r w:rsidRPr="001302B9">
        <w:rPr>
          <w:lang w:val="fr-FR"/>
        </w:rPr>
        <w:t>le</w:t>
      </w:r>
      <w:r>
        <w:rPr>
          <w:lang w:val="fr-FR"/>
        </w:rPr>
        <w:t xml:space="preserve"> </w:t>
      </w:r>
      <w:r w:rsidRPr="001302B9">
        <w:rPr>
          <w:lang w:val="fr-FR"/>
        </w:rPr>
        <w:t>droit</w:t>
      </w:r>
      <w:r>
        <w:rPr>
          <w:lang w:val="fr-FR"/>
        </w:rPr>
        <w:t xml:space="preserve"> </w:t>
      </w:r>
      <w:r w:rsidRPr="001302B9">
        <w:rPr>
          <w:lang w:val="fr-FR"/>
        </w:rPr>
        <w:t>à</w:t>
      </w:r>
      <w:r>
        <w:rPr>
          <w:lang w:val="fr-FR"/>
        </w:rPr>
        <w:t xml:space="preserve"> </w:t>
      </w:r>
      <w:r w:rsidRPr="001302B9">
        <w:rPr>
          <w:lang w:val="fr-FR"/>
        </w:rPr>
        <w:t>une</w:t>
      </w:r>
      <w:r>
        <w:rPr>
          <w:lang w:val="fr-FR"/>
        </w:rPr>
        <w:t xml:space="preserve"> </w:t>
      </w:r>
      <w:r w:rsidRPr="001302B9">
        <w:rPr>
          <w:lang w:val="fr-FR"/>
        </w:rPr>
        <w:t>réparation</w:t>
      </w:r>
      <w:r>
        <w:rPr>
          <w:lang w:val="fr-FR"/>
        </w:rPr>
        <w:t xml:space="preserve"> </w:t>
      </w:r>
      <w:r w:rsidRPr="001302B9">
        <w:rPr>
          <w:lang w:val="fr-FR"/>
        </w:rPr>
        <w:t>intégrale</w:t>
      </w:r>
      <w:r>
        <w:rPr>
          <w:lang w:val="fr-FR"/>
        </w:rPr>
        <w:t xml:space="preserve"> </w:t>
      </w:r>
      <w:r w:rsidRPr="001302B9">
        <w:rPr>
          <w:lang w:val="fr-FR"/>
        </w:rPr>
        <w:t>pour</w:t>
      </w:r>
      <w:r>
        <w:rPr>
          <w:lang w:val="fr-FR"/>
        </w:rPr>
        <w:t xml:space="preserve"> </w:t>
      </w:r>
      <w:r w:rsidRPr="001302B9">
        <w:rPr>
          <w:lang w:val="fr-FR"/>
        </w:rPr>
        <w:t>toutes</w:t>
      </w:r>
      <w:r>
        <w:rPr>
          <w:lang w:val="fr-FR"/>
        </w:rPr>
        <w:t xml:space="preserve"> </w:t>
      </w:r>
      <w:r w:rsidRPr="001302B9">
        <w:rPr>
          <w:lang w:val="fr-FR"/>
        </w:rPr>
        <w:t>les</w:t>
      </w:r>
      <w:r>
        <w:rPr>
          <w:lang w:val="fr-FR"/>
        </w:rPr>
        <w:t xml:space="preserve"> </w:t>
      </w:r>
      <w:r w:rsidRPr="001302B9">
        <w:rPr>
          <w:lang w:val="fr-FR"/>
        </w:rPr>
        <w:t>victimes.</w:t>
      </w:r>
    </w:p>
    <w:p w14:paraId="0AD939BB" w14:textId="77777777" w:rsidR="003F0CA1" w:rsidRPr="001302B9" w:rsidRDefault="003F0CA1" w:rsidP="003F0CA1">
      <w:pPr>
        <w:pStyle w:val="H23G"/>
        <w:rPr>
          <w:lang w:val="fr-FR"/>
        </w:rPr>
      </w:pPr>
      <w:r w:rsidRPr="001302B9">
        <w:rPr>
          <w:lang w:val="fr-FR"/>
        </w:rPr>
        <w:tab/>
        <w:t>2.</w:t>
      </w:r>
      <w:r w:rsidRPr="001302B9">
        <w:rPr>
          <w:lang w:val="fr-FR"/>
        </w:rPr>
        <w:tab/>
        <w:t>Harmonisation</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législation</w:t>
      </w:r>
    </w:p>
    <w:p w14:paraId="4A88680A" w14:textId="77777777" w:rsidR="003F0CA1" w:rsidRPr="001302B9" w:rsidRDefault="003F0CA1" w:rsidP="003F0CA1">
      <w:pPr>
        <w:pStyle w:val="H23G"/>
        <w:rPr>
          <w:lang w:val="fr-FR"/>
        </w:rPr>
      </w:pPr>
      <w:r w:rsidRPr="001302B9">
        <w:rPr>
          <w:lang w:val="fr-FR"/>
        </w:rPr>
        <w:tab/>
      </w:r>
      <w:r w:rsidRPr="001302B9">
        <w:rPr>
          <w:lang w:val="fr-FR"/>
        </w:rPr>
        <w:tab/>
        <w:t>Infraction</w:t>
      </w:r>
      <w:r>
        <w:rPr>
          <w:lang w:val="fr-FR"/>
        </w:rPr>
        <w:t xml:space="preserve"> </w:t>
      </w:r>
      <w:r w:rsidRPr="001302B9">
        <w:rPr>
          <w:lang w:val="fr-FR"/>
        </w:rPr>
        <w:t>autonome</w:t>
      </w:r>
      <w:r>
        <w:rPr>
          <w:lang w:val="fr-FR"/>
        </w:rPr>
        <w:t xml:space="preserve"> </w:t>
      </w:r>
      <w:r w:rsidRPr="001302B9">
        <w:rPr>
          <w:lang w:val="fr-FR"/>
        </w:rPr>
        <w:t>de</w:t>
      </w:r>
      <w:r>
        <w:rPr>
          <w:lang w:val="fr-FR"/>
        </w:rPr>
        <w:t xml:space="preserve"> </w:t>
      </w:r>
      <w:r w:rsidRPr="001302B9">
        <w:rPr>
          <w:lang w:val="fr-FR"/>
        </w:rPr>
        <w:t>disparition</w:t>
      </w:r>
      <w:r>
        <w:rPr>
          <w:lang w:val="fr-FR"/>
        </w:rPr>
        <w:t xml:space="preserve"> </w:t>
      </w:r>
      <w:r w:rsidRPr="001302B9">
        <w:rPr>
          <w:lang w:val="fr-FR"/>
        </w:rPr>
        <w:t>forcée</w:t>
      </w:r>
    </w:p>
    <w:p w14:paraId="6E0C2ECE" w14:textId="4FAB780D" w:rsidR="003F0CA1" w:rsidRPr="001302B9" w:rsidRDefault="003F0CA1" w:rsidP="003F0CA1">
      <w:pPr>
        <w:pStyle w:val="SingleTxtG"/>
        <w:rPr>
          <w:lang w:val="fr-FR"/>
        </w:rPr>
      </w:pPr>
      <w:r w:rsidRPr="001302B9">
        <w:rPr>
          <w:lang w:val="fr-FR"/>
        </w:rPr>
        <w:t>6.</w:t>
      </w:r>
      <w:r w:rsidRPr="001302B9">
        <w:rPr>
          <w:lang w:val="fr-FR"/>
        </w:rPr>
        <w:tab/>
        <w:t>Le</w:t>
      </w:r>
      <w:r>
        <w:rPr>
          <w:lang w:val="fr-FR"/>
        </w:rPr>
        <w:t xml:space="preserve"> </w:t>
      </w:r>
      <w:r w:rsidRPr="001302B9">
        <w:rPr>
          <w:lang w:val="fr-FR"/>
        </w:rPr>
        <w:t>Comité</w:t>
      </w:r>
      <w:r>
        <w:rPr>
          <w:lang w:val="fr-FR"/>
        </w:rPr>
        <w:t xml:space="preserve"> </w:t>
      </w:r>
      <w:r w:rsidRPr="001302B9">
        <w:rPr>
          <w:lang w:val="fr-FR"/>
        </w:rPr>
        <w:t>exprime</w:t>
      </w:r>
      <w:r>
        <w:rPr>
          <w:lang w:val="fr-FR"/>
        </w:rPr>
        <w:t xml:space="preserve"> </w:t>
      </w:r>
      <w:r w:rsidRPr="001302B9">
        <w:rPr>
          <w:lang w:val="fr-FR"/>
        </w:rPr>
        <w:t>de</w:t>
      </w:r>
      <w:r>
        <w:rPr>
          <w:lang w:val="fr-FR"/>
        </w:rPr>
        <w:t xml:space="preserve"> </w:t>
      </w:r>
      <w:r w:rsidRPr="001302B9">
        <w:rPr>
          <w:lang w:val="fr-FR"/>
        </w:rPr>
        <w:t>nouveau</w:t>
      </w:r>
      <w:r>
        <w:rPr>
          <w:lang w:val="fr-FR"/>
        </w:rPr>
        <w:t xml:space="preserve"> </w:t>
      </w:r>
      <w:r w:rsidRPr="001302B9">
        <w:rPr>
          <w:lang w:val="fr-FR"/>
        </w:rPr>
        <w:t>sa</w:t>
      </w:r>
      <w:r>
        <w:rPr>
          <w:lang w:val="fr-FR"/>
        </w:rPr>
        <w:t xml:space="preserve"> </w:t>
      </w:r>
      <w:r w:rsidRPr="001302B9">
        <w:rPr>
          <w:lang w:val="fr-FR"/>
        </w:rPr>
        <w:t>satisfaction</w:t>
      </w:r>
      <w:r>
        <w:rPr>
          <w:lang w:val="fr-FR"/>
        </w:rPr>
        <w:t xml:space="preserve"> </w:t>
      </w:r>
      <w:r w:rsidRPr="001302B9">
        <w:rPr>
          <w:lang w:val="fr-FR"/>
        </w:rPr>
        <w:t>quant</w:t>
      </w:r>
      <w:r>
        <w:rPr>
          <w:lang w:val="fr-FR"/>
        </w:rPr>
        <w:t xml:space="preserve"> </w:t>
      </w:r>
      <w:r w:rsidRPr="001302B9">
        <w:rPr>
          <w:lang w:val="fr-FR"/>
        </w:rPr>
        <w:t>au</w:t>
      </w:r>
      <w:r>
        <w:rPr>
          <w:lang w:val="fr-FR"/>
        </w:rPr>
        <w:t xml:space="preserve"> </w:t>
      </w:r>
      <w:r w:rsidRPr="001302B9">
        <w:rPr>
          <w:lang w:val="fr-FR"/>
        </w:rPr>
        <w:t>fait</w:t>
      </w:r>
      <w:r>
        <w:rPr>
          <w:lang w:val="fr-FR"/>
        </w:rPr>
        <w:t xml:space="preserve"> </w:t>
      </w:r>
      <w:r w:rsidRPr="001302B9">
        <w:rPr>
          <w:lang w:val="fr-FR"/>
        </w:rPr>
        <w:t>que</w:t>
      </w:r>
      <w:r>
        <w:rPr>
          <w:lang w:val="fr-FR"/>
        </w:rPr>
        <w:t xml:space="preserve"> </w:t>
      </w:r>
      <w:r w:rsidRPr="001302B9">
        <w:rPr>
          <w:lang w:val="fr-FR"/>
        </w:rPr>
        <w:t>l’article</w:t>
      </w:r>
      <w:r>
        <w:rPr>
          <w:lang w:val="fr-FR"/>
        </w:rPr>
        <w:t xml:space="preserve"> </w:t>
      </w:r>
      <w:r w:rsidRPr="001302B9">
        <w:rPr>
          <w:lang w:val="fr-FR"/>
        </w:rPr>
        <w:t>21.1</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loi</w:t>
      </w:r>
      <w:r>
        <w:rPr>
          <w:lang w:val="fr-FR"/>
        </w:rPr>
        <w:t xml:space="preserve"> </w:t>
      </w:r>
      <w:r w:rsidRPr="001302B9">
        <w:rPr>
          <w:rFonts w:eastAsia="MS Mincho"/>
          <w:lang w:val="fr-FR"/>
        </w:rPr>
        <w:t>n</w:t>
      </w:r>
      <w:r w:rsidRPr="001302B9">
        <w:rPr>
          <w:rFonts w:eastAsia="MS Mincho"/>
          <w:vertAlign w:val="superscript"/>
          <w:lang w:val="fr-FR"/>
        </w:rPr>
        <w:t>o</w:t>
      </w:r>
      <w:r w:rsidR="00CD45C4">
        <w:rPr>
          <w:lang w:val="fr-FR"/>
        </w:rPr>
        <w:t> </w:t>
      </w:r>
      <w:r w:rsidRPr="001302B9">
        <w:rPr>
          <w:lang w:val="fr-FR"/>
        </w:rPr>
        <w:t>18.026</w:t>
      </w:r>
      <w:r>
        <w:rPr>
          <w:lang w:val="fr-FR"/>
        </w:rPr>
        <w:t xml:space="preserve"> </w:t>
      </w:r>
      <w:r w:rsidRPr="001302B9">
        <w:rPr>
          <w:lang w:val="fr-FR"/>
        </w:rPr>
        <w:t>incrimine</w:t>
      </w:r>
      <w:r>
        <w:rPr>
          <w:lang w:val="fr-FR"/>
        </w:rPr>
        <w:t xml:space="preserve"> </w:t>
      </w:r>
      <w:r w:rsidRPr="001302B9">
        <w:rPr>
          <w:lang w:val="fr-FR"/>
        </w:rPr>
        <w:t>la</w:t>
      </w:r>
      <w:r>
        <w:rPr>
          <w:lang w:val="fr-FR"/>
        </w:rPr>
        <w:t xml:space="preserve"> </w:t>
      </w:r>
      <w:r w:rsidRPr="001302B9">
        <w:rPr>
          <w:lang w:val="fr-FR"/>
        </w:rPr>
        <w:t>disparition</w:t>
      </w:r>
      <w:r>
        <w:rPr>
          <w:lang w:val="fr-FR"/>
        </w:rPr>
        <w:t xml:space="preserve"> </w:t>
      </w:r>
      <w:r w:rsidRPr="001302B9">
        <w:rPr>
          <w:lang w:val="fr-FR"/>
        </w:rPr>
        <w:t>forcée</w:t>
      </w:r>
      <w:r>
        <w:rPr>
          <w:lang w:val="fr-FR"/>
        </w:rPr>
        <w:t xml:space="preserve"> </w:t>
      </w:r>
      <w:r w:rsidRPr="001302B9">
        <w:rPr>
          <w:lang w:val="fr-FR"/>
        </w:rPr>
        <w:t>et</w:t>
      </w:r>
      <w:r>
        <w:rPr>
          <w:lang w:val="fr-FR"/>
        </w:rPr>
        <w:t xml:space="preserve"> </w:t>
      </w:r>
      <w:r w:rsidRPr="001302B9">
        <w:rPr>
          <w:lang w:val="fr-FR"/>
        </w:rPr>
        <w:t>en</w:t>
      </w:r>
      <w:r>
        <w:rPr>
          <w:lang w:val="fr-FR"/>
        </w:rPr>
        <w:t xml:space="preserve"> </w:t>
      </w:r>
      <w:r w:rsidRPr="001302B9">
        <w:rPr>
          <w:lang w:val="fr-FR"/>
        </w:rPr>
        <w:t>donne</w:t>
      </w:r>
      <w:r>
        <w:rPr>
          <w:lang w:val="fr-FR"/>
        </w:rPr>
        <w:t xml:space="preserve"> </w:t>
      </w:r>
      <w:r w:rsidRPr="001302B9">
        <w:rPr>
          <w:lang w:val="fr-FR"/>
        </w:rPr>
        <w:t>une</w:t>
      </w:r>
      <w:r>
        <w:rPr>
          <w:lang w:val="fr-FR"/>
        </w:rPr>
        <w:t xml:space="preserve"> </w:t>
      </w:r>
      <w:r w:rsidRPr="001302B9">
        <w:rPr>
          <w:lang w:val="fr-FR"/>
        </w:rPr>
        <w:t>définition</w:t>
      </w:r>
      <w:r>
        <w:rPr>
          <w:lang w:val="fr-FR"/>
        </w:rPr>
        <w:t xml:space="preserve"> </w:t>
      </w:r>
      <w:r w:rsidRPr="001302B9">
        <w:rPr>
          <w:lang w:val="fr-FR"/>
        </w:rPr>
        <w:t>conforme</w:t>
      </w:r>
      <w:r>
        <w:rPr>
          <w:lang w:val="fr-FR"/>
        </w:rPr>
        <w:t xml:space="preserve"> </w:t>
      </w:r>
      <w:r w:rsidRPr="001302B9">
        <w:rPr>
          <w:lang w:val="fr-FR"/>
        </w:rPr>
        <w:t>à</w:t>
      </w:r>
      <w:r>
        <w:rPr>
          <w:lang w:val="fr-FR"/>
        </w:rPr>
        <w:t xml:space="preserve"> </w:t>
      </w:r>
      <w:r w:rsidRPr="001302B9">
        <w:rPr>
          <w:lang w:val="fr-FR"/>
        </w:rPr>
        <w:t>celle</w:t>
      </w:r>
      <w:r>
        <w:rPr>
          <w:lang w:val="fr-FR"/>
        </w:rPr>
        <w:t xml:space="preserve"> </w:t>
      </w:r>
      <w:r w:rsidRPr="001302B9">
        <w:rPr>
          <w:lang w:val="fr-FR"/>
        </w:rPr>
        <w:t>énoncée</w:t>
      </w:r>
      <w:r>
        <w:rPr>
          <w:lang w:val="fr-FR"/>
        </w:rPr>
        <w:t xml:space="preserve"> </w:t>
      </w:r>
      <w:r w:rsidRPr="001302B9">
        <w:rPr>
          <w:lang w:val="fr-FR"/>
        </w:rPr>
        <w:t>à</w:t>
      </w:r>
      <w:r>
        <w:rPr>
          <w:lang w:val="fr-FR"/>
        </w:rPr>
        <w:t xml:space="preserve"> </w:t>
      </w:r>
      <w:r w:rsidRPr="001302B9">
        <w:rPr>
          <w:lang w:val="fr-FR"/>
        </w:rPr>
        <w:t>l’article</w:t>
      </w:r>
      <w:r>
        <w:rPr>
          <w:lang w:val="fr-FR"/>
        </w:rPr>
        <w:t xml:space="preserve"> </w:t>
      </w:r>
      <w:r w:rsidRPr="001302B9">
        <w:rPr>
          <w:lang w:val="fr-FR"/>
        </w:rPr>
        <w:t>2</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Convention.</w:t>
      </w:r>
      <w:r>
        <w:rPr>
          <w:lang w:val="fr-FR"/>
        </w:rPr>
        <w:t xml:space="preserve"> </w:t>
      </w:r>
      <w:r w:rsidRPr="001302B9">
        <w:rPr>
          <w:lang w:val="fr-FR"/>
        </w:rPr>
        <w:t>Toutefois,</w:t>
      </w:r>
      <w:r>
        <w:rPr>
          <w:lang w:val="fr-FR"/>
        </w:rPr>
        <w:t xml:space="preserve"> </w:t>
      </w:r>
      <w:r w:rsidRPr="001302B9">
        <w:rPr>
          <w:lang w:val="fr-FR"/>
        </w:rPr>
        <w:t>il</w:t>
      </w:r>
      <w:r>
        <w:rPr>
          <w:lang w:val="fr-FR"/>
        </w:rPr>
        <w:t xml:space="preserve"> </w:t>
      </w:r>
      <w:r w:rsidRPr="001302B9">
        <w:rPr>
          <w:lang w:val="fr-FR"/>
        </w:rPr>
        <w:t>regrette</w:t>
      </w:r>
      <w:r>
        <w:rPr>
          <w:lang w:val="fr-FR"/>
        </w:rPr>
        <w:t xml:space="preserve"> </w:t>
      </w:r>
      <w:r w:rsidRPr="001302B9">
        <w:rPr>
          <w:lang w:val="fr-FR"/>
        </w:rPr>
        <w:t>que</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n’ait</w:t>
      </w:r>
      <w:r>
        <w:rPr>
          <w:lang w:val="fr-FR"/>
        </w:rPr>
        <w:t xml:space="preserve"> </w:t>
      </w:r>
      <w:r w:rsidRPr="001302B9">
        <w:rPr>
          <w:lang w:val="fr-FR"/>
        </w:rPr>
        <w:t>pas</w:t>
      </w:r>
      <w:r>
        <w:rPr>
          <w:lang w:val="fr-FR"/>
        </w:rPr>
        <w:t xml:space="preserve"> </w:t>
      </w:r>
      <w:r w:rsidRPr="001302B9">
        <w:rPr>
          <w:lang w:val="fr-FR"/>
        </w:rPr>
        <w:t>appliqué</w:t>
      </w:r>
      <w:r>
        <w:rPr>
          <w:lang w:val="fr-FR"/>
        </w:rPr>
        <w:t xml:space="preserve"> </w:t>
      </w:r>
      <w:r w:rsidRPr="001302B9">
        <w:rPr>
          <w:lang w:val="fr-FR"/>
        </w:rPr>
        <w:t>sa</w:t>
      </w:r>
      <w:r>
        <w:rPr>
          <w:lang w:val="fr-FR"/>
        </w:rPr>
        <w:t xml:space="preserve"> </w:t>
      </w:r>
      <w:r w:rsidRPr="001302B9">
        <w:rPr>
          <w:lang w:val="fr-FR"/>
        </w:rPr>
        <w:t>précédente</w:t>
      </w:r>
      <w:r>
        <w:rPr>
          <w:lang w:val="fr-FR"/>
        </w:rPr>
        <w:t xml:space="preserve"> </w:t>
      </w:r>
      <w:r w:rsidRPr="001302B9">
        <w:rPr>
          <w:lang w:val="fr-FR"/>
        </w:rPr>
        <w:t>recommandation</w:t>
      </w:r>
      <w:r>
        <w:rPr>
          <w:lang w:val="fr-FR"/>
        </w:rPr>
        <w:t xml:space="preserve"> </w:t>
      </w:r>
      <w:r w:rsidRPr="001302B9">
        <w:rPr>
          <w:lang w:val="fr-FR"/>
        </w:rPr>
        <w:t>concernant</w:t>
      </w:r>
      <w:r>
        <w:rPr>
          <w:lang w:val="fr-FR"/>
        </w:rPr>
        <w:t xml:space="preserve"> </w:t>
      </w:r>
      <w:r w:rsidRPr="001302B9">
        <w:rPr>
          <w:lang w:val="fr-FR"/>
        </w:rPr>
        <w:t>cette</w:t>
      </w:r>
      <w:r>
        <w:rPr>
          <w:lang w:val="fr-FR"/>
        </w:rPr>
        <w:t xml:space="preserve"> </w:t>
      </w:r>
      <w:r w:rsidRPr="001302B9">
        <w:rPr>
          <w:lang w:val="fr-FR"/>
        </w:rPr>
        <w:t>disposition</w:t>
      </w:r>
      <w:r w:rsidRPr="00731A47">
        <w:rPr>
          <w:rStyle w:val="Appelnotedebasdep"/>
          <w:lang w:val="fr-FR"/>
        </w:rPr>
        <w:footnoteReference w:id="7"/>
      </w:r>
      <w:r>
        <w:rPr>
          <w:lang w:val="fr-FR"/>
        </w:rPr>
        <w:t xml:space="preserve"> </w:t>
      </w:r>
      <w:r w:rsidRPr="001302B9">
        <w:rPr>
          <w:lang w:val="fr-FR"/>
        </w:rPr>
        <w:t>et</w:t>
      </w:r>
      <w:r>
        <w:rPr>
          <w:lang w:val="fr-FR"/>
        </w:rPr>
        <w:t xml:space="preserve"> </w:t>
      </w:r>
      <w:r w:rsidRPr="001302B9">
        <w:rPr>
          <w:lang w:val="fr-FR"/>
        </w:rPr>
        <w:t>n’ait</w:t>
      </w:r>
      <w:r>
        <w:rPr>
          <w:lang w:val="fr-FR"/>
        </w:rPr>
        <w:t xml:space="preserve"> </w:t>
      </w:r>
      <w:r w:rsidRPr="001302B9">
        <w:rPr>
          <w:lang w:val="fr-FR"/>
        </w:rPr>
        <w:t>pas</w:t>
      </w:r>
      <w:r>
        <w:rPr>
          <w:lang w:val="fr-FR"/>
        </w:rPr>
        <w:t xml:space="preserve"> </w:t>
      </w:r>
      <w:r w:rsidRPr="001302B9">
        <w:rPr>
          <w:lang w:val="fr-FR"/>
        </w:rPr>
        <w:t>en</w:t>
      </w:r>
      <w:r>
        <w:rPr>
          <w:lang w:val="fr-FR"/>
        </w:rPr>
        <w:t xml:space="preserve"> </w:t>
      </w:r>
      <w:r w:rsidRPr="001302B9">
        <w:rPr>
          <w:lang w:val="fr-FR"/>
        </w:rPr>
        <w:t>particulier</w:t>
      </w:r>
      <w:r>
        <w:rPr>
          <w:lang w:val="fr-FR"/>
        </w:rPr>
        <w:t xml:space="preserve"> </w:t>
      </w:r>
      <w:r w:rsidRPr="001302B9">
        <w:rPr>
          <w:lang w:val="fr-FR"/>
        </w:rPr>
        <w:t>veillé</w:t>
      </w:r>
      <w:r>
        <w:rPr>
          <w:lang w:val="fr-FR"/>
        </w:rPr>
        <w:t xml:space="preserve"> </w:t>
      </w:r>
      <w:r w:rsidRPr="001302B9">
        <w:rPr>
          <w:lang w:val="fr-FR"/>
        </w:rPr>
        <w:t>à</w:t>
      </w:r>
      <w:r>
        <w:rPr>
          <w:lang w:val="fr-FR"/>
        </w:rPr>
        <w:t xml:space="preserve"> </w:t>
      </w:r>
      <w:r w:rsidRPr="001302B9">
        <w:rPr>
          <w:lang w:val="fr-FR"/>
        </w:rPr>
        <w:t>ce</w:t>
      </w:r>
      <w:r>
        <w:rPr>
          <w:lang w:val="fr-FR"/>
        </w:rPr>
        <w:t xml:space="preserve"> </w:t>
      </w:r>
      <w:r w:rsidRPr="001302B9">
        <w:rPr>
          <w:lang w:val="fr-FR"/>
        </w:rPr>
        <w:t>que</w:t>
      </w:r>
      <w:r>
        <w:rPr>
          <w:lang w:val="fr-FR"/>
        </w:rPr>
        <w:t xml:space="preserve"> </w:t>
      </w:r>
      <w:r w:rsidRPr="001302B9">
        <w:rPr>
          <w:lang w:val="fr-FR"/>
        </w:rPr>
        <w:t>la</w:t>
      </w:r>
      <w:r>
        <w:rPr>
          <w:lang w:val="fr-FR"/>
        </w:rPr>
        <w:t xml:space="preserve"> </w:t>
      </w:r>
      <w:r w:rsidRPr="001302B9">
        <w:rPr>
          <w:lang w:val="fr-FR"/>
        </w:rPr>
        <w:t>peine</w:t>
      </w:r>
      <w:r>
        <w:rPr>
          <w:lang w:val="fr-FR"/>
        </w:rPr>
        <w:t xml:space="preserve"> </w:t>
      </w:r>
      <w:r w:rsidRPr="001302B9">
        <w:rPr>
          <w:lang w:val="fr-FR"/>
        </w:rPr>
        <w:t>minimale</w:t>
      </w:r>
      <w:r>
        <w:rPr>
          <w:lang w:val="fr-FR"/>
        </w:rPr>
        <w:t xml:space="preserve"> </w:t>
      </w:r>
      <w:r w:rsidRPr="001302B9">
        <w:rPr>
          <w:lang w:val="fr-FR"/>
        </w:rPr>
        <w:t>dont</w:t>
      </w:r>
      <w:r>
        <w:rPr>
          <w:lang w:val="fr-FR"/>
        </w:rPr>
        <w:t xml:space="preserve"> </w:t>
      </w:r>
      <w:r w:rsidRPr="001302B9">
        <w:rPr>
          <w:lang w:val="fr-FR"/>
        </w:rPr>
        <w:t>la</w:t>
      </w:r>
      <w:r>
        <w:rPr>
          <w:lang w:val="fr-FR"/>
        </w:rPr>
        <w:t xml:space="preserve"> </w:t>
      </w:r>
      <w:r w:rsidRPr="001302B9">
        <w:rPr>
          <w:lang w:val="fr-FR"/>
        </w:rPr>
        <w:t>disparition</w:t>
      </w:r>
      <w:r>
        <w:rPr>
          <w:lang w:val="fr-FR"/>
        </w:rPr>
        <w:t xml:space="preserve"> </w:t>
      </w:r>
      <w:r w:rsidRPr="001302B9">
        <w:rPr>
          <w:lang w:val="fr-FR"/>
        </w:rPr>
        <w:t>forcée</w:t>
      </w:r>
      <w:r>
        <w:rPr>
          <w:lang w:val="fr-FR"/>
        </w:rPr>
        <w:t xml:space="preserve"> </w:t>
      </w:r>
      <w:r w:rsidRPr="001302B9">
        <w:rPr>
          <w:lang w:val="fr-FR"/>
        </w:rPr>
        <w:t>est</w:t>
      </w:r>
      <w:r>
        <w:rPr>
          <w:lang w:val="fr-FR"/>
        </w:rPr>
        <w:t xml:space="preserve"> </w:t>
      </w:r>
      <w:r w:rsidRPr="001302B9">
        <w:rPr>
          <w:lang w:val="fr-FR"/>
        </w:rPr>
        <w:t>passible</w:t>
      </w:r>
      <w:r>
        <w:rPr>
          <w:lang w:val="fr-FR"/>
        </w:rPr>
        <w:t xml:space="preserve"> </w:t>
      </w:r>
      <w:r w:rsidRPr="001302B9">
        <w:rPr>
          <w:lang w:val="fr-FR"/>
        </w:rPr>
        <w:t>soit</w:t>
      </w:r>
      <w:r>
        <w:rPr>
          <w:lang w:val="fr-FR"/>
        </w:rPr>
        <w:t xml:space="preserve"> </w:t>
      </w:r>
      <w:r w:rsidRPr="001302B9">
        <w:rPr>
          <w:lang w:val="fr-FR"/>
        </w:rPr>
        <w:t>proportionnelle</w:t>
      </w:r>
      <w:r>
        <w:rPr>
          <w:lang w:val="fr-FR"/>
        </w:rPr>
        <w:t xml:space="preserve"> </w:t>
      </w:r>
      <w:r w:rsidRPr="001302B9">
        <w:rPr>
          <w:lang w:val="fr-FR"/>
        </w:rPr>
        <w:t>à</w:t>
      </w:r>
      <w:r>
        <w:rPr>
          <w:lang w:val="fr-FR"/>
        </w:rPr>
        <w:t xml:space="preserve"> </w:t>
      </w:r>
      <w:r w:rsidRPr="001302B9">
        <w:rPr>
          <w:lang w:val="fr-FR"/>
        </w:rPr>
        <w:t>l’extrême</w:t>
      </w:r>
      <w:r>
        <w:rPr>
          <w:lang w:val="fr-FR"/>
        </w:rPr>
        <w:t xml:space="preserve"> </w:t>
      </w:r>
      <w:r w:rsidRPr="001302B9">
        <w:rPr>
          <w:lang w:val="fr-FR"/>
        </w:rPr>
        <w:t>gravité</w:t>
      </w:r>
      <w:r>
        <w:rPr>
          <w:lang w:val="fr-FR"/>
        </w:rPr>
        <w:t xml:space="preserve"> </w:t>
      </w:r>
      <w:r w:rsidRPr="001302B9">
        <w:rPr>
          <w:lang w:val="fr-FR"/>
        </w:rPr>
        <w:t>de</w:t>
      </w:r>
      <w:r>
        <w:rPr>
          <w:lang w:val="fr-FR"/>
        </w:rPr>
        <w:t xml:space="preserve"> </w:t>
      </w:r>
      <w:r w:rsidRPr="001302B9">
        <w:rPr>
          <w:lang w:val="fr-FR"/>
        </w:rPr>
        <w:t>cette</w:t>
      </w:r>
      <w:r>
        <w:rPr>
          <w:lang w:val="fr-FR"/>
        </w:rPr>
        <w:t xml:space="preserve"> </w:t>
      </w:r>
      <w:r w:rsidRPr="001302B9">
        <w:rPr>
          <w:lang w:val="fr-FR"/>
        </w:rPr>
        <w:t>infraction</w:t>
      </w:r>
      <w:r>
        <w:rPr>
          <w:lang w:val="fr-FR"/>
        </w:rPr>
        <w:t xml:space="preserve"> </w:t>
      </w:r>
      <w:r w:rsidRPr="001302B9">
        <w:rPr>
          <w:lang w:val="fr-FR"/>
        </w:rPr>
        <w:t>(</w:t>
      </w:r>
      <w:r>
        <w:rPr>
          <w:lang w:val="fr-FR"/>
        </w:rPr>
        <w:t>art. </w:t>
      </w:r>
      <w:r w:rsidRPr="001302B9">
        <w:rPr>
          <w:lang w:val="fr-FR"/>
        </w:rPr>
        <w:t>7).</w:t>
      </w:r>
    </w:p>
    <w:p w14:paraId="646C999B" w14:textId="77777777" w:rsidR="003F0CA1" w:rsidRPr="003F0CA1" w:rsidRDefault="003F0CA1" w:rsidP="003F0CA1">
      <w:pPr>
        <w:pStyle w:val="SingleTxtG"/>
        <w:rPr>
          <w:b/>
          <w:bCs/>
          <w:lang w:val="fr-FR"/>
        </w:rPr>
      </w:pPr>
      <w:r w:rsidRPr="001302B9">
        <w:rPr>
          <w:lang w:val="fr-FR"/>
        </w:rPr>
        <w:lastRenderedPageBreak/>
        <w:t>7.</w:t>
      </w:r>
      <w:r w:rsidRPr="003F0CA1">
        <w:rPr>
          <w:b/>
          <w:bCs/>
          <w:lang w:val="fr-FR"/>
        </w:rPr>
        <w:tab/>
        <w:t>Le Comité recommande à l’État partie de prendre les mesures législatives nécessaires pour que la peine minimale dont la disparition forcée est passible soit conforme aux exigences fixées par l’article 7 de la Convention et tienne dûment compte de l’extrême gravité de cette infraction.</w:t>
      </w:r>
    </w:p>
    <w:p w14:paraId="354DCA6B" w14:textId="20965869" w:rsidR="003F0CA1" w:rsidRPr="001302B9" w:rsidRDefault="003F0CA1" w:rsidP="00E54583">
      <w:pPr>
        <w:pStyle w:val="H23G"/>
        <w:ind w:right="1700"/>
        <w:rPr>
          <w:lang w:val="fr-FR"/>
        </w:rPr>
      </w:pPr>
      <w:r w:rsidRPr="001302B9">
        <w:rPr>
          <w:lang w:val="fr-FR"/>
        </w:rPr>
        <w:tab/>
      </w:r>
      <w:r w:rsidRPr="001302B9">
        <w:rPr>
          <w:lang w:val="fr-FR"/>
        </w:rPr>
        <w:tab/>
        <w:t>Projet</w:t>
      </w:r>
      <w:r>
        <w:rPr>
          <w:lang w:val="fr-FR"/>
        </w:rPr>
        <w:t xml:space="preserve"> </w:t>
      </w:r>
      <w:r w:rsidRPr="001302B9">
        <w:rPr>
          <w:lang w:val="fr-FR"/>
        </w:rPr>
        <w:t>de</w:t>
      </w:r>
      <w:r>
        <w:rPr>
          <w:lang w:val="fr-FR"/>
        </w:rPr>
        <w:t xml:space="preserve"> </w:t>
      </w:r>
      <w:r w:rsidRPr="001302B9">
        <w:rPr>
          <w:lang w:val="fr-FR"/>
        </w:rPr>
        <w:t>loi</w:t>
      </w:r>
      <w:r>
        <w:rPr>
          <w:lang w:val="fr-FR"/>
        </w:rPr>
        <w:t xml:space="preserve"> </w:t>
      </w:r>
      <w:r w:rsidRPr="001302B9">
        <w:rPr>
          <w:lang w:val="fr-FR"/>
        </w:rPr>
        <w:t>sur</w:t>
      </w:r>
      <w:r>
        <w:rPr>
          <w:lang w:val="fr-FR"/>
        </w:rPr>
        <w:t xml:space="preserve"> </w:t>
      </w:r>
      <w:r w:rsidRPr="001302B9">
        <w:rPr>
          <w:lang w:val="fr-FR"/>
        </w:rPr>
        <w:t>l’assignation</w:t>
      </w:r>
      <w:r>
        <w:rPr>
          <w:lang w:val="fr-FR"/>
        </w:rPr>
        <w:t xml:space="preserve"> </w:t>
      </w:r>
      <w:r w:rsidRPr="001302B9">
        <w:rPr>
          <w:lang w:val="fr-FR"/>
        </w:rPr>
        <w:t>à</w:t>
      </w:r>
      <w:r>
        <w:rPr>
          <w:lang w:val="fr-FR"/>
        </w:rPr>
        <w:t xml:space="preserve"> </w:t>
      </w:r>
      <w:r w:rsidRPr="001302B9">
        <w:rPr>
          <w:lang w:val="fr-FR"/>
        </w:rPr>
        <w:t>résidence</w:t>
      </w:r>
      <w:r>
        <w:rPr>
          <w:lang w:val="fr-FR"/>
        </w:rPr>
        <w:t xml:space="preserve"> </w:t>
      </w:r>
      <w:r w:rsidRPr="001302B9">
        <w:rPr>
          <w:lang w:val="fr-FR"/>
        </w:rPr>
        <w:t>des</w:t>
      </w:r>
      <w:r>
        <w:rPr>
          <w:lang w:val="fr-FR"/>
        </w:rPr>
        <w:t xml:space="preserve"> </w:t>
      </w:r>
      <w:r w:rsidRPr="001302B9">
        <w:rPr>
          <w:lang w:val="fr-FR"/>
        </w:rPr>
        <w:t>accusés</w:t>
      </w:r>
      <w:r>
        <w:rPr>
          <w:lang w:val="fr-FR"/>
        </w:rPr>
        <w:t xml:space="preserve"> </w:t>
      </w:r>
      <w:r w:rsidRPr="001302B9">
        <w:rPr>
          <w:lang w:val="fr-FR"/>
        </w:rPr>
        <w:t>et</w:t>
      </w:r>
      <w:r>
        <w:rPr>
          <w:lang w:val="fr-FR"/>
        </w:rPr>
        <w:t xml:space="preserve"> </w:t>
      </w:r>
      <w:r w:rsidRPr="001302B9">
        <w:rPr>
          <w:lang w:val="fr-FR"/>
        </w:rPr>
        <w:t>des</w:t>
      </w:r>
      <w:r>
        <w:rPr>
          <w:lang w:val="fr-FR"/>
        </w:rPr>
        <w:t xml:space="preserve"> </w:t>
      </w:r>
      <w:r w:rsidRPr="001302B9">
        <w:rPr>
          <w:lang w:val="fr-FR"/>
        </w:rPr>
        <w:t>condamnés</w:t>
      </w:r>
      <w:r>
        <w:rPr>
          <w:lang w:val="fr-FR"/>
        </w:rPr>
        <w:t xml:space="preserve"> </w:t>
      </w:r>
      <w:r w:rsidRPr="001302B9">
        <w:rPr>
          <w:lang w:val="fr-FR"/>
        </w:rPr>
        <w:t>de</w:t>
      </w:r>
      <w:r>
        <w:rPr>
          <w:lang w:val="fr-FR"/>
        </w:rPr>
        <w:t xml:space="preserve"> </w:t>
      </w:r>
      <w:r w:rsidRPr="001302B9">
        <w:rPr>
          <w:lang w:val="fr-FR"/>
        </w:rPr>
        <w:t>plus</w:t>
      </w:r>
      <w:r>
        <w:rPr>
          <w:lang w:val="fr-FR"/>
        </w:rPr>
        <w:t xml:space="preserve"> </w:t>
      </w:r>
      <w:r w:rsidRPr="001302B9">
        <w:rPr>
          <w:lang w:val="fr-FR"/>
        </w:rPr>
        <w:t>de</w:t>
      </w:r>
      <w:r w:rsidR="00E54583">
        <w:rPr>
          <w:lang w:val="fr-FR"/>
        </w:rPr>
        <w:t xml:space="preserve"> </w:t>
      </w:r>
      <w:r w:rsidRPr="001302B9">
        <w:rPr>
          <w:lang w:val="fr-FR"/>
        </w:rPr>
        <w:t>65</w:t>
      </w:r>
      <w:r w:rsidR="00E54583">
        <w:rPr>
          <w:lang w:val="fr-FR"/>
        </w:rPr>
        <w:t xml:space="preserve"> </w:t>
      </w:r>
      <w:r w:rsidRPr="001302B9">
        <w:rPr>
          <w:lang w:val="fr-FR"/>
        </w:rPr>
        <w:t>ans</w:t>
      </w:r>
    </w:p>
    <w:p w14:paraId="045B2F0F" w14:textId="58A8ADB7" w:rsidR="003F0CA1" w:rsidRDefault="003F0CA1" w:rsidP="003F0CA1">
      <w:pPr>
        <w:pStyle w:val="SingleTxtG"/>
        <w:rPr>
          <w:lang w:val="fr-FR"/>
        </w:rPr>
      </w:pPr>
      <w:r w:rsidRPr="001302B9">
        <w:rPr>
          <w:lang w:val="fr-FR"/>
        </w:rPr>
        <w:t>8.</w:t>
      </w:r>
      <w:r w:rsidRPr="001302B9">
        <w:rPr>
          <w:lang w:val="fr-FR"/>
        </w:rPr>
        <w:tab/>
        <w:t>Le</w:t>
      </w:r>
      <w:r>
        <w:rPr>
          <w:lang w:val="fr-FR"/>
        </w:rPr>
        <w:t xml:space="preserve"> </w:t>
      </w:r>
      <w:r w:rsidRPr="001302B9">
        <w:rPr>
          <w:lang w:val="fr-FR"/>
        </w:rPr>
        <w:t>Comité</w:t>
      </w:r>
      <w:r>
        <w:rPr>
          <w:lang w:val="fr-FR"/>
        </w:rPr>
        <w:t xml:space="preserve"> </w:t>
      </w:r>
      <w:r w:rsidRPr="001302B9">
        <w:rPr>
          <w:lang w:val="fr-FR"/>
        </w:rPr>
        <w:t>constate</w:t>
      </w:r>
      <w:r>
        <w:rPr>
          <w:lang w:val="fr-FR"/>
        </w:rPr>
        <w:t xml:space="preserve"> </w:t>
      </w:r>
      <w:r w:rsidRPr="001302B9">
        <w:rPr>
          <w:lang w:val="fr-FR"/>
        </w:rPr>
        <w:t>avec</w:t>
      </w:r>
      <w:r>
        <w:rPr>
          <w:lang w:val="fr-FR"/>
        </w:rPr>
        <w:t xml:space="preserve"> </w:t>
      </w:r>
      <w:r w:rsidRPr="001302B9">
        <w:rPr>
          <w:lang w:val="fr-FR"/>
        </w:rPr>
        <w:t>préoccupation</w:t>
      </w:r>
      <w:r>
        <w:rPr>
          <w:lang w:val="fr-FR"/>
        </w:rPr>
        <w:t xml:space="preserve"> </w:t>
      </w:r>
      <w:r w:rsidRPr="001302B9">
        <w:rPr>
          <w:lang w:val="fr-FR"/>
        </w:rPr>
        <w:t>qu’un</w:t>
      </w:r>
      <w:r>
        <w:rPr>
          <w:lang w:val="fr-FR"/>
        </w:rPr>
        <w:t xml:space="preserve"> </w:t>
      </w:r>
      <w:r w:rsidRPr="001302B9">
        <w:rPr>
          <w:lang w:val="fr-FR"/>
        </w:rPr>
        <w:t>projet</w:t>
      </w:r>
      <w:r>
        <w:rPr>
          <w:lang w:val="fr-FR"/>
        </w:rPr>
        <w:t xml:space="preserve"> </w:t>
      </w:r>
      <w:r w:rsidRPr="001302B9">
        <w:rPr>
          <w:lang w:val="fr-FR"/>
        </w:rPr>
        <w:t>de</w:t>
      </w:r>
      <w:r>
        <w:rPr>
          <w:lang w:val="fr-FR"/>
        </w:rPr>
        <w:t xml:space="preserve"> </w:t>
      </w:r>
      <w:r w:rsidRPr="001302B9">
        <w:rPr>
          <w:lang w:val="fr-FR"/>
        </w:rPr>
        <w:t>loi</w:t>
      </w:r>
      <w:r>
        <w:rPr>
          <w:lang w:val="fr-FR"/>
        </w:rPr>
        <w:t xml:space="preserve"> </w:t>
      </w:r>
      <w:r w:rsidRPr="001302B9">
        <w:rPr>
          <w:lang w:val="fr-FR"/>
        </w:rPr>
        <w:t>prévoit</w:t>
      </w:r>
      <w:r>
        <w:rPr>
          <w:lang w:val="fr-FR"/>
        </w:rPr>
        <w:t xml:space="preserve"> </w:t>
      </w:r>
      <w:r w:rsidRPr="001302B9">
        <w:rPr>
          <w:lang w:val="fr-FR"/>
        </w:rPr>
        <w:t>le</w:t>
      </w:r>
      <w:r>
        <w:rPr>
          <w:lang w:val="fr-FR"/>
        </w:rPr>
        <w:t xml:space="preserve"> </w:t>
      </w:r>
      <w:r w:rsidRPr="001302B9">
        <w:rPr>
          <w:lang w:val="fr-FR"/>
        </w:rPr>
        <w:t>remplacement</w:t>
      </w:r>
      <w:r>
        <w:rPr>
          <w:lang w:val="fr-FR"/>
        </w:rPr>
        <w:t xml:space="preserve"> </w:t>
      </w:r>
      <w:r w:rsidRPr="001302B9">
        <w:rPr>
          <w:lang w:val="fr-FR"/>
        </w:rPr>
        <w:t>des</w:t>
      </w:r>
      <w:r>
        <w:rPr>
          <w:lang w:val="fr-FR"/>
        </w:rPr>
        <w:t xml:space="preserve"> </w:t>
      </w:r>
      <w:r w:rsidRPr="001302B9">
        <w:rPr>
          <w:lang w:val="fr-FR"/>
        </w:rPr>
        <w:t>peines</w:t>
      </w:r>
      <w:r>
        <w:rPr>
          <w:lang w:val="fr-FR"/>
        </w:rPr>
        <w:t xml:space="preserve"> </w:t>
      </w:r>
      <w:r w:rsidRPr="001302B9">
        <w:rPr>
          <w:lang w:val="fr-FR"/>
        </w:rPr>
        <w:t>privatives</w:t>
      </w:r>
      <w:r>
        <w:rPr>
          <w:lang w:val="fr-FR"/>
        </w:rPr>
        <w:t xml:space="preserve"> </w:t>
      </w:r>
      <w:r w:rsidRPr="001302B9">
        <w:rPr>
          <w:lang w:val="fr-FR"/>
        </w:rPr>
        <w:t>de</w:t>
      </w:r>
      <w:r>
        <w:rPr>
          <w:lang w:val="fr-FR"/>
        </w:rPr>
        <w:t xml:space="preserve"> </w:t>
      </w:r>
      <w:r w:rsidRPr="001302B9">
        <w:rPr>
          <w:lang w:val="fr-FR"/>
        </w:rPr>
        <w:t>liberté</w:t>
      </w:r>
      <w:r>
        <w:rPr>
          <w:lang w:val="fr-FR"/>
        </w:rPr>
        <w:t xml:space="preserve"> </w:t>
      </w:r>
      <w:r w:rsidRPr="001302B9">
        <w:rPr>
          <w:lang w:val="fr-FR"/>
        </w:rPr>
        <w:t>par</w:t>
      </w:r>
      <w:r>
        <w:rPr>
          <w:lang w:val="fr-FR"/>
        </w:rPr>
        <w:t xml:space="preserve"> </w:t>
      </w:r>
      <w:r w:rsidRPr="001302B9">
        <w:rPr>
          <w:lang w:val="fr-FR"/>
        </w:rPr>
        <w:t>l’assignation</w:t>
      </w:r>
      <w:r>
        <w:rPr>
          <w:lang w:val="fr-FR"/>
        </w:rPr>
        <w:t xml:space="preserve"> </w:t>
      </w:r>
      <w:r w:rsidRPr="001302B9">
        <w:rPr>
          <w:lang w:val="fr-FR"/>
        </w:rPr>
        <w:t>à</w:t>
      </w:r>
      <w:r>
        <w:rPr>
          <w:lang w:val="fr-FR"/>
        </w:rPr>
        <w:t xml:space="preserve"> </w:t>
      </w:r>
      <w:r w:rsidRPr="001302B9">
        <w:rPr>
          <w:lang w:val="fr-FR"/>
        </w:rPr>
        <w:t>résidence</w:t>
      </w:r>
      <w:r>
        <w:rPr>
          <w:lang w:val="fr-FR"/>
        </w:rPr>
        <w:t xml:space="preserve"> </w:t>
      </w:r>
      <w:r w:rsidRPr="001302B9">
        <w:rPr>
          <w:lang w:val="fr-FR"/>
        </w:rPr>
        <w:t>pour</w:t>
      </w:r>
      <w:r>
        <w:rPr>
          <w:lang w:val="fr-FR"/>
        </w:rPr>
        <w:t xml:space="preserve"> </w:t>
      </w:r>
      <w:r w:rsidRPr="001302B9">
        <w:rPr>
          <w:lang w:val="fr-FR"/>
        </w:rPr>
        <w:t>les</w:t>
      </w:r>
      <w:r>
        <w:rPr>
          <w:lang w:val="fr-FR"/>
        </w:rPr>
        <w:t xml:space="preserve"> </w:t>
      </w:r>
      <w:r w:rsidRPr="001302B9">
        <w:rPr>
          <w:lang w:val="fr-FR"/>
        </w:rPr>
        <w:t>accusés</w:t>
      </w:r>
      <w:r>
        <w:rPr>
          <w:lang w:val="fr-FR"/>
        </w:rPr>
        <w:t xml:space="preserve"> </w:t>
      </w:r>
      <w:r w:rsidRPr="001302B9">
        <w:rPr>
          <w:lang w:val="fr-FR"/>
        </w:rPr>
        <w:t>et</w:t>
      </w:r>
      <w:r>
        <w:rPr>
          <w:lang w:val="fr-FR"/>
        </w:rPr>
        <w:t xml:space="preserve"> </w:t>
      </w:r>
      <w:r w:rsidRPr="001302B9">
        <w:rPr>
          <w:lang w:val="fr-FR"/>
        </w:rPr>
        <w:t>les</w:t>
      </w:r>
      <w:r>
        <w:rPr>
          <w:lang w:val="fr-FR"/>
        </w:rPr>
        <w:t xml:space="preserve"> </w:t>
      </w:r>
      <w:r w:rsidRPr="001302B9">
        <w:rPr>
          <w:lang w:val="fr-FR"/>
        </w:rPr>
        <w:t>condamnés</w:t>
      </w:r>
      <w:r>
        <w:rPr>
          <w:lang w:val="fr-FR"/>
        </w:rPr>
        <w:t xml:space="preserve"> </w:t>
      </w:r>
      <w:r w:rsidRPr="001302B9">
        <w:rPr>
          <w:lang w:val="fr-FR"/>
        </w:rPr>
        <w:t>âgés</w:t>
      </w:r>
      <w:r>
        <w:rPr>
          <w:lang w:val="fr-FR"/>
        </w:rPr>
        <w:t xml:space="preserve"> </w:t>
      </w:r>
      <w:r w:rsidRPr="001302B9">
        <w:rPr>
          <w:lang w:val="fr-FR"/>
        </w:rPr>
        <w:t>de</w:t>
      </w:r>
      <w:r>
        <w:rPr>
          <w:lang w:val="fr-FR"/>
        </w:rPr>
        <w:t xml:space="preserve"> </w:t>
      </w:r>
      <w:r w:rsidRPr="001302B9">
        <w:rPr>
          <w:lang w:val="fr-FR"/>
        </w:rPr>
        <w:t>plus</w:t>
      </w:r>
      <w:r>
        <w:rPr>
          <w:lang w:val="fr-FR"/>
        </w:rPr>
        <w:t xml:space="preserve"> </w:t>
      </w:r>
      <w:r w:rsidRPr="001302B9">
        <w:rPr>
          <w:lang w:val="fr-FR"/>
        </w:rPr>
        <w:t>de</w:t>
      </w:r>
      <w:r>
        <w:rPr>
          <w:lang w:val="fr-FR"/>
        </w:rPr>
        <w:t xml:space="preserve"> </w:t>
      </w:r>
      <w:r w:rsidRPr="001302B9">
        <w:rPr>
          <w:lang w:val="fr-FR"/>
        </w:rPr>
        <w:t>65</w:t>
      </w:r>
      <w:r w:rsidR="00CD45C4">
        <w:rPr>
          <w:lang w:val="fr-FR"/>
        </w:rPr>
        <w:t> </w:t>
      </w:r>
      <w:r w:rsidRPr="001302B9">
        <w:rPr>
          <w:lang w:val="fr-FR"/>
        </w:rPr>
        <w:t>ans,</w:t>
      </w:r>
      <w:r>
        <w:rPr>
          <w:lang w:val="fr-FR"/>
        </w:rPr>
        <w:t xml:space="preserve"> </w:t>
      </w:r>
      <w:r w:rsidRPr="001302B9">
        <w:rPr>
          <w:lang w:val="fr-FR"/>
        </w:rPr>
        <w:t>pour</w:t>
      </w:r>
      <w:r>
        <w:rPr>
          <w:lang w:val="fr-FR"/>
        </w:rPr>
        <w:t xml:space="preserve"> </w:t>
      </w:r>
      <w:r w:rsidRPr="001302B9">
        <w:rPr>
          <w:lang w:val="fr-FR"/>
        </w:rPr>
        <w:t>des</w:t>
      </w:r>
      <w:r>
        <w:rPr>
          <w:lang w:val="fr-FR"/>
        </w:rPr>
        <w:t xml:space="preserve"> </w:t>
      </w:r>
      <w:r w:rsidRPr="001302B9">
        <w:rPr>
          <w:lang w:val="fr-FR"/>
        </w:rPr>
        <w:t>raisons</w:t>
      </w:r>
      <w:r>
        <w:rPr>
          <w:lang w:val="fr-FR"/>
        </w:rPr>
        <w:t xml:space="preserve"> </w:t>
      </w:r>
      <w:r w:rsidRPr="001302B9">
        <w:rPr>
          <w:lang w:val="fr-FR"/>
        </w:rPr>
        <w:t>d’humanité,</w:t>
      </w:r>
      <w:r>
        <w:rPr>
          <w:lang w:val="fr-FR"/>
        </w:rPr>
        <w:t xml:space="preserve"> </w:t>
      </w:r>
      <w:r w:rsidRPr="001302B9">
        <w:rPr>
          <w:lang w:val="fr-FR"/>
        </w:rPr>
        <w:t>et</w:t>
      </w:r>
      <w:r>
        <w:rPr>
          <w:lang w:val="fr-FR"/>
        </w:rPr>
        <w:t xml:space="preserve"> </w:t>
      </w:r>
      <w:r w:rsidRPr="001302B9">
        <w:rPr>
          <w:lang w:val="fr-FR"/>
        </w:rPr>
        <w:t>que</w:t>
      </w:r>
      <w:r>
        <w:rPr>
          <w:lang w:val="fr-FR"/>
        </w:rPr>
        <w:t xml:space="preserve"> </w:t>
      </w:r>
      <w:r w:rsidRPr="001302B9">
        <w:rPr>
          <w:lang w:val="fr-FR"/>
        </w:rPr>
        <w:t>les</w:t>
      </w:r>
      <w:r>
        <w:rPr>
          <w:lang w:val="fr-FR"/>
        </w:rPr>
        <w:t xml:space="preserve"> </w:t>
      </w:r>
      <w:r w:rsidRPr="001302B9">
        <w:rPr>
          <w:lang w:val="fr-FR"/>
        </w:rPr>
        <w:t>personnes</w:t>
      </w:r>
      <w:r>
        <w:rPr>
          <w:lang w:val="fr-FR"/>
        </w:rPr>
        <w:t xml:space="preserve"> </w:t>
      </w:r>
      <w:r w:rsidRPr="001302B9">
        <w:rPr>
          <w:lang w:val="fr-FR"/>
        </w:rPr>
        <w:t>poursuivies</w:t>
      </w:r>
      <w:r>
        <w:rPr>
          <w:lang w:val="fr-FR"/>
        </w:rPr>
        <w:t xml:space="preserve"> </w:t>
      </w:r>
      <w:r w:rsidRPr="001302B9">
        <w:rPr>
          <w:lang w:val="fr-FR"/>
        </w:rPr>
        <w:t>et</w:t>
      </w:r>
      <w:r>
        <w:rPr>
          <w:lang w:val="fr-FR"/>
        </w:rPr>
        <w:t xml:space="preserve"> </w:t>
      </w:r>
      <w:r w:rsidRPr="001302B9">
        <w:rPr>
          <w:lang w:val="fr-FR"/>
        </w:rPr>
        <w:t>condamnées</w:t>
      </w:r>
      <w:r>
        <w:rPr>
          <w:lang w:val="fr-FR"/>
        </w:rPr>
        <w:t xml:space="preserve"> </w:t>
      </w:r>
      <w:r w:rsidRPr="001302B9">
        <w:rPr>
          <w:lang w:val="fr-FR"/>
        </w:rPr>
        <w:t>pour</w:t>
      </w:r>
      <w:r>
        <w:rPr>
          <w:lang w:val="fr-FR"/>
        </w:rPr>
        <w:t xml:space="preserve"> </w:t>
      </w:r>
      <w:r w:rsidRPr="001302B9">
        <w:rPr>
          <w:lang w:val="fr-FR"/>
        </w:rPr>
        <w:t>avoir</w:t>
      </w:r>
      <w:r>
        <w:rPr>
          <w:lang w:val="fr-FR"/>
        </w:rPr>
        <w:t xml:space="preserve"> </w:t>
      </w:r>
      <w:r w:rsidRPr="001302B9">
        <w:rPr>
          <w:lang w:val="fr-FR"/>
        </w:rPr>
        <w:t>commis</w:t>
      </w:r>
      <w:r>
        <w:rPr>
          <w:lang w:val="fr-FR"/>
        </w:rPr>
        <w:t xml:space="preserve"> </w:t>
      </w:r>
      <w:r w:rsidRPr="001302B9">
        <w:rPr>
          <w:lang w:val="fr-FR"/>
        </w:rPr>
        <w:t>des</w:t>
      </w:r>
      <w:r>
        <w:rPr>
          <w:lang w:val="fr-FR"/>
        </w:rPr>
        <w:t xml:space="preserve"> </w:t>
      </w:r>
      <w:r w:rsidRPr="001302B9">
        <w:rPr>
          <w:lang w:val="fr-FR"/>
        </w:rPr>
        <w:t>disparitions</w:t>
      </w:r>
      <w:r>
        <w:rPr>
          <w:lang w:val="fr-FR"/>
        </w:rPr>
        <w:t xml:space="preserve"> </w:t>
      </w:r>
      <w:r w:rsidRPr="001302B9">
        <w:rPr>
          <w:lang w:val="fr-FR"/>
        </w:rPr>
        <w:t>forcées</w:t>
      </w:r>
      <w:r>
        <w:rPr>
          <w:lang w:val="fr-FR"/>
        </w:rPr>
        <w:t xml:space="preserve"> </w:t>
      </w:r>
      <w:r w:rsidRPr="001302B9">
        <w:rPr>
          <w:lang w:val="fr-FR"/>
        </w:rPr>
        <w:t>pourraient</w:t>
      </w:r>
      <w:r>
        <w:rPr>
          <w:lang w:val="fr-FR"/>
        </w:rPr>
        <w:t xml:space="preserve"> </w:t>
      </w:r>
      <w:r w:rsidRPr="001302B9">
        <w:rPr>
          <w:lang w:val="fr-FR"/>
        </w:rPr>
        <w:t>bénéficier</w:t>
      </w:r>
      <w:r>
        <w:rPr>
          <w:lang w:val="fr-FR"/>
        </w:rPr>
        <w:t xml:space="preserve"> </w:t>
      </w:r>
      <w:r w:rsidRPr="001302B9">
        <w:rPr>
          <w:lang w:val="fr-FR"/>
        </w:rPr>
        <w:t>de</w:t>
      </w:r>
      <w:r>
        <w:rPr>
          <w:lang w:val="fr-FR"/>
        </w:rPr>
        <w:t xml:space="preserve"> </w:t>
      </w:r>
      <w:r w:rsidRPr="001302B9">
        <w:rPr>
          <w:lang w:val="fr-FR"/>
        </w:rPr>
        <w:t>cette</w:t>
      </w:r>
      <w:r>
        <w:rPr>
          <w:lang w:val="fr-FR"/>
        </w:rPr>
        <w:t xml:space="preserve"> </w:t>
      </w:r>
      <w:r w:rsidRPr="001302B9">
        <w:rPr>
          <w:lang w:val="fr-FR"/>
        </w:rPr>
        <w:t>mesure</w:t>
      </w:r>
      <w:r>
        <w:rPr>
          <w:lang w:val="fr-FR"/>
        </w:rPr>
        <w:t xml:space="preserve"> </w:t>
      </w:r>
      <w:r w:rsidRPr="001302B9">
        <w:rPr>
          <w:lang w:val="fr-FR"/>
        </w:rPr>
        <w:t>car</w:t>
      </w:r>
      <w:r>
        <w:rPr>
          <w:lang w:val="fr-FR"/>
        </w:rPr>
        <w:t xml:space="preserve"> </w:t>
      </w:r>
      <w:r w:rsidRPr="001302B9">
        <w:rPr>
          <w:lang w:val="fr-FR"/>
        </w:rPr>
        <w:t>elles</w:t>
      </w:r>
      <w:r>
        <w:rPr>
          <w:lang w:val="fr-FR"/>
        </w:rPr>
        <w:t xml:space="preserve"> </w:t>
      </w:r>
      <w:r w:rsidRPr="001302B9">
        <w:rPr>
          <w:lang w:val="fr-FR"/>
        </w:rPr>
        <w:t>ne</w:t>
      </w:r>
      <w:r>
        <w:rPr>
          <w:lang w:val="fr-FR"/>
        </w:rPr>
        <w:t xml:space="preserve"> </w:t>
      </w:r>
      <w:r w:rsidRPr="001302B9">
        <w:rPr>
          <w:lang w:val="fr-FR"/>
        </w:rPr>
        <w:t>relèveront</w:t>
      </w:r>
      <w:r>
        <w:rPr>
          <w:lang w:val="fr-FR"/>
        </w:rPr>
        <w:t xml:space="preserve"> </w:t>
      </w:r>
      <w:r w:rsidRPr="001302B9">
        <w:rPr>
          <w:lang w:val="fr-FR"/>
        </w:rPr>
        <w:t>pas</w:t>
      </w:r>
      <w:r>
        <w:rPr>
          <w:lang w:val="fr-FR"/>
        </w:rPr>
        <w:t xml:space="preserve"> </w:t>
      </w:r>
      <w:r w:rsidRPr="001302B9">
        <w:rPr>
          <w:lang w:val="fr-FR"/>
        </w:rPr>
        <w:t>nécessairement</w:t>
      </w:r>
      <w:r>
        <w:rPr>
          <w:lang w:val="fr-FR"/>
        </w:rPr>
        <w:t xml:space="preserve"> </w:t>
      </w:r>
      <w:r w:rsidRPr="001302B9">
        <w:rPr>
          <w:lang w:val="fr-FR"/>
        </w:rPr>
        <w:t>des</w:t>
      </w:r>
      <w:r>
        <w:rPr>
          <w:lang w:val="fr-FR"/>
        </w:rPr>
        <w:t xml:space="preserve"> </w:t>
      </w:r>
      <w:r w:rsidRPr="001302B9">
        <w:rPr>
          <w:lang w:val="fr-FR"/>
        </w:rPr>
        <w:t>exceptions</w:t>
      </w:r>
      <w:r>
        <w:rPr>
          <w:lang w:val="fr-FR"/>
        </w:rPr>
        <w:t xml:space="preserve"> </w:t>
      </w:r>
      <w:r w:rsidRPr="001302B9">
        <w:rPr>
          <w:lang w:val="fr-FR"/>
        </w:rPr>
        <w:t>prévues</w:t>
      </w:r>
      <w:r>
        <w:rPr>
          <w:lang w:val="fr-FR"/>
        </w:rPr>
        <w:t xml:space="preserve"> </w:t>
      </w:r>
      <w:r w:rsidRPr="001302B9">
        <w:rPr>
          <w:lang w:val="fr-FR"/>
        </w:rPr>
        <w:t>par</w:t>
      </w:r>
      <w:r>
        <w:rPr>
          <w:lang w:val="fr-FR"/>
        </w:rPr>
        <w:t xml:space="preserve"> </w:t>
      </w:r>
      <w:r w:rsidRPr="001302B9">
        <w:rPr>
          <w:lang w:val="fr-FR"/>
        </w:rPr>
        <w:t>le</w:t>
      </w:r>
      <w:r>
        <w:rPr>
          <w:lang w:val="fr-FR"/>
        </w:rPr>
        <w:t xml:space="preserve"> </w:t>
      </w:r>
      <w:r w:rsidRPr="001302B9">
        <w:rPr>
          <w:lang w:val="fr-FR"/>
        </w:rPr>
        <w:t>projet</w:t>
      </w:r>
      <w:r>
        <w:rPr>
          <w:lang w:val="fr-FR"/>
        </w:rPr>
        <w:t xml:space="preserve"> </w:t>
      </w:r>
      <w:r w:rsidRPr="001302B9">
        <w:rPr>
          <w:lang w:val="fr-FR"/>
        </w:rPr>
        <w:t>de</w:t>
      </w:r>
      <w:r>
        <w:rPr>
          <w:lang w:val="fr-FR"/>
        </w:rPr>
        <w:t xml:space="preserve"> </w:t>
      </w:r>
      <w:r w:rsidRPr="001302B9">
        <w:rPr>
          <w:lang w:val="fr-FR"/>
        </w:rPr>
        <w:t>loi</w:t>
      </w:r>
      <w:r>
        <w:rPr>
          <w:lang w:val="fr-FR"/>
        </w:rPr>
        <w:t xml:space="preserve"> </w:t>
      </w:r>
      <w:r w:rsidRPr="001302B9">
        <w:rPr>
          <w:lang w:val="fr-FR"/>
        </w:rPr>
        <w:t>(</w:t>
      </w:r>
      <w:r>
        <w:rPr>
          <w:lang w:val="fr-FR"/>
        </w:rPr>
        <w:t>art. </w:t>
      </w:r>
      <w:r w:rsidRPr="001302B9">
        <w:rPr>
          <w:lang w:val="fr-FR"/>
        </w:rPr>
        <w:t>7).</w:t>
      </w:r>
    </w:p>
    <w:p w14:paraId="3929112A" w14:textId="6B7FDEB7" w:rsidR="003F0CA1" w:rsidRPr="00CD45C4" w:rsidRDefault="003F0CA1" w:rsidP="003F0CA1">
      <w:pPr>
        <w:pStyle w:val="SingleTxtG"/>
        <w:rPr>
          <w:b/>
          <w:bCs/>
          <w:spacing w:val="-1"/>
          <w:lang w:val="fr-FR"/>
        </w:rPr>
      </w:pPr>
      <w:r w:rsidRPr="00CD45C4">
        <w:rPr>
          <w:spacing w:val="-1"/>
          <w:lang w:val="fr-FR"/>
        </w:rPr>
        <w:t>9.</w:t>
      </w:r>
      <w:r w:rsidRPr="00CD45C4">
        <w:rPr>
          <w:b/>
          <w:bCs/>
          <w:spacing w:val="-1"/>
          <w:lang w:val="fr-FR"/>
        </w:rPr>
        <w:tab/>
        <w:t>Sachant que la législation uruguayenne permet déjà l’assignation à résidence des personnes poursuivies et des condamnés, le Comité engage l’État partie à retirer le projet de loi sur l’assignation à résidence des personnes poursuivies et des condamnés âgés de plus de 65</w:t>
      </w:r>
      <w:r w:rsidR="00E54583">
        <w:rPr>
          <w:b/>
          <w:bCs/>
          <w:spacing w:val="-1"/>
          <w:lang w:val="fr-FR"/>
        </w:rPr>
        <w:t> </w:t>
      </w:r>
      <w:r w:rsidRPr="00CD45C4">
        <w:rPr>
          <w:b/>
          <w:bCs/>
          <w:spacing w:val="-1"/>
          <w:lang w:val="fr-FR"/>
        </w:rPr>
        <w:t>ans. À défaut, le Comité recommande à l’État partie de s’assurer que les dispositions de ce texte de loi sont pleinement conformes à la Convention et aux autres normes internationales pertinentes et ne sont pas appliquées d’office à toute personne responsable d’avoir participé à une disparition forcée, indépendamment de la date à laquelle les faits ont été commis et de la qualification juridique qui leur est donnée.</w:t>
      </w:r>
    </w:p>
    <w:p w14:paraId="7784535E" w14:textId="77777777" w:rsidR="003F0CA1" w:rsidRPr="003F0CA1" w:rsidRDefault="003F0CA1" w:rsidP="003F0CA1">
      <w:pPr>
        <w:pStyle w:val="H23G"/>
        <w:rPr>
          <w:i/>
          <w:iCs/>
          <w:lang w:val="fr-FR"/>
        </w:rPr>
      </w:pPr>
      <w:r w:rsidRPr="001302B9">
        <w:rPr>
          <w:lang w:val="fr-FR"/>
        </w:rPr>
        <w:tab/>
      </w:r>
      <w:r w:rsidRPr="001302B9">
        <w:rPr>
          <w:lang w:val="fr-FR"/>
        </w:rPr>
        <w:tab/>
      </w:r>
      <w:r w:rsidRPr="003F0CA1">
        <w:rPr>
          <w:i/>
          <w:iCs/>
          <w:lang w:val="fr-FR"/>
        </w:rPr>
        <w:t>Habeas corpus</w:t>
      </w:r>
    </w:p>
    <w:p w14:paraId="2A7F388F" w14:textId="1E79FA59" w:rsidR="003F0CA1" w:rsidRPr="001302B9" w:rsidRDefault="003F0CA1" w:rsidP="003F0CA1">
      <w:pPr>
        <w:pStyle w:val="SingleTxtG"/>
        <w:rPr>
          <w:lang w:val="fr-FR"/>
        </w:rPr>
      </w:pPr>
      <w:r w:rsidRPr="001302B9">
        <w:rPr>
          <w:lang w:val="fr-FR"/>
        </w:rPr>
        <w:t>10.</w:t>
      </w:r>
      <w:r w:rsidRPr="001302B9">
        <w:rPr>
          <w:lang w:val="fr-FR"/>
        </w:rPr>
        <w:tab/>
        <w:t>Le</w:t>
      </w:r>
      <w:r>
        <w:rPr>
          <w:lang w:val="fr-FR"/>
        </w:rPr>
        <w:t xml:space="preserve"> </w:t>
      </w:r>
      <w:r w:rsidRPr="001302B9">
        <w:rPr>
          <w:lang w:val="fr-FR"/>
        </w:rPr>
        <w:t>Comité</w:t>
      </w:r>
      <w:r>
        <w:rPr>
          <w:lang w:val="fr-FR"/>
        </w:rPr>
        <w:t xml:space="preserve"> </w:t>
      </w:r>
      <w:r w:rsidRPr="001302B9">
        <w:rPr>
          <w:lang w:val="fr-FR"/>
        </w:rPr>
        <w:t>rappelle</w:t>
      </w:r>
      <w:r>
        <w:rPr>
          <w:lang w:val="fr-FR"/>
        </w:rPr>
        <w:t xml:space="preserve"> </w:t>
      </w:r>
      <w:r w:rsidRPr="001302B9">
        <w:rPr>
          <w:lang w:val="fr-FR"/>
        </w:rPr>
        <w:t>ses</w:t>
      </w:r>
      <w:r>
        <w:rPr>
          <w:lang w:val="fr-FR"/>
        </w:rPr>
        <w:t xml:space="preserve"> </w:t>
      </w:r>
      <w:r w:rsidRPr="001302B9">
        <w:rPr>
          <w:lang w:val="fr-FR"/>
        </w:rPr>
        <w:t>précédentes</w:t>
      </w:r>
      <w:r>
        <w:rPr>
          <w:lang w:val="fr-FR"/>
        </w:rPr>
        <w:t xml:space="preserve"> </w:t>
      </w:r>
      <w:r w:rsidRPr="001302B9">
        <w:rPr>
          <w:lang w:val="fr-FR"/>
        </w:rPr>
        <w:t>observations</w:t>
      </w:r>
      <w:r>
        <w:rPr>
          <w:lang w:val="fr-FR"/>
        </w:rPr>
        <w:t xml:space="preserve"> </w:t>
      </w:r>
      <w:r w:rsidRPr="001302B9">
        <w:rPr>
          <w:lang w:val="fr-FR"/>
        </w:rPr>
        <w:t>finales</w:t>
      </w:r>
      <w:r w:rsidRPr="00731A47">
        <w:rPr>
          <w:rStyle w:val="Appelnotedebasdep"/>
          <w:lang w:val="fr-FR"/>
        </w:rPr>
        <w:footnoteReference w:id="8"/>
      </w:r>
      <w:r>
        <w:rPr>
          <w:lang w:val="fr-FR"/>
        </w:rPr>
        <w:t xml:space="preserve"> </w:t>
      </w:r>
      <w:r w:rsidRPr="001302B9">
        <w:rPr>
          <w:lang w:val="fr-FR"/>
        </w:rPr>
        <w:t>et,</w:t>
      </w:r>
      <w:r>
        <w:rPr>
          <w:lang w:val="fr-FR"/>
        </w:rPr>
        <w:t xml:space="preserve"> </w:t>
      </w:r>
      <w:r w:rsidRPr="001302B9">
        <w:rPr>
          <w:lang w:val="fr-FR"/>
        </w:rPr>
        <w:t>à</w:t>
      </w:r>
      <w:r>
        <w:rPr>
          <w:lang w:val="fr-FR"/>
        </w:rPr>
        <w:t xml:space="preserve"> </w:t>
      </w:r>
      <w:r w:rsidRPr="001302B9">
        <w:rPr>
          <w:lang w:val="fr-FR"/>
        </w:rPr>
        <w:t>cet</w:t>
      </w:r>
      <w:r>
        <w:rPr>
          <w:lang w:val="fr-FR"/>
        </w:rPr>
        <w:t xml:space="preserve"> </w:t>
      </w:r>
      <w:r w:rsidRPr="001302B9">
        <w:rPr>
          <w:lang w:val="fr-FR"/>
        </w:rPr>
        <w:t>égard,</w:t>
      </w:r>
      <w:r>
        <w:rPr>
          <w:lang w:val="fr-FR"/>
        </w:rPr>
        <w:t xml:space="preserve"> </w:t>
      </w:r>
      <w:r w:rsidRPr="001302B9">
        <w:rPr>
          <w:lang w:val="fr-FR"/>
        </w:rPr>
        <w:t>se</w:t>
      </w:r>
      <w:r>
        <w:rPr>
          <w:lang w:val="fr-FR"/>
        </w:rPr>
        <w:t xml:space="preserve"> </w:t>
      </w:r>
      <w:r w:rsidRPr="001302B9">
        <w:rPr>
          <w:lang w:val="fr-FR"/>
        </w:rPr>
        <w:t>félicite</w:t>
      </w:r>
      <w:r>
        <w:rPr>
          <w:lang w:val="fr-FR"/>
        </w:rPr>
        <w:t xml:space="preserve"> </w:t>
      </w:r>
      <w:r w:rsidRPr="001302B9">
        <w:rPr>
          <w:lang w:val="fr-FR"/>
        </w:rPr>
        <w:t>que</w:t>
      </w:r>
      <w:r>
        <w:rPr>
          <w:lang w:val="fr-FR"/>
        </w:rPr>
        <w:t xml:space="preserve"> </w:t>
      </w:r>
      <w:r w:rsidRPr="001302B9">
        <w:rPr>
          <w:lang w:val="fr-FR"/>
        </w:rPr>
        <w:t>les</w:t>
      </w:r>
      <w:r>
        <w:rPr>
          <w:lang w:val="fr-FR"/>
        </w:rPr>
        <w:t xml:space="preserve"> </w:t>
      </w:r>
      <w:r w:rsidRPr="001302B9">
        <w:rPr>
          <w:lang w:val="fr-FR"/>
        </w:rPr>
        <w:t>articles</w:t>
      </w:r>
      <w:r>
        <w:rPr>
          <w:lang w:val="fr-FR"/>
        </w:rPr>
        <w:t xml:space="preserve"> </w:t>
      </w:r>
      <w:r w:rsidRPr="001302B9">
        <w:rPr>
          <w:lang w:val="fr-FR"/>
        </w:rPr>
        <w:t>351</w:t>
      </w:r>
      <w:r>
        <w:rPr>
          <w:lang w:val="fr-FR"/>
        </w:rPr>
        <w:t xml:space="preserve"> </w:t>
      </w:r>
      <w:r w:rsidRPr="001302B9">
        <w:rPr>
          <w:lang w:val="fr-FR"/>
        </w:rPr>
        <w:t>à</w:t>
      </w:r>
      <w:r>
        <w:rPr>
          <w:lang w:val="fr-FR"/>
        </w:rPr>
        <w:t xml:space="preserve"> </w:t>
      </w:r>
      <w:r w:rsidRPr="001302B9">
        <w:rPr>
          <w:lang w:val="fr-FR"/>
        </w:rPr>
        <w:t>357</w:t>
      </w:r>
      <w:r>
        <w:rPr>
          <w:lang w:val="fr-FR"/>
        </w:rPr>
        <w:t xml:space="preserve"> </w:t>
      </w:r>
      <w:r w:rsidRPr="001302B9">
        <w:rPr>
          <w:lang w:val="fr-FR"/>
        </w:rPr>
        <w:t>du</w:t>
      </w:r>
      <w:r>
        <w:rPr>
          <w:lang w:val="fr-FR"/>
        </w:rPr>
        <w:t xml:space="preserve"> </w:t>
      </w:r>
      <w:r w:rsidRPr="001302B9">
        <w:rPr>
          <w:lang w:val="fr-FR"/>
        </w:rPr>
        <w:t>nouveau</w:t>
      </w:r>
      <w:r>
        <w:rPr>
          <w:lang w:val="fr-FR"/>
        </w:rPr>
        <w:t xml:space="preserve"> </w:t>
      </w:r>
      <w:r w:rsidRPr="001302B9">
        <w:rPr>
          <w:lang w:val="fr-FR"/>
        </w:rPr>
        <w:t>Code</w:t>
      </w:r>
      <w:r>
        <w:rPr>
          <w:lang w:val="fr-FR"/>
        </w:rPr>
        <w:t xml:space="preserve"> </w:t>
      </w:r>
      <w:r w:rsidRPr="001302B9">
        <w:rPr>
          <w:lang w:val="fr-FR"/>
        </w:rPr>
        <w:t>de</w:t>
      </w:r>
      <w:r>
        <w:rPr>
          <w:lang w:val="fr-FR"/>
        </w:rPr>
        <w:t xml:space="preserve"> </w:t>
      </w:r>
      <w:r w:rsidRPr="001302B9">
        <w:rPr>
          <w:lang w:val="fr-FR"/>
        </w:rPr>
        <w:t>procédure</w:t>
      </w:r>
      <w:r>
        <w:rPr>
          <w:lang w:val="fr-FR"/>
        </w:rPr>
        <w:t xml:space="preserve"> </w:t>
      </w:r>
      <w:r w:rsidRPr="001302B9">
        <w:rPr>
          <w:lang w:val="fr-FR"/>
        </w:rPr>
        <w:t>pénale</w:t>
      </w:r>
      <w:r>
        <w:rPr>
          <w:lang w:val="fr-FR"/>
        </w:rPr>
        <w:t xml:space="preserve"> </w:t>
      </w:r>
      <w:r w:rsidRPr="001302B9">
        <w:rPr>
          <w:lang w:val="fr-FR"/>
        </w:rPr>
        <w:t>régissent</w:t>
      </w:r>
      <w:r>
        <w:rPr>
          <w:lang w:val="fr-FR"/>
        </w:rPr>
        <w:t xml:space="preserve"> </w:t>
      </w:r>
      <w:r w:rsidRPr="001302B9">
        <w:rPr>
          <w:lang w:val="fr-FR"/>
        </w:rPr>
        <w:t>l’exercice</w:t>
      </w:r>
      <w:r>
        <w:rPr>
          <w:lang w:val="fr-FR"/>
        </w:rPr>
        <w:t xml:space="preserve"> </w:t>
      </w:r>
      <w:r w:rsidRPr="001302B9">
        <w:rPr>
          <w:lang w:val="fr-FR"/>
        </w:rPr>
        <w:t>du</w:t>
      </w:r>
      <w:r>
        <w:rPr>
          <w:lang w:val="fr-FR"/>
        </w:rPr>
        <w:t xml:space="preserve"> </w:t>
      </w:r>
      <w:r w:rsidRPr="001302B9">
        <w:rPr>
          <w:lang w:val="fr-FR"/>
        </w:rPr>
        <w:t>recours</w:t>
      </w:r>
      <w:r>
        <w:rPr>
          <w:lang w:val="fr-FR"/>
        </w:rPr>
        <w:t xml:space="preserve"> </w:t>
      </w:r>
      <w:r w:rsidRPr="001302B9">
        <w:rPr>
          <w:lang w:val="fr-FR"/>
        </w:rPr>
        <w:t>en</w:t>
      </w:r>
      <w:r>
        <w:rPr>
          <w:lang w:val="fr-FR"/>
        </w:rPr>
        <w:t xml:space="preserve"> </w:t>
      </w:r>
      <w:r w:rsidRPr="001302B9">
        <w:rPr>
          <w:i/>
          <w:iCs/>
          <w:lang w:val="fr-FR"/>
        </w:rPr>
        <w:t>habeas</w:t>
      </w:r>
      <w:r>
        <w:rPr>
          <w:i/>
          <w:iCs/>
          <w:lang w:val="fr-FR"/>
        </w:rPr>
        <w:t xml:space="preserve"> </w:t>
      </w:r>
      <w:r w:rsidRPr="001302B9">
        <w:rPr>
          <w:i/>
          <w:iCs/>
          <w:lang w:val="fr-FR"/>
        </w:rPr>
        <w:t>corpus</w:t>
      </w:r>
      <w:r>
        <w:rPr>
          <w:lang w:val="fr-FR"/>
        </w:rPr>
        <w:t xml:space="preserve"> </w:t>
      </w:r>
      <w:r w:rsidRPr="001302B9">
        <w:rPr>
          <w:lang w:val="fr-FR"/>
        </w:rPr>
        <w:t>par</w:t>
      </w:r>
      <w:r>
        <w:rPr>
          <w:lang w:val="fr-FR"/>
        </w:rPr>
        <w:t xml:space="preserve"> </w:t>
      </w:r>
      <w:r w:rsidRPr="001302B9">
        <w:rPr>
          <w:lang w:val="fr-FR"/>
        </w:rPr>
        <w:t>les</w:t>
      </w:r>
      <w:r>
        <w:rPr>
          <w:lang w:val="fr-FR"/>
        </w:rPr>
        <w:t xml:space="preserve"> </w:t>
      </w:r>
      <w:r w:rsidRPr="001302B9">
        <w:rPr>
          <w:lang w:val="fr-FR"/>
        </w:rPr>
        <w:t>personnes</w:t>
      </w:r>
      <w:r>
        <w:rPr>
          <w:lang w:val="fr-FR"/>
        </w:rPr>
        <w:t xml:space="preserve"> </w:t>
      </w:r>
      <w:r w:rsidRPr="001302B9">
        <w:rPr>
          <w:lang w:val="fr-FR"/>
        </w:rPr>
        <w:t>détenues</w:t>
      </w:r>
      <w:r w:rsidRPr="00731A47">
        <w:rPr>
          <w:rStyle w:val="Appelnotedebasdep"/>
          <w:lang w:val="fr-FR"/>
        </w:rPr>
        <w:footnoteReference w:id="9"/>
      </w:r>
      <w:r w:rsidRPr="001302B9">
        <w:rPr>
          <w:lang w:val="fr-FR"/>
        </w:rPr>
        <w:t>.</w:t>
      </w:r>
      <w:r>
        <w:rPr>
          <w:lang w:val="fr-FR"/>
        </w:rPr>
        <w:t xml:space="preserve"> </w:t>
      </w:r>
      <w:r w:rsidRPr="001302B9">
        <w:rPr>
          <w:lang w:val="fr-FR"/>
        </w:rPr>
        <w:t>En</w:t>
      </w:r>
      <w:r>
        <w:rPr>
          <w:lang w:val="fr-FR"/>
        </w:rPr>
        <w:t xml:space="preserve"> </w:t>
      </w:r>
      <w:r w:rsidRPr="001302B9">
        <w:rPr>
          <w:lang w:val="fr-FR"/>
        </w:rPr>
        <w:t>outre,</w:t>
      </w:r>
      <w:r>
        <w:rPr>
          <w:lang w:val="fr-FR"/>
        </w:rPr>
        <w:t xml:space="preserve"> </w:t>
      </w:r>
      <w:r w:rsidRPr="001302B9">
        <w:rPr>
          <w:lang w:val="fr-FR"/>
        </w:rPr>
        <w:t>il</w:t>
      </w:r>
      <w:r>
        <w:rPr>
          <w:lang w:val="fr-FR"/>
        </w:rPr>
        <w:t xml:space="preserve"> </w:t>
      </w:r>
      <w:r w:rsidRPr="001302B9">
        <w:rPr>
          <w:lang w:val="fr-FR"/>
        </w:rPr>
        <w:t>note</w:t>
      </w:r>
      <w:r>
        <w:rPr>
          <w:lang w:val="fr-FR"/>
        </w:rPr>
        <w:t xml:space="preserve"> </w:t>
      </w:r>
      <w:r w:rsidRPr="001302B9">
        <w:rPr>
          <w:lang w:val="fr-FR"/>
        </w:rPr>
        <w:t>avec</w:t>
      </w:r>
      <w:r>
        <w:rPr>
          <w:lang w:val="fr-FR"/>
        </w:rPr>
        <w:t xml:space="preserve"> </w:t>
      </w:r>
      <w:r w:rsidRPr="001302B9">
        <w:rPr>
          <w:lang w:val="fr-FR"/>
        </w:rPr>
        <w:t>satisfaction</w:t>
      </w:r>
      <w:r>
        <w:rPr>
          <w:lang w:val="fr-FR"/>
        </w:rPr>
        <w:t xml:space="preserve"> </w:t>
      </w:r>
      <w:r w:rsidRPr="001302B9">
        <w:rPr>
          <w:lang w:val="fr-FR"/>
        </w:rPr>
        <w:t>que,</w:t>
      </w:r>
      <w:r>
        <w:rPr>
          <w:lang w:val="fr-FR"/>
        </w:rPr>
        <w:t xml:space="preserve"> </w:t>
      </w:r>
      <w:r w:rsidRPr="001302B9">
        <w:rPr>
          <w:lang w:val="fr-FR"/>
        </w:rPr>
        <w:t>comme</w:t>
      </w:r>
      <w:r>
        <w:rPr>
          <w:lang w:val="fr-FR"/>
        </w:rPr>
        <w:t xml:space="preserve"> </w:t>
      </w:r>
      <w:r w:rsidRPr="001302B9">
        <w:rPr>
          <w:lang w:val="fr-FR"/>
        </w:rPr>
        <w:t>il</w:t>
      </w:r>
      <w:r>
        <w:rPr>
          <w:lang w:val="fr-FR"/>
        </w:rPr>
        <w:t xml:space="preserve"> </w:t>
      </w:r>
      <w:r w:rsidRPr="001302B9">
        <w:rPr>
          <w:lang w:val="fr-FR"/>
        </w:rPr>
        <w:t>en</w:t>
      </w:r>
      <w:r>
        <w:rPr>
          <w:lang w:val="fr-FR"/>
        </w:rPr>
        <w:t xml:space="preserve"> </w:t>
      </w:r>
      <w:r w:rsidRPr="001302B9">
        <w:rPr>
          <w:lang w:val="fr-FR"/>
        </w:rPr>
        <w:t>a</w:t>
      </w:r>
      <w:r>
        <w:rPr>
          <w:lang w:val="fr-FR"/>
        </w:rPr>
        <w:t xml:space="preserve"> </w:t>
      </w:r>
      <w:r w:rsidRPr="001302B9">
        <w:rPr>
          <w:lang w:val="fr-FR"/>
        </w:rPr>
        <w:t>été</w:t>
      </w:r>
      <w:r>
        <w:rPr>
          <w:lang w:val="fr-FR"/>
        </w:rPr>
        <w:t xml:space="preserve"> </w:t>
      </w:r>
      <w:r w:rsidRPr="001302B9">
        <w:rPr>
          <w:lang w:val="fr-FR"/>
        </w:rPr>
        <w:t>informé</w:t>
      </w:r>
      <w:r>
        <w:rPr>
          <w:lang w:val="fr-FR"/>
        </w:rPr>
        <w:t xml:space="preserve"> </w:t>
      </w:r>
      <w:r w:rsidRPr="001302B9">
        <w:rPr>
          <w:lang w:val="fr-FR"/>
        </w:rPr>
        <w:t>au</w:t>
      </w:r>
      <w:r>
        <w:rPr>
          <w:lang w:val="fr-FR"/>
        </w:rPr>
        <w:t xml:space="preserve"> </w:t>
      </w:r>
      <w:r w:rsidRPr="001302B9">
        <w:rPr>
          <w:lang w:val="fr-FR"/>
        </w:rPr>
        <w:t>cours</w:t>
      </w:r>
      <w:r>
        <w:rPr>
          <w:lang w:val="fr-FR"/>
        </w:rPr>
        <w:t xml:space="preserve"> </w:t>
      </w:r>
      <w:r w:rsidRPr="001302B9">
        <w:rPr>
          <w:lang w:val="fr-FR"/>
        </w:rPr>
        <w:t>du</w:t>
      </w:r>
      <w:r>
        <w:rPr>
          <w:lang w:val="fr-FR"/>
        </w:rPr>
        <w:t xml:space="preserve"> </w:t>
      </w:r>
      <w:r w:rsidRPr="001302B9">
        <w:rPr>
          <w:lang w:val="fr-FR"/>
        </w:rPr>
        <w:t>dialogue,</w:t>
      </w:r>
      <w:r>
        <w:rPr>
          <w:lang w:val="fr-FR"/>
        </w:rPr>
        <w:t xml:space="preserve"> </w:t>
      </w:r>
      <w:r w:rsidRPr="001302B9">
        <w:rPr>
          <w:lang w:val="fr-FR"/>
        </w:rPr>
        <w:t>l’article</w:t>
      </w:r>
      <w:r>
        <w:rPr>
          <w:lang w:val="fr-FR"/>
        </w:rPr>
        <w:t xml:space="preserve"> </w:t>
      </w:r>
      <w:r w:rsidRPr="001302B9">
        <w:rPr>
          <w:lang w:val="fr-FR"/>
        </w:rPr>
        <w:t>17</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Constitution,</w:t>
      </w:r>
      <w:r>
        <w:rPr>
          <w:lang w:val="fr-FR"/>
        </w:rPr>
        <w:t xml:space="preserve"> </w:t>
      </w:r>
      <w:r w:rsidRPr="001302B9">
        <w:rPr>
          <w:lang w:val="fr-FR"/>
        </w:rPr>
        <w:t>qui</w:t>
      </w:r>
      <w:r>
        <w:rPr>
          <w:lang w:val="fr-FR"/>
        </w:rPr>
        <w:t xml:space="preserve"> </w:t>
      </w:r>
      <w:r w:rsidRPr="001302B9">
        <w:rPr>
          <w:lang w:val="fr-FR"/>
        </w:rPr>
        <w:t>prévoit</w:t>
      </w:r>
      <w:r>
        <w:rPr>
          <w:lang w:val="fr-FR"/>
        </w:rPr>
        <w:t xml:space="preserve"> </w:t>
      </w:r>
      <w:r w:rsidRPr="001302B9">
        <w:rPr>
          <w:lang w:val="fr-FR"/>
        </w:rPr>
        <w:t>le</w:t>
      </w:r>
      <w:r>
        <w:rPr>
          <w:lang w:val="fr-FR"/>
        </w:rPr>
        <w:t xml:space="preserve"> </w:t>
      </w:r>
      <w:r w:rsidRPr="001302B9">
        <w:rPr>
          <w:lang w:val="fr-FR"/>
        </w:rPr>
        <w:t>recours</w:t>
      </w:r>
      <w:r>
        <w:rPr>
          <w:lang w:val="fr-FR"/>
        </w:rPr>
        <w:t xml:space="preserve"> </w:t>
      </w:r>
      <w:r w:rsidRPr="001302B9">
        <w:rPr>
          <w:lang w:val="fr-FR"/>
        </w:rPr>
        <w:t>en</w:t>
      </w:r>
      <w:r>
        <w:rPr>
          <w:lang w:val="fr-FR"/>
        </w:rPr>
        <w:t xml:space="preserve"> </w:t>
      </w:r>
      <w:r w:rsidRPr="001302B9">
        <w:rPr>
          <w:i/>
          <w:iCs/>
          <w:lang w:val="fr-FR"/>
        </w:rPr>
        <w:t>habeas</w:t>
      </w:r>
      <w:r>
        <w:rPr>
          <w:i/>
          <w:iCs/>
          <w:lang w:val="fr-FR"/>
        </w:rPr>
        <w:t xml:space="preserve"> </w:t>
      </w:r>
      <w:r w:rsidRPr="001302B9">
        <w:rPr>
          <w:i/>
          <w:iCs/>
          <w:lang w:val="fr-FR"/>
        </w:rPr>
        <w:t>corpus</w:t>
      </w:r>
      <w:r w:rsidRPr="001302B9">
        <w:rPr>
          <w:lang w:val="fr-FR"/>
        </w:rPr>
        <w:t>,</w:t>
      </w:r>
      <w:r>
        <w:rPr>
          <w:lang w:val="fr-FR"/>
        </w:rPr>
        <w:t xml:space="preserve"> </w:t>
      </w:r>
      <w:r w:rsidRPr="001302B9">
        <w:rPr>
          <w:lang w:val="fr-FR"/>
        </w:rPr>
        <w:t>est</w:t>
      </w:r>
      <w:r>
        <w:rPr>
          <w:lang w:val="fr-FR"/>
        </w:rPr>
        <w:t xml:space="preserve"> </w:t>
      </w:r>
      <w:r w:rsidRPr="001302B9">
        <w:rPr>
          <w:lang w:val="fr-FR"/>
        </w:rPr>
        <w:t>pleinement</w:t>
      </w:r>
      <w:r>
        <w:rPr>
          <w:lang w:val="fr-FR"/>
        </w:rPr>
        <w:t xml:space="preserve"> </w:t>
      </w:r>
      <w:r w:rsidRPr="001302B9">
        <w:rPr>
          <w:lang w:val="fr-FR"/>
        </w:rPr>
        <w:t>pris</w:t>
      </w:r>
      <w:r>
        <w:rPr>
          <w:lang w:val="fr-FR"/>
        </w:rPr>
        <w:t xml:space="preserve"> </w:t>
      </w:r>
      <w:r w:rsidRPr="001302B9">
        <w:rPr>
          <w:lang w:val="fr-FR"/>
        </w:rPr>
        <w:t>en</w:t>
      </w:r>
      <w:r>
        <w:rPr>
          <w:lang w:val="fr-FR"/>
        </w:rPr>
        <w:t xml:space="preserve"> </w:t>
      </w:r>
      <w:r w:rsidRPr="001302B9">
        <w:rPr>
          <w:lang w:val="fr-FR"/>
        </w:rPr>
        <w:t>considération,</w:t>
      </w:r>
      <w:r>
        <w:rPr>
          <w:lang w:val="fr-FR"/>
        </w:rPr>
        <w:t xml:space="preserve"> </w:t>
      </w:r>
      <w:r w:rsidRPr="001302B9">
        <w:rPr>
          <w:lang w:val="fr-FR"/>
        </w:rPr>
        <w:t>au</w:t>
      </w:r>
      <w:r>
        <w:rPr>
          <w:lang w:val="fr-FR"/>
        </w:rPr>
        <w:t xml:space="preserve"> </w:t>
      </w:r>
      <w:r w:rsidRPr="001302B9">
        <w:rPr>
          <w:lang w:val="fr-FR"/>
        </w:rPr>
        <w:t>quotidien,</w:t>
      </w:r>
      <w:r>
        <w:rPr>
          <w:lang w:val="fr-FR"/>
        </w:rPr>
        <w:t xml:space="preserve"> </w:t>
      </w:r>
      <w:r w:rsidRPr="001302B9">
        <w:rPr>
          <w:lang w:val="fr-FR"/>
        </w:rPr>
        <w:t>par</w:t>
      </w:r>
      <w:r>
        <w:rPr>
          <w:lang w:val="fr-FR"/>
        </w:rPr>
        <w:t xml:space="preserve"> </w:t>
      </w:r>
      <w:r w:rsidRPr="001302B9">
        <w:rPr>
          <w:lang w:val="fr-FR"/>
        </w:rPr>
        <w:t>les</w:t>
      </w:r>
      <w:r>
        <w:rPr>
          <w:lang w:val="fr-FR"/>
        </w:rPr>
        <w:t xml:space="preserve"> </w:t>
      </w:r>
      <w:r w:rsidRPr="001302B9">
        <w:rPr>
          <w:lang w:val="fr-FR"/>
        </w:rPr>
        <w:t>tribunaux.</w:t>
      </w:r>
      <w:r>
        <w:rPr>
          <w:lang w:val="fr-FR"/>
        </w:rPr>
        <w:t xml:space="preserve"> </w:t>
      </w:r>
      <w:r w:rsidRPr="001302B9">
        <w:rPr>
          <w:lang w:val="fr-FR"/>
        </w:rPr>
        <w:t>Il</w:t>
      </w:r>
      <w:r>
        <w:rPr>
          <w:lang w:val="fr-FR"/>
        </w:rPr>
        <w:t xml:space="preserve"> </w:t>
      </w:r>
      <w:r w:rsidRPr="001302B9">
        <w:rPr>
          <w:lang w:val="fr-FR"/>
        </w:rPr>
        <w:t>constate</w:t>
      </w:r>
      <w:r>
        <w:rPr>
          <w:lang w:val="fr-FR"/>
        </w:rPr>
        <w:t xml:space="preserve"> </w:t>
      </w:r>
      <w:r w:rsidRPr="001302B9">
        <w:rPr>
          <w:lang w:val="fr-FR"/>
        </w:rPr>
        <w:t>toutefois</w:t>
      </w:r>
      <w:r>
        <w:rPr>
          <w:lang w:val="fr-FR"/>
        </w:rPr>
        <w:t xml:space="preserve"> </w:t>
      </w:r>
      <w:r w:rsidRPr="001302B9">
        <w:rPr>
          <w:lang w:val="fr-FR"/>
        </w:rPr>
        <w:t>avec</w:t>
      </w:r>
      <w:r>
        <w:rPr>
          <w:lang w:val="fr-FR"/>
        </w:rPr>
        <w:t xml:space="preserve"> </w:t>
      </w:r>
      <w:r w:rsidRPr="001302B9">
        <w:rPr>
          <w:lang w:val="fr-FR"/>
        </w:rPr>
        <w:t>préoccupation</w:t>
      </w:r>
      <w:r>
        <w:rPr>
          <w:lang w:val="fr-FR"/>
        </w:rPr>
        <w:t xml:space="preserve"> </w:t>
      </w:r>
      <w:r w:rsidRPr="001302B9">
        <w:rPr>
          <w:lang w:val="fr-FR"/>
        </w:rPr>
        <w:t>qu’aucune</w:t>
      </w:r>
      <w:r>
        <w:rPr>
          <w:lang w:val="fr-FR"/>
        </w:rPr>
        <w:t xml:space="preserve"> </w:t>
      </w:r>
      <w:r w:rsidRPr="001302B9">
        <w:rPr>
          <w:lang w:val="fr-FR"/>
        </w:rPr>
        <w:t>disposition</w:t>
      </w:r>
      <w:r>
        <w:rPr>
          <w:lang w:val="fr-FR"/>
        </w:rPr>
        <w:t xml:space="preserve"> </w:t>
      </w:r>
      <w:r w:rsidRPr="001302B9">
        <w:rPr>
          <w:lang w:val="fr-FR"/>
        </w:rPr>
        <w:t>de</w:t>
      </w:r>
      <w:r>
        <w:rPr>
          <w:lang w:val="fr-FR"/>
        </w:rPr>
        <w:t xml:space="preserve"> </w:t>
      </w:r>
      <w:r w:rsidRPr="001302B9">
        <w:rPr>
          <w:lang w:val="fr-FR"/>
        </w:rPr>
        <w:t>loi</w:t>
      </w:r>
      <w:r>
        <w:rPr>
          <w:lang w:val="fr-FR"/>
        </w:rPr>
        <w:t xml:space="preserve"> </w:t>
      </w:r>
      <w:r w:rsidRPr="001302B9">
        <w:rPr>
          <w:lang w:val="fr-FR"/>
        </w:rPr>
        <w:t>ne</w:t>
      </w:r>
      <w:r>
        <w:rPr>
          <w:lang w:val="fr-FR"/>
        </w:rPr>
        <w:t xml:space="preserve"> </w:t>
      </w:r>
      <w:r w:rsidRPr="001302B9">
        <w:rPr>
          <w:lang w:val="fr-FR"/>
        </w:rPr>
        <w:t>régit</w:t>
      </w:r>
      <w:r>
        <w:rPr>
          <w:lang w:val="fr-FR"/>
        </w:rPr>
        <w:t xml:space="preserve"> </w:t>
      </w:r>
      <w:r w:rsidRPr="001302B9">
        <w:rPr>
          <w:lang w:val="fr-FR"/>
        </w:rPr>
        <w:t>l’exercice</w:t>
      </w:r>
      <w:r>
        <w:rPr>
          <w:lang w:val="fr-FR"/>
        </w:rPr>
        <w:t xml:space="preserve"> </w:t>
      </w:r>
      <w:r w:rsidRPr="001302B9">
        <w:rPr>
          <w:lang w:val="fr-FR"/>
        </w:rPr>
        <w:t>de</w:t>
      </w:r>
      <w:r>
        <w:rPr>
          <w:lang w:val="fr-FR"/>
        </w:rPr>
        <w:t xml:space="preserve"> </w:t>
      </w:r>
      <w:r w:rsidRPr="001302B9">
        <w:rPr>
          <w:lang w:val="fr-FR"/>
        </w:rPr>
        <w:t>ce</w:t>
      </w:r>
      <w:r>
        <w:rPr>
          <w:lang w:val="fr-FR"/>
        </w:rPr>
        <w:t xml:space="preserve"> </w:t>
      </w:r>
      <w:r w:rsidRPr="001302B9">
        <w:rPr>
          <w:lang w:val="fr-FR"/>
        </w:rPr>
        <w:t>recours</w:t>
      </w:r>
      <w:r>
        <w:rPr>
          <w:lang w:val="fr-FR"/>
        </w:rPr>
        <w:t xml:space="preserve"> </w:t>
      </w:r>
      <w:r w:rsidRPr="001302B9">
        <w:rPr>
          <w:lang w:val="fr-FR"/>
        </w:rPr>
        <w:t>lorsque</w:t>
      </w:r>
      <w:r>
        <w:rPr>
          <w:lang w:val="fr-FR"/>
        </w:rPr>
        <w:t xml:space="preserve"> </w:t>
      </w:r>
      <w:r w:rsidRPr="001302B9">
        <w:rPr>
          <w:lang w:val="fr-FR"/>
        </w:rPr>
        <w:t>la</w:t>
      </w:r>
      <w:r>
        <w:rPr>
          <w:lang w:val="fr-FR"/>
        </w:rPr>
        <w:t xml:space="preserve"> </w:t>
      </w:r>
      <w:r w:rsidRPr="001302B9">
        <w:rPr>
          <w:lang w:val="fr-FR"/>
        </w:rPr>
        <w:t>privation</w:t>
      </w:r>
      <w:r>
        <w:rPr>
          <w:lang w:val="fr-FR"/>
        </w:rPr>
        <w:t xml:space="preserve"> </w:t>
      </w:r>
      <w:r w:rsidRPr="001302B9">
        <w:rPr>
          <w:lang w:val="fr-FR"/>
        </w:rPr>
        <w:t>de</w:t>
      </w:r>
      <w:r>
        <w:rPr>
          <w:lang w:val="fr-FR"/>
        </w:rPr>
        <w:t xml:space="preserve"> </w:t>
      </w:r>
      <w:r w:rsidRPr="001302B9">
        <w:rPr>
          <w:lang w:val="fr-FR"/>
        </w:rPr>
        <w:t>liberté</w:t>
      </w:r>
      <w:r>
        <w:rPr>
          <w:lang w:val="fr-FR"/>
        </w:rPr>
        <w:t xml:space="preserve"> </w:t>
      </w:r>
      <w:r w:rsidRPr="001302B9">
        <w:rPr>
          <w:lang w:val="fr-FR"/>
        </w:rPr>
        <w:t>intervient</w:t>
      </w:r>
      <w:r>
        <w:rPr>
          <w:lang w:val="fr-FR"/>
        </w:rPr>
        <w:t xml:space="preserve"> </w:t>
      </w:r>
      <w:r w:rsidRPr="001302B9">
        <w:rPr>
          <w:lang w:val="fr-FR"/>
        </w:rPr>
        <w:t>dans</w:t>
      </w:r>
      <w:r>
        <w:rPr>
          <w:lang w:val="fr-FR"/>
        </w:rPr>
        <w:t xml:space="preserve"> </w:t>
      </w:r>
      <w:r w:rsidRPr="001302B9">
        <w:rPr>
          <w:lang w:val="fr-FR"/>
        </w:rPr>
        <w:t>le</w:t>
      </w:r>
      <w:r>
        <w:rPr>
          <w:lang w:val="fr-FR"/>
        </w:rPr>
        <w:t xml:space="preserve"> </w:t>
      </w:r>
      <w:r w:rsidRPr="001302B9">
        <w:rPr>
          <w:lang w:val="fr-FR"/>
        </w:rPr>
        <w:t>cadre</w:t>
      </w:r>
      <w:r>
        <w:rPr>
          <w:lang w:val="fr-FR"/>
        </w:rPr>
        <w:t xml:space="preserve"> </w:t>
      </w:r>
      <w:r w:rsidRPr="001302B9">
        <w:rPr>
          <w:lang w:val="fr-FR"/>
        </w:rPr>
        <w:t>d’une</w:t>
      </w:r>
      <w:r>
        <w:rPr>
          <w:lang w:val="fr-FR"/>
        </w:rPr>
        <w:t xml:space="preserve"> </w:t>
      </w:r>
      <w:r w:rsidRPr="001302B9">
        <w:rPr>
          <w:lang w:val="fr-FR"/>
        </w:rPr>
        <w:t>procédure</w:t>
      </w:r>
      <w:r>
        <w:rPr>
          <w:lang w:val="fr-FR"/>
        </w:rPr>
        <w:t xml:space="preserve"> </w:t>
      </w:r>
      <w:r w:rsidRPr="001302B9">
        <w:rPr>
          <w:lang w:val="fr-FR"/>
        </w:rPr>
        <w:t>autre</w:t>
      </w:r>
      <w:r>
        <w:rPr>
          <w:lang w:val="fr-FR"/>
        </w:rPr>
        <w:t xml:space="preserve"> </w:t>
      </w:r>
      <w:r w:rsidRPr="001302B9">
        <w:rPr>
          <w:lang w:val="fr-FR"/>
        </w:rPr>
        <w:t>que</w:t>
      </w:r>
      <w:r>
        <w:rPr>
          <w:lang w:val="fr-FR"/>
        </w:rPr>
        <w:t xml:space="preserve"> </w:t>
      </w:r>
      <w:r w:rsidRPr="001302B9">
        <w:rPr>
          <w:lang w:val="fr-FR"/>
        </w:rPr>
        <w:t>pénale</w:t>
      </w:r>
      <w:r>
        <w:rPr>
          <w:lang w:val="fr-FR"/>
        </w:rPr>
        <w:t xml:space="preserve"> </w:t>
      </w:r>
      <w:r w:rsidRPr="001302B9">
        <w:rPr>
          <w:lang w:val="fr-FR"/>
        </w:rPr>
        <w:t>et</w:t>
      </w:r>
      <w:r>
        <w:rPr>
          <w:lang w:val="fr-FR"/>
        </w:rPr>
        <w:t xml:space="preserve"> </w:t>
      </w:r>
      <w:r w:rsidRPr="001302B9">
        <w:rPr>
          <w:lang w:val="fr-FR"/>
        </w:rPr>
        <w:t>que</w:t>
      </w:r>
      <w:r>
        <w:rPr>
          <w:lang w:val="fr-FR"/>
        </w:rPr>
        <w:t xml:space="preserve"> </w:t>
      </w:r>
      <w:r w:rsidRPr="001302B9">
        <w:rPr>
          <w:lang w:val="fr-FR"/>
        </w:rPr>
        <w:t>l’État</w:t>
      </w:r>
      <w:r>
        <w:rPr>
          <w:lang w:val="fr-FR"/>
        </w:rPr>
        <w:t xml:space="preserve"> </w:t>
      </w:r>
      <w:r w:rsidRPr="001302B9">
        <w:rPr>
          <w:lang w:val="fr-FR"/>
        </w:rPr>
        <w:t>fait</w:t>
      </w:r>
      <w:r>
        <w:rPr>
          <w:lang w:val="fr-FR"/>
        </w:rPr>
        <w:t xml:space="preserve"> </w:t>
      </w:r>
      <w:r w:rsidRPr="001302B9">
        <w:rPr>
          <w:lang w:val="fr-FR"/>
        </w:rPr>
        <w:t>savoir</w:t>
      </w:r>
      <w:r>
        <w:rPr>
          <w:lang w:val="fr-FR"/>
        </w:rPr>
        <w:t xml:space="preserve"> </w:t>
      </w:r>
      <w:r w:rsidRPr="001302B9">
        <w:rPr>
          <w:lang w:val="fr-FR"/>
        </w:rPr>
        <w:t>que,</w:t>
      </w:r>
      <w:r>
        <w:rPr>
          <w:lang w:val="fr-FR"/>
        </w:rPr>
        <w:t xml:space="preserve"> </w:t>
      </w:r>
      <w:r w:rsidRPr="001302B9">
        <w:rPr>
          <w:lang w:val="fr-FR"/>
        </w:rPr>
        <w:t>en</w:t>
      </w:r>
      <w:r>
        <w:rPr>
          <w:lang w:val="fr-FR"/>
        </w:rPr>
        <w:t xml:space="preserve"> </w:t>
      </w:r>
      <w:r w:rsidRPr="001302B9">
        <w:rPr>
          <w:lang w:val="fr-FR"/>
        </w:rPr>
        <w:t>pareil</w:t>
      </w:r>
      <w:r>
        <w:rPr>
          <w:lang w:val="fr-FR"/>
        </w:rPr>
        <w:t xml:space="preserve"> </w:t>
      </w:r>
      <w:r w:rsidRPr="001302B9">
        <w:rPr>
          <w:lang w:val="fr-FR"/>
        </w:rPr>
        <w:t>cas,</w:t>
      </w:r>
      <w:r>
        <w:rPr>
          <w:lang w:val="fr-FR"/>
        </w:rPr>
        <w:t xml:space="preserve"> </w:t>
      </w:r>
      <w:r w:rsidRPr="001302B9">
        <w:rPr>
          <w:lang w:val="fr-FR"/>
        </w:rPr>
        <w:t>la</w:t>
      </w:r>
      <w:r>
        <w:rPr>
          <w:lang w:val="fr-FR"/>
        </w:rPr>
        <w:t xml:space="preserve"> </w:t>
      </w:r>
      <w:r w:rsidRPr="001302B9">
        <w:rPr>
          <w:lang w:val="fr-FR"/>
        </w:rPr>
        <w:t>décision</w:t>
      </w:r>
      <w:r>
        <w:rPr>
          <w:lang w:val="fr-FR"/>
        </w:rPr>
        <w:t xml:space="preserve"> </w:t>
      </w:r>
      <w:r w:rsidRPr="001302B9">
        <w:rPr>
          <w:lang w:val="fr-FR"/>
        </w:rPr>
        <w:t>de</w:t>
      </w:r>
      <w:r>
        <w:rPr>
          <w:lang w:val="fr-FR"/>
        </w:rPr>
        <w:t xml:space="preserve"> </w:t>
      </w:r>
      <w:r w:rsidRPr="001302B9">
        <w:rPr>
          <w:lang w:val="fr-FR"/>
        </w:rPr>
        <w:t>permettre</w:t>
      </w:r>
      <w:r>
        <w:rPr>
          <w:lang w:val="fr-FR"/>
        </w:rPr>
        <w:t xml:space="preserve"> </w:t>
      </w:r>
      <w:r w:rsidRPr="001302B9">
        <w:rPr>
          <w:lang w:val="fr-FR"/>
        </w:rPr>
        <w:t>ou</w:t>
      </w:r>
      <w:r>
        <w:rPr>
          <w:lang w:val="fr-FR"/>
        </w:rPr>
        <w:t xml:space="preserve"> </w:t>
      </w:r>
      <w:r w:rsidRPr="001302B9">
        <w:rPr>
          <w:lang w:val="fr-FR"/>
        </w:rPr>
        <w:t>non</w:t>
      </w:r>
      <w:r>
        <w:rPr>
          <w:lang w:val="fr-FR"/>
        </w:rPr>
        <w:t xml:space="preserve"> </w:t>
      </w:r>
      <w:r w:rsidRPr="001302B9">
        <w:rPr>
          <w:lang w:val="fr-FR"/>
        </w:rPr>
        <w:t>l’</w:t>
      </w:r>
      <w:r w:rsidRPr="001302B9">
        <w:rPr>
          <w:i/>
          <w:iCs/>
          <w:lang w:val="fr-FR"/>
        </w:rPr>
        <w:t>habeas</w:t>
      </w:r>
      <w:r>
        <w:rPr>
          <w:i/>
          <w:iCs/>
          <w:lang w:val="fr-FR"/>
        </w:rPr>
        <w:t xml:space="preserve"> </w:t>
      </w:r>
      <w:r w:rsidRPr="001302B9">
        <w:rPr>
          <w:i/>
          <w:iCs/>
          <w:lang w:val="fr-FR"/>
        </w:rPr>
        <w:t>corpus</w:t>
      </w:r>
      <w:r>
        <w:rPr>
          <w:lang w:val="fr-FR"/>
        </w:rPr>
        <w:t xml:space="preserve"> </w:t>
      </w:r>
      <w:r w:rsidRPr="001302B9">
        <w:rPr>
          <w:lang w:val="fr-FR"/>
        </w:rPr>
        <w:t>dépendra</w:t>
      </w:r>
      <w:r>
        <w:rPr>
          <w:lang w:val="fr-FR"/>
        </w:rPr>
        <w:t xml:space="preserve"> </w:t>
      </w:r>
      <w:r w:rsidRPr="001302B9">
        <w:rPr>
          <w:lang w:val="fr-FR"/>
        </w:rPr>
        <w:t>du</w:t>
      </w:r>
      <w:r>
        <w:rPr>
          <w:lang w:val="fr-FR"/>
        </w:rPr>
        <w:t xml:space="preserve"> </w:t>
      </w:r>
      <w:r w:rsidRPr="001302B9">
        <w:rPr>
          <w:lang w:val="fr-FR"/>
        </w:rPr>
        <w:t>juge</w:t>
      </w:r>
      <w:r>
        <w:rPr>
          <w:lang w:val="fr-FR"/>
        </w:rPr>
        <w:t xml:space="preserve"> </w:t>
      </w:r>
      <w:r w:rsidRPr="001302B9">
        <w:rPr>
          <w:lang w:val="fr-FR"/>
        </w:rPr>
        <w:t>et</w:t>
      </w:r>
      <w:r>
        <w:rPr>
          <w:lang w:val="fr-FR"/>
        </w:rPr>
        <w:t xml:space="preserve"> </w:t>
      </w:r>
      <w:r w:rsidRPr="001302B9">
        <w:rPr>
          <w:lang w:val="fr-FR"/>
        </w:rPr>
        <w:t>de</w:t>
      </w:r>
      <w:r>
        <w:rPr>
          <w:lang w:val="fr-FR"/>
        </w:rPr>
        <w:t xml:space="preserve"> </w:t>
      </w:r>
      <w:r w:rsidRPr="001302B9">
        <w:rPr>
          <w:lang w:val="fr-FR"/>
        </w:rPr>
        <w:t>son</w:t>
      </w:r>
      <w:r>
        <w:rPr>
          <w:lang w:val="fr-FR"/>
        </w:rPr>
        <w:t xml:space="preserve"> </w:t>
      </w:r>
      <w:r w:rsidRPr="001302B9">
        <w:rPr>
          <w:lang w:val="fr-FR"/>
        </w:rPr>
        <w:t>pouvoir</w:t>
      </w:r>
      <w:r>
        <w:rPr>
          <w:lang w:val="fr-FR"/>
        </w:rPr>
        <w:t xml:space="preserve"> </w:t>
      </w:r>
      <w:r w:rsidRPr="001302B9">
        <w:rPr>
          <w:lang w:val="fr-FR"/>
        </w:rPr>
        <w:t>d’appréciation</w:t>
      </w:r>
      <w:r>
        <w:rPr>
          <w:lang w:val="fr-FR"/>
        </w:rPr>
        <w:t xml:space="preserve"> </w:t>
      </w:r>
      <w:r w:rsidRPr="001302B9">
        <w:rPr>
          <w:lang w:val="fr-FR"/>
        </w:rPr>
        <w:t>dans</w:t>
      </w:r>
      <w:r>
        <w:rPr>
          <w:lang w:val="fr-FR"/>
        </w:rPr>
        <w:t xml:space="preserve"> </w:t>
      </w:r>
      <w:r w:rsidRPr="001302B9">
        <w:rPr>
          <w:lang w:val="fr-FR"/>
        </w:rPr>
        <w:t>ce</w:t>
      </w:r>
      <w:r>
        <w:rPr>
          <w:lang w:val="fr-FR"/>
        </w:rPr>
        <w:t xml:space="preserve"> </w:t>
      </w:r>
      <w:r w:rsidRPr="001302B9">
        <w:rPr>
          <w:lang w:val="fr-FR"/>
        </w:rPr>
        <w:t>cas</w:t>
      </w:r>
      <w:r>
        <w:rPr>
          <w:lang w:val="fr-FR"/>
        </w:rPr>
        <w:t xml:space="preserve"> </w:t>
      </w:r>
      <w:r w:rsidRPr="001302B9">
        <w:rPr>
          <w:lang w:val="fr-FR"/>
        </w:rPr>
        <w:t>précis</w:t>
      </w:r>
      <w:r>
        <w:rPr>
          <w:lang w:val="fr-FR"/>
        </w:rPr>
        <w:t xml:space="preserve"> </w:t>
      </w:r>
      <w:r w:rsidRPr="001302B9">
        <w:rPr>
          <w:lang w:val="fr-FR"/>
        </w:rPr>
        <w:t>(</w:t>
      </w:r>
      <w:r>
        <w:rPr>
          <w:lang w:val="fr-FR"/>
        </w:rPr>
        <w:t>art. </w:t>
      </w:r>
      <w:r w:rsidRPr="001302B9">
        <w:rPr>
          <w:lang w:val="fr-FR"/>
        </w:rPr>
        <w:t>17)</w:t>
      </w:r>
      <w:r w:rsidRPr="00731A47">
        <w:rPr>
          <w:rStyle w:val="Appelnotedebasdep"/>
          <w:lang w:val="fr-FR"/>
        </w:rPr>
        <w:footnoteReference w:id="10"/>
      </w:r>
      <w:r w:rsidRPr="001302B9">
        <w:rPr>
          <w:lang w:val="fr-FR"/>
        </w:rPr>
        <w:t>.</w:t>
      </w:r>
    </w:p>
    <w:p w14:paraId="6DA97FB7" w14:textId="2AAED9CF" w:rsidR="003F0CA1" w:rsidRPr="003F0CA1" w:rsidRDefault="003F0CA1" w:rsidP="003F0CA1">
      <w:pPr>
        <w:pStyle w:val="SingleTxtG"/>
        <w:rPr>
          <w:b/>
          <w:bCs/>
          <w:lang w:val="fr-FR"/>
        </w:rPr>
      </w:pPr>
      <w:r w:rsidRPr="001302B9">
        <w:rPr>
          <w:lang w:val="fr-FR"/>
        </w:rPr>
        <w:t>11.</w:t>
      </w:r>
      <w:r w:rsidRPr="003F0CA1">
        <w:rPr>
          <w:b/>
          <w:bCs/>
          <w:lang w:val="fr-FR"/>
        </w:rPr>
        <w:tab/>
        <w:t xml:space="preserve">Le Comité recommande à l’État partie de régir l’exercice du recours en </w:t>
      </w:r>
      <w:r w:rsidRPr="003F0CA1">
        <w:rPr>
          <w:b/>
          <w:bCs/>
          <w:i/>
          <w:iCs/>
          <w:lang w:val="fr-FR"/>
        </w:rPr>
        <w:t>habeas corpus</w:t>
      </w:r>
      <w:r w:rsidRPr="003F0CA1">
        <w:rPr>
          <w:b/>
          <w:bCs/>
          <w:lang w:val="fr-FR"/>
        </w:rPr>
        <w:t xml:space="preserve"> par les personnes privées de liberté dans le cadre de procédures autres que pénales en veillant à ce que les dispositions de l’article 17 (</w:t>
      </w:r>
      <w:r>
        <w:rPr>
          <w:b/>
          <w:bCs/>
          <w:lang w:val="fr-FR"/>
        </w:rPr>
        <w:t>par. </w:t>
      </w:r>
      <w:r w:rsidRPr="003F0CA1">
        <w:rPr>
          <w:b/>
          <w:bCs/>
          <w:lang w:val="fr-FR"/>
        </w:rPr>
        <w:t>2</w:t>
      </w:r>
      <w:r w:rsidR="00CD45C4">
        <w:rPr>
          <w:b/>
          <w:bCs/>
          <w:lang w:val="fr-FR"/>
        </w:rPr>
        <w:t> </w:t>
      </w:r>
      <w:r w:rsidRPr="003F0CA1">
        <w:rPr>
          <w:b/>
          <w:bCs/>
          <w:lang w:val="fr-FR"/>
        </w:rPr>
        <w:t>f)) de la Convention soient pleinement respectées.</w:t>
      </w:r>
    </w:p>
    <w:p w14:paraId="1A959169" w14:textId="77777777" w:rsidR="003F0CA1" w:rsidRDefault="003F0CA1" w:rsidP="003F0CA1">
      <w:pPr>
        <w:pStyle w:val="H23G"/>
        <w:rPr>
          <w:lang w:val="fr-FR"/>
        </w:rPr>
      </w:pPr>
      <w:r w:rsidRPr="001302B9">
        <w:rPr>
          <w:lang w:val="fr-FR"/>
        </w:rPr>
        <w:tab/>
      </w:r>
      <w:r w:rsidRPr="001302B9">
        <w:rPr>
          <w:lang w:val="fr-FR"/>
        </w:rPr>
        <w:tab/>
        <w:t>Définition</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notion</w:t>
      </w:r>
      <w:r>
        <w:rPr>
          <w:lang w:val="fr-FR"/>
        </w:rPr>
        <w:t xml:space="preserve"> </w:t>
      </w:r>
      <w:r w:rsidRPr="001302B9">
        <w:rPr>
          <w:lang w:val="fr-FR"/>
        </w:rPr>
        <w:t>de</w:t>
      </w:r>
      <w:r>
        <w:rPr>
          <w:lang w:val="fr-FR"/>
        </w:rPr>
        <w:t xml:space="preserve"> </w:t>
      </w:r>
      <w:r w:rsidRPr="001302B9">
        <w:rPr>
          <w:lang w:val="fr-FR"/>
        </w:rPr>
        <w:t>victime</w:t>
      </w:r>
    </w:p>
    <w:p w14:paraId="76F81B6B" w14:textId="78882F80" w:rsidR="003F0CA1" w:rsidRPr="001302B9" w:rsidRDefault="003F0CA1" w:rsidP="003F0CA1">
      <w:pPr>
        <w:pStyle w:val="SingleTxtG"/>
        <w:rPr>
          <w:lang w:val="fr-FR"/>
        </w:rPr>
      </w:pPr>
      <w:r w:rsidRPr="001302B9">
        <w:rPr>
          <w:lang w:val="fr-FR"/>
        </w:rPr>
        <w:t>12.</w:t>
      </w:r>
      <w:r w:rsidRPr="001302B9">
        <w:rPr>
          <w:lang w:val="fr-FR"/>
        </w:rPr>
        <w:tab/>
        <w:t>Le</w:t>
      </w:r>
      <w:r>
        <w:rPr>
          <w:lang w:val="fr-FR"/>
        </w:rPr>
        <w:t xml:space="preserve"> </w:t>
      </w:r>
      <w:r w:rsidRPr="001302B9">
        <w:rPr>
          <w:lang w:val="fr-FR"/>
        </w:rPr>
        <w:t>Comité</w:t>
      </w:r>
      <w:r>
        <w:rPr>
          <w:lang w:val="fr-FR"/>
        </w:rPr>
        <w:t xml:space="preserve"> </w:t>
      </w:r>
      <w:r w:rsidRPr="001302B9">
        <w:rPr>
          <w:lang w:val="fr-FR"/>
        </w:rPr>
        <w:t>constate</w:t>
      </w:r>
      <w:r>
        <w:rPr>
          <w:lang w:val="fr-FR"/>
        </w:rPr>
        <w:t xml:space="preserve"> </w:t>
      </w:r>
      <w:r w:rsidRPr="001302B9">
        <w:rPr>
          <w:lang w:val="fr-FR"/>
        </w:rPr>
        <w:t>que</w:t>
      </w:r>
      <w:r>
        <w:rPr>
          <w:lang w:val="fr-FR"/>
        </w:rPr>
        <w:t xml:space="preserve"> </w:t>
      </w:r>
      <w:r w:rsidRPr="001302B9">
        <w:rPr>
          <w:lang w:val="fr-FR"/>
        </w:rPr>
        <w:t>l’article</w:t>
      </w:r>
      <w:r>
        <w:rPr>
          <w:lang w:val="fr-FR"/>
        </w:rPr>
        <w:t xml:space="preserve"> </w:t>
      </w:r>
      <w:r w:rsidRPr="001302B9">
        <w:rPr>
          <w:lang w:val="fr-FR"/>
        </w:rPr>
        <w:t>79.1</w:t>
      </w:r>
      <w:r>
        <w:rPr>
          <w:lang w:val="fr-FR"/>
        </w:rPr>
        <w:t xml:space="preserve"> </w:t>
      </w:r>
      <w:r w:rsidRPr="001302B9">
        <w:rPr>
          <w:lang w:val="fr-FR"/>
        </w:rPr>
        <w:t>du</w:t>
      </w:r>
      <w:r>
        <w:rPr>
          <w:lang w:val="fr-FR"/>
        </w:rPr>
        <w:t xml:space="preserve"> </w:t>
      </w:r>
      <w:r w:rsidRPr="001302B9">
        <w:rPr>
          <w:lang w:val="fr-FR"/>
        </w:rPr>
        <w:t>Code</w:t>
      </w:r>
      <w:r>
        <w:rPr>
          <w:lang w:val="fr-FR"/>
        </w:rPr>
        <w:t xml:space="preserve"> </w:t>
      </w:r>
      <w:r w:rsidRPr="001302B9">
        <w:rPr>
          <w:lang w:val="fr-FR"/>
        </w:rPr>
        <w:t>de</w:t>
      </w:r>
      <w:r>
        <w:rPr>
          <w:lang w:val="fr-FR"/>
        </w:rPr>
        <w:t xml:space="preserve"> </w:t>
      </w:r>
      <w:r w:rsidRPr="001302B9">
        <w:rPr>
          <w:lang w:val="fr-FR"/>
        </w:rPr>
        <w:t>procédure</w:t>
      </w:r>
      <w:r>
        <w:rPr>
          <w:lang w:val="fr-FR"/>
        </w:rPr>
        <w:t xml:space="preserve"> </w:t>
      </w:r>
      <w:r w:rsidRPr="001302B9">
        <w:rPr>
          <w:lang w:val="fr-FR"/>
        </w:rPr>
        <w:t>pénale</w:t>
      </w:r>
      <w:r>
        <w:rPr>
          <w:lang w:val="fr-FR"/>
        </w:rPr>
        <w:t xml:space="preserve"> </w:t>
      </w:r>
      <w:r w:rsidRPr="001302B9">
        <w:rPr>
          <w:lang w:val="fr-FR"/>
        </w:rPr>
        <w:t>définit</w:t>
      </w:r>
      <w:r>
        <w:rPr>
          <w:lang w:val="fr-FR"/>
        </w:rPr>
        <w:t xml:space="preserve"> </w:t>
      </w:r>
      <w:r w:rsidRPr="001302B9">
        <w:rPr>
          <w:lang w:val="fr-FR"/>
        </w:rPr>
        <w:t>la</w:t>
      </w:r>
      <w:r>
        <w:rPr>
          <w:lang w:val="fr-FR"/>
        </w:rPr>
        <w:t xml:space="preserve"> </w:t>
      </w:r>
      <w:r w:rsidRPr="001302B9">
        <w:rPr>
          <w:lang w:val="fr-FR"/>
        </w:rPr>
        <w:t>victime</w:t>
      </w:r>
      <w:r>
        <w:rPr>
          <w:lang w:val="fr-FR"/>
        </w:rPr>
        <w:t xml:space="preserve"> </w:t>
      </w:r>
      <w:r w:rsidRPr="001302B9">
        <w:rPr>
          <w:lang w:val="fr-FR"/>
        </w:rPr>
        <w:t>comme</w:t>
      </w:r>
      <w:r>
        <w:rPr>
          <w:lang w:val="fr-FR"/>
        </w:rPr>
        <w:t xml:space="preserve"> </w:t>
      </w:r>
      <w:r w:rsidRPr="001302B9">
        <w:rPr>
          <w:lang w:val="fr-FR"/>
        </w:rPr>
        <w:t>étant</w:t>
      </w:r>
      <w:r>
        <w:rPr>
          <w:lang w:val="fr-FR"/>
        </w:rPr>
        <w:t xml:space="preserve"> </w:t>
      </w:r>
      <w:r w:rsidRPr="001302B9">
        <w:rPr>
          <w:lang w:val="fr-FR"/>
        </w:rPr>
        <w:t>la</w:t>
      </w:r>
      <w:r>
        <w:rPr>
          <w:lang w:val="fr-FR"/>
        </w:rPr>
        <w:t xml:space="preserve"> </w:t>
      </w:r>
      <w:r w:rsidRPr="001302B9">
        <w:rPr>
          <w:lang w:val="fr-FR"/>
        </w:rPr>
        <w:t>personne</w:t>
      </w:r>
      <w:r>
        <w:rPr>
          <w:lang w:val="fr-FR"/>
        </w:rPr>
        <w:t xml:space="preserve"> </w:t>
      </w:r>
      <w:r w:rsidRPr="001302B9">
        <w:rPr>
          <w:lang w:val="fr-FR"/>
        </w:rPr>
        <w:t>lésée</w:t>
      </w:r>
      <w:r>
        <w:rPr>
          <w:lang w:val="fr-FR"/>
        </w:rPr>
        <w:t xml:space="preserve"> </w:t>
      </w:r>
      <w:r w:rsidRPr="001302B9">
        <w:rPr>
          <w:lang w:val="fr-FR"/>
        </w:rPr>
        <w:t>par</w:t>
      </w:r>
      <w:r>
        <w:rPr>
          <w:lang w:val="fr-FR"/>
        </w:rPr>
        <w:t xml:space="preserve"> </w:t>
      </w:r>
      <w:r w:rsidRPr="001302B9">
        <w:rPr>
          <w:lang w:val="fr-FR"/>
        </w:rPr>
        <w:t>l’infraction</w:t>
      </w:r>
      <w:r>
        <w:rPr>
          <w:lang w:val="fr-FR"/>
        </w:rPr>
        <w:t xml:space="preserve"> </w:t>
      </w:r>
      <w:r w:rsidRPr="001302B9">
        <w:rPr>
          <w:lang w:val="fr-FR"/>
        </w:rPr>
        <w:t>et</w:t>
      </w:r>
      <w:r>
        <w:rPr>
          <w:lang w:val="fr-FR"/>
        </w:rPr>
        <w:t xml:space="preserve"> </w:t>
      </w:r>
      <w:r w:rsidRPr="001302B9">
        <w:rPr>
          <w:lang w:val="fr-FR"/>
        </w:rPr>
        <w:t>que</w:t>
      </w:r>
      <w:r>
        <w:rPr>
          <w:lang w:val="fr-FR"/>
        </w:rPr>
        <w:t xml:space="preserve"> </w:t>
      </w:r>
      <w:r w:rsidRPr="001302B9">
        <w:rPr>
          <w:lang w:val="fr-FR"/>
        </w:rPr>
        <w:t>l’article</w:t>
      </w:r>
      <w:r>
        <w:rPr>
          <w:lang w:val="fr-FR"/>
        </w:rPr>
        <w:t xml:space="preserve"> </w:t>
      </w:r>
      <w:r w:rsidRPr="001302B9">
        <w:rPr>
          <w:lang w:val="fr-FR"/>
        </w:rPr>
        <w:t>80</w:t>
      </w:r>
      <w:r>
        <w:rPr>
          <w:lang w:val="fr-FR"/>
        </w:rPr>
        <w:t xml:space="preserve"> </w:t>
      </w:r>
      <w:r w:rsidRPr="001302B9">
        <w:rPr>
          <w:lang w:val="fr-FR"/>
        </w:rPr>
        <w:t>établit</w:t>
      </w:r>
      <w:r>
        <w:rPr>
          <w:lang w:val="fr-FR"/>
        </w:rPr>
        <w:t xml:space="preserve"> </w:t>
      </w:r>
      <w:r w:rsidRPr="001302B9">
        <w:rPr>
          <w:lang w:val="fr-FR"/>
        </w:rPr>
        <w:t>qui</w:t>
      </w:r>
      <w:r>
        <w:rPr>
          <w:lang w:val="fr-FR"/>
        </w:rPr>
        <w:t xml:space="preserve"> </w:t>
      </w:r>
      <w:r w:rsidRPr="001302B9">
        <w:rPr>
          <w:lang w:val="fr-FR"/>
        </w:rPr>
        <w:t>peut</w:t>
      </w:r>
      <w:r>
        <w:rPr>
          <w:lang w:val="fr-FR"/>
        </w:rPr>
        <w:t xml:space="preserve"> </w:t>
      </w:r>
      <w:r w:rsidRPr="001302B9">
        <w:rPr>
          <w:lang w:val="fr-FR"/>
        </w:rPr>
        <w:t>représenter</w:t>
      </w:r>
      <w:r>
        <w:rPr>
          <w:lang w:val="fr-FR"/>
        </w:rPr>
        <w:t xml:space="preserve"> </w:t>
      </w:r>
      <w:r w:rsidRPr="001302B9">
        <w:rPr>
          <w:lang w:val="fr-FR"/>
        </w:rPr>
        <w:t>la</w:t>
      </w:r>
      <w:r>
        <w:rPr>
          <w:lang w:val="fr-FR"/>
        </w:rPr>
        <w:t xml:space="preserve"> </w:t>
      </w:r>
      <w:r w:rsidRPr="001302B9">
        <w:rPr>
          <w:lang w:val="fr-FR"/>
        </w:rPr>
        <w:t>victime</w:t>
      </w:r>
      <w:r>
        <w:rPr>
          <w:lang w:val="fr-FR"/>
        </w:rPr>
        <w:t xml:space="preserve"> </w:t>
      </w:r>
      <w:r w:rsidRPr="001302B9">
        <w:rPr>
          <w:lang w:val="fr-FR"/>
        </w:rPr>
        <w:t>en</w:t>
      </w:r>
      <w:r>
        <w:rPr>
          <w:lang w:val="fr-FR"/>
        </w:rPr>
        <w:t xml:space="preserve"> </w:t>
      </w:r>
      <w:r w:rsidRPr="001302B9">
        <w:rPr>
          <w:lang w:val="fr-FR"/>
        </w:rPr>
        <w:t>cas</w:t>
      </w:r>
      <w:r>
        <w:rPr>
          <w:lang w:val="fr-FR"/>
        </w:rPr>
        <w:t xml:space="preserve"> </w:t>
      </w:r>
      <w:r w:rsidRPr="001302B9">
        <w:rPr>
          <w:lang w:val="fr-FR"/>
        </w:rPr>
        <w:t>de</w:t>
      </w:r>
      <w:r>
        <w:rPr>
          <w:lang w:val="fr-FR"/>
        </w:rPr>
        <w:t xml:space="preserve"> </w:t>
      </w:r>
      <w:r w:rsidRPr="001302B9">
        <w:rPr>
          <w:lang w:val="fr-FR"/>
        </w:rPr>
        <w:t>décès</w:t>
      </w:r>
      <w:r>
        <w:rPr>
          <w:lang w:val="fr-FR"/>
        </w:rPr>
        <w:t xml:space="preserve"> </w:t>
      </w:r>
      <w:r w:rsidRPr="001302B9">
        <w:rPr>
          <w:lang w:val="fr-FR"/>
        </w:rPr>
        <w:t>ou</w:t>
      </w:r>
      <w:r>
        <w:rPr>
          <w:lang w:val="fr-FR"/>
        </w:rPr>
        <w:t xml:space="preserve"> </w:t>
      </w:r>
      <w:r w:rsidRPr="001302B9">
        <w:rPr>
          <w:lang w:val="fr-FR"/>
        </w:rPr>
        <w:t>d’incapacité</w:t>
      </w:r>
      <w:r>
        <w:rPr>
          <w:lang w:val="fr-FR"/>
        </w:rPr>
        <w:t xml:space="preserve"> </w:t>
      </w:r>
      <w:r w:rsidRPr="001302B9">
        <w:rPr>
          <w:lang w:val="fr-FR"/>
        </w:rPr>
        <w:t>à</w:t>
      </w:r>
      <w:r>
        <w:rPr>
          <w:lang w:val="fr-FR"/>
        </w:rPr>
        <w:t xml:space="preserve"> </w:t>
      </w:r>
      <w:r w:rsidRPr="001302B9">
        <w:rPr>
          <w:lang w:val="fr-FR"/>
        </w:rPr>
        <w:t>exercer</w:t>
      </w:r>
      <w:r>
        <w:rPr>
          <w:lang w:val="fr-FR"/>
        </w:rPr>
        <w:t xml:space="preserve"> </w:t>
      </w:r>
      <w:r w:rsidRPr="001302B9">
        <w:rPr>
          <w:lang w:val="fr-FR"/>
        </w:rPr>
        <w:t>ses</w:t>
      </w:r>
      <w:r>
        <w:rPr>
          <w:lang w:val="fr-FR"/>
        </w:rPr>
        <w:t xml:space="preserve"> </w:t>
      </w:r>
      <w:r w:rsidRPr="001302B9">
        <w:rPr>
          <w:lang w:val="fr-FR"/>
        </w:rPr>
        <w:t>droits.</w:t>
      </w:r>
      <w:r>
        <w:rPr>
          <w:lang w:val="fr-FR"/>
        </w:rPr>
        <w:t xml:space="preserve"> </w:t>
      </w:r>
      <w:r w:rsidRPr="001302B9">
        <w:rPr>
          <w:lang w:val="fr-FR"/>
        </w:rPr>
        <w:t>À</w:t>
      </w:r>
      <w:r>
        <w:rPr>
          <w:lang w:val="fr-FR"/>
        </w:rPr>
        <w:t xml:space="preserve"> </w:t>
      </w:r>
      <w:r w:rsidRPr="001302B9">
        <w:rPr>
          <w:lang w:val="fr-FR"/>
        </w:rPr>
        <w:t>cet</w:t>
      </w:r>
      <w:r>
        <w:rPr>
          <w:lang w:val="fr-FR"/>
        </w:rPr>
        <w:t xml:space="preserve"> </w:t>
      </w:r>
      <w:r w:rsidRPr="001302B9">
        <w:rPr>
          <w:lang w:val="fr-FR"/>
        </w:rPr>
        <w:t>égard,</w:t>
      </w:r>
      <w:r>
        <w:rPr>
          <w:lang w:val="fr-FR"/>
        </w:rPr>
        <w:t xml:space="preserve"> </w:t>
      </w:r>
      <w:r w:rsidRPr="001302B9">
        <w:rPr>
          <w:lang w:val="fr-FR"/>
        </w:rPr>
        <w:t>il</w:t>
      </w:r>
      <w:r>
        <w:rPr>
          <w:lang w:val="fr-FR"/>
        </w:rPr>
        <w:t xml:space="preserve"> </w:t>
      </w:r>
      <w:r w:rsidRPr="001302B9">
        <w:rPr>
          <w:lang w:val="fr-FR"/>
        </w:rPr>
        <w:t>note</w:t>
      </w:r>
      <w:r>
        <w:rPr>
          <w:lang w:val="fr-FR"/>
        </w:rPr>
        <w:t xml:space="preserve"> </w:t>
      </w:r>
      <w:r w:rsidRPr="001302B9">
        <w:rPr>
          <w:lang w:val="fr-FR"/>
        </w:rPr>
        <w:t>que,</w:t>
      </w:r>
      <w:r>
        <w:rPr>
          <w:lang w:val="fr-FR"/>
        </w:rPr>
        <w:t xml:space="preserve"> </w:t>
      </w:r>
      <w:r w:rsidRPr="001302B9">
        <w:rPr>
          <w:lang w:val="fr-FR"/>
        </w:rPr>
        <w:t>au</w:t>
      </w:r>
      <w:r>
        <w:rPr>
          <w:lang w:val="fr-FR"/>
        </w:rPr>
        <w:t xml:space="preserve"> </w:t>
      </w:r>
      <w:r w:rsidRPr="001302B9">
        <w:rPr>
          <w:lang w:val="fr-FR"/>
        </w:rPr>
        <w:t>cours</w:t>
      </w:r>
      <w:r>
        <w:rPr>
          <w:lang w:val="fr-FR"/>
        </w:rPr>
        <w:t xml:space="preserve"> </w:t>
      </w:r>
      <w:r w:rsidRPr="001302B9">
        <w:rPr>
          <w:lang w:val="fr-FR"/>
        </w:rPr>
        <w:t>du</w:t>
      </w:r>
      <w:r>
        <w:rPr>
          <w:lang w:val="fr-FR"/>
        </w:rPr>
        <w:t xml:space="preserve"> </w:t>
      </w:r>
      <w:r w:rsidRPr="001302B9">
        <w:rPr>
          <w:lang w:val="fr-FR"/>
        </w:rPr>
        <w:t>dialogue,</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a</w:t>
      </w:r>
      <w:r>
        <w:rPr>
          <w:lang w:val="fr-FR"/>
        </w:rPr>
        <w:t xml:space="preserve"> </w:t>
      </w:r>
      <w:r w:rsidRPr="001302B9">
        <w:rPr>
          <w:lang w:val="fr-FR"/>
        </w:rPr>
        <w:t>indiqué</w:t>
      </w:r>
      <w:r>
        <w:rPr>
          <w:lang w:val="fr-FR"/>
        </w:rPr>
        <w:t xml:space="preserve"> </w:t>
      </w:r>
      <w:r w:rsidRPr="001302B9">
        <w:rPr>
          <w:lang w:val="fr-FR"/>
        </w:rPr>
        <w:t>que</w:t>
      </w:r>
      <w:r>
        <w:rPr>
          <w:lang w:val="fr-FR"/>
        </w:rPr>
        <w:t xml:space="preserve"> </w:t>
      </w:r>
      <w:r w:rsidRPr="001302B9">
        <w:rPr>
          <w:lang w:val="fr-FR"/>
        </w:rPr>
        <w:t>ces</w:t>
      </w:r>
      <w:r>
        <w:rPr>
          <w:lang w:val="fr-FR"/>
        </w:rPr>
        <w:t xml:space="preserve"> </w:t>
      </w:r>
      <w:r w:rsidRPr="001302B9">
        <w:rPr>
          <w:lang w:val="fr-FR"/>
        </w:rPr>
        <w:t>articles</w:t>
      </w:r>
      <w:r>
        <w:rPr>
          <w:lang w:val="fr-FR"/>
        </w:rPr>
        <w:t xml:space="preserve"> </w:t>
      </w:r>
      <w:r w:rsidRPr="001302B9">
        <w:rPr>
          <w:lang w:val="fr-FR"/>
        </w:rPr>
        <w:t>et</w:t>
      </w:r>
      <w:r>
        <w:rPr>
          <w:lang w:val="fr-FR"/>
        </w:rPr>
        <w:t xml:space="preserve"> </w:t>
      </w:r>
      <w:r w:rsidRPr="001302B9">
        <w:rPr>
          <w:lang w:val="fr-FR"/>
        </w:rPr>
        <w:t>l’article</w:t>
      </w:r>
      <w:r>
        <w:rPr>
          <w:lang w:val="fr-FR"/>
        </w:rPr>
        <w:t xml:space="preserve"> </w:t>
      </w:r>
      <w:r w:rsidRPr="001302B9">
        <w:rPr>
          <w:lang w:val="fr-FR"/>
        </w:rPr>
        <w:t>13</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loi</w:t>
      </w:r>
      <w:r>
        <w:rPr>
          <w:lang w:val="fr-FR"/>
        </w:rPr>
        <w:t xml:space="preserve"> </w:t>
      </w:r>
      <w:r w:rsidRPr="001302B9">
        <w:rPr>
          <w:lang w:val="fr-FR"/>
        </w:rPr>
        <w:t>n</w:t>
      </w:r>
      <w:r w:rsidRPr="001302B9">
        <w:rPr>
          <w:vertAlign w:val="superscript"/>
          <w:lang w:val="fr-FR"/>
        </w:rPr>
        <w:t>o</w:t>
      </w:r>
      <w:r w:rsidR="00CD45C4">
        <w:rPr>
          <w:lang w:val="fr-FR"/>
        </w:rPr>
        <w:t> </w:t>
      </w:r>
      <w:r w:rsidRPr="001302B9">
        <w:rPr>
          <w:lang w:val="fr-FR"/>
        </w:rPr>
        <w:t>18.026</w:t>
      </w:r>
      <w:r>
        <w:rPr>
          <w:lang w:val="fr-FR"/>
        </w:rPr>
        <w:t xml:space="preserve"> </w:t>
      </w:r>
      <w:r w:rsidRPr="001302B9">
        <w:rPr>
          <w:lang w:val="fr-FR"/>
        </w:rPr>
        <w:t>sur</w:t>
      </w:r>
      <w:r>
        <w:rPr>
          <w:lang w:val="fr-FR"/>
        </w:rPr>
        <w:t xml:space="preserve"> </w:t>
      </w:r>
      <w:r w:rsidRPr="001302B9">
        <w:rPr>
          <w:lang w:val="fr-FR"/>
        </w:rPr>
        <w:t>l’intervention</w:t>
      </w:r>
      <w:r>
        <w:rPr>
          <w:lang w:val="fr-FR"/>
        </w:rPr>
        <w:t xml:space="preserve"> </w:t>
      </w:r>
      <w:r w:rsidRPr="001302B9">
        <w:rPr>
          <w:lang w:val="fr-FR"/>
        </w:rPr>
        <w:t>des</w:t>
      </w:r>
      <w:r>
        <w:rPr>
          <w:lang w:val="fr-FR"/>
        </w:rPr>
        <w:t xml:space="preserve"> </w:t>
      </w:r>
      <w:r w:rsidRPr="001302B9">
        <w:rPr>
          <w:lang w:val="fr-FR"/>
        </w:rPr>
        <w:t>victimes</w:t>
      </w:r>
      <w:r>
        <w:rPr>
          <w:lang w:val="fr-FR"/>
        </w:rPr>
        <w:t xml:space="preserve"> </w:t>
      </w:r>
      <w:r w:rsidRPr="001302B9">
        <w:rPr>
          <w:lang w:val="fr-FR"/>
        </w:rPr>
        <w:t>dans</w:t>
      </w:r>
      <w:r>
        <w:rPr>
          <w:lang w:val="fr-FR"/>
        </w:rPr>
        <w:t xml:space="preserve"> </w:t>
      </w:r>
      <w:r w:rsidRPr="001302B9">
        <w:rPr>
          <w:lang w:val="fr-FR"/>
        </w:rPr>
        <w:t>les</w:t>
      </w:r>
      <w:r>
        <w:rPr>
          <w:lang w:val="fr-FR"/>
        </w:rPr>
        <w:t xml:space="preserve"> </w:t>
      </w:r>
      <w:r w:rsidRPr="001302B9">
        <w:rPr>
          <w:lang w:val="fr-FR"/>
        </w:rPr>
        <w:t>procédures</w:t>
      </w:r>
      <w:r>
        <w:rPr>
          <w:lang w:val="fr-FR"/>
        </w:rPr>
        <w:t xml:space="preserve"> </w:t>
      </w:r>
      <w:r w:rsidRPr="001302B9">
        <w:rPr>
          <w:lang w:val="fr-FR"/>
        </w:rPr>
        <w:t>couvraient</w:t>
      </w:r>
      <w:r>
        <w:rPr>
          <w:lang w:val="fr-FR"/>
        </w:rPr>
        <w:t xml:space="preserve"> </w:t>
      </w:r>
      <w:r w:rsidRPr="001302B9">
        <w:rPr>
          <w:lang w:val="fr-FR"/>
        </w:rPr>
        <w:t>toutes</w:t>
      </w:r>
      <w:r>
        <w:rPr>
          <w:lang w:val="fr-FR"/>
        </w:rPr>
        <w:t xml:space="preserve"> </w:t>
      </w:r>
      <w:r w:rsidRPr="001302B9">
        <w:rPr>
          <w:lang w:val="fr-FR"/>
        </w:rPr>
        <w:t>les</w:t>
      </w:r>
      <w:r>
        <w:rPr>
          <w:lang w:val="fr-FR"/>
        </w:rPr>
        <w:t xml:space="preserve"> </w:t>
      </w:r>
      <w:r w:rsidRPr="001302B9">
        <w:rPr>
          <w:lang w:val="fr-FR"/>
        </w:rPr>
        <w:t>victimes</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disparition</w:t>
      </w:r>
      <w:r>
        <w:rPr>
          <w:lang w:val="fr-FR"/>
        </w:rPr>
        <w:t xml:space="preserve"> </w:t>
      </w:r>
      <w:r w:rsidRPr="001302B9">
        <w:rPr>
          <w:lang w:val="fr-FR"/>
        </w:rPr>
        <w:t>forcée,</w:t>
      </w:r>
      <w:r>
        <w:rPr>
          <w:lang w:val="fr-FR"/>
        </w:rPr>
        <w:t xml:space="preserve"> </w:t>
      </w:r>
      <w:r w:rsidRPr="001302B9">
        <w:rPr>
          <w:lang w:val="fr-FR"/>
        </w:rPr>
        <w:t>sachant</w:t>
      </w:r>
      <w:r>
        <w:rPr>
          <w:lang w:val="fr-FR"/>
        </w:rPr>
        <w:t xml:space="preserve"> </w:t>
      </w:r>
      <w:r w:rsidRPr="001302B9">
        <w:rPr>
          <w:lang w:val="fr-FR"/>
        </w:rPr>
        <w:t>que</w:t>
      </w:r>
      <w:r>
        <w:rPr>
          <w:lang w:val="fr-FR"/>
        </w:rPr>
        <w:t xml:space="preserve"> </w:t>
      </w:r>
      <w:r w:rsidRPr="001302B9">
        <w:rPr>
          <w:lang w:val="fr-FR"/>
        </w:rPr>
        <w:t>celle-ci</w:t>
      </w:r>
      <w:r>
        <w:rPr>
          <w:lang w:val="fr-FR"/>
        </w:rPr>
        <w:t xml:space="preserve"> </w:t>
      </w:r>
      <w:r w:rsidRPr="001302B9">
        <w:rPr>
          <w:lang w:val="fr-FR"/>
        </w:rPr>
        <w:t>est</w:t>
      </w:r>
      <w:r>
        <w:rPr>
          <w:lang w:val="fr-FR"/>
        </w:rPr>
        <w:t xml:space="preserve"> </w:t>
      </w:r>
      <w:r w:rsidRPr="001302B9">
        <w:rPr>
          <w:lang w:val="fr-FR"/>
        </w:rPr>
        <w:t>une</w:t>
      </w:r>
      <w:r>
        <w:rPr>
          <w:lang w:val="fr-FR"/>
        </w:rPr>
        <w:t xml:space="preserve"> </w:t>
      </w:r>
      <w:r w:rsidRPr="001302B9">
        <w:rPr>
          <w:lang w:val="fr-FR"/>
        </w:rPr>
        <w:t>infraction</w:t>
      </w:r>
      <w:r>
        <w:rPr>
          <w:lang w:val="fr-FR"/>
        </w:rPr>
        <w:t xml:space="preserve"> </w:t>
      </w:r>
      <w:r w:rsidRPr="001302B9">
        <w:rPr>
          <w:lang w:val="fr-FR"/>
        </w:rPr>
        <w:t>de</w:t>
      </w:r>
      <w:r>
        <w:rPr>
          <w:lang w:val="fr-FR"/>
        </w:rPr>
        <w:t xml:space="preserve"> </w:t>
      </w:r>
      <w:r w:rsidRPr="001302B9">
        <w:rPr>
          <w:lang w:val="fr-FR"/>
        </w:rPr>
        <w:t>caractère</w:t>
      </w:r>
      <w:r>
        <w:rPr>
          <w:lang w:val="fr-FR"/>
        </w:rPr>
        <w:t xml:space="preserve"> </w:t>
      </w:r>
      <w:r w:rsidRPr="001302B9">
        <w:rPr>
          <w:lang w:val="fr-FR"/>
        </w:rPr>
        <w:t>pluriel.</w:t>
      </w:r>
      <w:r>
        <w:rPr>
          <w:lang w:val="fr-FR"/>
        </w:rPr>
        <w:t xml:space="preserve"> </w:t>
      </w:r>
      <w:r w:rsidRPr="001302B9">
        <w:rPr>
          <w:lang w:val="fr-FR"/>
        </w:rPr>
        <w:t>Cependant,</w:t>
      </w:r>
      <w:r>
        <w:rPr>
          <w:lang w:val="fr-FR"/>
        </w:rPr>
        <w:t xml:space="preserve"> </w:t>
      </w:r>
      <w:r w:rsidRPr="001302B9">
        <w:rPr>
          <w:lang w:val="fr-FR"/>
        </w:rPr>
        <w:t>il</w:t>
      </w:r>
      <w:r>
        <w:rPr>
          <w:lang w:val="fr-FR"/>
        </w:rPr>
        <w:t xml:space="preserve"> </w:t>
      </w:r>
      <w:r w:rsidRPr="001302B9">
        <w:rPr>
          <w:lang w:val="fr-FR"/>
        </w:rPr>
        <w:t>estime</w:t>
      </w:r>
      <w:r>
        <w:rPr>
          <w:lang w:val="fr-FR"/>
        </w:rPr>
        <w:t xml:space="preserve"> </w:t>
      </w:r>
      <w:r w:rsidRPr="001302B9">
        <w:rPr>
          <w:lang w:val="fr-FR"/>
        </w:rPr>
        <w:t>que</w:t>
      </w:r>
      <w:r>
        <w:rPr>
          <w:lang w:val="fr-FR"/>
        </w:rPr>
        <w:t xml:space="preserve"> </w:t>
      </w:r>
      <w:r w:rsidRPr="001302B9">
        <w:rPr>
          <w:lang w:val="fr-FR"/>
        </w:rPr>
        <w:t>ces</w:t>
      </w:r>
      <w:r>
        <w:rPr>
          <w:lang w:val="fr-FR"/>
        </w:rPr>
        <w:t xml:space="preserve"> </w:t>
      </w:r>
      <w:r w:rsidRPr="001302B9">
        <w:rPr>
          <w:lang w:val="fr-FR"/>
        </w:rPr>
        <w:t>dispositions</w:t>
      </w:r>
      <w:r>
        <w:rPr>
          <w:lang w:val="fr-FR"/>
        </w:rPr>
        <w:t xml:space="preserve"> </w:t>
      </w:r>
      <w:r w:rsidRPr="001302B9">
        <w:rPr>
          <w:lang w:val="fr-FR"/>
        </w:rPr>
        <w:t>ne</w:t>
      </w:r>
      <w:r>
        <w:rPr>
          <w:lang w:val="fr-FR"/>
        </w:rPr>
        <w:t xml:space="preserve"> </w:t>
      </w:r>
      <w:r w:rsidRPr="001302B9">
        <w:rPr>
          <w:lang w:val="fr-FR"/>
        </w:rPr>
        <w:t>couvrent</w:t>
      </w:r>
      <w:r>
        <w:rPr>
          <w:lang w:val="fr-FR"/>
        </w:rPr>
        <w:t xml:space="preserve"> </w:t>
      </w:r>
      <w:r w:rsidRPr="001302B9">
        <w:rPr>
          <w:lang w:val="fr-FR"/>
        </w:rPr>
        <w:t>pas</w:t>
      </w:r>
      <w:r>
        <w:rPr>
          <w:lang w:val="fr-FR"/>
        </w:rPr>
        <w:t xml:space="preserve"> </w:t>
      </w:r>
      <w:r w:rsidRPr="001302B9">
        <w:rPr>
          <w:lang w:val="fr-FR"/>
        </w:rPr>
        <w:t>à</w:t>
      </w:r>
      <w:r>
        <w:rPr>
          <w:lang w:val="fr-FR"/>
        </w:rPr>
        <w:t xml:space="preserve"> </w:t>
      </w:r>
      <w:r w:rsidRPr="001302B9">
        <w:rPr>
          <w:lang w:val="fr-FR"/>
        </w:rPr>
        <w:t>elles</w:t>
      </w:r>
      <w:r>
        <w:rPr>
          <w:lang w:val="fr-FR"/>
        </w:rPr>
        <w:t xml:space="preserve"> </w:t>
      </w:r>
      <w:r w:rsidRPr="001302B9">
        <w:rPr>
          <w:lang w:val="fr-FR"/>
        </w:rPr>
        <w:t>seules</w:t>
      </w:r>
      <w:r>
        <w:rPr>
          <w:lang w:val="fr-FR"/>
        </w:rPr>
        <w:t xml:space="preserve"> </w:t>
      </w:r>
      <w:r w:rsidRPr="001302B9">
        <w:rPr>
          <w:lang w:val="fr-FR"/>
        </w:rPr>
        <w:t>toutes</w:t>
      </w:r>
      <w:r>
        <w:rPr>
          <w:lang w:val="fr-FR"/>
        </w:rPr>
        <w:t xml:space="preserve"> </w:t>
      </w:r>
      <w:r w:rsidRPr="001302B9">
        <w:rPr>
          <w:lang w:val="fr-FR"/>
        </w:rPr>
        <w:t>les</w:t>
      </w:r>
      <w:r>
        <w:rPr>
          <w:lang w:val="fr-FR"/>
        </w:rPr>
        <w:t xml:space="preserve"> </w:t>
      </w:r>
      <w:r w:rsidRPr="001302B9">
        <w:rPr>
          <w:lang w:val="fr-FR"/>
        </w:rPr>
        <w:t>personnes</w:t>
      </w:r>
      <w:r>
        <w:rPr>
          <w:lang w:val="fr-FR"/>
        </w:rPr>
        <w:t xml:space="preserve"> </w:t>
      </w:r>
      <w:r w:rsidRPr="001302B9">
        <w:rPr>
          <w:lang w:val="fr-FR"/>
        </w:rPr>
        <w:t>ayant</w:t>
      </w:r>
      <w:r>
        <w:rPr>
          <w:lang w:val="fr-FR"/>
        </w:rPr>
        <w:t xml:space="preserve"> </w:t>
      </w:r>
      <w:r w:rsidRPr="001302B9">
        <w:rPr>
          <w:lang w:val="fr-FR"/>
        </w:rPr>
        <w:t>subi</w:t>
      </w:r>
      <w:r>
        <w:rPr>
          <w:lang w:val="fr-FR"/>
        </w:rPr>
        <w:t xml:space="preserve"> </w:t>
      </w:r>
      <w:r w:rsidRPr="001302B9">
        <w:rPr>
          <w:lang w:val="fr-FR"/>
        </w:rPr>
        <w:t>un</w:t>
      </w:r>
      <w:r>
        <w:rPr>
          <w:lang w:val="fr-FR"/>
        </w:rPr>
        <w:t xml:space="preserve"> </w:t>
      </w:r>
      <w:r w:rsidRPr="001302B9">
        <w:rPr>
          <w:lang w:val="fr-FR"/>
        </w:rPr>
        <w:t>préjudice</w:t>
      </w:r>
      <w:r>
        <w:rPr>
          <w:lang w:val="fr-FR"/>
        </w:rPr>
        <w:t xml:space="preserve"> </w:t>
      </w:r>
      <w:r w:rsidRPr="001302B9">
        <w:rPr>
          <w:lang w:val="fr-FR"/>
        </w:rPr>
        <w:t>direct</w:t>
      </w:r>
      <w:r>
        <w:rPr>
          <w:lang w:val="fr-FR"/>
        </w:rPr>
        <w:t xml:space="preserve"> </w:t>
      </w:r>
      <w:r w:rsidRPr="001302B9">
        <w:rPr>
          <w:lang w:val="fr-FR"/>
        </w:rPr>
        <w:t>du</w:t>
      </w:r>
      <w:r>
        <w:rPr>
          <w:lang w:val="fr-FR"/>
        </w:rPr>
        <w:t xml:space="preserve"> </w:t>
      </w:r>
      <w:r w:rsidRPr="001302B9">
        <w:rPr>
          <w:lang w:val="fr-FR"/>
        </w:rPr>
        <w:t>fait</w:t>
      </w:r>
      <w:r>
        <w:rPr>
          <w:lang w:val="fr-FR"/>
        </w:rPr>
        <w:t xml:space="preserve"> </w:t>
      </w:r>
      <w:r w:rsidRPr="001302B9">
        <w:rPr>
          <w:lang w:val="fr-FR"/>
        </w:rPr>
        <w:t>d’une</w:t>
      </w:r>
      <w:r>
        <w:rPr>
          <w:lang w:val="fr-FR"/>
        </w:rPr>
        <w:t xml:space="preserve"> </w:t>
      </w:r>
      <w:r w:rsidRPr="001302B9">
        <w:rPr>
          <w:lang w:val="fr-FR"/>
        </w:rPr>
        <w:t>disparition</w:t>
      </w:r>
      <w:r>
        <w:rPr>
          <w:lang w:val="fr-FR"/>
        </w:rPr>
        <w:t xml:space="preserve"> </w:t>
      </w:r>
      <w:r w:rsidRPr="001302B9">
        <w:rPr>
          <w:lang w:val="fr-FR"/>
        </w:rPr>
        <w:t>forcée</w:t>
      </w:r>
      <w:r>
        <w:rPr>
          <w:lang w:val="fr-FR"/>
        </w:rPr>
        <w:t xml:space="preserve"> </w:t>
      </w:r>
      <w:r w:rsidRPr="001302B9">
        <w:rPr>
          <w:lang w:val="fr-FR"/>
        </w:rPr>
        <w:t>(</w:t>
      </w:r>
      <w:r>
        <w:rPr>
          <w:lang w:val="fr-FR"/>
        </w:rPr>
        <w:t>art. </w:t>
      </w:r>
      <w:r w:rsidRPr="001302B9">
        <w:rPr>
          <w:lang w:val="fr-FR"/>
        </w:rPr>
        <w:t>24).</w:t>
      </w:r>
    </w:p>
    <w:p w14:paraId="2740D381" w14:textId="4E0F82CC" w:rsidR="003F0CA1" w:rsidRPr="003F0CA1" w:rsidRDefault="003F0CA1" w:rsidP="003F0CA1">
      <w:pPr>
        <w:pStyle w:val="SingleTxtG"/>
        <w:rPr>
          <w:b/>
          <w:bCs/>
          <w:lang w:val="fr-FR"/>
        </w:rPr>
      </w:pPr>
      <w:r w:rsidRPr="001302B9">
        <w:rPr>
          <w:lang w:val="fr-FR"/>
        </w:rPr>
        <w:t>13.</w:t>
      </w:r>
      <w:r w:rsidRPr="003F0CA1">
        <w:rPr>
          <w:b/>
          <w:bCs/>
          <w:lang w:val="fr-FR"/>
        </w:rPr>
        <w:tab/>
        <w:t>Le Comité recommande à l’État partie de faire figurer dans sa législation une définition de la victime qui soit pleinement conforme à celle donnée à l’article 24 (</w:t>
      </w:r>
      <w:r>
        <w:rPr>
          <w:b/>
          <w:bCs/>
          <w:lang w:val="fr-FR"/>
        </w:rPr>
        <w:t>par. </w:t>
      </w:r>
      <w:r w:rsidRPr="003F0CA1">
        <w:rPr>
          <w:b/>
          <w:bCs/>
          <w:lang w:val="fr-FR"/>
        </w:rPr>
        <w:t xml:space="preserve">1) </w:t>
      </w:r>
      <w:r w:rsidRPr="003F0CA1">
        <w:rPr>
          <w:b/>
          <w:bCs/>
          <w:lang w:val="fr-FR"/>
        </w:rPr>
        <w:lastRenderedPageBreak/>
        <w:t>de la Convention. Il lui recommande également de veiller, dans l’intervalle, à ce que le terme «</w:t>
      </w:r>
      <w:r w:rsidR="00CD45C4">
        <w:rPr>
          <w:b/>
          <w:bCs/>
          <w:lang w:val="fr-FR"/>
        </w:rPr>
        <w:t> </w:t>
      </w:r>
      <w:r w:rsidRPr="003F0CA1">
        <w:rPr>
          <w:b/>
          <w:bCs/>
          <w:lang w:val="fr-FR"/>
        </w:rPr>
        <w:t>victime</w:t>
      </w:r>
      <w:r w:rsidR="00CD45C4">
        <w:rPr>
          <w:b/>
          <w:bCs/>
          <w:lang w:val="fr-FR"/>
        </w:rPr>
        <w:t> </w:t>
      </w:r>
      <w:r w:rsidRPr="003F0CA1">
        <w:rPr>
          <w:b/>
          <w:bCs/>
          <w:lang w:val="fr-FR"/>
        </w:rPr>
        <w:t>» tel qu’il est employé dans la législation en vigueur soit interprété conformément à la définition qui en est donnée dans la Convention et de garantir que toute personne physique ayant subi un préjudice direct du fait d’une disparition forcée, sans exception, puisse exercer les droits garantis par la Convention, en particulier les droits à la justice, à la vérité et à une réparation intégrale.</w:t>
      </w:r>
    </w:p>
    <w:p w14:paraId="7CFECA9C" w14:textId="77777777" w:rsidR="003F0CA1" w:rsidRDefault="003F0CA1" w:rsidP="003F0CA1">
      <w:pPr>
        <w:pStyle w:val="H23G"/>
        <w:rPr>
          <w:lang w:val="fr-FR"/>
        </w:rPr>
      </w:pPr>
      <w:r w:rsidRPr="001302B9">
        <w:rPr>
          <w:lang w:val="fr-FR"/>
        </w:rPr>
        <w:tab/>
      </w:r>
      <w:r w:rsidRPr="001302B9">
        <w:rPr>
          <w:lang w:val="fr-FR"/>
        </w:rPr>
        <w:tab/>
        <w:t>Législation</w:t>
      </w:r>
      <w:r>
        <w:rPr>
          <w:lang w:val="fr-FR"/>
        </w:rPr>
        <w:t xml:space="preserve"> </w:t>
      </w:r>
      <w:r w:rsidRPr="001302B9">
        <w:rPr>
          <w:lang w:val="fr-FR"/>
        </w:rPr>
        <w:t>relative</w:t>
      </w:r>
      <w:r>
        <w:rPr>
          <w:lang w:val="fr-FR"/>
        </w:rPr>
        <w:t xml:space="preserve"> </w:t>
      </w:r>
      <w:r w:rsidRPr="001302B9">
        <w:rPr>
          <w:lang w:val="fr-FR"/>
        </w:rPr>
        <w:t>à</w:t>
      </w:r>
      <w:r>
        <w:rPr>
          <w:lang w:val="fr-FR"/>
        </w:rPr>
        <w:t xml:space="preserve"> </w:t>
      </w:r>
      <w:r w:rsidRPr="001302B9">
        <w:rPr>
          <w:lang w:val="fr-FR"/>
        </w:rPr>
        <w:t>la</w:t>
      </w:r>
      <w:r>
        <w:rPr>
          <w:lang w:val="fr-FR"/>
        </w:rPr>
        <w:t xml:space="preserve"> </w:t>
      </w:r>
      <w:r w:rsidRPr="001302B9">
        <w:rPr>
          <w:lang w:val="fr-FR"/>
        </w:rPr>
        <w:t>soustraction</w:t>
      </w:r>
      <w:r>
        <w:rPr>
          <w:lang w:val="fr-FR"/>
        </w:rPr>
        <w:t xml:space="preserve"> </w:t>
      </w:r>
      <w:r w:rsidRPr="001302B9">
        <w:rPr>
          <w:lang w:val="fr-FR"/>
        </w:rPr>
        <w:t>d’enfant</w:t>
      </w:r>
    </w:p>
    <w:p w14:paraId="55AFBF34" w14:textId="30D4EE71" w:rsidR="003F0CA1" w:rsidRPr="001302B9" w:rsidRDefault="003F0CA1" w:rsidP="003F0CA1">
      <w:pPr>
        <w:pStyle w:val="SingleTxtG"/>
        <w:rPr>
          <w:lang w:val="fr-FR"/>
        </w:rPr>
      </w:pPr>
      <w:r w:rsidRPr="001302B9">
        <w:rPr>
          <w:lang w:val="fr-FR"/>
        </w:rPr>
        <w:t>14.</w:t>
      </w:r>
      <w:r w:rsidRPr="001302B9">
        <w:rPr>
          <w:lang w:val="fr-FR"/>
        </w:rPr>
        <w:tab/>
        <w:t>Le</w:t>
      </w:r>
      <w:r>
        <w:rPr>
          <w:lang w:val="fr-FR"/>
        </w:rPr>
        <w:t xml:space="preserve"> </w:t>
      </w:r>
      <w:r w:rsidRPr="001302B9">
        <w:rPr>
          <w:lang w:val="fr-FR"/>
        </w:rPr>
        <w:t>Comité</w:t>
      </w:r>
      <w:r>
        <w:rPr>
          <w:lang w:val="fr-FR"/>
        </w:rPr>
        <w:t xml:space="preserve"> </w:t>
      </w:r>
      <w:r w:rsidRPr="001302B9">
        <w:rPr>
          <w:lang w:val="fr-FR"/>
        </w:rPr>
        <w:t>prend</w:t>
      </w:r>
      <w:r>
        <w:rPr>
          <w:lang w:val="fr-FR"/>
        </w:rPr>
        <w:t xml:space="preserve"> </w:t>
      </w:r>
      <w:r w:rsidRPr="001302B9">
        <w:rPr>
          <w:lang w:val="fr-FR"/>
        </w:rPr>
        <w:t>note</w:t>
      </w:r>
      <w:r>
        <w:rPr>
          <w:lang w:val="fr-FR"/>
        </w:rPr>
        <w:t xml:space="preserve"> </w:t>
      </w:r>
      <w:r w:rsidRPr="001302B9">
        <w:rPr>
          <w:lang w:val="fr-FR"/>
        </w:rPr>
        <w:t>à</w:t>
      </w:r>
      <w:r>
        <w:rPr>
          <w:lang w:val="fr-FR"/>
        </w:rPr>
        <w:t xml:space="preserve"> </w:t>
      </w:r>
      <w:r w:rsidRPr="001302B9">
        <w:rPr>
          <w:lang w:val="fr-FR"/>
        </w:rPr>
        <w:t>nouveau</w:t>
      </w:r>
      <w:r>
        <w:rPr>
          <w:lang w:val="fr-FR"/>
        </w:rPr>
        <w:t xml:space="preserve"> </w:t>
      </w:r>
      <w:r w:rsidRPr="001302B9">
        <w:rPr>
          <w:lang w:val="fr-FR"/>
        </w:rPr>
        <w:t>des</w:t>
      </w:r>
      <w:r>
        <w:rPr>
          <w:lang w:val="fr-FR"/>
        </w:rPr>
        <w:t xml:space="preserve"> </w:t>
      </w:r>
      <w:r w:rsidRPr="001302B9">
        <w:rPr>
          <w:lang w:val="fr-FR"/>
        </w:rPr>
        <w:t>informations</w:t>
      </w:r>
      <w:r>
        <w:rPr>
          <w:lang w:val="fr-FR"/>
        </w:rPr>
        <w:t xml:space="preserve"> </w:t>
      </w:r>
      <w:r w:rsidRPr="001302B9">
        <w:rPr>
          <w:lang w:val="fr-FR"/>
        </w:rPr>
        <w:t>fournies</w:t>
      </w:r>
      <w:r>
        <w:rPr>
          <w:lang w:val="fr-FR"/>
        </w:rPr>
        <w:t xml:space="preserve"> </w:t>
      </w:r>
      <w:r w:rsidRPr="001302B9">
        <w:rPr>
          <w:lang w:val="fr-FR"/>
        </w:rPr>
        <w:t>par</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sur</w:t>
      </w:r>
      <w:r>
        <w:rPr>
          <w:lang w:val="fr-FR"/>
        </w:rPr>
        <w:t xml:space="preserve"> </w:t>
      </w:r>
      <w:r w:rsidRPr="001302B9">
        <w:rPr>
          <w:lang w:val="fr-FR"/>
        </w:rPr>
        <w:t>les</w:t>
      </w:r>
      <w:r>
        <w:rPr>
          <w:lang w:val="fr-FR"/>
        </w:rPr>
        <w:t xml:space="preserve"> </w:t>
      </w:r>
      <w:r w:rsidRPr="001302B9">
        <w:rPr>
          <w:lang w:val="fr-FR"/>
        </w:rPr>
        <w:t>dispositions</w:t>
      </w:r>
      <w:r>
        <w:rPr>
          <w:lang w:val="fr-FR"/>
        </w:rPr>
        <w:t xml:space="preserve"> </w:t>
      </w:r>
      <w:r w:rsidRPr="001302B9">
        <w:rPr>
          <w:lang w:val="fr-FR"/>
        </w:rPr>
        <w:t>pénales</w:t>
      </w:r>
      <w:r>
        <w:rPr>
          <w:lang w:val="fr-FR"/>
        </w:rPr>
        <w:t xml:space="preserve"> </w:t>
      </w:r>
      <w:r w:rsidRPr="001302B9">
        <w:rPr>
          <w:lang w:val="fr-FR"/>
        </w:rPr>
        <w:t>susceptibles</w:t>
      </w:r>
      <w:r>
        <w:rPr>
          <w:lang w:val="fr-FR"/>
        </w:rPr>
        <w:t xml:space="preserve"> </w:t>
      </w:r>
      <w:r w:rsidRPr="001302B9">
        <w:rPr>
          <w:lang w:val="fr-FR"/>
        </w:rPr>
        <w:t>de</w:t>
      </w:r>
      <w:r>
        <w:rPr>
          <w:lang w:val="fr-FR"/>
        </w:rPr>
        <w:t xml:space="preserve"> </w:t>
      </w:r>
      <w:r w:rsidRPr="001302B9">
        <w:rPr>
          <w:lang w:val="fr-FR"/>
        </w:rPr>
        <w:t>s’appliquer</w:t>
      </w:r>
      <w:r>
        <w:rPr>
          <w:lang w:val="fr-FR"/>
        </w:rPr>
        <w:t xml:space="preserve"> </w:t>
      </w:r>
      <w:r w:rsidRPr="001302B9">
        <w:rPr>
          <w:lang w:val="fr-FR"/>
        </w:rPr>
        <w:t>aux</w:t>
      </w:r>
      <w:r>
        <w:rPr>
          <w:lang w:val="fr-FR"/>
        </w:rPr>
        <w:t xml:space="preserve"> </w:t>
      </w:r>
      <w:r w:rsidRPr="001302B9">
        <w:rPr>
          <w:lang w:val="fr-FR"/>
        </w:rPr>
        <w:t>actes</w:t>
      </w:r>
      <w:r>
        <w:rPr>
          <w:lang w:val="fr-FR"/>
        </w:rPr>
        <w:t xml:space="preserve"> </w:t>
      </w:r>
      <w:r w:rsidRPr="001302B9">
        <w:rPr>
          <w:lang w:val="fr-FR"/>
        </w:rPr>
        <w:t>décrits</w:t>
      </w:r>
      <w:r>
        <w:rPr>
          <w:lang w:val="fr-FR"/>
        </w:rPr>
        <w:t xml:space="preserve"> </w:t>
      </w:r>
      <w:r w:rsidRPr="001302B9">
        <w:rPr>
          <w:lang w:val="fr-FR"/>
        </w:rPr>
        <w:t>à</w:t>
      </w:r>
      <w:r>
        <w:rPr>
          <w:lang w:val="fr-FR"/>
        </w:rPr>
        <w:t xml:space="preserve"> </w:t>
      </w:r>
      <w:r w:rsidRPr="001302B9">
        <w:rPr>
          <w:lang w:val="fr-FR"/>
        </w:rPr>
        <w:t>l’article</w:t>
      </w:r>
      <w:r>
        <w:rPr>
          <w:lang w:val="fr-FR"/>
        </w:rPr>
        <w:t xml:space="preserve"> </w:t>
      </w:r>
      <w:r w:rsidRPr="001302B9">
        <w:rPr>
          <w:lang w:val="fr-FR"/>
        </w:rPr>
        <w:t>25</w:t>
      </w:r>
      <w:r>
        <w:rPr>
          <w:lang w:val="fr-FR"/>
        </w:rPr>
        <w:t xml:space="preserve"> </w:t>
      </w:r>
      <w:r w:rsidRPr="001302B9">
        <w:rPr>
          <w:lang w:val="fr-FR"/>
        </w:rPr>
        <w:t>(</w:t>
      </w:r>
      <w:r>
        <w:rPr>
          <w:lang w:val="fr-FR"/>
        </w:rPr>
        <w:t>par. </w:t>
      </w:r>
      <w:r w:rsidRPr="001302B9">
        <w:rPr>
          <w:lang w:val="fr-FR"/>
        </w:rPr>
        <w:t>1)</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Convention,</w:t>
      </w:r>
      <w:r>
        <w:rPr>
          <w:lang w:val="fr-FR"/>
        </w:rPr>
        <w:t xml:space="preserve"> </w:t>
      </w:r>
      <w:r w:rsidRPr="001302B9">
        <w:rPr>
          <w:lang w:val="fr-FR"/>
        </w:rPr>
        <w:t>tels</w:t>
      </w:r>
      <w:r>
        <w:rPr>
          <w:lang w:val="fr-FR"/>
        </w:rPr>
        <w:t xml:space="preserve"> </w:t>
      </w:r>
      <w:r w:rsidRPr="001302B9">
        <w:rPr>
          <w:lang w:val="fr-FR"/>
        </w:rPr>
        <w:t>que</w:t>
      </w:r>
      <w:r>
        <w:rPr>
          <w:lang w:val="fr-FR"/>
        </w:rPr>
        <w:t xml:space="preserve"> </w:t>
      </w:r>
      <w:r w:rsidRPr="001302B9">
        <w:rPr>
          <w:lang w:val="fr-FR"/>
        </w:rPr>
        <w:t>la</w:t>
      </w:r>
      <w:r>
        <w:rPr>
          <w:lang w:val="fr-FR"/>
        </w:rPr>
        <w:t xml:space="preserve"> </w:t>
      </w:r>
      <w:r w:rsidRPr="001302B9">
        <w:rPr>
          <w:lang w:val="fr-FR"/>
        </w:rPr>
        <w:t>suppression</w:t>
      </w:r>
      <w:r>
        <w:rPr>
          <w:lang w:val="fr-FR"/>
        </w:rPr>
        <w:t xml:space="preserve"> </w:t>
      </w:r>
      <w:r w:rsidRPr="001302B9">
        <w:rPr>
          <w:lang w:val="fr-FR"/>
        </w:rPr>
        <w:t>et</w:t>
      </w:r>
      <w:r>
        <w:rPr>
          <w:lang w:val="fr-FR"/>
        </w:rPr>
        <w:t xml:space="preserve"> </w:t>
      </w:r>
      <w:r w:rsidRPr="001302B9">
        <w:rPr>
          <w:lang w:val="fr-FR"/>
        </w:rPr>
        <w:t>la</w:t>
      </w:r>
      <w:r>
        <w:rPr>
          <w:lang w:val="fr-FR"/>
        </w:rPr>
        <w:t xml:space="preserve"> </w:t>
      </w:r>
      <w:r w:rsidRPr="001302B9">
        <w:rPr>
          <w:lang w:val="fr-FR"/>
        </w:rPr>
        <w:t>dissimulation</w:t>
      </w:r>
      <w:r>
        <w:rPr>
          <w:lang w:val="fr-FR"/>
        </w:rPr>
        <w:t xml:space="preserve"> </w:t>
      </w:r>
      <w:r w:rsidRPr="001302B9">
        <w:rPr>
          <w:lang w:val="fr-FR"/>
        </w:rPr>
        <w:t>de</w:t>
      </w:r>
      <w:r>
        <w:rPr>
          <w:lang w:val="fr-FR"/>
        </w:rPr>
        <w:t xml:space="preserve"> </w:t>
      </w:r>
      <w:r w:rsidRPr="001302B9">
        <w:rPr>
          <w:lang w:val="fr-FR"/>
        </w:rPr>
        <w:t>documents</w:t>
      </w:r>
      <w:r>
        <w:rPr>
          <w:lang w:val="fr-FR"/>
        </w:rPr>
        <w:t xml:space="preserve"> </w:t>
      </w:r>
      <w:r w:rsidRPr="001302B9">
        <w:rPr>
          <w:lang w:val="fr-FR"/>
        </w:rPr>
        <w:t>d’état</w:t>
      </w:r>
      <w:r>
        <w:rPr>
          <w:lang w:val="fr-FR"/>
        </w:rPr>
        <w:t xml:space="preserve"> </w:t>
      </w:r>
      <w:r w:rsidRPr="001302B9">
        <w:rPr>
          <w:lang w:val="fr-FR"/>
        </w:rPr>
        <w:t>civil</w:t>
      </w:r>
      <w:r w:rsidRPr="00731A47">
        <w:rPr>
          <w:rStyle w:val="Appelnotedebasdep"/>
          <w:lang w:val="fr-FR"/>
        </w:rPr>
        <w:footnoteReference w:id="11"/>
      </w:r>
      <w:r>
        <w:rPr>
          <w:lang w:val="fr-FR"/>
        </w:rPr>
        <w:t xml:space="preserve"> </w:t>
      </w:r>
      <w:r w:rsidRPr="001302B9">
        <w:rPr>
          <w:lang w:val="fr-FR"/>
        </w:rPr>
        <w:t>et</w:t>
      </w:r>
      <w:r>
        <w:rPr>
          <w:lang w:val="fr-FR"/>
        </w:rPr>
        <w:t xml:space="preserve"> </w:t>
      </w:r>
      <w:r w:rsidRPr="001302B9">
        <w:rPr>
          <w:lang w:val="fr-FR"/>
        </w:rPr>
        <w:t>la</w:t>
      </w:r>
      <w:r>
        <w:rPr>
          <w:lang w:val="fr-FR"/>
        </w:rPr>
        <w:t xml:space="preserve"> </w:t>
      </w:r>
      <w:r w:rsidRPr="001302B9">
        <w:rPr>
          <w:lang w:val="fr-FR"/>
        </w:rPr>
        <w:t>disparition</w:t>
      </w:r>
      <w:r>
        <w:rPr>
          <w:lang w:val="fr-FR"/>
        </w:rPr>
        <w:t xml:space="preserve"> </w:t>
      </w:r>
      <w:r w:rsidRPr="001302B9">
        <w:rPr>
          <w:lang w:val="fr-FR"/>
        </w:rPr>
        <w:t>forcée</w:t>
      </w:r>
      <w:r>
        <w:rPr>
          <w:lang w:val="fr-FR"/>
        </w:rPr>
        <w:t xml:space="preserve"> </w:t>
      </w:r>
      <w:r w:rsidRPr="001302B9">
        <w:rPr>
          <w:lang w:val="fr-FR"/>
        </w:rPr>
        <w:t>avec</w:t>
      </w:r>
      <w:r>
        <w:rPr>
          <w:lang w:val="fr-FR"/>
        </w:rPr>
        <w:t xml:space="preserve"> </w:t>
      </w:r>
      <w:r w:rsidRPr="001302B9">
        <w:rPr>
          <w:lang w:val="fr-FR"/>
        </w:rPr>
        <w:t>circonstances</w:t>
      </w:r>
      <w:r>
        <w:rPr>
          <w:lang w:val="fr-FR"/>
        </w:rPr>
        <w:t xml:space="preserve"> </w:t>
      </w:r>
      <w:r w:rsidRPr="001302B9">
        <w:rPr>
          <w:lang w:val="fr-FR"/>
        </w:rPr>
        <w:t>aggravantes.</w:t>
      </w:r>
      <w:r>
        <w:rPr>
          <w:lang w:val="fr-FR"/>
        </w:rPr>
        <w:t xml:space="preserve"> </w:t>
      </w:r>
      <w:r w:rsidRPr="001302B9">
        <w:rPr>
          <w:lang w:val="fr-FR"/>
        </w:rPr>
        <w:t>Il</w:t>
      </w:r>
      <w:r>
        <w:rPr>
          <w:lang w:val="fr-FR"/>
        </w:rPr>
        <w:t xml:space="preserve"> </w:t>
      </w:r>
      <w:r w:rsidRPr="001302B9">
        <w:rPr>
          <w:lang w:val="fr-FR"/>
        </w:rPr>
        <w:t>regrette</w:t>
      </w:r>
      <w:r>
        <w:rPr>
          <w:lang w:val="fr-FR"/>
        </w:rPr>
        <w:t xml:space="preserve"> </w:t>
      </w:r>
      <w:r w:rsidRPr="001302B9">
        <w:rPr>
          <w:lang w:val="fr-FR"/>
        </w:rPr>
        <w:t>toutefois</w:t>
      </w:r>
      <w:r>
        <w:rPr>
          <w:lang w:val="fr-FR"/>
        </w:rPr>
        <w:t xml:space="preserve"> </w:t>
      </w:r>
      <w:r w:rsidRPr="001302B9">
        <w:rPr>
          <w:lang w:val="fr-FR"/>
        </w:rPr>
        <w:t>que,</w:t>
      </w:r>
      <w:r>
        <w:rPr>
          <w:lang w:val="fr-FR"/>
        </w:rPr>
        <w:t xml:space="preserve"> </w:t>
      </w:r>
      <w:r w:rsidRPr="001302B9">
        <w:rPr>
          <w:lang w:val="fr-FR"/>
        </w:rPr>
        <w:t>malgré</w:t>
      </w:r>
      <w:r>
        <w:rPr>
          <w:lang w:val="fr-FR"/>
        </w:rPr>
        <w:t xml:space="preserve"> </w:t>
      </w:r>
      <w:r w:rsidRPr="001302B9">
        <w:rPr>
          <w:lang w:val="fr-FR"/>
        </w:rPr>
        <w:t>la</w:t>
      </w:r>
      <w:r>
        <w:rPr>
          <w:lang w:val="fr-FR"/>
        </w:rPr>
        <w:t xml:space="preserve"> </w:t>
      </w:r>
      <w:r w:rsidRPr="001302B9">
        <w:rPr>
          <w:lang w:val="fr-FR"/>
        </w:rPr>
        <w:t>recommandation</w:t>
      </w:r>
      <w:r>
        <w:rPr>
          <w:lang w:val="fr-FR"/>
        </w:rPr>
        <w:t xml:space="preserve"> </w:t>
      </w:r>
      <w:r w:rsidRPr="001302B9">
        <w:rPr>
          <w:lang w:val="fr-FR"/>
        </w:rPr>
        <w:t>formulée</w:t>
      </w:r>
      <w:r>
        <w:rPr>
          <w:lang w:val="fr-FR"/>
        </w:rPr>
        <w:t xml:space="preserve"> </w:t>
      </w:r>
      <w:r w:rsidRPr="001302B9">
        <w:rPr>
          <w:lang w:val="fr-FR"/>
        </w:rPr>
        <w:t>dans</w:t>
      </w:r>
      <w:r>
        <w:rPr>
          <w:lang w:val="fr-FR"/>
        </w:rPr>
        <w:t xml:space="preserve"> </w:t>
      </w:r>
      <w:r w:rsidRPr="001302B9">
        <w:rPr>
          <w:lang w:val="fr-FR"/>
        </w:rPr>
        <w:t>ses</w:t>
      </w:r>
      <w:r>
        <w:rPr>
          <w:lang w:val="fr-FR"/>
        </w:rPr>
        <w:t xml:space="preserve"> </w:t>
      </w:r>
      <w:r w:rsidRPr="001302B9">
        <w:rPr>
          <w:lang w:val="fr-FR"/>
        </w:rPr>
        <w:t>précédentes</w:t>
      </w:r>
      <w:r>
        <w:rPr>
          <w:lang w:val="fr-FR"/>
        </w:rPr>
        <w:t xml:space="preserve"> </w:t>
      </w:r>
      <w:r w:rsidRPr="001302B9">
        <w:rPr>
          <w:lang w:val="fr-FR"/>
        </w:rPr>
        <w:t>observations</w:t>
      </w:r>
      <w:r>
        <w:rPr>
          <w:lang w:val="fr-FR"/>
        </w:rPr>
        <w:t xml:space="preserve"> </w:t>
      </w:r>
      <w:r w:rsidRPr="001302B9">
        <w:rPr>
          <w:lang w:val="fr-FR"/>
        </w:rPr>
        <w:t>finales</w:t>
      </w:r>
      <w:r w:rsidRPr="00731A47">
        <w:rPr>
          <w:rStyle w:val="Appelnotedebasdep"/>
          <w:lang w:val="fr-FR"/>
        </w:rPr>
        <w:footnoteReference w:id="12"/>
      </w:r>
      <w:r w:rsidRPr="001302B9">
        <w:rPr>
          <w:lang w:val="fr-FR"/>
        </w:rPr>
        <w:t>,</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n’ait</w:t>
      </w:r>
      <w:r>
        <w:rPr>
          <w:lang w:val="fr-FR"/>
        </w:rPr>
        <w:t xml:space="preserve"> </w:t>
      </w:r>
      <w:r w:rsidRPr="001302B9">
        <w:rPr>
          <w:lang w:val="fr-FR"/>
        </w:rPr>
        <w:t>pas</w:t>
      </w:r>
      <w:r>
        <w:rPr>
          <w:lang w:val="fr-FR"/>
        </w:rPr>
        <w:t xml:space="preserve"> </w:t>
      </w:r>
      <w:r w:rsidRPr="001302B9">
        <w:rPr>
          <w:lang w:val="fr-FR"/>
        </w:rPr>
        <w:t>érigé</w:t>
      </w:r>
      <w:r>
        <w:rPr>
          <w:lang w:val="fr-FR"/>
        </w:rPr>
        <w:t xml:space="preserve"> </w:t>
      </w:r>
      <w:r w:rsidRPr="001302B9">
        <w:rPr>
          <w:lang w:val="fr-FR"/>
        </w:rPr>
        <w:t>les</w:t>
      </w:r>
      <w:r>
        <w:rPr>
          <w:lang w:val="fr-FR"/>
        </w:rPr>
        <w:t xml:space="preserve"> </w:t>
      </w:r>
      <w:r w:rsidRPr="001302B9">
        <w:rPr>
          <w:lang w:val="fr-FR"/>
        </w:rPr>
        <w:t>actes</w:t>
      </w:r>
      <w:r>
        <w:rPr>
          <w:lang w:val="fr-FR"/>
        </w:rPr>
        <w:t xml:space="preserve"> </w:t>
      </w:r>
      <w:r w:rsidRPr="001302B9">
        <w:rPr>
          <w:lang w:val="fr-FR"/>
        </w:rPr>
        <w:t>décrits</w:t>
      </w:r>
      <w:r>
        <w:rPr>
          <w:lang w:val="fr-FR"/>
        </w:rPr>
        <w:t xml:space="preserve"> </w:t>
      </w:r>
      <w:r w:rsidRPr="001302B9">
        <w:rPr>
          <w:lang w:val="fr-FR"/>
        </w:rPr>
        <w:t>dans</w:t>
      </w:r>
      <w:r>
        <w:rPr>
          <w:lang w:val="fr-FR"/>
        </w:rPr>
        <w:t xml:space="preserve"> </w:t>
      </w:r>
      <w:r w:rsidRPr="001302B9">
        <w:rPr>
          <w:lang w:val="fr-FR"/>
        </w:rPr>
        <w:t>l’article</w:t>
      </w:r>
      <w:r>
        <w:rPr>
          <w:lang w:val="fr-FR"/>
        </w:rPr>
        <w:t xml:space="preserve"> </w:t>
      </w:r>
      <w:r w:rsidRPr="001302B9">
        <w:rPr>
          <w:lang w:val="fr-FR"/>
        </w:rPr>
        <w:t>susmentionné</w:t>
      </w:r>
      <w:r>
        <w:rPr>
          <w:lang w:val="fr-FR"/>
        </w:rPr>
        <w:t xml:space="preserve"> </w:t>
      </w:r>
      <w:r w:rsidRPr="001302B9">
        <w:rPr>
          <w:lang w:val="fr-FR"/>
        </w:rPr>
        <w:t>en</w:t>
      </w:r>
      <w:r>
        <w:rPr>
          <w:lang w:val="fr-FR"/>
        </w:rPr>
        <w:t xml:space="preserve"> </w:t>
      </w:r>
      <w:r w:rsidRPr="001302B9">
        <w:rPr>
          <w:lang w:val="fr-FR"/>
        </w:rPr>
        <w:t>infractions</w:t>
      </w:r>
      <w:r>
        <w:rPr>
          <w:lang w:val="fr-FR"/>
        </w:rPr>
        <w:t xml:space="preserve"> </w:t>
      </w:r>
      <w:r w:rsidRPr="001302B9">
        <w:rPr>
          <w:lang w:val="fr-FR"/>
        </w:rPr>
        <w:t>à</w:t>
      </w:r>
      <w:r>
        <w:rPr>
          <w:lang w:val="fr-FR"/>
        </w:rPr>
        <w:t xml:space="preserve"> </w:t>
      </w:r>
      <w:r w:rsidRPr="001302B9">
        <w:rPr>
          <w:lang w:val="fr-FR"/>
        </w:rPr>
        <w:t>part</w:t>
      </w:r>
      <w:r>
        <w:rPr>
          <w:lang w:val="fr-FR"/>
        </w:rPr>
        <w:t xml:space="preserve"> </w:t>
      </w:r>
      <w:r w:rsidRPr="001302B9">
        <w:rPr>
          <w:lang w:val="fr-FR"/>
        </w:rPr>
        <w:t>entière</w:t>
      </w:r>
      <w:r>
        <w:rPr>
          <w:lang w:val="fr-FR"/>
        </w:rPr>
        <w:t xml:space="preserve"> </w:t>
      </w:r>
      <w:r w:rsidRPr="001302B9">
        <w:rPr>
          <w:lang w:val="fr-FR"/>
        </w:rPr>
        <w:t>(</w:t>
      </w:r>
      <w:r>
        <w:rPr>
          <w:lang w:val="fr-FR"/>
        </w:rPr>
        <w:t>art. </w:t>
      </w:r>
      <w:r w:rsidRPr="001302B9">
        <w:rPr>
          <w:lang w:val="fr-FR"/>
        </w:rPr>
        <w:t>25).</w:t>
      </w:r>
    </w:p>
    <w:p w14:paraId="52470388" w14:textId="27539796" w:rsidR="003F0CA1" w:rsidRPr="003F0CA1" w:rsidRDefault="003F0CA1" w:rsidP="003F0CA1">
      <w:pPr>
        <w:pStyle w:val="SingleTxtG"/>
        <w:rPr>
          <w:b/>
          <w:bCs/>
          <w:lang w:val="fr-FR"/>
        </w:rPr>
      </w:pPr>
      <w:r w:rsidRPr="001302B9">
        <w:rPr>
          <w:lang w:val="fr-FR"/>
        </w:rPr>
        <w:t>15.</w:t>
      </w:r>
      <w:r w:rsidRPr="003F0CA1">
        <w:rPr>
          <w:b/>
          <w:bCs/>
          <w:lang w:val="fr-FR"/>
        </w:rPr>
        <w:tab/>
        <w:t>Le Comité recommande à l’État partie d’incriminer les actes visés par l’article 25</w:t>
      </w:r>
      <w:r w:rsidR="00CD45C4">
        <w:rPr>
          <w:b/>
          <w:bCs/>
          <w:lang w:val="fr-FR"/>
        </w:rPr>
        <w:t> </w:t>
      </w:r>
      <w:r w:rsidRPr="003F0CA1">
        <w:rPr>
          <w:b/>
          <w:bCs/>
          <w:lang w:val="fr-FR"/>
        </w:rPr>
        <w:t>(</w:t>
      </w:r>
      <w:r>
        <w:rPr>
          <w:b/>
          <w:bCs/>
          <w:lang w:val="fr-FR"/>
        </w:rPr>
        <w:t>par. </w:t>
      </w:r>
      <w:r w:rsidRPr="003F0CA1">
        <w:rPr>
          <w:b/>
          <w:bCs/>
          <w:lang w:val="fr-FR"/>
        </w:rPr>
        <w:t>1) de la Convention en tant qu’infractions à part entière et de les rendre passibles de peines tenant dûment compte de leur extrême gravité.</w:t>
      </w:r>
    </w:p>
    <w:p w14:paraId="095F69DA" w14:textId="77777777" w:rsidR="003F0CA1" w:rsidRPr="001302B9" w:rsidRDefault="003F0CA1" w:rsidP="003F0CA1">
      <w:pPr>
        <w:pStyle w:val="H23G"/>
        <w:rPr>
          <w:lang w:val="fr-FR"/>
        </w:rPr>
      </w:pPr>
      <w:r w:rsidRPr="001302B9">
        <w:rPr>
          <w:lang w:val="fr-FR"/>
        </w:rPr>
        <w:tab/>
        <w:t>3.</w:t>
      </w:r>
      <w:r w:rsidRPr="001302B9">
        <w:rPr>
          <w:lang w:val="fr-FR"/>
        </w:rPr>
        <w:tab/>
        <w:t>Recherches</w:t>
      </w:r>
      <w:r>
        <w:rPr>
          <w:lang w:val="fr-FR"/>
        </w:rPr>
        <w:t xml:space="preserve"> </w:t>
      </w:r>
      <w:r w:rsidRPr="001302B9">
        <w:rPr>
          <w:lang w:val="fr-FR"/>
        </w:rPr>
        <w:t>et</w:t>
      </w:r>
      <w:r>
        <w:rPr>
          <w:lang w:val="fr-FR"/>
        </w:rPr>
        <w:t xml:space="preserve"> </w:t>
      </w:r>
      <w:r w:rsidRPr="001302B9">
        <w:rPr>
          <w:lang w:val="fr-FR"/>
        </w:rPr>
        <w:t>enquêtes</w:t>
      </w:r>
    </w:p>
    <w:p w14:paraId="2C6C83D3" w14:textId="77777777" w:rsidR="003F0CA1" w:rsidRDefault="003F0CA1" w:rsidP="003F0CA1">
      <w:pPr>
        <w:pStyle w:val="H23G"/>
        <w:rPr>
          <w:lang w:val="fr-FR"/>
        </w:rPr>
      </w:pPr>
      <w:r w:rsidRPr="001302B9">
        <w:rPr>
          <w:lang w:val="fr-FR"/>
        </w:rPr>
        <w:tab/>
      </w:r>
      <w:r w:rsidRPr="001302B9">
        <w:rPr>
          <w:lang w:val="fr-FR"/>
        </w:rPr>
        <w:tab/>
        <w:t>Enquête</w:t>
      </w:r>
      <w:r>
        <w:rPr>
          <w:lang w:val="fr-FR"/>
        </w:rPr>
        <w:t xml:space="preserve"> </w:t>
      </w:r>
      <w:r w:rsidRPr="001302B9">
        <w:rPr>
          <w:lang w:val="fr-FR"/>
        </w:rPr>
        <w:t>sur</w:t>
      </w:r>
      <w:r>
        <w:rPr>
          <w:lang w:val="fr-FR"/>
        </w:rPr>
        <w:t xml:space="preserve"> </w:t>
      </w:r>
      <w:r w:rsidRPr="001302B9">
        <w:rPr>
          <w:lang w:val="fr-FR"/>
        </w:rPr>
        <w:t>les</w:t>
      </w:r>
      <w:r>
        <w:rPr>
          <w:lang w:val="fr-FR"/>
        </w:rPr>
        <w:t xml:space="preserve"> </w:t>
      </w:r>
      <w:r w:rsidRPr="001302B9">
        <w:rPr>
          <w:lang w:val="fr-FR"/>
        </w:rPr>
        <w:t>disparitions</w:t>
      </w:r>
      <w:r>
        <w:rPr>
          <w:lang w:val="fr-FR"/>
        </w:rPr>
        <w:t xml:space="preserve"> </w:t>
      </w:r>
      <w:r w:rsidRPr="001302B9">
        <w:rPr>
          <w:lang w:val="fr-FR"/>
        </w:rPr>
        <w:t>forcées</w:t>
      </w:r>
      <w:r>
        <w:rPr>
          <w:lang w:val="fr-FR"/>
        </w:rPr>
        <w:t xml:space="preserve"> </w:t>
      </w:r>
      <w:r w:rsidRPr="001302B9">
        <w:rPr>
          <w:lang w:val="fr-FR"/>
        </w:rPr>
        <w:t>commises</w:t>
      </w:r>
      <w:r>
        <w:rPr>
          <w:lang w:val="fr-FR"/>
        </w:rPr>
        <w:t xml:space="preserve"> </w:t>
      </w:r>
      <w:r w:rsidRPr="001302B9">
        <w:rPr>
          <w:lang w:val="fr-FR"/>
        </w:rPr>
        <w:t>dans</w:t>
      </w:r>
      <w:r>
        <w:rPr>
          <w:lang w:val="fr-FR"/>
        </w:rPr>
        <w:t xml:space="preserve"> </w:t>
      </w:r>
      <w:r w:rsidRPr="001302B9">
        <w:rPr>
          <w:lang w:val="fr-FR"/>
        </w:rPr>
        <w:t>le</w:t>
      </w:r>
      <w:r>
        <w:rPr>
          <w:lang w:val="fr-FR"/>
        </w:rPr>
        <w:t xml:space="preserve"> </w:t>
      </w:r>
      <w:r w:rsidRPr="001302B9">
        <w:rPr>
          <w:lang w:val="fr-FR"/>
        </w:rPr>
        <w:t>passé</w:t>
      </w:r>
    </w:p>
    <w:p w14:paraId="5A09EEE5" w14:textId="4FCD3A64" w:rsidR="003F0CA1" w:rsidRPr="00CD45C4" w:rsidRDefault="003F0CA1" w:rsidP="003F0CA1">
      <w:pPr>
        <w:pStyle w:val="SingleTxtG"/>
        <w:rPr>
          <w:spacing w:val="-1"/>
          <w:lang w:val="fr-FR"/>
        </w:rPr>
      </w:pPr>
      <w:r w:rsidRPr="00CD45C4">
        <w:rPr>
          <w:spacing w:val="-1"/>
          <w:lang w:val="fr-FR"/>
        </w:rPr>
        <w:t>16.</w:t>
      </w:r>
      <w:r w:rsidRPr="00CD45C4">
        <w:rPr>
          <w:spacing w:val="-1"/>
          <w:lang w:val="fr-FR"/>
        </w:rPr>
        <w:tab/>
        <w:t>Le Comité prend note des informations fournies par l’État partie sur les efforts déployés pour enquêter sur les disparitions forcées qui auraient eu lieu entre 1968 et 1985. Toutefois, il constate avec préoccupation que, comme il ressort des observations préliminaires récemment formulées par le Groupe de travail sur les disparitions forcées ou involontaires à l’issue de sa visite en Uruguay, l’impunité continue d’entourer ces infractions et les enquêtes et les poursuites engagées avancent lentement</w:t>
      </w:r>
      <w:r w:rsidRPr="00731A47">
        <w:rPr>
          <w:rStyle w:val="Appelnotedebasdep"/>
          <w:spacing w:val="-1"/>
          <w:lang w:val="fr-FR"/>
        </w:rPr>
        <w:footnoteReference w:id="13"/>
      </w:r>
      <w:r w:rsidRPr="00CD45C4">
        <w:rPr>
          <w:spacing w:val="-1"/>
          <w:lang w:val="fr-FR"/>
        </w:rPr>
        <w:t>. À cet égard, il accueille avec intérêt les informations qui lui ont été communiquées au cours du dialogue au sujet des mesures prises pour accélérer ces procédures. Par ailleurs, il note avec satisfaction que le parquet spécialisé dans les crimes contre l’humanité établit des actes d’accusation en se fond</w:t>
      </w:r>
      <w:r w:rsidR="001649A9">
        <w:rPr>
          <w:spacing w:val="-1"/>
          <w:lang w:val="fr-FR"/>
        </w:rPr>
        <w:t>ant</w:t>
      </w:r>
      <w:r w:rsidRPr="00CD45C4">
        <w:rPr>
          <w:spacing w:val="-1"/>
          <w:lang w:val="fr-FR"/>
        </w:rPr>
        <w:t xml:space="preserve"> sur l’infraction de disparition forcée. Néanmoins, il s’inquiète du fait que, jusqu’à présent, personne n’a jamais été condamné pour ce crime. Il recommande de nouveau à l’État partie de veiller à ce que la disparition forcée soit instruite comme telle et que les responsables soient punis indépendamment du temps écoulé depuis le début de l’infraction (art. 8, 12 et 24)</w:t>
      </w:r>
      <w:r w:rsidRPr="00731A47">
        <w:rPr>
          <w:rStyle w:val="Appelnotedebasdep"/>
          <w:spacing w:val="-1"/>
          <w:lang w:val="fr-FR"/>
        </w:rPr>
        <w:footnoteReference w:id="14"/>
      </w:r>
      <w:r w:rsidRPr="00CD45C4">
        <w:rPr>
          <w:spacing w:val="-1"/>
          <w:lang w:val="fr-FR"/>
        </w:rPr>
        <w:t>.</w:t>
      </w:r>
    </w:p>
    <w:p w14:paraId="4A1EBEB4" w14:textId="512D516B" w:rsidR="003F0CA1" w:rsidRPr="003F0CA1" w:rsidRDefault="003F0CA1" w:rsidP="003F0CA1">
      <w:pPr>
        <w:pStyle w:val="SingleTxtG"/>
        <w:keepNext/>
        <w:rPr>
          <w:b/>
          <w:bCs/>
          <w:lang w:val="fr-FR"/>
        </w:rPr>
      </w:pPr>
      <w:r w:rsidRPr="001302B9">
        <w:rPr>
          <w:lang w:val="fr-FR"/>
        </w:rPr>
        <w:t>17.</w:t>
      </w:r>
      <w:r w:rsidRPr="003F0CA1">
        <w:rPr>
          <w:b/>
          <w:bCs/>
          <w:lang w:val="fr-FR"/>
        </w:rPr>
        <w:tab/>
        <w:t>Le Comité engage vivement l’État partie</w:t>
      </w:r>
      <w:r>
        <w:rPr>
          <w:b/>
          <w:bCs/>
          <w:lang w:val="fr-FR"/>
        </w:rPr>
        <w:t> :</w:t>
      </w:r>
    </w:p>
    <w:p w14:paraId="1886CE5E" w14:textId="0882D7A6" w:rsidR="003F0CA1" w:rsidRPr="003F0CA1" w:rsidRDefault="003F0CA1" w:rsidP="003F0CA1">
      <w:pPr>
        <w:pStyle w:val="SingleTxtG"/>
        <w:ind w:firstLine="567"/>
        <w:rPr>
          <w:b/>
          <w:bCs/>
          <w:lang w:val="fr-FR"/>
        </w:rPr>
      </w:pPr>
      <w:r w:rsidRPr="003F0CA1">
        <w:rPr>
          <w:b/>
          <w:bCs/>
          <w:lang w:val="fr-FR"/>
        </w:rPr>
        <w:t>a)</w:t>
      </w:r>
      <w:r w:rsidRPr="003F0CA1">
        <w:rPr>
          <w:b/>
          <w:bCs/>
          <w:lang w:val="fr-FR"/>
        </w:rPr>
        <w:tab/>
        <w:t>À prendre les mesures nécessaires pour accélérer tous les procès concernant des disparitions forcées qui auraient eu lieu entre 1968 et 1985</w:t>
      </w:r>
      <w:r>
        <w:rPr>
          <w:b/>
          <w:bCs/>
          <w:lang w:val="fr-FR"/>
        </w:rPr>
        <w:t> ;</w:t>
      </w:r>
    </w:p>
    <w:p w14:paraId="06A7B0DD" w14:textId="3A66F3DB" w:rsidR="003F0CA1" w:rsidRPr="003F0CA1" w:rsidRDefault="003F0CA1" w:rsidP="003F0CA1">
      <w:pPr>
        <w:pStyle w:val="SingleTxtG"/>
        <w:ind w:firstLine="567"/>
        <w:rPr>
          <w:b/>
          <w:bCs/>
          <w:lang w:val="fr-FR"/>
        </w:rPr>
      </w:pPr>
      <w:r w:rsidRPr="003F0CA1">
        <w:rPr>
          <w:b/>
          <w:bCs/>
          <w:lang w:val="fr-FR"/>
        </w:rPr>
        <w:t>b)</w:t>
      </w:r>
      <w:r w:rsidRPr="003F0CA1">
        <w:rPr>
          <w:b/>
          <w:bCs/>
          <w:lang w:val="fr-FR"/>
        </w:rPr>
        <w:tab/>
        <w:t>À faire en sorte que tous les auteurs présumés de ces actes soient jugés et, s’ils sont reconnus coupables, condamnés à une peine proportionnée à la gravité de leurs actes</w:t>
      </w:r>
      <w:r>
        <w:rPr>
          <w:b/>
          <w:bCs/>
          <w:lang w:val="fr-FR"/>
        </w:rPr>
        <w:t> ;</w:t>
      </w:r>
    </w:p>
    <w:p w14:paraId="6A38B10D" w14:textId="7410D23B" w:rsidR="003F0CA1" w:rsidRPr="003F0CA1" w:rsidRDefault="003F0CA1" w:rsidP="003F0CA1">
      <w:pPr>
        <w:pStyle w:val="SingleTxtG"/>
        <w:ind w:firstLine="567"/>
        <w:rPr>
          <w:b/>
          <w:bCs/>
          <w:lang w:val="fr-FR"/>
        </w:rPr>
      </w:pPr>
      <w:r w:rsidRPr="003F0CA1">
        <w:rPr>
          <w:b/>
          <w:bCs/>
          <w:lang w:val="fr-FR"/>
        </w:rPr>
        <w:t>c)</w:t>
      </w:r>
      <w:r w:rsidRPr="003F0CA1">
        <w:rPr>
          <w:b/>
          <w:bCs/>
          <w:lang w:val="fr-FR"/>
        </w:rPr>
        <w:tab/>
        <w:t xml:space="preserve">À veiller à ce que toutes les disparitions forcées qui auraient été commises avant l’entrée en vigueur de la loi </w:t>
      </w:r>
      <w:r w:rsidRPr="003F0CA1">
        <w:rPr>
          <w:rFonts w:eastAsia="MS Mincho"/>
          <w:b/>
          <w:bCs/>
          <w:lang w:val="fr-FR"/>
        </w:rPr>
        <w:t>n</w:t>
      </w:r>
      <w:r w:rsidRPr="003F0CA1">
        <w:rPr>
          <w:rFonts w:eastAsia="MS Mincho"/>
          <w:b/>
          <w:bCs/>
          <w:vertAlign w:val="superscript"/>
          <w:lang w:val="fr-FR"/>
        </w:rPr>
        <w:t>o</w:t>
      </w:r>
      <w:r w:rsidR="00CD45C4">
        <w:rPr>
          <w:b/>
          <w:bCs/>
          <w:lang w:val="fr-FR"/>
        </w:rPr>
        <w:t> </w:t>
      </w:r>
      <w:r w:rsidRPr="003F0CA1">
        <w:rPr>
          <w:b/>
          <w:bCs/>
          <w:lang w:val="fr-FR"/>
        </w:rPr>
        <w:t>18.026 et qui continueraient depuis soient jugées en tant que telles</w:t>
      </w:r>
      <w:r>
        <w:rPr>
          <w:b/>
          <w:bCs/>
          <w:lang w:val="fr-FR"/>
        </w:rPr>
        <w:t> ;</w:t>
      </w:r>
    </w:p>
    <w:p w14:paraId="1BED245B" w14:textId="73C22D49" w:rsidR="003F0CA1" w:rsidRPr="003F0CA1" w:rsidRDefault="003F0CA1" w:rsidP="003F0CA1">
      <w:pPr>
        <w:pStyle w:val="SingleTxtG"/>
        <w:ind w:firstLine="567"/>
        <w:rPr>
          <w:b/>
          <w:bCs/>
          <w:lang w:val="fr-FR"/>
        </w:rPr>
      </w:pPr>
      <w:r w:rsidRPr="003F0CA1">
        <w:rPr>
          <w:b/>
          <w:bCs/>
          <w:lang w:val="fr-FR"/>
        </w:rPr>
        <w:t>d)</w:t>
      </w:r>
      <w:r w:rsidRPr="003F0CA1">
        <w:rPr>
          <w:b/>
          <w:bCs/>
          <w:lang w:val="fr-FR"/>
        </w:rPr>
        <w:tab/>
        <w:t>À garantir que les autorités chargées d’enquêter sur les disparitions forcées et de rechercher les victimes continuent de renforcer leur coopération et coordonnent leurs activités plus étroitement encore</w:t>
      </w:r>
      <w:r>
        <w:rPr>
          <w:b/>
          <w:bCs/>
          <w:lang w:val="fr-FR"/>
        </w:rPr>
        <w:t> ;</w:t>
      </w:r>
    </w:p>
    <w:p w14:paraId="7398685C" w14:textId="38B7037D" w:rsidR="003F0CA1" w:rsidRPr="003F0CA1" w:rsidRDefault="003F0CA1" w:rsidP="003F0CA1">
      <w:pPr>
        <w:pStyle w:val="SingleTxtG"/>
        <w:ind w:firstLine="567"/>
        <w:rPr>
          <w:b/>
          <w:bCs/>
          <w:lang w:val="fr-FR"/>
        </w:rPr>
      </w:pPr>
      <w:r w:rsidRPr="003F0CA1">
        <w:rPr>
          <w:b/>
          <w:bCs/>
          <w:lang w:val="fr-FR"/>
        </w:rPr>
        <w:t>e)</w:t>
      </w:r>
      <w:r w:rsidRPr="003F0CA1">
        <w:rPr>
          <w:b/>
          <w:bCs/>
          <w:lang w:val="fr-FR"/>
        </w:rPr>
        <w:tab/>
        <w:t xml:space="preserve">À garantir que les institutions qui participent aux enquêtes sur les disparitions forcées, en particulier le parquet spécialisé dans les crimes contre l’humanité, disposent des ressources financières et techniques nécessaires et de </w:t>
      </w:r>
      <w:r w:rsidRPr="003F0CA1">
        <w:rPr>
          <w:b/>
          <w:bCs/>
          <w:lang w:val="fr-FR"/>
        </w:rPr>
        <w:lastRenderedPageBreak/>
        <w:t>suffisamment de personnel qualifié pour s’acquitter de leur mission avec toute la diligence voulue.</w:t>
      </w:r>
    </w:p>
    <w:p w14:paraId="38E87F31" w14:textId="77777777" w:rsidR="003F0CA1" w:rsidRPr="00731A47" w:rsidRDefault="003F0CA1" w:rsidP="003F0CA1">
      <w:pPr>
        <w:pStyle w:val="H23G"/>
        <w:rPr>
          <w:lang w:val="fr-FR"/>
        </w:rPr>
      </w:pPr>
      <w:r w:rsidRPr="001302B9">
        <w:rPr>
          <w:lang w:val="fr-FR"/>
        </w:rPr>
        <w:tab/>
      </w:r>
      <w:r w:rsidRPr="001302B9">
        <w:rPr>
          <w:lang w:val="fr-FR"/>
        </w:rPr>
        <w:tab/>
      </w:r>
      <w:r w:rsidRPr="00731A47">
        <w:rPr>
          <w:lang w:val="fr-FR"/>
        </w:rPr>
        <w:t>Recherche des personnes disparues</w:t>
      </w:r>
    </w:p>
    <w:p w14:paraId="4A6458B0" w14:textId="710E09FF" w:rsidR="003F0CA1" w:rsidRDefault="003F0CA1" w:rsidP="003F0CA1">
      <w:pPr>
        <w:pStyle w:val="SingleTxtG"/>
        <w:rPr>
          <w:lang w:val="fr-FR"/>
        </w:rPr>
      </w:pPr>
      <w:r w:rsidRPr="00731A47">
        <w:rPr>
          <w:lang w:val="fr-FR"/>
        </w:rPr>
        <w:t>18.</w:t>
      </w:r>
      <w:r w:rsidRPr="00731A47">
        <w:rPr>
          <w:lang w:val="fr-FR"/>
        </w:rPr>
        <w:tab/>
        <w:t>Le Comité accueille avec satisfaction les informations concernant les mesures prises dans l’État partie pour rechercher les personnes qui auraient été victimes de disparition forcée entre 1968 et 1985. Il prend note en particulier de la création, en 2015, du groupe de travail sur la vérité et la justice, qui a achevé son mandat en 2019, et de la désignation, en 2019, de l’institution nationale des droits de l’homme comme institution chargée de la recherche des personnes disparues à l’intérieur et à l’extérieur de l’Uruguay. Toutefois, il est préoccupé par la lenteur des recherches et les obstacles auxquels celles-ci se heurtent, notamment la perte et la dégradation d’éléments de preuves et le fait que, comme l’institution nationale des droits de l’homme l’a fait savoir à la Cour interaméricaine des droits de l’homme en avril 2021, des anciens responsables militaires de haut rang refusent de fournir des informations</w:t>
      </w:r>
      <w:r w:rsidRPr="00731A47">
        <w:rPr>
          <w:rStyle w:val="Appelnotedebasdep"/>
          <w:lang w:val="fr-FR"/>
        </w:rPr>
        <w:footnoteReference w:id="15"/>
      </w:r>
      <w:r w:rsidRPr="00731A47">
        <w:rPr>
          <w:lang w:val="fr-FR"/>
        </w:rPr>
        <w:t>. Par ailleurs, il prend note avec intérêt du contenu du rapport d’évaluation établi comme suite à la décision relative à l’institution nationale des droits de l’homme et au Bureau du Défenseur du peuple adoptée par la Chambre des sénateurs le 10</w:t>
      </w:r>
      <w:r w:rsidR="00CD45C4" w:rsidRPr="00731A47">
        <w:rPr>
          <w:lang w:val="fr-FR"/>
        </w:rPr>
        <w:t> </w:t>
      </w:r>
      <w:r w:rsidRPr="00731A47">
        <w:rPr>
          <w:lang w:val="fr-FR"/>
        </w:rPr>
        <w:t>février 2021 (art. 7, 12, 15 et 24).</w:t>
      </w:r>
    </w:p>
    <w:p w14:paraId="06AB2245" w14:textId="5EAAC9C1" w:rsidR="003F0CA1" w:rsidRPr="003F0CA1" w:rsidRDefault="003F0CA1" w:rsidP="003F0CA1">
      <w:pPr>
        <w:pStyle w:val="SingleTxtG"/>
        <w:keepNext/>
        <w:rPr>
          <w:b/>
          <w:bCs/>
          <w:lang w:val="fr-FR"/>
        </w:rPr>
      </w:pPr>
      <w:r w:rsidRPr="001302B9">
        <w:rPr>
          <w:lang w:val="fr-FR"/>
        </w:rPr>
        <w:t>19.</w:t>
      </w:r>
      <w:r w:rsidRPr="003F0CA1">
        <w:rPr>
          <w:b/>
          <w:bCs/>
          <w:lang w:val="fr-FR"/>
        </w:rPr>
        <w:tab/>
        <w:t>Le Comité engage l’État partie à prendre en considération les Principes directeurs concernant la recherche de personnes disparues dans l’élaboration et la mise en œuvre de stratégies globales de recherche</w:t>
      </w:r>
      <w:r w:rsidRPr="00731A47">
        <w:rPr>
          <w:rStyle w:val="Appelnotedebasdep"/>
          <w:lang w:val="fr-FR"/>
        </w:rPr>
        <w:footnoteReference w:id="16"/>
      </w:r>
      <w:r w:rsidRPr="003F0CA1">
        <w:rPr>
          <w:b/>
          <w:bCs/>
          <w:lang w:val="fr-FR"/>
        </w:rPr>
        <w:t>. Il lui recommande également de redoubler d’efforts pour rechercher, localiser et libérer les personnes qui auraient été victimes de disparition forcée entre 1968 et 1985 et qui sont toujours portées disparues, et, en cas de décès, de les identifier et de restituer leur corps dans des conditions dignes et dans les plus brefs délais. À cet égard, il lui recommande</w:t>
      </w:r>
      <w:r>
        <w:rPr>
          <w:b/>
          <w:bCs/>
          <w:lang w:val="fr-FR"/>
        </w:rPr>
        <w:t> :</w:t>
      </w:r>
    </w:p>
    <w:p w14:paraId="6E4E6BBC" w14:textId="51123C93" w:rsidR="003F0CA1" w:rsidRPr="003F0CA1" w:rsidRDefault="003F0CA1" w:rsidP="003F0CA1">
      <w:pPr>
        <w:pStyle w:val="SingleTxtG"/>
        <w:ind w:firstLine="567"/>
        <w:rPr>
          <w:b/>
          <w:bCs/>
          <w:lang w:val="fr-FR"/>
        </w:rPr>
      </w:pPr>
      <w:r w:rsidRPr="003F0CA1">
        <w:rPr>
          <w:b/>
          <w:bCs/>
          <w:lang w:val="fr-FR"/>
        </w:rPr>
        <w:t>a)</w:t>
      </w:r>
      <w:r w:rsidRPr="003F0CA1">
        <w:rPr>
          <w:b/>
          <w:bCs/>
          <w:lang w:val="fr-FR"/>
        </w:rPr>
        <w:tab/>
        <w:t>De faire en sorte que tous les dossiers et documents pouvant faciliter la recherche des personnes disparues ou les enquêtes sur les allégations de disparition forcée soient adéquatement conservés, notamment en les numérisant rapidement</w:t>
      </w:r>
      <w:r>
        <w:rPr>
          <w:b/>
          <w:bCs/>
          <w:lang w:val="fr-FR"/>
        </w:rPr>
        <w:t> ;</w:t>
      </w:r>
    </w:p>
    <w:p w14:paraId="5187EDC0" w14:textId="04778433" w:rsidR="003F0CA1" w:rsidRPr="003F0CA1" w:rsidRDefault="003F0CA1" w:rsidP="003F0CA1">
      <w:pPr>
        <w:pStyle w:val="SingleTxtG"/>
        <w:ind w:firstLine="567"/>
        <w:rPr>
          <w:b/>
          <w:bCs/>
          <w:lang w:val="fr-FR"/>
        </w:rPr>
      </w:pPr>
      <w:r w:rsidRPr="003F0CA1">
        <w:rPr>
          <w:b/>
          <w:bCs/>
          <w:lang w:val="fr-FR"/>
        </w:rPr>
        <w:t>b)</w:t>
      </w:r>
      <w:r w:rsidRPr="003F0CA1">
        <w:rPr>
          <w:b/>
          <w:bCs/>
          <w:lang w:val="fr-FR"/>
        </w:rPr>
        <w:tab/>
        <w:t>De veiller à ce que l’institution nationale des droits de l’homme ait dûment accès aux dossiers détenus par le Secrétariat chargé des violations des droits de l’homme commises dans le passé récent et se les voit rapidement transférer afin que le processus soit mené à bien au plus vite</w:t>
      </w:r>
      <w:r>
        <w:rPr>
          <w:b/>
          <w:bCs/>
          <w:lang w:val="fr-FR"/>
        </w:rPr>
        <w:t> ;</w:t>
      </w:r>
    </w:p>
    <w:p w14:paraId="66B8D2A9" w14:textId="3360B64B" w:rsidR="003F0CA1" w:rsidRPr="003F0CA1" w:rsidRDefault="003F0CA1" w:rsidP="003F0CA1">
      <w:pPr>
        <w:pStyle w:val="SingleTxtG"/>
        <w:ind w:firstLine="567"/>
        <w:rPr>
          <w:b/>
          <w:bCs/>
          <w:lang w:val="fr-FR"/>
        </w:rPr>
      </w:pPr>
      <w:r w:rsidRPr="003F0CA1">
        <w:rPr>
          <w:b/>
          <w:bCs/>
          <w:lang w:val="fr-FR"/>
        </w:rPr>
        <w:t>c)</w:t>
      </w:r>
      <w:r w:rsidRPr="003F0CA1">
        <w:rPr>
          <w:b/>
          <w:bCs/>
          <w:lang w:val="fr-FR"/>
        </w:rPr>
        <w:tab/>
        <w:t>De veiller à ce que les autorités publiques compétentes, en particulier le Ministère de la défense, recherchent et consignent systématiquement et diligemment tous les dossiers et documents dont les organismes chargés de rechercher les personnes disparues ou d’enquêter sur les disparitions forcées n’ont pas encore connaissance et qui pourraient leur être utiles</w:t>
      </w:r>
      <w:r>
        <w:rPr>
          <w:b/>
          <w:bCs/>
          <w:lang w:val="fr-FR"/>
        </w:rPr>
        <w:t> ;</w:t>
      </w:r>
    </w:p>
    <w:p w14:paraId="5B769D85" w14:textId="09658E42" w:rsidR="003F0CA1" w:rsidRPr="003F0CA1" w:rsidRDefault="003F0CA1" w:rsidP="003F0CA1">
      <w:pPr>
        <w:pStyle w:val="SingleTxtG"/>
        <w:ind w:firstLine="567"/>
        <w:rPr>
          <w:b/>
          <w:bCs/>
          <w:lang w:val="fr-FR"/>
        </w:rPr>
      </w:pPr>
      <w:r w:rsidRPr="003F0CA1">
        <w:rPr>
          <w:b/>
          <w:bCs/>
          <w:lang w:val="fr-FR"/>
        </w:rPr>
        <w:t>d)</w:t>
      </w:r>
      <w:r w:rsidRPr="003F0CA1">
        <w:rPr>
          <w:b/>
          <w:bCs/>
          <w:lang w:val="fr-FR"/>
        </w:rPr>
        <w:tab/>
        <w:t>De lancer un appel public au plus haut niveau pour engager toutes les personnes disposant d’informations susceptibles de contribuer à retrouver des personnes disparues à communiquer ces informations rapidement sans crainte d’être stigmatisées, et d’envisager de faire bénéficier de circonstances atténuantes les auteurs de disparitions forcées qui fournissent des informations fiables et pertinentes qui contribuent à élucider les faits</w:t>
      </w:r>
      <w:r>
        <w:rPr>
          <w:b/>
          <w:bCs/>
          <w:lang w:val="fr-FR"/>
        </w:rPr>
        <w:t> ;</w:t>
      </w:r>
    </w:p>
    <w:p w14:paraId="7085E861" w14:textId="1C4C2A6A" w:rsidR="003F0CA1" w:rsidRPr="003F0CA1" w:rsidRDefault="003F0CA1" w:rsidP="003F0CA1">
      <w:pPr>
        <w:pStyle w:val="SingleTxtG"/>
        <w:ind w:firstLine="567"/>
        <w:rPr>
          <w:b/>
          <w:bCs/>
          <w:lang w:val="fr-FR"/>
        </w:rPr>
      </w:pPr>
      <w:r w:rsidRPr="003F0CA1">
        <w:rPr>
          <w:b/>
          <w:bCs/>
          <w:lang w:val="fr-FR"/>
        </w:rPr>
        <w:t>e)</w:t>
      </w:r>
      <w:r w:rsidRPr="003F0CA1">
        <w:rPr>
          <w:b/>
          <w:bCs/>
          <w:lang w:val="fr-FR"/>
        </w:rPr>
        <w:tab/>
        <w:t>De faire en sorte que tous les acteurs publics collaborent activement et avec toute la diligence voulue avec l’institution nationale des droits de l’homme et lui fournissent toute l’assistance et toutes les informations nécessaires</w:t>
      </w:r>
      <w:r>
        <w:rPr>
          <w:b/>
          <w:bCs/>
          <w:lang w:val="fr-FR"/>
        </w:rPr>
        <w:t> ;</w:t>
      </w:r>
    </w:p>
    <w:p w14:paraId="5C30D51C" w14:textId="3E2318E1" w:rsidR="003F0CA1" w:rsidRPr="003F0CA1" w:rsidRDefault="003F0CA1" w:rsidP="003F0CA1">
      <w:pPr>
        <w:pStyle w:val="SingleTxtG"/>
        <w:ind w:firstLine="567"/>
        <w:rPr>
          <w:b/>
          <w:bCs/>
          <w:lang w:val="fr-FR"/>
        </w:rPr>
      </w:pPr>
      <w:r w:rsidRPr="003F0CA1">
        <w:rPr>
          <w:b/>
          <w:bCs/>
          <w:lang w:val="fr-FR"/>
        </w:rPr>
        <w:t>f)</w:t>
      </w:r>
      <w:r w:rsidRPr="003F0CA1">
        <w:rPr>
          <w:b/>
          <w:bCs/>
          <w:lang w:val="fr-FR"/>
        </w:rPr>
        <w:tab/>
        <w:t xml:space="preserve">De garantir que l’institution nationale des droits de l’homme et tous autres organismes qui s’occupent de la recherche des personnes disparues et de l’identification de leurs restes en cas de décès continuent de disposer des ressources financières et techniques nécessaires et de suffisamment de personnel qualifié pour s’acquitter de leur </w:t>
      </w:r>
      <w:r w:rsidRPr="003F0CA1">
        <w:rPr>
          <w:b/>
          <w:bCs/>
          <w:lang w:val="fr-FR"/>
        </w:rPr>
        <w:lastRenderedPageBreak/>
        <w:t>mandat, et, dans la mesure du possible, d’augmenter les ressources mises à leur</w:t>
      </w:r>
      <w:r w:rsidR="00CD45C4">
        <w:rPr>
          <w:b/>
          <w:bCs/>
          <w:lang w:val="fr-FR"/>
        </w:rPr>
        <w:t> </w:t>
      </w:r>
      <w:r w:rsidRPr="003F0CA1">
        <w:rPr>
          <w:b/>
          <w:bCs/>
          <w:lang w:val="fr-FR"/>
        </w:rPr>
        <w:t>disposition</w:t>
      </w:r>
      <w:r>
        <w:rPr>
          <w:b/>
          <w:bCs/>
          <w:lang w:val="fr-FR"/>
        </w:rPr>
        <w:t> ;</w:t>
      </w:r>
    </w:p>
    <w:p w14:paraId="586C8762" w14:textId="1238553A" w:rsidR="003F0CA1" w:rsidRPr="003F0CA1" w:rsidRDefault="003F0CA1" w:rsidP="003F0CA1">
      <w:pPr>
        <w:pStyle w:val="SingleTxtG"/>
        <w:ind w:firstLine="567"/>
        <w:rPr>
          <w:b/>
          <w:bCs/>
          <w:lang w:val="fr-FR"/>
        </w:rPr>
      </w:pPr>
      <w:r w:rsidRPr="003F0CA1">
        <w:rPr>
          <w:b/>
          <w:bCs/>
          <w:lang w:val="fr-FR"/>
        </w:rPr>
        <w:t>g)</w:t>
      </w:r>
      <w:r w:rsidRPr="003F0CA1">
        <w:rPr>
          <w:b/>
          <w:bCs/>
          <w:lang w:val="fr-FR"/>
        </w:rPr>
        <w:tab/>
        <w:t>De resserrer encore davantage la coopération établie avec les autres États parties de la région en vue de rechercher les personnes disparues dans le contexte de l’«</w:t>
      </w:r>
      <w:r w:rsidR="00CD45C4">
        <w:rPr>
          <w:b/>
          <w:bCs/>
          <w:lang w:val="fr-FR"/>
        </w:rPr>
        <w:t> </w:t>
      </w:r>
      <w:r w:rsidRPr="003F0CA1">
        <w:rPr>
          <w:b/>
          <w:bCs/>
          <w:lang w:val="fr-FR"/>
        </w:rPr>
        <w:t>Opération Condor</w:t>
      </w:r>
      <w:r w:rsidR="00CD45C4">
        <w:rPr>
          <w:b/>
          <w:bCs/>
          <w:lang w:val="fr-FR"/>
        </w:rPr>
        <w:t> </w:t>
      </w:r>
      <w:r w:rsidRPr="003F0CA1">
        <w:rPr>
          <w:b/>
          <w:bCs/>
          <w:lang w:val="fr-FR"/>
        </w:rPr>
        <w:t>», d’identifier les morts et de restituer leurs restes, conformément à l’article 15 de la Convention</w:t>
      </w:r>
      <w:r>
        <w:rPr>
          <w:b/>
          <w:bCs/>
          <w:lang w:val="fr-FR"/>
        </w:rPr>
        <w:t> ;</w:t>
      </w:r>
    </w:p>
    <w:p w14:paraId="5692B03D" w14:textId="3CC5CB5C" w:rsidR="003F0CA1" w:rsidRPr="003F0CA1" w:rsidRDefault="003F0CA1" w:rsidP="003F0CA1">
      <w:pPr>
        <w:pStyle w:val="SingleTxtG"/>
        <w:ind w:firstLine="567"/>
        <w:rPr>
          <w:b/>
          <w:bCs/>
          <w:lang w:val="fr-FR"/>
        </w:rPr>
      </w:pPr>
      <w:r w:rsidRPr="003F0CA1">
        <w:rPr>
          <w:b/>
          <w:bCs/>
          <w:lang w:val="fr-FR"/>
        </w:rPr>
        <w:t>h)</w:t>
      </w:r>
      <w:r w:rsidRPr="003F0CA1">
        <w:rPr>
          <w:b/>
          <w:bCs/>
          <w:lang w:val="fr-FR"/>
        </w:rPr>
        <w:tab/>
        <w:t>D’apporter le soutien nécessaire aux personnes qui participent à la recherche de leurs proches uruguayens disparus à l’étranger en tenant compte des différences entre les situations</w:t>
      </w:r>
      <w:r>
        <w:rPr>
          <w:b/>
          <w:bCs/>
          <w:lang w:val="fr-FR"/>
        </w:rPr>
        <w:t> ;</w:t>
      </w:r>
    </w:p>
    <w:p w14:paraId="547FF4BE" w14:textId="711F21FB" w:rsidR="003F0CA1" w:rsidRPr="003F0CA1" w:rsidRDefault="003F0CA1" w:rsidP="003F0CA1">
      <w:pPr>
        <w:pStyle w:val="SingleTxtG"/>
        <w:ind w:firstLine="567"/>
        <w:rPr>
          <w:b/>
          <w:bCs/>
          <w:lang w:val="fr-FR"/>
        </w:rPr>
      </w:pPr>
      <w:r w:rsidRPr="003F0CA1">
        <w:rPr>
          <w:b/>
          <w:bCs/>
          <w:lang w:val="fr-FR"/>
        </w:rPr>
        <w:t>i)</w:t>
      </w:r>
      <w:r w:rsidRPr="003F0CA1">
        <w:rPr>
          <w:b/>
          <w:bCs/>
          <w:lang w:val="fr-FR"/>
        </w:rPr>
        <w:tab/>
        <w:t>D’appliquer les recommandations formulées dans le rapport d’évaluation établi comme suite à la décision relative à l’institution nationale des droits de l’homme et au Bureau du Défenseur du peuple adoptée par la Chambre des sénateurs le 10</w:t>
      </w:r>
      <w:r w:rsidR="00CD45C4">
        <w:rPr>
          <w:b/>
          <w:bCs/>
          <w:lang w:val="fr-FR"/>
        </w:rPr>
        <w:t> </w:t>
      </w:r>
      <w:r w:rsidRPr="003F0CA1">
        <w:rPr>
          <w:b/>
          <w:bCs/>
          <w:lang w:val="fr-FR"/>
        </w:rPr>
        <w:t>février 2021</w:t>
      </w:r>
      <w:r>
        <w:rPr>
          <w:b/>
          <w:bCs/>
          <w:lang w:val="fr-FR"/>
        </w:rPr>
        <w:t> ;</w:t>
      </w:r>
    </w:p>
    <w:p w14:paraId="4BDCFC08" w14:textId="3758B551" w:rsidR="003F0CA1" w:rsidRPr="003F0CA1" w:rsidRDefault="003F0CA1" w:rsidP="003F0CA1">
      <w:pPr>
        <w:pStyle w:val="SingleTxtG"/>
        <w:ind w:firstLine="567"/>
        <w:rPr>
          <w:b/>
          <w:bCs/>
          <w:lang w:val="fr-FR"/>
        </w:rPr>
      </w:pPr>
      <w:r w:rsidRPr="003F0CA1">
        <w:rPr>
          <w:b/>
          <w:bCs/>
          <w:lang w:val="fr-FR"/>
        </w:rPr>
        <w:t>j)</w:t>
      </w:r>
      <w:r w:rsidRPr="003F0CA1">
        <w:rPr>
          <w:b/>
          <w:bCs/>
          <w:lang w:val="fr-FR"/>
        </w:rPr>
        <w:tab/>
        <w:t>De continuer à mener des recherches exhaustives avec toute la diligence voulue jusqu’à ce que le sort de toutes les personnes encore portées disparues soit élucidé et/ou que l’on ait déterminé le lieu où elles se trouvent.</w:t>
      </w:r>
    </w:p>
    <w:p w14:paraId="77BDA508" w14:textId="77777777" w:rsidR="003F0CA1" w:rsidRPr="001302B9" w:rsidRDefault="003F0CA1" w:rsidP="003F0CA1">
      <w:pPr>
        <w:pStyle w:val="H23G"/>
        <w:rPr>
          <w:lang w:val="fr-FR"/>
        </w:rPr>
      </w:pPr>
      <w:r w:rsidRPr="001302B9">
        <w:rPr>
          <w:lang w:val="fr-FR"/>
        </w:rPr>
        <w:tab/>
        <w:t>4.</w:t>
      </w:r>
      <w:r w:rsidRPr="001302B9">
        <w:rPr>
          <w:lang w:val="fr-FR"/>
        </w:rPr>
        <w:tab/>
        <w:t>Réparation</w:t>
      </w:r>
      <w:r>
        <w:rPr>
          <w:lang w:val="fr-FR"/>
        </w:rPr>
        <w:t xml:space="preserve"> </w:t>
      </w:r>
      <w:r w:rsidRPr="001302B9">
        <w:rPr>
          <w:lang w:val="fr-FR"/>
        </w:rPr>
        <w:t>intégrale</w:t>
      </w:r>
    </w:p>
    <w:p w14:paraId="417113D9" w14:textId="77777777" w:rsidR="003F0CA1" w:rsidRPr="001302B9" w:rsidRDefault="003F0CA1" w:rsidP="003F0CA1">
      <w:pPr>
        <w:pStyle w:val="H23G"/>
        <w:rPr>
          <w:lang w:val="fr-FR"/>
        </w:rPr>
      </w:pPr>
      <w:r w:rsidRPr="001302B9">
        <w:rPr>
          <w:lang w:val="fr-FR"/>
        </w:rPr>
        <w:tab/>
      </w:r>
      <w:r w:rsidRPr="001302B9">
        <w:rPr>
          <w:lang w:val="fr-FR"/>
        </w:rPr>
        <w:tab/>
        <w:t>Droit</w:t>
      </w:r>
      <w:r>
        <w:rPr>
          <w:lang w:val="fr-FR"/>
        </w:rPr>
        <w:t xml:space="preserve"> </w:t>
      </w:r>
      <w:r w:rsidRPr="001302B9">
        <w:rPr>
          <w:lang w:val="fr-FR"/>
        </w:rPr>
        <w:t>à</w:t>
      </w:r>
      <w:r>
        <w:rPr>
          <w:lang w:val="fr-FR"/>
        </w:rPr>
        <w:t xml:space="preserve"> </w:t>
      </w:r>
      <w:r w:rsidRPr="001302B9">
        <w:rPr>
          <w:lang w:val="fr-FR"/>
        </w:rPr>
        <w:t>réparation</w:t>
      </w:r>
    </w:p>
    <w:p w14:paraId="2A13540F" w14:textId="36299997" w:rsidR="003F0CA1" w:rsidRPr="001302B9" w:rsidRDefault="003F0CA1" w:rsidP="003F0CA1">
      <w:pPr>
        <w:pStyle w:val="SingleTxtG"/>
        <w:rPr>
          <w:lang w:val="fr-FR"/>
        </w:rPr>
      </w:pPr>
      <w:r w:rsidRPr="001302B9">
        <w:rPr>
          <w:lang w:val="fr-FR"/>
        </w:rPr>
        <w:t>20.</w:t>
      </w:r>
      <w:r w:rsidRPr="001302B9">
        <w:rPr>
          <w:lang w:val="fr-FR"/>
        </w:rPr>
        <w:tab/>
        <w:t>Le</w:t>
      </w:r>
      <w:r>
        <w:rPr>
          <w:lang w:val="fr-FR"/>
        </w:rPr>
        <w:t xml:space="preserve"> </w:t>
      </w:r>
      <w:r w:rsidRPr="001302B9">
        <w:rPr>
          <w:lang w:val="fr-FR"/>
        </w:rPr>
        <w:t>Comité</w:t>
      </w:r>
      <w:r>
        <w:rPr>
          <w:lang w:val="fr-FR"/>
        </w:rPr>
        <w:t xml:space="preserve"> </w:t>
      </w:r>
      <w:r w:rsidRPr="001302B9">
        <w:rPr>
          <w:lang w:val="fr-FR"/>
        </w:rPr>
        <w:t>se</w:t>
      </w:r>
      <w:r>
        <w:rPr>
          <w:lang w:val="fr-FR"/>
        </w:rPr>
        <w:t xml:space="preserve"> </w:t>
      </w:r>
      <w:r w:rsidRPr="001302B9">
        <w:rPr>
          <w:lang w:val="fr-FR"/>
        </w:rPr>
        <w:t>félicite</w:t>
      </w:r>
      <w:r>
        <w:rPr>
          <w:lang w:val="fr-FR"/>
        </w:rPr>
        <w:t xml:space="preserve"> </w:t>
      </w:r>
      <w:r w:rsidRPr="001302B9">
        <w:rPr>
          <w:lang w:val="fr-FR"/>
        </w:rPr>
        <w:t>des</w:t>
      </w:r>
      <w:r>
        <w:rPr>
          <w:lang w:val="fr-FR"/>
        </w:rPr>
        <w:t xml:space="preserve"> </w:t>
      </w:r>
      <w:r w:rsidRPr="001302B9">
        <w:rPr>
          <w:lang w:val="fr-FR"/>
        </w:rPr>
        <w:t>mesures</w:t>
      </w:r>
      <w:r>
        <w:rPr>
          <w:lang w:val="fr-FR"/>
        </w:rPr>
        <w:t xml:space="preserve"> </w:t>
      </w:r>
      <w:r w:rsidRPr="001302B9">
        <w:rPr>
          <w:lang w:val="fr-FR"/>
        </w:rPr>
        <w:t>que</w:t>
      </w:r>
      <w:r>
        <w:rPr>
          <w:lang w:val="fr-FR"/>
        </w:rPr>
        <w:t xml:space="preserve"> </w:t>
      </w:r>
      <w:r w:rsidRPr="001302B9">
        <w:rPr>
          <w:lang w:val="fr-FR"/>
        </w:rPr>
        <w:t>l’État</w:t>
      </w:r>
      <w:r>
        <w:rPr>
          <w:lang w:val="fr-FR"/>
        </w:rPr>
        <w:t xml:space="preserve"> </w:t>
      </w:r>
      <w:r w:rsidRPr="001302B9">
        <w:rPr>
          <w:lang w:val="fr-FR"/>
        </w:rPr>
        <w:t>partie</w:t>
      </w:r>
      <w:r>
        <w:rPr>
          <w:lang w:val="fr-FR"/>
        </w:rPr>
        <w:t xml:space="preserve"> </w:t>
      </w:r>
      <w:r w:rsidRPr="001302B9">
        <w:rPr>
          <w:lang w:val="fr-FR"/>
        </w:rPr>
        <w:t>a</w:t>
      </w:r>
      <w:r>
        <w:rPr>
          <w:lang w:val="fr-FR"/>
        </w:rPr>
        <w:t xml:space="preserve"> </w:t>
      </w:r>
      <w:r w:rsidRPr="001302B9">
        <w:rPr>
          <w:lang w:val="fr-FR"/>
        </w:rPr>
        <w:t>prises,</w:t>
      </w:r>
      <w:r>
        <w:rPr>
          <w:lang w:val="fr-FR"/>
        </w:rPr>
        <w:t xml:space="preserve"> </w:t>
      </w:r>
      <w:r w:rsidRPr="001302B9">
        <w:rPr>
          <w:lang w:val="fr-FR"/>
        </w:rPr>
        <w:t>depuis</w:t>
      </w:r>
      <w:r>
        <w:rPr>
          <w:lang w:val="fr-FR"/>
        </w:rPr>
        <w:t xml:space="preserve"> </w:t>
      </w:r>
      <w:r w:rsidRPr="001302B9">
        <w:rPr>
          <w:lang w:val="fr-FR"/>
        </w:rPr>
        <w:t>ses</w:t>
      </w:r>
      <w:r>
        <w:rPr>
          <w:lang w:val="fr-FR"/>
        </w:rPr>
        <w:t xml:space="preserve"> </w:t>
      </w:r>
      <w:r w:rsidRPr="001302B9">
        <w:rPr>
          <w:lang w:val="fr-FR"/>
        </w:rPr>
        <w:t>précédentes</w:t>
      </w:r>
      <w:r>
        <w:rPr>
          <w:lang w:val="fr-FR"/>
        </w:rPr>
        <w:t xml:space="preserve"> </w:t>
      </w:r>
      <w:r w:rsidRPr="001302B9">
        <w:rPr>
          <w:lang w:val="fr-FR"/>
        </w:rPr>
        <w:t>observations</w:t>
      </w:r>
      <w:r>
        <w:rPr>
          <w:lang w:val="fr-FR"/>
        </w:rPr>
        <w:t xml:space="preserve"> </w:t>
      </w:r>
      <w:r w:rsidRPr="001302B9">
        <w:rPr>
          <w:lang w:val="fr-FR"/>
        </w:rPr>
        <w:t>finales,</w:t>
      </w:r>
      <w:r>
        <w:rPr>
          <w:lang w:val="fr-FR"/>
        </w:rPr>
        <w:t xml:space="preserve"> </w:t>
      </w:r>
      <w:r w:rsidRPr="001302B9">
        <w:rPr>
          <w:lang w:val="fr-FR"/>
        </w:rPr>
        <w:t>concernant</w:t>
      </w:r>
      <w:r>
        <w:rPr>
          <w:lang w:val="fr-FR"/>
        </w:rPr>
        <w:t xml:space="preserve"> </w:t>
      </w:r>
      <w:r w:rsidRPr="001302B9">
        <w:rPr>
          <w:lang w:val="fr-FR"/>
        </w:rPr>
        <w:t>la</w:t>
      </w:r>
      <w:r>
        <w:rPr>
          <w:lang w:val="fr-FR"/>
        </w:rPr>
        <w:t xml:space="preserve"> </w:t>
      </w:r>
      <w:r w:rsidRPr="001302B9">
        <w:rPr>
          <w:lang w:val="fr-FR"/>
        </w:rPr>
        <w:t>réparation</w:t>
      </w:r>
      <w:r>
        <w:rPr>
          <w:lang w:val="fr-FR"/>
        </w:rPr>
        <w:t xml:space="preserve"> </w:t>
      </w:r>
      <w:r w:rsidRPr="001302B9">
        <w:rPr>
          <w:lang w:val="fr-FR"/>
        </w:rPr>
        <w:t>des</w:t>
      </w:r>
      <w:r>
        <w:rPr>
          <w:lang w:val="fr-FR"/>
        </w:rPr>
        <w:t xml:space="preserve"> </w:t>
      </w:r>
      <w:r w:rsidRPr="001302B9">
        <w:rPr>
          <w:lang w:val="fr-FR"/>
        </w:rPr>
        <w:t>violations</w:t>
      </w:r>
      <w:r>
        <w:rPr>
          <w:lang w:val="fr-FR"/>
        </w:rPr>
        <w:t xml:space="preserve"> </w:t>
      </w:r>
      <w:r w:rsidRPr="001302B9">
        <w:rPr>
          <w:lang w:val="fr-FR"/>
        </w:rPr>
        <w:t>des</w:t>
      </w:r>
      <w:r>
        <w:rPr>
          <w:lang w:val="fr-FR"/>
        </w:rPr>
        <w:t xml:space="preserve"> </w:t>
      </w:r>
      <w:r w:rsidRPr="001302B9">
        <w:rPr>
          <w:lang w:val="fr-FR"/>
        </w:rPr>
        <w:t>droits</w:t>
      </w:r>
      <w:r>
        <w:rPr>
          <w:lang w:val="fr-FR"/>
        </w:rPr>
        <w:t xml:space="preserve"> </w:t>
      </w:r>
      <w:r w:rsidRPr="001302B9">
        <w:rPr>
          <w:lang w:val="fr-FR"/>
        </w:rPr>
        <w:t>de</w:t>
      </w:r>
      <w:r>
        <w:rPr>
          <w:lang w:val="fr-FR"/>
        </w:rPr>
        <w:t xml:space="preserve"> </w:t>
      </w:r>
      <w:r w:rsidRPr="001302B9">
        <w:rPr>
          <w:lang w:val="fr-FR"/>
        </w:rPr>
        <w:t>l’homme</w:t>
      </w:r>
      <w:r>
        <w:rPr>
          <w:lang w:val="fr-FR"/>
        </w:rPr>
        <w:t xml:space="preserve"> </w:t>
      </w:r>
      <w:r w:rsidRPr="001302B9">
        <w:rPr>
          <w:lang w:val="fr-FR"/>
        </w:rPr>
        <w:t>commises</w:t>
      </w:r>
      <w:r>
        <w:rPr>
          <w:lang w:val="fr-FR"/>
        </w:rPr>
        <w:t xml:space="preserve"> </w:t>
      </w:r>
      <w:r w:rsidRPr="001302B9">
        <w:rPr>
          <w:lang w:val="fr-FR"/>
        </w:rPr>
        <w:t>entre</w:t>
      </w:r>
      <w:r>
        <w:rPr>
          <w:lang w:val="fr-FR"/>
        </w:rPr>
        <w:t xml:space="preserve"> </w:t>
      </w:r>
      <w:r w:rsidRPr="001302B9">
        <w:rPr>
          <w:lang w:val="fr-FR"/>
        </w:rPr>
        <w:t>1968</w:t>
      </w:r>
      <w:r>
        <w:rPr>
          <w:lang w:val="fr-FR"/>
        </w:rPr>
        <w:t xml:space="preserve"> </w:t>
      </w:r>
      <w:r w:rsidRPr="001302B9">
        <w:rPr>
          <w:lang w:val="fr-FR"/>
        </w:rPr>
        <w:t>et</w:t>
      </w:r>
      <w:r>
        <w:rPr>
          <w:lang w:val="fr-FR"/>
        </w:rPr>
        <w:t xml:space="preserve"> </w:t>
      </w:r>
      <w:r w:rsidRPr="001302B9">
        <w:rPr>
          <w:lang w:val="fr-FR"/>
        </w:rPr>
        <w:t>1985.</w:t>
      </w:r>
      <w:r>
        <w:rPr>
          <w:lang w:val="fr-FR"/>
        </w:rPr>
        <w:t xml:space="preserve"> </w:t>
      </w:r>
      <w:r w:rsidRPr="001302B9">
        <w:rPr>
          <w:lang w:val="fr-FR"/>
        </w:rPr>
        <w:t>Toutefois,</w:t>
      </w:r>
      <w:r>
        <w:rPr>
          <w:lang w:val="fr-FR"/>
        </w:rPr>
        <w:t xml:space="preserve"> </w:t>
      </w:r>
      <w:r w:rsidRPr="001302B9">
        <w:rPr>
          <w:lang w:val="fr-FR"/>
        </w:rPr>
        <w:t>il</w:t>
      </w:r>
      <w:r>
        <w:rPr>
          <w:lang w:val="fr-FR"/>
        </w:rPr>
        <w:t xml:space="preserve"> </w:t>
      </w:r>
      <w:r w:rsidRPr="001302B9">
        <w:rPr>
          <w:lang w:val="fr-FR"/>
        </w:rPr>
        <w:t>est</w:t>
      </w:r>
      <w:r>
        <w:rPr>
          <w:lang w:val="fr-FR"/>
        </w:rPr>
        <w:t xml:space="preserve"> </w:t>
      </w:r>
      <w:r w:rsidRPr="001302B9">
        <w:rPr>
          <w:lang w:val="fr-FR"/>
        </w:rPr>
        <w:t>préoccupé</w:t>
      </w:r>
      <w:r>
        <w:rPr>
          <w:lang w:val="fr-FR"/>
        </w:rPr>
        <w:t xml:space="preserve"> </w:t>
      </w:r>
      <w:r w:rsidRPr="001302B9">
        <w:rPr>
          <w:lang w:val="fr-FR"/>
        </w:rPr>
        <w:t>par</w:t>
      </w:r>
      <w:r>
        <w:rPr>
          <w:lang w:val="fr-FR"/>
        </w:rPr>
        <w:t xml:space="preserve"> </w:t>
      </w:r>
      <w:r w:rsidRPr="001302B9">
        <w:rPr>
          <w:lang w:val="fr-FR"/>
        </w:rPr>
        <w:t>les</w:t>
      </w:r>
      <w:r>
        <w:rPr>
          <w:lang w:val="fr-FR"/>
        </w:rPr>
        <w:t xml:space="preserve"> </w:t>
      </w:r>
      <w:r w:rsidRPr="001302B9">
        <w:rPr>
          <w:lang w:val="fr-FR"/>
        </w:rPr>
        <w:t>informations</w:t>
      </w:r>
      <w:r>
        <w:rPr>
          <w:lang w:val="fr-FR"/>
        </w:rPr>
        <w:t xml:space="preserve"> </w:t>
      </w:r>
      <w:r w:rsidRPr="001302B9">
        <w:rPr>
          <w:lang w:val="fr-FR"/>
        </w:rPr>
        <w:t>reçues</w:t>
      </w:r>
      <w:r>
        <w:rPr>
          <w:lang w:val="fr-FR"/>
        </w:rPr>
        <w:t xml:space="preserve"> </w:t>
      </w:r>
      <w:r w:rsidRPr="001302B9">
        <w:rPr>
          <w:lang w:val="fr-FR"/>
        </w:rPr>
        <w:t>concernant</w:t>
      </w:r>
      <w:r>
        <w:rPr>
          <w:lang w:val="fr-FR"/>
        </w:rPr>
        <w:t xml:space="preserve"> </w:t>
      </w:r>
      <w:r w:rsidRPr="001302B9">
        <w:rPr>
          <w:lang w:val="fr-FR"/>
        </w:rPr>
        <w:t>les</w:t>
      </w:r>
      <w:r>
        <w:rPr>
          <w:lang w:val="fr-FR"/>
        </w:rPr>
        <w:t xml:space="preserve"> </w:t>
      </w:r>
      <w:r w:rsidRPr="001302B9">
        <w:rPr>
          <w:lang w:val="fr-FR"/>
        </w:rPr>
        <w:t>obstacles</w:t>
      </w:r>
      <w:r>
        <w:rPr>
          <w:lang w:val="fr-FR"/>
        </w:rPr>
        <w:t xml:space="preserve"> </w:t>
      </w:r>
      <w:r w:rsidRPr="001302B9">
        <w:rPr>
          <w:lang w:val="fr-FR"/>
        </w:rPr>
        <w:t>qui</w:t>
      </w:r>
      <w:r>
        <w:rPr>
          <w:lang w:val="fr-FR"/>
        </w:rPr>
        <w:t xml:space="preserve"> </w:t>
      </w:r>
      <w:r w:rsidRPr="001302B9">
        <w:rPr>
          <w:lang w:val="fr-FR"/>
        </w:rPr>
        <w:t>empêcheraient</w:t>
      </w:r>
      <w:r>
        <w:rPr>
          <w:lang w:val="fr-FR"/>
        </w:rPr>
        <w:t xml:space="preserve"> </w:t>
      </w:r>
      <w:r w:rsidRPr="001302B9">
        <w:rPr>
          <w:lang w:val="fr-FR"/>
        </w:rPr>
        <w:t>la</w:t>
      </w:r>
      <w:r>
        <w:rPr>
          <w:lang w:val="fr-FR"/>
        </w:rPr>
        <w:t xml:space="preserve"> </w:t>
      </w:r>
      <w:r w:rsidRPr="001302B9">
        <w:rPr>
          <w:lang w:val="fr-FR"/>
        </w:rPr>
        <w:t>réalisation</w:t>
      </w:r>
      <w:r>
        <w:rPr>
          <w:lang w:val="fr-FR"/>
        </w:rPr>
        <w:t xml:space="preserve"> </w:t>
      </w:r>
      <w:r w:rsidRPr="001302B9">
        <w:rPr>
          <w:lang w:val="fr-FR"/>
        </w:rPr>
        <w:t>du</w:t>
      </w:r>
      <w:r>
        <w:rPr>
          <w:lang w:val="fr-FR"/>
        </w:rPr>
        <w:t xml:space="preserve"> </w:t>
      </w:r>
      <w:r w:rsidRPr="001302B9">
        <w:rPr>
          <w:lang w:val="fr-FR"/>
        </w:rPr>
        <w:t>droit</w:t>
      </w:r>
      <w:r>
        <w:rPr>
          <w:lang w:val="fr-FR"/>
        </w:rPr>
        <w:t xml:space="preserve"> </w:t>
      </w:r>
      <w:r w:rsidRPr="001302B9">
        <w:rPr>
          <w:lang w:val="fr-FR"/>
        </w:rPr>
        <w:t>à</w:t>
      </w:r>
      <w:r>
        <w:rPr>
          <w:lang w:val="fr-FR"/>
        </w:rPr>
        <w:t xml:space="preserve"> </w:t>
      </w:r>
      <w:r w:rsidRPr="001302B9">
        <w:rPr>
          <w:lang w:val="fr-FR"/>
        </w:rPr>
        <w:t>la</w:t>
      </w:r>
      <w:r>
        <w:rPr>
          <w:lang w:val="fr-FR"/>
        </w:rPr>
        <w:t xml:space="preserve"> </w:t>
      </w:r>
      <w:r w:rsidRPr="001302B9">
        <w:rPr>
          <w:lang w:val="fr-FR"/>
        </w:rPr>
        <w:t>réparation</w:t>
      </w:r>
      <w:r>
        <w:rPr>
          <w:lang w:val="fr-FR"/>
        </w:rPr>
        <w:t xml:space="preserve"> </w:t>
      </w:r>
      <w:r w:rsidRPr="001302B9">
        <w:rPr>
          <w:lang w:val="fr-FR"/>
        </w:rPr>
        <w:t>intégrale</w:t>
      </w:r>
      <w:r>
        <w:rPr>
          <w:lang w:val="fr-FR"/>
        </w:rPr>
        <w:t xml:space="preserve"> </w:t>
      </w:r>
      <w:r w:rsidRPr="001302B9">
        <w:rPr>
          <w:lang w:val="fr-FR"/>
        </w:rPr>
        <w:t>pour</w:t>
      </w:r>
      <w:r>
        <w:rPr>
          <w:lang w:val="fr-FR"/>
        </w:rPr>
        <w:t xml:space="preserve"> </w:t>
      </w:r>
      <w:r w:rsidRPr="001302B9">
        <w:rPr>
          <w:lang w:val="fr-FR"/>
        </w:rPr>
        <w:t>toutes</w:t>
      </w:r>
      <w:r>
        <w:rPr>
          <w:lang w:val="fr-FR"/>
        </w:rPr>
        <w:t xml:space="preserve"> </w:t>
      </w:r>
      <w:r w:rsidRPr="001302B9">
        <w:rPr>
          <w:lang w:val="fr-FR"/>
        </w:rPr>
        <w:t>les</w:t>
      </w:r>
      <w:r>
        <w:rPr>
          <w:lang w:val="fr-FR"/>
        </w:rPr>
        <w:t xml:space="preserve"> </w:t>
      </w:r>
      <w:r w:rsidRPr="001302B9">
        <w:rPr>
          <w:lang w:val="fr-FR"/>
        </w:rPr>
        <w:t>victimes</w:t>
      </w:r>
      <w:r>
        <w:rPr>
          <w:lang w:val="fr-FR"/>
        </w:rPr>
        <w:t xml:space="preserve"> </w:t>
      </w:r>
      <w:r w:rsidRPr="001302B9">
        <w:rPr>
          <w:lang w:val="fr-FR"/>
        </w:rPr>
        <w:t>des</w:t>
      </w:r>
      <w:r>
        <w:rPr>
          <w:lang w:val="fr-FR"/>
        </w:rPr>
        <w:t xml:space="preserve"> </w:t>
      </w:r>
      <w:r w:rsidRPr="001302B9">
        <w:rPr>
          <w:lang w:val="fr-FR"/>
        </w:rPr>
        <w:t>disparitions</w:t>
      </w:r>
      <w:r>
        <w:rPr>
          <w:lang w:val="fr-FR"/>
        </w:rPr>
        <w:t xml:space="preserve"> </w:t>
      </w:r>
      <w:r w:rsidRPr="001302B9">
        <w:rPr>
          <w:lang w:val="fr-FR"/>
        </w:rPr>
        <w:t>forcées</w:t>
      </w:r>
      <w:r>
        <w:rPr>
          <w:lang w:val="fr-FR"/>
        </w:rPr>
        <w:t xml:space="preserve"> </w:t>
      </w:r>
      <w:r w:rsidRPr="001302B9">
        <w:rPr>
          <w:lang w:val="fr-FR"/>
        </w:rPr>
        <w:t>qui</w:t>
      </w:r>
      <w:r>
        <w:rPr>
          <w:lang w:val="fr-FR"/>
        </w:rPr>
        <w:t xml:space="preserve"> </w:t>
      </w:r>
      <w:r w:rsidRPr="001302B9">
        <w:rPr>
          <w:lang w:val="fr-FR"/>
        </w:rPr>
        <w:t>ont</w:t>
      </w:r>
      <w:r>
        <w:rPr>
          <w:lang w:val="fr-FR"/>
        </w:rPr>
        <w:t xml:space="preserve"> </w:t>
      </w:r>
      <w:r w:rsidRPr="001302B9">
        <w:rPr>
          <w:lang w:val="fr-FR"/>
        </w:rPr>
        <w:t>eu</w:t>
      </w:r>
      <w:r>
        <w:rPr>
          <w:lang w:val="fr-FR"/>
        </w:rPr>
        <w:t xml:space="preserve"> </w:t>
      </w:r>
      <w:r w:rsidRPr="001302B9">
        <w:rPr>
          <w:lang w:val="fr-FR"/>
        </w:rPr>
        <w:t>lieu</w:t>
      </w:r>
      <w:r>
        <w:rPr>
          <w:lang w:val="fr-FR"/>
        </w:rPr>
        <w:t xml:space="preserve"> </w:t>
      </w:r>
      <w:r w:rsidRPr="001302B9">
        <w:rPr>
          <w:lang w:val="fr-FR"/>
        </w:rPr>
        <w:t>pendant</w:t>
      </w:r>
      <w:r>
        <w:rPr>
          <w:lang w:val="fr-FR"/>
        </w:rPr>
        <w:t xml:space="preserve"> </w:t>
      </w:r>
      <w:r w:rsidRPr="001302B9">
        <w:rPr>
          <w:lang w:val="fr-FR"/>
        </w:rPr>
        <w:t>cette</w:t>
      </w:r>
      <w:r>
        <w:rPr>
          <w:lang w:val="fr-FR"/>
        </w:rPr>
        <w:t xml:space="preserve"> </w:t>
      </w:r>
      <w:r w:rsidRPr="001302B9">
        <w:rPr>
          <w:lang w:val="fr-FR"/>
        </w:rPr>
        <w:t>période.</w:t>
      </w:r>
      <w:r>
        <w:rPr>
          <w:lang w:val="fr-FR"/>
        </w:rPr>
        <w:t xml:space="preserve"> </w:t>
      </w:r>
      <w:r w:rsidRPr="001302B9">
        <w:rPr>
          <w:lang w:val="fr-FR"/>
        </w:rPr>
        <w:t>À</w:t>
      </w:r>
      <w:r>
        <w:rPr>
          <w:lang w:val="fr-FR"/>
        </w:rPr>
        <w:t xml:space="preserve"> </w:t>
      </w:r>
      <w:r w:rsidRPr="001302B9">
        <w:rPr>
          <w:lang w:val="fr-FR"/>
        </w:rPr>
        <w:t>cet</w:t>
      </w:r>
      <w:r>
        <w:rPr>
          <w:lang w:val="fr-FR"/>
        </w:rPr>
        <w:t xml:space="preserve"> </w:t>
      </w:r>
      <w:r w:rsidRPr="001302B9">
        <w:rPr>
          <w:lang w:val="fr-FR"/>
        </w:rPr>
        <w:t>égard,</w:t>
      </w:r>
      <w:r>
        <w:rPr>
          <w:lang w:val="fr-FR"/>
        </w:rPr>
        <w:t xml:space="preserve"> </w:t>
      </w:r>
      <w:r w:rsidRPr="001302B9">
        <w:rPr>
          <w:lang w:val="fr-FR"/>
        </w:rPr>
        <w:t>il</w:t>
      </w:r>
      <w:r>
        <w:rPr>
          <w:lang w:val="fr-FR"/>
        </w:rPr>
        <w:t xml:space="preserve"> </w:t>
      </w:r>
      <w:r w:rsidRPr="001302B9">
        <w:rPr>
          <w:lang w:val="fr-FR"/>
        </w:rPr>
        <w:t>s’inquiète</w:t>
      </w:r>
      <w:r>
        <w:rPr>
          <w:lang w:val="fr-FR"/>
        </w:rPr>
        <w:t xml:space="preserve"> </w:t>
      </w:r>
      <w:r w:rsidRPr="001302B9">
        <w:rPr>
          <w:lang w:val="fr-FR"/>
        </w:rPr>
        <w:t>des</w:t>
      </w:r>
      <w:r>
        <w:rPr>
          <w:lang w:val="fr-FR"/>
        </w:rPr>
        <w:t xml:space="preserve"> </w:t>
      </w:r>
      <w:r w:rsidRPr="001302B9">
        <w:rPr>
          <w:lang w:val="fr-FR"/>
        </w:rPr>
        <w:t>allégations</w:t>
      </w:r>
      <w:r>
        <w:rPr>
          <w:lang w:val="fr-FR"/>
        </w:rPr>
        <w:t xml:space="preserve"> </w:t>
      </w:r>
      <w:r w:rsidRPr="001302B9">
        <w:rPr>
          <w:lang w:val="fr-FR"/>
        </w:rPr>
        <w:t>selon</w:t>
      </w:r>
      <w:r>
        <w:rPr>
          <w:lang w:val="fr-FR"/>
        </w:rPr>
        <w:t xml:space="preserve"> </w:t>
      </w:r>
      <w:r w:rsidRPr="001302B9">
        <w:rPr>
          <w:lang w:val="fr-FR"/>
        </w:rPr>
        <w:t>lesquelles</w:t>
      </w:r>
      <w:r w:rsidR="00CD45C4">
        <w:rPr>
          <w:lang w:val="fr-FR"/>
        </w:rPr>
        <w:t xml:space="preserve"> : </w:t>
      </w:r>
      <w:r>
        <w:rPr>
          <w:lang w:val="fr-FR"/>
        </w:rPr>
        <w:t xml:space="preserve"> </w:t>
      </w:r>
      <w:r w:rsidRPr="001302B9">
        <w:rPr>
          <w:lang w:val="fr-FR"/>
        </w:rPr>
        <w:t>a)</w:t>
      </w:r>
      <w:r w:rsidR="00CD45C4">
        <w:rPr>
          <w:lang w:val="fr-FR"/>
        </w:rPr>
        <w:t> </w:t>
      </w:r>
      <w:r w:rsidRPr="001302B9">
        <w:rPr>
          <w:lang w:val="fr-FR"/>
        </w:rPr>
        <w:t>les</w:t>
      </w:r>
      <w:r>
        <w:rPr>
          <w:lang w:val="fr-FR"/>
        </w:rPr>
        <w:t xml:space="preserve"> </w:t>
      </w:r>
      <w:r w:rsidRPr="001302B9">
        <w:rPr>
          <w:lang w:val="fr-FR"/>
        </w:rPr>
        <w:t>victimes</w:t>
      </w:r>
      <w:r>
        <w:rPr>
          <w:lang w:val="fr-FR"/>
        </w:rPr>
        <w:t xml:space="preserve"> </w:t>
      </w:r>
      <w:r w:rsidRPr="001302B9">
        <w:rPr>
          <w:lang w:val="fr-FR"/>
        </w:rPr>
        <w:t>de</w:t>
      </w:r>
      <w:r>
        <w:rPr>
          <w:lang w:val="fr-FR"/>
        </w:rPr>
        <w:t xml:space="preserve"> </w:t>
      </w:r>
      <w:r w:rsidRPr="001302B9">
        <w:rPr>
          <w:lang w:val="fr-FR"/>
        </w:rPr>
        <w:t>disparition</w:t>
      </w:r>
      <w:r>
        <w:rPr>
          <w:lang w:val="fr-FR"/>
        </w:rPr>
        <w:t xml:space="preserve"> </w:t>
      </w:r>
      <w:r w:rsidRPr="001302B9">
        <w:rPr>
          <w:lang w:val="fr-FR"/>
        </w:rPr>
        <w:t>forcée</w:t>
      </w:r>
      <w:r>
        <w:rPr>
          <w:lang w:val="fr-FR"/>
        </w:rPr>
        <w:t xml:space="preserve"> </w:t>
      </w:r>
      <w:r w:rsidRPr="001302B9">
        <w:rPr>
          <w:lang w:val="fr-FR"/>
        </w:rPr>
        <w:t>ont</w:t>
      </w:r>
      <w:r>
        <w:rPr>
          <w:lang w:val="fr-FR"/>
        </w:rPr>
        <w:t xml:space="preserve"> </w:t>
      </w:r>
      <w:r w:rsidRPr="001302B9">
        <w:rPr>
          <w:lang w:val="fr-FR"/>
        </w:rPr>
        <w:t>la</w:t>
      </w:r>
      <w:r>
        <w:rPr>
          <w:lang w:val="fr-FR"/>
        </w:rPr>
        <w:t xml:space="preserve"> </w:t>
      </w:r>
      <w:r w:rsidRPr="001302B9">
        <w:rPr>
          <w:lang w:val="fr-FR"/>
        </w:rPr>
        <w:t>charge</w:t>
      </w:r>
      <w:r>
        <w:rPr>
          <w:lang w:val="fr-FR"/>
        </w:rPr>
        <w:t xml:space="preserve"> </w:t>
      </w:r>
      <w:r w:rsidRPr="001302B9">
        <w:rPr>
          <w:lang w:val="fr-FR"/>
        </w:rPr>
        <w:t>de</w:t>
      </w:r>
      <w:r>
        <w:rPr>
          <w:lang w:val="fr-FR"/>
        </w:rPr>
        <w:t xml:space="preserve"> </w:t>
      </w:r>
      <w:r w:rsidRPr="001302B9">
        <w:rPr>
          <w:lang w:val="fr-FR"/>
        </w:rPr>
        <w:t>la</w:t>
      </w:r>
      <w:r>
        <w:rPr>
          <w:lang w:val="fr-FR"/>
        </w:rPr>
        <w:t xml:space="preserve"> </w:t>
      </w:r>
      <w:r w:rsidRPr="001302B9">
        <w:rPr>
          <w:lang w:val="fr-FR"/>
        </w:rPr>
        <w:t>preuve</w:t>
      </w:r>
      <w:r>
        <w:rPr>
          <w:lang w:val="fr-FR"/>
        </w:rPr>
        <w:t xml:space="preserve"> </w:t>
      </w:r>
      <w:r w:rsidRPr="001302B9">
        <w:rPr>
          <w:lang w:val="fr-FR"/>
        </w:rPr>
        <w:t>et</w:t>
      </w:r>
      <w:r>
        <w:rPr>
          <w:lang w:val="fr-FR"/>
        </w:rPr>
        <w:t xml:space="preserve"> </w:t>
      </w:r>
      <w:r w:rsidRPr="001302B9">
        <w:rPr>
          <w:lang w:val="fr-FR"/>
        </w:rPr>
        <w:t>sont</w:t>
      </w:r>
      <w:r>
        <w:rPr>
          <w:lang w:val="fr-FR"/>
        </w:rPr>
        <w:t xml:space="preserve"> </w:t>
      </w:r>
      <w:r w:rsidRPr="001302B9">
        <w:rPr>
          <w:lang w:val="fr-FR"/>
        </w:rPr>
        <w:t>tenues</w:t>
      </w:r>
      <w:r>
        <w:rPr>
          <w:lang w:val="fr-FR"/>
        </w:rPr>
        <w:t xml:space="preserve"> </w:t>
      </w:r>
      <w:r w:rsidRPr="001302B9">
        <w:rPr>
          <w:lang w:val="fr-FR"/>
        </w:rPr>
        <w:t>de</w:t>
      </w:r>
      <w:r>
        <w:rPr>
          <w:lang w:val="fr-FR"/>
        </w:rPr>
        <w:t xml:space="preserve"> </w:t>
      </w:r>
      <w:r w:rsidRPr="001302B9">
        <w:rPr>
          <w:lang w:val="fr-FR"/>
        </w:rPr>
        <w:t>démontrer</w:t>
      </w:r>
      <w:r>
        <w:rPr>
          <w:lang w:val="fr-FR"/>
        </w:rPr>
        <w:t xml:space="preserve"> </w:t>
      </w:r>
      <w:r w:rsidRPr="001302B9">
        <w:rPr>
          <w:lang w:val="fr-FR"/>
        </w:rPr>
        <w:t>qu’elles</w:t>
      </w:r>
      <w:r>
        <w:rPr>
          <w:lang w:val="fr-FR"/>
        </w:rPr>
        <w:t xml:space="preserve"> </w:t>
      </w:r>
      <w:r w:rsidRPr="001302B9">
        <w:rPr>
          <w:lang w:val="fr-FR"/>
        </w:rPr>
        <w:t>ont</w:t>
      </w:r>
      <w:r>
        <w:rPr>
          <w:lang w:val="fr-FR"/>
        </w:rPr>
        <w:t xml:space="preserve"> </w:t>
      </w:r>
      <w:r w:rsidRPr="001302B9">
        <w:rPr>
          <w:lang w:val="fr-FR"/>
        </w:rPr>
        <w:t>subi</w:t>
      </w:r>
      <w:r>
        <w:rPr>
          <w:lang w:val="fr-FR"/>
        </w:rPr>
        <w:t xml:space="preserve"> </w:t>
      </w:r>
      <w:r w:rsidR="00CD45C4">
        <w:rPr>
          <w:lang w:val="fr-FR"/>
        </w:rPr>
        <w:t>« </w:t>
      </w:r>
      <w:r w:rsidRPr="001302B9">
        <w:rPr>
          <w:lang w:val="fr-FR"/>
        </w:rPr>
        <w:t>de</w:t>
      </w:r>
      <w:r>
        <w:rPr>
          <w:lang w:val="fr-FR"/>
        </w:rPr>
        <w:t xml:space="preserve"> </w:t>
      </w:r>
      <w:r w:rsidRPr="001302B9">
        <w:rPr>
          <w:lang w:val="fr-FR"/>
        </w:rPr>
        <w:t>très</w:t>
      </w:r>
      <w:r>
        <w:rPr>
          <w:lang w:val="fr-FR"/>
        </w:rPr>
        <w:t xml:space="preserve"> </w:t>
      </w:r>
      <w:r w:rsidRPr="001302B9">
        <w:rPr>
          <w:lang w:val="fr-FR"/>
        </w:rPr>
        <w:t>graves</w:t>
      </w:r>
      <w:r w:rsidR="00CD45C4">
        <w:rPr>
          <w:lang w:val="fr-FR"/>
        </w:rPr>
        <w:t> »</w:t>
      </w:r>
      <w:r>
        <w:rPr>
          <w:lang w:val="fr-FR"/>
        </w:rPr>
        <w:t xml:space="preserve"> </w:t>
      </w:r>
      <w:r w:rsidRPr="001302B9">
        <w:rPr>
          <w:lang w:val="fr-FR"/>
        </w:rPr>
        <w:t>blessures</w:t>
      </w:r>
      <w:r>
        <w:rPr>
          <w:lang w:val="fr-FR"/>
        </w:rPr>
        <w:t xml:space="preserve"> ; </w:t>
      </w:r>
      <w:r w:rsidRPr="001302B9">
        <w:rPr>
          <w:lang w:val="fr-FR"/>
        </w:rPr>
        <w:t>b)</w:t>
      </w:r>
      <w:r w:rsidR="00CD45C4">
        <w:rPr>
          <w:lang w:val="fr-FR"/>
        </w:rPr>
        <w:t> </w:t>
      </w:r>
      <w:r w:rsidRPr="001302B9">
        <w:rPr>
          <w:lang w:val="fr-FR"/>
        </w:rPr>
        <w:t>les</w:t>
      </w:r>
      <w:r>
        <w:rPr>
          <w:lang w:val="fr-FR"/>
        </w:rPr>
        <w:t xml:space="preserve"> </w:t>
      </w:r>
      <w:r w:rsidRPr="001302B9">
        <w:rPr>
          <w:lang w:val="fr-FR"/>
        </w:rPr>
        <w:t>victimes</w:t>
      </w:r>
      <w:r>
        <w:rPr>
          <w:lang w:val="fr-FR"/>
        </w:rPr>
        <w:t xml:space="preserve"> </w:t>
      </w:r>
      <w:r w:rsidRPr="001302B9">
        <w:rPr>
          <w:lang w:val="fr-FR"/>
        </w:rPr>
        <w:t>sont</w:t>
      </w:r>
      <w:r>
        <w:rPr>
          <w:lang w:val="fr-FR"/>
        </w:rPr>
        <w:t xml:space="preserve"> </w:t>
      </w:r>
      <w:r w:rsidRPr="001302B9">
        <w:rPr>
          <w:lang w:val="fr-FR"/>
        </w:rPr>
        <w:t>obligées</w:t>
      </w:r>
      <w:r>
        <w:rPr>
          <w:lang w:val="fr-FR"/>
        </w:rPr>
        <w:t xml:space="preserve"> </w:t>
      </w:r>
      <w:r w:rsidRPr="001302B9">
        <w:rPr>
          <w:lang w:val="fr-FR"/>
        </w:rPr>
        <w:t>de</w:t>
      </w:r>
      <w:r>
        <w:rPr>
          <w:lang w:val="fr-FR"/>
        </w:rPr>
        <w:t xml:space="preserve"> </w:t>
      </w:r>
      <w:r w:rsidRPr="001302B9">
        <w:rPr>
          <w:lang w:val="fr-FR"/>
        </w:rPr>
        <w:t>choisir</w:t>
      </w:r>
      <w:r>
        <w:rPr>
          <w:lang w:val="fr-FR"/>
        </w:rPr>
        <w:t xml:space="preserve"> </w:t>
      </w:r>
      <w:r w:rsidRPr="001302B9">
        <w:rPr>
          <w:lang w:val="fr-FR"/>
        </w:rPr>
        <w:t>entre</w:t>
      </w:r>
      <w:r>
        <w:rPr>
          <w:lang w:val="fr-FR"/>
        </w:rPr>
        <w:t xml:space="preserve"> </w:t>
      </w:r>
      <w:r w:rsidRPr="001302B9">
        <w:rPr>
          <w:lang w:val="fr-FR"/>
        </w:rPr>
        <w:t>recevoir</w:t>
      </w:r>
      <w:r>
        <w:rPr>
          <w:lang w:val="fr-FR"/>
        </w:rPr>
        <w:t xml:space="preserve"> </w:t>
      </w:r>
      <w:r w:rsidRPr="001302B9">
        <w:rPr>
          <w:lang w:val="fr-FR"/>
        </w:rPr>
        <w:t>réparation</w:t>
      </w:r>
      <w:r>
        <w:rPr>
          <w:lang w:val="fr-FR"/>
        </w:rPr>
        <w:t xml:space="preserve"> </w:t>
      </w:r>
      <w:r w:rsidRPr="001302B9">
        <w:rPr>
          <w:lang w:val="fr-FR"/>
        </w:rPr>
        <w:t>et</w:t>
      </w:r>
      <w:r>
        <w:rPr>
          <w:lang w:val="fr-FR"/>
        </w:rPr>
        <w:t xml:space="preserve"> </w:t>
      </w:r>
      <w:r w:rsidRPr="001302B9">
        <w:rPr>
          <w:lang w:val="fr-FR"/>
        </w:rPr>
        <w:t>recevoir</w:t>
      </w:r>
      <w:r>
        <w:rPr>
          <w:lang w:val="fr-FR"/>
        </w:rPr>
        <w:t xml:space="preserve"> </w:t>
      </w:r>
      <w:r w:rsidRPr="001302B9">
        <w:rPr>
          <w:lang w:val="fr-FR"/>
        </w:rPr>
        <w:t>leur</w:t>
      </w:r>
      <w:r>
        <w:rPr>
          <w:lang w:val="fr-FR"/>
        </w:rPr>
        <w:t xml:space="preserve"> </w:t>
      </w:r>
      <w:r w:rsidRPr="001302B9">
        <w:rPr>
          <w:lang w:val="fr-FR"/>
        </w:rPr>
        <w:t>pension</w:t>
      </w:r>
      <w:r>
        <w:rPr>
          <w:lang w:val="fr-FR"/>
        </w:rPr>
        <w:t xml:space="preserve"> </w:t>
      </w:r>
      <w:r w:rsidRPr="001302B9">
        <w:rPr>
          <w:lang w:val="fr-FR"/>
        </w:rPr>
        <w:t>de</w:t>
      </w:r>
      <w:r>
        <w:rPr>
          <w:lang w:val="fr-FR"/>
        </w:rPr>
        <w:t xml:space="preserve"> </w:t>
      </w:r>
      <w:r w:rsidRPr="001302B9">
        <w:rPr>
          <w:lang w:val="fr-FR"/>
        </w:rPr>
        <w:t>travailleurs</w:t>
      </w:r>
      <w:r>
        <w:rPr>
          <w:lang w:val="fr-FR"/>
        </w:rPr>
        <w:t xml:space="preserve"> ; </w:t>
      </w:r>
      <w:r w:rsidRPr="001302B9">
        <w:rPr>
          <w:lang w:val="fr-FR"/>
        </w:rPr>
        <w:t>c)</w:t>
      </w:r>
      <w:r w:rsidR="00CD45C4">
        <w:rPr>
          <w:lang w:val="fr-FR"/>
        </w:rPr>
        <w:t> </w:t>
      </w:r>
      <w:r w:rsidRPr="001302B9">
        <w:rPr>
          <w:lang w:val="fr-FR"/>
        </w:rPr>
        <w:t>les</w:t>
      </w:r>
      <w:r>
        <w:rPr>
          <w:lang w:val="fr-FR"/>
        </w:rPr>
        <w:t xml:space="preserve"> </w:t>
      </w:r>
      <w:r w:rsidRPr="001302B9">
        <w:rPr>
          <w:lang w:val="fr-FR"/>
        </w:rPr>
        <w:t>victimes</w:t>
      </w:r>
      <w:r>
        <w:rPr>
          <w:lang w:val="fr-FR"/>
        </w:rPr>
        <w:t xml:space="preserve"> </w:t>
      </w:r>
      <w:r w:rsidRPr="001302B9">
        <w:rPr>
          <w:lang w:val="fr-FR"/>
        </w:rPr>
        <w:t>doivent</w:t>
      </w:r>
      <w:r>
        <w:rPr>
          <w:lang w:val="fr-FR"/>
        </w:rPr>
        <w:t xml:space="preserve"> </w:t>
      </w:r>
      <w:r w:rsidRPr="001302B9">
        <w:rPr>
          <w:lang w:val="fr-FR"/>
        </w:rPr>
        <w:t>renoncer</w:t>
      </w:r>
      <w:r>
        <w:rPr>
          <w:lang w:val="fr-FR"/>
        </w:rPr>
        <w:t xml:space="preserve"> </w:t>
      </w:r>
      <w:r w:rsidRPr="001302B9">
        <w:rPr>
          <w:lang w:val="fr-FR"/>
        </w:rPr>
        <w:t>à</w:t>
      </w:r>
      <w:r>
        <w:rPr>
          <w:lang w:val="fr-FR"/>
        </w:rPr>
        <w:t xml:space="preserve"> </w:t>
      </w:r>
      <w:r w:rsidRPr="001302B9">
        <w:rPr>
          <w:lang w:val="fr-FR"/>
        </w:rPr>
        <w:t>poursuivre</w:t>
      </w:r>
      <w:r>
        <w:rPr>
          <w:lang w:val="fr-FR"/>
        </w:rPr>
        <w:t xml:space="preserve"> </w:t>
      </w:r>
      <w:r w:rsidRPr="001302B9">
        <w:rPr>
          <w:lang w:val="fr-FR"/>
        </w:rPr>
        <w:t>l’État</w:t>
      </w:r>
      <w:r>
        <w:rPr>
          <w:lang w:val="fr-FR"/>
        </w:rPr>
        <w:t xml:space="preserve"> </w:t>
      </w:r>
      <w:r w:rsidRPr="001302B9">
        <w:rPr>
          <w:lang w:val="fr-FR"/>
        </w:rPr>
        <w:t>uruguayen</w:t>
      </w:r>
      <w:r>
        <w:rPr>
          <w:lang w:val="fr-FR"/>
        </w:rPr>
        <w:t xml:space="preserve"> </w:t>
      </w:r>
      <w:r w:rsidRPr="001302B9">
        <w:rPr>
          <w:lang w:val="fr-FR"/>
        </w:rPr>
        <w:t>devant</w:t>
      </w:r>
      <w:r>
        <w:rPr>
          <w:lang w:val="fr-FR"/>
        </w:rPr>
        <w:t xml:space="preserve"> </w:t>
      </w:r>
      <w:r w:rsidRPr="001302B9">
        <w:rPr>
          <w:lang w:val="fr-FR"/>
        </w:rPr>
        <w:t>quelque</w:t>
      </w:r>
      <w:r>
        <w:rPr>
          <w:lang w:val="fr-FR"/>
        </w:rPr>
        <w:t xml:space="preserve"> </w:t>
      </w:r>
      <w:r w:rsidRPr="001302B9">
        <w:rPr>
          <w:lang w:val="fr-FR"/>
        </w:rPr>
        <w:t>juridiction</w:t>
      </w:r>
      <w:r>
        <w:rPr>
          <w:lang w:val="fr-FR"/>
        </w:rPr>
        <w:t xml:space="preserve"> </w:t>
      </w:r>
      <w:r w:rsidRPr="001302B9">
        <w:rPr>
          <w:lang w:val="fr-FR"/>
        </w:rPr>
        <w:t>que</w:t>
      </w:r>
      <w:r>
        <w:rPr>
          <w:lang w:val="fr-FR"/>
        </w:rPr>
        <w:t xml:space="preserve"> </w:t>
      </w:r>
      <w:r w:rsidRPr="001302B9">
        <w:rPr>
          <w:lang w:val="fr-FR"/>
        </w:rPr>
        <w:t>ce</w:t>
      </w:r>
      <w:r>
        <w:rPr>
          <w:lang w:val="fr-FR"/>
        </w:rPr>
        <w:t xml:space="preserve"> </w:t>
      </w:r>
      <w:r w:rsidRPr="001302B9">
        <w:rPr>
          <w:lang w:val="fr-FR"/>
        </w:rPr>
        <w:t>soit</w:t>
      </w:r>
      <w:r>
        <w:rPr>
          <w:lang w:val="fr-FR"/>
        </w:rPr>
        <w:t xml:space="preserve"> </w:t>
      </w:r>
      <w:r w:rsidRPr="001302B9">
        <w:rPr>
          <w:lang w:val="fr-FR"/>
        </w:rPr>
        <w:t>si</w:t>
      </w:r>
      <w:r>
        <w:rPr>
          <w:lang w:val="fr-FR"/>
        </w:rPr>
        <w:t xml:space="preserve"> </w:t>
      </w:r>
      <w:r w:rsidRPr="001302B9">
        <w:rPr>
          <w:lang w:val="fr-FR"/>
        </w:rPr>
        <w:t>elles</w:t>
      </w:r>
      <w:r>
        <w:rPr>
          <w:lang w:val="fr-FR"/>
        </w:rPr>
        <w:t xml:space="preserve"> </w:t>
      </w:r>
      <w:r w:rsidRPr="001302B9">
        <w:rPr>
          <w:lang w:val="fr-FR"/>
        </w:rPr>
        <w:t>veulent</w:t>
      </w:r>
      <w:r>
        <w:rPr>
          <w:lang w:val="fr-FR"/>
        </w:rPr>
        <w:t xml:space="preserve"> </w:t>
      </w:r>
      <w:r w:rsidRPr="001302B9">
        <w:rPr>
          <w:lang w:val="fr-FR"/>
        </w:rPr>
        <w:t>bénéficier</w:t>
      </w:r>
      <w:r>
        <w:rPr>
          <w:lang w:val="fr-FR"/>
        </w:rPr>
        <w:t xml:space="preserve"> </w:t>
      </w:r>
      <w:r w:rsidRPr="001302B9">
        <w:rPr>
          <w:lang w:val="fr-FR"/>
        </w:rPr>
        <w:t>des</w:t>
      </w:r>
      <w:r>
        <w:rPr>
          <w:lang w:val="fr-FR"/>
        </w:rPr>
        <w:t xml:space="preserve"> </w:t>
      </w:r>
      <w:r w:rsidRPr="001302B9">
        <w:rPr>
          <w:lang w:val="fr-FR"/>
        </w:rPr>
        <w:t>réparations</w:t>
      </w:r>
      <w:r>
        <w:rPr>
          <w:lang w:val="fr-FR"/>
        </w:rPr>
        <w:t xml:space="preserve"> </w:t>
      </w:r>
      <w:r w:rsidRPr="001302B9">
        <w:rPr>
          <w:lang w:val="fr-FR"/>
        </w:rPr>
        <w:t>prévues</w:t>
      </w:r>
      <w:r>
        <w:rPr>
          <w:lang w:val="fr-FR"/>
        </w:rPr>
        <w:t xml:space="preserve"> </w:t>
      </w:r>
      <w:r w:rsidRPr="001302B9">
        <w:rPr>
          <w:lang w:val="fr-FR"/>
        </w:rPr>
        <w:t>par</w:t>
      </w:r>
      <w:r>
        <w:rPr>
          <w:lang w:val="fr-FR"/>
        </w:rPr>
        <w:t xml:space="preserve"> </w:t>
      </w:r>
      <w:r w:rsidRPr="001302B9">
        <w:rPr>
          <w:lang w:val="fr-FR"/>
        </w:rPr>
        <w:t>la</w:t>
      </w:r>
      <w:r>
        <w:rPr>
          <w:lang w:val="fr-FR"/>
        </w:rPr>
        <w:t xml:space="preserve"> </w:t>
      </w:r>
      <w:r w:rsidRPr="001302B9">
        <w:rPr>
          <w:lang w:val="fr-FR"/>
        </w:rPr>
        <w:t>loi</w:t>
      </w:r>
      <w:r>
        <w:rPr>
          <w:lang w:val="fr-FR"/>
        </w:rPr>
        <w:t xml:space="preserve"> </w:t>
      </w:r>
      <w:r w:rsidRPr="001302B9">
        <w:rPr>
          <w:rFonts w:eastAsia="MS Mincho"/>
          <w:lang w:val="fr-FR"/>
        </w:rPr>
        <w:t>n</w:t>
      </w:r>
      <w:r w:rsidRPr="001302B9">
        <w:rPr>
          <w:rFonts w:eastAsia="MS Mincho"/>
          <w:vertAlign w:val="superscript"/>
          <w:lang w:val="fr-FR"/>
        </w:rPr>
        <w:t>o</w:t>
      </w:r>
      <w:r w:rsidR="00CD45C4">
        <w:rPr>
          <w:lang w:val="fr-FR"/>
        </w:rPr>
        <w:t> </w:t>
      </w:r>
      <w:r w:rsidRPr="001302B9">
        <w:rPr>
          <w:lang w:val="fr-FR"/>
        </w:rPr>
        <w:t>18.596</w:t>
      </w:r>
      <w:r>
        <w:rPr>
          <w:lang w:val="fr-FR"/>
        </w:rPr>
        <w:t xml:space="preserve"> ; </w:t>
      </w:r>
      <w:r w:rsidRPr="001302B9">
        <w:rPr>
          <w:lang w:val="fr-FR"/>
        </w:rPr>
        <w:t>d)</w:t>
      </w:r>
      <w:r w:rsidR="00CD45C4">
        <w:rPr>
          <w:lang w:val="fr-FR"/>
        </w:rPr>
        <w:t> </w:t>
      </w:r>
      <w:r w:rsidRPr="001302B9">
        <w:rPr>
          <w:lang w:val="fr-FR"/>
        </w:rPr>
        <w:t>les</w:t>
      </w:r>
      <w:r>
        <w:rPr>
          <w:lang w:val="fr-FR"/>
        </w:rPr>
        <w:t xml:space="preserve"> </w:t>
      </w:r>
      <w:r w:rsidRPr="001302B9">
        <w:rPr>
          <w:lang w:val="fr-FR"/>
        </w:rPr>
        <w:t>victimes</w:t>
      </w:r>
      <w:r>
        <w:rPr>
          <w:lang w:val="fr-FR"/>
        </w:rPr>
        <w:t xml:space="preserve"> </w:t>
      </w:r>
      <w:r w:rsidRPr="001302B9">
        <w:rPr>
          <w:lang w:val="fr-FR"/>
        </w:rPr>
        <w:t>de</w:t>
      </w:r>
      <w:r>
        <w:rPr>
          <w:lang w:val="fr-FR"/>
        </w:rPr>
        <w:t xml:space="preserve"> </w:t>
      </w:r>
      <w:r w:rsidRPr="001302B9">
        <w:rPr>
          <w:lang w:val="fr-FR"/>
        </w:rPr>
        <w:t>disparition</w:t>
      </w:r>
      <w:r>
        <w:rPr>
          <w:lang w:val="fr-FR"/>
        </w:rPr>
        <w:t xml:space="preserve"> </w:t>
      </w:r>
      <w:r w:rsidRPr="001302B9">
        <w:rPr>
          <w:lang w:val="fr-FR"/>
        </w:rPr>
        <w:t>forcée</w:t>
      </w:r>
      <w:r>
        <w:rPr>
          <w:lang w:val="fr-FR"/>
        </w:rPr>
        <w:t xml:space="preserve"> </w:t>
      </w:r>
      <w:r w:rsidRPr="001302B9">
        <w:rPr>
          <w:lang w:val="fr-FR"/>
        </w:rPr>
        <w:t>ne</w:t>
      </w:r>
      <w:r>
        <w:rPr>
          <w:lang w:val="fr-FR"/>
        </w:rPr>
        <w:t xml:space="preserve"> </w:t>
      </w:r>
      <w:r w:rsidRPr="001302B9">
        <w:rPr>
          <w:lang w:val="fr-FR"/>
        </w:rPr>
        <w:t>sont</w:t>
      </w:r>
      <w:r>
        <w:rPr>
          <w:lang w:val="fr-FR"/>
        </w:rPr>
        <w:t xml:space="preserve"> </w:t>
      </w:r>
      <w:r w:rsidRPr="001302B9">
        <w:rPr>
          <w:lang w:val="fr-FR"/>
        </w:rPr>
        <w:t>pas</w:t>
      </w:r>
      <w:r>
        <w:rPr>
          <w:lang w:val="fr-FR"/>
        </w:rPr>
        <w:t xml:space="preserve"> </w:t>
      </w:r>
      <w:r w:rsidRPr="001302B9">
        <w:rPr>
          <w:lang w:val="fr-FR"/>
        </w:rPr>
        <w:t>reconnues</w:t>
      </w:r>
      <w:r>
        <w:rPr>
          <w:lang w:val="fr-FR"/>
        </w:rPr>
        <w:t xml:space="preserve"> </w:t>
      </w:r>
      <w:r w:rsidRPr="001302B9">
        <w:rPr>
          <w:lang w:val="fr-FR"/>
        </w:rPr>
        <w:t>comme</w:t>
      </w:r>
      <w:r>
        <w:rPr>
          <w:lang w:val="fr-FR"/>
        </w:rPr>
        <w:t xml:space="preserve"> </w:t>
      </w:r>
      <w:r w:rsidRPr="001302B9">
        <w:rPr>
          <w:lang w:val="fr-FR"/>
        </w:rPr>
        <w:t>telles</w:t>
      </w:r>
      <w:r>
        <w:rPr>
          <w:lang w:val="fr-FR"/>
        </w:rPr>
        <w:t xml:space="preserve"> </w:t>
      </w:r>
      <w:r w:rsidRPr="001302B9">
        <w:rPr>
          <w:lang w:val="fr-FR"/>
        </w:rPr>
        <w:t>si</w:t>
      </w:r>
      <w:r>
        <w:rPr>
          <w:lang w:val="fr-FR"/>
        </w:rPr>
        <w:t xml:space="preserve"> </w:t>
      </w:r>
      <w:r w:rsidRPr="001302B9">
        <w:rPr>
          <w:lang w:val="fr-FR"/>
        </w:rPr>
        <w:t>elles</w:t>
      </w:r>
      <w:r>
        <w:rPr>
          <w:lang w:val="fr-FR"/>
        </w:rPr>
        <w:t xml:space="preserve"> </w:t>
      </w:r>
      <w:r w:rsidRPr="001302B9">
        <w:rPr>
          <w:lang w:val="fr-FR"/>
        </w:rPr>
        <w:t>ont</w:t>
      </w:r>
      <w:r>
        <w:rPr>
          <w:lang w:val="fr-FR"/>
        </w:rPr>
        <w:t xml:space="preserve"> </w:t>
      </w:r>
      <w:r w:rsidRPr="001302B9">
        <w:rPr>
          <w:lang w:val="fr-FR"/>
        </w:rPr>
        <w:t>été</w:t>
      </w:r>
      <w:r>
        <w:rPr>
          <w:lang w:val="fr-FR"/>
        </w:rPr>
        <w:t xml:space="preserve"> </w:t>
      </w:r>
      <w:r w:rsidRPr="001302B9">
        <w:rPr>
          <w:lang w:val="fr-FR"/>
        </w:rPr>
        <w:t>soumises</w:t>
      </w:r>
      <w:r>
        <w:rPr>
          <w:lang w:val="fr-FR"/>
        </w:rPr>
        <w:t xml:space="preserve"> </w:t>
      </w:r>
      <w:r w:rsidRPr="001302B9">
        <w:rPr>
          <w:lang w:val="fr-FR"/>
        </w:rPr>
        <w:t>à</w:t>
      </w:r>
      <w:r>
        <w:rPr>
          <w:lang w:val="fr-FR"/>
        </w:rPr>
        <w:t xml:space="preserve"> </w:t>
      </w:r>
      <w:r w:rsidRPr="001302B9">
        <w:rPr>
          <w:lang w:val="fr-FR"/>
        </w:rPr>
        <w:t>une</w:t>
      </w:r>
      <w:r>
        <w:rPr>
          <w:lang w:val="fr-FR"/>
        </w:rPr>
        <w:t xml:space="preserve"> </w:t>
      </w:r>
      <w:r w:rsidRPr="001302B9">
        <w:rPr>
          <w:lang w:val="fr-FR"/>
        </w:rPr>
        <w:t>disparition</w:t>
      </w:r>
      <w:r>
        <w:rPr>
          <w:lang w:val="fr-FR"/>
        </w:rPr>
        <w:t xml:space="preserve"> </w:t>
      </w:r>
      <w:r w:rsidRPr="001302B9">
        <w:rPr>
          <w:lang w:val="fr-FR"/>
        </w:rPr>
        <w:t>forcée</w:t>
      </w:r>
      <w:r>
        <w:rPr>
          <w:lang w:val="fr-FR"/>
        </w:rPr>
        <w:t xml:space="preserve"> </w:t>
      </w:r>
      <w:r w:rsidRPr="001302B9">
        <w:rPr>
          <w:lang w:val="fr-FR"/>
        </w:rPr>
        <w:t>mais</w:t>
      </w:r>
      <w:r>
        <w:rPr>
          <w:lang w:val="fr-FR"/>
        </w:rPr>
        <w:t xml:space="preserve"> </w:t>
      </w:r>
      <w:r w:rsidRPr="001302B9">
        <w:rPr>
          <w:lang w:val="fr-FR"/>
        </w:rPr>
        <w:t>ont</w:t>
      </w:r>
      <w:r>
        <w:rPr>
          <w:lang w:val="fr-FR"/>
        </w:rPr>
        <w:t xml:space="preserve"> </w:t>
      </w:r>
      <w:r w:rsidRPr="001302B9">
        <w:rPr>
          <w:lang w:val="fr-FR"/>
        </w:rPr>
        <w:t>par</w:t>
      </w:r>
      <w:r>
        <w:rPr>
          <w:lang w:val="fr-FR"/>
        </w:rPr>
        <w:t xml:space="preserve"> </w:t>
      </w:r>
      <w:r w:rsidRPr="001302B9">
        <w:rPr>
          <w:lang w:val="fr-FR"/>
        </w:rPr>
        <w:t>la</w:t>
      </w:r>
      <w:r>
        <w:rPr>
          <w:lang w:val="fr-FR"/>
        </w:rPr>
        <w:t xml:space="preserve"> </w:t>
      </w:r>
      <w:r w:rsidRPr="001302B9">
        <w:rPr>
          <w:lang w:val="fr-FR"/>
        </w:rPr>
        <w:t>suite</w:t>
      </w:r>
      <w:r>
        <w:rPr>
          <w:lang w:val="fr-FR"/>
        </w:rPr>
        <w:t xml:space="preserve"> </w:t>
      </w:r>
      <w:r w:rsidRPr="001302B9">
        <w:rPr>
          <w:lang w:val="fr-FR"/>
        </w:rPr>
        <w:t>été</w:t>
      </w:r>
      <w:r>
        <w:rPr>
          <w:lang w:val="fr-FR"/>
        </w:rPr>
        <w:t xml:space="preserve"> </w:t>
      </w:r>
      <w:r w:rsidRPr="001302B9">
        <w:rPr>
          <w:lang w:val="fr-FR"/>
        </w:rPr>
        <w:t>libérées</w:t>
      </w:r>
      <w:r>
        <w:rPr>
          <w:lang w:val="fr-FR"/>
        </w:rPr>
        <w:t xml:space="preserve"> </w:t>
      </w:r>
      <w:r w:rsidRPr="001302B9">
        <w:rPr>
          <w:lang w:val="fr-FR"/>
        </w:rPr>
        <w:t>ou</w:t>
      </w:r>
      <w:r>
        <w:rPr>
          <w:lang w:val="fr-FR"/>
        </w:rPr>
        <w:t xml:space="preserve"> </w:t>
      </w:r>
      <w:r w:rsidRPr="001302B9">
        <w:rPr>
          <w:lang w:val="fr-FR"/>
        </w:rPr>
        <w:t>légalement</w:t>
      </w:r>
      <w:r>
        <w:rPr>
          <w:lang w:val="fr-FR"/>
        </w:rPr>
        <w:t xml:space="preserve"> </w:t>
      </w:r>
      <w:r w:rsidRPr="001302B9">
        <w:rPr>
          <w:lang w:val="fr-FR"/>
        </w:rPr>
        <w:t>privées</w:t>
      </w:r>
      <w:r>
        <w:rPr>
          <w:lang w:val="fr-FR"/>
        </w:rPr>
        <w:t xml:space="preserve"> </w:t>
      </w:r>
      <w:r w:rsidRPr="001302B9">
        <w:rPr>
          <w:lang w:val="fr-FR"/>
        </w:rPr>
        <w:t>de</w:t>
      </w:r>
      <w:r>
        <w:rPr>
          <w:lang w:val="fr-FR"/>
        </w:rPr>
        <w:t xml:space="preserve"> </w:t>
      </w:r>
      <w:r w:rsidRPr="001302B9">
        <w:rPr>
          <w:lang w:val="fr-FR"/>
        </w:rPr>
        <w:t>liberté.</w:t>
      </w:r>
      <w:r>
        <w:rPr>
          <w:lang w:val="fr-FR"/>
        </w:rPr>
        <w:t xml:space="preserve"> </w:t>
      </w:r>
      <w:r w:rsidRPr="001302B9">
        <w:rPr>
          <w:lang w:val="fr-FR"/>
        </w:rPr>
        <w:t>Le</w:t>
      </w:r>
      <w:r>
        <w:rPr>
          <w:lang w:val="fr-FR"/>
        </w:rPr>
        <w:t xml:space="preserve"> </w:t>
      </w:r>
      <w:r w:rsidRPr="001302B9">
        <w:rPr>
          <w:lang w:val="fr-FR"/>
        </w:rPr>
        <w:t>Comité</w:t>
      </w:r>
      <w:r>
        <w:rPr>
          <w:lang w:val="fr-FR"/>
        </w:rPr>
        <w:t xml:space="preserve"> </w:t>
      </w:r>
      <w:r w:rsidRPr="001302B9">
        <w:rPr>
          <w:lang w:val="fr-FR"/>
        </w:rPr>
        <w:t>est</w:t>
      </w:r>
      <w:r>
        <w:rPr>
          <w:lang w:val="fr-FR"/>
        </w:rPr>
        <w:t xml:space="preserve"> </w:t>
      </w:r>
      <w:r w:rsidRPr="001302B9">
        <w:rPr>
          <w:lang w:val="fr-FR"/>
        </w:rPr>
        <w:t>de</w:t>
      </w:r>
      <w:r>
        <w:rPr>
          <w:lang w:val="fr-FR"/>
        </w:rPr>
        <w:t xml:space="preserve"> </w:t>
      </w:r>
      <w:r w:rsidRPr="001302B9">
        <w:rPr>
          <w:lang w:val="fr-FR"/>
        </w:rPr>
        <w:t>surcroît</w:t>
      </w:r>
      <w:r>
        <w:rPr>
          <w:lang w:val="fr-FR"/>
        </w:rPr>
        <w:t xml:space="preserve"> </w:t>
      </w:r>
      <w:r w:rsidRPr="001302B9">
        <w:rPr>
          <w:lang w:val="fr-FR"/>
        </w:rPr>
        <w:t>préoccupé</w:t>
      </w:r>
      <w:r>
        <w:rPr>
          <w:lang w:val="fr-FR"/>
        </w:rPr>
        <w:t xml:space="preserve"> </w:t>
      </w:r>
      <w:r w:rsidRPr="001302B9">
        <w:rPr>
          <w:lang w:val="fr-FR"/>
        </w:rPr>
        <w:t>par</w:t>
      </w:r>
      <w:r>
        <w:rPr>
          <w:lang w:val="fr-FR"/>
        </w:rPr>
        <w:t xml:space="preserve"> </w:t>
      </w:r>
      <w:r w:rsidRPr="001302B9">
        <w:rPr>
          <w:lang w:val="fr-FR"/>
        </w:rPr>
        <w:t>les</w:t>
      </w:r>
      <w:r>
        <w:rPr>
          <w:lang w:val="fr-FR"/>
        </w:rPr>
        <w:t xml:space="preserve"> </w:t>
      </w:r>
      <w:r w:rsidRPr="001302B9">
        <w:rPr>
          <w:lang w:val="fr-FR"/>
        </w:rPr>
        <w:t>allégations</w:t>
      </w:r>
      <w:r>
        <w:rPr>
          <w:lang w:val="fr-FR"/>
        </w:rPr>
        <w:t xml:space="preserve"> </w:t>
      </w:r>
      <w:r w:rsidRPr="001302B9">
        <w:rPr>
          <w:lang w:val="fr-FR"/>
        </w:rPr>
        <w:t>concernant</w:t>
      </w:r>
      <w:r>
        <w:rPr>
          <w:lang w:val="fr-FR"/>
        </w:rPr>
        <w:t xml:space="preserve"> </w:t>
      </w:r>
      <w:r w:rsidRPr="001302B9">
        <w:rPr>
          <w:lang w:val="fr-FR"/>
        </w:rPr>
        <w:t>les</w:t>
      </w:r>
      <w:r>
        <w:rPr>
          <w:lang w:val="fr-FR"/>
        </w:rPr>
        <w:t xml:space="preserve"> </w:t>
      </w:r>
      <w:r w:rsidRPr="001302B9">
        <w:rPr>
          <w:lang w:val="fr-FR"/>
        </w:rPr>
        <w:t>actes</w:t>
      </w:r>
      <w:r>
        <w:rPr>
          <w:lang w:val="fr-FR"/>
        </w:rPr>
        <w:t xml:space="preserve"> </w:t>
      </w:r>
      <w:r w:rsidRPr="001302B9">
        <w:rPr>
          <w:lang w:val="fr-FR"/>
        </w:rPr>
        <w:t>de</w:t>
      </w:r>
      <w:r>
        <w:rPr>
          <w:lang w:val="fr-FR"/>
        </w:rPr>
        <w:t xml:space="preserve"> </w:t>
      </w:r>
      <w:r w:rsidRPr="001302B9">
        <w:rPr>
          <w:lang w:val="fr-FR"/>
        </w:rPr>
        <w:t>vandalisme</w:t>
      </w:r>
      <w:r>
        <w:rPr>
          <w:lang w:val="fr-FR"/>
        </w:rPr>
        <w:t xml:space="preserve"> </w:t>
      </w:r>
      <w:r w:rsidRPr="001302B9">
        <w:rPr>
          <w:lang w:val="fr-FR"/>
        </w:rPr>
        <w:t>sur</w:t>
      </w:r>
      <w:r>
        <w:rPr>
          <w:lang w:val="fr-FR"/>
        </w:rPr>
        <w:t xml:space="preserve"> </w:t>
      </w:r>
      <w:r w:rsidRPr="001302B9">
        <w:rPr>
          <w:lang w:val="fr-FR"/>
        </w:rPr>
        <w:t>les</w:t>
      </w:r>
      <w:r>
        <w:rPr>
          <w:lang w:val="fr-FR"/>
        </w:rPr>
        <w:t xml:space="preserve"> </w:t>
      </w:r>
      <w:r w:rsidRPr="001302B9">
        <w:rPr>
          <w:lang w:val="fr-FR"/>
        </w:rPr>
        <w:t>lieux</w:t>
      </w:r>
      <w:r>
        <w:rPr>
          <w:lang w:val="fr-FR"/>
        </w:rPr>
        <w:t xml:space="preserve"> </w:t>
      </w:r>
      <w:r w:rsidRPr="001302B9">
        <w:rPr>
          <w:lang w:val="fr-FR"/>
        </w:rPr>
        <w:t>de</w:t>
      </w:r>
      <w:r>
        <w:rPr>
          <w:lang w:val="fr-FR"/>
        </w:rPr>
        <w:t xml:space="preserve"> </w:t>
      </w:r>
      <w:r w:rsidRPr="001302B9">
        <w:rPr>
          <w:lang w:val="fr-FR"/>
        </w:rPr>
        <w:t>mémoire</w:t>
      </w:r>
      <w:r>
        <w:rPr>
          <w:lang w:val="fr-FR"/>
        </w:rPr>
        <w:t xml:space="preserve"> </w:t>
      </w:r>
      <w:r w:rsidRPr="001302B9">
        <w:rPr>
          <w:lang w:val="fr-FR"/>
        </w:rPr>
        <w:t>et</w:t>
      </w:r>
      <w:r>
        <w:rPr>
          <w:lang w:val="fr-FR"/>
        </w:rPr>
        <w:t xml:space="preserve"> </w:t>
      </w:r>
      <w:r w:rsidRPr="001302B9">
        <w:rPr>
          <w:lang w:val="fr-FR"/>
        </w:rPr>
        <w:t>l’invocation</w:t>
      </w:r>
      <w:r>
        <w:rPr>
          <w:lang w:val="fr-FR"/>
        </w:rPr>
        <w:t xml:space="preserve"> </w:t>
      </w:r>
      <w:r w:rsidRPr="001302B9">
        <w:rPr>
          <w:lang w:val="fr-FR"/>
        </w:rPr>
        <w:t>du</w:t>
      </w:r>
      <w:r>
        <w:rPr>
          <w:lang w:val="fr-FR"/>
        </w:rPr>
        <w:t xml:space="preserve"> </w:t>
      </w:r>
      <w:r w:rsidRPr="001302B9">
        <w:rPr>
          <w:lang w:val="fr-FR"/>
        </w:rPr>
        <w:t>principe</w:t>
      </w:r>
      <w:r>
        <w:rPr>
          <w:lang w:val="fr-FR"/>
        </w:rPr>
        <w:t xml:space="preserve"> </w:t>
      </w:r>
      <w:r w:rsidRPr="001302B9">
        <w:rPr>
          <w:lang w:val="fr-FR"/>
        </w:rPr>
        <w:t>de</w:t>
      </w:r>
      <w:r>
        <w:rPr>
          <w:lang w:val="fr-FR"/>
        </w:rPr>
        <w:t xml:space="preserve"> </w:t>
      </w:r>
      <w:r w:rsidRPr="001302B9">
        <w:rPr>
          <w:lang w:val="fr-FR"/>
        </w:rPr>
        <w:t>laïcité</w:t>
      </w:r>
      <w:r>
        <w:rPr>
          <w:lang w:val="fr-FR"/>
        </w:rPr>
        <w:t xml:space="preserve"> </w:t>
      </w:r>
      <w:r w:rsidRPr="001302B9">
        <w:rPr>
          <w:lang w:val="fr-FR"/>
        </w:rPr>
        <w:t>pour</w:t>
      </w:r>
      <w:r>
        <w:rPr>
          <w:lang w:val="fr-FR"/>
        </w:rPr>
        <w:t xml:space="preserve"> </w:t>
      </w:r>
      <w:r w:rsidRPr="001302B9">
        <w:rPr>
          <w:lang w:val="fr-FR"/>
        </w:rPr>
        <w:t>empêcher</w:t>
      </w:r>
      <w:r>
        <w:rPr>
          <w:lang w:val="fr-FR"/>
        </w:rPr>
        <w:t xml:space="preserve"> </w:t>
      </w:r>
      <w:r w:rsidRPr="001302B9">
        <w:rPr>
          <w:lang w:val="fr-FR"/>
        </w:rPr>
        <w:t>que</w:t>
      </w:r>
      <w:r>
        <w:rPr>
          <w:lang w:val="fr-FR"/>
        </w:rPr>
        <w:t xml:space="preserve"> </w:t>
      </w:r>
      <w:r w:rsidRPr="001302B9">
        <w:rPr>
          <w:lang w:val="fr-FR"/>
        </w:rPr>
        <w:t>l’on</w:t>
      </w:r>
      <w:r>
        <w:rPr>
          <w:lang w:val="fr-FR"/>
        </w:rPr>
        <w:t xml:space="preserve"> </w:t>
      </w:r>
      <w:r w:rsidRPr="001302B9">
        <w:rPr>
          <w:lang w:val="fr-FR"/>
        </w:rPr>
        <w:t>aborde</w:t>
      </w:r>
      <w:r>
        <w:rPr>
          <w:lang w:val="fr-FR"/>
        </w:rPr>
        <w:t xml:space="preserve"> </w:t>
      </w:r>
      <w:r w:rsidRPr="001302B9">
        <w:rPr>
          <w:lang w:val="fr-FR"/>
        </w:rPr>
        <w:t>dans</w:t>
      </w:r>
      <w:r>
        <w:rPr>
          <w:lang w:val="fr-FR"/>
        </w:rPr>
        <w:t xml:space="preserve"> </w:t>
      </w:r>
      <w:r w:rsidRPr="001302B9">
        <w:rPr>
          <w:lang w:val="fr-FR"/>
        </w:rPr>
        <w:t>les</w:t>
      </w:r>
      <w:r>
        <w:rPr>
          <w:lang w:val="fr-FR"/>
        </w:rPr>
        <w:t xml:space="preserve"> </w:t>
      </w:r>
      <w:r w:rsidRPr="001302B9">
        <w:rPr>
          <w:lang w:val="fr-FR"/>
        </w:rPr>
        <w:t>écoles</w:t>
      </w:r>
      <w:r>
        <w:rPr>
          <w:lang w:val="fr-FR"/>
        </w:rPr>
        <w:t xml:space="preserve"> </w:t>
      </w:r>
      <w:r w:rsidRPr="001302B9">
        <w:rPr>
          <w:lang w:val="fr-FR"/>
        </w:rPr>
        <w:t>et</w:t>
      </w:r>
      <w:r>
        <w:rPr>
          <w:lang w:val="fr-FR"/>
        </w:rPr>
        <w:t xml:space="preserve"> </w:t>
      </w:r>
      <w:r w:rsidRPr="001302B9">
        <w:rPr>
          <w:lang w:val="fr-FR"/>
        </w:rPr>
        <w:t>les</w:t>
      </w:r>
      <w:r>
        <w:rPr>
          <w:lang w:val="fr-FR"/>
        </w:rPr>
        <w:t xml:space="preserve"> </w:t>
      </w:r>
      <w:r w:rsidRPr="001302B9">
        <w:rPr>
          <w:lang w:val="fr-FR"/>
        </w:rPr>
        <w:t>établissements</w:t>
      </w:r>
      <w:r>
        <w:rPr>
          <w:lang w:val="fr-FR"/>
        </w:rPr>
        <w:t xml:space="preserve"> </w:t>
      </w:r>
      <w:r w:rsidRPr="001302B9">
        <w:rPr>
          <w:lang w:val="fr-FR"/>
        </w:rPr>
        <w:t>d’enseignement</w:t>
      </w:r>
      <w:r>
        <w:rPr>
          <w:lang w:val="fr-FR"/>
        </w:rPr>
        <w:t xml:space="preserve"> </w:t>
      </w:r>
      <w:r w:rsidRPr="001302B9">
        <w:rPr>
          <w:lang w:val="fr-FR"/>
        </w:rPr>
        <w:t>les</w:t>
      </w:r>
      <w:r>
        <w:rPr>
          <w:lang w:val="fr-FR"/>
        </w:rPr>
        <w:t xml:space="preserve"> </w:t>
      </w:r>
      <w:r w:rsidRPr="001302B9">
        <w:rPr>
          <w:lang w:val="fr-FR"/>
        </w:rPr>
        <w:t>graves</w:t>
      </w:r>
      <w:r>
        <w:rPr>
          <w:lang w:val="fr-FR"/>
        </w:rPr>
        <w:t xml:space="preserve"> </w:t>
      </w:r>
      <w:r w:rsidRPr="001302B9">
        <w:rPr>
          <w:lang w:val="fr-FR"/>
        </w:rPr>
        <w:t>violations</w:t>
      </w:r>
      <w:r>
        <w:rPr>
          <w:lang w:val="fr-FR"/>
        </w:rPr>
        <w:t xml:space="preserve"> </w:t>
      </w:r>
      <w:r w:rsidRPr="001302B9">
        <w:rPr>
          <w:lang w:val="fr-FR"/>
        </w:rPr>
        <w:t>des</w:t>
      </w:r>
      <w:r>
        <w:rPr>
          <w:lang w:val="fr-FR"/>
        </w:rPr>
        <w:t xml:space="preserve"> </w:t>
      </w:r>
      <w:r w:rsidRPr="001302B9">
        <w:rPr>
          <w:lang w:val="fr-FR"/>
        </w:rPr>
        <w:t>droits</w:t>
      </w:r>
      <w:r>
        <w:rPr>
          <w:lang w:val="fr-FR"/>
        </w:rPr>
        <w:t xml:space="preserve"> </w:t>
      </w:r>
      <w:r w:rsidRPr="001302B9">
        <w:rPr>
          <w:lang w:val="fr-FR"/>
        </w:rPr>
        <w:t>de</w:t>
      </w:r>
      <w:r>
        <w:rPr>
          <w:lang w:val="fr-FR"/>
        </w:rPr>
        <w:t xml:space="preserve"> </w:t>
      </w:r>
      <w:r w:rsidRPr="001302B9">
        <w:rPr>
          <w:lang w:val="fr-FR"/>
        </w:rPr>
        <w:t>l’homme,</w:t>
      </w:r>
      <w:r>
        <w:rPr>
          <w:lang w:val="fr-FR"/>
        </w:rPr>
        <w:t xml:space="preserve"> </w:t>
      </w:r>
      <w:r w:rsidRPr="001302B9">
        <w:rPr>
          <w:lang w:val="fr-FR"/>
        </w:rPr>
        <w:t>notamment</w:t>
      </w:r>
      <w:r>
        <w:rPr>
          <w:lang w:val="fr-FR"/>
        </w:rPr>
        <w:t xml:space="preserve"> </w:t>
      </w:r>
      <w:r w:rsidRPr="001302B9">
        <w:rPr>
          <w:lang w:val="fr-FR"/>
        </w:rPr>
        <w:t>les</w:t>
      </w:r>
      <w:r>
        <w:rPr>
          <w:lang w:val="fr-FR"/>
        </w:rPr>
        <w:t xml:space="preserve"> </w:t>
      </w:r>
      <w:r w:rsidRPr="001302B9">
        <w:rPr>
          <w:lang w:val="fr-FR"/>
        </w:rPr>
        <w:t>disparitions</w:t>
      </w:r>
      <w:r>
        <w:rPr>
          <w:lang w:val="fr-FR"/>
        </w:rPr>
        <w:t xml:space="preserve"> </w:t>
      </w:r>
      <w:r w:rsidRPr="001302B9">
        <w:rPr>
          <w:lang w:val="fr-FR"/>
        </w:rPr>
        <w:t>forcées,</w:t>
      </w:r>
      <w:r>
        <w:rPr>
          <w:lang w:val="fr-FR"/>
        </w:rPr>
        <w:t xml:space="preserve"> </w:t>
      </w:r>
      <w:r w:rsidRPr="001302B9">
        <w:rPr>
          <w:lang w:val="fr-FR"/>
        </w:rPr>
        <w:t>commises</w:t>
      </w:r>
      <w:r>
        <w:rPr>
          <w:lang w:val="fr-FR"/>
        </w:rPr>
        <w:t xml:space="preserve"> </w:t>
      </w:r>
      <w:r w:rsidRPr="001302B9">
        <w:rPr>
          <w:lang w:val="fr-FR"/>
        </w:rPr>
        <w:t>entre</w:t>
      </w:r>
      <w:r>
        <w:rPr>
          <w:lang w:val="fr-FR"/>
        </w:rPr>
        <w:t xml:space="preserve"> </w:t>
      </w:r>
      <w:r w:rsidRPr="001302B9">
        <w:rPr>
          <w:lang w:val="fr-FR"/>
        </w:rPr>
        <w:t>1968</w:t>
      </w:r>
      <w:r>
        <w:rPr>
          <w:lang w:val="fr-FR"/>
        </w:rPr>
        <w:t xml:space="preserve"> </w:t>
      </w:r>
      <w:r w:rsidRPr="001302B9">
        <w:rPr>
          <w:lang w:val="fr-FR"/>
        </w:rPr>
        <w:t>et</w:t>
      </w:r>
      <w:r>
        <w:rPr>
          <w:lang w:val="fr-FR"/>
        </w:rPr>
        <w:t xml:space="preserve"> </w:t>
      </w:r>
      <w:r w:rsidRPr="001302B9">
        <w:rPr>
          <w:lang w:val="fr-FR"/>
        </w:rPr>
        <w:t>1985</w:t>
      </w:r>
      <w:r>
        <w:rPr>
          <w:lang w:val="fr-FR"/>
        </w:rPr>
        <w:t xml:space="preserve"> </w:t>
      </w:r>
      <w:r w:rsidRPr="001302B9">
        <w:rPr>
          <w:lang w:val="fr-FR"/>
        </w:rPr>
        <w:t>(</w:t>
      </w:r>
      <w:r>
        <w:rPr>
          <w:lang w:val="fr-FR"/>
        </w:rPr>
        <w:t>art. </w:t>
      </w:r>
      <w:r w:rsidRPr="001302B9">
        <w:rPr>
          <w:lang w:val="fr-FR"/>
        </w:rPr>
        <w:t>24).</w:t>
      </w:r>
    </w:p>
    <w:p w14:paraId="428C9053" w14:textId="0ED67BC8" w:rsidR="003F0CA1" w:rsidRPr="003F0CA1" w:rsidRDefault="003F0CA1" w:rsidP="003F0CA1">
      <w:pPr>
        <w:pStyle w:val="SingleTxtG"/>
        <w:keepNext/>
        <w:rPr>
          <w:b/>
          <w:bCs/>
          <w:lang w:val="fr-FR"/>
        </w:rPr>
      </w:pPr>
      <w:r w:rsidRPr="001302B9">
        <w:rPr>
          <w:lang w:val="fr-FR"/>
        </w:rPr>
        <w:t>21.</w:t>
      </w:r>
      <w:r w:rsidRPr="003F0CA1">
        <w:rPr>
          <w:b/>
          <w:bCs/>
          <w:lang w:val="fr-FR"/>
        </w:rPr>
        <w:tab/>
        <w:t>Le Comité recommande à l’État partie</w:t>
      </w:r>
      <w:r>
        <w:rPr>
          <w:b/>
          <w:bCs/>
          <w:lang w:val="fr-FR"/>
        </w:rPr>
        <w:t> :</w:t>
      </w:r>
    </w:p>
    <w:p w14:paraId="2589A7EE" w14:textId="54FDA77A" w:rsidR="003F0CA1" w:rsidRPr="003F0CA1" w:rsidRDefault="003F0CA1" w:rsidP="003F0CA1">
      <w:pPr>
        <w:pStyle w:val="SingleTxtG"/>
        <w:ind w:firstLine="567"/>
        <w:rPr>
          <w:b/>
          <w:bCs/>
          <w:lang w:val="fr-FR"/>
        </w:rPr>
      </w:pPr>
      <w:r w:rsidRPr="003F0CA1">
        <w:rPr>
          <w:b/>
          <w:bCs/>
          <w:lang w:val="fr-FR"/>
        </w:rPr>
        <w:t>a)</w:t>
      </w:r>
      <w:r w:rsidRPr="003F0CA1">
        <w:rPr>
          <w:b/>
          <w:bCs/>
          <w:lang w:val="fr-FR"/>
        </w:rPr>
        <w:tab/>
        <w:t>De garantir et de faciliter l’accès de toute personne ayant subi un préjudice direct du fait d’une disparition forcée ayant eu lieu entre 1968 et 1985 à une réparation intégrale comprenant toutes les mesures prévues à l’article 24 (</w:t>
      </w:r>
      <w:r>
        <w:rPr>
          <w:b/>
          <w:bCs/>
          <w:lang w:val="fr-FR"/>
        </w:rPr>
        <w:t>par. </w:t>
      </w:r>
      <w:r w:rsidRPr="003F0CA1">
        <w:rPr>
          <w:b/>
          <w:bCs/>
          <w:lang w:val="fr-FR"/>
        </w:rPr>
        <w:t>5) de la Convention, indépendamment de la durée de la disparition et en prenant en considération les besoins particuliers des victimes compte tenu, notamment, de leur sexe, leur orientation sexuelle, leur identité de genre, leur âge, leur appartenance ethnique, leur statut social ou leur handicap</w:t>
      </w:r>
      <w:r>
        <w:rPr>
          <w:b/>
          <w:bCs/>
          <w:lang w:val="fr-FR"/>
        </w:rPr>
        <w:t> ;</w:t>
      </w:r>
    </w:p>
    <w:p w14:paraId="2CFC1EE4" w14:textId="55190D6B" w:rsidR="003F0CA1" w:rsidRPr="003F0CA1" w:rsidRDefault="003F0CA1" w:rsidP="003F0CA1">
      <w:pPr>
        <w:pStyle w:val="SingleTxtG"/>
        <w:ind w:firstLine="567"/>
        <w:rPr>
          <w:b/>
          <w:bCs/>
          <w:lang w:val="fr-FR"/>
        </w:rPr>
      </w:pPr>
      <w:r w:rsidRPr="003F0CA1">
        <w:rPr>
          <w:b/>
          <w:bCs/>
          <w:lang w:val="fr-FR"/>
        </w:rPr>
        <w:t>b)</w:t>
      </w:r>
      <w:r w:rsidRPr="003F0CA1">
        <w:rPr>
          <w:b/>
          <w:bCs/>
          <w:lang w:val="fr-FR"/>
        </w:rPr>
        <w:tab/>
        <w:t>D’allouer suffisamment de ressources à la réalisation du droit à la réparation intégrale de toutes les victimes de disparition forcée</w:t>
      </w:r>
      <w:r>
        <w:rPr>
          <w:b/>
          <w:bCs/>
          <w:lang w:val="fr-FR"/>
        </w:rPr>
        <w:t> ;</w:t>
      </w:r>
    </w:p>
    <w:p w14:paraId="7D1DFA77" w14:textId="42F1AA35" w:rsidR="003F0CA1" w:rsidRPr="003F0CA1" w:rsidRDefault="003F0CA1" w:rsidP="003F0CA1">
      <w:pPr>
        <w:pStyle w:val="SingleTxtG"/>
        <w:ind w:firstLine="567"/>
        <w:rPr>
          <w:b/>
          <w:bCs/>
          <w:lang w:val="fr-FR"/>
        </w:rPr>
      </w:pPr>
      <w:r w:rsidRPr="003F0CA1">
        <w:rPr>
          <w:b/>
          <w:bCs/>
          <w:lang w:val="fr-FR"/>
        </w:rPr>
        <w:t>c)</w:t>
      </w:r>
      <w:r w:rsidRPr="003F0CA1">
        <w:rPr>
          <w:b/>
          <w:bCs/>
          <w:lang w:val="fr-FR"/>
        </w:rPr>
        <w:tab/>
        <w:t>D’enquêter de manière approfondie et avec toute la diligence voulue sur tous les actes de vandalisme commis sur les sites commémoratifs, de punir les responsables comme il se doit et de prendre des mesures énergiques pour prévenir la commission d’autres actes de ce type</w:t>
      </w:r>
      <w:r>
        <w:rPr>
          <w:b/>
          <w:bCs/>
          <w:lang w:val="fr-FR"/>
        </w:rPr>
        <w:t> ;</w:t>
      </w:r>
    </w:p>
    <w:p w14:paraId="4BF7F346" w14:textId="667B60A1" w:rsidR="003F0CA1" w:rsidRPr="003F0CA1" w:rsidRDefault="003F0CA1" w:rsidP="003F0CA1">
      <w:pPr>
        <w:pStyle w:val="SingleTxtG"/>
        <w:ind w:firstLine="567"/>
        <w:rPr>
          <w:b/>
          <w:bCs/>
          <w:lang w:val="fr-FR"/>
        </w:rPr>
      </w:pPr>
      <w:r w:rsidRPr="003F0CA1">
        <w:rPr>
          <w:b/>
          <w:bCs/>
          <w:lang w:val="fr-FR"/>
        </w:rPr>
        <w:t>d)</w:t>
      </w:r>
      <w:r w:rsidRPr="003F0CA1">
        <w:rPr>
          <w:b/>
          <w:bCs/>
          <w:lang w:val="fr-FR"/>
        </w:rPr>
        <w:tab/>
        <w:t>D’adopter une politique éducative visant à préserver la mémoire des graves violations des droits de l’homme, notamment les disparitions forcées, commises entre 1968 et 1985.</w:t>
      </w:r>
    </w:p>
    <w:p w14:paraId="023CB3B4" w14:textId="77777777" w:rsidR="003F0CA1" w:rsidRPr="001302B9" w:rsidRDefault="003F0CA1" w:rsidP="003F0CA1">
      <w:pPr>
        <w:pStyle w:val="H1G"/>
        <w:rPr>
          <w:lang w:val="fr-FR"/>
        </w:rPr>
      </w:pPr>
      <w:r w:rsidRPr="001302B9">
        <w:rPr>
          <w:lang w:val="fr-FR"/>
        </w:rPr>
        <w:lastRenderedPageBreak/>
        <w:tab/>
        <w:t>D.</w:t>
      </w:r>
      <w:r w:rsidRPr="001302B9">
        <w:rPr>
          <w:lang w:val="fr-FR"/>
        </w:rPr>
        <w:tab/>
        <w:t>Mise</w:t>
      </w:r>
      <w:r>
        <w:rPr>
          <w:lang w:val="fr-FR"/>
        </w:rPr>
        <w:t xml:space="preserve"> </w:t>
      </w:r>
      <w:r w:rsidRPr="001302B9">
        <w:rPr>
          <w:lang w:val="fr-FR"/>
        </w:rPr>
        <w:t>en</w:t>
      </w:r>
      <w:r>
        <w:rPr>
          <w:lang w:val="fr-FR"/>
        </w:rPr>
        <w:t xml:space="preserve"> </w:t>
      </w:r>
      <w:r w:rsidRPr="001302B9">
        <w:rPr>
          <w:lang w:val="fr-FR"/>
        </w:rPr>
        <w:t>œuvre</w:t>
      </w:r>
      <w:r>
        <w:rPr>
          <w:lang w:val="fr-FR"/>
        </w:rPr>
        <w:t xml:space="preserve"> </w:t>
      </w:r>
      <w:r w:rsidRPr="001302B9">
        <w:rPr>
          <w:lang w:val="fr-FR"/>
        </w:rPr>
        <w:t>des</w:t>
      </w:r>
      <w:r>
        <w:rPr>
          <w:lang w:val="fr-FR"/>
        </w:rPr>
        <w:t xml:space="preserve"> </w:t>
      </w:r>
      <w:r w:rsidRPr="001302B9">
        <w:rPr>
          <w:lang w:val="fr-FR"/>
        </w:rPr>
        <w:t>droits</w:t>
      </w:r>
      <w:r>
        <w:rPr>
          <w:lang w:val="fr-FR"/>
        </w:rPr>
        <w:t xml:space="preserve"> </w:t>
      </w:r>
      <w:r w:rsidRPr="001302B9">
        <w:rPr>
          <w:lang w:val="fr-FR"/>
        </w:rPr>
        <w:t>et</w:t>
      </w:r>
      <w:r>
        <w:rPr>
          <w:lang w:val="fr-FR"/>
        </w:rPr>
        <w:t xml:space="preserve"> </w:t>
      </w:r>
      <w:r w:rsidRPr="001302B9">
        <w:rPr>
          <w:lang w:val="fr-FR"/>
        </w:rPr>
        <w:t>obligations</w:t>
      </w:r>
      <w:r>
        <w:rPr>
          <w:lang w:val="fr-FR"/>
        </w:rPr>
        <w:t xml:space="preserve"> </w:t>
      </w:r>
      <w:r w:rsidRPr="001302B9">
        <w:rPr>
          <w:lang w:val="fr-FR"/>
        </w:rPr>
        <w:t>énoncés</w:t>
      </w:r>
      <w:r>
        <w:rPr>
          <w:lang w:val="fr-FR"/>
        </w:rPr>
        <w:t xml:space="preserve"> </w:t>
      </w:r>
      <w:r w:rsidRPr="001302B9">
        <w:rPr>
          <w:lang w:val="fr-FR"/>
        </w:rPr>
        <w:t>dans</w:t>
      </w:r>
      <w:r>
        <w:rPr>
          <w:lang w:val="fr-FR"/>
        </w:rPr>
        <w:t xml:space="preserve"> </w:t>
      </w:r>
      <w:r w:rsidRPr="001302B9">
        <w:rPr>
          <w:lang w:val="fr-FR"/>
        </w:rPr>
        <w:t>la</w:t>
      </w:r>
      <w:r>
        <w:rPr>
          <w:lang w:val="fr-FR"/>
        </w:rPr>
        <w:t xml:space="preserve"> </w:t>
      </w:r>
      <w:r w:rsidRPr="001302B9">
        <w:rPr>
          <w:lang w:val="fr-FR"/>
        </w:rPr>
        <w:t>Convention,</w:t>
      </w:r>
      <w:r>
        <w:rPr>
          <w:lang w:val="fr-FR"/>
        </w:rPr>
        <w:t xml:space="preserve"> </w:t>
      </w:r>
      <w:r w:rsidRPr="001302B9">
        <w:rPr>
          <w:lang w:val="fr-FR"/>
        </w:rPr>
        <w:t>diffusion</w:t>
      </w:r>
      <w:r>
        <w:rPr>
          <w:lang w:val="fr-FR"/>
        </w:rPr>
        <w:t xml:space="preserve"> </w:t>
      </w:r>
      <w:r w:rsidRPr="001302B9">
        <w:rPr>
          <w:lang w:val="fr-FR"/>
        </w:rPr>
        <w:t>et</w:t>
      </w:r>
      <w:r>
        <w:rPr>
          <w:lang w:val="fr-FR"/>
        </w:rPr>
        <w:t xml:space="preserve"> </w:t>
      </w:r>
      <w:r w:rsidRPr="001302B9">
        <w:rPr>
          <w:lang w:val="fr-FR"/>
        </w:rPr>
        <w:t>suivi</w:t>
      </w:r>
    </w:p>
    <w:p w14:paraId="6DC6A9C0" w14:textId="77777777" w:rsidR="003F0CA1" w:rsidRPr="003F0CA1" w:rsidRDefault="003F0CA1" w:rsidP="003F0CA1">
      <w:pPr>
        <w:pStyle w:val="SingleTxtG"/>
        <w:rPr>
          <w:b/>
          <w:bCs/>
          <w:lang w:val="fr-FR"/>
        </w:rPr>
      </w:pPr>
      <w:r w:rsidRPr="001302B9">
        <w:rPr>
          <w:lang w:val="fr-FR"/>
        </w:rPr>
        <w:t>22.</w:t>
      </w:r>
      <w:r w:rsidRPr="003F0CA1">
        <w:rPr>
          <w:b/>
          <w:bCs/>
          <w:lang w:val="fr-FR"/>
        </w:rPr>
        <w:tab/>
        <w:t>Le Comité tient à rappeler les obligations que les États ont contractées en devenant parties à la Convention et engage l’État partie à veiller à ce que toutes les mesures qu’il adopte, quelles que soient leur nature et l’autorité dont elles émanent, soient pleinement conformes à la Convention et à d’autres instruments internationaux pertinents.</w:t>
      </w:r>
    </w:p>
    <w:p w14:paraId="796B0EC7" w14:textId="77777777" w:rsidR="003F0CA1" w:rsidRPr="003F0CA1" w:rsidRDefault="003F0CA1" w:rsidP="003F0CA1">
      <w:pPr>
        <w:pStyle w:val="SingleTxtG"/>
        <w:rPr>
          <w:b/>
          <w:bCs/>
          <w:lang w:val="fr-FR"/>
        </w:rPr>
      </w:pPr>
      <w:r w:rsidRPr="001302B9">
        <w:rPr>
          <w:lang w:val="fr-FR"/>
        </w:rPr>
        <w:t>23.</w:t>
      </w:r>
      <w:r w:rsidRPr="003F0CA1">
        <w:rPr>
          <w:b/>
          <w:bCs/>
          <w:lang w:val="fr-FR"/>
        </w:rPr>
        <w:tab/>
        <w:t>Le Comité tient également à souligner l’effet particulièrement cruel qu’ont les disparitions forcées sur les femmes et les enfants qu’elles touchent. Les femmes victimes d’une disparition forcée sont particulièrement vulnérables à la violence sexuelle et aux autres formes de violence fondée sur le genre. Les femmes parentes d’une personne disparue sont également particulièrement susceptibles d’être gravement défavorisées sur les plans économique et social et de subir des violences, des persécutions et des représailles du fait des efforts qu’elles déploient pour localiser leur proche. Les enfants victimes d’une disparition forcée, qu’ils y soient soumis eux-mêmes ou qu’ils subissent les conséquences de la disparition d’un proche, sont particulièrement exposés à la violation de leurs droits humains. Le Comité insiste donc tout particulièrement sur le fait que l’État partie doit systématiquement tenir compte des questions de genre et des besoins particuliers des femmes et des enfants dans le cadre des mesures qu’il prend pour donner suite aux présentes recommandations, pour donner effet à l’ensemble des droits consacrés par la Convention et pour exécuter toutes les obligations que celle-ci met à sa charge.</w:t>
      </w:r>
    </w:p>
    <w:p w14:paraId="1B22EBF2" w14:textId="30D2622D" w:rsidR="003F0CA1" w:rsidRPr="003F0CA1" w:rsidRDefault="003F0CA1" w:rsidP="003F0CA1">
      <w:pPr>
        <w:pStyle w:val="SingleTxtG"/>
        <w:rPr>
          <w:b/>
          <w:bCs/>
          <w:lang w:val="fr-FR"/>
        </w:rPr>
      </w:pPr>
      <w:r w:rsidRPr="001302B9">
        <w:rPr>
          <w:lang w:val="fr-FR"/>
        </w:rPr>
        <w:t>24.</w:t>
      </w:r>
      <w:r w:rsidRPr="003F0CA1">
        <w:rPr>
          <w:b/>
          <w:bCs/>
          <w:lang w:val="fr-FR"/>
        </w:rPr>
        <w:tab/>
        <w:t>L’État partie est invité à diffuser largement la Convention, les renseignements complémentaires qu’il a soumis en application de l’article 29 (</w:t>
      </w:r>
      <w:r>
        <w:rPr>
          <w:b/>
          <w:bCs/>
          <w:lang w:val="fr-FR"/>
        </w:rPr>
        <w:t>par. </w:t>
      </w:r>
      <w:r w:rsidRPr="003F0CA1">
        <w:rPr>
          <w:b/>
          <w:bCs/>
          <w:lang w:val="fr-FR"/>
        </w:rPr>
        <w:t>4) de la Convention et les présentes observations finales, en vue de sensibiliser les autorités publiques, les acteurs de la société civile et le grand public. Le Comité encourage aussi l’État partie à promouvoir la participation de la société civile à l’action menée pour appliquer les recommandations formulées dans les présentes observations finales.</w:t>
      </w:r>
    </w:p>
    <w:p w14:paraId="25C25BF0" w14:textId="1D38432F" w:rsidR="003F0CA1" w:rsidRPr="00CD45C4" w:rsidRDefault="003F0CA1" w:rsidP="003F0CA1">
      <w:pPr>
        <w:pStyle w:val="SingleTxtG"/>
        <w:rPr>
          <w:b/>
          <w:bCs/>
          <w:spacing w:val="-1"/>
          <w:lang w:val="fr-FR"/>
        </w:rPr>
      </w:pPr>
      <w:r w:rsidRPr="00CD45C4">
        <w:rPr>
          <w:spacing w:val="-1"/>
          <w:lang w:val="fr-FR"/>
        </w:rPr>
        <w:t>25.</w:t>
      </w:r>
      <w:r w:rsidRPr="00CD45C4">
        <w:rPr>
          <w:b/>
          <w:bCs/>
          <w:spacing w:val="-1"/>
          <w:lang w:val="fr-FR"/>
        </w:rPr>
        <w:tab/>
        <w:t>Eu égard à l’article 29 (par. 4) de la Convention, le Comité demande à l’État partie de lui soumettre, au plus tard le 23</w:t>
      </w:r>
      <w:r w:rsidR="00CD45C4">
        <w:rPr>
          <w:b/>
          <w:bCs/>
          <w:spacing w:val="-1"/>
          <w:lang w:val="fr-FR"/>
        </w:rPr>
        <w:t> </w:t>
      </w:r>
      <w:r w:rsidRPr="00CD45C4">
        <w:rPr>
          <w:b/>
          <w:bCs/>
          <w:spacing w:val="-1"/>
          <w:lang w:val="fr-FR"/>
        </w:rPr>
        <w:t>septembre 2025, en vue de l’examen qui sera réalisé en 2026, des informations précises et à jour sur l’adoption d’une politique nationale en matière de disparition forcée qui tienne compte des recommandations formulées dans les présentes observations finales concernant les enquêtes, les recherches et la réparation (voir par. 5, 17, 19 et 21). Le Comité encourage l’État partie à promouvoir et à faciliter la participation de la société civile, en particulier les associations de victimes de disparition forcée, à la compilation de ces informations. Il rappelle également que, conformément à l’article 29 (par. 4) de la Convention, il pourra ensuite demander à l’État partie des renseignements complémentaires sur l’application de la Convention, y compris des informations sur les mesures adoptées pour mettre appliquer l’ensemble des recommandations formulées dans les présentes observations finales.</w:t>
      </w:r>
    </w:p>
    <w:p w14:paraId="31C79813" w14:textId="2C3120F0" w:rsidR="00446FE5" w:rsidRPr="003F0CA1" w:rsidRDefault="003F0CA1" w:rsidP="003F0CA1">
      <w:pPr>
        <w:pStyle w:val="SingleTxtG"/>
        <w:spacing w:before="240" w:after="0"/>
        <w:jc w:val="center"/>
        <w:rPr>
          <w:u w:val="single"/>
        </w:rPr>
      </w:pPr>
      <w:r>
        <w:rPr>
          <w:u w:val="single"/>
        </w:rPr>
        <w:tab/>
      </w:r>
      <w:r>
        <w:rPr>
          <w:u w:val="single"/>
        </w:rPr>
        <w:tab/>
      </w:r>
      <w:r>
        <w:rPr>
          <w:u w:val="single"/>
        </w:rPr>
        <w:tab/>
      </w:r>
    </w:p>
    <w:sectPr w:rsidR="00446FE5" w:rsidRPr="003F0CA1" w:rsidSect="008A72B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F87F" w14:textId="77777777" w:rsidR="000F6C14" w:rsidRDefault="000F6C14" w:rsidP="00F95C08">
      <w:pPr>
        <w:spacing w:line="240" w:lineRule="auto"/>
      </w:pPr>
    </w:p>
  </w:endnote>
  <w:endnote w:type="continuationSeparator" w:id="0">
    <w:p w14:paraId="5283F76E" w14:textId="77777777" w:rsidR="000F6C14" w:rsidRPr="00AC3823" w:rsidRDefault="000F6C14" w:rsidP="00AC3823">
      <w:pPr>
        <w:pStyle w:val="Pieddepage"/>
      </w:pPr>
    </w:p>
  </w:endnote>
  <w:endnote w:type="continuationNotice" w:id="1">
    <w:p w14:paraId="501012A5" w14:textId="77777777" w:rsidR="000F6C14" w:rsidRDefault="000F6C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1518" w14:textId="58289316" w:rsidR="008A72B9" w:rsidRPr="008A72B9" w:rsidRDefault="008A72B9" w:rsidP="008A72B9">
    <w:pPr>
      <w:pStyle w:val="Pieddepage"/>
      <w:tabs>
        <w:tab w:val="right" w:pos="9638"/>
      </w:tabs>
    </w:pPr>
    <w:r w:rsidRPr="008A72B9">
      <w:rPr>
        <w:b/>
        <w:sz w:val="18"/>
      </w:rPr>
      <w:fldChar w:fldCharType="begin"/>
    </w:r>
    <w:r w:rsidRPr="008A72B9">
      <w:rPr>
        <w:b/>
        <w:sz w:val="18"/>
      </w:rPr>
      <w:instrText xml:space="preserve"> PAGE  \* MERGEFORMAT </w:instrText>
    </w:r>
    <w:r w:rsidRPr="008A72B9">
      <w:rPr>
        <w:b/>
        <w:sz w:val="18"/>
      </w:rPr>
      <w:fldChar w:fldCharType="separate"/>
    </w:r>
    <w:r w:rsidRPr="008A72B9">
      <w:rPr>
        <w:b/>
        <w:noProof/>
        <w:sz w:val="18"/>
      </w:rPr>
      <w:t>2</w:t>
    </w:r>
    <w:r w:rsidRPr="008A72B9">
      <w:rPr>
        <w:b/>
        <w:sz w:val="18"/>
      </w:rPr>
      <w:fldChar w:fldCharType="end"/>
    </w:r>
    <w:r>
      <w:rPr>
        <w:b/>
        <w:sz w:val="18"/>
      </w:rPr>
      <w:tab/>
    </w:r>
    <w:r>
      <w:t>GE.22-17194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98D" w14:textId="31B12012" w:rsidR="008A72B9" w:rsidRPr="008A72B9" w:rsidRDefault="008A72B9" w:rsidP="008A72B9">
    <w:pPr>
      <w:pStyle w:val="Pieddepage"/>
      <w:tabs>
        <w:tab w:val="right" w:pos="9638"/>
      </w:tabs>
      <w:rPr>
        <w:b/>
        <w:sz w:val="18"/>
      </w:rPr>
    </w:pPr>
    <w:r>
      <w:t>GE.22-17194</w:t>
    </w:r>
    <w:r>
      <w:tab/>
    </w:r>
    <w:r w:rsidRPr="008A72B9">
      <w:rPr>
        <w:b/>
        <w:sz w:val="18"/>
      </w:rPr>
      <w:fldChar w:fldCharType="begin"/>
    </w:r>
    <w:r w:rsidRPr="008A72B9">
      <w:rPr>
        <w:b/>
        <w:sz w:val="18"/>
      </w:rPr>
      <w:instrText xml:space="preserve"> PAGE  \* MERGEFORMAT </w:instrText>
    </w:r>
    <w:r w:rsidRPr="008A72B9">
      <w:rPr>
        <w:b/>
        <w:sz w:val="18"/>
      </w:rPr>
      <w:fldChar w:fldCharType="separate"/>
    </w:r>
    <w:r w:rsidRPr="008A72B9">
      <w:rPr>
        <w:b/>
        <w:noProof/>
        <w:sz w:val="18"/>
      </w:rPr>
      <w:t>3</w:t>
    </w:r>
    <w:r w:rsidRPr="008A72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E35E" w14:textId="0F4F26D3" w:rsidR="00133EDE" w:rsidRPr="008A72B9" w:rsidRDefault="008A72B9" w:rsidP="008A72B9">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77A7C538" wp14:editId="10DAAE4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22-17194  (F)</w:t>
    </w:r>
    <w:r>
      <w:rPr>
        <w:noProof/>
        <w:sz w:val="20"/>
      </w:rPr>
      <w:drawing>
        <wp:anchor distT="0" distB="0" distL="114300" distR="114300" simplePos="0" relativeHeight="251660288" behindDoc="0" locked="0" layoutInCell="1" allowOverlap="1" wp14:anchorId="5D2BC371" wp14:editId="7D7FBF03">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051222    061222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F10B" w14:textId="77777777" w:rsidR="000F6C14" w:rsidRPr="00AC3823" w:rsidRDefault="000F6C14" w:rsidP="00AC3823">
      <w:pPr>
        <w:pStyle w:val="Pieddepage"/>
        <w:tabs>
          <w:tab w:val="right" w:pos="2155"/>
        </w:tabs>
        <w:spacing w:after="80" w:line="240" w:lineRule="atLeast"/>
        <w:ind w:left="680"/>
        <w:rPr>
          <w:u w:val="single"/>
        </w:rPr>
      </w:pPr>
      <w:r>
        <w:rPr>
          <w:u w:val="single"/>
        </w:rPr>
        <w:tab/>
      </w:r>
    </w:p>
  </w:footnote>
  <w:footnote w:type="continuationSeparator" w:id="0">
    <w:p w14:paraId="5E48D7D7" w14:textId="77777777" w:rsidR="000F6C14" w:rsidRPr="00AC3823" w:rsidRDefault="000F6C14" w:rsidP="00AC3823">
      <w:pPr>
        <w:pStyle w:val="Pieddepage"/>
        <w:tabs>
          <w:tab w:val="right" w:pos="2155"/>
        </w:tabs>
        <w:spacing w:after="80" w:line="240" w:lineRule="atLeast"/>
        <w:ind w:left="680"/>
        <w:rPr>
          <w:u w:val="single"/>
        </w:rPr>
      </w:pPr>
      <w:r>
        <w:rPr>
          <w:u w:val="single"/>
        </w:rPr>
        <w:tab/>
      </w:r>
    </w:p>
  </w:footnote>
  <w:footnote w:type="continuationNotice" w:id="1">
    <w:p w14:paraId="62AE89D3" w14:textId="77777777" w:rsidR="000F6C14" w:rsidRPr="00AC3823" w:rsidRDefault="000F6C14">
      <w:pPr>
        <w:spacing w:line="240" w:lineRule="auto"/>
        <w:rPr>
          <w:sz w:val="2"/>
          <w:szCs w:val="2"/>
        </w:rPr>
      </w:pPr>
    </w:p>
  </w:footnote>
  <w:footnote w:id="2">
    <w:p w14:paraId="7396DB62" w14:textId="77688757" w:rsidR="003F0CA1" w:rsidRPr="003F0CA1" w:rsidRDefault="003F0CA1">
      <w:pPr>
        <w:pStyle w:val="Notedebasdepage"/>
        <w:rPr>
          <w:lang w:val="fr-FR"/>
        </w:rPr>
      </w:pPr>
      <w:r w:rsidRPr="003F0CA1">
        <w:rPr>
          <w:rStyle w:val="Appelnotedebasdep"/>
          <w:lang w:val="fr-FR"/>
        </w:rPr>
        <w:tab/>
      </w:r>
      <w:r w:rsidRPr="003F0CA1">
        <w:rPr>
          <w:rStyle w:val="Appelnotedebasdep"/>
          <w:sz w:val="20"/>
          <w:vertAlign w:val="baseline"/>
          <w:lang w:val="fr-FR"/>
        </w:rPr>
        <w:t>*</w:t>
      </w:r>
      <w:r w:rsidRPr="003F0CA1">
        <w:rPr>
          <w:rStyle w:val="Appelnotedebasdep"/>
          <w:sz w:val="20"/>
          <w:vertAlign w:val="baseline"/>
          <w:lang w:val="fr-FR"/>
        </w:rPr>
        <w:tab/>
      </w:r>
      <w:r w:rsidRPr="003F0CA1">
        <w:rPr>
          <w:lang w:val="fr-FR"/>
        </w:rPr>
        <w:t>Adoptées par le Comité à sa vingt-troisième session (12-23 septembre 2023).</w:t>
      </w:r>
    </w:p>
  </w:footnote>
  <w:footnote w:id="3">
    <w:p w14:paraId="3E28D14D" w14:textId="1F3B37CB"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r>
      <w:hyperlink r:id="rId1" w:history="1">
        <w:r w:rsidRPr="003F0CA1">
          <w:rPr>
            <w:rStyle w:val="Lienhypertexte"/>
            <w:lang w:val="fr-FR"/>
          </w:rPr>
          <w:t>CED/C/URY/AI/1</w:t>
        </w:r>
      </w:hyperlink>
      <w:r w:rsidRPr="003F0CA1">
        <w:rPr>
          <w:lang w:val="fr-FR"/>
        </w:rPr>
        <w:t>.</w:t>
      </w:r>
    </w:p>
  </w:footnote>
  <w:footnote w:id="4">
    <w:p w14:paraId="3EF23A8F" w14:textId="57407C16"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r>
      <w:hyperlink r:id="rId2" w:history="1">
        <w:r w:rsidRPr="003F0CA1">
          <w:rPr>
            <w:rStyle w:val="Lienhypertexte"/>
            <w:lang w:val="fr-FR"/>
          </w:rPr>
          <w:t>CED/C/URY/CO/1</w:t>
        </w:r>
      </w:hyperlink>
      <w:r w:rsidRPr="003F0CA1">
        <w:rPr>
          <w:lang w:val="fr-FR"/>
        </w:rPr>
        <w:t>, par. 42.</w:t>
      </w:r>
    </w:p>
  </w:footnote>
  <w:footnote w:id="5">
    <w:p w14:paraId="6DBD53A4" w14:textId="0E098EB0"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t xml:space="preserve">Voir </w:t>
      </w:r>
      <w:hyperlink r:id="rId3" w:history="1">
        <w:r w:rsidRPr="003F0CA1">
          <w:rPr>
            <w:rStyle w:val="Lienhypertexte"/>
            <w:lang w:val="fr-FR"/>
          </w:rPr>
          <w:t>https://tbinternet.ohchr.org/_layouts/15/treatybodyexternal/Download.aspx?symbolno= INT%2fCED%2fRLI%2fURY%2f49553&amp;Lang=es</w:t>
        </w:r>
      </w:hyperlink>
      <w:r w:rsidRPr="003F0CA1">
        <w:rPr>
          <w:lang w:val="fr-FR"/>
        </w:rPr>
        <w:t>.</w:t>
      </w:r>
    </w:p>
  </w:footnote>
  <w:footnote w:id="6">
    <w:p w14:paraId="133EB6AA" w14:textId="343F6DA4"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r>
      <w:hyperlink r:id="rId4" w:history="1">
        <w:r w:rsidRPr="003F0CA1">
          <w:rPr>
            <w:rStyle w:val="Lienhypertexte"/>
            <w:lang w:val="fr-FR"/>
          </w:rPr>
          <w:t>CED/C/SR.409</w:t>
        </w:r>
      </w:hyperlink>
      <w:r w:rsidRPr="003F0CA1">
        <w:rPr>
          <w:lang w:val="fr-FR"/>
        </w:rPr>
        <w:t>.</w:t>
      </w:r>
    </w:p>
  </w:footnote>
  <w:footnote w:id="7">
    <w:p w14:paraId="67F24370" w14:textId="199406CD"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r>
      <w:hyperlink r:id="rId5" w:history="1">
        <w:r w:rsidRPr="003F0CA1">
          <w:rPr>
            <w:rStyle w:val="Lienhypertexte"/>
            <w:lang w:val="fr-FR"/>
          </w:rPr>
          <w:t>CED/C/URY/CO/1</w:t>
        </w:r>
      </w:hyperlink>
      <w:r w:rsidRPr="003F0CA1">
        <w:rPr>
          <w:lang w:val="fr-FR"/>
        </w:rPr>
        <w:t>, par. 12.</w:t>
      </w:r>
    </w:p>
  </w:footnote>
  <w:footnote w:id="8">
    <w:p w14:paraId="54121BEB" w14:textId="7A2A2574"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t>Ibid., par. 25 et 26.</w:t>
      </w:r>
    </w:p>
  </w:footnote>
  <w:footnote w:id="9">
    <w:p w14:paraId="55C5E65A" w14:textId="650844B8"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r>
      <w:hyperlink r:id="rId6" w:history="1">
        <w:r w:rsidRPr="003F0CA1">
          <w:rPr>
            <w:rStyle w:val="Lienhypertexte"/>
            <w:lang w:val="fr-FR"/>
          </w:rPr>
          <w:t>CED/C/URY/AI/1</w:t>
        </w:r>
      </w:hyperlink>
      <w:r w:rsidRPr="003F0CA1">
        <w:rPr>
          <w:lang w:val="fr-FR"/>
        </w:rPr>
        <w:t xml:space="preserve">, par. 118 à 120, et réponses de l’Uruguay à la liste de points du Comité, disponibles à l’adresse suivante : </w:t>
      </w:r>
      <w:hyperlink r:id="rId7" w:history="1">
        <w:r w:rsidR="00CD45C4" w:rsidRPr="007C1684">
          <w:rPr>
            <w:rStyle w:val="Lienhypertexte"/>
            <w:lang w:val="fr-FR"/>
          </w:rPr>
          <w:t>https://tbinternet.ohchr.org/_layouts/15/treatybodyexternal/ Download.aspx?symbolno=INT%2fCED%2fRLI%2fURY%2f49553&amp;Lang=es</w:t>
        </w:r>
      </w:hyperlink>
      <w:r w:rsidRPr="003F0CA1">
        <w:rPr>
          <w:lang w:val="fr-FR"/>
        </w:rPr>
        <w:t>.</w:t>
      </w:r>
    </w:p>
  </w:footnote>
  <w:footnote w:id="10">
    <w:p w14:paraId="6D91604E" w14:textId="06263B38"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t xml:space="preserve">Réponses de l’Uruguay à la liste de points du Comité, disponibles à l’adresse suivante : </w:t>
      </w:r>
      <w:hyperlink r:id="rId8" w:history="1">
        <w:r w:rsidRPr="00CD45C4">
          <w:rPr>
            <w:rStyle w:val="Lienhypertexte"/>
            <w:lang w:val="fr-FR"/>
          </w:rPr>
          <w:t>https://tbinternet.ohchr.org/_layouts/15/treatybodyexternal/Download.aspx?symbolno=INT%2fCED%2fRLI%2fURY%2f49553&amp;Lang=es</w:t>
        </w:r>
      </w:hyperlink>
      <w:r w:rsidRPr="003F0CA1">
        <w:rPr>
          <w:lang w:val="fr-FR"/>
        </w:rPr>
        <w:t>.</w:t>
      </w:r>
    </w:p>
  </w:footnote>
  <w:footnote w:id="11">
    <w:p w14:paraId="7D287D47" w14:textId="0270C9BB"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r>
      <w:hyperlink r:id="rId9" w:history="1">
        <w:r w:rsidRPr="003F0CA1">
          <w:rPr>
            <w:rStyle w:val="Lienhypertexte"/>
            <w:lang w:val="fr-FR"/>
          </w:rPr>
          <w:t>CED/C/URY/CO/1</w:t>
        </w:r>
      </w:hyperlink>
      <w:r w:rsidRPr="003F0CA1">
        <w:rPr>
          <w:lang w:val="fr-FR"/>
        </w:rPr>
        <w:t>, par. 33.</w:t>
      </w:r>
    </w:p>
  </w:footnote>
  <w:footnote w:id="12">
    <w:p w14:paraId="155B1132" w14:textId="4C729766"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t>Ibid., par. 34.</w:t>
      </w:r>
    </w:p>
  </w:footnote>
  <w:footnote w:id="13">
    <w:p w14:paraId="1F950DD7" w14:textId="2870C0D9"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t xml:space="preserve">Voir </w:t>
      </w:r>
      <w:hyperlink r:id="rId10" w:history="1">
        <w:r w:rsidRPr="00CD45C4">
          <w:rPr>
            <w:rStyle w:val="Lienhypertextesuivivisit"/>
            <w:lang w:val="fr-FR"/>
          </w:rPr>
          <w:t>https://www.ohchr.org/sites/default/files/documents/issues/wgeid/2022-07-14/Observaciones-preliminares-GDTFI-Uruguay.pdf</w:t>
        </w:r>
      </w:hyperlink>
      <w:r w:rsidRPr="003F0CA1">
        <w:rPr>
          <w:lang w:val="fr-FR"/>
        </w:rPr>
        <w:t>.</w:t>
      </w:r>
    </w:p>
  </w:footnote>
  <w:footnote w:id="14">
    <w:p w14:paraId="3440A9D4" w14:textId="4C610AFD"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r>
      <w:hyperlink r:id="rId11" w:history="1">
        <w:r w:rsidRPr="003F0CA1">
          <w:rPr>
            <w:rStyle w:val="Lienhypertexte"/>
            <w:lang w:val="fr-FR"/>
          </w:rPr>
          <w:t>CED/C/URY/CO/1</w:t>
        </w:r>
      </w:hyperlink>
      <w:r w:rsidRPr="003F0CA1">
        <w:rPr>
          <w:lang w:val="fr-FR"/>
        </w:rPr>
        <w:t>, par. 14.</w:t>
      </w:r>
    </w:p>
  </w:footnote>
  <w:footnote w:id="15">
    <w:p w14:paraId="2FBFF0C0" w14:textId="58F82823"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t xml:space="preserve">Réponses de l’Uruguay à la liste de points du Comité, disponibles à l’adresse suivante : disponibles en </w:t>
      </w:r>
      <w:hyperlink r:id="rId12" w:history="1">
        <w:r w:rsidR="00CD45C4" w:rsidRPr="007C1684">
          <w:rPr>
            <w:rStyle w:val="Lienhypertexte"/>
            <w:lang w:val="fr-FR"/>
          </w:rPr>
          <w:t>https://tbinternet.ohchr.org/_layouts/15/treatybodyexternal/ Download.aspx?symbolno=INT%2fCED%2fRLI%2fURY%2f49553&amp;Lang=es</w:t>
        </w:r>
      </w:hyperlink>
      <w:r w:rsidRPr="003F0CA1">
        <w:rPr>
          <w:lang w:val="fr-FR"/>
        </w:rPr>
        <w:t>.</w:t>
      </w:r>
    </w:p>
  </w:footnote>
  <w:footnote w:id="16">
    <w:p w14:paraId="7183BB35" w14:textId="0D19B766" w:rsidR="003F0CA1" w:rsidRPr="003F0CA1" w:rsidRDefault="003F0CA1" w:rsidP="003F0CA1">
      <w:pPr>
        <w:pStyle w:val="Notedebasdepage"/>
        <w:rPr>
          <w:lang w:val="fr-FR"/>
        </w:rPr>
      </w:pPr>
      <w:r w:rsidRPr="003F0CA1">
        <w:rPr>
          <w:lang w:val="fr-FR"/>
        </w:rPr>
        <w:tab/>
      </w:r>
      <w:r w:rsidRPr="003F0CA1">
        <w:rPr>
          <w:rStyle w:val="Appelnotedebasdep"/>
          <w:lang w:val="fr-FR"/>
        </w:rPr>
        <w:footnoteRef/>
      </w:r>
      <w:r w:rsidRPr="003F0CA1">
        <w:rPr>
          <w:lang w:val="fr-FR"/>
        </w:rPr>
        <w:tab/>
      </w:r>
      <w:hyperlink r:id="rId13" w:history="1">
        <w:r w:rsidRPr="003F0CA1">
          <w:rPr>
            <w:rStyle w:val="Lienhypertexte"/>
            <w:lang w:val="fr-FR"/>
          </w:rPr>
          <w:t>CED/C/7</w:t>
        </w:r>
      </w:hyperlink>
      <w:r w:rsidRPr="003F0CA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1706" w14:textId="2AE55E1E" w:rsidR="008A72B9" w:rsidRPr="008A72B9" w:rsidRDefault="009D004F">
    <w:pPr>
      <w:pStyle w:val="En-tte"/>
    </w:pPr>
    <w:r>
      <w:fldChar w:fldCharType="begin"/>
    </w:r>
    <w:r>
      <w:instrText xml:space="preserve"> TITLE  \* MERGEFORMAT </w:instrText>
    </w:r>
    <w:r>
      <w:fldChar w:fldCharType="separate"/>
    </w:r>
    <w:r>
      <w:t>CED/C/URY/OAI/1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4778" w14:textId="25CF22C1" w:rsidR="008A72B9" w:rsidRPr="008A72B9" w:rsidRDefault="009D004F" w:rsidP="008A72B9">
    <w:pPr>
      <w:pStyle w:val="En-tte"/>
      <w:jc w:val="right"/>
    </w:pPr>
    <w:r>
      <w:fldChar w:fldCharType="begin"/>
    </w:r>
    <w:r>
      <w:instrText xml:space="preserve"> TITLE  \* MERGEFORMAT </w:instrText>
    </w:r>
    <w:r>
      <w:fldChar w:fldCharType="separate"/>
    </w:r>
    <w:r>
      <w:t>CED/C/URY/OAI/1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1172F8"/>
    <w:multiLevelType w:val="hybridMultilevel"/>
    <w:tmpl w:val="912E32FA"/>
    <w:lvl w:ilvl="0" w:tplc="50704D7A">
      <w:start w:val="1"/>
      <w:numFmt w:val="bullet"/>
      <w:lvlText w:val=""/>
      <w:lvlJc w:val="left"/>
      <w:pPr>
        <w:ind w:left="1380" w:hanging="10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14"/>
    <w:rsid w:val="00017F94"/>
    <w:rsid w:val="00022D2E"/>
    <w:rsid w:val="00023842"/>
    <w:rsid w:val="000334F9"/>
    <w:rsid w:val="0007796D"/>
    <w:rsid w:val="000B7790"/>
    <w:rsid w:val="000F6C14"/>
    <w:rsid w:val="00111F2F"/>
    <w:rsid w:val="00132E8A"/>
    <w:rsid w:val="00133EDE"/>
    <w:rsid w:val="0014365E"/>
    <w:rsid w:val="001649A9"/>
    <w:rsid w:val="00176178"/>
    <w:rsid w:val="001F525A"/>
    <w:rsid w:val="00223272"/>
    <w:rsid w:val="0024779E"/>
    <w:rsid w:val="00392B1D"/>
    <w:rsid w:val="003F0CA1"/>
    <w:rsid w:val="00446FE5"/>
    <w:rsid w:val="00452396"/>
    <w:rsid w:val="004C4D99"/>
    <w:rsid w:val="005505B7"/>
    <w:rsid w:val="00573BE5"/>
    <w:rsid w:val="00586ED3"/>
    <w:rsid w:val="00596AA9"/>
    <w:rsid w:val="00674E82"/>
    <w:rsid w:val="00677140"/>
    <w:rsid w:val="0071601D"/>
    <w:rsid w:val="00731A47"/>
    <w:rsid w:val="0077586E"/>
    <w:rsid w:val="007A62E6"/>
    <w:rsid w:val="007E042C"/>
    <w:rsid w:val="0080684C"/>
    <w:rsid w:val="00871C75"/>
    <w:rsid w:val="008776DC"/>
    <w:rsid w:val="008A72B9"/>
    <w:rsid w:val="009507F3"/>
    <w:rsid w:val="009705C8"/>
    <w:rsid w:val="009D004F"/>
    <w:rsid w:val="00A30353"/>
    <w:rsid w:val="00AC3823"/>
    <w:rsid w:val="00AE323C"/>
    <w:rsid w:val="00B00181"/>
    <w:rsid w:val="00B765F7"/>
    <w:rsid w:val="00B9212A"/>
    <w:rsid w:val="00BA0CA9"/>
    <w:rsid w:val="00C02897"/>
    <w:rsid w:val="00CD45C4"/>
    <w:rsid w:val="00CE2527"/>
    <w:rsid w:val="00CF2BDE"/>
    <w:rsid w:val="00D3439C"/>
    <w:rsid w:val="00DB1831"/>
    <w:rsid w:val="00DD3BFD"/>
    <w:rsid w:val="00DF6678"/>
    <w:rsid w:val="00E5458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95429"/>
  <w15:docId w15:val="{F70A320D-F9EE-45F2-9641-5831B1E2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styleId="Rvision">
    <w:name w:val="Revision"/>
    <w:hidden/>
    <w:uiPriority w:val="99"/>
    <w:semiHidden/>
    <w:rsid w:val="003F0CA1"/>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3F0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2fCED%2fRLI%2fURY%2f49553&amp;Lang=es" TargetMode="External"/><Relationship Id="rId13" Type="http://schemas.openxmlformats.org/officeDocument/2006/relationships/hyperlink" Target="http://undocs.org/fr/CED/C/7" TargetMode="External"/><Relationship Id="rId3" Type="http://schemas.openxmlformats.org/officeDocument/2006/relationships/hyperlink" Target="https://tbinternet.ohchr.org/_layouts/15/treatybodyexternal/Download.aspx?symbolno=%20INT%2fCED%2fRLI%2fURY%2f49553&amp;Lang=es" TargetMode="External"/><Relationship Id="rId7" Type="http://schemas.openxmlformats.org/officeDocument/2006/relationships/hyperlink" Target="https://tbinternet.ohchr.org/_layouts/15/treatybodyexternal/%20Download.aspx?symbolno=INT%2fCED%2fRLI%2fURY%2f49553&amp;Lang=es" TargetMode="External"/><Relationship Id="rId12" Type="http://schemas.openxmlformats.org/officeDocument/2006/relationships/hyperlink" Target="https://tbinternet.ohchr.org/_layouts/15/treatybodyexternal/%20Download.aspx?symbolno=INT%2fCED%2fRLI%2fURY%2f49553&amp;Lang=es" TargetMode="External"/><Relationship Id="rId2" Type="http://schemas.openxmlformats.org/officeDocument/2006/relationships/hyperlink" Target="http://undocs.org/fr/CED/C/URY/CO/1" TargetMode="External"/><Relationship Id="rId1" Type="http://schemas.openxmlformats.org/officeDocument/2006/relationships/hyperlink" Target="http://undocs.org/fr/CED/C/URY/AI/1" TargetMode="External"/><Relationship Id="rId6" Type="http://schemas.openxmlformats.org/officeDocument/2006/relationships/hyperlink" Target="http://undocs.org/fr/CED/C/URY/AI/1" TargetMode="External"/><Relationship Id="rId11" Type="http://schemas.openxmlformats.org/officeDocument/2006/relationships/hyperlink" Target="http://undocs.org/fr/CED/C/URY/CO/1" TargetMode="External"/><Relationship Id="rId5" Type="http://schemas.openxmlformats.org/officeDocument/2006/relationships/hyperlink" Target="http://undocs.org/fr/CED/C/URY/CO/1" TargetMode="External"/><Relationship Id="rId10" Type="http://schemas.openxmlformats.org/officeDocument/2006/relationships/hyperlink" Target="https://www.ohchr.org/sites/default/files/documents/issues/wgeid/2022-07-14/Observaciones-preliminares-GDTFI-Uruguay.pdf" TargetMode="External"/><Relationship Id="rId4" Type="http://schemas.openxmlformats.org/officeDocument/2006/relationships/hyperlink" Target="http://undocs.org/fr/CED/C/SR.409" TargetMode="External"/><Relationship Id="rId9" Type="http://schemas.openxmlformats.org/officeDocument/2006/relationships/hyperlink" Target="http://undocs.org/fr/CED/C/URY/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7</Pages>
  <Words>3596</Words>
  <Characters>20501</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CED/C/URY/OAI/1</vt:lpstr>
    </vt:vector>
  </TitlesOfParts>
  <Company>DCM</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CED/C/URY/OAI/1</dc:title>
  <dc:subject/>
  <dc:creator>Nicolas MORIN</dc:creator>
  <cp:keywords/>
  <cp:lastModifiedBy>Nicolas Morin</cp:lastModifiedBy>
  <cp:revision>2</cp:revision>
  <cp:lastPrinted>2022-12-06T09:36:00Z</cp:lastPrinted>
  <dcterms:created xsi:type="dcterms:W3CDTF">2022-12-06T09:36:00Z</dcterms:created>
  <dcterms:modified xsi:type="dcterms:W3CDTF">2022-12-06T09:36:00Z</dcterms:modified>
</cp:coreProperties>
</file>