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8F729B" w14:paraId="4C2BABAD" w14:textId="77777777" w:rsidTr="00E866BF">
        <w:trPr>
          <w:trHeight w:hRule="exact" w:val="851"/>
        </w:trPr>
        <w:tc>
          <w:tcPr>
            <w:tcW w:w="1274" w:type="dxa"/>
            <w:tcBorders>
              <w:bottom w:val="single" w:sz="4" w:space="0" w:color="auto"/>
            </w:tcBorders>
          </w:tcPr>
          <w:p w14:paraId="6E3F2344" w14:textId="77777777" w:rsidR="006B3E27" w:rsidRPr="008F729B" w:rsidRDefault="006B3E27" w:rsidP="00FA4F79">
            <w:pPr>
              <w:kinsoku w:val="0"/>
              <w:overflowPunct w:val="0"/>
              <w:autoSpaceDE w:val="0"/>
              <w:autoSpaceDN w:val="0"/>
              <w:adjustRightInd w:val="0"/>
              <w:snapToGrid w:val="0"/>
              <w:spacing w:after="80" w:line="480" w:lineRule="exact"/>
              <w:jc w:val="left"/>
              <w:rPr>
                <w:szCs w:val="40"/>
              </w:rPr>
            </w:pPr>
          </w:p>
        </w:tc>
        <w:tc>
          <w:tcPr>
            <w:tcW w:w="4679" w:type="dxa"/>
            <w:tcBorders>
              <w:bottom w:val="single" w:sz="4" w:space="0" w:color="auto"/>
            </w:tcBorders>
            <w:vAlign w:val="bottom"/>
          </w:tcPr>
          <w:p w14:paraId="0738DE78" w14:textId="7B8660C3" w:rsidR="006B3E27" w:rsidRPr="008F729B" w:rsidRDefault="006B3E27" w:rsidP="00E866BF">
            <w:pPr>
              <w:spacing w:after="80" w:line="480" w:lineRule="exact"/>
              <w:ind w:left="57"/>
              <w:jc w:val="left"/>
              <w:rPr>
                <w:sz w:val="30"/>
                <w:szCs w:val="30"/>
                <w:rtl/>
              </w:rPr>
            </w:pPr>
            <w:r w:rsidRPr="008F729B">
              <w:rPr>
                <w:rFonts w:hint="cs"/>
                <w:sz w:val="30"/>
                <w:szCs w:val="30"/>
                <w:rtl/>
              </w:rPr>
              <w:t>الأمم</w:t>
            </w:r>
            <w:r w:rsidR="00255CF5">
              <w:rPr>
                <w:rFonts w:hint="cs"/>
                <w:sz w:val="30"/>
                <w:szCs w:val="30"/>
                <w:rtl/>
              </w:rPr>
              <w:t xml:space="preserve"> </w:t>
            </w:r>
            <w:r w:rsidRPr="008F729B">
              <w:rPr>
                <w:rFonts w:hint="cs"/>
                <w:sz w:val="30"/>
                <w:szCs w:val="30"/>
                <w:rtl/>
              </w:rPr>
              <w:t>المتحدة</w:t>
            </w:r>
          </w:p>
        </w:tc>
        <w:tc>
          <w:tcPr>
            <w:tcW w:w="3686" w:type="dxa"/>
            <w:tcBorders>
              <w:bottom w:val="single" w:sz="4" w:space="0" w:color="auto"/>
            </w:tcBorders>
            <w:vAlign w:val="bottom"/>
          </w:tcPr>
          <w:p w14:paraId="2BBB5153" w14:textId="57EFECC0" w:rsidR="006B3E27" w:rsidRPr="00A17BF6" w:rsidRDefault="00A17BF6" w:rsidP="00A17BF6">
            <w:pPr>
              <w:bidi w:val="0"/>
              <w:jc w:val="left"/>
            </w:pPr>
            <w:r w:rsidRPr="00D33748">
              <w:rPr>
                <w:sz w:val="40"/>
              </w:rPr>
              <w:t>CED</w:t>
            </w:r>
            <w:r w:rsidRPr="00D33748">
              <w:t>/C/URY/OAI/</w:t>
            </w:r>
            <w:r w:rsidRPr="00476DC3">
              <w:t>1</w:t>
            </w:r>
          </w:p>
        </w:tc>
      </w:tr>
      <w:tr w:rsidR="006B3E27" w:rsidRPr="008F729B" w14:paraId="2C85DD59" w14:textId="77777777" w:rsidTr="00E866BF">
        <w:trPr>
          <w:trHeight w:hRule="exact" w:val="2835"/>
        </w:trPr>
        <w:tc>
          <w:tcPr>
            <w:tcW w:w="1274" w:type="dxa"/>
            <w:tcBorders>
              <w:top w:val="single" w:sz="4" w:space="0" w:color="auto"/>
              <w:bottom w:val="single" w:sz="12" w:space="0" w:color="auto"/>
            </w:tcBorders>
          </w:tcPr>
          <w:p w14:paraId="4265F379" w14:textId="77777777" w:rsidR="006B3E27" w:rsidRPr="008F729B" w:rsidRDefault="0059622A" w:rsidP="008F729B">
            <w:pPr>
              <w:jc w:val="center"/>
              <w:rPr>
                <w:rtl/>
              </w:rPr>
            </w:pPr>
            <w:r w:rsidRPr="008F729B">
              <w:rPr>
                <w:noProof/>
              </w:rPr>
              <w:drawing>
                <wp:inline distT="0" distB="0" distL="0" distR="0" wp14:anchorId="017EEFBB" wp14:editId="7DBF92DA">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5C3A4AD0" w14:textId="233ADA1E" w:rsidR="006B3E27" w:rsidRPr="00476DC3" w:rsidRDefault="004E1586" w:rsidP="00E866BF">
            <w:pPr>
              <w:spacing w:before="160" w:after="40" w:line="560" w:lineRule="exact"/>
              <w:ind w:left="57"/>
              <w:jc w:val="left"/>
              <w:rPr>
                <w:b/>
                <w:bCs/>
                <w:sz w:val="44"/>
                <w:szCs w:val="44"/>
                <w:rtl/>
              </w:rPr>
            </w:pPr>
            <w:r w:rsidRPr="00476DC3">
              <w:rPr>
                <w:rFonts w:hint="cs"/>
                <w:b/>
                <w:bCs/>
                <w:sz w:val="44"/>
                <w:szCs w:val="44"/>
                <w:rtl/>
              </w:rPr>
              <w:t>الاتفاقيـة</w:t>
            </w:r>
            <w:r w:rsidR="00255CF5" w:rsidRPr="00476DC3">
              <w:rPr>
                <w:rFonts w:hint="cs"/>
                <w:b/>
                <w:bCs/>
                <w:sz w:val="44"/>
                <w:szCs w:val="44"/>
                <w:rtl/>
              </w:rPr>
              <w:t xml:space="preserve"> </w:t>
            </w:r>
            <w:r w:rsidRPr="00476DC3">
              <w:rPr>
                <w:rFonts w:hint="cs"/>
                <w:b/>
                <w:bCs/>
                <w:sz w:val="44"/>
                <w:szCs w:val="44"/>
                <w:rtl/>
              </w:rPr>
              <w:t>الدوليــة</w:t>
            </w:r>
            <w:r w:rsidR="00255CF5" w:rsidRPr="00476DC3">
              <w:rPr>
                <w:rFonts w:hint="cs"/>
                <w:b/>
                <w:bCs/>
                <w:sz w:val="44"/>
                <w:szCs w:val="44"/>
                <w:rtl/>
              </w:rPr>
              <w:t xml:space="preserve"> </w:t>
            </w:r>
            <w:r w:rsidRPr="00476DC3">
              <w:rPr>
                <w:rFonts w:hint="cs"/>
                <w:b/>
                <w:bCs/>
                <w:sz w:val="44"/>
                <w:szCs w:val="44"/>
                <w:rtl/>
              </w:rPr>
              <w:t>لحمـايـة</w:t>
            </w:r>
            <w:r w:rsidR="00255CF5" w:rsidRPr="00476DC3">
              <w:rPr>
                <w:rFonts w:hint="cs"/>
                <w:b/>
                <w:bCs/>
                <w:sz w:val="44"/>
                <w:szCs w:val="44"/>
                <w:rtl/>
              </w:rPr>
              <w:t xml:space="preserve"> </w:t>
            </w:r>
            <w:r w:rsidRPr="00476DC3">
              <w:rPr>
                <w:rFonts w:hint="cs"/>
                <w:b/>
                <w:bCs/>
                <w:sz w:val="44"/>
                <w:szCs w:val="44"/>
                <w:rtl/>
              </w:rPr>
              <w:t>جمـيـع</w:t>
            </w:r>
            <w:r w:rsidR="00255CF5" w:rsidRPr="00476DC3">
              <w:rPr>
                <w:rFonts w:hint="cs"/>
                <w:b/>
                <w:bCs/>
                <w:sz w:val="44"/>
                <w:szCs w:val="44"/>
                <w:rtl/>
              </w:rPr>
              <w:t xml:space="preserve"> </w:t>
            </w:r>
            <w:r w:rsidRPr="00476DC3">
              <w:rPr>
                <w:rFonts w:hint="cs"/>
                <w:b/>
                <w:bCs/>
                <w:sz w:val="44"/>
                <w:szCs w:val="44"/>
                <w:rtl/>
              </w:rPr>
              <w:t>الأشخاص</w:t>
            </w:r>
            <w:r w:rsidR="00255CF5" w:rsidRPr="00476DC3">
              <w:rPr>
                <w:rFonts w:hint="cs"/>
                <w:b/>
                <w:bCs/>
                <w:sz w:val="44"/>
                <w:szCs w:val="44"/>
                <w:rtl/>
              </w:rPr>
              <w:t xml:space="preserve"> </w:t>
            </w:r>
            <w:r w:rsidRPr="00476DC3">
              <w:rPr>
                <w:rFonts w:hint="cs"/>
                <w:b/>
                <w:bCs/>
                <w:sz w:val="44"/>
                <w:szCs w:val="44"/>
                <w:rtl/>
              </w:rPr>
              <w:t>من</w:t>
            </w:r>
            <w:r w:rsidR="00255CF5" w:rsidRPr="00476DC3">
              <w:rPr>
                <w:rFonts w:hint="cs"/>
                <w:b/>
                <w:bCs/>
                <w:sz w:val="44"/>
                <w:szCs w:val="44"/>
                <w:rtl/>
              </w:rPr>
              <w:t xml:space="preserve"> </w:t>
            </w:r>
            <w:r w:rsidRPr="00476DC3">
              <w:rPr>
                <w:rFonts w:hint="cs"/>
                <w:b/>
                <w:bCs/>
                <w:sz w:val="44"/>
                <w:szCs w:val="44"/>
                <w:rtl/>
              </w:rPr>
              <w:t>الاختفاء</w:t>
            </w:r>
            <w:r w:rsidR="00255CF5" w:rsidRPr="00476DC3">
              <w:rPr>
                <w:rFonts w:hint="cs"/>
                <w:b/>
                <w:bCs/>
                <w:sz w:val="44"/>
                <w:szCs w:val="44"/>
                <w:rtl/>
              </w:rPr>
              <w:t xml:space="preserve"> </w:t>
            </w:r>
            <w:r w:rsidRPr="00476DC3">
              <w:rPr>
                <w:rFonts w:hint="cs"/>
                <w:b/>
                <w:bCs/>
                <w:sz w:val="44"/>
                <w:szCs w:val="44"/>
                <w:rtl/>
              </w:rPr>
              <w:t>القسري</w:t>
            </w:r>
          </w:p>
        </w:tc>
        <w:tc>
          <w:tcPr>
            <w:tcW w:w="3686" w:type="dxa"/>
            <w:tcBorders>
              <w:top w:val="single" w:sz="4" w:space="0" w:color="auto"/>
              <w:bottom w:val="single" w:sz="12" w:space="0" w:color="auto"/>
            </w:tcBorders>
          </w:tcPr>
          <w:p w14:paraId="0F950D93" w14:textId="337A1319" w:rsidR="006A69CA" w:rsidRDefault="00A17BF6" w:rsidP="008F729B">
            <w:pPr>
              <w:bidi w:val="0"/>
              <w:spacing w:before="240"/>
              <w:jc w:val="left"/>
            </w:pPr>
            <w:r>
              <w:t>Dist</w:t>
            </w:r>
            <w:r w:rsidR="00D33748" w:rsidRPr="00D33748">
              <w:t>r.:</w:t>
            </w:r>
            <w:r w:rsidR="00255CF5">
              <w:t xml:space="preserve"> General</w:t>
            </w:r>
          </w:p>
          <w:p w14:paraId="18B1E8C8" w14:textId="36B855B0" w:rsidR="00A17BF6" w:rsidRDefault="00255CF5" w:rsidP="00A17BF6">
            <w:pPr>
              <w:bidi w:val="0"/>
              <w:spacing w:line="240" w:lineRule="exact"/>
              <w:jc w:val="left"/>
            </w:pPr>
            <w:r w:rsidRPr="00476DC3">
              <w:rPr>
                <w:rFonts w:cs="Times New Roman"/>
              </w:rPr>
              <w:t>20</w:t>
            </w:r>
            <w:r>
              <w:rPr>
                <w:rFonts w:cs="Times New Roman"/>
              </w:rPr>
              <w:t xml:space="preserve"> October </w:t>
            </w:r>
            <w:r w:rsidRPr="00476DC3">
              <w:rPr>
                <w:rFonts w:cs="Times New Roman"/>
              </w:rPr>
              <w:t>2022</w:t>
            </w:r>
          </w:p>
          <w:p w14:paraId="651A133C" w14:textId="77777777" w:rsidR="00A17BF6" w:rsidRDefault="00A17BF6" w:rsidP="00A17BF6">
            <w:pPr>
              <w:bidi w:val="0"/>
              <w:spacing w:line="240" w:lineRule="exact"/>
              <w:jc w:val="left"/>
            </w:pPr>
            <w:r>
              <w:t>Arabic</w:t>
            </w:r>
          </w:p>
          <w:p w14:paraId="4354EFF2" w14:textId="75D9DB77" w:rsidR="00A17BF6" w:rsidRPr="00A17BF6" w:rsidRDefault="00A17BF6" w:rsidP="00A17BF6">
            <w:pPr>
              <w:bidi w:val="0"/>
              <w:spacing w:line="240" w:lineRule="exact"/>
              <w:jc w:val="left"/>
            </w:pPr>
            <w:r>
              <w:t>Origina</w:t>
            </w:r>
            <w:r w:rsidR="00D33748" w:rsidRPr="00D33748">
              <w:t xml:space="preserve">l: </w:t>
            </w:r>
            <w:r w:rsidR="00255CF5">
              <w:t>Spanish</w:t>
            </w:r>
          </w:p>
        </w:tc>
      </w:tr>
    </w:tbl>
    <w:p w14:paraId="48B68E32" w14:textId="35B52EE2" w:rsidR="00255CF5" w:rsidRPr="00476DC3" w:rsidRDefault="00255CF5" w:rsidP="00255CF5">
      <w:pPr>
        <w:spacing w:before="120" w:after="120" w:line="360" w:lineRule="exact"/>
        <w:rPr>
          <w:b/>
          <w:bCs/>
          <w:sz w:val="28"/>
          <w:szCs w:val="30"/>
        </w:rPr>
      </w:pPr>
      <w:r w:rsidRPr="00476DC3">
        <w:rPr>
          <w:b/>
          <w:bCs/>
          <w:sz w:val="28"/>
          <w:szCs w:val="30"/>
          <w:rtl/>
        </w:rPr>
        <w:t>اللجنة المعنية بحالات الاختفاء القسري</w:t>
      </w:r>
    </w:p>
    <w:p w14:paraId="1E79FFB0" w14:textId="2881E416" w:rsidR="00255CF5" w:rsidRPr="00476DC3" w:rsidRDefault="00255CF5" w:rsidP="00255CF5">
      <w:pPr>
        <w:pStyle w:val="HChGA"/>
      </w:pPr>
      <w:r w:rsidRPr="00476DC3">
        <w:rPr>
          <w:rtl/>
        </w:rPr>
        <w:tab/>
      </w:r>
      <w:r w:rsidRPr="00476DC3">
        <w:rPr>
          <w:rtl/>
        </w:rPr>
        <w:tab/>
        <w:t>الملاحظات الختامية بشأن المعلومات التكميلية المقدمة من أوروغواي بموجب الفقرة 4 من المادة 29 من الاتفاقية</w:t>
      </w:r>
      <w:r w:rsidRPr="009F310B">
        <w:rPr>
          <w:b w:val="0"/>
          <w:bCs w:val="0"/>
          <w:sz w:val="22"/>
          <w:szCs w:val="22"/>
          <w:rtl/>
        </w:rPr>
        <w:footnoteReference w:customMarkFollows="1" w:id="1"/>
        <w:t>*</w:t>
      </w:r>
    </w:p>
    <w:p w14:paraId="4952CF84" w14:textId="3240B49F" w:rsidR="00255CF5" w:rsidRPr="00476DC3" w:rsidRDefault="00255CF5" w:rsidP="00255CF5">
      <w:pPr>
        <w:pStyle w:val="H1GA"/>
      </w:pPr>
      <w:r w:rsidRPr="00476DC3">
        <w:rPr>
          <w:rtl/>
        </w:rPr>
        <w:tab/>
        <w:t>ألف-</w:t>
      </w:r>
      <w:r w:rsidRPr="00476DC3">
        <w:rPr>
          <w:rtl/>
        </w:rPr>
        <w:tab/>
        <w:t>مقدمة</w:t>
      </w:r>
    </w:p>
    <w:p w14:paraId="08EFC6DC" w14:textId="5679838C" w:rsidR="00255CF5" w:rsidRPr="00255CF5" w:rsidRDefault="00255CF5" w:rsidP="00255CF5">
      <w:pPr>
        <w:pStyle w:val="SingleTxtGA"/>
      </w:pPr>
      <w:r w:rsidRPr="00476DC3">
        <w:rPr>
          <w:rtl/>
        </w:rPr>
        <w:t>1</w:t>
      </w:r>
      <w:r w:rsidRPr="00647096">
        <w:rPr>
          <w:rtl/>
        </w:rPr>
        <w:t>-</w:t>
      </w:r>
      <w:r w:rsidRPr="00647096">
        <w:rPr>
          <w:rtl/>
        </w:rPr>
        <w:tab/>
      </w:r>
      <w:r w:rsidRPr="00255CF5">
        <w:rPr>
          <w:rtl/>
        </w:rPr>
        <w:t xml:space="preserve">تعرب اللجنة عن تقديرها للمعلومات التكميلية التي قدمتها أوروغواي في الوقت المناسب بموجب المادة </w:t>
      </w:r>
      <w:r w:rsidRPr="00476DC3">
        <w:rPr>
          <w:rtl/>
        </w:rPr>
        <w:t>29</w:t>
      </w:r>
      <w:r w:rsidRPr="00255CF5">
        <w:rPr>
          <w:rtl/>
        </w:rPr>
        <w:t>(</w:t>
      </w:r>
      <w:r w:rsidR="00D33748" w:rsidRPr="00476DC3">
        <w:rPr>
          <w:rtl/>
        </w:rPr>
        <w:t>4</w:t>
      </w:r>
      <w:r w:rsidR="00D33748" w:rsidRPr="00D33748">
        <w:rPr>
          <w:rtl/>
        </w:rPr>
        <w:t xml:space="preserve">) </w:t>
      </w:r>
      <w:r w:rsidRPr="00255CF5">
        <w:rPr>
          <w:rtl/>
        </w:rPr>
        <w:t>من الاتفاقية</w:t>
      </w:r>
      <w:r w:rsidR="00D33748" w:rsidRPr="0086753C">
        <w:rPr>
          <w:vertAlign w:val="superscript"/>
          <w:rtl/>
          <w:lang w:val="en-US"/>
        </w:rPr>
        <w:t>(</w:t>
      </w:r>
      <w:r w:rsidR="00D33748" w:rsidRPr="00476DC3">
        <w:rPr>
          <w:vertAlign w:val="superscript"/>
          <w:lang w:val="en-US"/>
        </w:rPr>
        <w:footnoteReference w:id="2"/>
      </w:r>
      <w:r w:rsidR="00D33748" w:rsidRPr="00D33748">
        <w:rPr>
          <w:vertAlign w:val="superscript"/>
          <w:rtl/>
        </w:rPr>
        <w:t>)</w:t>
      </w:r>
      <w:r w:rsidR="00D33748" w:rsidRPr="00D33748">
        <w:rPr>
          <w:rFonts w:hint="cs"/>
          <w:rtl/>
        </w:rPr>
        <w:t>،</w:t>
      </w:r>
      <w:r w:rsidR="00D33748" w:rsidRPr="00D33748">
        <w:rPr>
          <w:rtl/>
        </w:rPr>
        <w:t xml:space="preserve"> </w:t>
      </w:r>
      <w:r w:rsidRPr="00255CF5">
        <w:rPr>
          <w:rtl/>
        </w:rPr>
        <w:t xml:space="preserve">كما طلبت اللجنة في ملاحظاتها الختامية لعام </w:t>
      </w:r>
      <w:r w:rsidRPr="00476DC3">
        <w:rPr>
          <w:rtl/>
        </w:rPr>
        <w:t>2013</w:t>
      </w:r>
      <w:r w:rsidR="00D33748" w:rsidRPr="0086753C">
        <w:rPr>
          <w:vertAlign w:val="superscript"/>
          <w:rtl/>
          <w:lang w:val="en-US"/>
        </w:rPr>
        <w:t>(</w:t>
      </w:r>
      <w:r w:rsidR="00D33748" w:rsidRPr="00476DC3">
        <w:rPr>
          <w:vertAlign w:val="superscript"/>
          <w:lang w:val="en-US"/>
        </w:rPr>
        <w:footnoteReference w:id="3"/>
      </w:r>
      <w:r w:rsidR="00D33748" w:rsidRPr="00D33748">
        <w:rPr>
          <w:vertAlign w:val="superscript"/>
          <w:rtl/>
        </w:rPr>
        <w:t>)</w:t>
      </w:r>
      <w:r w:rsidR="00D33748" w:rsidRPr="00D33748">
        <w:rPr>
          <w:rFonts w:hint="cs"/>
          <w:rtl/>
        </w:rPr>
        <w:t>.</w:t>
      </w:r>
      <w:r w:rsidR="00D33748" w:rsidRPr="00D33748">
        <w:rPr>
          <w:rtl/>
        </w:rPr>
        <w:t xml:space="preserve"> </w:t>
      </w:r>
      <w:r w:rsidRPr="00255CF5">
        <w:rPr>
          <w:rtl/>
        </w:rPr>
        <w:t>وتعرب أيضا</w:t>
      </w:r>
      <w:r w:rsidR="00F17722">
        <w:rPr>
          <w:rFonts w:hint="cs"/>
          <w:rtl/>
        </w:rPr>
        <w:t>ً</w:t>
      </w:r>
      <w:r w:rsidRPr="00255CF5">
        <w:rPr>
          <w:rtl/>
        </w:rPr>
        <w:t xml:space="preserve"> عن امتنانها لتقديم معلومات تكميلية كتابة ردا</w:t>
      </w:r>
      <w:r w:rsidR="00F17722">
        <w:rPr>
          <w:rFonts w:hint="cs"/>
          <w:rtl/>
        </w:rPr>
        <w:t>ً</w:t>
      </w:r>
      <w:r w:rsidRPr="00255CF5">
        <w:rPr>
          <w:rtl/>
        </w:rPr>
        <w:t xml:space="preserve"> على قائمة الأسئلة التي أحيلت إلى الدولة الطرف في </w:t>
      </w:r>
      <w:r w:rsidRPr="00476DC3">
        <w:rPr>
          <w:rtl/>
        </w:rPr>
        <w:t>5</w:t>
      </w:r>
      <w:r w:rsidRPr="00255CF5">
        <w:rPr>
          <w:rtl/>
        </w:rPr>
        <w:t xml:space="preserve"> أيار/مايو </w:t>
      </w:r>
      <w:r w:rsidRPr="00476DC3">
        <w:rPr>
          <w:rtl/>
        </w:rPr>
        <w:t>2022</w:t>
      </w:r>
      <w:r w:rsidR="00D33748" w:rsidRPr="0086753C">
        <w:rPr>
          <w:vertAlign w:val="superscript"/>
          <w:rtl/>
          <w:lang w:val="en-US"/>
        </w:rPr>
        <w:t>(</w:t>
      </w:r>
      <w:r w:rsidR="00D33748" w:rsidRPr="00476DC3">
        <w:rPr>
          <w:vertAlign w:val="superscript"/>
          <w:lang w:val="en-US"/>
        </w:rPr>
        <w:footnoteReference w:id="4"/>
      </w:r>
      <w:r w:rsidR="0075198D" w:rsidRPr="009F310B">
        <w:rPr>
          <w:vertAlign w:val="superscript"/>
          <w:rtl/>
        </w:rPr>
        <w:t>)</w:t>
      </w:r>
      <w:r w:rsidRPr="00255CF5">
        <w:rPr>
          <w:rFonts w:hint="cs"/>
          <w:rtl/>
        </w:rPr>
        <w:t xml:space="preserve"> </w:t>
      </w:r>
      <w:r w:rsidRPr="00255CF5">
        <w:rPr>
          <w:rtl/>
        </w:rPr>
        <w:t xml:space="preserve">ولإجراء حوار مفتوح ومثمر وبناء مع وفد الدولة الطرف في الجلسة </w:t>
      </w:r>
      <w:r w:rsidRPr="00476DC3">
        <w:rPr>
          <w:rtl/>
        </w:rPr>
        <w:t>409</w:t>
      </w:r>
      <w:r w:rsidRPr="00255CF5">
        <w:rPr>
          <w:rtl/>
        </w:rPr>
        <w:t xml:space="preserve"> التي عقدتها اللجنة في </w:t>
      </w:r>
      <w:r w:rsidRPr="00476DC3">
        <w:rPr>
          <w:rtl/>
        </w:rPr>
        <w:t>15</w:t>
      </w:r>
      <w:r w:rsidRPr="00255CF5">
        <w:rPr>
          <w:rtl/>
        </w:rPr>
        <w:t xml:space="preserve"> أيلول/سبتمبر </w:t>
      </w:r>
      <w:r w:rsidRPr="00476DC3">
        <w:rPr>
          <w:rtl/>
        </w:rPr>
        <w:t>2022</w:t>
      </w:r>
      <w:r w:rsidR="00D33748" w:rsidRPr="0086753C">
        <w:rPr>
          <w:vertAlign w:val="superscript"/>
          <w:rtl/>
          <w:lang w:val="en-US"/>
        </w:rPr>
        <w:t>(</w:t>
      </w:r>
      <w:r w:rsidR="00D33748" w:rsidRPr="00476DC3">
        <w:rPr>
          <w:vertAlign w:val="superscript"/>
          <w:lang w:val="en-US"/>
        </w:rPr>
        <w:footnoteReference w:id="5"/>
      </w:r>
      <w:r w:rsidR="00D33748" w:rsidRPr="00D33748">
        <w:rPr>
          <w:vertAlign w:val="superscript"/>
          <w:rtl/>
        </w:rPr>
        <w:t>)</w:t>
      </w:r>
      <w:r w:rsidR="00D33748" w:rsidRPr="00D33748">
        <w:rPr>
          <w:rFonts w:hint="cs"/>
          <w:rtl/>
        </w:rPr>
        <w:t>،</w:t>
      </w:r>
      <w:r w:rsidR="00D33748" w:rsidRPr="00D33748">
        <w:rPr>
          <w:rtl/>
        </w:rPr>
        <w:t xml:space="preserve"> </w:t>
      </w:r>
      <w:r w:rsidRPr="00255CF5">
        <w:rPr>
          <w:rtl/>
        </w:rPr>
        <w:t>بشأن التدابير المتخذة للوفاء بالتزامات الدولة الطرف بموجب الاتفاقية في المجالات التالية:</w:t>
      </w:r>
      <w:r w:rsidR="007A7B33">
        <w:rPr>
          <w:rtl/>
        </w:rPr>
        <w:t xml:space="preserve"> </w:t>
      </w:r>
      <w:r w:rsidRPr="00255CF5">
        <w:rPr>
          <w:rtl/>
        </w:rPr>
        <w:t>(أ) مواءمة التشريعات؛ (ب) البحث والتحقيق؛ (ج) الجبر الكامل. وتشكر اللجنة كذلك الدولة الطرف على المعلومات التكميلية التي قدمتها إليها كتابةً بعد الحوار.</w:t>
      </w:r>
    </w:p>
    <w:p w14:paraId="51BD83DB" w14:textId="21A101A5" w:rsidR="00D33748" w:rsidRPr="00D33748" w:rsidRDefault="00255CF5" w:rsidP="00255CF5">
      <w:pPr>
        <w:pStyle w:val="SingleTxtGA"/>
        <w:rPr>
          <w:spacing w:val="-4"/>
        </w:rPr>
      </w:pPr>
      <w:r w:rsidRPr="00476DC3">
        <w:rPr>
          <w:rtl/>
        </w:rPr>
        <w:t>2</w:t>
      </w:r>
      <w:r w:rsidRPr="00647096">
        <w:rPr>
          <w:rtl/>
        </w:rPr>
        <w:t>-</w:t>
      </w:r>
      <w:r w:rsidRPr="00647096">
        <w:rPr>
          <w:rtl/>
        </w:rPr>
        <w:tab/>
      </w:r>
      <w:r w:rsidRPr="007A7B33">
        <w:rPr>
          <w:spacing w:val="-4"/>
          <w:rtl/>
        </w:rPr>
        <w:t xml:space="preserve">واعتمدت اللجنة الملاحظات الختامية التالية في جلستها </w:t>
      </w:r>
      <w:r w:rsidRPr="00476DC3">
        <w:rPr>
          <w:spacing w:val="-4"/>
          <w:rtl/>
        </w:rPr>
        <w:t>420</w:t>
      </w:r>
      <w:r w:rsidRPr="007A7B33">
        <w:rPr>
          <w:spacing w:val="-4"/>
          <w:rtl/>
        </w:rPr>
        <w:t xml:space="preserve"> المعقودة في </w:t>
      </w:r>
      <w:r w:rsidRPr="00476DC3">
        <w:rPr>
          <w:spacing w:val="-4"/>
          <w:rtl/>
        </w:rPr>
        <w:t>23</w:t>
      </w:r>
      <w:r w:rsidRPr="007A7B33">
        <w:rPr>
          <w:spacing w:val="-4"/>
          <w:rtl/>
        </w:rPr>
        <w:t xml:space="preserve"> أيلول/سبتمبر </w:t>
      </w:r>
      <w:r w:rsidRPr="00476DC3">
        <w:rPr>
          <w:spacing w:val="-4"/>
          <w:rtl/>
        </w:rPr>
        <w:t>202</w:t>
      </w:r>
      <w:r w:rsidR="00D33748" w:rsidRPr="00476DC3">
        <w:rPr>
          <w:spacing w:val="-4"/>
          <w:rtl/>
        </w:rPr>
        <w:t>2</w:t>
      </w:r>
      <w:r w:rsidR="00D33748" w:rsidRPr="00D33748">
        <w:rPr>
          <w:spacing w:val="-4"/>
          <w:rtl/>
        </w:rPr>
        <w:t>.</w:t>
      </w:r>
    </w:p>
    <w:p w14:paraId="05888F9A" w14:textId="6E7840AC" w:rsidR="00255CF5" w:rsidRPr="00476DC3" w:rsidRDefault="00255CF5" w:rsidP="00255CF5">
      <w:pPr>
        <w:pStyle w:val="H1GA"/>
      </w:pPr>
      <w:r w:rsidRPr="00476DC3">
        <w:rPr>
          <w:rtl/>
        </w:rPr>
        <w:tab/>
        <w:t>باء-</w:t>
      </w:r>
      <w:r w:rsidRPr="00476DC3">
        <w:rPr>
          <w:rtl/>
        </w:rPr>
        <w:tab/>
        <w:t>الجوانب الإيجابية</w:t>
      </w:r>
    </w:p>
    <w:p w14:paraId="62F9B5EC" w14:textId="060B2E96" w:rsidR="00255CF5" w:rsidRPr="00255CF5" w:rsidRDefault="00255CF5" w:rsidP="00255CF5">
      <w:pPr>
        <w:pStyle w:val="SingleTxtGA"/>
      </w:pPr>
      <w:r w:rsidRPr="00476DC3">
        <w:rPr>
          <w:rtl/>
        </w:rPr>
        <w:t>3</w:t>
      </w:r>
      <w:r w:rsidRPr="00647096">
        <w:rPr>
          <w:rtl/>
        </w:rPr>
        <w:t>-</w:t>
      </w:r>
      <w:r w:rsidRPr="00647096">
        <w:rPr>
          <w:rtl/>
        </w:rPr>
        <w:tab/>
      </w:r>
      <w:r w:rsidRPr="00255CF5">
        <w:rPr>
          <w:rtl/>
        </w:rPr>
        <w:t>رحبت اللجنة بالتدابير التي اتخذتها الدولة الطرف عقب صدور ملاحظاتها الختامية السابقة، بما</w:t>
      </w:r>
      <w:r w:rsidR="007A7B33">
        <w:rPr>
          <w:rFonts w:hint="cs"/>
          <w:rtl/>
        </w:rPr>
        <w:t> </w:t>
      </w:r>
      <w:r w:rsidRPr="00255CF5">
        <w:rPr>
          <w:rtl/>
        </w:rPr>
        <w:t>في ذلك ما يلي:</w:t>
      </w:r>
    </w:p>
    <w:p w14:paraId="20C51AAB" w14:textId="104F387D" w:rsidR="00255CF5" w:rsidRPr="00255CF5" w:rsidRDefault="00255CF5" w:rsidP="00255CF5">
      <w:pPr>
        <w:pStyle w:val="SingleTxtGA"/>
      </w:pPr>
      <w:r w:rsidRPr="00647096">
        <w:rPr>
          <w:rtl/>
        </w:rPr>
        <w:tab/>
        <w:t>(أ)</w:t>
      </w:r>
      <w:r w:rsidRPr="00647096">
        <w:rPr>
          <w:rtl/>
        </w:rPr>
        <w:tab/>
      </w:r>
      <w:r w:rsidRPr="00255CF5">
        <w:rPr>
          <w:rtl/>
        </w:rPr>
        <w:t xml:space="preserve">سن القانون رقم </w:t>
      </w:r>
      <w:r w:rsidRPr="00476DC3">
        <w:rPr>
          <w:rtl/>
        </w:rPr>
        <w:t>19</w:t>
      </w:r>
      <w:r w:rsidR="00067DB3">
        <w:rPr>
          <w:rFonts w:hint="cs"/>
          <w:rtl/>
        </w:rPr>
        <w:t>-</w:t>
      </w:r>
      <w:r w:rsidRPr="00476DC3">
        <w:rPr>
          <w:rtl/>
        </w:rPr>
        <w:t>859</w:t>
      </w:r>
      <w:r w:rsidRPr="00255CF5">
        <w:rPr>
          <w:rtl/>
        </w:rPr>
        <w:t xml:space="preserve"> المؤرخ كانون الأول/ديسمبر </w:t>
      </w:r>
      <w:r w:rsidRPr="00476DC3">
        <w:rPr>
          <w:rtl/>
        </w:rPr>
        <w:t>2019</w:t>
      </w:r>
      <w:r w:rsidRPr="00255CF5">
        <w:rPr>
          <w:rtl/>
        </w:rPr>
        <w:t>، وهو قانون تفسيري ينص على أن الحق في الحصول على رعاية صحية شاملة مجانا</w:t>
      </w:r>
      <w:r w:rsidR="00F17722">
        <w:rPr>
          <w:rFonts w:hint="cs"/>
          <w:rtl/>
        </w:rPr>
        <w:t>ً</w:t>
      </w:r>
      <w:r w:rsidRPr="00255CF5">
        <w:rPr>
          <w:rtl/>
        </w:rPr>
        <w:t xml:space="preserve"> مدى الحياة بموجب النظام الصحي الوطني الشامل يسري على عدد من الأشخاص الذين تعرضوا لانتهاكات حقوق الإنسان بين عامي </w:t>
      </w:r>
      <w:r w:rsidRPr="00476DC3">
        <w:rPr>
          <w:rtl/>
        </w:rPr>
        <w:t>1968</w:t>
      </w:r>
      <w:r w:rsidRPr="00255CF5">
        <w:rPr>
          <w:rtl/>
        </w:rPr>
        <w:t xml:space="preserve"> و</w:t>
      </w:r>
      <w:r w:rsidRPr="00476DC3">
        <w:rPr>
          <w:rtl/>
        </w:rPr>
        <w:t>1985</w:t>
      </w:r>
      <w:r w:rsidRPr="00255CF5">
        <w:rPr>
          <w:rtl/>
        </w:rPr>
        <w:t>، وكذلك على أبنائهم وأحفادهم؛</w:t>
      </w:r>
    </w:p>
    <w:p w14:paraId="449CD63B" w14:textId="6946F1B2" w:rsidR="00255CF5" w:rsidRPr="00255CF5" w:rsidRDefault="00255CF5" w:rsidP="00255CF5">
      <w:pPr>
        <w:pStyle w:val="SingleTxtGA"/>
      </w:pPr>
      <w:r w:rsidRPr="00647096">
        <w:rPr>
          <w:rtl/>
        </w:rPr>
        <w:lastRenderedPageBreak/>
        <w:tab/>
        <w:t>(ب)</w:t>
      </w:r>
      <w:r w:rsidRPr="00647096">
        <w:rPr>
          <w:rtl/>
        </w:rPr>
        <w:tab/>
      </w:r>
      <w:r w:rsidRPr="00255CF5">
        <w:rPr>
          <w:rtl/>
        </w:rPr>
        <w:t xml:space="preserve">سن القانون رقم </w:t>
      </w:r>
      <w:r w:rsidRPr="00476DC3">
        <w:rPr>
          <w:rtl/>
        </w:rPr>
        <w:t>19</w:t>
      </w:r>
      <w:r w:rsidRPr="00255CF5">
        <w:rPr>
          <w:rtl/>
        </w:rPr>
        <w:t>-</w:t>
      </w:r>
      <w:r w:rsidRPr="00476DC3">
        <w:rPr>
          <w:rtl/>
        </w:rPr>
        <w:t>822</w:t>
      </w:r>
      <w:r w:rsidRPr="00255CF5">
        <w:rPr>
          <w:rtl/>
        </w:rPr>
        <w:t xml:space="preserve"> المؤرخ أيلول/سبتمبر </w:t>
      </w:r>
      <w:r w:rsidRPr="00476DC3">
        <w:rPr>
          <w:rtl/>
        </w:rPr>
        <w:t>2019</w:t>
      </w:r>
      <w:r w:rsidRPr="00255CF5">
        <w:rPr>
          <w:rtl/>
        </w:rPr>
        <w:t xml:space="preserve">، الذي يوكل إلى المؤسسة الوطنية لحقوق الإنسان ومكتب أمين المظالم مهمة البحث عن الأشخاص المحتجزين والمختفين بين عامي </w:t>
      </w:r>
      <w:r w:rsidRPr="00476DC3">
        <w:rPr>
          <w:rtl/>
        </w:rPr>
        <w:t>1968</w:t>
      </w:r>
      <w:r w:rsidRPr="00255CF5">
        <w:rPr>
          <w:rtl/>
        </w:rPr>
        <w:t xml:space="preserve"> و</w:t>
      </w:r>
      <w:r w:rsidRPr="00476DC3">
        <w:rPr>
          <w:rtl/>
        </w:rPr>
        <w:t>1985</w:t>
      </w:r>
      <w:r w:rsidRPr="00255CF5">
        <w:rPr>
          <w:rtl/>
        </w:rPr>
        <w:t>؛</w:t>
      </w:r>
    </w:p>
    <w:p w14:paraId="4FD3738B" w14:textId="542B41AE" w:rsidR="00255CF5" w:rsidRPr="00255CF5" w:rsidRDefault="00255CF5" w:rsidP="00255CF5">
      <w:pPr>
        <w:pStyle w:val="SingleTxtGA"/>
      </w:pPr>
      <w:r w:rsidRPr="00647096">
        <w:rPr>
          <w:rtl/>
        </w:rPr>
        <w:tab/>
        <w:t>(ج)</w:t>
      </w:r>
      <w:r w:rsidRPr="00647096">
        <w:rPr>
          <w:rtl/>
        </w:rPr>
        <w:tab/>
      </w:r>
      <w:r w:rsidRPr="00255CF5">
        <w:rPr>
          <w:rtl/>
        </w:rPr>
        <w:t xml:space="preserve">سن القانون رقم </w:t>
      </w:r>
      <w:r w:rsidRPr="00476DC3">
        <w:rPr>
          <w:rtl/>
        </w:rPr>
        <w:t>19</w:t>
      </w:r>
      <w:r w:rsidRPr="00255CF5">
        <w:rPr>
          <w:rtl/>
        </w:rPr>
        <w:t>-</w:t>
      </w:r>
      <w:r w:rsidRPr="00476DC3">
        <w:rPr>
          <w:rtl/>
        </w:rPr>
        <w:t>641</w:t>
      </w:r>
      <w:r w:rsidRPr="00255CF5">
        <w:rPr>
          <w:rtl/>
        </w:rPr>
        <w:t xml:space="preserve"> المؤرخ تموز/يوليه </w:t>
      </w:r>
      <w:r w:rsidRPr="00476DC3">
        <w:rPr>
          <w:rtl/>
        </w:rPr>
        <w:t>2018</w:t>
      </w:r>
      <w:r w:rsidRPr="00255CF5">
        <w:rPr>
          <w:rtl/>
        </w:rPr>
        <w:t xml:space="preserve"> بشأن إعلان عن مواقع لإحياء ذكرى التاريخ الحديث وإنشائها؛</w:t>
      </w:r>
    </w:p>
    <w:p w14:paraId="7E047ABA" w14:textId="6BEE47D6" w:rsidR="00255CF5" w:rsidRPr="00255CF5" w:rsidRDefault="00255CF5" w:rsidP="00255CF5">
      <w:pPr>
        <w:pStyle w:val="SingleTxtGA"/>
      </w:pPr>
      <w:r w:rsidRPr="00647096">
        <w:rPr>
          <w:rtl/>
        </w:rPr>
        <w:tab/>
        <w:t>(د)</w:t>
      </w:r>
      <w:r w:rsidRPr="00647096">
        <w:rPr>
          <w:rtl/>
        </w:rPr>
        <w:tab/>
      </w:r>
      <w:r w:rsidRPr="00255CF5">
        <w:rPr>
          <w:rtl/>
        </w:rPr>
        <w:t xml:space="preserve">سن القانون رقم </w:t>
      </w:r>
      <w:r w:rsidRPr="00476DC3">
        <w:rPr>
          <w:rtl/>
        </w:rPr>
        <w:t>19</w:t>
      </w:r>
      <w:r w:rsidRPr="00255CF5">
        <w:rPr>
          <w:rtl/>
        </w:rPr>
        <w:t>-</w:t>
      </w:r>
      <w:r w:rsidRPr="00476DC3">
        <w:rPr>
          <w:rtl/>
        </w:rPr>
        <w:t>550</w:t>
      </w:r>
      <w:r w:rsidRPr="00255CF5">
        <w:rPr>
          <w:rtl/>
        </w:rPr>
        <w:t xml:space="preserve"> المؤرخ تشرين الأول/أكتوبر </w:t>
      </w:r>
      <w:r w:rsidRPr="00476DC3">
        <w:rPr>
          <w:rtl/>
        </w:rPr>
        <w:t>2017</w:t>
      </w:r>
      <w:r w:rsidRPr="00255CF5">
        <w:rPr>
          <w:rtl/>
        </w:rPr>
        <w:t xml:space="preserve">، الذي يؤذِن لمكتب المدعي العام بتحويل مكتب المدعي العام الوطني إلى مكتب المدعي الخاص المعني بالجرائم المرتكبة ضد الإنسانية، والقرار رقم </w:t>
      </w:r>
      <w:r w:rsidRPr="00476DC3">
        <w:rPr>
          <w:rtl/>
        </w:rPr>
        <w:t>2018</w:t>
      </w:r>
      <w:r w:rsidRPr="00255CF5">
        <w:rPr>
          <w:rtl/>
        </w:rPr>
        <w:t>/</w:t>
      </w:r>
      <w:r w:rsidRPr="00476DC3">
        <w:rPr>
          <w:rtl/>
        </w:rPr>
        <w:t>75</w:t>
      </w:r>
      <w:r w:rsidRPr="00255CF5">
        <w:rPr>
          <w:rtl/>
        </w:rPr>
        <w:t xml:space="preserve"> المؤرخ شباط/فبراير </w:t>
      </w:r>
      <w:r w:rsidRPr="00476DC3">
        <w:rPr>
          <w:rtl/>
        </w:rPr>
        <w:t>2018</w:t>
      </w:r>
      <w:r w:rsidRPr="00255CF5">
        <w:rPr>
          <w:rtl/>
        </w:rPr>
        <w:t xml:space="preserve">، الذي تحول بموجبه مكتب المدعي العام الجنائي رقم </w:t>
      </w:r>
      <w:r w:rsidRPr="00476DC3">
        <w:rPr>
          <w:rtl/>
        </w:rPr>
        <w:t>25</w:t>
      </w:r>
      <w:r w:rsidRPr="00255CF5">
        <w:rPr>
          <w:rtl/>
        </w:rPr>
        <w:t xml:space="preserve"> في مونتيفيديو إلى مكتب المدعي الخاص المعني بالجرائم المرتكبة ضد الإنسانية؛</w:t>
      </w:r>
    </w:p>
    <w:p w14:paraId="0CE52C9B" w14:textId="2DC7F19C" w:rsidR="00255CF5" w:rsidRPr="00255CF5" w:rsidRDefault="00255CF5" w:rsidP="00255CF5">
      <w:pPr>
        <w:pStyle w:val="SingleTxtGA"/>
      </w:pPr>
      <w:r w:rsidRPr="00647096">
        <w:rPr>
          <w:rtl/>
        </w:rPr>
        <w:tab/>
        <w:t>(ه)</w:t>
      </w:r>
      <w:r w:rsidRPr="00647096">
        <w:rPr>
          <w:rtl/>
        </w:rPr>
        <w:tab/>
      </w:r>
      <w:r w:rsidRPr="00255CF5">
        <w:rPr>
          <w:rtl/>
        </w:rPr>
        <w:t>إنشاء شبكة مشتركة بين الوكالات لإعداد التقارير ومتابعة تنفيذ التوصيات والملاحظات المتعلقة بحقوق الإنسان واستحداث نظام رصد تنفيذ التوصيات كسجل عام للإجراءات التي تتخذها الدولة لتنفيذ التوصيات والملاحظات الصادرة عن النظام العالمي لحماية حقوق الإنسان،</w:t>
      </w:r>
      <w:r w:rsidR="007A7B33">
        <w:rPr>
          <w:rtl/>
        </w:rPr>
        <w:t xml:space="preserve"> </w:t>
      </w:r>
      <w:r w:rsidRPr="00255CF5">
        <w:rPr>
          <w:rtl/>
        </w:rPr>
        <w:t xml:space="preserve">من خلال اعتماد المرسوم التنفيذي رقم </w:t>
      </w:r>
      <w:r w:rsidRPr="00476DC3">
        <w:rPr>
          <w:rtl/>
        </w:rPr>
        <w:t>358</w:t>
      </w:r>
      <w:r w:rsidR="005A2B2E">
        <w:rPr>
          <w:rFonts w:hint="cs"/>
          <w:rtl/>
        </w:rPr>
        <w:t>/</w:t>
      </w:r>
      <w:r w:rsidR="005A2B2E" w:rsidRPr="00476DC3">
        <w:rPr>
          <w:rtl/>
        </w:rPr>
        <w:t>2016</w:t>
      </w:r>
      <w:r w:rsidRPr="00255CF5">
        <w:rPr>
          <w:rtl/>
        </w:rPr>
        <w:t xml:space="preserve"> المؤرخ تشرين الثاني/نوفمبر </w:t>
      </w:r>
      <w:r w:rsidRPr="00476DC3">
        <w:rPr>
          <w:rtl/>
        </w:rPr>
        <w:t>2016</w:t>
      </w:r>
      <w:r w:rsidRPr="00255CF5">
        <w:rPr>
          <w:rtl/>
        </w:rPr>
        <w:t>؛</w:t>
      </w:r>
    </w:p>
    <w:p w14:paraId="4EECF3AD" w14:textId="546B1F5A" w:rsidR="00255CF5" w:rsidRPr="00255CF5" w:rsidRDefault="00255CF5" w:rsidP="00255CF5">
      <w:pPr>
        <w:pStyle w:val="SingleTxtGA"/>
      </w:pPr>
      <w:r w:rsidRPr="00647096">
        <w:rPr>
          <w:rtl/>
        </w:rPr>
        <w:tab/>
        <w:t>(و)</w:t>
      </w:r>
      <w:r w:rsidRPr="00647096">
        <w:rPr>
          <w:rtl/>
        </w:rPr>
        <w:tab/>
      </w:r>
      <w:r w:rsidRPr="00255CF5">
        <w:rPr>
          <w:rtl/>
        </w:rPr>
        <w:t xml:space="preserve">اعتماد التحالف العالمي للمؤسسات الوطنية لحقوق الإنسان للمؤسسة الوطنية لحقوق الإنسان ومكتب أمين المظالم في المركز "ألف" في أيار/مايو </w:t>
      </w:r>
      <w:r w:rsidRPr="00476DC3">
        <w:rPr>
          <w:rtl/>
        </w:rPr>
        <w:t>2016</w:t>
      </w:r>
      <w:r w:rsidRPr="00255CF5">
        <w:rPr>
          <w:rtl/>
        </w:rPr>
        <w:t>؛</w:t>
      </w:r>
    </w:p>
    <w:p w14:paraId="734D049E" w14:textId="2F97DD0B" w:rsidR="00255CF5" w:rsidRPr="00255CF5" w:rsidRDefault="00255CF5" w:rsidP="00255CF5">
      <w:pPr>
        <w:pStyle w:val="SingleTxtGA"/>
      </w:pPr>
      <w:r w:rsidRPr="00647096">
        <w:rPr>
          <w:rtl/>
        </w:rPr>
        <w:tab/>
        <w:t>(ز)</w:t>
      </w:r>
      <w:r w:rsidRPr="00647096">
        <w:rPr>
          <w:rtl/>
        </w:rPr>
        <w:tab/>
      </w:r>
      <w:r w:rsidRPr="00255CF5">
        <w:rPr>
          <w:rtl/>
        </w:rPr>
        <w:t>تشكيل فريق متخصص معني بالانتهاكات الجسيمة لحقوق الإنسان في وزارة الداخلية، عملا</w:t>
      </w:r>
      <w:r w:rsidR="00F17722">
        <w:rPr>
          <w:rFonts w:hint="cs"/>
          <w:rtl/>
        </w:rPr>
        <w:t>ً</w:t>
      </w:r>
      <w:r w:rsidRPr="00255CF5">
        <w:rPr>
          <w:rtl/>
        </w:rPr>
        <w:t xml:space="preserve"> بالقانون رقم </w:t>
      </w:r>
      <w:r w:rsidRPr="00476DC3">
        <w:rPr>
          <w:rtl/>
        </w:rPr>
        <w:t>19</w:t>
      </w:r>
      <w:r w:rsidRPr="00255CF5">
        <w:rPr>
          <w:rtl/>
        </w:rPr>
        <w:t>-</w:t>
      </w:r>
      <w:r w:rsidRPr="00476DC3">
        <w:rPr>
          <w:rtl/>
        </w:rPr>
        <w:t>355</w:t>
      </w:r>
      <w:r w:rsidRPr="00255CF5">
        <w:rPr>
          <w:rtl/>
        </w:rPr>
        <w:t xml:space="preserve">، المؤرخ كانون الأول/ديسمبر </w:t>
      </w:r>
      <w:r w:rsidRPr="00476DC3">
        <w:rPr>
          <w:rtl/>
        </w:rPr>
        <w:t>201</w:t>
      </w:r>
      <w:r w:rsidR="00D33748" w:rsidRPr="00476DC3">
        <w:rPr>
          <w:rtl/>
        </w:rPr>
        <w:t>5</w:t>
      </w:r>
      <w:r w:rsidR="00D56A5E">
        <w:rPr>
          <w:rFonts w:hint="cs"/>
          <w:rtl/>
        </w:rPr>
        <w:t>؛</w:t>
      </w:r>
    </w:p>
    <w:p w14:paraId="55749433" w14:textId="13A94844" w:rsidR="00D33748" w:rsidRPr="00D33748" w:rsidRDefault="00255CF5" w:rsidP="00255CF5">
      <w:pPr>
        <w:pStyle w:val="SingleTxtGA"/>
        <w:rPr>
          <w:spacing w:val="-2"/>
        </w:rPr>
      </w:pPr>
      <w:r w:rsidRPr="00363AFC">
        <w:rPr>
          <w:spacing w:val="-2"/>
          <w:rtl/>
        </w:rPr>
        <w:tab/>
        <w:t>(ح)</w:t>
      </w:r>
      <w:r w:rsidRPr="00363AFC">
        <w:rPr>
          <w:spacing w:val="-2"/>
          <w:rtl/>
        </w:rPr>
        <w:tab/>
        <w:t>إنشاء الفريق العامل المعني بالحقيقة والعدالة بموجب المرسوم التنفيذي رقم</w:t>
      </w:r>
      <w:r w:rsidR="00363AFC" w:rsidRPr="00363AFC">
        <w:rPr>
          <w:rFonts w:hint="cs"/>
          <w:spacing w:val="-2"/>
          <w:rtl/>
        </w:rPr>
        <w:t> </w:t>
      </w:r>
      <w:r w:rsidRPr="00476DC3">
        <w:rPr>
          <w:spacing w:val="-2"/>
          <w:rtl/>
        </w:rPr>
        <w:t>131</w:t>
      </w:r>
      <w:r w:rsidR="005A2B2E">
        <w:rPr>
          <w:rFonts w:hint="cs"/>
          <w:spacing w:val="-2"/>
          <w:rtl/>
        </w:rPr>
        <w:t>/</w:t>
      </w:r>
      <w:r w:rsidR="005A2B2E" w:rsidRPr="00476DC3">
        <w:rPr>
          <w:spacing w:val="-2"/>
          <w:rtl/>
        </w:rPr>
        <w:t>2015</w:t>
      </w:r>
      <w:r w:rsidRPr="00363AFC">
        <w:rPr>
          <w:spacing w:val="-2"/>
          <w:rtl/>
        </w:rPr>
        <w:t xml:space="preserve"> الصادر في أيار/مايو </w:t>
      </w:r>
      <w:r w:rsidRPr="00476DC3">
        <w:rPr>
          <w:spacing w:val="-2"/>
          <w:rtl/>
        </w:rPr>
        <w:t>201</w:t>
      </w:r>
      <w:r w:rsidR="00D33748" w:rsidRPr="00476DC3">
        <w:rPr>
          <w:spacing w:val="-2"/>
          <w:rtl/>
        </w:rPr>
        <w:t>5</w:t>
      </w:r>
      <w:r w:rsidR="00D33748" w:rsidRPr="00D33748">
        <w:rPr>
          <w:spacing w:val="-2"/>
          <w:rtl/>
        </w:rPr>
        <w:t>.</w:t>
      </w:r>
    </w:p>
    <w:p w14:paraId="47772F5E" w14:textId="74663BD8" w:rsidR="00255CF5" w:rsidRPr="00363AFC" w:rsidRDefault="00255CF5" w:rsidP="00255CF5">
      <w:pPr>
        <w:pStyle w:val="SingleTxtGA"/>
        <w:rPr>
          <w:spacing w:val="-2"/>
        </w:rPr>
      </w:pPr>
      <w:r w:rsidRPr="00476DC3">
        <w:rPr>
          <w:spacing w:val="-2"/>
          <w:rtl/>
        </w:rPr>
        <w:t>4</w:t>
      </w:r>
      <w:r w:rsidRPr="00363AFC">
        <w:rPr>
          <w:spacing w:val="-2"/>
          <w:rtl/>
        </w:rPr>
        <w:t>-</w:t>
      </w:r>
      <w:r w:rsidRPr="00363AFC">
        <w:rPr>
          <w:spacing w:val="-2"/>
          <w:rtl/>
        </w:rPr>
        <w:tab/>
        <w:t>وتلاحظ اللجنة مع الارتياح أن الدولة الطرف وجهت دعوة دائمة إلى جميع المكلفين بولايات في إطار الإجراءات الخاصة لمجلس حقوق الإنسان لزيارة البلد. وفي هذا الصدد، ترحب اللجنة بزيارة الفريق العامل المعني بحالات الاختفاء القسري أو غير الطوعي لأوروغواي مؤخرا</w:t>
      </w:r>
      <w:r w:rsidR="00F17722" w:rsidRPr="00363AFC">
        <w:rPr>
          <w:rFonts w:hint="cs"/>
          <w:spacing w:val="-2"/>
          <w:rtl/>
        </w:rPr>
        <w:t>ً</w:t>
      </w:r>
      <w:r w:rsidRPr="00363AFC">
        <w:rPr>
          <w:spacing w:val="-2"/>
          <w:rtl/>
        </w:rPr>
        <w:t>، وقد أحاطت علما</w:t>
      </w:r>
      <w:r w:rsidR="00F17722" w:rsidRPr="00363AFC">
        <w:rPr>
          <w:rFonts w:hint="cs"/>
          <w:spacing w:val="-2"/>
          <w:rtl/>
        </w:rPr>
        <w:t>ً</w:t>
      </w:r>
      <w:r w:rsidRPr="00363AFC">
        <w:rPr>
          <w:spacing w:val="-2"/>
          <w:rtl/>
        </w:rPr>
        <w:t xml:space="preserve"> مع الاهتمام بملاحظاته الأولية، وهي تشجع الدولة الطرف على مواصلة التعاون مع تلك الآلية وفقا</w:t>
      </w:r>
      <w:r w:rsidR="00F17722" w:rsidRPr="00363AFC">
        <w:rPr>
          <w:rFonts w:hint="cs"/>
          <w:spacing w:val="-2"/>
          <w:rtl/>
        </w:rPr>
        <w:t>ً</w:t>
      </w:r>
      <w:r w:rsidRPr="00363AFC">
        <w:rPr>
          <w:spacing w:val="-2"/>
          <w:rtl/>
        </w:rPr>
        <w:t xml:space="preserve"> للولاية المسندة إليها. </w:t>
      </w:r>
    </w:p>
    <w:p w14:paraId="4260F773" w14:textId="289D85C2" w:rsidR="00255CF5" w:rsidRPr="00476DC3" w:rsidRDefault="00255CF5" w:rsidP="00255CF5">
      <w:pPr>
        <w:pStyle w:val="H1GA"/>
      </w:pPr>
      <w:r w:rsidRPr="00476DC3">
        <w:rPr>
          <w:rtl/>
        </w:rPr>
        <w:tab/>
        <w:t>جيم-</w:t>
      </w:r>
      <w:r w:rsidRPr="00476DC3">
        <w:rPr>
          <w:rtl/>
        </w:rPr>
        <w:tab/>
        <w:t>تنفيذ توصيات اللجنة وتطورات الوضع في الدولة الطرف</w:t>
      </w:r>
    </w:p>
    <w:p w14:paraId="1D01C980" w14:textId="68B99B5E" w:rsidR="00255CF5" w:rsidRPr="00476DC3" w:rsidRDefault="00255CF5" w:rsidP="00255CF5">
      <w:pPr>
        <w:pStyle w:val="H23GA"/>
      </w:pPr>
      <w:r w:rsidRPr="00476DC3">
        <w:rPr>
          <w:rtl/>
        </w:rPr>
        <w:tab/>
        <w:t>1-</w:t>
      </w:r>
      <w:r w:rsidRPr="00476DC3">
        <w:rPr>
          <w:rtl/>
        </w:rPr>
        <w:tab/>
        <w:t>معلومات عامة</w:t>
      </w:r>
    </w:p>
    <w:p w14:paraId="689BFB5B" w14:textId="52EC42E0" w:rsidR="00255CF5" w:rsidRPr="00363AFC" w:rsidRDefault="00255CF5" w:rsidP="00255CF5">
      <w:pPr>
        <w:pStyle w:val="SingleTxtGA"/>
        <w:rPr>
          <w:spacing w:val="-2"/>
        </w:rPr>
      </w:pPr>
      <w:r w:rsidRPr="00476DC3">
        <w:rPr>
          <w:spacing w:val="-2"/>
          <w:rtl/>
        </w:rPr>
        <w:t>5</w:t>
      </w:r>
      <w:r w:rsidRPr="00363AFC">
        <w:rPr>
          <w:spacing w:val="-2"/>
          <w:rtl/>
        </w:rPr>
        <w:t>-</w:t>
      </w:r>
      <w:r w:rsidRPr="00363AFC">
        <w:rPr>
          <w:spacing w:val="-2"/>
          <w:rtl/>
        </w:rPr>
        <w:tab/>
        <w:t>تعرب اللجنة عن تقديرها للخطوات التي اتخذتها الدولة الطرف في مجالات العدالة والحقيقة والجبر منذ صدور الملاحظات الختامية السابقة، وترحب بهذه الخطوات. بيد أنها ترى أن الإطار التنظيمي القائم، وكذلك تطبيقه، لا يتفقان تماما</w:t>
      </w:r>
      <w:r w:rsidR="00F17722" w:rsidRPr="00363AFC">
        <w:rPr>
          <w:rFonts w:hint="cs"/>
          <w:spacing w:val="-2"/>
          <w:rtl/>
        </w:rPr>
        <w:t>ً</w:t>
      </w:r>
      <w:r w:rsidRPr="00363AFC">
        <w:rPr>
          <w:spacing w:val="-2"/>
          <w:rtl/>
        </w:rPr>
        <w:t xml:space="preserve"> مع الاتفاقية. وتحث اللجنة الدولة الطرف على تأخذ توصياتها في الاعتبار، وهي توصيات قُدّمت بروح العمل البناء والتعاوني من أجل زيادة تعزيز التشريعات الحالية وضمان توافقها، وتوافق كل الأفعال الصادرة عن سلطات الدولة الطرف، مع الحقوق والالتزامات الواردة في الاتفاقية. وفي هذا السياق، توصي اللجنة أيضا</w:t>
      </w:r>
      <w:r w:rsidR="00F17722" w:rsidRPr="00363AFC">
        <w:rPr>
          <w:rFonts w:hint="cs"/>
          <w:spacing w:val="-2"/>
          <w:rtl/>
        </w:rPr>
        <w:t>ً</w:t>
      </w:r>
      <w:r w:rsidRPr="00363AFC">
        <w:rPr>
          <w:spacing w:val="-2"/>
          <w:rtl/>
        </w:rPr>
        <w:t xml:space="preserve"> بأن تضع الدولة الطرف سياسة وطنية بشأن الاختفاء القسري، وأن تراعي لاستراتيجيات المعتمدة في إطار تلك السياسة الدروس المستفادة من الماضي والتحديات التي تعترض اليوم جهود البحث عن الأشخاص المختفين، والتحقيق مع المسؤولين عن حالات الاختفاء القسري التي ارتكبت بين عامي </w:t>
      </w:r>
      <w:r w:rsidRPr="00476DC3">
        <w:rPr>
          <w:spacing w:val="-2"/>
          <w:rtl/>
        </w:rPr>
        <w:t>1968</w:t>
      </w:r>
      <w:r w:rsidRPr="00363AFC">
        <w:rPr>
          <w:spacing w:val="-2"/>
          <w:rtl/>
        </w:rPr>
        <w:t xml:space="preserve"> و</w:t>
      </w:r>
      <w:r w:rsidRPr="00476DC3">
        <w:rPr>
          <w:spacing w:val="-2"/>
          <w:rtl/>
        </w:rPr>
        <w:t>1985</w:t>
      </w:r>
      <w:r w:rsidRPr="00363AFC">
        <w:rPr>
          <w:spacing w:val="-2"/>
          <w:rtl/>
        </w:rPr>
        <w:t xml:space="preserve"> ومعاقبتهم، وإقرار حق جميع الضحايا في الجبر الكامل.</w:t>
      </w:r>
    </w:p>
    <w:p w14:paraId="4306B351" w14:textId="2D709B69" w:rsidR="00255CF5" w:rsidRPr="00476DC3" w:rsidRDefault="00255CF5" w:rsidP="00255CF5">
      <w:pPr>
        <w:pStyle w:val="H23GA"/>
      </w:pPr>
      <w:r w:rsidRPr="00476DC3">
        <w:rPr>
          <w:rtl/>
        </w:rPr>
        <w:lastRenderedPageBreak/>
        <w:tab/>
        <w:t>2-</w:t>
      </w:r>
      <w:r w:rsidRPr="00476DC3">
        <w:rPr>
          <w:rtl/>
        </w:rPr>
        <w:tab/>
        <w:t>مواءمة التشريعات</w:t>
      </w:r>
    </w:p>
    <w:p w14:paraId="7319FB6C" w14:textId="0F68FE00" w:rsidR="00255CF5" w:rsidRPr="00476DC3" w:rsidRDefault="00255CF5" w:rsidP="00255CF5">
      <w:pPr>
        <w:pStyle w:val="H23GA"/>
      </w:pPr>
      <w:r w:rsidRPr="00476DC3">
        <w:rPr>
          <w:rtl/>
        </w:rPr>
        <w:tab/>
      </w:r>
      <w:r w:rsidRPr="00476DC3">
        <w:rPr>
          <w:rtl/>
        </w:rPr>
        <w:tab/>
        <w:t>تعريف الاختفاء القسري كجريمة مستقلة</w:t>
      </w:r>
    </w:p>
    <w:p w14:paraId="5A856E9B" w14:textId="0BC40CCB" w:rsidR="00D33748" w:rsidRPr="00D33748" w:rsidRDefault="00255CF5" w:rsidP="00255CF5">
      <w:pPr>
        <w:pStyle w:val="SingleTxtGA"/>
      </w:pPr>
      <w:r w:rsidRPr="00476DC3">
        <w:rPr>
          <w:rtl/>
        </w:rPr>
        <w:t>6</w:t>
      </w:r>
      <w:r w:rsidRPr="00647096">
        <w:rPr>
          <w:rtl/>
        </w:rPr>
        <w:t>-</w:t>
      </w:r>
      <w:r w:rsidRPr="00647096">
        <w:rPr>
          <w:rtl/>
        </w:rPr>
        <w:tab/>
      </w:r>
      <w:r w:rsidRPr="00255CF5">
        <w:rPr>
          <w:rtl/>
        </w:rPr>
        <w:t xml:space="preserve">تعرب اللجنة من جديد عن ارتياحها لاعتبار الاختفاء القسري جريمة مستقلة في المادة </w:t>
      </w:r>
      <w:r w:rsidRPr="00476DC3">
        <w:rPr>
          <w:rtl/>
        </w:rPr>
        <w:t>21</w:t>
      </w:r>
      <w:r w:rsidRPr="00255CF5">
        <w:rPr>
          <w:rtl/>
        </w:rPr>
        <w:t>-</w:t>
      </w:r>
      <w:r w:rsidRPr="00476DC3">
        <w:rPr>
          <w:rtl/>
        </w:rPr>
        <w:t>1</w:t>
      </w:r>
      <w:r w:rsidRPr="00255CF5">
        <w:rPr>
          <w:rtl/>
        </w:rPr>
        <w:t xml:space="preserve"> من القانون رقم </w:t>
      </w:r>
      <w:r w:rsidRPr="00476DC3">
        <w:rPr>
          <w:rtl/>
        </w:rPr>
        <w:t>18</w:t>
      </w:r>
      <w:r w:rsidRPr="00255CF5">
        <w:rPr>
          <w:rtl/>
        </w:rPr>
        <w:t>-</w:t>
      </w:r>
      <w:r w:rsidRPr="00476DC3">
        <w:rPr>
          <w:rtl/>
        </w:rPr>
        <w:t>026</w:t>
      </w:r>
      <w:r w:rsidRPr="00255CF5">
        <w:rPr>
          <w:rtl/>
        </w:rPr>
        <w:t xml:space="preserve">، مع وضع تعريف يتماشى مع المادة </w:t>
      </w:r>
      <w:r w:rsidRPr="00476DC3">
        <w:rPr>
          <w:rtl/>
        </w:rPr>
        <w:t>2</w:t>
      </w:r>
      <w:r w:rsidRPr="00255CF5">
        <w:rPr>
          <w:rtl/>
        </w:rPr>
        <w:t xml:space="preserve"> من الاتفاقية. بيد أنها تأسف لتقاعس الدولة الطرف عن تنفيذ توصيتها السابقة بشأن هذا الحكم</w:t>
      </w:r>
      <w:r w:rsidR="00D33748" w:rsidRPr="0086753C">
        <w:rPr>
          <w:vertAlign w:val="superscript"/>
          <w:rtl/>
          <w:lang w:val="en-US"/>
        </w:rPr>
        <w:t>(</w:t>
      </w:r>
      <w:r w:rsidR="00D33748" w:rsidRPr="00476DC3">
        <w:rPr>
          <w:vertAlign w:val="superscript"/>
          <w:lang w:val="en-US"/>
        </w:rPr>
        <w:footnoteReference w:id="6"/>
      </w:r>
      <w:r w:rsidR="00D33748" w:rsidRPr="00D33748">
        <w:rPr>
          <w:vertAlign w:val="superscript"/>
          <w:rtl/>
        </w:rPr>
        <w:t>)</w:t>
      </w:r>
      <w:r w:rsidR="00D33748" w:rsidRPr="00D33748">
        <w:rPr>
          <w:rFonts w:hint="cs"/>
          <w:rtl/>
        </w:rPr>
        <w:t>،</w:t>
      </w:r>
      <w:r w:rsidR="00D33748" w:rsidRPr="00D33748">
        <w:rPr>
          <w:rtl/>
        </w:rPr>
        <w:t xml:space="preserve"> </w:t>
      </w:r>
      <w:r w:rsidRPr="00255CF5">
        <w:rPr>
          <w:rtl/>
        </w:rPr>
        <w:t xml:space="preserve">ولا سيما فيما يتعلق بضرورة أن يولى الاعتبار الواجب في العقوبة الدنيا المطبقة على هذه الجريمة لشدة خطورتها (المادة </w:t>
      </w:r>
      <w:r w:rsidR="00D33748" w:rsidRPr="00476DC3">
        <w:rPr>
          <w:rtl/>
        </w:rPr>
        <w:t>7</w:t>
      </w:r>
      <w:r w:rsidR="00D33748" w:rsidRPr="00D33748">
        <w:rPr>
          <w:rtl/>
        </w:rPr>
        <w:t>).</w:t>
      </w:r>
    </w:p>
    <w:p w14:paraId="18AF4B2B" w14:textId="4BF114F0" w:rsidR="00255CF5" w:rsidRPr="00476DC3" w:rsidRDefault="00255CF5" w:rsidP="00255CF5">
      <w:pPr>
        <w:pStyle w:val="SingleTxtGA"/>
        <w:rPr>
          <w:b/>
          <w:bCs/>
        </w:rPr>
      </w:pPr>
      <w:r w:rsidRPr="00476DC3">
        <w:rPr>
          <w:rtl/>
        </w:rPr>
        <w:t>7</w:t>
      </w:r>
      <w:r w:rsidRPr="00647096">
        <w:rPr>
          <w:rtl/>
        </w:rPr>
        <w:t>-</w:t>
      </w:r>
      <w:r w:rsidRPr="00647096">
        <w:rPr>
          <w:rtl/>
        </w:rPr>
        <w:tab/>
      </w:r>
      <w:r w:rsidRPr="00476DC3">
        <w:rPr>
          <w:b/>
          <w:bCs/>
          <w:rtl/>
        </w:rPr>
        <w:t>توصي اللجنة الدولة الطرف باعتماد التدابير التشريعية اللازمة لضمان توافق العقوبة الدنيا لجريمة الاختفاء القسري مع المادة 7 من الاتفاقية وإيلاء الاعتبار الواجب لشدة خطورتها.</w:t>
      </w:r>
    </w:p>
    <w:p w14:paraId="17E37901" w14:textId="3ABDEE1B" w:rsidR="00255CF5" w:rsidRPr="00476DC3" w:rsidRDefault="00255CF5" w:rsidP="00255CF5">
      <w:pPr>
        <w:pStyle w:val="H23GA"/>
      </w:pPr>
      <w:r w:rsidRPr="00476DC3">
        <w:rPr>
          <w:rtl/>
        </w:rPr>
        <w:tab/>
      </w:r>
      <w:r w:rsidRPr="00476DC3">
        <w:rPr>
          <w:rtl/>
        </w:rPr>
        <w:tab/>
        <w:t>مشروع قانون بشأن فرض الإقامة الجبرية على المتهمين والمدانين الذين تزيد أعمارهم عن 65 عاما</w:t>
      </w:r>
    </w:p>
    <w:p w14:paraId="3B524C67" w14:textId="37DC2C9A" w:rsidR="00D33748" w:rsidRPr="00D33748" w:rsidRDefault="00255CF5" w:rsidP="00255CF5">
      <w:pPr>
        <w:pStyle w:val="SingleTxtGA"/>
        <w:rPr>
          <w:spacing w:val="-2"/>
        </w:rPr>
      </w:pPr>
      <w:r w:rsidRPr="00476DC3">
        <w:rPr>
          <w:spacing w:val="-2"/>
          <w:rtl/>
        </w:rPr>
        <w:t>8</w:t>
      </w:r>
      <w:r w:rsidRPr="00363AFC">
        <w:rPr>
          <w:spacing w:val="-2"/>
          <w:rtl/>
        </w:rPr>
        <w:t>-</w:t>
      </w:r>
      <w:r w:rsidRPr="00363AFC">
        <w:rPr>
          <w:spacing w:val="-2"/>
          <w:rtl/>
        </w:rPr>
        <w:tab/>
        <w:t xml:space="preserve">تلاحظ اللجنة بقلق أن ثمة مشروع قانون ينص على فرض الإقامة الجبرية بدل عقوبة السجن على الأشخاص المتهمين والمدانين الذين تزيد أعمارهم عن </w:t>
      </w:r>
      <w:r w:rsidRPr="00476DC3">
        <w:rPr>
          <w:spacing w:val="-2"/>
          <w:rtl/>
        </w:rPr>
        <w:t>65</w:t>
      </w:r>
      <w:r w:rsidRPr="00363AFC">
        <w:rPr>
          <w:spacing w:val="-2"/>
          <w:rtl/>
        </w:rPr>
        <w:t xml:space="preserve"> عاماً لأسباب إنسانية، نظرا</w:t>
      </w:r>
      <w:r w:rsidR="00F17722" w:rsidRPr="00363AFC">
        <w:rPr>
          <w:rFonts w:hint="cs"/>
          <w:spacing w:val="-2"/>
          <w:rtl/>
        </w:rPr>
        <w:t>ً</w:t>
      </w:r>
      <w:r w:rsidRPr="00363AFC">
        <w:rPr>
          <w:spacing w:val="-2"/>
          <w:rtl/>
        </w:rPr>
        <w:t xml:space="preserve"> لأن مشروع القانون هذا يمكن أن يستفيد منه تلقائيا</w:t>
      </w:r>
      <w:r w:rsidR="00F17722" w:rsidRPr="00363AFC">
        <w:rPr>
          <w:rFonts w:hint="cs"/>
          <w:spacing w:val="-2"/>
          <w:rtl/>
        </w:rPr>
        <w:t>ً</w:t>
      </w:r>
      <w:r w:rsidRPr="00363AFC">
        <w:rPr>
          <w:spacing w:val="-2"/>
          <w:rtl/>
        </w:rPr>
        <w:t xml:space="preserve"> الأشخاص الذين وجه إليهم الاتهام أو أدينوا بارتكاب جرائم الاختفاء القسري في الماضي، لأنهم لن يخضعوا بالضرورة للاستثناءات المنصوص عليها في مشروع القانون (المادة </w:t>
      </w:r>
      <w:r w:rsidR="00D33748" w:rsidRPr="00476DC3">
        <w:rPr>
          <w:spacing w:val="-2"/>
          <w:rtl/>
        </w:rPr>
        <w:t>7</w:t>
      </w:r>
      <w:r w:rsidR="00D33748" w:rsidRPr="00D33748">
        <w:rPr>
          <w:spacing w:val="-2"/>
          <w:rtl/>
        </w:rPr>
        <w:t>).</w:t>
      </w:r>
    </w:p>
    <w:p w14:paraId="52A900FF" w14:textId="5F49D8D1" w:rsidR="00255CF5" w:rsidRPr="00476DC3" w:rsidRDefault="00255CF5" w:rsidP="00255CF5">
      <w:pPr>
        <w:pStyle w:val="SingleTxtGA"/>
        <w:rPr>
          <w:b/>
          <w:bCs/>
          <w:spacing w:val="-3"/>
        </w:rPr>
      </w:pPr>
      <w:r w:rsidRPr="00476DC3">
        <w:rPr>
          <w:spacing w:val="-3"/>
          <w:rtl/>
        </w:rPr>
        <w:t>9</w:t>
      </w:r>
      <w:r w:rsidRPr="00363AFC">
        <w:rPr>
          <w:spacing w:val="-3"/>
          <w:rtl/>
        </w:rPr>
        <w:t>-</w:t>
      </w:r>
      <w:r w:rsidRPr="00363AFC">
        <w:rPr>
          <w:spacing w:val="-3"/>
          <w:rtl/>
        </w:rPr>
        <w:tab/>
      </w:r>
      <w:r w:rsidRPr="00476DC3">
        <w:rPr>
          <w:b/>
          <w:bCs/>
          <w:spacing w:val="-3"/>
          <w:rtl/>
        </w:rPr>
        <w:t>إن اللجنة، إذ تضع في اعتبارها أن قانون أوروغواي ينص بالفعل على وجود آليات قانونية تجيز وضع المتهمين والمدانين رهن الإقامة الجبرية، فإنها تشجع الدولة الطرف على سحب مشروع القانون المتعلق بفرض الإقامة الجبرية على المتهمين والمدانين الذين تزيد أعمارهم عن 65 عاما</w:t>
      </w:r>
      <w:r w:rsidR="00F17722" w:rsidRPr="00476DC3">
        <w:rPr>
          <w:rFonts w:hint="cs"/>
          <w:b/>
          <w:bCs/>
          <w:spacing w:val="-3"/>
          <w:rtl/>
        </w:rPr>
        <w:t>ً</w:t>
      </w:r>
      <w:r w:rsidRPr="00476DC3">
        <w:rPr>
          <w:b/>
          <w:bCs/>
          <w:spacing w:val="-3"/>
          <w:rtl/>
        </w:rPr>
        <w:t>. وفي حال استمر النظر في مشروع القانون، توصي اللجنة الدولة الطرف بأن تكفل توافق هذا المشروع تماما</w:t>
      </w:r>
      <w:r w:rsidR="00F17722" w:rsidRPr="00476DC3">
        <w:rPr>
          <w:rFonts w:hint="cs"/>
          <w:b/>
          <w:bCs/>
          <w:spacing w:val="-3"/>
          <w:rtl/>
        </w:rPr>
        <w:t>ً</w:t>
      </w:r>
      <w:r w:rsidRPr="00476DC3">
        <w:rPr>
          <w:b/>
          <w:bCs/>
          <w:spacing w:val="-3"/>
          <w:rtl/>
        </w:rPr>
        <w:t xml:space="preserve"> مع الاتفاقية ومع غيرها من الصكوك الدولية ذات الصلة وعدم تطبيقه تلقائيا</w:t>
      </w:r>
      <w:r w:rsidR="00F17722" w:rsidRPr="00476DC3">
        <w:rPr>
          <w:rFonts w:hint="cs"/>
          <w:b/>
          <w:bCs/>
          <w:spacing w:val="-3"/>
          <w:rtl/>
        </w:rPr>
        <w:t>ً</w:t>
      </w:r>
      <w:r w:rsidRPr="00476DC3">
        <w:rPr>
          <w:b/>
          <w:bCs/>
          <w:spacing w:val="-3"/>
          <w:rtl/>
        </w:rPr>
        <w:t xml:space="preserve"> على أي شخص مسؤول عن المشاركة في عمل من أعمال الاختفاء القسري، بغض النظر عن تاريخ وقوع الأحداث وتوصيفها القانوني.</w:t>
      </w:r>
    </w:p>
    <w:p w14:paraId="389820A9" w14:textId="07FACCC8" w:rsidR="00255CF5" w:rsidRPr="00476DC3" w:rsidRDefault="00255CF5" w:rsidP="00255CF5">
      <w:pPr>
        <w:pStyle w:val="H23GA"/>
      </w:pPr>
      <w:r w:rsidRPr="00476DC3">
        <w:rPr>
          <w:rtl/>
        </w:rPr>
        <w:tab/>
      </w:r>
      <w:r w:rsidRPr="00476DC3">
        <w:rPr>
          <w:rtl/>
        </w:rPr>
        <w:tab/>
        <w:t>المثول أمام القضاء</w:t>
      </w:r>
    </w:p>
    <w:p w14:paraId="54C9A7F7" w14:textId="73E90CB2" w:rsidR="00D33748" w:rsidRPr="00D33748" w:rsidRDefault="00255CF5" w:rsidP="00255CF5">
      <w:pPr>
        <w:pStyle w:val="SingleTxtGA"/>
      </w:pPr>
      <w:r w:rsidRPr="00476DC3">
        <w:rPr>
          <w:rtl/>
        </w:rPr>
        <w:t>10</w:t>
      </w:r>
      <w:r w:rsidRPr="00647096">
        <w:rPr>
          <w:rtl/>
        </w:rPr>
        <w:t>-</w:t>
      </w:r>
      <w:r w:rsidRPr="00647096">
        <w:rPr>
          <w:rtl/>
        </w:rPr>
        <w:tab/>
      </w:r>
      <w:r w:rsidRPr="00255CF5">
        <w:rPr>
          <w:rtl/>
        </w:rPr>
        <w:t>تشير اللجنة إلى ملاحظاتها الختامية السابقة</w:t>
      </w:r>
      <w:r w:rsidR="00D33748" w:rsidRPr="0086753C">
        <w:rPr>
          <w:vertAlign w:val="superscript"/>
          <w:rtl/>
          <w:lang w:val="en-US"/>
        </w:rPr>
        <w:t>(</w:t>
      </w:r>
      <w:r w:rsidR="00D33748" w:rsidRPr="00476DC3">
        <w:rPr>
          <w:vertAlign w:val="superscript"/>
          <w:lang w:val="en-US"/>
        </w:rPr>
        <w:footnoteReference w:id="7"/>
      </w:r>
      <w:r w:rsidR="00D33748" w:rsidRPr="00D33748">
        <w:rPr>
          <w:vertAlign w:val="superscript"/>
          <w:rtl/>
        </w:rPr>
        <w:t>)</w:t>
      </w:r>
      <w:r w:rsidR="00D33748" w:rsidRPr="00D33748">
        <w:rPr>
          <w:rtl/>
        </w:rPr>
        <w:t xml:space="preserve">، </w:t>
      </w:r>
      <w:r w:rsidRPr="00255CF5">
        <w:rPr>
          <w:rtl/>
        </w:rPr>
        <w:t xml:space="preserve">وترحب بورود أحكام في المواد </w:t>
      </w:r>
      <w:r w:rsidRPr="00476DC3">
        <w:rPr>
          <w:rtl/>
        </w:rPr>
        <w:t>351</w:t>
      </w:r>
      <w:r w:rsidRPr="00255CF5">
        <w:rPr>
          <w:rtl/>
        </w:rPr>
        <w:t>-</w:t>
      </w:r>
      <w:r w:rsidRPr="00476DC3">
        <w:rPr>
          <w:rtl/>
        </w:rPr>
        <w:t>357</w:t>
      </w:r>
      <w:r w:rsidRPr="00255CF5">
        <w:rPr>
          <w:rtl/>
        </w:rPr>
        <w:t xml:space="preserve"> من قانون الإجراءات الجنائية الجديد تنص على طلب المثول أمام القضاء في السجن</w:t>
      </w:r>
      <w:r w:rsidR="00D33748" w:rsidRPr="0086753C">
        <w:rPr>
          <w:vertAlign w:val="superscript"/>
          <w:rtl/>
          <w:lang w:val="en-US"/>
        </w:rPr>
        <w:t>(</w:t>
      </w:r>
      <w:r w:rsidR="00D33748" w:rsidRPr="00476DC3">
        <w:rPr>
          <w:vertAlign w:val="superscript"/>
          <w:lang w:val="en-US"/>
        </w:rPr>
        <w:footnoteReference w:id="8"/>
      </w:r>
      <w:r w:rsidR="00D33748" w:rsidRPr="00D33748">
        <w:rPr>
          <w:vertAlign w:val="superscript"/>
          <w:rtl/>
        </w:rPr>
        <w:t>)</w:t>
      </w:r>
      <w:r w:rsidR="00D33748" w:rsidRPr="00D33748">
        <w:rPr>
          <w:rFonts w:hint="cs"/>
          <w:rtl/>
        </w:rPr>
        <w:t>.</w:t>
      </w:r>
      <w:r w:rsidR="00D33748" w:rsidRPr="00D33748">
        <w:rPr>
          <w:rtl/>
        </w:rPr>
        <w:t xml:space="preserve"> </w:t>
      </w:r>
      <w:r w:rsidRPr="00255CF5">
        <w:rPr>
          <w:rtl/>
        </w:rPr>
        <w:t>وتلاحظ بارتياح أيضا</w:t>
      </w:r>
      <w:r w:rsidR="00F17722">
        <w:rPr>
          <w:rFonts w:hint="cs"/>
          <w:rtl/>
        </w:rPr>
        <w:t>ً</w:t>
      </w:r>
      <w:r w:rsidRPr="00255CF5">
        <w:rPr>
          <w:rtl/>
        </w:rPr>
        <w:t xml:space="preserve"> المعلومات التي قدمت أثناء جلسة الحوار، ومفادها أن المحاكم تراعي تمام المراعاة في عملها اليومي، نص المادة </w:t>
      </w:r>
      <w:r w:rsidRPr="00476DC3">
        <w:rPr>
          <w:rtl/>
        </w:rPr>
        <w:t>17</w:t>
      </w:r>
      <w:r w:rsidRPr="00255CF5">
        <w:rPr>
          <w:rtl/>
        </w:rPr>
        <w:t xml:space="preserve"> من الدستور، التي تنص على طلب المثول أمام القضاء. ولكنها تشعر بالقلق لعدم وجود لوائح تنظم ممارسة الحق في طلب المثول أمام القضاء في حالات الحرمان من الحرية في سياق إجراءات غير جنائية. وفي هذا الصدد، تلاحظ اللجنة بقلق أن الدولة الطرف قد ذكرت أن قرار البت في طلب المثول أمام القضاء يتوقف، في ظل عدم وجود لوائح تنظم هذه الحالات، على القاضي واستقلاله التقني في هذه الحالة المحددة (المادة </w:t>
      </w:r>
      <w:r w:rsidRPr="00476DC3">
        <w:rPr>
          <w:rtl/>
        </w:rPr>
        <w:t>17</w:t>
      </w:r>
      <w:r w:rsidRPr="00255CF5">
        <w:rPr>
          <w:rtl/>
        </w:rPr>
        <w:t>)</w:t>
      </w:r>
      <w:r w:rsidR="00D33748" w:rsidRPr="0086753C">
        <w:rPr>
          <w:vertAlign w:val="superscript"/>
          <w:rtl/>
          <w:lang w:val="en-US"/>
        </w:rPr>
        <w:t>(</w:t>
      </w:r>
      <w:r w:rsidR="00D33748" w:rsidRPr="00476DC3">
        <w:rPr>
          <w:vertAlign w:val="superscript"/>
          <w:lang w:val="en-US"/>
        </w:rPr>
        <w:footnoteReference w:id="9"/>
      </w:r>
      <w:r w:rsidR="00D33748" w:rsidRPr="00D33748">
        <w:rPr>
          <w:vertAlign w:val="superscript"/>
          <w:rtl/>
        </w:rPr>
        <w:t>)</w:t>
      </w:r>
      <w:r w:rsidR="00D33748" w:rsidRPr="00D33748">
        <w:rPr>
          <w:rtl/>
        </w:rPr>
        <w:t>.</w:t>
      </w:r>
    </w:p>
    <w:p w14:paraId="41D2E70C" w14:textId="573D9981" w:rsidR="00255CF5" w:rsidRPr="00476DC3" w:rsidRDefault="00255CF5" w:rsidP="00255CF5">
      <w:pPr>
        <w:pStyle w:val="SingleTxtGA"/>
        <w:rPr>
          <w:b/>
          <w:bCs/>
        </w:rPr>
      </w:pPr>
      <w:r w:rsidRPr="00476DC3">
        <w:rPr>
          <w:rtl/>
        </w:rPr>
        <w:lastRenderedPageBreak/>
        <w:t>11</w:t>
      </w:r>
      <w:r w:rsidRPr="00647096">
        <w:rPr>
          <w:rtl/>
        </w:rPr>
        <w:t>-</w:t>
      </w:r>
      <w:r w:rsidRPr="00647096">
        <w:rPr>
          <w:rtl/>
        </w:rPr>
        <w:tab/>
      </w:r>
      <w:r w:rsidRPr="00476DC3">
        <w:rPr>
          <w:b/>
          <w:bCs/>
          <w:rtl/>
        </w:rPr>
        <w:t>توصي اللجنة الدولة الطرف باعتماد لوائح تنظم ممارسة الحق في طلب المثول أمام القضاء في حالات الحرمان من الحرية في سياق إجراءات غير جنائية، لتضمن بذلك الامتثال الكامل للمادة</w:t>
      </w:r>
      <w:r w:rsidR="008E5C75" w:rsidRPr="00476DC3">
        <w:rPr>
          <w:rFonts w:hint="cs"/>
          <w:b/>
          <w:bCs/>
          <w:rtl/>
        </w:rPr>
        <w:t> </w:t>
      </w:r>
      <w:r w:rsidRPr="00476DC3">
        <w:rPr>
          <w:b/>
          <w:bCs/>
          <w:rtl/>
        </w:rPr>
        <w:t>17(2)(و) من الاتفاقية.</w:t>
      </w:r>
    </w:p>
    <w:p w14:paraId="52F689C8" w14:textId="58B405D9" w:rsidR="00255CF5" w:rsidRPr="00476DC3" w:rsidRDefault="00255CF5" w:rsidP="00255CF5">
      <w:pPr>
        <w:pStyle w:val="H23GA"/>
      </w:pPr>
      <w:r w:rsidRPr="00476DC3">
        <w:rPr>
          <w:rtl/>
        </w:rPr>
        <w:tab/>
      </w:r>
      <w:r w:rsidRPr="00476DC3">
        <w:rPr>
          <w:rtl/>
        </w:rPr>
        <w:tab/>
        <w:t>تعريف الضحية</w:t>
      </w:r>
    </w:p>
    <w:p w14:paraId="2749B15C" w14:textId="4EA7A0B1" w:rsidR="00D33748" w:rsidRPr="00D33748" w:rsidRDefault="00255CF5" w:rsidP="00255CF5">
      <w:pPr>
        <w:pStyle w:val="SingleTxtGA"/>
      </w:pPr>
      <w:r w:rsidRPr="00476DC3">
        <w:rPr>
          <w:rtl/>
        </w:rPr>
        <w:t>12</w:t>
      </w:r>
      <w:r w:rsidRPr="00647096">
        <w:rPr>
          <w:rtl/>
        </w:rPr>
        <w:t>-</w:t>
      </w:r>
      <w:r w:rsidRPr="00647096">
        <w:rPr>
          <w:rtl/>
        </w:rPr>
        <w:tab/>
      </w:r>
      <w:r w:rsidRPr="00255CF5">
        <w:rPr>
          <w:rtl/>
        </w:rPr>
        <w:t xml:space="preserve">تلاحظ اللجنة أن المادة </w:t>
      </w:r>
      <w:r w:rsidRPr="00476DC3">
        <w:rPr>
          <w:rtl/>
        </w:rPr>
        <w:t>79</w:t>
      </w:r>
      <w:r w:rsidRPr="00255CF5">
        <w:rPr>
          <w:rtl/>
        </w:rPr>
        <w:t>-</w:t>
      </w:r>
      <w:r w:rsidRPr="00476DC3">
        <w:rPr>
          <w:rtl/>
        </w:rPr>
        <w:t>1</w:t>
      </w:r>
      <w:r w:rsidRPr="00255CF5">
        <w:rPr>
          <w:rtl/>
        </w:rPr>
        <w:t xml:space="preserve"> من قانون الإجراءات الجنائية تعرف الضحية بأنها "الشخص الذي لحقه ضرر من جراء الجريمة" وأن المادة </w:t>
      </w:r>
      <w:r w:rsidRPr="00476DC3">
        <w:rPr>
          <w:rtl/>
        </w:rPr>
        <w:t>80</w:t>
      </w:r>
      <w:r w:rsidRPr="00255CF5">
        <w:rPr>
          <w:rtl/>
        </w:rPr>
        <w:t xml:space="preserve"> من القانون تحدد من يجوز له تمثيل الضحية في حالة الوفاة أو عجزه عن ممارسة حقوقه. وفي هذا الصدد، تحيط اللجنة علما</w:t>
      </w:r>
      <w:r w:rsidR="00F17722">
        <w:rPr>
          <w:rFonts w:hint="cs"/>
          <w:rtl/>
        </w:rPr>
        <w:t>ً</w:t>
      </w:r>
      <w:r w:rsidRPr="00255CF5">
        <w:rPr>
          <w:rtl/>
        </w:rPr>
        <w:t xml:space="preserve"> بالموقف الذي أعربت عنه الدولة الطرف أثناء جلسة الحوار ومفاده أن هذه الأحكام، إلى جانب المادة </w:t>
      </w:r>
      <w:r w:rsidRPr="00476DC3">
        <w:rPr>
          <w:rtl/>
        </w:rPr>
        <w:t>13</w:t>
      </w:r>
      <w:r w:rsidRPr="00255CF5">
        <w:rPr>
          <w:rtl/>
        </w:rPr>
        <w:t xml:space="preserve"> من القانون رقم </w:t>
      </w:r>
      <w:r w:rsidRPr="00476DC3">
        <w:rPr>
          <w:rtl/>
        </w:rPr>
        <w:t>18</w:t>
      </w:r>
      <w:r w:rsidRPr="00255CF5">
        <w:rPr>
          <w:rtl/>
        </w:rPr>
        <w:t>-</w:t>
      </w:r>
      <w:r w:rsidRPr="00476DC3">
        <w:rPr>
          <w:rtl/>
        </w:rPr>
        <w:t>026</w:t>
      </w:r>
      <w:r w:rsidRPr="00255CF5">
        <w:rPr>
          <w:rtl/>
        </w:rPr>
        <w:t xml:space="preserve"> المتعلق بمشاركة الضحايا في الإجراءات، تشمل جميع ضحايا الاختفاء القسري، وهي جريمة متعددة الأوجه. غير أن اللجنة ترى أن هذه الأحكام المعيارية تقصر وحدها عن شمول جميع الأفراد الذين لحقهم ضرر كنتيجة مباشرة للاختفاء القسري (المادة </w:t>
      </w:r>
      <w:r w:rsidRPr="00476DC3">
        <w:rPr>
          <w:rtl/>
        </w:rPr>
        <w:t>2</w:t>
      </w:r>
      <w:r w:rsidR="00D33748" w:rsidRPr="00476DC3">
        <w:rPr>
          <w:rtl/>
        </w:rPr>
        <w:t>4</w:t>
      </w:r>
      <w:r w:rsidR="00D33748" w:rsidRPr="00D33748">
        <w:rPr>
          <w:rtl/>
        </w:rPr>
        <w:t>).</w:t>
      </w:r>
    </w:p>
    <w:p w14:paraId="317141BE" w14:textId="12BCBC7B" w:rsidR="00255CF5" w:rsidRPr="00476DC3" w:rsidRDefault="00255CF5" w:rsidP="00255CF5">
      <w:pPr>
        <w:pStyle w:val="SingleTxtGA"/>
        <w:rPr>
          <w:b/>
          <w:bCs/>
        </w:rPr>
      </w:pPr>
      <w:r w:rsidRPr="00476DC3">
        <w:rPr>
          <w:rtl/>
        </w:rPr>
        <w:t>13</w:t>
      </w:r>
      <w:r w:rsidRPr="00647096">
        <w:rPr>
          <w:rtl/>
        </w:rPr>
        <w:t>-</w:t>
      </w:r>
      <w:r w:rsidRPr="00647096">
        <w:rPr>
          <w:rtl/>
        </w:rPr>
        <w:tab/>
      </w:r>
      <w:r w:rsidRPr="00476DC3">
        <w:rPr>
          <w:b/>
          <w:bCs/>
          <w:rtl/>
        </w:rPr>
        <w:t>توصي اللجنة الدولة الطرف بأن تعتمد في تشريعاتها المحلية تعريفا</w:t>
      </w:r>
      <w:r w:rsidR="00F17722" w:rsidRPr="00476DC3">
        <w:rPr>
          <w:rFonts w:hint="cs"/>
          <w:b/>
          <w:bCs/>
          <w:rtl/>
        </w:rPr>
        <w:t>ً</w:t>
      </w:r>
      <w:r w:rsidRPr="00476DC3">
        <w:rPr>
          <w:b/>
          <w:bCs/>
          <w:rtl/>
        </w:rPr>
        <w:t xml:space="preserve"> للضحية يتماشى تماما</w:t>
      </w:r>
      <w:r w:rsidR="00F17722" w:rsidRPr="00476DC3">
        <w:rPr>
          <w:rFonts w:hint="cs"/>
          <w:b/>
          <w:bCs/>
          <w:rtl/>
        </w:rPr>
        <w:t>ً</w:t>
      </w:r>
      <w:r w:rsidRPr="00476DC3">
        <w:rPr>
          <w:b/>
          <w:bCs/>
          <w:rtl/>
        </w:rPr>
        <w:t xml:space="preserve"> مع التعريف الوارد في المادة 24(</w:t>
      </w:r>
      <w:r w:rsidR="00D33748" w:rsidRPr="00476DC3">
        <w:rPr>
          <w:b/>
          <w:bCs/>
          <w:rtl/>
        </w:rPr>
        <w:t xml:space="preserve">1) </w:t>
      </w:r>
      <w:r w:rsidRPr="00476DC3">
        <w:rPr>
          <w:b/>
          <w:bCs/>
          <w:rtl/>
        </w:rPr>
        <w:t>من الاتفاقية. وتوصي الدولة الطرف في الوقت ذاته، بأن تكفل تطبيق مصطلح "الضحية" الوارد في القوانين السارية، وفقا</w:t>
      </w:r>
      <w:r w:rsidR="00F17722" w:rsidRPr="00476DC3">
        <w:rPr>
          <w:rFonts w:hint="cs"/>
          <w:b/>
          <w:bCs/>
          <w:rtl/>
        </w:rPr>
        <w:t>ً</w:t>
      </w:r>
      <w:r w:rsidRPr="00476DC3">
        <w:rPr>
          <w:b/>
          <w:bCs/>
          <w:rtl/>
        </w:rPr>
        <w:t xml:space="preserve"> لتعريف الضحية المنصوص عليه في الاتفاقية، في الممارسة العملية، وأن تكفل تمكن جميع الأشخاص الذين لحقهم ضرر كنتيجة مباشرة للاختفاء القسري، من دون استثناء، من ممارسة الحقوق المنصوص عليها في الاتفاقية.</w:t>
      </w:r>
      <w:r w:rsidR="007A7B33" w:rsidRPr="00476DC3">
        <w:rPr>
          <w:b/>
          <w:bCs/>
          <w:rtl/>
        </w:rPr>
        <w:t xml:space="preserve"> </w:t>
      </w:r>
      <w:r w:rsidRPr="00476DC3">
        <w:rPr>
          <w:b/>
          <w:bCs/>
          <w:rtl/>
        </w:rPr>
        <w:t>ولا سيما حقوقهم في العدالة والحقيقة والجبر الكامل.</w:t>
      </w:r>
    </w:p>
    <w:p w14:paraId="60F3E585" w14:textId="5F2318DF" w:rsidR="00255CF5" w:rsidRPr="00476DC3" w:rsidRDefault="00255CF5" w:rsidP="00255CF5">
      <w:pPr>
        <w:pStyle w:val="H23GA"/>
      </w:pPr>
      <w:r w:rsidRPr="00476DC3">
        <w:rPr>
          <w:rtl/>
        </w:rPr>
        <w:tab/>
      </w:r>
      <w:r w:rsidRPr="00476DC3">
        <w:rPr>
          <w:rtl/>
        </w:rPr>
        <w:tab/>
        <w:t>التشريع المتعلق بانتزاع الأطفال بغير وجه حق</w:t>
      </w:r>
    </w:p>
    <w:p w14:paraId="7C378F7C" w14:textId="5907F95C" w:rsidR="00D33748" w:rsidRPr="00D33748" w:rsidRDefault="00255CF5" w:rsidP="00255CF5">
      <w:pPr>
        <w:pStyle w:val="SingleTxtGA"/>
      </w:pPr>
      <w:r w:rsidRPr="00476DC3">
        <w:rPr>
          <w:rtl/>
        </w:rPr>
        <w:t>14</w:t>
      </w:r>
      <w:r w:rsidRPr="00647096">
        <w:rPr>
          <w:rtl/>
        </w:rPr>
        <w:t>-</w:t>
      </w:r>
      <w:r w:rsidRPr="00647096">
        <w:rPr>
          <w:rtl/>
        </w:rPr>
        <w:tab/>
      </w:r>
      <w:r w:rsidRPr="00255CF5">
        <w:rPr>
          <w:rtl/>
        </w:rPr>
        <w:t>تحيط اللجنة علما</w:t>
      </w:r>
      <w:r w:rsidR="00F17722">
        <w:rPr>
          <w:rFonts w:hint="cs"/>
          <w:rtl/>
        </w:rPr>
        <w:t>ً</w:t>
      </w:r>
      <w:r w:rsidRPr="00255CF5">
        <w:rPr>
          <w:rtl/>
        </w:rPr>
        <w:t xml:space="preserve"> من جديد بالمعلومات التي قدمتها الدولة الطرف بشأن الأحكام الجنائية التي يمكن أن تطبق على الأفعال المبينة في الفقرة </w:t>
      </w:r>
      <w:r w:rsidRPr="00476DC3">
        <w:rPr>
          <w:rtl/>
        </w:rPr>
        <w:t>1</w:t>
      </w:r>
      <w:r w:rsidRPr="00255CF5">
        <w:rPr>
          <w:rtl/>
        </w:rPr>
        <w:t xml:space="preserve"> من المادة </w:t>
      </w:r>
      <w:r w:rsidRPr="00476DC3">
        <w:rPr>
          <w:rtl/>
        </w:rPr>
        <w:t>25</w:t>
      </w:r>
      <w:r w:rsidRPr="00255CF5">
        <w:rPr>
          <w:rtl/>
        </w:rPr>
        <w:t xml:space="preserve"> من الاتفاقية، مثل إخفاء وثائق الحالة المدنية أو انتزاعها، فضلا</w:t>
      </w:r>
      <w:r w:rsidR="00F17722">
        <w:rPr>
          <w:rFonts w:hint="cs"/>
          <w:rtl/>
        </w:rPr>
        <w:t>ً</w:t>
      </w:r>
      <w:r w:rsidRPr="00255CF5">
        <w:rPr>
          <w:rtl/>
        </w:rPr>
        <w:t xml:space="preserve"> عن الاختفاء القسري مع تطبيق ظروف مشددة</w:t>
      </w:r>
      <w:r w:rsidR="00D33748" w:rsidRPr="0086753C">
        <w:rPr>
          <w:vertAlign w:val="superscript"/>
          <w:rtl/>
          <w:lang w:val="en-US"/>
        </w:rPr>
        <w:t>(</w:t>
      </w:r>
      <w:r w:rsidR="00D33748" w:rsidRPr="00476DC3">
        <w:rPr>
          <w:vertAlign w:val="superscript"/>
          <w:lang w:val="en-US"/>
        </w:rPr>
        <w:footnoteReference w:id="10"/>
      </w:r>
      <w:r w:rsidR="00D33748" w:rsidRPr="00D33748">
        <w:rPr>
          <w:vertAlign w:val="superscript"/>
          <w:rtl/>
        </w:rPr>
        <w:t>)</w:t>
      </w:r>
      <w:r w:rsidR="00D33748" w:rsidRPr="00D33748">
        <w:rPr>
          <w:rtl/>
        </w:rPr>
        <w:t xml:space="preserve">. </w:t>
      </w:r>
      <w:r w:rsidRPr="00255CF5">
        <w:rPr>
          <w:rtl/>
        </w:rPr>
        <w:t xml:space="preserve">بيد أنها تأسف لأن الدولة الطرف لم تدرج الأفعال المبينة في الفقرة </w:t>
      </w:r>
      <w:r w:rsidRPr="00476DC3">
        <w:rPr>
          <w:rtl/>
        </w:rPr>
        <w:t>1</w:t>
      </w:r>
      <w:r w:rsidRPr="00255CF5">
        <w:rPr>
          <w:rtl/>
        </w:rPr>
        <w:t xml:space="preserve"> من المادة </w:t>
      </w:r>
      <w:r w:rsidRPr="00476DC3">
        <w:rPr>
          <w:rtl/>
        </w:rPr>
        <w:t>25</w:t>
      </w:r>
      <w:r w:rsidRPr="00255CF5">
        <w:rPr>
          <w:rtl/>
        </w:rPr>
        <w:t xml:space="preserve"> باعتبارها جرائم محددة على الرغم من التوصية الواردة في ملاحظاتها الختامية السابقة (المادة </w:t>
      </w:r>
      <w:r w:rsidRPr="00476DC3">
        <w:rPr>
          <w:rtl/>
        </w:rPr>
        <w:t>25</w:t>
      </w:r>
      <w:r w:rsidRPr="00255CF5">
        <w:rPr>
          <w:rtl/>
        </w:rPr>
        <w:t>)</w:t>
      </w:r>
      <w:r w:rsidR="00D33748" w:rsidRPr="0086753C">
        <w:rPr>
          <w:vertAlign w:val="superscript"/>
          <w:rtl/>
          <w:lang w:val="en-US"/>
        </w:rPr>
        <w:t>(</w:t>
      </w:r>
      <w:r w:rsidR="00D33748" w:rsidRPr="00476DC3">
        <w:rPr>
          <w:vertAlign w:val="superscript"/>
          <w:lang w:val="en-US"/>
        </w:rPr>
        <w:footnoteReference w:id="11"/>
      </w:r>
      <w:r w:rsidR="00D33748" w:rsidRPr="00D33748">
        <w:rPr>
          <w:vertAlign w:val="superscript"/>
          <w:rtl/>
        </w:rPr>
        <w:t>)</w:t>
      </w:r>
      <w:r w:rsidR="00D33748" w:rsidRPr="00D33748">
        <w:rPr>
          <w:rtl/>
        </w:rPr>
        <w:t>.</w:t>
      </w:r>
    </w:p>
    <w:p w14:paraId="625FF57B" w14:textId="1EAC0057" w:rsidR="00255CF5" w:rsidRPr="00476DC3" w:rsidRDefault="008E5C75" w:rsidP="00255CF5">
      <w:pPr>
        <w:pStyle w:val="SingleTxtGA"/>
        <w:rPr>
          <w:b/>
          <w:bCs/>
        </w:rPr>
      </w:pPr>
      <w:r w:rsidRPr="00476DC3">
        <w:rPr>
          <w:rtl/>
        </w:rPr>
        <w:t>15</w:t>
      </w:r>
      <w:r w:rsidRPr="008E5C75">
        <w:rPr>
          <w:rtl/>
        </w:rPr>
        <w:t>-</w:t>
      </w:r>
      <w:r w:rsidRPr="008E5C75">
        <w:rPr>
          <w:rtl/>
        </w:rPr>
        <w:tab/>
      </w:r>
      <w:r w:rsidRPr="00476DC3">
        <w:rPr>
          <w:b/>
          <w:bCs/>
          <w:rtl/>
        </w:rPr>
        <w:t>توصي اللجنة الدولة الطرف بإدراج الأفعال المبينة في المادة 25(</w:t>
      </w:r>
      <w:r w:rsidR="00D33748" w:rsidRPr="00476DC3">
        <w:rPr>
          <w:b/>
          <w:bCs/>
          <w:rtl/>
        </w:rPr>
        <w:t xml:space="preserve">1) </w:t>
      </w:r>
      <w:r w:rsidRPr="00476DC3">
        <w:rPr>
          <w:b/>
          <w:bCs/>
          <w:rtl/>
        </w:rPr>
        <w:t>من الاتفاقية باعتبارها جرائم محددة في تشريعاتها وبفرض عقوبات مناسبة تراعي شدة خطورة هذه الأفعال.</w:t>
      </w:r>
    </w:p>
    <w:p w14:paraId="165956F0" w14:textId="37D53568" w:rsidR="00255CF5" w:rsidRPr="00476DC3" w:rsidRDefault="00255CF5" w:rsidP="00255CF5">
      <w:pPr>
        <w:pStyle w:val="H23GA"/>
      </w:pPr>
      <w:r w:rsidRPr="00476DC3">
        <w:rPr>
          <w:rtl/>
        </w:rPr>
        <w:tab/>
        <w:t>3-</w:t>
      </w:r>
      <w:r w:rsidRPr="00476DC3">
        <w:rPr>
          <w:rtl/>
        </w:rPr>
        <w:tab/>
        <w:t>البحث والتحقيق</w:t>
      </w:r>
    </w:p>
    <w:p w14:paraId="7C68F433" w14:textId="11DFCFFA" w:rsidR="00255CF5" w:rsidRPr="00476DC3" w:rsidRDefault="00255CF5" w:rsidP="00255CF5">
      <w:pPr>
        <w:pStyle w:val="H23GA"/>
      </w:pPr>
      <w:r w:rsidRPr="00476DC3">
        <w:rPr>
          <w:rtl/>
        </w:rPr>
        <w:tab/>
      </w:r>
      <w:r w:rsidRPr="00476DC3">
        <w:rPr>
          <w:rtl/>
        </w:rPr>
        <w:tab/>
        <w:t>التحقيق في حالات الاختفاء القسري السابقة</w:t>
      </w:r>
    </w:p>
    <w:p w14:paraId="0C83B134" w14:textId="20668816" w:rsidR="00D33748" w:rsidRPr="00D33748" w:rsidRDefault="00255CF5" w:rsidP="00255CF5">
      <w:pPr>
        <w:pStyle w:val="SingleTxtGA"/>
      </w:pPr>
      <w:r w:rsidRPr="00476DC3">
        <w:rPr>
          <w:rtl/>
        </w:rPr>
        <w:t>16</w:t>
      </w:r>
      <w:r w:rsidRPr="00647096">
        <w:rPr>
          <w:rtl/>
        </w:rPr>
        <w:t>-</w:t>
      </w:r>
      <w:r w:rsidRPr="00647096">
        <w:rPr>
          <w:rtl/>
        </w:rPr>
        <w:tab/>
      </w:r>
      <w:r w:rsidRPr="00255CF5">
        <w:rPr>
          <w:rtl/>
        </w:rPr>
        <w:t>تحيط اللجنة علما</w:t>
      </w:r>
      <w:r w:rsidR="00F17722">
        <w:rPr>
          <w:rFonts w:hint="cs"/>
          <w:rtl/>
        </w:rPr>
        <w:t>ً</w:t>
      </w:r>
      <w:r w:rsidRPr="00255CF5">
        <w:rPr>
          <w:rtl/>
        </w:rPr>
        <w:t xml:space="preserve"> بالمعلومات المقدمة من الدولة الطرف بشأن الجهود المبذولة للتحقيق في حالات الاختفاء القسري التي أفيد بأنها وقعت بين عامي </w:t>
      </w:r>
      <w:r w:rsidRPr="00476DC3">
        <w:rPr>
          <w:rtl/>
        </w:rPr>
        <w:t>1968</w:t>
      </w:r>
      <w:r w:rsidRPr="00255CF5">
        <w:rPr>
          <w:rtl/>
        </w:rPr>
        <w:t xml:space="preserve"> و</w:t>
      </w:r>
      <w:r w:rsidRPr="00476DC3">
        <w:rPr>
          <w:rtl/>
        </w:rPr>
        <w:t>198</w:t>
      </w:r>
      <w:r w:rsidR="00D33748" w:rsidRPr="00476DC3">
        <w:rPr>
          <w:rtl/>
        </w:rPr>
        <w:t>5</w:t>
      </w:r>
      <w:r w:rsidR="00D33748" w:rsidRPr="00D33748">
        <w:rPr>
          <w:rtl/>
        </w:rPr>
        <w:t xml:space="preserve">. </w:t>
      </w:r>
      <w:r w:rsidRPr="00255CF5">
        <w:rPr>
          <w:rtl/>
        </w:rPr>
        <w:t>بيد أنها تشعر بالقلق إزاء الملاحظات الأولية التي أبداها مؤخرا</w:t>
      </w:r>
      <w:r w:rsidR="00F17722">
        <w:rPr>
          <w:rFonts w:hint="cs"/>
          <w:rtl/>
        </w:rPr>
        <w:t>ً</w:t>
      </w:r>
      <w:r w:rsidRPr="00255CF5">
        <w:rPr>
          <w:rtl/>
        </w:rPr>
        <w:t xml:space="preserve"> الفريق العامل المعني بحالات الاختفاء القسري أو غير الطوعي، عقب زيارته لأوروغواي، وأشار فيها إلى استمرار نمط الإفلات من العقاب عن ارتكاب هذه الجرائم، فضلا</w:t>
      </w:r>
      <w:r w:rsidR="00F17722">
        <w:rPr>
          <w:rFonts w:hint="cs"/>
          <w:rtl/>
        </w:rPr>
        <w:t>ً</w:t>
      </w:r>
      <w:r w:rsidRPr="00255CF5">
        <w:rPr>
          <w:rtl/>
        </w:rPr>
        <w:t xml:space="preserve"> </w:t>
      </w:r>
      <w:r w:rsidRPr="00255CF5">
        <w:rPr>
          <w:rtl/>
        </w:rPr>
        <w:lastRenderedPageBreak/>
        <w:t>عن بطء سير التحقيقات والمحاكمات الجارية</w:t>
      </w:r>
      <w:r w:rsidR="00D33748" w:rsidRPr="0086753C">
        <w:rPr>
          <w:vertAlign w:val="superscript"/>
          <w:rtl/>
          <w:lang w:val="en-US"/>
        </w:rPr>
        <w:t>(</w:t>
      </w:r>
      <w:r w:rsidR="00D33748" w:rsidRPr="00476DC3">
        <w:rPr>
          <w:vertAlign w:val="superscript"/>
          <w:lang w:val="en-US"/>
        </w:rPr>
        <w:footnoteReference w:id="12"/>
      </w:r>
      <w:r w:rsidR="00D33748" w:rsidRPr="00D33748">
        <w:rPr>
          <w:vertAlign w:val="superscript"/>
          <w:rtl/>
        </w:rPr>
        <w:t>)</w:t>
      </w:r>
      <w:r w:rsidR="00D33748" w:rsidRPr="00D33748">
        <w:rPr>
          <w:rtl/>
        </w:rPr>
        <w:t xml:space="preserve">. </w:t>
      </w:r>
      <w:r w:rsidRPr="00255CF5">
        <w:rPr>
          <w:rtl/>
        </w:rPr>
        <w:t>وفي هذا الصدد، ترحب اللجنة بالمعلومات التي قدمت أثناء جلسة الحوار بشأن التدابير المتخذة لتسريع الإجراءات. وتلاحظ اللجنة مع الارتياح أن مكتب المدعي الخاص المعني بالجرائم المرتكبة ضد الإنسانية يوجه الاتهام استنادا</w:t>
      </w:r>
      <w:r w:rsidR="00F17722">
        <w:rPr>
          <w:rFonts w:hint="cs"/>
          <w:rtl/>
        </w:rPr>
        <w:t>ً</w:t>
      </w:r>
      <w:r w:rsidRPr="00255CF5">
        <w:rPr>
          <w:rtl/>
        </w:rPr>
        <w:t xml:space="preserve"> إلى جريمة الاختفاء القسري. بيد أن اللجنة تشعر بالقلق لعدم إدانة أحد حتى الآن بارتكاب هذه الجريمة. وتذكر اللجنة بتوصيتها السابقة بأن تكفل الدولة الطرف التحقيق في حالات الاختفاء القسري بوصفها جرائم ومعاقبة مرتكبيها بصرف النظر عن الوقت الذي مضى على وقوع السلوك الإجرامي</w:t>
      </w:r>
      <w:r w:rsidR="00D33748" w:rsidRPr="0086753C">
        <w:rPr>
          <w:vertAlign w:val="superscript"/>
          <w:rtl/>
          <w:lang w:val="en-US"/>
        </w:rPr>
        <w:t>(</w:t>
      </w:r>
      <w:r w:rsidR="00D33748" w:rsidRPr="00476DC3">
        <w:rPr>
          <w:vertAlign w:val="superscript"/>
          <w:lang w:val="en-US"/>
        </w:rPr>
        <w:footnoteReference w:id="13"/>
      </w:r>
      <w:r w:rsidR="0075198D" w:rsidRPr="009F310B">
        <w:rPr>
          <w:vertAlign w:val="superscript"/>
          <w:rtl/>
        </w:rPr>
        <w:t>)</w:t>
      </w:r>
      <w:r w:rsidRPr="00255CF5">
        <w:rPr>
          <w:rtl/>
        </w:rPr>
        <w:t xml:space="preserve"> (المواد </w:t>
      </w:r>
      <w:r w:rsidRPr="00476DC3">
        <w:rPr>
          <w:rtl/>
        </w:rPr>
        <w:t>8</w:t>
      </w:r>
      <w:r w:rsidRPr="00255CF5">
        <w:rPr>
          <w:rtl/>
        </w:rPr>
        <w:t xml:space="preserve"> و</w:t>
      </w:r>
      <w:r w:rsidRPr="00476DC3">
        <w:rPr>
          <w:rtl/>
        </w:rPr>
        <w:t>12</w:t>
      </w:r>
      <w:r w:rsidRPr="00255CF5">
        <w:rPr>
          <w:rtl/>
        </w:rPr>
        <w:t xml:space="preserve"> و</w:t>
      </w:r>
      <w:r w:rsidRPr="00476DC3">
        <w:rPr>
          <w:rtl/>
        </w:rPr>
        <w:t>2</w:t>
      </w:r>
      <w:r w:rsidR="00D33748" w:rsidRPr="00476DC3">
        <w:rPr>
          <w:rtl/>
        </w:rPr>
        <w:t>4</w:t>
      </w:r>
      <w:r w:rsidR="00D33748" w:rsidRPr="00D33748">
        <w:rPr>
          <w:rtl/>
        </w:rPr>
        <w:t>).</w:t>
      </w:r>
    </w:p>
    <w:p w14:paraId="372A6F83" w14:textId="3331D2B6" w:rsidR="00255CF5" w:rsidRPr="00476DC3" w:rsidRDefault="00255CF5" w:rsidP="00255CF5">
      <w:pPr>
        <w:pStyle w:val="SingleTxtGA"/>
        <w:rPr>
          <w:b/>
          <w:bCs/>
        </w:rPr>
      </w:pPr>
      <w:r w:rsidRPr="00476DC3">
        <w:rPr>
          <w:rtl/>
        </w:rPr>
        <w:t>17</w:t>
      </w:r>
      <w:r w:rsidRPr="00647096">
        <w:rPr>
          <w:rtl/>
        </w:rPr>
        <w:t>-</w:t>
      </w:r>
      <w:r w:rsidRPr="00647096">
        <w:rPr>
          <w:rtl/>
        </w:rPr>
        <w:tab/>
      </w:r>
      <w:r w:rsidRPr="00476DC3">
        <w:rPr>
          <w:b/>
          <w:bCs/>
          <w:rtl/>
        </w:rPr>
        <w:t>تحث اللجنة الدولة الطرف على ما يلي:</w:t>
      </w:r>
    </w:p>
    <w:p w14:paraId="7204D625" w14:textId="36B693C9" w:rsidR="00255CF5" w:rsidRPr="00476DC3" w:rsidRDefault="00255CF5" w:rsidP="00255CF5">
      <w:pPr>
        <w:pStyle w:val="SingleTxtGA"/>
        <w:rPr>
          <w:b/>
          <w:bCs/>
        </w:rPr>
      </w:pPr>
      <w:r w:rsidRPr="00647096">
        <w:rPr>
          <w:rtl/>
        </w:rPr>
        <w:tab/>
        <w:t>(أ)</w:t>
      </w:r>
      <w:r w:rsidRPr="00647096">
        <w:rPr>
          <w:rtl/>
        </w:rPr>
        <w:tab/>
      </w:r>
      <w:r w:rsidRPr="00476DC3">
        <w:rPr>
          <w:b/>
          <w:bCs/>
          <w:rtl/>
        </w:rPr>
        <w:t>اعتماد التدابير اللازمة لتسريع البت في جميع الدعاوى القضائية الجارية المشمولة بالتحقيق في حالات الاختفاء القسري التي ربما تكون قد وقعت بين عامي 1968 و1985؛</w:t>
      </w:r>
    </w:p>
    <w:p w14:paraId="3E983650" w14:textId="63FAFF71" w:rsidR="00255CF5" w:rsidRPr="00476DC3" w:rsidRDefault="00255CF5" w:rsidP="00255CF5">
      <w:pPr>
        <w:pStyle w:val="SingleTxtGA"/>
        <w:rPr>
          <w:b/>
          <w:bCs/>
        </w:rPr>
      </w:pPr>
      <w:r w:rsidRPr="00647096">
        <w:rPr>
          <w:rtl/>
        </w:rPr>
        <w:tab/>
        <w:t>(ب)</w:t>
      </w:r>
      <w:r w:rsidRPr="00647096">
        <w:rPr>
          <w:rtl/>
        </w:rPr>
        <w:tab/>
      </w:r>
      <w:r w:rsidRPr="00476DC3">
        <w:rPr>
          <w:b/>
          <w:bCs/>
          <w:rtl/>
        </w:rPr>
        <w:t>ضمان تقديم الجناة المزعومين إلى المحاكمة، وتطبيق عقوبات تتناسب مع خطورة أفعالهم عليهم، في حالة ثبوت إدانتهم؛</w:t>
      </w:r>
    </w:p>
    <w:p w14:paraId="7068720D" w14:textId="1B3366BE" w:rsidR="00255CF5" w:rsidRPr="00476DC3" w:rsidRDefault="00255CF5" w:rsidP="00255CF5">
      <w:pPr>
        <w:pStyle w:val="SingleTxtGA"/>
        <w:rPr>
          <w:b/>
          <w:bCs/>
        </w:rPr>
      </w:pPr>
      <w:r w:rsidRPr="00647096">
        <w:rPr>
          <w:rtl/>
        </w:rPr>
        <w:tab/>
        <w:t>(ج)</w:t>
      </w:r>
      <w:r w:rsidRPr="00647096">
        <w:rPr>
          <w:rtl/>
        </w:rPr>
        <w:tab/>
      </w:r>
      <w:r w:rsidRPr="00476DC3">
        <w:rPr>
          <w:b/>
          <w:bCs/>
          <w:rtl/>
        </w:rPr>
        <w:t>ضمان الاستناد في إثبات جميع حالات الاختفاء القسري التي ربما تكون قد حدثت قبل بدء نفاذ القانون رقم 18-026 والتي لم تتوقف بعد ذلك، إلى جريمة الاختفاء القسري؛</w:t>
      </w:r>
    </w:p>
    <w:p w14:paraId="71EC5880" w14:textId="1C0D8697" w:rsidR="00255CF5" w:rsidRPr="00476DC3" w:rsidRDefault="00255CF5" w:rsidP="00255CF5">
      <w:pPr>
        <w:pStyle w:val="SingleTxtGA"/>
        <w:rPr>
          <w:b/>
          <w:bCs/>
        </w:rPr>
      </w:pPr>
      <w:r w:rsidRPr="00647096">
        <w:rPr>
          <w:rtl/>
        </w:rPr>
        <w:tab/>
        <w:t>(د)</w:t>
      </w:r>
      <w:r w:rsidRPr="00647096">
        <w:rPr>
          <w:rtl/>
        </w:rPr>
        <w:tab/>
      </w:r>
      <w:r w:rsidRPr="00476DC3">
        <w:rPr>
          <w:b/>
          <w:bCs/>
          <w:rtl/>
        </w:rPr>
        <w:t>ضمان أن تعمد السلطات المكلفة بالتحقيق في حالات الاختفاء والبحث عن الأشخاص المختفين إلى مواصلة وتكثيف جهودها التعاونية وتنسيق أنشطتها؛</w:t>
      </w:r>
    </w:p>
    <w:p w14:paraId="130C2967" w14:textId="675BC975" w:rsidR="00255CF5" w:rsidRPr="00476DC3" w:rsidRDefault="00255CF5" w:rsidP="00255CF5">
      <w:pPr>
        <w:pStyle w:val="SingleTxtGA"/>
        <w:rPr>
          <w:b/>
          <w:bCs/>
        </w:rPr>
      </w:pPr>
      <w:r w:rsidRPr="00647096">
        <w:rPr>
          <w:rtl/>
        </w:rPr>
        <w:tab/>
        <w:t>(ه)</w:t>
      </w:r>
      <w:r w:rsidRPr="00647096">
        <w:rPr>
          <w:rtl/>
        </w:rPr>
        <w:tab/>
      </w:r>
      <w:r w:rsidRPr="00476DC3">
        <w:rPr>
          <w:b/>
          <w:bCs/>
          <w:rtl/>
        </w:rPr>
        <w:t>ضمان إمداد المؤسسات المعنية بالتحقيق في حالات الاختفاء القسري، ولا سيما مكتب المدعي الخاص المعني بالجرائم المرتكبة ضد الإنسانية، بما يكفي من الموارد المالية والتقنية والموظفين المؤهلين التي تمكنها من أداء عملها بسرعة وفعالية.</w:t>
      </w:r>
    </w:p>
    <w:p w14:paraId="549D147B" w14:textId="4C3DC96F" w:rsidR="00255CF5" w:rsidRPr="00476DC3" w:rsidRDefault="00255CF5" w:rsidP="00255CF5">
      <w:pPr>
        <w:pStyle w:val="H23GA"/>
      </w:pPr>
      <w:r w:rsidRPr="00476DC3">
        <w:rPr>
          <w:rtl/>
        </w:rPr>
        <w:tab/>
      </w:r>
      <w:r w:rsidRPr="00476DC3">
        <w:rPr>
          <w:rtl/>
        </w:rPr>
        <w:tab/>
        <w:t>البحث عن الأشخاص المختفين</w:t>
      </w:r>
    </w:p>
    <w:p w14:paraId="38DDFFA2" w14:textId="4983E85F" w:rsidR="00D33748" w:rsidRPr="00D33748" w:rsidRDefault="00255CF5" w:rsidP="00255CF5">
      <w:pPr>
        <w:pStyle w:val="SingleTxtGA"/>
        <w:rPr>
          <w:spacing w:val="-2"/>
        </w:rPr>
      </w:pPr>
      <w:r w:rsidRPr="00476DC3">
        <w:rPr>
          <w:spacing w:val="-2"/>
          <w:rtl/>
        </w:rPr>
        <w:t>18</w:t>
      </w:r>
      <w:r w:rsidRPr="008E5C75">
        <w:rPr>
          <w:spacing w:val="-2"/>
          <w:rtl/>
        </w:rPr>
        <w:t>-</w:t>
      </w:r>
      <w:r w:rsidRPr="008E5C75">
        <w:rPr>
          <w:spacing w:val="-2"/>
          <w:rtl/>
        </w:rPr>
        <w:tab/>
        <w:t xml:space="preserve">ترحب اللجنة بتقديم معلومات بشأن التدابير المتخذة في الدولة الطرف للبحث عن الأشخاص الذين تعرضوا للاختفاء القسري بين عامي </w:t>
      </w:r>
      <w:r w:rsidRPr="00476DC3">
        <w:rPr>
          <w:spacing w:val="-2"/>
          <w:rtl/>
        </w:rPr>
        <w:t>1968</w:t>
      </w:r>
      <w:r w:rsidRPr="008E5C75">
        <w:rPr>
          <w:spacing w:val="-2"/>
          <w:rtl/>
        </w:rPr>
        <w:t xml:space="preserve"> و</w:t>
      </w:r>
      <w:r w:rsidRPr="00476DC3">
        <w:rPr>
          <w:spacing w:val="-2"/>
          <w:rtl/>
        </w:rPr>
        <w:t>198</w:t>
      </w:r>
      <w:r w:rsidR="00D33748" w:rsidRPr="00476DC3">
        <w:rPr>
          <w:spacing w:val="-2"/>
          <w:rtl/>
        </w:rPr>
        <w:t>5</w:t>
      </w:r>
      <w:r w:rsidR="00D33748" w:rsidRPr="00D33748">
        <w:rPr>
          <w:spacing w:val="-2"/>
          <w:rtl/>
        </w:rPr>
        <w:t xml:space="preserve">. </w:t>
      </w:r>
      <w:r w:rsidRPr="008E5C75">
        <w:rPr>
          <w:spacing w:val="-2"/>
          <w:rtl/>
        </w:rPr>
        <w:t>وتحيط علما</w:t>
      </w:r>
      <w:r w:rsidR="00F17722" w:rsidRPr="008E5C75">
        <w:rPr>
          <w:rFonts w:hint="cs"/>
          <w:spacing w:val="-2"/>
          <w:rtl/>
        </w:rPr>
        <w:t>ً</w:t>
      </w:r>
      <w:r w:rsidRPr="008E5C75">
        <w:rPr>
          <w:spacing w:val="-2"/>
          <w:rtl/>
        </w:rPr>
        <w:t xml:space="preserve"> على وجه الخصوص، بإنشاء الفريق العامل المعني بالحقيقة والعدالة في عام </w:t>
      </w:r>
      <w:r w:rsidRPr="00476DC3">
        <w:rPr>
          <w:spacing w:val="-2"/>
          <w:rtl/>
        </w:rPr>
        <w:t>2015</w:t>
      </w:r>
      <w:r w:rsidRPr="008E5C75">
        <w:rPr>
          <w:spacing w:val="-2"/>
          <w:rtl/>
        </w:rPr>
        <w:t xml:space="preserve">، الذي انتهت ولايته في عام </w:t>
      </w:r>
      <w:r w:rsidRPr="00476DC3">
        <w:rPr>
          <w:spacing w:val="-2"/>
          <w:rtl/>
        </w:rPr>
        <w:t>2019</w:t>
      </w:r>
      <w:r w:rsidRPr="008E5C75">
        <w:rPr>
          <w:spacing w:val="-2"/>
          <w:rtl/>
        </w:rPr>
        <w:t xml:space="preserve">، وبتعيين المؤسسة الوطنية لحقوق الإنسان في عام </w:t>
      </w:r>
      <w:r w:rsidRPr="00476DC3">
        <w:rPr>
          <w:spacing w:val="-2"/>
          <w:rtl/>
        </w:rPr>
        <w:t>2019</w:t>
      </w:r>
      <w:r w:rsidRPr="008E5C75">
        <w:rPr>
          <w:spacing w:val="-2"/>
          <w:rtl/>
        </w:rPr>
        <w:t xml:space="preserve"> بوصفها الهيئة المسؤولة عن البحث عن المفقودين داخل أوروغواي وخارجها. بيد أنها تشعر بالقلق إزاء بطء التقدم في عملية البحث، وكذلك إزاء ورود ادعاءات تشير إلى وجود عقبات تعيق البحث عن الأشخاص المختفين، بما في ذلك ضياع الأدلة أو تلفها، وهو ما</w:t>
      </w:r>
      <w:r w:rsidR="00F17722" w:rsidRPr="008E5C75">
        <w:rPr>
          <w:rFonts w:hint="cs"/>
          <w:spacing w:val="-2"/>
          <w:rtl/>
        </w:rPr>
        <w:t> </w:t>
      </w:r>
      <w:r w:rsidRPr="008E5C75">
        <w:rPr>
          <w:spacing w:val="-2"/>
          <w:rtl/>
        </w:rPr>
        <w:t>أبلغته المؤسسة الوطنية لحقوق الإنسان إلى محكمة البلدان الأمريكية لحقوق الإنسان في نيسان/أبريل</w:t>
      </w:r>
      <w:r w:rsidR="00F17722" w:rsidRPr="008E5C75">
        <w:rPr>
          <w:rFonts w:hint="cs"/>
          <w:spacing w:val="-2"/>
          <w:rtl/>
        </w:rPr>
        <w:t> </w:t>
      </w:r>
      <w:r w:rsidRPr="00476DC3">
        <w:rPr>
          <w:spacing w:val="-2"/>
          <w:rtl/>
        </w:rPr>
        <w:t>2021</w:t>
      </w:r>
      <w:r w:rsidRPr="008E5C75">
        <w:rPr>
          <w:spacing w:val="-2"/>
          <w:rtl/>
        </w:rPr>
        <w:t>، وامتناع ضباط عسكريين سابقين رفيعي المستوى عن الإدلاء بمعلومات</w:t>
      </w:r>
      <w:r w:rsidR="00D33748" w:rsidRPr="0086753C">
        <w:rPr>
          <w:spacing w:val="-2"/>
          <w:vertAlign w:val="superscript"/>
          <w:rtl/>
          <w:lang w:val="en-US"/>
        </w:rPr>
        <w:t>(</w:t>
      </w:r>
      <w:r w:rsidR="00D33748" w:rsidRPr="00476DC3">
        <w:rPr>
          <w:spacing w:val="-2"/>
          <w:vertAlign w:val="superscript"/>
          <w:lang w:val="en-US"/>
        </w:rPr>
        <w:footnoteReference w:id="14"/>
      </w:r>
      <w:r w:rsidR="00D33748" w:rsidRPr="00D33748">
        <w:rPr>
          <w:spacing w:val="-2"/>
          <w:vertAlign w:val="superscript"/>
          <w:rtl/>
        </w:rPr>
        <w:t>)</w:t>
      </w:r>
      <w:r w:rsidR="00D33748" w:rsidRPr="00D33748">
        <w:rPr>
          <w:spacing w:val="-2"/>
          <w:rtl/>
        </w:rPr>
        <w:t xml:space="preserve">. </w:t>
      </w:r>
      <w:r w:rsidRPr="008E5C75">
        <w:rPr>
          <w:spacing w:val="-2"/>
          <w:rtl/>
        </w:rPr>
        <w:t>وفي المقابل، تحيط اللجنة علما</w:t>
      </w:r>
      <w:r w:rsidR="00F17722" w:rsidRPr="008E5C75">
        <w:rPr>
          <w:rFonts w:hint="cs"/>
          <w:spacing w:val="-2"/>
          <w:rtl/>
        </w:rPr>
        <w:t>ً</w:t>
      </w:r>
      <w:r w:rsidRPr="008E5C75">
        <w:rPr>
          <w:spacing w:val="-2"/>
          <w:rtl/>
        </w:rPr>
        <w:t xml:space="preserve"> مع الاهتمام بتقرير التقييم الصادر عملا</w:t>
      </w:r>
      <w:r w:rsidR="00F17722" w:rsidRPr="008E5C75">
        <w:rPr>
          <w:rFonts w:hint="cs"/>
          <w:spacing w:val="-2"/>
          <w:rtl/>
        </w:rPr>
        <w:t>ً</w:t>
      </w:r>
      <w:r w:rsidRPr="008E5C75">
        <w:rPr>
          <w:spacing w:val="-2"/>
          <w:rtl/>
        </w:rPr>
        <w:t xml:space="preserve"> بالقرار المتعلق بالمؤسسة الوطنية لحقوق الإنسان ومكتب أمين المظالم، الذي اعتمده مجلس الشيوخ في </w:t>
      </w:r>
      <w:r w:rsidRPr="00476DC3">
        <w:rPr>
          <w:spacing w:val="-2"/>
          <w:rtl/>
        </w:rPr>
        <w:t>10</w:t>
      </w:r>
      <w:r w:rsidRPr="008E5C75">
        <w:rPr>
          <w:spacing w:val="-2"/>
          <w:rtl/>
        </w:rPr>
        <w:t xml:space="preserve"> شباط/فبراير </w:t>
      </w:r>
      <w:r w:rsidRPr="00476DC3">
        <w:rPr>
          <w:spacing w:val="-2"/>
          <w:rtl/>
        </w:rPr>
        <w:t>2021</w:t>
      </w:r>
      <w:r w:rsidRPr="008E5C75">
        <w:rPr>
          <w:spacing w:val="-2"/>
          <w:rtl/>
        </w:rPr>
        <w:t xml:space="preserve"> (المواد </w:t>
      </w:r>
      <w:r w:rsidRPr="00476DC3">
        <w:rPr>
          <w:spacing w:val="-2"/>
          <w:rtl/>
        </w:rPr>
        <w:t>7</w:t>
      </w:r>
      <w:r w:rsidRPr="008E5C75">
        <w:rPr>
          <w:spacing w:val="-2"/>
          <w:rtl/>
        </w:rPr>
        <w:t xml:space="preserve"> و</w:t>
      </w:r>
      <w:r w:rsidRPr="00476DC3">
        <w:rPr>
          <w:spacing w:val="-2"/>
          <w:rtl/>
        </w:rPr>
        <w:t>12</w:t>
      </w:r>
      <w:r w:rsidRPr="008E5C75">
        <w:rPr>
          <w:spacing w:val="-2"/>
          <w:rtl/>
        </w:rPr>
        <w:t xml:space="preserve"> و</w:t>
      </w:r>
      <w:r w:rsidRPr="00476DC3">
        <w:rPr>
          <w:spacing w:val="-2"/>
          <w:rtl/>
        </w:rPr>
        <w:t>15</w:t>
      </w:r>
      <w:r w:rsidRPr="008E5C75">
        <w:rPr>
          <w:spacing w:val="-2"/>
          <w:rtl/>
        </w:rPr>
        <w:t xml:space="preserve"> و</w:t>
      </w:r>
      <w:r w:rsidRPr="00476DC3">
        <w:rPr>
          <w:spacing w:val="-2"/>
          <w:rtl/>
        </w:rPr>
        <w:t>2</w:t>
      </w:r>
      <w:r w:rsidR="00D33748" w:rsidRPr="00476DC3">
        <w:rPr>
          <w:spacing w:val="-2"/>
          <w:rtl/>
        </w:rPr>
        <w:t>4</w:t>
      </w:r>
      <w:r w:rsidR="00D33748" w:rsidRPr="00D33748">
        <w:rPr>
          <w:spacing w:val="-2"/>
          <w:rtl/>
        </w:rPr>
        <w:t>).</w:t>
      </w:r>
    </w:p>
    <w:p w14:paraId="6F044E4E" w14:textId="64622EEA" w:rsidR="00255CF5" w:rsidRPr="00476DC3" w:rsidRDefault="00255CF5" w:rsidP="00255CF5">
      <w:pPr>
        <w:pStyle w:val="SingleTxtGA"/>
        <w:rPr>
          <w:b/>
          <w:bCs/>
        </w:rPr>
      </w:pPr>
      <w:r w:rsidRPr="00476DC3">
        <w:rPr>
          <w:rtl/>
        </w:rPr>
        <w:lastRenderedPageBreak/>
        <w:t>19</w:t>
      </w:r>
      <w:r w:rsidRPr="00647096">
        <w:rPr>
          <w:rtl/>
        </w:rPr>
        <w:t>-</w:t>
      </w:r>
      <w:r w:rsidRPr="00647096">
        <w:rPr>
          <w:rtl/>
        </w:rPr>
        <w:tab/>
      </w:r>
      <w:r w:rsidRPr="00476DC3">
        <w:rPr>
          <w:b/>
          <w:bCs/>
          <w:rtl/>
        </w:rPr>
        <w:t>تشجع اللجنة الدولة الطرف على مراعاة المبادئ التوجيهية للبحث عن الأشخاص المختفين</w:t>
      </w:r>
      <w:r w:rsidR="00D33748" w:rsidRPr="0086753C">
        <w:rPr>
          <w:vertAlign w:val="superscript"/>
          <w:rtl/>
          <w:lang w:val="en-US"/>
        </w:rPr>
        <w:t>(</w:t>
      </w:r>
      <w:r w:rsidR="00D33748" w:rsidRPr="00476DC3">
        <w:rPr>
          <w:vertAlign w:val="superscript"/>
          <w:lang w:val="en-US"/>
        </w:rPr>
        <w:footnoteReference w:id="15"/>
      </w:r>
      <w:r w:rsidR="0075198D" w:rsidRPr="009F310B">
        <w:rPr>
          <w:vertAlign w:val="superscript"/>
          <w:rtl/>
        </w:rPr>
        <w:t>)</w:t>
      </w:r>
      <w:r w:rsidRPr="00476DC3">
        <w:rPr>
          <w:b/>
          <w:bCs/>
          <w:rtl/>
        </w:rPr>
        <w:t xml:space="preserve"> عند وضع وتنفيذ استراتيجيات شاملة لعملية البحث. وتوصي اللجنة الدولة الطرف أيضا</w:t>
      </w:r>
      <w:r w:rsidR="00F17722" w:rsidRPr="00476DC3">
        <w:rPr>
          <w:rFonts w:hint="cs"/>
          <w:b/>
          <w:bCs/>
          <w:rtl/>
        </w:rPr>
        <w:t>ً</w:t>
      </w:r>
      <w:r w:rsidRPr="00476DC3">
        <w:rPr>
          <w:b/>
          <w:bCs/>
          <w:rtl/>
        </w:rPr>
        <w:t xml:space="preserve"> بأن تضاعف جهودها للبحث عن الأشخاص الذين يحتمل أن يكونوا قد تعرضوا للاختفاء القسري بين عامي 1968 و1985 وما زالوا مفقودين وتحديد أماكن وجودهم والإفراج عنهم، وتوصي، في حالة الوفاة، بتحديد هويتهم وإعادة رفاتهم بكرامة في أقرب وقت ممكن. وفي هذا الصدد، توصي اللجنة الدولة الطرف بما يلي:</w:t>
      </w:r>
    </w:p>
    <w:p w14:paraId="133CED24" w14:textId="02C89E14" w:rsidR="00255CF5" w:rsidRPr="00476DC3" w:rsidRDefault="00255CF5" w:rsidP="00255CF5">
      <w:pPr>
        <w:pStyle w:val="SingleTxtGA"/>
        <w:rPr>
          <w:b/>
          <w:bCs/>
        </w:rPr>
      </w:pPr>
      <w:r w:rsidRPr="00647096">
        <w:rPr>
          <w:rtl/>
        </w:rPr>
        <w:tab/>
        <w:t>(أ)</w:t>
      </w:r>
      <w:r w:rsidRPr="00647096">
        <w:rPr>
          <w:rtl/>
        </w:rPr>
        <w:tab/>
      </w:r>
      <w:r w:rsidRPr="00476DC3">
        <w:rPr>
          <w:b/>
          <w:bCs/>
          <w:rtl/>
        </w:rPr>
        <w:t>ضمان الحفظ السليم لجميع الملفات والوثائق التي قد تكون ذات صلة بالبحث عن الأشخاص المختفين و/أو التحقيق في حالات الاختفاء القسري المزعومة، بطرق منها تسريع رقمنتها؛</w:t>
      </w:r>
    </w:p>
    <w:p w14:paraId="236239A6" w14:textId="2F3DDF38" w:rsidR="00255CF5" w:rsidRPr="00476DC3" w:rsidRDefault="00255CF5" w:rsidP="00255CF5">
      <w:pPr>
        <w:pStyle w:val="SingleTxtGA"/>
        <w:rPr>
          <w:b/>
          <w:bCs/>
        </w:rPr>
      </w:pPr>
      <w:r w:rsidRPr="00647096">
        <w:rPr>
          <w:rtl/>
        </w:rPr>
        <w:tab/>
        <w:t>(ب)</w:t>
      </w:r>
      <w:r w:rsidRPr="00647096">
        <w:rPr>
          <w:rtl/>
        </w:rPr>
        <w:tab/>
      </w:r>
      <w:r w:rsidRPr="00476DC3">
        <w:rPr>
          <w:b/>
          <w:bCs/>
          <w:rtl/>
        </w:rPr>
        <w:t>ضمان الوصول فعليا إلى الملفات التي تحتفظ بها الأمانة المعنية بانتهاكات حقوق الإنسان المرتكبة في الماضي القريب والإسراع في نقلها إلى المؤسسة الوطنية لحقوق الإنسان من أجل إكمال هذه العملية في أقرب وقت ممكن؛</w:t>
      </w:r>
    </w:p>
    <w:p w14:paraId="0A4A584B" w14:textId="21636A4E" w:rsidR="00255CF5" w:rsidRPr="00476DC3" w:rsidRDefault="00255CF5" w:rsidP="00255CF5">
      <w:pPr>
        <w:pStyle w:val="SingleTxtGA"/>
        <w:rPr>
          <w:b/>
          <w:bCs/>
        </w:rPr>
      </w:pPr>
      <w:r w:rsidRPr="00647096">
        <w:rPr>
          <w:rtl/>
        </w:rPr>
        <w:tab/>
        <w:t>(ج)</w:t>
      </w:r>
      <w:r w:rsidRPr="00647096">
        <w:rPr>
          <w:rtl/>
        </w:rPr>
        <w:tab/>
      </w:r>
      <w:r w:rsidRPr="00476DC3">
        <w:rPr>
          <w:b/>
          <w:bCs/>
          <w:rtl/>
        </w:rPr>
        <w:t>الحرص على أن تبادر السلطات العامة المختصة، ولا سيما وزارة الدفاع، إلى البحث عن أي ملفات ووثائق لم تُكشف بعد للهيئات المسؤولة عن البحث عن الأشخاص المختفين و/أو</w:t>
      </w:r>
      <w:r w:rsidR="00F17722" w:rsidRPr="00476DC3">
        <w:rPr>
          <w:rFonts w:hint="cs"/>
          <w:b/>
          <w:bCs/>
          <w:rtl/>
        </w:rPr>
        <w:t> </w:t>
      </w:r>
      <w:r w:rsidRPr="00476DC3">
        <w:rPr>
          <w:b/>
          <w:bCs/>
          <w:rtl/>
        </w:rPr>
        <w:t>التحقيق في حالات الاختفاء القسري المزعومة والتي يمكن أن تفيدها في هذه المهام، وتحديدها بشكل منهجي واستباقي من دون تأخير؛</w:t>
      </w:r>
      <w:bookmarkStart w:id="0" w:name="_Hlk114231456"/>
      <w:bookmarkEnd w:id="0"/>
    </w:p>
    <w:p w14:paraId="6129F78E" w14:textId="0575A708" w:rsidR="00255CF5" w:rsidRPr="00476DC3" w:rsidRDefault="00255CF5" w:rsidP="00255CF5">
      <w:pPr>
        <w:pStyle w:val="SingleTxtGA"/>
        <w:rPr>
          <w:b/>
          <w:bCs/>
        </w:rPr>
      </w:pPr>
      <w:r w:rsidRPr="00647096">
        <w:rPr>
          <w:rtl/>
        </w:rPr>
        <w:tab/>
        <w:t>(د)</w:t>
      </w:r>
      <w:r w:rsidRPr="00647096">
        <w:rPr>
          <w:rtl/>
        </w:rPr>
        <w:tab/>
      </w:r>
      <w:r w:rsidRPr="00476DC3">
        <w:rPr>
          <w:b/>
          <w:bCs/>
          <w:rtl/>
        </w:rPr>
        <w:t>ضمان صدور نداء عام من أعلى سلطات الدولة لتشجيع كل من لديه معلومات يمكن أن تفيد في البحث عن الأشخاص المختفين على تقديمها بلا تأخير من دون خوف من الوصم، وضمان أن تنظر الدولة الطرف في تطبيق ظروف مخففة على الأشخاص الذين شاركوا في ارتكاب حالات الاختفاء القسري والذين يساهمون بمعلومات موثوقة وذات أهمية لاستجلاء الحالات؛</w:t>
      </w:r>
    </w:p>
    <w:p w14:paraId="220AF946" w14:textId="7DF1FDA3" w:rsidR="00255CF5" w:rsidRPr="00476DC3" w:rsidRDefault="00255CF5" w:rsidP="00255CF5">
      <w:pPr>
        <w:pStyle w:val="SingleTxtGA"/>
        <w:rPr>
          <w:b/>
          <w:bCs/>
        </w:rPr>
      </w:pPr>
      <w:r w:rsidRPr="00647096">
        <w:rPr>
          <w:rtl/>
        </w:rPr>
        <w:tab/>
        <w:t>(ه)</w:t>
      </w:r>
      <w:r w:rsidRPr="00647096">
        <w:rPr>
          <w:rtl/>
        </w:rPr>
        <w:tab/>
      </w:r>
      <w:r w:rsidRPr="00476DC3">
        <w:rPr>
          <w:b/>
          <w:bCs/>
          <w:rtl/>
        </w:rPr>
        <w:t>ضمان تعاون جميع الجهات الفاعلة العامة معا</w:t>
      </w:r>
      <w:r w:rsidR="00F17722" w:rsidRPr="00476DC3">
        <w:rPr>
          <w:rFonts w:hint="cs"/>
          <w:b/>
          <w:bCs/>
          <w:rtl/>
        </w:rPr>
        <w:t>ً</w:t>
      </w:r>
      <w:r w:rsidRPr="00476DC3">
        <w:rPr>
          <w:b/>
          <w:bCs/>
          <w:rtl/>
        </w:rPr>
        <w:t xml:space="preserve"> بطريقة استباقية وسريعة وكما يجب مع المؤسسة الوطنية لحقوق الإنسان وتزويدها بكل المساعدة اللازمة، بما في ذلك المعلومات؛</w:t>
      </w:r>
    </w:p>
    <w:p w14:paraId="1A09C17B" w14:textId="2F65EA05" w:rsidR="00255CF5" w:rsidRPr="00476DC3" w:rsidRDefault="00255CF5" w:rsidP="00255CF5">
      <w:pPr>
        <w:pStyle w:val="SingleTxtGA"/>
        <w:rPr>
          <w:b/>
          <w:bCs/>
        </w:rPr>
      </w:pPr>
      <w:r w:rsidRPr="00647096">
        <w:rPr>
          <w:rtl/>
        </w:rPr>
        <w:tab/>
        <w:t>(و)</w:t>
      </w:r>
      <w:r w:rsidRPr="00647096">
        <w:rPr>
          <w:rtl/>
        </w:rPr>
        <w:tab/>
      </w:r>
      <w:r w:rsidRPr="00476DC3">
        <w:rPr>
          <w:b/>
          <w:bCs/>
          <w:rtl/>
        </w:rPr>
        <w:t>ضمان استمرار إمداد المؤسسة الوطنية لحقوق الإنسان وكل هيئة أخرى مختصة بالبحث عن الأشخاص المختفين والتعرف على رفاتهم في حالة الوفاة، بما يلزم من الموارد المالية والتقنية والموظفين المؤهلين لتمكينها من أداء عملها، وزيادة تلك الموارد قدر الإمكان؛</w:t>
      </w:r>
    </w:p>
    <w:p w14:paraId="0350575D" w14:textId="479C451C" w:rsidR="00255CF5" w:rsidRPr="00476DC3" w:rsidRDefault="00255CF5" w:rsidP="00255CF5">
      <w:pPr>
        <w:pStyle w:val="SingleTxtGA"/>
        <w:rPr>
          <w:b/>
          <w:bCs/>
        </w:rPr>
      </w:pPr>
      <w:r w:rsidRPr="00647096">
        <w:rPr>
          <w:rtl/>
        </w:rPr>
        <w:tab/>
        <w:t>(ز)</w:t>
      </w:r>
      <w:r w:rsidRPr="00647096">
        <w:rPr>
          <w:rtl/>
        </w:rPr>
        <w:tab/>
      </w:r>
      <w:r w:rsidRPr="00476DC3">
        <w:rPr>
          <w:b/>
          <w:bCs/>
          <w:rtl/>
        </w:rPr>
        <w:t>مواصلة التعاون مع الدول الأطراف الأخرى في المنطقة وتعزيز الجهود المبذولة في إطار هذا التعاون للبحث عن الأشخاص الذين اختفوا خلال عملية كوندور، وتحديد هويتهم وإعادة رفاتهم، في حالة الوفاة، وذلك وفقا</w:t>
      </w:r>
      <w:r w:rsidR="00F17722" w:rsidRPr="00476DC3">
        <w:rPr>
          <w:rFonts w:hint="cs"/>
          <w:b/>
          <w:bCs/>
          <w:rtl/>
        </w:rPr>
        <w:t>ً</w:t>
      </w:r>
      <w:r w:rsidRPr="00476DC3">
        <w:rPr>
          <w:b/>
          <w:bCs/>
          <w:rtl/>
        </w:rPr>
        <w:t xml:space="preserve"> للمادة 15 من الاتفاقية؛</w:t>
      </w:r>
    </w:p>
    <w:p w14:paraId="3C344FCB" w14:textId="7BC61EB5" w:rsidR="00255CF5" w:rsidRPr="00476DC3" w:rsidRDefault="00255CF5" w:rsidP="00255CF5">
      <w:pPr>
        <w:pStyle w:val="SingleTxtGA"/>
        <w:rPr>
          <w:b/>
          <w:bCs/>
        </w:rPr>
      </w:pPr>
      <w:r w:rsidRPr="00647096">
        <w:rPr>
          <w:rtl/>
        </w:rPr>
        <w:tab/>
        <w:t>(ح)</w:t>
      </w:r>
      <w:r w:rsidRPr="00647096">
        <w:rPr>
          <w:rtl/>
        </w:rPr>
        <w:tab/>
      </w:r>
      <w:r w:rsidRPr="00476DC3">
        <w:rPr>
          <w:b/>
          <w:bCs/>
          <w:rtl/>
        </w:rPr>
        <w:t>تقديم الدعم اللازم لأفراد الأسر الذين يشاركون في البحث عن مواطني أوروغواي المختفين في الخارج مع اتباع نهج يراعي اختلاف الحالات؛</w:t>
      </w:r>
    </w:p>
    <w:p w14:paraId="3DE603C1" w14:textId="4D2F8629" w:rsidR="00255CF5" w:rsidRPr="00476DC3" w:rsidRDefault="00240A69" w:rsidP="00240A69">
      <w:pPr>
        <w:pStyle w:val="SingleTxtGA"/>
        <w:rPr>
          <w:b/>
          <w:bCs/>
        </w:rPr>
      </w:pPr>
      <w:r w:rsidRPr="009F310B">
        <w:rPr>
          <w:rtl/>
        </w:rPr>
        <w:tab/>
      </w:r>
      <w:r w:rsidRPr="009F310B">
        <w:rPr>
          <w:rFonts w:hint="cs"/>
          <w:rtl/>
        </w:rPr>
        <w:t>(ط)</w:t>
      </w:r>
      <w:r w:rsidRPr="009F310B">
        <w:rPr>
          <w:rtl/>
        </w:rPr>
        <w:tab/>
      </w:r>
      <w:r w:rsidR="00255CF5" w:rsidRPr="00476DC3">
        <w:rPr>
          <w:b/>
          <w:bCs/>
          <w:rtl/>
        </w:rPr>
        <w:t>تنفيذ التوصيات الواردة في تقرير التقييم الصادر عملا</w:t>
      </w:r>
      <w:r w:rsidR="00F17722" w:rsidRPr="00476DC3">
        <w:rPr>
          <w:rFonts w:hint="cs"/>
          <w:b/>
          <w:bCs/>
          <w:rtl/>
        </w:rPr>
        <w:t>ً</w:t>
      </w:r>
      <w:r w:rsidR="00255CF5" w:rsidRPr="00476DC3">
        <w:rPr>
          <w:b/>
          <w:bCs/>
          <w:rtl/>
        </w:rPr>
        <w:t xml:space="preserve"> بالقرار الذي اعتمده مجلس الشيوخ في 10 شباط/فبراير 2021 بشأن المؤسسة الوطنية لحقوق الإنسان ومكتب أمين المظالم؛</w:t>
      </w:r>
    </w:p>
    <w:p w14:paraId="3C2AC7E6" w14:textId="0049B48F" w:rsidR="00255CF5" w:rsidRPr="00476DC3" w:rsidRDefault="00255CF5" w:rsidP="00255CF5">
      <w:pPr>
        <w:pStyle w:val="SingleTxtGA"/>
        <w:rPr>
          <w:b/>
          <w:bCs/>
        </w:rPr>
      </w:pPr>
      <w:r w:rsidRPr="00647096">
        <w:rPr>
          <w:rtl/>
        </w:rPr>
        <w:tab/>
        <w:t>(ي)</w:t>
      </w:r>
      <w:r w:rsidRPr="00647096">
        <w:rPr>
          <w:rtl/>
        </w:rPr>
        <w:tab/>
      </w:r>
      <w:r w:rsidRPr="00476DC3">
        <w:rPr>
          <w:b/>
          <w:bCs/>
          <w:rtl/>
        </w:rPr>
        <w:t>ضمان مواصلة البحث الدقيق والدؤوب حتى يتم تحديد مصير و/أو مكان وجود جميع الأشخاص الذين ما زالوا مفقودين.</w:t>
      </w:r>
    </w:p>
    <w:p w14:paraId="504392A7" w14:textId="76C11D0E" w:rsidR="00255CF5" w:rsidRPr="00476DC3" w:rsidRDefault="00255CF5" w:rsidP="00DB4B85">
      <w:pPr>
        <w:pStyle w:val="H23GA"/>
        <w:spacing w:after="100" w:line="356" w:lineRule="exact"/>
      </w:pPr>
      <w:r w:rsidRPr="00476DC3">
        <w:rPr>
          <w:rtl/>
        </w:rPr>
        <w:lastRenderedPageBreak/>
        <w:tab/>
        <w:t>4-</w:t>
      </w:r>
      <w:r w:rsidRPr="00476DC3">
        <w:rPr>
          <w:rtl/>
        </w:rPr>
        <w:tab/>
        <w:t>الجبر الكامل</w:t>
      </w:r>
    </w:p>
    <w:p w14:paraId="4B5DF12D" w14:textId="617E024E" w:rsidR="00255CF5" w:rsidRPr="00476DC3" w:rsidRDefault="00255CF5" w:rsidP="00DB4B85">
      <w:pPr>
        <w:pStyle w:val="H23GA"/>
        <w:spacing w:after="100" w:line="356" w:lineRule="exact"/>
      </w:pPr>
      <w:r w:rsidRPr="00476DC3">
        <w:rPr>
          <w:rtl/>
        </w:rPr>
        <w:tab/>
      </w:r>
      <w:r w:rsidRPr="00476DC3">
        <w:rPr>
          <w:rtl/>
        </w:rPr>
        <w:tab/>
        <w:t>الحق في الجبر</w:t>
      </w:r>
    </w:p>
    <w:p w14:paraId="1308E96A" w14:textId="5B46CD12" w:rsidR="00D33748" w:rsidRPr="00D33748" w:rsidRDefault="00255CF5" w:rsidP="00DB4B85">
      <w:pPr>
        <w:pStyle w:val="SingleTxtGA"/>
        <w:spacing w:after="100" w:line="356" w:lineRule="exact"/>
        <w:rPr>
          <w:spacing w:val="-5"/>
        </w:rPr>
      </w:pPr>
      <w:r w:rsidRPr="00476DC3">
        <w:rPr>
          <w:spacing w:val="-5"/>
          <w:rtl/>
        </w:rPr>
        <w:t>20</w:t>
      </w:r>
      <w:r w:rsidRPr="00486440">
        <w:rPr>
          <w:spacing w:val="-5"/>
          <w:rtl/>
        </w:rPr>
        <w:t>-</w:t>
      </w:r>
      <w:r w:rsidRPr="00486440">
        <w:rPr>
          <w:spacing w:val="-5"/>
          <w:rtl/>
        </w:rPr>
        <w:tab/>
        <w:t xml:space="preserve">ترحب اللجنة بالخطوات التي اتخذتها الدولة الطرف منذ صدور الملاحظات الختامية السابقة بشأن التعويضات عن انتهاكات حقوق الإنسان التي وقعت بين عامي </w:t>
      </w:r>
      <w:r w:rsidRPr="00476DC3">
        <w:rPr>
          <w:spacing w:val="-5"/>
          <w:rtl/>
        </w:rPr>
        <w:t>1968</w:t>
      </w:r>
      <w:r w:rsidRPr="00486440">
        <w:rPr>
          <w:spacing w:val="-5"/>
          <w:rtl/>
        </w:rPr>
        <w:t xml:space="preserve"> و</w:t>
      </w:r>
      <w:r w:rsidRPr="00476DC3">
        <w:rPr>
          <w:spacing w:val="-5"/>
          <w:rtl/>
        </w:rPr>
        <w:t>198</w:t>
      </w:r>
      <w:r w:rsidR="00D33748" w:rsidRPr="00476DC3">
        <w:rPr>
          <w:spacing w:val="-5"/>
          <w:rtl/>
        </w:rPr>
        <w:t>5</w:t>
      </w:r>
      <w:r w:rsidR="00D33748" w:rsidRPr="00D33748">
        <w:rPr>
          <w:spacing w:val="-5"/>
          <w:rtl/>
        </w:rPr>
        <w:t xml:space="preserve">. </w:t>
      </w:r>
      <w:r w:rsidRPr="00486440">
        <w:rPr>
          <w:spacing w:val="-5"/>
          <w:rtl/>
        </w:rPr>
        <w:t>بيد أنها تشعر بالقلق إزاء المزاعم التي تشير إلى استمرار وجود عقبات تحول دون إعمال حق جميع ضحايا حالات الاختفاء القسري التي ربما تكون قد حدثت خلال هذه الفترة في الحصول على الجبر الكامل. ويساورها القلق بوجه خاص إزاء الادعاءات التي تفيد ما يلي: (أ) وضع عبء الإثبات على عاتق الضحايا لإثبات أنهم عانوا من إصابات "بالغة جدا</w:t>
      </w:r>
      <w:r w:rsidR="00DB4B85">
        <w:rPr>
          <w:rFonts w:hint="cs"/>
          <w:spacing w:val="-5"/>
          <w:rtl/>
        </w:rPr>
        <w:t>ً</w:t>
      </w:r>
      <w:r w:rsidRPr="00486440">
        <w:rPr>
          <w:spacing w:val="-5"/>
          <w:rtl/>
        </w:rPr>
        <w:t>"؛ (ب) إجبار الضحايا على الاختيار بين الحصول على تعويضات أو</w:t>
      </w:r>
      <w:r w:rsidR="00F17722" w:rsidRPr="00486440">
        <w:rPr>
          <w:rFonts w:hint="cs"/>
          <w:spacing w:val="-5"/>
          <w:rtl/>
        </w:rPr>
        <w:t> </w:t>
      </w:r>
      <w:r w:rsidRPr="00486440">
        <w:rPr>
          <w:spacing w:val="-5"/>
          <w:rtl/>
        </w:rPr>
        <w:t>تقاضي معاشاتهم التقاعدية التي يستحقونها كعمال؛ (ج) يتعين على الضحايا التنا</w:t>
      </w:r>
      <w:r w:rsidR="00F17722" w:rsidRPr="00486440">
        <w:rPr>
          <w:rFonts w:hint="cs"/>
          <w:spacing w:val="-5"/>
          <w:rtl/>
        </w:rPr>
        <w:t>ز</w:t>
      </w:r>
      <w:r w:rsidRPr="00486440">
        <w:rPr>
          <w:spacing w:val="-5"/>
          <w:rtl/>
        </w:rPr>
        <w:t>ل عن أي حق في</w:t>
      </w:r>
      <w:r w:rsidR="00F17722" w:rsidRPr="00486440">
        <w:rPr>
          <w:rFonts w:hint="cs"/>
          <w:spacing w:val="-5"/>
          <w:rtl/>
        </w:rPr>
        <w:t> </w:t>
      </w:r>
      <w:r w:rsidRPr="00486440">
        <w:rPr>
          <w:spacing w:val="-5"/>
          <w:rtl/>
        </w:rPr>
        <w:t>رفع دعوى ضد الدولة في أي ولاية قضائية إذا استفادوا من استحقاقات الجبر بموجب القانون رقم</w:t>
      </w:r>
      <w:r w:rsidR="00F17722" w:rsidRPr="00486440">
        <w:rPr>
          <w:rFonts w:hint="cs"/>
          <w:spacing w:val="-5"/>
          <w:rtl/>
        </w:rPr>
        <w:t> </w:t>
      </w:r>
      <w:r w:rsidRPr="00476DC3">
        <w:rPr>
          <w:spacing w:val="-5"/>
          <w:rtl/>
        </w:rPr>
        <w:t>18</w:t>
      </w:r>
      <w:r w:rsidRPr="00486440">
        <w:rPr>
          <w:spacing w:val="-5"/>
          <w:rtl/>
        </w:rPr>
        <w:t>-</w:t>
      </w:r>
      <w:r w:rsidRPr="00476DC3">
        <w:rPr>
          <w:spacing w:val="-5"/>
          <w:rtl/>
        </w:rPr>
        <w:t>596</w:t>
      </w:r>
      <w:r w:rsidRPr="00486440">
        <w:rPr>
          <w:spacing w:val="-5"/>
          <w:rtl/>
        </w:rPr>
        <w:t xml:space="preserve">؛ (د) عدم الاعتراف لضحايا الاختفاء القسري بهذه الصفة في حالة الإفراج عنهم فيما بعد أو في حالة إضفاء الصبغة القانونية على حرمانهم من حريتهم. وبالإضافة إلى ذلك، يساور اللجنة القلق إزاء ورود ادعاءات تشير إلى تعرض مواقع إحياء الذكرى للتخريب وإزاء الاحتجاج بمبدأ العلمانية لعرقلة مناقشة الانتهاكات الجسيمة لحقوق الإنسان التي وقعت بين عامي </w:t>
      </w:r>
      <w:r w:rsidRPr="00476DC3">
        <w:rPr>
          <w:spacing w:val="-5"/>
          <w:rtl/>
        </w:rPr>
        <w:t>1968</w:t>
      </w:r>
      <w:r w:rsidRPr="00486440">
        <w:rPr>
          <w:spacing w:val="-5"/>
          <w:rtl/>
        </w:rPr>
        <w:t xml:space="preserve"> و</w:t>
      </w:r>
      <w:r w:rsidRPr="00476DC3">
        <w:rPr>
          <w:spacing w:val="-5"/>
          <w:rtl/>
        </w:rPr>
        <w:t>1985</w:t>
      </w:r>
      <w:r w:rsidRPr="00486440">
        <w:rPr>
          <w:spacing w:val="-5"/>
          <w:rtl/>
        </w:rPr>
        <w:t xml:space="preserve">، بما في ذلك الاختفاء القسري، في المدارس وغيرها من المؤسسات التعليمية (المادة </w:t>
      </w:r>
      <w:r w:rsidRPr="00476DC3">
        <w:rPr>
          <w:spacing w:val="-5"/>
          <w:rtl/>
        </w:rPr>
        <w:t>2</w:t>
      </w:r>
      <w:r w:rsidR="00D33748" w:rsidRPr="00476DC3">
        <w:rPr>
          <w:spacing w:val="-5"/>
          <w:rtl/>
        </w:rPr>
        <w:t>4</w:t>
      </w:r>
      <w:r w:rsidR="00D33748" w:rsidRPr="00D33748">
        <w:rPr>
          <w:spacing w:val="-5"/>
          <w:rtl/>
        </w:rPr>
        <w:t>).</w:t>
      </w:r>
    </w:p>
    <w:p w14:paraId="302C7737" w14:textId="57EF3789" w:rsidR="00255CF5" w:rsidRPr="00476DC3" w:rsidRDefault="00255CF5" w:rsidP="00DB4B85">
      <w:pPr>
        <w:pStyle w:val="SingleTxtGA"/>
        <w:spacing w:after="100" w:line="356" w:lineRule="exact"/>
        <w:rPr>
          <w:b/>
          <w:bCs/>
        </w:rPr>
      </w:pPr>
      <w:r w:rsidRPr="00476DC3">
        <w:rPr>
          <w:rtl/>
        </w:rPr>
        <w:t>21</w:t>
      </w:r>
      <w:r w:rsidRPr="00647096">
        <w:rPr>
          <w:rtl/>
        </w:rPr>
        <w:t>-</w:t>
      </w:r>
      <w:r w:rsidRPr="00647096">
        <w:rPr>
          <w:rtl/>
        </w:rPr>
        <w:tab/>
      </w:r>
      <w:r w:rsidRPr="00476DC3">
        <w:rPr>
          <w:b/>
          <w:bCs/>
          <w:rtl/>
        </w:rPr>
        <w:t>توصي اللجنة الدولة الطرف بما يلي:</w:t>
      </w:r>
    </w:p>
    <w:p w14:paraId="34E64256" w14:textId="63FB2446" w:rsidR="00255CF5" w:rsidRPr="00476DC3" w:rsidRDefault="00255CF5" w:rsidP="00DB4B85">
      <w:pPr>
        <w:pStyle w:val="SingleTxtGA"/>
        <w:spacing w:after="100" w:line="356" w:lineRule="exact"/>
        <w:rPr>
          <w:b/>
          <w:bCs/>
          <w:spacing w:val="-4"/>
        </w:rPr>
      </w:pPr>
      <w:r w:rsidRPr="00240A69">
        <w:rPr>
          <w:spacing w:val="-4"/>
          <w:rtl/>
        </w:rPr>
        <w:tab/>
        <w:t>(أ)</w:t>
      </w:r>
      <w:r w:rsidRPr="00240A69">
        <w:rPr>
          <w:spacing w:val="-4"/>
          <w:rtl/>
        </w:rPr>
        <w:tab/>
      </w:r>
      <w:r w:rsidRPr="00476DC3">
        <w:rPr>
          <w:b/>
          <w:bCs/>
          <w:spacing w:val="-4"/>
          <w:rtl/>
        </w:rPr>
        <w:t>ضمان وتيسير حصول كل شخص لحقه ضرر مباشر من جراء اختفاء قسري وقع بين عامي 1968 و1985 على جبر كامل يشمل جميع الأشكال المنصوص عليها في المادة 24(</w:t>
      </w:r>
      <w:r w:rsidR="00D33748" w:rsidRPr="00476DC3">
        <w:rPr>
          <w:b/>
          <w:bCs/>
          <w:spacing w:val="-4"/>
          <w:rtl/>
        </w:rPr>
        <w:t xml:space="preserve">5) </w:t>
      </w:r>
      <w:r w:rsidRPr="00476DC3">
        <w:rPr>
          <w:b/>
          <w:bCs/>
          <w:spacing w:val="-4"/>
          <w:rtl/>
        </w:rPr>
        <w:t>من الاتفاقية، بصرف النظر عن مدة هذا الاختفاء، مع مراعاة الاحتياجات المحددة للضحايا استنادا</w:t>
      </w:r>
      <w:r w:rsidR="00F17722" w:rsidRPr="00476DC3">
        <w:rPr>
          <w:rFonts w:hint="cs"/>
          <w:b/>
          <w:bCs/>
          <w:spacing w:val="-4"/>
          <w:rtl/>
        </w:rPr>
        <w:t>ً</w:t>
      </w:r>
      <w:r w:rsidRPr="00476DC3">
        <w:rPr>
          <w:b/>
          <w:bCs/>
          <w:spacing w:val="-4"/>
          <w:rtl/>
        </w:rPr>
        <w:t xml:space="preserve"> إلى اعتبارات نوع الجنس، والميل الجنسي، والهوية الجنسانية، والسن، والأصل الإثني، والوضع الاجتماعي، والإعاقة؛</w:t>
      </w:r>
    </w:p>
    <w:p w14:paraId="008BB06B" w14:textId="57DFD5AE" w:rsidR="00255CF5" w:rsidRPr="00476DC3" w:rsidRDefault="00255CF5" w:rsidP="00DB4B85">
      <w:pPr>
        <w:pStyle w:val="SingleTxtGA"/>
        <w:spacing w:after="100" w:line="356" w:lineRule="exact"/>
        <w:rPr>
          <w:b/>
          <w:bCs/>
        </w:rPr>
      </w:pPr>
      <w:r w:rsidRPr="00647096">
        <w:rPr>
          <w:rtl/>
        </w:rPr>
        <w:tab/>
        <w:t>(ب)</w:t>
      </w:r>
      <w:r w:rsidRPr="00647096">
        <w:rPr>
          <w:rtl/>
        </w:rPr>
        <w:tab/>
      </w:r>
      <w:r w:rsidRPr="00476DC3">
        <w:rPr>
          <w:b/>
          <w:bCs/>
          <w:rtl/>
        </w:rPr>
        <w:t>تخصيص موارد كافية لدعم الحق في الجبر الكامل لجميع ضحايا الاختفاء القسري؛</w:t>
      </w:r>
    </w:p>
    <w:p w14:paraId="09FB9DD0" w14:textId="1C547752" w:rsidR="00255CF5" w:rsidRPr="00476DC3" w:rsidRDefault="00255CF5" w:rsidP="00DB4B85">
      <w:pPr>
        <w:pStyle w:val="SingleTxtGA"/>
        <w:spacing w:after="100" w:line="356" w:lineRule="exact"/>
        <w:rPr>
          <w:b/>
          <w:bCs/>
          <w:spacing w:val="-4"/>
        </w:rPr>
      </w:pPr>
      <w:r w:rsidRPr="00240A69">
        <w:rPr>
          <w:spacing w:val="-4"/>
          <w:rtl/>
        </w:rPr>
        <w:tab/>
        <w:t>(ج)</w:t>
      </w:r>
      <w:r w:rsidRPr="00240A69">
        <w:rPr>
          <w:spacing w:val="-4"/>
          <w:rtl/>
        </w:rPr>
        <w:tab/>
      </w:r>
      <w:r w:rsidRPr="00476DC3">
        <w:rPr>
          <w:b/>
          <w:bCs/>
          <w:spacing w:val="-4"/>
          <w:rtl/>
        </w:rPr>
        <w:t>إجراء تحقيقات سريعة وشاملة وفعالة في جميع أعمال التخريب التي تستهف مواقع إحياء الذكرى، ومعاقبة المسؤولين عنها بعقوبات مناسبة واتخاذ تدابير صارمة لمنع تكرار مثل هذه الأعمال؛</w:t>
      </w:r>
    </w:p>
    <w:p w14:paraId="14E1FD19" w14:textId="1FC6B4D4" w:rsidR="00255CF5" w:rsidRPr="00476DC3" w:rsidRDefault="00255CF5" w:rsidP="00DB4B85">
      <w:pPr>
        <w:pStyle w:val="SingleTxtGA"/>
        <w:spacing w:after="100" w:line="356" w:lineRule="exact"/>
        <w:rPr>
          <w:b/>
          <w:bCs/>
        </w:rPr>
      </w:pPr>
      <w:r w:rsidRPr="00647096">
        <w:rPr>
          <w:rtl/>
        </w:rPr>
        <w:tab/>
        <w:t>(د)</w:t>
      </w:r>
      <w:r w:rsidRPr="00647096">
        <w:rPr>
          <w:rtl/>
        </w:rPr>
        <w:tab/>
      </w:r>
      <w:r w:rsidRPr="00476DC3">
        <w:rPr>
          <w:b/>
          <w:bCs/>
          <w:rtl/>
        </w:rPr>
        <w:t>تبني سياسة تثقيفية لاسْتحْضَار الانتهاكات الجسيمة لحقوق الإنسان التي وقعت بين عامي 1968 و1985، بما في ذلك حالات الاختفاء القسري.</w:t>
      </w:r>
    </w:p>
    <w:p w14:paraId="3CB76077" w14:textId="3ED86B98" w:rsidR="00255CF5" w:rsidRPr="00476DC3" w:rsidRDefault="00255CF5" w:rsidP="00DB4B85">
      <w:pPr>
        <w:pStyle w:val="H1GA"/>
        <w:spacing w:after="100" w:line="356" w:lineRule="exact"/>
      </w:pPr>
      <w:r w:rsidRPr="00476DC3">
        <w:rPr>
          <w:rtl/>
        </w:rPr>
        <w:tab/>
        <w:t>دال-</w:t>
      </w:r>
      <w:r w:rsidRPr="00476DC3">
        <w:rPr>
          <w:rtl/>
        </w:rPr>
        <w:tab/>
        <w:t>تنفيذ الحقوق والالتزامات الناشئة عن الاتفاقية والنشر والمتابعة</w:t>
      </w:r>
    </w:p>
    <w:p w14:paraId="61FC9626" w14:textId="6136AF56" w:rsidR="00255CF5" w:rsidRPr="00476DC3" w:rsidRDefault="00255CF5" w:rsidP="00DB4B85">
      <w:pPr>
        <w:pStyle w:val="SingleTxtGA"/>
        <w:spacing w:after="100" w:line="356" w:lineRule="exact"/>
        <w:rPr>
          <w:b/>
          <w:bCs/>
        </w:rPr>
      </w:pPr>
      <w:r w:rsidRPr="00476DC3">
        <w:rPr>
          <w:rtl/>
        </w:rPr>
        <w:t>22</w:t>
      </w:r>
      <w:r w:rsidRPr="00647096">
        <w:rPr>
          <w:rtl/>
        </w:rPr>
        <w:t>-</w:t>
      </w:r>
      <w:r w:rsidRPr="00647096">
        <w:rPr>
          <w:rtl/>
        </w:rPr>
        <w:tab/>
      </w:r>
      <w:r w:rsidRPr="00476DC3">
        <w:rPr>
          <w:b/>
          <w:bCs/>
          <w:rtl/>
        </w:rPr>
        <w:t>تود اللجنة أن تلفت الانتباه إلى الالتزامات التي تتعهد بها الدول عندما تصدق على</w:t>
      </w:r>
      <w:r w:rsidR="007A7B33" w:rsidRPr="00476DC3">
        <w:rPr>
          <w:b/>
          <w:bCs/>
          <w:rtl/>
        </w:rPr>
        <w:t xml:space="preserve"> </w:t>
      </w:r>
      <w:r w:rsidRPr="00476DC3">
        <w:rPr>
          <w:b/>
          <w:bCs/>
          <w:rtl/>
        </w:rPr>
        <w:t>الاتفاقية، وتحثّ في هذا الصدد الدولة الطرف على ضمان التوافق التام بين كل التدابير التي تعتمدها، أياً كانت طبيعتها وأياً كانت السلطة التي تتخذها، مع أحكام الاتفاقية وغيرها من الصكوك الدولية ذات الصلة.</w:t>
      </w:r>
    </w:p>
    <w:p w14:paraId="32191AF4" w14:textId="4E869E0E" w:rsidR="00255CF5" w:rsidRPr="00476DC3" w:rsidRDefault="00255CF5" w:rsidP="00DB4B85">
      <w:pPr>
        <w:pStyle w:val="SingleTxtGA"/>
        <w:spacing w:after="100" w:line="356" w:lineRule="exact"/>
        <w:rPr>
          <w:b/>
          <w:bCs/>
          <w:lang w:val="en-US"/>
        </w:rPr>
      </w:pPr>
      <w:r w:rsidRPr="00476DC3">
        <w:rPr>
          <w:rtl/>
        </w:rPr>
        <w:t>23</w:t>
      </w:r>
      <w:r w:rsidRPr="00647096">
        <w:rPr>
          <w:rtl/>
        </w:rPr>
        <w:t>-</w:t>
      </w:r>
      <w:r w:rsidRPr="00647096">
        <w:rPr>
          <w:rtl/>
        </w:rPr>
        <w:tab/>
      </w:r>
      <w:r w:rsidRPr="00476DC3">
        <w:rPr>
          <w:b/>
          <w:bCs/>
          <w:rtl/>
        </w:rPr>
        <w:t>وتشدد اللجنة أيضاً على الأثر البالغ القسوة للاختفاء القسري على النساء والأطفال. فالنساء ضحايا الاختفاء القسري معرضات بشكل خاص للعنف الجنسي ولغيره من أشكال العنف الجنساني. فقريبات الشخص المختفي معرضات بوجه خاص أيضا</w:t>
      </w:r>
      <w:r w:rsidR="00F17722" w:rsidRPr="00476DC3">
        <w:rPr>
          <w:rFonts w:hint="cs"/>
          <w:b/>
          <w:bCs/>
          <w:rtl/>
        </w:rPr>
        <w:t>ً</w:t>
      </w:r>
      <w:r w:rsidRPr="00476DC3">
        <w:rPr>
          <w:b/>
          <w:bCs/>
          <w:rtl/>
        </w:rPr>
        <w:t xml:space="preserve"> لتكبد أضرار اجتماعية واقتصادية شديدة وللعنف والاضطهاد والانتقام نتيجة جهودهن الرامية إلى تحديد مكان ذويهن. أما الأطفال ضحايا الاختفاء القسري، سواء كانوا قد تعرضوا له بأنفسهم أو عانوا منه بسبب اختفاء أقاربهم، فهم عرضة بوجه خاص، لانتهاك حقوق الإنسان المكفولة لهم. ولذلك، تؤكد اللجنة بشدة، ضرورة أن تعتمد الدولة الطرف بصورة منهجية منظورا</w:t>
      </w:r>
      <w:r w:rsidR="00F17722" w:rsidRPr="00476DC3">
        <w:rPr>
          <w:rFonts w:hint="cs"/>
          <w:b/>
          <w:bCs/>
          <w:rtl/>
        </w:rPr>
        <w:t>ً</w:t>
      </w:r>
      <w:r w:rsidRPr="00476DC3">
        <w:rPr>
          <w:b/>
          <w:bCs/>
          <w:rtl/>
        </w:rPr>
        <w:t xml:space="preserve"> جنسانيا</w:t>
      </w:r>
      <w:r w:rsidR="00F17722" w:rsidRPr="00476DC3">
        <w:rPr>
          <w:rFonts w:hint="cs"/>
          <w:b/>
          <w:bCs/>
          <w:rtl/>
        </w:rPr>
        <w:t>ً</w:t>
      </w:r>
      <w:r w:rsidRPr="00476DC3">
        <w:rPr>
          <w:b/>
          <w:bCs/>
          <w:rtl/>
        </w:rPr>
        <w:t xml:space="preserve"> وأن تراعي الاحتياجات الخاصة للنساء والأطفال عند تنفيذ هذه التوصيات وجميع الحقوق والالتزامات المنصوص عليها في الاتفاقية.</w:t>
      </w:r>
    </w:p>
    <w:p w14:paraId="082BD2BE" w14:textId="1862A6E5" w:rsidR="00255CF5" w:rsidRPr="00476DC3" w:rsidRDefault="00255CF5" w:rsidP="00255CF5">
      <w:pPr>
        <w:pStyle w:val="SingleTxtGA"/>
        <w:rPr>
          <w:b/>
          <w:bCs/>
          <w:spacing w:val="-2"/>
        </w:rPr>
      </w:pPr>
      <w:r w:rsidRPr="00476DC3">
        <w:rPr>
          <w:spacing w:val="-2"/>
          <w:rtl/>
        </w:rPr>
        <w:lastRenderedPageBreak/>
        <w:t>24</w:t>
      </w:r>
      <w:r w:rsidRPr="004B4944">
        <w:rPr>
          <w:spacing w:val="-2"/>
          <w:rtl/>
        </w:rPr>
        <w:t>-</w:t>
      </w:r>
      <w:r w:rsidRPr="004B4944">
        <w:rPr>
          <w:spacing w:val="-2"/>
          <w:rtl/>
        </w:rPr>
        <w:tab/>
      </w:r>
      <w:r w:rsidRPr="00476DC3">
        <w:rPr>
          <w:b/>
          <w:bCs/>
          <w:spacing w:val="-2"/>
          <w:rtl/>
        </w:rPr>
        <w:t>وتشجَّع الدولة الطرف على نشر نص الاتفاقية على نطاق واسع، وكذلك المعلومات التكميلية المقدمة بموجب الفقرة 4 من المادة 29 من الاتفاقية وهذه الملاحظات الختامية، بهدف توعية جميع سلطات الدولة وجميع الجهات الفاعلة في المجتمع المدني والسكان عموماً. وتشجع اللجنة الدولة الطرف أيضاً على تعزيز مشاركة المجتمع المدني في تنفيذ التوصيات الواردة في هذه الملاحظات الختامية.</w:t>
      </w:r>
    </w:p>
    <w:p w14:paraId="14407D2C" w14:textId="0722417C" w:rsidR="00255CF5" w:rsidRPr="00476DC3" w:rsidRDefault="00255CF5" w:rsidP="00255CF5">
      <w:pPr>
        <w:pStyle w:val="SingleTxtGA"/>
        <w:rPr>
          <w:b/>
          <w:bCs/>
        </w:rPr>
      </w:pPr>
      <w:r w:rsidRPr="00476DC3">
        <w:rPr>
          <w:rtl/>
        </w:rPr>
        <w:t>25</w:t>
      </w:r>
      <w:r w:rsidRPr="00647096">
        <w:rPr>
          <w:rtl/>
        </w:rPr>
        <w:t>-</w:t>
      </w:r>
      <w:r w:rsidRPr="00647096">
        <w:rPr>
          <w:rtl/>
        </w:rPr>
        <w:tab/>
      </w:r>
      <w:r w:rsidRPr="00476DC3">
        <w:rPr>
          <w:b/>
          <w:bCs/>
          <w:rtl/>
        </w:rPr>
        <w:t>وبموجب المادة 29(</w:t>
      </w:r>
      <w:r w:rsidR="00D33748" w:rsidRPr="00476DC3">
        <w:rPr>
          <w:b/>
          <w:bCs/>
          <w:rtl/>
        </w:rPr>
        <w:t xml:space="preserve">4) </w:t>
      </w:r>
      <w:r w:rsidRPr="00476DC3">
        <w:rPr>
          <w:b/>
          <w:bCs/>
          <w:rtl/>
        </w:rPr>
        <w:t>من الاتفاقية، تطلب اللجنة إلى الدولة الطرف أن تقدم، بحلول 23 أيلول/سبتمبر 2025، معلومات محددة ومحدثة عن اعتماد سياسة وطنية بشأن الاختفاء القسري تأخذ في الاعتبار التوصيات الواردة في هذه الملاحظات الختامية بشأن التحقيقات وعمليات البحث والجبر لأغراض الاستعراض الذي سيجرى في عام 2026، (انظر الفقرات 5 و17 و19 و21</w:t>
      </w:r>
      <w:r w:rsidR="00D33748" w:rsidRPr="00476DC3">
        <w:rPr>
          <w:b/>
          <w:bCs/>
          <w:rtl/>
        </w:rPr>
        <w:t xml:space="preserve">)، </w:t>
      </w:r>
      <w:r w:rsidRPr="00476DC3">
        <w:rPr>
          <w:b/>
          <w:bCs/>
          <w:rtl/>
        </w:rPr>
        <w:t>وتحث اللجنة الدولة الطرف على تشجيع وتسهيل مشاركة المجتمع المدني، ولا</w:t>
      </w:r>
      <w:r w:rsidR="00F17722" w:rsidRPr="00476DC3">
        <w:rPr>
          <w:rFonts w:hint="cs"/>
          <w:b/>
          <w:bCs/>
          <w:rtl/>
        </w:rPr>
        <w:t> </w:t>
      </w:r>
      <w:r w:rsidRPr="00476DC3">
        <w:rPr>
          <w:b/>
          <w:bCs/>
          <w:rtl/>
        </w:rPr>
        <w:t>سيما جمعيات ضحايا الاختفاء القسري، في إعداد هذه المعلومات. وتذكّر اللجنة بأن الفقرة 4 من المادة 29 من الاتفاقية تجيز لها أن تطلب إلى الدولة الطرف لاحقا</w:t>
      </w:r>
      <w:r w:rsidR="00F17722" w:rsidRPr="00476DC3">
        <w:rPr>
          <w:rFonts w:hint="cs"/>
          <w:b/>
          <w:bCs/>
          <w:rtl/>
        </w:rPr>
        <w:t>ً</w:t>
      </w:r>
      <w:r w:rsidRPr="00476DC3">
        <w:rPr>
          <w:b/>
          <w:bCs/>
          <w:rtl/>
        </w:rPr>
        <w:t xml:space="preserve"> تقديم معلومات تكميلية عن تطبيق الاتفاقية، بما في ذلك معلومات عن التدابير المتخذة لتنفيذ جميع التوصيات الواردة في هذه الملاحظات الختامية.</w:t>
      </w:r>
    </w:p>
    <w:p w14:paraId="7F92F0AD" w14:textId="4A6830D5" w:rsidR="00B54045" w:rsidRPr="00255CF5" w:rsidRDefault="00255CF5" w:rsidP="00255CF5">
      <w:pPr>
        <w:pStyle w:val="SingleTxtGA"/>
        <w:jc w:val="center"/>
        <w:rPr>
          <w:u w:val="single"/>
        </w:rPr>
      </w:pPr>
      <w:r>
        <w:rPr>
          <w:u w:val="single"/>
          <w:rtl/>
        </w:rPr>
        <w:tab/>
      </w:r>
      <w:r>
        <w:rPr>
          <w:u w:val="single"/>
          <w:rtl/>
        </w:rPr>
        <w:tab/>
      </w:r>
      <w:r>
        <w:rPr>
          <w:u w:val="single"/>
          <w:rtl/>
        </w:rPr>
        <w:tab/>
      </w:r>
    </w:p>
    <w:sectPr w:rsidR="00B54045" w:rsidRPr="00255CF5" w:rsidSect="00A17BF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C764" w14:textId="77777777" w:rsidR="0020253D" w:rsidRPr="002901D9" w:rsidRDefault="0020253D" w:rsidP="00DF5E71">
      <w:pPr>
        <w:spacing w:after="60" w:line="240" w:lineRule="auto"/>
        <w:ind w:left="57"/>
        <w:rPr>
          <w:i/>
          <w:iCs/>
        </w:rPr>
      </w:pPr>
      <w:r>
        <w:rPr>
          <w:rFonts w:hint="cs"/>
          <w:i/>
          <w:iCs/>
          <w:rtl/>
        </w:rPr>
        <w:t>الحواشي</w:t>
      </w:r>
    </w:p>
  </w:endnote>
  <w:endnote w:type="continuationSeparator" w:id="0">
    <w:p w14:paraId="11437000" w14:textId="77777777" w:rsidR="0020253D" w:rsidRDefault="0020253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F190" w14:textId="0FB2585A" w:rsidR="00FA4F79" w:rsidRPr="00FA4F79" w:rsidRDefault="00FA4F79" w:rsidP="00FA4F79">
    <w:pPr>
      <w:pStyle w:val="Footer"/>
      <w:tabs>
        <w:tab w:val="right" w:pos="9638"/>
      </w:tabs>
      <w:rPr>
        <w:b/>
        <w:sz w:val="18"/>
        <w:lang w:val="en-US"/>
      </w:rPr>
    </w:pPr>
    <w:r>
      <w:rPr>
        <w:lang w:val="en-US"/>
      </w:rPr>
      <w:t>GE.22-17194</w:t>
    </w:r>
    <w:r>
      <w:rPr>
        <w:lang w:val="en-US"/>
      </w:rPr>
      <w:tab/>
    </w:r>
    <w:r w:rsidRPr="00FA4F79">
      <w:rPr>
        <w:b/>
        <w:sz w:val="18"/>
        <w:lang w:val="en-US"/>
      </w:rPr>
      <w:fldChar w:fldCharType="begin"/>
    </w:r>
    <w:r w:rsidRPr="00FA4F79">
      <w:rPr>
        <w:b/>
        <w:sz w:val="18"/>
        <w:lang w:val="en-US"/>
      </w:rPr>
      <w:instrText xml:space="preserve"> PAGE  \* MERGEFORMAT </w:instrText>
    </w:r>
    <w:r w:rsidRPr="00FA4F79">
      <w:rPr>
        <w:b/>
        <w:sz w:val="18"/>
        <w:lang w:val="en-US"/>
      </w:rPr>
      <w:fldChar w:fldCharType="separate"/>
    </w:r>
    <w:r w:rsidRPr="00FA4F79">
      <w:rPr>
        <w:b/>
        <w:noProof/>
        <w:sz w:val="18"/>
        <w:lang w:val="en-US"/>
      </w:rPr>
      <w:t>2</w:t>
    </w:r>
    <w:r w:rsidRPr="00FA4F7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F2FD" w14:textId="78FAF418" w:rsidR="006959B0" w:rsidRPr="00FA4F79" w:rsidRDefault="00FA4F79" w:rsidP="00FA4F7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GE.22-17194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2C07" w14:textId="4A389562" w:rsidR="00AB4F93" w:rsidRPr="00FA4F79" w:rsidRDefault="00FA4F79" w:rsidP="00FA4F79">
    <w:pPr>
      <w:pStyle w:val="Footer"/>
      <w:spacing w:before="600"/>
      <w:ind w:left="567"/>
      <w:jc w:val="right"/>
      <w:rPr>
        <w:sz w:val="20"/>
        <w:lang w:val="en-US"/>
      </w:rPr>
    </w:pPr>
    <w:r>
      <w:rPr>
        <w:sz w:val="20"/>
        <w:lang w:val="en-US"/>
      </w:rPr>
      <w:t>GE.</w:t>
    </w:r>
    <w:r w:rsidR="007F55ED">
      <w:rPr>
        <w:noProof/>
      </w:rPr>
      <w:drawing>
        <wp:anchor distT="0" distB="0" distL="114300" distR="114300" simplePos="0" relativeHeight="251659264" behindDoc="1" locked="1" layoutInCell="0" allowOverlap="1" wp14:anchorId="609E7B4A" wp14:editId="5352EEA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22-17194</w:t>
    </w:r>
    <w:r w:rsidR="00255CF5">
      <w:rPr>
        <w:sz w:val="20"/>
        <w:lang w:val="en-US"/>
      </w:rPr>
      <w:t xml:space="preserve"> </w:t>
    </w:r>
    <w:r>
      <w:rPr>
        <w:sz w:val="20"/>
        <w:lang w:val="en-US"/>
      </w:rPr>
      <w:t>(A)</w:t>
    </w:r>
    <w:r>
      <w:rPr>
        <w:noProof/>
        <w:sz w:val="20"/>
        <w:lang w:val="en-US"/>
      </w:rPr>
      <w:drawing>
        <wp:anchor distT="0" distB="0" distL="114300" distR="114300" simplePos="0" relativeHeight="251660288" behindDoc="0" locked="0" layoutInCell="1" allowOverlap="1" wp14:anchorId="1C3B4129" wp14:editId="3D8872EB">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9EB2" w14:textId="77777777" w:rsidR="0020253D" w:rsidRPr="002804D6" w:rsidRDefault="0020253D" w:rsidP="002804D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4859F2C" w14:textId="77777777" w:rsidR="0020253D" w:rsidRDefault="0020253D" w:rsidP="00656392">
      <w:pPr>
        <w:spacing w:line="240" w:lineRule="auto"/>
      </w:pPr>
      <w:r>
        <w:continuationSeparator/>
      </w:r>
    </w:p>
  </w:footnote>
  <w:footnote w:id="1">
    <w:p w14:paraId="13E8E7A5" w14:textId="318416D1" w:rsidR="00255CF5" w:rsidRPr="00255CF5" w:rsidRDefault="00255CF5" w:rsidP="00255CF5">
      <w:pPr>
        <w:pStyle w:val="FootnoteText1"/>
      </w:pPr>
      <w:r>
        <w:rPr>
          <w:rFonts w:hint="cs"/>
          <w:rtl/>
        </w:rPr>
        <w:t>*</w:t>
      </w:r>
      <w:r w:rsidRPr="00255CF5">
        <w:rPr>
          <w:rtl/>
        </w:rPr>
        <w:tab/>
        <w:t xml:space="preserve">اعتمدتها اللجنة في دورتها الثالثة والعشرين </w:t>
      </w:r>
      <w:r w:rsidRPr="00476DC3">
        <w:rPr>
          <w:rtl/>
        </w:rPr>
        <w:t>12</w:t>
      </w:r>
      <w:r w:rsidR="007F6587">
        <w:rPr>
          <w:rFonts w:hint="cs"/>
          <w:rtl/>
        </w:rPr>
        <w:t>-</w:t>
      </w:r>
      <w:r w:rsidR="007F6587" w:rsidRPr="00476DC3">
        <w:rPr>
          <w:rFonts w:hint="cs"/>
          <w:rtl/>
        </w:rPr>
        <w:t>23</w:t>
      </w:r>
      <w:r w:rsidRPr="00255CF5">
        <w:rPr>
          <w:rtl/>
        </w:rPr>
        <w:t xml:space="preserve"> أيلول/سبتمبر </w:t>
      </w:r>
      <w:r w:rsidRPr="00476DC3">
        <w:rPr>
          <w:rtl/>
        </w:rPr>
        <w:t>2022</w:t>
      </w:r>
      <w:r w:rsidR="00D33748" w:rsidRPr="00D33748">
        <w:rPr>
          <w:rtl/>
        </w:rPr>
        <w:t xml:space="preserve">). </w:t>
      </w:r>
    </w:p>
  </w:footnote>
  <w:footnote w:id="2">
    <w:p w14:paraId="7F03F746" w14:textId="77777777" w:rsidR="00D33748" w:rsidRPr="00255CF5" w:rsidRDefault="00D33748" w:rsidP="00D33748">
      <w:pPr>
        <w:pStyle w:val="FootnoteText1"/>
      </w:pPr>
      <w:r w:rsidRPr="009F310B">
        <w:rPr>
          <w:rtl/>
        </w:rPr>
        <w:t>(</w:t>
      </w:r>
      <w:r w:rsidRPr="00476DC3">
        <w:footnoteRef/>
      </w:r>
      <w:r w:rsidRPr="009F310B">
        <w:rPr>
          <w:rtl/>
        </w:rPr>
        <w:t>)</w:t>
      </w:r>
      <w:r w:rsidRPr="00255CF5">
        <w:rPr>
          <w:rtl/>
        </w:rPr>
        <w:tab/>
      </w:r>
      <w:hyperlink r:id="rId1" w:history="1">
        <w:r w:rsidRPr="00D33748">
          <w:rPr>
            <w:rStyle w:val="Hyperlink"/>
          </w:rPr>
          <w:t>CED/C/URY/AI/</w:t>
        </w:r>
        <w:r w:rsidRPr="00476DC3">
          <w:rPr>
            <w:rStyle w:val="Hyperlink"/>
          </w:rPr>
          <w:t>1</w:t>
        </w:r>
      </w:hyperlink>
      <w:r w:rsidRPr="00D33748">
        <w:rPr>
          <w:rtl/>
        </w:rPr>
        <w:t xml:space="preserve">. </w:t>
      </w:r>
    </w:p>
  </w:footnote>
  <w:footnote w:id="3">
    <w:p w14:paraId="6A4DDE3F" w14:textId="77777777" w:rsidR="00D33748" w:rsidRPr="00255CF5" w:rsidRDefault="00D33748" w:rsidP="00D33748">
      <w:pPr>
        <w:pStyle w:val="FootnoteText1"/>
      </w:pPr>
      <w:r w:rsidRPr="009F310B">
        <w:rPr>
          <w:rtl/>
        </w:rPr>
        <w:t>(</w:t>
      </w:r>
      <w:r w:rsidRPr="00476DC3">
        <w:footnoteRef/>
      </w:r>
      <w:r w:rsidRPr="009F310B">
        <w:rPr>
          <w:rtl/>
        </w:rPr>
        <w:t>)</w:t>
      </w:r>
      <w:r w:rsidRPr="00255CF5">
        <w:rPr>
          <w:rtl/>
        </w:rPr>
        <w:tab/>
      </w:r>
      <w:hyperlink r:id="rId2" w:history="1">
        <w:r w:rsidRPr="00D33748">
          <w:rPr>
            <w:rStyle w:val="Hyperlink"/>
          </w:rPr>
          <w:t>CED/C/URY/CO/</w:t>
        </w:r>
        <w:r w:rsidRPr="00476DC3">
          <w:rPr>
            <w:rStyle w:val="Hyperlink"/>
          </w:rPr>
          <w:t>1</w:t>
        </w:r>
      </w:hyperlink>
      <w:r w:rsidRPr="00255CF5">
        <w:rPr>
          <w:rtl/>
        </w:rPr>
        <w:t xml:space="preserve">، الفقرة </w:t>
      </w:r>
      <w:r w:rsidRPr="00476DC3">
        <w:rPr>
          <w:rtl/>
        </w:rPr>
        <w:t>42</w:t>
      </w:r>
      <w:r w:rsidRPr="00D33748">
        <w:rPr>
          <w:rtl/>
        </w:rPr>
        <w:t xml:space="preserve">. </w:t>
      </w:r>
    </w:p>
  </w:footnote>
  <w:footnote w:id="4">
    <w:p w14:paraId="6006B93C" w14:textId="67419C6A" w:rsidR="00D33748" w:rsidRPr="00067DB3" w:rsidRDefault="00D33748" w:rsidP="00D56A5E">
      <w:pPr>
        <w:pStyle w:val="FootnoteText1"/>
        <w:jc w:val="left"/>
        <w:rPr>
          <w:spacing w:val="-2"/>
        </w:rPr>
      </w:pPr>
      <w:r w:rsidRPr="009F310B">
        <w:rPr>
          <w:spacing w:val="-2"/>
          <w:rtl/>
        </w:rPr>
        <w:t>(</w:t>
      </w:r>
      <w:r w:rsidRPr="00476DC3">
        <w:rPr>
          <w:spacing w:val="-2"/>
        </w:rPr>
        <w:footnoteRef/>
      </w:r>
      <w:r w:rsidRPr="009F310B">
        <w:rPr>
          <w:spacing w:val="-2"/>
          <w:rtl/>
        </w:rPr>
        <w:t>)</w:t>
      </w:r>
      <w:r w:rsidRPr="00067DB3">
        <w:rPr>
          <w:spacing w:val="-2"/>
          <w:rtl/>
        </w:rPr>
        <w:tab/>
        <w:t>انظر الرابط التالي:</w:t>
      </w:r>
      <w:r w:rsidRPr="00067DB3">
        <w:rPr>
          <w:rFonts w:hint="cs"/>
          <w:spacing w:val="-2"/>
          <w:rtl/>
        </w:rPr>
        <w:t xml:space="preserve"> </w:t>
      </w:r>
      <w:hyperlink r:id="rId3" w:history="1">
        <w:r w:rsidR="001D3F24" w:rsidRPr="001D3F24">
          <w:rPr>
            <w:rStyle w:val="Hyperlink"/>
          </w:rPr>
          <w:t>https://tbinternet.ohchr.org/_layouts/</w:t>
        </w:r>
        <w:r w:rsidR="001D3F24" w:rsidRPr="00476DC3">
          <w:rPr>
            <w:rStyle w:val="Hyperlink"/>
          </w:rPr>
          <w:t>15</w:t>
        </w:r>
        <w:r w:rsidR="001D3F24" w:rsidRPr="001D3F24">
          <w:rPr>
            <w:rStyle w:val="Hyperlink"/>
          </w:rPr>
          <w:t>/treatybodyexternal/Download.aspx?</w:t>
        </w:r>
        <w:r w:rsidR="001D3F24" w:rsidRPr="001D3F24">
          <w:rPr>
            <w:rStyle w:val="Hyperlink"/>
          </w:rPr>
          <w:br/>
        </w:r>
        <w:proofErr w:type="spellStart"/>
        <w:r w:rsidR="001D3F24" w:rsidRPr="001D3F24">
          <w:rPr>
            <w:rStyle w:val="Hyperlink"/>
          </w:rPr>
          <w:t>symbolno</w:t>
        </w:r>
        <w:proofErr w:type="spellEnd"/>
        <w:r w:rsidR="001D3F24" w:rsidRPr="001D3F24">
          <w:rPr>
            <w:rStyle w:val="Hyperlink"/>
          </w:rPr>
          <w:t>=INT%</w:t>
        </w:r>
        <w:r w:rsidR="001D3F24" w:rsidRPr="00476DC3">
          <w:rPr>
            <w:rStyle w:val="Hyperlink"/>
          </w:rPr>
          <w:t>2</w:t>
        </w:r>
        <w:r w:rsidR="001D3F24" w:rsidRPr="001D3F24">
          <w:rPr>
            <w:rStyle w:val="Hyperlink"/>
          </w:rPr>
          <w:t>fCED%</w:t>
        </w:r>
        <w:r w:rsidR="001D3F24" w:rsidRPr="00476DC3">
          <w:rPr>
            <w:rStyle w:val="Hyperlink"/>
          </w:rPr>
          <w:t>2</w:t>
        </w:r>
        <w:r w:rsidR="001D3F24" w:rsidRPr="001D3F24">
          <w:rPr>
            <w:rStyle w:val="Hyperlink"/>
          </w:rPr>
          <w:t>fRLI%</w:t>
        </w:r>
        <w:r w:rsidR="001D3F24" w:rsidRPr="00476DC3">
          <w:rPr>
            <w:rStyle w:val="Hyperlink"/>
          </w:rPr>
          <w:t>2</w:t>
        </w:r>
        <w:r w:rsidR="001D3F24" w:rsidRPr="001D3F24">
          <w:rPr>
            <w:rStyle w:val="Hyperlink"/>
          </w:rPr>
          <w:t>fURY%</w:t>
        </w:r>
        <w:r w:rsidR="001D3F24" w:rsidRPr="00476DC3">
          <w:rPr>
            <w:rStyle w:val="Hyperlink"/>
          </w:rPr>
          <w:t>2</w:t>
        </w:r>
        <w:r w:rsidR="001D3F24" w:rsidRPr="001D3F24">
          <w:rPr>
            <w:rStyle w:val="Hyperlink"/>
          </w:rPr>
          <w:t>f</w:t>
        </w:r>
        <w:r w:rsidR="001D3F24" w:rsidRPr="00476DC3">
          <w:rPr>
            <w:rStyle w:val="Hyperlink"/>
          </w:rPr>
          <w:t>49553</w:t>
        </w:r>
        <w:r w:rsidR="001D3F24" w:rsidRPr="001D3F24">
          <w:rPr>
            <w:rStyle w:val="Hyperlink"/>
          </w:rPr>
          <w:t>&amp;Lang=es</w:t>
        </w:r>
      </w:hyperlink>
      <w:r w:rsidRPr="00D33748">
        <w:rPr>
          <w:spacing w:val="-2"/>
          <w:rtl/>
        </w:rPr>
        <w:t xml:space="preserve">. </w:t>
      </w:r>
    </w:p>
  </w:footnote>
  <w:footnote w:id="5">
    <w:p w14:paraId="0EB8737F" w14:textId="77777777" w:rsidR="00D33748" w:rsidRPr="00255CF5" w:rsidRDefault="00D33748" w:rsidP="00D33748">
      <w:pPr>
        <w:pStyle w:val="FootnoteText1"/>
      </w:pPr>
      <w:r w:rsidRPr="009F310B">
        <w:rPr>
          <w:rtl/>
        </w:rPr>
        <w:t>(</w:t>
      </w:r>
      <w:r w:rsidRPr="00476DC3">
        <w:footnoteRef/>
      </w:r>
      <w:r w:rsidRPr="009F310B">
        <w:rPr>
          <w:rtl/>
        </w:rPr>
        <w:t>)</w:t>
      </w:r>
      <w:r w:rsidRPr="00255CF5">
        <w:rPr>
          <w:rtl/>
        </w:rPr>
        <w:tab/>
      </w:r>
      <w:hyperlink r:id="rId4" w:history="1">
        <w:r w:rsidRPr="00D33748">
          <w:rPr>
            <w:rStyle w:val="Hyperlink"/>
          </w:rPr>
          <w:t>CED/C/SR.</w:t>
        </w:r>
        <w:r w:rsidRPr="00476DC3">
          <w:rPr>
            <w:rStyle w:val="Hyperlink"/>
          </w:rPr>
          <w:t>409</w:t>
        </w:r>
      </w:hyperlink>
      <w:r w:rsidRPr="00D33748">
        <w:rPr>
          <w:rtl/>
        </w:rPr>
        <w:t xml:space="preserve">. </w:t>
      </w:r>
    </w:p>
  </w:footnote>
  <w:footnote w:id="6">
    <w:p w14:paraId="7B2B802A" w14:textId="77777777" w:rsidR="00D33748" w:rsidRPr="00255CF5" w:rsidRDefault="00D33748" w:rsidP="00D33748">
      <w:pPr>
        <w:pStyle w:val="FootnoteText1"/>
      </w:pPr>
      <w:r w:rsidRPr="009F310B">
        <w:rPr>
          <w:rtl/>
        </w:rPr>
        <w:t>(</w:t>
      </w:r>
      <w:r w:rsidRPr="00476DC3">
        <w:footnoteRef/>
      </w:r>
      <w:r w:rsidRPr="009F310B">
        <w:rPr>
          <w:rtl/>
        </w:rPr>
        <w:t>)</w:t>
      </w:r>
      <w:r w:rsidRPr="00255CF5">
        <w:rPr>
          <w:rtl/>
        </w:rPr>
        <w:tab/>
      </w:r>
      <w:hyperlink r:id="rId5" w:history="1">
        <w:r w:rsidRPr="00D33748">
          <w:rPr>
            <w:rStyle w:val="Hyperlink"/>
          </w:rPr>
          <w:t>CED/C/URY/CO/</w:t>
        </w:r>
        <w:r w:rsidRPr="00476DC3">
          <w:rPr>
            <w:rStyle w:val="Hyperlink"/>
          </w:rPr>
          <w:t>1</w:t>
        </w:r>
      </w:hyperlink>
      <w:r w:rsidRPr="00255CF5">
        <w:rPr>
          <w:rtl/>
        </w:rPr>
        <w:t xml:space="preserve">، الفقرة </w:t>
      </w:r>
      <w:r w:rsidRPr="00476DC3">
        <w:rPr>
          <w:rtl/>
        </w:rPr>
        <w:t>12</w:t>
      </w:r>
      <w:r w:rsidRPr="00D33748">
        <w:rPr>
          <w:rtl/>
        </w:rPr>
        <w:t xml:space="preserve">. </w:t>
      </w:r>
    </w:p>
  </w:footnote>
  <w:footnote w:id="7">
    <w:p w14:paraId="77127501" w14:textId="77777777" w:rsidR="00D33748" w:rsidRPr="00255CF5" w:rsidRDefault="00D33748" w:rsidP="005A2B2E">
      <w:pPr>
        <w:pStyle w:val="FootnoteText1"/>
      </w:pPr>
      <w:r w:rsidRPr="009F310B">
        <w:rPr>
          <w:rtl/>
        </w:rPr>
        <w:t>(</w:t>
      </w:r>
      <w:r w:rsidRPr="00476DC3">
        <w:footnoteRef/>
      </w:r>
      <w:r w:rsidRPr="009F310B">
        <w:rPr>
          <w:rtl/>
        </w:rPr>
        <w:t>)</w:t>
      </w:r>
      <w:r w:rsidRPr="00255CF5">
        <w:rPr>
          <w:rtl/>
        </w:rPr>
        <w:tab/>
        <w:t xml:space="preserve">المرجع نفسه، الفقرات </w:t>
      </w:r>
      <w:r w:rsidRPr="00476DC3">
        <w:rPr>
          <w:rtl/>
        </w:rPr>
        <w:t>25</w:t>
      </w:r>
      <w:r w:rsidRPr="00255CF5">
        <w:rPr>
          <w:rtl/>
        </w:rPr>
        <w:t>–</w:t>
      </w:r>
      <w:r w:rsidRPr="00476DC3">
        <w:rPr>
          <w:rtl/>
        </w:rPr>
        <w:t>26</w:t>
      </w:r>
      <w:r w:rsidRPr="00D33748">
        <w:rPr>
          <w:rtl/>
        </w:rPr>
        <w:t xml:space="preserve">. </w:t>
      </w:r>
    </w:p>
  </w:footnote>
  <w:footnote w:id="8">
    <w:p w14:paraId="530ADC33" w14:textId="77777777" w:rsidR="00D33748" w:rsidRPr="00255CF5" w:rsidRDefault="00D33748" w:rsidP="00D33748">
      <w:pPr>
        <w:pStyle w:val="FootnoteText1"/>
      </w:pPr>
      <w:r w:rsidRPr="009F310B">
        <w:rPr>
          <w:rtl/>
        </w:rPr>
        <w:t>(</w:t>
      </w:r>
      <w:r w:rsidRPr="00476DC3">
        <w:footnoteRef/>
      </w:r>
      <w:r w:rsidRPr="009F310B">
        <w:rPr>
          <w:rtl/>
        </w:rPr>
        <w:t>)</w:t>
      </w:r>
      <w:r w:rsidRPr="00255CF5">
        <w:rPr>
          <w:rtl/>
        </w:rPr>
        <w:tab/>
      </w:r>
      <w:hyperlink r:id="rId6" w:history="1">
        <w:r w:rsidRPr="00D33748">
          <w:rPr>
            <w:rStyle w:val="Hyperlink"/>
          </w:rPr>
          <w:t>CED/C/URY/AI/</w:t>
        </w:r>
        <w:r w:rsidRPr="00476DC3">
          <w:rPr>
            <w:rStyle w:val="Hyperlink"/>
          </w:rPr>
          <w:t>1</w:t>
        </w:r>
      </w:hyperlink>
      <w:r w:rsidRPr="00255CF5">
        <w:rPr>
          <w:rtl/>
        </w:rPr>
        <w:t xml:space="preserve">، الفقرات </w:t>
      </w:r>
      <w:r w:rsidRPr="00476DC3">
        <w:rPr>
          <w:rtl/>
        </w:rPr>
        <w:t>118</w:t>
      </w:r>
      <w:r w:rsidRPr="00255CF5">
        <w:rPr>
          <w:rtl/>
        </w:rPr>
        <w:t>–</w:t>
      </w:r>
      <w:r w:rsidRPr="00476DC3">
        <w:rPr>
          <w:rtl/>
        </w:rPr>
        <w:t>120</w:t>
      </w:r>
      <w:r w:rsidRPr="00255CF5">
        <w:rPr>
          <w:rtl/>
        </w:rPr>
        <w:t>، والردود المقدمة من أوروغواي على قائمة أسئلة اللجنة، متاح على الرابط التالي:</w:t>
      </w:r>
      <w:r>
        <w:rPr>
          <w:rFonts w:hint="cs"/>
          <w:rtl/>
        </w:rPr>
        <w:t xml:space="preserve"> </w:t>
      </w:r>
      <w:hyperlink r:id="rId7" w:history="1">
        <w:r w:rsidRPr="00D33748">
          <w:rPr>
            <w:rStyle w:val="Hyperlink"/>
          </w:rPr>
          <w:t>https://tbinternet.ohchr.org/_layouts/</w:t>
        </w:r>
        <w:r w:rsidRPr="00476DC3">
          <w:rPr>
            <w:rStyle w:val="Hyperlink"/>
          </w:rPr>
          <w:t>15</w:t>
        </w:r>
        <w:r w:rsidRPr="00D33748">
          <w:rPr>
            <w:rStyle w:val="Hyperlink"/>
          </w:rPr>
          <w:t>/treatybodyexternal/Download.aspx?symbolno=INT%</w:t>
        </w:r>
        <w:r w:rsidRPr="00476DC3">
          <w:rPr>
            <w:rStyle w:val="Hyperlink"/>
          </w:rPr>
          <w:t>2</w:t>
        </w:r>
        <w:r w:rsidRPr="00D33748">
          <w:rPr>
            <w:rStyle w:val="Hyperlink"/>
          </w:rPr>
          <w:t>fCED%</w:t>
        </w:r>
        <w:r w:rsidRPr="00476DC3">
          <w:rPr>
            <w:rStyle w:val="Hyperlink"/>
          </w:rPr>
          <w:t>2</w:t>
        </w:r>
        <w:r w:rsidRPr="00D33748">
          <w:rPr>
            <w:rStyle w:val="Hyperlink"/>
          </w:rPr>
          <w:t>fRLI%</w:t>
        </w:r>
        <w:r w:rsidRPr="00476DC3">
          <w:rPr>
            <w:rStyle w:val="Hyperlink"/>
          </w:rPr>
          <w:t>2</w:t>
        </w:r>
        <w:r w:rsidRPr="00D33748">
          <w:rPr>
            <w:rStyle w:val="Hyperlink"/>
          </w:rPr>
          <w:t>fURY%</w:t>
        </w:r>
        <w:r w:rsidRPr="00476DC3">
          <w:rPr>
            <w:rStyle w:val="Hyperlink"/>
          </w:rPr>
          <w:t>2</w:t>
        </w:r>
        <w:r w:rsidRPr="00D33748">
          <w:rPr>
            <w:rStyle w:val="Hyperlink"/>
          </w:rPr>
          <w:t>f</w:t>
        </w:r>
        <w:r w:rsidRPr="00476DC3">
          <w:rPr>
            <w:rStyle w:val="Hyperlink"/>
          </w:rPr>
          <w:t>49553</w:t>
        </w:r>
        <w:r w:rsidRPr="00D33748">
          <w:rPr>
            <w:rStyle w:val="Hyperlink"/>
          </w:rPr>
          <w:t>&amp;Lang=es</w:t>
        </w:r>
      </w:hyperlink>
      <w:r w:rsidRPr="00D33748">
        <w:rPr>
          <w:rtl/>
        </w:rPr>
        <w:t xml:space="preserve">. </w:t>
      </w:r>
    </w:p>
  </w:footnote>
  <w:footnote w:id="9">
    <w:p w14:paraId="4E98EEA4" w14:textId="34790222" w:rsidR="00D33748" w:rsidRPr="001D3F24" w:rsidRDefault="00D33748" w:rsidP="00D56A5E">
      <w:pPr>
        <w:pStyle w:val="FootnoteText1"/>
        <w:jc w:val="left"/>
        <w:rPr>
          <w:spacing w:val="-2"/>
        </w:rPr>
      </w:pPr>
      <w:r w:rsidRPr="009F310B">
        <w:rPr>
          <w:spacing w:val="-2"/>
          <w:rtl/>
        </w:rPr>
        <w:t>(</w:t>
      </w:r>
      <w:r w:rsidRPr="00476DC3">
        <w:rPr>
          <w:spacing w:val="-2"/>
        </w:rPr>
        <w:footnoteRef/>
      </w:r>
      <w:r w:rsidRPr="009F310B">
        <w:rPr>
          <w:spacing w:val="-2"/>
          <w:rtl/>
        </w:rPr>
        <w:t>)</w:t>
      </w:r>
      <w:r w:rsidRPr="00067DB3">
        <w:rPr>
          <w:spacing w:val="-2"/>
          <w:rtl/>
        </w:rPr>
        <w:tab/>
      </w:r>
      <w:r w:rsidRPr="001D3F24">
        <w:rPr>
          <w:spacing w:val="-2"/>
          <w:rtl/>
        </w:rPr>
        <w:t xml:space="preserve">ردود أوروغواي على قائمة أسئلة اللجنة، متاحة على الرابط التالي: </w:t>
      </w:r>
      <w:hyperlink r:id="rId8" w:history="1">
        <w:r w:rsidR="00D56A5E" w:rsidRPr="001D3F24">
          <w:rPr>
            <w:rStyle w:val="Hyperlink"/>
            <w:spacing w:val="-2"/>
          </w:rPr>
          <w:t>https://tbinternet.ohchr.org/_layouts/</w:t>
        </w:r>
        <w:r w:rsidR="00D56A5E" w:rsidRPr="00476DC3">
          <w:rPr>
            <w:rStyle w:val="Hyperlink"/>
            <w:spacing w:val="-2"/>
          </w:rPr>
          <w:t>15</w:t>
        </w:r>
        <w:r w:rsidR="00D56A5E" w:rsidRPr="001D3F24">
          <w:rPr>
            <w:rStyle w:val="Hyperlink"/>
            <w:spacing w:val="-2"/>
          </w:rPr>
          <w:t>/</w:t>
        </w:r>
        <w:r w:rsidR="001D3F24" w:rsidRPr="001D3F24">
          <w:rPr>
            <w:rStyle w:val="Hyperlink"/>
            <w:spacing w:val="-2"/>
          </w:rPr>
          <w:br/>
        </w:r>
        <w:r w:rsidR="00D56A5E" w:rsidRPr="001D3F24">
          <w:rPr>
            <w:rStyle w:val="Hyperlink"/>
            <w:spacing w:val="-2"/>
          </w:rPr>
          <w:t>treatybodyexternal/Download.aspx?symbolno=INT%</w:t>
        </w:r>
        <w:r w:rsidR="00D56A5E" w:rsidRPr="00476DC3">
          <w:rPr>
            <w:rStyle w:val="Hyperlink"/>
            <w:spacing w:val="-2"/>
          </w:rPr>
          <w:t>2</w:t>
        </w:r>
        <w:r w:rsidR="00D56A5E" w:rsidRPr="001D3F24">
          <w:rPr>
            <w:rStyle w:val="Hyperlink"/>
            <w:spacing w:val="-2"/>
          </w:rPr>
          <w:t>fCED%</w:t>
        </w:r>
        <w:r w:rsidR="00D56A5E" w:rsidRPr="00476DC3">
          <w:rPr>
            <w:rStyle w:val="Hyperlink"/>
            <w:spacing w:val="-2"/>
          </w:rPr>
          <w:t>2</w:t>
        </w:r>
        <w:r w:rsidR="00D56A5E" w:rsidRPr="001D3F24">
          <w:rPr>
            <w:rStyle w:val="Hyperlink"/>
            <w:spacing w:val="-2"/>
          </w:rPr>
          <w:t>fRLI%</w:t>
        </w:r>
        <w:r w:rsidR="00D56A5E" w:rsidRPr="00476DC3">
          <w:rPr>
            <w:rStyle w:val="Hyperlink"/>
            <w:spacing w:val="-2"/>
          </w:rPr>
          <w:t>2</w:t>
        </w:r>
        <w:r w:rsidR="00D56A5E" w:rsidRPr="001D3F24">
          <w:rPr>
            <w:rStyle w:val="Hyperlink"/>
            <w:spacing w:val="-2"/>
          </w:rPr>
          <w:t>fURY%</w:t>
        </w:r>
        <w:r w:rsidR="00D56A5E" w:rsidRPr="00476DC3">
          <w:rPr>
            <w:rStyle w:val="Hyperlink"/>
            <w:spacing w:val="-2"/>
          </w:rPr>
          <w:t>2</w:t>
        </w:r>
        <w:r w:rsidR="00D56A5E" w:rsidRPr="001D3F24">
          <w:rPr>
            <w:rStyle w:val="Hyperlink"/>
            <w:spacing w:val="-2"/>
          </w:rPr>
          <w:t>f</w:t>
        </w:r>
        <w:r w:rsidR="00D56A5E" w:rsidRPr="00476DC3">
          <w:rPr>
            <w:rStyle w:val="Hyperlink"/>
            <w:spacing w:val="-2"/>
          </w:rPr>
          <w:t>49553</w:t>
        </w:r>
        <w:r w:rsidR="00D56A5E" w:rsidRPr="001D3F24">
          <w:rPr>
            <w:rStyle w:val="Hyperlink"/>
            <w:spacing w:val="-2"/>
          </w:rPr>
          <w:t>&amp;Lang=es</w:t>
        </w:r>
      </w:hyperlink>
      <w:r w:rsidRPr="001D3F24">
        <w:rPr>
          <w:spacing w:val="-2"/>
          <w:rtl/>
        </w:rPr>
        <w:t xml:space="preserve">. </w:t>
      </w:r>
    </w:p>
  </w:footnote>
  <w:footnote w:id="10">
    <w:p w14:paraId="5EE0BEAF" w14:textId="77777777" w:rsidR="00D33748" w:rsidRPr="00255CF5" w:rsidRDefault="00D33748" w:rsidP="00D33748">
      <w:pPr>
        <w:pStyle w:val="FootnoteText1"/>
      </w:pPr>
      <w:r w:rsidRPr="009F310B">
        <w:rPr>
          <w:rtl/>
        </w:rPr>
        <w:t>(</w:t>
      </w:r>
      <w:r w:rsidRPr="00476DC3">
        <w:footnoteRef/>
      </w:r>
      <w:r w:rsidRPr="009F310B">
        <w:rPr>
          <w:rtl/>
        </w:rPr>
        <w:t>)</w:t>
      </w:r>
      <w:r w:rsidRPr="00255CF5">
        <w:rPr>
          <w:rtl/>
        </w:rPr>
        <w:tab/>
      </w:r>
      <w:hyperlink r:id="rId9" w:history="1">
        <w:r w:rsidRPr="00D33748">
          <w:rPr>
            <w:rStyle w:val="Hyperlink"/>
          </w:rPr>
          <w:t>CED/C/URY/CO/</w:t>
        </w:r>
        <w:r w:rsidRPr="00476DC3">
          <w:rPr>
            <w:rStyle w:val="Hyperlink"/>
          </w:rPr>
          <w:t>1</w:t>
        </w:r>
      </w:hyperlink>
      <w:r w:rsidRPr="00255CF5">
        <w:rPr>
          <w:rtl/>
        </w:rPr>
        <w:t xml:space="preserve">، الفقرة </w:t>
      </w:r>
      <w:r w:rsidRPr="00476DC3">
        <w:rPr>
          <w:rtl/>
        </w:rPr>
        <w:t>33</w:t>
      </w:r>
      <w:r w:rsidRPr="00D33748">
        <w:rPr>
          <w:rtl/>
        </w:rPr>
        <w:t xml:space="preserve">. </w:t>
      </w:r>
    </w:p>
  </w:footnote>
  <w:footnote w:id="11">
    <w:p w14:paraId="21F628BF" w14:textId="77777777" w:rsidR="00D33748" w:rsidRPr="00255CF5" w:rsidRDefault="00D33748" w:rsidP="00255CF5">
      <w:pPr>
        <w:pStyle w:val="FootnoteText1"/>
      </w:pPr>
      <w:r w:rsidRPr="009F310B">
        <w:rPr>
          <w:rtl/>
        </w:rPr>
        <w:t>(</w:t>
      </w:r>
      <w:r w:rsidRPr="00476DC3">
        <w:footnoteRef/>
      </w:r>
      <w:r w:rsidRPr="009F310B">
        <w:rPr>
          <w:rtl/>
        </w:rPr>
        <w:t>)</w:t>
      </w:r>
      <w:r w:rsidRPr="00255CF5">
        <w:rPr>
          <w:rtl/>
        </w:rPr>
        <w:tab/>
        <w:t xml:space="preserve">المرجع نفسه، الفقرة </w:t>
      </w:r>
      <w:r w:rsidRPr="00476DC3">
        <w:rPr>
          <w:rtl/>
        </w:rPr>
        <w:t>34</w:t>
      </w:r>
      <w:r w:rsidRPr="00D33748">
        <w:rPr>
          <w:rtl/>
        </w:rPr>
        <w:t xml:space="preserve">. </w:t>
      </w:r>
    </w:p>
  </w:footnote>
  <w:footnote w:id="12">
    <w:p w14:paraId="7936615A" w14:textId="77777777" w:rsidR="00D33748" w:rsidRPr="00255CF5" w:rsidRDefault="00D33748" w:rsidP="00D33748">
      <w:pPr>
        <w:pStyle w:val="FootnoteText1"/>
      </w:pPr>
      <w:r w:rsidRPr="009F310B">
        <w:rPr>
          <w:rtl/>
        </w:rPr>
        <w:t>(</w:t>
      </w:r>
      <w:r w:rsidRPr="00476DC3">
        <w:footnoteRef/>
      </w:r>
      <w:r w:rsidRPr="009F310B">
        <w:rPr>
          <w:rtl/>
        </w:rPr>
        <w:t>)</w:t>
      </w:r>
      <w:r w:rsidRPr="00255CF5">
        <w:rPr>
          <w:rtl/>
        </w:rPr>
        <w:tab/>
      </w:r>
      <w:r w:rsidRPr="007A7B33">
        <w:rPr>
          <w:rtl/>
        </w:rPr>
        <w:t>انظر الرابط التالي:</w:t>
      </w:r>
      <w:r>
        <w:rPr>
          <w:rFonts w:hint="cs"/>
          <w:rtl/>
        </w:rPr>
        <w:t xml:space="preserve"> </w:t>
      </w:r>
      <w:hyperlink r:id="rId10" w:history="1">
        <w:r w:rsidRPr="00D33748">
          <w:rPr>
            <w:rStyle w:val="Hyperlink"/>
          </w:rPr>
          <w:t>https://www.ohchr.org/sites/default/files/documents/issues/wgeid/</w:t>
        </w:r>
        <w:r w:rsidRPr="00476DC3">
          <w:rPr>
            <w:rStyle w:val="Hyperlink"/>
          </w:rPr>
          <w:t>2022</w:t>
        </w:r>
        <w:r w:rsidRPr="00D33748">
          <w:rPr>
            <w:rStyle w:val="Hyperlink"/>
          </w:rPr>
          <w:t>-</w:t>
        </w:r>
        <w:r w:rsidRPr="00476DC3">
          <w:rPr>
            <w:rStyle w:val="Hyperlink"/>
          </w:rPr>
          <w:t>07</w:t>
        </w:r>
        <w:r w:rsidRPr="00D33748">
          <w:rPr>
            <w:rStyle w:val="Hyperlink"/>
          </w:rPr>
          <w:t>-</w:t>
        </w:r>
        <w:r w:rsidRPr="00476DC3">
          <w:rPr>
            <w:rStyle w:val="Hyperlink"/>
          </w:rPr>
          <w:t>14</w:t>
        </w:r>
        <w:r w:rsidRPr="00D33748">
          <w:rPr>
            <w:rStyle w:val="Hyperlink"/>
          </w:rPr>
          <w:t>/Observaciones-preliminares-GDTFI-Uruguay.pdf</w:t>
        </w:r>
      </w:hyperlink>
      <w:r w:rsidRPr="00D33748">
        <w:rPr>
          <w:rtl/>
        </w:rPr>
        <w:t xml:space="preserve">. </w:t>
      </w:r>
    </w:p>
  </w:footnote>
  <w:footnote w:id="13">
    <w:p w14:paraId="187F6A18" w14:textId="77777777" w:rsidR="00D33748" w:rsidRPr="00255CF5" w:rsidRDefault="00D33748" w:rsidP="00D33748">
      <w:pPr>
        <w:pStyle w:val="FootnoteText1"/>
      </w:pPr>
      <w:r w:rsidRPr="009F310B">
        <w:rPr>
          <w:rtl/>
        </w:rPr>
        <w:t>(</w:t>
      </w:r>
      <w:r w:rsidRPr="00476DC3">
        <w:footnoteRef/>
      </w:r>
      <w:r w:rsidRPr="009F310B">
        <w:rPr>
          <w:rtl/>
        </w:rPr>
        <w:t>)</w:t>
      </w:r>
      <w:r w:rsidRPr="00255CF5">
        <w:rPr>
          <w:rtl/>
        </w:rPr>
        <w:tab/>
      </w:r>
      <w:hyperlink r:id="rId11" w:history="1">
        <w:r w:rsidRPr="00D33748">
          <w:rPr>
            <w:rStyle w:val="Hyperlink"/>
          </w:rPr>
          <w:t>CED/C/URY/CO/</w:t>
        </w:r>
        <w:r w:rsidRPr="00476DC3">
          <w:rPr>
            <w:rStyle w:val="Hyperlink"/>
          </w:rPr>
          <w:t>1</w:t>
        </w:r>
      </w:hyperlink>
      <w:r w:rsidRPr="00255CF5">
        <w:rPr>
          <w:rtl/>
        </w:rPr>
        <w:t xml:space="preserve">، الفقرة </w:t>
      </w:r>
      <w:r w:rsidRPr="00476DC3">
        <w:rPr>
          <w:rtl/>
        </w:rPr>
        <w:t>14</w:t>
      </w:r>
      <w:r w:rsidRPr="00D33748">
        <w:rPr>
          <w:rtl/>
        </w:rPr>
        <w:t xml:space="preserve">. </w:t>
      </w:r>
    </w:p>
  </w:footnote>
  <w:footnote w:id="14">
    <w:p w14:paraId="6476568E" w14:textId="0BE05A81" w:rsidR="00D33748" w:rsidRPr="00067DB3" w:rsidRDefault="00D33748" w:rsidP="00D56A5E">
      <w:pPr>
        <w:pStyle w:val="FootnoteText1"/>
        <w:jc w:val="left"/>
        <w:rPr>
          <w:spacing w:val="-2"/>
        </w:rPr>
      </w:pPr>
      <w:r w:rsidRPr="009F310B">
        <w:rPr>
          <w:spacing w:val="-2"/>
          <w:rtl/>
        </w:rPr>
        <w:t>(</w:t>
      </w:r>
      <w:r w:rsidRPr="00476DC3">
        <w:rPr>
          <w:spacing w:val="-2"/>
        </w:rPr>
        <w:footnoteRef/>
      </w:r>
      <w:r w:rsidRPr="009F310B">
        <w:rPr>
          <w:spacing w:val="-2"/>
          <w:rtl/>
        </w:rPr>
        <w:t>)</w:t>
      </w:r>
      <w:r w:rsidRPr="00067DB3">
        <w:rPr>
          <w:spacing w:val="-2"/>
          <w:rtl/>
        </w:rPr>
        <w:tab/>
        <w:t xml:space="preserve">ردود أوروغواي على قائمة أسئلة اللجنة، متاحة على الرابط التالي: </w:t>
      </w:r>
      <w:hyperlink r:id="rId12" w:history="1">
        <w:r w:rsidR="00D56A5E" w:rsidRPr="005A3FCB">
          <w:rPr>
            <w:rStyle w:val="Hyperlink"/>
          </w:rPr>
          <w:t>https://tbinternet.ohchr.org/_layouts/</w:t>
        </w:r>
        <w:r w:rsidR="00D56A5E" w:rsidRPr="00476DC3">
          <w:rPr>
            <w:rStyle w:val="Hyperlink"/>
          </w:rPr>
          <w:t>15</w:t>
        </w:r>
        <w:r w:rsidR="00D56A5E" w:rsidRPr="005A3FCB">
          <w:rPr>
            <w:rStyle w:val="Hyperlink"/>
          </w:rPr>
          <w:t>/treatybodyexternal/Download.aspx?symbolno=INT%</w:t>
        </w:r>
        <w:r w:rsidR="00D56A5E" w:rsidRPr="00476DC3">
          <w:rPr>
            <w:rStyle w:val="Hyperlink"/>
          </w:rPr>
          <w:t>2</w:t>
        </w:r>
        <w:r w:rsidR="00D56A5E" w:rsidRPr="005A3FCB">
          <w:rPr>
            <w:rStyle w:val="Hyperlink"/>
          </w:rPr>
          <w:t>fCED%</w:t>
        </w:r>
        <w:r w:rsidR="00D56A5E" w:rsidRPr="00476DC3">
          <w:rPr>
            <w:rStyle w:val="Hyperlink"/>
          </w:rPr>
          <w:t>2</w:t>
        </w:r>
        <w:r w:rsidR="00D56A5E" w:rsidRPr="005A3FCB">
          <w:rPr>
            <w:rStyle w:val="Hyperlink"/>
          </w:rPr>
          <w:t>fRLI%</w:t>
        </w:r>
        <w:r w:rsidR="00D56A5E" w:rsidRPr="00476DC3">
          <w:rPr>
            <w:rStyle w:val="Hyperlink"/>
          </w:rPr>
          <w:t>2</w:t>
        </w:r>
        <w:r w:rsidR="00D56A5E" w:rsidRPr="005A3FCB">
          <w:rPr>
            <w:rStyle w:val="Hyperlink"/>
          </w:rPr>
          <w:t>fURY%</w:t>
        </w:r>
        <w:r w:rsidR="00D56A5E" w:rsidRPr="00476DC3">
          <w:rPr>
            <w:rStyle w:val="Hyperlink"/>
          </w:rPr>
          <w:t>2</w:t>
        </w:r>
        <w:r w:rsidR="00D56A5E" w:rsidRPr="005A3FCB">
          <w:rPr>
            <w:rStyle w:val="Hyperlink"/>
          </w:rPr>
          <w:t>f</w:t>
        </w:r>
        <w:r w:rsidR="00D56A5E" w:rsidRPr="00476DC3">
          <w:rPr>
            <w:rStyle w:val="Hyperlink"/>
          </w:rPr>
          <w:t>49553</w:t>
        </w:r>
        <w:r w:rsidR="00D56A5E" w:rsidRPr="005A3FCB">
          <w:rPr>
            <w:rStyle w:val="Hyperlink"/>
          </w:rPr>
          <w:t>&amp;Lang=es</w:t>
        </w:r>
      </w:hyperlink>
      <w:r w:rsidRPr="00D33748">
        <w:rPr>
          <w:spacing w:val="-2"/>
          <w:rtl/>
        </w:rPr>
        <w:t xml:space="preserve">. </w:t>
      </w:r>
    </w:p>
  </w:footnote>
  <w:footnote w:id="15">
    <w:p w14:paraId="25AEBA8D" w14:textId="77777777" w:rsidR="00D33748" w:rsidRPr="00255CF5" w:rsidRDefault="00D33748" w:rsidP="00D33748">
      <w:pPr>
        <w:pStyle w:val="FootnoteText1"/>
      </w:pPr>
      <w:r w:rsidRPr="009F310B">
        <w:rPr>
          <w:rtl/>
        </w:rPr>
        <w:t>(</w:t>
      </w:r>
      <w:r w:rsidRPr="00476DC3">
        <w:footnoteRef/>
      </w:r>
      <w:r w:rsidRPr="009F310B">
        <w:rPr>
          <w:rtl/>
        </w:rPr>
        <w:t>)</w:t>
      </w:r>
      <w:r w:rsidRPr="00255CF5">
        <w:rPr>
          <w:rtl/>
        </w:rPr>
        <w:tab/>
      </w:r>
      <w:hyperlink r:id="rId13" w:history="1">
        <w:r w:rsidRPr="00D33748">
          <w:rPr>
            <w:rStyle w:val="Hyperlink"/>
          </w:rPr>
          <w:t>CED/C/</w:t>
        </w:r>
        <w:r w:rsidRPr="00476DC3">
          <w:rPr>
            <w:rStyle w:val="Hyperlink"/>
          </w:rPr>
          <w:t>7</w:t>
        </w:r>
      </w:hyperlink>
      <w:r w:rsidRPr="00D33748">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E2C" w14:textId="1325DAEF" w:rsidR="00FA4F79" w:rsidRPr="00FA4F79" w:rsidRDefault="00FA4F79" w:rsidP="00FA4F7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36D31">
      <w:t>CED/C/URY/OAI/1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482A" w14:textId="518447ED" w:rsidR="00FA4F79" w:rsidRPr="00FA4F79" w:rsidRDefault="00FA4F79" w:rsidP="00FA4F7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36D31">
      <w:t>CED/C/URY/OAI/1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9EC6B1E8"/>
    <w:lvl w:ilvl="0" w:tplc="8D0EC9EE">
      <w:start w:val="1"/>
      <w:numFmt w:val="decimal"/>
      <w:pStyle w:val="Roman1GA"/>
      <w:lvlText w:val="'%1'"/>
      <w:lvlJc w:val="right"/>
      <w:pPr>
        <w:tabs>
          <w:tab w:val="num" w:pos="2310"/>
        </w:tabs>
        <w:ind w:left="2310" w:hanging="360"/>
      </w:pPr>
      <w:rPr>
        <w:b w:val="0"/>
        <w:bCs w:val="0"/>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3D"/>
    <w:rsid w:val="00001E1B"/>
    <w:rsid w:val="000076D5"/>
    <w:rsid w:val="00027F2D"/>
    <w:rsid w:val="00043663"/>
    <w:rsid w:val="000505CF"/>
    <w:rsid w:val="00067DB3"/>
    <w:rsid w:val="000A1B1A"/>
    <w:rsid w:val="000D701C"/>
    <w:rsid w:val="000E2A71"/>
    <w:rsid w:val="000F4E15"/>
    <w:rsid w:val="0010772C"/>
    <w:rsid w:val="00160263"/>
    <w:rsid w:val="00176DB4"/>
    <w:rsid w:val="00181F96"/>
    <w:rsid w:val="001A1371"/>
    <w:rsid w:val="001A5338"/>
    <w:rsid w:val="001B346A"/>
    <w:rsid w:val="001D3F24"/>
    <w:rsid w:val="001E1CAD"/>
    <w:rsid w:val="001E290D"/>
    <w:rsid w:val="0020253D"/>
    <w:rsid w:val="002144FA"/>
    <w:rsid w:val="0021768C"/>
    <w:rsid w:val="0023469A"/>
    <w:rsid w:val="00240A69"/>
    <w:rsid w:val="00243C8A"/>
    <w:rsid w:val="002456E8"/>
    <w:rsid w:val="00255CF5"/>
    <w:rsid w:val="00267A0E"/>
    <w:rsid w:val="002804D6"/>
    <w:rsid w:val="002901D9"/>
    <w:rsid w:val="002976C2"/>
    <w:rsid w:val="002C11AF"/>
    <w:rsid w:val="00317B22"/>
    <w:rsid w:val="003260FF"/>
    <w:rsid w:val="00343D95"/>
    <w:rsid w:val="00347336"/>
    <w:rsid w:val="00363AFC"/>
    <w:rsid w:val="00374341"/>
    <w:rsid w:val="003D1062"/>
    <w:rsid w:val="00407A5C"/>
    <w:rsid w:val="00420D7B"/>
    <w:rsid w:val="00450B21"/>
    <w:rsid w:val="00453B63"/>
    <w:rsid w:val="00455780"/>
    <w:rsid w:val="00476DC3"/>
    <w:rsid w:val="00486440"/>
    <w:rsid w:val="004A52AC"/>
    <w:rsid w:val="004B0A1C"/>
    <w:rsid w:val="004B4944"/>
    <w:rsid w:val="004D298E"/>
    <w:rsid w:val="004E1586"/>
    <w:rsid w:val="005112F2"/>
    <w:rsid w:val="00534020"/>
    <w:rsid w:val="00536D31"/>
    <w:rsid w:val="0054472E"/>
    <w:rsid w:val="005662A9"/>
    <w:rsid w:val="005827D4"/>
    <w:rsid w:val="0058336F"/>
    <w:rsid w:val="0059622A"/>
    <w:rsid w:val="005A2B2E"/>
    <w:rsid w:val="005C5878"/>
    <w:rsid w:val="005C7CEA"/>
    <w:rsid w:val="005D3C0B"/>
    <w:rsid w:val="005E5217"/>
    <w:rsid w:val="005E67F5"/>
    <w:rsid w:val="005F0FA4"/>
    <w:rsid w:val="005F2681"/>
    <w:rsid w:val="005F30EE"/>
    <w:rsid w:val="0060473A"/>
    <w:rsid w:val="00622130"/>
    <w:rsid w:val="00641669"/>
    <w:rsid w:val="00644E56"/>
    <w:rsid w:val="00647096"/>
    <w:rsid w:val="00656392"/>
    <w:rsid w:val="0068781D"/>
    <w:rsid w:val="006959B0"/>
    <w:rsid w:val="006A69CA"/>
    <w:rsid w:val="006B3E27"/>
    <w:rsid w:val="006B6507"/>
    <w:rsid w:val="006C104C"/>
    <w:rsid w:val="006D39EA"/>
    <w:rsid w:val="006D698E"/>
    <w:rsid w:val="00733704"/>
    <w:rsid w:val="0075198D"/>
    <w:rsid w:val="00774AF4"/>
    <w:rsid w:val="0078071A"/>
    <w:rsid w:val="007A7B33"/>
    <w:rsid w:val="007B718D"/>
    <w:rsid w:val="007F55ED"/>
    <w:rsid w:val="007F6587"/>
    <w:rsid w:val="00807312"/>
    <w:rsid w:val="008313E3"/>
    <w:rsid w:val="00852A9A"/>
    <w:rsid w:val="0086753C"/>
    <w:rsid w:val="008C2897"/>
    <w:rsid w:val="008C6E7E"/>
    <w:rsid w:val="008D6989"/>
    <w:rsid w:val="008E5C75"/>
    <w:rsid w:val="008F49E1"/>
    <w:rsid w:val="008F729B"/>
    <w:rsid w:val="0090370F"/>
    <w:rsid w:val="009269D2"/>
    <w:rsid w:val="009305F0"/>
    <w:rsid w:val="00942135"/>
    <w:rsid w:val="009521B0"/>
    <w:rsid w:val="00980103"/>
    <w:rsid w:val="00987935"/>
    <w:rsid w:val="00994130"/>
    <w:rsid w:val="009A3133"/>
    <w:rsid w:val="009A7E9F"/>
    <w:rsid w:val="009E5018"/>
    <w:rsid w:val="009F310B"/>
    <w:rsid w:val="009F515B"/>
    <w:rsid w:val="00A07B88"/>
    <w:rsid w:val="00A12B37"/>
    <w:rsid w:val="00A17BF6"/>
    <w:rsid w:val="00A20FF4"/>
    <w:rsid w:val="00A4027E"/>
    <w:rsid w:val="00AB4F93"/>
    <w:rsid w:val="00AB6758"/>
    <w:rsid w:val="00B13614"/>
    <w:rsid w:val="00B13763"/>
    <w:rsid w:val="00B27391"/>
    <w:rsid w:val="00B33568"/>
    <w:rsid w:val="00B40C02"/>
    <w:rsid w:val="00B477A4"/>
    <w:rsid w:val="00B54045"/>
    <w:rsid w:val="00B62784"/>
    <w:rsid w:val="00B63F77"/>
    <w:rsid w:val="00B65387"/>
    <w:rsid w:val="00BB449E"/>
    <w:rsid w:val="00BD2E35"/>
    <w:rsid w:val="00C05EA5"/>
    <w:rsid w:val="00C438D7"/>
    <w:rsid w:val="00C81B50"/>
    <w:rsid w:val="00C92253"/>
    <w:rsid w:val="00CB28F9"/>
    <w:rsid w:val="00CC276B"/>
    <w:rsid w:val="00CD1801"/>
    <w:rsid w:val="00CF7E4E"/>
    <w:rsid w:val="00D10EF1"/>
    <w:rsid w:val="00D33748"/>
    <w:rsid w:val="00D42810"/>
    <w:rsid w:val="00D56A5E"/>
    <w:rsid w:val="00D914A7"/>
    <w:rsid w:val="00DB4B85"/>
    <w:rsid w:val="00DD13C3"/>
    <w:rsid w:val="00DD596E"/>
    <w:rsid w:val="00DD621E"/>
    <w:rsid w:val="00DF0575"/>
    <w:rsid w:val="00DF5E71"/>
    <w:rsid w:val="00E70E04"/>
    <w:rsid w:val="00E76499"/>
    <w:rsid w:val="00E866BF"/>
    <w:rsid w:val="00EB6F59"/>
    <w:rsid w:val="00EC05A7"/>
    <w:rsid w:val="00EC4B6B"/>
    <w:rsid w:val="00EE2A27"/>
    <w:rsid w:val="00EF1EE5"/>
    <w:rsid w:val="00F14ED5"/>
    <w:rsid w:val="00F156CA"/>
    <w:rsid w:val="00F17722"/>
    <w:rsid w:val="00F52C23"/>
    <w:rsid w:val="00F6781A"/>
    <w:rsid w:val="00F763B4"/>
    <w:rsid w:val="00F900C3"/>
    <w:rsid w:val="00FA4F79"/>
    <w:rsid w:val="00FD3946"/>
    <w:rsid w:val="00FF2AB2"/>
    <w:rsid w:val="00FF4EA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CEBD2"/>
  <w15:docId w15:val="{7968B38E-C360-4D4F-9889-3384A216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77"/>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B63F77"/>
    <w:pPr>
      <w:bidi w:val="0"/>
      <w:outlineLvl w:val="0"/>
    </w:pPr>
  </w:style>
  <w:style w:type="paragraph" w:styleId="Heading2">
    <w:name w:val="heading 2"/>
    <w:basedOn w:val="Normal"/>
    <w:next w:val="Normal"/>
    <w:link w:val="Heading2Char"/>
    <w:uiPriority w:val="9"/>
    <w:unhideWhenUsed/>
    <w:rsid w:val="00B63F7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B63F77"/>
    <w:pPr>
      <w:keepNext/>
      <w:keepLines/>
      <w:spacing w:before="200"/>
      <w:outlineLvl w:val="2"/>
    </w:pPr>
    <w:rPr>
      <w:b/>
      <w:bCs/>
      <w:color w:val="4F81BD"/>
    </w:rPr>
  </w:style>
  <w:style w:type="paragraph" w:styleId="Heading4">
    <w:name w:val="heading 4"/>
    <w:basedOn w:val="Normal"/>
    <w:next w:val="Normal"/>
    <w:link w:val="Heading4Char"/>
    <w:uiPriority w:val="9"/>
    <w:unhideWhenUsed/>
    <w:rsid w:val="00B63F7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B63F77"/>
    <w:pPr>
      <w:keepNext/>
      <w:keepLines/>
      <w:spacing w:before="200"/>
      <w:outlineLvl w:val="4"/>
    </w:pPr>
    <w:rPr>
      <w:color w:val="243F60"/>
    </w:rPr>
  </w:style>
  <w:style w:type="paragraph" w:styleId="Heading6">
    <w:name w:val="heading 6"/>
    <w:basedOn w:val="Normal"/>
    <w:next w:val="Normal"/>
    <w:link w:val="Heading6Char"/>
    <w:uiPriority w:val="9"/>
    <w:unhideWhenUsed/>
    <w:rsid w:val="00B63F77"/>
    <w:pPr>
      <w:keepNext/>
      <w:keepLines/>
      <w:spacing w:before="200"/>
      <w:outlineLvl w:val="5"/>
    </w:pPr>
    <w:rPr>
      <w:i/>
      <w:iCs/>
      <w:color w:val="243F60"/>
    </w:rPr>
  </w:style>
  <w:style w:type="paragraph" w:styleId="Heading7">
    <w:name w:val="heading 7"/>
    <w:basedOn w:val="Normal"/>
    <w:next w:val="Normal"/>
    <w:link w:val="Heading7Char"/>
    <w:uiPriority w:val="9"/>
    <w:unhideWhenUsed/>
    <w:rsid w:val="00B63F77"/>
    <w:pPr>
      <w:keepNext/>
      <w:keepLines/>
      <w:spacing w:before="200"/>
      <w:outlineLvl w:val="6"/>
    </w:pPr>
    <w:rPr>
      <w:i/>
      <w:iCs/>
      <w:color w:val="404040"/>
    </w:rPr>
  </w:style>
  <w:style w:type="paragraph" w:styleId="Heading8">
    <w:name w:val="heading 8"/>
    <w:basedOn w:val="Normal"/>
    <w:next w:val="Normal"/>
    <w:link w:val="Heading8Char"/>
    <w:uiPriority w:val="9"/>
    <w:unhideWhenUsed/>
    <w:rsid w:val="00B63F7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B63F7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B63F7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B63F7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B63F7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B63F7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B63F7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B63F7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B63F7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B63F7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B63F7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B63F7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B63F7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B63F7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B63F7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B63F77"/>
    <w:pPr>
      <w:numPr>
        <w:numId w:val="5"/>
      </w:numPr>
      <w:bidi w:val="0"/>
    </w:pPr>
    <w:rPr>
      <w:lang w:val="en-US"/>
    </w:rPr>
  </w:style>
  <w:style w:type="paragraph" w:customStyle="1" w:styleId="Roman1GA">
    <w:name w:val="_Roman 1_GA"/>
    <w:basedOn w:val="Bullet1GA"/>
    <w:qFormat/>
    <w:rsid w:val="00B63F77"/>
    <w:pPr>
      <w:numPr>
        <w:numId w:val="6"/>
      </w:numPr>
      <w:tabs>
        <w:tab w:val="clear" w:pos="2310"/>
        <w:tab w:val="left" w:pos="2486"/>
      </w:tabs>
      <w:ind w:left="2486" w:hanging="378"/>
    </w:pPr>
  </w:style>
  <w:style w:type="paragraph" w:customStyle="1" w:styleId="Roman2GA">
    <w:name w:val="_Roman 2_GA"/>
    <w:basedOn w:val="Bullet2GA"/>
    <w:qFormat/>
    <w:rsid w:val="00B63F7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B63F7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B63F77"/>
    <w:rPr>
      <w:rFonts w:ascii="Times New Roman" w:eastAsia="PMingLiU" w:hAnsi="Times New Roman" w:cs="Simplified Arabic"/>
      <w:sz w:val="18"/>
      <w:szCs w:val="20"/>
      <w:lang w:val="en-GB"/>
    </w:rPr>
  </w:style>
  <w:style w:type="character" w:customStyle="1" w:styleId="EndtnoteReference">
    <w:name w:val="Endtnote Reference"/>
    <w:aliases w:val="1_GA"/>
    <w:qFormat/>
    <w:rsid w:val="00B63F7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B63F77"/>
    <w:pPr>
      <w:suppressAutoHyphens/>
      <w:bidi w:val="0"/>
      <w:spacing w:line="240" w:lineRule="auto"/>
    </w:pPr>
    <w:rPr>
      <w:sz w:val="16"/>
      <w:lang w:val="en-GB"/>
    </w:rPr>
  </w:style>
  <w:style w:type="character" w:customStyle="1" w:styleId="FooterChar">
    <w:name w:val="Footer Char"/>
    <w:aliases w:val="3_GA Char,3_G Char"/>
    <w:link w:val="Footer"/>
    <w:rsid w:val="00B63F77"/>
    <w:rPr>
      <w:rFonts w:ascii="Times New Roman" w:eastAsia="PMingLiU" w:hAnsi="Times New Roman" w:cs="Simplified Arabic"/>
      <w:sz w:val="16"/>
      <w:lang w:val="en-GB"/>
    </w:rPr>
  </w:style>
  <w:style w:type="paragraph" w:customStyle="1" w:styleId="FootnoteText1">
    <w:name w:val="Footnote Text1"/>
    <w:aliases w:val="5_GA"/>
    <w:basedOn w:val="Normal"/>
    <w:qFormat/>
    <w:rsid w:val="00B63F7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B63F7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B63F77"/>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B63F77"/>
    <w:rPr>
      <w:rFonts w:ascii="Times New Roman" w:eastAsia="PMingLiU" w:hAnsi="Times New Roman" w:cs="Simplified Arabic"/>
      <w:lang w:val="en-GB"/>
    </w:rPr>
  </w:style>
  <w:style w:type="character" w:styleId="PageNumber">
    <w:name w:val="page number"/>
    <w:aliases w:val="7_GA,7_G"/>
    <w:qFormat/>
    <w:rsid w:val="00B63F77"/>
    <w:rPr>
      <w:rFonts w:ascii="Times New Roman Bold" w:hAnsi="Times New Roman Bold"/>
      <w:b/>
      <w:i w:val="0"/>
      <w:sz w:val="18"/>
      <w:szCs w:val="18"/>
    </w:rPr>
  </w:style>
  <w:style w:type="paragraph" w:customStyle="1" w:styleId="XXLargeGA">
    <w:name w:val="XXLarge_GA"/>
    <w:basedOn w:val="Normal"/>
    <w:next w:val="SingleTxtGA"/>
    <w:qFormat/>
    <w:rsid w:val="00B63F77"/>
    <w:pPr>
      <w:suppressAutoHyphens/>
      <w:spacing w:line="820" w:lineRule="exact"/>
    </w:pPr>
    <w:rPr>
      <w:spacing w:val="-8"/>
      <w:w w:val="96"/>
      <w:sz w:val="57"/>
      <w:szCs w:val="86"/>
      <w:lang w:val="en-GB"/>
    </w:rPr>
  </w:style>
  <w:style w:type="character" w:customStyle="1" w:styleId="Heading2Char">
    <w:name w:val="Heading 2 Char"/>
    <w:link w:val="Heading2"/>
    <w:uiPriority w:val="9"/>
    <w:rsid w:val="00B63F77"/>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B63F77"/>
    <w:rPr>
      <w:rFonts w:ascii="Times New Roman" w:eastAsia="PMingLiU" w:hAnsi="Times New Roman" w:cs="Simplified Arabic"/>
      <w:b/>
      <w:bCs/>
      <w:color w:val="4F81BD"/>
      <w:sz w:val="20"/>
    </w:rPr>
  </w:style>
  <w:style w:type="character" w:customStyle="1" w:styleId="Heading4Char">
    <w:name w:val="Heading 4 Char"/>
    <w:link w:val="Heading4"/>
    <w:uiPriority w:val="9"/>
    <w:rsid w:val="00B63F77"/>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B63F77"/>
    <w:rPr>
      <w:rFonts w:ascii="Times New Roman" w:eastAsia="PMingLiU" w:hAnsi="Times New Roman" w:cs="Simplified Arabic"/>
      <w:color w:val="243F60"/>
      <w:sz w:val="20"/>
    </w:rPr>
  </w:style>
  <w:style w:type="character" w:customStyle="1" w:styleId="Heading6Char">
    <w:name w:val="Heading 6 Char"/>
    <w:link w:val="Heading6"/>
    <w:uiPriority w:val="9"/>
    <w:rsid w:val="00B63F77"/>
    <w:rPr>
      <w:rFonts w:ascii="Times New Roman" w:eastAsia="PMingLiU" w:hAnsi="Times New Roman" w:cs="Simplified Arabic"/>
      <w:i/>
      <w:iCs/>
      <w:color w:val="243F60"/>
      <w:sz w:val="20"/>
    </w:rPr>
  </w:style>
  <w:style w:type="character" w:customStyle="1" w:styleId="Heading7Char">
    <w:name w:val="Heading 7 Char"/>
    <w:link w:val="Heading7"/>
    <w:uiPriority w:val="9"/>
    <w:rsid w:val="00B63F77"/>
    <w:rPr>
      <w:rFonts w:ascii="Times New Roman" w:eastAsia="PMingLiU" w:hAnsi="Times New Roman" w:cs="Simplified Arabic"/>
      <w:i/>
      <w:iCs/>
      <w:color w:val="404040"/>
      <w:sz w:val="20"/>
    </w:rPr>
  </w:style>
  <w:style w:type="character" w:customStyle="1" w:styleId="Heading8Char">
    <w:name w:val="Heading 8 Char"/>
    <w:link w:val="Heading8"/>
    <w:uiPriority w:val="9"/>
    <w:rsid w:val="00B63F77"/>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B63F77"/>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B63F7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B63F77"/>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B63F77"/>
    <w:pPr>
      <w:numPr>
        <w:ilvl w:val="1"/>
      </w:numPr>
    </w:pPr>
    <w:rPr>
      <w:i/>
      <w:iCs/>
      <w:color w:val="4F81BD"/>
      <w:spacing w:val="15"/>
      <w:sz w:val="24"/>
      <w:szCs w:val="24"/>
    </w:rPr>
  </w:style>
  <w:style w:type="character" w:customStyle="1" w:styleId="SubtitleChar">
    <w:name w:val="Subtitle Char"/>
    <w:link w:val="Subtitle"/>
    <w:uiPriority w:val="11"/>
    <w:rsid w:val="00B63F77"/>
    <w:rPr>
      <w:rFonts w:ascii="Times New Roman" w:eastAsia="PMingLiU" w:hAnsi="Times New Roman" w:cs="Simplified Arabic"/>
      <w:i/>
      <w:iCs/>
      <w:color w:val="4F81BD"/>
      <w:spacing w:val="15"/>
      <w:sz w:val="24"/>
      <w:szCs w:val="24"/>
    </w:rPr>
  </w:style>
  <w:style w:type="character" w:styleId="Strong">
    <w:name w:val="Strong"/>
    <w:uiPriority w:val="22"/>
    <w:rsid w:val="00B63F77"/>
    <w:rPr>
      <w:b/>
      <w:bCs/>
    </w:rPr>
  </w:style>
  <w:style w:type="table" w:styleId="TableGrid">
    <w:name w:val="Table Grid"/>
    <w:basedOn w:val="TableNormal"/>
    <w:rsid w:val="00B63F77"/>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3F77"/>
    <w:rPr>
      <w:color w:val="0000FF"/>
      <w:u w:val="none"/>
    </w:rPr>
  </w:style>
  <w:style w:type="paragraph" w:styleId="TOC1">
    <w:name w:val="toc 1"/>
    <w:basedOn w:val="Normal"/>
    <w:link w:val="TOC1Char"/>
    <w:autoRedefine/>
    <w:uiPriority w:val="39"/>
    <w:unhideWhenUsed/>
    <w:rsid w:val="00B63F7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B63F7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B63F7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B63F77"/>
    <w:rPr>
      <w:rFonts w:eastAsia="DengXian"/>
      <w:color w:val="auto"/>
      <w:sz w:val="20"/>
      <w:szCs w:val="20"/>
      <w:u w:val="none"/>
      <w:lang w:eastAsia="zh-CN" w:bidi="ar-EG"/>
    </w:rPr>
  </w:style>
  <w:style w:type="paragraph" w:styleId="TOC4">
    <w:name w:val="toc 4"/>
    <w:basedOn w:val="Normal"/>
    <w:link w:val="TOC4Char"/>
    <w:autoRedefine/>
    <w:uiPriority w:val="39"/>
    <w:unhideWhenUsed/>
    <w:rsid w:val="00B63F7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B63F7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B63F7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B63F7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B63F77"/>
    <w:rPr>
      <w:rFonts w:ascii="Times New Roman" w:eastAsia="PMingLiU" w:hAnsi="Times New Roman" w:cs="Simplified Arabic"/>
      <w:lang w:val="en-GB"/>
    </w:rPr>
  </w:style>
  <w:style w:type="character" w:customStyle="1" w:styleId="TOC1Char">
    <w:name w:val="TOC 1 Char"/>
    <w:basedOn w:val="DefaultParagraphFont"/>
    <w:link w:val="TOC1"/>
    <w:uiPriority w:val="39"/>
    <w:rsid w:val="00B63F77"/>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B63F77"/>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B63F77"/>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B63F77"/>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B63F77"/>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B63F77"/>
    <w:rPr>
      <w:rFonts w:ascii="Times New Roman" w:eastAsia="PMingLiU" w:hAnsi="Times New Roman" w:cs="Simplified Arabic"/>
      <w:sz w:val="20"/>
      <w:szCs w:val="20"/>
      <w:lang w:val="en-GB"/>
    </w:rPr>
  </w:style>
  <w:style w:type="paragraph" w:customStyle="1" w:styleId="NormalA">
    <w:name w:val="Normal_A"/>
    <w:basedOn w:val="Normal"/>
    <w:qFormat/>
    <w:rsid w:val="00B63F77"/>
  </w:style>
  <w:style w:type="paragraph" w:customStyle="1" w:styleId="FootnoteGA">
    <w:name w:val="_Footnote_GA"/>
    <w:basedOn w:val="Normal"/>
    <w:qFormat/>
    <w:rsid w:val="00B63F7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B63F77"/>
    <w:rPr>
      <w:sz w:val="44"/>
      <w:szCs w:val="44"/>
      <w:lang w:val="en-US" w:bidi="ar-DZ"/>
    </w:rPr>
  </w:style>
  <w:style w:type="paragraph" w:customStyle="1" w:styleId="FootnoteGA0">
    <w:name w:val="Footnote_GA"/>
    <w:basedOn w:val="Normal"/>
    <w:qFormat/>
    <w:rsid w:val="00B63F7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B63F7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B63F77"/>
    <w:pPr>
      <w:spacing w:line="240" w:lineRule="exact"/>
    </w:pPr>
    <w:rPr>
      <w:spacing w:val="6"/>
      <w:w w:val="106"/>
      <w:sz w:val="14"/>
      <w:szCs w:val="21"/>
    </w:rPr>
  </w:style>
  <w:style w:type="paragraph" w:customStyle="1" w:styleId="Original">
    <w:name w:val="Original"/>
    <w:basedOn w:val="Normal"/>
    <w:next w:val="Normal"/>
    <w:qFormat/>
    <w:rsid w:val="00B63F7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B63F7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B63F77"/>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7B718D"/>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7B718D"/>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7B718D"/>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B63F77"/>
    <w:rPr>
      <w:lang w:val="en-US" w:eastAsia="zh-TW"/>
    </w:rPr>
  </w:style>
  <w:style w:type="paragraph" w:customStyle="1" w:styleId="STitleMGA">
    <w:name w:val="S_Title_M_GA"/>
    <w:basedOn w:val="SMGA"/>
    <w:qFormat/>
    <w:rsid w:val="00B63F77"/>
    <w:rPr>
      <w:lang w:eastAsia="zh-TW"/>
    </w:rPr>
  </w:style>
  <w:style w:type="paragraph" w:customStyle="1" w:styleId="STitleSGA">
    <w:name w:val="S_Title_S_GA"/>
    <w:basedOn w:val="SSGA"/>
    <w:qFormat/>
    <w:rsid w:val="00B63F77"/>
    <w:rPr>
      <w:lang w:eastAsia="zh-TW"/>
    </w:rPr>
  </w:style>
  <w:style w:type="paragraph" w:customStyle="1" w:styleId="HChG">
    <w:name w:val="_ H _Ch_G"/>
    <w:basedOn w:val="Normal"/>
    <w:next w:val="Normal"/>
    <w:link w:val="HChGChar"/>
    <w:qFormat/>
    <w:rsid w:val="00255CF5"/>
    <w:pPr>
      <w:keepNext/>
      <w:keepLines/>
      <w:tabs>
        <w:tab w:val="right" w:pos="851"/>
      </w:tabs>
      <w:suppressAutoHyphens/>
      <w:bidi w:val="0"/>
      <w:spacing w:before="360" w:after="240" w:line="300" w:lineRule="exact"/>
      <w:ind w:left="1134" w:right="1134" w:hanging="1134"/>
      <w:jc w:val="left"/>
      <w:outlineLvl w:val="1"/>
    </w:pPr>
    <w:rPr>
      <w:rFonts w:eastAsia="SimSun" w:hAnsiTheme="minorHAnsi"/>
      <w:b/>
      <w:sz w:val="28"/>
      <w:szCs w:val="30"/>
      <w:lang w:val="en-GB" w:eastAsia="zh-CN"/>
    </w:rPr>
  </w:style>
  <w:style w:type="paragraph" w:customStyle="1" w:styleId="H1G">
    <w:name w:val="_ H_1_G"/>
    <w:basedOn w:val="Normal"/>
    <w:next w:val="Normal"/>
    <w:qFormat/>
    <w:rsid w:val="00255CF5"/>
    <w:pPr>
      <w:keepNext/>
      <w:keepLines/>
      <w:tabs>
        <w:tab w:val="right" w:pos="851"/>
      </w:tabs>
      <w:suppressAutoHyphens/>
      <w:bidi w:val="0"/>
      <w:spacing w:before="360" w:after="240" w:line="270" w:lineRule="exact"/>
      <w:ind w:left="1134" w:right="1134" w:hanging="1134"/>
      <w:jc w:val="left"/>
      <w:outlineLvl w:val="2"/>
    </w:pPr>
    <w:rPr>
      <w:rFonts w:eastAsia="SimSun" w:hAnsiTheme="minorHAnsi" w:hint="cs"/>
      <w:b/>
      <w:sz w:val="24"/>
      <w:szCs w:val="30"/>
      <w:lang w:val="en-GB" w:eastAsia="zh-CN"/>
    </w:rPr>
  </w:style>
  <w:style w:type="paragraph" w:customStyle="1" w:styleId="H23G">
    <w:name w:val="_ H_2/3_G"/>
    <w:basedOn w:val="Normal"/>
    <w:next w:val="Normal"/>
    <w:qFormat/>
    <w:rsid w:val="00255CF5"/>
    <w:pPr>
      <w:keepNext/>
      <w:keepLines/>
      <w:tabs>
        <w:tab w:val="right" w:pos="851"/>
      </w:tabs>
      <w:suppressAutoHyphens/>
      <w:bidi w:val="0"/>
      <w:spacing w:before="240" w:after="120" w:line="240" w:lineRule="exact"/>
      <w:ind w:left="1134" w:right="1134" w:hanging="1134"/>
      <w:jc w:val="left"/>
      <w:outlineLvl w:val="3"/>
    </w:pPr>
    <w:rPr>
      <w:rFonts w:eastAsia="SimSun" w:hAnsiTheme="minorHAnsi" w:hint="cs"/>
      <w:b/>
      <w:szCs w:val="30"/>
      <w:lang w:val="en-GB" w:eastAsia="zh-CN"/>
    </w:rPr>
  </w:style>
  <w:style w:type="paragraph" w:customStyle="1" w:styleId="SingleTxtG">
    <w:name w:val="_ Single Txt_G"/>
    <w:basedOn w:val="Normal"/>
    <w:link w:val="SingleTxtGChar"/>
    <w:qFormat/>
    <w:rsid w:val="00255CF5"/>
    <w:pPr>
      <w:tabs>
        <w:tab w:val="left" w:pos="1701"/>
        <w:tab w:val="left" w:pos="2268"/>
      </w:tabs>
      <w:suppressAutoHyphens/>
      <w:bidi w:val="0"/>
      <w:spacing w:after="120"/>
      <w:ind w:left="1134" w:right="1134"/>
      <w:jc w:val="both"/>
    </w:pPr>
    <w:rPr>
      <w:rFonts w:eastAsia="SimSun" w:hAnsiTheme="minorHAnsi"/>
      <w:szCs w:val="30"/>
      <w:lang w:val="en-GB" w:eastAsia="zh-CN"/>
    </w:rPr>
  </w:style>
  <w:style w:type="paragraph" w:styleId="FootnoteText">
    <w:name w:val="footnote text"/>
    <w:aliases w:val="5_G"/>
    <w:basedOn w:val="Normal"/>
    <w:link w:val="FootnoteTextChar"/>
    <w:rsid w:val="00255CF5"/>
    <w:pPr>
      <w:tabs>
        <w:tab w:val="right" w:pos="1021"/>
      </w:tabs>
      <w:suppressAutoHyphens/>
      <w:bidi w:val="0"/>
      <w:spacing w:line="220" w:lineRule="exact"/>
      <w:ind w:left="1134" w:right="1134" w:hanging="1134"/>
      <w:jc w:val="left"/>
    </w:pPr>
    <w:rPr>
      <w:rFonts w:eastAsia="SimSun" w:hAnsiTheme="minorHAnsi" w:hint="cs"/>
      <w:sz w:val="18"/>
      <w:szCs w:val="30"/>
      <w:lang w:val="en-GB" w:eastAsia="zh-CN"/>
    </w:rPr>
  </w:style>
  <w:style w:type="character" w:customStyle="1" w:styleId="FootnoteTextChar">
    <w:name w:val="Footnote Text Char"/>
    <w:aliases w:val="5_G Char"/>
    <w:basedOn w:val="DefaultParagraphFont"/>
    <w:link w:val="FootnoteText"/>
    <w:rsid w:val="00255CF5"/>
    <w:rPr>
      <w:rFonts w:ascii="Times New Roman" w:eastAsia="SimSun" w:cs="Simplified Arabic"/>
      <w:sz w:val="18"/>
      <w:szCs w:val="30"/>
      <w:lang w:val="en-GB" w:eastAsia="zh-CN"/>
    </w:rPr>
  </w:style>
  <w:style w:type="character" w:styleId="FootnoteReference">
    <w:name w:val="footnote reference"/>
    <w:aliases w:val="4_G"/>
    <w:rsid w:val="00255CF5"/>
    <w:rPr>
      <w:rFonts w:ascii="Times New Roman" w:hAnsi="Times New Roman"/>
      <w:sz w:val="18"/>
      <w:vertAlign w:val="superscript"/>
    </w:rPr>
  </w:style>
  <w:style w:type="character" w:customStyle="1" w:styleId="SingleTxtGChar">
    <w:name w:val="_ Single Txt_G Char"/>
    <w:basedOn w:val="DefaultParagraphFont"/>
    <w:link w:val="SingleTxtG"/>
    <w:rsid w:val="00255CF5"/>
    <w:rPr>
      <w:rFonts w:ascii="Times New Roman" w:eastAsia="SimSun" w:cs="Simplified Arabic"/>
      <w:sz w:val="20"/>
      <w:szCs w:val="30"/>
      <w:lang w:val="en-GB" w:eastAsia="zh-CN"/>
    </w:rPr>
  </w:style>
  <w:style w:type="character" w:customStyle="1" w:styleId="HChGChar">
    <w:name w:val="_ H _Ch_G Char"/>
    <w:link w:val="HChG"/>
    <w:rsid w:val="00255CF5"/>
    <w:rPr>
      <w:rFonts w:ascii="Times New Roman" w:eastAsia="SimSun" w:cs="Simplified Arabic"/>
      <w:b/>
      <w:sz w:val="28"/>
      <w:szCs w:val="30"/>
      <w:lang w:val="en-GB" w:eastAsia="zh-CN"/>
    </w:rPr>
  </w:style>
  <w:style w:type="character" w:styleId="UnresolvedMention">
    <w:name w:val="Unresolved Mention"/>
    <w:basedOn w:val="DefaultParagraphFont"/>
    <w:uiPriority w:val="99"/>
    <w:semiHidden/>
    <w:unhideWhenUsed/>
    <w:rsid w:val="007A7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2fCED%2fRLI%2fURY%2f49553&amp;Lang=eshttps://tbinternet.ohchr.org/_layouts/15/treatybodyexternal/Download.aspx?symbolno=INT%2fCED%2fRLI%2fURY%2f49553&amp;Lang=es" TargetMode="External"/><Relationship Id="rId13" Type="http://schemas.openxmlformats.org/officeDocument/2006/relationships/hyperlink" Target="https://undocs.org/ar/CED/C/7" TargetMode="External"/><Relationship Id="rId3" Type="http://schemas.openxmlformats.org/officeDocument/2006/relationships/hyperlink" Target="https://tbinternet.ohchr.org/_layouts/15/treatybodyexternal/Download.aspx?symbolno=INT%2fCED%2fRLI%2fURY%2f49553&amp;Lang=eshttps://tbinternet.ohchr.org/_layouts/15/treatybodyexternal/Download.aspx?symbolno=INT%2fCED%2fRLI%2fURY%2f49553&amp;Lang=es" TargetMode="External"/><Relationship Id="rId7" Type="http://schemas.openxmlformats.org/officeDocument/2006/relationships/hyperlink" Target="https://tbinternet.ohchr.org/_layouts/15/treatybodyexternal/Download.aspx?symbolno=INT%2fCED%2fRLI%2fURY%2f49553&amp;Lang=es" TargetMode="External"/><Relationship Id="rId12" Type="http://schemas.openxmlformats.org/officeDocument/2006/relationships/hyperlink" Target="https://tbinternet.ohchr.org/_layouts/15/treatybodyexternal/Download.aspx?symbolno=INT%2fCED%2fRLI%2fURY%2f49553&amp;Lang=es" TargetMode="External"/><Relationship Id="rId2" Type="http://schemas.openxmlformats.org/officeDocument/2006/relationships/hyperlink" Target="https://undocs.org/ar/CED/C/URY/CO/1" TargetMode="External"/><Relationship Id="rId1" Type="http://schemas.openxmlformats.org/officeDocument/2006/relationships/hyperlink" Target="https://undocs.org/ar/CED/C/URY/AI/1" TargetMode="External"/><Relationship Id="rId6" Type="http://schemas.openxmlformats.org/officeDocument/2006/relationships/hyperlink" Target="https://undocs.org/ar/CED/C/URY/AI/1" TargetMode="External"/><Relationship Id="rId11" Type="http://schemas.openxmlformats.org/officeDocument/2006/relationships/hyperlink" Target="https://undocs.org/ar/CED/C/URY/CO/1" TargetMode="External"/><Relationship Id="rId5" Type="http://schemas.openxmlformats.org/officeDocument/2006/relationships/hyperlink" Target="https://undocs.org/ar/CED/C/URY/CO/1" TargetMode="External"/><Relationship Id="rId10" Type="http://schemas.openxmlformats.org/officeDocument/2006/relationships/hyperlink" Target="https://www.ohchr.org/sites/default/files/documents/issues/wgeid/2022-07-14/Observaciones-preliminares-GDTFI-Uruguay.pdf" TargetMode="External"/><Relationship Id="rId4" Type="http://schemas.openxmlformats.org/officeDocument/2006/relationships/hyperlink" Target="https://undocs.org/ar/CED/C/SR.409" TargetMode="External"/><Relationship Id="rId9" Type="http://schemas.openxmlformats.org/officeDocument/2006/relationships/hyperlink" Target="https://undocs.org/ar/CED/C/URY/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F3B9-0B75-4878-BFDE-A936202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14924</Characters>
  <Application>Microsoft Office Word</Application>
  <DocSecurity>0</DocSecurity>
  <Lines>240</Lines>
  <Paragraphs>69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CED/C/URY/OAI/1</vt:lpstr>
      <vt:lpstr>    الملاحظات الختامية بشأن المعلومات التكميلية المقدمة من أوروغواي بموجب الفقرة 4</vt:lpstr>
      <vt:lpstr>        ألف-	مقدمة</vt:lpstr>
      <vt:lpstr>        باء-	الجوانب الإيجابية</vt:lpstr>
      <vt:lpstr>        جيم-	تنفيذ توصيات اللجنة وتطورات الوضع في الدولة الطرف</vt:lpstr>
      <vt:lpstr>        دال-	تنفيذ الحقوق والالتزامات الناشئة عن الاتفاقية والنشر والمتابعة</vt:lpstr>
    </vt:vector>
  </TitlesOfParts>
  <Company>DCM</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CED/C/URY/OAI/1</dc:title>
  <dc:subject>GE.2217194(A)</dc:subject>
  <dc:creator>bah - </dc:creator>
  <cp:keywords>GE.(A)</cp:keywords>
  <dc:description>Geneal_x000d_
_x000d_
Arabic_x000d_
English</dc:description>
  <cp:lastModifiedBy>Jamila Chedad</cp:lastModifiedBy>
  <cp:revision>3</cp:revision>
  <cp:lastPrinted>2022-12-15T08:27:00Z</cp:lastPrinted>
  <dcterms:created xsi:type="dcterms:W3CDTF">2022-12-15T08:27:00Z</dcterms:created>
  <dcterms:modified xsi:type="dcterms:W3CDTF">2022-12-15T08:27:00Z</dcterms:modified>
</cp:coreProperties>
</file>