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fldSimple w:instr=" FILLIN  &quot;Введите часть символа после CRC/&quot;  \* MERGEFORMAT ">
              <w:r w:rsidR="00E277BE">
                <w:t>C/URY/CO/1/Add.1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E277BE">
              <w:rPr>
                <w:lang w:val="en-US"/>
              </w:rPr>
              <w:t>7 July 2014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bookmarkStart w:id="0" w:name="ПолеСоСписком2"/>
            <w:r w:rsidR="00C6508F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Spanish"/>
                    <w:listEntry w:val="English"/>
                    <w:listEntry w:val="Frenc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="00C6508F">
              <w:instrText xml:space="preserve"> FORMDROPDOWN </w:instrText>
            </w:r>
            <w:r w:rsidR="00C6508F">
              <w:fldChar w:fldCharType="end"/>
            </w:r>
            <w:bookmarkEnd w:id="0"/>
          </w:p>
          <w:p w:rsidR="00292480" w:rsidRPr="00635870" w:rsidRDefault="00292480" w:rsidP="009C4E83"/>
        </w:tc>
      </w:tr>
    </w:tbl>
    <w:p w:rsidR="0057580B" w:rsidRPr="0042364A" w:rsidRDefault="0057580B" w:rsidP="0042364A">
      <w:pPr>
        <w:spacing w:before="120"/>
        <w:rPr>
          <w:b/>
          <w:sz w:val="24"/>
          <w:szCs w:val="24"/>
        </w:rPr>
      </w:pPr>
      <w:r w:rsidRPr="0042364A">
        <w:rPr>
          <w:b/>
          <w:sz w:val="24"/>
          <w:szCs w:val="24"/>
        </w:rPr>
        <w:t>Комитет по насильственным исчезновениям</w:t>
      </w:r>
    </w:p>
    <w:p w:rsidR="0057580B" w:rsidRPr="0057580B" w:rsidRDefault="0042364A" w:rsidP="0042364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57580B" w:rsidRPr="0057580B">
        <w:t>Заключительные замечания по докладу, представленному Уругваем в соответствии с</w:t>
      </w:r>
      <w:r w:rsidR="00D165CC">
        <w:t> </w:t>
      </w:r>
      <w:r w:rsidR="0057580B" w:rsidRPr="0057580B">
        <w:t>пунктом</w:t>
      </w:r>
      <w:r w:rsidR="00D165CC">
        <w:t> </w:t>
      </w:r>
      <w:r w:rsidR="0057580B" w:rsidRPr="0057580B">
        <w:t>1 статьи 29 Конвенции</w:t>
      </w:r>
    </w:p>
    <w:p w:rsidR="0057580B" w:rsidRPr="0057580B" w:rsidRDefault="0042364A" w:rsidP="0042364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7580B" w:rsidRPr="0057580B">
        <w:t>Добавление</w:t>
      </w:r>
    </w:p>
    <w:p w:rsidR="0057580B" w:rsidRPr="002B5E6C" w:rsidRDefault="0042364A" w:rsidP="0042364A">
      <w:pPr>
        <w:pStyle w:val="HChGR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7580B" w:rsidRPr="0057580B">
        <w:t>Информация, полученная от Уругвая по последующей деятельности в связи с заключительными замечаниями</w:t>
      </w:r>
      <w:r w:rsidR="002B5E6C" w:rsidRPr="002B5E6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7580B" w:rsidRPr="0057580B" w:rsidRDefault="0057580B" w:rsidP="0042364A">
      <w:pPr>
        <w:pStyle w:val="SingleTxtGR"/>
        <w:jc w:val="right"/>
      </w:pPr>
      <w:r w:rsidRPr="0057580B">
        <w:t>[Дата получения: 14 апреля 2014 года]</w:t>
      </w:r>
    </w:p>
    <w:p w:rsidR="0057580B" w:rsidRPr="0057580B" w:rsidRDefault="0057580B" w:rsidP="0042364A">
      <w:pPr>
        <w:pStyle w:val="H1GR"/>
      </w:pPr>
      <w:r w:rsidRPr="0057580B">
        <w:tab/>
        <w:t>I.</w:t>
      </w:r>
      <w:r w:rsidR="0042364A">
        <w:rPr>
          <w:lang w:val="en-US"/>
        </w:rPr>
        <w:tab/>
      </w:r>
      <w:r w:rsidRPr="0057580B">
        <w:t>Введение</w:t>
      </w:r>
    </w:p>
    <w:p w:rsidR="0057580B" w:rsidRPr="0057580B" w:rsidRDefault="0057580B" w:rsidP="0042364A">
      <w:pPr>
        <w:pStyle w:val="SingleTxtGR"/>
      </w:pPr>
      <w:r w:rsidRPr="0057580B">
        <w:t>1.</w:t>
      </w:r>
      <w:r w:rsidRPr="0057580B">
        <w:tab/>
        <w:t>Нижеследующая информация касается рекомендаций, сформулированных Комитетом по насильственным исчезновениям в пунктах 14, 22 и 36 его закл</w:t>
      </w:r>
      <w:r w:rsidRPr="0057580B">
        <w:t>ю</w:t>
      </w:r>
      <w:r w:rsidRPr="0057580B">
        <w:t>чительных замечаний.</w:t>
      </w:r>
    </w:p>
    <w:p w:rsidR="0057580B" w:rsidRPr="0057580B" w:rsidRDefault="0057580B" w:rsidP="0042364A">
      <w:pPr>
        <w:pStyle w:val="H1GR"/>
      </w:pPr>
      <w:r w:rsidRPr="0057580B">
        <w:tab/>
        <w:t>II.</w:t>
      </w:r>
      <w:r w:rsidRPr="0057580B">
        <w:tab/>
        <w:t>Информация, касающаяся пункта 14 заключительных замечаний</w:t>
      </w:r>
    </w:p>
    <w:p w:rsidR="0057580B" w:rsidRPr="0057580B" w:rsidRDefault="0057580B" w:rsidP="0042364A">
      <w:pPr>
        <w:pStyle w:val="SingleTxtGR"/>
      </w:pPr>
      <w:r w:rsidRPr="0057580B">
        <w:t>2.</w:t>
      </w:r>
      <w:r w:rsidRPr="0057580B">
        <w:tab/>
        <w:t>Как известно, Уругвай представил свой первоначальный доклад в сентя</w:t>
      </w:r>
      <w:r w:rsidRPr="0057580B">
        <w:t>б</w:t>
      </w:r>
      <w:r w:rsidRPr="0057580B">
        <w:t>ре 2012 года и, следовательно, стал первой страной, выполнившей соответс</w:t>
      </w:r>
      <w:r w:rsidRPr="0057580B">
        <w:t>т</w:t>
      </w:r>
      <w:r w:rsidRPr="0057580B">
        <w:t>вующее обязательство. 9 и 10 апреля 2013 года государство представило Ком</w:t>
      </w:r>
      <w:r w:rsidRPr="0057580B">
        <w:t>и</w:t>
      </w:r>
      <w:r w:rsidRPr="0057580B">
        <w:t>тету свой устный доклад.</w:t>
      </w:r>
    </w:p>
    <w:p w:rsidR="0057580B" w:rsidRPr="0057580B" w:rsidRDefault="0057580B" w:rsidP="0042364A">
      <w:pPr>
        <w:pStyle w:val="SingleTxtGR"/>
      </w:pPr>
      <w:r w:rsidRPr="0057580B">
        <w:t>3.</w:t>
      </w:r>
      <w:r w:rsidRPr="0057580B">
        <w:tab/>
        <w:t>В этой связи необходимо отметить, что в апреле 2013 года после своего устного представления доклада Комитету представители исполнительной вл</w:t>
      </w:r>
      <w:r w:rsidRPr="0057580B">
        <w:t>а</w:t>
      </w:r>
      <w:r w:rsidRPr="0057580B">
        <w:t>сти (секретарь администрации Президента г-н Омеро Герреро и Министр ин</w:t>
      </w:r>
      <w:r w:rsidRPr="0057580B">
        <w:t>о</w:t>
      </w:r>
      <w:r w:rsidRPr="0057580B">
        <w:t>странных дел, Министр внутренних дел и Министр образования вместе с чл</w:t>
      </w:r>
      <w:r w:rsidRPr="0057580B">
        <w:t>е</w:t>
      </w:r>
      <w:r w:rsidRPr="0057580B">
        <w:t>нами делегации, которые приняли участие в устном выступлении перед Ком</w:t>
      </w:r>
      <w:r w:rsidRPr="0057580B">
        <w:t>и</w:t>
      </w:r>
      <w:r w:rsidRPr="0057580B">
        <w:t xml:space="preserve">тетом, а также один из членов Комитета, выполнявший функции независимого </w:t>
      </w:r>
      <w:r w:rsidR="008C4A3D">
        <w:t>эксперта, г-н Альваро Гарсе</w:t>
      </w:r>
      <w:r w:rsidR="008C4A3D">
        <w:rPr>
          <w:lang w:val="en-US"/>
        </w:rPr>
        <w:t>,</w:t>
      </w:r>
      <w:r w:rsidRPr="0057580B">
        <w:t xml:space="preserve"> приняли участие в проходившем в дружественной атмосфере совещании с судьями Верховного суда.</w:t>
      </w:r>
    </w:p>
    <w:p w:rsidR="0057580B" w:rsidRPr="0057580B" w:rsidRDefault="0057580B" w:rsidP="0042364A">
      <w:pPr>
        <w:pStyle w:val="SingleTxtGR"/>
      </w:pPr>
      <w:r w:rsidRPr="0057580B">
        <w:t>4.</w:t>
      </w:r>
      <w:r w:rsidRPr="0057580B">
        <w:tab/>
        <w:t>В ходе этого совещания представители исполнительной власти прои</w:t>
      </w:r>
      <w:r w:rsidRPr="0057580B">
        <w:t>н</w:t>
      </w:r>
      <w:r w:rsidRPr="0057580B">
        <w:t>формировали членов Верховного суда о рекомендациях, сформулированных Комитетом в отношении Уругвая, уделив особое внимание рекомендациям, к</w:t>
      </w:r>
      <w:r w:rsidRPr="0057580B">
        <w:t>а</w:t>
      </w:r>
      <w:r w:rsidRPr="0057580B">
        <w:t>сающимся судебных органов.</w:t>
      </w:r>
    </w:p>
    <w:p w:rsidR="0057580B" w:rsidRPr="0057580B" w:rsidRDefault="0057580B" w:rsidP="0042364A">
      <w:pPr>
        <w:pStyle w:val="SingleTxtGR"/>
      </w:pPr>
      <w:r w:rsidRPr="0057580B">
        <w:t>5.</w:t>
      </w:r>
      <w:r w:rsidRPr="0057580B">
        <w:tab/>
        <w:t>Кроме того, в ходе этого совещания представители исполнительной вл</w:t>
      </w:r>
      <w:r w:rsidRPr="0057580B">
        <w:t>а</w:t>
      </w:r>
      <w:r w:rsidRPr="0057580B">
        <w:t>сти передали членам Верховного суда доклад Комиссии по контролю за осущ</w:t>
      </w:r>
      <w:r w:rsidRPr="0057580B">
        <w:t>е</w:t>
      </w:r>
      <w:r w:rsidRPr="0057580B">
        <w:t>ствлением Межамериканской конвенции о насил</w:t>
      </w:r>
      <w:r w:rsidRPr="0057580B">
        <w:t>ь</w:t>
      </w:r>
      <w:r w:rsidRPr="0057580B">
        <w:t>ственном исчезновении лиц, в котором содержится критика в адрес суда, вынесшего решение о неконституц</w:t>
      </w:r>
      <w:r w:rsidRPr="0057580B">
        <w:t>и</w:t>
      </w:r>
      <w:r w:rsidRPr="0057580B">
        <w:t>онности Закона о толковании Закона об истечении срока давности для пресл</w:t>
      </w:r>
      <w:r w:rsidRPr="0057580B">
        <w:t>е</w:t>
      </w:r>
      <w:r w:rsidRPr="0057580B">
        <w:t>дования со стороны государства, поскольку в этом решении признается распр</w:t>
      </w:r>
      <w:r w:rsidRPr="0057580B">
        <w:t>о</w:t>
      </w:r>
      <w:r w:rsidRPr="0057580B">
        <w:t>странение исковой давности на преступления, совершенные в период во</w:t>
      </w:r>
      <w:r w:rsidR="008C4A3D">
        <w:t>енной диктатуры в Уругвае (1973</w:t>
      </w:r>
      <w:r w:rsidR="008C4A3D">
        <w:rPr>
          <w:lang w:val="en-US"/>
        </w:rPr>
        <w:t>−</w:t>
      </w:r>
      <w:r w:rsidRPr="0057580B">
        <w:t xml:space="preserve">1985 годы), вместо </w:t>
      </w:r>
      <w:r w:rsidR="008C4A3D" w:rsidRPr="0057580B">
        <w:t xml:space="preserve">их </w:t>
      </w:r>
      <w:r w:rsidRPr="0057580B">
        <w:t>признания преступлениями против человечности, на которые не распространяется исковая давность.</w:t>
      </w:r>
    </w:p>
    <w:p w:rsidR="0057580B" w:rsidRPr="0057580B" w:rsidRDefault="0057580B" w:rsidP="0042364A">
      <w:pPr>
        <w:pStyle w:val="SingleTxtGR"/>
      </w:pPr>
      <w:r w:rsidRPr="0057580B">
        <w:t>6.</w:t>
      </w:r>
      <w:r w:rsidRPr="0057580B">
        <w:tab/>
        <w:t>В этой связи необходимо отметить, что тогдашний Председатель Верхо</w:t>
      </w:r>
      <w:r w:rsidRPr="0057580B">
        <w:t>в</w:t>
      </w:r>
      <w:r w:rsidRPr="0057580B">
        <w:t>ного суда г-н Руибаль Пино заявил, что Верховный суд должным образом пр</w:t>
      </w:r>
      <w:r w:rsidRPr="0057580B">
        <w:t>и</w:t>
      </w:r>
      <w:r w:rsidRPr="0057580B">
        <w:t>нял к сведению эти рекомендации и соответственно будет опираться на них</w:t>
      </w:r>
      <w:r w:rsidR="008C4A3D">
        <w:rPr>
          <w:lang w:val="en-US"/>
        </w:rPr>
        <w:t xml:space="preserve"> </w:t>
      </w:r>
      <w:r w:rsidR="008C4A3D">
        <w:t>в своей работе</w:t>
      </w:r>
      <w:r w:rsidRPr="0057580B">
        <w:t xml:space="preserve"> без ущерба для занятых ранее позиций или высказанных ранее мнений Верховным судом, особо подчеркнув необходимость обеспечения нез</w:t>
      </w:r>
      <w:r w:rsidRPr="0057580B">
        <w:t>а</w:t>
      </w:r>
      <w:r w:rsidRPr="0057580B">
        <w:t>висимости судебной власти при решении таких вопросов.</w:t>
      </w:r>
    </w:p>
    <w:p w:rsidR="0057580B" w:rsidRPr="0057580B" w:rsidRDefault="0057580B" w:rsidP="002B5E6C">
      <w:pPr>
        <w:pStyle w:val="HChGR"/>
      </w:pPr>
      <w:r w:rsidRPr="0057580B">
        <w:tab/>
        <w:t>III.</w:t>
      </w:r>
      <w:r w:rsidRPr="0057580B">
        <w:tab/>
        <w:t>Информация, касающаяся пункта 22 заключительных замечаний</w:t>
      </w:r>
    </w:p>
    <w:p w:rsidR="0057580B" w:rsidRPr="0057580B" w:rsidRDefault="0057580B" w:rsidP="0042364A">
      <w:pPr>
        <w:pStyle w:val="SingleTxtGR"/>
      </w:pPr>
      <w:r w:rsidRPr="0057580B">
        <w:t>7.</w:t>
      </w:r>
      <w:r w:rsidRPr="0057580B">
        <w:tab/>
        <w:t>Предлагаемый проект о внесении поправок в Уголовно-процессуальный кодекс (УПК) в настоящее вр</w:t>
      </w:r>
      <w:r w:rsidR="008C4A3D">
        <w:t xml:space="preserve">емя находится на рассмотрении </w:t>
      </w:r>
      <w:r w:rsidRPr="0057580B">
        <w:t>парламент</w:t>
      </w:r>
      <w:r w:rsidR="008C4A3D">
        <w:t>а</w:t>
      </w:r>
      <w:r w:rsidRPr="0057580B">
        <w:t xml:space="preserve"> (в</w:t>
      </w:r>
      <w:r w:rsidR="002B5E6C">
        <w:rPr>
          <w:lang w:val="en-US"/>
        </w:rPr>
        <w:t> </w:t>
      </w:r>
      <w:r w:rsidRPr="0057580B">
        <w:t>Коми</w:t>
      </w:r>
      <w:r w:rsidR="008C4A3D">
        <w:t>ссии</w:t>
      </w:r>
      <w:r w:rsidRPr="0057580B">
        <w:t xml:space="preserve"> Сената по вопросам конституции и к</w:t>
      </w:r>
      <w:r w:rsidRPr="0057580B">
        <w:t>о</w:t>
      </w:r>
      <w:r w:rsidRPr="0057580B">
        <w:t>дексов).</w:t>
      </w:r>
    </w:p>
    <w:p w:rsidR="0057580B" w:rsidRPr="0057580B" w:rsidRDefault="0057580B" w:rsidP="0042364A">
      <w:pPr>
        <w:pStyle w:val="SingleTxtGR"/>
      </w:pPr>
      <w:r w:rsidRPr="0057580B">
        <w:t>8.</w:t>
      </w:r>
      <w:r w:rsidRPr="0057580B">
        <w:tab/>
        <w:t>С момента изучения Комитетом доклада Уругвая (в апреле 2013 года) до сегодняшнего дня пр</w:t>
      </w:r>
      <w:r w:rsidRPr="0057580B">
        <w:t>о</w:t>
      </w:r>
      <w:r w:rsidRPr="0057580B">
        <w:t>должалась процедура рассмотрения  этого законопроекта в парламенте.</w:t>
      </w:r>
    </w:p>
    <w:p w:rsidR="0057580B" w:rsidRPr="0057580B" w:rsidRDefault="0057580B" w:rsidP="0042364A">
      <w:pPr>
        <w:pStyle w:val="SingleTxtGR"/>
      </w:pPr>
      <w:r w:rsidRPr="0057580B">
        <w:t>9.</w:t>
      </w:r>
      <w:r w:rsidRPr="0057580B">
        <w:tab/>
        <w:t>Следует отметить, что этот законопроект был подготовлен Комиссией, созданной в соответствии с Законом № 17897 от 14 сентября 2005 года (Закон о гуманизации пенитенциарной системы).</w:t>
      </w:r>
    </w:p>
    <w:p w:rsidR="0057580B" w:rsidRPr="0057580B" w:rsidRDefault="0057580B" w:rsidP="0042364A">
      <w:pPr>
        <w:pStyle w:val="SingleTxtGR"/>
      </w:pPr>
      <w:r w:rsidRPr="0057580B">
        <w:t>10.</w:t>
      </w:r>
      <w:r w:rsidRPr="0057580B">
        <w:tab/>
        <w:t>В соответствии со статьей 21 этого Закона была создана Почетная коми</w:t>
      </w:r>
      <w:r w:rsidRPr="0057580B">
        <w:t>с</w:t>
      </w:r>
      <w:r w:rsidRPr="0057580B">
        <w:t>сия по разработке осно</w:t>
      </w:r>
      <w:r w:rsidRPr="0057580B">
        <w:t>в</w:t>
      </w:r>
      <w:r w:rsidRPr="0057580B">
        <w:t>ных поправок к Уголовно-процессуальному кодексу, а в соответствии со статьей 22 этого Закона была создана Комиссия по реформир</w:t>
      </w:r>
      <w:r w:rsidRPr="0057580B">
        <w:t>о</w:t>
      </w:r>
      <w:r w:rsidRPr="0057580B">
        <w:t>ванию Уголовного кодекса, которая призвана опираться на современные при</w:t>
      </w:r>
      <w:r w:rsidRPr="0057580B">
        <w:t>н</w:t>
      </w:r>
      <w:r w:rsidRPr="0057580B">
        <w:t>ципы уголовно-правовой политики и включать в составляемый ею текст пер</w:t>
      </w:r>
      <w:r w:rsidRPr="0057580B">
        <w:t>е</w:t>
      </w:r>
      <w:r w:rsidRPr="0057580B">
        <w:t>довые нормы пров</w:t>
      </w:r>
      <w:r w:rsidRPr="0057580B">
        <w:t>е</w:t>
      </w:r>
      <w:r w:rsidRPr="0057580B">
        <w:t>дения судебных разбирательств по делам об организованной преступности.</w:t>
      </w:r>
    </w:p>
    <w:p w:rsidR="0057580B" w:rsidRPr="0057580B" w:rsidRDefault="0057580B" w:rsidP="0042364A">
      <w:pPr>
        <w:pStyle w:val="SingleTxtGR"/>
      </w:pPr>
      <w:r w:rsidRPr="0057580B">
        <w:t>11.</w:t>
      </w:r>
      <w:r w:rsidRPr="0057580B">
        <w:tab/>
        <w:t xml:space="preserve">В состав этой комиссии, которую возглавил бывший судья Верховного суда </w:t>
      </w:r>
      <w:r w:rsidR="008C4A3D">
        <w:t xml:space="preserve">и </w:t>
      </w:r>
      <w:r w:rsidRPr="0057580B">
        <w:t xml:space="preserve">специалист по уголовному праву г-н Милтон Каироли, </w:t>
      </w:r>
      <w:r w:rsidR="008C4A3D">
        <w:t>вошли</w:t>
      </w:r>
      <w:r w:rsidRPr="0057580B">
        <w:t xml:space="preserve"> представ</w:t>
      </w:r>
      <w:r w:rsidRPr="0057580B">
        <w:t>и</w:t>
      </w:r>
      <w:r w:rsidRPr="0057580B">
        <w:t>тели исполнительной власти, Верховного суда, Генеральной прокуратуры, Ре</w:t>
      </w:r>
      <w:r w:rsidRPr="0057580B">
        <w:t>с</w:t>
      </w:r>
      <w:r w:rsidRPr="0057580B">
        <w:t>публиканского университета, Уругвайской ассоциации судей, Ассоциации пр</w:t>
      </w:r>
      <w:r w:rsidRPr="0057580B">
        <w:t>о</w:t>
      </w:r>
      <w:r w:rsidRPr="0057580B">
        <w:t xml:space="preserve">куроров, Ассоциации </w:t>
      </w:r>
      <w:r w:rsidR="008C4A3D">
        <w:t>государственных защитников</w:t>
      </w:r>
      <w:r w:rsidRPr="0057580B">
        <w:t>, Уругвайской коллегии а</w:t>
      </w:r>
      <w:r w:rsidRPr="0057580B">
        <w:t>д</w:t>
      </w:r>
      <w:r w:rsidRPr="0057580B">
        <w:t>вокатов, Ассоциации должностных лиц суда и Ассоциации секретарей суда.</w:t>
      </w:r>
    </w:p>
    <w:p w:rsidR="0057580B" w:rsidRPr="0057580B" w:rsidRDefault="0057580B" w:rsidP="0042364A">
      <w:pPr>
        <w:pStyle w:val="SingleTxtGR"/>
      </w:pPr>
      <w:r w:rsidRPr="0057580B">
        <w:t>12.</w:t>
      </w:r>
      <w:r w:rsidRPr="0057580B">
        <w:tab/>
        <w:t>Кроме того, в соответствии с вышеуказанным Законом о гуманизации п</w:t>
      </w:r>
      <w:r w:rsidRPr="0057580B">
        <w:t>е</w:t>
      </w:r>
      <w:r w:rsidRPr="0057580B">
        <w:t>нитенциарной системы была создана Комиссия по реформированию УПК, пр</w:t>
      </w:r>
      <w:r w:rsidRPr="0057580B">
        <w:t>и</w:t>
      </w:r>
      <w:r w:rsidRPr="0057580B">
        <w:t>званная представить на рассмотрение парламента законопроект о внесении п</w:t>
      </w:r>
      <w:r w:rsidRPr="0057580B">
        <w:t>о</w:t>
      </w:r>
      <w:r w:rsidRPr="0057580B">
        <w:t>правок в действующий с июля 1980 года Уголовно-процессуальный кодекс.</w:t>
      </w:r>
    </w:p>
    <w:p w:rsidR="0057580B" w:rsidRPr="0057580B" w:rsidRDefault="0057580B" w:rsidP="0042364A">
      <w:pPr>
        <w:pStyle w:val="SingleTxtGR"/>
      </w:pPr>
      <w:r w:rsidRPr="0057580B">
        <w:t>13.</w:t>
      </w:r>
      <w:r w:rsidRPr="0057580B">
        <w:tab/>
        <w:t>Эту комиссию возглавил член Административного суда и специалист по уголовному праву г-н Дардо Преса. Е</w:t>
      </w:r>
      <w:r w:rsidR="008C4A3D">
        <w:t>е</w:t>
      </w:r>
      <w:r w:rsidRPr="0057580B">
        <w:t xml:space="preserve"> состав был аналогичным составу Коми</w:t>
      </w:r>
      <w:r w:rsidRPr="0057580B">
        <w:t>с</w:t>
      </w:r>
      <w:r w:rsidRPr="0057580B">
        <w:t>сии по реформированию Уголовного кодекса.</w:t>
      </w:r>
    </w:p>
    <w:p w:rsidR="0057580B" w:rsidRPr="0057580B" w:rsidRDefault="0057580B" w:rsidP="0042364A">
      <w:pPr>
        <w:pStyle w:val="SingleTxtGR"/>
      </w:pPr>
      <w:r w:rsidRPr="0057580B">
        <w:t>14.</w:t>
      </w:r>
      <w:r w:rsidRPr="0057580B">
        <w:tab/>
        <w:t>В этой связи хотели бы отметить, что процесс изменения или реформир</w:t>
      </w:r>
      <w:r w:rsidRPr="0057580B">
        <w:t>о</w:t>
      </w:r>
      <w:r w:rsidRPr="0057580B">
        <w:t>вания УПК Уругвая до</w:t>
      </w:r>
      <w:r w:rsidRPr="0057580B">
        <w:t>л</w:t>
      </w:r>
      <w:r w:rsidRPr="0057580B">
        <w:t>жен быть вписан в исторический контекст, поскольку он неизбежно повлечет за собой существенное изменение правовой культуры н</w:t>
      </w:r>
      <w:r w:rsidRPr="0057580B">
        <w:t>а</w:t>
      </w:r>
      <w:r w:rsidRPr="0057580B">
        <w:t>шей страны, важность которого нельзя недооценивать, учитывая, что этот пр</w:t>
      </w:r>
      <w:r w:rsidRPr="0057580B">
        <w:t>о</w:t>
      </w:r>
      <w:r w:rsidRPr="0057580B">
        <w:t>цесс предполагает создание новой модели уголовного судопроизводства, то есть замену нынешнего уголовного судопроизводства, опирающегося главным обр</w:t>
      </w:r>
      <w:r w:rsidRPr="0057580B">
        <w:t>а</w:t>
      </w:r>
      <w:r w:rsidRPr="0057580B">
        <w:t>зом на письменные материалы и следствие, на уголовное судопроизводство, о</w:t>
      </w:r>
      <w:r w:rsidRPr="0057580B">
        <w:t>с</w:t>
      </w:r>
      <w:r w:rsidRPr="0057580B">
        <w:t>нованное на принципе состязательности,  устном разбирательс</w:t>
      </w:r>
      <w:r w:rsidRPr="0057580B">
        <w:t>т</w:t>
      </w:r>
      <w:r w:rsidRPr="0057580B">
        <w:t>ве и публичных слушаниях.</w:t>
      </w:r>
    </w:p>
    <w:p w:rsidR="0057580B" w:rsidRPr="0057580B" w:rsidRDefault="0057580B" w:rsidP="0042364A">
      <w:pPr>
        <w:pStyle w:val="SingleTxtGR"/>
      </w:pPr>
      <w:r w:rsidRPr="0057580B">
        <w:t>15.</w:t>
      </w:r>
      <w:r w:rsidRPr="0057580B">
        <w:tab/>
        <w:t>Кроме того, эта реформа также предполагает соответствующую модерн</w:t>
      </w:r>
      <w:r w:rsidRPr="0057580B">
        <w:t>и</w:t>
      </w:r>
      <w:r w:rsidRPr="0057580B">
        <w:t>зацию Генеральной пр</w:t>
      </w:r>
      <w:r w:rsidRPr="0057580B">
        <w:t>о</w:t>
      </w:r>
      <w:r w:rsidRPr="0057580B">
        <w:t>куратуры для повышения эффективности ее работы.</w:t>
      </w:r>
    </w:p>
    <w:p w:rsidR="0057580B" w:rsidRPr="0057580B" w:rsidRDefault="0057580B" w:rsidP="0042364A">
      <w:pPr>
        <w:pStyle w:val="SingleTxtGR"/>
      </w:pPr>
      <w:r w:rsidRPr="0057580B">
        <w:t>16.</w:t>
      </w:r>
      <w:r w:rsidRPr="0057580B">
        <w:tab/>
        <w:t>Верховный суд считает, что даже в случае утверждения нового Уголовно-процессуального кодекса нынешними законодательными органами до 2015 года и выделения соответствующих необходимых финансовых средств, переход на новую систему займет не менее трех лет.</w:t>
      </w:r>
    </w:p>
    <w:p w:rsidR="0057580B" w:rsidRPr="0057580B" w:rsidRDefault="0057580B" w:rsidP="0042364A">
      <w:pPr>
        <w:pStyle w:val="SingleTxtGR"/>
      </w:pPr>
      <w:r w:rsidRPr="0057580B">
        <w:t>17.</w:t>
      </w:r>
      <w:r w:rsidRPr="0057580B">
        <w:tab/>
        <w:t>Следует принять к сведению, что с учетом масштабов этой реформы н</w:t>
      </w:r>
      <w:r w:rsidRPr="0057580B">
        <w:t>о</w:t>
      </w:r>
      <w:r w:rsidRPr="0057580B">
        <w:t>вому правительству, которое будет сформировано  после проведения заплан</w:t>
      </w:r>
      <w:r w:rsidRPr="0057580B">
        <w:t>и</w:t>
      </w:r>
      <w:r w:rsidRPr="0057580B">
        <w:t>рованных на этот год национальных выборов и нач</w:t>
      </w:r>
      <w:r w:rsidR="00B05CB6">
        <w:t>нет свою работу с</w:t>
      </w:r>
      <w:r w:rsidRPr="0057580B">
        <w:t xml:space="preserve"> 1 марта 2015 года, необходимо будет принят</w:t>
      </w:r>
      <w:r w:rsidR="00B05CB6">
        <w:t>ь новый закон о бюджете на 2015</w:t>
      </w:r>
      <w:r w:rsidR="00B05CB6">
        <w:rPr>
          <w:lang w:val="en-US"/>
        </w:rPr>
        <w:t>−</w:t>
      </w:r>
      <w:r w:rsidRPr="0057580B">
        <w:t>2019 г</w:t>
      </w:r>
      <w:r w:rsidRPr="0057580B">
        <w:t>о</w:t>
      </w:r>
      <w:r w:rsidRPr="0057580B">
        <w:t>ды.</w:t>
      </w:r>
    </w:p>
    <w:p w:rsidR="0057580B" w:rsidRPr="0057580B" w:rsidRDefault="0057580B" w:rsidP="0042364A">
      <w:pPr>
        <w:pStyle w:val="SingleTxtGR"/>
      </w:pPr>
      <w:r w:rsidRPr="0057580B">
        <w:t>18.</w:t>
      </w:r>
      <w:r w:rsidRPr="0057580B">
        <w:tab/>
        <w:t>Вышеизложенные соображения основаны на понимании того, что прин</w:t>
      </w:r>
      <w:r w:rsidRPr="0057580B">
        <w:t>я</w:t>
      </w:r>
      <w:r w:rsidRPr="0057580B">
        <w:t>тие нового Уголовно-процессуального кодекса  предполагает не только появл</w:t>
      </w:r>
      <w:r w:rsidRPr="0057580B">
        <w:t>е</w:t>
      </w:r>
      <w:r w:rsidRPr="0057580B">
        <w:t>ние самого нового кодекса, но и изменение правовой культуры страны и соо</w:t>
      </w:r>
      <w:r w:rsidRPr="0057580B">
        <w:t>т</w:t>
      </w:r>
      <w:r w:rsidRPr="0057580B">
        <w:t>ветствующие инвестиции в объекты инфраструктуры, поскольку помимо на</w:t>
      </w:r>
      <w:r w:rsidRPr="0057580B">
        <w:t>д</w:t>
      </w:r>
      <w:r w:rsidRPr="0057580B">
        <w:t>лежащих кадровых ресурсов потребуются также новые уголовные суды.</w:t>
      </w:r>
    </w:p>
    <w:p w:rsidR="0057580B" w:rsidRPr="0057580B" w:rsidRDefault="0057580B" w:rsidP="0042364A">
      <w:pPr>
        <w:pStyle w:val="SingleTxtGR"/>
      </w:pPr>
      <w:r w:rsidRPr="0057580B">
        <w:t>19.</w:t>
      </w:r>
      <w:r w:rsidRPr="0057580B">
        <w:tab/>
        <w:t>В этой связи Верховный суд подсчитал, что потребу</w:t>
      </w:r>
      <w:r w:rsidR="00691369">
        <w:t>ю</w:t>
      </w:r>
      <w:r w:rsidRPr="0057580B">
        <w:t>тся 62 новых уг</w:t>
      </w:r>
      <w:r w:rsidRPr="0057580B">
        <w:t>о</w:t>
      </w:r>
      <w:r w:rsidRPr="0057580B">
        <w:t xml:space="preserve">ловных суда, 62 новых судьи по уголовным делам и </w:t>
      </w:r>
      <w:r w:rsidR="00691369">
        <w:t>государственных защитн</w:t>
      </w:r>
      <w:r w:rsidR="00691369">
        <w:t>и</w:t>
      </w:r>
      <w:r w:rsidR="00691369">
        <w:t>ка</w:t>
      </w:r>
      <w:r w:rsidRPr="0057580B">
        <w:t>, а также дополнительные кабинеты для секретарей суда и новые кадровые ресурсы для судебных органов. Ясно, что необходимые инвестиции будут и</w:t>
      </w:r>
      <w:r w:rsidRPr="0057580B">
        <w:t>с</w:t>
      </w:r>
      <w:r w:rsidRPr="0057580B">
        <w:t>числяться в миллионах.</w:t>
      </w:r>
    </w:p>
    <w:p w:rsidR="0057580B" w:rsidRPr="0057580B" w:rsidRDefault="0057580B" w:rsidP="0042364A">
      <w:pPr>
        <w:pStyle w:val="SingleTxtGR"/>
      </w:pPr>
      <w:r w:rsidRPr="0057580B">
        <w:t>20.</w:t>
      </w:r>
      <w:r w:rsidRPr="0057580B">
        <w:tab/>
        <w:t>Из прошлых преобразований следует отметить проведенную в 1987</w:t>
      </w:r>
      <w:r w:rsidR="00B05CB6">
        <w:rPr>
          <w:lang w:val="en-US"/>
        </w:rPr>
        <w:t>−</w:t>
      </w:r>
      <w:r w:rsidRPr="0057580B">
        <w:t>1988</w:t>
      </w:r>
      <w:r w:rsidR="00B05CB6">
        <w:rPr>
          <w:lang w:val="en-US"/>
        </w:rPr>
        <w:t> </w:t>
      </w:r>
      <w:r w:rsidRPr="0057580B">
        <w:t>годах масштабную реформу, которая затронула все области, кроме уголовной, и в результате которой был принят Общий процессуальный кодекс (Закон № 15982 от октября 1988 года).</w:t>
      </w:r>
    </w:p>
    <w:p w:rsidR="0057580B" w:rsidRPr="0057580B" w:rsidRDefault="0057580B" w:rsidP="0042364A">
      <w:pPr>
        <w:pStyle w:val="SingleTxtGR"/>
      </w:pPr>
      <w:r w:rsidRPr="0057580B">
        <w:t>21.</w:t>
      </w:r>
      <w:r w:rsidRPr="0057580B">
        <w:tab/>
        <w:t>В то время было решено реформировать</w:t>
      </w:r>
      <w:r w:rsidR="00691369">
        <w:t xml:space="preserve"> в первую очередь</w:t>
      </w:r>
      <w:r w:rsidRPr="0057580B">
        <w:t xml:space="preserve"> неуголовные области, в частности уделяя внимание финансовым вопросам, а реформу си</w:t>
      </w:r>
      <w:r w:rsidRPr="0057580B">
        <w:t>с</w:t>
      </w:r>
      <w:r w:rsidRPr="0057580B">
        <w:t>темы уголовного права провести позже.</w:t>
      </w:r>
    </w:p>
    <w:p w:rsidR="0057580B" w:rsidRPr="0057580B" w:rsidRDefault="0057580B" w:rsidP="0042364A">
      <w:pPr>
        <w:pStyle w:val="SingleTxtGR"/>
      </w:pPr>
      <w:r w:rsidRPr="0057580B">
        <w:t>22.</w:t>
      </w:r>
      <w:r w:rsidRPr="0057580B">
        <w:tab/>
        <w:t xml:space="preserve">В 1997 году была предпринята попытка изменения действующей системы уголовного права путем разработки проекта Уголовного кодекса (Закон </w:t>
      </w:r>
      <w:r w:rsidR="00691369">
        <w:t xml:space="preserve">№ 16893 от декабря 1997 года), </w:t>
      </w:r>
      <w:r w:rsidRPr="0057580B">
        <w:t>который так и не был принят.</w:t>
      </w:r>
    </w:p>
    <w:p w:rsidR="0057580B" w:rsidRPr="0057580B" w:rsidRDefault="0057580B" w:rsidP="0042364A">
      <w:pPr>
        <w:pStyle w:val="SingleTxtGR"/>
      </w:pPr>
      <w:r w:rsidRPr="0057580B">
        <w:t>23.</w:t>
      </w:r>
      <w:r w:rsidRPr="0057580B">
        <w:tab/>
        <w:t>В этой связи следует отметить, что правительство Уругвая намерено пр</w:t>
      </w:r>
      <w:r w:rsidRPr="0057580B">
        <w:t>о</w:t>
      </w:r>
      <w:r w:rsidRPr="0057580B">
        <w:t>должать усилия по созд</w:t>
      </w:r>
      <w:r w:rsidRPr="0057580B">
        <w:t>а</w:t>
      </w:r>
      <w:r w:rsidRPr="0057580B">
        <w:t>нию новой системы уголовного судопроизводства.</w:t>
      </w:r>
    </w:p>
    <w:p w:rsidR="0057580B" w:rsidRPr="0057580B" w:rsidRDefault="0057580B" w:rsidP="0042364A">
      <w:pPr>
        <w:pStyle w:val="SingleTxtGR"/>
      </w:pPr>
      <w:r w:rsidRPr="0057580B">
        <w:t>24.</w:t>
      </w:r>
      <w:r w:rsidRPr="0057580B">
        <w:tab/>
        <w:t>Оно понимает, что такая реформа крайне необходима и во многом будет способствовать реализ</w:t>
      </w:r>
      <w:r w:rsidRPr="0057580B">
        <w:t>а</w:t>
      </w:r>
      <w:r w:rsidRPr="0057580B">
        <w:t>ции права всех людей пользоваться современной, транспарентной, эффективной, безопасной и независимой судебной системой, доступной для всех слоев населения.</w:t>
      </w:r>
    </w:p>
    <w:p w:rsidR="0057580B" w:rsidRPr="0057580B" w:rsidRDefault="0057580B" w:rsidP="00B05CB6">
      <w:pPr>
        <w:pStyle w:val="HChGR"/>
      </w:pPr>
      <w:r w:rsidRPr="0057580B">
        <w:tab/>
        <w:t>IV.</w:t>
      </w:r>
      <w:r w:rsidRPr="0057580B">
        <w:tab/>
        <w:t>Информация, касающаяся пункта 36 заключительных замечаний</w:t>
      </w:r>
    </w:p>
    <w:p w:rsidR="0057580B" w:rsidRPr="0057580B" w:rsidRDefault="0057580B" w:rsidP="0042364A">
      <w:pPr>
        <w:pStyle w:val="SingleTxtGR"/>
      </w:pPr>
      <w:r w:rsidRPr="0057580B">
        <w:t>25.</w:t>
      </w:r>
      <w:r w:rsidRPr="0057580B">
        <w:tab/>
        <w:t xml:space="preserve">Следует отметить, что согласно Закону № 17894 от сентября 2005 года, лица, ставшие жертвами насильственных исчезновений на территории Уругвая, в соответствии с приложением 3.1 </w:t>
      </w:r>
      <w:r w:rsidR="00691369">
        <w:t xml:space="preserve">к </w:t>
      </w:r>
      <w:r w:rsidRPr="0057580B">
        <w:t>доклад</w:t>
      </w:r>
      <w:r w:rsidR="00691369">
        <w:t>у</w:t>
      </w:r>
      <w:r w:rsidRPr="0057580B">
        <w:t xml:space="preserve"> Комиссии по установлению мира (созданной на основании решения № 858/000 Президента Республики от 9 авг</w:t>
      </w:r>
      <w:r w:rsidRPr="0057580B">
        <w:t>у</w:t>
      </w:r>
      <w:r w:rsidRPr="0057580B">
        <w:t>ста 2000 года), утвержден</w:t>
      </w:r>
      <w:r w:rsidR="00B05CB6">
        <w:t xml:space="preserve">ного Указом № 146/003 </w:t>
      </w:r>
      <w:r w:rsidRPr="0057580B">
        <w:t>от 16 апреля 2003 года, сч</w:t>
      </w:r>
      <w:r w:rsidRPr="0057580B">
        <w:t>и</w:t>
      </w:r>
      <w:r w:rsidRPr="0057580B">
        <w:t xml:space="preserve">таются "лицами, пропавшими </w:t>
      </w:r>
      <w:r w:rsidR="00691369">
        <w:t xml:space="preserve">без вести </w:t>
      </w:r>
      <w:r w:rsidRPr="0057580B">
        <w:t>в результате насильственных дейс</w:t>
      </w:r>
      <w:r w:rsidRPr="0057580B">
        <w:t>т</w:t>
      </w:r>
      <w:r w:rsidRPr="0057580B">
        <w:t>вий". Благодаря такому заявлению стало возможным начать правовую процед</w:t>
      </w:r>
      <w:r w:rsidRPr="0057580B">
        <w:t>у</w:t>
      </w:r>
      <w:r w:rsidRPr="0057580B">
        <w:t>ру открытия наследства этих пропавших</w:t>
      </w:r>
      <w:r w:rsidR="00691369">
        <w:t xml:space="preserve"> без вести</w:t>
      </w:r>
      <w:r w:rsidRPr="0057580B">
        <w:t xml:space="preserve"> лиц в соответствии с пол</w:t>
      </w:r>
      <w:r w:rsidRPr="0057580B">
        <w:t>о</w:t>
      </w:r>
      <w:r w:rsidRPr="0057580B">
        <w:t>жениями статьи 1037 Гражданского кодекса.</w:t>
      </w:r>
    </w:p>
    <w:p w:rsidR="0057580B" w:rsidRPr="0057580B" w:rsidRDefault="0057580B" w:rsidP="0042364A">
      <w:pPr>
        <w:pStyle w:val="SingleTxtGR"/>
      </w:pPr>
      <w:r w:rsidRPr="0057580B">
        <w:t>26.</w:t>
      </w:r>
      <w:r w:rsidRPr="0057580B">
        <w:tab/>
        <w:t>В рамках реформы Генеральной прокуратуры и в соответствии с новым УПК государство план</w:t>
      </w:r>
      <w:r w:rsidRPr="0057580B">
        <w:t>и</w:t>
      </w:r>
      <w:r w:rsidRPr="0057580B">
        <w:t>рует создать в прокуратуре специальные подразделения по вопросам насильственных исчезновений.</w:t>
      </w:r>
    </w:p>
    <w:p w:rsidR="00381626" w:rsidRDefault="0057580B" w:rsidP="0042364A">
      <w:pPr>
        <w:pStyle w:val="SingleTxtGR"/>
        <w:rPr>
          <w:lang w:val="en-US"/>
        </w:rPr>
      </w:pPr>
      <w:r w:rsidRPr="0057580B">
        <w:t>27.</w:t>
      </w:r>
      <w:r w:rsidRPr="0057580B">
        <w:tab/>
        <w:t>Для этого соответственно потребуется ввести особые процедуры и со</w:t>
      </w:r>
      <w:r w:rsidRPr="0057580B">
        <w:t>з</w:t>
      </w:r>
      <w:r w:rsidRPr="0057580B">
        <w:t>дать специализированные подразделения, со всеми вытекающими из этого п</w:t>
      </w:r>
      <w:r w:rsidRPr="0057580B">
        <w:t>о</w:t>
      </w:r>
      <w:r w:rsidRPr="0057580B">
        <w:t>следствиями, в частности для рассмотрения дел об усыновлении/удочерении, которые могут</w:t>
      </w:r>
      <w:r w:rsidR="00691369">
        <w:t xml:space="preserve"> быть</w:t>
      </w:r>
      <w:r w:rsidRPr="0057580B">
        <w:t xml:space="preserve"> связаны с насильственными исчезновениями.</w:t>
      </w:r>
    </w:p>
    <w:p w:rsidR="001B4637" w:rsidRPr="00B05CB6" w:rsidRDefault="00B05CB6" w:rsidP="00B05CB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B4637" w:rsidRPr="00B05CB6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2C" w:rsidRDefault="005A2F2C">
      <w:r>
        <w:rPr>
          <w:lang w:val="en-US"/>
        </w:rPr>
        <w:tab/>
      </w:r>
      <w:r>
        <w:separator/>
      </w:r>
    </w:p>
  </w:endnote>
  <w:endnote w:type="continuationSeparator" w:id="0">
    <w:p w:rsidR="005A2F2C" w:rsidRDefault="005A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54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2739E">
      <w:rPr>
        <w:lang w:val="en-US"/>
      </w:rPr>
      <w:t>4</w:t>
    </w:r>
    <w:r>
      <w:rPr>
        <w:lang w:val="en-US"/>
      </w:rPr>
      <w:t>-</w:t>
    </w:r>
    <w:r w:rsidR="0072739E">
      <w:rPr>
        <w:lang w:val="en-US"/>
      </w:rPr>
      <w:t>11528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Footer"/>
      <w:rPr>
        <w:lang w:val="en-US"/>
      </w:rPr>
    </w:pPr>
    <w:r>
      <w:rPr>
        <w:lang w:val="en-US"/>
      </w:rPr>
      <w:t>GE.1</w:t>
    </w:r>
    <w:r w:rsidR="0072739E">
      <w:rPr>
        <w:lang w:val="en-US"/>
      </w:rPr>
      <w:t>4</w:t>
    </w:r>
    <w:r>
      <w:rPr>
        <w:lang w:val="en-US"/>
      </w:rPr>
      <w:t>-</w:t>
    </w:r>
    <w:r w:rsidR="0072739E">
      <w:rPr>
        <w:lang w:val="en-US"/>
      </w:rPr>
      <w:t>11528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54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BD440F" w:rsidTr="00E2507B">
      <w:trPr>
        <w:trHeight w:val="438"/>
      </w:trPr>
      <w:tc>
        <w:tcPr>
          <w:tcW w:w="4068" w:type="dxa"/>
          <w:vAlign w:val="bottom"/>
        </w:tcPr>
        <w:p w:rsidR="00BD440F" w:rsidRDefault="00053BA4" w:rsidP="00E2507B">
          <w:r>
            <w:rPr>
              <w:lang w:val="en-US"/>
            </w:rPr>
            <w:t>GE.</w:t>
          </w:r>
          <w:r w:rsidR="00B05CB6">
            <w:rPr>
              <w:lang w:val="en-US"/>
            </w:rPr>
            <w:t>14-11528</w:t>
          </w:r>
          <w:r w:rsidR="00BD440F">
            <w:rPr>
              <w:lang w:val="en-US"/>
            </w:rPr>
            <w:t xml:space="preserve">  (R)</w:t>
          </w:r>
          <w:r w:rsidR="00B05CB6">
            <w:rPr>
              <w:lang w:val="en-US"/>
            </w:rPr>
            <w:t xml:space="preserve">  150914  150914</w:t>
          </w:r>
        </w:p>
      </w:tc>
      <w:tc>
        <w:tcPr>
          <w:tcW w:w="4663" w:type="dxa"/>
          <w:vMerge w:val="restart"/>
          <w:vAlign w:val="bottom"/>
        </w:tcPr>
        <w:p w:rsidR="00BD440F" w:rsidRDefault="00BD440F" w:rsidP="00E2507B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D440F" w:rsidRDefault="0072739E" w:rsidP="00E2507B">
          <w:pPr>
            <w:jc w:val="right"/>
          </w:pPr>
          <w: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BD440F" w:rsidRPr="00797A78" w:rsidTr="00E2507B">
      <w:tc>
        <w:tcPr>
          <w:tcW w:w="4068" w:type="dxa"/>
          <w:vAlign w:val="bottom"/>
        </w:tcPr>
        <w:p w:rsidR="00BD440F" w:rsidRPr="00B05CB6" w:rsidRDefault="00B05CB6" w:rsidP="00E250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05C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D440F" w:rsidRDefault="00BD440F" w:rsidP="00E2507B"/>
      </w:tc>
      <w:tc>
        <w:tcPr>
          <w:tcW w:w="1124" w:type="dxa"/>
          <w:vMerge/>
        </w:tcPr>
        <w:p w:rsidR="00BD440F" w:rsidRDefault="00BD440F" w:rsidP="00E2507B"/>
      </w:tc>
    </w:tr>
  </w:tbl>
  <w:p w:rsidR="00BD440F" w:rsidRDefault="00BD440F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2C" w:rsidRPr="00F71F63" w:rsidRDefault="005A2F2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A2F2C" w:rsidRPr="00F71F63" w:rsidRDefault="005A2F2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A2F2C" w:rsidRPr="00635E86" w:rsidRDefault="005A2F2C" w:rsidP="00635E86">
      <w:pPr>
        <w:pStyle w:val="Footer"/>
      </w:pPr>
    </w:p>
  </w:footnote>
  <w:footnote w:id="1">
    <w:p w:rsidR="002B5E6C" w:rsidRPr="002B5E6C" w:rsidRDefault="002B5E6C">
      <w:pPr>
        <w:pStyle w:val="FootnoteText"/>
        <w:rPr>
          <w:sz w:val="20"/>
          <w:lang w:val="en-US"/>
        </w:rPr>
      </w:pPr>
      <w:r>
        <w:tab/>
      </w:r>
      <w:r w:rsidRPr="002B5E6C">
        <w:rPr>
          <w:rStyle w:val="FootnoteReference"/>
          <w:sz w:val="20"/>
          <w:vertAlign w:val="baseline"/>
        </w:rPr>
        <w:t>*</w:t>
      </w:r>
      <w:r w:rsidRPr="002B5E6C">
        <w:tab/>
      </w:r>
      <w:r w:rsidRPr="002B5E6C">
        <w:rPr>
          <w:lang w:val="ru-RU"/>
        </w:rPr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72739E">
    <w:pPr>
      <w:pStyle w:val="Header"/>
      <w:rPr>
        <w:lang w:val="en-US"/>
      </w:rPr>
    </w:pPr>
    <w:r w:rsidRPr="007E5CFB">
      <w:t>CED/C/URY/CO/1/Add.1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Header"/>
      <w:rPr>
        <w:lang w:val="en-US"/>
      </w:rPr>
    </w:pPr>
    <w:r>
      <w:rPr>
        <w:lang w:val="en-US"/>
      </w:rPr>
      <w:tab/>
    </w:r>
    <w:r w:rsidR="0072739E" w:rsidRPr="007E5CFB">
      <w:t>CED/C/URY/CO/1/Add.1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B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BA4"/>
    <w:rsid w:val="0006401A"/>
    <w:rsid w:val="00072C27"/>
    <w:rsid w:val="00080CA2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4637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086C"/>
    <w:rsid w:val="002629A0"/>
    <w:rsid w:val="00263415"/>
    <w:rsid w:val="00277A40"/>
    <w:rsid w:val="0028492B"/>
    <w:rsid w:val="00291C8F"/>
    <w:rsid w:val="00292480"/>
    <w:rsid w:val="002B5E6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62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364A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288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268F"/>
    <w:rsid w:val="0057580B"/>
    <w:rsid w:val="00576F59"/>
    <w:rsid w:val="00577A34"/>
    <w:rsid w:val="00580AAD"/>
    <w:rsid w:val="00593A04"/>
    <w:rsid w:val="00596C4E"/>
    <w:rsid w:val="005A2F2C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6DD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136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290"/>
    <w:rsid w:val="006E6860"/>
    <w:rsid w:val="006E7183"/>
    <w:rsid w:val="006F5FBF"/>
    <w:rsid w:val="0070327E"/>
    <w:rsid w:val="00707B5F"/>
    <w:rsid w:val="0072739E"/>
    <w:rsid w:val="00735602"/>
    <w:rsid w:val="0075279B"/>
    <w:rsid w:val="00753748"/>
    <w:rsid w:val="00755105"/>
    <w:rsid w:val="00762446"/>
    <w:rsid w:val="00781ACB"/>
    <w:rsid w:val="007A79EB"/>
    <w:rsid w:val="007D4CA0"/>
    <w:rsid w:val="007D654A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4A3D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086D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CB6"/>
    <w:rsid w:val="00B05F21"/>
    <w:rsid w:val="00B14EA9"/>
    <w:rsid w:val="00B30A3C"/>
    <w:rsid w:val="00B353A5"/>
    <w:rsid w:val="00B81305"/>
    <w:rsid w:val="00B8138B"/>
    <w:rsid w:val="00BB17DC"/>
    <w:rsid w:val="00BB1AF9"/>
    <w:rsid w:val="00BB4C4A"/>
    <w:rsid w:val="00BD3CAE"/>
    <w:rsid w:val="00BD440F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11F"/>
    <w:rsid w:val="00C6508F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65CC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07B"/>
    <w:rsid w:val="00E277B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5F21"/>
    <w:rsid w:val="00F22712"/>
    <w:rsid w:val="00F275F5"/>
    <w:rsid w:val="00F33188"/>
    <w:rsid w:val="00F35BDE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3</TotalTime>
  <Pages>1</Pages>
  <Words>1157</Words>
  <Characters>7870</Characters>
  <Application>Microsoft Office Word</Application>
  <DocSecurity>4</DocSecurity>
  <Lines>157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1411528</vt:lpstr>
    </vt:vector>
  </TitlesOfParts>
  <Manager>Клоков</Manager>
  <Company>CSD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1411528</dc:title>
  <dc:subject/>
  <dc:creator>Новикова</dc:creator>
  <cp:keywords/>
  <dc:description/>
  <cp:lastModifiedBy>Ольга Новикова</cp:lastModifiedBy>
  <cp:revision>3</cp:revision>
  <cp:lastPrinted>2014-09-15T15:29:00Z</cp:lastPrinted>
  <dcterms:created xsi:type="dcterms:W3CDTF">2014-09-15T15:52:00Z</dcterms:created>
  <dcterms:modified xsi:type="dcterms:W3CDTF">2014-09-15T15:56:00Z</dcterms:modified>
</cp:coreProperties>
</file>