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820BE" w:rsidTr="0068410E">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820BE" w:rsidRDefault="0068410E" w:rsidP="00E67F33">
            <w:pPr>
              <w:jc w:val="right"/>
              <w:rPr>
                <w:lang w:val="en-GB"/>
              </w:rPr>
            </w:pPr>
            <w:r w:rsidRPr="00D820BE">
              <w:rPr>
                <w:sz w:val="40"/>
                <w:lang w:val="en-GB"/>
              </w:rPr>
              <w:t>CAT</w:t>
            </w:r>
            <w:r w:rsidR="00E67F33" w:rsidRPr="00D820BE">
              <w:rPr>
                <w:lang w:val="en-GB"/>
              </w:rPr>
              <w:t>/C/SEN</w:t>
            </w:r>
            <w:r w:rsidRPr="00D820BE">
              <w:rPr>
                <w:lang w:val="en-GB"/>
              </w:rPr>
              <w:t>/CO/</w:t>
            </w:r>
            <w:r w:rsidR="009E0961">
              <w:rPr>
                <w:lang w:val="en-GB"/>
              </w:rPr>
              <w:t>3</w:t>
            </w:r>
            <w:r w:rsidR="009E0961" w:rsidRPr="009E0961">
              <w:rPr>
                <w:rStyle w:val="FootnoteReference"/>
              </w:rPr>
              <w:footnoteReference w:customMarkFollows="1" w:id="2"/>
              <w:sym w:font="Symbol" w:char="F02A"/>
            </w:r>
            <w:r w:rsidR="009E0961">
              <w:rPr>
                <w:lang w:val="en-GB"/>
              </w:rPr>
              <w:t xml:space="preserve"> </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AE3947" w:rsidP="00A56EA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68410E" w:rsidP="00A56EA8">
            <w:pPr>
              <w:spacing w:before="240"/>
            </w:pPr>
            <w:r>
              <w:t>Distr.</w:t>
            </w:r>
            <w:r w:rsidR="003C1748">
              <w:t xml:space="preserve"> générale</w:t>
            </w:r>
            <w:r>
              <w:t xml:space="preserve"> </w:t>
            </w:r>
          </w:p>
          <w:p w:rsidR="0068410E" w:rsidRDefault="007D3281" w:rsidP="0068410E">
            <w:pPr>
              <w:spacing w:line="240" w:lineRule="exact"/>
            </w:pPr>
            <w:r>
              <w:t>17</w:t>
            </w:r>
            <w:r w:rsidR="00FF79D3">
              <w:t xml:space="preserve"> janvier 2013</w:t>
            </w:r>
          </w:p>
          <w:p w:rsidR="00E70071" w:rsidRDefault="00E70071" w:rsidP="0068410E">
            <w:pPr>
              <w:spacing w:line="240" w:lineRule="exact"/>
            </w:pPr>
          </w:p>
          <w:p w:rsidR="0068410E" w:rsidRPr="00DB58B5" w:rsidRDefault="0068410E" w:rsidP="0068410E">
            <w:pPr>
              <w:spacing w:line="240" w:lineRule="exact"/>
            </w:pPr>
            <w:r>
              <w:t>Original</w:t>
            </w:r>
            <w:r w:rsidR="00E71A57">
              <w:t> </w:t>
            </w:r>
            <w:r>
              <w:t xml:space="preserve">: français </w:t>
            </w:r>
          </w:p>
        </w:tc>
      </w:tr>
    </w:tbl>
    <w:p w:rsidR="0068410E" w:rsidRDefault="0068410E" w:rsidP="0068410E">
      <w:pPr>
        <w:suppressAutoHyphens w:val="0"/>
        <w:spacing w:before="120"/>
        <w:rPr>
          <w:b/>
          <w:sz w:val="24"/>
          <w:szCs w:val="24"/>
        </w:rPr>
      </w:pPr>
      <w:r>
        <w:rPr>
          <w:b/>
          <w:sz w:val="24"/>
          <w:szCs w:val="24"/>
        </w:rPr>
        <w:t>Comité contre la torture</w:t>
      </w:r>
    </w:p>
    <w:p w:rsidR="0068410E" w:rsidRDefault="0068410E" w:rsidP="00FF79D3">
      <w:pPr>
        <w:pStyle w:val="HChG"/>
        <w:jc w:val="both"/>
      </w:pPr>
      <w:r>
        <w:tab/>
      </w:r>
      <w:r>
        <w:tab/>
        <w:t xml:space="preserve">Observations </w:t>
      </w:r>
      <w:r w:rsidRPr="003A6875">
        <w:t>finales</w:t>
      </w:r>
      <w:r w:rsidR="00E67F33">
        <w:t xml:space="preserve"> du troisième rapport périodique d</w:t>
      </w:r>
      <w:r w:rsidR="00FF79D3">
        <w:t>u</w:t>
      </w:r>
      <w:r w:rsidR="00E67F33">
        <w:t xml:space="preserve"> Sénégal</w:t>
      </w:r>
      <w:r w:rsidR="0014380D" w:rsidRPr="0014380D">
        <w:t xml:space="preserve"> adoptées par le Comité lors de s</w:t>
      </w:r>
      <w:r w:rsidR="00FF79D3">
        <w:t>a</w:t>
      </w:r>
      <w:r w:rsidR="0014380D" w:rsidRPr="0014380D">
        <w:t xml:space="preserve"> quarante-neuvième session (29 octobre-23 novembre 2012)</w:t>
      </w:r>
    </w:p>
    <w:p w:rsidR="0068410E" w:rsidRDefault="0068410E" w:rsidP="0068410E">
      <w:pPr>
        <w:pStyle w:val="H1G"/>
        <w:rPr>
          <w:rFonts w:eastAsia="Calibri"/>
        </w:rPr>
      </w:pPr>
      <w:r>
        <w:rPr>
          <w:rFonts w:eastAsia="Calibri"/>
        </w:rPr>
        <w:tab/>
      </w:r>
      <w:r>
        <w:rPr>
          <w:rFonts w:eastAsia="Calibri"/>
        </w:rPr>
        <w:tab/>
      </w:r>
    </w:p>
    <w:p w:rsidR="00C05A0D" w:rsidRPr="00686DBA" w:rsidRDefault="00C05A0D" w:rsidP="00C05A0D">
      <w:pPr>
        <w:pStyle w:val="SingleTxtG"/>
      </w:pPr>
      <w:r w:rsidRPr="00686DBA">
        <w:t>1.</w:t>
      </w:r>
      <w:r w:rsidRPr="00686DBA">
        <w:tab/>
        <w:t xml:space="preserve">Le Comité contre la torture a examiné le </w:t>
      </w:r>
      <w:r>
        <w:t xml:space="preserve">troisième rapport périodique du Sénégal </w:t>
      </w:r>
      <w:r w:rsidRPr="00686DBA">
        <w:t>(CAT/C/</w:t>
      </w:r>
      <w:r>
        <w:t>SEN</w:t>
      </w:r>
      <w:r w:rsidRPr="00686DBA">
        <w:t>/3) à ses 1</w:t>
      </w:r>
      <w:r>
        <w:t>10</w:t>
      </w:r>
      <w:r w:rsidRPr="00686DBA">
        <w:t>6</w:t>
      </w:r>
      <w:r w:rsidRPr="00686DBA">
        <w:rPr>
          <w:vertAlign w:val="superscript"/>
        </w:rPr>
        <w:t>e</w:t>
      </w:r>
      <w:r w:rsidRPr="00686DBA">
        <w:t xml:space="preserve"> et 1</w:t>
      </w:r>
      <w:r>
        <w:t>109</w:t>
      </w:r>
      <w:r w:rsidRPr="00686DBA">
        <w:rPr>
          <w:vertAlign w:val="superscript"/>
        </w:rPr>
        <w:t>e</w:t>
      </w:r>
      <w:r w:rsidRPr="00686DBA">
        <w:t> séances (CAT/C/SR.1</w:t>
      </w:r>
      <w:r>
        <w:t>106</w:t>
      </w:r>
      <w:r w:rsidRPr="00686DBA">
        <w:t xml:space="preserve"> et 1</w:t>
      </w:r>
      <w:r>
        <w:t>1</w:t>
      </w:r>
      <w:r w:rsidRPr="00686DBA">
        <w:t>0</w:t>
      </w:r>
      <w:r>
        <w:t>9</w:t>
      </w:r>
      <w:r w:rsidRPr="00686DBA">
        <w:t xml:space="preserve">), les </w:t>
      </w:r>
      <w:r>
        <w:t>6</w:t>
      </w:r>
      <w:r w:rsidRPr="00686DBA">
        <w:t xml:space="preserve"> et </w:t>
      </w:r>
      <w:r>
        <w:t>7</w:t>
      </w:r>
      <w:r w:rsidRPr="00686DBA">
        <w:t> </w:t>
      </w:r>
      <w:r>
        <w:t>novembre</w:t>
      </w:r>
      <w:r w:rsidRPr="00686DBA">
        <w:t xml:space="preserve"> 2012. À </w:t>
      </w:r>
      <w:r w:rsidRPr="00395551">
        <w:t xml:space="preserve">sa </w:t>
      </w:r>
      <w:r w:rsidR="008A2501">
        <w:t>1125</w:t>
      </w:r>
      <w:r w:rsidRPr="00395551">
        <w:rPr>
          <w:vertAlign w:val="superscript"/>
        </w:rPr>
        <w:t>e</w:t>
      </w:r>
      <w:r w:rsidRPr="00686DBA">
        <w:t> séance (CAT/C/SR.</w:t>
      </w:r>
      <w:r w:rsidR="008A2501">
        <w:t>1125</w:t>
      </w:r>
      <w:r w:rsidRPr="00686DBA">
        <w:t>), le</w:t>
      </w:r>
      <w:r>
        <w:t xml:space="preserve"> </w:t>
      </w:r>
      <w:r w:rsidR="008A2501">
        <w:t>19</w:t>
      </w:r>
      <w:r w:rsidR="008A2501" w:rsidRPr="00686DBA">
        <w:t> </w:t>
      </w:r>
      <w:r>
        <w:t>novembre</w:t>
      </w:r>
      <w:r w:rsidRPr="00686DBA">
        <w:t xml:space="preserve"> 2012, il a adopté les observations finales ci-après. </w:t>
      </w:r>
    </w:p>
    <w:p w:rsidR="00C05A0D" w:rsidRPr="00686DBA" w:rsidRDefault="00C05A0D" w:rsidP="00C05A0D">
      <w:pPr>
        <w:pStyle w:val="H1G"/>
      </w:pPr>
      <w:r w:rsidRPr="00686DBA">
        <w:tab/>
        <w:t>A.</w:t>
      </w:r>
      <w:r w:rsidRPr="00686DBA">
        <w:tab/>
        <w:t xml:space="preserve">Introduction </w:t>
      </w:r>
    </w:p>
    <w:p w:rsidR="00C05A0D" w:rsidRPr="00686DBA" w:rsidRDefault="00C05A0D" w:rsidP="00C05A0D">
      <w:pPr>
        <w:pStyle w:val="SingleTxtG"/>
      </w:pPr>
      <w:r w:rsidRPr="00686DBA">
        <w:t>2.</w:t>
      </w:r>
      <w:r w:rsidRPr="00686DBA">
        <w:tab/>
        <w:t xml:space="preserve">Le Comité accueille avec satisfaction la soumission du troisième rapport périodique de l’État partie, qui </w:t>
      </w:r>
      <w:r w:rsidRPr="00DC4476">
        <w:t xml:space="preserve">suit </w:t>
      </w:r>
      <w:r w:rsidRPr="00111845">
        <w:t>les</w:t>
      </w:r>
      <w:r w:rsidRPr="00111845">
        <w:rPr>
          <w:lang w:eastAsia="en-GB"/>
        </w:rPr>
        <w:t xml:space="preserve"> directives générales</w:t>
      </w:r>
      <w:r w:rsidRPr="00686DBA">
        <w:rPr>
          <w:lang w:eastAsia="en-GB"/>
        </w:rPr>
        <w:t xml:space="preserve"> concernant la forme et le contenu des rapports périodiques. Il regrette toutefois que l’État partie ait soumis son rapport avec </w:t>
      </w:r>
      <w:r>
        <w:rPr>
          <w:lang w:eastAsia="en-GB"/>
        </w:rPr>
        <w:t>quinze</w:t>
      </w:r>
      <w:r w:rsidRPr="00686DBA">
        <w:rPr>
          <w:lang w:eastAsia="en-GB"/>
        </w:rPr>
        <w:t xml:space="preserve"> ans de retard.</w:t>
      </w:r>
    </w:p>
    <w:p w:rsidR="00C05A0D" w:rsidRPr="00D3071B" w:rsidRDefault="00C05A0D" w:rsidP="00C05A0D">
      <w:pPr>
        <w:pStyle w:val="SingleTxtG"/>
        <w:rPr>
          <w:lang w:eastAsia="en-GB"/>
        </w:rPr>
      </w:pPr>
      <w:r w:rsidRPr="00686DBA">
        <w:rPr>
          <w:lang w:eastAsia="en-GB"/>
        </w:rPr>
        <w:t>3.</w:t>
      </w:r>
      <w:r w:rsidRPr="00686DBA">
        <w:rPr>
          <w:lang w:eastAsia="en-GB"/>
        </w:rPr>
        <w:tab/>
        <w:t xml:space="preserve">Le Comité se réjouit de </w:t>
      </w:r>
      <w:r w:rsidR="008A2501">
        <w:rPr>
          <w:lang w:eastAsia="en-GB"/>
        </w:rPr>
        <w:t>l’opportunité</w:t>
      </w:r>
      <w:r w:rsidRPr="00686DBA">
        <w:rPr>
          <w:lang w:eastAsia="en-GB"/>
        </w:rPr>
        <w:t xml:space="preserve"> </w:t>
      </w:r>
      <w:r>
        <w:rPr>
          <w:lang w:eastAsia="en-GB"/>
        </w:rPr>
        <w:t>de reprendre le dialogue avec l’État partie et</w:t>
      </w:r>
      <w:r w:rsidRPr="00686DBA">
        <w:rPr>
          <w:lang w:eastAsia="en-GB"/>
        </w:rPr>
        <w:t xml:space="preserve"> d’</w:t>
      </w:r>
      <w:r>
        <w:rPr>
          <w:lang w:eastAsia="en-GB"/>
        </w:rPr>
        <w:t>examiner l</w:t>
      </w:r>
      <w:r w:rsidR="00E71A57">
        <w:rPr>
          <w:lang w:eastAsia="en-GB"/>
        </w:rPr>
        <w:t>’application</w:t>
      </w:r>
      <w:r w:rsidRPr="00686DBA">
        <w:rPr>
          <w:lang w:eastAsia="en-GB"/>
        </w:rPr>
        <w:t xml:space="preserve"> des dispositions de la Convention avec </w:t>
      </w:r>
      <w:r>
        <w:rPr>
          <w:lang w:eastAsia="en-GB"/>
        </w:rPr>
        <w:t>la</w:t>
      </w:r>
      <w:r w:rsidRPr="00686DBA">
        <w:rPr>
          <w:lang w:eastAsia="en-GB"/>
        </w:rPr>
        <w:t xml:space="preserve"> délégation. Il </w:t>
      </w:r>
      <w:r>
        <w:rPr>
          <w:lang w:eastAsia="en-GB"/>
        </w:rPr>
        <w:t xml:space="preserve">constate que </w:t>
      </w:r>
      <w:r w:rsidRPr="00686DBA">
        <w:rPr>
          <w:lang w:eastAsia="en-GB"/>
        </w:rPr>
        <w:t xml:space="preserve">l’État partie </w:t>
      </w:r>
      <w:r>
        <w:rPr>
          <w:lang w:eastAsia="en-GB"/>
        </w:rPr>
        <w:t>a</w:t>
      </w:r>
      <w:r w:rsidRPr="00686DBA">
        <w:rPr>
          <w:lang w:eastAsia="en-GB"/>
        </w:rPr>
        <w:t xml:space="preserve"> soumis des </w:t>
      </w:r>
      <w:r w:rsidRPr="00686DBA">
        <w:t xml:space="preserve">réponses écrites détaillées à la liste des points à traiter </w:t>
      </w:r>
      <w:r w:rsidRPr="00686DBA">
        <w:rPr>
          <w:lang w:eastAsia="en-GB"/>
        </w:rPr>
        <w:t>(CAT/C/</w:t>
      </w:r>
      <w:r>
        <w:rPr>
          <w:lang w:eastAsia="en-GB"/>
        </w:rPr>
        <w:t>SEN</w:t>
      </w:r>
      <w:r w:rsidRPr="00686DBA">
        <w:rPr>
          <w:lang w:eastAsia="en-GB"/>
        </w:rPr>
        <w:t xml:space="preserve">/Q/3 et Add.1) </w:t>
      </w:r>
      <w:r>
        <w:rPr>
          <w:lang w:eastAsia="en-GB"/>
        </w:rPr>
        <w:t xml:space="preserve">la veille du dialogue et que </w:t>
      </w:r>
      <w:r w:rsidRPr="00D3071B">
        <w:rPr>
          <w:lang w:eastAsia="en-GB"/>
        </w:rPr>
        <w:t xml:space="preserve">la délégation </w:t>
      </w:r>
      <w:r>
        <w:rPr>
          <w:lang w:eastAsia="en-GB"/>
        </w:rPr>
        <w:t>a</w:t>
      </w:r>
      <w:r w:rsidRPr="00D3071B">
        <w:rPr>
          <w:lang w:eastAsia="en-GB"/>
        </w:rPr>
        <w:t xml:space="preserve"> fourni des informations supplémentaires. </w:t>
      </w:r>
    </w:p>
    <w:p w:rsidR="00C05A0D" w:rsidRPr="00686DBA" w:rsidRDefault="00C05A0D" w:rsidP="00C05A0D">
      <w:pPr>
        <w:pStyle w:val="H1G"/>
      </w:pPr>
      <w:r w:rsidRPr="00686DBA">
        <w:tab/>
        <w:t>B.</w:t>
      </w:r>
      <w:r w:rsidRPr="00686DBA">
        <w:tab/>
        <w:t>Aspects positifs</w:t>
      </w:r>
    </w:p>
    <w:p w:rsidR="00C05A0D" w:rsidRPr="00686DBA" w:rsidRDefault="00C05A0D" w:rsidP="00C05A0D">
      <w:pPr>
        <w:pStyle w:val="SingleTxtG"/>
        <w:rPr>
          <w:lang w:eastAsia="en-GB"/>
        </w:rPr>
      </w:pPr>
      <w:r w:rsidRPr="00686DBA">
        <w:t>4.</w:t>
      </w:r>
      <w:r w:rsidRPr="00686DBA">
        <w:tab/>
        <w:t>Le Comité accueille avec satisfaction la ratification par l’État partie</w:t>
      </w:r>
      <w:r w:rsidR="00FF79D3">
        <w:t xml:space="preserve">, en octobre </w:t>
      </w:r>
      <w:r w:rsidR="00FF79D3" w:rsidRPr="00892A6A">
        <w:t>20</w:t>
      </w:r>
      <w:r w:rsidR="001130B0" w:rsidRPr="00892A6A">
        <w:t>0</w:t>
      </w:r>
      <w:r w:rsidR="00FF79D3" w:rsidRPr="00892A6A">
        <w:t>6</w:t>
      </w:r>
      <w:r w:rsidR="00FF79D3">
        <w:t xml:space="preserve">, </w:t>
      </w:r>
      <w:r>
        <w:t>du</w:t>
      </w:r>
      <w:r w:rsidRPr="00686DBA">
        <w:t xml:space="preserve"> Protocole facultatif se rapportant à la Convention contre la torture et autres peines ou traitements cruels, inhumains ou dégradants, </w:t>
      </w:r>
      <w:r>
        <w:rPr>
          <w:lang w:eastAsia="en-GB"/>
        </w:rPr>
        <w:t xml:space="preserve">ainsi que </w:t>
      </w:r>
      <w:r>
        <w:t xml:space="preserve">d’autres </w:t>
      </w:r>
      <w:r w:rsidRPr="00686DBA">
        <w:t>instruments internationaux</w:t>
      </w:r>
      <w:r>
        <w:t xml:space="preserve"> durant la période sous examen</w:t>
      </w:r>
      <w:r w:rsidRPr="00686DBA">
        <w:t>, notamment</w:t>
      </w:r>
      <w:r w:rsidR="00FF79D3">
        <w:t> </w:t>
      </w:r>
      <w:r w:rsidRPr="00686DBA">
        <w:t xml:space="preserve">: </w:t>
      </w:r>
      <w:r w:rsidRPr="00686DBA">
        <w:tab/>
      </w:r>
    </w:p>
    <w:p w:rsidR="00C05A0D" w:rsidRPr="00C22EB4" w:rsidRDefault="00C05A0D" w:rsidP="00C05A0D">
      <w:pPr>
        <w:pStyle w:val="SingleTxtG"/>
        <w:spacing w:after="100"/>
        <w:ind w:firstLine="567"/>
        <w:rPr>
          <w:rFonts w:eastAsia="SimSun"/>
          <w:lang w:eastAsia="zh-CN"/>
        </w:rPr>
      </w:pPr>
      <w:r w:rsidRPr="00DB41ED">
        <w:t>a)</w:t>
      </w:r>
      <w:r>
        <w:tab/>
        <w:t xml:space="preserve">La </w:t>
      </w:r>
      <w:r w:rsidRPr="00C22EB4">
        <w:t>Convention internationale</w:t>
      </w:r>
      <w:r>
        <w:t xml:space="preserve"> </w:t>
      </w:r>
      <w:r w:rsidRPr="00C22EB4">
        <w:t>sur la protection des droits</w:t>
      </w:r>
      <w:r>
        <w:t xml:space="preserve"> </w:t>
      </w:r>
      <w:r w:rsidRPr="00C22EB4">
        <w:t>de tous les travailleurs</w:t>
      </w:r>
      <w:r>
        <w:t xml:space="preserve"> </w:t>
      </w:r>
      <w:r w:rsidRPr="00C22EB4">
        <w:t>migrants et des membres</w:t>
      </w:r>
      <w:r>
        <w:t xml:space="preserve"> </w:t>
      </w:r>
      <w:r w:rsidRPr="00C22EB4">
        <w:t>de leur famille</w:t>
      </w:r>
      <w:r>
        <w:t>, en juin 1999</w:t>
      </w:r>
      <w:r w:rsidR="00FF79D3">
        <w:t> </w:t>
      </w:r>
      <w:r>
        <w:t>;</w:t>
      </w:r>
    </w:p>
    <w:p w:rsidR="00C05A0D" w:rsidRPr="009715CD" w:rsidRDefault="00C05A0D" w:rsidP="00C05A0D">
      <w:pPr>
        <w:pStyle w:val="SingleTxtG"/>
        <w:spacing w:after="100"/>
        <w:ind w:firstLine="567"/>
        <w:rPr>
          <w:lang w:eastAsia="en-GB"/>
        </w:rPr>
      </w:pPr>
      <w:r w:rsidRPr="00DB41ED">
        <w:rPr>
          <w:rFonts w:ascii="TimesNewRoman" w:hAnsi="TimesNewRoman" w:cs="TimesNewRoman"/>
          <w:lang w:eastAsia="en-GB"/>
        </w:rPr>
        <w:t>b)</w:t>
      </w:r>
      <w:r>
        <w:rPr>
          <w:rFonts w:ascii="TimesNewRoman" w:hAnsi="TimesNewRoman" w:cs="TimesNewRoman"/>
          <w:lang w:eastAsia="en-GB"/>
        </w:rPr>
        <w:tab/>
      </w:r>
      <w:r w:rsidRPr="009715CD">
        <w:rPr>
          <w:rFonts w:ascii="TimesNewRoman" w:hAnsi="TimesNewRoman" w:cs="TimesNewRoman"/>
          <w:lang w:eastAsia="en-GB"/>
        </w:rPr>
        <w:t xml:space="preserve">Le Statut de Rome de la Cour pénale internationale, en </w:t>
      </w:r>
      <w:r>
        <w:rPr>
          <w:rFonts w:ascii="TimesNewRoman" w:hAnsi="TimesNewRoman" w:cs="TimesNewRoman"/>
          <w:lang w:eastAsia="en-GB"/>
        </w:rPr>
        <w:t xml:space="preserve">février </w:t>
      </w:r>
      <w:r w:rsidRPr="009715CD">
        <w:rPr>
          <w:rFonts w:ascii="TimesNewRoman" w:hAnsi="TimesNewRoman" w:cs="TimesNewRoman"/>
          <w:lang w:eastAsia="en-GB"/>
        </w:rPr>
        <w:t>1999</w:t>
      </w:r>
      <w:r w:rsidR="00FF79D3">
        <w:rPr>
          <w:rFonts w:ascii="TimesNewRoman" w:hAnsi="TimesNewRoman" w:cs="TimesNewRoman"/>
          <w:lang w:eastAsia="en-GB"/>
        </w:rPr>
        <w:t> </w:t>
      </w:r>
      <w:r w:rsidRPr="009715CD">
        <w:rPr>
          <w:rFonts w:ascii="TimesNewRoman" w:hAnsi="TimesNewRoman" w:cs="TimesNewRoman"/>
          <w:lang w:eastAsia="en-GB"/>
        </w:rPr>
        <w:t>;</w:t>
      </w:r>
    </w:p>
    <w:p w:rsidR="00C05A0D" w:rsidRPr="00686DBA" w:rsidRDefault="00C05A0D" w:rsidP="00C05A0D">
      <w:pPr>
        <w:pStyle w:val="SingleTxtG"/>
        <w:spacing w:after="100"/>
        <w:ind w:firstLine="567"/>
      </w:pPr>
      <w:r w:rsidRPr="00DB41ED">
        <w:t>c)</w:t>
      </w:r>
      <w:r w:rsidRPr="00686DBA">
        <w:tab/>
        <w:t xml:space="preserve">Le Protocole facultatif à la Convention sur l’élimination de toutes les formes de discrimination à l’égard des femmes, en </w:t>
      </w:r>
      <w:r>
        <w:t>mai</w:t>
      </w:r>
      <w:r w:rsidRPr="00686DBA">
        <w:t xml:space="preserve"> 200</w:t>
      </w:r>
      <w:r>
        <w:t>0</w:t>
      </w:r>
      <w:r w:rsidR="00FF79D3">
        <w:t> </w:t>
      </w:r>
      <w:r w:rsidRPr="00686DBA">
        <w:t>;</w:t>
      </w:r>
    </w:p>
    <w:p w:rsidR="00C05A0D" w:rsidRDefault="00C05A0D" w:rsidP="00C05A0D">
      <w:pPr>
        <w:pStyle w:val="SingleTxtG"/>
        <w:spacing w:after="100"/>
        <w:ind w:firstLine="567"/>
        <w:rPr>
          <w:lang w:eastAsia="en-GB"/>
        </w:rPr>
      </w:pPr>
      <w:r w:rsidRPr="00DB41ED">
        <w:t>d)</w:t>
      </w:r>
      <w:r w:rsidRPr="00686DBA">
        <w:tab/>
        <w:t xml:space="preserve">Les Protocoles facultatifs à la Convention relative aux droits de l’enfant, concernant l’implication d’enfants dans les conflits armés, en </w:t>
      </w:r>
      <w:r>
        <w:t>mars 2004</w:t>
      </w:r>
      <w:r w:rsidRPr="00686DBA">
        <w:t xml:space="preserve">, et concernant la vente d’enfants, la prostitution des enfants et la pornographie mettant en scène des enfants, en </w:t>
      </w:r>
      <w:r>
        <w:t>novembre 2003</w:t>
      </w:r>
      <w:r w:rsidR="00FF79D3">
        <w:t> </w:t>
      </w:r>
      <w:r>
        <w:rPr>
          <w:lang w:eastAsia="en-GB"/>
        </w:rPr>
        <w:t>;</w:t>
      </w:r>
    </w:p>
    <w:p w:rsidR="00C05A0D" w:rsidRDefault="00C05A0D" w:rsidP="00C05A0D">
      <w:pPr>
        <w:pStyle w:val="SingleTxtG"/>
        <w:spacing w:after="100"/>
        <w:ind w:firstLine="567"/>
        <w:rPr>
          <w:lang w:eastAsia="en-GB"/>
        </w:rPr>
      </w:pPr>
      <w:r w:rsidRPr="00DB41ED">
        <w:rPr>
          <w:lang w:eastAsia="en-GB"/>
        </w:rPr>
        <w:t>e)</w:t>
      </w:r>
      <w:r>
        <w:rPr>
          <w:lang w:eastAsia="en-GB"/>
        </w:rPr>
        <w:tab/>
      </w:r>
      <w:r w:rsidRPr="00DC4476">
        <w:t>La Convention</w:t>
      </w:r>
      <w:r>
        <w:t xml:space="preserve"> des Nations Unies contre la criminalité transnationale organisée, les Protocoles additionnels visant à prévenir, réprimer et punir la traite des personnes, en particulier des femmes et des enfants</w:t>
      </w:r>
      <w:r w:rsidR="00FF79D3">
        <w:t>,</w:t>
      </w:r>
      <w:r>
        <w:t xml:space="preserve"> et contre le trafic illicite de migrants par terre, air et mer, en octobre</w:t>
      </w:r>
      <w:r>
        <w:rPr>
          <w:lang w:val="fr-FR"/>
        </w:rPr>
        <w:t xml:space="preserve"> 2003;</w:t>
      </w:r>
    </w:p>
    <w:p w:rsidR="00C05A0D" w:rsidRPr="00686DBA" w:rsidRDefault="00C05A0D" w:rsidP="00C05A0D">
      <w:pPr>
        <w:pStyle w:val="SingleTxtG"/>
        <w:ind w:firstLine="567"/>
      </w:pPr>
      <w:r w:rsidRPr="00DB41ED">
        <w:t>f)</w:t>
      </w:r>
      <w:r w:rsidRPr="00686DBA">
        <w:tab/>
        <w:t xml:space="preserve">La Convention internationale pour la protection de toutes les personnes contre les disparitions forcées, en </w:t>
      </w:r>
      <w:r>
        <w:t>décembre 2008</w:t>
      </w:r>
      <w:r w:rsidR="00FF79D3">
        <w:t> </w:t>
      </w:r>
      <w:r w:rsidRPr="00686DBA">
        <w:t>;</w:t>
      </w:r>
    </w:p>
    <w:p w:rsidR="00C05A0D" w:rsidRPr="00686DBA" w:rsidRDefault="00C05A0D" w:rsidP="00C05A0D">
      <w:pPr>
        <w:pStyle w:val="SingleTxtG"/>
        <w:spacing w:after="100"/>
        <w:ind w:firstLine="567"/>
      </w:pPr>
      <w:r w:rsidRPr="00DB41ED">
        <w:t>g)</w:t>
      </w:r>
      <w:r w:rsidRPr="00686DBA">
        <w:tab/>
        <w:t>La Convention relative aux droits des personnes</w:t>
      </w:r>
      <w:r>
        <w:t xml:space="preserve"> handicapées, en septembre 2010.</w:t>
      </w:r>
    </w:p>
    <w:p w:rsidR="00C05A0D" w:rsidRPr="00686DBA" w:rsidRDefault="00395551" w:rsidP="00793696">
      <w:pPr>
        <w:pStyle w:val="SingleTxtG"/>
      </w:pPr>
      <w:r>
        <w:t>5.</w:t>
      </w:r>
      <w:r w:rsidR="00C05A0D">
        <w:tab/>
        <w:t>Le Comité note avec satisfaction l</w:t>
      </w:r>
      <w:r w:rsidR="00C05A0D" w:rsidRPr="00686DBA">
        <w:t>a</w:t>
      </w:r>
      <w:r w:rsidR="00C05A0D">
        <w:t xml:space="preserve"> collaboration de l’État </w:t>
      </w:r>
      <w:r w:rsidR="00FF79D3">
        <w:t xml:space="preserve">partie </w:t>
      </w:r>
      <w:r w:rsidR="00C05A0D">
        <w:rPr>
          <w:lang w:eastAsia="en-GB"/>
        </w:rPr>
        <w:t>avec les procédures spéciales du Conseil des droits de l’homme</w:t>
      </w:r>
      <w:r w:rsidR="00E71A57">
        <w:rPr>
          <w:lang w:eastAsia="en-GB"/>
        </w:rPr>
        <w:t>,</w:t>
      </w:r>
      <w:r w:rsidR="00C05A0D">
        <w:rPr>
          <w:lang w:eastAsia="en-GB"/>
        </w:rPr>
        <w:t xml:space="preserve"> manifestée à travers plusieurs visites de titulaires de mandats durant la période considérée</w:t>
      </w:r>
      <w:r w:rsidR="00793696">
        <w:rPr>
          <w:lang w:eastAsia="en-GB"/>
        </w:rPr>
        <w:t xml:space="preserve">, </w:t>
      </w:r>
      <w:r w:rsidR="00793696" w:rsidRPr="00793696">
        <w:rPr>
          <w:bCs/>
          <w:lang w:eastAsia="en-GB"/>
        </w:rPr>
        <w:t>notamment le Groupe de travail sur la détention arbitraire et la Rapporteuse spéciale sur la vente d'enfants, la prostitution des enfants et la pornographie mettant en scène des enfants</w:t>
      </w:r>
      <w:r w:rsidR="00C05A0D" w:rsidRPr="00793696">
        <w:rPr>
          <w:lang w:eastAsia="en-GB"/>
        </w:rPr>
        <w:t>.</w:t>
      </w:r>
      <w:r w:rsidR="00C05A0D">
        <w:rPr>
          <w:lang w:eastAsia="en-GB"/>
        </w:rPr>
        <w:t xml:space="preserve"> </w:t>
      </w:r>
    </w:p>
    <w:p w:rsidR="00C05A0D" w:rsidRPr="00686DBA" w:rsidRDefault="00C05A0D" w:rsidP="00C05A0D">
      <w:pPr>
        <w:pStyle w:val="SingleTxtG"/>
        <w:spacing w:after="100"/>
        <w:rPr>
          <w:rFonts w:eastAsia="SimSun"/>
          <w:lang w:eastAsia="zh-CN"/>
        </w:rPr>
      </w:pPr>
      <w:r>
        <w:rPr>
          <w:rFonts w:eastAsia="SimSun"/>
          <w:lang w:eastAsia="zh-CN"/>
        </w:rPr>
        <w:t>6</w:t>
      </w:r>
      <w:r w:rsidRPr="00686DBA">
        <w:rPr>
          <w:rFonts w:eastAsia="SimSun"/>
          <w:lang w:eastAsia="zh-CN"/>
        </w:rPr>
        <w:t>.</w:t>
      </w:r>
      <w:r w:rsidRPr="00686DBA">
        <w:rPr>
          <w:rFonts w:eastAsia="SimSun"/>
          <w:lang w:eastAsia="zh-CN"/>
        </w:rPr>
        <w:tab/>
        <w:t xml:space="preserve">Le Comité </w:t>
      </w:r>
      <w:r>
        <w:t xml:space="preserve">félicite l’État partie </w:t>
      </w:r>
      <w:r w:rsidR="00FF79D3">
        <w:t xml:space="preserve">d’avoir aboli </w:t>
      </w:r>
      <w:r>
        <w:t>la peine de mort par la loi du 10</w:t>
      </w:r>
      <w:r w:rsidR="00E71A57">
        <w:t> </w:t>
      </w:r>
      <w:r>
        <w:t xml:space="preserve">décembre 2004 et </w:t>
      </w:r>
      <w:r>
        <w:rPr>
          <w:rFonts w:eastAsia="SimSun"/>
          <w:lang w:eastAsia="zh-CN"/>
        </w:rPr>
        <w:t xml:space="preserve">prend acte des réformes législatives pertinentes </w:t>
      </w:r>
      <w:r w:rsidR="000F5DAB">
        <w:rPr>
          <w:rFonts w:eastAsia="SimSun"/>
          <w:lang w:eastAsia="zh-CN"/>
        </w:rPr>
        <w:t>liées</w:t>
      </w:r>
      <w:r w:rsidR="00FF79D3">
        <w:rPr>
          <w:rFonts w:eastAsia="SimSun"/>
          <w:lang w:eastAsia="zh-CN"/>
        </w:rPr>
        <w:t xml:space="preserve"> à</w:t>
      </w:r>
      <w:r>
        <w:rPr>
          <w:rFonts w:eastAsia="SimSun"/>
          <w:lang w:eastAsia="zh-CN"/>
        </w:rPr>
        <w:t xml:space="preserve"> la prohibition de la torture, nota</w:t>
      </w:r>
      <w:r w:rsidRPr="00686DBA">
        <w:rPr>
          <w:rFonts w:eastAsia="SimSun"/>
          <w:lang w:eastAsia="zh-CN"/>
        </w:rPr>
        <w:t>mment</w:t>
      </w:r>
      <w:r w:rsidR="000F5DAB">
        <w:rPr>
          <w:rFonts w:eastAsia="SimSun"/>
          <w:lang w:eastAsia="zh-CN"/>
        </w:rPr>
        <w:t> </w:t>
      </w:r>
      <w:r w:rsidRPr="00686DBA">
        <w:rPr>
          <w:rFonts w:eastAsia="SimSun"/>
          <w:lang w:eastAsia="zh-CN"/>
        </w:rPr>
        <w:t>:</w:t>
      </w:r>
    </w:p>
    <w:p w:rsidR="00C05A0D" w:rsidRDefault="00C05A0D" w:rsidP="00C05A0D">
      <w:pPr>
        <w:pStyle w:val="SingleTxtG"/>
        <w:spacing w:after="100"/>
        <w:ind w:firstLine="567"/>
        <w:rPr>
          <w:lang w:eastAsia="en-GB"/>
        </w:rPr>
      </w:pPr>
      <w:r w:rsidRPr="00DB41ED">
        <w:t>a)</w:t>
      </w:r>
      <w:r w:rsidRPr="00686DBA">
        <w:tab/>
        <w:t>L</w:t>
      </w:r>
      <w:r>
        <w:t>a</w:t>
      </w:r>
      <w:r>
        <w:rPr>
          <w:lang w:eastAsia="en-GB"/>
        </w:rPr>
        <w:t xml:space="preserve"> loi n° 2009-13 du 2 mars 2009 mettant en place l’Observat</w:t>
      </w:r>
      <w:r w:rsidR="00E71A57">
        <w:rPr>
          <w:lang w:eastAsia="en-GB"/>
        </w:rPr>
        <w:t>oire</w:t>
      </w:r>
      <w:r>
        <w:rPr>
          <w:lang w:eastAsia="en-GB"/>
        </w:rPr>
        <w:t xml:space="preserve"> </w:t>
      </w:r>
      <w:r w:rsidR="000F5DAB">
        <w:rPr>
          <w:lang w:eastAsia="en-GB"/>
        </w:rPr>
        <w:t>n</w:t>
      </w:r>
      <w:r>
        <w:rPr>
          <w:lang w:eastAsia="en-GB"/>
        </w:rPr>
        <w:t xml:space="preserve">ational des </w:t>
      </w:r>
      <w:r w:rsidR="000F5DAB">
        <w:rPr>
          <w:lang w:eastAsia="en-GB"/>
        </w:rPr>
        <w:t>l</w:t>
      </w:r>
      <w:r>
        <w:rPr>
          <w:lang w:eastAsia="en-GB"/>
        </w:rPr>
        <w:t xml:space="preserve">ieux de </w:t>
      </w:r>
      <w:r w:rsidR="000F5DAB">
        <w:rPr>
          <w:lang w:eastAsia="en-GB"/>
        </w:rPr>
        <w:t>p</w:t>
      </w:r>
      <w:r>
        <w:rPr>
          <w:lang w:eastAsia="en-GB"/>
        </w:rPr>
        <w:t>rivation</w:t>
      </w:r>
      <w:r w:rsidRPr="00686DBA">
        <w:rPr>
          <w:lang w:eastAsia="en-GB"/>
        </w:rPr>
        <w:t xml:space="preserve"> </w:t>
      </w:r>
      <w:r>
        <w:rPr>
          <w:lang w:eastAsia="en-GB"/>
        </w:rPr>
        <w:t xml:space="preserve">de </w:t>
      </w:r>
      <w:r w:rsidR="000F5DAB">
        <w:rPr>
          <w:lang w:eastAsia="en-GB"/>
        </w:rPr>
        <w:t>l</w:t>
      </w:r>
      <w:r>
        <w:rPr>
          <w:lang w:eastAsia="en-GB"/>
        </w:rPr>
        <w:t>iberté en tant que</w:t>
      </w:r>
      <w:r w:rsidRPr="00686DBA">
        <w:rPr>
          <w:lang w:eastAsia="en-GB"/>
        </w:rPr>
        <w:t xml:space="preserve"> mécanisme national de prévention prévu par le Protocole facultatif se rapportant à la Convention</w:t>
      </w:r>
      <w:r w:rsidR="000F5DAB">
        <w:rPr>
          <w:lang w:eastAsia="en-GB"/>
        </w:rPr>
        <w:t> </w:t>
      </w:r>
      <w:r w:rsidRPr="00686DBA">
        <w:rPr>
          <w:lang w:eastAsia="en-GB"/>
        </w:rPr>
        <w:t>;</w:t>
      </w:r>
    </w:p>
    <w:p w:rsidR="00C05A0D" w:rsidRPr="00686DBA" w:rsidRDefault="00C05A0D" w:rsidP="00C05A0D">
      <w:pPr>
        <w:pStyle w:val="SingleTxtG"/>
        <w:spacing w:after="100"/>
        <w:ind w:firstLine="567"/>
        <w:rPr>
          <w:lang w:eastAsia="en-GB"/>
        </w:rPr>
      </w:pPr>
      <w:r w:rsidRPr="00DB41ED">
        <w:t>b)</w:t>
      </w:r>
      <w:r w:rsidRPr="00686DBA">
        <w:tab/>
        <w:t>L</w:t>
      </w:r>
      <w:r>
        <w:t>’adoption de la loi n° 2005-06 du 10 avril 2005 relative à la lutte contre la traite des personnes et pratiques assimilées</w:t>
      </w:r>
      <w:r w:rsidR="00E71A57">
        <w:t> </w:t>
      </w:r>
      <w:r>
        <w:rPr>
          <w:lang w:eastAsia="en-GB"/>
        </w:rPr>
        <w:t>;</w:t>
      </w:r>
    </w:p>
    <w:p w:rsidR="00C05A0D" w:rsidRPr="00686DBA" w:rsidRDefault="00C05A0D" w:rsidP="00C05A0D">
      <w:pPr>
        <w:pStyle w:val="SingleTxtG"/>
        <w:spacing w:after="100"/>
        <w:ind w:firstLine="567"/>
        <w:rPr>
          <w:rFonts w:eastAsia="SimSun"/>
          <w:lang w:eastAsia="zh-CN"/>
        </w:rPr>
      </w:pPr>
      <w:r w:rsidRPr="00DB41ED">
        <w:rPr>
          <w:lang w:eastAsia="en-GB"/>
        </w:rPr>
        <w:t>c)</w:t>
      </w:r>
      <w:r>
        <w:rPr>
          <w:lang w:eastAsia="en-GB"/>
        </w:rPr>
        <w:tab/>
        <w:t xml:space="preserve">L’adoption des lois n° 2000-38 et </w:t>
      </w:r>
      <w:r w:rsidR="000F5DAB">
        <w:rPr>
          <w:lang w:eastAsia="en-GB"/>
        </w:rPr>
        <w:t>n</w:t>
      </w:r>
      <w:r w:rsidR="000F5DAB" w:rsidRPr="000F5DAB">
        <w:rPr>
          <w:vertAlign w:val="superscript"/>
          <w:lang w:eastAsia="en-GB"/>
        </w:rPr>
        <w:t>o</w:t>
      </w:r>
      <w:r w:rsidR="000F5DAB">
        <w:rPr>
          <w:lang w:eastAsia="en-GB"/>
        </w:rPr>
        <w:t xml:space="preserve"> </w:t>
      </w:r>
      <w:r>
        <w:rPr>
          <w:lang w:eastAsia="en-GB"/>
        </w:rPr>
        <w:t>2000-39 du 29 décembre 2000 instituant un juge chargé de la surveillance de la détention</w:t>
      </w:r>
      <w:r w:rsidR="000F5DAB">
        <w:rPr>
          <w:lang w:eastAsia="en-GB"/>
        </w:rPr>
        <w:t>,</w:t>
      </w:r>
      <w:r>
        <w:rPr>
          <w:lang w:eastAsia="en-GB"/>
        </w:rPr>
        <w:t xml:space="preserve"> ainsi que le décret n° 2001-362 du 4 mai 2001 portant procédures d’exécution et d’aménagement des sanctions pénales.</w:t>
      </w:r>
    </w:p>
    <w:p w:rsidR="00C05A0D" w:rsidRPr="00686DBA" w:rsidRDefault="00C05A0D" w:rsidP="00C05A0D">
      <w:pPr>
        <w:pStyle w:val="SingleTxtG"/>
        <w:spacing w:after="100"/>
        <w:rPr>
          <w:lang w:eastAsia="en-GB"/>
        </w:rPr>
      </w:pPr>
      <w:r>
        <w:rPr>
          <w:lang w:eastAsia="en-GB"/>
        </w:rPr>
        <w:t>7</w:t>
      </w:r>
      <w:r w:rsidRPr="00686DBA">
        <w:rPr>
          <w:lang w:eastAsia="en-GB"/>
        </w:rPr>
        <w:t>.</w:t>
      </w:r>
      <w:r w:rsidRPr="00686DBA">
        <w:rPr>
          <w:lang w:eastAsia="en-GB"/>
        </w:rPr>
        <w:tab/>
        <w:t xml:space="preserve">Le Comité </w:t>
      </w:r>
      <w:r w:rsidRPr="00686DBA">
        <w:rPr>
          <w:rFonts w:eastAsia="SimSun"/>
          <w:lang w:eastAsia="zh-CN"/>
        </w:rPr>
        <w:t xml:space="preserve">accueille </w:t>
      </w:r>
      <w:r>
        <w:rPr>
          <w:rFonts w:eastAsia="SimSun"/>
          <w:lang w:eastAsia="zh-CN"/>
        </w:rPr>
        <w:t xml:space="preserve">également </w:t>
      </w:r>
      <w:r w:rsidRPr="00686DBA">
        <w:rPr>
          <w:rFonts w:eastAsia="SimSun"/>
          <w:lang w:eastAsia="zh-CN"/>
        </w:rPr>
        <w:t xml:space="preserve">avec </w:t>
      </w:r>
      <w:r w:rsidRPr="00E76FF3">
        <w:rPr>
          <w:rFonts w:eastAsia="SimSun"/>
          <w:lang w:eastAsia="zh-CN"/>
        </w:rPr>
        <w:t>satisfaction</w:t>
      </w:r>
      <w:r w:rsidR="000F5DAB">
        <w:rPr>
          <w:rFonts w:eastAsia="SimSun"/>
          <w:lang w:eastAsia="zh-CN"/>
        </w:rPr>
        <w:t> </w:t>
      </w:r>
      <w:r w:rsidRPr="00686DBA">
        <w:rPr>
          <w:lang w:eastAsia="en-GB"/>
        </w:rPr>
        <w:t>:</w:t>
      </w:r>
    </w:p>
    <w:p w:rsidR="00C05A0D" w:rsidRDefault="00C05A0D" w:rsidP="00C05A0D">
      <w:pPr>
        <w:pStyle w:val="SingleTxtG"/>
        <w:spacing w:after="100"/>
        <w:ind w:firstLine="567"/>
        <w:rPr>
          <w:lang w:eastAsia="en-GB"/>
        </w:rPr>
      </w:pPr>
      <w:r w:rsidRPr="00DB41ED">
        <w:t>a</w:t>
      </w:r>
      <w:r w:rsidR="00DB41ED" w:rsidRPr="00DB41ED">
        <w:t>)</w:t>
      </w:r>
      <w:r>
        <w:tab/>
      </w:r>
      <w:r w:rsidRPr="00686DBA">
        <w:t>L</w:t>
      </w:r>
      <w:r>
        <w:t>’adoption en 2009 du plan d’action national (2008-2013) de lutte contre la traite des personnes, en particulier des femmes et des enfants</w:t>
      </w:r>
      <w:r w:rsidR="000F5DAB">
        <w:t>,</w:t>
      </w:r>
      <w:r>
        <w:t xml:space="preserve"> ainsi que la création en 2010 d’une cellule nationale de lutte contre la traite des personnes regroupant les institutions gouvernementales et non</w:t>
      </w:r>
      <w:r w:rsidR="000F5DAB">
        <w:t xml:space="preserve"> </w:t>
      </w:r>
      <w:r>
        <w:t>gouvernementales</w:t>
      </w:r>
      <w:r w:rsidR="00E71A57">
        <w:t> </w:t>
      </w:r>
      <w:r>
        <w:rPr>
          <w:lang w:eastAsia="en-GB"/>
        </w:rPr>
        <w:t>;</w:t>
      </w:r>
    </w:p>
    <w:p w:rsidR="00C05A0D" w:rsidRPr="00192AFE" w:rsidRDefault="00C05A0D" w:rsidP="00C05A0D">
      <w:pPr>
        <w:pStyle w:val="SingleTxtG"/>
        <w:spacing w:after="100"/>
        <w:ind w:firstLine="567"/>
        <w:rPr>
          <w:lang w:eastAsia="en-GB"/>
        </w:rPr>
      </w:pPr>
      <w:r w:rsidRPr="00DB41ED">
        <w:rPr>
          <w:lang w:eastAsia="en-GB"/>
        </w:rPr>
        <w:t>b)</w:t>
      </w:r>
      <w:r>
        <w:rPr>
          <w:lang w:eastAsia="en-GB"/>
        </w:rPr>
        <w:tab/>
      </w:r>
      <w:r w:rsidRPr="00192AFE">
        <w:t xml:space="preserve">La promotion de la justice de proximité qui vise à multiplier et </w:t>
      </w:r>
      <w:r>
        <w:t xml:space="preserve">à </w:t>
      </w:r>
      <w:r w:rsidRPr="00192AFE">
        <w:t>étendre sur l’ensemble du territoire national des maisons de justice spécialisées dans la médiation, l’information et l’écoute juridique</w:t>
      </w:r>
      <w:r w:rsidR="00E71A57">
        <w:t> </w:t>
      </w:r>
      <w:r>
        <w:t>;</w:t>
      </w:r>
      <w:r w:rsidRPr="00192AFE">
        <w:t xml:space="preserve"> </w:t>
      </w:r>
    </w:p>
    <w:p w:rsidR="00C05A0D" w:rsidRDefault="00C05A0D" w:rsidP="00C05A0D">
      <w:pPr>
        <w:pStyle w:val="SingleTxtG"/>
        <w:spacing w:after="100"/>
        <w:ind w:firstLine="567"/>
        <w:rPr>
          <w:lang w:val="fr-FR"/>
        </w:rPr>
      </w:pPr>
      <w:r w:rsidRPr="00DB41ED">
        <w:rPr>
          <w:lang w:val="fr-FR"/>
        </w:rPr>
        <w:t>c)</w:t>
      </w:r>
      <w:r>
        <w:rPr>
          <w:lang w:val="fr-FR"/>
        </w:rPr>
        <w:tab/>
        <w:t xml:space="preserve">Le </w:t>
      </w:r>
      <w:r w:rsidRPr="00192AFE">
        <w:rPr>
          <w:lang w:val="fr-FR"/>
        </w:rPr>
        <w:t>second plan d’action national pour l’accélération de l’abandon de l’excision 2010-2015</w:t>
      </w:r>
      <w:r w:rsidR="000F5DAB">
        <w:rPr>
          <w:lang w:val="fr-FR"/>
        </w:rPr>
        <w:t>,</w:t>
      </w:r>
      <w:r w:rsidRPr="00192AFE">
        <w:rPr>
          <w:lang w:val="fr-FR"/>
        </w:rPr>
        <w:t xml:space="preserve"> validé et lancé en février 2010</w:t>
      </w:r>
      <w:r w:rsidR="00B81981">
        <w:rPr>
          <w:lang w:val="fr-FR"/>
        </w:rPr>
        <w:t> </w:t>
      </w:r>
      <w:r>
        <w:rPr>
          <w:lang w:val="fr-FR"/>
        </w:rPr>
        <w:t>;</w:t>
      </w:r>
    </w:p>
    <w:p w:rsidR="00C05A0D" w:rsidRPr="00192AFE" w:rsidRDefault="00C05A0D" w:rsidP="00C05A0D">
      <w:pPr>
        <w:pStyle w:val="SingleTxtG"/>
        <w:spacing w:after="100"/>
        <w:ind w:firstLine="567"/>
      </w:pPr>
      <w:r w:rsidRPr="00DB41ED">
        <w:rPr>
          <w:lang w:val="fr-FR"/>
        </w:rPr>
        <w:t>d)</w:t>
      </w:r>
      <w:r>
        <w:rPr>
          <w:lang w:val="fr-FR"/>
        </w:rPr>
        <w:tab/>
        <w:t>L</w:t>
      </w:r>
      <w:r w:rsidRPr="003C2D49">
        <w:t>a création</w:t>
      </w:r>
      <w:r>
        <w:t xml:space="preserve"> d’institutions </w:t>
      </w:r>
      <w:r w:rsidR="007B7742">
        <w:t>telles que</w:t>
      </w:r>
      <w:r>
        <w:t xml:space="preserve"> le</w:t>
      </w:r>
      <w:r w:rsidRPr="003C2D49">
        <w:t xml:space="preserve"> Haut Commissariat aux </w:t>
      </w:r>
      <w:r w:rsidR="007B7742">
        <w:t>d</w:t>
      </w:r>
      <w:r w:rsidRPr="003C2D49">
        <w:t>roits de l</w:t>
      </w:r>
      <w:r>
        <w:t>’</w:t>
      </w:r>
      <w:r w:rsidR="007B7742">
        <w:t>h</w:t>
      </w:r>
      <w:r w:rsidRPr="003C2D49">
        <w:t xml:space="preserve">omme et à la </w:t>
      </w:r>
      <w:r w:rsidR="007B7742">
        <w:t>p</w:t>
      </w:r>
      <w:r w:rsidRPr="003C2D49">
        <w:t xml:space="preserve">romotion de la </w:t>
      </w:r>
      <w:r w:rsidR="007B7742">
        <w:t>p</w:t>
      </w:r>
      <w:r w:rsidRPr="003C2D49">
        <w:t>aix</w:t>
      </w:r>
      <w:r w:rsidRPr="00DC2442">
        <w:t xml:space="preserve"> </w:t>
      </w:r>
      <w:r w:rsidRPr="003C2D49">
        <w:t>en 2004</w:t>
      </w:r>
      <w:r w:rsidR="007B7742">
        <w:t> ;</w:t>
      </w:r>
      <w:r>
        <w:t> le</w:t>
      </w:r>
      <w:r w:rsidRPr="003C2D49">
        <w:t xml:space="preserve"> Médiateur de la République</w:t>
      </w:r>
      <w:r>
        <w:t>, de par les</w:t>
      </w:r>
      <w:r w:rsidRPr="003C2D49">
        <w:t xml:space="preserve"> loi</w:t>
      </w:r>
      <w:r>
        <w:t>s</w:t>
      </w:r>
      <w:r w:rsidRPr="003C2D49">
        <w:t xml:space="preserve"> n° 91-14 du</w:t>
      </w:r>
      <w:r w:rsidR="007B7742">
        <w:t xml:space="preserve"> </w:t>
      </w:r>
      <w:r w:rsidRPr="003C2D49">
        <w:t xml:space="preserve">11 février 1991 </w:t>
      </w:r>
      <w:r>
        <w:t xml:space="preserve">et </w:t>
      </w:r>
      <w:r w:rsidR="00FD368D">
        <w:t>n</w:t>
      </w:r>
      <w:r w:rsidR="00FD368D" w:rsidRPr="00FD368D">
        <w:rPr>
          <w:vertAlign w:val="superscript"/>
        </w:rPr>
        <w:t>o</w:t>
      </w:r>
      <w:r w:rsidR="00FD368D">
        <w:rPr>
          <w:vertAlign w:val="superscript"/>
        </w:rPr>
        <w:t xml:space="preserve"> </w:t>
      </w:r>
      <w:r w:rsidRPr="003C2D49">
        <w:t>99-04 du 29 janvier 1999</w:t>
      </w:r>
      <w:r>
        <w:t>.</w:t>
      </w:r>
    </w:p>
    <w:p w:rsidR="00C05A0D" w:rsidRPr="00686DBA" w:rsidRDefault="00C05A0D" w:rsidP="00C05A0D">
      <w:pPr>
        <w:pStyle w:val="H1G"/>
      </w:pPr>
      <w:r w:rsidRPr="00686DBA">
        <w:tab/>
        <w:t>C.</w:t>
      </w:r>
      <w:r w:rsidRPr="00686DBA">
        <w:tab/>
        <w:t>Principaux sujets de préoccupation et recommandations</w:t>
      </w:r>
    </w:p>
    <w:p w:rsidR="00C05A0D" w:rsidRPr="00686DBA" w:rsidRDefault="00C05A0D" w:rsidP="00C05A0D">
      <w:pPr>
        <w:pStyle w:val="H23G"/>
        <w:ind w:left="0" w:firstLine="0"/>
        <w:rPr>
          <w:b w:val="0"/>
          <w:lang w:eastAsia="en-GB"/>
        </w:rPr>
      </w:pPr>
      <w:r w:rsidRPr="00686DBA">
        <w:rPr>
          <w:lang w:eastAsia="en-GB"/>
        </w:rPr>
        <w:tab/>
      </w:r>
      <w:r w:rsidRPr="00686DBA">
        <w:rPr>
          <w:lang w:eastAsia="en-GB"/>
        </w:rPr>
        <w:tab/>
        <w:t>Défini</w:t>
      </w:r>
      <w:r>
        <w:rPr>
          <w:lang w:eastAsia="en-GB"/>
        </w:rPr>
        <w:t xml:space="preserve">tion </w:t>
      </w:r>
      <w:r w:rsidRPr="00686DBA">
        <w:rPr>
          <w:lang w:eastAsia="en-GB"/>
        </w:rPr>
        <w:t>de la torture</w:t>
      </w:r>
      <w:r w:rsidRPr="00686DBA">
        <w:rPr>
          <w:b w:val="0"/>
          <w:lang w:eastAsia="en-GB"/>
        </w:rPr>
        <w:t xml:space="preserve"> </w:t>
      </w:r>
    </w:p>
    <w:p w:rsidR="00C05A0D" w:rsidRPr="00686DBA" w:rsidRDefault="00C05A0D" w:rsidP="00C05A0D">
      <w:pPr>
        <w:pStyle w:val="SingleTxtG"/>
        <w:rPr>
          <w:lang w:eastAsia="en-GB"/>
        </w:rPr>
      </w:pPr>
      <w:r>
        <w:rPr>
          <w:lang w:eastAsia="en-GB"/>
        </w:rPr>
        <w:t>8</w:t>
      </w:r>
      <w:r w:rsidRPr="00686DBA">
        <w:rPr>
          <w:lang w:eastAsia="en-GB"/>
        </w:rPr>
        <w:t>.</w:t>
      </w:r>
      <w:r w:rsidRPr="00686DBA">
        <w:rPr>
          <w:lang w:eastAsia="en-GB"/>
        </w:rPr>
        <w:tab/>
      </w:r>
      <w:r>
        <w:rPr>
          <w:lang w:eastAsia="en-GB"/>
        </w:rPr>
        <w:t>Tout en prenant note de la révision du Code pénal (loi n° 96-15 du 28 août 1996) dont l’article 295-1 définit la torture en conformité avec l’article premier de la Convention, l</w:t>
      </w:r>
      <w:r w:rsidRPr="00686DBA">
        <w:rPr>
          <w:lang w:eastAsia="en-GB"/>
        </w:rPr>
        <w:t xml:space="preserve">e Comité </w:t>
      </w:r>
      <w:r>
        <w:rPr>
          <w:lang w:eastAsia="en-GB"/>
        </w:rPr>
        <w:t>regrette toutefois que cette définition n’inclu</w:t>
      </w:r>
      <w:r w:rsidR="00382151">
        <w:rPr>
          <w:lang w:eastAsia="en-GB"/>
        </w:rPr>
        <w:t>e</w:t>
      </w:r>
      <w:r>
        <w:rPr>
          <w:lang w:eastAsia="en-GB"/>
        </w:rPr>
        <w:t xml:space="preserve"> pas certains éléments clés de cet article, notamment la référence à</w:t>
      </w:r>
      <w:r w:rsidRPr="00686DBA">
        <w:rPr>
          <w:lang w:eastAsia="en-GB"/>
        </w:rPr>
        <w:t xml:space="preserve"> </w:t>
      </w:r>
      <w:r>
        <w:rPr>
          <w:lang w:eastAsia="en-GB"/>
        </w:rPr>
        <w:t>« une tierce personne » en plus de la victime</w:t>
      </w:r>
      <w:r w:rsidRPr="00686DBA">
        <w:rPr>
          <w:lang w:eastAsia="en-GB"/>
        </w:rPr>
        <w:t xml:space="preserve"> (art. 1</w:t>
      </w:r>
      <w:r w:rsidRPr="00686DBA">
        <w:rPr>
          <w:vertAlign w:val="superscript"/>
          <w:lang w:eastAsia="en-GB"/>
        </w:rPr>
        <w:t>er</w:t>
      </w:r>
      <w:r w:rsidRPr="00686DBA">
        <w:rPr>
          <w:lang w:eastAsia="en-GB"/>
        </w:rPr>
        <w:t>).</w:t>
      </w:r>
    </w:p>
    <w:p w:rsidR="00C05A0D" w:rsidRDefault="00C05A0D" w:rsidP="00C05A0D">
      <w:pPr>
        <w:pStyle w:val="SingleTxtG"/>
        <w:rPr>
          <w:rFonts w:ascii="TimesNewRoman" w:hAnsi="TimesNewRoman" w:cs="TimesNewRoman"/>
          <w:b/>
          <w:lang w:eastAsia="en-GB"/>
        </w:rPr>
      </w:pPr>
      <w:r>
        <w:rPr>
          <w:b/>
          <w:lang w:eastAsia="en-GB"/>
        </w:rPr>
        <w:t xml:space="preserve">L’État partie devrait réviser son Code pénal, en particulier l’article 295-1 sur la définition de la torture pour la rendre totalement </w:t>
      </w:r>
      <w:r w:rsidR="00FD368D">
        <w:rPr>
          <w:b/>
          <w:lang w:eastAsia="en-GB"/>
        </w:rPr>
        <w:t>conforme aux</w:t>
      </w:r>
      <w:r w:rsidRPr="00686DBA">
        <w:rPr>
          <w:b/>
          <w:lang w:eastAsia="en-GB"/>
        </w:rPr>
        <w:t xml:space="preserve"> dispositions </w:t>
      </w:r>
      <w:r>
        <w:rPr>
          <w:b/>
          <w:lang w:eastAsia="en-GB"/>
        </w:rPr>
        <w:t>de l’</w:t>
      </w:r>
      <w:r w:rsidRPr="00686DBA">
        <w:rPr>
          <w:b/>
          <w:lang w:eastAsia="en-GB"/>
        </w:rPr>
        <w:t xml:space="preserve">article premier de la Convention. </w:t>
      </w:r>
      <w:r>
        <w:rPr>
          <w:b/>
          <w:lang w:eastAsia="en-GB"/>
        </w:rPr>
        <w:t xml:space="preserve">Il devrait en particulier inclure dans cette définition les actes visant à obtenir des renseignements, à punir, </w:t>
      </w:r>
      <w:r w:rsidR="00FD368D">
        <w:rPr>
          <w:b/>
          <w:lang w:eastAsia="en-GB"/>
        </w:rPr>
        <w:t xml:space="preserve">à </w:t>
      </w:r>
      <w:r>
        <w:rPr>
          <w:b/>
          <w:lang w:eastAsia="en-GB"/>
        </w:rPr>
        <w:t xml:space="preserve">intimider ou </w:t>
      </w:r>
      <w:r w:rsidR="00FD368D">
        <w:rPr>
          <w:b/>
          <w:lang w:eastAsia="en-GB"/>
        </w:rPr>
        <w:t xml:space="preserve">à </w:t>
      </w:r>
      <w:r>
        <w:rPr>
          <w:b/>
          <w:lang w:eastAsia="en-GB"/>
        </w:rPr>
        <w:t>faire pression sur une tierce personne.</w:t>
      </w:r>
    </w:p>
    <w:p w:rsidR="00C05A0D" w:rsidRPr="00686DBA" w:rsidRDefault="00C05A0D" w:rsidP="00C05A0D">
      <w:pPr>
        <w:pStyle w:val="H23G"/>
        <w:ind w:left="0" w:firstLine="0"/>
        <w:rPr>
          <w:b w:val="0"/>
          <w:lang w:eastAsia="en-GB"/>
        </w:rPr>
      </w:pPr>
      <w:r w:rsidRPr="00686DBA">
        <w:rPr>
          <w:lang w:eastAsia="en-GB"/>
        </w:rPr>
        <w:tab/>
      </w:r>
      <w:r w:rsidRPr="00686DBA">
        <w:rPr>
          <w:lang w:eastAsia="en-GB"/>
        </w:rPr>
        <w:tab/>
      </w:r>
      <w:r>
        <w:rPr>
          <w:lang w:eastAsia="en-GB"/>
        </w:rPr>
        <w:t>I</w:t>
      </w:r>
      <w:r w:rsidRPr="00686DBA">
        <w:rPr>
          <w:lang w:eastAsia="en-GB"/>
        </w:rPr>
        <w:t>nterdiction absolue de la torture</w:t>
      </w:r>
      <w:r w:rsidRPr="00686DBA">
        <w:rPr>
          <w:b w:val="0"/>
          <w:lang w:eastAsia="en-GB"/>
        </w:rPr>
        <w:t xml:space="preserve"> </w:t>
      </w:r>
    </w:p>
    <w:p w:rsidR="00C05A0D" w:rsidRDefault="00C05A0D" w:rsidP="00C05A0D">
      <w:pPr>
        <w:pStyle w:val="SingleTxtG"/>
        <w:rPr>
          <w:b/>
          <w:lang w:eastAsia="en-GB"/>
        </w:rPr>
      </w:pPr>
      <w:r>
        <w:rPr>
          <w:lang w:eastAsia="en-GB"/>
        </w:rPr>
        <w:t>9.</w:t>
      </w:r>
      <w:r>
        <w:rPr>
          <w:lang w:eastAsia="en-GB"/>
        </w:rPr>
        <w:tab/>
        <w:t>Le Comité est préoccupé par la position de l’</w:t>
      </w:r>
      <w:r w:rsidR="00FD368D">
        <w:rPr>
          <w:lang w:eastAsia="en-GB"/>
        </w:rPr>
        <w:t>É</w:t>
      </w:r>
      <w:r>
        <w:rPr>
          <w:lang w:eastAsia="en-GB"/>
        </w:rPr>
        <w:t xml:space="preserve">tat </w:t>
      </w:r>
      <w:r w:rsidRPr="005578BA">
        <w:rPr>
          <w:lang w:eastAsia="en-GB"/>
        </w:rPr>
        <w:t>partie</w:t>
      </w:r>
      <w:r>
        <w:rPr>
          <w:lang w:eastAsia="en-GB"/>
        </w:rPr>
        <w:t xml:space="preserve"> qui justifie les lois portant amnistie en relation avec la situation en Casamance comme répondant au besoin impérieux de restauration de la paix. Le Comité réitère sa préoccupation </w:t>
      </w:r>
      <w:r w:rsidR="00FD368D">
        <w:rPr>
          <w:lang w:eastAsia="en-GB"/>
        </w:rPr>
        <w:t>selon laquelle</w:t>
      </w:r>
      <w:r>
        <w:rPr>
          <w:lang w:eastAsia="en-GB"/>
        </w:rPr>
        <w:t xml:space="preserve"> les lois de l’État partie ne doivent pas favoriser l’impunité d’actes de torture ni violer l’article 2 de la Convention qui dispose qu’ « aucune instabilité politique intérieure » ne peut justifier la torture (art. 2</w:t>
      </w:r>
      <w:r w:rsidRPr="00686DBA">
        <w:rPr>
          <w:lang w:eastAsia="en-GB"/>
        </w:rPr>
        <w:t>).</w:t>
      </w:r>
    </w:p>
    <w:p w:rsidR="00C05A0D" w:rsidRDefault="00FD368D" w:rsidP="00C05A0D">
      <w:pPr>
        <w:pStyle w:val="SingleTxtG"/>
        <w:rPr>
          <w:rFonts w:ascii="TimesNewRoman" w:hAnsi="TimesNewRoman" w:cs="TimesNewRoman"/>
          <w:b/>
          <w:lang w:eastAsia="en-GB"/>
        </w:rPr>
      </w:pPr>
      <w:r>
        <w:rPr>
          <w:b/>
          <w:lang w:eastAsia="en-GB"/>
        </w:rPr>
        <w:t>À</w:t>
      </w:r>
      <w:r w:rsidR="00C05A0D">
        <w:rPr>
          <w:b/>
          <w:lang w:eastAsia="en-GB"/>
        </w:rPr>
        <w:t xml:space="preserve"> la lumière de ses Observations générales 2 </w:t>
      </w:r>
      <w:r w:rsidR="00A877CB">
        <w:rPr>
          <w:b/>
          <w:lang w:eastAsia="en-GB"/>
        </w:rPr>
        <w:t xml:space="preserve">(CAT/C/GC/2) </w:t>
      </w:r>
      <w:r w:rsidR="00C05A0D">
        <w:rPr>
          <w:b/>
          <w:lang w:eastAsia="en-GB"/>
        </w:rPr>
        <w:t>et 3</w:t>
      </w:r>
      <w:r w:rsidR="00A877CB">
        <w:rPr>
          <w:b/>
          <w:lang w:eastAsia="en-GB"/>
        </w:rPr>
        <w:t xml:space="preserve"> (CAT/C/GC/3)</w:t>
      </w:r>
      <w:r w:rsidR="00C05A0D">
        <w:rPr>
          <w:b/>
          <w:lang w:eastAsia="en-GB"/>
        </w:rPr>
        <w:t>, l</w:t>
      </w:r>
      <w:r w:rsidR="00C05A0D" w:rsidRPr="00F4779D">
        <w:rPr>
          <w:rFonts w:ascii="TimesNewRoman" w:hAnsi="TimesNewRoman" w:cs="TimesNewRoman"/>
          <w:b/>
          <w:lang w:eastAsia="en-GB"/>
        </w:rPr>
        <w:t xml:space="preserve">e Comité considère qu’une amnistie ou tout autre obstacle juridique qui empêcherait que les auteurs d’actes de torture ou de mauvais traitements fassent </w:t>
      </w:r>
      <w:r w:rsidR="00C05A0D">
        <w:rPr>
          <w:rFonts w:ascii="TimesNewRoman" w:hAnsi="TimesNewRoman" w:cs="TimesNewRoman"/>
          <w:b/>
          <w:lang w:eastAsia="en-GB"/>
        </w:rPr>
        <w:t xml:space="preserve">rapidement </w:t>
      </w:r>
      <w:r w:rsidR="00C05A0D" w:rsidRPr="00F4779D">
        <w:rPr>
          <w:rFonts w:ascii="TimesNewRoman" w:hAnsi="TimesNewRoman" w:cs="TimesNewRoman"/>
          <w:b/>
          <w:lang w:eastAsia="en-GB"/>
        </w:rPr>
        <w:t>l’objet de poursui</w:t>
      </w:r>
      <w:r w:rsidR="00C05A0D">
        <w:rPr>
          <w:rFonts w:ascii="TimesNewRoman" w:hAnsi="TimesNewRoman" w:cs="TimesNewRoman"/>
          <w:b/>
          <w:lang w:eastAsia="en-GB"/>
        </w:rPr>
        <w:t xml:space="preserve">tes et de sanctions appropriées viole le principe d’intangibilité de la prohibition de la torture. </w:t>
      </w:r>
      <w:r w:rsidR="00C05A0D">
        <w:rPr>
          <w:b/>
        </w:rPr>
        <w:t xml:space="preserve">Cela </w:t>
      </w:r>
      <w:r w:rsidR="00C05A0D" w:rsidRPr="00EE565B">
        <w:rPr>
          <w:b/>
        </w:rPr>
        <w:t>constitue</w:t>
      </w:r>
      <w:r w:rsidR="00C05A0D">
        <w:rPr>
          <w:b/>
        </w:rPr>
        <w:t>rait</w:t>
      </w:r>
      <w:r w:rsidR="00C05A0D" w:rsidRPr="00EE565B">
        <w:rPr>
          <w:b/>
        </w:rPr>
        <w:t xml:space="preserve"> un </w:t>
      </w:r>
      <w:r w:rsidR="00C05A0D">
        <w:rPr>
          <w:b/>
        </w:rPr>
        <w:t>obstacle non permissible pour les</w:t>
      </w:r>
      <w:r w:rsidR="00C05A0D" w:rsidRPr="00EE565B">
        <w:rPr>
          <w:b/>
        </w:rPr>
        <w:t xml:space="preserve"> victime</w:t>
      </w:r>
      <w:r w:rsidR="00C05A0D">
        <w:rPr>
          <w:b/>
        </w:rPr>
        <w:t>s</w:t>
      </w:r>
      <w:r w:rsidR="00C05A0D" w:rsidRPr="00EE565B">
        <w:rPr>
          <w:b/>
        </w:rPr>
        <w:t xml:space="preserve"> qui cherche</w:t>
      </w:r>
      <w:r w:rsidR="00C05A0D">
        <w:rPr>
          <w:b/>
        </w:rPr>
        <w:t>nt</w:t>
      </w:r>
      <w:r w:rsidR="00C05A0D" w:rsidRPr="00EE565B">
        <w:rPr>
          <w:b/>
        </w:rPr>
        <w:t xml:space="preserve"> à obtenir réparation, et contribue</w:t>
      </w:r>
      <w:r w:rsidR="00C05A0D">
        <w:rPr>
          <w:b/>
        </w:rPr>
        <w:t>rait</w:t>
      </w:r>
      <w:r w:rsidR="00C05A0D" w:rsidRPr="00EE565B">
        <w:rPr>
          <w:b/>
        </w:rPr>
        <w:t xml:space="preserve"> à instaurer un climat d’impunité. </w:t>
      </w:r>
      <w:r>
        <w:rPr>
          <w:b/>
        </w:rPr>
        <w:t>À</w:t>
      </w:r>
      <w:r w:rsidR="00C05A0D">
        <w:rPr>
          <w:b/>
        </w:rPr>
        <w:t xml:space="preserve"> cet égard, le Comité</w:t>
      </w:r>
      <w:r w:rsidR="00C05A0D" w:rsidRPr="00EE565B">
        <w:rPr>
          <w:b/>
        </w:rPr>
        <w:t xml:space="preserve"> </w:t>
      </w:r>
      <w:r>
        <w:rPr>
          <w:b/>
        </w:rPr>
        <w:t>prie instamment</w:t>
      </w:r>
      <w:r w:rsidR="00C05A0D">
        <w:rPr>
          <w:b/>
        </w:rPr>
        <w:t xml:space="preserve"> l’</w:t>
      </w:r>
      <w:r w:rsidR="00C05A0D" w:rsidRPr="00EE565B">
        <w:rPr>
          <w:b/>
        </w:rPr>
        <w:t xml:space="preserve">État partie </w:t>
      </w:r>
      <w:r>
        <w:rPr>
          <w:b/>
        </w:rPr>
        <w:t>de</w:t>
      </w:r>
      <w:r w:rsidR="00C05A0D" w:rsidRPr="00EE565B">
        <w:rPr>
          <w:b/>
        </w:rPr>
        <w:t xml:space="preserve"> supprimer toute amnistie pour </w:t>
      </w:r>
      <w:r w:rsidR="00C05A0D">
        <w:rPr>
          <w:b/>
        </w:rPr>
        <w:t xml:space="preserve">torture ou mauvais traitements et </w:t>
      </w:r>
      <w:r>
        <w:rPr>
          <w:b/>
        </w:rPr>
        <w:t>de</w:t>
      </w:r>
      <w:r w:rsidR="00C05A0D">
        <w:rPr>
          <w:b/>
        </w:rPr>
        <w:t xml:space="preserve"> lui</w:t>
      </w:r>
      <w:r w:rsidR="00C05A0D">
        <w:rPr>
          <w:rFonts w:ascii="TimesNewRoman" w:hAnsi="TimesNewRoman" w:cs="TimesNewRoman"/>
          <w:b/>
          <w:lang w:eastAsia="en-GB"/>
        </w:rPr>
        <w:t xml:space="preserve"> fournir des informations détaillées sur la réparation accordée aux victimes de torture en </w:t>
      </w:r>
      <w:r w:rsidR="00C05A0D" w:rsidRPr="0067698F">
        <w:rPr>
          <w:rFonts w:ascii="TimesNewRoman" w:hAnsi="TimesNewRoman" w:cs="TimesNewRoman"/>
          <w:b/>
          <w:lang w:eastAsia="en-GB"/>
        </w:rPr>
        <w:t>Casamance</w:t>
      </w:r>
      <w:r w:rsidR="00C05A0D">
        <w:rPr>
          <w:rFonts w:ascii="TimesNewRoman" w:hAnsi="TimesNewRoman" w:cs="TimesNewRoman"/>
          <w:b/>
          <w:lang w:eastAsia="en-GB"/>
        </w:rPr>
        <w:t xml:space="preserve">. </w:t>
      </w:r>
    </w:p>
    <w:p w:rsidR="00C05A0D" w:rsidRPr="00686DBA" w:rsidRDefault="00C05A0D" w:rsidP="00C05A0D">
      <w:pPr>
        <w:pStyle w:val="H23G"/>
        <w:rPr>
          <w:lang w:eastAsia="en-GB"/>
        </w:rPr>
      </w:pPr>
      <w:r w:rsidRPr="00686DBA">
        <w:rPr>
          <w:lang w:eastAsia="en-GB"/>
        </w:rPr>
        <w:tab/>
      </w:r>
      <w:r w:rsidRPr="00686DBA">
        <w:rPr>
          <w:lang w:eastAsia="en-GB"/>
        </w:rPr>
        <w:tab/>
        <w:t>Garanties juridiques fondamentales</w:t>
      </w:r>
    </w:p>
    <w:p w:rsidR="00C05A0D" w:rsidRPr="00686DBA" w:rsidRDefault="00C05A0D" w:rsidP="00C05A0D">
      <w:pPr>
        <w:pStyle w:val="SingleTxtG"/>
      </w:pPr>
      <w:r>
        <w:t>10</w:t>
      </w:r>
      <w:r w:rsidRPr="00686DBA">
        <w:t>.</w:t>
      </w:r>
      <w:r w:rsidRPr="00686DBA">
        <w:tab/>
      </w:r>
      <w:r>
        <w:t>Le Comité est préoccupé par le fait que</w:t>
      </w:r>
      <w:r w:rsidRPr="00686DBA">
        <w:t xml:space="preserve"> les détenus </w:t>
      </w:r>
      <w:r>
        <w:t xml:space="preserve">ne </w:t>
      </w:r>
      <w:r w:rsidRPr="00686DBA">
        <w:t xml:space="preserve">bénéficient </w:t>
      </w:r>
      <w:r>
        <w:t xml:space="preserve">pas </w:t>
      </w:r>
      <w:r w:rsidRPr="00686DBA">
        <w:t xml:space="preserve">de toutes les garanties fondamentales dès leur privation </w:t>
      </w:r>
      <w:r w:rsidRPr="00FD368D">
        <w:rPr>
          <w:i/>
        </w:rPr>
        <w:t>de facto</w:t>
      </w:r>
      <w:r w:rsidRPr="00686DBA">
        <w:t xml:space="preserve"> de liberté, </w:t>
      </w:r>
      <w:r>
        <w:t>notamment le fait que la législation ne prévoit l’assistance d’un avocat qu’à partir de la 25</w:t>
      </w:r>
      <w:r w:rsidR="00FD368D" w:rsidRPr="00FD368D">
        <w:rPr>
          <w:vertAlign w:val="superscript"/>
        </w:rPr>
        <w:t>e</w:t>
      </w:r>
      <w:r>
        <w:t xml:space="preserve"> heure de privation de liberté et que</w:t>
      </w:r>
      <w:r w:rsidRPr="00686DBA">
        <w:t xml:space="preserve"> le droit </w:t>
      </w:r>
      <w:r w:rsidR="00382151">
        <w:t>de</w:t>
      </w:r>
      <w:r>
        <w:t xml:space="preserve"> </w:t>
      </w:r>
      <w:r w:rsidR="00051AAB">
        <w:t>consultation</w:t>
      </w:r>
      <w:r>
        <w:t xml:space="preserve"> par un médecin </w:t>
      </w:r>
      <w:r w:rsidR="005D0EBF">
        <w:t xml:space="preserve">indépendant </w:t>
      </w:r>
      <w:r>
        <w:t xml:space="preserve">n’est pas systématiquement respecté. Le Comité reste vivement préoccupé par la pratique dite « retour de parquet » qui prolonge la garde à vue des personnes déjà déférées devant le parquet et viole le droit des détenus </w:t>
      </w:r>
      <w:r w:rsidR="00051AAB">
        <w:t>de</w:t>
      </w:r>
      <w:r>
        <w:t xml:space="preserve"> compara</w:t>
      </w:r>
      <w:r w:rsidR="00051AAB">
        <w:t>î</w:t>
      </w:r>
      <w:r>
        <w:t>tre rapidement</w:t>
      </w:r>
      <w:r w:rsidRPr="00686DBA">
        <w:t xml:space="preserve"> </w:t>
      </w:r>
      <w:r>
        <w:t>devant</w:t>
      </w:r>
      <w:r w:rsidRPr="00686DBA">
        <w:t xml:space="preserve"> un juge. Le Comité cons</w:t>
      </w:r>
      <w:r>
        <w:t xml:space="preserve">tate également le nombre insuffisant d’avocats au Sénégal, surtout dans les zones reculées du pays </w:t>
      </w:r>
      <w:r w:rsidRPr="00686DBA">
        <w:rPr>
          <w:lang w:eastAsia="en-GB"/>
        </w:rPr>
        <w:t>(art. 2</w:t>
      </w:r>
      <w:r>
        <w:rPr>
          <w:lang w:eastAsia="en-GB"/>
        </w:rPr>
        <w:t>, 11 et 12</w:t>
      </w:r>
      <w:r w:rsidRPr="00686DBA">
        <w:rPr>
          <w:lang w:eastAsia="en-GB"/>
        </w:rPr>
        <w:t>).</w:t>
      </w:r>
    </w:p>
    <w:p w:rsidR="00C05A0D" w:rsidRDefault="00C05A0D" w:rsidP="00C05A0D">
      <w:pPr>
        <w:pStyle w:val="SingleTxtG"/>
        <w:rPr>
          <w:b/>
        </w:rPr>
      </w:pPr>
      <w:r>
        <w:rPr>
          <w:b/>
        </w:rPr>
        <w:t>L</w:t>
      </w:r>
      <w:r w:rsidRPr="00686DBA">
        <w:rPr>
          <w:b/>
        </w:rPr>
        <w:t>’État partie devrait</w:t>
      </w:r>
      <w:r>
        <w:rPr>
          <w:b/>
        </w:rPr>
        <w:t> :</w:t>
      </w:r>
    </w:p>
    <w:p w:rsidR="00C05A0D" w:rsidRDefault="00C05A0D" w:rsidP="00C05A0D">
      <w:pPr>
        <w:pStyle w:val="SingleTxtG"/>
        <w:ind w:firstLine="567"/>
        <w:rPr>
          <w:b/>
        </w:rPr>
      </w:pPr>
      <w:r w:rsidRPr="00DB41ED">
        <w:rPr>
          <w:b/>
        </w:rPr>
        <w:t>a)</w:t>
      </w:r>
      <w:r w:rsidR="00395551">
        <w:rPr>
          <w:b/>
        </w:rPr>
        <w:tab/>
        <w:t>P</w:t>
      </w:r>
      <w:r w:rsidRPr="00686DBA">
        <w:rPr>
          <w:b/>
        </w:rPr>
        <w:t xml:space="preserve">rendre des mesures efficaces sans tarder </w:t>
      </w:r>
      <w:r>
        <w:rPr>
          <w:b/>
        </w:rPr>
        <w:t>pour faire en sorte qu’</w:t>
      </w:r>
      <w:r w:rsidRPr="00686DBA">
        <w:rPr>
          <w:b/>
        </w:rPr>
        <w:t>en droit et dans la pratique, tous les détenus jouissent de toutes les garanties juridiques, dès le début de la privation de liberté. Il s’agit en particulier des droits</w:t>
      </w:r>
      <w:r w:rsidR="00D861F1">
        <w:rPr>
          <w:b/>
        </w:rPr>
        <w:t xml:space="preserve"> des détenus d’être informé</w:t>
      </w:r>
      <w:r w:rsidR="00051AAB">
        <w:rPr>
          <w:b/>
        </w:rPr>
        <w:t>s</w:t>
      </w:r>
      <w:r w:rsidR="00D861F1">
        <w:rPr>
          <w:b/>
        </w:rPr>
        <w:t xml:space="preserve"> des raisons de leur arrestation, y compris les charges retenues contre eux ; d’avoir rapidement accès à un avocat et</w:t>
      </w:r>
      <w:r w:rsidR="00051AAB">
        <w:rPr>
          <w:b/>
        </w:rPr>
        <w:t>,</w:t>
      </w:r>
      <w:r w:rsidR="00D861F1">
        <w:rPr>
          <w:b/>
        </w:rPr>
        <w:t xml:space="preserve"> si besoin</w:t>
      </w:r>
      <w:r w:rsidR="00051AAB">
        <w:rPr>
          <w:b/>
        </w:rPr>
        <w:t xml:space="preserve"> est</w:t>
      </w:r>
      <w:r w:rsidR="00D861F1">
        <w:rPr>
          <w:b/>
        </w:rPr>
        <w:t xml:space="preserve">, à l’aide </w:t>
      </w:r>
      <w:r w:rsidR="00A24992">
        <w:rPr>
          <w:b/>
        </w:rPr>
        <w:t>juridictionnelle</w:t>
      </w:r>
      <w:r w:rsidR="00D861F1">
        <w:rPr>
          <w:b/>
        </w:rPr>
        <w:t xml:space="preserve"> ; </w:t>
      </w:r>
      <w:r w:rsidRPr="00686DBA">
        <w:rPr>
          <w:b/>
        </w:rPr>
        <w:t>d’être examiné par un médecin indépendant</w:t>
      </w:r>
      <w:r w:rsidR="00D861F1">
        <w:rPr>
          <w:b/>
        </w:rPr>
        <w:t> ;</w:t>
      </w:r>
      <w:r w:rsidRPr="00686DBA">
        <w:rPr>
          <w:b/>
        </w:rPr>
        <w:t xml:space="preserve"> </w:t>
      </w:r>
      <w:r w:rsidR="00D861F1">
        <w:rPr>
          <w:b/>
        </w:rPr>
        <w:t xml:space="preserve">d’aviser un proche </w:t>
      </w:r>
      <w:r w:rsidRPr="00686DBA">
        <w:rPr>
          <w:b/>
        </w:rPr>
        <w:t>et de comparaître rapidement devant un juge</w:t>
      </w:r>
      <w:r w:rsidR="00382151">
        <w:rPr>
          <w:b/>
        </w:rPr>
        <w:t> ;</w:t>
      </w:r>
    </w:p>
    <w:p w:rsidR="00C05A0D" w:rsidRDefault="00395551" w:rsidP="00C05A0D">
      <w:pPr>
        <w:pStyle w:val="SingleTxtG"/>
        <w:ind w:firstLine="567"/>
        <w:rPr>
          <w:b/>
        </w:rPr>
      </w:pPr>
      <w:r w:rsidRPr="00DB41ED">
        <w:rPr>
          <w:b/>
        </w:rPr>
        <w:t>b)</w:t>
      </w:r>
      <w:r>
        <w:rPr>
          <w:b/>
        </w:rPr>
        <w:tab/>
        <w:t>F</w:t>
      </w:r>
      <w:r w:rsidR="00C05A0D">
        <w:rPr>
          <w:b/>
        </w:rPr>
        <w:t>ournir des moyens financiers et humains supplémentaires à l’appareil judiciaire en vue de mettre fin à la pratique dite « retour de parquet » et réduire le délai de renvoi des affaires devant les tribunaux</w:t>
      </w:r>
      <w:r w:rsidR="00382151">
        <w:rPr>
          <w:b/>
        </w:rPr>
        <w:t> ;</w:t>
      </w:r>
    </w:p>
    <w:p w:rsidR="00C05A0D" w:rsidRDefault="00C05A0D" w:rsidP="00C05A0D">
      <w:pPr>
        <w:pStyle w:val="SingleTxtG"/>
        <w:ind w:firstLine="567"/>
        <w:rPr>
          <w:b/>
        </w:rPr>
      </w:pPr>
      <w:r w:rsidRPr="00DB41ED">
        <w:rPr>
          <w:b/>
        </w:rPr>
        <w:t>c)</w:t>
      </w:r>
      <w:r w:rsidR="00395551">
        <w:rPr>
          <w:b/>
        </w:rPr>
        <w:tab/>
        <w:t>P</w:t>
      </w:r>
      <w:r>
        <w:rPr>
          <w:b/>
        </w:rPr>
        <w:t xml:space="preserve">rendre les mesures qui s’imposent pour </w:t>
      </w:r>
      <w:r w:rsidRPr="00686DBA">
        <w:rPr>
          <w:b/>
        </w:rPr>
        <w:t xml:space="preserve">augmenter les ressources allouées </w:t>
      </w:r>
      <w:r>
        <w:rPr>
          <w:b/>
        </w:rPr>
        <w:t>à</w:t>
      </w:r>
      <w:r w:rsidRPr="00686DBA">
        <w:rPr>
          <w:b/>
        </w:rPr>
        <w:t xml:space="preserve"> l’ordre des avocats </w:t>
      </w:r>
      <w:r>
        <w:rPr>
          <w:b/>
        </w:rPr>
        <w:t>en vue de</w:t>
      </w:r>
      <w:r w:rsidRPr="00686DBA">
        <w:rPr>
          <w:b/>
        </w:rPr>
        <w:t xml:space="preserve"> garantir l’accès à une aide </w:t>
      </w:r>
      <w:r>
        <w:rPr>
          <w:b/>
        </w:rPr>
        <w:t>judicaire aux plus démunis</w:t>
      </w:r>
      <w:r w:rsidRPr="00686DBA">
        <w:rPr>
          <w:b/>
        </w:rPr>
        <w:t>.</w:t>
      </w:r>
      <w:r>
        <w:rPr>
          <w:b/>
        </w:rPr>
        <w:t xml:space="preserve"> Le Comité note la déclaration de la délégation </w:t>
      </w:r>
      <w:r w:rsidR="00051AAB">
        <w:rPr>
          <w:b/>
        </w:rPr>
        <w:t xml:space="preserve">selon laquelle </w:t>
      </w:r>
      <w:r>
        <w:rPr>
          <w:b/>
        </w:rPr>
        <w:t xml:space="preserve">une réflexion sera engagée en vue de permettre l’intervention d’un avocat dès le début de la </w:t>
      </w:r>
      <w:r w:rsidR="00D861F1">
        <w:rPr>
          <w:b/>
        </w:rPr>
        <w:t>privation de liberté</w:t>
      </w:r>
      <w:r>
        <w:rPr>
          <w:b/>
        </w:rPr>
        <w:t xml:space="preserve"> et demande à l’État partie d’inclure </w:t>
      </w:r>
      <w:r w:rsidR="00051AAB">
        <w:rPr>
          <w:b/>
        </w:rPr>
        <w:t>d</w:t>
      </w:r>
      <w:r>
        <w:rPr>
          <w:b/>
        </w:rPr>
        <w:t xml:space="preserve">es informations sur les mesures </w:t>
      </w:r>
      <w:r w:rsidR="00D861F1">
        <w:rPr>
          <w:b/>
        </w:rPr>
        <w:t xml:space="preserve">immédiates </w:t>
      </w:r>
      <w:r>
        <w:rPr>
          <w:b/>
        </w:rPr>
        <w:t>qui seront prises à cet effet.</w:t>
      </w:r>
    </w:p>
    <w:p w:rsidR="00C05A0D" w:rsidRPr="00686DBA" w:rsidRDefault="00C05A0D" w:rsidP="00C05A0D">
      <w:pPr>
        <w:pStyle w:val="H23G"/>
        <w:rPr>
          <w:lang w:eastAsia="en-GB"/>
        </w:rPr>
      </w:pPr>
      <w:r w:rsidRPr="00686DBA">
        <w:rPr>
          <w:lang w:eastAsia="en-GB"/>
        </w:rPr>
        <w:tab/>
      </w:r>
      <w:r w:rsidRPr="00686DBA">
        <w:rPr>
          <w:lang w:eastAsia="en-GB"/>
        </w:rPr>
        <w:tab/>
      </w:r>
      <w:r w:rsidRPr="00686DBA">
        <w:t>Enquêtes et impunité</w:t>
      </w:r>
    </w:p>
    <w:p w:rsidR="00391416" w:rsidRDefault="00C05A0D" w:rsidP="00C05A0D">
      <w:pPr>
        <w:pStyle w:val="SingleTxtG"/>
        <w:rPr>
          <w:lang w:eastAsia="en-GB"/>
        </w:rPr>
      </w:pPr>
      <w:r>
        <w:rPr>
          <w:lang w:eastAsia="en-GB"/>
        </w:rPr>
        <w:t>11</w:t>
      </w:r>
      <w:r w:rsidRPr="00686DBA">
        <w:rPr>
          <w:lang w:eastAsia="en-GB"/>
        </w:rPr>
        <w:t>.</w:t>
      </w:r>
      <w:r w:rsidRPr="00686DBA">
        <w:rPr>
          <w:lang w:eastAsia="en-GB"/>
        </w:rPr>
        <w:tab/>
        <w:t xml:space="preserve">Le Comité est préoccupé par les allégations selon lesquelles </w:t>
      </w:r>
      <w:r>
        <w:rPr>
          <w:lang w:eastAsia="en-GB"/>
        </w:rPr>
        <w:t>des</w:t>
      </w:r>
      <w:r w:rsidRPr="00686DBA">
        <w:rPr>
          <w:lang w:eastAsia="en-GB"/>
        </w:rPr>
        <w:t xml:space="preserve"> actes de torture et de mauvais traitements commis par des agents chargés de l’application des lois </w:t>
      </w:r>
      <w:r>
        <w:rPr>
          <w:lang w:eastAsia="en-GB"/>
        </w:rPr>
        <w:t xml:space="preserve">n’ont pas fait </w:t>
      </w:r>
      <w:r w:rsidRPr="00686DBA">
        <w:rPr>
          <w:lang w:eastAsia="en-GB"/>
        </w:rPr>
        <w:t>l’objet d’</w:t>
      </w:r>
      <w:r>
        <w:rPr>
          <w:lang w:eastAsia="en-GB"/>
        </w:rPr>
        <w:t>enquêtes ni de poursuites</w:t>
      </w:r>
      <w:r w:rsidRPr="00686DBA">
        <w:rPr>
          <w:lang w:eastAsia="en-GB"/>
        </w:rPr>
        <w:t xml:space="preserve">. </w:t>
      </w:r>
      <w:r>
        <w:rPr>
          <w:lang w:eastAsia="en-GB"/>
        </w:rPr>
        <w:t>Le Comité demeure également préoccupé par le fait que dans les cas où des enquêtes ont été initiées, elle</w:t>
      </w:r>
      <w:r w:rsidR="00051AAB">
        <w:rPr>
          <w:lang w:eastAsia="en-GB"/>
        </w:rPr>
        <w:t>s</w:t>
      </w:r>
      <w:r>
        <w:rPr>
          <w:lang w:eastAsia="en-GB"/>
        </w:rPr>
        <w:t xml:space="preserve"> n’ont pas été engagées </w:t>
      </w:r>
      <w:r w:rsidR="00051AAB">
        <w:rPr>
          <w:lang w:eastAsia="en-GB"/>
        </w:rPr>
        <w:t>promptement</w:t>
      </w:r>
      <w:r w:rsidRPr="00686DBA">
        <w:rPr>
          <w:lang w:eastAsia="en-GB"/>
        </w:rPr>
        <w:t xml:space="preserve"> </w:t>
      </w:r>
      <w:r>
        <w:rPr>
          <w:lang w:eastAsia="en-GB"/>
        </w:rPr>
        <w:t xml:space="preserve">et les procédures judiciaires restent excessivement longues et </w:t>
      </w:r>
      <w:r w:rsidR="00051AAB">
        <w:rPr>
          <w:lang w:eastAsia="en-GB"/>
        </w:rPr>
        <w:t>en suspens</w:t>
      </w:r>
      <w:r>
        <w:rPr>
          <w:lang w:eastAsia="en-GB"/>
        </w:rPr>
        <w:t>, y compris dans les cas où les actes de torture ont entra</w:t>
      </w:r>
      <w:r w:rsidR="00051AAB">
        <w:rPr>
          <w:lang w:eastAsia="en-GB"/>
        </w:rPr>
        <w:t>î</w:t>
      </w:r>
      <w:r>
        <w:rPr>
          <w:lang w:eastAsia="en-GB"/>
        </w:rPr>
        <w:t xml:space="preserve">né la mort, à l’instar des cas de </w:t>
      </w:r>
      <w:r w:rsidR="00A877CB">
        <w:rPr>
          <w:lang w:eastAsia="en-GB"/>
        </w:rPr>
        <w:t>M</w:t>
      </w:r>
      <w:r w:rsidR="00051AAB">
        <w:rPr>
          <w:lang w:eastAsia="en-GB"/>
        </w:rPr>
        <w:t>M.</w:t>
      </w:r>
      <w:r w:rsidR="00A877CB">
        <w:rPr>
          <w:lang w:eastAsia="en-GB"/>
        </w:rPr>
        <w:t xml:space="preserve"> </w:t>
      </w:r>
      <w:r>
        <w:rPr>
          <w:lang w:eastAsia="en-GB"/>
        </w:rPr>
        <w:t xml:space="preserve">Dominique Lopy, Alioune Badara Diop, Abdoulaye Wade Yinghou, Mamadou Bakhoum et Fally Keïta. </w:t>
      </w:r>
      <w:r w:rsidRPr="009E2B70">
        <w:rPr>
          <w:lang w:eastAsia="en-GB"/>
        </w:rPr>
        <w:t>Tout en prenant note de la possibilité pour les victimes de mauvais traitement</w:t>
      </w:r>
      <w:r w:rsidR="00051AAB">
        <w:rPr>
          <w:lang w:eastAsia="en-GB"/>
        </w:rPr>
        <w:t>s</w:t>
      </w:r>
      <w:r w:rsidRPr="009E2B70">
        <w:rPr>
          <w:lang w:eastAsia="en-GB"/>
        </w:rPr>
        <w:t xml:space="preserve"> ou de torture de saisir directement la Chambre d’</w:t>
      </w:r>
      <w:r w:rsidR="00051AAB">
        <w:rPr>
          <w:lang w:eastAsia="en-GB"/>
        </w:rPr>
        <w:t>a</w:t>
      </w:r>
      <w:r w:rsidRPr="009E2B70">
        <w:rPr>
          <w:lang w:eastAsia="en-GB"/>
        </w:rPr>
        <w:t>ccusation de la Cour d’</w:t>
      </w:r>
      <w:r w:rsidR="00051AAB">
        <w:rPr>
          <w:lang w:eastAsia="en-GB"/>
        </w:rPr>
        <w:t>a</w:t>
      </w:r>
      <w:r w:rsidRPr="009E2B70">
        <w:rPr>
          <w:lang w:eastAsia="en-GB"/>
        </w:rPr>
        <w:t>pp</w:t>
      </w:r>
      <w:r>
        <w:rPr>
          <w:lang w:eastAsia="en-GB"/>
        </w:rPr>
        <w:t>el, le Comité est préoccupé par l’absence d’un organe indépendant pour enquêter sur les allégations de torture ou de mauvais traitement</w:t>
      </w:r>
      <w:r w:rsidR="00381223">
        <w:rPr>
          <w:lang w:eastAsia="en-GB"/>
        </w:rPr>
        <w:t>s</w:t>
      </w:r>
      <w:r>
        <w:rPr>
          <w:lang w:eastAsia="en-GB"/>
        </w:rPr>
        <w:t xml:space="preserve"> </w:t>
      </w:r>
      <w:r w:rsidR="00381223">
        <w:rPr>
          <w:lang w:eastAsia="en-GB"/>
        </w:rPr>
        <w:t xml:space="preserve">de la part </w:t>
      </w:r>
      <w:r>
        <w:rPr>
          <w:lang w:eastAsia="en-GB"/>
        </w:rPr>
        <w:t>des agents de</w:t>
      </w:r>
      <w:r w:rsidR="00381223">
        <w:rPr>
          <w:lang w:eastAsia="en-GB"/>
        </w:rPr>
        <w:t>s</w:t>
      </w:r>
      <w:r>
        <w:rPr>
          <w:lang w:eastAsia="en-GB"/>
        </w:rPr>
        <w:t xml:space="preserve"> force</w:t>
      </w:r>
      <w:r w:rsidR="00381223">
        <w:rPr>
          <w:lang w:eastAsia="en-GB"/>
        </w:rPr>
        <w:t>s de</w:t>
      </w:r>
      <w:r>
        <w:rPr>
          <w:lang w:eastAsia="en-GB"/>
        </w:rPr>
        <w:t xml:space="preserve"> </w:t>
      </w:r>
      <w:r w:rsidR="00381223">
        <w:rPr>
          <w:lang w:eastAsia="en-GB"/>
        </w:rPr>
        <w:t>l</w:t>
      </w:r>
      <w:r>
        <w:rPr>
          <w:lang w:eastAsia="en-GB"/>
        </w:rPr>
        <w:t xml:space="preserve">’ordre. Par ailleurs, le Comité reste préoccupé par les allégations de meurtre en Casamance qui n’ont pas encore abouti à des condamnations </w:t>
      </w:r>
      <w:r w:rsidRPr="00686DBA">
        <w:rPr>
          <w:lang w:eastAsia="en-GB"/>
        </w:rPr>
        <w:t>(art. 2, 11, 12, 13 et 16).</w:t>
      </w:r>
    </w:p>
    <w:p w:rsidR="00C05A0D" w:rsidRPr="00391416" w:rsidRDefault="00391416" w:rsidP="00C05A0D">
      <w:pPr>
        <w:pStyle w:val="SingleTxtG"/>
        <w:rPr>
          <w:b/>
        </w:rPr>
      </w:pPr>
      <w:r w:rsidRPr="00391416">
        <w:rPr>
          <w:b/>
          <w:lang w:eastAsia="en-GB"/>
        </w:rPr>
        <w:t>L’État partie devrait :</w:t>
      </w:r>
      <w:r w:rsidR="00C05A0D" w:rsidRPr="00391416">
        <w:rPr>
          <w:b/>
          <w:lang w:eastAsia="en-GB"/>
        </w:rPr>
        <w:t xml:space="preserve"> </w:t>
      </w:r>
    </w:p>
    <w:p w:rsidR="00C05A0D" w:rsidRPr="00686DBA" w:rsidRDefault="00D861F1" w:rsidP="00381223">
      <w:pPr>
        <w:pStyle w:val="SingleTxtG"/>
        <w:ind w:firstLine="567"/>
        <w:rPr>
          <w:b/>
          <w:lang w:eastAsia="en-GB"/>
        </w:rPr>
      </w:pPr>
      <w:r w:rsidRPr="00DB41ED">
        <w:rPr>
          <w:b/>
          <w:lang w:eastAsia="en-GB"/>
        </w:rPr>
        <w:t>a</w:t>
      </w:r>
      <w:r w:rsidR="00DB41ED" w:rsidRPr="00DB41ED">
        <w:rPr>
          <w:b/>
          <w:lang w:eastAsia="en-GB"/>
        </w:rPr>
        <w:t>)</w:t>
      </w:r>
      <w:r w:rsidR="00391416">
        <w:rPr>
          <w:b/>
          <w:lang w:eastAsia="en-GB"/>
        </w:rPr>
        <w:tab/>
        <w:t>P</w:t>
      </w:r>
      <w:r w:rsidR="00C05A0D">
        <w:rPr>
          <w:b/>
          <w:lang w:eastAsia="en-GB"/>
        </w:rPr>
        <w:t xml:space="preserve">rendre des mesures concrètes pour accélérer les enquêtes et poursuites judiciaires sur les allégations d’actes de torture et de mauvais traitements </w:t>
      </w:r>
      <w:r w:rsidR="00C05A0D" w:rsidRPr="00686DBA">
        <w:rPr>
          <w:b/>
          <w:lang w:eastAsia="en-GB"/>
        </w:rPr>
        <w:t>qui aboutissent</w:t>
      </w:r>
      <w:r w:rsidR="00C50056">
        <w:rPr>
          <w:b/>
          <w:lang w:eastAsia="en-GB"/>
        </w:rPr>
        <w:t>, lorsque les faits sont avérés,</w:t>
      </w:r>
      <w:r w:rsidR="00C05A0D" w:rsidRPr="00686DBA">
        <w:rPr>
          <w:b/>
          <w:lang w:eastAsia="en-GB"/>
        </w:rPr>
        <w:t xml:space="preserve"> à</w:t>
      </w:r>
      <w:r w:rsidR="00C05A0D">
        <w:rPr>
          <w:b/>
          <w:lang w:eastAsia="en-GB"/>
        </w:rPr>
        <w:t xml:space="preserve"> des sanctions et à</w:t>
      </w:r>
      <w:r w:rsidR="00C05A0D" w:rsidRPr="00686DBA">
        <w:rPr>
          <w:b/>
          <w:lang w:eastAsia="en-GB"/>
        </w:rPr>
        <w:t xml:space="preserve"> </w:t>
      </w:r>
      <w:r w:rsidR="00C05A0D" w:rsidRPr="00686DBA">
        <w:rPr>
          <w:b/>
        </w:rPr>
        <w:t xml:space="preserve">l’imposition de peines qui prennent en considération la gravité de </w:t>
      </w:r>
      <w:r w:rsidR="00C05A0D">
        <w:rPr>
          <w:b/>
        </w:rPr>
        <w:t>ces actes et ne se limitent pas à la qualification d’autres infractions de moindre gravité</w:t>
      </w:r>
      <w:r w:rsidR="00382151">
        <w:rPr>
          <w:b/>
        </w:rPr>
        <w:t> ;</w:t>
      </w:r>
    </w:p>
    <w:p w:rsidR="00A877CB" w:rsidRDefault="00D861F1" w:rsidP="00381223">
      <w:pPr>
        <w:pStyle w:val="SingleTxtG"/>
        <w:ind w:firstLine="567"/>
        <w:rPr>
          <w:b/>
          <w:lang w:eastAsia="en-GB"/>
        </w:rPr>
      </w:pPr>
      <w:r w:rsidRPr="00DB41ED">
        <w:rPr>
          <w:b/>
          <w:lang w:eastAsia="en-GB"/>
        </w:rPr>
        <w:t>b</w:t>
      </w:r>
      <w:r w:rsidR="00DB41ED" w:rsidRPr="00DB41ED">
        <w:rPr>
          <w:b/>
          <w:lang w:eastAsia="en-GB"/>
        </w:rPr>
        <w:t>)</w:t>
      </w:r>
      <w:r w:rsidR="00391416">
        <w:rPr>
          <w:b/>
          <w:lang w:eastAsia="en-GB"/>
        </w:rPr>
        <w:tab/>
        <w:t>Mettre sur pied, e</w:t>
      </w:r>
      <w:r w:rsidR="00C05A0D">
        <w:rPr>
          <w:b/>
          <w:lang w:eastAsia="en-GB"/>
        </w:rPr>
        <w:t>n vue de garantir l’ouverture d’enquêtes approfondies, promptes et impartiales, un organe indépendant et impartial pour enquêter sur les allégations d’actes de torture et de mauvais traitement</w:t>
      </w:r>
      <w:r w:rsidR="00381223">
        <w:rPr>
          <w:b/>
          <w:lang w:eastAsia="en-GB"/>
        </w:rPr>
        <w:t>s</w:t>
      </w:r>
      <w:r w:rsidR="00C05A0D">
        <w:rPr>
          <w:b/>
          <w:lang w:eastAsia="en-GB"/>
        </w:rPr>
        <w:t xml:space="preserve"> </w:t>
      </w:r>
      <w:r w:rsidR="00381223">
        <w:rPr>
          <w:b/>
          <w:lang w:eastAsia="en-GB"/>
        </w:rPr>
        <w:t xml:space="preserve">de la part </w:t>
      </w:r>
      <w:r w:rsidR="00C05A0D">
        <w:rPr>
          <w:b/>
          <w:lang w:eastAsia="en-GB"/>
        </w:rPr>
        <w:t>des agents de</w:t>
      </w:r>
      <w:r w:rsidR="00381223">
        <w:rPr>
          <w:b/>
          <w:lang w:eastAsia="en-GB"/>
        </w:rPr>
        <w:t>s</w:t>
      </w:r>
      <w:r w:rsidR="00C05A0D">
        <w:rPr>
          <w:b/>
          <w:lang w:eastAsia="en-GB"/>
        </w:rPr>
        <w:t xml:space="preserve"> forces de sécurité</w:t>
      </w:r>
      <w:r w:rsidR="002A0821">
        <w:rPr>
          <w:b/>
          <w:lang w:eastAsia="en-GB"/>
        </w:rPr>
        <w:t> ;</w:t>
      </w:r>
      <w:r w:rsidR="00C05A0D">
        <w:rPr>
          <w:b/>
          <w:lang w:eastAsia="en-GB"/>
        </w:rPr>
        <w:t xml:space="preserve"> </w:t>
      </w:r>
    </w:p>
    <w:p w:rsidR="00A877CB" w:rsidRDefault="00D861F1" w:rsidP="00381223">
      <w:pPr>
        <w:pStyle w:val="SingleTxtG"/>
        <w:ind w:firstLine="567"/>
        <w:rPr>
          <w:b/>
          <w:bCs/>
          <w:lang w:eastAsia="en-GB"/>
        </w:rPr>
      </w:pPr>
      <w:r w:rsidRPr="00DB41ED">
        <w:rPr>
          <w:b/>
          <w:lang w:eastAsia="en-GB"/>
        </w:rPr>
        <w:t>c</w:t>
      </w:r>
      <w:r w:rsidR="00DB41ED" w:rsidRPr="00DB41ED">
        <w:rPr>
          <w:b/>
          <w:lang w:eastAsia="en-GB"/>
        </w:rPr>
        <w:t>)</w:t>
      </w:r>
      <w:r w:rsidR="00391416">
        <w:rPr>
          <w:b/>
          <w:lang w:eastAsia="en-GB"/>
        </w:rPr>
        <w:tab/>
      </w:r>
      <w:r w:rsidR="00381223">
        <w:rPr>
          <w:b/>
          <w:lang w:eastAsia="en-GB"/>
        </w:rPr>
        <w:t>Outre l</w:t>
      </w:r>
      <w:r w:rsidR="00C05A0D">
        <w:rPr>
          <w:b/>
          <w:lang w:eastAsia="en-GB"/>
        </w:rPr>
        <w:t xml:space="preserve">es cas individuels susmentionnés, </w:t>
      </w:r>
      <w:r w:rsidR="00391416">
        <w:rPr>
          <w:b/>
          <w:lang w:eastAsia="en-GB"/>
        </w:rPr>
        <w:t xml:space="preserve">fournir les informations que </w:t>
      </w:r>
      <w:r w:rsidR="00C05A0D">
        <w:rPr>
          <w:b/>
          <w:lang w:eastAsia="en-GB"/>
        </w:rPr>
        <w:t xml:space="preserve">le </w:t>
      </w:r>
      <w:r w:rsidR="00C05A0D" w:rsidRPr="00686DBA">
        <w:rPr>
          <w:b/>
          <w:bCs/>
          <w:lang w:eastAsia="en-GB"/>
        </w:rPr>
        <w:t xml:space="preserve">Comité </w:t>
      </w:r>
      <w:r w:rsidR="00391416">
        <w:rPr>
          <w:b/>
          <w:bCs/>
          <w:lang w:eastAsia="en-GB"/>
        </w:rPr>
        <w:t xml:space="preserve">lui </w:t>
      </w:r>
      <w:r w:rsidR="00C05A0D" w:rsidRPr="00686DBA">
        <w:rPr>
          <w:b/>
          <w:bCs/>
          <w:lang w:eastAsia="en-GB"/>
        </w:rPr>
        <w:t xml:space="preserve">demande sur le nombre de plaintes déposées contre des fonctionnaires </w:t>
      </w:r>
      <w:r w:rsidR="00C05A0D">
        <w:rPr>
          <w:b/>
          <w:bCs/>
          <w:lang w:eastAsia="en-GB"/>
        </w:rPr>
        <w:t>présumés responsables</w:t>
      </w:r>
      <w:r w:rsidR="00C05A0D" w:rsidRPr="00686DBA">
        <w:rPr>
          <w:b/>
        </w:rPr>
        <w:t xml:space="preserve"> de tortu</w:t>
      </w:r>
      <w:r w:rsidR="00C05A0D">
        <w:rPr>
          <w:b/>
        </w:rPr>
        <w:t>re ou de mauvais traitement</w:t>
      </w:r>
      <w:r w:rsidR="00381223">
        <w:rPr>
          <w:b/>
        </w:rPr>
        <w:t>s</w:t>
      </w:r>
      <w:r w:rsidR="00C05A0D" w:rsidRPr="00686DBA">
        <w:rPr>
          <w:b/>
          <w:bCs/>
          <w:lang w:eastAsia="en-GB"/>
        </w:rPr>
        <w:t>, ainsi que des informations sur les résultats des enquêtes auxquelles elles ont donné lieu et, le cas échéant, sur les procédures pénales ou disciplinaires engagées</w:t>
      </w:r>
      <w:r w:rsidR="002A0821">
        <w:rPr>
          <w:b/>
          <w:bCs/>
          <w:lang w:eastAsia="en-GB"/>
        </w:rPr>
        <w:t> ;</w:t>
      </w:r>
      <w:r w:rsidR="00C05A0D" w:rsidRPr="00686DBA">
        <w:rPr>
          <w:b/>
          <w:bCs/>
          <w:lang w:eastAsia="en-GB"/>
        </w:rPr>
        <w:t xml:space="preserve"> </w:t>
      </w:r>
    </w:p>
    <w:p w:rsidR="00C05A0D" w:rsidRDefault="00A877CB" w:rsidP="00381223">
      <w:pPr>
        <w:pStyle w:val="SingleTxtG"/>
        <w:ind w:firstLine="567"/>
        <w:rPr>
          <w:b/>
          <w:bCs/>
          <w:lang w:eastAsia="en-GB"/>
        </w:rPr>
      </w:pPr>
      <w:r w:rsidRPr="00DB41ED">
        <w:rPr>
          <w:b/>
          <w:lang w:eastAsia="en-GB"/>
        </w:rPr>
        <w:t>d</w:t>
      </w:r>
      <w:r w:rsidR="00DB41ED" w:rsidRPr="00DB41ED">
        <w:rPr>
          <w:b/>
          <w:lang w:eastAsia="en-GB"/>
        </w:rPr>
        <w:t>)</w:t>
      </w:r>
      <w:r w:rsidR="00391416">
        <w:rPr>
          <w:b/>
          <w:lang w:eastAsia="en-GB"/>
        </w:rPr>
        <w:tab/>
      </w:r>
      <w:r w:rsidR="00391416">
        <w:rPr>
          <w:b/>
          <w:bCs/>
          <w:lang w:eastAsia="en-GB"/>
        </w:rPr>
        <w:t>F</w:t>
      </w:r>
      <w:r w:rsidR="00C05A0D">
        <w:rPr>
          <w:b/>
          <w:bCs/>
          <w:lang w:eastAsia="en-GB"/>
        </w:rPr>
        <w:t xml:space="preserve">ournir au Comité des informations actualisées sur la situation en Casamance concernant la mise en œuvre de la Convention, y compris le résultat des enquêtes initiées </w:t>
      </w:r>
      <w:r w:rsidR="00261728">
        <w:rPr>
          <w:b/>
          <w:bCs/>
          <w:lang w:eastAsia="en-GB"/>
        </w:rPr>
        <w:t xml:space="preserve">sur </w:t>
      </w:r>
      <w:r w:rsidR="00C05A0D">
        <w:rPr>
          <w:b/>
          <w:bCs/>
          <w:lang w:eastAsia="en-GB"/>
        </w:rPr>
        <w:t>les actes de torture et de meurtre.</w:t>
      </w:r>
    </w:p>
    <w:p w:rsidR="00C05A0D" w:rsidRDefault="00C05A0D" w:rsidP="00C05A0D">
      <w:pPr>
        <w:pStyle w:val="H23G"/>
      </w:pPr>
      <w:r>
        <w:rPr>
          <w:lang w:val="fr-FR"/>
        </w:rPr>
        <w:tab/>
      </w:r>
      <w:r>
        <w:rPr>
          <w:lang w:val="fr-FR"/>
        </w:rPr>
        <w:tab/>
      </w:r>
      <w:r>
        <w:t xml:space="preserve">Le cas de M. Hissène Habré, ancien Président du Tchad </w:t>
      </w:r>
    </w:p>
    <w:p w:rsidR="00C05A0D" w:rsidRDefault="00C05A0D" w:rsidP="00C05A0D">
      <w:pPr>
        <w:pStyle w:val="SingleTxtG"/>
      </w:pPr>
      <w:r>
        <w:t>12.</w:t>
      </w:r>
      <w:r>
        <w:tab/>
      </w:r>
      <w:r w:rsidR="0050338B">
        <w:t xml:space="preserve">Le Comité prend note de </w:t>
      </w:r>
      <w:r>
        <w:t xml:space="preserve">l’information fournie par la délégation concernant </w:t>
      </w:r>
      <w:r w:rsidRPr="000F253B">
        <w:t>l</w:t>
      </w:r>
      <w:r w:rsidR="00381223" w:rsidRPr="000F253B">
        <w:t>e désir</w:t>
      </w:r>
      <w:r w:rsidRPr="000F253B">
        <w:t xml:space="preserve"> </w:t>
      </w:r>
      <w:r w:rsidR="000F253B">
        <w:t xml:space="preserve"> </w:t>
      </w:r>
      <w:r w:rsidRPr="000F253B">
        <w:t xml:space="preserve">de l’État partie </w:t>
      </w:r>
      <w:r w:rsidR="00777CB2" w:rsidRPr="000F253B">
        <w:t>de</w:t>
      </w:r>
      <w:r w:rsidR="00BA5DDD" w:rsidRPr="000F253B">
        <w:t xml:space="preserve"> </w:t>
      </w:r>
      <w:r w:rsidR="0050338B" w:rsidRPr="000F253B">
        <w:t>juger</w:t>
      </w:r>
      <w:r w:rsidRPr="000F253B">
        <w:t xml:space="preserve"> M. Hissène Habré au Sénégal, ainsi que </w:t>
      </w:r>
      <w:r w:rsidR="0050338B" w:rsidRPr="000F253B">
        <w:t>d</w:t>
      </w:r>
      <w:r w:rsidRPr="000F253B">
        <w:t>es mesures prises au</w:t>
      </w:r>
      <w:r w:rsidR="00381223" w:rsidRPr="000F253B">
        <w:t>x</w:t>
      </w:r>
      <w:r w:rsidRPr="000F253B">
        <w:t xml:space="preserve"> niveau</w:t>
      </w:r>
      <w:r w:rsidR="00381223" w:rsidRPr="000F253B">
        <w:t>x</w:t>
      </w:r>
      <w:r w:rsidRPr="000F253B">
        <w:t xml:space="preserve"> régional et national pour que ce procès puisse avoir lieu</w:t>
      </w:r>
      <w:r w:rsidR="0050338B" w:rsidRPr="000F253B">
        <w:t>. Tout en notant</w:t>
      </w:r>
      <w:r w:rsidRPr="000F253B">
        <w:t xml:space="preserve"> </w:t>
      </w:r>
      <w:r w:rsidR="0050338B" w:rsidRPr="000F253B">
        <w:t xml:space="preserve">la collaboration de l’État partie avec le Comité lors de sa mission officielle </w:t>
      </w:r>
      <w:r w:rsidR="00381223" w:rsidRPr="000F253B">
        <w:t xml:space="preserve">en 2009 </w:t>
      </w:r>
      <w:r w:rsidR="0050338B" w:rsidRPr="000F253B">
        <w:t xml:space="preserve">au titre de l’article 22 de la Convention, </w:t>
      </w:r>
      <w:r w:rsidRPr="000F253B">
        <w:t xml:space="preserve">le Comité </w:t>
      </w:r>
      <w:r w:rsidR="00381223" w:rsidRPr="000F253B">
        <w:t>regrette</w:t>
      </w:r>
      <w:r w:rsidRPr="000F253B">
        <w:t xml:space="preserve"> la lenteur de l’État partie à</w:t>
      </w:r>
      <w:r>
        <w:t xml:space="preserve"> juger M</w:t>
      </w:r>
      <w:r w:rsidR="002A0821">
        <w:t>. </w:t>
      </w:r>
      <w:r>
        <w:t xml:space="preserve">Hissène Habré en conformité </w:t>
      </w:r>
      <w:r w:rsidR="00381223">
        <w:t xml:space="preserve">avec </w:t>
      </w:r>
      <w:r w:rsidR="0050338B">
        <w:t>la dé</w:t>
      </w:r>
      <w:r w:rsidR="00D42BDD">
        <w:t xml:space="preserve">cision </w:t>
      </w:r>
      <w:r w:rsidR="00B823FA">
        <w:t xml:space="preserve">du Comité </w:t>
      </w:r>
      <w:r w:rsidR="00381223">
        <w:t xml:space="preserve">en date </w:t>
      </w:r>
      <w:r w:rsidR="00B823FA">
        <w:t>du 17 mai 2006, qui a par ailleurs été</w:t>
      </w:r>
      <w:r w:rsidR="0050338B">
        <w:t xml:space="preserve"> confirmé</w:t>
      </w:r>
      <w:r w:rsidR="00B823FA">
        <w:t>e</w:t>
      </w:r>
      <w:r w:rsidR="0050338B">
        <w:t xml:space="preserve"> par </w:t>
      </w:r>
      <w:r>
        <w:t xml:space="preserve">l’arrêt de la Cour internationale de </w:t>
      </w:r>
      <w:r w:rsidR="00381223">
        <w:t>J</w:t>
      </w:r>
      <w:r>
        <w:t xml:space="preserve">ustice </w:t>
      </w:r>
      <w:r w:rsidR="00381223">
        <w:t xml:space="preserve">en date </w:t>
      </w:r>
      <w:r>
        <w:t>du 20</w:t>
      </w:r>
      <w:r w:rsidR="002A0821">
        <w:t> </w:t>
      </w:r>
      <w:r>
        <w:t>juillet 2012 (</w:t>
      </w:r>
      <w:r w:rsidRPr="002A0821">
        <w:rPr>
          <w:i/>
        </w:rPr>
        <w:t xml:space="preserve">Belgique </w:t>
      </w:r>
      <w:r w:rsidR="00381223" w:rsidRPr="002A0821">
        <w:rPr>
          <w:i/>
        </w:rPr>
        <w:t>c.</w:t>
      </w:r>
      <w:r w:rsidR="002A0821">
        <w:rPr>
          <w:i/>
        </w:rPr>
        <w:t xml:space="preserve"> </w:t>
      </w:r>
      <w:r w:rsidRPr="002A0821">
        <w:rPr>
          <w:i/>
        </w:rPr>
        <w:t>Sénégal</w:t>
      </w:r>
      <w:r>
        <w:t xml:space="preserve">) </w:t>
      </w:r>
      <w:r w:rsidR="00381223">
        <w:t>[</w:t>
      </w:r>
      <w:r w:rsidRPr="00D155A1">
        <w:t>art</w:t>
      </w:r>
      <w:r>
        <w:t>. </w:t>
      </w:r>
      <w:r>
        <w:rPr>
          <w:lang w:eastAsia="en-GB"/>
        </w:rPr>
        <w:t xml:space="preserve"> 5 et 7</w:t>
      </w:r>
      <w:r w:rsidR="00381223">
        <w:t>]</w:t>
      </w:r>
      <w:r>
        <w:t>.</w:t>
      </w:r>
    </w:p>
    <w:p w:rsidR="00C05A0D" w:rsidRPr="009027E0" w:rsidRDefault="00C05A0D" w:rsidP="00C05A0D">
      <w:pPr>
        <w:pStyle w:val="SingleTxtG"/>
        <w:rPr>
          <w:b/>
        </w:rPr>
      </w:pPr>
      <w:r>
        <w:rPr>
          <w:b/>
        </w:rPr>
        <w:t xml:space="preserve">Le Comité note la déclaration de la délégation de l’État partie </w:t>
      </w:r>
      <w:r w:rsidR="00381223">
        <w:rPr>
          <w:b/>
        </w:rPr>
        <w:t xml:space="preserve">selon laquelle </w:t>
      </w:r>
      <w:r>
        <w:rPr>
          <w:b/>
        </w:rPr>
        <w:t xml:space="preserve">ce procès devrait </w:t>
      </w:r>
      <w:r w:rsidR="002A0821">
        <w:rPr>
          <w:b/>
        </w:rPr>
        <w:t>s’ouvrir</w:t>
      </w:r>
      <w:r>
        <w:rPr>
          <w:b/>
        </w:rPr>
        <w:t xml:space="preserve"> en décembre 2012 </w:t>
      </w:r>
      <w:r>
        <w:rPr>
          <w:rStyle w:val="hps"/>
          <w:b/>
          <w:lang w:val="fr-FR"/>
        </w:rPr>
        <w:t xml:space="preserve">et </w:t>
      </w:r>
      <w:r w:rsidR="00381223">
        <w:rPr>
          <w:rStyle w:val="hps"/>
          <w:b/>
          <w:lang w:val="fr-FR"/>
        </w:rPr>
        <w:t>demande instamment à</w:t>
      </w:r>
      <w:r>
        <w:rPr>
          <w:rStyle w:val="hps"/>
          <w:b/>
          <w:lang w:val="fr-FR"/>
        </w:rPr>
        <w:t xml:space="preserve"> l’État partie </w:t>
      </w:r>
      <w:r w:rsidR="00381223">
        <w:rPr>
          <w:rStyle w:val="hps"/>
          <w:b/>
          <w:lang w:val="fr-FR"/>
        </w:rPr>
        <w:t>de</w:t>
      </w:r>
      <w:r w:rsidR="00C740E8">
        <w:rPr>
          <w:rStyle w:val="hps"/>
          <w:b/>
          <w:lang w:val="fr-FR"/>
        </w:rPr>
        <w:t xml:space="preserve"> mettre tout en œuvre pour</w:t>
      </w:r>
      <w:r>
        <w:rPr>
          <w:rStyle w:val="hps"/>
          <w:b/>
          <w:lang w:val="fr-FR"/>
        </w:rPr>
        <w:t xml:space="preserve"> initier </w:t>
      </w:r>
      <w:r w:rsidR="00DF6163">
        <w:rPr>
          <w:rStyle w:val="hps"/>
          <w:b/>
          <w:lang w:val="fr-FR"/>
        </w:rPr>
        <w:t>c</w:t>
      </w:r>
      <w:r>
        <w:rPr>
          <w:rStyle w:val="hps"/>
          <w:b/>
          <w:lang w:val="fr-FR"/>
        </w:rPr>
        <w:t>e procès dans le délai indiqué afin de mettre fin à</w:t>
      </w:r>
      <w:r w:rsidRPr="009027E0">
        <w:rPr>
          <w:rStyle w:val="hps"/>
          <w:b/>
          <w:lang w:val="fr-FR"/>
        </w:rPr>
        <w:t xml:space="preserve"> l'impunité</w:t>
      </w:r>
      <w:r w:rsidRPr="009027E0">
        <w:rPr>
          <w:b/>
          <w:lang w:val="fr-FR"/>
        </w:rPr>
        <w:t xml:space="preserve"> </w:t>
      </w:r>
      <w:r>
        <w:rPr>
          <w:rStyle w:val="hps"/>
          <w:b/>
          <w:lang w:val="fr-FR"/>
        </w:rPr>
        <w:t>d</w:t>
      </w:r>
      <w:r w:rsidRPr="009027E0">
        <w:rPr>
          <w:rStyle w:val="hps"/>
          <w:b/>
          <w:lang w:val="fr-FR"/>
        </w:rPr>
        <w:t>es responsables d</w:t>
      </w:r>
      <w:r>
        <w:rPr>
          <w:rStyle w:val="hps"/>
          <w:b/>
          <w:lang w:val="fr-FR"/>
        </w:rPr>
        <w:t>’actes d</w:t>
      </w:r>
      <w:r w:rsidRPr="009027E0">
        <w:rPr>
          <w:rStyle w:val="hps"/>
          <w:b/>
          <w:lang w:val="fr-FR"/>
        </w:rPr>
        <w:t xml:space="preserve">e torture </w:t>
      </w:r>
      <w:r>
        <w:rPr>
          <w:rStyle w:val="hps"/>
          <w:b/>
          <w:lang w:val="fr-FR"/>
        </w:rPr>
        <w:t>et autres crimes internationaux se trouvant sur son territoire</w:t>
      </w:r>
      <w:r w:rsidR="00391416">
        <w:rPr>
          <w:rStyle w:val="hps"/>
          <w:b/>
          <w:lang w:val="fr-FR"/>
        </w:rPr>
        <w:t>,</w:t>
      </w:r>
      <w:r w:rsidR="00490677">
        <w:rPr>
          <w:rStyle w:val="hps"/>
          <w:b/>
          <w:lang w:val="fr-FR"/>
        </w:rPr>
        <w:t xml:space="preserve"> en conformité avec ses obligations découlant de la Convention</w:t>
      </w:r>
      <w:r>
        <w:rPr>
          <w:rStyle w:val="hps"/>
          <w:b/>
          <w:lang w:val="fr-FR"/>
        </w:rPr>
        <w:t>.</w:t>
      </w:r>
      <w:r w:rsidRPr="00040B59">
        <w:rPr>
          <w:b/>
        </w:rPr>
        <w:t xml:space="preserve"> </w:t>
      </w:r>
    </w:p>
    <w:p w:rsidR="00C05A0D" w:rsidRPr="00686DBA" w:rsidRDefault="00C05A0D" w:rsidP="00C05A0D">
      <w:pPr>
        <w:pStyle w:val="H23G"/>
      </w:pPr>
      <w:r w:rsidRPr="00686DBA">
        <w:rPr>
          <w:lang w:eastAsia="en-GB"/>
        </w:rPr>
        <w:tab/>
      </w:r>
      <w:r w:rsidRPr="00686DBA">
        <w:rPr>
          <w:lang w:eastAsia="en-GB"/>
        </w:rPr>
        <w:tab/>
      </w:r>
      <w:r w:rsidRPr="00686DBA">
        <w:t>Extorsion d’aveux</w:t>
      </w:r>
    </w:p>
    <w:p w:rsidR="00C05A0D" w:rsidRDefault="00C05A0D" w:rsidP="00C05A0D">
      <w:pPr>
        <w:pStyle w:val="SingleTxtG"/>
      </w:pPr>
      <w:r>
        <w:t>13</w:t>
      </w:r>
      <w:r w:rsidRPr="00686DBA">
        <w:t>.</w:t>
      </w:r>
      <w:r w:rsidRPr="00686DBA">
        <w:tab/>
        <w:t xml:space="preserve">Le Comité </w:t>
      </w:r>
      <w:r>
        <w:t xml:space="preserve">prend note de la déclaration </w:t>
      </w:r>
      <w:r w:rsidR="00391416">
        <w:t>de</w:t>
      </w:r>
      <w:r>
        <w:t xml:space="preserve"> l’État partie </w:t>
      </w:r>
      <w:r w:rsidR="00391416">
        <w:t>selon laquelle</w:t>
      </w:r>
      <w:r>
        <w:t xml:space="preserve"> les juges, disposant du pouvoir souverain dans l’appréciation des preuves, ne peuvent accorder</w:t>
      </w:r>
      <w:r w:rsidR="00391416">
        <w:t>,</w:t>
      </w:r>
      <w:r>
        <w:t xml:space="preserve"> lors d’un procès</w:t>
      </w:r>
      <w:r w:rsidR="00391416">
        <w:t>,</w:t>
      </w:r>
      <w:r>
        <w:t xml:space="preserve"> </w:t>
      </w:r>
      <w:r w:rsidR="00391416">
        <w:t>aucune</w:t>
      </w:r>
      <w:r>
        <w:t xml:space="preserve"> valeur aux aveux obtenus sous la torture</w:t>
      </w:r>
      <w:r w:rsidR="00C740E8">
        <w:t xml:space="preserve"> ou la contrainte</w:t>
      </w:r>
      <w:r>
        <w:t>. Toutefois, le Comité regrette que le Code de procédure pénale du Sénégal n’ait pas explicitement prévu une telle disposition et que l’État partie n’ait pas fourni</w:t>
      </w:r>
      <w:r w:rsidRPr="00686DBA">
        <w:t xml:space="preserve"> d’informations </w:t>
      </w:r>
      <w:r>
        <w:t>sur les</w:t>
      </w:r>
      <w:r w:rsidRPr="00686DBA">
        <w:t xml:space="preserve"> cas </w:t>
      </w:r>
      <w:r>
        <w:t>pour</w:t>
      </w:r>
      <w:r w:rsidRPr="00686DBA">
        <w:t xml:space="preserve"> lesquels les tribunaux ont </w:t>
      </w:r>
      <w:r>
        <w:t>effectivement déclaré</w:t>
      </w:r>
      <w:r w:rsidRPr="00686DBA">
        <w:t xml:space="preserve"> irrecevables </w:t>
      </w:r>
      <w:r>
        <w:t>l</w:t>
      </w:r>
      <w:r w:rsidRPr="00686DBA">
        <w:t xml:space="preserve">es aveux obtenus </w:t>
      </w:r>
      <w:r>
        <w:t xml:space="preserve">sous la torture (art. 2 </w:t>
      </w:r>
      <w:r w:rsidRPr="00686DBA">
        <w:t>et 15).</w:t>
      </w:r>
    </w:p>
    <w:p w:rsidR="00C05A0D" w:rsidRDefault="00C05A0D" w:rsidP="00C05A0D">
      <w:pPr>
        <w:pStyle w:val="SingleTxtG"/>
        <w:rPr>
          <w:b/>
        </w:rPr>
      </w:pPr>
      <w:r>
        <w:rPr>
          <w:b/>
        </w:rPr>
        <w:t>L’État partie devrait</w:t>
      </w:r>
      <w:r w:rsidRPr="00686DBA">
        <w:rPr>
          <w:b/>
        </w:rPr>
        <w:t xml:space="preserve"> veiller</w:t>
      </w:r>
      <w:r w:rsidR="00391416">
        <w:rPr>
          <w:b/>
        </w:rPr>
        <w:t>,</w:t>
      </w:r>
      <w:r w:rsidRPr="00686DBA">
        <w:rPr>
          <w:b/>
        </w:rPr>
        <w:t xml:space="preserve"> chaque fois qu’une personne </w:t>
      </w:r>
      <w:r>
        <w:rPr>
          <w:b/>
        </w:rPr>
        <w:t>affirme</w:t>
      </w:r>
      <w:r w:rsidRPr="00686DBA">
        <w:rPr>
          <w:b/>
        </w:rPr>
        <w:t xml:space="preserve"> avoir </w:t>
      </w:r>
      <w:r w:rsidR="00391416">
        <w:rPr>
          <w:b/>
        </w:rPr>
        <w:t>procédé à des</w:t>
      </w:r>
      <w:r w:rsidRPr="00686DBA">
        <w:rPr>
          <w:b/>
        </w:rPr>
        <w:t xml:space="preserve"> aveux sous la torture, </w:t>
      </w:r>
      <w:r w:rsidR="00391416">
        <w:rPr>
          <w:b/>
        </w:rPr>
        <w:t xml:space="preserve">à ce </w:t>
      </w:r>
      <w:r>
        <w:rPr>
          <w:b/>
        </w:rPr>
        <w:t xml:space="preserve">que </w:t>
      </w:r>
      <w:r w:rsidR="00C740E8">
        <w:rPr>
          <w:b/>
        </w:rPr>
        <w:t>ces aveux</w:t>
      </w:r>
      <w:r w:rsidR="00C740E8" w:rsidRPr="00686DBA">
        <w:rPr>
          <w:b/>
        </w:rPr>
        <w:t xml:space="preserve"> ne soient pas invoqués comme preuve dans l</w:t>
      </w:r>
      <w:r w:rsidR="00C740E8">
        <w:rPr>
          <w:b/>
        </w:rPr>
        <w:t xml:space="preserve">a procédure judiciaire et qu’une enquête approfondie soit menée à ce </w:t>
      </w:r>
      <w:r w:rsidR="008C78AE">
        <w:rPr>
          <w:b/>
        </w:rPr>
        <w:t>sujet</w:t>
      </w:r>
      <w:r>
        <w:rPr>
          <w:b/>
        </w:rPr>
        <w:t xml:space="preserve">. </w:t>
      </w:r>
      <w:r w:rsidRPr="00686DBA">
        <w:rPr>
          <w:b/>
        </w:rPr>
        <w:t xml:space="preserve">Le Comité </w:t>
      </w:r>
      <w:r>
        <w:rPr>
          <w:b/>
        </w:rPr>
        <w:t>encourage l</w:t>
      </w:r>
      <w:r w:rsidRPr="00686DBA">
        <w:rPr>
          <w:b/>
        </w:rPr>
        <w:t xml:space="preserve">’État partie </w:t>
      </w:r>
      <w:r>
        <w:rPr>
          <w:b/>
        </w:rPr>
        <w:t xml:space="preserve">à réviser sa loi pour explicitement interdire comme preuve toute déclaration faite sous </w:t>
      </w:r>
      <w:r w:rsidR="00C740E8">
        <w:rPr>
          <w:b/>
        </w:rPr>
        <w:t xml:space="preserve">la </w:t>
      </w:r>
      <w:r>
        <w:rPr>
          <w:b/>
        </w:rPr>
        <w:t xml:space="preserve">contrainte ou suite à la torture. </w:t>
      </w:r>
    </w:p>
    <w:p w:rsidR="00C05A0D" w:rsidRPr="00686DBA" w:rsidRDefault="00C05A0D" w:rsidP="00C05A0D">
      <w:pPr>
        <w:pStyle w:val="H23G"/>
      </w:pPr>
      <w:r>
        <w:rPr>
          <w:lang w:eastAsia="en-GB"/>
        </w:rPr>
        <w:tab/>
      </w:r>
      <w:r>
        <w:rPr>
          <w:lang w:eastAsia="en-GB"/>
        </w:rPr>
        <w:tab/>
      </w:r>
      <w:r w:rsidRPr="00686DBA">
        <w:t>Violence à l’égard des femmes</w:t>
      </w:r>
    </w:p>
    <w:p w:rsidR="00C05A0D" w:rsidRPr="00686DBA" w:rsidRDefault="00C05A0D" w:rsidP="00C05A0D">
      <w:pPr>
        <w:pStyle w:val="SingleTxtG"/>
      </w:pPr>
      <w:r>
        <w:t>14</w:t>
      </w:r>
      <w:r w:rsidRPr="00686DBA">
        <w:t>.</w:t>
      </w:r>
      <w:r w:rsidRPr="00686DBA">
        <w:tab/>
      </w:r>
      <w:r>
        <w:t xml:space="preserve">Tout en notant les mesures prises par l’État partie dans le cadre de la lutte contre toute forme de violence à l’égard des femmes, le Comité reste vivement préoccupé par la </w:t>
      </w:r>
      <w:r w:rsidR="000955AC">
        <w:t xml:space="preserve">persistance </w:t>
      </w:r>
      <w:r>
        <w:t xml:space="preserve">dans l’État partie de violence domestique, mutilations génitales féminines, abus sexuels, </w:t>
      </w:r>
      <w:r w:rsidR="00877831">
        <w:t xml:space="preserve">viol et </w:t>
      </w:r>
      <w:r>
        <w:t xml:space="preserve">mariages forcés. </w:t>
      </w:r>
      <w:r w:rsidRPr="00686DBA">
        <w:t>Le Comité regrette que l’État partie n’ait pas fourni de renseignements sur les moyens de réparation et d’indemnisation, y compris de réadaptation, offerts a</w:t>
      </w:r>
      <w:r>
        <w:t xml:space="preserve">ux femmes victimes de violence </w:t>
      </w:r>
      <w:r w:rsidRPr="00686DBA">
        <w:t>(art. 2, 12, 13 et 16).</w:t>
      </w:r>
    </w:p>
    <w:p w:rsidR="00C05A0D" w:rsidRDefault="00C05A0D" w:rsidP="00C05A0D">
      <w:pPr>
        <w:pStyle w:val="SingleTxtG"/>
        <w:rPr>
          <w:rFonts w:eastAsia="SimSun"/>
          <w:b/>
          <w:lang w:eastAsia="zh-CN"/>
        </w:rPr>
      </w:pPr>
      <w:r w:rsidRPr="009054C6">
        <w:rPr>
          <w:rFonts w:eastAsia="SimSun"/>
          <w:b/>
          <w:lang w:eastAsia="zh-CN"/>
        </w:rPr>
        <w:t>L</w:t>
      </w:r>
      <w:r>
        <w:rPr>
          <w:rFonts w:eastAsia="SimSun"/>
          <w:b/>
          <w:lang w:eastAsia="zh-CN"/>
        </w:rPr>
        <w:t>’État partie devrait :</w:t>
      </w:r>
    </w:p>
    <w:p w:rsidR="00C05A0D" w:rsidRPr="00686DBA" w:rsidRDefault="00395551" w:rsidP="00C05A0D">
      <w:pPr>
        <w:pStyle w:val="SingleTxtG"/>
        <w:ind w:firstLine="567"/>
        <w:rPr>
          <w:b/>
        </w:rPr>
      </w:pPr>
      <w:r w:rsidRPr="007D3281">
        <w:rPr>
          <w:rFonts w:eastAsia="SimSun"/>
          <w:b/>
          <w:lang w:eastAsia="zh-CN"/>
        </w:rPr>
        <w:t>a)</w:t>
      </w:r>
      <w:r>
        <w:rPr>
          <w:rFonts w:eastAsia="SimSun"/>
          <w:b/>
          <w:lang w:eastAsia="zh-CN"/>
        </w:rPr>
        <w:tab/>
        <w:t>C</w:t>
      </w:r>
      <w:r w:rsidR="00C05A0D">
        <w:rPr>
          <w:rFonts w:eastAsia="SimSun"/>
          <w:b/>
          <w:lang w:eastAsia="zh-CN"/>
        </w:rPr>
        <w:t xml:space="preserve">ontinuer à vulgariser </w:t>
      </w:r>
      <w:r w:rsidR="00C05A0D" w:rsidRPr="009054C6">
        <w:rPr>
          <w:rFonts w:eastAsia="SimSun"/>
          <w:b/>
          <w:lang w:eastAsia="zh-CN"/>
        </w:rPr>
        <w:t xml:space="preserve">la loi 99-05 du 29 janvier 1999 </w:t>
      </w:r>
      <w:r w:rsidR="00C05A0D">
        <w:rPr>
          <w:rFonts w:eastAsia="SimSun"/>
          <w:b/>
          <w:lang w:eastAsia="zh-CN"/>
        </w:rPr>
        <w:t>portant</w:t>
      </w:r>
      <w:r w:rsidR="00C05A0D" w:rsidRPr="009054C6">
        <w:rPr>
          <w:rFonts w:eastAsia="SimSun"/>
          <w:b/>
          <w:lang w:eastAsia="zh-CN"/>
        </w:rPr>
        <w:t xml:space="preserve"> répression des </w:t>
      </w:r>
      <w:r w:rsidR="00926F94">
        <w:rPr>
          <w:rFonts w:eastAsia="SimSun"/>
          <w:b/>
          <w:lang w:eastAsia="zh-CN"/>
        </w:rPr>
        <w:t>délits</w:t>
      </w:r>
      <w:r w:rsidR="00C05A0D" w:rsidRPr="009054C6">
        <w:rPr>
          <w:rFonts w:eastAsia="SimSun"/>
          <w:b/>
          <w:lang w:eastAsia="zh-CN"/>
        </w:rPr>
        <w:t xml:space="preserve"> de viol, d’excision, de </w:t>
      </w:r>
      <w:r w:rsidR="00C05A0D">
        <w:rPr>
          <w:rFonts w:eastAsia="SimSun"/>
          <w:b/>
          <w:lang w:eastAsia="zh-CN"/>
        </w:rPr>
        <w:t>coups et blessures et d’inceste</w:t>
      </w:r>
      <w:r w:rsidR="002A0821">
        <w:rPr>
          <w:rFonts w:eastAsia="SimSun"/>
          <w:b/>
          <w:lang w:eastAsia="zh-CN"/>
        </w:rPr>
        <w:t>,</w:t>
      </w:r>
      <w:r w:rsidR="00C05A0D">
        <w:rPr>
          <w:rFonts w:eastAsia="SimSun"/>
          <w:b/>
          <w:lang w:eastAsia="zh-CN"/>
        </w:rPr>
        <w:t xml:space="preserve"> et fournir des informations supplémentaires sur le projet portant mise sur pied de l’</w:t>
      </w:r>
      <w:r w:rsidR="00926F94">
        <w:rPr>
          <w:rFonts w:eastAsia="SimSun"/>
          <w:b/>
          <w:lang w:eastAsia="zh-CN"/>
        </w:rPr>
        <w:t>O</w:t>
      </w:r>
      <w:r w:rsidR="00C05A0D" w:rsidRPr="009054C6">
        <w:rPr>
          <w:rFonts w:eastAsia="SimSun"/>
          <w:b/>
          <w:lang w:val="fr-FR" w:eastAsia="zh-CN"/>
        </w:rPr>
        <w:t xml:space="preserve">bservatoire national </w:t>
      </w:r>
      <w:r w:rsidR="00C05A0D">
        <w:rPr>
          <w:rFonts w:eastAsia="SimSun"/>
          <w:b/>
          <w:lang w:val="fr-FR" w:eastAsia="zh-CN"/>
        </w:rPr>
        <w:t>des violences faites aux femmes</w:t>
      </w:r>
      <w:r w:rsidR="00926F94">
        <w:rPr>
          <w:rFonts w:eastAsia="SimSun"/>
          <w:b/>
          <w:lang w:val="fr-FR" w:eastAsia="zh-CN"/>
        </w:rPr>
        <w:t> </w:t>
      </w:r>
      <w:r w:rsidR="00A877CB">
        <w:rPr>
          <w:rFonts w:eastAsia="SimSun"/>
          <w:b/>
          <w:lang w:val="fr-FR" w:eastAsia="zh-CN"/>
        </w:rPr>
        <w:t>;</w:t>
      </w:r>
      <w:r w:rsidR="00C05A0D" w:rsidRPr="009054C6">
        <w:rPr>
          <w:rFonts w:eastAsia="SimSun"/>
          <w:b/>
          <w:lang w:eastAsia="zh-CN"/>
        </w:rPr>
        <w:t xml:space="preserve"> </w:t>
      </w:r>
    </w:p>
    <w:p w:rsidR="00C05A0D" w:rsidRDefault="00C05A0D" w:rsidP="00C05A0D">
      <w:pPr>
        <w:pStyle w:val="SingleTxtG"/>
        <w:ind w:firstLine="567"/>
        <w:rPr>
          <w:b/>
        </w:rPr>
      </w:pPr>
      <w:r w:rsidRPr="007D3281">
        <w:rPr>
          <w:b/>
        </w:rPr>
        <w:t>b)</w:t>
      </w:r>
      <w:r w:rsidR="00395551">
        <w:rPr>
          <w:b/>
        </w:rPr>
        <w:tab/>
        <w:t>I</w:t>
      </w:r>
      <w:r w:rsidRPr="00686DBA">
        <w:rPr>
          <w:b/>
        </w:rPr>
        <w:t xml:space="preserve">ntensifier ses efforts pour prévenir, combattre et réprimer </w:t>
      </w:r>
      <w:r>
        <w:rPr>
          <w:b/>
        </w:rPr>
        <w:t>toute forme de</w:t>
      </w:r>
      <w:r w:rsidRPr="00686DBA">
        <w:rPr>
          <w:b/>
        </w:rPr>
        <w:t xml:space="preserve"> violence à l’égard des femmes et des enfants, en </w:t>
      </w:r>
      <w:r>
        <w:rPr>
          <w:b/>
        </w:rPr>
        <w:t>appliquant les lois nationales et les conventions internationales</w:t>
      </w:r>
      <w:r w:rsidR="00926F94">
        <w:rPr>
          <w:b/>
        </w:rPr>
        <w:t>,</w:t>
      </w:r>
      <w:r>
        <w:rPr>
          <w:b/>
        </w:rPr>
        <w:t> ainsi que mener</w:t>
      </w:r>
      <w:r w:rsidRPr="00686DBA">
        <w:rPr>
          <w:b/>
        </w:rPr>
        <w:t xml:space="preserve"> des campagnes de sensibilisation et de formation </w:t>
      </w:r>
      <w:r>
        <w:rPr>
          <w:b/>
        </w:rPr>
        <w:t>à l’intention du public et des agents chargés de l’application des lois.</w:t>
      </w:r>
      <w:r w:rsidRPr="0029250F">
        <w:rPr>
          <w:b/>
        </w:rPr>
        <w:t xml:space="preserve"> </w:t>
      </w:r>
      <w:r w:rsidRPr="00686DBA">
        <w:rPr>
          <w:b/>
        </w:rPr>
        <w:t xml:space="preserve">Il devrait enquêter sur toutes les allégations de violence </w:t>
      </w:r>
      <w:r>
        <w:rPr>
          <w:b/>
        </w:rPr>
        <w:t>susmentionnée</w:t>
      </w:r>
      <w:r w:rsidR="002A0821">
        <w:rPr>
          <w:b/>
        </w:rPr>
        <w:t>s</w:t>
      </w:r>
      <w:r w:rsidRPr="00686DBA">
        <w:rPr>
          <w:b/>
        </w:rPr>
        <w:t>, poursuivre et punir les responsables</w:t>
      </w:r>
      <w:r>
        <w:rPr>
          <w:b/>
        </w:rPr>
        <w:t xml:space="preserve"> et offrir</w:t>
      </w:r>
      <w:r w:rsidRPr="00686DBA">
        <w:rPr>
          <w:b/>
        </w:rPr>
        <w:t xml:space="preserve"> aux victimes une protection </w:t>
      </w:r>
      <w:r>
        <w:rPr>
          <w:b/>
        </w:rPr>
        <w:t xml:space="preserve">efficace </w:t>
      </w:r>
      <w:r w:rsidRPr="00686DBA">
        <w:rPr>
          <w:b/>
        </w:rPr>
        <w:t xml:space="preserve">et une réparation </w:t>
      </w:r>
      <w:r>
        <w:rPr>
          <w:b/>
        </w:rPr>
        <w:t>immédiate</w:t>
      </w:r>
      <w:r w:rsidR="00926F94">
        <w:rPr>
          <w:b/>
        </w:rPr>
        <w:t> </w:t>
      </w:r>
      <w:r w:rsidR="00A877CB">
        <w:rPr>
          <w:b/>
        </w:rPr>
        <w:t>;</w:t>
      </w:r>
    </w:p>
    <w:p w:rsidR="00C05A0D" w:rsidRDefault="00395551" w:rsidP="00C05A0D">
      <w:pPr>
        <w:pStyle w:val="SingleTxtG"/>
        <w:ind w:firstLine="567"/>
        <w:rPr>
          <w:b/>
        </w:rPr>
      </w:pPr>
      <w:r w:rsidRPr="007D3281">
        <w:rPr>
          <w:rFonts w:eastAsia="SimSun"/>
          <w:b/>
          <w:lang w:eastAsia="zh-CN"/>
        </w:rPr>
        <w:t>c)</w:t>
      </w:r>
      <w:r>
        <w:rPr>
          <w:rFonts w:eastAsia="SimSun"/>
          <w:b/>
          <w:lang w:eastAsia="zh-CN"/>
        </w:rPr>
        <w:tab/>
        <w:t>S</w:t>
      </w:r>
      <w:r w:rsidR="00C05A0D">
        <w:rPr>
          <w:rFonts w:eastAsia="SimSun"/>
          <w:b/>
          <w:lang w:eastAsia="zh-CN"/>
        </w:rPr>
        <w:t xml:space="preserve">’assurer que le </w:t>
      </w:r>
      <w:r w:rsidR="00C05A0D" w:rsidRPr="009054C6">
        <w:rPr>
          <w:b/>
        </w:rPr>
        <w:t xml:space="preserve">« Programme de </w:t>
      </w:r>
      <w:r w:rsidR="00C05A0D">
        <w:rPr>
          <w:b/>
        </w:rPr>
        <w:t>l</w:t>
      </w:r>
      <w:r w:rsidR="00C05A0D" w:rsidRPr="009054C6">
        <w:rPr>
          <w:b/>
        </w:rPr>
        <w:t>utte contre les violences basées sur le genre et la</w:t>
      </w:r>
      <w:r w:rsidR="00C05A0D">
        <w:rPr>
          <w:b/>
        </w:rPr>
        <w:t xml:space="preserve"> promotion des droits humains » ainsi que le</w:t>
      </w:r>
      <w:r w:rsidR="00C05A0D" w:rsidRPr="009054C6">
        <w:rPr>
          <w:b/>
        </w:rPr>
        <w:t xml:space="preserve"> plan d’action national </w:t>
      </w:r>
      <w:r w:rsidR="00C05A0D">
        <w:rPr>
          <w:b/>
        </w:rPr>
        <w:t xml:space="preserve">y </w:t>
      </w:r>
      <w:r w:rsidR="00C05A0D" w:rsidRPr="00AE16BE">
        <w:rPr>
          <w:b/>
        </w:rPr>
        <w:t>relatif</w:t>
      </w:r>
      <w:r w:rsidR="00C05A0D">
        <w:rPr>
          <w:b/>
        </w:rPr>
        <w:t xml:space="preserve"> incluent </w:t>
      </w:r>
      <w:r w:rsidR="00C05A0D" w:rsidRPr="00686DBA">
        <w:rPr>
          <w:b/>
        </w:rPr>
        <w:t xml:space="preserve">l’accès à un refuge, à une assistance médicale et psychologique, </w:t>
      </w:r>
      <w:r w:rsidR="00C05A0D">
        <w:rPr>
          <w:b/>
        </w:rPr>
        <w:t>ainsi que des programmes de réinsertion</w:t>
      </w:r>
      <w:r w:rsidR="00C05A0D" w:rsidRPr="00686DBA">
        <w:rPr>
          <w:b/>
        </w:rPr>
        <w:t>.</w:t>
      </w:r>
      <w:r w:rsidR="00C05A0D">
        <w:rPr>
          <w:b/>
        </w:rPr>
        <w:t xml:space="preserve"> L’État partie devrait fournir </w:t>
      </w:r>
      <w:r w:rsidR="00926F94">
        <w:rPr>
          <w:b/>
        </w:rPr>
        <w:t>d</w:t>
      </w:r>
      <w:r w:rsidR="00C05A0D">
        <w:rPr>
          <w:b/>
        </w:rPr>
        <w:t>es informations supplémentaires sur ce programme ainsi que sur la mise en œuvre du second plan d’action national pour l’accélération de l’abandon de l’excision 2010-2015.</w:t>
      </w:r>
    </w:p>
    <w:p w:rsidR="00C05A0D" w:rsidRDefault="00C05A0D" w:rsidP="00C05A0D">
      <w:pPr>
        <w:pStyle w:val="H23G"/>
      </w:pPr>
      <w:r w:rsidRPr="00686DBA">
        <w:tab/>
      </w:r>
      <w:r w:rsidRPr="00686DBA">
        <w:tab/>
      </w:r>
      <w:r>
        <w:t>Violence à l’égard des enfants</w:t>
      </w:r>
    </w:p>
    <w:p w:rsidR="00C05A0D" w:rsidRDefault="00C05A0D" w:rsidP="00C05A0D">
      <w:pPr>
        <w:pStyle w:val="SingleTxtG"/>
      </w:pPr>
      <w:r>
        <w:t>15.</w:t>
      </w:r>
      <w:r>
        <w:tab/>
        <w:t>Le Comité demeure préoccupé par l’absence d’information</w:t>
      </w:r>
      <w:r w:rsidR="000F739B">
        <w:t>s</w:t>
      </w:r>
      <w:r>
        <w:t xml:space="preserve"> et de statistiques sur les mesures prises par l’État partie pour combattre certaines pratiques comme la vente, la prostitution et la traite des mineurs. Tout en notant l’adoption du plan stratégique pour l’éducation et la protection des enfants dans les écoles coraniques (</w:t>
      </w:r>
      <w:r w:rsidRPr="00A877CB">
        <w:rPr>
          <w:i/>
        </w:rPr>
        <w:t>daaras</w:t>
      </w:r>
      <w:r>
        <w:t xml:space="preserve">), le Comité demeure vivement préoccupé des conditions de vie des jeunes </w:t>
      </w:r>
      <w:r w:rsidR="000F739B">
        <w:t>étudiants</w:t>
      </w:r>
      <w:r>
        <w:t xml:space="preserve"> (</w:t>
      </w:r>
      <w:r w:rsidRPr="00A877CB">
        <w:rPr>
          <w:i/>
        </w:rPr>
        <w:t>talibés</w:t>
      </w:r>
      <w:r>
        <w:t>) qui prennent la forme de mauvais traitement</w:t>
      </w:r>
      <w:r w:rsidR="000F739B">
        <w:t>s</w:t>
      </w:r>
      <w:r>
        <w:t xml:space="preserve"> et d’exploitation économique de ces enfants, souvent utilisés comme « mendiants » au profit de leurs maîtres. Le Comité demeure également préoccupé par les informations concernant la persistance des châtiments corporels au Sénégal (</w:t>
      </w:r>
      <w:r w:rsidRPr="000B4D7D">
        <w:t>art</w:t>
      </w:r>
      <w:r>
        <w:t>. 11 et 16).</w:t>
      </w:r>
    </w:p>
    <w:p w:rsidR="000F739B" w:rsidRDefault="000F739B" w:rsidP="00C05A0D">
      <w:pPr>
        <w:pStyle w:val="SingleTxtG"/>
        <w:rPr>
          <w:lang w:val="fr-FR"/>
        </w:rPr>
      </w:pPr>
      <w:r w:rsidRPr="000F739B">
        <w:rPr>
          <w:b/>
        </w:rPr>
        <w:t>L’État partie devrait</w:t>
      </w:r>
      <w:r>
        <w:t> :</w:t>
      </w:r>
    </w:p>
    <w:p w:rsidR="000955AC" w:rsidRDefault="000955AC" w:rsidP="000F739B">
      <w:pPr>
        <w:pStyle w:val="SingleTxtG"/>
        <w:ind w:firstLine="567"/>
        <w:rPr>
          <w:b/>
        </w:rPr>
      </w:pPr>
      <w:r w:rsidRPr="007D3281">
        <w:rPr>
          <w:b/>
        </w:rPr>
        <w:t>a)</w:t>
      </w:r>
      <w:r w:rsidR="000F739B">
        <w:rPr>
          <w:b/>
        </w:rPr>
        <w:tab/>
        <w:t>S</w:t>
      </w:r>
      <w:r w:rsidR="00C05A0D">
        <w:rPr>
          <w:b/>
        </w:rPr>
        <w:t xml:space="preserve">uivre de très près la situation des enfants </w:t>
      </w:r>
      <w:r w:rsidR="00C05A0D" w:rsidRPr="004F6004">
        <w:rPr>
          <w:b/>
          <w:i/>
        </w:rPr>
        <w:t>talibés</w:t>
      </w:r>
      <w:r w:rsidR="00C05A0D">
        <w:rPr>
          <w:b/>
        </w:rPr>
        <w:t xml:space="preserve"> afin de les protéger contre les mauvais traitements et l’exploitation en sanctionnant les auteurs et en mettant sur pied des mécanismes de surveillance et d’assistance pour ces enfants</w:t>
      </w:r>
      <w:r w:rsidR="000F739B">
        <w:rPr>
          <w:b/>
        </w:rPr>
        <w:t>,</w:t>
      </w:r>
      <w:r w:rsidR="00C50939">
        <w:rPr>
          <w:b/>
        </w:rPr>
        <w:t xml:space="preserve"> ainsi qu’un </w:t>
      </w:r>
      <w:r>
        <w:rPr>
          <w:b/>
        </w:rPr>
        <w:t xml:space="preserve">mécanisme de plainte en vue de </w:t>
      </w:r>
      <w:r w:rsidR="00877831">
        <w:rPr>
          <w:b/>
        </w:rPr>
        <w:t xml:space="preserve">leur </w:t>
      </w:r>
      <w:r>
        <w:rPr>
          <w:b/>
        </w:rPr>
        <w:t>permettre d</w:t>
      </w:r>
      <w:r w:rsidR="000F739B">
        <w:rPr>
          <w:b/>
        </w:rPr>
        <w:t>’informer les autorités des</w:t>
      </w:r>
      <w:r w:rsidR="004F6004">
        <w:rPr>
          <w:b/>
        </w:rPr>
        <w:t xml:space="preserve"> </w:t>
      </w:r>
      <w:r>
        <w:rPr>
          <w:b/>
        </w:rPr>
        <w:t>cas d’abus</w:t>
      </w:r>
      <w:r w:rsidR="004F6004">
        <w:rPr>
          <w:b/>
        </w:rPr>
        <w:t> ;</w:t>
      </w:r>
    </w:p>
    <w:p w:rsidR="00C50939" w:rsidRDefault="00C50939" w:rsidP="000F739B">
      <w:pPr>
        <w:pStyle w:val="SingleTxtG"/>
        <w:ind w:firstLine="567"/>
        <w:rPr>
          <w:b/>
        </w:rPr>
      </w:pPr>
      <w:r w:rsidRPr="007D3281">
        <w:rPr>
          <w:b/>
        </w:rPr>
        <w:t>b)</w:t>
      </w:r>
      <w:r w:rsidR="000F739B">
        <w:rPr>
          <w:b/>
        </w:rPr>
        <w:tab/>
        <w:t>M</w:t>
      </w:r>
      <w:r>
        <w:rPr>
          <w:b/>
        </w:rPr>
        <w:t xml:space="preserve">ettre sur pied un système </w:t>
      </w:r>
      <w:r w:rsidR="00106E71">
        <w:rPr>
          <w:b/>
        </w:rPr>
        <w:t xml:space="preserve">de prise en charge </w:t>
      </w:r>
      <w:r w:rsidR="00A2374E">
        <w:rPr>
          <w:b/>
        </w:rPr>
        <w:t>pour l’accès aux services de</w:t>
      </w:r>
      <w:r>
        <w:rPr>
          <w:b/>
        </w:rPr>
        <w:t xml:space="preserve"> santé physique et</w:t>
      </w:r>
      <w:r w:rsidR="00106E71">
        <w:rPr>
          <w:b/>
        </w:rPr>
        <w:t xml:space="preserve"> mentale des </w:t>
      </w:r>
      <w:r w:rsidR="00106E71" w:rsidRPr="004F6004">
        <w:rPr>
          <w:b/>
          <w:i/>
        </w:rPr>
        <w:t>talibés</w:t>
      </w:r>
      <w:r w:rsidR="00106E71">
        <w:rPr>
          <w:b/>
        </w:rPr>
        <w:t xml:space="preserve">. Il devrait </w:t>
      </w:r>
      <w:r>
        <w:rPr>
          <w:b/>
        </w:rPr>
        <w:t xml:space="preserve">fournir au Comité des renseignements sur </w:t>
      </w:r>
      <w:r w:rsidR="00877831">
        <w:rPr>
          <w:b/>
        </w:rPr>
        <w:t>d’autres</w:t>
      </w:r>
      <w:r>
        <w:rPr>
          <w:b/>
        </w:rPr>
        <w:t xml:space="preserve"> mesures spécifiques prises, y compris le nombre de</w:t>
      </w:r>
      <w:r w:rsidR="00877831">
        <w:rPr>
          <w:b/>
        </w:rPr>
        <w:t>s</w:t>
      </w:r>
      <w:r>
        <w:rPr>
          <w:b/>
        </w:rPr>
        <w:t xml:space="preserve"> cas répertoriés, les enquêtes et les pou</w:t>
      </w:r>
      <w:r w:rsidR="00877831">
        <w:rPr>
          <w:b/>
        </w:rPr>
        <w:t>rsuites engagées, les peines prononcées contre l</w:t>
      </w:r>
      <w:r>
        <w:rPr>
          <w:b/>
        </w:rPr>
        <w:t xml:space="preserve">es auteurs </w:t>
      </w:r>
      <w:r w:rsidR="00106E71">
        <w:rPr>
          <w:b/>
        </w:rPr>
        <w:t>ainsi que</w:t>
      </w:r>
      <w:r>
        <w:rPr>
          <w:b/>
        </w:rPr>
        <w:t xml:space="preserve"> le retour des enfants</w:t>
      </w:r>
      <w:r w:rsidR="00A2374E">
        <w:rPr>
          <w:b/>
        </w:rPr>
        <w:t xml:space="preserve"> </w:t>
      </w:r>
      <w:r w:rsidR="00A2374E" w:rsidRPr="004F6004">
        <w:rPr>
          <w:b/>
          <w:i/>
        </w:rPr>
        <w:t>talibés</w:t>
      </w:r>
      <w:r>
        <w:rPr>
          <w:b/>
        </w:rPr>
        <w:t xml:space="preserve"> dans leurs familles. </w:t>
      </w:r>
    </w:p>
    <w:p w:rsidR="00C05A0D" w:rsidRDefault="000955AC" w:rsidP="000F739B">
      <w:pPr>
        <w:pStyle w:val="SingleTxtG"/>
        <w:ind w:firstLine="567"/>
        <w:rPr>
          <w:b/>
        </w:rPr>
      </w:pPr>
      <w:r w:rsidRPr="007D3281">
        <w:rPr>
          <w:b/>
        </w:rPr>
        <w:t>c)</w:t>
      </w:r>
      <w:r w:rsidR="000F739B">
        <w:rPr>
          <w:b/>
        </w:rPr>
        <w:tab/>
        <w:t>R</w:t>
      </w:r>
      <w:r w:rsidR="00C05A0D">
        <w:rPr>
          <w:b/>
        </w:rPr>
        <w:t xml:space="preserve">éviser le Code de la </w:t>
      </w:r>
      <w:r w:rsidR="000F739B">
        <w:rPr>
          <w:b/>
        </w:rPr>
        <w:t>f</w:t>
      </w:r>
      <w:r w:rsidR="00C05A0D">
        <w:rPr>
          <w:b/>
        </w:rPr>
        <w:t xml:space="preserve">amille, en particulier son article 285, pour explicitement interdire les châtiments corporels en tout lieu, y compris </w:t>
      </w:r>
      <w:r w:rsidR="004F6004">
        <w:rPr>
          <w:b/>
        </w:rPr>
        <w:t>au sein de la</w:t>
      </w:r>
      <w:r w:rsidR="00C05A0D">
        <w:rPr>
          <w:b/>
        </w:rPr>
        <w:t xml:space="preserve"> famille</w:t>
      </w:r>
      <w:r w:rsidR="007B06F5">
        <w:rPr>
          <w:b/>
        </w:rPr>
        <w:t>,</w:t>
      </w:r>
      <w:r w:rsidR="00C05A0D">
        <w:rPr>
          <w:b/>
        </w:rPr>
        <w:t xml:space="preserve"> et sanctionner selon la loi tout contrevenant, tout en offrant une protection légale et une aide psychologique aux enfants victimes.</w:t>
      </w:r>
    </w:p>
    <w:p w:rsidR="006831FD" w:rsidRDefault="006831FD" w:rsidP="006831FD">
      <w:pPr>
        <w:pStyle w:val="H23G"/>
        <w:rPr>
          <w:lang w:val="fr-FR"/>
        </w:rPr>
      </w:pPr>
      <w:r>
        <w:rPr>
          <w:lang w:val="fr-FR"/>
        </w:rPr>
        <w:tab/>
      </w:r>
      <w:r>
        <w:rPr>
          <w:lang w:val="fr-FR"/>
        </w:rPr>
        <w:tab/>
      </w:r>
      <w:r w:rsidR="00A877CB">
        <w:rPr>
          <w:lang w:val="fr-FR"/>
        </w:rPr>
        <w:t>T</w:t>
      </w:r>
      <w:r>
        <w:rPr>
          <w:lang w:val="fr-FR"/>
        </w:rPr>
        <w:t>raite des personnes</w:t>
      </w:r>
    </w:p>
    <w:p w:rsidR="006831FD" w:rsidRPr="00686DBA" w:rsidRDefault="006831FD" w:rsidP="006831FD">
      <w:pPr>
        <w:pStyle w:val="SingleTxtG"/>
      </w:pPr>
      <w:r>
        <w:t>16</w:t>
      </w:r>
      <w:r w:rsidRPr="00686DBA">
        <w:t>.</w:t>
      </w:r>
      <w:r w:rsidRPr="00686DBA">
        <w:tab/>
      </w:r>
      <w:r w:rsidR="0076016F">
        <w:t>Malgré les efforts déployés sur le</w:t>
      </w:r>
      <w:r w:rsidR="00812CCD">
        <w:t>s</w:t>
      </w:r>
      <w:r w:rsidR="0076016F">
        <w:t xml:space="preserve"> plan</w:t>
      </w:r>
      <w:r w:rsidR="00812CCD">
        <w:t>s</w:t>
      </w:r>
      <w:r w:rsidR="0076016F">
        <w:t xml:space="preserve"> législatif et administratif, l</w:t>
      </w:r>
      <w:r w:rsidRPr="00686DBA">
        <w:t xml:space="preserve">e Comité </w:t>
      </w:r>
      <w:r w:rsidR="00435546">
        <w:t>est préoccupé du fait</w:t>
      </w:r>
      <w:r w:rsidR="008E09C5">
        <w:t xml:space="preserve"> </w:t>
      </w:r>
      <w:r w:rsidR="00435546">
        <w:t>que l</w:t>
      </w:r>
      <w:r w:rsidR="008E09C5">
        <w:t xml:space="preserve">’État partie </w:t>
      </w:r>
      <w:r w:rsidR="00435546">
        <w:t xml:space="preserve">reste </w:t>
      </w:r>
      <w:r w:rsidR="008E09C5">
        <w:t>un pays d’origine, de transit et de destination</w:t>
      </w:r>
      <w:r w:rsidR="00DE59D0">
        <w:t xml:space="preserve"> </w:t>
      </w:r>
      <w:r w:rsidR="008E09C5">
        <w:t>de la traite des personnes</w:t>
      </w:r>
      <w:r w:rsidR="00435546">
        <w:t>, notamment</w:t>
      </w:r>
      <w:r w:rsidR="00D42BDD">
        <w:t xml:space="preserve"> pour</w:t>
      </w:r>
      <w:r w:rsidR="00435546">
        <w:t xml:space="preserve"> </w:t>
      </w:r>
      <w:r w:rsidR="0076016F">
        <w:t>le travail forcé</w:t>
      </w:r>
      <w:r w:rsidR="00D42BDD">
        <w:t xml:space="preserve"> et</w:t>
      </w:r>
      <w:r w:rsidR="0076016F">
        <w:t xml:space="preserve"> </w:t>
      </w:r>
      <w:r w:rsidR="00435546">
        <w:t xml:space="preserve">l’exploitation sexuelle </w:t>
      </w:r>
      <w:r w:rsidR="0099604A">
        <w:t>(</w:t>
      </w:r>
      <w:r w:rsidR="0099604A" w:rsidRPr="00FD1D3F">
        <w:t xml:space="preserve">art. 2, 12, 13, 14 </w:t>
      </w:r>
      <w:r w:rsidR="0099604A">
        <w:t>et</w:t>
      </w:r>
      <w:r w:rsidR="0099604A" w:rsidRPr="00FD1D3F">
        <w:t xml:space="preserve"> 16).</w:t>
      </w:r>
    </w:p>
    <w:p w:rsidR="006831FD" w:rsidRPr="00991068" w:rsidRDefault="006831FD" w:rsidP="006831FD">
      <w:pPr>
        <w:pStyle w:val="SingleTxtG"/>
        <w:rPr>
          <w:b/>
          <w:lang w:val="fr-FR"/>
        </w:rPr>
      </w:pPr>
      <w:r>
        <w:rPr>
          <w:b/>
        </w:rPr>
        <w:t>L</w:t>
      </w:r>
      <w:r w:rsidRPr="00686DBA">
        <w:rPr>
          <w:b/>
        </w:rPr>
        <w:t xml:space="preserve">’État partie </w:t>
      </w:r>
      <w:r>
        <w:rPr>
          <w:b/>
        </w:rPr>
        <w:t>devrait </w:t>
      </w:r>
      <w:r w:rsidR="0076016F">
        <w:rPr>
          <w:b/>
        </w:rPr>
        <w:t xml:space="preserve">prendre des mesures efficaces pour mettre fin à la traite des personnes et </w:t>
      </w:r>
      <w:r w:rsidR="00D42BDD">
        <w:rPr>
          <w:b/>
        </w:rPr>
        <w:t>renforcer</w:t>
      </w:r>
      <w:r w:rsidR="0076016F">
        <w:rPr>
          <w:b/>
        </w:rPr>
        <w:t xml:space="preserve"> la protection des victimes. Il devrait </w:t>
      </w:r>
      <w:r w:rsidR="00D42BDD">
        <w:rPr>
          <w:b/>
        </w:rPr>
        <w:t xml:space="preserve">également </w:t>
      </w:r>
      <w:r w:rsidR="0076016F">
        <w:rPr>
          <w:b/>
        </w:rPr>
        <w:t>allouer davantage de ressources dans ce domaine en vue de poursuivre et punir les responsables et fournir une assistance juridique, médicale et psychologique aux victimes.</w:t>
      </w:r>
    </w:p>
    <w:p w:rsidR="00C05A0D" w:rsidRPr="00686DBA" w:rsidRDefault="006831FD" w:rsidP="00C05A0D">
      <w:pPr>
        <w:pStyle w:val="H23G"/>
      </w:pPr>
      <w:r>
        <w:rPr>
          <w:lang w:val="fr-FR"/>
        </w:rPr>
        <w:tab/>
      </w:r>
      <w:r>
        <w:rPr>
          <w:lang w:val="fr-FR"/>
        </w:rPr>
        <w:tab/>
      </w:r>
      <w:r w:rsidR="00C05A0D" w:rsidRPr="00686DBA">
        <w:t xml:space="preserve">Conditions de </w:t>
      </w:r>
      <w:r w:rsidR="00C05A0D" w:rsidRPr="006E5965">
        <w:t>détention</w:t>
      </w:r>
    </w:p>
    <w:p w:rsidR="00C05A0D" w:rsidRPr="00686DBA" w:rsidRDefault="00C05A0D" w:rsidP="00C05A0D">
      <w:pPr>
        <w:pStyle w:val="SingleTxtG"/>
      </w:pPr>
      <w:r>
        <w:t>1</w:t>
      </w:r>
      <w:r w:rsidR="006831FD">
        <w:t>7</w:t>
      </w:r>
      <w:r w:rsidRPr="00686DBA">
        <w:t>.</w:t>
      </w:r>
      <w:r w:rsidRPr="00686DBA">
        <w:tab/>
        <w:t xml:space="preserve">Le Comité </w:t>
      </w:r>
      <w:r>
        <w:t>est</w:t>
      </w:r>
      <w:r w:rsidRPr="00686DBA">
        <w:t xml:space="preserve"> préoccupé par </w:t>
      </w:r>
      <w:r w:rsidR="001769E0">
        <w:t xml:space="preserve">le surpeuplement de </w:t>
      </w:r>
      <w:r>
        <w:t xml:space="preserve">certaines </w:t>
      </w:r>
      <w:r w:rsidRPr="00686DBA">
        <w:t>prisons</w:t>
      </w:r>
      <w:r>
        <w:t xml:space="preserve">, notamment à Dakar, Kaolack et Tambacounda </w:t>
      </w:r>
      <w:r w:rsidRPr="00686DBA">
        <w:t>(art. </w:t>
      </w:r>
      <w:r>
        <w:t>1</w:t>
      </w:r>
      <w:r w:rsidRPr="00686DBA">
        <w:t>1).</w:t>
      </w:r>
    </w:p>
    <w:p w:rsidR="00C05A0D" w:rsidRDefault="00C05A0D" w:rsidP="00C05A0D">
      <w:pPr>
        <w:pStyle w:val="SingleTxtG"/>
        <w:rPr>
          <w:b/>
        </w:rPr>
      </w:pPr>
      <w:r>
        <w:rPr>
          <w:b/>
        </w:rPr>
        <w:t>L</w:t>
      </w:r>
      <w:r w:rsidRPr="00686DBA">
        <w:rPr>
          <w:b/>
        </w:rPr>
        <w:t xml:space="preserve">’État partie </w:t>
      </w:r>
      <w:r>
        <w:rPr>
          <w:b/>
        </w:rPr>
        <w:t>devrait </w:t>
      </w:r>
      <w:r w:rsidRPr="00686DBA">
        <w:rPr>
          <w:b/>
        </w:rPr>
        <w:t xml:space="preserve">redoubler d’efforts pour </w:t>
      </w:r>
      <w:r>
        <w:rPr>
          <w:b/>
        </w:rPr>
        <w:t>réduire</w:t>
      </w:r>
      <w:r w:rsidRPr="00686DBA">
        <w:rPr>
          <w:b/>
        </w:rPr>
        <w:t xml:space="preserve"> la surpopulation carcérale, notamment en </w:t>
      </w:r>
      <w:r>
        <w:rPr>
          <w:b/>
        </w:rPr>
        <w:t>privilégiant l</w:t>
      </w:r>
      <w:r w:rsidRPr="00686DBA">
        <w:rPr>
          <w:b/>
        </w:rPr>
        <w:t>es mesures de substitution à la prison</w:t>
      </w:r>
      <w:r>
        <w:rPr>
          <w:b/>
        </w:rPr>
        <w:t xml:space="preserve"> lorsque cela est possible</w:t>
      </w:r>
      <w:r w:rsidRPr="00686DBA">
        <w:rPr>
          <w:b/>
        </w:rPr>
        <w:t xml:space="preserve"> </w:t>
      </w:r>
      <w:r>
        <w:rPr>
          <w:b/>
        </w:rPr>
        <w:t>à la lumière des</w:t>
      </w:r>
      <w:r w:rsidRPr="00686DBA">
        <w:rPr>
          <w:b/>
        </w:rPr>
        <w:t xml:space="preserve"> Règles minima des Nations Unies pour l’élaboration de mesures non privativ</w:t>
      </w:r>
      <w:r>
        <w:rPr>
          <w:b/>
        </w:rPr>
        <w:t>es de liberté (Règles de Tokyo).</w:t>
      </w:r>
    </w:p>
    <w:p w:rsidR="00C05A0D" w:rsidRDefault="00C05A0D" w:rsidP="00C05A0D">
      <w:pPr>
        <w:pStyle w:val="H23G"/>
      </w:pPr>
      <w:r>
        <w:tab/>
      </w:r>
      <w:r>
        <w:tab/>
      </w:r>
      <w:r w:rsidR="00A877CB">
        <w:t>A</w:t>
      </w:r>
      <w:r w:rsidRPr="002B26F8">
        <w:t>dministration</w:t>
      </w:r>
      <w:r>
        <w:t xml:space="preserve"> de la justice</w:t>
      </w:r>
    </w:p>
    <w:p w:rsidR="00C05A0D" w:rsidRDefault="00C05A0D" w:rsidP="00C05A0D">
      <w:pPr>
        <w:pStyle w:val="SingleTxtG"/>
      </w:pPr>
      <w:r>
        <w:t>1</w:t>
      </w:r>
      <w:r w:rsidR="0013117A">
        <w:t>8</w:t>
      </w:r>
      <w:r>
        <w:t>.</w:t>
      </w:r>
      <w:r>
        <w:tab/>
        <w:t xml:space="preserve">Le Comité note les efforts fournis par l’État partie pour faciliter une justice de proximité avec la mise en place des maisons de justice. Il est toutefois préoccupé </w:t>
      </w:r>
      <w:r w:rsidR="001769E0">
        <w:t xml:space="preserve">par </w:t>
      </w:r>
      <w:r w:rsidR="00344964">
        <w:t>le manque d</w:t>
      </w:r>
      <w:r>
        <w:t xml:space="preserve">’indépendance de la justice. Le Comité note le nombre limité de juristes travaillant comme avocats. Il est préoccupé du fait que </w:t>
      </w:r>
      <w:r w:rsidR="00812CCD">
        <w:t xml:space="preserve">le nombre limité </w:t>
      </w:r>
      <w:r w:rsidR="004F6004">
        <w:t>(</w:t>
      </w:r>
      <w:r>
        <w:t>moins de 400</w:t>
      </w:r>
      <w:r w:rsidR="004F6004">
        <w:t>)</w:t>
      </w:r>
      <w:r>
        <w:t xml:space="preserve"> </w:t>
      </w:r>
      <w:r w:rsidR="004F6004">
        <w:t>d’</w:t>
      </w:r>
      <w:r>
        <w:t>avocats pour un pays de plus de 11 millions d’habitants représente une entrave d’accès à la justice (</w:t>
      </w:r>
      <w:r w:rsidRPr="003C7ED5">
        <w:t>art</w:t>
      </w:r>
      <w:r>
        <w:t>. 2, 11, 12, 13 et 16).</w:t>
      </w:r>
    </w:p>
    <w:p w:rsidR="00C05A0D" w:rsidRDefault="00C05A0D" w:rsidP="00C05A0D">
      <w:pPr>
        <w:pStyle w:val="SingleTxtG"/>
        <w:rPr>
          <w:b/>
          <w:lang w:val="fr-FR"/>
        </w:rPr>
      </w:pPr>
      <w:r>
        <w:rPr>
          <w:b/>
        </w:rPr>
        <w:t xml:space="preserve">L’État partie devrait continuer les </w:t>
      </w:r>
      <w:r w:rsidRPr="00D72B58">
        <w:rPr>
          <w:b/>
          <w:lang w:val="fr-FR"/>
        </w:rPr>
        <w:t xml:space="preserve">réflexions </w:t>
      </w:r>
      <w:r>
        <w:rPr>
          <w:b/>
          <w:lang w:val="fr-FR"/>
        </w:rPr>
        <w:t xml:space="preserve">qui sont actuellement menées pour </w:t>
      </w:r>
      <w:r w:rsidRPr="00D72B58">
        <w:rPr>
          <w:b/>
          <w:lang w:val="fr-FR"/>
        </w:rPr>
        <w:t xml:space="preserve">réformer le Conseil </w:t>
      </w:r>
      <w:r w:rsidR="00812CCD">
        <w:rPr>
          <w:b/>
          <w:lang w:val="fr-FR"/>
        </w:rPr>
        <w:t>s</w:t>
      </w:r>
      <w:r w:rsidRPr="00D72B58">
        <w:rPr>
          <w:b/>
          <w:lang w:val="fr-FR"/>
        </w:rPr>
        <w:t xml:space="preserve">upérieur de la </w:t>
      </w:r>
      <w:r w:rsidR="00812CCD">
        <w:rPr>
          <w:b/>
          <w:lang w:val="fr-FR"/>
        </w:rPr>
        <w:t>m</w:t>
      </w:r>
      <w:r w:rsidRPr="00D72B58">
        <w:rPr>
          <w:b/>
          <w:lang w:val="fr-FR"/>
        </w:rPr>
        <w:t xml:space="preserve">agistrature </w:t>
      </w:r>
      <w:r>
        <w:rPr>
          <w:b/>
          <w:lang w:val="fr-FR"/>
        </w:rPr>
        <w:t>et</w:t>
      </w:r>
      <w:r w:rsidRPr="00D72B58">
        <w:rPr>
          <w:b/>
          <w:lang w:val="fr-FR"/>
        </w:rPr>
        <w:t xml:space="preserve"> </w:t>
      </w:r>
      <w:r>
        <w:rPr>
          <w:b/>
          <w:lang w:val="fr-FR"/>
        </w:rPr>
        <w:t>renforcer l’indépendance des magistrats</w:t>
      </w:r>
      <w:r w:rsidRPr="00D72B58">
        <w:rPr>
          <w:b/>
          <w:lang w:val="fr-FR"/>
        </w:rPr>
        <w:t xml:space="preserve"> </w:t>
      </w:r>
      <w:r>
        <w:rPr>
          <w:b/>
          <w:lang w:val="fr-FR"/>
        </w:rPr>
        <w:t>en protégeant</w:t>
      </w:r>
      <w:r w:rsidRPr="00D72B58">
        <w:rPr>
          <w:b/>
          <w:lang w:val="fr-FR"/>
        </w:rPr>
        <w:t xml:space="preserve"> davantage le principe de l’inamovibilité des juges du siège.</w:t>
      </w:r>
    </w:p>
    <w:p w:rsidR="00C05A0D" w:rsidRDefault="00C05A0D" w:rsidP="00C05A0D">
      <w:pPr>
        <w:pStyle w:val="SingleTxtG"/>
        <w:rPr>
          <w:b/>
          <w:lang w:val="fr-FR"/>
        </w:rPr>
      </w:pPr>
      <w:r>
        <w:rPr>
          <w:b/>
          <w:lang w:val="fr-FR"/>
        </w:rPr>
        <w:t>L’État partie devrait prendre des mesures concrètes pour augmenter le nombre d’individus travaillant dans le domaine de la justice, y compris les avocats.</w:t>
      </w:r>
    </w:p>
    <w:p w:rsidR="00C05A0D" w:rsidRDefault="00C05A0D" w:rsidP="00C05A0D">
      <w:pPr>
        <w:pStyle w:val="H23G"/>
      </w:pPr>
      <w:r>
        <w:tab/>
      </w:r>
      <w:r>
        <w:tab/>
      </w:r>
      <w:r w:rsidR="00A877CB">
        <w:t>J</w:t>
      </w:r>
      <w:r>
        <w:t xml:space="preserve">ustice </w:t>
      </w:r>
      <w:r w:rsidRPr="006E5965">
        <w:t>juvénile</w:t>
      </w:r>
    </w:p>
    <w:p w:rsidR="00C05A0D" w:rsidRDefault="00C05A0D" w:rsidP="00C05A0D">
      <w:pPr>
        <w:pStyle w:val="SingleTxtG"/>
      </w:pPr>
      <w:r>
        <w:t>1</w:t>
      </w:r>
      <w:r w:rsidR="0013117A">
        <w:t>9</w:t>
      </w:r>
      <w:r>
        <w:t>.</w:t>
      </w:r>
      <w:r>
        <w:tab/>
        <w:t xml:space="preserve">Malgré les mécanismes existants </w:t>
      </w:r>
      <w:r w:rsidR="00812CCD">
        <w:t>relatifs à</w:t>
      </w:r>
      <w:r>
        <w:t xml:space="preserve"> la justice juvénile, le Comité est préoccupé par l’insuffisance de tribunaux et </w:t>
      </w:r>
      <w:r w:rsidR="00812CCD">
        <w:t xml:space="preserve">de </w:t>
      </w:r>
      <w:r>
        <w:t>juges spécialisés pour mineurs pour répondre entièrement aux défis existant concernant la promotion et la protection des droits de l’enfant dans l’État partie (</w:t>
      </w:r>
      <w:r w:rsidRPr="003C7ED5">
        <w:t>art</w:t>
      </w:r>
      <w:r>
        <w:t>. 2, 11, 12, 13 et 16).</w:t>
      </w:r>
    </w:p>
    <w:p w:rsidR="00C05A0D" w:rsidRDefault="00C05A0D" w:rsidP="00C05A0D">
      <w:pPr>
        <w:pStyle w:val="SingleTxtG"/>
        <w:rPr>
          <w:b/>
          <w:lang w:val="fr-FR"/>
        </w:rPr>
      </w:pPr>
      <w:r w:rsidRPr="00991068">
        <w:rPr>
          <w:b/>
        </w:rPr>
        <w:t>L</w:t>
      </w:r>
      <w:r>
        <w:rPr>
          <w:b/>
        </w:rPr>
        <w:t>e Comité recommande à l</w:t>
      </w:r>
      <w:r w:rsidRPr="00991068">
        <w:rPr>
          <w:b/>
        </w:rPr>
        <w:t>’État partie d</w:t>
      </w:r>
      <w:r>
        <w:rPr>
          <w:b/>
        </w:rPr>
        <w:t>’</w:t>
      </w:r>
      <w:r w:rsidRPr="00991068">
        <w:rPr>
          <w:b/>
        </w:rPr>
        <w:t xml:space="preserve">accélérer l’adoption du projet de loi </w:t>
      </w:r>
      <w:r>
        <w:rPr>
          <w:b/>
        </w:rPr>
        <w:t xml:space="preserve">devant </w:t>
      </w:r>
      <w:r w:rsidRPr="00991068">
        <w:rPr>
          <w:b/>
        </w:rPr>
        <w:t>institu</w:t>
      </w:r>
      <w:r>
        <w:rPr>
          <w:b/>
        </w:rPr>
        <w:t xml:space="preserve">er le Défenseur des </w:t>
      </w:r>
      <w:r w:rsidR="00812CCD">
        <w:rPr>
          <w:b/>
        </w:rPr>
        <w:t>e</w:t>
      </w:r>
      <w:r>
        <w:rPr>
          <w:b/>
        </w:rPr>
        <w:t xml:space="preserve">nfants et de </w:t>
      </w:r>
      <w:r w:rsidRPr="00991068">
        <w:rPr>
          <w:b/>
          <w:lang w:val="fr-FR"/>
        </w:rPr>
        <w:t xml:space="preserve">former </w:t>
      </w:r>
      <w:r>
        <w:rPr>
          <w:b/>
          <w:lang w:val="fr-FR"/>
        </w:rPr>
        <w:t>davantage de juges pour mineurs. Il recommande à l’État partie de mettre sur pied</w:t>
      </w:r>
      <w:r w:rsidRPr="00991068">
        <w:rPr>
          <w:b/>
          <w:lang w:val="fr-FR"/>
        </w:rPr>
        <w:t xml:space="preserve"> un système de justice pour mineurs conforme </w:t>
      </w:r>
      <w:r>
        <w:rPr>
          <w:b/>
          <w:lang w:val="fr-FR"/>
        </w:rPr>
        <w:t>à</w:t>
      </w:r>
      <w:r w:rsidRPr="00991068">
        <w:rPr>
          <w:b/>
          <w:lang w:val="fr-FR"/>
        </w:rPr>
        <w:t xml:space="preserve"> la Convention relative aux droits de l’enfant</w:t>
      </w:r>
      <w:r>
        <w:rPr>
          <w:b/>
          <w:lang w:val="fr-FR"/>
        </w:rPr>
        <w:t>, à l’Ensemble des règles minima des Nations Unies concernant l’administration de la justice pour mineurs (Règles de Beijing, résolution 40/33 de l’Assemblée générale) et aux Principes directeurs des Nations Unies pour la prévention de la délinquance juvénile (Principes de Riyad, résolution 40/112 de l’Assemblée générale).</w:t>
      </w:r>
    </w:p>
    <w:p w:rsidR="00C05A0D" w:rsidRPr="00686DBA" w:rsidDel="00760FF0" w:rsidRDefault="00C05A0D" w:rsidP="00C05A0D">
      <w:pPr>
        <w:pStyle w:val="H23G"/>
        <w:rPr>
          <w:lang w:eastAsia="en-GB"/>
        </w:rPr>
      </w:pPr>
      <w:r>
        <w:rPr>
          <w:lang w:eastAsia="en-GB"/>
        </w:rPr>
        <w:tab/>
      </w:r>
      <w:r>
        <w:rPr>
          <w:lang w:eastAsia="en-GB"/>
        </w:rPr>
        <w:tab/>
        <w:t>Situation</w:t>
      </w:r>
      <w:r w:rsidRPr="00686DBA">
        <w:rPr>
          <w:lang w:eastAsia="en-GB"/>
        </w:rPr>
        <w:t xml:space="preserve"> des </w:t>
      </w:r>
      <w:r>
        <w:rPr>
          <w:lang w:eastAsia="en-GB"/>
        </w:rPr>
        <w:t>journalistes</w:t>
      </w:r>
      <w:r w:rsidRPr="00686DBA">
        <w:rPr>
          <w:lang w:eastAsia="en-GB"/>
        </w:rPr>
        <w:t xml:space="preserve"> et des défenseurs</w:t>
      </w:r>
      <w:r>
        <w:rPr>
          <w:lang w:eastAsia="en-GB"/>
        </w:rPr>
        <w:t xml:space="preserve"> </w:t>
      </w:r>
      <w:r w:rsidRPr="00686DBA">
        <w:rPr>
          <w:lang w:eastAsia="en-GB"/>
        </w:rPr>
        <w:t>des droits de l’homme</w:t>
      </w:r>
    </w:p>
    <w:p w:rsidR="00C05A0D" w:rsidRPr="00686DBA" w:rsidRDefault="0013117A" w:rsidP="00C05A0D">
      <w:pPr>
        <w:pStyle w:val="SingleTxtG"/>
      </w:pPr>
      <w:r>
        <w:rPr>
          <w:rStyle w:val="SingleTxtGChar"/>
        </w:rPr>
        <w:t>20</w:t>
      </w:r>
      <w:r w:rsidR="00C05A0D" w:rsidRPr="00686DBA">
        <w:rPr>
          <w:rStyle w:val="SingleTxtGChar"/>
        </w:rPr>
        <w:t>.</w:t>
      </w:r>
      <w:r w:rsidR="00C05A0D" w:rsidRPr="00686DBA">
        <w:rPr>
          <w:rStyle w:val="SingleTxtGChar"/>
        </w:rPr>
        <w:tab/>
        <w:t xml:space="preserve">Le Comité </w:t>
      </w:r>
      <w:r w:rsidR="00C05A0D">
        <w:rPr>
          <w:rStyle w:val="SingleTxtGChar"/>
        </w:rPr>
        <w:t>regrette l’absence d’information</w:t>
      </w:r>
      <w:r w:rsidR="00953DBF">
        <w:rPr>
          <w:rStyle w:val="SingleTxtGChar"/>
        </w:rPr>
        <w:t>s</w:t>
      </w:r>
      <w:r w:rsidR="00C05A0D">
        <w:rPr>
          <w:rStyle w:val="SingleTxtGChar"/>
        </w:rPr>
        <w:t xml:space="preserve"> sur les allégations d’actes d’intimidation, </w:t>
      </w:r>
      <w:r w:rsidR="004F6004">
        <w:rPr>
          <w:rStyle w:val="SingleTxtGChar"/>
        </w:rPr>
        <w:t xml:space="preserve">de </w:t>
      </w:r>
      <w:r w:rsidR="00C05A0D">
        <w:rPr>
          <w:rStyle w:val="SingleTxtGChar"/>
        </w:rPr>
        <w:t xml:space="preserve">menaces, </w:t>
      </w:r>
      <w:r w:rsidR="004F6004">
        <w:rPr>
          <w:rStyle w:val="SingleTxtGChar"/>
        </w:rPr>
        <w:t>d’</w:t>
      </w:r>
      <w:r w:rsidR="00C05A0D">
        <w:rPr>
          <w:rStyle w:val="SingleTxtGChar"/>
        </w:rPr>
        <w:t xml:space="preserve">agressions physiques et </w:t>
      </w:r>
      <w:r w:rsidR="004F6004">
        <w:rPr>
          <w:rStyle w:val="SingleTxtGChar"/>
        </w:rPr>
        <w:t xml:space="preserve">de </w:t>
      </w:r>
      <w:r w:rsidR="00C05A0D">
        <w:rPr>
          <w:rStyle w:val="SingleTxtGChar"/>
        </w:rPr>
        <w:t xml:space="preserve">détention arbitraire des défenseurs des droits de l’homme et des journalistes. Tout en prenant note des informations fournies sur les mesures prises pour poursuivre les agents qui auraient </w:t>
      </w:r>
      <w:r w:rsidR="00953DBF">
        <w:rPr>
          <w:rStyle w:val="SingleTxtGChar"/>
        </w:rPr>
        <w:t>utilisé excessivement</w:t>
      </w:r>
      <w:r w:rsidR="00C05A0D">
        <w:rPr>
          <w:rStyle w:val="SingleTxtGChar"/>
        </w:rPr>
        <w:t xml:space="preserve"> la force lors des manifestations pré-électorales de 2012, le Comité regrette en particulier l’absence d’information</w:t>
      </w:r>
      <w:r w:rsidR="00953DBF">
        <w:rPr>
          <w:rStyle w:val="SingleTxtGChar"/>
        </w:rPr>
        <w:t>s</w:t>
      </w:r>
      <w:r w:rsidR="00C05A0D">
        <w:rPr>
          <w:rStyle w:val="SingleTxtGChar"/>
        </w:rPr>
        <w:t xml:space="preserve"> sur les résultats des enquêtes concernant les membres de « </w:t>
      </w:r>
      <w:r w:rsidR="00C05A0D" w:rsidRPr="00843B41">
        <w:rPr>
          <w:lang w:val="fr-FR"/>
        </w:rPr>
        <w:t>Rencontre africaine pour la</w:t>
      </w:r>
      <w:r w:rsidR="00C05A0D">
        <w:rPr>
          <w:lang w:val="fr-FR"/>
        </w:rPr>
        <w:t xml:space="preserve"> défense des droits de l’homme », et les journalistes</w:t>
      </w:r>
      <w:r w:rsidR="00C05A0D">
        <w:rPr>
          <w:rStyle w:val="SingleTxtGChar"/>
        </w:rPr>
        <w:t xml:space="preserve"> </w:t>
      </w:r>
      <w:r w:rsidR="00A877CB">
        <w:rPr>
          <w:rStyle w:val="SingleTxtGChar"/>
        </w:rPr>
        <w:t>M</w:t>
      </w:r>
      <w:r w:rsidR="00953DBF">
        <w:rPr>
          <w:rStyle w:val="SingleTxtGChar"/>
        </w:rPr>
        <w:t>M.</w:t>
      </w:r>
      <w:r w:rsidR="00A877CB">
        <w:rPr>
          <w:rStyle w:val="SingleTxtGChar"/>
        </w:rPr>
        <w:t xml:space="preserve"> </w:t>
      </w:r>
      <w:r w:rsidR="00C05A0D" w:rsidRPr="00843B41">
        <w:rPr>
          <w:lang w:val="fr-FR"/>
        </w:rPr>
        <w:t>Boubacar Kambel Dieng et Karamokho Thioune</w:t>
      </w:r>
      <w:r w:rsidR="00C05A0D">
        <w:rPr>
          <w:lang w:val="fr-FR"/>
        </w:rPr>
        <w:t xml:space="preserve"> </w:t>
      </w:r>
      <w:r w:rsidR="00C05A0D" w:rsidRPr="00686DBA">
        <w:t xml:space="preserve">(art. 2, </w:t>
      </w:r>
      <w:r w:rsidR="00C05A0D">
        <w:t xml:space="preserve">12, 13 </w:t>
      </w:r>
      <w:r w:rsidR="00C05A0D" w:rsidRPr="00686DBA">
        <w:t>et 16).</w:t>
      </w:r>
    </w:p>
    <w:p w:rsidR="00C05A0D" w:rsidRPr="00686DBA" w:rsidRDefault="00C05A0D" w:rsidP="00C05A0D">
      <w:pPr>
        <w:pStyle w:val="SingleTxtG"/>
        <w:rPr>
          <w:b/>
          <w:lang w:eastAsia="en-GB"/>
        </w:rPr>
      </w:pPr>
      <w:r w:rsidRPr="00686DBA">
        <w:rPr>
          <w:b/>
          <w:lang w:eastAsia="en-GB"/>
        </w:rPr>
        <w:t xml:space="preserve">L’État partie devrait </w:t>
      </w:r>
      <w:r>
        <w:rPr>
          <w:b/>
          <w:lang w:eastAsia="en-GB"/>
        </w:rPr>
        <w:t xml:space="preserve">fournir des informations sur les mesures concrètes prises concernant les cas susmentionnés et les peines qui ont été prononcées à cet égard. L’État partie devrait </w:t>
      </w:r>
      <w:r w:rsidRPr="00686DBA">
        <w:rPr>
          <w:b/>
          <w:lang w:eastAsia="en-GB"/>
        </w:rPr>
        <w:t xml:space="preserve">prendre toutes les mesures nécessaires pour </w:t>
      </w:r>
      <w:r>
        <w:rPr>
          <w:b/>
          <w:lang w:eastAsia="en-GB"/>
        </w:rPr>
        <w:t>protéger</w:t>
      </w:r>
      <w:r w:rsidRPr="00686DBA">
        <w:rPr>
          <w:b/>
          <w:lang w:eastAsia="en-GB"/>
        </w:rPr>
        <w:t xml:space="preserve"> les dé</w:t>
      </w:r>
      <w:r>
        <w:rPr>
          <w:b/>
          <w:lang w:eastAsia="en-GB"/>
        </w:rPr>
        <w:t>fenseurs des droits de l’homme et</w:t>
      </w:r>
      <w:r w:rsidRPr="00686DBA">
        <w:rPr>
          <w:b/>
          <w:lang w:eastAsia="en-GB"/>
        </w:rPr>
        <w:t xml:space="preserve"> les journalistes </w:t>
      </w:r>
      <w:r>
        <w:rPr>
          <w:b/>
          <w:lang w:eastAsia="en-GB"/>
        </w:rPr>
        <w:t xml:space="preserve">et punir sévèrement les auteurs d’actes de violence, </w:t>
      </w:r>
      <w:r w:rsidR="00953DBF">
        <w:rPr>
          <w:b/>
          <w:lang w:eastAsia="en-GB"/>
        </w:rPr>
        <w:t xml:space="preserve">de </w:t>
      </w:r>
      <w:r>
        <w:rPr>
          <w:b/>
          <w:lang w:eastAsia="en-GB"/>
        </w:rPr>
        <w:t xml:space="preserve">torture ou </w:t>
      </w:r>
      <w:r w:rsidR="00953DBF">
        <w:rPr>
          <w:b/>
          <w:lang w:eastAsia="en-GB"/>
        </w:rPr>
        <w:t>d’</w:t>
      </w:r>
      <w:r>
        <w:rPr>
          <w:b/>
          <w:lang w:eastAsia="en-GB"/>
        </w:rPr>
        <w:t xml:space="preserve">intimidation à leur égard.  </w:t>
      </w:r>
    </w:p>
    <w:p w:rsidR="00C05A0D" w:rsidRDefault="00C05A0D" w:rsidP="00C05A0D">
      <w:pPr>
        <w:pStyle w:val="H23G"/>
      </w:pPr>
      <w:r w:rsidRPr="00686DBA">
        <w:tab/>
      </w:r>
      <w:r w:rsidRPr="00686DBA">
        <w:tab/>
      </w:r>
      <w:r w:rsidRPr="009711BA">
        <w:t>Situation</w:t>
      </w:r>
      <w:r>
        <w:t xml:space="preserve"> des réfugiés et demandeurs d’asile</w:t>
      </w:r>
    </w:p>
    <w:p w:rsidR="00C05A0D" w:rsidRDefault="00C05A0D" w:rsidP="00C05A0D">
      <w:pPr>
        <w:pStyle w:val="SingleTxtG"/>
      </w:pPr>
      <w:r>
        <w:t>2</w:t>
      </w:r>
      <w:r w:rsidR="0013117A">
        <w:t>1</w:t>
      </w:r>
      <w:r>
        <w:t>.</w:t>
      </w:r>
      <w:r>
        <w:tab/>
        <w:t>Le Comité note que des efforts restent encore à faire pour finaliser la distribution des cartes d’identité pour les réfugiés et que la révision de la loi relative au statut des réfugiés n’a pas encore abouti (</w:t>
      </w:r>
      <w:r w:rsidRPr="00831A4D">
        <w:t>art</w:t>
      </w:r>
      <w:r>
        <w:t>. 3 et 16).</w:t>
      </w:r>
    </w:p>
    <w:p w:rsidR="00C05A0D" w:rsidRDefault="00C05A0D" w:rsidP="00C05A0D">
      <w:pPr>
        <w:pStyle w:val="SingleTxtG"/>
        <w:rPr>
          <w:b/>
        </w:rPr>
      </w:pPr>
      <w:r w:rsidRPr="0067550E">
        <w:rPr>
          <w:b/>
        </w:rPr>
        <w:t xml:space="preserve">L’État partie devrait </w:t>
      </w:r>
      <w:r>
        <w:rPr>
          <w:b/>
        </w:rPr>
        <w:t xml:space="preserve">accélérer l’adoption de la loi révisée sur le statut des réfugiés </w:t>
      </w:r>
      <w:r w:rsidR="001769E0">
        <w:rPr>
          <w:b/>
        </w:rPr>
        <w:t>pour consolider</w:t>
      </w:r>
      <w:r>
        <w:rPr>
          <w:b/>
        </w:rPr>
        <w:t xml:space="preserve"> les garanties de protection des réfugiés, des demandeurs d’asile, des personnes déplacées internes et des apatrides avec notamment la mise en place d’un organe qui statuera sur les demandes d’octroi de statut de réfugiés et diverses questions dont la réunification familiale et la protection des enfants mineurs non accompagnés. Le Comité encourage l’État partie à </w:t>
      </w:r>
      <w:r w:rsidR="00953DBF">
        <w:rPr>
          <w:b/>
        </w:rPr>
        <w:t>poursuivre</w:t>
      </w:r>
      <w:r>
        <w:rPr>
          <w:b/>
        </w:rPr>
        <w:t xml:space="preserve"> ses efforts </w:t>
      </w:r>
      <w:r w:rsidR="00953DBF">
        <w:rPr>
          <w:b/>
        </w:rPr>
        <w:t>pour</w:t>
      </w:r>
      <w:r>
        <w:rPr>
          <w:b/>
        </w:rPr>
        <w:t xml:space="preserve"> faciliter l’intégration des réfugiés, y compris la distribution de cartes d’identité</w:t>
      </w:r>
      <w:r w:rsidR="00395551">
        <w:rPr>
          <w:b/>
        </w:rPr>
        <w:t>, en collaboration avec le Haut-</w:t>
      </w:r>
      <w:r>
        <w:rPr>
          <w:b/>
        </w:rPr>
        <w:t xml:space="preserve">Commissariat des Nations Unies </w:t>
      </w:r>
      <w:r w:rsidR="00F20DAA">
        <w:rPr>
          <w:b/>
        </w:rPr>
        <w:t xml:space="preserve">pour les </w:t>
      </w:r>
      <w:r w:rsidR="004F6004">
        <w:rPr>
          <w:b/>
        </w:rPr>
        <w:t>r</w:t>
      </w:r>
      <w:r>
        <w:rPr>
          <w:b/>
        </w:rPr>
        <w:t>éfugiés.</w:t>
      </w:r>
    </w:p>
    <w:p w:rsidR="00C05A0D" w:rsidRPr="00686DBA" w:rsidRDefault="00C05A0D" w:rsidP="00C05A0D">
      <w:pPr>
        <w:pStyle w:val="H23G"/>
        <w:rPr>
          <w:lang w:eastAsia="en-GB"/>
        </w:rPr>
      </w:pPr>
      <w:r>
        <w:rPr>
          <w:lang w:val="fr-FR"/>
        </w:rPr>
        <w:tab/>
      </w:r>
      <w:r>
        <w:rPr>
          <w:lang w:val="fr-FR"/>
        </w:rPr>
        <w:tab/>
      </w:r>
      <w:r w:rsidRPr="00686DBA">
        <w:rPr>
          <w:lang w:eastAsia="en-GB"/>
        </w:rPr>
        <w:t xml:space="preserve">Réparation, y compris </w:t>
      </w:r>
      <w:r w:rsidR="001769E0">
        <w:rPr>
          <w:lang w:eastAsia="en-GB"/>
        </w:rPr>
        <w:t>la</w:t>
      </w:r>
      <w:r w:rsidRPr="00686DBA">
        <w:rPr>
          <w:lang w:eastAsia="en-GB"/>
        </w:rPr>
        <w:t xml:space="preserve"> </w:t>
      </w:r>
      <w:r>
        <w:rPr>
          <w:lang w:eastAsia="en-GB"/>
        </w:rPr>
        <w:t>réhabilitation</w:t>
      </w:r>
    </w:p>
    <w:p w:rsidR="00C05A0D" w:rsidRPr="00686DBA" w:rsidRDefault="00C05A0D" w:rsidP="00C05A0D">
      <w:pPr>
        <w:pStyle w:val="SingleTxtG"/>
        <w:rPr>
          <w:lang w:eastAsia="en-GB"/>
        </w:rPr>
      </w:pPr>
      <w:r>
        <w:rPr>
          <w:lang w:eastAsia="en-GB"/>
        </w:rPr>
        <w:t>2</w:t>
      </w:r>
      <w:r w:rsidR="0013117A">
        <w:rPr>
          <w:lang w:eastAsia="en-GB"/>
        </w:rPr>
        <w:t>2</w:t>
      </w:r>
      <w:r w:rsidRPr="00686DBA">
        <w:rPr>
          <w:lang w:eastAsia="en-GB"/>
        </w:rPr>
        <w:t>.</w:t>
      </w:r>
      <w:r w:rsidRPr="00686DBA">
        <w:rPr>
          <w:lang w:eastAsia="en-GB"/>
        </w:rPr>
        <w:tab/>
        <w:t xml:space="preserve">Le Comité </w:t>
      </w:r>
      <w:r>
        <w:rPr>
          <w:lang w:eastAsia="en-GB"/>
        </w:rPr>
        <w:t>regrette l’absence d’information</w:t>
      </w:r>
      <w:r w:rsidR="00953DBF">
        <w:rPr>
          <w:lang w:eastAsia="en-GB"/>
        </w:rPr>
        <w:t>s</w:t>
      </w:r>
      <w:r>
        <w:rPr>
          <w:lang w:eastAsia="en-GB"/>
        </w:rPr>
        <w:t xml:space="preserve"> sur les</w:t>
      </w:r>
      <w:r w:rsidRPr="00686DBA">
        <w:rPr>
          <w:lang w:eastAsia="en-GB"/>
        </w:rPr>
        <w:t xml:space="preserve"> indemnité</w:t>
      </w:r>
      <w:r>
        <w:rPr>
          <w:lang w:eastAsia="en-GB"/>
        </w:rPr>
        <w:t>s</w:t>
      </w:r>
      <w:r w:rsidRPr="00686DBA">
        <w:rPr>
          <w:lang w:eastAsia="en-GB"/>
        </w:rPr>
        <w:t xml:space="preserve"> accordée</w:t>
      </w:r>
      <w:r>
        <w:rPr>
          <w:lang w:eastAsia="en-GB"/>
        </w:rPr>
        <w:t>s</w:t>
      </w:r>
      <w:r w:rsidRPr="00686DBA">
        <w:rPr>
          <w:lang w:eastAsia="en-GB"/>
        </w:rPr>
        <w:t xml:space="preserve"> par les tribunaux </w:t>
      </w:r>
      <w:r>
        <w:rPr>
          <w:lang w:eastAsia="en-GB"/>
        </w:rPr>
        <w:t xml:space="preserve">de l’État partie </w:t>
      </w:r>
      <w:r w:rsidRPr="00686DBA">
        <w:rPr>
          <w:lang w:eastAsia="en-GB"/>
        </w:rPr>
        <w:t xml:space="preserve">aux victimes de violations de la Convention, notamment aux personnes qui ont été privées des garanties fondamentales ou ont subi des actes de torture ou des mauvais traitements </w:t>
      </w:r>
      <w:r>
        <w:rPr>
          <w:lang w:eastAsia="en-GB"/>
        </w:rPr>
        <w:t>pendant la garde à vue</w:t>
      </w:r>
      <w:r w:rsidRPr="00686DBA">
        <w:rPr>
          <w:lang w:eastAsia="en-GB"/>
        </w:rPr>
        <w:t>. Il</w:t>
      </w:r>
      <w:r>
        <w:rPr>
          <w:lang w:eastAsia="en-GB"/>
        </w:rPr>
        <w:t> regrette</w:t>
      </w:r>
      <w:r w:rsidRPr="00686DBA">
        <w:rPr>
          <w:lang w:eastAsia="en-GB"/>
        </w:rPr>
        <w:t xml:space="preserve"> </w:t>
      </w:r>
      <w:r>
        <w:rPr>
          <w:lang w:eastAsia="en-GB"/>
        </w:rPr>
        <w:t>également l’absence</w:t>
      </w:r>
      <w:r w:rsidRPr="00686DBA">
        <w:rPr>
          <w:lang w:eastAsia="en-GB"/>
        </w:rPr>
        <w:t xml:space="preserve"> d’informations concernant les éventuels services de traitement et de </w:t>
      </w:r>
      <w:r w:rsidRPr="00686DBA">
        <w:t>réadaptation sociale</w:t>
      </w:r>
      <w:r>
        <w:rPr>
          <w:lang w:eastAsia="en-GB"/>
        </w:rPr>
        <w:t xml:space="preserve"> </w:t>
      </w:r>
      <w:r w:rsidRPr="00686DBA">
        <w:rPr>
          <w:lang w:eastAsia="en-GB"/>
        </w:rPr>
        <w:t>des victimes</w:t>
      </w:r>
      <w:r>
        <w:rPr>
          <w:lang w:eastAsia="en-GB"/>
        </w:rPr>
        <w:t xml:space="preserve"> de torture</w:t>
      </w:r>
      <w:r w:rsidRPr="00686DBA">
        <w:rPr>
          <w:lang w:eastAsia="en-GB"/>
        </w:rPr>
        <w:t xml:space="preserve"> (art. 14).</w:t>
      </w:r>
    </w:p>
    <w:p w:rsidR="00C05A0D" w:rsidRDefault="00C05A0D" w:rsidP="00C05A0D">
      <w:pPr>
        <w:pStyle w:val="SingleTxtG"/>
        <w:rPr>
          <w:b/>
          <w:szCs w:val="24"/>
          <w:lang w:eastAsia="en-GB"/>
        </w:rPr>
      </w:pPr>
      <w:r w:rsidRPr="003F766F">
        <w:rPr>
          <w:rStyle w:val="SingleTxtGChar"/>
          <w:b/>
          <w:lang w:eastAsia="en-GB"/>
        </w:rPr>
        <w:t xml:space="preserve">L’État partie devrait </w:t>
      </w:r>
      <w:r>
        <w:rPr>
          <w:rStyle w:val="SingleTxtGChar"/>
          <w:b/>
          <w:lang w:eastAsia="en-GB"/>
        </w:rPr>
        <w:t xml:space="preserve">fournir des informations sur les mesures additionnelles </w:t>
      </w:r>
      <w:r w:rsidRPr="003F766F">
        <w:rPr>
          <w:rStyle w:val="SingleTxtGChar"/>
          <w:b/>
          <w:lang w:eastAsia="en-GB"/>
        </w:rPr>
        <w:t xml:space="preserve">pour assurer aux victimes de la torture et de mauvais traitements une réparation </w:t>
      </w:r>
      <w:r>
        <w:rPr>
          <w:rStyle w:val="SingleTxtGChar"/>
          <w:b/>
          <w:lang w:eastAsia="en-GB"/>
        </w:rPr>
        <w:t xml:space="preserve">complète et équitable et </w:t>
      </w:r>
      <w:r w:rsidRPr="003F766F">
        <w:rPr>
          <w:rStyle w:val="SingleTxtGChar"/>
          <w:b/>
          <w:lang w:eastAsia="en-GB"/>
        </w:rPr>
        <w:t>une réadaptation la plus complète possible</w:t>
      </w:r>
      <w:r w:rsidR="001769E0">
        <w:rPr>
          <w:rStyle w:val="SingleTxtGChar"/>
          <w:b/>
          <w:lang w:eastAsia="en-GB"/>
        </w:rPr>
        <w:t>. Il devrait</w:t>
      </w:r>
      <w:r>
        <w:rPr>
          <w:rStyle w:val="SingleTxtGChar"/>
          <w:b/>
          <w:lang w:eastAsia="en-GB"/>
        </w:rPr>
        <w:t xml:space="preserve"> accélérer l’adoption et la mise en œuvre du projet de loi portant sur l’indemnisation des victimes de longue détention ayant subi un préjudice d’une gravité particulière ainsi que </w:t>
      </w:r>
      <w:r w:rsidR="00953DBF">
        <w:rPr>
          <w:rStyle w:val="SingleTxtGChar"/>
          <w:b/>
          <w:lang w:eastAsia="en-GB"/>
        </w:rPr>
        <w:t>d</w:t>
      </w:r>
      <w:r>
        <w:rPr>
          <w:rStyle w:val="SingleTxtGChar"/>
          <w:b/>
          <w:lang w:eastAsia="en-GB"/>
        </w:rPr>
        <w:t xml:space="preserve">es </w:t>
      </w:r>
      <w:r w:rsidRPr="003F766F">
        <w:rPr>
          <w:rStyle w:val="SingleTxtGChar"/>
          <w:b/>
          <w:lang w:eastAsia="en-GB"/>
        </w:rPr>
        <w:t>programmes de réadaptation</w:t>
      </w:r>
      <w:r>
        <w:rPr>
          <w:rStyle w:val="SingleTxtGChar"/>
          <w:b/>
          <w:lang w:eastAsia="en-GB"/>
        </w:rPr>
        <w:t xml:space="preserve"> qui seront mis sur pied</w:t>
      </w:r>
      <w:r w:rsidRPr="003F766F">
        <w:rPr>
          <w:b/>
          <w:szCs w:val="24"/>
          <w:lang w:eastAsia="en-GB"/>
        </w:rPr>
        <w:t>.</w:t>
      </w:r>
    </w:p>
    <w:p w:rsidR="008F31B5" w:rsidRPr="008F31B5" w:rsidRDefault="008F31B5" w:rsidP="008F31B5">
      <w:pPr>
        <w:pStyle w:val="SingleTxtG"/>
        <w:rPr>
          <w:b/>
        </w:rPr>
      </w:pPr>
      <w:r w:rsidRPr="008F31B5">
        <w:rPr>
          <w:b/>
        </w:rPr>
        <w:t>Le Comité attire l’attention de l’État partie sur l’</w:t>
      </w:r>
      <w:r w:rsidR="0081692E">
        <w:rPr>
          <w:b/>
        </w:rPr>
        <w:t>O</w:t>
      </w:r>
      <w:r w:rsidRPr="008F31B5">
        <w:rPr>
          <w:b/>
        </w:rPr>
        <w:t xml:space="preserve">bservation générale </w:t>
      </w:r>
      <w:r w:rsidR="0081692E">
        <w:rPr>
          <w:b/>
        </w:rPr>
        <w:t xml:space="preserve">sur l’article 14 </w:t>
      </w:r>
      <w:r w:rsidRPr="008F31B5">
        <w:rPr>
          <w:b/>
        </w:rPr>
        <w:t xml:space="preserve">récemment adoptée (CAT/C/GC/3) </w:t>
      </w:r>
      <w:r w:rsidR="0081692E">
        <w:rPr>
          <w:b/>
        </w:rPr>
        <w:t xml:space="preserve">qui explicite le contenu et la portée des obligations </w:t>
      </w:r>
      <w:r w:rsidR="00953DBF">
        <w:rPr>
          <w:b/>
        </w:rPr>
        <w:t xml:space="preserve">des </w:t>
      </w:r>
      <w:r w:rsidR="0081692E">
        <w:rPr>
          <w:b/>
        </w:rPr>
        <w:t>États parties en vue de</w:t>
      </w:r>
      <w:r w:rsidRPr="008F31B5">
        <w:rPr>
          <w:b/>
        </w:rPr>
        <w:t xml:space="preserve"> fournir</w:t>
      </w:r>
      <w:r w:rsidR="0081692E">
        <w:rPr>
          <w:b/>
        </w:rPr>
        <w:t xml:space="preserve"> une</w:t>
      </w:r>
      <w:r w:rsidRPr="008F31B5">
        <w:rPr>
          <w:b/>
        </w:rPr>
        <w:t xml:space="preserve"> réparation </w:t>
      </w:r>
      <w:r w:rsidR="0081692E">
        <w:rPr>
          <w:b/>
        </w:rPr>
        <w:t xml:space="preserve">totale </w:t>
      </w:r>
      <w:r w:rsidRPr="008F31B5">
        <w:rPr>
          <w:b/>
        </w:rPr>
        <w:t>aux victimes de torture.</w:t>
      </w:r>
    </w:p>
    <w:p w:rsidR="00C05A0D" w:rsidRPr="00686DBA" w:rsidRDefault="00C05A0D" w:rsidP="00C05A0D">
      <w:pPr>
        <w:pStyle w:val="H23G"/>
      </w:pPr>
      <w:r>
        <w:tab/>
      </w:r>
      <w:r>
        <w:tab/>
      </w:r>
      <w:r w:rsidR="0030576D">
        <w:t>Mécanisme national de prévention et i</w:t>
      </w:r>
      <w:r w:rsidRPr="00C13FF1">
        <w:t>nstitutions</w:t>
      </w:r>
      <w:r>
        <w:t xml:space="preserve"> nationale</w:t>
      </w:r>
      <w:r w:rsidR="00953DBF">
        <w:t>s</w:t>
      </w:r>
      <w:r w:rsidR="0030576D">
        <w:t xml:space="preserve"> des droits de l’homme </w:t>
      </w:r>
    </w:p>
    <w:p w:rsidR="00C05A0D" w:rsidRPr="00686DBA" w:rsidRDefault="00C05A0D" w:rsidP="00C05A0D">
      <w:pPr>
        <w:pStyle w:val="SingleTxtG"/>
      </w:pPr>
      <w:r>
        <w:t>2</w:t>
      </w:r>
      <w:r w:rsidR="0013117A">
        <w:t>3</w:t>
      </w:r>
      <w:r w:rsidRPr="00686DBA">
        <w:t>.</w:t>
      </w:r>
      <w:r w:rsidRPr="00686DBA">
        <w:tab/>
      </w:r>
      <w:r>
        <w:t>Tout en prenant note de la désignation de l’Observat</w:t>
      </w:r>
      <w:r w:rsidR="004C40A7">
        <w:t>oire</w:t>
      </w:r>
      <w:r>
        <w:t xml:space="preserve"> </w:t>
      </w:r>
      <w:r w:rsidR="00953DBF">
        <w:t>n</w:t>
      </w:r>
      <w:r>
        <w:t xml:space="preserve">ational des </w:t>
      </w:r>
      <w:r w:rsidR="00953DBF">
        <w:t>l</w:t>
      </w:r>
      <w:r>
        <w:t xml:space="preserve">ieux de </w:t>
      </w:r>
      <w:r w:rsidR="00953DBF">
        <w:t>p</w:t>
      </w:r>
      <w:r>
        <w:t xml:space="preserve">rivation de </w:t>
      </w:r>
      <w:r w:rsidR="00953DBF">
        <w:t>l</w:t>
      </w:r>
      <w:r>
        <w:t>iberté en tant que</w:t>
      </w:r>
      <w:r w:rsidRPr="00686DBA">
        <w:t xml:space="preserve"> mécanisme national de prévention</w:t>
      </w:r>
      <w:r>
        <w:t xml:space="preserve"> en conformité avec l’OP-CAT, le Comité demeure toutefois préoccupé par l’information concernant la réduction des ressources financières allouées à ce mécanisme. Il est également préoccupé par l’information </w:t>
      </w:r>
      <w:r w:rsidR="00346341">
        <w:t>selon laquelle</w:t>
      </w:r>
      <w:r>
        <w:t xml:space="preserve"> le Comité </w:t>
      </w:r>
      <w:r w:rsidR="00346341">
        <w:t>s</w:t>
      </w:r>
      <w:r>
        <w:t xml:space="preserve">énégalais des </w:t>
      </w:r>
      <w:r w:rsidR="00346341">
        <w:t>d</w:t>
      </w:r>
      <w:r>
        <w:t xml:space="preserve">roits de </w:t>
      </w:r>
      <w:r w:rsidRPr="006F4161">
        <w:t>l’</w:t>
      </w:r>
      <w:r w:rsidR="00346341">
        <w:t>h</w:t>
      </w:r>
      <w:r w:rsidRPr="006F4161">
        <w:t xml:space="preserve">omme </w:t>
      </w:r>
      <w:r>
        <w:t>aurait de</w:t>
      </w:r>
      <w:r w:rsidRPr="006F4161">
        <w:t xml:space="preserve">s problèmes de financement adéquat et </w:t>
      </w:r>
      <w:r>
        <w:t>le</w:t>
      </w:r>
      <w:r w:rsidRPr="006F4161">
        <w:t xml:space="preserve"> processus de sélection</w:t>
      </w:r>
      <w:r>
        <w:t xml:space="preserve"> et de nomination de ses membres ne serait pas conforme aux Principes concernant le statut des institutions nationales pour la promotion et la protection des droits de l’homme (Principes de Paris, résolution 48/134 de l’Assemblée générale</w:t>
      </w:r>
      <w:r w:rsidR="00346341">
        <w:t>, annexe</w:t>
      </w:r>
      <w:r>
        <w:t xml:space="preserve">) </w:t>
      </w:r>
      <w:r w:rsidR="00346341">
        <w:t>[</w:t>
      </w:r>
      <w:r w:rsidRPr="00686DBA">
        <w:t>art. 2 et 12</w:t>
      </w:r>
      <w:r w:rsidR="00346341">
        <w:t>]</w:t>
      </w:r>
      <w:r w:rsidRPr="00686DBA">
        <w:t>.</w:t>
      </w:r>
    </w:p>
    <w:p w:rsidR="00C05A0D" w:rsidRDefault="00C05A0D" w:rsidP="00C05A0D">
      <w:pPr>
        <w:pStyle w:val="SingleTxtG"/>
        <w:rPr>
          <w:b/>
        </w:rPr>
      </w:pPr>
      <w:r>
        <w:rPr>
          <w:b/>
        </w:rPr>
        <w:t>L’État partie devrait:</w:t>
      </w:r>
    </w:p>
    <w:p w:rsidR="00C05A0D" w:rsidRDefault="00395551" w:rsidP="00C05A0D">
      <w:pPr>
        <w:pStyle w:val="SingleTxtG"/>
        <w:ind w:firstLine="567"/>
        <w:rPr>
          <w:b/>
        </w:rPr>
      </w:pPr>
      <w:r w:rsidRPr="007D3281">
        <w:rPr>
          <w:b/>
        </w:rPr>
        <w:t>a)</w:t>
      </w:r>
      <w:r>
        <w:rPr>
          <w:b/>
        </w:rPr>
        <w:tab/>
        <w:t>F</w:t>
      </w:r>
      <w:r w:rsidR="00C05A0D">
        <w:rPr>
          <w:b/>
        </w:rPr>
        <w:t xml:space="preserve">ournir les ressources nécessaires à </w:t>
      </w:r>
      <w:r w:rsidR="00C05A0D" w:rsidRPr="004F2C93">
        <w:rPr>
          <w:b/>
        </w:rPr>
        <w:t>l’Observat</w:t>
      </w:r>
      <w:r w:rsidR="00C74797">
        <w:rPr>
          <w:b/>
        </w:rPr>
        <w:t>eur</w:t>
      </w:r>
      <w:r w:rsidR="00C05A0D" w:rsidRPr="004F2C93">
        <w:rPr>
          <w:b/>
        </w:rPr>
        <w:t xml:space="preserve"> </w:t>
      </w:r>
      <w:r w:rsidR="00346341">
        <w:rPr>
          <w:b/>
        </w:rPr>
        <w:t>n</w:t>
      </w:r>
      <w:r w:rsidR="00C05A0D" w:rsidRPr="004F2C93">
        <w:rPr>
          <w:b/>
        </w:rPr>
        <w:t xml:space="preserve">ational des </w:t>
      </w:r>
      <w:r w:rsidR="00346341">
        <w:rPr>
          <w:b/>
        </w:rPr>
        <w:t>l</w:t>
      </w:r>
      <w:r w:rsidR="00C05A0D" w:rsidRPr="004F2C93">
        <w:rPr>
          <w:b/>
        </w:rPr>
        <w:t xml:space="preserve">ieux de </w:t>
      </w:r>
      <w:r w:rsidR="00346341">
        <w:rPr>
          <w:b/>
        </w:rPr>
        <w:t>p</w:t>
      </w:r>
      <w:r w:rsidR="00C05A0D" w:rsidRPr="004F2C93">
        <w:rPr>
          <w:b/>
        </w:rPr>
        <w:t xml:space="preserve">rivation de </w:t>
      </w:r>
      <w:r w:rsidR="00346341">
        <w:rPr>
          <w:b/>
        </w:rPr>
        <w:t>l</w:t>
      </w:r>
      <w:r w:rsidR="00C05A0D" w:rsidRPr="004F2C93">
        <w:rPr>
          <w:b/>
        </w:rPr>
        <w:t>iberté</w:t>
      </w:r>
      <w:r w:rsidR="00C05A0D">
        <w:rPr>
          <w:b/>
        </w:rPr>
        <w:t xml:space="preserve"> pour lui permettre de s’acquitter efficacement du mandat de mécanisme national de prévention du Sénégal, conformément </w:t>
      </w:r>
      <w:r w:rsidR="001769E0">
        <w:rPr>
          <w:b/>
        </w:rPr>
        <w:t xml:space="preserve">à l’OP-CAT et </w:t>
      </w:r>
      <w:r w:rsidR="00C05A0D">
        <w:rPr>
          <w:b/>
        </w:rPr>
        <w:t>aux directives concernant les mécanismes nationaux de prévention établies par le Sous-Comité pour la prévention de la torture. L’État partie devrait veiller à ce que les forces de l’ordre, les membres du parquet, les membres de l’armée</w:t>
      </w:r>
      <w:r w:rsidR="00E61753">
        <w:rPr>
          <w:b/>
        </w:rPr>
        <w:t>,</w:t>
      </w:r>
      <w:r w:rsidR="00C05A0D">
        <w:rPr>
          <w:b/>
        </w:rPr>
        <w:t xml:space="preserve"> le personnel pénitentiaire et </w:t>
      </w:r>
      <w:r w:rsidR="00DB40A1">
        <w:rPr>
          <w:b/>
        </w:rPr>
        <w:t xml:space="preserve">médical </w:t>
      </w:r>
      <w:r w:rsidR="00C05A0D">
        <w:rPr>
          <w:b/>
        </w:rPr>
        <w:t>collaborent avec l’Observat</w:t>
      </w:r>
      <w:r w:rsidR="00C74797">
        <w:rPr>
          <w:b/>
        </w:rPr>
        <w:t>eur</w:t>
      </w:r>
      <w:r w:rsidR="00C05A0D">
        <w:rPr>
          <w:b/>
        </w:rPr>
        <w:t xml:space="preserve">, et que ses recommandations </w:t>
      </w:r>
      <w:r w:rsidR="00C05A0D" w:rsidRPr="00C13FF1">
        <w:rPr>
          <w:b/>
        </w:rPr>
        <w:t xml:space="preserve">formulées </w:t>
      </w:r>
      <w:r w:rsidR="00C05A0D">
        <w:rPr>
          <w:b/>
        </w:rPr>
        <w:t xml:space="preserve">aux </w:t>
      </w:r>
      <w:r w:rsidR="00C05A0D" w:rsidRPr="00C13FF1">
        <w:rPr>
          <w:b/>
        </w:rPr>
        <w:t xml:space="preserve">autorités </w:t>
      </w:r>
      <w:r w:rsidR="00C05A0D">
        <w:rPr>
          <w:b/>
        </w:rPr>
        <w:t>soient</w:t>
      </w:r>
      <w:r w:rsidR="00C05A0D" w:rsidRPr="00C13FF1">
        <w:rPr>
          <w:b/>
        </w:rPr>
        <w:t xml:space="preserve"> suivies </w:t>
      </w:r>
      <w:r w:rsidR="00C05A0D">
        <w:rPr>
          <w:b/>
        </w:rPr>
        <w:t xml:space="preserve">de mesures concrètes pour </w:t>
      </w:r>
      <w:r w:rsidR="00346341">
        <w:rPr>
          <w:b/>
        </w:rPr>
        <w:t>améliorer</w:t>
      </w:r>
      <w:r w:rsidR="00C05A0D">
        <w:rPr>
          <w:b/>
        </w:rPr>
        <w:t xml:space="preserve"> la situation carcérale et la prévention de la torture.</w:t>
      </w:r>
      <w:r w:rsidR="00D820BE">
        <w:rPr>
          <w:b/>
        </w:rPr>
        <w:t xml:space="preserve"> Le Comité recommande par ailleurs à l’État partie de rendre public le rapport qui sera établi par le Sous-Comité pour la prévention de la torture à la suite de sa prochaine visite au Sénégal en décembre 2012</w:t>
      </w:r>
      <w:r w:rsidR="00346341">
        <w:rPr>
          <w:b/>
        </w:rPr>
        <w:t>.</w:t>
      </w:r>
    </w:p>
    <w:p w:rsidR="00C05A0D" w:rsidRPr="00510A9F" w:rsidRDefault="00395551" w:rsidP="00C05A0D">
      <w:pPr>
        <w:pStyle w:val="SingleTxtG"/>
        <w:ind w:firstLine="567"/>
        <w:rPr>
          <w:b/>
        </w:rPr>
      </w:pPr>
      <w:r w:rsidRPr="007D3281">
        <w:rPr>
          <w:b/>
        </w:rPr>
        <w:t>b)</w:t>
      </w:r>
      <w:r>
        <w:rPr>
          <w:b/>
        </w:rPr>
        <w:tab/>
        <w:t>P</w:t>
      </w:r>
      <w:r w:rsidR="00C05A0D">
        <w:rPr>
          <w:b/>
        </w:rPr>
        <w:t>rendre en considération les remarques formulées par le Comité international de coordination des institutions nationales pour la promotion et la protection des d</w:t>
      </w:r>
      <w:r>
        <w:rPr>
          <w:b/>
        </w:rPr>
        <w:t>r</w:t>
      </w:r>
      <w:r w:rsidR="00C05A0D">
        <w:rPr>
          <w:b/>
        </w:rPr>
        <w:t>oits de l’homme en vue d</w:t>
      </w:r>
      <w:r w:rsidR="00346341">
        <w:rPr>
          <w:b/>
        </w:rPr>
        <w:t>’assurer</w:t>
      </w:r>
      <w:r w:rsidR="00C05A0D">
        <w:rPr>
          <w:b/>
        </w:rPr>
        <w:t xml:space="preserve"> que le </w:t>
      </w:r>
      <w:r w:rsidR="00C05A0D" w:rsidRPr="00510A9F">
        <w:rPr>
          <w:b/>
        </w:rPr>
        <w:t xml:space="preserve">Comité </w:t>
      </w:r>
      <w:r w:rsidR="00346341">
        <w:rPr>
          <w:b/>
        </w:rPr>
        <w:t>s</w:t>
      </w:r>
      <w:r w:rsidR="00C05A0D" w:rsidRPr="00510A9F">
        <w:rPr>
          <w:b/>
        </w:rPr>
        <w:t xml:space="preserve">énégalais des </w:t>
      </w:r>
      <w:r w:rsidR="00346341">
        <w:rPr>
          <w:b/>
        </w:rPr>
        <w:t>d</w:t>
      </w:r>
      <w:r w:rsidR="00C05A0D" w:rsidRPr="00510A9F">
        <w:rPr>
          <w:b/>
        </w:rPr>
        <w:t>roits de l’</w:t>
      </w:r>
      <w:r w:rsidR="00346341">
        <w:rPr>
          <w:b/>
        </w:rPr>
        <w:t>h</w:t>
      </w:r>
      <w:r w:rsidR="00C05A0D" w:rsidRPr="00510A9F">
        <w:rPr>
          <w:b/>
        </w:rPr>
        <w:t>omme</w:t>
      </w:r>
      <w:r w:rsidR="00C05A0D">
        <w:rPr>
          <w:b/>
        </w:rPr>
        <w:t xml:space="preserve"> opère en conformité avec les Principes de Paris</w:t>
      </w:r>
      <w:r w:rsidR="00C05A0D">
        <w:rPr>
          <w:b/>
          <w:bCs/>
          <w:lang w:eastAsia="en-GB"/>
        </w:rPr>
        <w:t>.</w:t>
      </w:r>
    </w:p>
    <w:p w:rsidR="00C05A0D" w:rsidRPr="00686DBA" w:rsidRDefault="00C05A0D" w:rsidP="00C05A0D">
      <w:pPr>
        <w:pStyle w:val="H23G"/>
      </w:pPr>
      <w:r>
        <w:tab/>
      </w:r>
      <w:r>
        <w:tab/>
        <w:t xml:space="preserve">Mécanisme confidentiel de </w:t>
      </w:r>
      <w:r w:rsidRPr="00743020">
        <w:t>plainte</w:t>
      </w:r>
      <w:r>
        <w:t xml:space="preserve"> </w:t>
      </w:r>
    </w:p>
    <w:p w:rsidR="00C05A0D" w:rsidRPr="00686DBA" w:rsidRDefault="00C05A0D" w:rsidP="00C05A0D">
      <w:pPr>
        <w:pStyle w:val="SingleTxtG"/>
      </w:pPr>
      <w:r>
        <w:rPr>
          <w:lang w:eastAsia="en-GB"/>
        </w:rPr>
        <w:t>2</w:t>
      </w:r>
      <w:r w:rsidR="0013117A">
        <w:rPr>
          <w:lang w:eastAsia="en-GB"/>
        </w:rPr>
        <w:t>4</w:t>
      </w:r>
      <w:r>
        <w:rPr>
          <w:lang w:eastAsia="en-GB"/>
        </w:rPr>
        <w:t>.</w:t>
      </w:r>
      <w:r>
        <w:rPr>
          <w:lang w:eastAsia="en-GB"/>
        </w:rPr>
        <w:tab/>
      </w:r>
      <w:r>
        <w:t xml:space="preserve">Le Comité regrette </w:t>
      </w:r>
      <w:r w:rsidRPr="00686DBA">
        <w:t xml:space="preserve">qu’un mécanisme confidentiel </w:t>
      </w:r>
      <w:r>
        <w:t xml:space="preserve">de plainte </w:t>
      </w:r>
      <w:r w:rsidRPr="00686DBA">
        <w:t xml:space="preserve">n’ait pas été mis </w:t>
      </w:r>
      <w:r>
        <w:t>sur pied</w:t>
      </w:r>
      <w:r w:rsidRPr="00686DBA">
        <w:t xml:space="preserve"> pour permettre aux détenus de porter plainte pour torture ou</w:t>
      </w:r>
      <w:r>
        <w:t xml:space="preserve"> mauvais traitements (art. 2 </w:t>
      </w:r>
      <w:r w:rsidRPr="00686DBA">
        <w:t>et 16).</w:t>
      </w:r>
    </w:p>
    <w:p w:rsidR="00C05A0D" w:rsidRPr="00900578" w:rsidRDefault="00C05A0D" w:rsidP="00C05A0D">
      <w:pPr>
        <w:pStyle w:val="SingleTxtG"/>
        <w:rPr>
          <w:b/>
        </w:rPr>
      </w:pPr>
      <w:r w:rsidRPr="00994B54">
        <w:rPr>
          <w:b/>
          <w:lang w:eastAsia="en-GB"/>
        </w:rPr>
        <w:t>L’État partie devrait</w:t>
      </w:r>
      <w:r>
        <w:rPr>
          <w:lang w:eastAsia="en-GB"/>
        </w:rPr>
        <w:t xml:space="preserve"> </w:t>
      </w:r>
      <w:r w:rsidRPr="00686DBA">
        <w:rPr>
          <w:b/>
        </w:rPr>
        <w:t>créer un mécanisme confidentiel pour recevoir et examiner les plaintes pour torture ou mauvais traitements, et veiller à ce qu’un tel mécanisme soit mis en place dans tous les lieux de privation de liberté</w:t>
      </w:r>
      <w:r>
        <w:rPr>
          <w:b/>
        </w:rPr>
        <w:t>, en particulier dans les prisons</w:t>
      </w:r>
      <w:r w:rsidRPr="00686DBA">
        <w:rPr>
          <w:b/>
        </w:rPr>
        <w:t>.</w:t>
      </w:r>
      <w:r>
        <w:rPr>
          <w:b/>
        </w:rPr>
        <w:t xml:space="preserve"> Par ailleurs, ce mécanisme constituerait un atout important au mandat de </w:t>
      </w:r>
      <w:r w:rsidRPr="00900578">
        <w:rPr>
          <w:b/>
        </w:rPr>
        <w:t>l’Observat</w:t>
      </w:r>
      <w:r w:rsidR="00C74797">
        <w:rPr>
          <w:b/>
        </w:rPr>
        <w:t>eur</w:t>
      </w:r>
      <w:r w:rsidRPr="00900578">
        <w:rPr>
          <w:b/>
        </w:rPr>
        <w:t xml:space="preserve"> </w:t>
      </w:r>
      <w:r w:rsidR="00346341">
        <w:rPr>
          <w:b/>
        </w:rPr>
        <w:t>n</w:t>
      </w:r>
      <w:r w:rsidRPr="00900578">
        <w:rPr>
          <w:b/>
        </w:rPr>
        <w:t xml:space="preserve">ational des </w:t>
      </w:r>
      <w:r w:rsidR="00346341">
        <w:rPr>
          <w:b/>
        </w:rPr>
        <w:t>l</w:t>
      </w:r>
      <w:r w:rsidRPr="00900578">
        <w:rPr>
          <w:b/>
        </w:rPr>
        <w:t xml:space="preserve">ieux de </w:t>
      </w:r>
      <w:r w:rsidR="00346341">
        <w:rPr>
          <w:b/>
        </w:rPr>
        <w:t>p</w:t>
      </w:r>
      <w:r w:rsidRPr="00900578">
        <w:rPr>
          <w:b/>
        </w:rPr>
        <w:t xml:space="preserve">rivation de </w:t>
      </w:r>
      <w:r w:rsidR="00346341">
        <w:rPr>
          <w:b/>
        </w:rPr>
        <w:t>l</w:t>
      </w:r>
      <w:r w:rsidRPr="00900578">
        <w:rPr>
          <w:b/>
        </w:rPr>
        <w:t>iberté</w:t>
      </w:r>
      <w:r>
        <w:rPr>
          <w:b/>
        </w:rPr>
        <w:t>.</w:t>
      </w:r>
    </w:p>
    <w:p w:rsidR="00C05A0D" w:rsidRDefault="00C05A0D" w:rsidP="00C05A0D">
      <w:pPr>
        <w:pStyle w:val="H23G"/>
      </w:pPr>
      <w:r>
        <w:tab/>
      </w:r>
      <w:r>
        <w:tab/>
        <w:t>Formation</w:t>
      </w:r>
    </w:p>
    <w:p w:rsidR="00C05A0D" w:rsidRDefault="00C05A0D" w:rsidP="00C05A0D">
      <w:pPr>
        <w:pStyle w:val="SingleTxtG"/>
      </w:pPr>
      <w:r>
        <w:t>2</w:t>
      </w:r>
      <w:r w:rsidR="0013117A">
        <w:t>5</w:t>
      </w:r>
      <w:r>
        <w:t>.</w:t>
      </w:r>
      <w:r>
        <w:tab/>
        <w:t xml:space="preserve">Le Comité note l’organisation de programmes de formation aux droits de l’homme par l’État partie à l’intention des agents de la police et de la gendarmerie nationale. Il regrette toutefois le manque d’informations sur l’évaluation et l’impact de ces programmes de formation sur la réduction des cas de torture et de mauvais traitements. Le Comité </w:t>
      </w:r>
      <w:r w:rsidR="001769E0">
        <w:t xml:space="preserve">est préoccupé par </w:t>
      </w:r>
      <w:r>
        <w:t xml:space="preserve">la non-utilisation du Manuel pour enquêter efficacement sur la torture et autres peines ou traitements cruels, inhumains ou dégradants (Protocole d’Istanbul) </w:t>
      </w:r>
      <w:r w:rsidR="00346341">
        <w:t>[</w:t>
      </w:r>
      <w:r>
        <w:t>art. 10</w:t>
      </w:r>
      <w:r w:rsidR="00346341">
        <w:t>]</w:t>
      </w:r>
      <w:r>
        <w:t>.</w:t>
      </w:r>
    </w:p>
    <w:p w:rsidR="00C05A0D" w:rsidRPr="009B7280" w:rsidRDefault="00C05A0D" w:rsidP="00C05A0D">
      <w:pPr>
        <w:pStyle w:val="SingleTxtG"/>
        <w:rPr>
          <w:b/>
        </w:rPr>
      </w:pPr>
      <w:r w:rsidRPr="009B7280">
        <w:rPr>
          <w:b/>
        </w:rPr>
        <w:t xml:space="preserve">L’État partie devrait </w:t>
      </w:r>
      <w:r>
        <w:rPr>
          <w:b/>
        </w:rPr>
        <w:t>organiser d</w:t>
      </w:r>
      <w:r w:rsidRPr="009B7280">
        <w:rPr>
          <w:b/>
        </w:rPr>
        <w:t>es programmes de formation</w:t>
      </w:r>
      <w:r>
        <w:rPr>
          <w:b/>
        </w:rPr>
        <w:t xml:space="preserve"> ciblé</w:t>
      </w:r>
      <w:r w:rsidR="004C40A7">
        <w:rPr>
          <w:b/>
        </w:rPr>
        <w:t>s</w:t>
      </w:r>
      <w:r>
        <w:rPr>
          <w:b/>
        </w:rPr>
        <w:t xml:space="preserve"> à l’intention des agents nationaux visés par l’article 10 de la Convention</w:t>
      </w:r>
      <w:r w:rsidR="00346341">
        <w:rPr>
          <w:b/>
        </w:rPr>
        <w:t>,</w:t>
      </w:r>
      <w:r>
        <w:rPr>
          <w:b/>
        </w:rPr>
        <w:t xml:space="preserve"> notamment le personnel civil ou militaire chargé de l’application des lois et le personnel médical. En vue d</w:t>
      </w:r>
      <w:r w:rsidR="00346341">
        <w:rPr>
          <w:b/>
        </w:rPr>
        <w:t>e permettre à</w:t>
      </w:r>
      <w:r>
        <w:rPr>
          <w:b/>
        </w:rPr>
        <w:t xml:space="preserve"> ces personnes </w:t>
      </w:r>
      <w:r w:rsidR="00346341">
        <w:rPr>
          <w:b/>
        </w:rPr>
        <w:t>de</w:t>
      </w:r>
      <w:r>
        <w:rPr>
          <w:b/>
        </w:rPr>
        <w:t xml:space="preserve"> mieux détecter </w:t>
      </w:r>
      <w:r w:rsidR="001769E0">
        <w:rPr>
          <w:b/>
        </w:rPr>
        <w:t xml:space="preserve">et documenter </w:t>
      </w:r>
      <w:r>
        <w:rPr>
          <w:b/>
        </w:rPr>
        <w:t xml:space="preserve">les signes de torture et de mauvais traitements, le Protocole d’Istanbul devrait faire partie intégrante de ces formations. L’État partie devrait par ailleurs </w:t>
      </w:r>
      <w:r w:rsidRPr="009B7280">
        <w:rPr>
          <w:b/>
        </w:rPr>
        <w:t>évaluer l’efficacité</w:t>
      </w:r>
      <w:r>
        <w:rPr>
          <w:b/>
        </w:rPr>
        <w:t xml:space="preserve"> et l’impact de ces formations sur le respect et la mise en œuvre des dispositions de la Convention.</w:t>
      </w:r>
    </w:p>
    <w:p w:rsidR="00C05A0D" w:rsidRDefault="00C05A0D" w:rsidP="00C05A0D">
      <w:pPr>
        <w:pStyle w:val="H23G"/>
      </w:pPr>
      <w:r>
        <w:tab/>
      </w:r>
      <w:r>
        <w:tab/>
        <w:t>Collecte des données</w:t>
      </w:r>
    </w:p>
    <w:p w:rsidR="00C05A0D" w:rsidRDefault="00C05A0D" w:rsidP="00C05A0D">
      <w:pPr>
        <w:pStyle w:val="SingleTxtG"/>
      </w:pPr>
      <w:r>
        <w:t>2</w:t>
      </w:r>
      <w:r w:rsidR="0013117A">
        <w:t>6</w:t>
      </w:r>
      <w:r>
        <w:t>.</w:t>
      </w:r>
      <w:r>
        <w:tab/>
        <w:t>Le Comité regrette le manque  de données complètes et ventilées sur les plaintes, les enquêtes, les poursuites et les condamnations des cas de torture et de mauvais traitement</w:t>
      </w:r>
      <w:r w:rsidR="00E77244">
        <w:t>s</w:t>
      </w:r>
      <w:r>
        <w:t xml:space="preserve"> commis par les agents des forces de l’ordre, les officiers militaires, le personnel des services pénitentiaires et psychiatriques ainsi que les données statistiques sur </w:t>
      </w:r>
      <w:r w:rsidR="001769E0">
        <w:t>toute</w:t>
      </w:r>
      <w:r>
        <w:t xml:space="preserve"> forme de violence à l’égard des </w:t>
      </w:r>
      <w:r w:rsidR="00344964">
        <w:t xml:space="preserve">filles et </w:t>
      </w:r>
      <w:r w:rsidR="00E77244">
        <w:t xml:space="preserve">des </w:t>
      </w:r>
      <w:r>
        <w:t xml:space="preserve">femmes au Sénégal. </w:t>
      </w:r>
    </w:p>
    <w:p w:rsidR="00C05A0D" w:rsidRDefault="00C05A0D" w:rsidP="00C05A0D">
      <w:pPr>
        <w:pStyle w:val="SingleTxtG"/>
        <w:rPr>
          <w:b/>
        </w:rPr>
      </w:pPr>
      <w:r>
        <w:rPr>
          <w:b/>
        </w:rPr>
        <w:t xml:space="preserve">L’État partie devrait compiler les données susmentionnées au niveau national en vue de permettre une évaluation efficace de la mise en œuvre de la Convention et faciliter l’identification d’actions ciblées pour prévenir et lutter efficacement contre la torture, les mauvais traitements ainsi que toute forme de violence contre les </w:t>
      </w:r>
      <w:r w:rsidR="00E77244">
        <w:rPr>
          <w:b/>
        </w:rPr>
        <w:t xml:space="preserve">filles et les </w:t>
      </w:r>
      <w:r>
        <w:rPr>
          <w:b/>
        </w:rPr>
        <w:t>femmes. L’État partie devra</w:t>
      </w:r>
      <w:r w:rsidR="00E61753">
        <w:rPr>
          <w:b/>
        </w:rPr>
        <w:t>it</w:t>
      </w:r>
      <w:r>
        <w:rPr>
          <w:b/>
        </w:rPr>
        <w:t xml:space="preserve"> également fournir </w:t>
      </w:r>
      <w:r w:rsidR="00E77244">
        <w:rPr>
          <w:b/>
        </w:rPr>
        <w:t>d</w:t>
      </w:r>
      <w:r>
        <w:rPr>
          <w:b/>
        </w:rPr>
        <w:t>es données statistiques sur la réparation</w:t>
      </w:r>
      <w:r w:rsidR="001769E0">
        <w:rPr>
          <w:b/>
        </w:rPr>
        <w:t>, y compris l’</w:t>
      </w:r>
      <w:r w:rsidR="00FE5FEE">
        <w:rPr>
          <w:b/>
        </w:rPr>
        <w:t>indemnisation</w:t>
      </w:r>
      <w:r w:rsidR="00E77244">
        <w:rPr>
          <w:b/>
        </w:rPr>
        <w:t>,</w:t>
      </w:r>
      <w:r>
        <w:rPr>
          <w:b/>
        </w:rPr>
        <w:t xml:space="preserve"> ainsi que sur les moyens de réadaptation des victimes.</w:t>
      </w:r>
    </w:p>
    <w:p w:rsidR="00C05A0D" w:rsidRDefault="00C05A0D" w:rsidP="00C05A0D">
      <w:pPr>
        <w:pStyle w:val="SingleTxtG"/>
      </w:pPr>
      <w:r>
        <w:t>2</w:t>
      </w:r>
      <w:r w:rsidR="0013117A">
        <w:t>7</w:t>
      </w:r>
      <w:r>
        <w:t>.</w:t>
      </w:r>
      <w:r>
        <w:tab/>
        <w:t>L’État partie est invité à diffuser largement le rapport soumis au Comité ainsi que les présentes observations finales, dans les langues pertinentes, par le biais des sites Web officiels, des médias et des organisations non gouvernementales.</w:t>
      </w:r>
    </w:p>
    <w:p w:rsidR="00C05A0D" w:rsidRDefault="00C05A0D" w:rsidP="00C05A0D">
      <w:pPr>
        <w:pStyle w:val="SingleTxtG"/>
      </w:pPr>
      <w:r>
        <w:t>2</w:t>
      </w:r>
      <w:r w:rsidR="0013117A">
        <w:t>8</w:t>
      </w:r>
      <w:r>
        <w:t>.</w:t>
      </w:r>
      <w:r>
        <w:tab/>
        <w:t>Le Comité demande à l’État partie de lui faire parvenir, d’ici au 23 novembre 2013, des renseignements sur la suite donnée aux recommandations portant sur</w:t>
      </w:r>
      <w:r w:rsidR="00E77244">
        <w:t> </w:t>
      </w:r>
      <w:r>
        <w:t xml:space="preserve">: </w:t>
      </w:r>
      <w:r w:rsidRPr="00E77244">
        <w:rPr>
          <w:i/>
        </w:rPr>
        <w:t>a</w:t>
      </w:r>
      <w:r>
        <w:t>) la mise en place de garanties juridiques pour les personnes détenues ou le renforcement des garanties existantes</w:t>
      </w:r>
      <w:r w:rsidR="00E77244">
        <w:t> </w:t>
      </w:r>
      <w:r>
        <w:t xml:space="preserve">; </w:t>
      </w:r>
      <w:r w:rsidRPr="00E77244">
        <w:rPr>
          <w:i/>
        </w:rPr>
        <w:t>b</w:t>
      </w:r>
      <w:r>
        <w:t>) la conduite rapide d’enquêtes impartiales et effectives</w:t>
      </w:r>
      <w:r w:rsidR="00E77244">
        <w:t> </w:t>
      </w:r>
      <w:r>
        <w:t xml:space="preserve">; et </w:t>
      </w:r>
      <w:r w:rsidRPr="00E77244">
        <w:rPr>
          <w:i/>
        </w:rPr>
        <w:t>c</w:t>
      </w:r>
      <w:r>
        <w:t xml:space="preserve">) les poursuites engagées contre les suspects et les sanctions prises contre les auteurs d’actes de torture ou de mauvais traitements, recommandations qui sont formulées </w:t>
      </w:r>
      <w:r w:rsidR="00D76973">
        <w:t xml:space="preserve">à l’alinéa </w:t>
      </w:r>
      <w:r w:rsidR="00D76973" w:rsidRPr="00D76973">
        <w:rPr>
          <w:i/>
        </w:rPr>
        <w:t>a</w:t>
      </w:r>
      <w:r w:rsidR="00D76973">
        <w:t xml:space="preserve"> du</w:t>
      </w:r>
      <w:r>
        <w:t xml:space="preserve"> paragraphe 10</w:t>
      </w:r>
      <w:r w:rsidR="00D76973">
        <w:t>, à l’alinéa</w:t>
      </w:r>
      <w:r w:rsidR="001769E0">
        <w:t xml:space="preserve"> </w:t>
      </w:r>
      <w:r w:rsidR="001769E0" w:rsidRPr="00D76973">
        <w:rPr>
          <w:i/>
        </w:rPr>
        <w:t>a</w:t>
      </w:r>
      <w:r>
        <w:t xml:space="preserve">, </w:t>
      </w:r>
      <w:r w:rsidR="00D76973">
        <w:t xml:space="preserve">du paragraphe </w:t>
      </w:r>
      <w:r>
        <w:t>11</w:t>
      </w:r>
      <w:r w:rsidR="00D76973">
        <w:t xml:space="preserve"> et au paragraphe </w:t>
      </w:r>
      <w:r>
        <w:t>12 du présent document.</w:t>
      </w:r>
    </w:p>
    <w:p w:rsidR="00C05A0D" w:rsidRDefault="00C05A0D" w:rsidP="00C05A0D">
      <w:pPr>
        <w:pStyle w:val="SingleTxtG"/>
      </w:pPr>
      <w:r>
        <w:t>2</w:t>
      </w:r>
      <w:r w:rsidR="0013117A">
        <w:t>9</w:t>
      </w:r>
      <w:r>
        <w:t>.</w:t>
      </w:r>
      <w:r>
        <w:tab/>
        <w:t>L’État partie est invité à soumettre son prochain rapport périodique, qui sera le quatrième, d’ici au 23 novembre 2016. À cet effet, le Comité invite l’État partie à accepter, le 23 novembre 2013 au plus tard, d’établir son rapport selon la procédure facultative, qui consiste pour le Comité à adresser à l’État partie une liste de points à traiter établie avant la soumission du rapport périodique. Les réponses de l’État partie à la liste de points à traiter constitueront son prochain rapport périodique au titre de l’article 19 de la Convention.</w:t>
      </w:r>
    </w:p>
    <w:p w:rsidR="00E728BE" w:rsidRPr="00C05A0D" w:rsidRDefault="00C05A0D" w:rsidP="00C05A0D">
      <w:pPr>
        <w:spacing w:before="240"/>
        <w:ind w:left="1134" w:right="1134"/>
        <w:jc w:val="center"/>
        <w:rPr>
          <w:u w:val="single"/>
        </w:rPr>
      </w:pPr>
      <w:r>
        <w:rPr>
          <w:u w:val="single"/>
        </w:rPr>
        <w:tab/>
      </w:r>
      <w:r>
        <w:rPr>
          <w:u w:val="single"/>
        </w:rPr>
        <w:tab/>
      </w:r>
      <w:r>
        <w:rPr>
          <w:u w:val="single"/>
        </w:rPr>
        <w:tab/>
      </w:r>
    </w:p>
    <w:sectPr w:rsidR="00E728BE" w:rsidRPr="00C05A0D" w:rsidSect="0068410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62" w:rsidRDefault="00AF4962"/>
  </w:endnote>
  <w:endnote w:type="continuationSeparator" w:id="0">
    <w:p w:rsidR="00AF4962" w:rsidRDefault="00AF4962"/>
  </w:endnote>
  <w:endnote w:type="continuationNotice" w:id="1">
    <w:p w:rsidR="00AF4962" w:rsidRDefault="00AF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61" w:rsidRPr="0068410E" w:rsidRDefault="009E0961" w:rsidP="0068410E">
    <w:pPr>
      <w:pStyle w:val="Footer"/>
      <w:tabs>
        <w:tab w:val="right" w:pos="9638"/>
      </w:tabs>
    </w:pPr>
    <w:r w:rsidRPr="0068410E">
      <w:rPr>
        <w:b/>
        <w:sz w:val="18"/>
      </w:rPr>
      <w:fldChar w:fldCharType="begin"/>
    </w:r>
    <w:r w:rsidRPr="0068410E">
      <w:rPr>
        <w:b/>
        <w:sz w:val="18"/>
      </w:rPr>
      <w:instrText xml:space="preserve"> PAGE  \* MERGEFORMAT </w:instrText>
    </w:r>
    <w:r w:rsidRPr="0068410E">
      <w:rPr>
        <w:b/>
        <w:sz w:val="18"/>
      </w:rPr>
      <w:fldChar w:fldCharType="separate"/>
    </w:r>
    <w:r>
      <w:rPr>
        <w:b/>
        <w:noProof/>
        <w:sz w:val="18"/>
      </w:rPr>
      <w:t>2</w:t>
    </w:r>
    <w:r w:rsidRPr="006841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61" w:rsidRPr="0068410E" w:rsidRDefault="009E0961" w:rsidP="0068410E">
    <w:pPr>
      <w:pStyle w:val="Footer"/>
      <w:tabs>
        <w:tab w:val="right" w:pos="9638"/>
      </w:tabs>
      <w:rPr>
        <w:b/>
        <w:sz w:val="18"/>
      </w:rPr>
    </w:pPr>
    <w:r>
      <w:tab/>
    </w:r>
    <w:r w:rsidRPr="0068410E">
      <w:rPr>
        <w:b/>
        <w:sz w:val="18"/>
      </w:rPr>
      <w:fldChar w:fldCharType="begin"/>
    </w:r>
    <w:r w:rsidRPr="0068410E">
      <w:rPr>
        <w:b/>
        <w:sz w:val="18"/>
      </w:rPr>
      <w:instrText xml:space="preserve"> PAGE  \* MERGEFORMAT </w:instrText>
    </w:r>
    <w:r w:rsidRPr="0068410E">
      <w:rPr>
        <w:b/>
        <w:sz w:val="18"/>
      </w:rPr>
      <w:fldChar w:fldCharType="separate"/>
    </w:r>
    <w:r>
      <w:rPr>
        <w:b/>
        <w:noProof/>
        <w:sz w:val="18"/>
      </w:rPr>
      <w:t>9</w:t>
    </w:r>
    <w:r w:rsidRPr="006841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61" w:rsidRPr="0068410E" w:rsidRDefault="009E096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GE.13-40827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62" w:rsidRPr="00D27D5E" w:rsidRDefault="00AF4962" w:rsidP="00D27D5E">
      <w:pPr>
        <w:tabs>
          <w:tab w:val="right" w:pos="2155"/>
        </w:tabs>
        <w:spacing w:after="80"/>
        <w:ind w:left="680"/>
        <w:rPr>
          <w:u w:val="single"/>
        </w:rPr>
      </w:pPr>
      <w:r>
        <w:rPr>
          <w:u w:val="single"/>
        </w:rPr>
        <w:tab/>
      </w:r>
    </w:p>
  </w:footnote>
  <w:footnote w:type="continuationSeparator" w:id="0">
    <w:p w:rsidR="00AF4962" w:rsidRPr="00A103C4" w:rsidRDefault="00AF4962" w:rsidP="00A103C4">
      <w:pPr>
        <w:tabs>
          <w:tab w:val="right" w:pos="2155"/>
        </w:tabs>
        <w:spacing w:after="80"/>
        <w:ind w:left="680"/>
        <w:rPr>
          <w:u w:val="single"/>
        </w:rPr>
      </w:pPr>
      <w:r w:rsidRPr="00A103C4">
        <w:rPr>
          <w:u w:val="single"/>
        </w:rPr>
        <w:tab/>
      </w:r>
    </w:p>
  </w:footnote>
  <w:footnote w:type="continuationNotice" w:id="1">
    <w:p w:rsidR="00AF4962" w:rsidRDefault="00AF4962"/>
  </w:footnote>
  <w:footnote w:id="2">
    <w:p w:rsidR="009E0961" w:rsidRDefault="009E0961" w:rsidP="009E0961">
      <w:pPr>
        <w:pStyle w:val="FootnoteText"/>
        <w:tabs>
          <w:tab w:val="left" w:pos="1418"/>
        </w:tabs>
        <w:ind w:left="2155"/>
      </w:pPr>
      <w:r w:rsidRPr="009E0961">
        <w:rPr>
          <w:rStyle w:val="FootnoteReference"/>
        </w:rPr>
        <w:sym w:font="Symbol" w:char="F02A"/>
      </w:r>
      <w:r>
        <w:t xml:space="preserve"> </w:t>
      </w:r>
      <w:r>
        <w:tab/>
        <w:t>Nouveau tirage pour raisons techniques le 6 février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61" w:rsidRPr="00D820BE" w:rsidRDefault="009E0961">
    <w:pPr>
      <w:pStyle w:val="Header"/>
      <w:rPr>
        <w:lang w:val="en-GB"/>
      </w:rPr>
    </w:pPr>
    <w:r w:rsidRPr="00D820BE">
      <w:rPr>
        <w:lang w:val="en-GB"/>
      </w:rPr>
      <w:t>CAT/C/SEN/CO/3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61" w:rsidRPr="00D820BE" w:rsidRDefault="009E0961" w:rsidP="0068410E">
    <w:pPr>
      <w:pStyle w:val="Header"/>
      <w:jc w:val="right"/>
      <w:rPr>
        <w:lang w:val="en-GB"/>
      </w:rPr>
    </w:pPr>
    <w:r w:rsidRPr="00D820BE">
      <w:rPr>
        <w:lang w:val="en-GB"/>
      </w:rPr>
      <w:t>CAT/C/SEN/CO/3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10E"/>
    <w:rsid w:val="00016AC5"/>
    <w:rsid w:val="00051AAB"/>
    <w:rsid w:val="00055523"/>
    <w:rsid w:val="000709A3"/>
    <w:rsid w:val="000743B1"/>
    <w:rsid w:val="000761E6"/>
    <w:rsid w:val="000955AC"/>
    <w:rsid w:val="000F253B"/>
    <w:rsid w:val="000F41F2"/>
    <w:rsid w:val="000F5DAB"/>
    <w:rsid w:val="000F739B"/>
    <w:rsid w:val="00106E71"/>
    <w:rsid w:val="001130B0"/>
    <w:rsid w:val="0013117A"/>
    <w:rsid w:val="0014380D"/>
    <w:rsid w:val="00160540"/>
    <w:rsid w:val="00160A8C"/>
    <w:rsid w:val="00165123"/>
    <w:rsid w:val="00167DAA"/>
    <w:rsid w:val="001769E0"/>
    <w:rsid w:val="00192EEB"/>
    <w:rsid w:val="001A20FB"/>
    <w:rsid w:val="001D2018"/>
    <w:rsid w:val="001D7F8A"/>
    <w:rsid w:val="001E34D3"/>
    <w:rsid w:val="001E3FEB"/>
    <w:rsid w:val="001E4A02"/>
    <w:rsid w:val="001F51C1"/>
    <w:rsid w:val="00205FDF"/>
    <w:rsid w:val="00222E68"/>
    <w:rsid w:val="00225A8C"/>
    <w:rsid w:val="002360DA"/>
    <w:rsid w:val="00242AFF"/>
    <w:rsid w:val="00261728"/>
    <w:rsid w:val="002659F1"/>
    <w:rsid w:val="00287E79"/>
    <w:rsid w:val="002928F9"/>
    <w:rsid w:val="00297B00"/>
    <w:rsid w:val="002A0821"/>
    <w:rsid w:val="002A546B"/>
    <w:rsid w:val="002A5D07"/>
    <w:rsid w:val="002E0C1D"/>
    <w:rsid w:val="002F48F3"/>
    <w:rsid w:val="003016B7"/>
    <w:rsid w:val="0030576D"/>
    <w:rsid w:val="00311ADA"/>
    <w:rsid w:val="00320797"/>
    <w:rsid w:val="00344964"/>
    <w:rsid w:val="00346341"/>
    <w:rsid w:val="003515AA"/>
    <w:rsid w:val="00361F34"/>
    <w:rsid w:val="00374106"/>
    <w:rsid w:val="00381223"/>
    <w:rsid w:val="00382151"/>
    <w:rsid w:val="00391416"/>
    <w:rsid w:val="00393490"/>
    <w:rsid w:val="00395551"/>
    <w:rsid w:val="003976D5"/>
    <w:rsid w:val="003C1748"/>
    <w:rsid w:val="003D4E3D"/>
    <w:rsid w:val="003D6C68"/>
    <w:rsid w:val="004159D0"/>
    <w:rsid w:val="00435546"/>
    <w:rsid w:val="00455D94"/>
    <w:rsid w:val="00466529"/>
    <w:rsid w:val="004709EF"/>
    <w:rsid w:val="00485F6F"/>
    <w:rsid w:val="00490677"/>
    <w:rsid w:val="004A51A8"/>
    <w:rsid w:val="004C40A7"/>
    <w:rsid w:val="004E416E"/>
    <w:rsid w:val="004F6004"/>
    <w:rsid w:val="00501617"/>
    <w:rsid w:val="0050338B"/>
    <w:rsid w:val="00525DBB"/>
    <w:rsid w:val="005329B1"/>
    <w:rsid w:val="00534808"/>
    <w:rsid w:val="00543D5E"/>
    <w:rsid w:val="00550DB0"/>
    <w:rsid w:val="005610B3"/>
    <w:rsid w:val="00571F41"/>
    <w:rsid w:val="005831F5"/>
    <w:rsid w:val="005C18E7"/>
    <w:rsid w:val="005D0661"/>
    <w:rsid w:val="005D0890"/>
    <w:rsid w:val="005D0EBF"/>
    <w:rsid w:val="005E0932"/>
    <w:rsid w:val="005E5D1F"/>
    <w:rsid w:val="00611D43"/>
    <w:rsid w:val="00612D48"/>
    <w:rsid w:val="00616B45"/>
    <w:rsid w:val="00630D9B"/>
    <w:rsid w:val="00631953"/>
    <w:rsid w:val="00635BFF"/>
    <w:rsid w:val="006439EC"/>
    <w:rsid w:val="00645DFF"/>
    <w:rsid w:val="006647E0"/>
    <w:rsid w:val="006831FD"/>
    <w:rsid w:val="0068410E"/>
    <w:rsid w:val="006B132B"/>
    <w:rsid w:val="006B4590"/>
    <w:rsid w:val="006B684D"/>
    <w:rsid w:val="006C340C"/>
    <w:rsid w:val="006C3899"/>
    <w:rsid w:val="006D2A0C"/>
    <w:rsid w:val="00702774"/>
    <w:rsid w:val="0070347C"/>
    <w:rsid w:val="007176C1"/>
    <w:rsid w:val="0076016F"/>
    <w:rsid w:val="00777CB2"/>
    <w:rsid w:val="00793696"/>
    <w:rsid w:val="007B0499"/>
    <w:rsid w:val="007B06F5"/>
    <w:rsid w:val="007B7742"/>
    <w:rsid w:val="007D3281"/>
    <w:rsid w:val="007F3FA0"/>
    <w:rsid w:val="007F49BF"/>
    <w:rsid w:val="007F55CB"/>
    <w:rsid w:val="007F6BD2"/>
    <w:rsid w:val="008041A7"/>
    <w:rsid w:val="00812CCD"/>
    <w:rsid w:val="0081692E"/>
    <w:rsid w:val="00826090"/>
    <w:rsid w:val="00841DC3"/>
    <w:rsid w:val="00844750"/>
    <w:rsid w:val="008464C8"/>
    <w:rsid w:val="008556DD"/>
    <w:rsid w:val="00877831"/>
    <w:rsid w:val="008877F7"/>
    <w:rsid w:val="00892A6A"/>
    <w:rsid w:val="008A2501"/>
    <w:rsid w:val="008B44C4"/>
    <w:rsid w:val="008C0AF2"/>
    <w:rsid w:val="008C78AE"/>
    <w:rsid w:val="008E09C5"/>
    <w:rsid w:val="008E675E"/>
    <w:rsid w:val="008E7FAE"/>
    <w:rsid w:val="008F31B5"/>
    <w:rsid w:val="00911BF7"/>
    <w:rsid w:val="00926F94"/>
    <w:rsid w:val="00952DCF"/>
    <w:rsid w:val="00953DBF"/>
    <w:rsid w:val="009579FE"/>
    <w:rsid w:val="00977EC8"/>
    <w:rsid w:val="009940E7"/>
    <w:rsid w:val="0099604A"/>
    <w:rsid w:val="009B6DFC"/>
    <w:rsid w:val="009C532B"/>
    <w:rsid w:val="009D3A8C"/>
    <w:rsid w:val="009D57F4"/>
    <w:rsid w:val="009E0961"/>
    <w:rsid w:val="009E7956"/>
    <w:rsid w:val="00A103C4"/>
    <w:rsid w:val="00A2374E"/>
    <w:rsid w:val="00A2492E"/>
    <w:rsid w:val="00A24992"/>
    <w:rsid w:val="00A3009E"/>
    <w:rsid w:val="00A50390"/>
    <w:rsid w:val="00A56EA8"/>
    <w:rsid w:val="00A801DF"/>
    <w:rsid w:val="00A877CB"/>
    <w:rsid w:val="00A9386E"/>
    <w:rsid w:val="00AA17A7"/>
    <w:rsid w:val="00AC67A1"/>
    <w:rsid w:val="00AC7977"/>
    <w:rsid w:val="00AE352C"/>
    <w:rsid w:val="00AE3947"/>
    <w:rsid w:val="00AF4962"/>
    <w:rsid w:val="00B2180B"/>
    <w:rsid w:val="00B32E2D"/>
    <w:rsid w:val="00B36596"/>
    <w:rsid w:val="00B5234A"/>
    <w:rsid w:val="00B61990"/>
    <w:rsid w:val="00B63A55"/>
    <w:rsid w:val="00B77C99"/>
    <w:rsid w:val="00B81981"/>
    <w:rsid w:val="00B823FA"/>
    <w:rsid w:val="00B95FD4"/>
    <w:rsid w:val="00BA31B5"/>
    <w:rsid w:val="00BA5DDD"/>
    <w:rsid w:val="00BC554A"/>
    <w:rsid w:val="00BF0556"/>
    <w:rsid w:val="00C005F9"/>
    <w:rsid w:val="00C03D51"/>
    <w:rsid w:val="00C05A0D"/>
    <w:rsid w:val="00C07A42"/>
    <w:rsid w:val="00C1562D"/>
    <w:rsid w:val="00C261F8"/>
    <w:rsid w:val="00C33100"/>
    <w:rsid w:val="00C42566"/>
    <w:rsid w:val="00C50056"/>
    <w:rsid w:val="00C50939"/>
    <w:rsid w:val="00C5675E"/>
    <w:rsid w:val="00C6796C"/>
    <w:rsid w:val="00C740E8"/>
    <w:rsid w:val="00C74797"/>
    <w:rsid w:val="00C752F1"/>
    <w:rsid w:val="00C75801"/>
    <w:rsid w:val="00CA7CAA"/>
    <w:rsid w:val="00CD1A71"/>
    <w:rsid w:val="00CD1FBB"/>
    <w:rsid w:val="00CF0EEB"/>
    <w:rsid w:val="00D016B5"/>
    <w:rsid w:val="00D034F1"/>
    <w:rsid w:val="00D06B89"/>
    <w:rsid w:val="00D14BD8"/>
    <w:rsid w:val="00D158E1"/>
    <w:rsid w:val="00D27D5E"/>
    <w:rsid w:val="00D42BDD"/>
    <w:rsid w:val="00D471C6"/>
    <w:rsid w:val="00D76973"/>
    <w:rsid w:val="00D80C7A"/>
    <w:rsid w:val="00D820BE"/>
    <w:rsid w:val="00D861F1"/>
    <w:rsid w:val="00DB40A1"/>
    <w:rsid w:val="00DB41ED"/>
    <w:rsid w:val="00DB4FBC"/>
    <w:rsid w:val="00DE2E2C"/>
    <w:rsid w:val="00DE59D0"/>
    <w:rsid w:val="00DE60FA"/>
    <w:rsid w:val="00DE6D90"/>
    <w:rsid w:val="00DF002F"/>
    <w:rsid w:val="00DF4446"/>
    <w:rsid w:val="00DF6163"/>
    <w:rsid w:val="00E01507"/>
    <w:rsid w:val="00E0244D"/>
    <w:rsid w:val="00E02724"/>
    <w:rsid w:val="00E02C4A"/>
    <w:rsid w:val="00E0427F"/>
    <w:rsid w:val="00E61753"/>
    <w:rsid w:val="00E631FA"/>
    <w:rsid w:val="00E67F33"/>
    <w:rsid w:val="00E70071"/>
    <w:rsid w:val="00E71A57"/>
    <w:rsid w:val="00E728BE"/>
    <w:rsid w:val="00E77244"/>
    <w:rsid w:val="00E81E94"/>
    <w:rsid w:val="00E82607"/>
    <w:rsid w:val="00E90F05"/>
    <w:rsid w:val="00E92651"/>
    <w:rsid w:val="00ED7CB6"/>
    <w:rsid w:val="00EE1A0D"/>
    <w:rsid w:val="00F05F60"/>
    <w:rsid w:val="00F145A3"/>
    <w:rsid w:val="00F20DAA"/>
    <w:rsid w:val="00F347D8"/>
    <w:rsid w:val="00F41E5D"/>
    <w:rsid w:val="00F436F6"/>
    <w:rsid w:val="00F51E3D"/>
    <w:rsid w:val="00F76AEF"/>
    <w:rsid w:val="00F95A12"/>
    <w:rsid w:val="00FA5A79"/>
    <w:rsid w:val="00FB0BFE"/>
    <w:rsid w:val="00FB4C51"/>
    <w:rsid w:val="00FD16F0"/>
    <w:rsid w:val="00FD368D"/>
    <w:rsid w:val="00FE2E4F"/>
    <w:rsid w:val="00FE5FEE"/>
    <w:rsid w:val="00FF1279"/>
    <w:rsid w:val="00FF1DBD"/>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C05A0D"/>
    <w:rPr>
      <w:lang w:val="fr-CH" w:eastAsia="en-US"/>
    </w:rPr>
  </w:style>
  <w:style w:type="character" w:customStyle="1" w:styleId="H23GChar">
    <w:name w:val="_ H_2/3_G Char"/>
    <w:link w:val="H23G"/>
    <w:locked/>
    <w:rsid w:val="00C05A0D"/>
    <w:rPr>
      <w:b/>
      <w:lang w:val="fr-CH" w:eastAsia="en-US"/>
    </w:rPr>
  </w:style>
  <w:style w:type="character" w:customStyle="1" w:styleId="H1GChar">
    <w:name w:val="_ H_1_G Char"/>
    <w:link w:val="H1G"/>
    <w:locked/>
    <w:rsid w:val="00C05A0D"/>
    <w:rPr>
      <w:b/>
      <w:sz w:val="24"/>
      <w:lang w:val="fr-CH" w:eastAsia="en-US"/>
    </w:rPr>
  </w:style>
  <w:style w:type="character" w:customStyle="1" w:styleId="hps">
    <w:name w:val="hps"/>
    <w:rsid w:val="00C05A0D"/>
  </w:style>
  <w:style w:type="paragraph" w:styleId="BalloonText">
    <w:name w:val="Balloon Text"/>
    <w:basedOn w:val="Normal"/>
    <w:link w:val="BalloonTextChar"/>
    <w:rsid w:val="00793696"/>
    <w:pPr>
      <w:spacing w:line="240" w:lineRule="auto"/>
    </w:pPr>
    <w:rPr>
      <w:rFonts w:ascii="Tahoma" w:hAnsi="Tahoma"/>
      <w:sz w:val="16"/>
      <w:szCs w:val="16"/>
    </w:rPr>
  </w:style>
  <w:style w:type="character" w:customStyle="1" w:styleId="BalloonTextChar">
    <w:name w:val="Balloon Text Char"/>
    <w:link w:val="BalloonText"/>
    <w:rsid w:val="00793696"/>
    <w:rPr>
      <w:rFonts w:ascii="Tahoma" w:hAnsi="Tahoma" w:cs="Tahoma"/>
      <w:sz w:val="16"/>
      <w:szCs w:val="16"/>
      <w:lang w:val="fr-CH" w:eastAsia="en-US"/>
    </w:rPr>
  </w:style>
  <w:style w:type="character" w:styleId="CommentReference">
    <w:name w:val="annotation reference"/>
    <w:rsid w:val="00D06B89"/>
    <w:rPr>
      <w:sz w:val="16"/>
      <w:szCs w:val="16"/>
    </w:rPr>
  </w:style>
  <w:style w:type="paragraph" w:styleId="CommentText">
    <w:name w:val="annotation text"/>
    <w:basedOn w:val="Normal"/>
    <w:link w:val="CommentTextChar"/>
    <w:rsid w:val="00D06B89"/>
  </w:style>
  <w:style w:type="character" w:customStyle="1" w:styleId="CommentTextChar">
    <w:name w:val="Comment Text Char"/>
    <w:link w:val="CommentText"/>
    <w:rsid w:val="00D06B89"/>
    <w:rPr>
      <w:lang w:val="fr-CH" w:eastAsia="en-US"/>
    </w:rPr>
  </w:style>
  <w:style w:type="paragraph" w:styleId="CommentSubject">
    <w:name w:val="annotation subject"/>
    <w:basedOn w:val="CommentText"/>
    <w:next w:val="CommentText"/>
    <w:link w:val="CommentSubjectChar"/>
    <w:rsid w:val="00D06B89"/>
    <w:rPr>
      <w:b/>
      <w:bCs/>
    </w:rPr>
  </w:style>
  <w:style w:type="character" w:customStyle="1" w:styleId="CommentSubjectChar">
    <w:name w:val="Comment Subject Char"/>
    <w:link w:val="CommentSubject"/>
    <w:rsid w:val="00D06B89"/>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Template>
  <TotalTime>3</TotalTime>
  <Pages>1</Pages>
  <Words>4669</Words>
  <Characters>25075</Characters>
  <Application>Microsoft Office Word</Application>
  <DocSecurity>4</DocSecurity>
  <Lines>417</Lines>
  <Paragraphs>129</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Corvalan Bounkham</dc:creator>
  <cp:keywords/>
  <cp:lastModifiedBy>DCM</cp:lastModifiedBy>
  <cp:revision>3</cp:revision>
  <cp:lastPrinted>2013-01-16T16:24:00Z</cp:lastPrinted>
  <dcterms:created xsi:type="dcterms:W3CDTF">2013-02-05T15:43:00Z</dcterms:created>
  <dcterms:modified xsi:type="dcterms:W3CDTF">2013-02-05T15:46:00Z</dcterms:modified>
</cp:coreProperties>
</file>