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0E1D304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F107B8" w14:textId="77777777" w:rsidR="002D5AAC" w:rsidRDefault="002D5AAC" w:rsidP="00EE4F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AC1FF67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F6FD8EE" w14:textId="3483D1B2" w:rsidR="002D5AAC" w:rsidRDefault="00EE4FD8" w:rsidP="00EE4FD8">
            <w:pPr>
              <w:jc w:val="right"/>
            </w:pPr>
            <w:r w:rsidRPr="00EE4FD8">
              <w:rPr>
                <w:sz w:val="40"/>
              </w:rPr>
              <w:t>CAT</w:t>
            </w:r>
            <w:r w:rsidRPr="00EE4FD8">
              <w:t>/C/MWI/CO/1</w:t>
            </w:r>
          </w:p>
        </w:tc>
      </w:tr>
      <w:tr w:rsidR="002D5AAC" w:rsidRPr="00C23549" w14:paraId="0946B840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90EE8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3AA6AA" wp14:editId="361872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6D9493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07C5AF3" w14:textId="77777777" w:rsidR="002D5AAC" w:rsidRDefault="00EE4FD8" w:rsidP="00F90E4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.: General</w:t>
            </w:r>
          </w:p>
          <w:p w14:paraId="053B61C8" w14:textId="77777777" w:rsidR="00EE4FD8" w:rsidRDefault="00EE4FD8" w:rsidP="00EE4FD8">
            <w:pPr>
              <w:spacing w:line="240" w:lineRule="exact"/>
            </w:pPr>
            <w:r>
              <w:t xml:space="preserve">9 </w:t>
            </w:r>
            <w:proofErr w:type="spellStart"/>
            <w:r>
              <w:t>December</w:t>
            </w:r>
            <w:proofErr w:type="spellEnd"/>
            <w:r>
              <w:t xml:space="preserve"> 2022</w:t>
            </w:r>
          </w:p>
          <w:p w14:paraId="6556E6FB" w14:textId="77777777" w:rsidR="00EE4FD8" w:rsidRDefault="00EE4FD8" w:rsidP="00EE4FD8">
            <w:pPr>
              <w:spacing w:line="240" w:lineRule="exact"/>
            </w:pPr>
            <w:r>
              <w:t>Russian</w:t>
            </w:r>
          </w:p>
          <w:p w14:paraId="7DE9B160" w14:textId="5114DAD0" w:rsidR="00EE4FD8" w:rsidRPr="00E528D1" w:rsidRDefault="00EE4FD8" w:rsidP="00EE4FD8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>: English</w:t>
            </w:r>
          </w:p>
        </w:tc>
      </w:tr>
    </w:tbl>
    <w:p w14:paraId="6E05B3D3" w14:textId="77777777" w:rsidR="00EE4FD8" w:rsidRPr="00EE4FD8" w:rsidRDefault="00EE4FD8" w:rsidP="00EE4FD8">
      <w:pPr>
        <w:spacing w:before="120"/>
        <w:rPr>
          <w:b/>
          <w:sz w:val="24"/>
          <w:szCs w:val="24"/>
        </w:rPr>
      </w:pPr>
      <w:r w:rsidRPr="00EE4FD8">
        <w:rPr>
          <w:b/>
          <w:bCs/>
          <w:sz w:val="24"/>
          <w:szCs w:val="24"/>
        </w:rPr>
        <w:t>Комитет против пыток</w:t>
      </w:r>
    </w:p>
    <w:p w14:paraId="6BD08B41" w14:textId="77777777" w:rsidR="00EE4FD8" w:rsidRPr="00511075" w:rsidRDefault="00EE4FD8" w:rsidP="00EE4FD8">
      <w:pPr>
        <w:pStyle w:val="HChG"/>
        <w:rPr>
          <w:bCs/>
        </w:rPr>
      </w:pPr>
      <w:r>
        <w:tab/>
      </w:r>
      <w:r>
        <w:tab/>
      </w:r>
      <w:r>
        <w:rPr>
          <w:bCs/>
        </w:rPr>
        <w:t>Заключительные замечания по первоначальному докладу Малави</w:t>
      </w:r>
      <w:r w:rsidRPr="00EE4FD8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14:paraId="3A7B2224" w14:textId="4E85B791" w:rsidR="00EE4FD8" w:rsidRPr="00511075" w:rsidRDefault="00EE4FD8" w:rsidP="00EE4FD8">
      <w:pPr>
        <w:pStyle w:val="SingleTxtG"/>
      </w:pPr>
      <w:r>
        <w:t>1.</w:t>
      </w:r>
      <w:r>
        <w:tab/>
        <w:t>Комитет рассмотрел первоначальный доклад Малави</w:t>
      </w:r>
      <w:r w:rsidRPr="00EE4FD8">
        <w:rPr>
          <w:sz w:val="18"/>
          <w:vertAlign w:val="superscript"/>
        </w:rPr>
        <w:footnoteReference w:id="2"/>
      </w:r>
      <w:r>
        <w:t xml:space="preserve"> на своих 1941-м и </w:t>
      </w:r>
      <w:r>
        <w:br/>
      </w:r>
      <w:r>
        <w:t>1944-м заседаниях</w:t>
      </w:r>
      <w:r w:rsidRPr="00EE4FD8">
        <w:rPr>
          <w:sz w:val="18"/>
          <w:vertAlign w:val="superscript"/>
        </w:rPr>
        <w:footnoteReference w:id="3"/>
      </w:r>
      <w:r>
        <w:t xml:space="preserve">, состоявшихся 2 и 3 ноября 2022 года, и на своих 1965-м и </w:t>
      </w:r>
      <w:r>
        <w:br/>
      </w:r>
      <w:r>
        <w:t>1968-м заседаниях, состоявшихся 18 и 21 ноября 2022 года, принял настоящие заключительные замечания.</w:t>
      </w:r>
    </w:p>
    <w:p w14:paraId="20D99DB7" w14:textId="77777777" w:rsidR="00EE4FD8" w:rsidRPr="00511075" w:rsidRDefault="00EE4FD8" w:rsidP="00EE4FD8">
      <w:pPr>
        <w:pStyle w:val="H1G"/>
        <w:rPr>
          <w:rFonts w:eastAsia="SimSun"/>
        </w:rPr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578438C4" w14:textId="77777777" w:rsidR="00EE4FD8" w:rsidRPr="00511075" w:rsidRDefault="00EE4FD8" w:rsidP="00EE4FD8">
      <w:pPr>
        <w:pStyle w:val="SingleTxtG"/>
      </w:pPr>
      <w:r>
        <w:t>2.</w:t>
      </w:r>
      <w:r>
        <w:tab/>
        <w:t>Комитет приветствует принятие государством-участником упрощенной процедуры представления докладов 8 декабря 2016 года и ответ на перечень вопросов до представления доклада, который считается первоначальным докладом государства-участника, наряду с дополнительной информацией, предоставленной в ходе рассмотрения первоначального доклада. Вместе с тем он сожалеет о том, что первоначальный доклад был представлен с двадцатидвухлетним опозданием.</w:t>
      </w:r>
    </w:p>
    <w:p w14:paraId="06829564" w14:textId="77777777" w:rsidR="00EE4FD8" w:rsidRPr="00511075" w:rsidRDefault="00EE4FD8" w:rsidP="00EE4FD8">
      <w:pPr>
        <w:pStyle w:val="SingleTxtG"/>
        <w:rPr>
          <w:rFonts w:eastAsia="Calibri"/>
        </w:rPr>
      </w:pPr>
      <w:r>
        <w:t>3.</w:t>
      </w:r>
      <w:r>
        <w:tab/>
        <w:t xml:space="preserve">Комитет выражает удовлетворение в связи с возможностью проведения конструктивного диалога с делегацией государства-участника и высоко оценивает ответы на вопросы и озабоченности, прозвучавшие в ходе рассмотрения периодического доклада. </w:t>
      </w:r>
    </w:p>
    <w:p w14:paraId="5AA9DD2A" w14:textId="77777777" w:rsidR="00EE4FD8" w:rsidRPr="00511075" w:rsidRDefault="00EE4FD8" w:rsidP="00EE4FD8">
      <w:pPr>
        <w:pStyle w:val="H1G"/>
        <w:rPr>
          <w:rFonts w:eastAsia="SimSun"/>
        </w:rPr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41968B2B" w14:textId="77777777" w:rsidR="00EE4FD8" w:rsidRPr="00511075" w:rsidRDefault="00EE4FD8" w:rsidP="00EE4FD8">
      <w:pPr>
        <w:pStyle w:val="SingleTxtG"/>
        <w:rPr>
          <w:rFonts w:eastAsiaTheme="minorHAnsi"/>
        </w:rPr>
      </w:pPr>
      <w:r>
        <w:t>4.</w:t>
      </w:r>
      <w:r>
        <w:tab/>
        <w:t>Комитет приветствует ратификацию государством-участником следующих международных договоров или присоединение к ним с момента его присоединения к Конвенции:</w:t>
      </w:r>
    </w:p>
    <w:p w14:paraId="4765D493" w14:textId="7AE00BB1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a)</w:t>
      </w:r>
      <w:r>
        <w:tab/>
        <w:t>Международная конвенция о защите прав всех трудящихся-мигрантов и членов их семей, в 2022 году;</w:t>
      </w:r>
    </w:p>
    <w:p w14:paraId="2898F115" w14:textId="002D733A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b)</w:t>
      </w:r>
      <w:r>
        <w:tab/>
        <w:t>Международная конвенция для защиты всех лиц от насильственных исчезновений, в 2017 году;</w:t>
      </w:r>
    </w:p>
    <w:p w14:paraId="0E6578C4" w14:textId="6AAA172A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c)</w:t>
      </w:r>
      <w:r>
        <w:tab/>
        <w:t>Факультативный протокол к Конвенции о правах ребенка, касающийся участия детей в вооруженных конфликтах, в 2010 году;</w:t>
      </w:r>
    </w:p>
    <w:p w14:paraId="65D6AB47" w14:textId="1A478EB6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d)</w:t>
      </w:r>
      <w:r>
        <w:tab/>
        <w:t>Конвенция о правах инвалидов, в 2009 году;</w:t>
      </w:r>
    </w:p>
    <w:p w14:paraId="7775A5D8" w14:textId="463AA5EC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e)</w:t>
      </w:r>
      <w:r>
        <w:tab/>
        <w:t xml:space="preserve">Факультативный протокол к Конвенции о правах ребенка, касающийся торговли детьми, детской проституции и детской порнографии, в 2009 году; </w:t>
      </w:r>
    </w:p>
    <w:p w14:paraId="7768549D" w14:textId="721936F2" w:rsidR="00EE4FD8" w:rsidRPr="00511075" w:rsidRDefault="00EE4FD8" w:rsidP="00EE4FD8">
      <w:pPr>
        <w:pStyle w:val="SingleTxtG"/>
        <w:rPr>
          <w:rFonts w:eastAsiaTheme="minorHAnsi"/>
        </w:rPr>
      </w:pPr>
      <w:r>
        <w:lastRenderedPageBreak/>
        <w:tab/>
      </w:r>
      <w:r>
        <w:t>f)</w:t>
      </w:r>
      <w:r>
        <w:tab/>
        <w:t xml:space="preserve"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преступности, </w:t>
      </w:r>
      <w:r>
        <w:br/>
      </w:r>
      <w:r>
        <w:t>в 2005 году;</w:t>
      </w:r>
    </w:p>
    <w:p w14:paraId="788302B1" w14:textId="4C5DE8B6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g)</w:t>
      </w:r>
      <w:r>
        <w:tab/>
        <w:t xml:space="preserve">Протокол Сообщества по вопросам развития юга Африки о выдаче, </w:t>
      </w:r>
      <w:r>
        <w:br/>
      </w:r>
      <w:r>
        <w:t>в 2002 году.</w:t>
      </w:r>
    </w:p>
    <w:p w14:paraId="550B43A6" w14:textId="77777777" w:rsidR="00EE4FD8" w:rsidRPr="00511075" w:rsidRDefault="00EE4FD8" w:rsidP="00EE4FD8">
      <w:pPr>
        <w:pStyle w:val="SingleTxtG"/>
        <w:rPr>
          <w:rFonts w:eastAsiaTheme="minorHAnsi"/>
        </w:rPr>
      </w:pPr>
      <w:r>
        <w:t>5.</w:t>
      </w:r>
      <w:r>
        <w:tab/>
        <w:t>Комитет также приветствует инициативы государства-участника по пересмотру и введению законодательства в областях, имеющих отношение к Конвенции, включая вступление в силу следующих законов:</w:t>
      </w:r>
    </w:p>
    <w:p w14:paraId="2C2F212E" w14:textId="4F6681D5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a)</w:t>
      </w:r>
      <w:r>
        <w:tab/>
        <w:t xml:space="preserve">Закон о доступе к информации, в 2017 году; </w:t>
      </w:r>
    </w:p>
    <w:p w14:paraId="2718AE70" w14:textId="2A8FA9F0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b)</w:t>
      </w:r>
      <w:r>
        <w:tab/>
        <w:t>Закон о ВИЧ/СПИДе (профилактика и управление), в 2018 году;</w:t>
      </w:r>
    </w:p>
    <w:p w14:paraId="78E8D886" w14:textId="647722B1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c)</w:t>
      </w:r>
      <w:r>
        <w:tab/>
        <w:t>Закон о борьбе с торговлей людьми, в 2015 году;</w:t>
      </w:r>
    </w:p>
    <w:p w14:paraId="17C784B8" w14:textId="7418AFB2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d)</w:t>
      </w:r>
      <w:r>
        <w:tab/>
        <w:t xml:space="preserve">Закон о заключении и расторжении брака и семейных отношениях, </w:t>
      </w:r>
      <w:r>
        <w:br/>
      </w:r>
      <w:r>
        <w:t>в 2015 году;</w:t>
      </w:r>
    </w:p>
    <w:p w14:paraId="5C3B3A05" w14:textId="09936B95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e)</w:t>
      </w:r>
      <w:r>
        <w:tab/>
        <w:t>Закон о гендерном равенстве, в 2014 году;</w:t>
      </w:r>
    </w:p>
    <w:p w14:paraId="672DADFA" w14:textId="7792ED6C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f)</w:t>
      </w:r>
      <w:r>
        <w:tab/>
        <w:t xml:space="preserve">Закон об уходе за детьми, их защите и правосудии, в 2014 году; </w:t>
      </w:r>
    </w:p>
    <w:p w14:paraId="5E7839B1" w14:textId="5AAB2E36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 xml:space="preserve">g) </w:t>
      </w:r>
      <w:r>
        <w:tab/>
        <w:t xml:space="preserve">Закон о предотвращении домашнего насилия, в 2006 году. </w:t>
      </w:r>
    </w:p>
    <w:p w14:paraId="454A2E64" w14:textId="77777777" w:rsidR="00EE4FD8" w:rsidRPr="00511075" w:rsidRDefault="00EE4FD8" w:rsidP="00EE4FD8">
      <w:pPr>
        <w:pStyle w:val="SingleTxtG"/>
        <w:rPr>
          <w:rFonts w:eastAsiaTheme="minorHAnsi"/>
        </w:rPr>
      </w:pPr>
      <w:r>
        <w:t xml:space="preserve">6. </w:t>
      </w:r>
      <w:r>
        <w:tab/>
        <w:t xml:space="preserve">Комитет высоко оценивает инициативы государства-участника по изменению своих стратегий и процедур в целях обеспечения более эффективной защиты прав человека и применения Конвенции, в частности принятие следующих документов: </w:t>
      </w:r>
    </w:p>
    <w:p w14:paraId="49E28C2B" w14:textId="60C0EBE3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 xml:space="preserve">a) </w:t>
      </w:r>
      <w:r>
        <w:tab/>
        <w:t>Национальный план действий по выполнению резолюции 1325 Совета Безопасности Организации Объединенных Наций о женщинах, мире и безопасности (2021</w:t>
      </w:r>
      <w:r w:rsidR="003965EE">
        <w:t>–</w:t>
      </w:r>
      <w:r>
        <w:t>2025</w:t>
      </w:r>
      <w:r>
        <w:t> годы</w:t>
      </w:r>
      <w:r>
        <w:t>);</w:t>
      </w:r>
    </w:p>
    <w:p w14:paraId="13281F4C" w14:textId="4685B8A6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b)</w:t>
      </w:r>
      <w:r>
        <w:tab/>
        <w:t>Национальная стратегия искоренения детских браков (2018</w:t>
      </w:r>
      <w:r>
        <w:t>–</w:t>
      </w:r>
      <w:r>
        <w:t>2023</w:t>
      </w:r>
      <w:r>
        <w:t> годы</w:t>
      </w:r>
      <w:r>
        <w:t xml:space="preserve">); </w:t>
      </w:r>
    </w:p>
    <w:p w14:paraId="054559A4" w14:textId="77913887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c)</w:t>
      </w:r>
      <w:r>
        <w:tab/>
        <w:t>Национальный план действий по борьбе с гендерным насилием в Малави (2014</w:t>
      </w:r>
      <w:r w:rsidR="003965EE">
        <w:t>–</w:t>
      </w:r>
      <w:r>
        <w:t>2020</w:t>
      </w:r>
      <w:r>
        <w:t> годы</w:t>
      </w:r>
      <w:r>
        <w:t>);</w:t>
      </w:r>
    </w:p>
    <w:p w14:paraId="508C9070" w14:textId="3B05AE10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d)</w:t>
      </w:r>
      <w:r>
        <w:tab/>
        <w:t xml:space="preserve">Национальный план действий по борьбе с торговлей людьми </w:t>
      </w:r>
      <w:r>
        <w:br/>
      </w:r>
      <w:r>
        <w:t>(2017</w:t>
      </w:r>
      <w:r>
        <w:t>–</w:t>
      </w:r>
      <w:r>
        <w:t>2022</w:t>
      </w:r>
      <w:r>
        <w:t> годы</w:t>
      </w:r>
      <w:r>
        <w:t>);</w:t>
      </w:r>
    </w:p>
    <w:p w14:paraId="3B8E0ACE" w14:textId="3A8029EA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 xml:space="preserve">e) </w:t>
      </w:r>
      <w:r>
        <w:tab/>
        <w:t xml:space="preserve">Стандартные оперативные процедуры и Национальный механизм перенаправления для выявления жертв торговли людьми, в 2019 году; </w:t>
      </w:r>
    </w:p>
    <w:p w14:paraId="53414CD0" w14:textId="2CF7D727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f)</w:t>
      </w:r>
      <w:r>
        <w:tab/>
        <w:t>Национальный план действий в отношении лиц с альбинизмом в Малави (2018</w:t>
      </w:r>
      <w:r>
        <w:t>–</w:t>
      </w:r>
      <w:r>
        <w:t>2022</w:t>
      </w:r>
      <w:r>
        <w:t> годы</w:t>
      </w:r>
      <w:r>
        <w:t>);</w:t>
      </w:r>
    </w:p>
    <w:p w14:paraId="0B2CA873" w14:textId="63F36CCF" w:rsidR="00EE4FD8" w:rsidRPr="00511075" w:rsidRDefault="00EE4FD8" w:rsidP="00EE4FD8">
      <w:pPr>
        <w:pStyle w:val="SingleTxtG"/>
      </w:pPr>
      <w:r>
        <w:tab/>
      </w:r>
      <w:r>
        <w:t>g)</w:t>
      </w:r>
      <w:r>
        <w:tab/>
        <w:t>Национальный план действий в области прав человека, в 2018 году.</w:t>
      </w:r>
    </w:p>
    <w:p w14:paraId="4B46F1EF" w14:textId="43FC68E6" w:rsidR="00EE4FD8" w:rsidRPr="00511075" w:rsidRDefault="00EE4FD8" w:rsidP="00EE4FD8">
      <w:pPr>
        <w:pStyle w:val="H1G"/>
        <w:rPr>
          <w:rFonts w:eastAsia="SimSun"/>
        </w:rPr>
      </w:pPr>
      <w:r>
        <w:rPr>
          <w:bCs/>
        </w:rPr>
        <w:tab/>
        <w:t>C.</w:t>
      </w:r>
      <w:r>
        <w:tab/>
      </w:r>
      <w:r>
        <w:rPr>
          <w:bCs/>
        </w:rPr>
        <w:t>Основные вопросы, вызывающие обеспокоенность, и</w:t>
      </w:r>
      <w:r>
        <w:rPr>
          <w:bCs/>
        </w:rPr>
        <w:t> </w:t>
      </w:r>
      <w:r>
        <w:rPr>
          <w:bCs/>
        </w:rPr>
        <w:t>рекомендации</w:t>
      </w:r>
    </w:p>
    <w:p w14:paraId="7BBC3377" w14:textId="77777777" w:rsidR="00EE4FD8" w:rsidRPr="00511075" w:rsidRDefault="00EE4FD8" w:rsidP="00EE4FD8">
      <w:pPr>
        <w:pStyle w:val="H23G"/>
        <w:rPr>
          <w:rFonts w:eastAsia="SimSun"/>
        </w:rPr>
      </w:pPr>
      <w:r>
        <w:tab/>
      </w:r>
      <w:r>
        <w:tab/>
      </w:r>
      <w:r>
        <w:tab/>
      </w:r>
      <w:r>
        <w:rPr>
          <w:bCs/>
        </w:rPr>
        <w:t>Определение и квалификация пытки в качестве преступления</w:t>
      </w:r>
      <w:bookmarkStart w:id="0" w:name="_Hlk118801766"/>
      <w:bookmarkEnd w:id="0"/>
    </w:p>
    <w:p w14:paraId="7E0F4DAB" w14:textId="6C6BAD0B" w:rsidR="00EE4FD8" w:rsidRPr="00511075" w:rsidRDefault="00EE4FD8" w:rsidP="00EE4FD8">
      <w:pPr>
        <w:pStyle w:val="SingleTxtG"/>
      </w:pPr>
      <w:r>
        <w:t>7.</w:t>
      </w:r>
      <w:r>
        <w:tab/>
        <w:t xml:space="preserve">Отмечая запрет пыток и жестокого, бесчеловечного или унижающего достоинство обращения и наказания, закрепленный в пункте 3 статьи 19 Конституции, который не допускает отступлений в соответствии с ее статьей 44, Комитет сожалеет, что пытки до сих пор не кодифицированы в Уголовном кодексе в качестве отдельного преступления с определением, соответствующим статье 1 Конвенции. Комитет отмечает представленную государством-участником информацию о том, что некоторые действия, которые могут быть приравнены к пыткам, криминализированы в Уголовном кодексе и других законодательных актах. При этом он отмечает, что эти правонарушения не охватывают акты психологических пыток; не преследуют конкретные цели, перечисленные в статье 1 Конвенции; и влекут за собой меры наказания, которые не всегда соразмерны тяжести преступления. Комитет обращает </w:t>
      </w:r>
      <w:r>
        <w:lastRenderedPageBreak/>
        <w:t xml:space="preserve">внимание государства-участника на свое замечание общего порядка </w:t>
      </w:r>
      <w:r>
        <w:t>№ </w:t>
      </w:r>
      <w:r>
        <w:t>2 (2007), в</w:t>
      </w:r>
      <w:r>
        <w:t> </w:t>
      </w:r>
      <w:r>
        <w:t>котором он подчеркивает превентивный эффект определения преступления в форме пытки в качестве самостоятельного правонарушения (</w:t>
      </w:r>
      <w:r>
        <w:t xml:space="preserve">статьи </w:t>
      </w:r>
      <w:r>
        <w:t>1 и 4).</w:t>
      </w:r>
    </w:p>
    <w:p w14:paraId="2C2399A0" w14:textId="77777777" w:rsidR="00EE4FD8" w:rsidRPr="00511075" w:rsidRDefault="00EE4FD8" w:rsidP="00EE4FD8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настоятельно призывает государство-участник установить в своем национальном законодательстве определение пытки, соответствующее определению, содержащемуся в статье 1 Конвенции.</w:t>
      </w:r>
      <w:r>
        <w:t xml:space="preserve"> </w:t>
      </w:r>
      <w:r>
        <w:rPr>
          <w:b/>
          <w:bCs/>
        </w:rPr>
        <w:t>Государству-участнику следует пересмотреть и изменить свое законодательство для обеспечения запрета всех форм пыток в соответствии с определением, содержащимся в статье 1 Конвенции, отметив, что серьезные расхождения между определением пытки, данным в Конвенции, и определением, включенным в национальное законодательство, создают фактические или потенциальные лазейки для безнаказанности.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обеспечить, чтобы наказания за пытки были соразмерны тяжести преступления, как это предусмотрено в пункте 2 статьи 4 Конвенции.</w:t>
      </w:r>
      <w:r>
        <w:t xml:space="preserve"> </w:t>
      </w:r>
    </w:p>
    <w:p w14:paraId="6CC95661" w14:textId="77777777" w:rsidR="00EE4FD8" w:rsidRPr="00511075" w:rsidRDefault="00EE4FD8" w:rsidP="00EE4FD8">
      <w:pPr>
        <w:pStyle w:val="H23G"/>
        <w:rPr>
          <w:rFonts w:eastAsia="SimSun"/>
        </w:rPr>
      </w:pPr>
      <w:r>
        <w:tab/>
      </w:r>
      <w:r>
        <w:tab/>
      </w:r>
      <w:r>
        <w:tab/>
      </w:r>
      <w:r>
        <w:rPr>
          <w:bCs/>
        </w:rPr>
        <w:t>Основные правовые гарантии</w:t>
      </w:r>
    </w:p>
    <w:p w14:paraId="0303BD7B" w14:textId="78FC921C" w:rsidR="00EE4FD8" w:rsidRPr="00511075" w:rsidRDefault="00EE4FD8" w:rsidP="00EE4FD8">
      <w:pPr>
        <w:pStyle w:val="SingleTxtG"/>
      </w:pPr>
      <w:r>
        <w:t>9.</w:t>
      </w:r>
      <w:r>
        <w:tab/>
        <w:t>Принимая к сведению статьи 42 и 44 (</w:t>
      </w:r>
      <w:r>
        <w:t xml:space="preserve">пункт </w:t>
      </w:r>
      <w:r>
        <w:t xml:space="preserve">2) Конституции, предусматривающие процессуальные гарантии предотвращения пыток и жестокого обращения в законодательстве, а также ряд шагов, предпринятых государством-участником для усиления этих гарантий, Комитет сожалеет об отсутствии информации о мерах по обеспечению соблюдения основных правовых гарантий и дисциплинарных мерах, применяемых к сотрудникам правоохранительных органов, которые их игнорируют. Комитет также обеспокоен сообщениями о том, что на практике лицам, содержащимся под стражей, не предоставляются следующие правовые гарантии с самого начала лишения свободы: </w:t>
      </w:r>
    </w:p>
    <w:p w14:paraId="4188BD13" w14:textId="5608CE20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 xml:space="preserve">a) </w:t>
      </w:r>
      <w:r>
        <w:tab/>
        <w:t xml:space="preserve">уведомление о правах задержанного, включая право на освобождение под залог; </w:t>
      </w:r>
    </w:p>
    <w:p w14:paraId="35CA4DE2" w14:textId="2AD87818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 xml:space="preserve">b) </w:t>
      </w:r>
      <w:r>
        <w:tab/>
        <w:t xml:space="preserve">установленный Конституцией срок в 48 часов для доставки к судье; </w:t>
      </w:r>
    </w:p>
    <w:p w14:paraId="2D1AA8A0" w14:textId="4D83FBB9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>c)</w:t>
      </w:r>
      <w:r>
        <w:tab/>
        <w:t xml:space="preserve">своевременный доступ к независимому медицинскому освидетельствованию, направленному на выявление следов пыток и жестокого обращения в полиции; </w:t>
      </w:r>
    </w:p>
    <w:p w14:paraId="72C3CD93" w14:textId="5B5CBB3A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 xml:space="preserve">d) </w:t>
      </w:r>
      <w:r>
        <w:tab/>
        <w:t xml:space="preserve">право на независимого адвоката или доступ к юридической помощи, когда это необходимо, в связи с недостаточным количеством лицензированных адвокатов (702), а также нехваткой юристов для оказания юридической помощи на фоне высокого спроса на юридическую помощь (41 адвокату и 58 помощникам адвокатов приходится вести более 26 000 дел); </w:t>
      </w:r>
    </w:p>
    <w:p w14:paraId="5CB27D3B" w14:textId="0F8783CE" w:rsidR="00EE4FD8" w:rsidRPr="00511075" w:rsidRDefault="00EE4FD8" w:rsidP="00EE4FD8">
      <w:pPr>
        <w:pStyle w:val="SingleTxtG"/>
        <w:rPr>
          <w:rFonts w:eastAsiaTheme="minorHAnsi"/>
        </w:rPr>
      </w:pPr>
      <w:r>
        <w:tab/>
      </w:r>
      <w:r>
        <w:t xml:space="preserve">e) </w:t>
      </w:r>
      <w:r>
        <w:tab/>
        <w:t xml:space="preserve">записи допросов, которые не обеспечиваются из-за нехватки аудио- и видеоаппаратуры в комнатах для допросов в полиции. В настоящее время это оборудование установлено только в двух полицейских участках; </w:t>
      </w:r>
    </w:p>
    <w:p w14:paraId="467B31F3" w14:textId="1BC4AB7D" w:rsidR="00EE4FD8" w:rsidRPr="00511075" w:rsidRDefault="00EE4FD8" w:rsidP="00EE4FD8">
      <w:pPr>
        <w:pStyle w:val="SingleTxtG"/>
      </w:pPr>
      <w:r>
        <w:tab/>
      </w:r>
      <w:r>
        <w:t xml:space="preserve">f) </w:t>
      </w:r>
      <w:r>
        <w:tab/>
        <w:t>учет арестованных и задержанных лиц, который является недостаточным, ошибочным и, как сообщается, задерживает законное освобождение, несмотря на утверждение государства-участника об обратном, и наличие централизованной системы регистрации (</w:t>
      </w:r>
      <w:r>
        <w:t xml:space="preserve">статья </w:t>
      </w:r>
      <w:r>
        <w:t>2), которая также неадекватна.</w:t>
      </w:r>
    </w:p>
    <w:p w14:paraId="7F38183B" w14:textId="77777777" w:rsidR="00EE4FD8" w:rsidRPr="00511075" w:rsidRDefault="00EE4FD8" w:rsidP="00EE4FD8">
      <w:pPr>
        <w:tabs>
          <w:tab w:val="left" w:pos="1701"/>
          <w:tab w:val="left" w:pos="2268"/>
        </w:tabs>
        <w:suppressAutoHyphens w:val="0"/>
        <w:spacing w:after="120"/>
        <w:ind w:left="1134" w:right="1134"/>
        <w:jc w:val="both"/>
        <w:rPr>
          <w:rFonts w:eastAsia="SimSun"/>
          <w:b/>
          <w:bCs/>
        </w:rPr>
      </w:pPr>
      <w:r>
        <w:t>10.</w:t>
      </w:r>
      <w:r>
        <w:tab/>
      </w:r>
      <w:r>
        <w:rPr>
          <w:b/>
          <w:bCs/>
        </w:rPr>
        <w:t>Государству-участнику следует:</w:t>
      </w:r>
    </w:p>
    <w:p w14:paraId="26069149" w14:textId="6A59E361" w:rsidR="00EE4FD8" w:rsidRPr="00511075" w:rsidRDefault="00EE4FD8" w:rsidP="00EE4FD8">
      <w:pPr>
        <w:pStyle w:val="SingleTxtG"/>
        <w:rPr>
          <w:b/>
          <w:bCs/>
        </w:rPr>
      </w:pPr>
      <w:r>
        <w:rPr>
          <w:b/>
          <w:bCs/>
        </w:rPr>
        <w:tab/>
      </w:r>
      <w:r w:rsidRPr="007D0F84">
        <w:t>a)</w:t>
      </w:r>
      <w:r>
        <w:tab/>
      </w:r>
      <w:r>
        <w:rPr>
          <w:b/>
          <w:bCs/>
        </w:rPr>
        <w:t>продолжать наращивать усилия по обеспечению того, чтобы всем лицам, лишенным свободы, на практике предоставлялись все основные правовые гарантии с самого начала их задержания, включая следующие права: получить информацию о своих правах на понятном языке;</w:t>
      </w:r>
      <w:r>
        <w:t xml:space="preserve"> </w:t>
      </w:r>
      <w:r>
        <w:rPr>
          <w:b/>
          <w:bCs/>
        </w:rPr>
        <w:t>предстать перед судьей в установленные законом сроки;</w:t>
      </w:r>
      <w:r>
        <w:t xml:space="preserve"> </w:t>
      </w:r>
      <w:r>
        <w:rPr>
          <w:b/>
          <w:bCs/>
        </w:rPr>
        <w:t>запросить проведение независимого и конфиденциального медицинского освидетельствования с предоставлением результатов на бесплатной основе или у врача по своему выбору;</w:t>
      </w:r>
      <w:r>
        <w:t xml:space="preserve"> </w:t>
      </w:r>
      <w:r>
        <w:rPr>
          <w:b/>
          <w:bCs/>
        </w:rPr>
        <w:t>оспорить законность своего задержания;</w:t>
      </w:r>
      <w:r>
        <w:t xml:space="preserve"> </w:t>
      </w:r>
      <w:r>
        <w:rPr>
          <w:b/>
          <w:bCs/>
        </w:rPr>
        <w:t xml:space="preserve">и получить незамедлительный доступ к адвокату и, при необходимости, к бесплатной юридической помощи надлежащего качества и через надлежащим образом финансируемое и обеспеченное ресурсами бюро </w:t>
      </w:r>
      <w:r>
        <w:rPr>
          <w:b/>
          <w:bCs/>
        </w:rPr>
        <w:lastRenderedPageBreak/>
        <w:t>юридической помощи, в том числе во время первоначального допроса и следствия.</w:t>
      </w:r>
      <w:r>
        <w:t xml:space="preserve"> </w:t>
      </w:r>
      <w:r>
        <w:rPr>
          <w:b/>
          <w:bCs/>
        </w:rPr>
        <w:t xml:space="preserve">В этой связи Комитет призывает государство-участник продолжать прилагать усилия по решению проблемы нестабильного положения с юридической помощью, в том числе продолжить установку бесплатных телефонных служб в полицейских участках </w:t>
      </w:r>
      <w:proofErr w:type="gramStart"/>
      <w:r>
        <w:rPr>
          <w:b/>
          <w:bCs/>
        </w:rPr>
        <w:t>для доступа</w:t>
      </w:r>
      <w:proofErr w:type="gramEnd"/>
      <w:r>
        <w:rPr>
          <w:b/>
          <w:bCs/>
        </w:rPr>
        <w:t xml:space="preserve"> задержанных к юридической помощи и в конечном итоге открыть бюро юридической помощи во всех 28 округах;</w:t>
      </w:r>
      <w:r>
        <w:t xml:space="preserve"> </w:t>
      </w:r>
    </w:p>
    <w:p w14:paraId="65006F1D" w14:textId="1574FFEB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b)</w:t>
      </w:r>
      <w:r>
        <w:tab/>
      </w:r>
      <w:r>
        <w:rPr>
          <w:b/>
          <w:bCs/>
        </w:rPr>
        <w:t xml:space="preserve">продолжить установку видео- и </w:t>
      </w:r>
      <w:proofErr w:type="spellStart"/>
      <w:r>
        <w:rPr>
          <w:b/>
          <w:bCs/>
        </w:rPr>
        <w:t>аудиозаписывающего</w:t>
      </w:r>
      <w:proofErr w:type="spellEnd"/>
      <w:r>
        <w:rPr>
          <w:b/>
          <w:bCs/>
        </w:rPr>
        <w:t xml:space="preserve"> оборудования в комнатах для допросов в полиции и обеспечить, чтобы записи были доступны обвиняемым и их адвокатам, причем без затрат для обвиняемого,</w:t>
      </w:r>
      <w:r>
        <w:t xml:space="preserve"> </w:t>
      </w:r>
      <w:r>
        <w:rPr>
          <w:b/>
          <w:bCs/>
        </w:rPr>
        <w:t>и чтобы они могли быть использованы в качестве доказательств в суде;</w:t>
      </w:r>
      <w:r>
        <w:t xml:space="preserve"> </w:t>
      </w:r>
    </w:p>
    <w:p w14:paraId="5CB3A451" w14:textId="448AA1A1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 xml:space="preserve">c) </w:t>
      </w:r>
      <w:r>
        <w:tab/>
      </w:r>
      <w:r>
        <w:rPr>
          <w:b/>
          <w:bCs/>
        </w:rPr>
        <w:t>создать центральный реестр задержанных для всех задержанных на всех этапах их лишения свободы, в том числе во время перевода в разные места содержания под стражей, и обеспечить надлежащую регистрацию лишения свободы всех лиц в каждом месте содержания под стражей;</w:t>
      </w:r>
      <w:r>
        <w:t xml:space="preserve"> </w:t>
      </w:r>
    </w:p>
    <w:p w14:paraId="72B3B022" w14:textId="3BDB5463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d)</w:t>
      </w:r>
      <w:r>
        <w:tab/>
      </w:r>
      <w:r>
        <w:rPr>
          <w:b/>
          <w:bCs/>
        </w:rPr>
        <w:t>предоставить Комитету в следующем периодическом докладе информацию о полученных жалобах, включая количество таких жалоб, на несоблюдение основных правовых гарантий и о результатах их рассмотрения, включая дисциплинарные меры, принятые в отношении должностных лиц, не обеспечивающих основные правовые гарантии.</w:t>
      </w:r>
      <w:r>
        <w:t xml:space="preserve"> </w:t>
      </w:r>
    </w:p>
    <w:p w14:paraId="7278FA17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Содержание под стражей до суда</w:t>
      </w:r>
    </w:p>
    <w:p w14:paraId="261F3A5F" w14:textId="737F28A7" w:rsidR="00EE4FD8" w:rsidRPr="00511075" w:rsidRDefault="00EE4FD8" w:rsidP="00EE4FD8">
      <w:pPr>
        <w:pStyle w:val="SingleTxtG"/>
      </w:pPr>
      <w:r>
        <w:t>11.</w:t>
      </w:r>
      <w:r>
        <w:tab/>
        <w:t>Комитет приветствует представленную делегацией информацию о прилагаемых усилиях по созданию комплексной системы управления делами в судебных органах, но с сожалением отмечает, что в настоящее время не существует эффективной процедуры отслеживания продолжительности или законности содержания под стражей после ареста. Он обеспокоен сообщениями, свидетельствующими о помещении лиц под стражу до суда на длительные сроки, превышающие установленные законом пределы, зачастую составляющие продолжительность максимального срока наказания за предполагаемое преступление (</w:t>
      </w:r>
      <w:r>
        <w:t xml:space="preserve">статьи </w:t>
      </w:r>
      <w:r>
        <w:t xml:space="preserve">2, 11 и 16). </w:t>
      </w:r>
    </w:p>
    <w:p w14:paraId="170F054A" w14:textId="6860E058" w:rsidR="00EE4FD8" w:rsidRPr="00511075" w:rsidRDefault="00EE4FD8" w:rsidP="00EE4FD8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Государству-участнику следует обеспечить неукоснительное соблюдение положений, регулирующих содержание под стражей до суда, и использование такого содержания под стражей только в исключительных обстоятельствах и на ограниченный период времени и в соответствии с законом, принимая во внимание принципы необходимости и соразмерности, а также презумпцию невиновности, и предусмотреть использование альтернатив предварительному заключению, как это предусмотрено Минимальными стандартными правилами Организации Объединенных Наций в отношении мер, не связанных с тюремным заключением</w:t>
      </w:r>
      <w:r w:rsidR="006A6CD8">
        <w:rPr>
          <w:b/>
          <w:bCs/>
        </w:rPr>
        <w:t xml:space="preserve"> </w:t>
      </w:r>
      <w:r>
        <w:rPr>
          <w:b/>
          <w:bCs/>
        </w:rPr>
        <w:t>(Токийские правила), Руководящими принципами в отношении условий ареста, содержания под стражей в полиции и досудебного заключения под стражу в Африке (</w:t>
      </w:r>
      <w:proofErr w:type="spellStart"/>
      <w:r>
        <w:rPr>
          <w:b/>
          <w:bCs/>
        </w:rPr>
        <w:t>Луандские</w:t>
      </w:r>
      <w:proofErr w:type="spellEnd"/>
      <w:r>
        <w:rPr>
          <w:b/>
          <w:bCs/>
        </w:rPr>
        <w:t xml:space="preserve"> руководящие принципы) и Минимальными стандартными правилами Организации Объединенных Наций по обращению с заключенными (Правила Нельсона Манделы).</w:t>
      </w:r>
      <w:r>
        <w:t xml:space="preserve"> </w:t>
      </w:r>
      <w:r>
        <w:rPr>
          <w:b/>
          <w:bCs/>
        </w:rPr>
        <w:t>Государству-участнику следует активизировать усилия по введению в действие системы управления делами и установить официальную процедуру отслеживания содержания под стражей всех лиц, лишенных свободы, с помощью сводного и автоматизированного реестра судопроизводства, в котором отмечаются дата истечения разрешенного срока содержания под стражей до суда и дата завершения тюремного заключения.</w:t>
      </w:r>
      <w:r>
        <w:t xml:space="preserve"> </w:t>
      </w:r>
      <w:r>
        <w:rPr>
          <w:b/>
          <w:bCs/>
        </w:rPr>
        <w:t>Ему также следует способствовать использованию альтернатив предварительному заключению в соответствии с международными стандартами и усилить подготовку судей в этом отношении.</w:t>
      </w:r>
    </w:p>
    <w:p w14:paraId="364A92E4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Национальная комиссия по правам человека</w:t>
      </w:r>
    </w:p>
    <w:p w14:paraId="65F218B5" w14:textId="44A90F0B" w:rsidR="00EE4FD8" w:rsidRPr="00511075" w:rsidRDefault="00EE4FD8" w:rsidP="00EE4FD8">
      <w:pPr>
        <w:pStyle w:val="SingleTxtG"/>
      </w:pPr>
      <w:r>
        <w:t>13.</w:t>
      </w:r>
      <w:r>
        <w:tab/>
        <w:t>Отмечая, что с 2000 года Комиссии по правам человека Малави имеет статус</w:t>
      </w:r>
      <w:r w:rsidR="006A6CD8">
        <w:t> </w:t>
      </w:r>
      <w:r>
        <w:t xml:space="preserve">«А», присвоенный ей Глобальным альянсом национальных правозащитных учреждений, Комитет обеспокоен тем, что финансовые и людские ресурсы, </w:t>
      </w:r>
      <w:r>
        <w:lastRenderedPageBreak/>
        <w:t>выделяемые Комиссии, недостаточны для того, чтобы она могла эффективно выполнять все свои функции, в частности свою роль в получении и расследовании жалоб на предполагаемые нарушения прав человека, мониторинге мест содержания под стражей и последующей деятельности по выполнению своих рекомендаций в дополнение к своим мандатам в соответствии с Законом о гендерном равенстве и Законом о доступе к информации (</w:t>
      </w:r>
      <w:r>
        <w:t xml:space="preserve">статья </w:t>
      </w:r>
      <w:r>
        <w:t>2).</w:t>
      </w:r>
    </w:p>
    <w:p w14:paraId="13AAB677" w14:textId="77777777" w:rsidR="00EE4FD8" w:rsidRPr="00511075" w:rsidRDefault="00EE4FD8" w:rsidP="00EE4FD8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Государству-участнику следует обеспечить функциональную независимость Комиссии по правам человека Малави путем предоставления ей дополнительных финансовых и людских ресурсов и адекватного бюджета, позволяющего ей выполнять свои функции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14:paraId="1726BD7D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Признания, полученные с помощью пыток или жестокого обращения</w:t>
      </w:r>
    </w:p>
    <w:p w14:paraId="4440181C" w14:textId="1B48B8A1" w:rsidR="00EE4FD8" w:rsidRPr="00511075" w:rsidRDefault="00EE4FD8" w:rsidP="00EE4FD8">
      <w:pPr>
        <w:pStyle w:val="SingleTxtG"/>
      </w:pPr>
      <w:r>
        <w:t>15.</w:t>
      </w:r>
      <w:r>
        <w:tab/>
        <w:t>Комитет серьезно обеспокоен положениями статьи 176 Уголовно-процессуального и доказательственного кодекса, которые не запрещают приемлемость признаний, полученных с помощью пыток или жестокого обращения, и позволяют национальным судам полагаться на такие признания, если они убеждены, при отсутствии разумных оснований для сомнения, что их содержание является по существу правдивым, независимо от утверждений о применении пыток. Он также обеспокоен сообщениями, указывающими на распространенное применение пыток или жестокого обращения для получения признаний, отсутствие расследований и судебных преследований в этой связи, а также ограниченные возможности государственных служащих по сбору судебно-медицинских доказательств (</w:t>
      </w:r>
      <w:r>
        <w:t xml:space="preserve">статья </w:t>
      </w:r>
      <w:r>
        <w:t>15).</w:t>
      </w:r>
    </w:p>
    <w:p w14:paraId="69E9D0BF" w14:textId="77777777" w:rsidR="00EE4FD8" w:rsidRPr="00511075" w:rsidRDefault="00EE4FD8" w:rsidP="00EE4FD8">
      <w:pPr>
        <w:tabs>
          <w:tab w:val="left" w:pos="1701"/>
          <w:tab w:val="left" w:pos="2268"/>
        </w:tabs>
        <w:suppressAutoHyphens w:val="0"/>
        <w:spacing w:after="120"/>
        <w:ind w:left="1134" w:right="1134"/>
        <w:jc w:val="both"/>
        <w:rPr>
          <w:rFonts w:eastAsia="SimSun"/>
          <w:b/>
          <w:bCs/>
        </w:rPr>
      </w:pPr>
      <w:r>
        <w:t>16.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49FA22C7" w14:textId="68413E5E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a)</w:t>
      </w:r>
      <w:r>
        <w:tab/>
      </w:r>
      <w:r>
        <w:rPr>
          <w:b/>
          <w:bCs/>
        </w:rPr>
        <w:t>принять законодательные и другие необходимые меры для внесения изменений в статью 176 Уголовно-процессуального и доказательственного кодекса и обеспечить, чтобы признания, а также любые другие заявления, сделанные в результате применения пыток, не использовались в качестве доказательств в каком-либо судебном процессе, за исключением случаев, когда они используются против лица, обвиняемого в применении пыток, как доказательство того, что такое заявление было сделано, и в целях расследования таких случаев;</w:t>
      </w:r>
      <w:r>
        <w:t xml:space="preserve"> </w:t>
      </w:r>
    </w:p>
    <w:p w14:paraId="1C14FBA5" w14:textId="2A028546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b)</w:t>
      </w:r>
      <w:r>
        <w:tab/>
      </w:r>
      <w:r>
        <w:rPr>
          <w:b/>
          <w:bCs/>
        </w:rPr>
        <w:t>разработать учебные модули для сотрудников правоохранительных органов по методам проведения опроса и расследования без принуждения, включая Принципы эффективного ведения опроса в ходе расследования и сбора информации (Принципы Мендеса), внедрить передовые инструменты расследования и создать надежную систему сбора судебных доказательств;</w:t>
      </w:r>
      <w:r>
        <w:t xml:space="preserve"> </w:t>
      </w:r>
    </w:p>
    <w:p w14:paraId="6C06AA20" w14:textId="3DBFA233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c)</w:t>
      </w:r>
      <w:r>
        <w:tab/>
      </w:r>
      <w:r>
        <w:rPr>
          <w:b/>
          <w:bCs/>
        </w:rPr>
        <w:t>предоставить Комитету информацию о любых случаях, в которых признания были сочтены неприемлемыми на том основании, что они были получены с помощью пыток или жестокого обращения;</w:t>
      </w:r>
      <w:r>
        <w:t xml:space="preserve"> </w:t>
      </w:r>
      <w:r>
        <w:rPr>
          <w:b/>
          <w:bCs/>
        </w:rPr>
        <w:t>и указать, были ли какие-либо должностные лица привлечены к ответственности и наказаны за получение таких признаний.</w:t>
      </w:r>
      <w:r>
        <w:t xml:space="preserve"> </w:t>
      </w:r>
    </w:p>
    <w:p w14:paraId="56B98EE0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27AB0DF4" w14:textId="77777777" w:rsidR="00EE4FD8" w:rsidRPr="00511075" w:rsidRDefault="00EE4FD8" w:rsidP="00EE4FD8">
      <w:pPr>
        <w:pStyle w:val="SingleTxtG"/>
      </w:pPr>
      <w:r>
        <w:t>17.</w:t>
      </w:r>
      <w:r>
        <w:tab/>
        <w:t xml:space="preserve">Комитет с интересом отмечает предпринятые государством-участником шаги, направленные на решение проблемы переполненности мест содержания под стражей, включая организацию выездных судов, строительство новых блоков в нескольких тюрьмах, а также меры, предусмотренные новым законопроектом о тюрьмах, который находится в стадии принятия. При этом он выражает следующие опасения: </w:t>
      </w:r>
    </w:p>
    <w:p w14:paraId="684316AA" w14:textId="42E83D76" w:rsidR="00EE4FD8" w:rsidRPr="00511075" w:rsidRDefault="00EE4FD8" w:rsidP="00EE4FD8">
      <w:pPr>
        <w:pStyle w:val="SingleTxtG"/>
      </w:pPr>
      <w:r>
        <w:tab/>
      </w:r>
      <w:r>
        <w:t>a)</w:t>
      </w:r>
      <w:r>
        <w:tab/>
        <w:t xml:space="preserve">сохраняется серьезная переполненность тюрем (более 200 процентов от фактической вместимости), а материальные условия, в частности плохая вентиляция, санитарные проблемы и недостаточное снабжение пищей и водой, остаются непростыми в нескольких тюрьмах, несмотря на некоторые сообщения о проектах по улучшению ситуации в этом отношении. Комитет отмечает, что освобождение </w:t>
      </w:r>
      <w:r>
        <w:lastRenderedPageBreak/>
        <w:t>499</w:t>
      </w:r>
      <w:r>
        <w:t> </w:t>
      </w:r>
      <w:r>
        <w:t>заключенных (из более чем 16</w:t>
      </w:r>
      <w:r>
        <w:t> </w:t>
      </w:r>
      <w:r>
        <w:t xml:space="preserve">000) по президентскому помилованию во время пандемии коронавирусной болезни (COVID-19) не было должным образом направлено на решение тяжелой ситуации в тюрьмах и, как сообщается, не охватило таких уязвимых заключенных, как пожилые и больные люди; </w:t>
      </w:r>
    </w:p>
    <w:p w14:paraId="70C96D78" w14:textId="628ABA79" w:rsidR="00EE4FD8" w:rsidRPr="00511075" w:rsidRDefault="00EE4FD8" w:rsidP="00EE4FD8">
      <w:pPr>
        <w:pStyle w:val="SingleTxtG"/>
      </w:pPr>
      <w:r>
        <w:tab/>
      </w:r>
      <w:r>
        <w:t>b)</w:t>
      </w:r>
      <w:r>
        <w:tab/>
        <w:t>в тюрьмах отмечаются отсутствие или недостаточность медицинских и медико-санитарных услуг, а также практическое непроведение рекреационных или образовательных мероприятий;</w:t>
      </w:r>
    </w:p>
    <w:p w14:paraId="7A797C24" w14:textId="7F208F4B" w:rsidR="00EE4FD8" w:rsidRPr="00511075" w:rsidRDefault="00EE4FD8" w:rsidP="00EE4FD8">
      <w:pPr>
        <w:pStyle w:val="SingleTxtG"/>
      </w:pPr>
      <w:r>
        <w:tab/>
      </w:r>
      <w:r>
        <w:t xml:space="preserve">c) </w:t>
      </w:r>
      <w:r>
        <w:tab/>
        <w:t xml:space="preserve">согласно утверждениям, лица с интеллектуальными или психосоциальными нарушениями регулярно содержатся под стражей в течение длительных периодов времени или в тюрьмах среди общего числа заключенных и иногда подвергаются одиночному заключению и ограничениям, не имея доступа к какой-либо приемлемой помощи, несмотря на заверения государства-участника в обратном; </w:t>
      </w:r>
    </w:p>
    <w:p w14:paraId="219C727B" w14:textId="7E43629F" w:rsidR="00EE4FD8" w:rsidRPr="00511075" w:rsidRDefault="00EE4FD8" w:rsidP="00EE4FD8">
      <w:pPr>
        <w:pStyle w:val="SingleTxtG"/>
      </w:pPr>
      <w:r>
        <w:tab/>
      </w:r>
      <w:r>
        <w:t xml:space="preserve">d) </w:t>
      </w:r>
      <w:r>
        <w:tab/>
        <w:t>положения статьи 91 (</w:t>
      </w:r>
      <w:r>
        <w:t xml:space="preserve">пункт </w:t>
      </w:r>
      <w:r>
        <w:t>1</w:t>
      </w:r>
      <w:r>
        <w:t> </w:t>
      </w:r>
      <w:r>
        <w:t>b) действующего Закона о тюрьмах, предусматривают одиночное заключение как форму наказания, применяемую к заключенным в возрасте не моложе 16 лет на срок до 25 дней, несмотря на то что Комитет принимает к сведению предоставленную государством-участником информацию о том, что одиночное заключение применяется в основном в целях защиты и не превышает 15 дней и никогда не применяется к детям (ст</w:t>
      </w:r>
      <w:r>
        <w:t>атьи</w:t>
      </w:r>
      <w:r>
        <w:t xml:space="preserve"> 2, 11 и 16).</w:t>
      </w:r>
    </w:p>
    <w:p w14:paraId="09E0A6D6" w14:textId="6CE1C899" w:rsidR="00EE4FD8" w:rsidRPr="00511075" w:rsidRDefault="00EE4FD8" w:rsidP="00EE4FD8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призывает государство-участник активизировать свои усилия по приведению условий содержания под стражей в соответствие с Правилами Нельсона Манделы и Минимальными стандартными правилами Организации Объединенных Наций, касающимися отправления правосудия в отношении несовершеннолетних (Пекинские правила).</w:t>
      </w:r>
      <w:r>
        <w:t xml:space="preserve"> </w:t>
      </w:r>
      <w:r>
        <w:rPr>
          <w:b/>
          <w:bCs/>
        </w:rPr>
        <w:t>Государству-участнику следует, в</w:t>
      </w:r>
      <w:r w:rsidR="006A6CD8">
        <w:rPr>
          <w:b/>
          <w:bCs/>
        </w:rPr>
        <w:t> </w:t>
      </w:r>
      <w:r>
        <w:rPr>
          <w:b/>
          <w:bCs/>
        </w:rPr>
        <w:t>частности:</w:t>
      </w:r>
    </w:p>
    <w:p w14:paraId="0A6D2488" w14:textId="13C7C403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a)</w:t>
      </w:r>
      <w:r>
        <w:tab/>
      </w:r>
      <w:r>
        <w:rPr>
          <w:b/>
          <w:bCs/>
        </w:rPr>
        <w:t>принять все необходимые законодательные и иные меры, включая принятие законопроекта о тюрьмах, для снижения переполненности тюрем, особенно за счет более широкого использования альтернатив содержанию под стражей, и продолжать реализацию планов по развитию и обновлению инфраструктуры тюрем и других мест содержания под стражей;</w:t>
      </w:r>
    </w:p>
    <w:p w14:paraId="181F1F25" w14:textId="641F8406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b)</w:t>
      </w:r>
      <w:r>
        <w:tab/>
      </w:r>
      <w:r>
        <w:rPr>
          <w:b/>
          <w:bCs/>
        </w:rPr>
        <w:t>гарантировать удовлетворение основных потребностей лиц, лишенных свободы, в том числе в воде, санитарии и пище, и обеспечить надлежащее медицинское и санитарное обслуживание заключенных в соответствии с правилами 24</w:t>
      </w:r>
      <w:r>
        <w:rPr>
          <w:b/>
          <w:bCs/>
        </w:rPr>
        <w:t>–</w:t>
      </w:r>
      <w:r>
        <w:rPr>
          <w:b/>
          <w:bCs/>
        </w:rPr>
        <w:t>35 Правил Нельсона Манделы, в том числе в отношении особых потребностей женщин, беременных женщин и матерей с детьми в заключении;</w:t>
      </w:r>
    </w:p>
    <w:p w14:paraId="7CFA8895" w14:textId="2392CD68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c)</w:t>
      </w:r>
      <w:r>
        <w:tab/>
      </w:r>
      <w:r>
        <w:rPr>
          <w:b/>
          <w:bCs/>
        </w:rPr>
        <w:t>облегчить доступ к рекреационным и культурным мероприятиям в местах лишения свободы, а также к профессиональному обучению и образованию с целью поддержки реабилитации заключенных в обществе;</w:t>
      </w:r>
    </w:p>
    <w:p w14:paraId="3256BA89" w14:textId="70131FC6" w:rsidR="00EE4FD8" w:rsidRPr="00511075" w:rsidRDefault="00EE4FD8" w:rsidP="00EE4FD8">
      <w:pPr>
        <w:pStyle w:val="SingleTxtG"/>
        <w:rPr>
          <w:b/>
          <w:bCs/>
        </w:rPr>
      </w:pPr>
      <w:r>
        <w:tab/>
      </w:r>
      <w:r>
        <w:t>d)</w:t>
      </w:r>
      <w:r>
        <w:tab/>
      </w:r>
      <w:r>
        <w:rPr>
          <w:b/>
          <w:bCs/>
        </w:rPr>
        <w:t>обеспечить, чтобы заключенные с интеллектуальными или психосоциальными нарушениями не содержались в полицейских изоляторах и тюрьмах, а направлялись в соответствующие медицинские учреждения, а</w:t>
      </w:r>
      <w:r w:rsidR="006A6CD8">
        <w:rPr>
          <w:b/>
          <w:bCs/>
        </w:rPr>
        <w:t> </w:t>
      </w:r>
      <w:r>
        <w:rPr>
          <w:b/>
          <w:bCs/>
        </w:rPr>
        <w:t>заключенным, нуждающимся в психиатрическом наблюдении и лечении, предоставлялись надлежащее размещение и психосоциальная помощь;</w:t>
      </w:r>
      <w:r>
        <w:t xml:space="preserve"> </w:t>
      </w:r>
    </w:p>
    <w:p w14:paraId="443EDDBB" w14:textId="4F861B7A" w:rsidR="00EE4FD8" w:rsidRPr="00511075" w:rsidRDefault="006A6CD8" w:rsidP="00EE4FD8">
      <w:pPr>
        <w:pStyle w:val="SingleTxtG"/>
        <w:rPr>
          <w:b/>
          <w:bCs/>
        </w:rPr>
      </w:pPr>
      <w:r>
        <w:tab/>
      </w:r>
      <w:r w:rsidR="00EE4FD8">
        <w:t>e)</w:t>
      </w:r>
      <w:r w:rsidR="00EE4FD8">
        <w:tab/>
      </w:r>
      <w:r w:rsidR="00EE4FD8">
        <w:rPr>
          <w:b/>
          <w:bCs/>
        </w:rPr>
        <w:t>обеспечить соответствие законодательства и практики одиночного заключения международным стандартам, в частности правилам 43</w:t>
      </w:r>
      <w:r>
        <w:rPr>
          <w:b/>
          <w:bCs/>
        </w:rPr>
        <w:t>–</w:t>
      </w:r>
      <w:r w:rsidR="00EE4FD8">
        <w:rPr>
          <w:b/>
          <w:bCs/>
        </w:rPr>
        <w:t>46 Правил Нельсона Манделы и правилу 67 Правил Организации Объединенных Наций, касающихся защиты несовершеннолетних, лишенных свободы, и обеспечить, чтобы новый законопроект о тюрьмах после его принятия соответствовал этим стандартам.</w:t>
      </w:r>
    </w:p>
    <w:p w14:paraId="3ACD1F1C" w14:textId="77777777" w:rsidR="00EE4FD8" w:rsidRPr="00511075" w:rsidRDefault="00EE4FD8" w:rsidP="00EE4FD8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Случаи насилия и смерти в местах лишения свободы</w:t>
      </w:r>
      <w:r>
        <w:t xml:space="preserve"> </w:t>
      </w:r>
    </w:p>
    <w:p w14:paraId="6A2F3648" w14:textId="2383FD85" w:rsidR="00EE4FD8" w:rsidRPr="00511075" w:rsidRDefault="00EE4FD8" w:rsidP="00B61E9F">
      <w:pPr>
        <w:pStyle w:val="SingleTxtG"/>
      </w:pPr>
      <w:r>
        <w:t>19.</w:t>
      </w:r>
      <w:r>
        <w:tab/>
        <w:t xml:space="preserve">Комитет сожалеет об отсутствии всеобъемлющих статистических данных об общем числе смертей в местах лишения свободы за рассматриваемый период в </w:t>
      </w:r>
      <w:r>
        <w:lastRenderedPageBreak/>
        <w:t xml:space="preserve">разбивке по местам содержания под стражей, полу, возрасту и этнической или национальной принадлежности умерших, а также причинам смерти. Согласно скудной информации, предоставленной государством-участником, с 2020 года было зарегистрировано 12 смертей в полицейских изоляторах в результате самоубийства, </w:t>
      </w:r>
      <w:r w:rsidR="006A6CD8">
        <w:br/>
      </w:r>
      <w:r>
        <w:t xml:space="preserve">а в период с 2014 по 2018 год — 414 смертей в тюрьмах. Он также обеспокоен сообщениями о том, что причинами смерти в местах лишения свободы являются, </w:t>
      </w:r>
      <w:r w:rsidR="006A6CD8">
        <w:br/>
      </w:r>
      <w:r>
        <w:t xml:space="preserve">в частности, пытки и жестокое обращение, а также отсутствие надлежащего медицинского обслуживания и что расследование случаев смерти коронером (судебным должностным лицом) обычно не проводится. Комитет принимает к сведению представленную делегацией государства-участника информацию о двух инцидентах с применением насилия, зарегистрированных в центральной тюрьме </w:t>
      </w:r>
      <w:proofErr w:type="spellStart"/>
      <w:r>
        <w:t>Зомба</w:t>
      </w:r>
      <w:proofErr w:type="spellEnd"/>
      <w:r>
        <w:t xml:space="preserve"> за последние четыре года, но сожалеет, что не получил исчерпывающей информации о случаях насилия между заключенными, самоубийств и других внезапных смертей в тюрьмах, о действующей системе для регистрации</w:t>
      </w:r>
      <w:r w:rsidR="006A6CD8">
        <w:t xml:space="preserve"> </w:t>
      </w:r>
      <w:r>
        <w:t xml:space="preserve">и сообщения о вышеуказанных инцидентах, а также для обеспечения защиты и принятия профилактических мер в отношении заключенных, находящихся в уязвимом положении. Он также принимает к сведению представленную делегацией информацию об увеличении числа медицинских клиник в тюрьмах, однако сожалеет об отсутствии информации о мерах по проведению медицинских осмотров при поступлении в тюрьмы, включая следственные изоляторы, а также по выявлению и документированию признаков пыток или жестокого обращения. Отмечая, что Тюремная инспекция, а также Комиссия по правам человека Малави уполномочены принимать жалобы, в том числе касающиеся пыток или жестокого обращения, от лиц, лишенных свободы, и проводить расследования, Комитет по-прежнему обеспокоен небольшим количеством дел, переданных на рассмотрение Комиссии (в среднем пять в год), включая два заявления о пытках со стороны сотрудников тюрем в тюрьмах </w:t>
      </w:r>
      <w:proofErr w:type="spellStart"/>
      <w:r>
        <w:t>Зомба</w:t>
      </w:r>
      <w:proofErr w:type="spellEnd"/>
      <w:r>
        <w:t xml:space="preserve"> и </w:t>
      </w:r>
      <w:proofErr w:type="spellStart"/>
      <w:r>
        <w:t>Чичири</w:t>
      </w:r>
      <w:proofErr w:type="spellEnd"/>
      <w:r>
        <w:t>. Он также сожалеет об отсутствии всеобъемлющей информации о количестве жалоб, полученных Тюремной инспекцией и рассмотренных соответствующими органами прокуратуры, вынесенных приговорах и возмещении ущерба, предоставленном жертвам (</w:t>
      </w:r>
      <w:r>
        <w:t xml:space="preserve">статьи </w:t>
      </w:r>
      <w:r>
        <w:t>2, 11 и 16).</w:t>
      </w:r>
    </w:p>
    <w:p w14:paraId="30426271" w14:textId="77777777" w:rsidR="00EE4FD8" w:rsidRPr="00511075" w:rsidRDefault="00EE4FD8" w:rsidP="00EE4FD8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7DC74D4F" w14:textId="53369C74" w:rsidR="00EE4FD8" w:rsidRPr="00511075" w:rsidRDefault="007D0F84" w:rsidP="00EE4FD8">
      <w:pPr>
        <w:pStyle w:val="SingleTxtG"/>
        <w:rPr>
          <w:b/>
          <w:bCs/>
        </w:rPr>
      </w:pPr>
      <w:r>
        <w:tab/>
      </w:r>
      <w:r w:rsidR="00EE4FD8">
        <w:t>a)</w:t>
      </w:r>
      <w:r w:rsidR="00EE4FD8">
        <w:tab/>
      </w:r>
      <w:r w:rsidR="00EE4FD8">
        <w:rPr>
          <w:b/>
          <w:bCs/>
        </w:rPr>
        <w:t xml:space="preserve">принять меры по регистрации всех случаев насилия, травм и смертей в местах содержания под стражей в полиции и тюрьмах, обеспечить, чтобы такие случаи немедленно доводились до сведения соответствующих органов </w:t>
      </w:r>
      <w:proofErr w:type="spellStart"/>
      <w:r w:rsidR="00EE4FD8">
        <w:rPr>
          <w:b/>
          <w:bCs/>
        </w:rPr>
        <w:t>ex</w:t>
      </w:r>
      <w:proofErr w:type="spellEnd"/>
      <w:r w:rsidR="00EE4FD8">
        <w:rPr>
          <w:b/>
          <w:bCs/>
        </w:rPr>
        <w:t xml:space="preserve"> </w:t>
      </w:r>
      <w:proofErr w:type="spellStart"/>
      <w:r w:rsidR="00EE4FD8">
        <w:rPr>
          <w:b/>
          <w:bCs/>
        </w:rPr>
        <w:t>officio</w:t>
      </w:r>
      <w:proofErr w:type="spellEnd"/>
      <w:r w:rsidR="00EE4FD8">
        <w:rPr>
          <w:b/>
          <w:bCs/>
        </w:rPr>
        <w:t xml:space="preserve"> для дальнейшего расследования, включая независимую судебно-медицинскую экспертизу — в случаях, когда требуется вскрытие, оно должно проводиться в соответствии с Миннесотским протоколом по расследованию предположительно незаконного лишения жизни — и собрать и предоставить Комитету подробную информацию о количестве случаев травм и смертей во всех местах содержания под стражей, включая самоубийства, их причинах и результатах расследования таких случаев;</w:t>
      </w:r>
    </w:p>
    <w:p w14:paraId="61EDBBBE" w14:textId="2F01F9A0" w:rsidR="00EE4FD8" w:rsidRPr="00511075" w:rsidRDefault="007D0F84" w:rsidP="00EE4FD8">
      <w:pPr>
        <w:pStyle w:val="SingleTxtG"/>
        <w:rPr>
          <w:b/>
          <w:bCs/>
        </w:rPr>
      </w:pPr>
      <w:r>
        <w:rPr>
          <w:b/>
          <w:bCs/>
        </w:rPr>
        <w:tab/>
      </w:r>
      <w:r w:rsidR="00EE4FD8" w:rsidRPr="007D0F84">
        <w:t>b)</w:t>
      </w:r>
      <w:r w:rsidR="00EE4FD8">
        <w:tab/>
      </w:r>
      <w:r w:rsidR="00EE4FD8">
        <w:rPr>
          <w:b/>
          <w:bCs/>
        </w:rPr>
        <w:t>обеспечивать проведение специальной подготовки всех соответствующих сотрудников, включая медицинский персонал</w:t>
      </w:r>
      <w:r>
        <w:rPr>
          <w:b/>
          <w:bCs/>
        </w:rPr>
        <w:t>,</w:t>
      </w:r>
      <w:r w:rsidR="00EE4FD8">
        <w:rPr>
          <w:b/>
          <w:bCs/>
        </w:rPr>
        <w:t xml:space="preserve"> прокуроров и судей, по вопросам выявления случаев применения пыток и жестокого обращения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протокол);</w:t>
      </w:r>
      <w:r w:rsidR="00EE4FD8">
        <w:t xml:space="preserve"> </w:t>
      </w:r>
    </w:p>
    <w:p w14:paraId="78486586" w14:textId="7DB171B4" w:rsidR="00EE4FD8" w:rsidRPr="00511075" w:rsidRDefault="007D0F84" w:rsidP="00EE4FD8">
      <w:pPr>
        <w:pStyle w:val="SingleTxtG"/>
        <w:rPr>
          <w:b/>
          <w:bCs/>
        </w:rPr>
      </w:pPr>
      <w:r>
        <w:rPr>
          <w:b/>
          <w:bCs/>
        </w:rPr>
        <w:tab/>
      </w:r>
      <w:r w:rsidR="00EE4FD8" w:rsidRPr="007D0F84">
        <w:t>c)</w:t>
      </w:r>
      <w:r w:rsidR="00EE4FD8">
        <w:t xml:space="preserve"> </w:t>
      </w:r>
      <w:r w:rsidR="00EE4FD8">
        <w:tab/>
      </w:r>
      <w:r w:rsidR="00EE4FD8">
        <w:rPr>
          <w:b/>
          <w:bCs/>
        </w:rPr>
        <w:t xml:space="preserve">обеспечить, чтобы тщательный медицинский осмотр при поступлении в тюрьму (в частности, в следственный изолятор) проводился без присутствия сотрудников полиции или пенитенциарных </w:t>
      </w:r>
      <w:proofErr w:type="gramStart"/>
      <w:r w:rsidR="00EE4FD8">
        <w:rPr>
          <w:b/>
          <w:bCs/>
        </w:rPr>
        <w:t>учреждений</w:t>
      </w:r>
      <w:proofErr w:type="gramEnd"/>
      <w:r w:rsidR="00EE4FD8">
        <w:rPr>
          <w:b/>
          <w:bCs/>
        </w:rPr>
        <w:t xml:space="preserve"> и чтобы в случае, если у медицинского персонала, проводящего осмотр, есть основания полагать, что имело место жестокое обращение с человеком, об этом случае немедленно сообщалось в прокуратуру или другие соответствующие органы;</w:t>
      </w:r>
    </w:p>
    <w:p w14:paraId="0C6BCF67" w14:textId="1B640F23" w:rsidR="00EE4FD8" w:rsidRPr="00511075" w:rsidRDefault="007D0F84" w:rsidP="00EE4FD8">
      <w:pPr>
        <w:pStyle w:val="SingleTxtG"/>
        <w:rPr>
          <w:b/>
          <w:bCs/>
        </w:rPr>
      </w:pPr>
      <w:r>
        <w:rPr>
          <w:b/>
          <w:bCs/>
        </w:rPr>
        <w:tab/>
      </w:r>
      <w:r w:rsidR="00EE4FD8" w:rsidRPr="007D0F84">
        <w:t>d)</w:t>
      </w:r>
      <w:r w:rsidR="00EE4FD8">
        <w:tab/>
      </w:r>
      <w:r w:rsidR="00EE4FD8">
        <w:rPr>
          <w:b/>
          <w:bCs/>
        </w:rPr>
        <w:t xml:space="preserve">принять стратегии и программы по предотвращению насилия, самоубийств и членовредительства в местах лишения свободы, внедрить инструмент оценки рисков во всей пенитенциарной системе и обеспечить обучение персонала пенитенциарных учреждений работе с заключенными в этом </w:t>
      </w:r>
      <w:r w:rsidR="00EE4FD8">
        <w:rPr>
          <w:b/>
          <w:bCs/>
        </w:rPr>
        <w:lastRenderedPageBreak/>
        <w:t>отношении;</w:t>
      </w:r>
      <w:r w:rsidR="00EE4FD8">
        <w:t xml:space="preserve"> </w:t>
      </w:r>
      <w:r w:rsidR="00EE4FD8">
        <w:rPr>
          <w:b/>
          <w:bCs/>
        </w:rPr>
        <w:t>и набрать достаточное количество тюремного персонала, чтобы обеспечить адекватное соотношение заключенных и персонала.</w:t>
      </w:r>
      <w:r w:rsidR="00EE4FD8">
        <w:t xml:space="preserve"> </w:t>
      </w:r>
    </w:p>
    <w:p w14:paraId="1F005080" w14:textId="77777777" w:rsidR="00EE4FD8" w:rsidRPr="00511075" w:rsidRDefault="00EE4FD8" w:rsidP="00EE4FD8">
      <w:pPr>
        <w:pStyle w:val="H23G"/>
      </w:pPr>
      <w:bookmarkStart w:id="1" w:name="_Hlk118129754"/>
      <w:r>
        <w:tab/>
      </w:r>
      <w:r>
        <w:tab/>
      </w:r>
      <w:r>
        <w:rPr>
          <w:bCs/>
        </w:rPr>
        <w:t>Расследование случаев пыток и жестокого обращения со стороны сотрудников правоохранительных органов и независимые механизмы рассмотрения жалоб</w:t>
      </w:r>
    </w:p>
    <w:p w14:paraId="6A1D0D2C" w14:textId="3EBDFEAD" w:rsidR="00EE4FD8" w:rsidRPr="00511075" w:rsidRDefault="00EE4FD8" w:rsidP="00EE4FD8">
      <w:pPr>
        <w:pStyle w:val="SingleTxtG"/>
      </w:pPr>
      <w:r>
        <w:t>21.</w:t>
      </w:r>
      <w:r>
        <w:tab/>
        <w:t>Принимая к сведению представленную государством-участником информацию о подготовке сотрудников полиции в области прав человека, Комитет по-прежнему обеспокоен сообщениями о распространенности пыток, жестокого обращения, сексуального и гендерного насилия, чрезмерного применения силы и внесудебных казней, совершаемых сотрудниками полиции. Комитет приветствует создание в 2021</w:t>
      </w:r>
      <w:r w:rsidR="007D0F84">
        <w:t> </w:t>
      </w:r>
      <w:r>
        <w:t>году Независимой комиссии по рассмотрению жалоб на действия полиции, хотя и отмечает с озабоченностью сообщения о том, что ей не хватает финансовых и людских ресурсов для полноценного функционирования. Он также принимает к сведению информацию делегации о том, что с 2021 года Комиссия получила 105</w:t>
      </w:r>
      <w:r w:rsidR="007D0F84">
        <w:t> </w:t>
      </w:r>
      <w:r>
        <w:t xml:space="preserve">жалоб, но по-прежнему обеспокоен тем фактом, что до сих пор только два дела были рекомендованы для судебного преследования. Кроме того, Комитет обеспокоен отсутствием прогресса в проведении незавершенных расследований, включая так называемую сагу </w:t>
      </w:r>
      <w:proofErr w:type="spellStart"/>
      <w:r>
        <w:t>Мсундве</w:t>
      </w:r>
      <w:proofErr w:type="spellEnd"/>
      <w:r>
        <w:t>, касающуюся утверждений о сексуальных нападениях и изнасилованиях женщин и девочек сотрудниками полиции в 2019 году (</w:t>
      </w:r>
      <w:r>
        <w:t xml:space="preserve">статьи </w:t>
      </w:r>
      <w:r>
        <w:t xml:space="preserve">2, </w:t>
      </w:r>
      <w:r w:rsidR="007D0F84">
        <w:br/>
      </w:r>
      <w:r>
        <w:t>11</w:t>
      </w:r>
      <w:r w:rsidR="007D0F84">
        <w:t>–</w:t>
      </w:r>
      <w:r>
        <w:t>13 и 16).</w:t>
      </w:r>
    </w:p>
    <w:bookmarkEnd w:id="1"/>
    <w:p w14:paraId="778F468B" w14:textId="77777777" w:rsidR="00EE4FD8" w:rsidRPr="00511075" w:rsidRDefault="00EE4FD8" w:rsidP="00EE4FD8">
      <w:pPr>
        <w:tabs>
          <w:tab w:val="left" w:pos="1701"/>
          <w:tab w:val="left" w:pos="2268"/>
        </w:tabs>
        <w:suppressAutoHyphens w:val="0"/>
        <w:spacing w:after="120"/>
        <w:ind w:left="1134" w:right="1134"/>
        <w:jc w:val="both"/>
        <w:rPr>
          <w:rFonts w:eastAsia="SimSun"/>
          <w:b/>
          <w:bCs/>
        </w:rPr>
      </w:pPr>
      <w:r>
        <w:t>22.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4E924279" w14:textId="7DF5FE25" w:rsidR="00EE4FD8" w:rsidRPr="00511075" w:rsidRDefault="007D0F84" w:rsidP="00EE4FD8">
      <w:pPr>
        <w:pStyle w:val="SingleTxtG"/>
        <w:rPr>
          <w:b/>
          <w:bCs/>
        </w:rPr>
      </w:pPr>
      <w:r>
        <w:rPr>
          <w:b/>
          <w:bCs/>
        </w:rPr>
        <w:tab/>
      </w:r>
      <w:r w:rsidR="00EE4FD8" w:rsidRPr="007D0F84">
        <w:t>a)</w:t>
      </w:r>
      <w:r w:rsidR="00EE4FD8">
        <w:tab/>
      </w:r>
      <w:r w:rsidR="00EE4FD8">
        <w:rPr>
          <w:b/>
          <w:bCs/>
        </w:rPr>
        <w:t xml:space="preserve">обеспечить проведение оперативных, беспристрастных и эффективных расследований </w:t>
      </w:r>
      <w:proofErr w:type="spellStart"/>
      <w:r w:rsidR="00EE4FD8">
        <w:rPr>
          <w:b/>
          <w:bCs/>
        </w:rPr>
        <w:t>ex</w:t>
      </w:r>
      <w:proofErr w:type="spellEnd"/>
      <w:r w:rsidR="00EE4FD8">
        <w:rPr>
          <w:b/>
          <w:bCs/>
        </w:rPr>
        <w:t xml:space="preserve"> </w:t>
      </w:r>
      <w:proofErr w:type="spellStart"/>
      <w:r w:rsidR="00EE4FD8">
        <w:rPr>
          <w:b/>
          <w:bCs/>
        </w:rPr>
        <w:t>officio</w:t>
      </w:r>
      <w:proofErr w:type="spellEnd"/>
      <w:r w:rsidR="00EE4FD8">
        <w:rPr>
          <w:b/>
          <w:bCs/>
        </w:rPr>
        <w:t xml:space="preserve"> по всем заявлениям, касающимся </w:t>
      </w:r>
      <w:r w:rsidR="005C6AC7">
        <w:rPr>
          <w:b/>
          <w:bCs/>
        </w:rPr>
        <w:br/>
      </w:r>
      <w:r w:rsidR="00EE4FD8">
        <w:rPr>
          <w:b/>
          <w:bCs/>
        </w:rPr>
        <w:t>насилия, в частности пыток, жестокого обращения, сексуального и гендерного насилия и чрезмерного применения силы, совершенных сотрудниками правоохранительных органов, а также преследование и наказание предполагаемых виновных;</w:t>
      </w:r>
      <w:r w:rsidR="00EE4FD8">
        <w:t xml:space="preserve"> </w:t>
      </w:r>
      <w:r w:rsidR="00EE4FD8">
        <w:rPr>
          <w:b/>
          <w:bCs/>
        </w:rPr>
        <w:t>обеспечить, чтобы предполагаемые виновные в пытках и жестоком обращении немедленно отстранялись от исполнения обязанностей на время расследования при условии соблюдения принципа презумпции невиновности;</w:t>
      </w:r>
      <w:r w:rsidR="00EE4FD8">
        <w:t xml:space="preserve"> </w:t>
      </w:r>
      <w:r w:rsidR="00EE4FD8">
        <w:rPr>
          <w:b/>
          <w:bCs/>
        </w:rPr>
        <w:t xml:space="preserve">и информировать Комитет о количестве полученных, расследованных и рассмотренных жалоб, включая те, которые были возбуждены </w:t>
      </w:r>
      <w:proofErr w:type="spellStart"/>
      <w:r w:rsidR="00EE4FD8">
        <w:rPr>
          <w:b/>
          <w:bCs/>
        </w:rPr>
        <w:t>ex</w:t>
      </w:r>
      <w:proofErr w:type="spellEnd"/>
      <w:r w:rsidR="00EE4FD8">
        <w:rPr>
          <w:b/>
          <w:bCs/>
        </w:rPr>
        <w:t xml:space="preserve"> </w:t>
      </w:r>
      <w:proofErr w:type="spellStart"/>
      <w:r w:rsidR="00EE4FD8">
        <w:rPr>
          <w:b/>
          <w:bCs/>
        </w:rPr>
        <w:t>officio</w:t>
      </w:r>
      <w:proofErr w:type="spellEnd"/>
      <w:r w:rsidR="00EE4FD8">
        <w:rPr>
          <w:b/>
          <w:bCs/>
        </w:rPr>
        <w:t>, и о возмещении, предоставленном жертвам;</w:t>
      </w:r>
    </w:p>
    <w:p w14:paraId="5C0CFF16" w14:textId="293BA51A" w:rsidR="00EE4FD8" w:rsidRPr="00511075" w:rsidRDefault="007D0F84" w:rsidP="00EE4FD8">
      <w:pPr>
        <w:pStyle w:val="SingleTxtG"/>
        <w:rPr>
          <w:b/>
          <w:bCs/>
        </w:rPr>
      </w:pPr>
      <w:r>
        <w:rPr>
          <w:b/>
          <w:bCs/>
        </w:rPr>
        <w:tab/>
      </w:r>
      <w:r w:rsidR="00EE4FD8" w:rsidRPr="007D0F84">
        <w:t>b)</w:t>
      </w:r>
      <w:r w:rsidR="00EE4FD8">
        <w:t xml:space="preserve"> </w:t>
      </w:r>
      <w:r w:rsidR="00EE4FD8">
        <w:tab/>
      </w:r>
      <w:r w:rsidR="00EE4FD8">
        <w:rPr>
          <w:b/>
          <w:bCs/>
        </w:rPr>
        <w:t>принять меры по укреплению существующих механизмов рассмотрения жалоб путем выделения достаточных финансовых и людских ресурсов и обеспечить, чтобы заявители, включая жертв пыток, которые содержатся в местах лишения свободы, могли подавать жалобы и были защищены от любого запугивания или репрессий вследствие их жалоб и чтобы между следователями этого органа и подозреваемыми в совершении таких действий не существовало институциональных или иерархических отношений.</w:t>
      </w:r>
      <w:r w:rsidR="00EE4FD8">
        <w:t xml:space="preserve"> </w:t>
      </w:r>
    </w:p>
    <w:p w14:paraId="79A2D4BE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Мониторинг мест содержания под стражей</w:t>
      </w:r>
    </w:p>
    <w:p w14:paraId="76C8707C" w14:textId="7039B23B" w:rsidR="00EE4FD8" w:rsidRPr="00511075" w:rsidRDefault="00EE4FD8" w:rsidP="00EE4FD8">
      <w:pPr>
        <w:pStyle w:val="SingleTxtG"/>
      </w:pPr>
      <w:r>
        <w:t>23.</w:t>
      </w:r>
      <w:r>
        <w:tab/>
        <w:t>Согласно информации, предоставленной делегацией государства-участника, Тюремная инспекция проводит в среднем четыре контрольных посещения мест лишения свободы в год, а Комиссия по правам человека Малави с 2018 года провела три посещения, что представляется довольно нерегулярным и спорадическим. Комитет также не располагает необходимой информацией, чтобы определить, являются ли такие посещения необъявленными, все ли места лишения свободы могут посещаться этими органами и могут ли международные организации и субъекты гражданского общества быть наделены полномочиями по надзору за местами содержания под стражей. Наконец, Комитет сожалеет об отсутствии информации о шагах, предпринятых государством-участником для принятия последующих мер в связи с докладами о посещении и содержащимися в них рекомендациями (</w:t>
      </w:r>
      <w:r>
        <w:t xml:space="preserve">статьи </w:t>
      </w:r>
      <w:r>
        <w:t>2, 11 и 16).</w:t>
      </w:r>
    </w:p>
    <w:p w14:paraId="029041CE" w14:textId="77777777" w:rsidR="00EE4FD8" w:rsidRPr="00511075" w:rsidRDefault="00EE4FD8" w:rsidP="00EE4FD8">
      <w:pPr>
        <w:pStyle w:val="SingleTxtG"/>
      </w:pPr>
      <w:r>
        <w:t>24.</w:t>
      </w:r>
      <w:r>
        <w:tab/>
      </w:r>
      <w:r>
        <w:rPr>
          <w:b/>
          <w:bCs/>
        </w:rPr>
        <w:t xml:space="preserve">В свете обещаний государства-участника, данных в контексте процесса универсального периодического обзора в ноябре 2020 года, Комитет призывает государство-участник ратифицировать Факультативный протокол к Конвенции </w:t>
      </w:r>
      <w:r>
        <w:rPr>
          <w:b/>
          <w:bCs/>
        </w:rPr>
        <w:lastRenderedPageBreak/>
        <w:t>против пыток и других жестоких, бесчеловечных или унижающих достоинство видов обращения и наказания.</w:t>
      </w:r>
      <w:r>
        <w:t xml:space="preserve"> </w:t>
      </w:r>
      <w:r>
        <w:rPr>
          <w:b/>
          <w:bCs/>
        </w:rPr>
        <w:t>Тем временем государству-участнику следует укрепить мандаты действующих контрольных органов и принять все возможные меры для обеспечения того, чтобы международные и национальные наблюдатели могли регулярно, независимо и без предупреждения посещать все места лишения свободы.</w:t>
      </w:r>
      <w:r>
        <w:t xml:space="preserve"> </w:t>
      </w:r>
      <w:r>
        <w:rPr>
          <w:b/>
          <w:bCs/>
        </w:rPr>
        <w:t>Государству-участнику следует также обеспечить эффективное выполнение рекомендаций, выдвинутых контрольными органами после посещения мест содержания под стражей.</w:t>
      </w:r>
      <w:r>
        <w:t xml:space="preserve"> </w:t>
      </w:r>
    </w:p>
    <w:p w14:paraId="73393FF1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Правосудие в отношении несовершеннолетних</w:t>
      </w:r>
    </w:p>
    <w:p w14:paraId="76570506" w14:textId="453755C0" w:rsidR="00EE4FD8" w:rsidRPr="00511075" w:rsidRDefault="00EE4FD8" w:rsidP="00EE4FD8">
      <w:pPr>
        <w:pStyle w:val="SingleTxtG"/>
      </w:pPr>
      <w:r>
        <w:t>25.</w:t>
      </w:r>
      <w:r>
        <w:tab/>
        <w:t>Комитет обеспокоен статьей 14 Уголовного кодекса, в которой</w:t>
      </w:r>
      <w:r w:rsidR="006A6CD8">
        <w:t xml:space="preserve"> </w:t>
      </w:r>
      <w:r>
        <w:t>минимальный возраст наступления уголовной ответственности установлен на уровне 10 лет. Он также обеспокоен информацией о бюджетных ограничениях в исправительных центрах, которые могут повлиять на безопасность, здоровье и благополучие содержащихся там детей, и сожалеет об отсутствии полной информации о применяемых на практике альтернативах содержанию под стражей, не связанных с лишением свободы (</w:t>
      </w:r>
      <w:r>
        <w:t xml:space="preserve">статьи </w:t>
      </w:r>
      <w:r>
        <w:t>2, 11 и 16).</w:t>
      </w:r>
    </w:p>
    <w:p w14:paraId="0368AD7F" w14:textId="4757D9AB" w:rsidR="00EE4FD8" w:rsidRPr="00511075" w:rsidRDefault="00EE4FD8" w:rsidP="00EE4FD8">
      <w:pPr>
        <w:pStyle w:val="SingleTxtG"/>
      </w:pPr>
      <w:r>
        <w:t>26.</w:t>
      </w:r>
      <w:r>
        <w:tab/>
      </w:r>
      <w:r>
        <w:rPr>
          <w:b/>
          <w:bCs/>
        </w:rPr>
        <w:t xml:space="preserve">Государству-участнику следует повысить минимальный возраст наступления уголовной ответственности и обеспечить полное соблюдение стандартов в системе правосудия в отношении детей, как указано в замечании общего порядка </w:t>
      </w:r>
      <w:r>
        <w:rPr>
          <w:b/>
          <w:bCs/>
        </w:rPr>
        <w:t>№ </w:t>
      </w:r>
      <w:r>
        <w:rPr>
          <w:b/>
          <w:bCs/>
        </w:rPr>
        <w:t>24 (2019) Комитета по правам ребенка (</w:t>
      </w:r>
      <w:r>
        <w:rPr>
          <w:b/>
          <w:bCs/>
        </w:rPr>
        <w:t xml:space="preserve">пункты </w:t>
      </w:r>
      <w:r>
        <w:rPr>
          <w:b/>
          <w:bCs/>
        </w:rPr>
        <w:t>20</w:t>
      </w:r>
      <w:r>
        <w:rPr>
          <w:b/>
          <w:bCs/>
        </w:rPr>
        <w:t>–</w:t>
      </w:r>
      <w:r>
        <w:rPr>
          <w:b/>
          <w:bCs/>
        </w:rPr>
        <w:t>28).</w:t>
      </w:r>
      <w:r>
        <w:t xml:space="preserve"> </w:t>
      </w:r>
      <w:r>
        <w:rPr>
          <w:b/>
          <w:bCs/>
        </w:rPr>
        <w:t>Ему следует усилить содействие применению мер, не связанных с лишением свободы, и несудебных мер, таких как замена уголовной ответственности, пробация, посредничество, консультирование или общественные работы, по возможности, для всех детей-правонарушителей, и обеспечить надлежащее финансирование исправительных центров, чтобы режим содержания под стражей для несовершеннолетних правонарушителей в целом соответствовал международным стандартам.</w:t>
      </w:r>
      <w:r>
        <w:t xml:space="preserve"> </w:t>
      </w:r>
    </w:p>
    <w:p w14:paraId="61D48D6B" w14:textId="77777777" w:rsidR="00EE4FD8" w:rsidRPr="00511075" w:rsidRDefault="00EE4FD8" w:rsidP="00EE4FD8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Смертная казнь</w:t>
      </w:r>
    </w:p>
    <w:p w14:paraId="32422920" w14:textId="37128DED" w:rsidR="00EE4FD8" w:rsidRPr="00511075" w:rsidRDefault="00EE4FD8" w:rsidP="00EE4FD8">
      <w:pPr>
        <w:pStyle w:val="SingleTxtG"/>
      </w:pPr>
      <w:r>
        <w:t>27.</w:t>
      </w:r>
      <w:r>
        <w:tab/>
        <w:t xml:space="preserve">Отмечая, что с 1994 года смертные приговоры не приводились в исполнение, </w:t>
      </w:r>
      <w:r w:rsidR="00F12753">
        <w:br/>
      </w:r>
      <w:r>
        <w:t>с 2015 года было проведено несколько повторных слушаний по смертным приговорам, а в 2022 году приговоры 22 из 25 лиц, ожидающих смертной казни, были смягчены, Комитет по-прежнему обеспокоен тем, что внутреннее законодательство продолжает предусматривать смертную казнь за ряд уголовных преступлений, в том числе в соответствии с Законом о силах обороны от 2004 года. Он также обеспокоен полученными сообщениями о том, что суды, приговаривающие лиц к смертной казни, часто полагаются на принудительные признания в отсутствие надлежащих процессуальных гарантий, а заключенные в камерах смертников содержатся в плохих материальных условиях (</w:t>
      </w:r>
      <w:r>
        <w:t xml:space="preserve">статьи </w:t>
      </w:r>
      <w:r>
        <w:t>2, 11 и 16).</w:t>
      </w:r>
    </w:p>
    <w:p w14:paraId="2F306FA4" w14:textId="77777777" w:rsidR="00EE4FD8" w:rsidRPr="00511075" w:rsidRDefault="00EE4FD8" w:rsidP="00EE4FD8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предлагает государству-участнику рассмотреть возможность отмены смертной казни и ратификации второго Факультативного протокола к Международному пакту о гражданских и политических правах, направленного на отмену смертной казни.</w:t>
      </w:r>
      <w:r>
        <w:t xml:space="preserve"> </w:t>
      </w:r>
      <w:r>
        <w:rPr>
          <w:b/>
          <w:bCs/>
        </w:rPr>
        <w:t>Тем временем он предлагает государству-участнику заменить все смертные приговоры тюремными сроками, усилить правовые гарантии и гарантии соблюдения надлежащей правовой процедуры на всех стадиях судопроизводства и по всем правонарушениям, а также обеспечить, чтобы условия содержания под стражей осужденных заключенных соответствовали международным стандартам.</w:t>
      </w:r>
    </w:p>
    <w:p w14:paraId="7037B733" w14:textId="77777777" w:rsidR="00EE4FD8" w:rsidRPr="00511075" w:rsidRDefault="00EE4FD8" w:rsidP="00EE4FD8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Сексуальное и гендерное насилие</w:t>
      </w:r>
    </w:p>
    <w:p w14:paraId="247C0A74" w14:textId="77777777" w:rsidR="00EE4FD8" w:rsidRPr="00511075" w:rsidRDefault="00EE4FD8" w:rsidP="00F12753">
      <w:pPr>
        <w:pStyle w:val="SingleTxtG"/>
        <w:keepNext/>
      </w:pPr>
      <w:r>
        <w:t>29.</w:t>
      </w:r>
      <w:r>
        <w:tab/>
        <w:t xml:space="preserve">Комитет выражает следующие опасения: </w:t>
      </w:r>
    </w:p>
    <w:p w14:paraId="45A9BF69" w14:textId="20BBC7AF" w:rsidR="00EE4FD8" w:rsidRPr="00511075" w:rsidRDefault="005C4480" w:rsidP="00EE4FD8">
      <w:pPr>
        <w:pStyle w:val="SingleTxtG"/>
      </w:pPr>
      <w:r>
        <w:tab/>
      </w:r>
      <w:r w:rsidR="00EE4FD8">
        <w:t>a)</w:t>
      </w:r>
      <w:r w:rsidR="00EE4FD8">
        <w:tab/>
        <w:t xml:space="preserve">приветствуя ряд законодательных, политических и институциональных мер, принятых государством-участником для борьбы с насилием в отношении женщин и девочек, включая, в частности, информационно-просветительские и учебные мероприятия, создание 20 центров «одного окна» в больницах, подразделений </w:t>
      </w:r>
      <w:r w:rsidR="00EE4FD8">
        <w:lastRenderedPageBreak/>
        <w:t xml:space="preserve">поддержки жертв в 135 полицейских участках, бесплатных телефонных линий и введение упрощенных процедур подачи заявлений, Комитет обеспокоен сообщениями, указывающими на распространенность и рост этого явления и трудности жертв в получении доступа к медицинским и психосоциальным услугам и правовой поддержке. Комитет также принимает к сведению предоставленные государством-участником данные о зарегистрированных с 2005 года случаях гендерного насилия, но сожалеет об отсутствии всеобъемлющей информации о расследованиях и судебных преследованиях по этим делам, включая случаи домашнего насилия, а также о помощи, услугах поддержки и компенсации, предоставленных жертвам во всех рассмотренных делах; </w:t>
      </w:r>
    </w:p>
    <w:p w14:paraId="1C20EC9F" w14:textId="1C8F0769" w:rsidR="00EE4FD8" w:rsidRPr="00511075" w:rsidRDefault="005C4480" w:rsidP="00EE4FD8">
      <w:pPr>
        <w:pStyle w:val="SingleTxtG"/>
      </w:pPr>
      <w:r>
        <w:tab/>
      </w:r>
      <w:r w:rsidR="00EE4FD8">
        <w:t>b)</w:t>
      </w:r>
      <w:r w:rsidR="00EE4FD8">
        <w:tab/>
        <w:t>изнасилование в браке не является уголовно наказуемым деянием в соответствии с Уголовным кодексом. В этой связи Комитет обеспокоен тем, что статья</w:t>
      </w:r>
      <w:r>
        <w:t> </w:t>
      </w:r>
      <w:r w:rsidR="00EE4FD8">
        <w:t xml:space="preserve">62 Закона о заключении и расторжении брака и семейных отношениях предусматривает криминализацию изнасилования в браке только во время судебного развода; </w:t>
      </w:r>
    </w:p>
    <w:p w14:paraId="3622628F" w14:textId="601BEC19" w:rsidR="00EE4FD8" w:rsidRPr="00511075" w:rsidRDefault="005C4480" w:rsidP="00EE4FD8">
      <w:pPr>
        <w:pStyle w:val="SingleTxtG"/>
      </w:pPr>
      <w:r>
        <w:tab/>
      </w:r>
      <w:r w:rsidR="00EE4FD8">
        <w:t>c)</w:t>
      </w:r>
      <w:r w:rsidR="00EE4FD8">
        <w:tab/>
      </w:r>
      <w:r>
        <w:t>с</w:t>
      </w:r>
      <w:r w:rsidR="00EE4FD8">
        <w:t>татьи 137A, 153 a) и c), 154 и 156 Уголовного кодекса предусматривают уголовную ответственность за однополые связи по обоюдному согласию и предусматривают тюремное заключение на срок до 14 лет. Полученные сообщения свидетельствуют о том, что такая криминализация делает ЛГБТ+ людей особенно уязвимыми для насилия со стороны как государственных служащих, так и частных лиц и что о таком насилии, как правило, не сообщается национальным властям из-за страха репрессий, судебного преследования и дальнейшей дискриминации. В этой связи Комитет отмечает действующий с 2012 года мораторий на судебное преследование за однополые акты по обоюдному согласию, но по-прежнему обеспокоен полученной информацией о том, что в 2021 году трансгендерной женщине было предъявлено обвинение по статье 153 с) Уголовного кодекса (</w:t>
      </w:r>
      <w:r w:rsidR="00EE4FD8">
        <w:t xml:space="preserve">статьи </w:t>
      </w:r>
      <w:r w:rsidR="00EE4FD8">
        <w:t>2, 12</w:t>
      </w:r>
      <w:r>
        <w:t>–</w:t>
      </w:r>
      <w:r w:rsidR="00EE4FD8">
        <w:t>14 и 16).</w:t>
      </w:r>
    </w:p>
    <w:p w14:paraId="602BD6C6" w14:textId="77777777" w:rsidR="00EE4FD8" w:rsidRPr="00511075" w:rsidRDefault="00EE4FD8" w:rsidP="00EE4FD8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Государству-участнику следует обеспечить, чтобы все случаи гендерного насилия, особенно те, которые связаны с действиями или бездействием государственных органов или других субъектов, влекущими международную ответственность государства-участника по Конвенции, тщательно расследовались с применением подхода, основанного на учете гендерных и культурных аспектов, чтобы предполагаемые преступники привлекались к ответственности и, в случае признания их виновными, должным образом наказывались, а жертвы или их семьи получили возмещение, включая адекватную компенсацию.</w:t>
      </w:r>
      <w:r>
        <w:t xml:space="preserve"> </w:t>
      </w:r>
      <w:r>
        <w:rPr>
          <w:b/>
          <w:bCs/>
        </w:rPr>
        <w:t>В частности, Комитет рекомендует государству-участнику:</w:t>
      </w:r>
    </w:p>
    <w:p w14:paraId="0CDB4712" w14:textId="2A3D57D8" w:rsidR="00EE4FD8" w:rsidRPr="00511075" w:rsidRDefault="005C4480" w:rsidP="00EE4FD8">
      <w:pPr>
        <w:pStyle w:val="SingleTxtG"/>
        <w:rPr>
          <w:b/>
          <w:bCs/>
        </w:rPr>
      </w:pPr>
      <w:r>
        <w:tab/>
      </w:r>
      <w:r w:rsidR="00EE4FD8">
        <w:t>a)</w:t>
      </w:r>
      <w:r w:rsidR="00EE4FD8">
        <w:tab/>
      </w:r>
      <w:r w:rsidR="00EE4FD8">
        <w:rPr>
          <w:b/>
          <w:bCs/>
        </w:rPr>
        <w:t>обеспечить строгое соблюдение Закона о предотвращении домашнего насилия и внести поправки в Уголовный кодекс, чтобы криминализировать изнасилование в браке при любых обстоятельствах;</w:t>
      </w:r>
    </w:p>
    <w:p w14:paraId="5342288C" w14:textId="0E5FCE5E" w:rsidR="00EE4FD8" w:rsidRPr="00511075" w:rsidRDefault="005C4480" w:rsidP="00EE4FD8">
      <w:pPr>
        <w:pStyle w:val="SingleTxtG"/>
        <w:rPr>
          <w:b/>
          <w:bCs/>
        </w:rPr>
      </w:pPr>
      <w:r>
        <w:tab/>
      </w:r>
      <w:r w:rsidR="00EE4FD8">
        <w:t>b)</w:t>
      </w:r>
      <w:r w:rsidR="00EE4FD8">
        <w:tab/>
      </w:r>
      <w:r w:rsidR="00EE4FD8">
        <w:rPr>
          <w:b/>
          <w:bCs/>
        </w:rPr>
        <w:t>обеспечить, чтобы жертвы сексуального и гендерного насилия пользовались защитой и имели доступ к медицинским и юридическим услугам, включая консультирование, безопасным и адекватно финансируемым приютам, а также к возмещению ущерба, включая реабилитацию;</w:t>
      </w:r>
    </w:p>
    <w:p w14:paraId="2C1A66BE" w14:textId="156962BB" w:rsidR="00EE4FD8" w:rsidRPr="00511075" w:rsidRDefault="005C4480" w:rsidP="00EE4FD8">
      <w:pPr>
        <w:pStyle w:val="SingleTxtG"/>
        <w:rPr>
          <w:b/>
          <w:bCs/>
        </w:rPr>
      </w:pPr>
      <w:r>
        <w:tab/>
      </w:r>
      <w:r w:rsidR="00EE4FD8">
        <w:t>c)</w:t>
      </w:r>
      <w:r w:rsidR="00EE4FD8">
        <w:tab/>
      </w:r>
      <w:r w:rsidR="00EE4FD8">
        <w:rPr>
          <w:b/>
          <w:bCs/>
        </w:rPr>
        <w:t xml:space="preserve">активизировать усилия по повышению осведомленности мужчин и женщин, в том числе посредством образовательных и медийных кампаний, </w:t>
      </w:r>
      <w:r w:rsidR="00927CBC">
        <w:rPr>
          <w:b/>
          <w:bCs/>
        </w:rPr>
        <w:br/>
      </w:r>
      <w:r w:rsidR="00EE4FD8">
        <w:rPr>
          <w:b/>
          <w:bCs/>
        </w:rPr>
        <w:t>о преступном характере гендерного насилия в отношении женщин с целью противодействия его социальному признанию и устранения стигмы, мешающей жертвам сообщать о нем;</w:t>
      </w:r>
    </w:p>
    <w:p w14:paraId="0BE43F5F" w14:textId="22DC7C1F" w:rsidR="00EE4FD8" w:rsidRPr="00511075" w:rsidRDefault="005C4480" w:rsidP="00EE4FD8">
      <w:pPr>
        <w:pStyle w:val="SingleTxtG"/>
        <w:rPr>
          <w:b/>
          <w:bCs/>
        </w:rPr>
      </w:pPr>
      <w:r>
        <w:tab/>
      </w:r>
      <w:r w:rsidR="00EE4FD8">
        <w:t xml:space="preserve">d) </w:t>
      </w:r>
      <w:r w:rsidR="00EE4FD8">
        <w:tab/>
      </w:r>
      <w:r w:rsidR="00EE4FD8">
        <w:rPr>
          <w:b/>
          <w:bCs/>
        </w:rPr>
        <w:t>принять меры по предотвращению насилия и дискриминации в отношении ЛГБТ+ людей на основании их сексуальной ориентации и гендерного самовыражения или идентичности, в том числе путем отмены вышеупомянутых статей Уголовного кодекса и обеспечения того, чтобы его механизмы подачи жалоб были доступны и могли способствовать эффективной защите жертв насилия или лиц, подвергающихся риску насилия;</w:t>
      </w:r>
      <w:r w:rsidR="00EE4FD8">
        <w:t xml:space="preserve"> </w:t>
      </w:r>
    </w:p>
    <w:p w14:paraId="4E5FE9C4" w14:textId="7F9266C2" w:rsidR="00EE4FD8" w:rsidRPr="00511075" w:rsidRDefault="005C4480" w:rsidP="00EE4FD8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="00EE4FD8" w:rsidRPr="005C4480">
        <w:t>e)</w:t>
      </w:r>
      <w:r w:rsidR="00EE4FD8">
        <w:tab/>
      </w:r>
      <w:r w:rsidR="00EE4FD8">
        <w:rPr>
          <w:b/>
          <w:bCs/>
        </w:rPr>
        <w:t>собирать и предоставлять Комитету данные, в разбивке по возрасту и полу жертв и типу преступления, о количестве жалоб, расследований, осуждений и вынесенных приговоров за сексуальное и гендерное насилие, включая бытовое насилие, изнасилование, изнасилование в браке и насилие в отношении лиц по признаку их сексуальной ориентации, гендерного самовыражения или идентичности, о мерах защиты, юридических и медицинских услугах и возмещении ущерба, предоставленных жертвам.</w:t>
      </w:r>
      <w:r w:rsidR="00EE4FD8">
        <w:t xml:space="preserve"> </w:t>
      </w:r>
    </w:p>
    <w:p w14:paraId="5097DE44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Вредная традиционная практика</w:t>
      </w:r>
    </w:p>
    <w:p w14:paraId="6D36BD47" w14:textId="44A74BAC" w:rsidR="00EE4FD8" w:rsidRPr="00511075" w:rsidRDefault="00EE4FD8" w:rsidP="00EE4FD8">
      <w:pPr>
        <w:pStyle w:val="SingleTxtG"/>
      </w:pPr>
      <w:r>
        <w:t>31.</w:t>
      </w:r>
      <w:r>
        <w:tab/>
        <w:t>Приветствуя заявленную государством-участником приверженность борьбе с вредной традиционной практикой</w:t>
      </w:r>
      <w:r w:rsidRPr="00EE4FD8">
        <w:rPr>
          <w:sz w:val="18"/>
          <w:vertAlign w:val="superscript"/>
        </w:rPr>
        <w:footnoteReference w:id="4"/>
      </w:r>
      <w:r>
        <w:t xml:space="preserve"> и законодательные и другие шаги, предпринятые для ее искоренения, включая объявление детских браков вне закона в 2015 году, Комитет обеспокоен увеличением числа детских браков с начала пандемии COVID-19. Комитет также обеспокоен отсутствием законодательства, прямо криминализирующего практику калечащих операций на женских половых органах. Он также обеспокоен сообщениями о физическом насилии, которому подвергаются женщины в связи с обвинениями в колдовстве. Кроме того, он сожалеет об отсутствии информации о расследованиях и преследованиях</w:t>
      </w:r>
      <w:r w:rsidR="006A6CD8">
        <w:t xml:space="preserve"> </w:t>
      </w:r>
      <w:r>
        <w:t>в связи со случаями вредной практики, защитных мерах и возмещении ущерба, предоставленном жертвам. Наконец, Комитет обеспокоен полученной информацией о вынесении мягких приговоров при осуждении за некоторые из этих видов практики (</w:t>
      </w:r>
      <w:r>
        <w:t xml:space="preserve">статьи </w:t>
      </w:r>
      <w:r>
        <w:t xml:space="preserve">2 и 16). </w:t>
      </w:r>
    </w:p>
    <w:p w14:paraId="6808402E" w14:textId="1AA9BE4F" w:rsidR="00EE4FD8" w:rsidRPr="00511075" w:rsidRDefault="00EE4FD8" w:rsidP="00EE4FD8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 xml:space="preserve">В свете общей рекомендации </w:t>
      </w:r>
      <w:r>
        <w:rPr>
          <w:b/>
          <w:bCs/>
        </w:rPr>
        <w:t>№ </w:t>
      </w:r>
      <w:r>
        <w:rPr>
          <w:b/>
          <w:bCs/>
        </w:rPr>
        <w:t>24 (1999) Комитета по ликвидации дискриминации в отношении женщин государству-участнику следует строго соблюдать законодательство, касающееся минимального возраста вступления в брак, и четко указать, что детские браки не имеют юридической силы и представляют собой вредную практику.</w:t>
      </w:r>
      <w:r>
        <w:t xml:space="preserve"> </w:t>
      </w:r>
      <w:r>
        <w:rPr>
          <w:b/>
          <w:bCs/>
        </w:rPr>
        <w:t>Комитет также рекомендует государству-участнику рассмотреть вопрос о принятии законодательства, прямо криминализирующего калечащие операции на женских половых органах.</w:t>
      </w:r>
      <w:r>
        <w:t xml:space="preserve"> </w:t>
      </w:r>
      <w:r>
        <w:rPr>
          <w:b/>
          <w:bCs/>
        </w:rPr>
        <w:t>Государству-участнику следует немедленно расследовать все случаи вредной традиционной практики, привлечь к ответственности виновных и предоставить возмещение жертвам, принять меры по искоренению этой практики и продолжать активизировать свою деятельность по информированию населения, особенно семей, общин и традиционных лидеров, о вредных последствиях этой практики.</w:t>
      </w:r>
    </w:p>
    <w:p w14:paraId="1F931A6D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Люди с альбинизмом</w:t>
      </w:r>
    </w:p>
    <w:p w14:paraId="696988C8" w14:textId="7874224A" w:rsidR="00EE4FD8" w:rsidRPr="00511075" w:rsidRDefault="00EE4FD8" w:rsidP="00EE4FD8">
      <w:pPr>
        <w:pStyle w:val="SingleTxtG"/>
      </w:pPr>
      <w:r>
        <w:t>33.</w:t>
      </w:r>
      <w:r>
        <w:tab/>
        <w:t>Комитет принимает к сведению информацию о шагах, предпринятых государством-участником для борьбы с насилием в отношении людей с альбинизмом, включая подготовку государственных служащих, а также информационно-просветительские мероприятия. Однако он сожалеет об отсутствии информации о расследованиях, судебных преследованиях и вынесенных приговорах, в том числе по преступлениям, связанным с торговлей частями тела людей с альбинизмом, и о принятых мерах безопасности, защиты и профилактики, включая помощь и возмещение ущерба, предоставленные жертвам, а также об инициативах по устранению коренных причин такого насилия (</w:t>
      </w:r>
      <w:r>
        <w:t xml:space="preserve">статьи </w:t>
      </w:r>
      <w:r>
        <w:t>2, 12</w:t>
      </w:r>
      <w:r w:rsidR="00927CBC">
        <w:t>–</w:t>
      </w:r>
      <w:r>
        <w:t>13 и 16).</w:t>
      </w:r>
    </w:p>
    <w:p w14:paraId="10B161E9" w14:textId="77777777" w:rsidR="00EE4FD8" w:rsidRPr="00511075" w:rsidRDefault="00EE4FD8" w:rsidP="00EE4FD8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Государству-участнику следует принять эффективные меры по предотвращению и защите людей с альбинизмом от ритуальных нападений и другой вредной традиционной практики, обеспечить расследование всех актов насилия, привлечение виновных к ответственности, возмещение ущерба жертвам и предоставление им доступа к реабилитационным услугам, а также устранить коренные причины такого насилия.</w:t>
      </w:r>
      <w:r>
        <w:t xml:space="preserve"> </w:t>
      </w:r>
    </w:p>
    <w:p w14:paraId="0005E7CA" w14:textId="77777777" w:rsidR="00EE4FD8" w:rsidRPr="00511075" w:rsidRDefault="00EE4FD8" w:rsidP="00EE4FD8">
      <w:pPr>
        <w:pStyle w:val="H23G"/>
      </w:pPr>
      <w:r>
        <w:lastRenderedPageBreak/>
        <w:tab/>
      </w:r>
      <w:r>
        <w:tab/>
      </w:r>
      <w:r>
        <w:rPr>
          <w:bCs/>
        </w:rPr>
        <w:t>Торговля людьми</w:t>
      </w:r>
    </w:p>
    <w:p w14:paraId="7D99D013" w14:textId="2FD92E89" w:rsidR="00EE4FD8" w:rsidRPr="00511075" w:rsidRDefault="00EE4FD8" w:rsidP="00EE4FD8">
      <w:pPr>
        <w:pStyle w:val="SingleTxtG"/>
      </w:pPr>
      <w:r>
        <w:t>35.</w:t>
      </w:r>
      <w:r>
        <w:tab/>
        <w:t xml:space="preserve">Комитет высоко оценивает ряд шагов, предпринятых государством-участником для борьбы с торговлей людьми, и постепенное увеличение числа судебных преследований и осуждений лиц, виновных в торговле людьми, с 2013 года. Тем не менее он обеспокоен несколькими сообщениями о недостатках, выявленных в стратегии государства-участника: правовая база не регулирует должным образом преступление в форме торговли людьми в целях сексуальной эксплуатации, в том числе с использованием онлайновых или цифровых технологий; случаи торговли людьми предположительно занижаются по сравнению с распространенностью этого явления, включая торговлю детьми; сбор данных о зарегистрированных и расследованных случаях является недостаточным и не содержит дезагрегированной информации о возрасте, поле, гендерной принадлежности жертвы, форме торговли людьми и возмещении, предоставленном жертвам. Комитет также с обеспокоенностью отмечает недавнее обнаружение массового захоронения с 25 телами предположительно жертв торговли людьми, найденного в северной части района </w:t>
      </w:r>
      <w:proofErr w:type="spellStart"/>
      <w:r>
        <w:t>Мзимба</w:t>
      </w:r>
      <w:proofErr w:type="spellEnd"/>
      <w:r>
        <w:t xml:space="preserve"> (</w:t>
      </w:r>
      <w:r>
        <w:t xml:space="preserve">статьи </w:t>
      </w:r>
      <w:r>
        <w:t>2 и 16).</w:t>
      </w:r>
      <w:bookmarkStart w:id="2" w:name="_Hlk118366501"/>
      <w:bookmarkEnd w:id="2"/>
    </w:p>
    <w:p w14:paraId="10D062BE" w14:textId="77777777" w:rsidR="00EE4FD8" w:rsidRPr="00511075" w:rsidRDefault="00EE4FD8" w:rsidP="00EE4FD8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2568BB69" w14:textId="1A546699" w:rsidR="00EE4FD8" w:rsidRPr="00511075" w:rsidRDefault="00927CBC" w:rsidP="00EE4FD8">
      <w:pPr>
        <w:pStyle w:val="SingleTxtG"/>
        <w:rPr>
          <w:b/>
          <w:bCs/>
        </w:rPr>
      </w:pPr>
      <w:r>
        <w:tab/>
      </w:r>
      <w:r w:rsidR="00EE4FD8">
        <w:t>a)</w:t>
      </w:r>
      <w:r w:rsidR="00EE4FD8">
        <w:tab/>
      </w:r>
      <w:r w:rsidR="00EE4FD8">
        <w:rPr>
          <w:b/>
          <w:bCs/>
        </w:rPr>
        <w:t>принять законодательные меры для обеспечения надлежащей криминализации преступления торговли людьми в целях сексуальной эксплуатации в Законе о борьбе с торговлей людьми, включая его онлайновые и цифровые технологические аспекты;</w:t>
      </w:r>
      <w:r w:rsidR="00EE4FD8">
        <w:t xml:space="preserve"> </w:t>
      </w:r>
    </w:p>
    <w:p w14:paraId="3DEA8150" w14:textId="32F0BCD8" w:rsidR="00EE4FD8" w:rsidRPr="00511075" w:rsidRDefault="00927CBC" w:rsidP="00EE4FD8">
      <w:pPr>
        <w:pStyle w:val="SingleTxtG"/>
        <w:rPr>
          <w:b/>
          <w:bCs/>
        </w:rPr>
      </w:pPr>
      <w:r>
        <w:tab/>
      </w:r>
      <w:r w:rsidR="00EE4FD8">
        <w:t xml:space="preserve">b) </w:t>
      </w:r>
      <w:r w:rsidR="00EE4FD8">
        <w:tab/>
      </w:r>
      <w:r w:rsidR="00EE4FD8">
        <w:rPr>
          <w:b/>
          <w:bCs/>
        </w:rPr>
        <w:t xml:space="preserve">усилить работу по расследованию преступления торговли людьми и связанной с ним практики, включая привлечение к ответственности за массовое захоронение в районе </w:t>
      </w:r>
      <w:proofErr w:type="spellStart"/>
      <w:r w:rsidR="00EE4FD8">
        <w:rPr>
          <w:b/>
          <w:bCs/>
        </w:rPr>
        <w:t>Мзимба</w:t>
      </w:r>
      <w:proofErr w:type="spellEnd"/>
      <w:r w:rsidR="00EE4FD8">
        <w:rPr>
          <w:b/>
          <w:bCs/>
        </w:rPr>
        <w:t>;</w:t>
      </w:r>
      <w:r w:rsidR="00EE4FD8">
        <w:t xml:space="preserve"> </w:t>
      </w:r>
      <w:r w:rsidR="00EE4FD8">
        <w:rPr>
          <w:b/>
          <w:bCs/>
        </w:rPr>
        <w:t>преследовать и наказывать виновных в соответствии с тяжестью преступления;</w:t>
      </w:r>
      <w:r w:rsidR="00EE4FD8">
        <w:t xml:space="preserve"> </w:t>
      </w:r>
      <w:r w:rsidR="00EE4FD8">
        <w:rPr>
          <w:b/>
          <w:bCs/>
        </w:rPr>
        <w:t>и предоставить Комитету всеобъемлющие и дезагрегированные данные о количестве расследований, судебных преследований и вынесенных приговоров;</w:t>
      </w:r>
    </w:p>
    <w:p w14:paraId="686FAF8E" w14:textId="39DB0434" w:rsidR="00EE4FD8" w:rsidRPr="00511075" w:rsidRDefault="00927CBC" w:rsidP="00EE4FD8">
      <w:pPr>
        <w:pStyle w:val="SingleTxtG"/>
        <w:rPr>
          <w:b/>
          <w:bCs/>
        </w:rPr>
      </w:pPr>
      <w:r>
        <w:tab/>
      </w:r>
      <w:r w:rsidR="00EE4FD8">
        <w:t>c)</w:t>
      </w:r>
      <w:r w:rsidR="00EE4FD8">
        <w:tab/>
      </w:r>
      <w:r w:rsidR="00EE4FD8">
        <w:rPr>
          <w:b/>
          <w:bCs/>
        </w:rPr>
        <w:t xml:space="preserve">выделить достаточные средства для создания законодательной и политической базы, направленной на предотвращение торговли людьми и борьбу с ней, защиту жертв и предоставление им эффективного возмещения, </w:t>
      </w:r>
      <w:r>
        <w:rPr>
          <w:b/>
          <w:bCs/>
        </w:rPr>
        <w:br/>
      </w:r>
      <w:r w:rsidR="00EE4FD8">
        <w:rPr>
          <w:b/>
          <w:bCs/>
        </w:rPr>
        <w:t>в том числе путем усиления специализированной подготовки сотрудников правоохранительных органов, судей, прокуроров, социальных работников и других служб экстренного реагирования по вопросам выявления жертв, расследования, судебного преследования и наказания виновных согласно соответствующему законодательству о борьбе с торговлей людьми.</w:t>
      </w:r>
    </w:p>
    <w:p w14:paraId="1FAEBE18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Система предоставления убежища и принцип недопустимости принудительного возвращения</w:t>
      </w:r>
    </w:p>
    <w:p w14:paraId="0DBF5A97" w14:textId="0E564E1F" w:rsidR="00EE4FD8" w:rsidRPr="00511075" w:rsidRDefault="00EE4FD8" w:rsidP="00EE4FD8">
      <w:pPr>
        <w:pStyle w:val="SingleTxtG"/>
      </w:pPr>
      <w:r>
        <w:t xml:space="preserve">37. </w:t>
      </w:r>
      <w:r>
        <w:tab/>
        <w:t xml:space="preserve">Приветствуя усилия государства-участника по предоставлению защиты просителям убежища, Комитет обеспокоен тем, что согласно статье 11 Закона о беженцах отрицательное решение Комитета по делам беженцев в отношении ходатайства о предоставлении статуса беженца может быть обжаловано только у соответствующего министра и что судебный пересмотр такого решения не предусмотрен. Он также обеспокоен сообщениями о том, что предполагаемым ЛГБТ+ просителям убежища часто отказывают в регистрации и рассмотрении их ходатайств. Кроме того, Комитет с обеспокоенностью отмечает отсутствие процедуры выявления уязвимости просителей убежища, включая пытки, торговлю людьми и сексуальное и гендерное насилие, что повышает риск нарушения принципа </w:t>
      </w:r>
      <w:proofErr w:type="spellStart"/>
      <w:r>
        <w:t>невыдворения</w:t>
      </w:r>
      <w:proofErr w:type="spellEnd"/>
      <w:r>
        <w:t xml:space="preserve">. Он также серьезно обеспокоен положением людей в лагере беженцев </w:t>
      </w:r>
      <w:proofErr w:type="spellStart"/>
      <w:r>
        <w:t>Дзалека</w:t>
      </w:r>
      <w:proofErr w:type="spellEnd"/>
      <w:r>
        <w:t xml:space="preserve">, в частности сильной переполненностью, отсутствием доступа к основным услугам, а также утверждениями о гендерном насилии и ограничениях на передвижение. Кроме того, он обеспокоен сообщениями о том, что детей-мигрантов помещают под стражу, зачастую вместе со взрослыми, и содержат в неудовлетворительных </w:t>
      </w:r>
      <w:r w:rsidR="00927CBC">
        <w:t>условиях</w:t>
      </w:r>
      <w:r>
        <w:t xml:space="preserve"> и без доступа к надлежащей помощи с учетом их уязвимого положения (</w:t>
      </w:r>
      <w:r>
        <w:t xml:space="preserve">статьи </w:t>
      </w:r>
      <w:r>
        <w:t>2</w:t>
      </w:r>
      <w:r w:rsidR="00927CBC">
        <w:t>–</w:t>
      </w:r>
      <w:r>
        <w:t xml:space="preserve">3 и 16). </w:t>
      </w:r>
    </w:p>
    <w:p w14:paraId="01030B5B" w14:textId="7B60A992" w:rsidR="00EE4FD8" w:rsidRPr="00511075" w:rsidRDefault="00EE4FD8" w:rsidP="005C6AC7">
      <w:pPr>
        <w:pStyle w:val="SingleTxtG"/>
        <w:keepLines/>
        <w:rPr>
          <w:b/>
          <w:bCs/>
        </w:rPr>
      </w:pPr>
      <w:r>
        <w:lastRenderedPageBreak/>
        <w:t>38.</w:t>
      </w:r>
      <w:r>
        <w:tab/>
      </w:r>
      <w:r>
        <w:rPr>
          <w:b/>
          <w:bCs/>
        </w:rPr>
        <w:t>Государству-участнику следует соблюдать свои обязательства по статье 3 Конвенции и обеспечить, чтобы по закону и на практике люди не могли быть высланы, возвращены или экстрадированы в другое государство, если есть серьезные основания полагать, что там им угрожает опасность подвергнуться пыткам или жестокому обращению.</w:t>
      </w:r>
      <w:r>
        <w:t xml:space="preserve"> </w:t>
      </w:r>
      <w:r>
        <w:rPr>
          <w:b/>
          <w:bCs/>
        </w:rPr>
        <w:t>В частности, государству-участнику следует гарантировать, чтобы все просители убежища имели доступ к справедливым процедурам, в частности к подробному и тщательному собеседованию для оценки риска того, что они могут подвергнуться пыткам и жестокому обращению в стране происхождения с учетом их индивидуальных обстоятельств, а также обеспечить быстрое и надлежащее выявление лиц, находящихся в уязвимом положении, и предоставить им необходимый доступ к медицинским и психологическим услугам.</w:t>
      </w:r>
      <w:r>
        <w:t xml:space="preserve"> </w:t>
      </w:r>
      <w:r>
        <w:rPr>
          <w:b/>
          <w:bCs/>
        </w:rPr>
        <w:t xml:space="preserve">Ему следует немедленно принять меры по устранению трудных условий пребывания в лагере </w:t>
      </w:r>
      <w:proofErr w:type="spellStart"/>
      <w:r>
        <w:rPr>
          <w:b/>
          <w:bCs/>
        </w:rPr>
        <w:t>Дзалека</w:t>
      </w:r>
      <w:proofErr w:type="spellEnd"/>
      <w:r>
        <w:rPr>
          <w:b/>
          <w:bCs/>
        </w:rPr>
        <w:t xml:space="preserve">, обеспечить, чтобы дети-мигранты не задерживались исключительно из-за их иммиграционного статуса и не содержались под стражей вместе со взрослыми, кроме членов их семей, </w:t>
      </w:r>
      <w:r w:rsidR="00950BB9">
        <w:rPr>
          <w:b/>
          <w:bCs/>
        </w:rPr>
        <w:br/>
      </w:r>
      <w:r>
        <w:rPr>
          <w:b/>
          <w:bCs/>
        </w:rPr>
        <w:t>и принять меры безопасности для защиты всех лиц, помещенных в лагеря.</w:t>
      </w:r>
      <w:r>
        <w:t xml:space="preserve"> </w:t>
      </w:r>
      <w:r>
        <w:rPr>
          <w:b/>
          <w:bCs/>
        </w:rPr>
        <w:t>Государству-участнику следует рассмотреть возможность внесения поправок в Закон о беженцах путем введения судебного пересмотра административных решений о высылке лиц и обеспечить, чтобы право на обжалование имело приостанавливающее действие.</w:t>
      </w:r>
      <w:r>
        <w:t xml:space="preserve"> </w:t>
      </w:r>
    </w:p>
    <w:p w14:paraId="6CD753E2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Правозащитники и журналисты</w:t>
      </w:r>
      <w:r>
        <w:t xml:space="preserve"> </w:t>
      </w:r>
    </w:p>
    <w:p w14:paraId="1BB9FD4A" w14:textId="24F075F3" w:rsidR="00EE4FD8" w:rsidRPr="00511075" w:rsidRDefault="00EE4FD8" w:rsidP="00EE4FD8">
      <w:pPr>
        <w:pStyle w:val="SingleTxtG"/>
        <w:rPr>
          <w:b/>
          <w:bCs/>
        </w:rPr>
      </w:pPr>
      <w:r>
        <w:t>39.</w:t>
      </w:r>
      <w:r>
        <w:tab/>
        <w:t>Комитет с озабоченностью отмечает отсутствие законодательства, прямо защищающего деятельность правозащитников и других субъектов гражданского общества, особенно в связи с утверждениями об угрозах, арестах, избиениях, преследованиях и запугиваниях в отношении правозащитников, активистов гражданского общества и журналистов в ходе их работы, включая осуществление права на мирные собрания или освещение вопросов, представляющих общественный интерес. Он также сожалеет об отсутствии информации о расследованиях и судебных преследованиях, включая их результаты, и о любых защитных мерах, принятых в этой связи (</w:t>
      </w:r>
      <w:r>
        <w:t xml:space="preserve">статьи </w:t>
      </w:r>
      <w:r>
        <w:t>2, 12</w:t>
      </w:r>
      <w:r w:rsidR="00914B26">
        <w:t>–</w:t>
      </w:r>
      <w:r>
        <w:t>13 и 16).</w:t>
      </w:r>
    </w:p>
    <w:p w14:paraId="4936CC62" w14:textId="77777777" w:rsidR="00EE4FD8" w:rsidRPr="00511075" w:rsidRDefault="00EE4FD8" w:rsidP="00EE4FD8">
      <w:pPr>
        <w:pStyle w:val="SingleTxtG"/>
      </w:pPr>
      <w:r>
        <w:t xml:space="preserve">40. </w:t>
      </w:r>
      <w:r>
        <w:tab/>
      </w:r>
      <w:r>
        <w:rPr>
          <w:b/>
          <w:bCs/>
        </w:rPr>
        <w:t>Государству-участнику следует рассмотреть возможность принятия законодательства с целью защиты правозащитников и осуществления мер по развитию свободного и безопасного гражданского пространства, обеспечения защиты от любых насильственных действий или запугивания, которым могут подвергнуться правозащитники или журналисты в связи с их деятельностью по защите прав человека, включая их работу по защите от пыток и жестокого обращения и их предупреждению.</w:t>
      </w:r>
      <w:r>
        <w:t xml:space="preserve"> </w:t>
      </w:r>
      <w:r>
        <w:rPr>
          <w:b/>
          <w:bCs/>
        </w:rPr>
        <w:t>Ему также следует принять все меры для расследования любых подобных обвинений и наказания виновных, а также обеспечить адекватное возмещение ущерба.</w:t>
      </w:r>
      <w:r>
        <w:t xml:space="preserve"> </w:t>
      </w:r>
    </w:p>
    <w:p w14:paraId="564BB6E6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Самосуд</w:t>
      </w:r>
      <w:r>
        <w:t xml:space="preserve"> </w:t>
      </w:r>
    </w:p>
    <w:p w14:paraId="31B47397" w14:textId="473DA9C7" w:rsidR="00EE4FD8" w:rsidRPr="00511075" w:rsidRDefault="00EE4FD8" w:rsidP="00EE4FD8">
      <w:pPr>
        <w:pStyle w:val="SingleTxtG"/>
      </w:pPr>
      <w:r>
        <w:t xml:space="preserve">41. </w:t>
      </w:r>
      <w:r>
        <w:tab/>
        <w:t>Отмечая шаги, предпринятые государством-участником для борьбы с самосудами, Комитет по-прежнему обеспокоен сообщениями о нападениях толпы на предполагаемых правонарушителей, некоторые из которых привели к гибели людей, предположительно из-за отсутствия доверия населения к полиции и системе уголовного правосудия. Он также обеспокоен отсутствием информации о расследованиях и судебных преследованиях в этой связи (</w:t>
      </w:r>
      <w:r>
        <w:t xml:space="preserve">статьи </w:t>
      </w:r>
      <w:r>
        <w:t>2, 12 и 16).</w:t>
      </w:r>
    </w:p>
    <w:p w14:paraId="72C3401E" w14:textId="46563F6C" w:rsidR="00EE4FD8" w:rsidRPr="00511075" w:rsidRDefault="00EE4FD8" w:rsidP="00EE4FD8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 xml:space="preserve">Государству-участнику следует активизировать усилия по искоренению явления самосуда и проводить кампании по повышению осведомленности о его незаконном характере, расследовать такое насилие и преследовать виновных, </w:t>
      </w:r>
      <w:r w:rsidR="00950BB9">
        <w:rPr>
          <w:b/>
          <w:bCs/>
        </w:rPr>
        <w:br/>
      </w:r>
      <w:r>
        <w:rPr>
          <w:b/>
          <w:bCs/>
        </w:rPr>
        <w:t>а также принимать меры для восстановления доверия населения к полиции и судебным органам.</w:t>
      </w:r>
      <w:r>
        <w:t xml:space="preserve"> </w:t>
      </w:r>
    </w:p>
    <w:p w14:paraId="477FBE0D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Возмещение ущерба, включая компенсацию и реабилитацию</w:t>
      </w:r>
    </w:p>
    <w:p w14:paraId="0AAADC02" w14:textId="63DF4AF6" w:rsidR="00EE4FD8" w:rsidRPr="00511075" w:rsidRDefault="00EE4FD8" w:rsidP="00EE4FD8">
      <w:pPr>
        <w:pStyle w:val="SingleTxtG"/>
      </w:pPr>
      <w:r>
        <w:t>43.</w:t>
      </w:r>
      <w:r>
        <w:tab/>
        <w:t>Принимая к сведению представленную государством-участником информацию о конституционных правах на эффективное средство правовой защиты (</w:t>
      </w:r>
      <w:r>
        <w:t xml:space="preserve">статья </w:t>
      </w:r>
      <w:r>
        <w:t xml:space="preserve">4, </w:t>
      </w:r>
      <w:r>
        <w:lastRenderedPageBreak/>
        <w:t>пункт</w:t>
      </w:r>
      <w:r w:rsidR="00914B26">
        <w:t> </w:t>
      </w:r>
      <w:r>
        <w:t>3), а также о возможности требовать возмещения ущерба в рамках гражданского судопроизводства и о реальном возмещении ущербе, присужденном в небольшом числе случаев, Комитет с обеспокоенностью отмечает, что, помимо возмещения ущерба, жертвы не имеют доступа к компенсации, включая средства для максимально полной медицинской и психосоциальной реабилитации, как того требует статья 14 Конвенции (</w:t>
      </w:r>
      <w:r>
        <w:t xml:space="preserve">статья </w:t>
      </w:r>
      <w:r>
        <w:t>14).</w:t>
      </w:r>
    </w:p>
    <w:p w14:paraId="57C6DFB0" w14:textId="77777777" w:rsidR="00EE4FD8" w:rsidRPr="00511075" w:rsidRDefault="00EE4FD8" w:rsidP="00EE4FD8">
      <w:pPr>
        <w:pStyle w:val="SingleTxtG"/>
        <w:rPr>
          <w:b/>
          <w:bCs/>
          <w:szCs w:val="22"/>
        </w:rPr>
      </w:pPr>
      <w:r>
        <w:t>44.</w:t>
      </w:r>
      <w:r>
        <w:tab/>
      </w:r>
      <w:r>
        <w:rPr>
          <w:b/>
          <w:bCs/>
        </w:rPr>
        <w:t>Государству-участнику следует обеспечить, чтобы жертвы пыток и жестокого обращения получали возмещение, включая средства для максимально полной реабилитации, и в дополнение к своему требованию о возмещении материального и нематериального ущерба могли получить доступ к медицинской и психосоциальной реабилитации.</w:t>
      </w:r>
      <w:r>
        <w:t xml:space="preserve"> </w:t>
      </w:r>
      <w:r>
        <w:rPr>
          <w:b/>
          <w:bCs/>
        </w:rPr>
        <w:t>Государству-участнику следует провести в сотрудничестве со специализированными организациями гражданского общества оценку существующих потребностей жертв пыток в плане реабилитации.</w:t>
      </w:r>
    </w:p>
    <w:p w14:paraId="03804E2A" w14:textId="77777777" w:rsidR="00EE4FD8" w:rsidRPr="00511075" w:rsidRDefault="00EE4FD8" w:rsidP="00EE4FD8">
      <w:pPr>
        <w:pStyle w:val="H23G"/>
      </w:pPr>
      <w:r>
        <w:tab/>
      </w:r>
      <w:r>
        <w:tab/>
      </w:r>
      <w:r>
        <w:rPr>
          <w:bCs/>
        </w:rPr>
        <w:t>Подготовка</w:t>
      </w:r>
    </w:p>
    <w:p w14:paraId="6C4351F5" w14:textId="5E0DD366" w:rsidR="00EE4FD8" w:rsidRPr="00511075" w:rsidRDefault="00EE4FD8" w:rsidP="00EE4FD8">
      <w:pPr>
        <w:pStyle w:val="SingleTxtG"/>
        <w:rPr>
          <w:szCs w:val="22"/>
        </w:rPr>
      </w:pPr>
      <w:r>
        <w:t>45.</w:t>
      </w:r>
      <w:r>
        <w:tab/>
        <w:t>Комитет отмечает усилия государства-участника по разработке и осуществлению программ обучения и подготовки по правам человека, включая модули по Конвенции, охватывающие абсолютное запрещение пыток, для сотрудников полиции и тюрем, в том числе совместные учебные занятия, проводимые с гражданским обществом. Однако он сожалеет об отсутствии информации о специальной подготовке по Конвенции для судей, прокуроров, пограничников и военнослужащих (</w:t>
      </w:r>
      <w:r>
        <w:t xml:space="preserve">статья </w:t>
      </w:r>
      <w:r>
        <w:t>10).</w:t>
      </w:r>
    </w:p>
    <w:p w14:paraId="6DAC26C0" w14:textId="77777777" w:rsidR="00EE4FD8" w:rsidRPr="00511075" w:rsidRDefault="00EE4FD8" w:rsidP="00EE4FD8">
      <w:pPr>
        <w:pStyle w:val="SingleTxtG"/>
        <w:rPr>
          <w:szCs w:val="22"/>
        </w:rPr>
      </w:pPr>
      <w:r>
        <w:t xml:space="preserve">46. </w:t>
      </w:r>
      <w:r>
        <w:tab/>
      </w:r>
      <w:r>
        <w:rPr>
          <w:b/>
          <w:bCs/>
        </w:rPr>
        <w:t>Государству-участнику следует включить положения Конвенции в учебные программы обязательных курсов для всех соответствующих органов власти, в том числе для судей, прокуроров, пограничников и военнослужащих.</w:t>
      </w:r>
      <w:r>
        <w:t xml:space="preserve"> </w:t>
      </w:r>
    </w:p>
    <w:p w14:paraId="0057929C" w14:textId="77777777" w:rsidR="00EE4FD8" w:rsidRPr="00511075" w:rsidRDefault="00EE4FD8" w:rsidP="00EE4FD8">
      <w:pPr>
        <w:pStyle w:val="H23G"/>
        <w:rPr>
          <w:rFonts w:eastAsia="SimSun"/>
        </w:rPr>
      </w:pPr>
      <w:r>
        <w:tab/>
      </w:r>
      <w:r>
        <w:tab/>
      </w:r>
      <w:r>
        <w:tab/>
      </w:r>
      <w:r>
        <w:rPr>
          <w:bCs/>
        </w:rPr>
        <w:t>Процедура последующей деятельности</w:t>
      </w:r>
    </w:p>
    <w:p w14:paraId="3AA00BB7" w14:textId="46293B1A" w:rsidR="00EE4FD8" w:rsidRPr="00511075" w:rsidRDefault="00EE4FD8" w:rsidP="00EE4FD8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 xml:space="preserve">Комитет просит государство-участник представить к 25 ноября 2023 года информацию о последующих мерах по выполнению рекомендаций Комитета, касающихся содержания под стражей до суда, признаний, полученных с помощью пыток или жестокого обращения, и условий содержания под стражей (см. </w:t>
      </w:r>
      <w:r>
        <w:rPr>
          <w:b/>
          <w:bCs/>
        </w:rPr>
        <w:t>пункты</w:t>
      </w:r>
      <w:r>
        <w:rPr>
          <w:b/>
          <w:bCs/>
        </w:rPr>
        <w:t xml:space="preserve"> 12, 16 а) и b) и 18 а) выше).</w:t>
      </w:r>
      <w:r>
        <w:t xml:space="preserve"> </w:t>
      </w:r>
      <w:r>
        <w:rPr>
          <w:b/>
          <w:bCs/>
        </w:rPr>
        <w:t>В этой связи государству-участнику предлагается сообщить Комитету о своих планах по выполнению в предстоящий отчетный период некоторых или всех из оставшихся рекомендаций, содержащихся в настоящих заключительных замечаниях.</w:t>
      </w:r>
    </w:p>
    <w:p w14:paraId="28EE494B" w14:textId="77777777" w:rsidR="00EE4FD8" w:rsidRPr="00511075" w:rsidRDefault="00EE4FD8" w:rsidP="00EE4FD8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Прочие вопросы</w:t>
      </w:r>
    </w:p>
    <w:p w14:paraId="587E93FE" w14:textId="77777777" w:rsidR="00EE4FD8" w:rsidRPr="00511075" w:rsidRDefault="00EE4FD8" w:rsidP="00EE4FD8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призывает государство-участник рассмотреть вопрос о том, чтобы сделать заявления по статьям 21–22 Конвенции.</w:t>
      </w:r>
    </w:p>
    <w:p w14:paraId="0B0057A3" w14:textId="77777777" w:rsidR="00EE4FD8" w:rsidRPr="00511075" w:rsidRDefault="00EE4FD8" w:rsidP="00EE4FD8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Государству-участнику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организации, а также сообщить Комитету о проводимых мероприятиях по их распространению.</w:t>
      </w:r>
    </w:p>
    <w:p w14:paraId="272EABF5" w14:textId="77777777" w:rsidR="00EE4FD8" w:rsidRPr="00511075" w:rsidRDefault="00EE4FD8" w:rsidP="00EE4FD8">
      <w:pPr>
        <w:pStyle w:val="SingleTxtG"/>
        <w:rPr>
          <w:rFonts w:eastAsia="Yu Mincho"/>
          <w:b/>
          <w:bCs/>
        </w:rPr>
      </w:pPr>
      <w:r>
        <w:t>50.</w:t>
      </w:r>
      <w:r>
        <w:tab/>
      </w:r>
      <w:r>
        <w:rPr>
          <w:b/>
          <w:bCs/>
        </w:rPr>
        <w:t>Комитет просит государство-участник представить свой следующий доклад, который будет вторым периодическим докладом, не позднее 25 ноября 2026 года.</w:t>
      </w:r>
      <w:r>
        <w:t xml:space="preserve"> </w:t>
      </w:r>
      <w:r>
        <w:rPr>
          <w:b/>
          <w:bCs/>
        </w:rPr>
        <w:t>В этой связи и с учетом того, что государство-участник согласилось представлять Комитету доклады в соответствии с упрощенной процедурой отчетности, Комитет в установленном порядке направит государству-участнику перечень вопросов до представления доклада.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станут его вторым периодическим докладом, подлежащим представлению согласно статье 19 Конвенции.</w:t>
      </w:r>
    </w:p>
    <w:p w14:paraId="3F4448D6" w14:textId="5402A445" w:rsidR="00381C24" w:rsidRPr="00EE4FD8" w:rsidRDefault="00EE4FD8" w:rsidP="00EE4F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E4FD8" w:rsidSect="00EE4F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BEC6" w14:textId="77777777" w:rsidR="00A43C77" w:rsidRPr="00A312BC" w:rsidRDefault="00A43C77" w:rsidP="00A312BC"/>
  </w:endnote>
  <w:endnote w:type="continuationSeparator" w:id="0">
    <w:p w14:paraId="62A0BEA1" w14:textId="77777777" w:rsidR="00A43C77" w:rsidRPr="00A312BC" w:rsidRDefault="00A43C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6C7" w14:textId="4C12D605" w:rsidR="00EE4FD8" w:rsidRPr="00EE4FD8" w:rsidRDefault="00EE4FD8">
    <w:pPr>
      <w:pStyle w:val="a8"/>
    </w:pPr>
    <w:r w:rsidRPr="00EE4FD8">
      <w:rPr>
        <w:b/>
        <w:sz w:val="18"/>
      </w:rPr>
      <w:fldChar w:fldCharType="begin"/>
    </w:r>
    <w:r w:rsidRPr="00EE4FD8">
      <w:rPr>
        <w:b/>
        <w:sz w:val="18"/>
      </w:rPr>
      <w:instrText xml:space="preserve"> PAGE  \* MERGEFORMAT </w:instrText>
    </w:r>
    <w:r w:rsidRPr="00EE4FD8">
      <w:rPr>
        <w:b/>
        <w:sz w:val="18"/>
      </w:rPr>
      <w:fldChar w:fldCharType="separate"/>
    </w:r>
    <w:r w:rsidRPr="00EE4FD8">
      <w:rPr>
        <w:b/>
        <w:noProof/>
        <w:sz w:val="18"/>
      </w:rPr>
      <w:t>2</w:t>
    </w:r>
    <w:r w:rsidRPr="00EE4FD8">
      <w:rPr>
        <w:b/>
        <w:sz w:val="18"/>
      </w:rPr>
      <w:fldChar w:fldCharType="end"/>
    </w:r>
    <w:r>
      <w:rPr>
        <w:b/>
        <w:sz w:val="18"/>
      </w:rPr>
      <w:tab/>
    </w:r>
    <w:r>
      <w:t>GE.22-26898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8BE9" w14:textId="67A2EE17" w:rsidR="00EE4FD8" w:rsidRPr="00EE4FD8" w:rsidRDefault="00EE4FD8" w:rsidP="00EE4FD8">
    <w:pPr>
      <w:pStyle w:val="a8"/>
      <w:tabs>
        <w:tab w:val="clear" w:pos="9639"/>
        <w:tab w:val="right" w:pos="9638"/>
      </w:tabs>
      <w:rPr>
        <w:b/>
        <w:sz w:val="18"/>
      </w:rPr>
    </w:pPr>
    <w:r>
      <w:t>GE.22-26898</w:t>
    </w:r>
    <w:r>
      <w:tab/>
    </w:r>
    <w:r w:rsidRPr="00EE4FD8">
      <w:rPr>
        <w:b/>
        <w:sz w:val="18"/>
      </w:rPr>
      <w:fldChar w:fldCharType="begin"/>
    </w:r>
    <w:r w:rsidRPr="00EE4FD8">
      <w:rPr>
        <w:b/>
        <w:sz w:val="18"/>
      </w:rPr>
      <w:instrText xml:space="preserve"> PAGE  \* MERGEFORMAT </w:instrText>
    </w:r>
    <w:r w:rsidRPr="00EE4FD8">
      <w:rPr>
        <w:b/>
        <w:sz w:val="18"/>
      </w:rPr>
      <w:fldChar w:fldCharType="separate"/>
    </w:r>
    <w:r w:rsidRPr="00EE4FD8">
      <w:rPr>
        <w:b/>
        <w:noProof/>
        <w:sz w:val="18"/>
      </w:rPr>
      <w:t>3</w:t>
    </w:r>
    <w:r w:rsidRPr="00EE4F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91AF" w14:textId="5B3476A4" w:rsidR="00042B72" w:rsidRPr="00E17516" w:rsidRDefault="00EE4FD8" w:rsidP="00EE4FD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66C1A1" wp14:editId="6EC8F8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22-26898</w:t>
    </w:r>
    <w:r w:rsidR="006A6CD8">
      <w:t xml:space="preserve"> </w:t>
    </w:r>
    <w:r>
      <w:t>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BCA553" wp14:editId="2A29CA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516">
      <w:t xml:space="preserve">   </w:t>
    </w:r>
    <w:r w:rsidR="00E17516">
      <w:rPr>
        <w:lang w:val="en-US"/>
      </w:rPr>
      <w:t>010323   060323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8DFC" w14:textId="77777777" w:rsidR="00A43C77" w:rsidRPr="001075E9" w:rsidRDefault="00A43C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9CEB70" w14:textId="77777777" w:rsidR="00A43C77" w:rsidRDefault="00A43C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87A222" w14:textId="1B4CCA9A" w:rsidR="00EE4FD8" w:rsidRPr="00511075" w:rsidRDefault="00EE4FD8" w:rsidP="00EE4FD8">
      <w:pPr>
        <w:pStyle w:val="ad"/>
      </w:pPr>
      <w:r>
        <w:tab/>
      </w:r>
      <w:r w:rsidRPr="00EE4FD8">
        <w:rPr>
          <w:sz w:val="20"/>
        </w:rPr>
        <w:t>*</w:t>
      </w:r>
      <w:r>
        <w:tab/>
        <w:t>Приняты Комитетом на его семьдесят пятой сессии (31 октября</w:t>
      </w:r>
      <w:r>
        <w:t xml:space="preserve"> — </w:t>
      </w:r>
      <w:r>
        <w:t xml:space="preserve">25 ноября 2022 года). </w:t>
      </w:r>
    </w:p>
  </w:footnote>
  <w:footnote w:id="2">
    <w:p w14:paraId="2263BACF" w14:textId="065941A9" w:rsidR="00EE4FD8" w:rsidRPr="00511075" w:rsidRDefault="00EE4FD8" w:rsidP="00EE4FD8">
      <w:pPr>
        <w:pStyle w:val="ad"/>
        <w:rPr>
          <w:szCs w:val="18"/>
          <w:lang w:val="de-CH"/>
        </w:rPr>
      </w:pPr>
      <w:r w:rsidRPr="00E31BD4">
        <w:rPr>
          <w:szCs w:val="18"/>
        </w:rPr>
        <w:tab/>
      </w:r>
      <w:r w:rsidRPr="00EE4FD8">
        <w:rPr>
          <w:rStyle w:val="aa"/>
          <w:szCs w:val="18"/>
        </w:rPr>
        <w:footnoteRef/>
      </w:r>
      <w:r w:rsidRPr="00511075">
        <w:rPr>
          <w:lang w:val="de-CH"/>
        </w:rPr>
        <w:tab/>
      </w:r>
      <w:hyperlink r:id="rId1" w:history="1">
        <w:r w:rsidRPr="00EE4FD8">
          <w:rPr>
            <w:rStyle w:val="af1"/>
            <w:lang w:val="de-CH"/>
          </w:rPr>
          <w:t>CAT/C/MWI/1</w:t>
        </w:r>
      </w:hyperlink>
      <w:r w:rsidRPr="00511075">
        <w:rPr>
          <w:lang w:val="de-CH"/>
        </w:rPr>
        <w:t>.</w:t>
      </w:r>
    </w:p>
  </w:footnote>
  <w:footnote w:id="3">
    <w:p w14:paraId="67026379" w14:textId="12C8BAB9" w:rsidR="00EE4FD8" w:rsidRPr="00511075" w:rsidRDefault="00EE4FD8" w:rsidP="00EE4FD8">
      <w:pPr>
        <w:pStyle w:val="ad"/>
        <w:rPr>
          <w:szCs w:val="18"/>
          <w:lang w:val="de-CH"/>
        </w:rPr>
      </w:pPr>
      <w:r w:rsidRPr="00511075">
        <w:rPr>
          <w:szCs w:val="18"/>
          <w:lang w:val="de-CH"/>
        </w:rPr>
        <w:tab/>
      </w:r>
      <w:r w:rsidRPr="00EE4FD8">
        <w:rPr>
          <w:rStyle w:val="aa"/>
          <w:szCs w:val="18"/>
        </w:rPr>
        <w:footnoteRef/>
      </w:r>
      <w:r w:rsidRPr="00511075">
        <w:rPr>
          <w:lang w:val="de-CH"/>
        </w:rPr>
        <w:tab/>
      </w:r>
      <w:r>
        <w:t>См</w:t>
      </w:r>
      <w:r w:rsidRPr="00511075">
        <w:rPr>
          <w:lang w:val="de-CH"/>
        </w:rPr>
        <w:t xml:space="preserve">. </w:t>
      </w:r>
      <w:hyperlink r:id="rId2" w:history="1">
        <w:r w:rsidRPr="00EE4FD8">
          <w:rPr>
            <w:rStyle w:val="af1"/>
            <w:lang w:val="de-CH"/>
          </w:rPr>
          <w:t>CAT/C/SR.1941</w:t>
        </w:r>
      </w:hyperlink>
      <w:r w:rsidRPr="00511075">
        <w:rPr>
          <w:lang w:val="de-CH"/>
        </w:rPr>
        <w:t xml:space="preserve"> </w:t>
      </w:r>
      <w:r>
        <w:t>и</w:t>
      </w:r>
      <w:r w:rsidRPr="00511075">
        <w:rPr>
          <w:lang w:val="de-CH"/>
        </w:rPr>
        <w:t xml:space="preserve"> </w:t>
      </w:r>
      <w:hyperlink r:id="rId3" w:history="1">
        <w:r w:rsidRPr="00EE4FD8">
          <w:rPr>
            <w:rStyle w:val="af1"/>
            <w:lang w:val="de-CH"/>
          </w:rPr>
          <w:t>CAT/C/SR.1944</w:t>
        </w:r>
      </w:hyperlink>
      <w:r w:rsidRPr="00511075">
        <w:rPr>
          <w:lang w:val="de-CH"/>
        </w:rPr>
        <w:t>.</w:t>
      </w:r>
    </w:p>
  </w:footnote>
  <w:footnote w:id="4">
    <w:p w14:paraId="61AF15B6" w14:textId="515A0ADE" w:rsidR="00EE4FD8" w:rsidRPr="00E31BD4" w:rsidRDefault="00EE4FD8" w:rsidP="00EE4FD8">
      <w:pPr>
        <w:pStyle w:val="ad"/>
        <w:rPr>
          <w:szCs w:val="18"/>
        </w:rPr>
      </w:pPr>
      <w:r w:rsidRPr="00511075">
        <w:rPr>
          <w:szCs w:val="18"/>
          <w:lang w:val="de-CH"/>
        </w:rPr>
        <w:tab/>
      </w:r>
      <w:r w:rsidRPr="00EE4FD8">
        <w:rPr>
          <w:rStyle w:val="aa"/>
          <w:szCs w:val="18"/>
        </w:rPr>
        <w:footnoteRef/>
      </w:r>
      <w:r>
        <w:t xml:space="preserve"> </w:t>
      </w:r>
      <w:r>
        <w:tab/>
      </w:r>
      <w:r>
        <w:tab/>
      </w:r>
      <w:hyperlink r:id="rId4" w:history="1">
        <w:r w:rsidRPr="00EE4FD8">
          <w:rPr>
            <w:rStyle w:val="af1"/>
          </w:rPr>
          <w:t>A/HRC/46/7</w:t>
        </w:r>
      </w:hyperlink>
      <w:r>
        <w:t xml:space="preserve">, </w:t>
      </w:r>
      <w:proofErr w:type="spellStart"/>
      <w:r>
        <w:t>пп</w:t>
      </w:r>
      <w:proofErr w:type="spellEnd"/>
      <w:r>
        <w:t>. 122.64</w:t>
      </w:r>
      <w:r w:rsidR="00914B26">
        <w:t>–</w:t>
      </w:r>
      <w:r>
        <w:t>122.66, 122.141, 122.162 и 122.168</w:t>
      </w:r>
      <w:r w:rsidR="00914B26">
        <w:t>–</w:t>
      </w:r>
      <w:r>
        <w:t>122.180.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8634" w14:textId="4348E10E" w:rsidR="00EE4FD8" w:rsidRPr="00EE4FD8" w:rsidRDefault="00EE4FD8">
    <w:pPr>
      <w:pStyle w:val="a5"/>
    </w:pPr>
    <w:fldSimple w:instr=" TITLE  \* MERGEFORMAT ">
      <w:r w:rsidR="00266987">
        <w:t>CAT/C/MWI/CO/1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8A28" w14:textId="2B190F2A" w:rsidR="00EE4FD8" w:rsidRPr="00EE4FD8" w:rsidRDefault="00EE4FD8" w:rsidP="00EE4FD8">
    <w:pPr>
      <w:pStyle w:val="a5"/>
      <w:jc w:val="right"/>
    </w:pPr>
    <w:fldSimple w:instr=" TITLE  \* MERGEFORMAT ">
      <w:r w:rsidR="00266987">
        <w:t>CAT/C/MWI/CO/1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574476">
    <w:abstractNumId w:val="17"/>
  </w:num>
  <w:num w:numId="2" w16cid:durableId="1970625003">
    <w:abstractNumId w:val="11"/>
  </w:num>
  <w:num w:numId="3" w16cid:durableId="1102191400">
    <w:abstractNumId w:val="15"/>
  </w:num>
  <w:num w:numId="4" w16cid:durableId="1972009074">
    <w:abstractNumId w:val="10"/>
  </w:num>
  <w:num w:numId="5" w16cid:durableId="261496370">
    <w:abstractNumId w:val="13"/>
  </w:num>
  <w:num w:numId="6" w16cid:durableId="809520101">
    <w:abstractNumId w:val="8"/>
  </w:num>
  <w:num w:numId="7" w16cid:durableId="756831224">
    <w:abstractNumId w:val="3"/>
  </w:num>
  <w:num w:numId="8" w16cid:durableId="974331725">
    <w:abstractNumId w:val="2"/>
  </w:num>
  <w:num w:numId="9" w16cid:durableId="2038045605">
    <w:abstractNumId w:val="1"/>
  </w:num>
  <w:num w:numId="10" w16cid:durableId="826627293">
    <w:abstractNumId w:val="0"/>
  </w:num>
  <w:num w:numId="11" w16cid:durableId="1203978118">
    <w:abstractNumId w:val="9"/>
  </w:num>
  <w:num w:numId="12" w16cid:durableId="1699426120">
    <w:abstractNumId w:val="7"/>
  </w:num>
  <w:num w:numId="13" w16cid:durableId="1445224399">
    <w:abstractNumId w:val="6"/>
  </w:num>
  <w:num w:numId="14" w16cid:durableId="989941090">
    <w:abstractNumId w:val="5"/>
  </w:num>
  <w:num w:numId="15" w16cid:durableId="592052283">
    <w:abstractNumId w:val="4"/>
  </w:num>
  <w:num w:numId="16" w16cid:durableId="1554541775">
    <w:abstractNumId w:val="16"/>
  </w:num>
  <w:num w:numId="17" w16cid:durableId="2049911454">
    <w:abstractNumId w:val="12"/>
  </w:num>
  <w:num w:numId="18" w16cid:durableId="483662456">
    <w:abstractNumId w:val="14"/>
  </w:num>
  <w:num w:numId="19" w16cid:durableId="686978511">
    <w:abstractNumId w:val="16"/>
  </w:num>
  <w:num w:numId="20" w16cid:durableId="1989627986">
    <w:abstractNumId w:val="12"/>
  </w:num>
  <w:num w:numId="21" w16cid:durableId="197906448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77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66987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965EE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C4480"/>
    <w:rsid w:val="005C6AC7"/>
    <w:rsid w:val="005D7914"/>
    <w:rsid w:val="005E2B41"/>
    <w:rsid w:val="005F0B42"/>
    <w:rsid w:val="006222AA"/>
    <w:rsid w:val="00681A10"/>
    <w:rsid w:val="006A1ED8"/>
    <w:rsid w:val="006A6CD8"/>
    <w:rsid w:val="006C2031"/>
    <w:rsid w:val="006D461A"/>
    <w:rsid w:val="006F35EE"/>
    <w:rsid w:val="007021FF"/>
    <w:rsid w:val="00712895"/>
    <w:rsid w:val="00757357"/>
    <w:rsid w:val="007D0F84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14B26"/>
    <w:rsid w:val="00927CBC"/>
    <w:rsid w:val="00950BB9"/>
    <w:rsid w:val="00951972"/>
    <w:rsid w:val="00953B7A"/>
    <w:rsid w:val="009569AF"/>
    <w:rsid w:val="009608F3"/>
    <w:rsid w:val="009A24AC"/>
    <w:rsid w:val="00A312BC"/>
    <w:rsid w:val="00A43C77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1E9F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17516"/>
    <w:rsid w:val="00E21169"/>
    <w:rsid w:val="00E528D1"/>
    <w:rsid w:val="00E73F76"/>
    <w:rsid w:val="00EA2C9F"/>
    <w:rsid w:val="00ED0BDA"/>
    <w:rsid w:val="00EE4FD8"/>
    <w:rsid w:val="00EF1360"/>
    <w:rsid w:val="00EF3220"/>
    <w:rsid w:val="00F12753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0910"/>
  <w15:docId w15:val="{F5D55AD6-4F27-40D7-ADB9-78F2826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EE4FD8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EE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CAT/C/SR.1944" TargetMode="External"/><Relationship Id="rId2" Type="http://schemas.openxmlformats.org/officeDocument/2006/relationships/hyperlink" Target="http://undocs.org/ru/CAT/C/SR.1941" TargetMode="External"/><Relationship Id="rId1" Type="http://schemas.openxmlformats.org/officeDocument/2006/relationships/hyperlink" Target="http://undocs.org/ru/CAT/C/MWI/1" TargetMode="External"/><Relationship Id="rId4" Type="http://schemas.openxmlformats.org/officeDocument/2006/relationships/hyperlink" Target="http://undocs.org/ru/A/HRC/46/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14</Pages>
  <Words>5974</Words>
  <Characters>41296</Characters>
  <Application>Microsoft Office Word</Application>
  <DocSecurity>0</DocSecurity>
  <Lines>729</Lines>
  <Paragraphs>144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CAT/C/MWI/CO/1</vt:lpstr>
      <vt:lpstr>A/</vt:lpstr>
      <vt:lpstr>A/</vt:lpstr>
      <vt:lpstr>A/</vt:lpstr>
    </vt:vector>
  </TitlesOfParts>
  <Company>DCM</Company>
  <LinksUpToDate>false</LinksUpToDate>
  <CharactersWithSpaces>47318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CAT/C/MWI/CO/1</dc:title>
  <dc:subject/>
  <dc:creator>Larisa MAYKOVSKAYA</dc:creator>
  <cp:keywords/>
  <cp:lastModifiedBy>Larisa MAYKOVSKAYA</cp:lastModifiedBy>
  <cp:revision>3</cp:revision>
  <cp:lastPrinted>2023-03-06T14:36:00Z</cp:lastPrinted>
  <dcterms:created xsi:type="dcterms:W3CDTF">2023-03-06T14:36:00Z</dcterms:created>
  <dcterms:modified xsi:type="dcterms:W3CDTF">2023-03-06T14:36:00Z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