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06C76E8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83C70B" w14:textId="77777777" w:rsidR="002D5AAC" w:rsidRDefault="002D5AAC" w:rsidP="00E52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477A5D2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D21454D" w14:textId="77777777" w:rsidR="002D5AAC" w:rsidRDefault="00E52220" w:rsidP="00E52220">
            <w:pPr>
              <w:jc w:val="right"/>
            </w:pPr>
            <w:r w:rsidRPr="00E52220">
              <w:rPr>
                <w:sz w:val="40"/>
              </w:rPr>
              <w:t>CERD</w:t>
            </w:r>
            <w:r>
              <w:t xml:space="preserve">/C/LTU/CO/9-10 </w:t>
            </w:r>
          </w:p>
        </w:tc>
      </w:tr>
      <w:tr w:rsidR="002D5AAC" w:rsidRPr="00E52220" w14:paraId="2898DC51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A9D9D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B6ED95" wp14:editId="0DC541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D691F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756C957" w14:textId="77777777" w:rsidR="002D5AAC" w:rsidRPr="00E52220" w:rsidRDefault="00E52220" w:rsidP="008D2AAD">
            <w:pPr>
              <w:spacing w:before="240"/>
              <w:rPr>
                <w:lang w:val="en-US"/>
              </w:rPr>
            </w:pPr>
            <w:r w:rsidRPr="00E52220">
              <w:rPr>
                <w:lang w:val="en-US"/>
              </w:rPr>
              <w:t>Distr.: General</w:t>
            </w:r>
          </w:p>
          <w:p w14:paraId="3776EAD8" w14:textId="77777777" w:rsidR="00E52220" w:rsidRPr="00E52220" w:rsidRDefault="00E52220" w:rsidP="00E52220">
            <w:pPr>
              <w:spacing w:line="240" w:lineRule="exact"/>
              <w:rPr>
                <w:lang w:val="en-US"/>
              </w:rPr>
            </w:pPr>
            <w:r w:rsidRPr="00E52220">
              <w:rPr>
                <w:lang w:val="en-US"/>
              </w:rPr>
              <w:t>7 June 2019</w:t>
            </w:r>
          </w:p>
          <w:p w14:paraId="681C2AF2" w14:textId="77777777" w:rsidR="00E52220" w:rsidRPr="00E52220" w:rsidRDefault="00E52220" w:rsidP="00E52220">
            <w:pPr>
              <w:spacing w:line="240" w:lineRule="exact"/>
              <w:rPr>
                <w:lang w:val="en-US"/>
              </w:rPr>
            </w:pPr>
            <w:r w:rsidRPr="00E52220">
              <w:rPr>
                <w:lang w:val="en-US"/>
              </w:rPr>
              <w:t>Russian</w:t>
            </w:r>
          </w:p>
          <w:p w14:paraId="1BA874E3" w14:textId="77777777" w:rsidR="00E52220" w:rsidRPr="00E52220" w:rsidRDefault="00E52220" w:rsidP="00E52220">
            <w:pPr>
              <w:spacing w:line="240" w:lineRule="exact"/>
              <w:rPr>
                <w:lang w:val="en-US"/>
              </w:rPr>
            </w:pPr>
            <w:r w:rsidRPr="00E52220">
              <w:rPr>
                <w:lang w:val="en-US"/>
              </w:rPr>
              <w:t>Original: English</w:t>
            </w:r>
          </w:p>
        </w:tc>
      </w:tr>
    </w:tbl>
    <w:p w14:paraId="0B48DD94" w14:textId="77777777" w:rsidR="00837D02" w:rsidRPr="00837D02" w:rsidRDefault="00837D02" w:rsidP="00837D02">
      <w:pPr>
        <w:spacing w:before="120"/>
        <w:rPr>
          <w:b/>
          <w:sz w:val="24"/>
          <w:szCs w:val="24"/>
        </w:rPr>
      </w:pPr>
      <w:r w:rsidRPr="00837D02">
        <w:rPr>
          <w:b/>
          <w:bCs/>
          <w:sz w:val="24"/>
          <w:szCs w:val="24"/>
        </w:rPr>
        <w:t>Комитет по ликвидации расовой дискриминации</w:t>
      </w:r>
    </w:p>
    <w:p w14:paraId="05693B8E" w14:textId="77777777" w:rsidR="00837D02" w:rsidRPr="00A76A43" w:rsidRDefault="00837D02" w:rsidP="00837D02">
      <w:pPr>
        <w:pStyle w:val="HChG"/>
      </w:pPr>
      <w:r>
        <w:tab/>
      </w:r>
      <w:r>
        <w:tab/>
        <w:t>Заключительные замечания по объединенным девятому</w:t>
      </w:r>
      <w:r>
        <w:rPr>
          <w:lang w:val="en-US"/>
        </w:rPr>
        <w:t> </w:t>
      </w:r>
      <w:r>
        <w:t>и десятому периодическим докладам Литвы</w:t>
      </w:r>
      <w:r w:rsidRPr="00837D02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311E6052" w14:textId="77777777" w:rsidR="00837D02" w:rsidRPr="00A76A43" w:rsidRDefault="00837D02" w:rsidP="00837D02">
      <w:pPr>
        <w:pStyle w:val="SingleTxtG"/>
      </w:pPr>
      <w:r>
        <w:t>1.</w:t>
      </w:r>
      <w:r>
        <w:tab/>
        <w:t>Комитет рассмотрел объединенные девятый и десятый периодические доклады Литвы (CERD/C/LTU/9-10), представленные в одном документе, на своих 2721-м и 2722-м заседаниях (см. CERD/C/SR.2721 и 2722), состоявшихся 30 апреля и 1 мая 2019 года. На своем 2735-м заседании, состоявшемся 9 мая 2019</w:t>
      </w:r>
      <w:r>
        <w:rPr>
          <w:lang w:val="en-US"/>
        </w:rPr>
        <w:t> </w:t>
      </w:r>
      <w:r>
        <w:t>года, он принял настоящие заключительные замечания.</w:t>
      </w:r>
    </w:p>
    <w:p w14:paraId="75620A4B" w14:textId="77777777" w:rsidR="00837D02" w:rsidRPr="00A76A43" w:rsidRDefault="00837D02" w:rsidP="00837D02">
      <w:pPr>
        <w:pStyle w:val="H1G"/>
      </w:pPr>
      <w:r>
        <w:tab/>
      </w:r>
      <w:r>
        <w:t>A.</w:t>
      </w:r>
      <w:r>
        <w:tab/>
      </w:r>
      <w:r>
        <w:tab/>
        <w:t>Введение</w:t>
      </w:r>
    </w:p>
    <w:p w14:paraId="4D31DDA6" w14:textId="77777777" w:rsidR="00837D02" w:rsidRPr="00A76A43" w:rsidRDefault="00837D02" w:rsidP="00837D02">
      <w:pPr>
        <w:pStyle w:val="SingleTxtG"/>
      </w:pPr>
      <w:r>
        <w:t>2.</w:t>
      </w:r>
      <w:r>
        <w:tab/>
        <w:t>Комитет приветствует своевременное представление девятого и десятого периодических докладов государства-участника. Он выражает признательность за откровенный и конструктивный диалог с делегацией высокого уровня государства-участника. Комитет хотел бы поблагодарить делегацию за информацию, представленную в ходе рассмотрения доклада, равно как и за дополнительную информацию, представленную ему в письменном виде после проведения диалога.</w:t>
      </w:r>
    </w:p>
    <w:p w14:paraId="0D1113A2" w14:textId="77777777" w:rsidR="00837D02" w:rsidRPr="00A76A43" w:rsidRDefault="00837D02" w:rsidP="00837D02">
      <w:pPr>
        <w:pStyle w:val="H1G"/>
        <w:ind w:left="0" w:firstLine="0"/>
        <w:jc w:val="both"/>
      </w:pPr>
      <w:r>
        <w:rPr>
          <w:bCs/>
        </w:rPr>
        <w:tab/>
      </w:r>
      <w:r>
        <w:rPr>
          <w:bCs/>
        </w:rPr>
        <w:t>B.</w:t>
      </w:r>
      <w:r>
        <w:rPr>
          <w:bCs/>
        </w:rPr>
        <w:tab/>
        <w:t>Позитивные аспекты</w:t>
      </w:r>
    </w:p>
    <w:p w14:paraId="632AD7A9" w14:textId="77777777" w:rsidR="00837D02" w:rsidRPr="00A76A43" w:rsidRDefault="00837D02" w:rsidP="00837D02">
      <w:pPr>
        <w:pStyle w:val="SingleTxtG"/>
      </w:pPr>
      <w:r>
        <w:t>3.</w:t>
      </w:r>
      <w:r>
        <w:tab/>
        <w:t>Комитет приветствует следующие законодательные и политические меры, принятые государством-участником:</w:t>
      </w:r>
    </w:p>
    <w:p w14:paraId="7DA055DE" w14:textId="77777777" w:rsidR="00837D02" w:rsidRPr="009C177A" w:rsidRDefault="00837D02" w:rsidP="00837D02">
      <w:pPr>
        <w:pStyle w:val="SingleTxtG"/>
      </w:pPr>
      <w:r>
        <w:tab/>
      </w:r>
      <w:r>
        <w:tab/>
        <w:t>а)</w:t>
      </w:r>
      <w:r>
        <w:tab/>
        <w:t>аккредитацию Управления омбудсменов сейма в качестве национального правозащитного учреждения категории А и последующее принятие 7 декабря 2017</w:t>
      </w:r>
      <w:r>
        <w:rPr>
          <w:lang w:val="en-US"/>
        </w:rPr>
        <w:t> </w:t>
      </w:r>
      <w:r>
        <w:t>года Закона об омбудсменах сейма с внесенными в него поправками;</w:t>
      </w:r>
    </w:p>
    <w:p w14:paraId="0B0B1FEF" w14:textId="77777777" w:rsidR="00837D02" w:rsidRPr="00A76A43" w:rsidRDefault="00837D02" w:rsidP="00837D02">
      <w:pPr>
        <w:pStyle w:val="SingleTxtG"/>
        <w:rPr>
          <w:color w:val="000000"/>
        </w:rPr>
      </w:pPr>
      <w:r>
        <w:tab/>
      </w:r>
      <w:r>
        <w:tab/>
      </w:r>
      <w:r>
        <w:t>b)</w:t>
      </w:r>
      <w:r>
        <w:tab/>
        <w:t>принятие 21 декабря 2018</w:t>
      </w:r>
      <w:r>
        <w:rPr>
          <w:lang w:val="en-US"/>
        </w:rPr>
        <w:t> </w:t>
      </w:r>
      <w:r>
        <w:t>года Плана действий по интеграции иностранцев в общество на 2018–2020</w:t>
      </w:r>
      <w:r>
        <w:rPr>
          <w:lang w:val="en-US"/>
        </w:rPr>
        <w:t> </w:t>
      </w:r>
      <w:r>
        <w:t>годы;</w:t>
      </w:r>
    </w:p>
    <w:p w14:paraId="44D4D815" w14:textId="77777777" w:rsidR="00837D02" w:rsidRPr="00A76A43" w:rsidRDefault="00837D02" w:rsidP="00837D02">
      <w:pPr>
        <w:pStyle w:val="SingleTxtG"/>
      </w:pPr>
      <w:r>
        <w:tab/>
      </w:r>
      <w:r>
        <w:tab/>
        <w:t>c)</w:t>
      </w:r>
      <w:r>
        <w:tab/>
        <w:t>принятие 15 мая 2017</w:t>
      </w:r>
      <w:r>
        <w:rPr>
          <w:lang w:val="en-US"/>
        </w:rPr>
        <w:t> </w:t>
      </w:r>
      <w:r>
        <w:t>года Плана действий по поощрению недискриминации на 2017–2019</w:t>
      </w:r>
      <w:r>
        <w:rPr>
          <w:lang w:val="en-US"/>
        </w:rPr>
        <w:t> </w:t>
      </w:r>
      <w:r>
        <w:t>годы;</w:t>
      </w:r>
    </w:p>
    <w:p w14:paraId="347289AD" w14:textId="77777777" w:rsidR="00837D02" w:rsidRPr="00A76A43" w:rsidRDefault="00837D02" w:rsidP="00837D02">
      <w:pPr>
        <w:pStyle w:val="SingleTxtG"/>
      </w:pPr>
      <w:r>
        <w:tab/>
      </w:r>
      <w:r>
        <w:tab/>
        <w:t>d)</w:t>
      </w:r>
      <w:r>
        <w:tab/>
        <w:t>принятие 29 августа 2016</w:t>
      </w:r>
      <w:r>
        <w:rPr>
          <w:lang w:val="en-US"/>
        </w:rPr>
        <w:t> </w:t>
      </w:r>
      <w:r>
        <w:t>года Межведомственного плана действий по борьбе с торговлей людьми на 2017–2019</w:t>
      </w:r>
      <w:r>
        <w:rPr>
          <w:lang w:val="en-US"/>
        </w:rPr>
        <w:t> </w:t>
      </w:r>
      <w:r>
        <w:t>годы;</w:t>
      </w:r>
    </w:p>
    <w:p w14:paraId="291888D7" w14:textId="77777777" w:rsidR="00837D02" w:rsidRPr="00A76A43" w:rsidRDefault="00837D02" w:rsidP="00837D02">
      <w:pPr>
        <w:pStyle w:val="SingleTxtG"/>
      </w:pPr>
      <w:r>
        <w:tab/>
      </w:r>
      <w:r>
        <w:tab/>
        <w:t>e)</w:t>
      </w:r>
      <w:r>
        <w:tab/>
        <w:t>принятие 19 апреля 2016</w:t>
      </w:r>
      <w:r>
        <w:rPr>
          <w:lang w:val="en-US"/>
        </w:rPr>
        <w:t> </w:t>
      </w:r>
      <w:r>
        <w:t>года Программы интеграции в общество общины рома, проживающей в Самоуправлении города Вильнюса, на 2016</w:t>
      </w:r>
      <w:r w:rsidRPr="0000522C">
        <w:t>–</w:t>
      </w:r>
      <w:r>
        <w:t>2019</w:t>
      </w:r>
      <w:r>
        <w:rPr>
          <w:lang w:val="en-US"/>
        </w:rPr>
        <w:t> </w:t>
      </w:r>
      <w:r>
        <w:t>годы.</w:t>
      </w:r>
    </w:p>
    <w:p w14:paraId="2D467586" w14:textId="77777777" w:rsidR="00837D02" w:rsidRPr="00A76A43" w:rsidRDefault="00837D02" w:rsidP="00837D02">
      <w:pPr>
        <w:pStyle w:val="SingleTxtG"/>
      </w:pPr>
      <w:r>
        <w:t>4.</w:t>
      </w:r>
      <w:r>
        <w:tab/>
        <w:t>Комитет приветствует ратификацию государством-участником 12 января 2017 года поправки к пункту 6 статьи 8 Конвенции.</w:t>
      </w:r>
    </w:p>
    <w:p w14:paraId="03177238" w14:textId="77777777" w:rsidR="00837D02" w:rsidRPr="00A76A43" w:rsidRDefault="00837D02" w:rsidP="00837D02">
      <w:pPr>
        <w:pStyle w:val="H1G"/>
        <w:ind w:left="0" w:firstLine="0"/>
        <w:jc w:val="both"/>
      </w:pPr>
      <w:r>
        <w:rPr>
          <w:bCs/>
        </w:rPr>
        <w:lastRenderedPageBreak/>
        <w:tab/>
      </w:r>
      <w:r>
        <w:rPr>
          <w:bCs/>
        </w:rPr>
        <w:t>C.</w:t>
      </w:r>
      <w:r>
        <w:tab/>
      </w:r>
      <w:r>
        <w:rPr>
          <w:bCs/>
        </w:rPr>
        <w:t>Вопросы, вызывающие озабоченность, и рекомендации</w:t>
      </w:r>
      <w:r>
        <w:t xml:space="preserve"> </w:t>
      </w:r>
    </w:p>
    <w:p w14:paraId="35858E55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Статистика</w:t>
      </w:r>
    </w:p>
    <w:p w14:paraId="5FB2315D" w14:textId="77777777" w:rsidR="00837D02" w:rsidRPr="00A76A43" w:rsidRDefault="00837D02" w:rsidP="00837D02">
      <w:pPr>
        <w:pStyle w:val="SingleTxtG"/>
      </w:pPr>
      <w:r>
        <w:t>5.</w:t>
      </w:r>
      <w:r>
        <w:tab/>
        <w:t xml:space="preserve">Комитет по-прежнему обеспокоен недостатком статистических данных об осуществлении экономических и социальных прав лиц, принадлежащих к различным этническим группам и различным национальностям (статья 2). </w:t>
      </w:r>
    </w:p>
    <w:p w14:paraId="521CAF80" w14:textId="77777777" w:rsidR="00837D02" w:rsidRPr="00A76A43" w:rsidRDefault="00837D02" w:rsidP="00837D02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наладить сбор статистических данных о социально-экономическом положении лиц, принадлежащих к различным этническим и национальным меньшинствам, в</w:t>
      </w:r>
      <w:r>
        <w:rPr>
          <w:b/>
          <w:bCs/>
          <w:lang w:val="en-US"/>
        </w:rPr>
        <w:t> </w:t>
      </w:r>
      <w:r>
        <w:rPr>
          <w:b/>
          <w:bCs/>
        </w:rPr>
        <w:t>разбивке по полу, возрасту и другим соответствующим показателям, с тем чтобы получать эмпирические данные, необходимые для разработки политики и мер, направленных на содействие равному осуществлению прав согласно Конвенции.</w:t>
      </w:r>
    </w:p>
    <w:p w14:paraId="31859EDD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Национальные правозащитные учреждения</w:t>
      </w:r>
    </w:p>
    <w:p w14:paraId="6E2C4432" w14:textId="77777777" w:rsidR="00837D02" w:rsidRPr="00A76A43" w:rsidRDefault="00837D02" w:rsidP="00837D02">
      <w:pPr>
        <w:pStyle w:val="SingleTxtG"/>
      </w:pPr>
      <w:r>
        <w:t>7.</w:t>
      </w:r>
      <w:r>
        <w:tab/>
        <w:t>Комитет отмечает, что в 2017 году Управление омбудсменов сейма приобрело новые сферы компетенции на основании Закона об омбудсменах сейма с внесенными в него поправками, а мандат Управления омбудсмена по вопросам равных возможностей был расширен за счет включения в него профилактических и просветительских мероприятий. Тем не менее Комитет обеспокоен ограниченностью ресурсов, выделяемых указанным учреждениям, поскольку это может ограничивать их возможности по адекватному выполнению своих мандатов и дополнительных полномочий на независимой основе (статья 2).</w:t>
      </w:r>
    </w:p>
    <w:p w14:paraId="3341300B" w14:textId="77777777" w:rsidR="00837D02" w:rsidRPr="00A76A43" w:rsidRDefault="00837D02" w:rsidP="00837D02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 выделить достаточный объем финансовых средств:</w:t>
      </w:r>
    </w:p>
    <w:p w14:paraId="66DCF5D4" w14:textId="77777777" w:rsidR="00837D02" w:rsidRPr="00837D02" w:rsidRDefault="00837D02" w:rsidP="00837D02">
      <w:pPr>
        <w:pStyle w:val="SingleTxtG"/>
        <w:rPr>
          <w:b/>
          <w:bCs/>
        </w:rPr>
      </w:pPr>
      <w:r>
        <w:rPr>
          <w:b/>
        </w:rPr>
        <w:tab/>
      </w:r>
      <w:r w:rsidRPr="00837D02">
        <w:rPr>
          <w:b/>
        </w:rPr>
        <w:tab/>
        <w:t>а)</w:t>
      </w:r>
      <w:r w:rsidRPr="00837D02">
        <w:rPr>
          <w:b/>
        </w:rPr>
        <w:tab/>
      </w:r>
      <w:r w:rsidRPr="00837D02">
        <w:rPr>
          <w:b/>
          <w:bCs/>
        </w:rPr>
        <w:t>Управлению омбудсменов сейма, с тем чтобы оно могло эффективно и независимо выполнять свой мандат, в том числе в новых сферах компетенции, определенных в Законе об омбудсменах сейма с внесенными в него поправками, в полном соответствии с принципами, касающимися статуса национальных учреждений, занимающихся поощрением и защитой прав человека (Парижские принципы);</w:t>
      </w:r>
    </w:p>
    <w:p w14:paraId="45CFAC11" w14:textId="77777777" w:rsidR="00837D02" w:rsidRPr="009C177A" w:rsidRDefault="00837D02" w:rsidP="00837D02">
      <w:pPr>
        <w:pStyle w:val="SingleTxtG"/>
        <w:rPr>
          <w:b/>
          <w:bCs/>
        </w:rPr>
      </w:pPr>
      <w:r>
        <w:rPr>
          <w:b/>
        </w:rPr>
        <w:tab/>
      </w:r>
      <w:r w:rsidRPr="00837D02">
        <w:rPr>
          <w:b/>
        </w:rPr>
        <w:tab/>
        <w:t>b)</w:t>
      </w:r>
      <w:r w:rsidRPr="00837D02">
        <w:rPr>
          <w:b/>
        </w:rPr>
        <w:tab/>
      </w:r>
      <w:r w:rsidRPr="00837D02">
        <w:rPr>
          <w:b/>
          <w:bCs/>
        </w:rPr>
        <w:t>Управлению омбудсмена по вопросам равных возможностей, с тем чтобы он</w:t>
      </w:r>
      <w:r>
        <w:rPr>
          <w:b/>
          <w:bCs/>
        </w:rPr>
        <w:t>о могло выполнять свои функции в области предупреждения и просвещения.</w:t>
      </w:r>
      <w:r>
        <w:t xml:space="preserve"> </w:t>
      </w:r>
    </w:p>
    <w:p w14:paraId="4B08F126" w14:textId="77777777" w:rsidR="00837D02" w:rsidRPr="009C177A" w:rsidRDefault="00837D02" w:rsidP="00837D02">
      <w:pPr>
        <w:pStyle w:val="H23G"/>
      </w:pPr>
      <w:r>
        <w:tab/>
      </w:r>
      <w:r>
        <w:tab/>
      </w:r>
      <w:r>
        <w:rPr>
          <w:bCs/>
        </w:rPr>
        <w:t>Определение расовой дискриминации</w:t>
      </w:r>
    </w:p>
    <w:p w14:paraId="31182B01" w14:textId="77777777" w:rsidR="00837D02" w:rsidRPr="009C177A" w:rsidRDefault="00837D02" w:rsidP="00837D02">
      <w:pPr>
        <w:pStyle w:val="SingleTxtG"/>
      </w:pPr>
      <w:r>
        <w:t>9.</w:t>
      </w:r>
      <w:r>
        <w:tab/>
        <w:t xml:space="preserve">Комитет обеспокоен тем, что государство-участник до сих пор не включило понятия </w:t>
      </w:r>
      <w:r>
        <w:t>«</w:t>
      </w:r>
      <w:r>
        <w:t>цвет кожи</w:t>
      </w:r>
      <w:r>
        <w:t>»</w:t>
      </w:r>
      <w:r>
        <w:t xml:space="preserve"> и </w:t>
      </w:r>
      <w:r>
        <w:t>«</w:t>
      </w:r>
      <w:r>
        <w:t>происхождение</w:t>
      </w:r>
      <w:r>
        <w:t>»</w:t>
      </w:r>
      <w:r>
        <w:t xml:space="preserve"> в число запрещенных оснований для дискриминации, содержащихся в Законе о равном обращении и Уголовном кодексе (статья 1).</w:t>
      </w:r>
    </w:p>
    <w:p w14:paraId="073683EF" w14:textId="77777777" w:rsidR="00837D02" w:rsidRPr="009C177A" w:rsidRDefault="00837D02" w:rsidP="00837D02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внести поправки в Закон о равном обращении и Уголовный кодекс, включив цвет кожи и происхождение в число запрещенных оснований для дискриминации, с тем чтобы привести их в соответствие с пунктом 1 статьи 1 Конвенции.</w:t>
      </w:r>
      <w:r>
        <w:t xml:space="preserve"> </w:t>
      </w:r>
    </w:p>
    <w:p w14:paraId="51700EA3" w14:textId="77777777" w:rsidR="00837D02" w:rsidRPr="009C177A" w:rsidRDefault="00837D02" w:rsidP="00837D02">
      <w:pPr>
        <w:pStyle w:val="H23G"/>
      </w:pPr>
      <w:r>
        <w:tab/>
      </w:r>
      <w:r>
        <w:tab/>
      </w:r>
      <w:r>
        <w:rPr>
          <w:bCs/>
        </w:rPr>
        <w:t>Ненавистнические высказывания и подстрекательство к ненависти</w:t>
      </w:r>
      <w:r>
        <w:t xml:space="preserve"> </w:t>
      </w:r>
    </w:p>
    <w:p w14:paraId="52EE6080" w14:textId="77777777" w:rsidR="00837D02" w:rsidRPr="009C177A" w:rsidRDefault="00837D02" w:rsidP="00837D02">
      <w:pPr>
        <w:pStyle w:val="SingleTxtG"/>
      </w:pPr>
      <w:r>
        <w:t>11.</w:t>
      </w:r>
      <w:r>
        <w:tab/>
        <w:t>Комитет обеспокоен преобладающими в государстве-участнике сильными предрассудками и негативными настроениями в отношении представителей уязвимых групп и меньшинств, в частности мигрантов, мусульман и народности рома. Он</w:t>
      </w:r>
      <w:r>
        <w:t> </w:t>
      </w:r>
      <w:r>
        <w:t xml:space="preserve">озабочен также тем, что ненавистнические высказывания и подстрекательство к ненависти в адрес этих групп, а также антисемитские высказывания используются в средствах массовой информации, в том числе онлайновых, и в политической сфере (статьи 2, 4 и 7). </w:t>
      </w:r>
    </w:p>
    <w:p w14:paraId="1DF8EDD0" w14:textId="77777777" w:rsidR="00837D02" w:rsidRPr="00A76A43" w:rsidRDefault="00837D02" w:rsidP="00837D02">
      <w:pPr>
        <w:pStyle w:val="SingleTxtG"/>
      </w:pPr>
      <w:r>
        <w:lastRenderedPageBreak/>
        <w:t>12.</w:t>
      </w:r>
      <w:r>
        <w:tab/>
      </w:r>
      <w:r>
        <w:rPr>
          <w:b/>
          <w:bCs/>
        </w:rPr>
        <w:t>Ссылаясь на свою общую рекомендацию № 35 (2013) о борьбе с ненавистническими высказываниями расистского толка, Комитет рекомендует государству-участнику активизировать свои общественные кампании по борьбе с ненавистническими высказываниями, подстрекательством к ненависти и преступлениями на почве ненависти в целях искоренения предрассудков и негативных настроений в отношении национальных меньшинств и мигрантов и поощрения терпимости и взаимопонимания в отношении этих групп в сотрудничестве с гражданским обществом и представителями наиболее затронутых общин.</w:t>
      </w:r>
      <w:r>
        <w:t xml:space="preserve"> </w:t>
      </w:r>
      <w:r>
        <w:rPr>
          <w:b/>
          <w:bCs/>
        </w:rPr>
        <w:t>Комитет рекомендует государству также укреплять подготовку журналистов по вопросам недопущения использования ненавистнических высказываний и стереотипов в отношении общин при участии Службы Инспектора по журналистской этике.</w:t>
      </w:r>
      <w:r>
        <w:t xml:space="preserve"> </w:t>
      </w:r>
    </w:p>
    <w:p w14:paraId="71C7F9D5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Судебное преследование преступлений по расовым мотивам</w:t>
      </w:r>
    </w:p>
    <w:p w14:paraId="1FC86634" w14:textId="77777777" w:rsidR="00837D02" w:rsidRPr="00A76A43" w:rsidRDefault="00837D02" w:rsidP="00837D02">
      <w:pPr>
        <w:pStyle w:val="SingleTxtG"/>
      </w:pPr>
      <w:r>
        <w:t>13.</w:t>
      </w:r>
      <w:r>
        <w:tab/>
        <w:t>Комитет обеспокоен малым числом сообщений о ненавистнических высказываниях и преступлениях на почве ненависти в государстве-участнике, а также тем фактом, что эти преступления не всегда регистрируются и расследуются как таковые. Он озабочен также отсутствием данных о предварительном следствии по делам о ненавистнических высказываниях и подстрекательстве к ненависти со стороны политиков и средств массовой информации. Кроме того, Комитет обеспокоен тем, что данные по делам, касающимся дискриминации, ненавистнических высказываний и преступлений на почве ненависти, особенно связанным со статьями</w:t>
      </w:r>
      <w:r>
        <w:t> </w:t>
      </w:r>
      <w:r>
        <w:t>169, 170, 171, 312, 129, 135 и 138 Уголовного кодекса, не даются в разбивке по запрещенным основаниям для дискриминации, что ограничивает знания о распространенности этих преступлений в различных сферах. Помимо этого, Комитет с обеспокоенностью отмечает, что, хотя в последние несколько лет предпринимаются усилия по профессиональной подготовке сотрудников правоохранительных органов и специалистов по судопроизводству, число квалифицированных специалистов остается низким (статьи 4 и 6).</w:t>
      </w:r>
    </w:p>
    <w:p w14:paraId="66059C40" w14:textId="77777777" w:rsidR="00837D02" w:rsidRPr="009C177A" w:rsidRDefault="00837D02" w:rsidP="00837D02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свою общую рекомендацию № 35, Комитет рекомендует государству-участнику:</w:t>
      </w:r>
    </w:p>
    <w:p w14:paraId="00482868" w14:textId="77777777" w:rsidR="00837D02" w:rsidRPr="00837D02" w:rsidRDefault="00837D02" w:rsidP="00837D02">
      <w:pPr>
        <w:pStyle w:val="SingleTxtG"/>
        <w:rPr>
          <w:b/>
          <w:bCs/>
        </w:rPr>
      </w:pPr>
      <w:r>
        <w:tab/>
      </w:r>
      <w:r>
        <w:tab/>
      </w:r>
      <w:r w:rsidRPr="00837D02">
        <w:rPr>
          <w:b/>
        </w:rPr>
        <w:t>а)</w:t>
      </w:r>
      <w:r w:rsidRPr="00837D02">
        <w:rPr>
          <w:b/>
        </w:rPr>
        <w:tab/>
      </w:r>
      <w:r w:rsidRPr="00837D02">
        <w:rPr>
          <w:b/>
          <w:bCs/>
        </w:rPr>
        <w:t>принимать меры, направленные на поощрение и упрощение представления сообщений о ненавистнических высказываниях и преступлениях на почве ненависти, в том числе путем повышения осведомленности общественности о доступе к юридической помощи и имеющимся средствам правовой защиты, а также обеспечения надлежащего судебного преследования и наказания виновных;</w:t>
      </w:r>
    </w:p>
    <w:p w14:paraId="6B42D97F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b)</w:t>
      </w:r>
      <w:r w:rsidRPr="00837D02">
        <w:rPr>
          <w:b/>
        </w:rPr>
        <w:tab/>
      </w:r>
      <w:r w:rsidRPr="00837D02">
        <w:rPr>
          <w:b/>
          <w:bCs/>
        </w:rPr>
        <w:t>укреплять потенциал сотрудников правоохранительных органов, прокуроров и судей в области расследования и судебного преследования случаев преступлений на почве ненависти и ненавистнических высказываний, а также собирать дезагрегированные данные об этих преступлениях, в том числе путем увеличения объема проводимого обучения и числа прошедших подготовку лиц;</w:t>
      </w:r>
    </w:p>
    <w:p w14:paraId="7E9ED46C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c)</w:t>
      </w:r>
      <w:r w:rsidRPr="00837D02">
        <w:rPr>
          <w:b/>
        </w:rPr>
        <w:tab/>
      </w:r>
      <w:r w:rsidRPr="00837D02">
        <w:rPr>
          <w:b/>
          <w:bCs/>
        </w:rPr>
        <w:t>организовать сбор</w:t>
      </w:r>
      <w:r w:rsidRPr="00837D02">
        <w:rPr>
          <w:b/>
        </w:rPr>
        <w:t xml:space="preserve"> </w:t>
      </w:r>
      <w:r w:rsidRPr="00837D02">
        <w:rPr>
          <w:b/>
          <w:bCs/>
        </w:rPr>
        <w:t>статистических данных о расследованных случаях преступлений на почве ненависти и подстрекательства к ненависти со стороны политиков и средств массовой информации, в том числе в Интернете;</w:t>
      </w:r>
    </w:p>
    <w:p w14:paraId="2E48220E" w14:textId="77777777" w:rsidR="00837D02" w:rsidRPr="00A76A43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d)</w:t>
      </w:r>
      <w:r w:rsidRPr="00837D02">
        <w:rPr>
          <w:b/>
        </w:rPr>
        <w:tab/>
      </w:r>
      <w:r w:rsidRPr="00837D02">
        <w:rPr>
          <w:b/>
          <w:bCs/>
        </w:rPr>
        <w:t>со</w:t>
      </w:r>
      <w:r>
        <w:rPr>
          <w:b/>
          <w:bCs/>
        </w:rPr>
        <w:t>вершенствовать систему сбора данных, с тем чтобы обеспечить возможность сбора данных в разбивке по запрещенным основаниям о случаях дискриминации, ненавистнических высказываний и преступлений на почве ненависти.</w:t>
      </w:r>
    </w:p>
    <w:p w14:paraId="204F3F71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Возмещение ущерба жертвам преступлений по расовым мотивам</w:t>
      </w:r>
      <w:r>
        <w:t xml:space="preserve"> </w:t>
      </w:r>
    </w:p>
    <w:p w14:paraId="1B41890D" w14:textId="77777777" w:rsidR="00837D02" w:rsidRPr="00A76A43" w:rsidRDefault="00837D02" w:rsidP="00837D02">
      <w:pPr>
        <w:pStyle w:val="SingleTxtG"/>
      </w:pPr>
      <w:r>
        <w:t>15.</w:t>
      </w:r>
      <w:r>
        <w:tab/>
        <w:t>Комитет обеспокоен тем, что действующий закон о компенсации жертвам насильственных преступлений не включает в себя преступления, определенные в статьях 169, 170 и 171 Уголовного кодекса, в связи с чем жертвы этих преступлений не могут получать возмещение ущерба за счет средств Фонда для жертв преступлений (статья 6).</w:t>
      </w:r>
    </w:p>
    <w:p w14:paraId="3C3377A3" w14:textId="77777777" w:rsidR="00837D02" w:rsidRPr="00A76A43" w:rsidRDefault="00837D02" w:rsidP="00837D02">
      <w:pPr>
        <w:pStyle w:val="SingleTxtG"/>
        <w:rPr>
          <w:b/>
          <w:bCs/>
        </w:rPr>
      </w:pPr>
      <w:r>
        <w:lastRenderedPageBreak/>
        <w:t>16.</w:t>
      </w:r>
      <w:r>
        <w:tab/>
      </w:r>
      <w:r>
        <w:rPr>
          <w:b/>
          <w:bCs/>
        </w:rPr>
        <w:t>Отмечая, что государство-участник находится в процессе внесения поправок в свое законодательство, касающееся компенсации жертвам насильственных преступлений, с тем чтобы привести его в соответствие с требованиями Европейского союза, Комитет рекомендует государству-участнику включить в него компенсацию жертвам дискриминации и подстрекательства к ненависти в соответствии со статьями 169, 170 и 171 Уголовного кодекса и проектом поправки к Закону о компенсации жертвам насильственных преступлений.</w:t>
      </w:r>
    </w:p>
    <w:p w14:paraId="1D817FBC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Положение народности рома</w:t>
      </w:r>
      <w:r>
        <w:t xml:space="preserve"> </w:t>
      </w:r>
    </w:p>
    <w:p w14:paraId="0C0E08C5" w14:textId="77777777" w:rsidR="00837D02" w:rsidRPr="00A76A43" w:rsidRDefault="00837D02" w:rsidP="00837D02">
      <w:pPr>
        <w:pStyle w:val="SingleTxtG"/>
      </w:pPr>
      <w:r>
        <w:t>17.</w:t>
      </w:r>
      <w:r>
        <w:tab/>
        <w:t>Приветствуя принятие Плана действий по интеграции рома в литовское общество на 2015–2020 годы и отмечая ряд улучшений в социально-экономическом положении народности рома, особенно в том, что касается посещения школ и жилья, Комитет</w:t>
      </w:r>
      <w:r w:rsidR="00085AE7">
        <w:t>,</w:t>
      </w:r>
      <w:r>
        <w:t xml:space="preserve"> тем не менее</w:t>
      </w:r>
      <w:r w:rsidR="00085AE7">
        <w:t>,</w:t>
      </w:r>
      <w:r>
        <w:t xml:space="preserve"> обеспокоен тем, что рома по-прежнему страдают от социальной изоляции и непропорционально сильно затронуты нищетой. Он озабочен также а)</w:t>
      </w:r>
      <w:r>
        <w:t> </w:t>
      </w:r>
      <w:r>
        <w:t>сохраняющейся низкой долей детей и молодежи рома, получающих базовое образование и посещающих высшие учебные заведения; b) высоким уровнем безработицы среди рома, особенно среди женщин рома; с) высокой долей рома, живущих в неадекватных условиях, несмотря на успешные усилия по переселению семей рома из поселения Киртимай; и d) более низким, чем в среднем, показателем доли рома, охваченных обязательным медицинским страхованием, и их в целом ограниченным доступом к медицинскому обслуживанию. Кроме того, Комитет с обеспокоенностью отмечает, что нарушения экономических, социальных и культурных прав рома усугубляются стереотипами, предрассудками и нетерпимостью, что ведет к дискриминации в области занятости, жилья, здравоохранения и образования (статьи 2, 5 и 7).</w:t>
      </w:r>
    </w:p>
    <w:p w14:paraId="11732D42" w14:textId="77777777" w:rsidR="00837D02" w:rsidRPr="00A76A43" w:rsidRDefault="00837D02" w:rsidP="00837D02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Ссылаясь на свою общую рекомендацию № 27 (2000) о дискриминации в отношении рома, Комитет рекомендует государству-участнику активизировать усилия по интеграции рома в общество в рамках Плана действий по интеграции рома в литовское общество на 2015</w:t>
      </w:r>
      <w:r w:rsidR="00B22084">
        <w:rPr>
          <w:b/>
          <w:bCs/>
        </w:rPr>
        <w:t>–</w:t>
      </w:r>
      <w:r>
        <w:rPr>
          <w:b/>
          <w:bCs/>
        </w:rPr>
        <w:t>2020 годы.</w:t>
      </w:r>
      <w:r>
        <w:t xml:space="preserve"> </w:t>
      </w:r>
      <w:r>
        <w:rPr>
          <w:b/>
          <w:bCs/>
        </w:rPr>
        <w:t>В частности, Комитет рекомендует государству-участнику гарантировать выделение достаточного объема финансовых и кадровых ресурсов для реализации этой стратегии и обеспечивать более широкое участие общины рома, в частности женщин рома, в ее осуществлении.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государству-участнику:</w:t>
      </w:r>
    </w:p>
    <w:p w14:paraId="0A9BFF97" w14:textId="77777777" w:rsidR="00837D02" w:rsidRPr="00837D02" w:rsidRDefault="00837D02" w:rsidP="00837D02">
      <w:pPr>
        <w:pStyle w:val="SingleTxtG"/>
        <w:rPr>
          <w:b/>
          <w:bCs/>
        </w:rPr>
      </w:pPr>
      <w:r>
        <w:tab/>
      </w:r>
      <w:r>
        <w:tab/>
      </w:r>
      <w:r w:rsidRPr="00837D02">
        <w:rPr>
          <w:b/>
        </w:rPr>
        <w:t>а)</w:t>
      </w:r>
      <w:r w:rsidRPr="00837D02">
        <w:rPr>
          <w:b/>
        </w:rPr>
        <w:tab/>
      </w:r>
      <w:r w:rsidRPr="00837D02">
        <w:rPr>
          <w:b/>
          <w:bCs/>
        </w:rPr>
        <w:t>активно бороться с дискриминацией в отношении рома во всех сферах, в частности в области занятости и жилья, и обеспечивать, чтобы рома, ставшие жертвами дискриминации, имели доступ к адекватным средствам правовой защиты.</w:t>
      </w:r>
      <w:r w:rsidRPr="00837D02">
        <w:rPr>
          <w:b/>
        </w:rPr>
        <w:t xml:space="preserve"> </w:t>
      </w:r>
      <w:r w:rsidRPr="00837D02">
        <w:rPr>
          <w:b/>
          <w:bCs/>
        </w:rPr>
        <w:t>В целях борьбы со стереотипами и предрассудками в отношении народности рома Комитет рекомендует государству-участнику организовать для сотрудников правоохранительных и судебных органов и журналистов подготовку по вопросам, касающимся рома.</w:t>
      </w:r>
      <w:r w:rsidRPr="00837D02">
        <w:rPr>
          <w:b/>
        </w:rPr>
        <w:t xml:space="preserve"> </w:t>
      </w:r>
      <w:r w:rsidRPr="00837D02">
        <w:rPr>
          <w:b/>
          <w:bCs/>
        </w:rPr>
        <w:t>Комитет рекомендует государству-участнику также проводить кампании по повышению информированности общественности в целях поощрения культуры рома и борьбы со стереотипами и предрассудками в отношении народности рома;</w:t>
      </w:r>
    </w:p>
    <w:p w14:paraId="1DA909B1" w14:textId="77777777" w:rsidR="00837D02" w:rsidRPr="00A76A43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</w:r>
      <w:r w:rsidRPr="00837D02">
        <w:rPr>
          <w:b/>
        </w:rPr>
        <w:t>b)</w:t>
      </w:r>
      <w:r w:rsidRPr="00837D02">
        <w:rPr>
          <w:b/>
        </w:rPr>
        <w:tab/>
      </w:r>
      <w:r w:rsidRPr="00837D02">
        <w:rPr>
          <w:b/>
          <w:bCs/>
        </w:rPr>
        <w:t xml:space="preserve">продолжать усилия по поощрению записи детей рома в дошкольные учреждения и </w:t>
      </w:r>
      <w:r>
        <w:rPr>
          <w:b/>
          <w:bCs/>
        </w:rPr>
        <w:t>оказывать детям и молодежи из числа рома поддержку в получении обязательного образования и доступа к высшему образованию, в том числе посредством помощи в овладении языком и социальными навыками.</w:t>
      </w:r>
      <w:r>
        <w:t xml:space="preserve"> </w:t>
      </w:r>
      <w:r>
        <w:rPr>
          <w:b/>
          <w:bCs/>
        </w:rPr>
        <w:t>Он</w:t>
      </w:r>
      <w:r>
        <w:rPr>
          <w:b/>
          <w:bCs/>
        </w:rPr>
        <w:t> </w:t>
      </w:r>
      <w:r>
        <w:rPr>
          <w:b/>
          <w:bCs/>
        </w:rPr>
        <w:t>рекомендует также государству-участнику предоставить юношам и девушкам из числа рома возможности получения профессиональной подготовки, адаптированной к потребностям рынка труда</w:t>
      </w:r>
      <w:r>
        <w:t xml:space="preserve">. </w:t>
      </w:r>
      <w:r>
        <w:rPr>
          <w:b/>
          <w:bCs/>
        </w:rPr>
        <w:t>Кроме того, Комитет рекомендует государству-участнику проводить кампании по повышению осведомленности общественности о важности образования, ориентированные на детей и молодежь рома и их семьи;</w:t>
      </w:r>
    </w:p>
    <w:p w14:paraId="78E589DD" w14:textId="77777777" w:rsidR="00837D02" w:rsidRPr="00A76A43" w:rsidRDefault="00837D02" w:rsidP="00837D02">
      <w:pPr>
        <w:pStyle w:val="SingleTxtG"/>
        <w:rPr>
          <w:b/>
          <w:bCs/>
        </w:rPr>
      </w:pPr>
      <w:r>
        <w:tab/>
      </w:r>
      <w:r w:rsidRPr="00837D02">
        <w:rPr>
          <w:b/>
        </w:rPr>
        <w:tab/>
        <w:t>c)</w:t>
      </w:r>
      <w:r>
        <w:tab/>
      </w:r>
      <w:r>
        <w:rPr>
          <w:b/>
          <w:bCs/>
        </w:rPr>
        <w:t>продолжать усилия по содействию доступу рома к достаточному жилищу, включая доступ к социальному жилью и субсидиям на аренду жилья, и</w:t>
      </w:r>
      <w:r w:rsidR="00BC04DF">
        <w:rPr>
          <w:b/>
          <w:bCs/>
        </w:rPr>
        <w:t> </w:t>
      </w:r>
      <w:r>
        <w:rPr>
          <w:b/>
          <w:bCs/>
        </w:rPr>
        <w:t>завершить переселение домохозяйств рома, проживающих в поселке Киртимай.</w:t>
      </w:r>
      <w:r>
        <w:t xml:space="preserve"> </w:t>
      </w:r>
      <w:r>
        <w:rPr>
          <w:b/>
          <w:bCs/>
        </w:rPr>
        <w:lastRenderedPageBreak/>
        <w:t>Он рекомендует государству-участнику также укреплять координационные механизмы для обеспечения того, чтобы ни один дом не сносился без предоставления</w:t>
      </w:r>
      <w:r>
        <w:t xml:space="preserve"> </w:t>
      </w:r>
      <w:r>
        <w:rPr>
          <w:b/>
          <w:bCs/>
        </w:rPr>
        <w:t>жителям альтернативного жилья или денежной компенсации;</w:t>
      </w:r>
    </w:p>
    <w:p w14:paraId="18E6D6D4" w14:textId="77777777" w:rsidR="00837D02" w:rsidRPr="00A76A43" w:rsidRDefault="00837D02" w:rsidP="00837D02">
      <w:pPr>
        <w:pStyle w:val="SingleTxtG"/>
        <w:rPr>
          <w:b/>
          <w:bCs/>
        </w:rPr>
      </w:pPr>
      <w:r>
        <w:tab/>
      </w:r>
      <w:r>
        <w:tab/>
      </w:r>
      <w:r w:rsidRPr="00837D02">
        <w:rPr>
          <w:b/>
        </w:rPr>
        <w:t>d)</w:t>
      </w:r>
      <w:r>
        <w:tab/>
      </w:r>
      <w:r>
        <w:rPr>
          <w:b/>
          <w:bCs/>
        </w:rPr>
        <w:t>активизировать усилия по обеспечению того, чтобы рома, особенно женщины из числа рома, имели доступ к надлежащему медицинскому обслуживанию, в том числе путем проведения целевых кампаний по повышению осведомленности общественности, содержащих информацию об имеющихся медицинских услугах и требованиях в отношении обязательного медицинского страхования.</w:t>
      </w:r>
    </w:p>
    <w:p w14:paraId="6ACC3A16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Закон о национальных меньшинствах</w:t>
      </w:r>
    </w:p>
    <w:p w14:paraId="37DD4B3D" w14:textId="77777777" w:rsidR="00837D02" w:rsidRPr="00A76A43" w:rsidRDefault="00837D02" w:rsidP="00837D02">
      <w:pPr>
        <w:pStyle w:val="SingleTxtG"/>
      </w:pPr>
      <w:r>
        <w:t>19.</w:t>
      </w:r>
      <w:r>
        <w:tab/>
        <w:t xml:space="preserve">Понимая сложность проблем, касающихся национальных меньшинств, и необходимость инклюзивного и всеобъемлющего диалога по этому вопросу, Комитет сожалеет, что, несмотря на значительное число национальных меньшинств в государстве-участнике и разработку ряда законодательных предложений после истечения в 2010 году срока действия предыдущего закона, в государстве-участнике по-прежнему не существует всеобъемлющей законодательной базы, гарантирующей права национальных меньшинств (статья 2). </w:t>
      </w:r>
    </w:p>
    <w:p w14:paraId="3F9C36B5" w14:textId="77777777" w:rsidR="00837D02" w:rsidRPr="00A76A43" w:rsidRDefault="00837D02" w:rsidP="00837D02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В целях гарантирования защиты прав всех национальных меньшинств Комитет рекомендует государству-участнику ускорить разработку и принятие всеобъемлющего закона о национальных меньшинствах.</w:t>
      </w:r>
      <w:r>
        <w:t xml:space="preserve"> </w:t>
      </w:r>
      <w:r>
        <w:rPr>
          <w:b/>
          <w:bCs/>
        </w:rPr>
        <w:t>Он рекомендует</w:t>
      </w:r>
      <w:r>
        <w:t xml:space="preserve"> </w:t>
      </w:r>
      <w:r>
        <w:rPr>
          <w:b/>
          <w:bCs/>
        </w:rPr>
        <w:t>государству-участнику также обеспечить в ходе процесса его разработки проведение консультаций с представителями различных национальных меньшинств.</w:t>
      </w:r>
    </w:p>
    <w:p w14:paraId="66EB8588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Просители убежища</w:t>
      </w:r>
    </w:p>
    <w:p w14:paraId="746EB30E" w14:textId="77777777" w:rsidR="00837D02" w:rsidRPr="00A76A43" w:rsidRDefault="00837D02" w:rsidP="00837D02">
      <w:pPr>
        <w:pStyle w:val="SingleTxtG"/>
      </w:pPr>
      <w:r>
        <w:t>21.</w:t>
      </w:r>
      <w:r>
        <w:tab/>
        <w:t>Комитет обеспокоен сообщениями о том, что просителям убежища бывало отказано во въезде на территорию государства-участника или в доступе к процедурам подачи и рассмотрения ходатайства о предоставлении убежища, включая услуги адвоката. Он озабочен также тем, что вместимость центров приема в государстве-участнике по-прежнему недостаточна для обеспечения надлежащим жильем вновь прибывших просителей убежища, в частности семей с детьми. Кроме того, Комитет обеспокоен тем, что уязвимость или особые потребности заявителей не учитываются на систематической основе и что для женщин и девочек не предоставляются безопасные места (статьи 2 и 5).</w:t>
      </w:r>
    </w:p>
    <w:p w14:paraId="55D81B91" w14:textId="77777777" w:rsidR="00837D02" w:rsidRPr="00A76A43" w:rsidRDefault="00837D02" w:rsidP="00837D02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EA670B3" w14:textId="77777777" w:rsidR="00837D02" w:rsidRPr="00837D02" w:rsidRDefault="00837D02" w:rsidP="00837D02">
      <w:pPr>
        <w:pStyle w:val="SingleTxtG"/>
        <w:rPr>
          <w:b/>
          <w:bCs/>
        </w:rPr>
      </w:pPr>
      <w:r>
        <w:tab/>
      </w:r>
      <w:r>
        <w:tab/>
      </w:r>
      <w:r w:rsidRPr="00837D02">
        <w:rPr>
          <w:b/>
        </w:rPr>
        <w:t>а)</w:t>
      </w:r>
      <w:r w:rsidRPr="00837D02">
        <w:rPr>
          <w:b/>
        </w:rPr>
        <w:tab/>
      </w:r>
      <w:r w:rsidRPr="00837D02">
        <w:rPr>
          <w:b/>
          <w:bCs/>
        </w:rPr>
        <w:t>обеспечить, чтобы пограничники разрешали лицам, ищущим убежища, въезд на территорию страны, регистрировали их, незамедлительно направляли в органы, занимающиеся вопросами предоставления убежища, и по их просьбе предоставляли им доступ к адвокату;</w:t>
      </w:r>
    </w:p>
    <w:p w14:paraId="323E79DD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b)</w:t>
      </w:r>
      <w:r w:rsidRPr="00837D02">
        <w:rPr>
          <w:b/>
        </w:rPr>
        <w:tab/>
      </w:r>
      <w:r w:rsidRPr="00837D02">
        <w:rPr>
          <w:b/>
          <w:bCs/>
        </w:rPr>
        <w:t>проводить эффективные и беспристрастные расследования сообщений о случаях отказа просителям убежища во въезде на территорию государства-участника или в доступе к процедурам подачи и рассмотрения ходатайства о предоставлении убежища, включая услуги адвоката;</w:t>
      </w:r>
    </w:p>
    <w:p w14:paraId="21D5F046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c)</w:t>
      </w:r>
      <w:r w:rsidRPr="00837D02">
        <w:rPr>
          <w:b/>
        </w:rPr>
        <w:tab/>
      </w:r>
      <w:r w:rsidRPr="00837D02">
        <w:rPr>
          <w:b/>
          <w:bCs/>
        </w:rPr>
        <w:t>продолжать работу по расширению возможностей приемных центров и создавать условия для размещения просителей убежища на базе общин;</w:t>
      </w:r>
    </w:p>
    <w:p w14:paraId="276F70DE" w14:textId="77777777" w:rsidR="00837D02" w:rsidRPr="00A76A43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</w:r>
      <w:r w:rsidRPr="00837D02">
        <w:rPr>
          <w:b/>
        </w:rPr>
        <w:t>d)</w:t>
      </w:r>
      <w:r w:rsidRPr="00837D02">
        <w:rPr>
          <w:b/>
        </w:rPr>
        <w:tab/>
      </w:r>
      <w:r>
        <w:rPr>
          <w:b/>
          <w:bCs/>
        </w:rPr>
        <w:t>систематически обеспечивать, чтобы жилищные решения, предлагаемые просителям убежища, соответствовали их конкретным потребностям, чтобы оценивалась уязвимость каждого жителя с особым вниманием к несопровождаемым и разлученным с родителями несовершеннолетним и к жертвам пыток и гендерного насилия, а также чтобы в каждом центре приема создавались безопасные места для женщин и девочек.</w:t>
      </w:r>
    </w:p>
    <w:p w14:paraId="7949BA67" w14:textId="77777777" w:rsidR="00837D02" w:rsidRPr="00A76A43" w:rsidRDefault="00837D02" w:rsidP="00837D02">
      <w:pPr>
        <w:pStyle w:val="H23G"/>
      </w:pPr>
      <w:r>
        <w:lastRenderedPageBreak/>
        <w:tab/>
      </w:r>
      <w:r>
        <w:tab/>
      </w:r>
      <w:r>
        <w:rPr>
          <w:bCs/>
        </w:rPr>
        <w:t>Интеграция беженцев и лиц, пользующихся дополнительной защитой</w:t>
      </w:r>
    </w:p>
    <w:p w14:paraId="1C8105BE" w14:textId="77777777" w:rsidR="00837D02" w:rsidRPr="00A76A43" w:rsidRDefault="00837D02" w:rsidP="00837D02">
      <w:pPr>
        <w:pStyle w:val="SingleTxtG"/>
      </w:pPr>
      <w:r>
        <w:t>23.</w:t>
      </w:r>
      <w:r>
        <w:tab/>
        <w:t>Приветствуя меры, предусмотренные в Плане действий по интеграции иностранцев в общество на 2018–2020 годы, Комитет в то же время обеспокоен тем, что беженцы и лица, пользующиеся дополнительной защитой, по-прежнему сталкиваются с трудностями при полной интеграции в общество. Комитет озабочен также тем, что лица, пользующиеся международной защитой, продолжают сталкиваться с предрассудками и страдать от дискриминации при доступе к жилью и что объем финансовой поддержки, предоставляемой для содействия их интеграции, существенно ограничивает их возможности в плане выбора жилья (статьи 2 и 5).</w:t>
      </w:r>
    </w:p>
    <w:p w14:paraId="1CC61B79" w14:textId="77777777" w:rsidR="00837D02" w:rsidRPr="00A76A43" w:rsidRDefault="00837D02" w:rsidP="00837D02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718B570" w14:textId="77777777" w:rsidR="00837D02" w:rsidRPr="00837D02" w:rsidRDefault="00837D02" w:rsidP="00837D02">
      <w:pPr>
        <w:pStyle w:val="SingleTxtG"/>
        <w:rPr>
          <w:b/>
          <w:bCs/>
        </w:rPr>
      </w:pPr>
      <w:r>
        <w:tab/>
      </w:r>
      <w:r>
        <w:tab/>
      </w:r>
      <w:r w:rsidRPr="00837D02">
        <w:rPr>
          <w:b/>
        </w:rPr>
        <w:t>а)</w:t>
      </w:r>
      <w:r w:rsidRPr="00837D02">
        <w:rPr>
          <w:b/>
        </w:rPr>
        <w:tab/>
      </w:r>
      <w:r w:rsidRPr="00837D02">
        <w:rPr>
          <w:b/>
          <w:bCs/>
        </w:rPr>
        <w:t>гарантировать каждому беженцу и лицу, пользующемуся дополнительной защитой, принятие адекватных интеграционных мер, в том числе в области образования, профессиональной подготовки и занятости;</w:t>
      </w:r>
      <w:r w:rsidRPr="00837D02">
        <w:rPr>
          <w:b/>
        </w:rPr>
        <w:t xml:space="preserve"> </w:t>
      </w:r>
    </w:p>
    <w:p w14:paraId="09F58AA5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b)</w:t>
      </w:r>
      <w:r w:rsidRPr="00837D02">
        <w:rPr>
          <w:b/>
        </w:rPr>
        <w:tab/>
      </w:r>
      <w:r w:rsidRPr="00837D02">
        <w:rPr>
          <w:b/>
          <w:bCs/>
        </w:rPr>
        <w:t>продолжать борьбу с ксенофобией и антимигрантскими настроениями в сфере жилья и обеспечивать надлежащее информирование о случаях дискриминации в отношении этих групп и принятие соответствующих мер;</w:t>
      </w:r>
    </w:p>
    <w:p w14:paraId="2BD48048" w14:textId="77777777" w:rsidR="00837D02" w:rsidRPr="00837D02" w:rsidRDefault="00837D02" w:rsidP="00837D02">
      <w:pPr>
        <w:pStyle w:val="SingleTxtG"/>
        <w:rPr>
          <w:b/>
          <w:bCs/>
        </w:rPr>
      </w:pPr>
      <w:r w:rsidRPr="00837D02">
        <w:rPr>
          <w:b/>
        </w:rPr>
        <w:tab/>
      </w:r>
      <w:r w:rsidRPr="00837D02">
        <w:rPr>
          <w:b/>
        </w:rPr>
        <w:tab/>
        <w:t>c)</w:t>
      </w:r>
      <w:r w:rsidRPr="00837D02">
        <w:rPr>
          <w:b/>
        </w:rPr>
        <w:tab/>
      </w:r>
      <w:r w:rsidRPr="00837D02">
        <w:rPr>
          <w:b/>
          <w:bCs/>
        </w:rPr>
        <w:t xml:space="preserve">рассмотреть возможность увеличения продолжительности и объема </w:t>
      </w:r>
      <w:r w:rsidRPr="00837D02">
        <w:rPr>
          <w:b/>
          <w:bCs/>
        </w:rPr>
        <w:tab/>
      </w:r>
      <w:r w:rsidRPr="00837D02">
        <w:rPr>
          <w:b/>
          <w:bCs/>
        </w:rPr>
        <w:t>финансовой поддержки, предоставляемой для интеграции лиц, пользующихся международной защитой, с тем чтобы облегчить им доступ к достаточному жилищу.</w:t>
      </w:r>
    </w:p>
    <w:p w14:paraId="124A27AB" w14:textId="77777777" w:rsidR="00837D02" w:rsidRPr="00A76A43" w:rsidRDefault="00837D02" w:rsidP="00837D02">
      <w:pPr>
        <w:pStyle w:val="H23G"/>
      </w:pPr>
      <w:r>
        <w:tab/>
      </w:r>
      <w:r>
        <w:tab/>
      </w:r>
      <w:r>
        <w:rPr>
          <w:bCs/>
        </w:rPr>
        <w:t>Лица без гражданства</w:t>
      </w:r>
    </w:p>
    <w:p w14:paraId="41E098F9" w14:textId="77777777" w:rsidR="00837D02" w:rsidRPr="00A76A43" w:rsidRDefault="00837D02" w:rsidP="00837D02">
      <w:pPr>
        <w:pStyle w:val="SingleTxtG"/>
      </w:pPr>
      <w:r>
        <w:t>25.</w:t>
      </w:r>
      <w:r>
        <w:tab/>
        <w:t>Комитет обеспокоен сокращением в отчетный период числа лиц без гражданства, зарегистрированных в государстве-участнике, и присутствием среди них детей. В частности, он озабочен тем, что дети, родившиеся в государстве-участнике у родителей, которые не могут передать им свое гражданство, должны проходить процедуру натурализации для получения литовского гражданства. Кроме того, Комитет с обеспокоенностью отмечает, что в статистику безгражданства в настоящее время включены только лица без гражданства, имеющие вид на жительство (статьи</w:t>
      </w:r>
      <w:r>
        <w:t> </w:t>
      </w:r>
      <w:r>
        <w:t>2</w:t>
      </w:r>
      <w:r>
        <w:t> </w:t>
      </w:r>
      <w:r>
        <w:t>и</w:t>
      </w:r>
      <w:r>
        <w:t> </w:t>
      </w:r>
      <w:r>
        <w:t>5).</w:t>
      </w:r>
    </w:p>
    <w:p w14:paraId="605957BB" w14:textId="77777777" w:rsidR="00837D02" w:rsidRPr="00A76A43" w:rsidRDefault="00837D02" w:rsidP="00837D02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принимать конкретные меры, в том числе законодательные, для сокращения и предупреждения безгражданства и облегчения процедуры натурализации лиц без гражданства, особенно родившихся в Литве.</w:t>
      </w:r>
      <w:r>
        <w:t xml:space="preserve"> </w:t>
      </w:r>
      <w:r>
        <w:rPr>
          <w:b/>
          <w:bCs/>
        </w:rPr>
        <w:t>Комитет рекомендует также государству-участнику усовершенствовать механизм идентификации и сбор данных о лицах без гражданства, с тем чтобы включить в официальную статистику безгражданства лиц, не имеющих вида на жительство.</w:t>
      </w:r>
      <w:r>
        <w:t xml:space="preserve"> </w:t>
      </w:r>
    </w:p>
    <w:p w14:paraId="5E878184" w14:textId="77777777" w:rsidR="00837D02" w:rsidRPr="00A76A43" w:rsidRDefault="00837D02" w:rsidP="00837D02">
      <w:pPr>
        <w:pStyle w:val="H1G"/>
        <w:jc w:val="both"/>
      </w:pPr>
      <w:r>
        <w:rPr>
          <w:bCs/>
        </w:rPr>
        <w:tab/>
      </w:r>
      <w:r>
        <w:rPr>
          <w:bCs/>
        </w:rPr>
        <w:t>D.</w:t>
      </w:r>
      <w:r>
        <w:rPr>
          <w:bCs/>
        </w:rPr>
        <w:tab/>
      </w:r>
      <w:r>
        <w:tab/>
      </w:r>
      <w:r>
        <w:rPr>
          <w:bCs/>
        </w:rPr>
        <w:t>Другие рекомендации</w:t>
      </w:r>
    </w:p>
    <w:p w14:paraId="0F8083F7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14:paraId="50535A7E" w14:textId="77777777" w:rsidR="00837D02" w:rsidRPr="00A76A43" w:rsidRDefault="00837D02" w:rsidP="00837D02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могущих подвергаться расовой дискриминации, в том числе Международной конвенции о защите прав всех трудящихся-мигрантов и членов их семей и Конвенции 2011 года Международной организации труда о достойном труде домашних работников (№ 189).</w:t>
      </w:r>
      <w:r>
        <w:t xml:space="preserve"> </w:t>
      </w:r>
    </w:p>
    <w:p w14:paraId="28C383B8" w14:textId="77777777" w:rsidR="00837D02" w:rsidRPr="00A76A43" w:rsidRDefault="00837D02" w:rsidP="00837D02">
      <w:pPr>
        <w:pStyle w:val="H23G"/>
        <w:jc w:val="both"/>
      </w:pPr>
      <w:r>
        <w:lastRenderedPageBreak/>
        <w:tab/>
      </w:r>
      <w:r>
        <w:tab/>
      </w:r>
      <w:r>
        <w:rPr>
          <w:bCs/>
        </w:rPr>
        <w:t>Заявление в соответствии со статьей 14 Конвенции</w:t>
      </w:r>
    </w:p>
    <w:p w14:paraId="6FA0EB8E" w14:textId="77777777" w:rsidR="00837D02" w:rsidRPr="00A76A43" w:rsidRDefault="00837D02" w:rsidP="00837D02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</w:p>
    <w:p w14:paraId="0B798BE4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14:paraId="50F8737B" w14:textId="77777777" w:rsidR="00837D02" w:rsidRPr="00A76A43" w:rsidRDefault="00837D02" w:rsidP="00837D02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правового режима предпринять шаги по выполнению Дурбанской декларации и Программы действий, принятых в сентябре 2001 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Женеве в апреле 2009 года.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уровне.</w:t>
      </w:r>
      <w:r>
        <w:t xml:space="preserve"> </w:t>
      </w:r>
    </w:p>
    <w:p w14:paraId="667324BA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6A54D4C0" w14:textId="77777777" w:rsidR="00837D02" w:rsidRPr="00A76A43" w:rsidRDefault="00837D02" w:rsidP="00837D02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В свете резолюции 68/237 Генеральной Ассамблеи, в которой Ассамблея провозгласила 2015–2024 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продолжать усилия по реализации соответствующей программы мер и стратегий.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  <w:r>
        <w:t xml:space="preserve"> </w:t>
      </w:r>
    </w:p>
    <w:p w14:paraId="5372BA24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735BE299" w14:textId="77777777" w:rsidR="00837D02" w:rsidRPr="00A76A43" w:rsidRDefault="00837D02" w:rsidP="00837D02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составления следующего периодического доклада и принятия последующих мер по настоящим заключительным замечаниям.</w:t>
      </w:r>
    </w:p>
    <w:p w14:paraId="2710FA86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5167B2BB" w14:textId="77777777" w:rsidR="00837D02" w:rsidRPr="00A76A43" w:rsidRDefault="00837D02" w:rsidP="00837D02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 xml:space="preserve">Комитет рекомендует, чтобы доклады государства-участника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и публиковались на </w:t>
      </w:r>
      <w:r>
        <w:rPr>
          <w:b/>
          <w:bCs/>
        </w:rPr>
        <w:br/>
      </w:r>
      <w:r>
        <w:rPr>
          <w:b/>
          <w:bCs/>
        </w:rPr>
        <w:t>веб-сайте Министерства иностранных дел на официальных языках, а при необходимости – и на других широко используемых языках.</w:t>
      </w:r>
    </w:p>
    <w:p w14:paraId="124097CA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Общий базовый документ</w:t>
      </w:r>
    </w:p>
    <w:p w14:paraId="530BCA6B" w14:textId="77777777" w:rsidR="00837D02" w:rsidRPr="00A76A43" w:rsidRDefault="00837D02" w:rsidP="00837D02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призывает государство-участник обновить свой общий базовый документ от 1 октября 1998 года в соответствии с согласованными руководящими принципами представления докладов согласно международным договорам по правам человека, в частности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 года (HRI/GEN/2/Rev.6, глава I).</w:t>
      </w:r>
      <w:r>
        <w:t xml:space="preserve"> </w:t>
      </w:r>
      <w:r>
        <w:rPr>
          <w:b/>
          <w:bCs/>
        </w:rPr>
        <w:t xml:space="preserve">В свете резолюции 68/268 Генеральной Ассамблеи </w:t>
      </w:r>
      <w:r>
        <w:rPr>
          <w:b/>
          <w:bCs/>
        </w:rPr>
        <w:lastRenderedPageBreak/>
        <w:t>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066140E5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5C033262" w14:textId="42347CCA" w:rsidR="00837D02" w:rsidRPr="00A76A43" w:rsidRDefault="00837D02" w:rsidP="00837D02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В соответствии с пунктом 1 статьи 9 Конвенции и правилом 65 своих</w:t>
      </w:r>
      <w:r w:rsidR="0017547D">
        <w:rPr>
          <w:b/>
          <w:bCs/>
        </w:rPr>
        <w:t> </w:t>
      </w:r>
      <w:r>
        <w:rPr>
          <w:b/>
          <w:bCs/>
        </w:rPr>
        <w:t>правил процедуры Комитет просит государство-участник представить в</w:t>
      </w:r>
      <w:r w:rsidR="0017547D">
        <w:rPr>
          <w:b/>
          <w:bCs/>
        </w:rPr>
        <w:t> </w:t>
      </w:r>
      <w:r>
        <w:rPr>
          <w:b/>
          <w:bCs/>
        </w:rPr>
        <w:t xml:space="preserve">течение одного года после принятия настоящих заключительных замечаний информацию о выполнении им рекомендаций, содержащихся в </w:t>
      </w:r>
      <w:r w:rsidR="0017547D">
        <w:rPr>
          <w:b/>
          <w:bCs/>
        </w:rPr>
        <w:br/>
      </w:r>
      <w:bookmarkStart w:id="0" w:name="_GoBack"/>
      <w:bookmarkEnd w:id="0"/>
      <w:r>
        <w:rPr>
          <w:b/>
          <w:bCs/>
        </w:rPr>
        <w:t>пунктах 12 (борьба с ненавистническими высказываниями), 20 (закон о национальных меньшинствах) и 22 (прием просителей убежища) выше.</w:t>
      </w:r>
    </w:p>
    <w:p w14:paraId="01B0C55A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758FC8D0" w14:textId="77777777" w:rsidR="00837D02" w:rsidRPr="00A76A43" w:rsidRDefault="00837D02" w:rsidP="00837D02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14 (преступления по расовым мотивам), 18 (положение народности рома) и 26 (безгражданство) выше, 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14:paraId="2817B978" w14:textId="77777777" w:rsidR="00837D02" w:rsidRPr="00A76A43" w:rsidRDefault="00837D02" w:rsidP="00837D02">
      <w:pPr>
        <w:pStyle w:val="H23G"/>
        <w:jc w:val="both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3132FC59" w14:textId="77777777" w:rsidR="00837D02" w:rsidRPr="00A76A43" w:rsidRDefault="00837D02" w:rsidP="00837D02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одиннадцатый–тринадцатый периодические доклады в одном документе к 9 января 2023 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них все вопросы,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</w:t>
      </w:r>
      <w:r>
        <w:rPr>
          <w:b/>
          <w:bCs/>
        </w:rPr>
        <w:t> </w:t>
      </w:r>
      <w:r>
        <w:rPr>
          <w:b/>
          <w:bCs/>
        </w:rPr>
        <w:t>21</w:t>
      </w:r>
      <w:r>
        <w:rPr>
          <w:b/>
          <w:bCs/>
        </w:rPr>
        <w:t> </w:t>
      </w:r>
      <w:r>
        <w:rPr>
          <w:b/>
          <w:bCs/>
        </w:rPr>
        <w:t>200 слов.</w:t>
      </w:r>
      <w:r>
        <w:t xml:space="preserve"> </w:t>
      </w:r>
    </w:p>
    <w:p w14:paraId="0C07AE50" w14:textId="77777777" w:rsidR="00381C24" w:rsidRPr="00837D02" w:rsidRDefault="00837D02" w:rsidP="00837D0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37D02" w:rsidSect="00E522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6E60" w14:textId="77777777" w:rsidR="00710606" w:rsidRPr="00A312BC" w:rsidRDefault="00710606" w:rsidP="00A312BC"/>
  </w:endnote>
  <w:endnote w:type="continuationSeparator" w:id="0">
    <w:p w14:paraId="6C21F1DE" w14:textId="77777777" w:rsidR="00710606" w:rsidRPr="00A312BC" w:rsidRDefault="007106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B08F" w14:textId="77777777" w:rsidR="00E52220" w:rsidRPr="00E52220" w:rsidRDefault="00E52220">
    <w:pPr>
      <w:pStyle w:val="a8"/>
    </w:pPr>
    <w:r w:rsidRPr="00E52220">
      <w:rPr>
        <w:b/>
        <w:sz w:val="18"/>
      </w:rPr>
      <w:fldChar w:fldCharType="begin"/>
    </w:r>
    <w:r w:rsidRPr="00E52220">
      <w:rPr>
        <w:b/>
        <w:sz w:val="18"/>
      </w:rPr>
      <w:instrText xml:space="preserve"> PAGE  \* MERGEFORMAT </w:instrText>
    </w:r>
    <w:r w:rsidRPr="00E52220">
      <w:rPr>
        <w:b/>
        <w:sz w:val="18"/>
      </w:rPr>
      <w:fldChar w:fldCharType="separate"/>
    </w:r>
    <w:r w:rsidRPr="00E52220">
      <w:rPr>
        <w:b/>
        <w:noProof/>
        <w:sz w:val="18"/>
      </w:rPr>
      <w:t>2</w:t>
    </w:r>
    <w:r w:rsidRPr="00E52220">
      <w:rPr>
        <w:b/>
        <w:sz w:val="18"/>
      </w:rPr>
      <w:fldChar w:fldCharType="end"/>
    </w:r>
    <w:r>
      <w:rPr>
        <w:b/>
        <w:sz w:val="18"/>
      </w:rPr>
      <w:tab/>
    </w:r>
    <w:r>
      <w:t>GE.19-09218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1C84" w14:textId="77777777" w:rsidR="00E52220" w:rsidRPr="00E52220" w:rsidRDefault="00E52220" w:rsidP="00E52220">
    <w:pPr>
      <w:pStyle w:val="a8"/>
      <w:tabs>
        <w:tab w:val="clear" w:pos="9639"/>
        <w:tab w:val="right" w:pos="9638"/>
      </w:tabs>
      <w:rPr>
        <w:b/>
        <w:sz w:val="18"/>
      </w:rPr>
    </w:pPr>
    <w:r>
      <w:t>GE.19-09218</w:t>
    </w:r>
    <w:r>
      <w:tab/>
    </w:r>
    <w:r w:rsidRPr="00E52220">
      <w:rPr>
        <w:b/>
        <w:sz w:val="18"/>
      </w:rPr>
      <w:fldChar w:fldCharType="begin"/>
    </w:r>
    <w:r w:rsidRPr="00E52220">
      <w:rPr>
        <w:b/>
        <w:sz w:val="18"/>
      </w:rPr>
      <w:instrText xml:space="preserve"> PAGE  \* MERGEFORMAT </w:instrText>
    </w:r>
    <w:r w:rsidRPr="00E52220">
      <w:rPr>
        <w:b/>
        <w:sz w:val="18"/>
      </w:rPr>
      <w:fldChar w:fldCharType="separate"/>
    </w:r>
    <w:r w:rsidRPr="00E52220">
      <w:rPr>
        <w:b/>
        <w:noProof/>
        <w:sz w:val="18"/>
      </w:rPr>
      <w:t>3</w:t>
    </w:r>
    <w:r w:rsidRPr="00E522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67E" w14:textId="77777777" w:rsidR="00042B72" w:rsidRPr="00E52220" w:rsidRDefault="00E52220" w:rsidP="00E5222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4F6274" wp14:editId="3280E8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19-09218  (R)</w:t>
    </w:r>
    <w:r>
      <w:rPr>
        <w:lang w:val="en-US"/>
      </w:rPr>
      <w:t xml:space="preserve">  170619  170619</w:t>
    </w:r>
    <w:r>
      <w:br/>
    </w:r>
    <w:r w:rsidRPr="00E52220">
      <w:rPr>
        <w:rFonts w:ascii="C39T30Lfz" w:hAnsi="C39T30Lfz"/>
        <w:kern w:val="14"/>
        <w:sz w:val="56"/>
      </w:rPr>
      <w:t></w:t>
    </w:r>
    <w:r w:rsidRPr="00E52220">
      <w:rPr>
        <w:rFonts w:ascii="C39T30Lfz" w:hAnsi="C39T30Lfz"/>
        <w:kern w:val="14"/>
        <w:sz w:val="56"/>
      </w:rPr>
      <w:t></w:t>
    </w:r>
    <w:r w:rsidRPr="00E52220">
      <w:rPr>
        <w:rFonts w:ascii="C39T30Lfz" w:hAnsi="C39T30Lfz"/>
        <w:kern w:val="14"/>
        <w:sz w:val="56"/>
      </w:rPr>
      <w:t></w:t>
    </w:r>
    <w:r w:rsidRPr="00E52220">
      <w:rPr>
        <w:rFonts w:ascii="C39T30Lfz" w:hAnsi="C39T30Lfz"/>
        <w:kern w:val="14"/>
        <w:sz w:val="56"/>
      </w:rPr>
      <w:t></w:t>
    </w:r>
    <w:r w:rsidRPr="00E52220">
      <w:rPr>
        <w:rFonts w:ascii="C39T30Lfz" w:hAnsi="C39T30Lfz"/>
        <w:kern w:val="14"/>
        <w:sz w:val="56"/>
      </w:rPr>
      <w:t></w:t>
    </w:r>
    <w:r w:rsidRPr="00E52220">
      <w:rPr>
        <w:rFonts w:ascii="C39T30Lfz" w:hAnsi="C39T30Lfz"/>
        <w:kern w:val="14"/>
        <w:sz w:val="56"/>
      </w:rPr>
      <w:t></w:t>
    </w:r>
    <w:r w:rsidRPr="00E52220">
      <w:rPr>
        <w:rFonts w:ascii="C39T30Lfz" w:hAnsi="C39T30Lfz"/>
        <w:kern w:val="14"/>
        <w:sz w:val="56"/>
      </w:rPr>
      <w:t></w:t>
    </w:r>
    <w:r w:rsidRPr="00E52220">
      <w:rPr>
        <w:rFonts w:ascii="C39T30Lfz" w:hAnsi="C39T30Lfz"/>
        <w:kern w:val="14"/>
        <w:sz w:val="56"/>
      </w:rPr>
      <w:t></w:t>
    </w:r>
    <w:r w:rsidRPr="00E522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CFEAC3" wp14:editId="0D6E2F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LTU/CO/9-10 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LTU/CO/9-10 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CE90" w14:textId="77777777" w:rsidR="00710606" w:rsidRPr="001075E9" w:rsidRDefault="007106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442D5" w14:textId="77777777" w:rsidR="00710606" w:rsidRDefault="007106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12DB3B" w14:textId="77777777" w:rsidR="00837D02" w:rsidRPr="009C177A" w:rsidRDefault="00837D02" w:rsidP="00837D02">
      <w:pPr>
        <w:pStyle w:val="ad"/>
      </w:pPr>
      <w:r>
        <w:tab/>
      </w:r>
      <w:r w:rsidRPr="00837D02">
        <w:rPr>
          <w:sz w:val="20"/>
        </w:rPr>
        <w:t>*</w:t>
      </w:r>
      <w:r>
        <w:tab/>
        <w:t>Приняты Комитетом на его девяносто восьмой сессии (23 апреля – 10 мая 2019</w:t>
      </w:r>
      <w:r>
        <w:rPr>
          <w:lang w:val="en-US"/>
        </w:rPr>
        <w:t> </w:t>
      </w:r>
      <w:r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9DAD" w14:textId="0AA4DEC3" w:rsidR="00E52220" w:rsidRPr="00E52220" w:rsidRDefault="00E52220">
    <w:pPr>
      <w:pStyle w:val="a5"/>
    </w:pPr>
    <w:fldSimple w:instr=" TITLE  \* MERGEFORMAT ">
      <w:r w:rsidR="00007ED7">
        <w:t xml:space="preserve">CERD/C/LTU/CO/9-10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9D83" w14:textId="69B0C834" w:rsidR="00E52220" w:rsidRPr="00E52220" w:rsidRDefault="00E52220" w:rsidP="00E52220">
    <w:pPr>
      <w:pStyle w:val="a5"/>
      <w:jc w:val="right"/>
    </w:pPr>
    <w:fldSimple w:instr=" TITLE  \* MERGEFORMAT ">
      <w:r w:rsidR="00007ED7">
        <w:t xml:space="preserve">CERD/C/LTU/CO/9-10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06"/>
    <w:rsid w:val="00007ED7"/>
    <w:rsid w:val="00033EE1"/>
    <w:rsid w:val="00042B72"/>
    <w:rsid w:val="000558BD"/>
    <w:rsid w:val="00085AE7"/>
    <w:rsid w:val="000A5CAC"/>
    <w:rsid w:val="000B57E7"/>
    <w:rsid w:val="000B6373"/>
    <w:rsid w:val="000F09DF"/>
    <w:rsid w:val="000F61B2"/>
    <w:rsid w:val="001075E9"/>
    <w:rsid w:val="0017547D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0BAD"/>
    <w:rsid w:val="003958D0"/>
    <w:rsid w:val="003B00E5"/>
    <w:rsid w:val="003D11EA"/>
    <w:rsid w:val="003D3DF1"/>
    <w:rsid w:val="003F5F49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0606"/>
    <w:rsid w:val="00712895"/>
    <w:rsid w:val="00757357"/>
    <w:rsid w:val="007C46C9"/>
    <w:rsid w:val="007C49AB"/>
    <w:rsid w:val="00825F8D"/>
    <w:rsid w:val="00834B71"/>
    <w:rsid w:val="00837D02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805F6"/>
    <w:rsid w:val="009A24AC"/>
    <w:rsid w:val="009D5FCE"/>
    <w:rsid w:val="009F642C"/>
    <w:rsid w:val="00A14DA8"/>
    <w:rsid w:val="00A312BC"/>
    <w:rsid w:val="00A84021"/>
    <w:rsid w:val="00A84D35"/>
    <w:rsid w:val="00A917B3"/>
    <w:rsid w:val="00AB4B51"/>
    <w:rsid w:val="00B10CC7"/>
    <w:rsid w:val="00B22084"/>
    <w:rsid w:val="00B27969"/>
    <w:rsid w:val="00B32719"/>
    <w:rsid w:val="00B36DF7"/>
    <w:rsid w:val="00B539E7"/>
    <w:rsid w:val="00B62458"/>
    <w:rsid w:val="00B67B12"/>
    <w:rsid w:val="00BC04DF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B417C"/>
    <w:rsid w:val="00DD6358"/>
    <w:rsid w:val="00DD78D1"/>
    <w:rsid w:val="00DE32CD"/>
    <w:rsid w:val="00DF0F43"/>
    <w:rsid w:val="00DF71B9"/>
    <w:rsid w:val="00E52220"/>
    <w:rsid w:val="00E73F76"/>
    <w:rsid w:val="00EA2C9F"/>
    <w:rsid w:val="00EA420E"/>
    <w:rsid w:val="00ED0BDA"/>
    <w:rsid w:val="00EF1360"/>
    <w:rsid w:val="00EF3220"/>
    <w:rsid w:val="00F0540A"/>
    <w:rsid w:val="00F16935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A3ECD"/>
  <w15:docId w15:val="{035202FC-857B-4625-82FA-4B6018C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37D0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6591-13F1-48F1-84DE-5323BC2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8</Pages>
  <Words>2926</Words>
  <Characters>20458</Characters>
  <Application>Microsoft Office Word</Application>
  <DocSecurity>0</DocSecurity>
  <Lines>386</Lines>
  <Paragraphs>105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CERD/C/LTU/CO/9-10 </vt:lpstr>
      <vt:lpstr>A/</vt:lpstr>
      <vt:lpstr>A/</vt:lpstr>
    </vt:vector>
  </TitlesOfParts>
  <Company>DCM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CERD/C/LTU/CO/9-10 </dc:title>
  <dc:subject/>
  <dc:creator>Ekaterina SALYNSKAYA</dc:creator>
  <cp:keywords/>
  <cp:lastModifiedBy>Ekaterina Salynskaya</cp:lastModifiedBy>
  <cp:revision>3</cp:revision>
  <cp:lastPrinted>2019-06-17T07:54:00Z</cp:lastPrinted>
  <dcterms:created xsi:type="dcterms:W3CDTF">2019-06-17T07:54:00Z</dcterms:created>
  <dcterms:modified xsi:type="dcterms:W3CDTF">2019-06-17T07:54:00Z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