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680.4pt;width:113.4pt;height:28.35pt;z-index:1;mso-position-horizontal-relative:margin" o:allowincell="f" filled="f" stroked="f">
                  <v:textbox inset="0,0,0,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 "Введите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44819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margin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CAT/C/55/Add.3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3 October 2000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tabs>
          <w:tab w:val="left" w:pos="0"/>
        </w:tabs>
        <w:suppressAutoHyphens/>
      </w:pPr>
      <w:r>
        <w:t>КОМИТЕТ ПРОТИВ ПЫТОК</w:t>
      </w:r>
    </w:p>
    <w:p w:rsidR="00000000" w:rsidRDefault="00000000">
      <w:pPr>
        <w:tabs>
          <w:tab w:val="left" w:pos="0"/>
        </w:tabs>
        <w:suppressAutoHyphens/>
      </w:pPr>
    </w:p>
    <w:p w:rsidR="00000000" w:rsidRDefault="00000000">
      <w:pPr>
        <w:pStyle w:val="16"/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tabs>
          <w:tab w:val="left" w:pos="0"/>
        </w:tabs>
        <w:suppressAutoHyphens/>
        <w:jc w:val="center"/>
      </w:pPr>
    </w:p>
    <w:p w:rsidR="00000000" w:rsidRDefault="00000000">
      <w:pPr>
        <w:tabs>
          <w:tab w:val="left" w:pos="0"/>
        </w:tabs>
        <w:suppressAutoHyphens/>
        <w:jc w:val="center"/>
      </w:pPr>
      <w:r>
        <w:rPr>
          <w:u w:val="single"/>
        </w:rPr>
        <w:t>Четвертые периодические доклады государств-участников</w:t>
      </w:r>
      <w:r>
        <w:t>,</w:t>
      </w:r>
    </w:p>
    <w:p w:rsidR="00000000" w:rsidRDefault="00000000">
      <w:pPr>
        <w:pStyle w:val="11"/>
        <w:tabs>
          <w:tab w:val="left" w:pos="0"/>
        </w:tabs>
        <w:suppressAutoHyphens/>
      </w:pPr>
      <w:r>
        <w:t>подлежащие представлению в 2000 году</w:t>
      </w:r>
    </w:p>
    <w:p w:rsidR="00000000" w:rsidRDefault="00000000">
      <w:pPr>
        <w:tabs>
          <w:tab w:val="left" w:pos="0"/>
        </w:tabs>
        <w:suppressAutoHyphens/>
        <w:jc w:val="center"/>
        <w:rPr>
          <w:u w:val="single"/>
        </w:rPr>
      </w:pPr>
    </w:p>
    <w:p w:rsidR="00000000" w:rsidRDefault="00000000">
      <w:pPr>
        <w:tabs>
          <w:tab w:val="left" w:pos="0"/>
        </w:tabs>
        <w:suppressAutoHyphens/>
        <w:jc w:val="center"/>
        <w:rPr>
          <w:u w:val="single"/>
        </w:rPr>
      </w:pPr>
      <w:r>
        <w:rPr>
          <w:u w:val="single"/>
        </w:rPr>
        <w:t>Добавление</w:t>
      </w:r>
    </w:p>
    <w:p w:rsidR="00000000" w:rsidRDefault="00000000">
      <w:pPr>
        <w:tabs>
          <w:tab w:val="left" w:pos="0"/>
        </w:tabs>
        <w:suppressAutoHyphens/>
        <w:jc w:val="center"/>
        <w:rPr>
          <w:u w:val="single"/>
        </w:rPr>
      </w:pPr>
    </w:p>
    <w:p w:rsidR="00000000" w:rsidRDefault="00000000">
      <w:pPr>
        <w:pStyle w:val="16"/>
        <w:tabs>
          <w:tab w:val="left" w:pos="0"/>
        </w:tabs>
        <w:suppressAutoHyphens/>
      </w:pPr>
      <w:r>
        <w:t>ШВЕЦИЯ*</w:t>
      </w:r>
    </w:p>
    <w:p w:rsidR="00000000" w:rsidRDefault="00000000">
      <w:pPr>
        <w:tabs>
          <w:tab w:val="left" w:pos="0"/>
        </w:tabs>
        <w:suppressAutoHyphens/>
        <w:jc w:val="center"/>
      </w:pPr>
    </w:p>
    <w:p w:rsidR="00000000" w:rsidRDefault="00000000">
      <w:pPr>
        <w:tabs>
          <w:tab w:val="left" w:pos="0"/>
        </w:tabs>
        <w:suppressAutoHyphens/>
        <w:jc w:val="right"/>
      </w:pPr>
      <w:r>
        <w:t>[21 августа 2000 года]</w:t>
      </w:r>
    </w:p>
    <w:p w:rsidR="00000000" w:rsidRDefault="00000000">
      <w:pPr>
        <w:tabs>
          <w:tab w:val="left" w:pos="0"/>
        </w:tabs>
        <w:suppressAutoHyphens/>
        <w:jc w:val="center"/>
      </w:pPr>
    </w:p>
    <w:p w:rsidR="00000000" w:rsidRDefault="00000000">
      <w:pPr>
        <w:tabs>
          <w:tab w:val="left" w:pos="0"/>
        </w:tabs>
        <w:suppressAutoHyphens/>
        <w:jc w:val="center"/>
      </w:pPr>
    </w:p>
    <w:p w:rsidR="00000000" w:rsidRDefault="00000000">
      <w:pPr>
        <w:tabs>
          <w:tab w:val="left" w:pos="0"/>
        </w:tabs>
        <w:suppressAutoHyphens/>
        <w:spacing w:line="240" w:lineRule="auto"/>
        <w:jc w:val="center"/>
      </w:pPr>
    </w:p>
    <w:p w:rsidR="00000000" w:rsidRDefault="00000000">
      <w:pPr>
        <w:tabs>
          <w:tab w:val="left" w:pos="0"/>
        </w:tabs>
        <w:suppressAutoHyphens/>
        <w:spacing w:line="240" w:lineRule="auto"/>
        <w:jc w:val="center"/>
      </w:pPr>
    </w:p>
    <w:p w:rsidR="00000000" w:rsidRDefault="00000000">
      <w:pPr>
        <w:tabs>
          <w:tab w:val="left" w:pos="0"/>
        </w:tabs>
        <w:suppressAutoHyphens/>
        <w:spacing w:line="240" w:lineRule="auto"/>
        <w:jc w:val="center"/>
      </w:pPr>
    </w:p>
    <w:p w:rsidR="00000000" w:rsidRDefault="00000000">
      <w:pPr>
        <w:tabs>
          <w:tab w:val="left" w:pos="0"/>
        </w:tabs>
        <w:suppressAutoHyphens/>
        <w:spacing w:line="240" w:lineRule="auto"/>
        <w:jc w:val="center"/>
      </w:pPr>
    </w:p>
    <w:p w:rsidR="00000000" w:rsidRDefault="00000000">
      <w:pPr>
        <w:pStyle w:val="Header"/>
        <w:tabs>
          <w:tab w:val="clear" w:pos="4153"/>
          <w:tab w:val="clear" w:pos="8306"/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</w:pPr>
      <w:r>
        <w:t>___________________</w:t>
      </w:r>
    </w:p>
    <w:p w:rsidR="00000000" w:rsidRDefault="00000000">
      <w:pPr>
        <w:tabs>
          <w:tab w:val="left" w:pos="0"/>
        </w:tabs>
        <w:suppressAutoHyphens/>
        <w:spacing w:line="240" w:lineRule="auto"/>
      </w:pPr>
    </w:p>
    <w:p w:rsidR="00000000" w:rsidRDefault="00000000">
      <w:pPr>
        <w:tabs>
          <w:tab w:val="left" w:pos="0"/>
        </w:tabs>
        <w:suppressAutoHyphens/>
        <w:spacing w:line="240" w:lineRule="auto"/>
      </w:pPr>
      <w:r>
        <w:tab/>
        <w:t>*</w:t>
      </w:r>
      <w:r>
        <w:tab/>
        <w:t xml:space="preserve">Пересмотренный доклад Швеции см. в документе </w:t>
      </w:r>
      <w:r>
        <w:rPr>
          <w:lang w:val="en-US"/>
        </w:rPr>
        <w:t>CAT/C/5/Add.1</w:t>
      </w:r>
      <w:r>
        <w:t xml:space="preserve">;  результаты его обсуждения см. в документе </w:t>
      </w:r>
      <w:r>
        <w:rPr>
          <w:lang w:val="en-US"/>
        </w:rPr>
        <w:t xml:space="preserve">CAT/C/SR.10 </w:t>
      </w:r>
      <w:r>
        <w:t>и</w:t>
      </w:r>
      <w:r>
        <w:rPr>
          <w:lang w:val="en-US"/>
        </w:rPr>
        <w:t xml:space="preserve"> 11 </w:t>
      </w:r>
      <w:r>
        <w:t xml:space="preserve">и в </w:t>
      </w:r>
      <w:r>
        <w:rPr>
          <w:u w:val="single"/>
        </w:rPr>
        <w:t>Официальных отчетах Генеральной Ассамблеи, сорок четвертая сессия, Дополнение № 46</w:t>
      </w:r>
      <w:r>
        <w:t xml:space="preserve"> (</w:t>
      </w:r>
      <w:r>
        <w:rPr>
          <w:lang w:val="en-US"/>
        </w:rPr>
        <w:t>A/44/46)</w:t>
      </w:r>
      <w:r>
        <w:t xml:space="preserve">, пункты 39-75.  Второй периодический доклад см. в документе </w:t>
      </w:r>
      <w:r>
        <w:rPr>
          <w:lang w:val="en-US"/>
        </w:rPr>
        <w:t>CAT/C/17/Add.9</w:t>
      </w:r>
      <w:r>
        <w:t xml:space="preserve">;  результаты его обсуждения см. в документах </w:t>
      </w:r>
      <w:r>
        <w:rPr>
          <w:lang w:val="en-US"/>
        </w:rPr>
        <w:t xml:space="preserve">CAT/C/SR.143. 144, 144/Add.2 </w:t>
      </w:r>
      <w:r>
        <w:t xml:space="preserve">и в </w:t>
      </w:r>
      <w:r>
        <w:rPr>
          <w:u w:val="single"/>
        </w:rPr>
        <w:t>Официальных отчетах Генеральной Ассамблеи, сорок восьмая сессия, Дополнение № 44</w:t>
      </w:r>
      <w:r>
        <w:t xml:space="preserve"> (А/48/44), пункты 365-386.  Третий периодический доклад Швеции см. в документе </w:t>
      </w:r>
      <w:r>
        <w:rPr>
          <w:lang w:val="en-US"/>
        </w:rPr>
        <w:t>CAT/C/34/Add.4</w:t>
      </w:r>
      <w:r>
        <w:t xml:space="preserve">;  результаты его обсуждения см. в документах </w:t>
      </w:r>
      <w:r>
        <w:rPr>
          <w:lang w:val="en-US"/>
        </w:rPr>
        <w:t>CAT/C/SR.291</w:t>
      </w:r>
      <w:r>
        <w:t xml:space="preserve"> и</w:t>
      </w:r>
      <w:r>
        <w:rPr>
          <w:lang w:val="en-US"/>
        </w:rPr>
        <w:t xml:space="preserve"> 292</w:t>
      </w:r>
      <w:r>
        <w:t xml:space="preserve"> и в </w:t>
      </w:r>
      <w:r>
        <w:rPr>
          <w:u w:val="single"/>
        </w:rPr>
        <w:t>Официальных отчетах Генеральной Ассамблеи, пятьдесят вторая сессия, Дополнение № 44</w:t>
      </w:r>
      <w:r>
        <w:t xml:space="preserve"> (А/52/44), пункты 214-226.</w:t>
      </w:r>
    </w:p>
    <w:p w:rsidR="00000000" w:rsidRDefault="00000000">
      <w:pPr>
        <w:tabs>
          <w:tab w:val="left" w:pos="0"/>
        </w:tabs>
        <w:suppressAutoHyphens/>
        <w:jc w:val="center"/>
      </w:pPr>
      <w:r>
        <w:br w:type="page"/>
        <w:t>СОДЕРЖАНИЕ</w:t>
      </w:r>
    </w:p>
    <w:p w:rsidR="00000000" w:rsidRDefault="00000000">
      <w:pPr>
        <w:tabs>
          <w:tab w:val="left" w:pos="0"/>
        </w:tabs>
        <w:suppressAutoHyphens/>
        <w:jc w:val="center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Пункты</w:t>
      </w:r>
      <w:r>
        <w:tab/>
      </w:r>
      <w:r>
        <w:rPr>
          <w:u w:val="single"/>
        </w:rPr>
        <w:t>Стр</w:t>
      </w:r>
      <w:r>
        <w:t>.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</w:pP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 xml:space="preserve">Введение </w:t>
      </w:r>
      <w:r>
        <w:tab/>
      </w:r>
      <w:r>
        <w:tab/>
        <w:t>1 - 2</w:t>
      </w:r>
      <w:r>
        <w:tab/>
        <w:t>3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2268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  <w:t>I.</w:t>
      </w:r>
      <w:r>
        <w:tab/>
        <w:t>ИНФОРМАЦИЯ О НОВЫХ МЕРАХ И ИЗМЕНЕНИЯХ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В СВЯЗИ С ОСУЩЕСТВЛЕНИЕМ КОНВЕНЦИИ </w:t>
      </w:r>
      <w:r>
        <w:tab/>
      </w:r>
      <w:r>
        <w:tab/>
        <w:t xml:space="preserve">  3 - 22</w:t>
      </w:r>
      <w:r>
        <w:tab/>
        <w:t>3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2 </w:t>
      </w:r>
      <w:r>
        <w:tab/>
      </w:r>
      <w:r>
        <w:tab/>
        <w:t>4</w:t>
      </w:r>
      <w:r>
        <w:tab/>
        <w:t>3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3 </w:t>
      </w:r>
      <w:r>
        <w:tab/>
      </w:r>
      <w:r>
        <w:tab/>
        <w:t>5</w:t>
      </w:r>
      <w:r>
        <w:tab/>
        <w:t>3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4 </w:t>
      </w:r>
      <w:r>
        <w:tab/>
      </w:r>
      <w:r>
        <w:tab/>
        <w:t>6 - 9</w:t>
      </w:r>
      <w:r>
        <w:tab/>
        <w:t>4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5 </w:t>
      </w:r>
      <w:r>
        <w:tab/>
      </w:r>
      <w:r>
        <w:tab/>
        <w:t>10 - 11</w:t>
      </w:r>
      <w:r>
        <w:tab/>
        <w:t>5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8 </w:t>
      </w:r>
      <w:r>
        <w:tab/>
      </w:r>
      <w:r>
        <w:tab/>
        <w:t>12 - 13</w:t>
      </w:r>
      <w:r>
        <w:tab/>
        <w:t>6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9 </w:t>
      </w:r>
      <w:r>
        <w:tab/>
      </w:r>
      <w:r>
        <w:tab/>
        <w:t>14 - 18</w:t>
      </w:r>
      <w:r>
        <w:tab/>
        <w:t>6</w:t>
      </w:r>
    </w:p>
    <w:p w:rsidR="00000000" w:rsidRDefault="00000000">
      <w:pPr>
        <w:pStyle w:val="Header"/>
        <w:tabs>
          <w:tab w:val="clear" w:pos="4153"/>
          <w:tab w:val="clear" w:pos="8306"/>
          <w:tab w:val="decimal" w:pos="567"/>
          <w:tab w:val="left" w:pos="1134"/>
          <w:tab w:val="left" w:pos="1701"/>
          <w:tab w:val="right" w:leader="dot" w:pos="7172"/>
          <w:tab w:val="center" w:pos="8039"/>
          <w:tab w:val="center" w:pos="9122"/>
        </w:tabs>
        <w:suppressAutoHyphens/>
        <w:spacing w:line="288" w:lineRule="auto"/>
      </w:pPr>
      <w:r>
        <w:tab/>
      </w:r>
      <w:r>
        <w:tab/>
        <w:t xml:space="preserve">Статья 16 </w:t>
      </w:r>
      <w:r>
        <w:tab/>
      </w:r>
      <w:r>
        <w:tab/>
        <w:t>19 - 22</w:t>
      </w:r>
      <w:r>
        <w:tab/>
        <w:t>7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</w:pPr>
      <w:r>
        <w:tab/>
        <w:t>II.</w:t>
      </w:r>
      <w:r>
        <w:tab/>
        <w:t>ДОПОЛНИТЕЛЬНАЯ ИНФОРМАЦИЯ, ЗАПРОШЕННАЯ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</w:pPr>
      <w:r>
        <w:tab/>
      </w:r>
      <w:r>
        <w:tab/>
        <w:t xml:space="preserve">КОМИТЕТОМ </w:t>
      </w:r>
      <w:r>
        <w:tab/>
      </w:r>
      <w:r>
        <w:tab/>
        <w:t>23 - 24</w:t>
      </w:r>
      <w:r>
        <w:tab/>
        <w:t>8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172"/>
          <w:tab w:val="center" w:pos="8039"/>
          <w:tab w:val="center" w:pos="9122"/>
        </w:tabs>
        <w:suppressAutoHyphens/>
      </w:pPr>
      <w:r>
        <w:tab/>
        <w:t>III.</w:t>
      </w:r>
      <w:r>
        <w:tab/>
        <w:t xml:space="preserve">УЧЕТ ВЫВОДОВ И РЕКОМЕНДАЦИЙ КОМИТЕТА </w:t>
      </w:r>
      <w:r>
        <w:tab/>
      </w:r>
      <w:r>
        <w:tab/>
        <w:t>25 - 34</w:t>
      </w:r>
      <w:r>
        <w:tab/>
        <w:t>8</w:t>
      </w:r>
    </w:p>
    <w:p w:rsidR="00000000" w:rsidRDefault="00000000">
      <w:r>
        <w:br w:type="page"/>
      </w:r>
    </w:p>
    <w:p w:rsidR="00000000" w:rsidRDefault="00000000">
      <w:pPr>
        <w:pStyle w:val="11"/>
      </w:pPr>
      <w:r>
        <w:t>Введение</w:t>
      </w:r>
    </w:p>
    <w:p w:rsidR="00000000" w:rsidRDefault="00000000">
      <w:pPr>
        <w:pStyle w:val="11"/>
      </w:pPr>
    </w:p>
    <w:p w:rsidR="00000000" w:rsidRDefault="00000000">
      <w:r>
        <w:t>1.</w:t>
      </w:r>
      <w:r>
        <w:tab/>
        <w:t>В соответствии со статьей 19 Конвенции против пыток и других жестоких, бесчеловечных или унижающих достоинство видов обращения и наказания правительство Швеции в октябре 1988 года представило свой первоначальный доклад (</w:t>
      </w:r>
      <w:r>
        <w:rPr>
          <w:lang w:val="en-US"/>
        </w:rPr>
        <w:t>CAT/C/5/Add.1)</w:t>
      </w:r>
      <w:r>
        <w:t>, в сентябре 1992 года - второй периодический доклад (</w:t>
      </w:r>
      <w:r>
        <w:rPr>
          <w:lang w:val="en-US"/>
        </w:rPr>
        <w:t>CAT/C/17/Add.9)</w:t>
      </w:r>
      <w:r>
        <w:t xml:space="preserve"> и в ноябре 1996 года - третий периодический доклад (</w:t>
      </w:r>
      <w:r>
        <w:rPr>
          <w:lang w:val="en-US"/>
        </w:rPr>
        <w:t>CAT/C/34/Add.4)</w:t>
      </w:r>
      <w:r>
        <w:t>.</w:t>
      </w:r>
    </w:p>
    <w:p w:rsidR="00000000" w:rsidRDefault="00000000"/>
    <w:p w:rsidR="00000000" w:rsidRDefault="00000000">
      <w:r>
        <w:rPr>
          <w:lang w:val="en-US"/>
        </w:rPr>
        <w:t>2.</w:t>
      </w:r>
      <w:r>
        <w:rPr>
          <w:lang w:val="en-US"/>
        </w:rPr>
        <w:tab/>
      </w:r>
      <w:r>
        <w:t>15-25 февраля 1998 года Швецию посетили представители Европейского комитета по предупреждению пыток и других бесчеловечных или унижающих видов обращения и наказания (КПП).  Доклад Комитета включает рекомендации, замечания и просьбы о предоставлении информации.  Текст этого доклада опубликован.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I.</w:t>
      </w:r>
      <w:r>
        <w:tab/>
        <w:t>ИНФОРМАЦИЯ О НОВЫХ МЕРАХ И ИЗМЕНЕНИЯХ В СВЯЗИ С ОСУЩЕСТВЛЕНИЕМ КОНВЕНЦИИ</w:t>
      </w:r>
    </w:p>
    <w:p w:rsidR="00000000" w:rsidRDefault="00000000">
      <w:pPr>
        <w:jc w:val="center"/>
      </w:pPr>
    </w:p>
    <w:p w:rsidR="00000000" w:rsidRDefault="00000000">
      <w:r>
        <w:rPr>
          <w:lang w:val="en-US"/>
        </w:rPr>
        <w:t>3.</w:t>
      </w:r>
      <w:r>
        <w:rPr>
          <w:lang w:val="en-US"/>
        </w:rPr>
        <w:tab/>
      </w:r>
      <w:r>
        <w:t>Информация, представленная в трех предыдущих докладах Швеции в отношении статей 1, 6, 7 и 10-15 Конвенции, по</w:t>
      </w:r>
      <w:r>
        <w:noBreakHyphen/>
        <w:t>прежнему остается актуальной.</w:t>
      </w:r>
    </w:p>
    <w:p w:rsidR="00000000" w:rsidRDefault="00000000"/>
    <w:p w:rsidR="00000000" w:rsidRDefault="00000000">
      <w:pPr>
        <w:pStyle w:val="11"/>
      </w:pPr>
      <w:r>
        <w:t>Статья 2</w:t>
      </w:r>
    </w:p>
    <w:p w:rsidR="00000000" w:rsidRDefault="00000000">
      <w:pPr>
        <w:pStyle w:val="11"/>
      </w:pPr>
    </w:p>
    <w:p w:rsidR="00000000" w:rsidRDefault="00000000">
      <w:r>
        <w:t>4.</w:t>
      </w:r>
      <w:r>
        <w:tab/>
        <w:t>Положение Уголовного кодекса, упомянутое в первоначальном докладе (</w:t>
      </w:r>
      <w:r>
        <w:rPr>
          <w:lang w:val="en-US"/>
        </w:rPr>
        <w:t>CAT/C/5/Add.1,</w:t>
      </w:r>
      <w:r>
        <w:t xml:space="preserve"> пункт 26) и касающееся деяний, совершенных каким-нибудь лицом по приказу другого лица, которому оно обязано подчиняться (прежняя статья 6 главы 24), закреплено в статье 8 главы 24 Уголовного кодекса.  Содержание этого положения остается неизменным.</w:t>
      </w:r>
    </w:p>
    <w:p w:rsidR="00000000" w:rsidRDefault="00000000"/>
    <w:p w:rsidR="00000000" w:rsidRDefault="00000000">
      <w:pPr>
        <w:pStyle w:val="11"/>
      </w:pPr>
      <w:r>
        <w:t>Статья 3</w:t>
      </w:r>
    </w:p>
    <w:p w:rsidR="00000000" w:rsidRDefault="00000000">
      <w:pPr>
        <w:pStyle w:val="11"/>
      </w:pPr>
    </w:p>
    <w:p w:rsidR="00000000" w:rsidRDefault="00000000">
      <w:pPr>
        <w:pStyle w:val="11"/>
        <w:jc w:val="left"/>
        <w:rPr>
          <w:u w:val="none"/>
        </w:rPr>
      </w:pPr>
      <w:r>
        <w:rPr>
          <w:u w:val="none"/>
        </w:rPr>
        <w:t>5.</w:t>
      </w:r>
      <w:r>
        <w:rPr>
          <w:u w:val="none"/>
        </w:rPr>
        <w:tab/>
        <w:t xml:space="preserve">Как это было указано при рассмотрении третьего периодического доклада Швеции (см. </w:t>
      </w:r>
      <w:r>
        <w:rPr>
          <w:u w:val="none"/>
          <w:lang w:val="en-US"/>
        </w:rPr>
        <w:t>CAT/C/SR.291</w:t>
      </w:r>
      <w:r>
        <w:rPr>
          <w:u w:val="none"/>
        </w:rPr>
        <w:t>, пункты 3-4 и 6-7</w:t>
      </w:r>
      <w:r>
        <w:rPr>
          <w:u w:val="none"/>
          <w:lang w:val="en-US"/>
        </w:rPr>
        <w:t>)</w:t>
      </w:r>
      <w:r>
        <w:rPr>
          <w:u w:val="none"/>
        </w:rPr>
        <w:t>, 1 января 1997 года вступили в силу новые законодательные положения.  Парламентский комитет провел обзор положений Закона об иностранцах, касающихся процедур обжалования, и в 1999 году составил рекомендации по изменению этих положений.  Эти рекомендации пока не привели к принятию каких-либо поправок к данному Закону.</w:t>
      </w:r>
    </w:p>
    <w:p w:rsidR="00000000" w:rsidRDefault="00000000">
      <w:pPr>
        <w:pStyle w:val="11"/>
        <w:jc w:val="left"/>
        <w:rPr>
          <w:u w:val="none"/>
        </w:rPr>
      </w:pPr>
    </w:p>
    <w:p w:rsidR="00000000" w:rsidRDefault="00000000">
      <w:pPr>
        <w:pStyle w:val="11"/>
      </w:pPr>
      <w:r>
        <w:br w:type="page"/>
        <w:t>Статья 4</w:t>
      </w:r>
    </w:p>
    <w:p w:rsidR="00000000" w:rsidRDefault="00000000">
      <w:pPr>
        <w:pStyle w:val="11"/>
      </w:pPr>
    </w:p>
    <w:p w:rsidR="00000000" w:rsidRDefault="00000000">
      <w:pPr>
        <w:pStyle w:val="11"/>
        <w:jc w:val="left"/>
        <w:rPr>
          <w:u w:val="none"/>
        </w:rPr>
      </w:pPr>
      <w:r>
        <w:rPr>
          <w:u w:val="none"/>
        </w:rPr>
        <w:t>6.</w:t>
      </w:r>
      <w:r>
        <w:rPr>
          <w:u w:val="none"/>
        </w:rPr>
        <w:tab/>
        <w:t>Согласно шведскому законодательству, любое действие, которым какому-либо лицу умышленно причиняется сильная боль или физическое или нравственное страдание, когда такая боль или страдание причиняются государственным должностным лицом или иным лицом, выступающим в официальном качестве, или по их подстрекательству, или с их ведома или молчаливого согласия, составляет уголовное преступление.  Таким образом, все акты пыток, определенные в статье 1 Конвенции, являются преступлениями в соответствии со шведским уголовным правом.  То же самое относится к попыткам совершения таких актов и к действиям, представляющим собой соучастие или участие в таких актах.</w:t>
      </w:r>
    </w:p>
    <w:p w:rsidR="00000000" w:rsidRDefault="00000000">
      <w:pPr>
        <w:pStyle w:val="11"/>
        <w:jc w:val="left"/>
        <w:rPr>
          <w:u w:val="none"/>
        </w:rPr>
      </w:pPr>
    </w:p>
    <w:p w:rsidR="00000000" w:rsidRDefault="00000000">
      <w:pPr>
        <w:pStyle w:val="11"/>
        <w:jc w:val="left"/>
        <w:rPr>
          <w:u w:val="none"/>
        </w:rPr>
      </w:pPr>
      <w:r>
        <w:rPr>
          <w:u w:val="none"/>
        </w:rPr>
        <w:t>7.</w:t>
      </w:r>
      <w:r>
        <w:rPr>
          <w:u w:val="none"/>
        </w:rPr>
        <w:tab/>
        <w:t xml:space="preserve">В предшествующих докладах Швеции упомянуты соответствующие положения шведского Уголовного кодекса (см., например, </w:t>
      </w:r>
      <w:r>
        <w:rPr>
          <w:u w:val="none"/>
          <w:lang w:val="en-US"/>
        </w:rPr>
        <w:t>CAT/C/</w:t>
      </w:r>
      <w:r>
        <w:rPr>
          <w:u w:val="none"/>
        </w:rPr>
        <w:t>5/</w:t>
      </w:r>
      <w:r>
        <w:rPr>
          <w:u w:val="none"/>
          <w:lang w:val="en-US"/>
        </w:rPr>
        <w:t>Add.1</w:t>
      </w:r>
      <w:r>
        <w:rPr>
          <w:u w:val="none"/>
        </w:rPr>
        <w:t>, пункт 90</w:t>
      </w:r>
      <w:r>
        <w:rPr>
          <w:u w:val="none"/>
          <w:lang w:val="en-US"/>
        </w:rPr>
        <w:t>)</w:t>
      </w:r>
      <w:r>
        <w:rPr>
          <w:u w:val="none"/>
        </w:rPr>
        <w:t>.  На данном этапе можно упомянуть одну принятую впоследствии поправку и ряд дополнительных соображений.</w:t>
      </w:r>
    </w:p>
    <w:p w:rsidR="00000000" w:rsidRDefault="00000000">
      <w:pPr>
        <w:pStyle w:val="11"/>
        <w:jc w:val="left"/>
        <w:rPr>
          <w:u w:val="none"/>
        </w:rPr>
      </w:pPr>
    </w:p>
    <w:p w:rsidR="00000000" w:rsidRDefault="00000000">
      <w:pPr>
        <w:pStyle w:val="11"/>
        <w:jc w:val="left"/>
        <w:rPr>
          <w:u w:val="none"/>
        </w:rPr>
      </w:pPr>
      <w:r>
        <w:rPr>
          <w:u w:val="none"/>
        </w:rPr>
        <w:t>8.</w:t>
      </w:r>
      <w:r>
        <w:rPr>
          <w:u w:val="none"/>
        </w:rPr>
        <w:tab/>
        <w:t xml:space="preserve">В 1997 году были внесены изменения в законодательное положение, касающееся </w:t>
      </w:r>
      <w:r>
        <w:rPr>
          <w:i/>
          <w:iCs/>
          <w:u w:val="none"/>
        </w:rPr>
        <w:t>вмешательства в судебные дела</w:t>
      </w:r>
      <w:r>
        <w:rPr>
          <w:u w:val="none"/>
        </w:rPr>
        <w:t xml:space="preserve"> (статья 10 главы 17 Уголовного кодекса).  Лицо, которое путем насилия или угрозы применения насилия преследует какого-либо человека за то, что он подал жалобу, возбудил дело, выступил в качестве свидетеля или сделал заявление в ходе слушания в суде или ином компетентном органе, или же тем самым пытается помешать данному человеку сделать это, наказывается за вмешательство в судебное дело штрафом или лишением свободы на срок до двух лет.  То же самое относится к лицу, которое, прибегая к каким-либо иным действиям или же угрожая прибегнуть к таким действиям, причиняет страдания, телесные повреждения или какие-либо неудобства или преследует какого-либо человека за дачу свидетельских показаний или за какое-либо иное заявление, сделанное в ходе официальных слушаний, или же этими действиями пытается помешать сделать такое заявление.  При наличии отягчающих обстоятельств такое преступление наказывается тюремным заключением на срок от одного года до шести лет.  В настоящее время парламентский комитет рассматривает вопрос о дополнительном повышении строгости наказаний.</w:t>
      </w:r>
    </w:p>
    <w:p w:rsidR="00000000" w:rsidRDefault="00000000">
      <w:pPr>
        <w:pStyle w:val="11"/>
        <w:jc w:val="left"/>
        <w:rPr>
          <w:u w:val="none"/>
        </w:rPr>
      </w:pPr>
    </w:p>
    <w:p w:rsidR="00000000" w:rsidRDefault="00000000">
      <w:pPr>
        <w:pStyle w:val="11"/>
        <w:jc w:val="left"/>
        <w:rPr>
          <w:u w:val="none"/>
        </w:rPr>
      </w:pPr>
      <w:r>
        <w:rPr>
          <w:u w:val="none"/>
        </w:rPr>
        <w:t>9.</w:t>
      </w:r>
      <w:r>
        <w:rPr>
          <w:u w:val="none"/>
        </w:rPr>
        <w:tab/>
        <w:t>В текущем году правительство назначит комиссию для рассмотрения положений шведского Уголовного законодательства, касающихся, например, преступлений против человечности.  Эта Комиссия рассмотрит также вопросы юрисдикции, а также вопрос о возможной отмене срока исковой давности для определенных преступлений.</w:t>
      </w:r>
    </w:p>
    <w:p w:rsidR="00000000" w:rsidRDefault="00000000">
      <w:pPr>
        <w:pStyle w:val="11"/>
        <w:jc w:val="left"/>
        <w:rPr>
          <w:u w:val="none"/>
        </w:rPr>
      </w:pPr>
    </w:p>
    <w:p w:rsidR="00000000" w:rsidRDefault="00000000">
      <w:pPr>
        <w:pStyle w:val="11"/>
      </w:pPr>
      <w:r>
        <w:br w:type="page"/>
        <w:t>Статья 5</w:t>
      </w:r>
    </w:p>
    <w:p w:rsidR="00000000" w:rsidRDefault="00000000">
      <w:pPr>
        <w:pStyle w:val="11"/>
      </w:pPr>
    </w:p>
    <w:p w:rsidR="00000000" w:rsidRDefault="00000000">
      <w:pPr>
        <w:pStyle w:val="11"/>
        <w:jc w:val="left"/>
        <w:rPr>
          <w:u w:val="none"/>
        </w:rPr>
      </w:pPr>
      <w:r>
        <w:rPr>
          <w:u w:val="none"/>
        </w:rPr>
        <w:t>10.</w:t>
      </w:r>
      <w:r>
        <w:rPr>
          <w:u w:val="none"/>
        </w:rPr>
        <w:tab/>
        <w:t>В 1999 году были внесены поправки в статью 3 главы 2 Уголовного кодекса (см. </w:t>
      </w:r>
      <w:r>
        <w:rPr>
          <w:u w:val="none"/>
          <w:lang w:val="en-US"/>
        </w:rPr>
        <w:t>CAT/C/</w:t>
      </w:r>
      <w:r>
        <w:rPr>
          <w:u w:val="none"/>
        </w:rPr>
        <w:t>5/</w:t>
      </w:r>
      <w:r>
        <w:rPr>
          <w:u w:val="none"/>
          <w:lang w:val="en-US"/>
        </w:rPr>
        <w:t>Add.1</w:t>
      </w:r>
      <w:r>
        <w:rPr>
          <w:u w:val="none"/>
        </w:rPr>
        <w:t>, пункт 46</w:t>
      </w:r>
      <w:r>
        <w:rPr>
          <w:u w:val="none"/>
          <w:lang w:val="en-US"/>
        </w:rPr>
        <w:t>)</w:t>
      </w:r>
      <w:r>
        <w:rPr>
          <w:u w:val="none"/>
        </w:rPr>
        <w:t>.  Эти поправки были внесены в связи с ратификацией Договора о всеобъемлющем запрещении ядерных испытаний.  Пересмотренное положение, вступившее в силу 1 мая 1999 года, имеет следующую формулировку:</w:t>
      </w:r>
    </w:p>
    <w:p w:rsidR="00000000" w:rsidRDefault="00000000">
      <w:pPr>
        <w:pStyle w:val="11"/>
        <w:jc w:val="left"/>
        <w:rPr>
          <w:u w:val="none"/>
        </w:rPr>
      </w:pPr>
    </w:p>
    <w:p w:rsidR="00000000" w:rsidRDefault="00000000">
      <w:pPr>
        <w:pStyle w:val="11"/>
        <w:ind w:left="567" w:hanging="567"/>
        <w:jc w:val="left"/>
        <w:rPr>
          <w:u w:val="none"/>
        </w:rPr>
      </w:pPr>
      <w:r>
        <w:rPr>
          <w:u w:val="none"/>
        </w:rPr>
        <w:tab/>
        <w:t>"Даже в случаях, не оговоренных в статье 2, преступления, совершенные за пределами Королевства, подсудны шведским судам и разбирательство ведется в соответствии со шведским правом:</w:t>
      </w:r>
    </w:p>
    <w:p w:rsidR="00000000" w:rsidRDefault="00000000">
      <w:pPr>
        <w:pStyle w:val="11"/>
        <w:ind w:left="567" w:hanging="567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1)</w:t>
      </w:r>
      <w:r>
        <w:rPr>
          <w:u w:val="none"/>
        </w:rPr>
        <w:tab/>
        <w:t>если преступление было совершено на борту шведского морского или воздушного судна или если оно было совершено командиром или членом экипажа такого судна при исполнении им своих служебных обязанностей;</w:t>
      </w:r>
    </w:p>
    <w:p w:rsidR="00000000" w:rsidRDefault="00000000">
      <w:pPr>
        <w:pStyle w:val="11"/>
        <w:ind w:left="1701" w:hanging="1701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2)</w:t>
      </w:r>
      <w:r>
        <w:rPr>
          <w:u w:val="none"/>
        </w:rPr>
        <w:tab/>
        <w:t>если преступление было совершено военнослужащим в районе расположения воинской части или каким-либо иным лицом в таком районе, за исключением тех случаев, когда воинская часть находится на учениях;</w:t>
      </w:r>
    </w:p>
    <w:p w:rsidR="00000000" w:rsidRDefault="00000000">
      <w:pPr>
        <w:pStyle w:val="11"/>
        <w:ind w:left="1701" w:hanging="1701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3)</w:t>
      </w:r>
      <w:r>
        <w:rPr>
          <w:u w:val="none"/>
        </w:rPr>
        <w:tab/>
        <w:t>если преступление было совершено во время прохождения службы за пределами Королевства каким-либо лицом, состоящим в зарубежном контингенте Шведских вооруженных сил;</w:t>
      </w:r>
    </w:p>
    <w:p w:rsidR="00000000" w:rsidRDefault="00000000">
      <w:pPr>
        <w:pStyle w:val="11"/>
        <w:ind w:left="1701" w:hanging="1701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4)</w:t>
      </w:r>
      <w:r>
        <w:rPr>
          <w:u w:val="none"/>
        </w:rPr>
        <w:tab/>
        <w:t>если совершенное преступление является преступлением против шведской нации, какого-либо муниципального или иного выборного органа Швеции, либо шведского государственного учреждения;</w:t>
      </w:r>
    </w:p>
    <w:p w:rsidR="00000000" w:rsidRDefault="00000000">
      <w:pPr>
        <w:pStyle w:val="11"/>
        <w:ind w:left="1701" w:hanging="1701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5)</w:t>
      </w:r>
      <w:r>
        <w:rPr>
          <w:u w:val="none"/>
        </w:rPr>
        <w:tab/>
        <w:t>если преступление было совершено на территории, не принадлежащей никакому государству, и было направлено против гражданина Швеции, шведской ассоциации или частной организации, либо против иностранца, постоянно проживающего в Швеции;</w:t>
      </w:r>
    </w:p>
    <w:p w:rsidR="00000000" w:rsidRDefault="00000000">
      <w:pPr>
        <w:pStyle w:val="11"/>
        <w:ind w:left="1701" w:hanging="1701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6)</w:t>
      </w:r>
      <w:r>
        <w:rPr>
          <w:u w:val="none"/>
        </w:rPr>
        <w:tab/>
        <w:t>если преступлением является угон воздушного судна или саботаж на борту морского или воздушного судна, саботаж в аэропорту, попытка совершения таких преступлений, нарушение международного права, незаконные сделки в отношении химического оружия, незаконные сделки в отношении мин либо дача ложных или неточных показаний в международном суде;  или</w:t>
      </w:r>
    </w:p>
    <w:p w:rsidR="00000000" w:rsidRDefault="00000000">
      <w:pPr>
        <w:pStyle w:val="11"/>
        <w:ind w:left="1701" w:hanging="1701"/>
        <w:jc w:val="left"/>
        <w:rPr>
          <w:u w:val="none"/>
        </w:rPr>
      </w:pPr>
    </w:p>
    <w:p w:rsidR="00000000" w:rsidRDefault="00000000">
      <w:pPr>
        <w:pStyle w:val="11"/>
        <w:ind w:left="1134" w:hanging="1134"/>
        <w:jc w:val="left"/>
        <w:rPr>
          <w:u w:val="none"/>
        </w:rPr>
      </w:pPr>
      <w:r>
        <w:rPr>
          <w:u w:val="none"/>
        </w:rPr>
        <w:tab/>
        <w:t>7)</w:t>
      </w:r>
      <w:r>
        <w:rPr>
          <w:u w:val="none"/>
        </w:rPr>
        <w:tab/>
        <w:t>если минимальным наказанием, предусмотренным шведским правом за такое преступление, является лишение свободы сроком на четыре года и более.</w:t>
      </w:r>
    </w:p>
    <w:p w:rsidR="00000000" w:rsidRDefault="00000000">
      <w:pPr>
        <w:rPr>
          <w:lang w:val="en-US"/>
        </w:rPr>
      </w:pPr>
    </w:p>
    <w:p w:rsidR="00000000" w:rsidRDefault="00000000">
      <w:r>
        <w:t>11.</w:t>
      </w:r>
      <w:r>
        <w:tab/>
        <w:t xml:space="preserve">Как это было указано при рассмотрении третьего периодического доклада Швеции (см. </w:t>
      </w:r>
      <w:r>
        <w:rPr>
          <w:lang w:val="en-US"/>
        </w:rPr>
        <w:t xml:space="preserve">CAT/C/SR.291, </w:t>
      </w:r>
      <w:r>
        <w:t>пункт 5), 1 октября 1997 года вступили в силу новые законодательные положения о содержании под стражей.</w:t>
      </w:r>
    </w:p>
    <w:p w:rsidR="00000000" w:rsidRDefault="00000000"/>
    <w:p w:rsidR="00000000" w:rsidRDefault="00000000">
      <w:pPr>
        <w:pStyle w:val="11"/>
      </w:pPr>
      <w:r>
        <w:t>Статья 8</w:t>
      </w:r>
    </w:p>
    <w:p w:rsidR="00000000" w:rsidRDefault="00000000">
      <w:pPr>
        <w:pStyle w:val="11"/>
      </w:pPr>
    </w:p>
    <w:p w:rsidR="00000000" w:rsidRDefault="00000000">
      <w:r>
        <w:t>12.</w:t>
      </w:r>
      <w:r>
        <w:tab/>
        <w:t xml:space="preserve">18 июля 1997 года Швеция ратифицировала Конвенцию Европейского союза 1995 года об упрощенной процедуре выдачи преступников между государствами </w:t>
      </w:r>
      <w:r>
        <w:rPr>
          <w:lang w:val="en-US"/>
        </w:rPr>
        <w:noBreakHyphen/>
        <w:t xml:space="preserve"> </w:t>
      </w:r>
      <w:r>
        <w:t xml:space="preserve">членами Европейского союза.  При сдаче на хранение ратификационной грамоты Швеция заявила, что до вступления Конвенции в силу она будет в предварительном порядке применяться в отношениях Швеции с другими государствами-членами, сделавшими такое же заявление.  В результате ратификации этой Конвенции декретом 1997:209 были приняты поправки к шведскому Закону о выдаче преступников.  </w:t>
      </w:r>
    </w:p>
    <w:p w:rsidR="00000000" w:rsidRDefault="00000000"/>
    <w:p w:rsidR="00000000" w:rsidRDefault="00000000">
      <w:r>
        <w:t>13.</w:t>
      </w:r>
      <w:r>
        <w:tab/>
        <w:t xml:space="preserve">В настоящее время Швеция изучает вопрос о ратификации Конвенции о выдаче преступников между государствами </w:t>
      </w:r>
      <w:r>
        <w:rPr>
          <w:lang w:val="en-US"/>
        </w:rPr>
        <w:noBreakHyphen/>
        <w:t xml:space="preserve"> </w:t>
      </w:r>
      <w:r>
        <w:t>членами Европейского союза, разработанной на основе статьи К.3 Договора о Европейском союзе.  Согласно этой Конвенции в отношениях между договаривающимися сторонами политические преступления, как правило, не рассматриваются в качестве преступлений, допускающих невыдачу преступников.</w:t>
      </w:r>
    </w:p>
    <w:p w:rsidR="00000000" w:rsidRDefault="00000000"/>
    <w:p w:rsidR="00000000" w:rsidRDefault="00000000">
      <w:pPr>
        <w:pStyle w:val="11"/>
      </w:pPr>
      <w:r>
        <w:t>Статья 9</w:t>
      </w:r>
    </w:p>
    <w:p w:rsidR="00000000" w:rsidRDefault="00000000">
      <w:pPr>
        <w:pStyle w:val="11"/>
      </w:pPr>
    </w:p>
    <w:p w:rsidR="00000000" w:rsidRDefault="00000000">
      <w:r>
        <w:t>14.</w:t>
      </w:r>
      <w:r>
        <w:tab/>
        <w:t>В марте 2000 года шведское правительство представило в риксдаг проект нового закона о взаимной помощи в области уголовного правосудия.  Предполагается, что новый законодательный акт вступит в силу 1 октября 2000 года.  Этот новый закон придет на смену Закону 1946 года о принятии доказательств по просьбе иностранного суда, Закону 1975 года о применении определенных мер принуждения по просьбе иностранного государства и Закону 1991 года по определенным аспектам международного сотрудничества в области уголовного правосудия.</w:t>
      </w:r>
    </w:p>
    <w:p w:rsidR="00000000" w:rsidRDefault="00000000"/>
    <w:p w:rsidR="00000000" w:rsidRDefault="00000000">
      <w:r>
        <w:t>15.</w:t>
      </w:r>
      <w:r>
        <w:tab/>
        <w:t>В соответствии с предлагаемым законом о взаимной помощи в области уголовного правосудия шведские суды или прокуратура смогут оказывать содействие в принятии различных мер, необходимых для целей предварительного расследования или судебного разбирательства в иностранном государстве, например в заслушивании показаний прокурорами, в принятии доказательств судами, проведении видео- и телефонных конференций, проведении обысков, изъятий и арестов имущества, перехвате электронных сообщений, тайном теле- и видеонаблюдении, а также в передаче лиц, содержащихся под стражей.</w:t>
      </w:r>
    </w:p>
    <w:p w:rsidR="00000000" w:rsidRDefault="00000000"/>
    <w:p w:rsidR="00000000" w:rsidRDefault="00000000">
      <w:r>
        <w:t>16.</w:t>
      </w:r>
      <w:r>
        <w:tab/>
        <w:t>Новый закон не предусматривает условия о взаимности.  Помощь может предоставляться вне зависимости от наличия соглашения о взаимной правовой помощи.</w:t>
      </w:r>
    </w:p>
    <w:p w:rsidR="00000000" w:rsidRDefault="00000000"/>
    <w:p w:rsidR="00000000" w:rsidRDefault="00000000">
      <w:r>
        <w:t>17.</w:t>
      </w:r>
      <w:r>
        <w:tab/>
        <w:t>Условия обращения с документами не оговорены в новом законе и по</w:t>
      </w:r>
      <w:r>
        <w:noBreakHyphen/>
        <w:t xml:space="preserve">прежнему регламентируются отдельным указом. </w:t>
      </w:r>
    </w:p>
    <w:p w:rsidR="00000000" w:rsidRDefault="00000000"/>
    <w:p w:rsidR="00000000" w:rsidRDefault="00000000">
      <w:r>
        <w:t>18.</w:t>
      </w:r>
      <w:r>
        <w:tab/>
        <w:t>Помимо участия в Европейской конвенции о взаимной помощи по уголовным вопросам 1959 года, Швеция является также стороной Дополнительного протокола 1978 года к этой Конвенции 1959 года, Конвенции Организации Объединенных Наций о незаконном обороте наркотических средств и психотропных веществ 1988 года и Европейской конвенции о борьбе с отмыванием денег, проведении обысков и изъятии и конфискации сумм, полученных в результате совершения преступлений 1990 года.</w:t>
      </w:r>
    </w:p>
    <w:p w:rsidR="00000000" w:rsidRDefault="00000000"/>
    <w:p w:rsidR="00000000" w:rsidRDefault="00000000">
      <w:pPr>
        <w:pStyle w:val="11"/>
      </w:pPr>
      <w:r>
        <w:t>Статья 16</w:t>
      </w:r>
    </w:p>
    <w:p w:rsidR="00000000" w:rsidRDefault="00000000">
      <w:pPr>
        <w:pStyle w:val="11"/>
      </w:pPr>
    </w:p>
    <w:p w:rsidR="00000000" w:rsidRDefault="00000000">
      <w:r>
        <w:t>19.</w:t>
      </w:r>
      <w:r>
        <w:tab/>
        <w:t xml:space="preserve">За период, прошедший с момента представления предшествующего доклада в 1996 году, имел место один серьезный случай сексуальной эксплуатации женщины-заключенной со стороны тюремного надзирателя.  Тюремный надзиратель был приговорен к лишению свободы сроком на 18 месяцев и уволен со службы.  </w:t>
      </w:r>
    </w:p>
    <w:p w:rsidR="00000000" w:rsidRDefault="00000000"/>
    <w:p w:rsidR="00000000" w:rsidRDefault="00000000">
      <w:r>
        <w:t>20.</w:t>
      </w:r>
      <w:r>
        <w:tab/>
        <w:t>За период с момента представления предыдущего доклада в 1996 году несколько полицейских были приговорены к различным штрафам, причем некоторые из них были также уволены со службы.  Все эти случаи были связаны с простым физическим посягательством, за исключением двух, когда речь шла о неправомерном осуществлении служебных функций.</w:t>
      </w:r>
    </w:p>
    <w:p w:rsidR="00000000" w:rsidRDefault="00000000"/>
    <w:p w:rsidR="00000000" w:rsidRDefault="00000000">
      <w:r>
        <w:t>21.</w:t>
      </w:r>
      <w:r>
        <w:tab/>
        <w:t>После представления предыдущего доклада шведская полиция пересмотрела правила задержания подозреваемых лиц.</w:t>
      </w:r>
    </w:p>
    <w:p w:rsidR="00000000" w:rsidRDefault="00000000"/>
    <w:p w:rsidR="00000000" w:rsidRDefault="00000000">
      <w:r>
        <w:t>22.</w:t>
      </w:r>
      <w:r>
        <w:tab/>
        <w:t>В законопроекте, представленном в риксдаг (1999/2000:44), правительство предложило некоторые поправки к Закону о принудительном психиатрическом лечении (1991:1128) и Закону о психиатрическом лечении в судебном порядке (1991:1129).  Для перехода от добровольного к принудительному лечению (1991:1128) правительство предложило установить требование о проведении освидетельствования двумя врачами и ввести более строгое требование относительно вынесения судебного постановления.  Правительство предложило также, что пациенты, в отношении которых предусматривается принудительное психиатрическое лечение, должны иметь более широкий доступ к "лицу, оказывающему поддержку".  Что касается методов принудительного лечения, то правительство предложило принять общее положение, согласно которому меры принуждения могут применяться лишь в том случае, если, применяя индивидуальный подход, не удается уговорить пациента дать согласие на добровольное лечение.  Меры принуждения не могут превышать уровень, необходимый для приведения пациента в состояние, позволяющее добровольно проходить требующееся лечение и получать поддержку, в которой он нуждается.  Применение мер принуждения должно в разумной степени соизмеряться с искомым результатом таких мер.  По мере достаточности должны использоваться как можно менее жесткие меры.  Меры принуждения должны применяться как можно более мягко и с максимально возможным вниманием по отношению к пациенту, с тем чтобы он не подвергался каким бы то ни было необоснованным ущемлениям его достоинства и посягательствам на неприкосновенность личной жизни.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II.</w:t>
      </w:r>
      <w:r>
        <w:rPr>
          <w:lang w:val="en-US"/>
        </w:rPr>
        <w:tab/>
      </w:r>
      <w:r>
        <w:t>ДОПОЛНИТЕЛЬНАЯ ИНФОРМАЦИЯ, ЗАПРОШЕННАЯ КОМИТЕТОМ</w:t>
      </w:r>
    </w:p>
    <w:p w:rsidR="00000000" w:rsidRDefault="00000000">
      <w:pPr>
        <w:jc w:val="center"/>
      </w:pPr>
    </w:p>
    <w:p w:rsidR="00000000" w:rsidRDefault="00000000">
      <w:r>
        <w:t>23.</w:t>
      </w:r>
      <w:r>
        <w:tab/>
        <w:t xml:space="preserve">В ответ на вопрос г-на Бёрнса о том, применяется ли статья 1 главы 8 Закона об иностранцах, которая была изменена в январе 1997 года (см. </w:t>
      </w:r>
      <w:r>
        <w:rPr>
          <w:lang w:val="en-US"/>
        </w:rPr>
        <w:t>CAT/C/SR.291</w:t>
      </w:r>
      <w:r>
        <w:t xml:space="preserve">, пункт 12), также и к террористам, Швеция хотела бы отметить, что защита, устанавливаемая этим положением, является абсолютной, т.е. распространяется на преступников и террористов. </w:t>
      </w:r>
    </w:p>
    <w:p w:rsidR="00000000" w:rsidRDefault="00000000"/>
    <w:p w:rsidR="00000000" w:rsidRDefault="00000000">
      <w:r>
        <w:t>24.</w:t>
      </w:r>
      <w:r>
        <w:tab/>
        <w:t xml:space="preserve">В ответ на вопрос г-жи Илиопулос-Странгас о том, какие критерии используются для определения того, являются ли заявления, сделанные иностранцем в порядке обоснования своих опасений в связи с возвращением в страну происхождения, заслуживающими доверия и правдоподобными (см. </w:t>
      </w:r>
      <w:r>
        <w:rPr>
          <w:lang w:val="en-US"/>
        </w:rPr>
        <w:t>CAT/C/SR.291</w:t>
      </w:r>
      <w:r>
        <w:t>, пункт 16), Швеция хотела бы указать на третий периодический доклад (</w:t>
      </w:r>
      <w:r>
        <w:rPr>
          <w:lang w:val="en-US"/>
        </w:rPr>
        <w:t>CAT/C/ 34/Add.4</w:t>
      </w:r>
      <w:r>
        <w:t xml:space="preserve">, пункты 4-6).  Иностранцы ни в коем случае не высылаются из страны без предварительного устного разбирательства в первой инстанции.  Шведские власти рассматривают такие дела в индивидуальном порядке и в каждом случае исходят из всех известных фактов, включая представленные медицинские заключения. </w:t>
      </w:r>
    </w:p>
    <w:p w:rsidR="00000000" w:rsidRDefault="00000000"/>
    <w:p w:rsidR="00000000" w:rsidRDefault="00000000">
      <w:pPr>
        <w:pStyle w:val="16"/>
      </w:pPr>
      <w:r>
        <w:t>III.</w:t>
      </w:r>
      <w:r>
        <w:tab/>
        <w:t>УЧЕТ ВЫВОДОВ И РЕКОМЕНДАЦИЙ КОМИТЕТА</w:t>
      </w:r>
    </w:p>
    <w:p w:rsidR="00000000" w:rsidRDefault="00000000">
      <w:pPr>
        <w:pStyle w:val="16"/>
      </w:pPr>
    </w:p>
    <w:p w:rsidR="00000000" w:rsidRDefault="00000000">
      <w:r>
        <w:t>25.</w:t>
      </w:r>
      <w:r>
        <w:tab/>
        <w:t>Швеция хотела бы предложить вниманию нижеследующие замечания в отношении выводов и рекомендаций Комитета, составленных по итогам рассмотрения третьего периодического доклада Швеции (заключительные замечания Комитета против пыток:  Швеция, А/52/44, пункты 214-226).</w:t>
      </w:r>
    </w:p>
    <w:p w:rsidR="00000000" w:rsidRDefault="00000000">
      <w:r>
        <w:rPr>
          <w:u w:val="single"/>
        </w:rPr>
        <w:t>Относительно включения определения пытки в шведское внутригосударственное законодательство (А/52/44, пункты 219, 223 и 224</w:t>
      </w:r>
      <w:r>
        <w:t>)</w:t>
      </w:r>
    </w:p>
    <w:p w:rsidR="00000000" w:rsidRDefault="00000000"/>
    <w:p w:rsidR="00000000" w:rsidRDefault="00000000">
      <w:r>
        <w:t>26.</w:t>
      </w:r>
      <w:r>
        <w:tab/>
        <w:t>Все акты пыток, подпадающие под определение, содержащееся в статье 1 Конвенции, являются преступлениями согласно шведскому уголовному праву.  То же самое относится и к попыткам совершения таких актов, а также к соучастию или участию в таких актах.  Эти преступления подлежат соответствующим наказаниям в зависимости от степени серьезности их характера.  В связи с этим Швеция считает, что она выполнила свои обязательства по статье 4.</w:t>
      </w:r>
    </w:p>
    <w:p w:rsidR="00000000" w:rsidRDefault="00000000"/>
    <w:p w:rsidR="00000000" w:rsidRDefault="00000000">
      <w:r>
        <w:rPr>
          <w:u w:val="single"/>
        </w:rPr>
        <w:t>Относительно информации о случаях грубого обращения со стороны сотрудников полиции (А/52/44, пункты 221-222</w:t>
      </w:r>
      <w:r>
        <w:t>)</w:t>
      </w:r>
    </w:p>
    <w:p w:rsidR="00000000" w:rsidRDefault="00000000"/>
    <w:p w:rsidR="00000000" w:rsidRDefault="00000000">
      <w:r>
        <w:t>27.</w:t>
      </w:r>
      <w:r>
        <w:tab/>
        <w:t>В соответствии со статьей 7 Европейской конвенции о предупреждении пыток и бесчеловечных или унижающих достоинство видов обращения и наказания 15</w:t>
      </w:r>
      <w:r>
        <w:noBreakHyphen/>
        <w:t>25 февраля 1998 года Швецию посетила делегация Европейского комитета по предупреждению пыток и других бесчеловечных или унижающих достоинство видов обращения и наказания.  Это посещение являлось частью программы периодических посещений КПП на 1998 год и было вторым периодическим посещением Швеции, предпринятым этим Комитетом.</w:t>
      </w:r>
    </w:p>
    <w:p w:rsidR="00000000" w:rsidRDefault="00000000"/>
    <w:p w:rsidR="00000000" w:rsidRDefault="00000000">
      <w:r>
        <w:t>28.</w:t>
      </w:r>
      <w:r>
        <w:tab/>
        <w:t xml:space="preserve">В ходе пребывания в Швеции делегация КПП посетила различные полицейские учреждения и тюрьмы, а также один центр содержания под стражей.  Делегацию КПП интересовали, в частности, условия содержания под стражей и гарантии неприменения грубого обращения к задержанным лицам.  24 июля 1998 года делегация КПП представила шведскому правительству доклад (СРТ </w:t>
      </w:r>
      <w:r>
        <w:rPr>
          <w:lang w:val="en-US"/>
        </w:rPr>
        <w:t>[98]</w:t>
      </w:r>
      <w:r>
        <w:t xml:space="preserve"> 24), в котором были изложены рекомендации, замечания и просьбы о предоставлении информации, составленные делегацией Комитета по итогам посещения Швеции.  По просьбе КПП, 3 февраля 1999 года шведское правительство представило КПП промежуточный доклад, содержащий ответы на рекомендации, замечания и просьбы о предоставлении информации по вопросу об обеспечении гуманного обращения с лицами, содержащимися под стражей.  25 февраля 1999 года Совет Европы опубликовал доклад КПП и промежуточный доклад шведского правительства (</w:t>
      </w:r>
      <w:r>
        <w:rPr>
          <w:lang w:val="en-US"/>
        </w:rPr>
        <w:t>CPT/Inf [99] 4</w:t>
      </w:r>
      <w:r>
        <w:t>).  29 сентября 1999 года шведское правительство представило новый доклад в дополнение к предшествующему промежуточному докладу.</w:t>
      </w:r>
    </w:p>
    <w:p w:rsidR="00000000" w:rsidRDefault="00000000"/>
    <w:p w:rsidR="00000000" w:rsidRDefault="00000000">
      <w:r>
        <w:t>29.</w:t>
      </w:r>
      <w:r>
        <w:tab/>
        <w:t>Дополнительная информация по вопросу об обеспечении гуманного обращения с лицами, содержащимися под стражей, содержится в вышеупомянутых докладах.</w:t>
      </w:r>
    </w:p>
    <w:p w:rsidR="00000000" w:rsidRDefault="00000000"/>
    <w:p w:rsidR="00000000" w:rsidRDefault="00000000">
      <w:r>
        <w:rPr>
          <w:u w:val="single"/>
        </w:rPr>
        <w:br w:type="page"/>
        <w:t>Относительно применения "ограничений" (А/52/44, пункты 220 и 225</w:t>
      </w:r>
      <w:r>
        <w:t>)</w:t>
      </w:r>
    </w:p>
    <w:p w:rsidR="00000000" w:rsidRDefault="00000000"/>
    <w:p w:rsidR="00000000" w:rsidRDefault="00000000">
      <w:r>
        <w:t>30.</w:t>
      </w:r>
      <w:r>
        <w:tab/>
        <w:t>С 1 января 1999 года действуют новые положения, наделяющие задержанное лицо правом на проведение слушания в отношении определенных видов ограничений.  Эти положения дополняют существующие правила, касающиеся обязательного рассмотрения вопроса о применении ограничений в суде и содержащие требование о наличии общего разрешения на применение ограничений.  Оба типа решений могут быть обжалованы в вышестоящем суде, причем никаких ограничительных сроков для этого не установлено.  Лицо, содержащееся под стражей, может также в любое время подать ходатайство о пересмотре приказа о заключении под стражу.  Прокурор может принять решение о применении определенных ограничений к лицу, лишенному свободы, лишь при наличии судебного решения о заключении под стражу, которое выносится на основе факта существования риска того, что в противном случае данное лицо может ликвидировать доказательство или помешать уголовному расследованию.  Для применения таких ограничений в принципе требуется разрешение суда.  Прокурор обязан постоянно рассматривать применяемые ограничения и по возможности допускать индивидуальные исключения.  В настоящее время статья 5а главы 24 шведского Уголовно-процессуального кодекса гласит: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tab/>
        <w:t>"Если суд выносит решение о задержании какого-либо лица, издает приказ, что лицо должно оставаться в заключении, или дает согласие на продление срока для возбуждения преследования, то он одновременно с этим по ходатайству прокурора рассматривает вопрос о возможном ограничении контакта задержанного лица с внешним миром.  Разрешения на применение таких ограничений могут выдаваться лишь в том случае, если существует риск того, что подозреваемый ликвидирует доказательства или иным образом воспрепятствует расследованию обстоятельств рассматриваемого дела.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ab/>
      </w:r>
      <w:r>
        <w:tab/>
        <w:t>Когда это необходимо в силу вновь открывшихся обстоятельств, прокурор может вынести решение о применении ограничений в отношении контакта задержанного лица с внешним миром даже при отсутствии разрешения суда на применение таких ограничений.  Если прокурор выносит такое решение, он должен в тот же день или не позднее следующего дня запросить суд о рассмотрении дела по первому пункту.  В случае подачи такого запроса суд в возможно короткий срок, не превышающие одной недели, проводит слушание по данному вопросу.  Судебная процедура регулируется положениями, касающимися порядка слушаний по вопросу о заключении под стражу.  Разрешение на применение ограничения утрачивает силу, если суд не дает согласия на продление срока действия разрешения и при этом не постановляет, что лицо должно оставаться под стражей, или не продляет срока для возбуждения преследования".</w:t>
      </w:r>
    </w:p>
    <w:p w:rsidR="00000000" w:rsidRDefault="00000000">
      <w:pPr>
        <w:ind w:left="567" w:hanging="567"/>
      </w:pPr>
    </w:p>
    <w:p w:rsidR="00000000" w:rsidRDefault="00000000">
      <w:r>
        <w:t>31.</w:t>
      </w:r>
      <w:r>
        <w:tab/>
        <w:t>В целях разъяснения и подтверждения обязанности разъяснения причин для применения ограничений было принято отдельное положение (статья 14 главы 24 шведского Уголовно-процессуального кодекса).  Это положение гласит:</w:t>
      </w:r>
    </w:p>
    <w:p w:rsidR="00000000" w:rsidRDefault="00000000"/>
    <w:p w:rsidR="00000000" w:rsidRDefault="00000000">
      <w:pPr>
        <w:ind w:left="567" w:hanging="567"/>
      </w:pPr>
      <w:r>
        <w:tab/>
      </w:r>
      <w:r>
        <w:tab/>
        <w:t>"На слушании по вопросу о заключении под стражу присутствуют лицо, ходатайствующее о заключении, и, при отсутствии оснований исключительного характера, задержанное лицо.  Лицо, ходатайствующее о заключении, должно изложить основание такого ходатайства.  Это же относится и к ходатайству о разрешении на применение ограничений в соответствии со статьей 5а.  Задержанному лицу и его защитнику предоставляется возможность быть заслушанными.  Помимо того, что содержится в документах предварительного расследования и других заявлениях сторон, на слушания не могут представляться никакие материалы расследования обстоятельств правонарушения, если для этого нет каких-либо особых причин".</w:t>
      </w:r>
    </w:p>
    <w:p w:rsidR="00000000" w:rsidRDefault="00000000">
      <w:pPr>
        <w:ind w:left="567" w:hanging="567"/>
      </w:pPr>
    </w:p>
    <w:p w:rsidR="00000000" w:rsidRDefault="00000000">
      <w:r>
        <w:t>32.</w:t>
      </w:r>
      <w:r>
        <w:tab/>
        <w:t>За период, прошедший после вышеупомянутого посещения КПП, в Декрет об обращении с лицами, содержащимися под стражей (1976:376), было включено положение, согласно которому прокуроры обязаны документально обосновывать обстоятельства, которые диктуют необходимость принятия решения о применении ограничений.  Это положение вступило в силу 1 января 1999 года.  Задержанное лицо должно информироваться о содержании такой документации в той мере, в какой это возможно без ущерба для интересов расследования.  Причины, которые прокурор обязан документально обосновывать для суда в случае применения определенных ограничений, в целом совпадают с теми, которые он обязан приводить в порядке обоснования необходимости заключения под стражу в связи с наличием риска того, что подозреваемый может ликвидировать доказательства или каким-либо иным образом воспрепятствовать уголовному расследованию, а также в подкрепление общего разрешения на применение ограничений.</w:t>
      </w:r>
    </w:p>
    <w:p w:rsidR="00000000" w:rsidRDefault="00000000"/>
    <w:p w:rsidR="00000000" w:rsidRDefault="00000000">
      <w:r>
        <w:t>33.</w:t>
      </w:r>
      <w:r>
        <w:tab/>
        <w:t>1 января 1999 года вступила в силу поправка к Закону об обращении с лицами, содержащимися под стражей (1976:371), направленная на улучшение условий содержания в центрах предварительного заключения.  Она предусматривает, что лица, содержащиеся в предварительном заключении, должны, как правило, иметь возможность проводить время совместно с другими заключенными.</w:t>
      </w:r>
    </w:p>
    <w:p w:rsidR="00000000" w:rsidRDefault="00000000"/>
    <w:p w:rsidR="00000000" w:rsidRDefault="00000000">
      <w:r>
        <w:rPr>
          <w:u w:val="single"/>
        </w:rPr>
        <w:br w:type="page"/>
        <w:t>Относительно методов борьбы с беспорядками (А/52/44, пункты 222 и 226</w:t>
      </w:r>
      <w:r>
        <w:t>)</w:t>
      </w:r>
    </w:p>
    <w:p w:rsidR="00000000" w:rsidRDefault="00000000"/>
    <w:p w:rsidR="00000000" w:rsidRDefault="00000000">
      <w:r>
        <w:t>34.</w:t>
      </w:r>
      <w:r>
        <w:tab/>
        <w:t>Шведской полиции разрешено использовать собак в различных ситуациях, например для разгона толпы в целях предотвращения нарушений общественного порядка или угрозы безопасности.  Согласно шведскому закону о полиции, при применении таких мер полицейские всегда должны руководствоваться принципами "пропорциональности и необходимости".  Принцип необходимости означает, что сотрудники полиции могут применить ту или иную меру лишь в том случае, если она является необходимой для предотвращения беспорядков и т.д.  Принцип пропорциональности предполагает, что степень ущерба или неудобства, которые могут быть причинены противоположной стороне в результате применения той или иной меры, должна соизмеряться с целью этой меры.  За период, прошедший после представления предыдущего доклада в 1996 году, не было зарегистрировано ни одного случая осуждения сотрудников полиции в связи с причинением телесных повреждений лицу, пострадавшему от укусов полицейских собак.</w:t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16"/>
        <w:rPr>
          <w:lang w:val="en-US"/>
        </w:rPr>
      </w:pPr>
      <w:r>
        <w:t>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CAT/C/55/Add.3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CAT/C/55/Add.3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1" w:dllVersion="512" w:checkStyle="1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3</TotalTime>
  <Pages>1</Pages>
  <Words>3321</Words>
  <Characters>18935</Characters>
  <Application>Microsoft Office Word</Application>
  <DocSecurity>4</DocSecurity>
  <Lines>157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0044819.doc</vt:lpstr>
    </vt:vector>
  </TitlesOfParts>
  <Company> 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0044819.doc</dc:title>
  <dc:subject>Lavrov</dc:subject>
  <dc:creator>Дмитриева Татьяна</dc:creator>
  <cp:keywords/>
  <dc:description/>
  <cp:lastModifiedBy>Tatiana Dmitrieva</cp:lastModifiedBy>
  <cp:revision>4</cp:revision>
  <cp:lastPrinted>2000-12-26T07:55:00Z</cp:lastPrinted>
  <dcterms:created xsi:type="dcterms:W3CDTF">2000-12-26T07:49:00Z</dcterms:created>
  <dcterms:modified xsi:type="dcterms:W3CDTF">2000-12-26T07:57:00Z</dcterms:modified>
</cp:coreProperties>
</file>