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8580AA0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4355BC" w14:textId="77777777" w:rsidR="002D5AAC" w:rsidRDefault="002D5AAC" w:rsidP="006943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33CD680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FFDD818" w14:textId="0C2740A0" w:rsidR="002D5AAC" w:rsidRDefault="00694308" w:rsidP="00694308">
            <w:pPr>
              <w:jc w:val="right"/>
            </w:pPr>
            <w:r w:rsidRPr="00694308">
              <w:rPr>
                <w:sz w:val="40"/>
              </w:rPr>
              <w:t>CCPR</w:t>
            </w:r>
            <w:r>
              <w:t>/C/TKM/RQ/3</w:t>
            </w:r>
          </w:p>
        </w:tc>
      </w:tr>
      <w:tr w:rsidR="002D5AAC" w:rsidRPr="007158B9" w14:paraId="29147852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9C8A57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F845A2" wp14:editId="1F9416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74333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8E82376" w14:textId="77777777" w:rsidR="002D5AAC" w:rsidRPr="0042591F" w:rsidRDefault="00694308" w:rsidP="00BC3629">
            <w:pPr>
              <w:spacing w:before="240"/>
              <w:rPr>
                <w:lang w:val="en-US"/>
              </w:rPr>
            </w:pPr>
            <w:r w:rsidRPr="0042591F">
              <w:rPr>
                <w:lang w:val="en-US"/>
              </w:rPr>
              <w:t>Distr.: General</w:t>
            </w:r>
          </w:p>
          <w:p w14:paraId="4A07C9C7" w14:textId="0FC9D5F5" w:rsidR="00E463B9" w:rsidRDefault="007158B9" w:rsidP="00694308">
            <w:pPr>
              <w:spacing w:line="240" w:lineRule="exact"/>
              <w:rPr>
                <w:lang w:val="en-US"/>
              </w:rPr>
            </w:pPr>
            <w:r>
              <w:t>30</w:t>
            </w:r>
            <w:r w:rsidR="00694308" w:rsidRPr="00030298">
              <w:rPr>
                <w:lang w:val="en-US"/>
              </w:rPr>
              <w:t xml:space="preserve"> November 2022</w:t>
            </w:r>
          </w:p>
          <w:p w14:paraId="6B85FED8" w14:textId="77777777" w:rsidR="00AA51C1" w:rsidRDefault="00AA51C1" w:rsidP="00694308">
            <w:pPr>
              <w:spacing w:line="240" w:lineRule="exact"/>
              <w:rPr>
                <w:lang w:val="en-US"/>
              </w:rPr>
            </w:pPr>
          </w:p>
          <w:p w14:paraId="68DE0937" w14:textId="25E129A8" w:rsidR="00694308" w:rsidRPr="0042591F" w:rsidRDefault="00694308" w:rsidP="00694308">
            <w:pPr>
              <w:spacing w:line="240" w:lineRule="exact"/>
              <w:rPr>
                <w:lang w:val="en-US"/>
              </w:rPr>
            </w:pPr>
            <w:r w:rsidRPr="0042591F">
              <w:rPr>
                <w:lang w:val="en-US"/>
              </w:rPr>
              <w:t>Original:</w:t>
            </w:r>
            <w:r w:rsidR="0042591F" w:rsidRPr="0042591F">
              <w:rPr>
                <w:lang w:val="en-US"/>
              </w:rPr>
              <w:t xml:space="preserve"> Russian</w:t>
            </w:r>
            <w:r w:rsidR="0042591F">
              <w:rPr>
                <w:lang w:val="en-US"/>
              </w:rPr>
              <w:br/>
            </w:r>
            <w:r w:rsidR="0042591F" w:rsidRPr="0042591F">
              <w:rPr>
                <w:lang w:val="en-US"/>
              </w:rPr>
              <w:t>English, French, Russian and Spanish only</w:t>
            </w:r>
          </w:p>
        </w:tc>
      </w:tr>
    </w:tbl>
    <w:p w14:paraId="1F2E3DEB" w14:textId="77777777" w:rsidR="0042591F" w:rsidRPr="003512A8" w:rsidRDefault="0042591F" w:rsidP="0042591F">
      <w:pPr>
        <w:spacing w:before="120"/>
        <w:rPr>
          <w:b/>
          <w:sz w:val="32"/>
          <w:szCs w:val="28"/>
        </w:rPr>
      </w:pPr>
      <w:r w:rsidRPr="003512A8">
        <w:rPr>
          <w:b/>
          <w:bCs/>
          <w:sz w:val="24"/>
          <w:szCs w:val="28"/>
        </w:rPr>
        <w:t>Комитет по правам человека</w:t>
      </w:r>
    </w:p>
    <w:p w14:paraId="4C0A3198" w14:textId="3846F232" w:rsidR="0042591F" w:rsidRPr="003512A8" w:rsidRDefault="0042591F" w:rsidP="0042591F">
      <w:pPr>
        <w:rPr>
          <w:b/>
        </w:rPr>
      </w:pPr>
      <w:r w:rsidRPr="003512A8">
        <w:rPr>
          <w:b/>
          <w:bCs/>
        </w:rPr>
        <w:t>Сто тридцать седьмая сессия</w:t>
      </w:r>
    </w:p>
    <w:p w14:paraId="3E1D6A29" w14:textId="77777777" w:rsidR="0042591F" w:rsidRPr="003512A8" w:rsidRDefault="0042591F" w:rsidP="0042591F">
      <w:r w:rsidRPr="003512A8">
        <w:t>27 февраля — 24 марта 2023 года</w:t>
      </w:r>
    </w:p>
    <w:p w14:paraId="097E8DDA" w14:textId="77777777" w:rsidR="0042591F" w:rsidRPr="003512A8" w:rsidRDefault="0042591F" w:rsidP="0042591F">
      <w:r w:rsidRPr="003512A8">
        <w:t xml:space="preserve">Пункт 6 предварительной повестки дня </w:t>
      </w:r>
    </w:p>
    <w:p w14:paraId="57148756" w14:textId="12AB8B63" w:rsidR="0042591F" w:rsidRPr="003512A8" w:rsidRDefault="0042591F" w:rsidP="0042591F">
      <w:pPr>
        <w:rPr>
          <w:b/>
        </w:rPr>
      </w:pPr>
      <w:r w:rsidRPr="003512A8">
        <w:rPr>
          <w:b/>
          <w:bCs/>
        </w:rPr>
        <w:t xml:space="preserve">Рассмотрение докладов, представляемых </w:t>
      </w:r>
      <w:r w:rsidRPr="003512A8">
        <w:rPr>
          <w:b/>
          <w:bCs/>
        </w:rPr>
        <w:br/>
        <w:t xml:space="preserve">государствами-участниками в соответствии </w:t>
      </w:r>
      <w:r w:rsidRPr="003512A8">
        <w:rPr>
          <w:b/>
          <w:bCs/>
        </w:rPr>
        <w:br/>
        <w:t>со статьей 40 Пакта</w:t>
      </w:r>
    </w:p>
    <w:p w14:paraId="4998CF59" w14:textId="5A0F0A16" w:rsidR="0042591F" w:rsidRPr="003512A8" w:rsidRDefault="0042591F" w:rsidP="0042591F">
      <w:pPr>
        <w:pStyle w:val="HChG"/>
        <w:rPr>
          <w:sz w:val="20"/>
        </w:rPr>
      </w:pPr>
      <w:r w:rsidRPr="003512A8">
        <w:tab/>
      </w:r>
      <w:r w:rsidRPr="003512A8">
        <w:tab/>
      </w:r>
      <w:r w:rsidRPr="003512A8">
        <w:tab/>
        <w:t xml:space="preserve">Ответы Туркменистана на перечень вопросов в связи </w:t>
      </w:r>
      <w:r w:rsidRPr="003512A8">
        <w:br/>
        <w:t>с его третьим периодическим докладом</w:t>
      </w:r>
      <w:r w:rsidRPr="003512A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65772C3" w14:textId="77777777" w:rsidR="0042591F" w:rsidRPr="003512A8" w:rsidRDefault="0042591F" w:rsidP="0042591F">
      <w:pPr>
        <w:pStyle w:val="SingleTxtG"/>
        <w:jc w:val="right"/>
      </w:pPr>
      <w:r w:rsidRPr="003512A8">
        <w:t>[Дата получения: 9 ноября 2022 года]</w:t>
      </w:r>
    </w:p>
    <w:p w14:paraId="02E5B50D" w14:textId="3CEB0AD9" w:rsidR="007E1B91" w:rsidRPr="003512A8" w:rsidRDefault="007E1B91">
      <w:pPr>
        <w:suppressAutoHyphens w:val="0"/>
        <w:spacing w:line="240" w:lineRule="auto"/>
      </w:pPr>
      <w:r w:rsidRPr="003512A8">
        <w:br w:type="page"/>
      </w:r>
    </w:p>
    <w:p w14:paraId="12DD88DE" w14:textId="651A150B" w:rsidR="00E463B9" w:rsidRPr="003512A8" w:rsidRDefault="00E463B9" w:rsidP="0084077F">
      <w:pPr>
        <w:pStyle w:val="HChG"/>
        <w:rPr>
          <w:rFonts w:eastAsiaTheme="minorEastAsia"/>
        </w:rPr>
      </w:pPr>
      <w:r w:rsidRPr="003512A8">
        <w:lastRenderedPageBreak/>
        <w:tab/>
      </w:r>
      <w:r w:rsidRPr="003512A8">
        <w:tab/>
        <w:t xml:space="preserve">Ответы к </w:t>
      </w:r>
      <w:r w:rsidRPr="003512A8">
        <w:rPr>
          <w:rFonts w:eastAsiaTheme="minorEastAsia"/>
        </w:rPr>
        <w:t xml:space="preserve">Перечню вопросов по третьему периодическому докладу Туркменистана </w:t>
      </w:r>
      <w:r w:rsidRPr="003512A8">
        <w:rPr>
          <w:rFonts w:eastAsiaTheme="minorEastAsia"/>
        </w:rPr>
        <w:br/>
        <w:t xml:space="preserve">по Международному пакту о гражданских </w:t>
      </w:r>
      <w:r w:rsidR="007A70EA" w:rsidRPr="003512A8">
        <w:rPr>
          <w:rFonts w:eastAsiaTheme="minorEastAsia"/>
        </w:rPr>
        <w:br/>
      </w:r>
      <w:r w:rsidRPr="003512A8">
        <w:rPr>
          <w:rFonts w:eastAsiaTheme="minorEastAsia"/>
        </w:rPr>
        <w:t>и политических правах CCPR/C/TKM/Q/3</w:t>
      </w:r>
    </w:p>
    <w:p w14:paraId="2268433F" w14:textId="46FD17EA" w:rsidR="00E463B9" w:rsidRPr="003512A8" w:rsidRDefault="00E463B9" w:rsidP="00E463B9">
      <w:pPr>
        <w:pStyle w:val="H1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  <w:t>Конституционные и правовые рамки, в которых действует соглашение</w:t>
      </w:r>
    </w:p>
    <w:p w14:paraId="3B29B2E6" w14:textId="5BC9DCCB" w:rsidR="00E463B9" w:rsidRPr="003512A8" w:rsidRDefault="00E463B9" w:rsidP="00E463B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  <w:t>Об имплементации (статья 2)</w:t>
      </w:r>
    </w:p>
    <w:p w14:paraId="6AA67CFC" w14:textId="2F8EDDD5" w:rsidR="00E463B9" w:rsidRPr="003512A8" w:rsidRDefault="007A70EA" w:rsidP="00E463B9">
      <w:pPr>
        <w:pStyle w:val="SingleTxtG"/>
        <w:rPr>
          <w:rFonts w:eastAsiaTheme="minorEastAsia"/>
        </w:rPr>
      </w:pPr>
      <w:r w:rsidRPr="003512A8">
        <w:t>1.</w:t>
      </w:r>
      <w:r w:rsidRPr="003512A8">
        <w:tab/>
      </w:r>
      <w:r w:rsidR="00E463B9" w:rsidRPr="003512A8">
        <w:t>В рамках проекта «</w:t>
      </w:r>
      <w:r w:rsidR="00E463B9" w:rsidRPr="003512A8">
        <w:rPr>
          <w:spacing w:val="4"/>
        </w:rPr>
        <w:t>Оказание содействия в реализации Национального плана действий Туркменистана в области прав человека на 2021–2025 годы</w:t>
      </w:r>
      <w:r w:rsidR="00E463B9" w:rsidRPr="003512A8">
        <w:t xml:space="preserve">» ПРООН </w:t>
      </w:r>
      <w:r w:rsidR="00BE3BD6" w:rsidRPr="003512A8">
        <w:br/>
      </w:r>
      <w:r w:rsidR="00E463B9" w:rsidRPr="003512A8">
        <w:t>в Туркменистане оказывает поддержку в</w:t>
      </w:r>
      <w:r w:rsidR="00E463B9" w:rsidRPr="003512A8">
        <w:rPr>
          <w:color w:val="FF0000"/>
        </w:rPr>
        <w:t xml:space="preserve"> </w:t>
      </w:r>
      <w:r w:rsidR="00E463B9" w:rsidRPr="003512A8">
        <w:t>реализации НПДПЧ на 2021</w:t>
      </w:r>
      <w:r w:rsidRPr="003512A8">
        <w:t>–</w:t>
      </w:r>
      <w:r w:rsidR="00E463B9" w:rsidRPr="003512A8">
        <w:t>2025 годы, реализуемого совместно с Институтом государства, права и демократии Туркменистана. Проект направлен на укрепление системы защиты, поощрение и реализацию прав человека в Туркменистане путем гармонизации законов и практики в соответствии с международными обязательствами страны в области прав человека и п</w:t>
      </w:r>
      <w:r w:rsidR="00E463B9" w:rsidRPr="003512A8">
        <w:rPr>
          <w:rFonts w:eastAsiaTheme="minorEastAsia"/>
        </w:rPr>
        <w:t>овышения осведомленности государственных служащих, сотрудников правоохранительных органов, судей, адвокатов, студентов о правах человека и международных обязательствах Туркменистана в области прав человека.</w:t>
      </w:r>
    </w:p>
    <w:p w14:paraId="0788DD92" w14:textId="4298DCF2" w:rsidR="00E463B9" w:rsidRPr="003512A8" w:rsidRDefault="007A70EA" w:rsidP="00E463B9">
      <w:pPr>
        <w:pStyle w:val="SingleTxtG"/>
      </w:pPr>
      <w:r w:rsidRPr="003512A8">
        <w:rPr>
          <w:rFonts w:eastAsiaTheme="minorEastAsia"/>
        </w:rPr>
        <w:t>2.</w:t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В частности, в области повышения потенциала представителей правоохранительной системы рекоменду</w:t>
      </w:r>
      <w:r w:rsidR="00FD746E" w:rsidRPr="003512A8">
        <w:rPr>
          <w:rFonts w:eastAsiaTheme="minorEastAsia"/>
        </w:rPr>
        <w:t>е</w:t>
      </w:r>
      <w:r w:rsidR="00E463B9" w:rsidRPr="003512A8">
        <w:rPr>
          <w:rFonts w:eastAsiaTheme="minorEastAsia"/>
        </w:rPr>
        <w:t>тся судам руководство международными нормами наряду с национальным законодательством.</w:t>
      </w:r>
    </w:p>
    <w:p w14:paraId="029B0115" w14:textId="68EAB617" w:rsidR="00E463B9" w:rsidRPr="003512A8" w:rsidRDefault="007A70EA" w:rsidP="00E463B9">
      <w:pPr>
        <w:pStyle w:val="SingleTxtG"/>
      </w:pPr>
      <w:r w:rsidRPr="003512A8">
        <w:t>3.</w:t>
      </w:r>
      <w:r w:rsidRPr="003512A8">
        <w:tab/>
      </w:r>
      <w:r w:rsidR="00E463B9" w:rsidRPr="003512A8">
        <w:t xml:space="preserve">Аппарат Омбудсмена и Программа развития ООН в Туркменистане в сотрудничестве с Региональным офисом Управления Верховного </w:t>
      </w:r>
      <w:r w:rsidR="00041853" w:rsidRPr="003512A8">
        <w:t>к</w:t>
      </w:r>
      <w:r w:rsidR="00E463B9" w:rsidRPr="003512A8">
        <w:t>омиссара по правам человека в Центральной Азии ООН проводят реализацию совместного Проекта «Повышение институционального потенциала Аппарата Омбудсмена Туркменистана на 2021</w:t>
      </w:r>
      <w:r w:rsidRPr="003512A8">
        <w:t>–</w:t>
      </w:r>
      <w:r w:rsidR="00E463B9" w:rsidRPr="003512A8">
        <w:t>2022 года», основная цель которого является развитие институционального потенциала Аппарата Омбудсмена в изучении процесса аккредитации Глобальным альянсом национальных правозащитных учреждений (ГАНПЗУ), а также повышение потенциала сотрудников Аппарата Омбудсмена.</w:t>
      </w:r>
    </w:p>
    <w:p w14:paraId="0F852759" w14:textId="7C3E345E" w:rsidR="00E463B9" w:rsidRPr="003512A8" w:rsidRDefault="007A70EA" w:rsidP="00E463B9">
      <w:pPr>
        <w:pStyle w:val="SingleTxtG"/>
      </w:pPr>
      <w:r w:rsidRPr="003512A8">
        <w:t>4.</w:t>
      </w:r>
      <w:r w:rsidRPr="003512A8">
        <w:tab/>
      </w:r>
      <w:r w:rsidR="00E463B9" w:rsidRPr="003512A8">
        <w:t>Согласно проектному документу</w:t>
      </w:r>
      <w:r w:rsidR="00AA51C1" w:rsidRPr="003512A8">
        <w:t>,</w:t>
      </w:r>
      <w:r w:rsidR="00E463B9" w:rsidRPr="003512A8">
        <w:t xml:space="preserve"> все мероприятия за 2021 год были выполнены и достигнуты следующие результаты:</w:t>
      </w:r>
    </w:p>
    <w:p w14:paraId="02434356" w14:textId="51498BCC" w:rsidR="00E463B9" w:rsidRPr="003512A8" w:rsidRDefault="007A70EA" w:rsidP="00E463B9">
      <w:pPr>
        <w:pStyle w:val="SingleTxtG"/>
      </w:pPr>
      <w:r w:rsidRPr="003512A8">
        <w:tab/>
      </w:r>
      <w:r w:rsidR="00E463B9" w:rsidRPr="003512A8">
        <w:t>1)</w:t>
      </w:r>
      <w:r w:rsidR="00E463B9" w:rsidRPr="003512A8">
        <w:tab/>
      </w:r>
      <w:r w:rsidRPr="003512A8">
        <w:t xml:space="preserve">разработан </w:t>
      </w:r>
      <w:r w:rsidR="00E463B9" w:rsidRPr="003512A8">
        <w:t>проект Дорожной карты для Аппарата Омбудсмена по аккредитации в ГАНПЗУ;</w:t>
      </w:r>
    </w:p>
    <w:p w14:paraId="697AEECD" w14:textId="5C045FA9" w:rsidR="00E463B9" w:rsidRPr="003512A8" w:rsidRDefault="007A70EA" w:rsidP="00E463B9">
      <w:pPr>
        <w:pStyle w:val="SingleTxtG"/>
      </w:pPr>
      <w:r w:rsidRPr="003512A8">
        <w:tab/>
      </w:r>
      <w:r w:rsidR="00E463B9" w:rsidRPr="003512A8">
        <w:t>2)</w:t>
      </w:r>
      <w:r w:rsidR="00E463B9" w:rsidRPr="003512A8">
        <w:tab/>
      </w:r>
      <w:r w:rsidRPr="003512A8">
        <w:t xml:space="preserve">разработаны </w:t>
      </w:r>
      <w:r w:rsidR="00E463B9" w:rsidRPr="003512A8">
        <w:t>Рекомендации по сотрудничеству Аппарата Омбудсмена с правоохранительными органами, судебной системой и коллегиями адвокатов Туркменистана;</w:t>
      </w:r>
    </w:p>
    <w:p w14:paraId="2C282BA5" w14:textId="240B89E0" w:rsidR="00E463B9" w:rsidRPr="003512A8" w:rsidRDefault="007A70EA" w:rsidP="00E463B9">
      <w:pPr>
        <w:pStyle w:val="SingleTxtG"/>
      </w:pPr>
      <w:r w:rsidRPr="003512A8">
        <w:tab/>
      </w:r>
      <w:r w:rsidR="00E463B9" w:rsidRPr="003512A8">
        <w:t>3)</w:t>
      </w:r>
      <w:r w:rsidR="00E463B9" w:rsidRPr="003512A8">
        <w:tab/>
      </w:r>
      <w:r w:rsidRPr="003512A8">
        <w:t xml:space="preserve">оказано </w:t>
      </w:r>
      <w:r w:rsidR="00E463B9" w:rsidRPr="003512A8">
        <w:t xml:space="preserve">содействие для участия сотрудников Аппарата Омбудсмена в </w:t>
      </w:r>
      <w:r w:rsidRPr="003512A8">
        <w:t>двадцать шестом</w:t>
      </w:r>
      <w:r w:rsidR="00E463B9" w:rsidRPr="003512A8">
        <w:t xml:space="preserve"> Ежегодном общем собрании Азиатско-Тихоокеанского форума национальных правозащитных учреждений (АТФ) и интерактивном диалоге АТФ с членами Рабочей группы ООН по </w:t>
      </w:r>
      <w:r w:rsidR="00041853" w:rsidRPr="003512A8">
        <w:t>д</w:t>
      </w:r>
      <w:r w:rsidR="00E463B9" w:rsidRPr="003512A8">
        <w:t>искриминаци</w:t>
      </w:r>
      <w:r w:rsidR="00E14255" w:rsidRPr="003512A8">
        <w:t>и</w:t>
      </w:r>
      <w:r w:rsidR="00E463B9" w:rsidRPr="003512A8">
        <w:t xml:space="preserve"> женщин и девочек на тему «Права женщин и девочек на сексуальное и репродуктивное здоровье в условиях кризиса»;</w:t>
      </w:r>
    </w:p>
    <w:p w14:paraId="1C1F20BA" w14:textId="68A156BC" w:rsidR="00E463B9" w:rsidRPr="003512A8" w:rsidRDefault="007A70EA" w:rsidP="00E463B9">
      <w:pPr>
        <w:pStyle w:val="SingleTxtG"/>
      </w:pPr>
      <w:r w:rsidRPr="003512A8">
        <w:tab/>
      </w:r>
      <w:r w:rsidR="00171695" w:rsidRPr="003512A8">
        <w:t>4)</w:t>
      </w:r>
      <w:r w:rsidR="00171695" w:rsidRPr="003512A8">
        <w:tab/>
      </w:r>
      <w:r w:rsidRPr="003512A8">
        <w:t xml:space="preserve">оказано </w:t>
      </w:r>
      <w:r w:rsidR="00E463B9" w:rsidRPr="003512A8">
        <w:t>содействие для участия сотрудников аппарата Омбудсмена в двухдневной Виртуальной встрече 2021 Трехстороннего партнерства ПРООН, ГАНПЧ и УВКПЧ в поддержку ежегодного обзора национальных правозащитных учреждений (НПЗУ) и Платформы партнерства. Ежегодная встреча Трехстороннего партнерства (ТРР) в поддержку национальных правозащитных учреждений была направлена на укрепление более тесного сотрудничества между системой ООН и национальными правозащитными учреждениями, их региональными сетями и Глобальным альянсом национальных правозащитных учреждений (ГАНПЗУ);</w:t>
      </w:r>
    </w:p>
    <w:p w14:paraId="7137337E" w14:textId="7E86132F" w:rsidR="00E463B9" w:rsidRPr="003512A8" w:rsidRDefault="007A70EA" w:rsidP="00E463B9">
      <w:pPr>
        <w:pStyle w:val="SingleTxtG"/>
      </w:pPr>
      <w:r w:rsidRPr="003512A8">
        <w:tab/>
      </w:r>
      <w:r w:rsidR="00171695" w:rsidRPr="003512A8">
        <w:t>5</w:t>
      </w:r>
      <w:r w:rsidR="00E463B9" w:rsidRPr="003512A8">
        <w:t>)</w:t>
      </w:r>
      <w:r w:rsidR="00E463B9" w:rsidRPr="003512A8">
        <w:tab/>
      </w:r>
      <w:r w:rsidRPr="003512A8">
        <w:t xml:space="preserve">разработаны </w:t>
      </w:r>
      <w:r w:rsidR="00E463B9" w:rsidRPr="003512A8">
        <w:t>Рекомендации по мониторингу и оценки работы национальных правозащитных учреждений;</w:t>
      </w:r>
    </w:p>
    <w:p w14:paraId="6DBF6441" w14:textId="7198DB5C" w:rsidR="00E463B9" w:rsidRPr="003512A8" w:rsidRDefault="007A70EA" w:rsidP="00E463B9">
      <w:pPr>
        <w:pStyle w:val="SingleTxtG"/>
      </w:pPr>
      <w:r w:rsidRPr="003512A8">
        <w:lastRenderedPageBreak/>
        <w:tab/>
      </w:r>
      <w:r w:rsidR="00171695" w:rsidRPr="003512A8">
        <w:t>6</w:t>
      </w:r>
      <w:r w:rsidR="00E463B9" w:rsidRPr="003512A8">
        <w:t>)</w:t>
      </w:r>
      <w:r w:rsidR="00E463B9" w:rsidRPr="003512A8">
        <w:tab/>
      </w:r>
      <w:r w:rsidRPr="003512A8">
        <w:t xml:space="preserve">проведен </w:t>
      </w:r>
      <w:r w:rsidR="006E5339" w:rsidRPr="003512A8">
        <w:t>а</w:t>
      </w:r>
      <w:r w:rsidR="00E463B9" w:rsidRPr="003512A8">
        <w:t>нализ соответствия Закона Туркменистана «Об Омбудсмене» Парижским принципам;</w:t>
      </w:r>
    </w:p>
    <w:p w14:paraId="6275F8A3" w14:textId="26F4339E" w:rsidR="00E463B9" w:rsidRPr="003512A8" w:rsidRDefault="007A70EA" w:rsidP="00E463B9">
      <w:pPr>
        <w:pStyle w:val="SingleTxtG"/>
      </w:pPr>
      <w:r w:rsidRPr="003512A8">
        <w:tab/>
      </w:r>
      <w:r w:rsidR="00171695" w:rsidRPr="003512A8">
        <w:t>7</w:t>
      </w:r>
      <w:r w:rsidR="00E463B9" w:rsidRPr="003512A8">
        <w:t>)</w:t>
      </w:r>
      <w:r w:rsidR="00E463B9" w:rsidRPr="003512A8">
        <w:tab/>
      </w:r>
      <w:r w:rsidRPr="003512A8">
        <w:t xml:space="preserve">разработан </w:t>
      </w:r>
      <w:r w:rsidR="00E463B9" w:rsidRPr="003512A8">
        <w:t>проект нормативного правового акта для укрепления Аппарата Омбудсмена;</w:t>
      </w:r>
    </w:p>
    <w:p w14:paraId="62D07C20" w14:textId="4D6C66FD" w:rsidR="00E463B9" w:rsidRPr="003512A8" w:rsidRDefault="007A70EA" w:rsidP="00E463B9">
      <w:pPr>
        <w:pStyle w:val="SingleTxtG"/>
      </w:pPr>
      <w:r w:rsidRPr="003512A8">
        <w:tab/>
      </w:r>
      <w:r w:rsidR="00171695" w:rsidRPr="003512A8">
        <w:t>8</w:t>
      </w:r>
      <w:r w:rsidR="00E463B9" w:rsidRPr="003512A8">
        <w:t>)</w:t>
      </w:r>
      <w:r w:rsidR="00E463B9" w:rsidRPr="003512A8">
        <w:tab/>
      </w:r>
      <w:r w:rsidRPr="003512A8">
        <w:t xml:space="preserve">повышена </w:t>
      </w:r>
      <w:r w:rsidR="00E463B9" w:rsidRPr="003512A8">
        <w:t>осведомленность общественности о роли Аппарата Омбудсмена по обеспечению прав человека в стране с участием представителей правоохранительных органов, министерств и ведомств, общественных объединений всех пяти велаятов и города Ашхабад.</w:t>
      </w:r>
    </w:p>
    <w:p w14:paraId="7336BB94" w14:textId="3317ECF1" w:rsidR="00E463B9" w:rsidRPr="003512A8" w:rsidRDefault="007A70EA" w:rsidP="00E463B9">
      <w:pPr>
        <w:pStyle w:val="SingleTxtG"/>
      </w:pPr>
      <w:r w:rsidRPr="003512A8">
        <w:t>5.</w:t>
      </w:r>
      <w:r w:rsidRPr="003512A8">
        <w:tab/>
      </w:r>
      <w:r w:rsidR="00E463B9" w:rsidRPr="003512A8">
        <w:t xml:space="preserve">Оценку потенциала Аппарата Омбудсмена Туркменистана провела в октябре 2022 года специально учрежденная комиссия, в составе которой представители Программы развития ООН (ПРООН), Управления Верховного комиссара ООН по правам человека и Азиатско-Тихоокеанского форума национальных правозащитных учреждений. </w:t>
      </w:r>
    </w:p>
    <w:p w14:paraId="15C70272" w14:textId="3F2EA6AD" w:rsidR="00E463B9" w:rsidRPr="003512A8" w:rsidRDefault="007A70EA" w:rsidP="00E463B9">
      <w:pPr>
        <w:pStyle w:val="SingleTxtG"/>
      </w:pPr>
      <w:r w:rsidRPr="003512A8">
        <w:t>6.</w:t>
      </w:r>
      <w:r w:rsidRPr="003512A8">
        <w:tab/>
      </w:r>
      <w:r w:rsidR="00E463B9" w:rsidRPr="003512A8">
        <w:t xml:space="preserve">Данное исследование проводилось для определения сильных и слабых сторон потенциала Аппарата Омбудсмена и формирования предложений по более эффективному внедрению принципов защиты прав человека. Для этого представители комиссии провели встречи и дискуссии с представителями Аппарата Омбудсмена Туркменистана, Халк Маслахаты (Народный совет) Милли Генгеша, Меджлиса (Парламент) Милли Генгеша, Верховного суда, МИД Туркменистана, Министерства Адалат (юстиции), силовых структур, а также общественных организаций и представителей местных органов власти Ашхабада, Ахалского и Балканского велаятов (областей). </w:t>
      </w:r>
    </w:p>
    <w:p w14:paraId="0EB595A0" w14:textId="34F2D62E" w:rsidR="00E463B9" w:rsidRPr="003512A8" w:rsidRDefault="007A70EA" w:rsidP="00E463B9">
      <w:pPr>
        <w:pStyle w:val="SingleTxtG"/>
      </w:pPr>
      <w:r w:rsidRPr="003512A8">
        <w:t>7.</w:t>
      </w:r>
      <w:r w:rsidRPr="003512A8">
        <w:tab/>
      </w:r>
      <w:r w:rsidR="00E463B9" w:rsidRPr="003512A8">
        <w:t xml:space="preserve">Проанализировав полномочия, функции и возможности Аппарата Омбудсмена, эксперты разработали меры по его укреплению на следующие </w:t>
      </w:r>
      <w:r w:rsidR="00A32521" w:rsidRPr="003512A8">
        <w:t xml:space="preserve">пять </w:t>
      </w:r>
      <w:r w:rsidR="00E463B9" w:rsidRPr="003512A8">
        <w:t xml:space="preserve">лет. </w:t>
      </w:r>
    </w:p>
    <w:p w14:paraId="6739D62B" w14:textId="4663020A" w:rsidR="00E463B9" w:rsidRPr="003512A8" w:rsidRDefault="007A70EA" w:rsidP="00E463B9">
      <w:pPr>
        <w:pStyle w:val="SingleTxtG"/>
      </w:pPr>
      <w:r w:rsidRPr="003512A8">
        <w:t>8.</w:t>
      </w:r>
      <w:r w:rsidRPr="003512A8">
        <w:tab/>
      </w:r>
      <w:r w:rsidR="00E463B9" w:rsidRPr="003512A8">
        <w:t xml:space="preserve">За 2021 год в Аппарате Омбудсмена зарегистрировано 355 обращений, из которых 244 в письменной форме и 111 </w:t>
      </w:r>
      <w:r w:rsidRPr="003512A8">
        <w:t>⸺</w:t>
      </w:r>
      <w:r w:rsidR="00E463B9" w:rsidRPr="003512A8">
        <w:t xml:space="preserve"> в устной.</w:t>
      </w:r>
    </w:p>
    <w:p w14:paraId="30DA0E8E" w14:textId="4AFF0718" w:rsidR="00E463B9" w:rsidRPr="003512A8" w:rsidRDefault="007A70EA" w:rsidP="00E463B9">
      <w:pPr>
        <w:pStyle w:val="SingleTxtG"/>
      </w:pPr>
      <w:r w:rsidRPr="003512A8">
        <w:t>9.</w:t>
      </w:r>
      <w:r w:rsidRPr="003512A8">
        <w:tab/>
      </w:r>
      <w:r w:rsidR="00E463B9" w:rsidRPr="003512A8">
        <w:t xml:space="preserve">Создана возможность для обращения граждан в Аппарат Омбудсмена по телефонной связи. В апреле 2021 года был введен в действие веб-сайт Омбудсмена. </w:t>
      </w:r>
    </w:p>
    <w:p w14:paraId="386D3CBF" w14:textId="6482B463" w:rsidR="00E463B9" w:rsidRPr="003512A8" w:rsidRDefault="007A70EA" w:rsidP="00E463B9">
      <w:pPr>
        <w:pStyle w:val="SingleTxtG"/>
      </w:pPr>
      <w:r w:rsidRPr="003512A8">
        <w:t>10.</w:t>
      </w:r>
      <w:r w:rsidRPr="003512A8">
        <w:tab/>
      </w:r>
      <w:r w:rsidR="00E463B9" w:rsidRPr="003512A8">
        <w:t>В целях разъяснения процедуры порядка обращения граждан к Омбудсмену Туркменистана в письменной и устной формах издано специальное руководство (брошюра), а для обеспечения ее доступности на веб-сайте размещен электронный формат.</w:t>
      </w:r>
    </w:p>
    <w:p w14:paraId="51C03916" w14:textId="0930B325" w:rsidR="00E463B9" w:rsidRPr="003512A8" w:rsidRDefault="007A70EA" w:rsidP="00E463B9">
      <w:pPr>
        <w:pStyle w:val="SingleTxtG"/>
      </w:pPr>
      <w:r w:rsidRPr="003512A8">
        <w:t>11.</w:t>
      </w:r>
      <w:r w:rsidRPr="003512A8">
        <w:tab/>
      </w:r>
      <w:r w:rsidR="00E463B9" w:rsidRPr="003512A8">
        <w:t>Аппаратом Омбудсмена к производству было принято 79 обращений. На 85 из 244 письменных обращений, поступивших в Аппарат Омбудсмена в 2021 году, были направлены ответы консультативного характера, в которых разъясняются законные средства защиты гражданами своих прав и свобод.</w:t>
      </w:r>
    </w:p>
    <w:p w14:paraId="565AE8B1" w14:textId="768C0888" w:rsidR="00E463B9" w:rsidRPr="003512A8" w:rsidRDefault="00816283" w:rsidP="00E463B9">
      <w:pPr>
        <w:pStyle w:val="SingleTxtG"/>
      </w:pPr>
      <w:r w:rsidRPr="003512A8">
        <w:t>12.</w:t>
      </w:r>
      <w:r w:rsidRPr="003512A8">
        <w:tab/>
      </w:r>
      <w:r w:rsidR="00E463B9" w:rsidRPr="003512A8">
        <w:t>В процессе разработки проекта Закона Туркменистана «Об Омбудсмене» были вовлечены международные организации и была учтена наилучшая практика зарубежных стран. Закон разрабатывался в соответствии с Парижскими принципами</w:t>
      </w:r>
      <w:r w:rsidR="00F734BD" w:rsidRPr="003512A8">
        <w:t xml:space="preserve"> </w:t>
      </w:r>
      <w:r w:rsidR="00E463B9" w:rsidRPr="003512A8">
        <w:t>и наделил Омбудсмена гарантиями институциональной независимости и широким мандатом.</w:t>
      </w:r>
    </w:p>
    <w:p w14:paraId="789DB71F" w14:textId="4BE9E4DF" w:rsidR="00E463B9" w:rsidRPr="003512A8" w:rsidRDefault="00816283" w:rsidP="00E463B9">
      <w:pPr>
        <w:pStyle w:val="SingleTxtG"/>
      </w:pPr>
      <w:r w:rsidRPr="003512A8">
        <w:t>13.</w:t>
      </w:r>
      <w:r w:rsidRPr="003512A8">
        <w:tab/>
      </w:r>
      <w:r w:rsidR="00E463B9" w:rsidRPr="003512A8">
        <w:t>Аппарат Омбудсмена обеспечен материально-технической базой. Согласно Закон</w:t>
      </w:r>
      <w:r w:rsidR="00EE2D32" w:rsidRPr="003512A8">
        <w:t>у</w:t>
      </w:r>
      <w:r w:rsidR="00E463B9" w:rsidRPr="003512A8">
        <w:t xml:space="preserve"> Туркменистана «Об Омбудсмене» финансирование </w:t>
      </w:r>
      <w:r w:rsidR="001B5F6F" w:rsidRPr="003512A8">
        <w:t>А</w:t>
      </w:r>
      <w:r w:rsidR="00E463B9" w:rsidRPr="003512A8">
        <w:t>ппарата осуществляется за счет государственного бюджета. А также законом предусмотрено дополнительное финансирование за сч</w:t>
      </w:r>
      <w:r w:rsidRPr="003512A8">
        <w:t>е</w:t>
      </w:r>
      <w:r w:rsidR="00E463B9" w:rsidRPr="003512A8">
        <w:t>т средств, получаемых от иностранных государств и международных организаций на основе договоров (соглашений), заключаемых Туркменистаном, а также из других источников, не запрещ</w:t>
      </w:r>
      <w:r w:rsidRPr="003512A8">
        <w:t>е</w:t>
      </w:r>
      <w:r w:rsidR="00E463B9" w:rsidRPr="003512A8">
        <w:t>нных законодательством Туркменистана.</w:t>
      </w:r>
    </w:p>
    <w:p w14:paraId="2150FB75" w14:textId="1E7D1E9F" w:rsidR="00E463B9" w:rsidRPr="003512A8" w:rsidRDefault="00816283" w:rsidP="00E463B9">
      <w:pPr>
        <w:pStyle w:val="SingleTxtG"/>
      </w:pPr>
      <w:r w:rsidRPr="003512A8">
        <w:t>14.</w:t>
      </w:r>
      <w:r w:rsidRPr="003512A8">
        <w:tab/>
      </w:r>
      <w:r w:rsidR="00E463B9" w:rsidRPr="003512A8">
        <w:t xml:space="preserve">В 2020 году штат Аппарата Омбудсмена был увеличен на одну единицу. </w:t>
      </w:r>
      <w:r w:rsidRPr="003512A8">
        <w:br/>
      </w:r>
      <w:r w:rsidR="00E463B9" w:rsidRPr="003512A8">
        <w:t>В данное время изучается международный опыт структуры подобных институтов и функционирования его региональных структур.</w:t>
      </w:r>
    </w:p>
    <w:p w14:paraId="35EE0C99" w14:textId="7956EFE3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lastRenderedPageBreak/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Меры по борьбе с коррупцией (статьи 2 и 25)</w:t>
      </w:r>
    </w:p>
    <w:p w14:paraId="4C018164" w14:textId="7ECA73DA" w:rsidR="00E463B9" w:rsidRPr="003512A8" w:rsidRDefault="00816283" w:rsidP="00112DDD">
      <w:pPr>
        <w:pStyle w:val="SingleTxtG"/>
        <w:rPr>
          <w:lang w:eastAsia="ru-RU"/>
        </w:rPr>
      </w:pPr>
      <w:r w:rsidRPr="003512A8">
        <w:rPr>
          <w:lang w:eastAsia="ru-RU"/>
        </w:rPr>
        <w:t>15.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Согласно Закон</w:t>
      </w:r>
      <w:r w:rsidR="00831609" w:rsidRPr="003512A8">
        <w:rPr>
          <w:lang w:eastAsia="ru-RU"/>
        </w:rPr>
        <w:t>у</w:t>
      </w:r>
      <w:r w:rsidR="00E463B9" w:rsidRPr="003512A8">
        <w:rPr>
          <w:lang w:eastAsia="ru-RU"/>
        </w:rPr>
        <w:t xml:space="preserve"> Туркменистана «О противодействии коррупции» от 1 марта 2014 г</w:t>
      </w:r>
      <w:r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борьбу с коррупцией в пределах своей компетенции обязаны вести все государственные органы и их должностные лица. Предупреждение, выявление и пресечение правонарушений, связанных с коррупцией, и привлечение к ответственности лиц, виновных в их совершении, осуществляется в пределах их компетенции органами прокуратуры, внутренних дел, национальной безопасности, таможенной и пограничной службы, а также финансовыми, налоговыми, другими государственными органами (статья 7 </w:t>
      </w:r>
      <w:r w:rsidR="00C951A2" w:rsidRPr="003512A8">
        <w:rPr>
          <w:lang w:eastAsia="ru-RU"/>
        </w:rPr>
        <w:t>«</w:t>
      </w:r>
      <w:r w:rsidR="00E463B9" w:rsidRPr="003512A8">
        <w:rPr>
          <w:lang w:eastAsia="ru-RU"/>
        </w:rPr>
        <w:t>Государственные органы, осуществляющие борьбу с коррупцией</w:t>
      </w:r>
      <w:r w:rsidR="00C951A2" w:rsidRPr="003512A8">
        <w:rPr>
          <w:lang w:eastAsia="ru-RU"/>
        </w:rPr>
        <w:t>»</w:t>
      </w:r>
      <w:r w:rsidR="00E463B9" w:rsidRPr="003512A8">
        <w:rPr>
          <w:lang w:eastAsia="ru-RU"/>
        </w:rPr>
        <w:t>). При получении сведений о совершении правонарушений, связанных с коррупцией, органы, указанные в части второй данной статьи, обязаны принимать меры, вытекающие из их полномочий, или незамедлительно передавать их в государственные органы, уполномоченные проводить проверку таких сведений и принимать по итогам проверки решения в порядке, установленном законодательством Туркменистана.</w:t>
      </w:r>
    </w:p>
    <w:p w14:paraId="70CDB2CA" w14:textId="748A86B7" w:rsidR="00E463B9" w:rsidRPr="003512A8" w:rsidRDefault="00816283" w:rsidP="00112DDD">
      <w:pPr>
        <w:pStyle w:val="SingleTxtG"/>
        <w:rPr>
          <w:lang w:eastAsia="ru-RU"/>
        </w:rPr>
      </w:pPr>
      <w:r w:rsidRPr="003512A8">
        <w:rPr>
          <w:lang w:eastAsia="ru-RU"/>
        </w:rPr>
        <w:t>16.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Генеральная прокуратура Туркменистана координирует деятельность по противодействию коррупции. </w:t>
      </w:r>
    </w:p>
    <w:p w14:paraId="1E50EAF1" w14:textId="6E8CB1A6" w:rsidR="00E463B9" w:rsidRPr="003512A8" w:rsidRDefault="00816283" w:rsidP="00112DDD">
      <w:pPr>
        <w:pStyle w:val="SingleTxtG"/>
      </w:pPr>
      <w:r w:rsidRPr="003512A8">
        <w:t>17.</w:t>
      </w:r>
      <w:r w:rsidRPr="003512A8">
        <w:tab/>
      </w:r>
      <w:r w:rsidR="00E463B9" w:rsidRPr="003512A8">
        <w:t xml:space="preserve">Основные стандарты поведения государственных служащих для правильного, добросовестного и надлежащего выполнения государственных функций, а также не допущения коррупционных проявлений, закреплены в Законе Туркменистана </w:t>
      </w:r>
      <w:r w:rsidRPr="003512A8">
        <w:br/>
      </w:r>
      <w:r w:rsidR="00E463B9" w:rsidRPr="003512A8">
        <w:t>«О государственной службе».</w:t>
      </w:r>
    </w:p>
    <w:p w14:paraId="2151E742" w14:textId="05F29274" w:rsidR="00E463B9" w:rsidRPr="003512A8" w:rsidRDefault="00816283" w:rsidP="00112DDD">
      <w:pPr>
        <w:pStyle w:val="SingleTxtG"/>
        <w:rPr>
          <w:color w:val="333333"/>
        </w:rPr>
      </w:pPr>
      <w:r w:rsidRPr="003512A8">
        <w:t>18.</w:t>
      </w:r>
      <w:r w:rsidRPr="003512A8">
        <w:tab/>
      </w:r>
      <w:r w:rsidR="00E463B9" w:rsidRPr="003512A8">
        <w:t>В соответствии со ст</w:t>
      </w:r>
      <w:r w:rsidR="00BE3BD6" w:rsidRPr="003512A8">
        <w:t>атьей</w:t>
      </w:r>
      <w:r w:rsidR="00E463B9" w:rsidRPr="003512A8">
        <w:t xml:space="preserve"> 42 Закона Туркменистана «О государственной службе» государственный служащий не вправе: заниматься другой оплачиваемой деятельностью, кроме преподавательской, научной и творческой деятельности; заниматься предпринимательской деятельностью лично или через доверенных лиц; использовать в неслужебных целях государственное имущество и служебную информацию; пользоваться в личных целях в связи с исполнением должностных полномочий услугами граждан и юридических лиц.</w:t>
      </w:r>
    </w:p>
    <w:p w14:paraId="5E21A24C" w14:textId="14445348" w:rsidR="00E463B9" w:rsidRPr="003512A8" w:rsidRDefault="00816283" w:rsidP="00112DDD">
      <w:pPr>
        <w:pStyle w:val="SingleTxtG"/>
        <w:rPr>
          <w:lang w:eastAsia="ru-RU"/>
        </w:rPr>
      </w:pPr>
      <w:r w:rsidRPr="003512A8">
        <w:t>19.</w:t>
      </w:r>
      <w:r w:rsidRPr="003512A8">
        <w:tab/>
      </w:r>
      <w:r w:rsidR="00E463B9" w:rsidRPr="003512A8">
        <w:t>В Туркменистане доверие граждан, общества к судебной власти, а также к авторитету судебной</w:t>
      </w:r>
      <w:r w:rsidR="00E463B9" w:rsidRPr="003512A8">
        <w:rPr>
          <w:lang w:eastAsia="ru-RU"/>
        </w:rPr>
        <w:t xml:space="preserve"> системы в вопросах морали, честности и неподкупности судей имеет первостепенную роль. </w:t>
      </w:r>
    </w:p>
    <w:p w14:paraId="4B5C16D9" w14:textId="3D77B9E1" w:rsidR="00E463B9" w:rsidRPr="003512A8" w:rsidRDefault="00816283" w:rsidP="00112DDD">
      <w:pPr>
        <w:pStyle w:val="SingleTxtG"/>
      </w:pPr>
      <w:r w:rsidRPr="003512A8">
        <w:t>20.</w:t>
      </w:r>
      <w:r w:rsidRPr="003512A8">
        <w:tab/>
      </w:r>
      <w:r w:rsidR="00E463B9" w:rsidRPr="003512A8">
        <w:t>В целях обеспечения честности и неподкупности судей, недопущения среди них коррупционных проявлений, в Туркменистане утвержд</w:t>
      </w:r>
      <w:r w:rsidRPr="003512A8">
        <w:t>е</w:t>
      </w:r>
      <w:r w:rsidR="00E463B9" w:rsidRPr="003512A8">
        <w:t>н кодекс Судейской этики в 2019 году.</w:t>
      </w:r>
    </w:p>
    <w:p w14:paraId="24202DD7" w14:textId="5A0C764F" w:rsidR="00E463B9" w:rsidRPr="003512A8" w:rsidRDefault="00816283" w:rsidP="00112DDD">
      <w:pPr>
        <w:pStyle w:val="SingleTxtG"/>
        <w:rPr>
          <w:b/>
        </w:rPr>
      </w:pPr>
      <w:r w:rsidRPr="003512A8">
        <w:t>21.</w:t>
      </w:r>
      <w:r w:rsidRPr="003512A8">
        <w:tab/>
      </w:r>
      <w:r w:rsidR="00E463B9" w:rsidRPr="003512A8">
        <w:t>А также</w:t>
      </w:r>
      <w:r w:rsidR="0080047E" w:rsidRPr="003512A8">
        <w:t xml:space="preserve"> </w:t>
      </w:r>
      <w:r w:rsidR="00E463B9" w:rsidRPr="003512A8">
        <w:t>в соответствии со ст</w:t>
      </w:r>
      <w:r w:rsidRPr="003512A8">
        <w:t>атьей</w:t>
      </w:r>
      <w:r w:rsidR="00E463B9" w:rsidRPr="003512A8">
        <w:t xml:space="preserve"> 78 Закона Туркменистана «О суде» судьи не могут заниматься какой-либо другой оплачиваемой деятельностью, кроме преподавательской и научно-исследовательской. </w:t>
      </w:r>
    </w:p>
    <w:p w14:paraId="5EB20739" w14:textId="6D63897D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Чрезвычайное положение (статья 4)</w:t>
      </w:r>
    </w:p>
    <w:p w14:paraId="54F7C164" w14:textId="3AC14ADD" w:rsidR="00E463B9" w:rsidRPr="003512A8" w:rsidRDefault="00816283" w:rsidP="00112DDD">
      <w:pPr>
        <w:pStyle w:val="SingleTxtG"/>
      </w:pPr>
      <w:r w:rsidRPr="003512A8">
        <w:t>22.</w:t>
      </w:r>
      <w:r w:rsidRPr="003512A8">
        <w:tab/>
      </w:r>
      <w:r w:rsidR="00E463B9" w:rsidRPr="003512A8">
        <w:t xml:space="preserve">С самого начала распространения пандемии в мире Туркменистан деятельно приступил к принятию необходимых мер по противодействию этой угрозе. </w:t>
      </w:r>
      <w:r w:rsidRPr="003512A8">
        <w:br/>
      </w:r>
      <w:r w:rsidR="00E463B9" w:rsidRPr="003512A8">
        <w:t xml:space="preserve">На национальном уровне проводились комплексные меры в противодействии пандемии. Так, были своевременно проведены эффективные защитные мероприятия, сформирована единая национальная стратегия по борьбе с </w:t>
      </w:r>
      <w:r w:rsidR="00AA51C1" w:rsidRPr="003512A8">
        <w:t>коронавирусной</w:t>
      </w:r>
      <w:r w:rsidR="00E463B9" w:rsidRPr="003512A8">
        <w:t xml:space="preserve"> инфекцией, содержанием которой стал комплекс мер организационного, правового, финансового, экономического, медицинского и санитарно-карантинного характера.</w:t>
      </w:r>
    </w:p>
    <w:p w14:paraId="3FC2EF32" w14:textId="19B8C9AD" w:rsidR="00E463B9" w:rsidRPr="003512A8" w:rsidRDefault="00816283" w:rsidP="00112DDD">
      <w:pPr>
        <w:pStyle w:val="SingleTxtG"/>
      </w:pPr>
      <w:r w:rsidRPr="003512A8">
        <w:t>23.</w:t>
      </w:r>
      <w:r w:rsidRPr="003512A8">
        <w:tab/>
      </w:r>
      <w:r w:rsidR="00E463B9" w:rsidRPr="003512A8">
        <w:t>Одновременно налажено тесное международное сотрудничество как в двустороннем формате, так и по линии международных организаций. Прежде всего, следует отметить тесное взаимодействие Туркменистана с ВОЗ ООН.</w:t>
      </w:r>
    </w:p>
    <w:p w14:paraId="345F3126" w14:textId="4F47A839" w:rsidR="00E463B9" w:rsidRPr="003512A8" w:rsidRDefault="00816283" w:rsidP="00112DDD">
      <w:pPr>
        <w:pStyle w:val="SingleTxtG"/>
      </w:pPr>
      <w:r w:rsidRPr="003512A8">
        <w:t>24.</w:t>
      </w:r>
      <w:r w:rsidRPr="003512A8">
        <w:tab/>
      </w:r>
      <w:r w:rsidR="00E463B9" w:rsidRPr="003512A8">
        <w:t>22 мая 2020 года Постановлением Президента Туркменистана был утвержд</w:t>
      </w:r>
      <w:r w:rsidRPr="003512A8">
        <w:t>е</w:t>
      </w:r>
      <w:r w:rsidR="00E463B9" w:rsidRPr="003512A8">
        <w:t xml:space="preserve">н Национальный план обеспечения готовности к противодействию и реагированию страны на острые инфекционные заболевания, нацеленный на обеспечение оперативного реагирования страны на вызовы времени. </w:t>
      </w:r>
      <w:r w:rsidR="00E463B9" w:rsidRPr="003512A8">
        <w:rPr>
          <w:color w:val="000000"/>
          <w:lang w:eastAsia="ru-RU"/>
        </w:rPr>
        <w:t>Д</w:t>
      </w:r>
      <w:r w:rsidR="00E463B9" w:rsidRPr="003512A8">
        <w:t xml:space="preserve">окумент разработан совместно с ВОЗ и другими структурными подразделениями ООН. </w:t>
      </w:r>
      <w:r w:rsidR="00E463B9" w:rsidRPr="003512A8">
        <w:rPr>
          <w:color w:val="000000"/>
          <w:lang w:eastAsia="ru-RU"/>
        </w:rPr>
        <w:t xml:space="preserve">План охватил </w:t>
      </w:r>
      <w:r w:rsidR="00E463B9" w:rsidRPr="003512A8">
        <w:rPr>
          <w:color w:val="000000"/>
          <w:lang w:eastAsia="ru-RU"/>
        </w:rPr>
        <w:lastRenderedPageBreak/>
        <w:t>области лидерства, координации, планирования, а также информирования о рисках и участия сообщества, и другие аспекты эффективного реагирования на инфекционные заболевания.</w:t>
      </w:r>
    </w:p>
    <w:p w14:paraId="42ED4C6E" w14:textId="7CCABDC4" w:rsidR="00E463B9" w:rsidRPr="003512A8" w:rsidRDefault="00816283" w:rsidP="00112DDD">
      <w:pPr>
        <w:pStyle w:val="SingleTxtG"/>
        <w:rPr>
          <w:iCs/>
          <w:lang w:eastAsia="ru-RU" w:bidi="ru-RU"/>
        </w:rPr>
      </w:pPr>
      <w:r w:rsidRPr="003512A8">
        <w:t>25.</w:t>
      </w:r>
      <w:r w:rsidRPr="003512A8">
        <w:tab/>
      </w:r>
      <w:r w:rsidR="00E463B9" w:rsidRPr="003512A8">
        <w:t xml:space="preserve">3 июля 2020 года Постановлением Президента Туркменистана утвержден План оперативных социально-экономических мероприятий в Туркменистане по противодействию пандемии коронавируса, подготовленный Правительством в сотрудничестве со Страновой группой ООН. Основная цель этого документа </w:t>
      </w:r>
      <w:r w:rsidRPr="003512A8">
        <w:t>⸺</w:t>
      </w:r>
      <w:r w:rsidR="00E463B9" w:rsidRPr="003512A8">
        <w:t xml:space="preserve"> поддержание высоких темпов социально-экономического развития страны, реализация необходимых мер по снижению влияния сложных обстоятельств, возникших в мире, а также претворение в жизнь на национально</w:t>
      </w:r>
      <w:r w:rsidR="00AA51C1" w:rsidRPr="003512A8">
        <w:t>м</w:t>
      </w:r>
      <w:r w:rsidR="00E463B9" w:rsidRPr="003512A8">
        <w:t xml:space="preserve"> уровне соответствующих международных инициатив, выдвинутых в рамках ООН. В нем обозначены </w:t>
      </w:r>
      <w:r w:rsidR="00584163" w:rsidRPr="003512A8">
        <w:t>пять</w:t>
      </w:r>
      <w:r w:rsidR="00E463B9" w:rsidRPr="003512A8">
        <w:t xml:space="preserve"> направлений, связанных с улучшением качества и доступности услуг здравоохранения, обеспечением социальной защиты и базовых социальных услуг, сохранением рабочих мест, оказанием поддержки малого и среднего предпринимательства, макроэкономическим стимулированием и многосторонним сотрудничеством, содействием социальной солидарности и продвижением стабильности на уровне объединений. </w:t>
      </w:r>
      <w:r w:rsidR="00E463B9" w:rsidRPr="003512A8">
        <w:rPr>
          <w:iCs/>
          <w:lang w:eastAsia="ru-RU" w:bidi="ru-RU"/>
        </w:rPr>
        <w:t>В октябре 2021 года Правительство Туркменистана и ООН подписали Совместную программу «Повышение осведомленности и вовлечение молодежи для смягчения многомерных рисков и угроз, связанных с глобальной пандемией». Программа направлена на смягчения негативного воздействия глобальной пандемии на социально-экономическую ситуацию в Туркменистане.</w:t>
      </w:r>
    </w:p>
    <w:p w14:paraId="266B2DB7" w14:textId="215C524B" w:rsidR="00E463B9" w:rsidRPr="003512A8" w:rsidRDefault="00816283" w:rsidP="00112DDD">
      <w:pPr>
        <w:pStyle w:val="SingleTxtG"/>
        <w:rPr>
          <w:rFonts w:eastAsia="Arial"/>
        </w:rPr>
      </w:pPr>
      <w:r w:rsidRPr="003512A8">
        <w:rPr>
          <w:iCs/>
          <w:color w:val="000000"/>
          <w:lang w:eastAsia="ru-RU" w:bidi="ru-RU"/>
        </w:rPr>
        <w:t>26.</w:t>
      </w:r>
      <w:r w:rsidRPr="003512A8">
        <w:rPr>
          <w:iCs/>
          <w:color w:val="000000"/>
          <w:lang w:eastAsia="ru-RU" w:bidi="ru-RU"/>
        </w:rPr>
        <w:tab/>
      </w:r>
      <w:r w:rsidR="00E463B9" w:rsidRPr="003512A8">
        <w:rPr>
          <w:iCs/>
          <w:color w:val="000000"/>
          <w:lang w:eastAsia="ru-RU" w:bidi="ru-RU"/>
        </w:rPr>
        <w:t>Также Министерство здравоохранения и медицинской промышленности Туркменистана совместно с ПРООН и Всемирным банком реализуется проект по реагированию на COVID-19 в Туркменистане «Реагирование на COVID-19», финансируемый Всемирным банком. Проект предусматривает укрепление национального потенциала в области тестирования и лечения, повышения квалификации медицинских работников, закупку реагентов, лекарств и медицинского оборудования, а также устранение связанных с пандемией социальных рисков и рисков для здоровья. Проект поддерживает внедрение цифровых решений для осуществления контроля за инфекционными заболеваниями.</w:t>
      </w:r>
      <w:r w:rsidRPr="003512A8">
        <w:t xml:space="preserve"> </w:t>
      </w:r>
      <w:r w:rsidR="00E463B9" w:rsidRPr="003512A8">
        <w:t>В 2021 году проведена вакцинация против COVID-19, охват населения целевой группы вакцинацией двумя дозами составил более 90</w:t>
      </w:r>
      <w:r w:rsidRPr="003512A8">
        <w:t> </w:t>
      </w:r>
      <w:r w:rsidR="00E463B9" w:rsidRPr="003512A8">
        <w:t xml:space="preserve">%. С 2022 года проводится вакцинация третьей дозой против COVID-19, в том числе и иммунизация против COVID-19 беременных женщин. </w:t>
      </w:r>
    </w:p>
    <w:p w14:paraId="697AEF42" w14:textId="7FF78947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Недискриминация (статьи 2, 20 и 26)</w:t>
      </w:r>
    </w:p>
    <w:p w14:paraId="1E90EC68" w14:textId="2C48AAD0" w:rsidR="00E463B9" w:rsidRPr="003512A8" w:rsidRDefault="00816283" w:rsidP="00112DDD">
      <w:pPr>
        <w:pStyle w:val="SingleTxtG"/>
        <w:rPr>
          <w:b/>
        </w:rPr>
      </w:pPr>
      <w:r w:rsidRPr="003512A8">
        <w:t>27.</w:t>
      </w:r>
      <w:r w:rsidRPr="003512A8">
        <w:tab/>
      </w:r>
      <w:r w:rsidR="00E463B9" w:rsidRPr="003512A8">
        <w:t xml:space="preserve">Конституция Туркменистана гарантирует </w:t>
      </w:r>
      <w:r w:rsidR="00E463B9" w:rsidRPr="003512A8">
        <w:rPr>
          <w:shd w:val="clear" w:color="auto" w:fill="FFFFFF"/>
        </w:rPr>
        <w:t xml:space="preserve">равенство прав и свобод человека и гражданина, а также равенство человека и гражданина перед законом и судом независимо от национальности, цвета кожи, пола, происхождения, имущественного и должностного положения, места жительства, языка, отношения к религии, политических убеждений или иных обстоятельств. </w:t>
      </w:r>
    </w:p>
    <w:p w14:paraId="4920362A" w14:textId="1BB25848" w:rsidR="00E463B9" w:rsidRPr="003512A8" w:rsidRDefault="00816283" w:rsidP="00112DDD">
      <w:pPr>
        <w:pStyle w:val="SingleTxtG"/>
        <w:rPr>
          <w:lang w:eastAsia="ru-RU"/>
        </w:rPr>
      </w:pPr>
      <w:r w:rsidRPr="003512A8">
        <w:rPr>
          <w:lang w:eastAsia="ru-RU"/>
        </w:rPr>
        <w:t>28.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Туркменистана не располагает информацией относительно гражданина Касымберды Гараева. </w:t>
      </w:r>
    </w:p>
    <w:p w14:paraId="777B303C" w14:textId="11411AE8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Гендерное равенство (статьи 3 и 25–26)</w:t>
      </w:r>
    </w:p>
    <w:p w14:paraId="6BB438D3" w14:textId="06941F3D" w:rsidR="00E463B9" w:rsidRPr="003512A8" w:rsidRDefault="00816283" w:rsidP="00112DDD">
      <w:pPr>
        <w:pStyle w:val="SingleTxtG"/>
        <w:rPr>
          <w:w w:val="103"/>
        </w:rPr>
      </w:pPr>
      <w:r w:rsidRPr="003512A8">
        <w:rPr>
          <w:w w:val="103"/>
        </w:rPr>
        <w:t>29.</w:t>
      </w:r>
      <w:r w:rsidRPr="003512A8">
        <w:rPr>
          <w:w w:val="103"/>
        </w:rPr>
        <w:tab/>
      </w:r>
      <w:r w:rsidR="00E463B9" w:rsidRPr="003512A8">
        <w:rPr>
          <w:w w:val="103"/>
        </w:rPr>
        <w:t xml:space="preserve">Закон Туркменистана </w:t>
      </w:r>
      <w:r w:rsidR="00E463B9" w:rsidRPr="003512A8">
        <w:rPr>
          <w:bCs/>
          <w:w w:val="103"/>
        </w:rPr>
        <w:t>«</w:t>
      </w:r>
      <w:r w:rsidR="00E463B9" w:rsidRPr="003512A8">
        <w:rPr>
          <w:w w:val="103"/>
        </w:rPr>
        <w:t>О государственных гарантиях обеспечения равных прав и равных возможностей женщин и мужчин</w:t>
      </w:r>
      <w:r w:rsidR="00E463B9" w:rsidRPr="003512A8">
        <w:rPr>
          <w:bCs/>
          <w:w w:val="103"/>
        </w:rPr>
        <w:t>» (август 2015 г</w:t>
      </w:r>
      <w:r w:rsidRPr="003512A8">
        <w:rPr>
          <w:bCs/>
          <w:w w:val="103"/>
        </w:rPr>
        <w:t>ода</w:t>
      </w:r>
      <w:r w:rsidR="00E463B9" w:rsidRPr="003512A8">
        <w:rPr>
          <w:bCs/>
          <w:w w:val="103"/>
        </w:rPr>
        <w:t xml:space="preserve">) </w:t>
      </w:r>
      <w:r w:rsidR="00E463B9" w:rsidRPr="003512A8">
        <w:rPr>
          <w:w w:val="103"/>
        </w:rPr>
        <w:t>устанавливает государственные гарантии обеспечения равных прав и равных возможностей женщин и мужчин во всех сферах государственной и общественной жизни.</w:t>
      </w:r>
    </w:p>
    <w:p w14:paraId="7BF4F919" w14:textId="569FE394" w:rsidR="00E463B9" w:rsidRPr="003512A8" w:rsidRDefault="00816283" w:rsidP="00112DDD">
      <w:pPr>
        <w:pStyle w:val="SingleTxtG"/>
      </w:pPr>
      <w:r w:rsidRPr="003512A8">
        <w:t>30.</w:t>
      </w:r>
      <w:r w:rsidRPr="003512A8">
        <w:tab/>
      </w:r>
      <w:r w:rsidR="00E463B9" w:rsidRPr="003512A8">
        <w:t xml:space="preserve">Государство гарантирует женщинам и мужчинам равные возможности </w:t>
      </w:r>
      <w:r w:rsidRPr="003512A8">
        <w:br/>
      </w:r>
      <w:r w:rsidR="00E463B9" w:rsidRPr="003512A8">
        <w:t xml:space="preserve">найма на работу, свободного выбора профессии, рода занятий и места работы, осуществления предпринимательской деятельности, профессиональной подготовки и переподготовки, совмещения трудовой деятельности с обязанностями родителей, </w:t>
      </w:r>
      <w:r w:rsidRPr="003512A8">
        <w:br/>
      </w:r>
      <w:r w:rsidR="00E463B9" w:rsidRPr="003512A8">
        <w:t xml:space="preserve">а также гарантирует равные права на безопасные условия труда, защиту от безработицы. Государство гарантирует женщинам и мужчинам равное право на доступ </w:t>
      </w:r>
      <w:r w:rsidR="00E463B9" w:rsidRPr="003512A8">
        <w:lastRenderedPageBreak/>
        <w:t>к государственной службе посредством их назначения либо избрания на государственные должности, продвижение по государственной службе.</w:t>
      </w:r>
    </w:p>
    <w:p w14:paraId="00053D6E" w14:textId="5129953C" w:rsidR="00E463B9" w:rsidRPr="003512A8" w:rsidRDefault="00816283" w:rsidP="00112DDD">
      <w:pPr>
        <w:pStyle w:val="SingleTxtG"/>
      </w:pPr>
      <w:r w:rsidRPr="003512A8">
        <w:t>31.</w:t>
      </w:r>
      <w:r w:rsidRPr="003512A8">
        <w:tab/>
      </w:r>
      <w:r w:rsidR="00E463B9" w:rsidRPr="003512A8">
        <w:t xml:space="preserve">Постановлением Президента Туркменистана от 4 декабря 2020 года утвержден Национальный план действий по гендерному равенству в Туркменистане </w:t>
      </w:r>
      <w:r w:rsidRPr="003512A8">
        <w:br/>
      </w:r>
      <w:r w:rsidR="00E463B9" w:rsidRPr="003512A8">
        <w:t>на 2021</w:t>
      </w:r>
      <w:r w:rsidRPr="003512A8">
        <w:t>–</w:t>
      </w:r>
      <w:r w:rsidR="00E463B9" w:rsidRPr="003512A8">
        <w:t>2025 годы (НПДГР 2021</w:t>
      </w:r>
      <w:r w:rsidRPr="003512A8">
        <w:t>–</w:t>
      </w:r>
      <w:r w:rsidR="00E463B9" w:rsidRPr="003512A8">
        <w:t>2025), разработанный в сотрудничестве с ЮНФПА в Туркменистане.</w:t>
      </w:r>
    </w:p>
    <w:p w14:paraId="6412567D" w14:textId="725E0E6E" w:rsidR="00E463B9" w:rsidRPr="003512A8" w:rsidRDefault="00816283" w:rsidP="00112DDD">
      <w:pPr>
        <w:pStyle w:val="SingleTxtG"/>
      </w:pPr>
      <w:r w:rsidRPr="003512A8">
        <w:t>32.</w:t>
      </w:r>
      <w:r w:rsidRPr="003512A8">
        <w:tab/>
      </w:r>
      <w:r w:rsidR="00E463B9" w:rsidRPr="003512A8">
        <w:t>План действий содержит семь стратегических направлений: укрепление и совершенствование законодательной базы в целях достижения гендерного равенства; обеспечение гендерно-ориентированной охраны здоровья; содействие равному доступу к образованию; противодействие гендерному насилию в отношении женщин и девочек; расширение экономических прав и возможностей женщин и девочек; повышение участия женщин на всех уровнях, в том числе в политической и общественной сферах; укрепление институциональных механизмов по поддержке гендерного равенства.</w:t>
      </w:r>
    </w:p>
    <w:p w14:paraId="2E8CD5BA" w14:textId="6E95707C" w:rsidR="00E463B9" w:rsidRPr="003512A8" w:rsidRDefault="00816283" w:rsidP="00112DDD">
      <w:pPr>
        <w:pStyle w:val="SingleTxtG"/>
      </w:pPr>
      <w:r w:rsidRPr="003512A8">
        <w:t>33.</w:t>
      </w:r>
      <w:r w:rsidRPr="003512A8">
        <w:tab/>
      </w:r>
      <w:r w:rsidR="00E463B9" w:rsidRPr="003512A8">
        <w:t>Мероприятия плана осуществляются органами государственной и местной власти с участием научно-исследовательских организаций, организаций гражданского общества, агентств ООН и других международных организаций.</w:t>
      </w:r>
    </w:p>
    <w:p w14:paraId="6BEFF983" w14:textId="7618F37C" w:rsidR="00E463B9" w:rsidRPr="003512A8" w:rsidRDefault="00816283" w:rsidP="00112DDD">
      <w:pPr>
        <w:pStyle w:val="SingleTxtG"/>
        <w:rPr>
          <w:b/>
          <w:bCs/>
        </w:rPr>
      </w:pPr>
      <w:r w:rsidRPr="003512A8">
        <w:t>34.</w:t>
      </w:r>
      <w:r w:rsidRPr="003512A8">
        <w:tab/>
      </w:r>
      <w:r w:rsidR="00E463B9" w:rsidRPr="003512A8">
        <w:t>Осуществление плана способствует выполнению международных обязательств Туркменистана в сфере обеспечения гендерного равенства, Рамочной программы сотрудничества в области устойчивого развития между Туркменистаном и ООН на 2021</w:t>
      </w:r>
      <w:r w:rsidRPr="003512A8">
        <w:t>–</w:t>
      </w:r>
      <w:r w:rsidR="00E463B9" w:rsidRPr="003512A8">
        <w:t>2025 годы, Страновых программ агентств ООН на 2021</w:t>
      </w:r>
      <w:r w:rsidRPr="003512A8">
        <w:t>–</w:t>
      </w:r>
      <w:r w:rsidR="00E463B9" w:rsidRPr="003512A8">
        <w:t xml:space="preserve">2025 годы. План также содействует достижению Туркменистаном целей и задач международной Повестки дня в области устойчивого развития на период до 2030 года. </w:t>
      </w:r>
    </w:p>
    <w:p w14:paraId="70441896" w14:textId="5443F3EA" w:rsidR="00E463B9" w:rsidRPr="003512A8" w:rsidRDefault="00816283" w:rsidP="00112DDD">
      <w:pPr>
        <w:pStyle w:val="SingleTxtG"/>
      </w:pPr>
      <w:r w:rsidRPr="003512A8">
        <w:t>35.</w:t>
      </w:r>
      <w:r w:rsidRPr="003512A8">
        <w:tab/>
      </w:r>
      <w:r w:rsidR="00E463B9" w:rsidRPr="003512A8">
        <w:t>НПДГР 2021</w:t>
      </w:r>
      <w:r w:rsidRPr="003512A8">
        <w:t>–</w:t>
      </w:r>
      <w:r w:rsidR="00E463B9" w:rsidRPr="003512A8">
        <w:t>2025 включает в себя мероприятия по обучению женщин по участию в избирательных кампаниях, лидерстве и навыкам ведения переговоров, проведению информационных кампаний для поощрения лидерства женщин.</w:t>
      </w:r>
    </w:p>
    <w:p w14:paraId="7F703863" w14:textId="7382EEE2" w:rsidR="00E463B9" w:rsidRPr="003512A8" w:rsidRDefault="00816283" w:rsidP="00112DDD">
      <w:pPr>
        <w:pStyle w:val="SingleTxtG"/>
        <w:rPr>
          <w:rFonts w:eastAsia="Arial"/>
        </w:rPr>
      </w:pPr>
      <w:r w:rsidRPr="003512A8">
        <w:rPr>
          <w:rFonts w:eastAsia="Arial"/>
        </w:rPr>
        <w:t>36.</w:t>
      </w:r>
      <w:r w:rsidRPr="003512A8">
        <w:rPr>
          <w:rFonts w:eastAsia="Arial"/>
        </w:rPr>
        <w:tab/>
      </w:r>
      <w:r w:rsidR="00E463B9" w:rsidRPr="003512A8">
        <w:rPr>
          <w:rFonts w:eastAsia="Arial"/>
        </w:rPr>
        <w:t xml:space="preserve">25 сентября 2020 года принят Конституционный закон, согласно которому внесены изменения и дополнения в Конституцию Туркменистана по созданию двухпалатной системы Милли Генгеша-Парламента, который состоит из Халк Маслахаты и Меджлиса. В рамках двухпалатной системы предусматривается более широкое вовлечение женщин в качестве депутатов в законодательную деятельность. </w:t>
      </w:r>
    </w:p>
    <w:p w14:paraId="0F301E96" w14:textId="566BCB1C" w:rsidR="00E463B9" w:rsidRPr="003512A8" w:rsidRDefault="00816283" w:rsidP="00112DDD">
      <w:pPr>
        <w:pStyle w:val="SingleTxtG"/>
        <w:rPr>
          <w:rFonts w:eastAsia="Arial"/>
        </w:rPr>
      </w:pPr>
      <w:r w:rsidRPr="003512A8">
        <w:rPr>
          <w:rFonts w:eastAsia="Arial"/>
          <w:highlight w:val="white"/>
        </w:rPr>
        <w:t>37.</w:t>
      </w:r>
      <w:r w:rsidRPr="003512A8">
        <w:rPr>
          <w:rFonts w:eastAsia="Arial"/>
          <w:highlight w:val="white"/>
        </w:rPr>
        <w:tab/>
      </w:r>
      <w:r w:rsidR="00E463B9" w:rsidRPr="003512A8">
        <w:rPr>
          <w:rFonts w:eastAsia="Arial"/>
          <w:highlight w:val="white"/>
        </w:rPr>
        <w:t xml:space="preserve">Из 56 членов Халк Маслахаты Милли Генгеша Туркменистана, </w:t>
      </w:r>
      <w:r w:rsidR="00523D9D" w:rsidRPr="003512A8">
        <w:rPr>
          <w:rFonts w:eastAsia="Arial"/>
          <w:highlight w:val="white"/>
        </w:rPr>
        <w:t>8</w:t>
      </w:r>
      <w:r w:rsidR="00E463B9" w:rsidRPr="003512A8">
        <w:rPr>
          <w:rFonts w:eastAsia="Arial"/>
          <w:highlight w:val="white"/>
        </w:rPr>
        <w:t xml:space="preserve"> назначаются Президентом Туркменистана, остальные 48 избираются тайным голосованием на основе косвенного избирательного права. В результате выборов членов Халк Маслахаты 25</w:t>
      </w:r>
      <w:r w:rsidRPr="003512A8">
        <w:rPr>
          <w:rFonts w:eastAsia="Arial"/>
          <w:highlight w:val="white"/>
        </w:rPr>
        <w:t xml:space="preserve"> марта </w:t>
      </w:r>
      <w:r w:rsidR="00E463B9" w:rsidRPr="003512A8">
        <w:rPr>
          <w:rFonts w:eastAsia="Arial"/>
          <w:highlight w:val="white"/>
        </w:rPr>
        <w:t>2021 года из 48 избранных членов 13 (27</w:t>
      </w:r>
      <w:r w:rsidRPr="003512A8">
        <w:rPr>
          <w:rFonts w:eastAsia="Arial"/>
          <w:highlight w:val="white"/>
        </w:rPr>
        <w:t> </w:t>
      </w:r>
      <w:r w:rsidR="00E463B9" w:rsidRPr="003512A8">
        <w:rPr>
          <w:rFonts w:eastAsia="Arial"/>
          <w:highlight w:val="white"/>
        </w:rPr>
        <w:t xml:space="preserve">%) </w:t>
      </w:r>
      <w:r w:rsidR="00A90646" w:rsidRPr="003512A8">
        <w:rPr>
          <w:rFonts w:eastAsia="Arial"/>
          <w:highlight w:val="white"/>
        </w:rPr>
        <w:t>⸺</w:t>
      </w:r>
      <w:r w:rsidR="00E463B9" w:rsidRPr="003512A8">
        <w:rPr>
          <w:rFonts w:eastAsia="Arial"/>
          <w:highlight w:val="white"/>
        </w:rPr>
        <w:t xml:space="preserve"> женщины.</w:t>
      </w:r>
    </w:p>
    <w:p w14:paraId="7F8DFA50" w14:textId="33B978EA" w:rsidR="00E463B9" w:rsidRPr="003512A8" w:rsidRDefault="00816283" w:rsidP="00112DDD">
      <w:pPr>
        <w:pStyle w:val="SingleTxtG"/>
        <w:rPr>
          <w:rFonts w:eastAsia="Arial"/>
        </w:rPr>
      </w:pPr>
      <w:r w:rsidRPr="003512A8">
        <w:rPr>
          <w:rFonts w:eastAsia="Arial"/>
          <w:highlight w:val="white"/>
        </w:rPr>
        <w:t>38.</w:t>
      </w:r>
      <w:r w:rsidRPr="003512A8">
        <w:rPr>
          <w:rFonts w:eastAsia="Arial"/>
          <w:highlight w:val="white"/>
        </w:rPr>
        <w:tab/>
      </w:r>
      <w:r w:rsidR="00E463B9" w:rsidRPr="003512A8">
        <w:rPr>
          <w:rFonts w:eastAsia="Arial"/>
          <w:highlight w:val="white"/>
        </w:rPr>
        <w:t>Из 125 избранных депутатов Меджлиса Милли Генгеша (Парламента) Туркменистана 24,80</w:t>
      </w:r>
      <w:r w:rsidRPr="003512A8">
        <w:rPr>
          <w:rFonts w:eastAsia="Arial"/>
          <w:highlight w:val="white"/>
        </w:rPr>
        <w:t> </w:t>
      </w:r>
      <w:r w:rsidR="00E463B9" w:rsidRPr="003512A8">
        <w:rPr>
          <w:rFonts w:eastAsia="Arial"/>
          <w:highlight w:val="white"/>
        </w:rPr>
        <w:t>% женщины;</w:t>
      </w:r>
      <w:r w:rsidR="00E463B9" w:rsidRPr="003512A8">
        <w:rPr>
          <w:rFonts w:eastAsia="Arial"/>
        </w:rPr>
        <w:t xml:space="preserve"> Председатель Меджлиса Милли Генгеша Туркменистана </w:t>
      </w:r>
      <w:r w:rsidRPr="003512A8">
        <w:rPr>
          <w:rFonts w:eastAsia="Arial"/>
        </w:rPr>
        <w:t>⸺</w:t>
      </w:r>
      <w:r w:rsidR="00E463B9" w:rsidRPr="003512A8">
        <w:rPr>
          <w:rFonts w:eastAsia="Arial"/>
        </w:rPr>
        <w:t xml:space="preserve"> женщина; один из заместителей Председателя Кабинета </w:t>
      </w:r>
      <w:r w:rsidRPr="003512A8">
        <w:rPr>
          <w:rFonts w:eastAsia="Arial"/>
        </w:rPr>
        <w:br/>
      </w:r>
      <w:r w:rsidR="00E463B9" w:rsidRPr="003512A8">
        <w:rPr>
          <w:rFonts w:eastAsia="Arial"/>
        </w:rPr>
        <w:t>Министров</w:t>
      </w:r>
      <w:r w:rsidRPr="003512A8">
        <w:rPr>
          <w:rFonts w:eastAsia="Arial"/>
        </w:rPr>
        <w:t xml:space="preserve"> ⸺ </w:t>
      </w:r>
      <w:r w:rsidR="00E463B9" w:rsidRPr="003512A8">
        <w:rPr>
          <w:rFonts w:eastAsia="Arial"/>
        </w:rPr>
        <w:t xml:space="preserve">женщина; Омбудсмен Туркменистана </w:t>
      </w:r>
      <w:r w:rsidRPr="003512A8">
        <w:rPr>
          <w:rFonts w:eastAsia="Arial"/>
        </w:rPr>
        <w:t>⸺</w:t>
      </w:r>
      <w:r w:rsidR="00E463B9" w:rsidRPr="003512A8">
        <w:rPr>
          <w:rFonts w:eastAsia="Arial"/>
        </w:rPr>
        <w:t xml:space="preserve"> женщина; все заместители хякимов по социальным вопросам велаятов, этрапов, городов</w:t>
      </w:r>
      <w:r w:rsidRPr="003512A8">
        <w:rPr>
          <w:rFonts w:eastAsia="Arial"/>
        </w:rPr>
        <w:t xml:space="preserve"> ⸺</w:t>
      </w:r>
      <w:r w:rsidR="00E463B9" w:rsidRPr="003512A8">
        <w:rPr>
          <w:rFonts w:eastAsia="Arial"/>
        </w:rPr>
        <w:t xml:space="preserve"> женщины. Доля женщин на руководящих постах в Туркменистане в 2020 году составила 23</w:t>
      </w:r>
      <w:r w:rsidRPr="003512A8">
        <w:rPr>
          <w:rFonts w:eastAsia="Arial"/>
        </w:rPr>
        <w:t>,</w:t>
      </w:r>
      <w:r w:rsidR="00E463B9" w:rsidRPr="003512A8">
        <w:rPr>
          <w:rFonts w:eastAsia="Arial"/>
        </w:rPr>
        <w:t>8</w:t>
      </w:r>
      <w:r w:rsidRPr="003512A8">
        <w:rPr>
          <w:rFonts w:eastAsia="Arial"/>
        </w:rPr>
        <w:t> </w:t>
      </w:r>
      <w:r w:rsidR="00E463B9" w:rsidRPr="003512A8">
        <w:rPr>
          <w:rFonts w:eastAsia="Arial"/>
        </w:rPr>
        <w:t>%.</w:t>
      </w:r>
    </w:p>
    <w:p w14:paraId="17E5FA28" w14:textId="14EED1B6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Насилие в отношении женщин, в том числе бытовое насилие (статьи 2-J-3, 6</w:t>
      </w:r>
      <w:r w:rsidR="00DC2872" w:rsidRPr="003512A8">
        <w:rPr>
          <w:rFonts w:eastAsiaTheme="minorEastAsia"/>
        </w:rPr>
        <w:t>–</w:t>
      </w:r>
      <w:r w:rsidR="00E463B9" w:rsidRPr="003512A8">
        <w:rPr>
          <w:rFonts w:eastAsiaTheme="minorEastAsia"/>
        </w:rPr>
        <w:t xml:space="preserve">7 </w:t>
      </w:r>
      <w:r w:rsidR="00816283" w:rsidRPr="003512A8">
        <w:rPr>
          <w:rFonts w:eastAsiaTheme="minorEastAsia"/>
        </w:rPr>
        <w:br/>
      </w:r>
      <w:r w:rsidR="00E463B9" w:rsidRPr="003512A8">
        <w:rPr>
          <w:rFonts w:eastAsiaTheme="minorEastAsia"/>
        </w:rPr>
        <w:t>и 26)</w:t>
      </w:r>
    </w:p>
    <w:p w14:paraId="54EB9D4C" w14:textId="77120550" w:rsidR="00E463B9" w:rsidRPr="003512A8" w:rsidRDefault="00816283" w:rsidP="00112DDD">
      <w:pPr>
        <w:pStyle w:val="SingleTxtG"/>
        <w:rPr>
          <w:b/>
        </w:rPr>
      </w:pPr>
      <w:r w:rsidRPr="003512A8">
        <w:t>39.</w:t>
      </w:r>
      <w:r w:rsidRPr="003512A8">
        <w:tab/>
      </w:r>
      <w:r w:rsidR="00E463B9" w:rsidRPr="003512A8">
        <w:t>В Уголовном кодексе Туркменистана, утвержд</w:t>
      </w:r>
      <w:r w:rsidRPr="003512A8">
        <w:t>е</w:t>
      </w:r>
      <w:r w:rsidR="00E463B9" w:rsidRPr="003512A8">
        <w:t>нном Законом Туркменистана</w:t>
      </w:r>
      <w:r w:rsidR="00E463B9" w:rsidRPr="003512A8">
        <w:rPr>
          <w:shd w:val="clear" w:color="auto" w:fill="FFFFFF"/>
        </w:rPr>
        <w:t xml:space="preserve"> </w:t>
      </w:r>
      <w:r w:rsidR="00E463B9" w:rsidRPr="003512A8">
        <w:t>«О внесении изменений и дополнений в Уголовный кодекс Туркменистана и утверждении его в новой редакции» (вводится в действие 1 января 2023 года), установлена уголовная ответственность за принуждение к искусственному прерыванию беременности (ст</w:t>
      </w:r>
      <w:r w:rsidRPr="003512A8">
        <w:t>атья</w:t>
      </w:r>
      <w:r w:rsidR="00E463B9" w:rsidRPr="003512A8">
        <w:t xml:space="preserve"> 118), за понуждение лица к половому сношению, мужеложству или к совершению иных действий сексуального характера на месте работы или другом месте (ст</w:t>
      </w:r>
      <w:r w:rsidRPr="003512A8">
        <w:t>атья</w:t>
      </w:r>
      <w:r w:rsidR="00E463B9" w:rsidRPr="003512A8">
        <w:t xml:space="preserve"> 135)</w:t>
      </w:r>
      <w:r w:rsidR="00E463B9" w:rsidRPr="003512A8">
        <w:rPr>
          <w:color w:val="000000"/>
        </w:rPr>
        <w:t>.</w:t>
      </w:r>
      <w:r w:rsidR="00E463B9" w:rsidRPr="003512A8">
        <w:t xml:space="preserve"> </w:t>
      </w:r>
    </w:p>
    <w:p w14:paraId="6DFE5BF3" w14:textId="3825959D" w:rsidR="00E463B9" w:rsidRPr="003512A8" w:rsidRDefault="00816283" w:rsidP="00112DDD">
      <w:pPr>
        <w:pStyle w:val="SingleTxtG"/>
        <w:rPr>
          <w:lang w:eastAsia="ru-RU"/>
        </w:rPr>
      </w:pPr>
      <w:r w:rsidRPr="003512A8">
        <w:rPr>
          <w:color w:val="000000"/>
          <w:lang w:eastAsia="ru-RU"/>
        </w:rPr>
        <w:t>40.</w:t>
      </w:r>
      <w:r w:rsidRPr="003512A8">
        <w:rPr>
          <w:color w:val="000000"/>
          <w:lang w:eastAsia="ru-RU"/>
        </w:rPr>
        <w:tab/>
      </w:r>
      <w:r w:rsidR="00E463B9" w:rsidRPr="003512A8">
        <w:rPr>
          <w:color w:val="000000"/>
          <w:lang w:eastAsia="ru-RU"/>
        </w:rPr>
        <w:t xml:space="preserve">В соответствии с Планом основных мероприятий МВД Туркменистана на каждый год сотрудниками отделов местных представителей полиции два раза в год проводятся мероприятия под названием «Семья». В рамках этого мероприятия в </w:t>
      </w:r>
      <w:r w:rsidR="00E463B9" w:rsidRPr="003512A8">
        <w:rPr>
          <w:color w:val="000000"/>
          <w:lang w:eastAsia="ru-RU"/>
        </w:rPr>
        <w:lastRenderedPageBreak/>
        <w:t>течени</w:t>
      </w:r>
      <w:r w:rsidR="003512A8">
        <w:rPr>
          <w:color w:val="000000"/>
          <w:lang w:eastAsia="ru-RU"/>
        </w:rPr>
        <w:t>е</w:t>
      </w:r>
      <w:r w:rsidR="00E463B9" w:rsidRPr="003512A8">
        <w:rPr>
          <w:color w:val="000000"/>
          <w:lang w:eastAsia="ru-RU"/>
        </w:rPr>
        <w:t xml:space="preserve"> месяца осуществляются проверки по месту жительства лиц, ранее совершивших опасные и особо опасные преступления, которые состоят в семейных отношениях и с ними проводятся дополнительные профилактические работы. </w:t>
      </w:r>
      <w:r w:rsidRPr="003512A8">
        <w:rPr>
          <w:color w:val="000000"/>
          <w:lang w:eastAsia="ru-RU"/>
        </w:rPr>
        <w:br/>
      </w:r>
      <w:r w:rsidR="00E463B9" w:rsidRPr="003512A8">
        <w:rPr>
          <w:color w:val="000000"/>
          <w:lang w:eastAsia="ru-RU"/>
        </w:rPr>
        <w:t>По завершению этого месячника результаты работ обобщаются. Неуживчивые семьи берутся на специальный учет. Совершеннолетние члены этих семей официально предостерегаются о недопустимости нарушения законодательства страны с составлением соответствующего протокола и им разъясняются возможные правовые последствия, т</w:t>
      </w:r>
      <w:r w:rsidR="00434C23" w:rsidRPr="003512A8">
        <w:rPr>
          <w:color w:val="000000"/>
          <w:lang w:eastAsia="ru-RU"/>
        </w:rPr>
        <w:t>. е.</w:t>
      </w:r>
      <w:r w:rsidR="00E463B9" w:rsidRPr="003512A8">
        <w:rPr>
          <w:color w:val="000000"/>
          <w:lang w:eastAsia="ru-RU"/>
        </w:rPr>
        <w:t xml:space="preserve"> привлечение к ответственности в соответствии содеянным противоправным действием.</w:t>
      </w:r>
    </w:p>
    <w:p w14:paraId="521A7655" w14:textId="3A1E7293" w:rsidR="00E463B9" w:rsidRPr="003512A8" w:rsidRDefault="00816283" w:rsidP="00112DDD">
      <w:pPr>
        <w:pStyle w:val="SingleTxtG"/>
        <w:rPr>
          <w:lang w:eastAsia="ru-RU"/>
        </w:rPr>
      </w:pPr>
      <w:r w:rsidRPr="003512A8">
        <w:rPr>
          <w:color w:val="000000"/>
          <w:lang w:eastAsia="ru-RU"/>
        </w:rPr>
        <w:t>41.</w:t>
      </w:r>
      <w:r w:rsidRPr="003512A8">
        <w:rPr>
          <w:color w:val="000000"/>
          <w:lang w:eastAsia="ru-RU"/>
        </w:rPr>
        <w:tab/>
      </w:r>
      <w:r w:rsidR="00E463B9" w:rsidRPr="003512A8">
        <w:rPr>
          <w:color w:val="000000"/>
          <w:lang w:eastAsia="ru-RU"/>
        </w:rPr>
        <w:t>По поступившим в МВД заявлениям со стороны женщин проводится тщательная проверка</w:t>
      </w:r>
      <w:r w:rsidR="00567051" w:rsidRPr="003512A8">
        <w:rPr>
          <w:color w:val="000000"/>
          <w:lang w:eastAsia="ru-RU"/>
        </w:rPr>
        <w:t>,</w:t>
      </w:r>
      <w:r w:rsidR="00E463B9" w:rsidRPr="003512A8">
        <w:rPr>
          <w:color w:val="000000"/>
          <w:lang w:eastAsia="ru-RU"/>
        </w:rPr>
        <w:t xml:space="preserve"> по результатам которых часть материалов переда</w:t>
      </w:r>
      <w:r w:rsidR="00567051" w:rsidRPr="003512A8">
        <w:rPr>
          <w:color w:val="000000"/>
          <w:lang w:eastAsia="ru-RU"/>
        </w:rPr>
        <w:t>е</w:t>
      </w:r>
      <w:r w:rsidR="00E463B9" w:rsidRPr="003512A8">
        <w:rPr>
          <w:color w:val="000000"/>
          <w:lang w:eastAsia="ru-RU"/>
        </w:rPr>
        <w:t xml:space="preserve">тся в соответствующие следственные отделы полиции и прокуратуры для оценки содеянного в соответствии Уголовно-процессуального законодательства Туркменистана </w:t>
      </w:r>
      <w:r w:rsidR="00E463B9" w:rsidRPr="003512A8">
        <w:rPr>
          <w:i/>
          <w:iCs/>
          <w:color w:val="000000"/>
          <w:lang w:eastAsia="ru-RU"/>
        </w:rPr>
        <w:t>(мера, связанная с уголовной ответственностью)</w:t>
      </w:r>
      <w:r w:rsidR="00E463B9" w:rsidRPr="003512A8">
        <w:rPr>
          <w:color w:val="000000"/>
          <w:lang w:eastAsia="ru-RU"/>
        </w:rPr>
        <w:t xml:space="preserve">, по остальным принимаются меры административного </w:t>
      </w:r>
      <w:r w:rsidR="00E463B9" w:rsidRPr="003512A8">
        <w:rPr>
          <w:i/>
          <w:iCs/>
          <w:color w:val="000000"/>
          <w:lang w:eastAsia="ru-RU"/>
        </w:rPr>
        <w:t>(привлечение к административной ответственности)</w:t>
      </w:r>
      <w:r w:rsidR="00E463B9" w:rsidRPr="003512A8">
        <w:rPr>
          <w:color w:val="000000"/>
          <w:lang w:eastAsia="ru-RU"/>
        </w:rPr>
        <w:t xml:space="preserve"> и профилактического характера </w:t>
      </w:r>
      <w:r w:rsidR="00E463B9" w:rsidRPr="003512A8">
        <w:rPr>
          <w:i/>
          <w:iCs/>
          <w:color w:val="000000"/>
          <w:lang w:eastAsia="ru-RU"/>
        </w:rPr>
        <w:t>(профилактика)</w:t>
      </w:r>
      <w:r w:rsidR="00E463B9" w:rsidRPr="003512A8">
        <w:rPr>
          <w:color w:val="000000"/>
          <w:lang w:eastAsia="ru-RU"/>
        </w:rPr>
        <w:t>, такие как постановка на профилактический учет в Отделах полиции как дебоширов в семье</w:t>
      </w:r>
      <w:r w:rsidR="00567051" w:rsidRPr="003512A8">
        <w:rPr>
          <w:color w:val="000000"/>
          <w:lang w:eastAsia="ru-RU"/>
        </w:rPr>
        <w:t>,</w:t>
      </w:r>
      <w:r w:rsidR="00E463B9" w:rsidRPr="003512A8">
        <w:rPr>
          <w:color w:val="000000"/>
          <w:lang w:eastAsia="ru-RU"/>
        </w:rPr>
        <w:t xml:space="preserve"> и часть из них по решению Суда временно изолиру</w:t>
      </w:r>
      <w:r w:rsidR="00567051" w:rsidRPr="003512A8">
        <w:rPr>
          <w:color w:val="000000"/>
          <w:lang w:eastAsia="ru-RU"/>
        </w:rPr>
        <w:t>е</w:t>
      </w:r>
      <w:r w:rsidR="00E463B9" w:rsidRPr="003512A8">
        <w:rPr>
          <w:color w:val="000000"/>
          <w:lang w:eastAsia="ru-RU"/>
        </w:rPr>
        <w:t>тся от общества и направля</w:t>
      </w:r>
      <w:r w:rsidR="00567051" w:rsidRPr="003512A8">
        <w:rPr>
          <w:color w:val="000000"/>
          <w:lang w:eastAsia="ru-RU"/>
        </w:rPr>
        <w:t>е</w:t>
      </w:r>
      <w:r w:rsidR="00E463B9" w:rsidRPr="003512A8">
        <w:rPr>
          <w:color w:val="000000"/>
          <w:lang w:eastAsia="ru-RU"/>
        </w:rPr>
        <w:t>тся в специальные реабилитационные центры для лечения от алкоголизма и наркомании.</w:t>
      </w:r>
    </w:p>
    <w:p w14:paraId="5C3A7ADC" w14:textId="002C851A" w:rsidR="00E463B9" w:rsidRPr="003512A8" w:rsidRDefault="00816283" w:rsidP="00112DDD">
      <w:pPr>
        <w:pStyle w:val="SingleTxtG"/>
        <w:rPr>
          <w:lang w:eastAsia="ru-RU"/>
        </w:rPr>
      </w:pPr>
      <w:r w:rsidRPr="003512A8">
        <w:rPr>
          <w:color w:val="000000"/>
          <w:lang w:eastAsia="ru-RU"/>
        </w:rPr>
        <w:t>42.</w:t>
      </w:r>
      <w:r w:rsidRPr="003512A8">
        <w:rPr>
          <w:color w:val="000000"/>
          <w:lang w:eastAsia="ru-RU"/>
        </w:rPr>
        <w:tab/>
      </w:r>
      <w:r w:rsidR="00E463B9" w:rsidRPr="003512A8">
        <w:rPr>
          <w:color w:val="000000"/>
          <w:lang w:eastAsia="ru-RU"/>
        </w:rPr>
        <w:t>Также влияние на снижение противоправных деяний в отношении женщин оказывает и государственная поддержка программы по пропаганде здорового образа жизни и формированию негативного отношения населения страны к употреблению алкоголя и наркотиков, что является основной причиной распространения противоправных деяний в отношении женщин, для чего активизирована работа органов здравоохранения, образования, средств массовой информации. В состав созданных специальных групп по пропаганде, помимо представителей правоохранительных органов, органов местного самоуправления и общественных организаций, также входят особо почитаемые среди местного населения старейшины. Повсеместно на постоянной основе проводятся мероприятия по первичной профилактике алкоголизма и наркомании, собрания и встречи, в частности и с отдельными семьями и лицами, входящими в группы риска.</w:t>
      </w:r>
    </w:p>
    <w:p w14:paraId="4A883DE9" w14:textId="65DF3F1C" w:rsidR="00E463B9" w:rsidRPr="003512A8" w:rsidRDefault="00816283" w:rsidP="00112DDD">
      <w:pPr>
        <w:pStyle w:val="SingleTxtG"/>
      </w:pPr>
      <w:r w:rsidRPr="003512A8">
        <w:t>43.</w:t>
      </w:r>
      <w:r w:rsidRPr="003512A8">
        <w:tab/>
      </w:r>
      <w:r w:rsidR="00E463B9" w:rsidRPr="003512A8">
        <w:t xml:space="preserve">Достойная жизнь женщин и девушек, их свобода и неприкосновенность от жестокого обращения защищены нормативно-правовыми актами. </w:t>
      </w:r>
    </w:p>
    <w:p w14:paraId="67BBF460" w14:textId="4C5E79CF" w:rsidR="00E463B9" w:rsidRPr="003512A8" w:rsidRDefault="00816283" w:rsidP="00112DDD">
      <w:pPr>
        <w:pStyle w:val="SingleTxtG"/>
      </w:pPr>
      <w:r w:rsidRPr="003512A8">
        <w:t>44.</w:t>
      </w:r>
      <w:r w:rsidRPr="003512A8">
        <w:tab/>
      </w:r>
      <w:r w:rsidR="00E463B9" w:rsidRPr="003512A8">
        <w:t>В частности, в Уголовном кодексе Туркменистана предусматривается:</w:t>
      </w:r>
    </w:p>
    <w:p w14:paraId="06A4F748" w14:textId="4F56054A" w:rsidR="00955832" w:rsidRPr="003512A8" w:rsidRDefault="00955832" w:rsidP="00955832">
      <w:pPr>
        <w:pStyle w:val="Bullet1G"/>
        <w:numPr>
          <w:ilvl w:val="0"/>
          <w:numId w:val="14"/>
        </w:numPr>
      </w:pPr>
      <w:r w:rsidRPr="003512A8">
        <w:t xml:space="preserve">статья 113 ответственность за причинение физических или психических страданий путем систематического нанесения побоев либо иным насильственным способом женщине или девушке; статья 127 ответственность за похищение женщины вопреки ее воле для вступления с ней в фактически брачные отношения; статья 1291 ответственность за торговлю людьми; </w:t>
      </w:r>
      <w:r w:rsidR="004137DA" w:rsidRPr="003512A8">
        <w:br/>
      </w:r>
      <w:r w:rsidRPr="003512A8">
        <w:t xml:space="preserve">статья 134 ответственность за изнасилование; статья 136 ответственность за удовлетворение половой потребности в извращенных формах с применением физического насилия, угрозы его применения, а равно с использованием беспомощного состояния потерпевшей; статья 137 ответственность за понуждение лица к половому сношению или к совершению иных действий сексуального характера путем шантажа, угрозы истреблением имущества либо с использованием материальной или иной зависимости; статья 143 ответственность за половое сношение с лицом, не достигшим </w:t>
      </w:r>
      <w:r w:rsidR="00A90646" w:rsidRPr="003512A8">
        <w:t>16-</w:t>
      </w:r>
      <w:r w:rsidRPr="003512A8">
        <w:t xml:space="preserve">летнего возраста; статья 144 ответственность за развратные действия; статья 146 ответственность за незаконное собирание, хранение, либо распространение сведений о частной жизни, составляющих личную или семейную тайну другого лица, без его согласия; статья 162 ответственность за половое сношение с лицом, не достигшим </w:t>
      </w:r>
      <w:r w:rsidR="008A4F65" w:rsidRPr="003512A8">
        <w:t>16-л</w:t>
      </w:r>
      <w:r w:rsidRPr="003512A8">
        <w:t xml:space="preserve">етнего возраста. </w:t>
      </w:r>
    </w:p>
    <w:p w14:paraId="43889D2D" w14:textId="1B828196" w:rsidR="00E463B9" w:rsidRPr="003512A8" w:rsidRDefault="00955832" w:rsidP="00112DDD">
      <w:pPr>
        <w:pStyle w:val="SingleTxtG"/>
        <w:rPr>
          <w:rFonts w:eastAsia="Arial"/>
        </w:rPr>
      </w:pPr>
      <w:r w:rsidRPr="003512A8">
        <w:rPr>
          <w:rFonts w:eastAsia="Arial"/>
        </w:rPr>
        <w:t>45.</w:t>
      </w:r>
      <w:r w:rsidRPr="003512A8">
        <w:rPr>
          <w:rFonts w:eastAsia="Arial"/>
        </w:rPr>
        <w:tab/>
      </w:r>
      <w:r w:rsidR="00E463B9" w:rsidRPr="003512A8">
        <w:rPr>
          <w:rFonts w:eastAsia="Arial"/>
        </w:rPr>
        <w:t>В рамках реализации Национального плана действий по гендерному равенству в Туркменистане на 2015</w:t>
      </w:r>
      <w:r w:rsidRPr="003512A8">
        <w:rPr>
          <w:rFonts w:eastAsia="Arial"/>
        </w:rPr>
        <w:t>–</w:t>
      </w:r>
      <w:r w:rsidR="00E463B9" w:rsidRPr="003512A8">
        <w:rPr>
          <w:rFonts w:eastAsia="Arial"/>
        </w:rPr>
        <w:t xml:space="preserve">2020 годы осуществлена комплексная работа по подготовке и проведению выборочного обследования «Здоровье и положение женщины в семье в Туркменистане», охватившего ключевые темы, касающиеся насилия в отношении </w:t>
      </w:r>
      <w:r w:rsidR="00E463B9" w:rsidRPr="003512A8">
        <w:rPr>
          <w:rFonts w:eastAsia="Arial"/>
        </w:rPr>
        <w:lastRenderedPageBreak/>
        <w:t>женщин. Выборочное обследование представляет собой первый национальный опыт в сборе данных и анализе проблемы домашнего насилия в отношении женщин на основе опроса женщин в возрасте 18</w:t>
      </w:r>
      <w:r w:rsidR="00596D4D" w:rsidRPr="003512A8">
        <w:rPr>
          <w:rFonts w:eastAsia="Arial"/>
        </w:rPr>
        <w:t>–</w:t>
      </w:r>
      <w:r w:rsidR="00E463B9" w:rsidRPr="003512A8">
        <w:rPr>
          <w:rFonts w:eastAsia="Arial"/>
        </w:rPr>
        <w:t>59 лет в столице и пяти велаятах страны.</w:t>
      </w:r>
    </w:p>
    <w:p w14:paraId="6B0291AD" w14:textId="21D9CBEC" w:rsidR="00E463B9" w:rsidRPr="003512A8" w:rsidRDefault="00596D4D" w:rsidP="00112DDD">
      <w:pPr>
        <w:pStyle w:val="SingleTxtG"/>
        <w:rPr>
          <w:rFonts w:eastAsia="Arial"/>
        </w:rPr>
      </w:pPr>
      <w:r w:rsidRPr="003512A8">
        <w:rPr>
          <w:rFonts w:eastAsia="Arial"/>
        </w:rPr>
        <w:t>46.</w:t>
      </w:r>
      <w:r w:rsidRPr="003512A8">
        <w:rPr>
          <w:rFonts w:eastAsia="Arial"/>
        </w:rPr>
        <w:tab/>
      </w:r>
      <w:r w:rsidR="00E463B9" w:rsidRPr="003512A8">
        <w:rPr>
          <w:rFonts w:eastAsia="Arial"/>
        </w:rPr>
        <w:t>Выборочное обследование включало следующие цели:</w:t>
      </w:r>
    </w:p>
    <w:p w14:paraId="5C9B7AE1" w14:textId="5F1E2225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>выявление и анализ основных параметров ситуации с насилием в отношении женщин в Туркменистане;</w:t>
      </w:r>
    </w:p>
    <w:p w14:paraId="53C5EC45" w14:textId="31715EE3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 xml:space="preserve">разработка рекомендаций для государственных органов и общественных организаций, работающих в сфере реагирования на домашнее насилие и другие виды насилия в отношении женщин. </w:t>
      </w:r>
    </w:p>
    <w:p w14:paraId="6B05E76F" w14:textId="54975558" w:rsidR="00E463B9" w:rsidRPr="003512A8" w:rsidRDefault="00596D4D" w:rsidP="00112DDD">
      <w:pPr>
        <w:pStyle w:val="SingleTxtG"/>
        <w:rPr>
          <w:rFonts w:eastAsia="Arial"/>
        </w:rPr>
      </w:pPr>
      <w:r w:rsidRPr="003512A8">
        <w:rPr>
          <w:rFonts w:eastAsia="Arial"/>
        </w:rPr>
        <w:t>47.</w:t>
      </w:r>
      <w:r w:rsidRPr="003512A8">
        <w:rPr>
          <w:rFonts w:eastAsia="Arial"/>
        </w:rPr>
        <w:tab/>
      </w:r>
      <w:r w:rsidR="00E463B9" w:rsidRPr="003512A8">
        <w:rPr>
          <w:rFonts w:eastAsia="Arial"/>
        </w:rPr>
        <w:t xml:space="preserve">В 2018 году решением МВК была создана специальная Рабочая группа для координации работы по проведению обследования из представителей Министерства здравоохранения и медицинской промышленности, Министерства внутренних дел, Государственного Комитета по статистике, Министерства труда и социальной защиты населения, Института государства, права и демократии Туркменистана и Союза женщин. </w:t>
      </w:r>
    </w:p>
    <w:p w14:paraId="5C8C7B64" w14:textId="729B0F56" w:rsidR="00E463B9" w:rsidRPr="003512A8" w:rsidRDefault="00596D4D" w:rsidP="00112DDD">
      <w:pPr>
        <w:pStyle w:val="SingleTxtG"/>
        <w:rPr>
          <w:rFonts w:eastAsia="Arial"/>
        </w:rPr>
      </w:pPr>
      <w:r w:rsidRPr="003512A8">
        <w:t>48.</w:t>
      </w:r>
      <w:r w:rsidRPr="003512A8">
        <w:tab/>
      </w:r>
      <w:r w:rsidR="00E463B9" w:rsidRPr="003512A8">
        <w:t>В результате проведенного обследования</w:t>
      </w:r>
      <w:r w:rsidR="00E463B9" w:rsidRPr="003512A8">
        <w:rPr>
          <w:rFonts w:eastAsia="Arial"/>
        </w:rPr>
        <w:t xml:space="preserve"> была дана объективная оценка распространенности домашнего насилия в отношении женщин в Туркменистане и разработаны рекомендации для структур, работающих в сфере реагирования на любые формы насилия в отношении женщин. </w:t>
      </w:r>
    </w:p>
    <w:p w14:paraId="1466A517" w14:textId="30778520" w:rsidR="00E463B9" w:rsidRPr="003512A8" w:rsidRDefault="00596D4D" w:rsidP="00112DDD">
      <w:pPr>
        <w:pStyle w:val="SingleTxtG"/>
        <w:rPr>
          <w:rFonts w:eastAsia="Arial"/>
        </w:rPr>
      </w:pPr>
      <w:bookmarkStart w:id="0" w:name="_Hlk106987179"/>
      <w:r w:rsidRPr="003512A8">
        <w:rPr>
          <w:rFonts w:eastAsia="Arial"/>
        </w:rPr>
        <w:t>49.</w:t>
      </w:r>
      <w:r w:rsidRPr="003512A8">
        <w:rPr>
          <w:rFonts w:eastAsia="Arial"/>
        </w:rPr>
        <w:tab/>
      </w:r>
      <w:r w:rsidR="00E463B9" w:rsidRPr="003512A8">
        <w:rPr>
          <w:rFonts w:eastAsia="Arial"/>
        </w:rPr>
        <w:t xml:space="preserve">Министерством труда и социальной защиты населения Туркменистана в сотрудничестве с ЮНФПА, общественной организацией «Кейик Окара» в г. Ашхабаде и хозяйственным объединением «Бейик Эййям» в Лебапском велаяте с августа </w:t>
      </w:r>
      <w:r w:rsidRPr="003512A8">
        <w:rPr>
          <w:rFonts w:eastAsia="Arial"/>
        </w:rPr>
        <w:br/>
      </w:r>
      <w:r w:rsidR="00E463B9" w:rsidRPr="003512A8">
        <w:rPr>
          <w:rFonts w:eastAsia="Arial"/>
        </w:rPr>
        <w:t>2021 года пилотируются специализированные услуги по оказанию помощи женщинам, пострадавшим от домашнего насилия. За данное время по май 2022 года были оказаны:</w:t>
      </w:r>
    </w:p>
    <w:p w14:paraId="40D81D33" w14:textId="593EAB04" w:rsidR="00E463B9" w:rsidRPr="003512A8" w:rsidRDefault="007346DA" w:rsidP="00596D4D">
      <w:pPr>
        <w:pStyle w:val="Bullet1G"/>
        <w:numPr>
          <w:ilvl w:val="0"/>
          <w:numId w:val="14"/>
        </w:numPr>
      </w:pPr>
      <w:r w:rsidRPr="003512A8">
        <w:rPr>
          <w:rFonts w:eastAsia="Arial"/>
        </w:rPr>
        <w:t>кон</w:t>
      </w:r>
      <w:r w:rsidRPr="003512A8">
        <w:t xml:space="preserve">сультационная </w:t>
      </w:r>
      <w:r w:rsidR="00E463B9" w:rsidRPr="003512A8">
        <w:t xml:space="preserve">поддержка по горячей линии </w:t>
      </w:r>
      <w:r w:rsidR="00596D4D" w:rsidRPr="003512A8">
        <w:t>⸺</w:t>
      </w:r>
      <w:r w:rsidR="00E463B9" w:rsidRPr="003512A8">
        <w:t xml:space="preserve"> 1686 человек (129 мужчин, 1557 женщин);</w:t>
      </w:r>
    </w:p>
    <w:p w14:paraId="3DE5100F" w14:textId="54013969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 xml:space="preserve">социально-психологическая поддержка </w:t>
      </w:r>
      <w:r w:rsidR="00596D4D" w:rsidRPr="003512A8">
        <w:t>⸺</w:t>
      </w:r>
      <w:r w:rsidRPr="003512A8">
        <w:t xml:space="preserve"> 630 человек (39 мужчин и </w:t>
      </w:r>
      <w:r w:rsidR="00596D4D" w:rsidRPr="003512A8">
        <w:br/>
      </w:r>
      <w:r w:rsidRPr="003512A8">
        <w:t>591 женщин</w:t>
      </w:r>
      <w:r w:rsidR="00596D4D" w:rsidRPr="003512A8">
        <w:t>а</w:t>
      </w:r>
      <w:r w:rsidRPr="003512A8">
        <w:t>);</w:t>
      </w:r>
    </w:p>
    <w:p w14:paraId="17A5E3D2" w14:textId="35118772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 xml:space="preserve">юридическая поддержка </w:t>
      </w:r>
      <w:r w:rsidR="00596D4D" w:rsidRPr="003512A8">
        <w:t>⸺</w:t>
      </w:r>
      <w:r w:rsidRPr="003512A8">
        <w:t xml:space="preserve"> 817 человек (27 мужчин и 790 женщин);</w:t>
      </w:r>
    </w:p>
    <w:p w14:paraId="5221B6FF" w14:textId="749B7680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 xml:space="preserve">социальная поддержка </w:t>
      </w:r>
      <w:r w:rsidR="00596D4D" w:rsidRPr="003512A8">
        <w:t>⸺</w:t>
      </w:r>
      <w:r w:rsidRPr="003512A8">
        <w:t xml:space="preserve"> 1033 человека (32 мужчин</w:t>
      </w:r>
      <w:r w:rsidR="00DA0734" w:rsidRPr="003512A8">
        <w:t>ы</w:t>
      </w:r>
      <w:r w:rsidRPr="003512A8">
        <w:t xml:space="preserve"> и 1001 женщина);</w:t>
      </w:r>
    </w:p>
    <w:p w14:paraId="727627F4" w14:textId="369452B0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 xml:space="preserve">консультации репродуктолога </w:t>
      </w:r>
      <w:r w:rsidR="00596D4D" w:rsidRPr="003512A8">
        <w:t>⸺</w:t>
      </w:r>
      <w:r w:rsidRPr="003512A8">
        <w:t xml:space="preserve"> 223 человека (37 мужчин и 186 женщин);</w:t>
      </w:r>
    </w:p>
    <w:p w14:paraId="39E7BB3F" w14:textId="3398615F" w:rsidR="00E463B9" w:rsidRPr="003512A8" w:rsidRDefault="00E463B9" w:rsidP="00596D4D">
      <w:pPr>
        <w:pStyle w:val="Bullet1G"/>
        <w:numPr>
          <w:ilvl w:val="0"/>
          <w:numId w:val="14"/>
        </w:numPr>
      </w:pPr>
      <w:r w:rsidRPr="003512A8">
        <w:t xml:space="preserve">ведение случаев специалистами по социальной работе для поддержки женщин, пострадавших и оказавшихся в критической ситуации было проведено </w:t>
      </w:r>
      <w:r w:rsidR="00596D4D" w:rsidRPr="003512A8">
        <w:br/>
      </w:r>
      <w:r w:rsidRPr="003512A8">
        <w:t>для 70 женщин;</w:t>
      </w:r>
    </w:p>
    <w:p w14:paraId="3BAAFA43" w14:textId="5BAFC745" w:rsidR="00E463B9" w:rsidRPr="003512A8" w:rsidRDefault="00E463B9" w:rsidP="00596D4D">
      <w:pPr>
        <w:pStyle w:val="Bullet1G"/>
        <w:numPr>
          <w:ilvl w:val="0"/>
          <w:numId w:val="14"/>
        </w:numPr>
        <w:rPr>
          <w:rFonts w:eastAsia="Arial"/>
        </w:rPr>
      </w:pPr>
      <w:r w:rsidRPr="003512A8">
        <w:t>временно</w:t>
      </w:r>
      <w:r w:rsidRPr="003512A8">
        <w:rPr>
          <w:rFonts w:eastAsia="Arial"/>
        </w:rPr>
        <w:t xml:space="preserve">е безопасное размещение </w:t>
      </w:r>
      <w:r w:rsidR="00596D4D" w:rsidRPr="003512A8">
        <w:rPr>
          <w:rFonts w:eastAsia="Arial"/>
        </w:rPr>
        <w:t>⸺</w:t>
      </w:r>
      <w:r w:rsidRPr="003512A8">
        <w:rPr>
          <w:rFonts w:eastAsia="Arial"/>
        </w:rPr>
        <w:t xml:space="preserve"> 19 человек (1 мужчина и 18 женщин).</w:t>
      </w:r>
      <w:bookmarkEnd w:id="0"/>
    </w:p>
    <w:p w14:paraId="49608F16" w14:textId="0CC4DF6B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Меры по борьбе с терроризмом (статьи 2, 4, 7, 9 и 14)</w:t>
      </w:r>
    </w:p>
    <w:p w14:paraId="5068A366" w14:textId="77777777" w:rsidR="00F71848" w:rsidRPr="003512A8" w:rsidRDefault="00596D4D" w:rsidP="00112DDD">
      <w:pPr>
        <w:pStyle w:val="SingleTxtG"/>
        <w:rPr>
          <w:lang w:eastAsia="ru-RU"/>
        </w:rPr>
      </w:pPr>
      <w:r w:rsidRPr="003512A8">
        <w:rPr>
          <w:lang w:eastAsia="ru-RU"/>
        </w:rPr>
        <w:t>50.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Согласно Закону Туркменистана «О противодействии экстремизму» 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>от 28 февраля 2015 года, экстремизм</w:t>
      </w:r>
      <w:r w:rsidR="00F71848" w:rsidRPr="003512A8">
        <w:rPr>
          <w:lang w:eastAsia="ru-RU"/>
        </w:rPr>
        <w:t xml:space="preserve"> ⸺ </w:t>
      </w:r>
      <w:r w:rsidR="00E463B9" w:rsidRPr="003512A8">
        <w:rPr>
          <w:lang w:eastAsia="ru-RU"/>
        </w:rPr>
        <w:t xml:space="preserve">деятельность физических или юридических лиц, а также их объединений, направленная на: </w:t>
      </w:r>
    </w:p>
    <w:p w14:paraId="430C2203" w14:textId="52CAFD6A" w:rsidR="00E463B9" w:rsidRPr="003512A8" w:rsidRDefault="00E463B9" w:rsidP="00F71848">
      <w:pPr>
        <w:pStyle w:val="Bullet1G"/>
        <w:numPr>
          <w:ilvl w:val="0"/>
          <w:numId w:val="14"/>
        </w:numPr>
      </w:pPr>
      <w:r w:rsidRPr="003512A8">
        <w:t xml:space="preserve">насильственное изменение конституционного строя и нарушение территориальной целостности; насильственный захват государственной власти, создание незаконных военизированных объединений; открытое оправдание терроризма и иной террористической деятельности; возбуждение социальной, национальной, этнической, расовой или религиозной вражды или розни, унижение национального достоинства; пропаганду </w:t>
      </w:r>
      <w:r w:rsidRPr="003512A8">
        <w:rPr>
          <w:rFonts w:eastAsia="Arial"/>
        </w:rPr>
        <w:t>исключительности</w:t>
      </w:r>
      <w:r w:rsidRPr="003512A8">
        <w:t xml:space="preserve"> или неполноценности человека по признаку его отношения к религии, социальной, национальной, этнической или расовой принадлежности; организацию и совершение массовых беспорядков, сопровождающихся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</w:t>
      </w:r>
      <w:r w:rsidR="00816283" w:rsidRPr="003512A8">
        <w:t>е</w:t>
      </w:r>
      <w:r w:rsidRPr="003512A8">
        <w:t xml:space="preserve">нного сопротивления представителю власти; нарушение или ограничение прав, </w:t>
      </w:r>
      <w:r w:rsidRPr="003512A8">
        <w:lastRenderedPageBreak/>
        <w:t>свобод и законных интересов человека и гражданина в зависимости от его национальности, расы, пола, происхождения, имущественного и должностного положения, места жительства, языка, отношения к религии, политических убеждений, партийной принадлежности либо отсутствия принадлежности к какой-либо партии; воспрепятствование свободному осуществлению гражданином избирательных нрав и права на участие в референдуме или нарушение тайны голосования пут</w:t>
      </w:r>
      <w:r w:rsidR="00816283" w:rsidRPr="003512A8">
        <w:t>е</w:t>
      </w:r>
      <w:r w:rsidRPr="003512A8">
        <w:t>м насилия, обмана, угроз, подлога, а равно подкуп избирателей или участие в н</w:t>
      </w:r>
      <w:r w:rsidR="00816283" w:rsidRPr="003512A8">
        <w:t>е</w:t>
      </w:r>
      <w:r w:rsidRPr="003512A8">
        <w:t>м; воспрепятствование законной деятельности государственных органов, органов местного самоуправления, избирательных комиссий, общественных объединений и религиозных или иных организаций, сопровождаемое насилием или угрозой его применения; совершение преступления на почве политической, социальной, национальной, расовой или религиозной ненависти или вражды или с целью мести за правомерные действия других лиц, а также сокрытия другого преступления или облегчения его совершения;</w:t>
      </w:r>
      <w:r w:rsidR="00F71848" w:rsidRPr="003512A8">
        <w:t xml:space="preserve"> </w:t>
      </w:r>
    </w:p>
    <w:p w14:paraId="4381970B" w14:textId="102149B8" w:rsidR="00E463B9" w:rsidRPr="003512A8" w:rsidRDefault="00E463B9" w:rsidP="00F71848">
      <w:pPr>
        <w:pStyle w:val="Bullet1G"/>
        <w:numPr>
          <w:ilvl w:val="0"/>
          <w:numId w:val="14"/>
        </w:numPr>
      </w:pPr>
      <w:r w:rsidRPr="003512A8">
        <w:t>пропаганду националистических идей, а также открытую демонстрацию символики экстремистских организаций; открытые призывы к совершению деяний, указанных в настоящем пункте, или массовое распространение заведомо экстремистских материалов, а равно их изготовление или хранение в целях массового распространения; заведомо ложное обвинение лица, замещающего государственную должность, в совершении им в период исполнения его должностных обязанностей деяний, указанных в данном пункте и являющихся преступлениями; организацию и подготовку деяний, указанных в настоящем пункте, а также подстрекательство к их совершению; финансирование деяний, указанных в настоящем пункте, или иное содействие в их организации, подготовке и совершении, в том числе пут</w:t>
      </w:r>
      <w:r w:rsidR="00816283" w:rsidRPr="003512A8">
        <w:t>е</w:t>
      </w:r>
      <w:r w:rsidRPr="003512A8">
        <w:t>м предоставления обучения и материально-технической помощи, телефонной и иных видов связи или оказания информационных услуг.</w:t>
      </w:r>
    </w:p>
    <w:p w14:paraId="5D8C658C" w14:textId="55F6549B" w:rsidR="00E463B9" w:rsidRPr="003512A8" w:rsidRDefault="00FC6A42" w:rsidP="00112DDD">
      <w:pPr>
        <w:pStyle w:val="SingleTxtG"/>
        <w:rPr>
          <w:lang w:eastAsia="ru-RU"/>
        </w:rPr>
      </w:pPr>
      <w:r w:rsidRPr="003512A8">
        <w:rPr>
          <w:lang w:eastAsia="ru-RU"/>
        </w:rPr>
        <w:t>51.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Экстремистские действия </w:t>
      </w:r>
      <w:r w:rsidR="00596D4D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непосредственная реализация действий, указанных выше, в том числе открытые призывы к совершению таких действий, пропаганда и открытая демонстрация символики экстремистских организаций.</w:t>
      </w:r>
    </w:p>
    <w:p w14:paraId="75170342" w14:textId="3445BA38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Коронавирусное заболевание (COVID-19) (статья 6)</w:t>
      </w:r>
    </w:p>
    <w:p w14:paraId="7543F469" w14:textId="52B087D4" w:rsidR="00E463B9" w:rsidRPr="003512A8" w:rsidRDefault="00FC6A42" w:rsidP="00596D4D">
      <w:pPr>
        <w:pStyle w:val="SingleTxtG"/>
        <w:rPr>
          <w:lang w:eastAsia="ru-RU"/>
        </w:rPr>
      </w:pPr>
      <w:r w:rsidRPr="003512A8">
        <w:rPr>
          <w:lang w:eastAsia="ru-RU"/>
        </w:rPr>
        <w:t>52.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Информация по данному вопросу представлена в п. </w:t>
      </w:r>
      <w:r w:rsidR="00AE3A58" w:rsidRPr="003512A8">
        <w:rPr>
          <w:lang w:eastAsia="ru-RU"/>
        </w:rPr>
        <w:t>22</w:t>
      </w:r>
      <w:r w:rsidR="00A035AE" w:rsidRPr="003512A8">
        <w:rPr>
          <w:lang w:eastAsia="ru-RU"/>
        </w:rPr>
        <w:t>.</w:t>
      </w:r>
    </w:p>
    <w:p w14:paraId="7889AA2B" w14:textId="61786A9E" w:rsidR="00E463B9" w:rsidRPr="003512A8" w:rsidRDefault="00112DDD" w:rsidP="00112DDD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Право на жизнь (статья 6)</w:t>
      </w:r>
    </w:p>
    <w:p w14:paraId="33CB14A2" w14:textId="1ABE6A1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53.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Согласно Закону Туркменистана «Об органах внутренних дел Туркменистана» от 21 мая 2011 года, сотрудникам органов внутренних дел при выполнении задач по защите жизни, здоровья, чести, достоинства, прав, свобод и законных интересов граждан, интересов общества и государства от преступных и иных противоправных посягательств предоставляется право применения физической силы, специальных средств, огнестрельного оружия, боевой и специальной техники. Физическая сила, специальные средства, огнестрельное оружие, боевая и специальная техника применяются с целью приостановления общественно опасных деяний или задержания лица, их осуществляющего, и доставления его в органы внутренних дел, с уч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том характера правонарушения, личности правонарушителя, конкретных обстоятельств в случаях и порядке, предусмотренных настоящим Законом и другими соответствующими законами. При этом сотрудник органов внутренних дел во исполнение своих служебных обязанностей, когда не осталось других способов, </w:t>
      </w:r>
      <w:r w:rsidR="004137DA" w:rsidRPr="003512A8">
        <w:rPr>
          <w:lang w:eastAsia="ru-RU"/>
        </w:rPr>
        <w:br/>
      </w:r>
      <w:r w:rsidR="00E463B9" w:rsidRPr="003512A8">
        <w:rPr>
          <w:lang w:eastAsia="ru-RU"/>
        </w:rPr>
        <w:t>с уч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том складывающейся обстановки, самостоятельно определяет вид средств и необходимость его применения, после чего составляет рапорт об этом. Во всех случаях, когда избежать применения физической силы, специальных средств, огнестрельного оружия, боевой и специальной техники невозможно, сотрудник органов внутренних дел обязан стремиться причинить наименьший вред жизни, здоровью, чести, достоинству и имуществу граждан, а также принять меры по немедленному оказанию медицинской и иной необходимой помощи пострадавшим.</w:t>
      </w:r>
    </w:p>
    <w:p w14:paraId="10E369CA" w14:textId="672A068E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lastRenderedPageBreak/>
        <w:t>54.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Применению физической силы, специальных средств, огнестрельного оружия, боевой и специальной техники должно предшествовать четко выраженное и очевидное для лица, против которого они применяются, предупреждение о намерении их применить и предоставлено достаточное время для исполнения этих требований, </w:t>
      </w:r>
      <w:r w:rsidR="00DA4AE5" w:rsidRPr="003512A8">
        <w:rPr>
          <w:lang w:eastAsia="ru-RU"/>
        </w:rPr>
        <w:br/>
      </w:r>
      <w:r w:rsidR="00E463B9" w:rsidRPr="003512A8">
        <w:rPr>
          <w:lang w:eastAsia="ru-RU"/>
        </w:rPr>
        <w:t>за исключением случаев, когда промедление в их применении созда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т непосредственную опасность для жизни граждан или может повлечь иные тяжкие последствия. Физическая сила, специальные средства, огнестрельное оружие, боевая и специальная техника могут быть применены без предупреждения в случаях внезапного или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нападения, а также нападения или агрессии с использованием боевой техники, транспортных и летательных средств, морских и речных судов, совершения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побега из-под стражи или транспортных средств во время их движения, а равно при освобождении заложников, захваченных охраняемых объектов, специальных грузов.</w:t>
      </w:r>
    </w:p>
    <w:p w14:paraId="7F5E232D" w14:textId="0241B6A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55.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Применение физической силы, оружия, специальных средств, боевой и специальной техники с нарушением требований вышеназванного Закона влеч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т ответственность, установленную законодательством Туркменистана.</w:t>
      </w:r>
    </w:p>
    <w:p w14:paraId="59786969" w14:textId="620F882B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56.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Согласно статье 19 (Применение физической силы) Закона Туркменистана 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>«Об органах внутренних дел Туркменистана», сотрудник органов внутренних дел в пределах, предусмотренных законодательством Туркменистана, имеет право на применение физической силы, в том числе боевых при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мов борьбы для пресечения преступлений и административных правонарушений, задержания лиц, их совершивших, самообороны, а также для прекращения противозаконных действий и их преодоления, если это невозможно сделать другими способами без применения физической силы.</w:t>
      </w:r>
    </w:p>
    <w:p w14:paraId="7B70C8EB" w14:textId="1F61BFEF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57.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Также</w:t>
      </w:r>
      <w:r w:rsidR="00F94A58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статьей 20 вышеназванного Закона предусмотрено законное основание для применения и использования огнестрельного оружия сотрудниками органов внутренних дел. В частности, сотрудникам органов внутренних дел в качестве крайней меры предоставляется право применения огнестрельного оружия в следующих целях:</w:t>
      </w:r>
    </w:p>
    <w:p w14:paraId="30D8CF2A" w14:textId="5D031F6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1)</w:t>
      </w:r>
      <w:r w:rsidR="00E463B9" w:rsidRPr="003512A8">
        <w:rPr>
          <w:lang w:eastAsia="ru-RU"/>
        </w:rPr>
        <w:tab/>
        <w:t>защиты граждан от нападения, угрожающего их жизни, здоровью, а также для освобождения заложников;</w:t>
      </w:r>
    </w:p>
    <w:p w14:paraId="08905866" w14:textId="5BD8FB60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2)</w:t>
      </w:r>
      <w:r w:rsidR="00E463B9" w:rsidRPr="003512A8">
        <w:rPr>
          <w:lang w:eastAsia="ru-RU"/>
        </w:rPr>
        <w:tab/>
        <w:t>отражения группового или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нападения на сотрудников органов внутренних дел, других лиц, осуществляющих служебные обязанности или исполняющих свой общественный долг по охране общественного порядка и борьбе с преступностью, а также отражения других нападений, опасных для их жизни или здоровья;</w:t>
      </w:r>
    </w:p>
    <w:p w14:paraId="249C083D" w14:textId="2E3071DC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3)</w:t>
      </w:r>
      <w:r w:rsidR="00E463B9" w:rsidRPr="003512A8">
        <w:rPr>
          <w:lang w:eastAsia="ru-RU"/>
        </w:rPr>
        <w:tab/>
        <w:t>отражения группового или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нападения на жилые дома, специально охраняемые органами внутренних дел сооружения, здания государственных органов или общественных объединений, предприятий и учреждений, отражения нападения на служебный или войсковой наряд органов внутренних дел;</w:t>
      </w:r>
    </w:p>
    <w:p w14:paraId="10F4D512" w14:textId="138CD28D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4)</w:t>
      </w:r>
      <w:r w:rsidR="00E463B9" w:rsidRPr="003512A8">
        <w:rPr>
          <w:lang w:eastAsia="ru-RU"/>
        </w:rPr>
        <w:tab/>
        <w:t>пресечения массовых беспорядков в учреждениях, исполняющих уголовные наказания, следственных изоляторах и тюрьмах, сопровождающихся погромами, разрушениями, поджогами, убийствами, захватами заложников и сопряж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нных с другими массовыми противоправными действиями;</w:t>
      </w:r>
    </w:p>
    <w:p w14:paraId="1B9EBCE7" w14:textId="1C762598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5)</w:t>
      </w:r>
      <w:r w:rsidR="00E463B9" w:rsidRPr="003512A8">
        <w:rPr>
          <w:lang w:eastAsia="ru-RU"/>
        </w:rPr>
        <w:tab/>
        <w:t>задержания лиц, оказывающих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нное сопротивление либо застигнутых при совершении тяжкого преступления, или преступника, совершающего побег из-под стражи, а также вооруженного лица, отказывающегося выполнять законные требования о сдаче оружия;</w:t>
      </w:r>
    </w:p>
    <w:p w14:paraId="33C1A796" w14:textId="7B8CFECC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6)</w:t>
      </w:r>
      <w:r w:rsidR="00E463B9" w:rsidRPr="003512A8">
        <w:rPr>
          <w:lang w:eastAsia="ru-RU"/>
        </w:rPr>
        <w:tab/>
        <w:t>пресечения общественно опасных действий, сопровождающихся поджогами, разрушениями и попытками завладения огнестрельным оружием;</w:t>
      </w:r>
    </w:p>
    <w:p w14:paraId="2746EBC7" w14:textId="6B17DC5B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7)</w:t>
      </w:r>
      <w:r w:rsidR="00E463B9" w:rsidRPr="003512A8">
        <w:rPr>
          <w:lang w:eastAsia="ru-RU"/>
        </w:rPr>
        <w:tab/>
        <w:t>отражения группового или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нападения на лиц, находящихся под арестом.</w:t>
      </w:r>
    </w:p>
    <w:p w14:paraId="66CFF34E" w14:textId="30544008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lastRenderedPageBreak/>
        <w:t>58.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Применению огнестрельного оружия должно предшествовать предупреждение о намерении его применить. Сотрудники органов внутренних дел имеют право применять огнестрельное оружие в следующих случаях:</w:t>
      </w:r>
    </w:p>
    <w:p w14:paraId="52B5D226" w14:textId="2B293B9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1)</w:t>
      </w:r>
      <w:r w:rsidR="00E463B9" w:rsidRPr="003512A8">
        <w:rPr>
          <w:lang w:eastAsia="ru-RU"/>
        </w:rPr>
        <w:tab/>
        <w:t>для остановки транспортного средства пут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м его повреждения, водитель которого умышленно не подчиняется неоднократным требованиям сотрудника органа внутренних дел об остановке транспортного средства, сделанным в достаточно понятной форме, чем ставит под угрозу жизнь и здоровье граждан;</w:t>
      </w:r>
    </w:p>
    <w:p w14:paraId="244BDB57" w14:textId="67DFCAAC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2)</w:t>
      </w:r>
      <w:r w:rsidR="00E463B9" w:rsidRPr="003512A8">
        <w:rPr>
          <w:lang w:eastAsia="ru-RU"/>
        </w:rPr>
        <w:tab/>
        <w:t>для обезвреживания животного, угрожающего жизни и здоровью граждан;</w:t>
      </w:r>
    </w:p>
    <w:p w14:paraId="0D2A62CA" w14:textId="0F6F18E1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3)</w:t>
      </w:r>
      <w:r w:rsidR="00E463B9" w:rsidRPr="003512A8">
        <w:rPr>
          <w:lang w:eastAsia="ru-RU"/>
        </w:rPr>
        <w:tab/>
        <w:t>для предупреждения о намерении применить оружие, подачи сигнала тревоги или вызова помощи.</w:t>
      </w:r>
    </w:p>
    <w:p w14:paraId="2D88BB39" w14:textId="6AE1D39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59.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случае принятия решения о невозможности предотвратить применение огнестрельного оружия, сотрудники органов внутренних дел имеют право привести его в состояние готовности. Во всех случаях применения и использования огнестрельного оружия сотрудник органа внутренних дел обязан принять необходимые меры для обеспечения безопасности окружающих граждан, оказания неотложной медицинской помощи пострадавшим, а также сообщения об этом их родственникам или законным представителям. Запрещается применять огнестрельное оружие в отношении женщин, несовершеннолетних и лиц с явными признаками инвалидности, за исключением случаев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нападения, оказания вооруж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нного сопротивления либо совершения группового нападения, угрожающего жизни людей.</w:t>
      </w:r>
    </w:p>
    <w:p w14:paraId="59B30119" w14:textId="7C3A1A5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Аннаниязов Гулгелди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22.08.1960 года рождения, уроженец города Ашхабада, по национальности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туркмен, гражданин Туркменистана, нигде не работал, ранее в 1996 г</w:t>
      </w:r>
      <w:r w:rsidRPr="003512A8">
        <w:rPr>
          <w:lang w:eastAsia="ru-RU"/>
        </w:rPr>
        <w:t>оду</w:t>
      </w:r>
      <w:r w:rsidR="00E463B9" w:rsidRPr="003512A8">
        <w:rPr>
          <w:lang w:eastAsia="ru-RU"/>
        </w:rPr>
        <w:t xml:space="preserve"> был осужден к 15 годам лишения свободы и освобожд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н от дальнейшего отбывания наказания на основании Указа Президента Туркменистана 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>«О помиловании» от 26 января 1999 года, проживал по адресу: г.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Ашхабад, село Кеши, ул.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М.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Горького, дом 10.</w:t>
      </w:r>
    </w:p>
    <w:p w14:paraId="433DF519" w14:textId="2B48610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Аннаниязов Г. приговором Верховного суда Туркменистана от 7 октября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>2008 года был осужден по ст</w:t>
      </w:r>
      <w:r w:rsidRPr="003512A8">
        <w:rPr>
          <w:lang w:eastAsia="ru-RU"/>
        </w:rPr>
        <w:t xml:space="preserve">атье </w:t>
      </w:r>
      <w:r w:rsidR="00E463B9" w:rsidRPr="003512A8">
        <w:rPr>
          <w:lang w:eastAsia="ru-RU"/>
        </w:rPr>
        <w:t>214 (Незаконное пересечение Государственной границы Туркменистана) и ст</w:t>
      </w:r>
      <w:r w:rsidR="004137DA" w:rsidRPr="003512A8">
        <w:rPr>
          <w:lang w:eastAsia="ru-RU"/>
        </w:rPr>
        <w:t xml:space="preserve">атье </w:t>
      </w:r>
      <w:r w:rsidR="00E463B9" w:rsidRPr="003512A8">
        <w:rPr>
          <w:lang w:eastAsia="ru-RU"/>
        </w:rPr>
        <w:t>217 (Похищение или повреждение документов, штампов, печатей или бланков) Уголовного кодекса Туркменистана к 11 годам лишения свободы, с возложением обязанности проживания в определ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нной местности в течении 5 лет, в качестве дополнительного наказания.</w:t>
      </w:r>
    </w:p>
    <w:p w14:paraId="3AF091D4" w14:textId="7F70E384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12</w:t>
      </w:r>
      <w:r w:rsidR="004137DA" w:rsidRPr="003512A8">
        <w:rPr>
          <w:lang w:eastAsia="ru-RU"/>
        </w:rPr>
        <w:t xml:space="preserve"> марта </w:t>
      </w:r>
      <w:r w:rsidR="00E463B9" w:rsidRPr="003512A8">
        <w:rPr>
          <w:lang w:eastAsia="ru-RU"/>
        </w:rPr>
        <w:t>2019 г</w:t>
      </w:r>
      <w:r w:rsidR="004137DA"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по истечению основного срока наказания Г.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Аннаниязов был отправлен в г.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Гарабогаз Балканского велаята для отбывания дополнительного наказания (проживание в определ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нной местности в течени</w:t>
      </w:r>
      <w:r w:rsidRPr="003512A8">
        <w:rPr>
          <w:lang w:eastAsia="ru-RU"/>
        </w:rPr>
        <w:t xml:space="preserve">е </w:t>
      </w:r>
      <w:r w:rsidR="00A212E3" w:rsidRPr="003512A8">
        <w:rPr>
          <w:lang w:eastAsia="ru-RU"/>
        </w:rPr>
        <w:t>пяти</w:t>
      </w:r>
      <w:r w:rsidR="00E463B9" w:rsidRPr="003512A8">
        <w:rPr>
          <w:lang w:eastAsia="ru-RU"/>
        </w:rPr>
        <w:t xml:space="preserve"> лет) и трудоустроен в качестве рабочего с оплачиваемой заработной платой в Отдел эксплуатации жилых домов по месту проживания.</w:t>
      </w:r>
    </w:p>
    <w:p w14:paraId="3A175260" w14:textId="7C75D576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Аллабердыев Пыгамбергельды Байрамбердыевич согласно приговор</w:t>
      </w:r>
      <w:r w:rsidR="00831609" w:rsidRPr="003512A8">
        <w:rPr>
          <w:lang w:eastAsia="ru-RU"/>
        </w:rPr>
        <w:t>у</w:t>
      </w:r>
      <w:r w:rsidR="00E463B9" w:rsidRPr="003512A8">
        <w:rPr>
          <w:lang w:eastAsia="ru-RU"/>
        </w:rPr>
        <w:t xml:space="preserve"> Суда города Балканабад Балканского велаята от 29</w:t>
      </w:r>
      <w:r w:rsidR="004137DA" w:rsidRPr="003512A8">
        <w:rPr>
          <w:lang w:eastAsia="ru-RU"/>
        </w:rPr>
        <w:t xml:space="preserve"> сентября </w:t>
      </w:r>
      <w:r w:rsidR="00E463B9" w:rsidRPr="003512A8">
        <w:rPr>
          <w:lang w:eastAsia="ru-RU"/>
        </w:rPr>
        <w:t xml:space="preserve">2020 года осужден по части 2 статьи 108 (Умышленное причинение вреда здоровью средней тяжести), по части 3 статьи 279 (Хулиганство) и на основании статьи 63 (Назначение наказания по совокупности преступлений) УК Туркменистана к </w:t>
      </w:r>
      <w:r w:rsidR="005972D9" w:rsidRPr="003512A8">
        <w:rPr>
          <w:lang w:eastAsia="ru-RU"/>
        </w:rPr>
        <w:t>шести</w:t>
      </w:r>
      <w:r w:rsidR="00E463B9" w:rsidRPr="003512A8">
        <w:rPr>
          <w:lang w:eastAsia="ru-RU"/>
        </w:rPr>
        <w:t xml:space="preserve"> годам лишения свободы.</w:t>
      </w:r>
    </w:p>
    <w:p w14:paraId="4C33CFDD" w14:textId="05D8F6FF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настоящее время Аллабердыев П. отбывает назначенное ему наказание в учреждении БЛ-Е/6 Управления полиции Балканского велаята и регулярно пользуется своими правами, согласно которому ему предоставляются краткосрочные и долгосрочные свидания с его родственниками, а также передачи в виде продуктов.</w:t>
      </w:r>
    </w:p>
    <w:p w14:paraId="1E678AAC" w14:textId="302CEE98" w:rsidR="00E463B9" w:rsidRPr="003512A8" w:rsidRDefault="00810B84" w:rsidP="00810B84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Запрещение пыток и других жестоких, бесчеловечных или унижающих достоинство видов обращения и наказания (статья 7)</w:t>
      </w:r>
    </w:p>
    <w:p w14:paraId="510830EF" w14:textId="6E679EC8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Уголовном кодексе Туркменистана, утвержд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нном Законом Туркменистана 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 xml:space="preserve">«О внесении изменений и дополнений в Уголовный кодекс Туркменистана и </w:t>
      </w:r>
      <w:r w:rsidR="00E463B9" w:rsidRPr="003512A8">
        <w:rPr>
          <w:lang w:eastAsia="ru-RU"/>
        </w:rPr>
        <w:lastRenderedPageBreak/>
        <w:t xml:space="preserve">утверждении его в новой редакции» (вводится в действие 1 января 2023 года), усовершенствовано понятие пытки и изложено в полном соответствии Конвенции. </w:t>
      </w:r>
    </w:p>
    <w:p w14:paraId="424A26E0" w14:textId="7FBA1093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Мингелов Мансур Усенович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1974 года рождения, уроженец города Байрамалы Марийского велаята, по национальности перс, гражданин Туркменистана, ранее судимый в 1998 году по статье 340 (Нарушение уставных правил взаимоотношений между военнослужащими при отсутствии между ними отношений подчиненности) УК Туркменистана к 2 годам лишения свободы и был досрочно освобожден от наказания в 1999 году на основании Указа Президента Туркменистана «О помиловании», вновь совершил преступление и приговором Ашхабадского городского казыета от 10</w:t>
      </w:r>
      <w:r w:rsidR="004137DA" w:rsidRPr="003512A8">
        <w:rPr>
          <w:lang w:eastAsia="ru-RU"/>
        </w:rPr>
        <w:t xml:space="preserve"> сентября </w:t>
      </w:r>
      <w:r w:rsidR="00E463B9" w:rsidRPr="003512A8">
        <w:rPr>
          <w:lang w:eastAsia="ru-RU"/>
        </w:rPr>
        <w:t>2012 года был осужден по статье 164 (Изготовление или распространение порнографических предметов), статье 34-156 (Вовлечение несовершеннолетнего в совершение антиобщественных действий), статье 33-254 (Контрабанда), статье 292 (Незаконное изготовление, переработка, приобретение, хранение, перевозка, пересылка наркотических средств или психотропных веществ с целью сбыта) к 22 годам лишения свободы.</w:t>
      </w:r>
    </w:p>
    <w:p w14:paraId="31C2485A" w14:textId="429CD4A3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настоящее время по состоянию здоровья Мингелов М. получает необходимое лечение в учреждении МР-Е/15 Управления полиции Марийского велаята. 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>В соответствии с уголовно-исполнительным законодательством ему на регулярной основе предоставляются свидания с родственниками и передачи в виде продуктов. Фактов жестокого обращения с Мингеловым М. во время его содержания под стражей не зарегистрировано.</w:t>
      </w:r>
    </w:p>
    <w:p w14:paraId="055E6A88" w14:textId="47138BA3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Маталаев Гаспар Исрапилович </w:t>
      </w:r>
      <w:r w:rsidR="004137DA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16.06.1982 года рождения, уроженец города Туркменабат, по национальности казах, гражданин Туркменистана, нигде не работал, ра</w:t>
      </w:r>
      <w:r w:rsidR="004137DA" w:rsidRPr="003512A8">
        <w:rPr>
          <w:lang w:eastAsia="ru-RU"/>
        </w:rPr>
        <w:t>н</w:t>
      </w:r>
      <w:r w:rsidR="00E463B9" w:rsidRPr="003512A8">
        <w:rPr>
          <w:lang w:eastAsia="ru-RU"/>
        </w:rPr>
        <w:t>ее не судим, проживал по адресу: Лебапский велаят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Туркменабад, жилой комплекс «Мир», дом 1, кв. 13.</w:t>
      </w:r>
    </w:p>
    <w:p w14:paraId="1229A1F9" w14:textId="4B2038D0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69.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Маталаев Г.И. приговором Туркменабатского городского суда от 8</w:t>
      </w:r>
      <w:r w:rsidR="004137DA" w:rsidRPr="003512A8">
        <w:rPr>
          <w:lang w:eastAsia="ru-RU"/>
        </w:rPr>
        <w:t xml:space="preserve"> ноября </w:t>
      </w:r>
      <w:r w:rsidR="004137DA" w:rsidRPr="003512A8">
        <w:rPr>
          <w:lang w:eastAsia="ru-RU"/>
        </w:rPr>
        <w:br/>
      </w:r>
      <w:r w:rsidR="00E463B9" w:rsidRPr="003512A8">
        <w:rPr>
          <w:lang w:eastAsia="ru-RU"/>
        </w:rPr>
        <w:t xml:space="preserve">2016 года признан виновным в совершении преступлений, предусмотренных </w:t>
      </w:r>
      <w:r w:rsidR="004137DA" w:rsidRPr="003512A8">
        <w:rPr>
          <w:lang w:eastAsia="ru-RU"/>
        </w:rPr>
        <w:br/>
      </w:r>
      <w:r w:rsidR="00E463B9" w:rsidRPr="003512A8">
        <w:rPr>
          <w:lang w:eastAsia="ru-RU"/>
        </w:rPr>
        <w:t>статьями 33-4, 185 (Дача взятки) часть 1 и 228 (Мошенничество) часть 2 УК Туркменистана и по совокупности содеянного на основании статьи 63 (Назначение наказания по совокупности преступлений) УК Туркменистана назначено наказание к</w:t>
      </w:r>
      <w:r w:rsidR="00400725" w:rsidRPr="003512A8">
        <w:rPr>
          <w:lang w:eastAsia="ru-RU"/>
        </w:rPr>
        <w:t xml:space="preserve"> трем</w:t>
      </w:r>
      <w:r w:rsidR="00E463B9" w:rsidRPr="003512A8">
        <w:rPr>
          <w:lang w:eastAsia="ru-RU"/>
        </w:rPr>
        <w:t xml:space="preserve"> годам лишения свободы. Он отбывал срок наказание в учреждении ЛБ-Е/12 Управления полиции Лебапского велаята и освобожд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 6 сентября 2019 года по отбытию срока наказания.</w:t>
      </w:r>
    </w:p>
    <w:p w14:paraId="62379AA2" w14:textId="4149721F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Худайбердыев Эзиз Нурмухамедович </w:t>
      </w:r>
      <w:r w:rsidR="004137DA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26.12.1982 года рождения, уроженец этрапа Халач Лебапского велаята, по национальности туркмен, гражданин Туркменистана, работал учителем английского языка 2-й специализированной по иностранным языкам школы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Керки Лебапского велаята, ранее не судим, прописан по адресу: Лебапский велаят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Халач ул.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27-го Октября, дом 14, проживал по адресу: Лебапский велаят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Керки общежитие 2-й специализированной по иностранным языкам школы.</w:t>
      </w:r>
    </w:p>
    <w:p w14:paraId="0A341624" w14:textId="2F5B5A33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Худайбердыев Э. был осужден 29</w:t>
      </w:r>
      <w:r w:rsidR="004137DA" w:rsidRPr="003512A8">
        <w:rPr>
          <w:lang w:eastAsia="ru-RU"/>
        </w:rPr>
        <w:t xml:space="preserve"> июня </w:t>
      </w:r>
      <w:r w:rsidR="00E463B9" w:rsidRPr="003512A8">
        <w:rPr>
          <w:lang w:eastAsia="ru-RU"/>
        </w:rPr>
        <w:t xml:space="preserve">2017 года </w:t>
      </w:r>
      <w:r w:rsidR="00544EC3" w:rsidRPr="003512A8">
        <w:rPr>
          <w:lang w:eastAsia="ru-RU"/>
        </w:rPr>
        <w:t>с</w:t>
      </w:r>
      <w:r w:rsidR="00E463B9" w:rsidRPr="003512A8">
        <w:rPr>
          <w:lang w:eastAsia="ru-RU"/>
        </w:rPr>
        <w:t>удом Лебапского велаята по части 3 статьи 177 (Возбуждение социальной, национальной или религиозной вражды), по части 3 статьи 275 (Создание организованной группы, преступного сообщества и иных преступных структур или участие в их деятельности), по части 3 статьи 2751 (Финансирование преступных структур) УК Туркменистана и по совокупности содеянного на основании статьи 63 (Назначение наказания по совокупности преступлений) УК Туркменистана к 23 годам лишения свободы.</w:t>
      </w:r>
    </w:p>
    <w:p w14:paraId="0B421C07" w14:textId="0BE7A5F0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Худайбердыев Э. умер 30 июня 2019 года в учреждении МР-Е/15 Управления полиции Марыйского велаята, куда был перевед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 по состоянию здоровья, для получения необходимого лечения. Причиной смерти Худайбердыев Э. стали: канцер печени 4 степени, 4-ая клиническая группа, ТЗ.НХ.МХ. ка</w:t>
      </w:r>
      <w:r w:rsidR="003134A9" w:rsidRPr="003512A8">
        <w:rPr>
          <w:lang w:eastAsia="ru-RU"/>
        </w:rPr>
        <w:t>н</w:t>
      </w:r>
      <w:r w:rsidR="00E463B9" w:rsidRPr="003512A8">
        <w:rPr>
          <w:lang w:eastAsia="ru-RU"/>
        </w:rPr>
        <w:t>церное отравление тела, острая недостаточность печени, л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гочно-сердечная недостаточность III</w:t>
      </w:r>
      <w:r w:rsidR="003916D7" w:rsidRPr="003512A8">
        <w:rPr>
          <w:lang w:eastAsia="ru-RU"/>
        </w:rPr>
        <w:t>–I</w:t>
      </w:r>
      <w:r w:rsidR="00E463B9" w:rsidRPr="003512A8">
        <w:rPr>
          <w:lang w:eastAsia="ru-RU"/>
        </w:rPr>
        <w:t>V степеней, асцит, катаральный гастрит с эрозией, малокровие II степени. Тело Худайбердыев Э. было передано родственникам, о чем свидетельствует документы переписки между администрацией учреждения и врачом морга, хранящиеся в деле осужденного.</w:t>
      </w:r>
    </w:p>
    <w:p w14:paraId="0239EDD2" w14:textId="5111FF5C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lastRenderedPageBreak/>
        <w:t>73.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Мырадова Огулсапар Гарлыевна </w:t>
      </w:r>
      <w:r w:rsidR="004137DA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1948 года рождения, по национальности туркменка, пенсионерка, ранее не судима, 10</w:t>
      </w:r>
      <w:r w:rsidR="004137DA" w:rsidRPr="003512A8">
        <w:rPr>
          <w:lang w:eastAsia="ru-RU"/>
        </w:rPr>
        <w:t xml:space="preserve"> июня </w:t>
      </w:r>
      <w:r w:rsidR="00E463B9" w:rsidRPr="003512A8">
        <w:rPr>
          <w:lang w:eastAsia="ru-RU"/>
        </w:rPr>
        <w:t>2006</w:t>
      </w:r>
      <w:r w:rsidR="004137DA" w:rsidRPr="003512A8">
        <w:rPr>
          <w:lang w:eastAsia="ru-RU"/>
        </w:rPr>
        <w:t xml:space="preserve"> года</w:t>
      </w:r>
      <w:r w:rsidR="00E463B9" w:rsidRPr="003512A8">
        <w:rPr>
          <w:lang w:eastAsia="ru-RU"/>
        </w:rPr>
        <w:t xml:space="preserve"> в своем доме вошла в сговор с Хаджиевым С. о продаже Амангылыджову А. боеприпасов к стрелковому оружию, за что она осуждена судом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Ашхабада 17</w:t>
      </w:r>
      <w:r w:rsidR="004137DA" w:rsidRPr="003512A8">
        <w:rPr>
          <w:lang w:eastAsia="ru-RU"/>
        </w:rPr>
        <w:t xml:space="preserve"> августа </w:t>
      </w:r>
      <w:r w:rsidR="00E463B9" w:rsidRPr="003512A8">
        <w:rPr>
          <w:lang w:eastAsia="ru-RU"/>
        </w:rPr>
        <w:t>2006 г</w:t>
      </w:r>
      <w:r w:rsidR="004137DA"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по ст</w:t>
      </w:r>
      <w:r w:rsidR="00AA51C1" w:rsidRPr="003512A8">
        <w:rPr>
          <w:lang w:eastAsia="ru-RU"/>
        </w:rPr>
        <w:t>атье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 xml:space="preserve">287 (Незаконное приобретение, сбыт, хранение, провоз, пересылка или ношение оружия, боеприпасов, взрывчатых веществ или взрывных устройств) УК Туркменистана к </w:t>
      </w:r>
      <w:r w:rsidR="004137DA" w:rsidRPr="003512A8">
        <w:rPr>
          <w:lang w:eastAsia="ru-RU"/>
        </w:rPr>
        <w:t>шести</w:t>
      </w:r>
      <w:r w:rsidR="00E463B9" w:rsidRPr="003512A8">
        <w:rPr>
          <w:lang w:eastAsia="ru-RU"/>
        </w:rPr>
        <w:t xml:space="preserve"> го</w:t>
      </w:r>
      <w:r w:rsidR="004137DA" w:rsidRPr="003512A8">
        <w:rPr>
          <w:lang w:eastAsia="ru-RU"/>
        </w:rPr>
        <w:t>д</w:t>
      </w:r>
      <w:r w:rsidR="00E463B9" w:rsidRPr="003512A8">
        <w:rPr>
          <w:lang w:eastAsia="ru-RU"/>
        </w:rPr>
        <w:t>ам лишения свободы, с отбыванием наказания в исправительном учреждении общего режима.</w:t>
      </w:r>
    </w:p>
    <w:p w14:paraId="03654A63" w14:textId="6AD4EA95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сентябре 2006 года заключенная Мырадова О.Г. совершила суицид, путем </w:t>
      </w:r>
      <w:r w:rsidRPr="003512A8">
        <w:rPr>
          <w:lang w:eastAsia="ru-RU"/>
        </w:rPr>
        <w:t>самоповешения</w:t>
      </w:r>
      <w:r w:rsidR="00E463B9" w:rsidRPr="003512A8">
        <w:rPr>
          <w:lang w:eastAsia="ru-RU"/>
        </w:rPr>
        <w:t>. По данному факту проверка проведена прокуратурой и 13</w:t>
      </w:r>
      <w:r w:rsidR="004137DA" w:rsidRPr="003512A8">
        <w:rPr>
          <w:lang w:eastAsia="ru-RU"/>
        </w:rPr>
        <w:t xml:space="preserve"> сентября </w:t>
      </w:r>
      <w:r w:rsidR="00E463B9" w:rsidRPr="003512A8">
        <w:rPr>
          <w:lang w:eastAsia="ru-RU"/>
        </w:rPr>
        <w:t>2006 г</w:t>
      </w:r>
      <w:r w:rsidR="004137DA"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отказано в возбуждении уголовного дела из-за отсутствия признаков преступления. Тело Мырадовой было передано родственникам, о чем свидетельствует документы переписки между администрацией учреждения и врачом морга, хранящиеся в деле осужденной.</w:t>
      </w:r>
    </w:p>
    <w:p w14:paraId="5FE37B2D" w14:textId="1D444697" w:rsidR="00E463B9" w:rsidRPr="003512A8" w:rsidRDefault="00810B84" w:rsidP="00810B84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Свобода и личная неприкосновенность (статья 9)</w:t>
      </w:r>
    </w:p>
    <w:p w14:paraId="20F282A3" w14:textId="3B5C3C8D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Исматуллаева Хурсанай Рахматовна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08.06.1967 года рождения, уроженка города Керки Лебапского велаята, по национальности узбечка, гражданка Туркменистана, нигде не работала, ранее не судима, проживала по адресу: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 xml:space="preserve">Ашхабад, Бюзмейинский этрап, жилой комплекс </w:t>
      </w:r>
      <w:r w:rsidR="004137DA" w:rsidRPr="003512A8">
        <w:rPr>
          <w:lang w:eastAsia="ru-RU"/>
        </w:rPr>
        <w:t>«</w:t>
      </w:r>
      <w:r w:rsidR="00E463B9" w:rsidRPr="003512A8">
        <w:rPr>
          <w:lang w:eastAsia="ru-RU"/>
        </w:rPr>
        <w:t>Багир</w:t>
      </w:r>
      <w:r w:rsidR="004137DA" w:rsidRPr="003512A8">
        <w:rPr>
          <w:lang w:eastAsia="ru-RU"/>
        </w:rPr>
        <w:t>»</w:t>
      </w:r>
      <w:r w:rsidR="00E463B9" w:rsidRPr="003512A8">
        <w:rPr>
          <w:lang w:eastAsia="ru-RU"/>
        </w:rPr>
        <w:t>, ул.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Янбаш, дом 6.</w:t>
      </w:r>
    </w:p>
    <w:p w14:paraId="128A64F5" w14:textId="7F1FB49E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Исматуллаева X. осуждена 7</w:t>
      </w:r>
      <w:r w:rsidR="004137DA" w:rsidRPr="003512A8">
        <w:rPr>
          <w:lang w:eastAsia="ru-RU"/>
        </w:rPr>
        <w:t xml:space="preserve"> сентября </w:t>
      </w:r>
      <w:r w:rsidR="00E463B9" w:rsidRPr="003512A8">
        <w:rPr>
          <w:lang w:eastAsia="ru-RU"/>
        </w:rPr>
        <w:t xml:space="preserve">2021 года </w:t>
      </w:r>
      <w:r w:rsidR="002B7742" w:rsidRPr="003512A8">
        <w:rPr>
          <w:lang w:eastAsia="ru-RU"/>
        </w:rPr>
        <w:t>c</w:t>
      </w:r>
      <w:r w:rsidR="00E463B9" w:rsidRPr="003512A8">
        <w:rPr>
          <w:lang w:eastAsia="ru-RU"/>
        </w:rPr>
        <w:t>удом Бюзмейинского этрапа г.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 xml:space="preserve">Ашхабада по части 2 и 3 статьи 218 (Подделка, изготовление, сбыт поддельных документов, штампов, печатей, бланков или использование подложного документа), по части 2 статьи 114 (Жестокое обращение с лицом, находящимся в зависимом положении или беспомощном состоянии), по части 4 статьи 228 (Мошенничество) УК Туркменистана и по совокупности содеянного на основании статьи 63 (Назначение наказания по совокупности преступлений) УК Туркменистана к </w:t>
      </w:r>
      <w:r w:rsidR="004137DA" w:rsidRPr="003512A8">
        <w:rPr>
          <w:lang w:eastAsia="ru-RU"/>
        </w:rPr>
        <w:t>девяти</w:t>
      </w:r>
      <w:r w:rsidR="00E463B9" w:rsidRPr="003512A8">
        <w:rPr>
          <w:lang w:eastAsia="ru-RU"/>
        </w:rPr>
        <w:t xml:space="preserve"> годам лишения свободы.</w:t>
      </w:r>
    </w:p>
    <w:p w14:paraId="624FD841" w14:textId="4C04817D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настоящее время Исматуллаева X. отбывает наказание в учреждении ДЗ-Е/8 Управления полиции Дашогузского велаята.</w:t>
      </w:r>
    </w:p>
    <w:p w14:paraId="2C2819DE" w14:textId="23B1FFD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Получение профессиональной юридической помощи является конституционным правом каждого человека в Туркменистане.</w:t>
      </w:r>
    </w:p>
    <w:p w14:paraId="197534D7" w14:textId="7F44CF74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79.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соответствии со ст</w:t>
      </w:r>
      <w:r w:rsidR="004137DA" w:rsidRPr="003512A8">
        <w:rPr>
          <w:lang w:eastAsia="ru-RU"/>
        </w:rPr>
        <w:t>атьей</w:t>
      </w:r>
      <w:r w:rsidR="00E463B9" w:rsidRPr="003512A8">
        <w:rPr>
          <w:lang w:eastAsia="ru-RU"/>
        </w:rPr>
        <w:t xml:space="preserve"> 4 Закона Туркменистана «Об адвокатуре и адвокатской деятельности в Туркменистане» государство гарантирует оказание всем необходимой профессиональной юридической помощи.</w:t>
      </w:r>
    </w:p>
    <w:p w14:paraId="4618E15E" w14:textId="73D75A8B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А также в соответствии с Уголовно-процессуальным кодексом Туркменистана подозреваемый и обвиняемый вправе на сообщение членам своей семьи, близким родственникам или по месту работы о сво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м задержании и месте нахождения. </w:t>
      </w:r>
    </w:p>
    <w:p w14:paraId="53D8DFDC" w14:textId="3AAC1F48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Обращение с лицами, лишенными свободы (статьи 7 и 10)</w:t>
      </w:r>
    </w:p>
    <w:p w14:paraId="13032F3C" w14:textId="3385FC19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Места заключения находятся под постоянным контролем Наблюдательных комиссий, котор</w:t>
      </w:r>
      <w:r w:rsidR="00986356" w:rsidRPr="003512A8">
        <w:rPr>
          <w:lang w:eastAsia="ru-RU"/>
        </w:rPr>
        <w:t>ые</w:t>
      </w:r>
      <w:r w:rsidR="00E463B9" w:rsidRPr="003512A8">
        <w:rPr>
          <w:lang w:eastAsia="ru-RU"/>
        </w:rPr>
        <w:t xml:space="preserve"> периодически посеща</w:t>
      </w:r>
      <w:r w:rsidR="00986356" w:rsidRPr="003512A8">
        <w:rPr>
          <w:lang w:eastAsia="ru-RU"/>
        </w:rPr>
        <w:t>ю</w:t>
      </w:r>
      <w:r w:rsidR="00E463B9" w:rsidRPr="003512A8">
        <w:rPr>
          <w:lang w:eastAsia="ru-RU"/>
        </w:rPr>
        <w:t>т заключенных и интересу</w:t>
      </w:r>
      <w:r w:rsidR="00E97352" w:rsidRPr="003512A8">
        <w:rPr>
          <w:lang w:eastAsia="ru-RU"/>
        </w:rPr>
        <w:t>ю</w:t>
      </w:r>
      <w:r w:rsidR="00E463B9" w:rsidRPr="003512A8">
        <w:rPr>
          <w:lang w:eastAsia="ru-RU"/>
        </w:rPr>
        <w:t>тся их состоянием и условиями содержания. Наблюдательные комиссии, осуществляют контроль за соблюдением законности в исправительных учреждениях, соблюдением порядка и условий содержания осужденных, надлежащим обеспечением жилищно-бытовых и санитарно-гигиенических условий, привлечение осужденных к общественно полезному труду, предоставлением осужденным медицинской помощи, свиданий с родственниками и иными лицами, соблюдением законодательных норм по досрочному освобождению осужденных от наказания, замены оставшейся части срока наказания более мягким видом наказания, а также соблюдением порядка передач осужденным, получения или отправления ими посылок, бандеролей, денежных переводов и их перепиской.</w:t>
      </w:r>
    </w:p>
    <w:p w14:paraId="7C37BEA6" w14:textId="757193FD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соответствии с ежегодно утверждаемым планом Наблюдательными комиссиями проводятся посещения мест лишения свободы. Так, в период 2019</w:t>
      </w:r>
      <w:r w:rsidR="004137DA" w:rsidRPr="003512A8">
        <w:rPr>
          <w:lang w:eastAsia="ru-RU"/>
        </w:rPr>
        <w:t xml:space="preserve"> года ⸺</w:t>
      </w:r>
      <w:r w:rsidR="00E463B9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lastRenderedPageBreak/>
        <w:t>6 месяцев 2021 года Наблюдательные комиссии 21 раз посещали места лишения свободы, в частности в 2019 г</w:t>
      </w:r>
      <w:r w:rsidR="004137DA" w:rsidRPr="003512A8">
        <w:rPr>
          <w:lang w:eastAsia="ru-RU"/>
        </w:rPr>
        <w:t>оду</w:t>
      </w:r>
      <w:r w:rsidR="00E463B9" w:rsidRPr="003512A8">
        <w:rPr>
          <w:lang w:eastAsia="ru-RU"/>
        </w:rPr>
        <w:t xml:space="preserve"> </w:t>
      </w:r>
      <w:r w:rsidR="004137DA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3 раза, 2020 г</w:t>
      </w:r>
      <w:r w:rsidR="004137DA" w:rsidRPr="003512A8">
        <w:rPr>
          <w:lang w:eastAsia="ru-RU"/>
        </w:rPr>
        <w:t>оду</w:t>
      </w:r>
      <w:r w:rsidR="00E463B9" w:rsidRPr="003512A8">
        <w:rPr>
          <w:lang w:eastAsia="ru-RU"/>
        </w:rPr>
        <w:t xml:space="preserve"> </w:t>
      </w:r>
      <w:r w:rsidR="004137DA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12 раз и в 2021 г</w:t>
      </w:r>
      <w:r w:rsidR="004137DA" w:rsidRPr="003512A8">
        <w:rPr>
          <w:lang w:eastAsia="ru-RU"/>
        </w:rPr>
        <w:t>оду</w:t>
      </w:r>
      <w:r w:rsidR="00E463B9" w:rsidRPr="003512A8">
        <w:rPr>
          <w:lang w:eastAsia="ru-RU"/>
        </w:rPr>
        <w:t xml:space="preserve"> </w:t>
      </w:r>
      <w:r w:rsidR="004137DA"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6 раз.</w:t>
      </w:r>
    </w:p>
    <w:p w14:paraId="0199ECCE" w14:textId="16C17CE3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 целью улучшения условий содержания, обеспечения прав осужденных, предотвращения пыток и других унижающих достоинство лиц, находящихся в местах лишения свободы, руководством МВД Туркменистана проведена большая работа по капитальному строительству и ремонту объектов исполнения наказания, обеспечению специальными оборудованиями, медицинскими оборудованиями, обучению персонала с целью обеспечения прав осужденных и многое другое. В частности, ведется работа по приведению жилищно-бытовых условия пенитенциарной системы в полное соответствие с требованиями УИК Туркменистана. Лицам, отбывающим наказание в исправительных учреждениях, обеспечиваются необходимые жилищно-бытовые условия.</w:t>
      </w:r>
    </w:p>
    <w:p w14:paraId="36D644AD" w14:textId="2986CB5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Проведены и проводятся работы по капитальному ремонту и модернизации существующих объектов. В период 2019</w:t>
      </w:r>
      <w:r w:rsidRPr="003512A8">
        <w:rPr>
          <w:lang w:eastAsia="ru-RU"/>
        </w:rPr>
        <w:t>–</w:t>
      </w:r>
      <w:r w:rsidR="00E463B9" w:rsidRPr="003512A8">
        <w:rPr>
          <w:lang w:eastAsia="ru-RU"/>
        </w:rPr>
        <w:t>2021 год</w:t>
      </w:r>
      <w:r w:rsidR="00BD7149" w:rsidRPr="003512A8">
        <w:rPr>
          <w:lang w:eastAsia="ru-RU"/>
        </w:rPr>
        <w:t>ов</w:t>
      </w:r>
      <w:r w:rsidR="00E463B9" w:rsidRPr="003512A8">
        <w:rPr>
          <w:lang w:eastAsia="ru-RU"/>
        </w:rPr>
        <w:t xml:space="preserve"> произведены капитальный ремонт и реконструкция зданий и сооружений учреждений МР-Е/15, МР-Е/16 и МР-Е/17 УП Марыйского велаята, БЛ-Е/5 и БЛ-Е/6 УП Балканского велаята, АХ-Е/1 и АХ-Е/2 УП Ахалского велаята.</w:t>
      </w:r>
    </w:p>
    <w:p w14:paraId="73E56CE3" w14:textId="4FDA46F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МВД Туркменистана предприняло превентивные меры и ограничения в пенитенциарных учреждениях страны</w:t>
      </w:r>
      <w:r w:rsidR="0031039C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в связи с распространением в мире пандемии COVID-19. Администрация исправительных учреждений нес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т ответственность за выполнение установленных санитарно-гигиенических и противоэпидемических требований, обеспечивающих охрану здоровья осужд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нных. Медико-санитарная и профилактическая помощь осужд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нным в местах лишения свободы организуется в тесной связи с местными органами здравоохранения и проводится в соответствии с законодательством Туркменистана и Правилами внутреннего распорядка, а также соответствующим приказом МВД Туркменистана.</w:t>
      </w:r>
    </w:p>
    <w:p w14:paraId="438F30C8" w14:textId="2775767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частности, в связи с начавшейся всемирной пандемией в пенитенциарных учреждениях были предприняты следующие меры:</w:t>
      </w:r>
    </w:p>
    <w:p w14:paraId="674F4D48" w14:textId="604E8DAB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1)</w:t>
      </w:r>
      <w:r w:rsidR="00E463B9" w:rsidRPr="003512A8">
        <w:rPr>
          <w:lang w:eastAsia="ru-RU"/>
        </w:rPr>
        <w:tab/>
        <w:t>изданы соответствующие указание и приказ об усилении проводимых мероприятий по лечению и профилактике инфекционных болезней;</w:t>
      </w:r>
    </w:p>
    <w:p w14:paraId="6854C12F" w14:textId="1C5127DF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2)</w:t>
      </w:r>
      <w:r w:rsidR="00E463B9" w:rsidRPr="003512A8">
        <w:rPr>
          <w:lang w:eastAsia="ru-RU"/>
        </w:rPr>
        <w:tab/>
        <w:t>согласно договор</w:t>
      </w:r>
      <w:r w:rsidR="00AA51C1" w:rsidRPr="003512A8">
        <w:rPr>
          <w:lang w:eastAsia="ru-RU"/>
        </w:rPr>
        <w:t>у</w:t>
      </w:r>
      <w:r w:rsidR="00E463B9" w:rsidRPr="003512A8">
        <w:rPr>
          <w:lang w:eastAsia="ru-RU"/>
        </w:rPr>
        <w:t xml:space="preserve"> с Санитарно-эпидемиологической службой Министерства здравоохранения и медицинской промышленности Туркменистана раз в десять дней проводятся мероприятия по обеззараживанию в целом учреждений, </w:t>
      </w:r>
      <w:r w:rsidR="00D02728" w:rsidRPr="003512A8">
        <w:rPr>
          <w:lang w:eastAsia="ru-RU"/>
        </w:rPr>
        <w:br/>
      </w:r>
      <w:r w:rsidR="00E463B9" w:rsidRPr="003512A8">
        <w:rPr>
          <w:lang w:eastAsia="ru-RU"/>
        </w:rPr>
        <w:t>а также регулярно проводится контроль воды и калорийности приготовляемой пищи согласно утвержденного меню;</w:t>
      </w:r>
    </w:p>
    <w:p w14:paraId="168415D9" w14:textId="50839EE0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3)</w:t>
      </w:r>
      <w:r w:rsidR="00E463B9" w:rsidRPr="003512A8">
        <w:rPr>
          <w:lang w:eastAsia="ru-RU"/>
        </w:rPr>
        <w:tab/>
        <w:t xml:space="preserve">усилен ежедневный контроль проведения санитарно-гигиенических мероприятий помещений в учреждениях с помощью </w:t>
      </w:r>
      <w:r w:rsidR="00AA51C1" w:rsidRPr="003512A8">
        <w:rPr>
          <w:lang w:eastAsia="ru-RU"/>
        </w:rPr>
        <w:t>хлорсодержащих</w:t>
      </w:r>
      <w:r w:rsidR="00E463B9" w:rsidRPr="003512A8">
        <w:rPr>
          <w:lang w:eastAsia="ru-RU"/>
        </w:rPr>
        <w:t xml:space="preserve"> дезинфицирующих средств (Mikrodez, Benzidin), нанесения противовирусной мази (Оксалин) сотрудникам и осужденным отбывающим срок наказания, обработки рук раствором </w:t>
      </w:r>
      <w:r w:rsidR="00D02728" w:rsidRPr="003512A8">
        <w:rPr>
          <w:lang w:eastAsia="ru-RU"/>
        </w:rPr>
        <w:t>«</w:t>
      </w:r>
      <w:r w:rsidR="00E463B9" w:rsidRPr="003512A8">
        <w:rPr>
          <w:lang w:eastAsia="ru-RU"/>
        </w:rPr>
        <w:t>Steriderm</w:t>
      </w:r>
      <w:r w:rsidR="00D02728" w:rsidRPr="003512A8">
        <w:rPr>
          <w:lang w:eastAsia="ru-RU"/>
        </w:rPr>
        <w:t>»</w:t>
      </w:r>
      <w:r w:rsidR="00E463B9" w:rsidRPr="003512A8">
        <w:rPr>
          <w:lang w:eastAsia="ru-RU"/>
        </w:rPr>
        <w:t xml:space="preserve">, проветриванием помещений, а также окуривание помещений лекарственной травой Гармала (üzärlik), обладающей противомикробным действием, у входов помещений каждые </w:t>
      </w:r>
      <w:r w:rsidR="005B421E" w:rsidRPr="003512A8">
        <w:rPr>
          <w:lang w:eastAsia="ru-RU"/>
        </w:rPr>
        <w:t>три</w:t>
      </w:r>
      <w:r w:rsidR="00E463B9" w:rsidRPr="003512A8">
        <w:rPr>
          <w:lang w:eastAsia="ru-RU"/>
        </w:rPr>
        <w:t xml:space="preserve"> часа обрабатываются полы гипохлоритом натрия;</w:t>
      </w:r>
    </w:p>
    <w:p w14:paraId="6446DD47" w14:textId="39012D6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4)</w:t>
      </w:r>
      <w:r w:rsidR="00E463B9" w:rsidRPr="003512A8">
        <w:rPr>
          <w:lang w:eastAsia="ru-RU"/>
        </w:rPr>
        <w:tab/>
        <w:t xml:space="preserve">в рационе питания осужденных налажен ежедневный прием пищи в виде домашней </w:t>
      </w:r>
      <w:r w:rsidR="00D02728" w:rsidRPr="003512A8">
        <w:rPr>
          <w:lang w:eastAsia="ru-RU"/>
        </w:rPr>
        <w:t>лапши</w:t>
      </w:r>
      <w:r w:rsidR="00E463B9" w:rsidRPr="003512A8">
        <w:rPr>
          <w:lang w:eastAsia="ru-RU"/>
        </w:rPr>
        <w:t xml:space="preserve"> с перцем и фитонцидосодержащей зелени (лук, чеснок);</w:t>
      </w:r>
    </w:p>
    <w:p w14:paraId="1A1C50CD" w14:textId="6B7E7358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5)</w:t>
      </w:r>
      <w:r w:rsidR="00E463B9" w:rsidRPr="003512A8">
        <w:rPr>
          <w:lang w:eastAsia="ru-RU"/>
        </w:rPr>
        <w:tab/>
        <w:t>среди осужденных сотрудниками медицинских служб пенитенциарных учреждений ведется регулярная пропаганда о здоровом образе жизни, личной гигиене, и мерах профилактики инфекционных болезней.</w:t>
      </w:r>
    </w:p>
    <w:p w14:paraId="243ECCE4" w14:textId="6E939AFD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 xml:space="preserve">Ликвидация рабства, подневольного состояния и торговли людьми (статьи 2, </w:t>
      </w:r>
      <w:r w:rsidR="00FC6A42" w:rsidRPr="003512A8">
        <w:rPr>
          <w:rFonts w:eastAsiaTheme="minorEastAsia"/>
        </w:rPr>
        <w:br/>
      </w:r>
      <w:r w:rsidR="00E463B9" w:rsidRPr="003512A8">
        <w:rPr>
          <w:rFonts w:eastAsiaTheme="minorEastAsia"/>
        </w:rPr>
        <w:t>7–8, 24 и 26)</w:t>
      </w:r>
    </w:p>
    <w:p w14:paraId="5CA53925" w14:textId="2FADCC01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По данным судебной статистики показатели по торговле людьми от общего числа всех рассмотренных дел за 2019 год составляет 0,03</w:t>
      </w:r>
      <w:r w:rsidRPr="003512A8">
        <w:rPr>
          <w:lang w:eastAsia="ru-RU"/>
        </w:rPr>
        <w:t> </w:t>
      </w:r>
      <w:r w:rsidR="00E463B9" w:rsidRPr="003512A8">
        <w:rPr>
          <w:lang w:eastAsia="ru-RU"/>
        </w:rPr>
        <w:t>%, за 2020 год составляет 0,03</w:t>
      </w:r>
      <w:r w:rsidRPr="003512A8">
        <w:rPr>
          <w:lang w:eastAsia="ru-RU"/>
        </w:rPr>
        <w:t> </w:t>
      </w:r>
      <w:r w:rsidR="00E463B9" w:rsidRPr="003512A8">
        <w:rPr>
          <w:lang w:eastAsia="ru-RU"/>
        </w:rPr>
        <w:t xml:space="preserve">% и за 2021 год равны нулю. </w:t>
      </w:r>
    </w:p>
    <w:p w14:paraId="498E2EF6" w14:textId="39DFCD0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lastRenderedPageBreak/>
        <w:t>88.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Закон Туркменистана «О государственной защите потерпевших, свидетелей и иных участников уголовного судопроизводства» предусматривает меры социальной защиты потерпевшего, а также других лиц уголовного судопроизводства.</w:t>
      </w:r>
    </w:p>
    <w:p w14:paraId="621F7745" w14:textId="2F2AAC21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89.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Уголовном кодексе Туркменистана, утвержд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нном Законом Туркменистана «О внесении изменений и дополнений в Уголовный кодекс Туркменистана и утверждении его в новой редакции» (вводится в действие 1 января 2023 года), усовершенствованы нормы санкций за вовлечение несовершеннолетнего лица в занятие проституцией (изложено в отдельной статье 155). </w:t>
      </w:r>
    </w:p>
    <w:p w14:paraId="621A770B" w14:textId="75D5F25F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Право на свободу передвижения (статьи 9, 12, 17 и 19)</w:t>
      </w:r>
    </w:p>
    <w:p w14:paraId="17D80A58" w14:textId="2E6AF425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связи с пандемией COVID-19, что повлияло на право свободного передвижения, в соответствии с постановлением Президента Туркменистана № 2300 от 1</w:t>
      </w:r>
      <w:r w:rsidR="00D02728" w:rsidRPr="003512A8">
        <w:rPr>
          <w:lang w:eastAsia="ru-RU"/>
        </w:rPr>
        <w:t xml:space="preserve"> июля </w:t>
      </w:r>
      <w:r w:rsidR="00E463B9" w:rsidRPr="003512A8">
        <w:rPr>
          <w:lang w:eastAsia="ru-RU"/>
        </w:rPr>
        <w:t>2021 г</w:t>
      </w:r>
      <w:r w:rsidR="00D02728"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сроки действия паспортов для выезда из Туркменистана и въезда в Туркменистан временно пребывающих или постоянно проживающих за рубежом граждан нашей страны были продлены до 31</w:t>
      </w:r>
      <w:r w:rsidR="00D02728" w:rsidRPr="003512A8">
        <w:rPr>
          <w:lang w:eastAsia="ru-RU"/>
        </w:rPr>
        <w:t xml:space="preserve"> декабря </w:t>
      </w:r>
      <w:r w:rsidR="00E463B9" w:rsidRPr="003512A8">
        <w:rPr>
          <w:lang w:eastAsia="ru-RU"/>
        </w:rPr>
        <w:t>2022 г</w:t>
      </w:r>
      <w:r w:rsidR="00D02728"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. В связи с продолжающейся пандемией согласно документу предписано, сроки действия загранпаспортов которых истекают в период 1 января 2023 года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30 декабря </w:t>
      </w:r>
      <w:r w:rsidR="00D02728" w:rsidRPr="003512A8">
        <w:rPr>
          <w:lang w:eastAsia="ru-RU"/>
        </w:rPr>
        <w:br/>
      </w:r>
      <w:r w:rsidR="00E463B9" w:rsidRPr="003512A8">
        <w:rPr>
          <w:lang w:eastAsia="ru-RU"/>
        </w:rPr>
        <w:t xml:space="preserve">2024 года, продлить до 31 декабря 2024 года. </w:t>
      </w:r>
    </w:p>
    <w:p w14:paraId="7E31CE8D" w14:textId="5E076A9C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Доступ к правосудию, независимость судебной власти и справедливое судебное разбирательство (статья 14)</w:t>
      </w:r>
    </w:p>
    <w:p w14:paraId="05E597BC" w14:textId="5116E0CD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Независимость судей гарантирована Конституцией Туркменистана. В ст</w:t>
      </w:r>
      <w:r w:rsidRPr="003512A8">
        <w:rPr>
          <w:lang w:eastAsia="ru-RU"/>
        </w:rPr>
        <w:t>атье</w:t>
      </w:r>
      <w:r w:rsidR="00E463B9" w:rsidRPr="003512A8">
        <w:rPr>
          <w:lang w:eastAsia="ru-RU"/>
        </w:rPr>
        <w:t xml:space="preserve"> 98 четко отражено, что судьи независимы, они подчиняются только Конституции Туркменистана и закону. Вмешательство в деятельность судей с чьей бы то ни было стороны недопустимы и влеч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т ответственность, установленную законом.</w:t>
      </w:r>
    </w:p>
    <w:p w14:paraId="53FAB12E" w14:textId="42FC48F0" w:rsidR="00E463B9" w:rsidRPr="003512A8" w:rsidRDefault="00FC6A42" w:rsidP="00A035AE">
      <w:pPr>
        <w:pStyle w:val="SingleTxtG"/>
        <w:rPr>
          <w:lang w:eastAsia="ru-RU"/>
        </w:rPr>
      </w:pPr>
      <w:r w:rsidRPr="003512A8">
        <w:t>92.</w:t>
      </w:r>
      <w:r w:rsidRPr="003512A8">
        <w:tab/>
      </w:r>
      <w:r w:rsidR="00E463B9" w:rsidRPr="003512A8">
        <w:rPr>
          <w:lang w:eastAsia="ru-RU"/>
        </w:rPr>
        <w:t>Закон Туркменистана «О суде» в соответствии с Конституцией Туркменистана определяет организационно-правовую основу деятельности судов, осуществляющих судебную власть в Туркменистане, где четко отражен порядок назначения и освобождения судей, согласно которо</w:t>
      </w:r>
      <w:r w:rsidR="00831609" w:rsidRPr="003512A8">
        <w:rPr>
          <w:lang w:eastAsia="ru-RU"/>
        </w:rPr>
        <w:t>му</w:t>
      </w:r>
      <w:r w:rsidR="00E463B9" w:rsidRPr="003512A8">
        <w:rPr>
          <w:lang w:eastAsia="ru-RU"/>
        </w:rPr>
        <w:t xml:space="preserve"> решение этих вопросов зависит от квалификационных коллегий, состоящих из самих судей и действующих независимо от какого-либо влияния. </w:t>
      </w:r>
    </w:p>
    <w:p w14:paraId="536C2028" w14:textId="515E888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Законе Туркменистана «О суде» отражено, что судья никому не обязан давать пояснения по рассмотренному делу или делу, находящемуся в производстве. Независимость и неприкосновенность судей гарантируется законом.</w:t>
      </w:r>
    </w:p>
    <w:p w14:paraId="3928B98F" w14:textId="283A2F0A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отношении судьи не может быть возбуждено уголовное дело, а также он не может быть арестован без согласия Президента Туркменистана. Неприкосновенность судьи имеет отношение к его личности, собственности, жилью, где он проживает и работает, служебному и личному транспорту и другому имуществу. Указанные гарантии имеют отношение к заседателю суда во время выполнения им обязанностей заседателя в суде. Не допускаются задержание, привод судьи, а также заседателя суда при исполнении им обязанностей заседателя в суде или применение в отношении них мер административного взыскания. </w:t>
      </w:r>
    </w:p>
    <w:p w14:paraId="0C80C51E" w14:textId="39773EA1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Право на неприкосновенность частной жизни (статья 17)</w:t>
      </w:r>
    </w:p>
    <w:p w14:paraId="4CD14A0E" w14:textId="1FD94138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Шабунц Наталья Юриевна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25.11.1951 года рождения, уроженка города Симферополь Российской Федерации, гражданка Туркменистана, по национальности русская, проживающая по адресу г.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Ашхабад, мкр.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Парахат 2/4 дом 7 кв.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 xml:space="preserve">7. Министерство внутренних дел Туркменистана не располагает информацией, относительно отключения и ограничения на доступ к </w:t>
      </w:r>
      <w:r w:rsidR="003D3DAF" w:rsidRPr="003512A8">
        <w:rPr>
          <w:lang w:eastAsia="ru-RU"/>
        </w:rPr>
        <w:t>И</w:t>
      </w:r>
      <w:r w:rsidR="00E463B9" w:rsidRPr="003512A8">
        <w:rPr>
          <w:lang w:eastAsia="ru-RU"/>
        </w:rPr>
        <w:t>нтернету Н.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Шабунц, а также о неизвестных лицах, причастных к е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 преследованиям.</w:t>
      </w:r>
    </w:p>
    <w:p w14:paraId="582DB1DF" w14:textId="5C2F9D86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Право на свободу совести и религиозных убеждений (статья 18)</w:t>
      </w:r>
    </w:p>
    <w:p w14:paraId="1557ECFB" w14:textId="0E6E79A7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Порядок регистрации религиозных организаций регламентируется законом Туркменистана «О свободе вероисповедания и религиозных организациях» </w:t>
      </w:r>
      <w:r w:rsidR="00D02728" w:rsidRPr="003512A8">
        <w:rPr>
          <w:lang w:eastAsia="ru-RU"/>
        </w:rPr>
        <w:br/>
      </w:r>
      <w:r w:rsidR="00E463B9" w:rsidRPr="003512A8">
        <w:rPr>
          <w:lang w:eastAsia="ru-RU"/>
        </w:rPr>
        <w:t>от 26</w:t>
      </w:r>
      <w:r w:rsidR="00D02728" w:rsidRPr="003512A8">
        <w:rPr>
          <w:lang w:eastAsia="ru-RU"/>
        </w:rPr>
        <w:t xml:space="preserve"> марта</w:t>
      </w:r>
      <w:r w:rsidR="00696835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2016 г</w:t>
      </w:r>
      <w:r w:rsidR="00D02728"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. Согласно статье 5 Закона, воспрепятствование осуществлению </w:t>
      </w:r>
      <w:r w:rsidR="00E463B9" w:rsidRPr="003512A8">
        <w:rPr>
          <w:lang w:eastAsia="ru-RU"/>
        </w:rPr>
        <w:lastRenderedPageBreak/>
        <w:t>права на свободу вероисповедания, в том числе сопряж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нное с насилием над личностью, умышленным оскорблением чувств и достоинства граждан в связи с их отношением к религии, пропагандой религиозного превосходства, с уничтожением или повреждением имущества либо угрозой совершения таких действий, запрещается и преследуется в соответствии с законом. </w:t>
      </w:r>
    </w:p>
    <w:p w14:paraId="692B0B3C" w14:textId="4508CFD3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Статья 7 указанного Закона воспрепятствование законной религиозной деятельности, нарушение гражданских прав физических лиц по мотивам отношения к религии или оскорбление их религиозных чувств и достоинства, осквернение почитаемых последователями той или иной религии предметов, строений и мест не допускаются. </w:t>
      </w:r>
    </w:p>
    <w:p w14:paraId="335AE386" w14:textId="376EB9D0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Согласно Закону</w:t>
      </w:r>
      <w:r w:rsidR="00AA51C1" w:rsidRPr="003512A8">
        <w:rPr>
          <w:lang w:eastAsia="ru-RU"/>
        </w:rPr>
        <w:t>,</w:t>
      </w:r>
      <w:r w:rsidR="00E463B9" w:rsidRPr="003512A8">
        <w:rPr>
          <w:lang w:eastAsia="ru-RU"/>
        </w:rPr>
        <w:t xml:space="preserve"> не допускаются вовлечение несовершеннолетних в религиозные организации, а также обучение их религии вопреки их воле, воле родителей или лиц, их заменяющих. Никто не имеет права по мотивам своих религиозных убеждений отказываться от исполнения обязанностей, установленных Конституцией и законами Туркменистана. </w:t>
      </w:r>
    </w:p>
    <w:p w14:paraId="40D766A5" w14:textId="4A7B5859" w:rsidR="00E463B9" w:rsidRPr="003512A8" w:rsidRDefault="00FC6A42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99.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Статья 10 указанного Закона предусматривает полномочия Комиссии по работе с религиозными организациями и экспертизе ресурсов, содержащих религиозные сведения, издательской и полиграфической продукции в Туркменистане. Комиссия осуществляет свою деятельность в соответствии с Положением о ней, утверждаемым Кабинетом Министров Туркменистана. Комиссия в пределах своих полномочий:</w:t>
      </w:r>
    </w:p>
    <w:p w14:paraId="22898F0D" w14:textId="77777777" w:rsidR="00E463B9" w:rsidRPr="003512A8" w:rsidRDefault="00E463B9" w:rsidP="00FC6A42">
      <w:pPr>
        <w:pStyle w:val="Bullet1G"/>
        <w:numPr>
          <w:ilvl w:val="0"/>
          <w:numId w:val="14"/>
        </w:numPr>
      </w:pPr>
      <w:r w:rsidRPr="003512A8">
        <w:t>осуществляет контроль за деятельностью религиозных организаций по исполнению законодательства о свободе вероисповедания и религиозных организациях в Туркменистане, координирует их деятельность и разрабатывает предложения по совершенствованию соответствующего законодательства Туркменистана;</w:t>
      </w:r>
    </w:p>
    <w:p w14:paraId="1241A7AA" w14:textId="77777777" w:rsidR="00E463B9" w:rsidRPr="003512A8" w:rsidRDefault="00E463B9" w:rsidP="00FC6A42">
      <w:pPr>
        <w:pStyle w:val="Bullet1G"/>
        <w:numPr>
          <w:ilvl w:val="0"/>
          <w:numId w:val="14"/>
        </w:numPr>
      </w:pPr>
      <w:r w:rsidRPr="003512A8">
        <w:t>изучает и анализирует деятельность религиозных организаций, действующих в Туркменистане;</w:t>
      </w:r>
    </w:p>
    <w:p w14:paraId="7BC9D23C" w14:textId="77777777" w:rsidR="00E463B9" w:rsidRPr="003512A8" w:rsidRDefault="00E463B9" w:rsidP="00FC6A42">
      <w:pPr>
        <w:pStyle w:val="Bullet1G"/>
        <w:numPr>
          <w:ilvl w:val="0"/>
          <w:numId w:val="14"/>
        </w:numPr>
      </w:pPr>
      <w:r w:rsidRPr="003512A8">
        <w:t>рассматривает заявления, обращения и жалобы граждан, связанные с деятельностью религиозных организаций, и принимает меры по устранению выявленных недостатков и нарушений;</w:t>
      </w:r>
    </w:p>
    <w:p w14:paraId="089351D2" w14:textId="09A118C9" w:rsidR="00E463B9" w:rsidRPr="003512A8" w:rsidRDefault="00E463B9" w:rsidP="00FC6A42">
      <w:pPr>
        <w:pStyle w:val="Bullet1G"/>
        <w:numPr>
          <w:ilvl w:val="0"/>
          <w:numId w:val="14"/>
        </w:numPr>
      </w:pPr>
      <w:r w:rsidRPr="003512A8">
        <w:t>да</w:t>
      </w:r>
      <w:r w:rsidR="00816283" w:rsidRPr="003512A8">
        <w:t>е</w:t>
      </w:r>
      <w:r w:rsidRPr="003512A8">
        <w:t>т согласие на назначение на должность руководителя религиозной организации, духовный центр которой находится за пределами Туркменистана;</w:t>
      </w:r>
    </w:p>
    <w:p w14:paraId="16B688E2" w14:textId="77777777" w:rsidR="00E463B9" w:rsidRPr="003512A8" w:rsidRDefault="00E463B9" w:rsidP="00FC6A42">
      <w:pPr>
        <w:pStyle w:val="Bullet1G"/>
        <w:numPr>
          <w:ilvl w:val="0"/>
          <w:numId w:val="14"/>
        </w:numPr>
      </w:pPr>
      <w:r w:rsidRPr="003512A8">
        <w:t>организует работу, связанную с созданием экспертного совета религиоведов для проведения религиоведческой экспертизы, а также представления в необходимых случаях официального экспертного заключения по запросам соответствующих государственных органов и судов;</w:t>
      </w:r>
    </w:p>
    <w:p w14:paraId="73AE044A" w14:textId="77777777" w:rsidR="00E463B9" w:rsidRPr="003512A8" w:rsidRDefault="00E463B9" w:rsidP="00FC6A42">
      <w:pPr>
        <w:pStyle w:val="Bullet1G"/>
        <w:numPr>
          <w:ilvl w:val="0"/>
          <w:numId w:val="14"/>
        </w:numPr>
      </w:pPr>
      <w:r w:rsidRPr="003512A8">
        <w:t xml:space="preserve">подготавливает предложения Министерству адалат Туркменистана для государственной регистрации религиозных организаций и др. </w:t>
      </w:r>
    </w:p>
    <w:p w14:paraId="75E781F1" w14:textId="0A2CD261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Согласно статье 16 указанного Закона государственная регистрация религиозных организаций осуществляется Министерством адалат Туркменистана по представлению указанной Комиссии. Религиозные организации приобретают право юридического лица с момента государственной регистрации и включения в Единый государственный реестр юридических лиц.</w:t>
      </w:r>
    </w:p>
    <w:p w14:paraId="4D70EC84" w14:textId="6F750308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Деятельность незарегистрированных религиозных организаций на территории Туркменистана запрещается.</w:t>
      </w:r>
    </w:p>
    <w:p w14:paraId="002E6870" w14:textId="58B21FE0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соответствии со статьей 17 указанного Закона религиозной организации может быть отказано в государственной регистрации по следующим основаниям: цели и деятельность религиозной организации противоречат Конституции Туркменистана; создаваемая организация по итогам проведения религиоведческой экспертизы не признана в качестве религиозной; положения устава и другие документы не соответствуют требованиям указанного Закона или в них содержится заведомо ложная информация.</w:t>
      </w:r>
    </w:p>
    <w:p w14:paraId="0F69340F" w14:textId="60EA14FC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lastRenderedPageBreak/>
        <w:t>103.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2021 году в Министерство адалат Туркменистана поступило </w:t>
      </w:r>
      <w:r w:rsidR="008E7AE4" w:rsidRPr="003512A8">
        <w:rPr>
          <w:lang w:eastAsia="ru-RU"/>
        </w:rPr>
        <w:t>одно</w:t>
      </w:r>
      <w:r w:rsidR="00E463B9" w:rsidRPr="003512A8">
        <w:rPr>
          <w:lang w:eastAsia="ru-RU"/>
        </w:rPr>
        <w:t xml:space="preserve"> заявление о регистрации религиозной организации </w:t>
      </w:r>
      <w:r w:rsidRPr="003512A8">
        <w:rPr>
          <w:lang w:eastAsia="ru-RU"/>
        </w:rPr>
        <w:t>«</w:t>
      </w:r>
      <w:r w:rsidR="00E463B9" w:rsidRPr="003512A8">
        <w:rPr>
          <w:lang w:eastAsia="ru-RU"/>
        </w:rPr>
        <w:t>Dogry ýol</w:t>
      </w:r>
      <w:r w:rsidRPr="003512A8">
        <w:rPr>
          <w:lang w:eastAsia="ru-RU"/>
        </w:rPr>
        <w:t>»</w:t>
      </w:r>
      <w:r w:rsidR="00E463B9" w:rsidRPr="003512A8">
        <w:rPr>
          <w:lang w:eastAsia="ru-RU"/>
        </w:rPr>
        <w:t xml:space="preserve"> этрапа Чарджоу Лебапского велаята и он</w:t>
      </w:r>
      <w:r w:rsidR="007634A9" w:rsidRPr="003512A8">
        <w:rPr>
          <w:lang w:eastAsia="ru-RU"/>
        </w:rPr>
        <w:t>а</w:t>
      </w:r>
      <w:r w:rsidR="00E463B9" w:rsidRPr="003512A8">
        <w:rPr>
          <w:lang w:eastAsia="ru-RU"/>
        </w:rPr>
        <w:t xml:space="preserve"> зарегистрирована.</w:t>
      </w:r>
    </w:p>
    <w:p w14:paraId="4658C010" w14:textId="610056DC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2022 году в министерство заявлений о регистрации религиозных организаций не поступало. </w:t>
      </w:r>
    </w:p>
    <w:p w14:paraId="35477208" w14:textId="5B7E17D6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Национальном докладе Туркменистана в п</w:t>
      </w:r>
      <w:r w:rsidRPr="003512A8">
        <w:rPr>
          <w:lang w:eastAsia="ru-RU"/>
        </w:rPr>
        <w:t>ункте</w:t>
      </w:r>
      <w:r w:rsidR="00E463B9" w:rsidRPr="003512A8">
        <w:rPr>
          <w:lang w:eastAsia="ru-RU"/>
        </w:rPr>
        <w:t xml:space="preserve"> </w:t>
      </w:r>
      <w:bookmarkStart w:id="1" w:name="_Hlk107820205"/>
      <w:r w:rsidR="00E463B9" w:rsidRPr="003512A8">
        <w:rPr>
          <w:lang w:eastAsia="ru-RU"/>
        </w:rPr>
        <w:t>136</w:t>
      </w:r>
      <w:bookmarkEnd w:id="1"/>
      <w:r w:rsidR="00E463B9" w:rsidRPr="003512A8">
        <w:rPr>
          <w:lang w:eastAsia="ru-RU"/>
        </w:rPr>
        <w:t xml:space="preserve"> была представлена соответствующая информация: </w:t>
      </w:r>
      <w:r w:rsidR="00160D5B" w:rsidRPr="003512A8">
        <w:rPr>
          <w:lang w:eastAsia="ru-RU"/>
        </w:rPr>
        <w:t>с</w:t>
      </w:r>
      <w:r w:rsidR="00E463B9" w:rsidRPr="003512A8">
        <w:rPr>
          <w:lang w:eastAsia="ru-RU"/>
        </w:rPr>
        <w:t>огласно статье 41 Конституции Туркменистана</w:t>
      </w:r>
      <w:r w:rsidR="00160D5B" w:rsidRPr="003512A8">
        <w:rPr>
          <w:lang w:eastAsia="ru-RU"/>
        </w:rPr>
        <w:t>,</w:t>
      </w:r>
      <w:r w:rsidR="00E463B9" w:rsidRPr="003512A8">
        <w:rPr>
          <w:lang w:eastAsia="ru-RU"/>
        </w:rPr>
        <w:t xml:space="preserve"> защита Туркменистана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священный долг каждого гражданина. Для граждан Туркменистана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мужчин </w:t>
      </w:r>
      <w:r w:rsidR="00160D5B" w:rsidRPr="003512A8">
        <w:rPr>
          <w:lang w:eastAsia="ru-RU"/>
        </w:rPr>
        <w:t xml:space="preserve">⸺ </w:t>
      </w:r>
      <w:r w:rsidR="00E463B9" w:rsidRPr="003512A8">
        <w:rPr>
          <w:lang w:eastAsia="ru-RU"/>
        </w:rPr>
        <w:t xml:space="preserve">установлена всеобщая воинская обязанность. Статья 18 Закона Туркменистана «О воинской обязанности и военной службе» содержит перечень оснований освобождения от призыва на военную службу. </w:t>
      </w:r>
    </w:p>
    <w:p w14:paraId="0FADD433" w14:textId="10F55246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Свобода слова (статьи 19–20)</w:t>
      </w:r>
    </w:p>
    <w:p w14:paraId="7675C903" w14:textId="421C03E8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Халыков Нургельды Пальванович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01.12.1994 года рождения, уроженец города Ашхабада, по национальности туркмен, гражданин Туркменистана, нигде не работал, ранее не судим, проживал по адресу: г.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Ашхабад, проспект А.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 xml:space="preserve">Ниязова, </w:t>
      </w:r>
      <w:r w:rsidR="00D02728" w:rsidRPr="003512A8">
        <w:rPr>
          <w:lang w:eastAsia="ru-RU"/>
        </w:rPr>
        <w:br/>
      </w:r>
      <w:r w:rsidR="00E463B9" w:rsidRPr="003512A8">
        <w:rPr>
          <w:lang w:eastAsia="ru-RU"/>
        </w:rPr>
        <w:t>дом 8, кв.</w:t>
      </w:r>
      <w:r w:rsidRPr="003512A8">
        <w:rPr>
          <w:lang w:eastAsia="ru-RU"/>
        </w:rPr>
        <w:t xml:space="preserve"> 3</w:t>
      </w:r>
      <w:r w:rsidR="00E463B9" w:rsidRPr="003512A8">
        <w:rPr>
          <w:lang w:eastAsia="ru-RU"/>
        </w:rPr>
        <w:t>.</w:t>
      </w:r>
    </w:p>
    <w:p w14:paraId="1FAD68B6" w14:textId="66A01426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Согласно приговору </w:t>
      </w:r>
      <w:r w:rsidR="004A336C" w:rsidRPr="003512A8">
        <w:rPr>
          <w:lang w:eastAsia="ru-RU"/>
        </w:rPr>
        <w:t>с</w:t>
      </w:r>
      <w:r w:rsidR="00E463B9" w:rsidRPr="003512A8">
        <w:rPr>
          <w:lang w:eastAsia="ru-RU"/>
        </w:rPr>
        <w:t>уда города Ашхабад от 15</w:t>
      </w:r>
      <w:r w:rsidR="003352D7" w:rsidRPr="003512A8">
        <w:rPr>
          <w:lang w:eastAsia="ru-RU"/>
        </w:rPr>
        <w:t xml:space="preserve"> сентября </w:t>
      </w:r>
      <w:r w:rsidR="00E463B9" w:rsidRPr="003512A8">
        <w:rPr>
          <w:lang w:eastAsia="ru-RU"/>
        </w:rPr>
        <w:t xml:space="preserve">2020 года Халыков Н. осужден по части 2 статьи 228 (Мошенничество) УК Туркменистана к </w:t>
      </w:r>
      <w:r w:rsidR="003352D7" w:rsidRPr="003512A8">
        <w:rPr>
          <w:lang w:eastAsia="ru-RU"/>
        </w:rPr>
        <w:t>четырем</w:t>
      </w:r>
      <w:r w:rsidR="00E463B9" w:rsidRPr="003512A8">
        <w:rPr>
          <w:lang w:eastAsia="ru-RU"/>
        </w:rPr>
        <w:t xml:space="preserve"> годам лишения свободы.</w:t>
      </w:r>
    </w:p>
    <w:p w14:paraId="5A96C1E4" w14:textId="647204E8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настоящее время Халыков Н. отбывает назначенное ему наказание в учреждении ЛБ-Е/12 Управления полиции Лебапского велаята. В соответствии с уголовно-исполнительным законодательством Халыкову Н. на регулярной основе предоставляются свидания с родственниками и передачи в виде продуктов.</w:t>
      </w:r>
    </w:p>
    <w:p w14:paraId="5F2817DF" w14:textId="2A162481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109.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Ачилова Гурбансолтан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01.10.1949 года рождения, уроженка этрапа Полотен Марыйского велаята, гражданка Туркменистана, по национальности туркменка, ранее не судимая, пенсионерка, проживающая по адресу </w:t>
      </w:r>
      <w:r w:rsidR="00750907" w:rsidRPr="003512A8">
        <w:rPr>
          <w:lang w:eastAsia="ru-RU"/>
        </w:rPr>
        <w:t>г</w:t>
      </w:r>
      <w:r w:rsidR="00E463B9" w:rsidRPr="003512A8">
        <w:rPr>
          <w:lang w:eastAsia="ru-RU"/>
        </w:rPr>
        <w:t>.</w:t>
      </w:r>
      <w:r w:rsidR="00750907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Ашхабад, мкр.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Парахат 7/1 дом 3 кв. 110. Министерство внутренних дел Туркменистана не располагает информацией относительно ареста Ачиловой Г. и членов е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 семьи.</w:t>
      </w:r>
    </w:p>
    <w:p w14:paraId="1FD70462" w14:textId="22C107F6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Душемов Мурад Егшемович </w:t>
      </w:r>
      <w:r w:rsidRPr="003512A8">
        <w:rPr>
          <w:lang w:eastAsia="ru-RU"/>
        </w:rPr>
        <w:t>⸺</w:t>
      </w:r>
      <w:r w:rsidR="00E463B9" w:rsidRPr="003512A8">
        <w:rPr>
          <w:lang w:eastAsia="ru-RU"/>
        </w:rPr>
        <w:t xml:space="preserve"> 24.05.1984 года рождения, уроженец этрапа Болдумсаз Дашогузского велаята, по национальности туркмен, гражданин Туркменистана, нигде не работал, ранее не судим, проживал по адресу: г.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Ашхабад Бюзмейинский этрап, проспект Ахал, дом 10, кв.</w:t>
      </w:r>
      <w:r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1.</w:t>
      </w:r>
    </w:p>
    <w:p w14:paraId="5594114F" w14:textId="51B0556D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Душемов М. осужден 16</w:t>
      </w:r>
      <w:r w:rsidR="00C1614A" w:rsidRPr="003512A8">
        <w:rPr>
          <w:lang w:eastAsia="ru-RU"/>
        </w:rPr>
        <w:t xml:space="preserve"> августа </w:t>
      </w:r>
      <w:r w:rsidR="00E463B9" w:rsidRPr="003512A8">
        <w:rPr>
          <w:lang w:eastAsia="ru-RU"/>
        </w:rPr>
        <w:t xml:space="preserve">2021 года </w:t>
      </w:r>
      <w:r w:rsidR="00E6744E" w:rsidRPr="003512A8">
        <w:rPr>
          <w:lang w:eastAsia="ru-RU"/>
        </w:rPr>
        <w:t>с</w:t>
      </w:r>
      <w:r w:rsidR="00E463B9" w:rsidRPr="003512A8">
        <w:rPr>
          <w:lang w:eastAsia="ru-RU"/>
        </w:rPr>
        <w:t xml:space="preserve">удом этрапа Рухубелент Дашогузского велаята по части 2 статьи 108 (Умышленное причинение вреда здоровью средней тяжести), по части 1 статьи 232 (Вымогательство), по части 2 </w:t>
      </w:r>
      <w:r w:rsidR="00E6744E" w:rsidRPr="003512A8">
        <w:rPr>
          <w:lang w:eastAsia="ru-RU"/>
        </w:rPr>
        <w:br/>
      </w:r>
      <w:r w:rsidR="00E463B9" w:rsidRPr="003512A8">
        <w:rPr>
          <w:lang w:eastAsia="ru-RU"/>
        </w:rPr>
        <w:t xml:space="preserve">статьи 279 (Хулиганство) и по совокупности содеянного на основании статьи 63 (Назначение наказания по совокупности преступлений) УК Туркменистана к </w:t>
      </w:r>
      <w:r w:rsidR="000F7600" w:rsidRPr="003512A8">
        <w:rPr>
          <w:lang w:eastAsia="ru-RU"/>
        </w:rPr>
        <w:t>четырем</w:t>
      </w:r>
      <w:r w:rsidR="00E463B9" w:rsidRPr="003512A8">
        <w:rPr>
          <w:lang w:eastAsia="ru-RU"/>
        </w:rPr>
        <w:t xml:space="preserve"> годам лишения свободы. В настоящее время Душемов М. отбывает наказание в учреждении ЛБ-Е/12 Управления полиции Лебапского велаята.</w:t>
      </w:r>
    </w:p>
    <w:p w14:paraId="222270B6" w14:textId="3BFCEC94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Право на мирные собрания (статья 21)</w:t>
      </w:r>
    </w:p>
    <w:p w14:paraId="57A44DCC" w14:textId="12940B3E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Конституцией Туркменистана гражданам гарантируется свобода собраний, митингов, демонстраций и других массовых мероприятий в порядке, установленном законом (статья 43). Данная конституционная норма детализирована в Законе Туркменистана «Об организации и проведении собраний, митингов, демонстраций и других массовых мероприятий» (2014 г</w:t>
      </w:r>
      <w:r w:rsidRPr="003512A8">
        <w:rPr>
          <w:lang w:eastAsia="ru-RU"/>
        </w:rPr>
        <w:t>од</w:t>
      </w:r>
      <w:r w:rsidR="00E463B9" w:rsidRPr="003512A8">
        <w:rPr>
          <w:lang w:eastAsia="ru-RU"/>
        </w:rPr>
        <w:t xml:space="preserve">). Проведение массового мероприятия основывается на принципах законности; добровольности участия в массовом мероприятии и уважения и соблюдения прав и свобод человека и гражданина. Ограничения проведения массового мероприятия в отдельных местах установлены для обеспечения безопасности участников данного массового мероприятия и в целях защиты прав и свобод человека и гражданина, обеспечения законности, правопорядка, общественной безопасности, нормальной работы объектов жизнеобеспечения. Решения и действия (бездействие) государственных органов, общественных объединений, должностных лиц, нарушающие право граждан на проведение </w:t>
      </w:r>
      <w:r w:rsidR="00E463B9" w:rsidRPr="003512A8">
        <w:rPr>
          <w:lang w:eastAsia="ru-RU"/>
        </w:rPr>
        <w:lastRenderedPageBreak/>
        <w:t>массового мероприятия, могут быть обжалованы в суд в порядке, установленном законодательством Туркменистана.</w:t>
      </w:r>
    </w:p>
    <w:p w14:paraId="48562025" w14:textId="7700EA00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целях выполнения рекомендаций Комитета проводятся консультации с международными экспертами для проведения анализа законодательства об организации и проведении собраний, митингов, демонстраций и подготовки предложений по его совершенствованию в соответствие с нормами Пакта.</w:t>
      </w:r>
    </w:p>
    <w:p w14:paraId="4787FC82" w14:textId="48E675C8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Свобода ассоциации (статья 22)</w:t>
      </w:r>
    </w:p>
    <w:p w14:paraId="02EDC249" w14:textId="62064FD9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Согласно статье 20 Закона Туркменистана «Об общественных объединениях» от 3</w:t>
      </w:r>
      <w:r w:rsidRPr="003512A8">
        <w:rPr>
          <w:lang w:eastAsia="ru-RU"/>
        </w:rPr>
        <w:t xml:space="preserve"> мая 2</w:t>
      </w:r>
      <w:r w:rsidR="00E463B9" w:rsidRPr="003512A8">
        <w:rPr>
          <w:lang w:eastAsia="ru-RU"/>
        </w:rPr>
        <w:t>014 г</w:t>
      </w:r>
      <w:r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государственная регистрация общественных объединений производится Министерством адалат Туркменистана. Министерство адалат Туркменистана вед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>т Государственный реестр общественных объединений, включающий данные о них, и выда</w:t>
      </w:r>
      <w:r w:rsidR="00816283" w:rsidRPr="003512A8">
        <w:rPr>
          <w:lang w:eastAsia="ru-RU"/>
        </w:rPr>
        <w:t>е</w:t>
      </w:r>
      <w:r w:rsidR="00E463B9" w:rsidRPr="003512A8">
        <w:rPr>
          <w:lang w:eastAsia="ru-RU"/>
        </w:rPr>
        <w:t xml:space="preserve">т регистрационные свидетельства. </w:t>
      </w:r>
    </w:p>
    <w:p w14:paraId="76431646" w14:textId="6B23A90F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115.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Документы подаются на регистрацию в течение одного месяца со дня проведения учредительного съезда (конференции) или общего собрания общественного объединения. Регистрация общественных объединений осуществляется в течение </w:t>
      </w:r>
      <w:r w:rsidR="00E6744E" w:rsidRPr="003512A8">
        <w:rPr>
          <w:lang w:eastAsia="ru-RU"/>
        </w:rPr>
        <w:t>25</w:t>
      </w:r>
      <w:r w:rsidR="00E463B9" w:rsidRPr="003512A8">
        <w:rPr>
          <w:lang w:eastAsia="ru-RU"/>
        </w:rPr>
        <w:t xml:space="preserve"> календарных дней с момента представления документов.</w:t>
      </w:r>
    </w:p>
    <w:p w14:paraId="06BA7EA3" w14:textId="2A2334E4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116.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Согласно статье 22 указанного Закона, общественному объединению может быть отказано в регистрации, если:</w:t>
      </w:r>
    </w:p>
    <w:p w14:paraId="3B98D95B" w14:textId="188E8BC6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>1)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устав общественного объединения противоречит Конституции Туркменистана, положениям указанного Закона и иным нормативным правовым актам Туркменистана;</w:t>
      </w:r>
    </w:p>
    <w:p w14:paraId="71D73CFD" w14:textId="549F3C15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2) 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ранее зарегистрировано общественное объединение с тем же наименованием на территории, в пределах которой данное объединение осуществляет свою деятельность;</w:t>
      </w:r>
    </w:p>
    <w:p w14:paraId="694BBA4E" w14:textId="1514A104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3) 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не представлен полный перечень учредительных документов или они не оформлены в надлежащем порядке;</w:t>
      </w:r>
    </w:p>
    <w:p w14:paraId="1937410B" w14:textId="51974EA9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4) 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установлено, что в представленных на регистрацию учредительных документах содержится заведомо ложная информация;</w:t>
      </w:r>
    </w:p>
    <w:p w14:paraId="77C6FC63" w14:textId="34B1802A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5) 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наименование общественного объединения оскорбляет нравственность, национальные и религиозные чувства граждан.</w:t>
      </w:r>
    </w:p>
    <w:p w14:paraId="27CD676A" w14:textId="53A89283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117.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случае отказа в регистрации общественного объединения заявителю сообщается об этом в письменной форме с указанием оснований отказа в регистрации.</w:t>
      </w:r>
    </w:p>
    <w:p w14:paraId="0E051452" w14:textId="7011B952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118.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Отказ в регистрации общественного объединения не является препятствием для повторной подачи документов на регистрацию при условии устранения оснований, вызвавших отказ.</w:t>
      </w:r>
    </w:p>
    <w:p w14:paraId="73E933DA" w14:textId="0A6AFC66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119.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целях обеспечения соблюдения законности при регистрации общественных объединений и религиозных организаций Постановлением Президента Туркменистана от 22</w:t>
      </w:r>
      <w:r w:rsidRPr="003512A8">
        <w:rPr>
          <w:lang w:eastAsia="ru-RU"/>
        </w:rPr>
        <w:t xml:space="preserve"> апреля </w:t>
      </w:r>
      <w:r w:rsidR="00E463B9" w:rsidRPr="003512A8">
        <w:rPr>
          <w:lang w:eastAsia="ru-RU"/>
        </w:rPr>
        <w:t>2005 г</w:t>
      </w:r>
      <w:r w:rsidRPr="003512A8">
        <w:rPr>
          <w:lang w:eastAsia="ru-RU"/>
        </w:rPr>
        <w:t>ода</w:t>
      </w:r>
      <w:r w:rsidR="00E463B9" w:rsidRPr="003512A8">
        <w:rPr>
          <w:lang w:eastAsia="ru-RU"/>
        </w:rPr>
        <w:t xml:space="preserve"> №</w:t>
      </w:r>
      <w:r w:rsidR="004137DA" w:rsidRPr="003512A8">
        <w:rPr>
          <w:lang w:eastAsia="ru-RU"/>
        </w:rPr>
        <w:t xml:space="preserve"> </w:t>
      </w:r>
      <w:r w:rsidR="00E463B9" w:rsidRPr="003512A8">
        <w:rPr>
          <w:lang w:eastAsia="ru-RU"/>
        </w:rPr>
        <w:t>7197 создана Комиссия по рассмотрению материалов по регистрации религиозных организаций и общественных объединений при Министерстве Адалат Туркменистана. Комиссия является межведомственным органом, основным направлением деятельности которого является обеспечение законности при регистрации религиозных организаций и общественных объединений.</w:t>
      </w:r>
    </w:p>
    <w:p w14:paraId="54771686" w14:textId="45617C9E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120.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По результатам рассмотрения материалов по регистрации религиозных организаций и общественных объединений Комиссия выносит следующее решение: </w:t>
      </w:r>
      <w:r w:rsidR="00925EDC" w:rsidRPr="003512A8">
        <w:rPr>
          <w:lang w:eastAsia="ru-RU"/>
        </w:rPr>
        <w:br/>
      </w:r>
      <w:r w:rsidR="00E463B9" w:rsidRPr="003512A8">
        <w:rPr>
          <w:lang w:eastAsia="ru-RU"/>
        </w:rPr>
        <w:t>о выдаче разрешения на регистрацию религиозной организации и общественного объединения; об отказе в выдаче разрешения на регистрацию религиозной организации и общественного объединения.</w:t>
      </w:r>
    </w:p>
    <w:p w14:paraId="77A7F4E8" w14:textId="2110692D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121.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соответствии </w:t>
      </w:r>
      <w:r w:rsidR="007079FC" w:rsidRPr="003512A8">
        <w:rPr>
          <w:lang w:eastAsia="ru-RU"/>
        </w:rPr>
        <w:t>со статьей</w:t>
      </w:r>
      <w:r w:rsidR="00E463B9" w:rsidRPr="003512A8">
        <w:rPr>
          <w:lang w:eastAsia="ru-RU"/>
        </w:rPr>
        <w:t xml:space="preserve"> 7 указанного Закона создание и деятельность общественных объединений, имеющих целью насильственное изменение конституционного строя Туркменистана, допускающих насилие в своей деятельности, выступающих против конституционных прав и свобод граждан, пропагандирующих </w:t>
      </w:r>
      <w:r w:rsidR="00E463B9" w:rsidRPr="003512A8">
        <w:rPr>
          <w:lang w:eastAsia="ru-RU"/>
        </w:rPr>
        <w:lastRenderedPageBreak/>
        <w:t>войну, вражду по признаку цвета кожи, национальную, религиозную вражду, посягающих на здоровье и нравственность граждан, запрещаются. Деятельность незарегистрированных общественных объединений на территории Туркменистана запрещается.</w:t>
      </w:r>
    </w:p>
    <w:p w14:paraId="016B6D82" w14:textId="55FD024F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122.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2021 году в Министерство адалат Туркменистана поступило 10 заявлений о регистрации общественных объединений. Комиссией отказано двум некоммерческим организациям в связи тем, что целью создания организации является распространение в Туркменистане смешанных боевых искусств, что является больше профессиональным, чем спортивным. Другой общественной организации отказано в связи с тем, что ранее зарегистрировано общественное объединение с той же целью, </w:t>
      </w:r>
      <w:r w:rsidRPr="003512A8">
        <w:rPr>
          <w:lang w:eastAsia="ru-RU"/>
        </w:rPr>
        <w:br/>
      </w:r>
      <w:r w:rsidR="00E463B9" w:rsidRPr="003512A8">
        <w:rPr>
          <w:lang w:eastAsia="ru-RU"/>
        </w:rPr>
        <w:t xml:space="preserve">в пределах которой данное объединение осуществляет свою деятельность. </w:t>
      </w:r>
    </w:p>
    <w:p w14:paraId="39D35D58" w14:textId="63A824D8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123.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 xml:space="preserve">В 2022 году в министерство поступило </w:t>
      </w:r>
      <w:r w:rsidR="009F77C5" w:rsidRPr="003512A8">
        <w:rPr>
          <w:lang w:eastAsia="ru-RU"/>
        </w:rPr>
        <w:t>два</w:t>
      </w:r>
      <w:r w:rsidR="00E463B9" w:rsidRPr="003512A8">
        <w:rPr>
          <w:lang w:eastAsia="ru-RU"/>
        </w:rPr>
        <w:t xml:space="preserve"> заявления о регистрации общественных объединений, документы на стадии подготовки к рассмотрению Комиссией. </w:t>
      </w:r>
    </w:p>
    <w:p w14:paraId="6EA102E3" w14:textId="51C55E68" w:rsidR="00E463B9" w:rsidRPr="003512A8" w:rsidRDefault="009052D9" w:rsidP="009052D9">
      <w:pPr>
        <w:pStyle w:val="H23G"/>
        <w:rPr>
          <w:rFonts w:eastAsiaTheme="minorEastAsia"/>
        </w:rPr>
      </w:pPr>
      <w:r w:rsidRPr="003512A8">
        <w:rPr>
          <w:rFonts w:eastAsiaTheme="minorEastAsia"/>
        </w:rPr>
        <w:tab/>
      </w:r>
      <w:r w:rsidRPr="003512A8">
        <w:rPr>
          <w:rFonts w:eastAsiaTheme="minorEastAsia"/>
        </w:rPr>
        <w:tab/>
      </w:r>
      <w:r w:rsidR="00E463B9" w:rsidRPr="003512A8">
        <w:rPr>
          <w:rFonts w:eastAsiaTheme="minorEastAsia"/>
        </w:rPr>
        <w:t>Участие в государственных делах (статьи 25–26)</w:t>
      </w:r>
    </w:p>
    <w:p w14:paraId="538A6259" w14:textId="373248CB" w:rsidR="00E463B9" w:rsidRPr="003512A8" w:rsidRDefault="008B131E" w:rsidP="00A035AE">
      <w:pPr>
        <w:pStyle w:val="SingleTxtG"/>
        <w:rPr>
          <w:lang w:eastAsia="ru-RU"/>
        </w:rPr>
      </w:pPr>
      <w:r w:rsidRPr="003512A8">
        <w:rPr>
          <w:lang w:eastAsia="ru-RU"/>
        </w:rPr>
        <w:t>124.</w:t>
      </w:r>
      <w:r w:rsidRPr="003512A8">
        <w:rPr>
          <w:lang w:eastAsia="ru-RU"/>
        </w:rPr>
        <w:tab/>
      </w:r>
      <w:r w:rsidR="00E463B9" w:rsidRPr="003512A8">
        <w:rPr>
          <w:lang w:eastAsia="ru-RU"/>
        </w:rPr>
        <w:t>В настоящее время комплексно изучается вопросы совершенствования избирательного законодательства Туркменистана, в том числе вопрос предоставления права голосования заключенным. Совместно с международными организациями, аккредитованными в Туркменистане, проводятся информационно-методические семинары с членами избирательных комиссии всех уровней. Также проводятся работы по внедрению цифровых технологий в избирательный процесс, в том числе по составлению электронного списка избирателей.</w:t>
      </w:r>
    </w:p>
    <w:p w14:paraId="7A0BB5CC" w14:textId="0020E102" w:rsidR="00A035AE" w:rsidRPr="003512A8" w:rsidRDefault="00A035AE" w:rsidP="00A035AE">
      <w:pPr>
        <w:spacing w:before="240"/>
        <w:jc w:val="center"/>
        <w:rPr>
          <w:u w:val="single"/>
        </w:rPr>
      </w:pPr>
      <w:r w:rsidRPr="003512A8">
        <w:rPr>
          <w:u w:val="single"/>
        </w:rPr>
        <w:tab/>
      </w:r>
      <w:r w:rsidRPr="003512A8">
        <w:rPr>
          <w:u w:val="single"/>
        </w:rPr>
        <w:tab/>
      </w:r>
      <w:r w:rsidRPr="003512A8">
        <w:rPr>
          <w:u w:val="single"/>
        </w:rPr>
        <w:tab/>
      </w:r>
    </w:p>
    <w:sectPr w:rsidR="00A035AE" w:rsidRPr="003512A8" w:rsidSect="006943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C44D" w14:textId="77777777" w:rsidR="000C1CF9" w:rsidRPr="00A312BC" w:rsidRDefault="000C1CF9" w:rsidP="00A312BC"/>
  </w:endnote>
  <w:endnote w:type="continuationSeparator" w:id="0">
    <w:p w14:paraId="77654C38" w14:textId="77777777" w:rsidR="000C1CF9" w:rsidRPr="00A312BC" w:rsidRDefault="000C1C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F522" w14:textId="2FC7352F" w:rsidR="00694308" w:rsidRPr="00694308" w:rsidRDefault="00694308">
    <w:pPr>
      <w:pStyle w:val="a8"/>
    </w:pPr>
    <w:r w:rsidRPr="00694308">
      <w:rPr>
        <w:b/>
        <w:sz w:val="18"/>
      </w:rPr>
      <w:fldChar w:fldCharType="begin"/>
    </w:r>
    <w:r w:rsidRPr="00694308">
      <w:rPr>
        <w:b/>
        <w:sz w:val="18"/>
      </w:rPr>
      <w:instrText xml:space="preserve"> PAGE  \* MERGEFORMAT </w:instrText>
    </w:r>
    <w:r w:rsidRPr="00694308">
      <w:rPr>
        <w:b/>
        <w:sz w:val="18"/>
      </w:rPr>
      <w:fldChar w:fldCharType="separate"/>
    </w:r>
    <w:r w:rsidRPr="00694308">
      <w:rPr>
        <w:b/>
        <w:noProof/>
        <w:sz w:val="18"/>
      </w:rPr>
      <w:t>2</w:t>
    </w:r>
    <w:r w:rsidRPr="00694308">
      <w:rPr>
        <w:b/>
        <w:sz w:val="18"/>
      </w:rPr>
      <w:fldChar w:fldCharType="end"/>
    </w:r>
    <w:r>
      <w:rPr>
        <w:b/>
        <w:sz w:val="18"/>
      </w:rPr>
      <w:tab/>
    </w:r>
    <w:r>
      <w:t>GE.22-25731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74EE" w14:textId="12728DEE" w:rsidR="00694308" w:rsidRPr="00694308" w:rsidRDefault="00694308" w:rsidP="00694308">
    <w:pPr>
      <w:pStyle w:val="a8"/>
      <w:tabs>
        <w:tab w:val="clear" w:pos="9639"/>
        <w:tab w:val="right" w:pos="9638"/>
      </w:tabs>
      <w:rPr>
        <w:b/>
        <w:sz w:val="18"/>
      </w:rPr>
    </w:pPr>
    <w:r>
      <w:t>GE.22-25731</w:t>
    </w:r>
    <w:r>
      <w:tab/>
    </w:r>
    <w:r w:rsidRPr="00694308">
      <w:rPr>
        <w:b/>
        <w:sz w:val="18"/>
      </w:rPr>
      <w:fldChar w:fldCharType="begin"/>
    </w:r>
    <w:r w:rsidRPr="00694308">
      <w:rPr>
        <w:b/>
        <w:sz w:val="18"/>
      </w:rPr>
      <w:instrText xml:space="preserve"> PAGE  \* MERGEFORMAT </w:instrText>
    </w:r>
    <w:r w:rsidRPr="00694308">
      <w:rPr>
        <w:b/>
        <w:sz w:val="18"/>
      </w:rPr>
      <w:fldChar w:fldCharType="separate"/>
    </w:r>
    <w:r w:rsidRPr="00694308">
      <w:rPr>
        <w:b/>
        <w:noProof/>
        <w:sz w:val="18"/>
      </w:rPr>
      <w:t>3</w:t>
    </w:r>
    <w:r w:rsidRPr="006943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C139" w14:textId="04C2890D" w:rsidR="00042B72" w:rsidRPr="00694308" w:rsidRDefault="00694308" w:rsidP="0069430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ED6DAC" wp14:editId="797DCD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22-25731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E4A981" wp14:editId="2B5B98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281122  </w:t>
    </w:r>
    <w:r w:rsidR="00201076">
      <w:t>30</w:t>
    </w:r>
    <w:r>
      <w:rPr>
        <w:lang w:val="en-US"/>
      </w:rPr>
      <w:t>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5491" w14:textId="77777777" w:rsidR="000C1CF9" w:rsidRPr="001075E9" w:rsidRDefault="000C1C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143171" w14:textId="77777777" w:rsidR="000C1CF9" w:rsidRDefault="000C1C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DA45C1" w14:textId="77777777" w:rsidR="0042591F" w:rsidRPr="0025491F" w:rsidRDefault="0042591F" w:rsidP="00816283">
      <w:pPr>
        <w:pStyle w:val="ad"/>
      </w:pPr>
      <w:r>
        <w:tab/>
      </w:r>
      <w:r w:rsidRPr="0042591F">
        <w:rPr>
          <w:sz w:val="20"/>
          <w:szCs w:val="22"/>
        </w:rPr>
        <w:t>*</w:t>
      </w:r>
      <w:r w:rsidRPr="0042591F">
        <w:rPr>
          <w:sz w:val="20"/>
          <w:szCs w:val="22"/>
        </w:rPr>
        <w:tab/>
      </w:r>
      <w:r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B2C1" w14:textId="4292E692" w:rsidR="00694308" w:rsidRPr="00694308" w:rsidRDefault="004C0292">
    <w:pPr>
      <w:pStyle w:val="a5"/>
    </w:pPr>
    <w:fldSimple w:instr=" TITLE  \* MERGEFORMAT ">
      <w:r w:rsidR="00B16DBB">
        <w:t>CCPR/C/TKM/RQ/3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F4DD" w14:textId="70D1D9D0" w:rsidR="00694308" w:rsidRPr="00694308" w:rsidRDefault="004C0292" w:rsidP="00694308">
    <w:pPr>
      <w:pStyle w:val="a5"/>
      <w:jc w:val="right"/>
    </w:pPr>
    <w:fldSimple w:instr=" TITLE  \* MERGEFORMAT ">
      <w:r w:rsidR="00B16DBB">
        <w:t>CCPR/C/TKM/RQ/3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BFD0A9F"/>
    <w:multiLevelType w:val="multilevel"/>
    <w:tmpl w:val="50264DC4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D954887"/>
    <w:multiLevelType w:val="hybridMultilevel"/>
    <w:tmpl w:val="2B36281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E363C8"/>
    <w:multiLevelType w:val="multilevel"/>
    <w:tmpl w:val="690EA98C"/>
    <w:lvl w:ilvl="0">
      <w:start w:val="1"/>
      <w:numFmt w:val="decimal"/>
      <w:pStyle w:val="Bullet2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24676"/>
    <w:multiLevelType w:val="hybridMultilevel"/>
    <w:tmpl w:val="D03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63B24"/>
    <w:multiLevelType w:val="multilevel"/>
    <w:tmpl w:val="39421EC4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CB6C816A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9608D8"/>
    <w:multiLevelType w:val="hybridMultilevel"/>
    <w:tmpl w:val="6F7E8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055E"/>
    <w:multiLevelType w:val="hybridMultilevel"/>
    <w:tmpl w:val="4CB6724E"/>
    <w:lvl w:ilvl="0" w:tplc="C68EF024">
      <w:start w:val="6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595D0D6D"/>
    <w:multiLevelType w:val="hybridMultilevel"/>
    <w:tmpl w:val="AF26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07B2"/>
    <w:multiLevelType w:val="hybridMultilevel"/>
    <w:tmpl w:val="7FEE3222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870A43"/>
    <w:multiLevelType w:val="hybridMultilevel"/>
    <w:tmpl w:val="FA38CCB8"/>
    <w:lvl w:ilvl="0" w:tplc="39AA7958">
      <w:start w:val="1"/>
      <w:numFmt w:val="decimal"/>
      <w:lvlText w:val="%1."/>
      <w:lvlJc w:val="left"/>
      <w:pPr>
        <w:ind w:left="-1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25"/>
  </w:num>
  <w:num w:numId="5">
    <w:abstractNumId w:val="30"/>
  </w:num>
  <w:num w:numId="6">
    <w:abstractNumId w:val="31"/>
  </w:num>
  <w:num w:numId="7">
    <w:abstractNumId w:val="10"/>
  </w:num>
  <w:num w:numId="8">
    <w:abstractNumId w:val="15"/>
  </w:num>
  <w:num w:numId="9">
    <w:abstractNumId w:val="22"/>
  </w:num>
  <w:num w:numId="10">
    <w:abstractNumId w:val="19"/>
  </w:num>
  <w:num w:numId="11">
    <w:abstractNumId w:val="16"/>
  </w:num>
  <w:num w:numId="12">
    <w:abstractNumId w:val="11"/>
  </w:num>
  <w:num w:numId="13">
    <w:abstractNumId w:val="21"/>
  </w:num>
  <w:num w:numId="14">
    <w:abstractNumId w:val="2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F9"/>
    <w:rsid w:val="0001244A"/>
    <w:rsid w:val="00030298"/>
    <w:rsid w:val="00033EE1"/>
    <w:rsid w:val="000358F2"/>
    <w:rsid w:val="00041853"/>
    <w:rsid w:val="00042B72"/>
    <w:rsid w:val="000558BD"/>
    <w:rsid w:val="000B57E7"/>
    <w:rsid w:val="000B6373"/>
    <w:rsid w:val="000C1CF9"/>
    <w:rsid w:val="000F09DF"/>
    <w:rsid w:val="000F61B2"/>
    <w:rsid w:val="000F7600"/>
    <w:rsid w:val="001075E9"/>
    <w:rsid w:val="00112DDD"/>
    <w:rsid w:val="00160D5B"/>
    <w:rsid w:val="00171695"/>
    <w:rsid w:val="00180183"/>
    <w:rsid w:val="0018024D"/>
    <w:rsid w:val="0018649F"/>
    <w:rsid w:val="00196389"/>
    <w:rsid w:val="001B3EF6"/>
    <w:rsid w:val="001B5F6F"/>
    <w:rsid w:val="001C7A89"/>
    <w:rsid w:val="00201076"/>
    <w:rsid w:val="00254812"/>
    <w:rsid w:val="002A2EFC"/>
    <w:rsid w:val="002B7742"/>
    <w:rsid w:val="002C0E18"/>
    <w:rsid w:val="002C31E4"/>
    <w:rsid w:val="002D5AAC"/>
    <w:rsid w:val="002E00F0"/>
    <w:rsid w:val="002E5067"/>
    <w:rsid w:val="002F405F"/>
    <w:rsid w:val="002F7EEC"/>
    <w:rsid w:val="00301299"/>
    <w:rsid w:val="00305C08"/>
    <w:rsid w:val="00307FB6"/>
    <w:rsid w:val="0031039C"/>
    <w:rsid w:val="003134A9"/>
    <w:rsid w:val="00317339"/>
    <w:rsid w:val="00322004"/>
    <w:rsid w:val="0032326A"/>
    <w:rsid w:val="003352D7"/>
    <w:rsid w:val="003402C2"/>
    <w:rsid w:val="003512A8"/>
    <w:rsid w:val="0035318B"/>
    <w:rsid w:val="00375F01"/>
    <w:rsid w:val="00381C24"/>
    <w:rsid w:val="003916D7"/>
    <w:rsid w:val="003958D0"/>
    <w:rsid w:val="00397E34"/>
    <w:rsid w:val="003B00E5"/>
    <w:rsid w:val="003D3DAF"/>
    <w:rsid w:val="00400725"/>
    <w:rsid w:val="00407B78"/>
    <w:rsid w:val="004137DA"/>
    <w:rsid w:val="00424203"/>
    <w:rsid w:val="0042591F"/>
    <w:rsid w:val="00427227"/>
    <w:rsid w:val="00434C23"/>
    <w:rsid w:val="00452493"/>
    <w:rsid w:val="00454E07"/>
    <w:rsid w:val="00472C5C"/>
    <w:rsid w:val="004969B2"/>
    <w:rsid w:val="004A336C"/>
    <w:rsid w:val="004C0292"/>
    <w:rsid w:val="0050108D"/>
    <w:rsid w:val="00513081"/>
    <w:rsid w:val="00517901"/>
    <w:rsid w:val="00523D9D"/>
    <w:rsid w:val="00526683"/>
    <w:rsid w:val="00544EC3"/>
    <w:rsid w:val="00557867"/>
    <w:rsid w:val="00567051"/>
    <w:rsid w:val="005709E0"/>
    <w:rsid w:val="00572E19"/>
    <w:rsid w:val="00584163"/>
    <w:rsid w:val="005961C8"/>
    <w:rsid w:val="00596D4D"/>
    <w:rsid w:val="005972D9"/>
    <w:rsid w:val="005B421E"/>
    <w:rsid w:val="005B4F6F"/>
    <w:rsid w:val="005D7742"/>
    <w:rsid w:val="005D7914"/>
    <w:rsid w:val="005E2B41"/>
    <w:rsid w:val="005F0B42"/>
    <w:rsid w:val="0062034D"/>
    <w:rsid w:val="006269D9"/>
    <w:rsid w:val="00666B97"/>
    <w:rsid w:val="00681A10"/>
    <w:rsid w:val="00694308"/>
    <w:rsid w:val="00696835"/>
    <w:rsid w:val="006A1ED8"/>
    <w:rsid w:val="006C2031"/>
    <w:rsid w:val="006D461A"/>
    <w:rsid w:val="006E5339"/>
    <w:rsid w:val="006F35EE"/>
    <w:rsid w:val="007021FF"/>
    <w:rsid w:val="007079FC"/>
    <w:rsid w:val="00712895"/>
    <w:rsid w:val="007158B9"/>
    <w:rsid w:val="007346DA"/>
    <w:rsid w:val="00750907"/>
    <w:rsid w:val="0075523D"/>
    <w:rsid w:val="00757357"/>
    <w:rsid w:val="007634A9"/>
    <w:rsid w:val="00787D3A"/>
    <w:rsid w:val="00791B9D"/>
    <w:rsid w:val="007A5EE1"/>
    <w:rsid w:val="007A70EA"/>
    <w:rsid w:val="007D0A80"/>
    <w:rsid w:val="007E1B91"/>
    <w:rsid w:val="0080047E"/>
    <w:rsid w:val="00810B84"/>
    <w:rsid w:val="00816283"/>
    <w:rsid w:val="00825F8D"/>
    <w:rsid w:val="00831609"/>
    <w:rsid w:val="00834B71"/>
    <w:rsid w:val="0084077F"/>
    <w:rsid w:val="0086445C"/>
    <w:rsid w:val="0086679D"/>
    <w:rsid w:val="00894693"/>
    <w:rsid w:val="008A08D7"/>
    <w:rsid w:val="008A4F65"/>
    <w:rsid w:val="008B131E"/>
    <w:rsid w:val="008B6909"/>
    <w:rsid w:val="008E7AE4"/>
    <w:rsid w:val="009052D9"/>
    <w:rsid w:val="00906890"/>
    <w:rsid w:val="00911BE4"/>
    <w:rsid w:val="00925EDC"/>
    <w:rsid w:val="00931A71"/>
    <w:rsid w:val="00951972"/>
    <w:rsid w:val="00955832"/>
    <w:rsid w:val="009608F3"/>
    <w:rsid w:val="00986356"/>
    <w:rsid w:val="009918E2"/>
    <w:rsid w:val="009A24AC"/>
    <w:rsid w:val="009D21FD"/>
    <w:rsid w:val="009E3809"/>
    <w:rsid w:val="009F77C5"/>
    <w:rsid w:val="00A014DB"/>
    <w:rsid w:val="00A035AE"/>
    <w:rsid w:val="00A118A3"/>
    <w:rsid w:val="00A14DA8"/>
    <w:rsid w:val="00A212E3"/>
    <w:rsid w:val="00A312BC"/>
    <w:rsid w:val="00A32521"/>
    <w:rsid w:val="00A34D07"/>
    <w:rsid w:val="00A84021"/>
    <w:rsid w:val="00A84D35"/>
    <w:rsid w:val="00A90646"/>
    <w:rsid w:val="00A917B3"/>
    <w:rsid w:val="00AA51C1"/>
    <w:rsid w:val="00AB4B51"/>
    <w:rsid w:val="00AB5D61"/>
    <w:rsid w:val="00AD6F87"/>
    <w:rsid w:val="00AE3A58"/>
    <w:rsid w:val="00AF3A17"/>
    <w:rsid w:val="00B10CC7"/>
    <w:rsid w:val="00B136DB"/>
    <w:rsid w:val="00B16DBB"/>
    <w:rsid w:val="00B3051B"/>
    <w:rsid w:val="00B539E7"/>
    <w:rsid w:val="00B62458"/>
    <w:rsid w:val="00BC18B2"/>
    <w:rsid w:val="00BC3629"/>
    <w:rsid w:val="00BC6CAF"/>
    <w:rsid w:val="00BD2564"/>
    <w:rsid w:val="00BD33EE"/>
    <w:rsid w:val="00BD35DE"/>
    <w:rsid w:val="00BD7149"/>
    <w:rsid w:val="00BE3BD6"/>
    <w:rsid w:val="00BF1A04"/>
    <w:rsid w:val="00C0177C"/>
    <w:rsid w:val="00C106D6"/>
    <w:rsid w:val="00C1614A"/>
    <w:rsid w:val="00C46D5A"/>
    <w:rsid w:val="00C60F0C"/>
    <w:rsid w:val="00C805C9"/>
    <w:rsid w:val="00C92939"/>
    <w:rsid w:val="00C951A2"/>
    <w:rsid w:val="00CA1679"/>
    <w:rsid w:val="00CA774C"/>
    <w:rsid w:val="00CB151C"/>
    <w:rsid w:val="00CE45B3"/>
    <w:rsid w:val="00CE5A1A"/>
    <w:rsid w:val="00CF55F6"/>
    <w:rsid w:val="00D02728"/>
    <w:rsid w:val="00D3264C"/>
    <w:rsid w:val="00D33D63"/>
    <w:rsid w:val="00D90028"/>
    <w:rsid w:val="00D90138"/>
    <w:rsid w:val="00D9090B"/>
    <w:rsid w:val="00DA0734"/>
    <w:rsid w:val="00DA4AE5"/>
    <w:rsid w:val="00DC2872"/>
    <w:rsid w:val="00DD78D1"/>
    <w:rsid w:val="00DE32CD"/>
    <w:rsid w:val="00DF71B9"/>
    <w:rsid w:val="00E005F7"/>
    <w:rsid w:val="00E06BEE"/>
    <w:rsid w:val="00E14255"/>
    <w:rsid w:val="00E463B9"/>
    <w:rsid w:val="00E46656"/>
    <w:rsid w:val="00E6744E"/>
    <w:rsid w:val="00E73F76"/>
    <w:rsid w:val="00E97352"/>
    <w:rsid w:val="00EA2C9F"/>
    <w:rsid w:val="00EA420E"/>
    <w:rsid w:val="00ED0BDA"/>
    <w:rsid w:val="00EE2D32"/>
    <w:rsid w:val="00EF1360"/>
    <w:rsid w:val="00EF3220"/>
    <w:rsid w:val="00F2370D"/>
    <w:rsid w:val="00F32B41"/>
    <w:rsid w:val="00F43903"/>
    <w:rsid w:val="00F530A3"/>
    <w:rsid w:val="00F550B3"/>
    <w:rsid w:val="00F71848"/>
    <w:rsid w:val="00F734BD"/>
    <w:rsid w:val="00F94155"/>
    <w:rsid w:val="00F94A58"/>
    <w:rsid w:val="00F9783F"/>
    <w:rsid w:val="00FC636C"/>
    <w:rsid w:val="00FC6A42"/>
    <w:rsid w:val="00FD2EF7"/>
    <w:rsid w:val="00FD746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9E48"/>
  <w15:docId w15:val="{F1D1F6E5-4678-4054-AAEB-7935211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qFormat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qFormat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qFormat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1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tabs>
        <w:tab w:val="num" w:pos="720"/>
      </w:tabs>
      <w:spacing w:after="120"/>
      <w:ind w:left="720" w:right="1134" w:hanging="720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AD6F87"/>
    <w:rPr>
      <w:sz w:val="16"/>
      <w:lang w:val="en-GB" w:eastAsia="ru-RU"/>
    </w:rPr>
  </w:style>
  <w:style w:type="character" w:styleId="aa">
    <w:name w:val="footnote reference"/>
    <w:aliases w:val="4_G,Ref,de nota al pie,Footnote Reference Number,Carácter Carácter Carácter Char Char Carácter Carácter Carácter Char Char Carácter Char Char Carácter Carácter Carácter Char Char Carácter Carácter Carácter Carácter Carácter"/>
    <w:basedOn w:val="a0"/>
    <w:uiPriority w:val="99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odrozdzial Carácter Carácter Carácter Char Char Carácter Carácter Carácter,Podrozdzial Carácter Carácter Carácter Char Char Carácter,RSC_WP (footnotes) Char Char,RSC_WP (footnotes),Footnote Text OCR,Footnote Text Char3"/>
    <w:basedOn w:val="a"/>
    <w:link w:val="ae"/>
    <w:uiPriority w:val="99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odrozdzial Carácter Carácter Carácter Char Char Carácter Carácter Carácter Знак,Podrozdzial Carácter Carácter Carácter Char Char Carácter Знак,RSC_WP (footnotes) Char Char Знак,RSC_WP (footnotes) Знак,Footnote Text OCR Знак"/>
    <w:basedOn w:val="a0"/>
    <w:link w:val="ad"/>
    <w:uiPriority w:val="99"/>
    <w:qFormat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2591F"/>
    <w:rPr>
      <w:lang w:val="ru-RU" w:eastAsia="en-US"/>
    </w:rPr>
  </w:style>
  <w:style w:type="paragraph" w:customStyle="1" w:styleId="ParNoG">
    <w:name w:val="_ParNo_G"/>
    <w:basedOn w:val="a"/>
    <w:qFormat/>
    <w:rsid w:val="00E463B9"/>
    <w:pPr>
      <w:numPr>
        <w:numId w:val="3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cs="Times New Roman"/>
      <w:szCs w:val="20"/>
      <w:lang w:val="en-GB"/>
    </w:rPr>
  </w:style>
  <w:style w:type="character" w:customStyle="1" w:styleId="20">
    <w:name w:val="Заголовок 2 Знак"/>
    <w:basedOn w:val="a0"/>
    <w:link w:val="2"/>
    <w:semiHidden/>
    <w:rsid w:val="00E463B9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E463B9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E463B9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E463B9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E463B9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E463B9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E463B9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E463B9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2"/>
    <w:semiHidden/>
    <w:rsid w:val="00E463B9"/>
    <w:pPr>
      <w:numPr>
        <w:numId w:val="4"/>
      </w:numPr>
    </w:pPr>
  </w:style>
  <w:style w:type="numbering" w:styleId="1ai">
    <w:name w:val="Outline List 1"/>
    <w:basedOn w:val="a2"/>
    <w:semiHidden/>
    <w:rsid w:val="00E463B9"/>
    <w:pPr>
      <w:numPr>
        <w:numId w:val="5"/>
      </w:numPr>
    </w:pPr>
  </w:style>
  <w:style w:type="table" w:customStyle="1" w:styleId="TableGrid1">
    <w:name w:val="Table Grid1"/>
    <w:basedOn w:val="a1"/>
    <w:rsid w:val="00E463B9"/>
    <w:pPr>
      <w:suppressAutoHyphens/>
      <w:spacing w:line="240" w:lineRule="atLeast"/>
    </w:pPr>
    <w:rPr>
      <w:rFonts w:eastAsiaTheme="minorHAnsi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463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aliases w:val="body,Odsek zoznamu2,Heading3,Lista 1,List Paragraph (numbered (a)),References,WB List Paragraph,Dot pt,F5 List Paragraph,List Paragraph1,No Spacing1,List Paragraph Char Char Char,Indicator Text,Numbered Para 1,Colorful List - Accent 11"/>
    <w:basedOn w:val="a"/>
    <w:link w:val="af4"/>
    <w:uiPriority w:val="34"/>
    <w:qFormat/>
    <w:rsid w:val="00E463B9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lang w:val="pt-PT"/>
    </w:rPr>
  </w:style>
  <w:style w:type="numbering" w:customStyle="1" w:styleId="NoList1">
    <w:name w:val="No List1"/>
    <w:next w:val="a2"/>
    <w:uiPriority w:val="99"/>
    <w:semiHidden/>
    <w:unhideWhenUsed/>
    <w:rsid w:val="00E463B9"/>
  </w:style>
  <w:style w:type="table" w:customStyle="1" w:styleId="TableGrid2">
    <w:name w:val="Table Grid2"/>
    <w:basedOn w:val="a1"/>
    <w:next w:val="ac"/>
    <w:uiPriority w:val="39"/>
    <w:rsid w:val="00E463B9"/>
    <w:rPr>
      <w:rFonts w:ascii="Calibri" w:eastAsia="Calibri" w:hAnsi="Calibr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PT" w:eastAsia="en-US"/>
    </w:rPr>
  </w:style>
  <w:style w:type="paragraph" w:styleId="HTML">
    <w:name w:val="HTML Preformatted"/>
    <w:basedOn w:val="a"/>
    <w:link w:val="HTML0"/>
    <w:uiPriority w:val="99"/>
    <w:unhideWhenUsed/>
    <w:rsid w:val="00E4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Cs w:val="20"/>
      <w:lang w:val="pt-PT" w:eastAsia="pt-PT"/>
    </w:rPr>
  </w:style>
  <w:style w:type="character" w:customStyle="1" w:styleId="HTML0">
    <w:name w:val="Стандартный HTML Знак"/>
    <w:basedOn w:val="a0"/>
    <w:link w:val="HTML"/>
    <w:uiPriority w:val="99"/>
    <w:rsid w:val="00E463B9"/>
    <w:rPr>
      <w:rFonts w:ascii="Courier New" w:hAnsi="Courier New" w:cs="Courier New"/>
      <w:lang w:val="pt-PT" w:eastAsia="pt-PT"/>
    </w:rPr>
  </w:style>
  <w:style w:type="character" w:customStyle="1" w:styleId="af4">
    <w:name w:val="Абзац списка Знак"/>
    <w:aliases w:val="body Знак,Odsek zoznamu2 Знак,Heading3 Знак,Lista 1 Знак,List Paragraph (numbered (a)) Знак,References Знак,WB List Paragraph Знак,Dot pt Знак,F5 List Paragraph Знак,List Paragraph1 Знак,No Spacing1 Знак,Indicator Text Знак"/>
    <w:basedOn w:val="a0"/>
    <w:link w:val="af3"/>
    <w:uiPriority w:val="34"/>
    <w:qFormat/>
    <w:locked/>
    <w:rsid w:val="00E463B9"/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paragraph" w:styleId="af5">
    <w:name w:val="caption"/>
    <w:basedOn w:val="a"/>
    <w:next w:val="a"/>
    <w:unhideWhenUsed/>
    <w:qFormat/>
    <w:rsid w:val="00E463B9"/>
    <w:pPr>
      <w:suppressAutoHyphens w:val="0"/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val="pt-PT" w:eastAsia="pt-PT"/>
    </w:rPr>
  </w:style>
  <w:style w:type="table" w:styleId="-41">
    <w:name w:val="Grid Table 4 Accent 1"/>
    <w:basedOn w:val="a1"/>
    <w:uiPriority w:val="49"/>
    <w:rsid w:val="00E463B9"/>
    <w:rPr>
      <w:rFonts w:eastAsia="SimSun"/>
      <w:lang w:val="pt-PT" w:eastAsia="pt-P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annotation text"/>
    <w:basedOn w:val="a"/>
    <w:link w:val="af7"/>
    <w:uiPriority w:val="99"/>
    <w:unhideWhenUsed/>
    <w:rsid w:val="00E463B9"/>
    <w:pPr>
      <w:suppressAutoHyphens w:val="0"/>
      <w:spacing w:after="200" w:line="240" w:lineRule="auto"/>
    </w:pPr>
    <w:rPr>
      <w:rFonts w:ascii="Cambria" w:eastAsia="Cambria" w:hAnsi="Cambria" w:cs="Times New Roman"/>
      <w:szCs w:val="20"/>
      <w:lang w:val="en-US"/>
    </w:rPr>
  </w:style>
  <w:style w:type="character" w:customStyle="1" w:styleId="af7">
    <w:name w:val="Текст примечания Знак"/>
    <w:basedOn w:val="a0"/>
    <w:link w:val="af6"/>
    <w:uiPriority w:val="99"/>
    <w:rsid w:val="00E463B9"/>
    <w:rPr>
      <w:rFonts w:ascii="Cambria" w:eastAsia="Cambria" w:hAnsi="Cambria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E463B9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E463B9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463B9"/>
    <w:pPr>
      <w:spacing w:after="160"/>
    </w:pPr>
    <w:rPr>
      <w:rFonts w:asciiTheme="minorHAnsi" w:eastAsiaTheme="minorHAnsi" w:hAnsiTheme="minorHAnsi" w:cstheme="minorBidi"/>
      <w:b/>
      <w:bCs/>
      <w:lang w:val="pt-PT"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E463B9"/>
    <w:rPr>
      <w:rFonts w:asciiTheme="minorHAnsi" w:eastAsiaTheme="minorHAnsi" w:hAnsiTheme="minorHAnsi" w:cstheme="minorBidi"/>
      <w:b/>
      <w:bCs/>
      <w:lang w:val="pt-PT" w:eastAsia="en-US"/>
    </w:rPr>
  </w:style>
  <w:style w:type="paragraph" w:styleId="afb">
    <w:name w:val="No Spacing"/>
    <w:link w:val="afc"/>
    <w:uiPriority w:val="1"/>
    <w:qFormat/>
    <w:rsid w:val="00E463B9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E463B9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sb0e2188c">
    <w:name w:val="csb0e2188c"/>
    <w:basedOn w:val="a0"/>
    <w:rsid w:val="00E463B9"/>
  </w:style>
  <w:style w:type="paragraph" w:customStyle="1" w:styleId="cs3266721a">
    <w:name w:val="cs3266721a"/>
    <w:basedOn w:val="a"/>
    <w:rsid w:val="00E463B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s3b0a1abe">
    <w:name w:val="cs3b0a1abe"/>
    <w:basedOn w:val="a0"/>
    <w:rsid w:val="00E463B9"/>
  </w:style>
  <w:style w:type="character" w:styleId="afd">
    <w:name w:val="Emphasis"/>
    <w:basedOn w:val="a0"/>
    <w:uiPriority w:val="20"/>
    <w:qFormat/>
    <w:rsid w:val="00E463B9"/>
    <w:rPr>
      <w:i/>
      <w:iCs/>
    </w:rPr>
  </w:style>
  <w:style w:type="character" w:styleId="afe">
    <w:name w:val="Strong"/>
    <w:basedOn w:val="a0"/>
    <w:uiPriority w:val="22"/>
    <w:qFormat/>
    <w:rsid w:val="00E463B9"/>
    <w:rPr>
      <w:rFonts w:ascii="Times New Roman" w:hAnsi="Times New Roman" w:cs="Times New Roman"/>
      <w:b/>
    </w:rPr>
  </w:style>
  <w:style w:type="paragraph" w:styleId="aff">
    <w:name w:val="Revision"/>
    <w:hidden/>
    <w:uiPriority w:val="99"/>
    <w:semiHidden/>
    <w:rsid w:val="00E463B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19</Pages>
  <Words>7640</Words>
  <Characters>54324</Characters>
  <Application>Microsoft Office Word</Application>
  <DocSecurity>0</DocSecurity>
  <Lines>953</Lines>
  <Paragraphs>234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CCPR/C/TKM/RQ/3</vt:lpstr>
      <vt:lpstr>A/</vt:lpstr>
      <vt:lpstr>A/</vt:lpstr>
    </vt:vector>
  </TitlesOfParts>
  <Company>DCM</Company>
  <LinksUpToDate>false</LinksUpToDate>
  <CharactersWithSpaces>61730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CCPR/C/TKM/RQ/3</dc:title>
  <dc:subject/>
  <dc:creator>Ekaterina SALYNSKAYA</dc:creator>
  <cp:keywords/>
  <cp:lastModifiedBy>Ekaterina Salynskaya</cp:lastModifiedBy>
  <cp:revision>3</cp:revision>
  <cp:lastPrinted>2022-11-30T08:18:00Z</cp:lastPrinted>
  <dcterms:created xsi:type="dcterms:W3CDTF">2022-11-30T08:18:00Z</dcterms:created>
  <dcterms:modified xsi:type="dcterms:W3CDTF">2022-11-30T08:18:00Z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