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2E0D40" w:rsidRPr="00DB58B5" w:rsidTr="0078670C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2E0D40" w:rsidRPr="00DB58B5" w:rsidRDefault="002E0D40" w:rsidP="00593658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2E0D40" w:rsidRPr="00DB58B5" w:rsidRDefault="002E0D40" w:rsidP="0059365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2E0D40" w:rsidRPr="00DB58B5" w:rsidRDefault="00D471F3" w:rsidP="00D471F3">
            <w:pPr>
              <w:jc w:val="right"/>
            </w:pPr>
            <w:r w:rsidRPr="00D471F3">
              <w:rPr>
                <w:sz w:val="40"/>
              </w:rPr>
              <w:t>CERD</w:t>
            </w:r>
            <w:r>
              <w:t>/C/CAN/Q/19-20</w:t>
            </w:r>
          </w:p>
        </w:tc>
      </w:tr>
      <w:tr w:rsidR="002E0D40" w:rsidRPr="00DB58B5" w:rsidTr="0059365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2E0D40" w:rsidRPr="00DB58B5" w:rsidRDefault="002E0D40" w:rsidP="00593658">
            <w:pPr>
              <w:spacing w:before="120"/>
              <w:jc w:val="center"/>
            </w:pPr>
            <w:r w:rsidRPr="00DB58B5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E0D40" w:rsidRPr="00740562" w:rsidRDefault="002E0D40" w:rsidP="00593658">
            <w:pPr>
              <w:spacing w:before="120" w:line="380" w:lineRule="exact"/>
              <w:rPr>
                <w:b/>
                <w:sz w:val="40"/>
                <w:szCs w:val="40"/>
              </w:rPr>
            </w:pPr>
            <w:r>
              <w:rPr>
                <w:b/>
                <w:sz w:val="34"/>
                <w:szCs w:val="34"/>
              </w:rPr>
              <w:t>Convention internationale sur</w:t>
            </w:r>
            <w:r>
              <w:rPr>
                <w:b/>
                <w:sz w:val="34"/>
                <w:szCs w:val="34"/>
              </w:rPr>
              <w:br/>
              <w:t>l</w:t>
            </w:r>
            <w:r w:rsidR="007C006D">
              <w:rPr>
                <w:b/>
                <w:sz w:val="34"/>
                <w:szCs w:val="34"/>
              </w:rPr>
              <w:t>’</w:t>
            </w:r>
            <w:r>
              <w:rPr>
                <w:b/>
                <w:sz w:val="34"/>
                <w:szCs w:val="34"/>
              </w:rPr>
              <w:t>élimination de toutes les formes</w:t>
            </w:r>
            <w:r>
              <w:rPr>
                <w:b/>
                <w:sz w:val="34"/>
                <w:szCs w:val="34"/>
              </w:rPr>
              <w:br/>
              <w:t>de discrimination raciale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D471F3" w:rsidRDefault="00D471F3" w:rsidP="00593658">
            <w:pPr>
              <w:spacing w:before="240"/>
            </w:pPr>
            <w:r>
              <w:t>Distr. générale</w:t>
            </w:r>
          </w:p>
          <w:p w:rsidR="00D471F3" w:rsidRDefault="00D471F3" w:rsidP="00D471F3">
            <w:pPr>
              <w:spacing w:line="240" w:lineRule="exact"/>
            </w:pPr>
            <w:r>
              <w:t>26 janvier 2012</w:t>
            </w:r>
          </w:p>
          <w:p w:rsidR="00D471F3" w:rsidRDefault="00D471F3" w:rsidP="00D471F3">
            <w:pPr>
              <w:spacing w:line="240" w:lineRule="exact"/>
            </w:pPr>
            <w:r>
              <w:t>Français</w:t>
            </w:r>
          </w:p>
          <w:p w:rsidR="002E0D40" w:rsidRPr="00DB58B5" w:rsidRDefault="00D471F3" w:rsidP="00D471F3">
            <w:pPr>
              <w:spacing w:line="240" w:lineRule="exact"/>
            </w:pPr>
            <w:r>
              <w:t>Original: anglais</w:t>
            </w:r>
          </w:p>
        </w:tc>
      </w:tr>
    </w:tbl>
    <w:p w:rsidR="00D471F3" w:rsidRDefault="0078670C" w:rsidP="00D471F3">
      <w:pPr>
        <w:spacing w:before="120"/>
        <w:rPr>
          <w:sz w:val="24"/>
          <w:szCs w:val="24"/>
        </w:rPr>
      </w:pPr>
      <w:r w:rsidRPr="00C56102">
        <w:rPr>
          <w:b/>
          <w:sz w:val="24"/>
          <w:szCs w:val="24"/>
        </w:rPr>
        <w:t>Comité pour l</w:t>
      </w:r>
      <w:r w:rsidR="007C006D">
        <w:rPr>
          <w:b/>
          <w:sz w:val="24"/>
          <w:szCs w:val="24"/>
        </w:rPr>
        <w:t>’</w:t>
      </w:r>
      <w:r w:rsidRPr="00C56102">
        <w:rPr>
          <w:b/>
          <w:sz w:val="24"/>
          <w:szCs w:val="24"/>
        </w:rPr>
        <w:t>éliminati</w:t>
      </w:r>
      <w:r w:rsidR="00D471F3">
        <w:rPr>
          <w:b/>
          <w:sz w:val="24"/>
          <w:szCs w:val="24"/>
        </w:rPr>
        <w:t>on de la discrimination raciale</w:t>
      </w:r>
      <w:r w:rsidR="00D471F3">
        <w:rPr>
          <w:b/>
          <w:sz w:val="24"/>
          <w:szCs w:val="24"/>
        </w:rPr>
        <w:br/>
      </w:r>
      <w:r w:rsidR="00D471F3" w:rsidRPr="00D471F3">
        <w:rPr>
          <w:b/>
        </w:rPr>
        <w:t>Quatre-vingtième session</w:t>
      </w:r>
      <w:r w:rsidR="00D471F3" w:rsidRPr="00D471F3">
        <w:rPr>
          <w:b/>
        </w:rPr>
        <w:br/>
      </w:r>
      <w:r w:rsidR="00D471F3" w:rsidRPr="00D471F3">
        <w:t>13 février-9 mars 2012</w:t>
      </w:r>
    </w:p>
    <w:p w:rsidR="00D471F3" w:rsidRDefault="00D471F3" w:rsidP="00D471F3">
      <w:pPr>
        <w:pStyle w:val="HChG"/>
      </w:pPr>
      <w:r>
        <w:tab/>
      </w:r>
      <w:r>
        <w:tab/>
        <w:t>Application de la Convention internationale sur l</w:t>
      </w:r>
      <w:r w:rsidR="007C006D">
        <w:t>’</w:t>
      </w:r>
      <w:r>
        <w:t xml:space="preserve">élimination de toutes les formes de discrimination raciale </w:t>
      </w:r>
    </w:p>
    <w:p w:rsidR="00D471F3" w:rsidRDefault="00D471F3" w:rsidP="00D471F3">
      <w:pPr>
        <w:pStyle w:val="H1G"/>
        <w:rPr>
          <w:b w:val="0"/>
          <w:sz w:val="20"/>
        </w:rPr>
      </w:pPr>
      <w:r>
        <w:tab/>
      </w:r>
      <w:r>
        <w:tab/>
        <w:t>Liste de thèmes à traiter à l</w:t>
      </w:r>
      <w:r w:rsidR="007C006D">
        <w:t>’</w:t>
      </w:r>
      <w:r>
        <w:t>occasion de l</w:t>
      </w:r>
      <w:r w:rsidR="007C006D">
        <w:t>’</w:t>
      </w:r>
      <w:r>
        <w:t>examen des dix-neuvième et vingtième rapports périodiques du Canada (CERD/C/CAN/19-20)</w:t>
      </w:r>
      <w:r w:rsidRPr="00D471F3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tbl>
      <w:tblPr>
        <w:tblStyle w:val="TableGrid"/>
        <w:tblW w:w="76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left w:w="142" w:type="dxa"/>
          <w:right w:w="142" w:type="dxa"/>
        </w:tblCellMar>
        <w:tblLook w:val="01E0" w:firstRow="1" w:lastRow="1" w:firstColumn="1" w:lastColumn="1" w:noHBand="0" w:noVBand="0"/>
      </w:tblPr>
      <w:tblGrid>
        <w:gridCol w:w="7653"/>
      </w:tblGrid>
      <w:tr w:rsidR="0013596A" w:rsidTr="0013596A">
        <w:trPr>
          <w:trHeight w:hRule="exact" w:val="240"/>
          <w:jc w:val="center"/>
        </w:trPr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3596A" w:rsidRDefault="0013596A" w:rsidP="0013596A"/>
        </w:tc>
      </w:tr>
      <w:tr w:rsidR="0013596A" w:rsidTr="0013596A">
        <w:trPr>
          <w:jc w:val="center"/>
        </w:trPr>
        <w:tc>
          <w:tcPr>
            <w:tcW w:w="76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3596A" w:rsidRDefault="0013596A" w:rsidP="0013596A">
            <w:pPr>
              <w:spacing w:after="120"/>
              <w:ind w:firstLine="567"/>
              <w:jc w:val="both"/>
            </w:pPr>
            <w:r>
              <w:t>On trouvera ci-après une liste de thèmes définis par le rapporteur de pays aux fins de l</w:t>
            </w:r>
            <w:r w:rsidR="007C006D">
              <w:t>’</w:t>
            </w:r>
            <w:r>
              <w:t>examen des dix-neuvième et vingtième rapports périodiques du Canada. Cette liste a pour but de structurer le dialogue entre la délégation de l</w:t>
            </w:r>
            <w:r w:rsidR="007C006D">
              <w:t>’</w:t>
            </w:r>
            <w:r>
              <w:t xml:space="preserve">État et le Comité et </w:t>
            </w:r>
            <w:r w:rsidRPr="00D15FBF">
              <w:rPr>
                <w:i/>
              </w:rPr>
              <w:t>n</w:t>
            </w:r>
            <w:r w:rsidR="007C006D">
              <w:rPr>
                <w:i/>
              </w:rPr>
              <w:t>’</w:t>
            </w:r>
            <w:r w:rsidRPr="00D15FBF">
              <w:rPr>
                <w:i/>
              </w:rPr>
              <w:t>appelle pas de réponses écrites</w:t>
            </w:r>
            <w:r>
              <w:t>. Elle n</w:t>
            </w:r>
            <w:r w:rsidR="007C006D">
              <w:t>’</w:t>
            </w:r>
            <w:r>
              <w:t>est pas exhaustive; d</w:t>
            </w:r>
            <w:r w:rsidR="007C006D">
              <w:t>’</w:t>
            </w:r>
            <w:r>
              <w:t>autres questions pourront être abordées au cours du dialogue.</w:t>
            </w:r>
          </w:p>
        </w:tc>
      </w:tr>
      <w:tr w:rsidR="0013596A" w:rsidTr="0013596A">
        <w:trPr>
          <w:trHeight w:hRule="exact" w:val="23"/>
          <w:jc w:val="center"/>
        </w:trPr>
        <w:tc>
          <w:tcPr>
            <w:tcW w:w="7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96A" w:rsidRDefault="0013596A" w:rsidP="0013596A"/>
        </w:tc>
      </w:tr>
    </w:tbl>
    <w:p w:rsidR="00D471F3" w:rsidRDefault="00D471F3" w:rsidP="00D471F3">
      <w:pPr>
        <w:pStyle w:val="H1G"/>
      </w:pPr>
      <w:r>
        <w:tab/>
        <w:t>1.</w:t>
      </w:r>
      <w:r>
        <w:tab/>
        <w:t>Facteurs entravant l</w:t>
      </w:r>
      <w:r w:rsidR="007C006D">
        <w:t>’</w:t>
      </w:r>
      <w:r>
        <w:t>égalité et obstacles auxquels se heurtent certains groupes, dont les non-ressortissants et les m</w:t>
      </w:r>
      <w:r w:rsidR="007C006D">
        <w:t>i</w:t>
      </w:r>
      <w:r>
        <w:t>norités visibles,</w:t>
      </w:r>
      <w:r w:rsidR="007C006D">
        <w:t xml:space="preserve"> </w:t>
      </w:r>
      <w:r>
        <w:t>dans l</w:t>
      </w:r>
      <w:r w:rsidR="007C006D">
        <w:t>’</w:t>
      </w:r>
      <w:r>
        <w:t>exercice des droits civils, politiques, économiques,</w:t>
      </w:r>
      <w:r w:rsidR="007C006D">
        <w:t xml:space="preserve"> </w:t>
      </w:r>
      <w:r>
        <w:t>sociaux et culturels (art. 2, 3, 4, 5 et 7)</w:t>
      </w:r>
    </w:p>
    <w:p w:rsidR="00D471F3" w:rsidRDefault="00D471F3" w:rsidP="007C006D">
      <w:pPr>
        <w:pStyle w:val="SingleTxtG"/>
        <w:ind w:firstLine="567"/>
      </w:pPr>
      <w:r>
        <w:t>a)</w:t>
      </w:r>
      <w:r>
        <w:tab/>
        <w:t>Données ventilées sur la situation socioéconomique des différents groupes raciaux et ethniques ainsi que des non-ressortissants dans l</w:t>
      </w:r>
      <w:r w:rsidR="007C006D">
        <w:t>’</w:t>
      </w:r>
      <w:r>
        <w:t>État partie (CERD/C/CAN/</w:t>
      </w:r>
      <w:r w:rsidR="00A82332">
        <w:t xml:space="preserve"> </w:t>
      </w:r>
      <w:r>
        <w:t>CO/18, par.</w:t>
      </w:r>
      <w:r w:rsidR="007C006D">
        <w:t xml:space="preserve"> </w:t>
      </w:r>
      <w:r>
        <w:t>11);</w:t>
      </w:r>
    </w:p>
    <w:p w:rsidR="00D471F3" w:rsidRDefault="00D471F3" w:rsidP="00D471F3">
      <w:pPr>
        <w:pStyle w:val="SingleTxtG"/>
        <w:ind w:firstLine="567"/>
      </w:pPr>
      <w:r>
        <w:t>b)</w:t>
      </w:r>
      <w:r>
        <w:tab/>
        <w:t>Exercice des droits économiques, sociaux et culturels par les non-ressortissants et les groupes raciaux et ethniques sur le territoire de l</w:t>
      </w:r>
      <w:r w:rsidR="007C006D">
        <w:t>’</w:t>
      </w:r>
      <w:r>
        <w:t>État partie;</w:t>
      </w:r>
    </w:p>
    <w:p w:rsidR="00D471F3" w:rsidRDefault="00D471F3" w:rsidP="00D471F3">
      <w:pPr>
        <w:pStyle w:val="SingleTxtG"/>
        <w:ind w:firstLine="567"/>
      </w:pPr>
      <w:r>
        <w:t>c)</w:t>
      </w:r>
      <w:r>
        <w:tab/>
        <w:t xml:space="preserve">Effets et résultats des diverses mesures prises aux niveaux fédéral, provincial et </w:t>
      </w:r>
      <w:r w:rsidR="00DF7228">
        <w:t>territorial</w:t>
      </w:r>
      <w:r>
        <w:t xml:space="preserve"> pour faciliter l</w:t>
      </w:r>
      <w:r w:rsidR="007C006D">
        <w:t>’</w:t>
      </w:r>
      <w:r>
        <w:t>accès des non-ressortissants et des groupes raciaux et ethniques au marché de l</w:t>
      </w:r>
      <w:r w:rsidR="007C006D">
        <w:t>’</w:t>
      </w:r>
      <w:r>
        <w:t>emploi (CERD/C/CAN/CO/18, par.</w:t>
      </w:r>
      <w:r w:rsidR="007C006D">
        <w:t xml:space="preserve"> </w:t>
      </w:r>
      <w:r>
        <w:t>24);</w:t>
      </w:r>
    </w:p>
    <w:p w:rsidR="00D471F3" w:rsidRDefault="00D471F3" w:rsidP="00D471F3">
      <w:pPr>
        <w:pStyle w:val="SingleTxtG"/>
        <w:ind w:firstLine="567"/>
      </w:pPr>
      <w:r>
        <w:t>d)</w:t>
      </w:r>
      <w:r>
        <w:tab/>
        <w:t>Mise en œuvre de la loi sur la modernisation de la fonction publique et de la loi sur l</w:t>
      </w:r>
      <w:r w:rsidR="007C006D">
        <w:t>’</w:t>
      </w:r>
      <w:r>
        <w:t>emploi dans la fonction publique destinées à favoriser le recrutement de membres des minorités visibles dans la fonction publique (CERD/C/CAN/19-20, par. 69 et 70);</w:t>
      </w:r>
    </w:p>
    <w:p w:rsidR="00D471F3" w:rsidRDefault="00D471F3" w:rsidP="00D471F3">
      <w:pPr>
        <w:pStyle w:val="SingleTxtG"/>
        <w:ind w:firstLine="567"/>
      </w:pPr>
      <w:r>
        <w:t>e)</w:t>
      </w:r>
      <w:r>
        <w:tab/>
        <w:t>Suppression des obstacles entravant l</w:t>
      </w:r>
      <w:r w:rsidR="007C006D">
        <w:t>’</w:t>
      </w:r>
      <w:r>
        <w:t>accès des membres des groupes raciaux et ethniques du Canada et des non-ressortissants au marché de l</w:t>
      </w:r>
      <w:r w:rsidR="007C006D">
        <w:t>’</w:t>
      </w:r>
      <w:r>
        <w:t>emploi: résultats de la Stratégie pour un milieu de travail sans racisme (CERD/C/CAN/19-20, par.</w:t>
      </w:r>
      <w:r w:rsidR="007C006D">
        <w:t xml:space="preserve"> </w:t>
      </w:r>
      <w:r>
        <w:t>72) et de certaines initiatives prises au niveau des provinces et des territoires (par.</w:t>
      </w:r>
      <w:r w:rsidR="007C006D">
        <w:t xml:space="preserve"> </w:t>
      </w:r>
      <w:r>
        <w:t>144 et 145; 196 et 197; 255 à 257; 282 et 283; 314; 333 à 339);</w:t>
      </w:r>
    </w:p>
    <w:p w:rsidR="00D471F3" w:rsidRDefault="00D471F3" w:rsidP="00D471F3">
      <w:pPr>
        <w:pStyle w:val="SingleTxtG"/>
        <w:ind w:firstLine="567"/>
      </w:pPr>
      <w:r>
        <w:t>f)</w:t>
      </w:r>
      <w:r>
        <w:tab/>
        <w:t>R</w:t>
      </w:r>
      <w:r w:rsidRPr="00DC0248">
        <w:t xml:space="preserve">econnaissance des </w:t>
      </w:r>
      <w:r>
        <w:t xml:space="preserve">titres et des diplômes </w:t>
      </w:r>
      <w:r w:rsidRPr="00DC0248">
        <w:t>obtenus</w:t>
      </w:r>
      <w:r>
        <w:t xml:space="preserve"> par les immigrés</w:t>
      </w:r>
      <w:r w:rsidRPr="00DC0248">
        <w:t xml:space="preserve"> à l</w:t>
      </w:r>
      <w:r w:rsidR="007C006D">
        <w:t>’</w:t>
      </w:r>
      <w:r w:rsidRPr="00DC0248">
        <w:t>étranger: résultat</w:t>
      </w:r>
      <w:r>
        <w:t>s</w:t>
      </w:r>
      <w:r w:rsidRPr="00DC0248">
        <w:t xml:space="preserve"> des mesures prises par l</w:t>
      </w:r>
      <w:r w:rsidR="007C006D">
        <w:t>’</w:t>
      </w:r>
      <w:r w:rsidRPr="00DC0248">
        <w:t xml:space="preserve">État partie, </w:t>
      </w:r>
      <w:r>
        <w:t>en particulier dans le c</w:t>
      </w:r>
      <w:r w:rsidRPr="00DC0248">
        <w:t>adre pancanadien d</w:t>
      </w:r>
      <w:r w:rsidR="007C006D">
        <w:t>’</w:t>
      </w:r>
      <w:r w:rsidRPr="00DC0248">
        <w:t xml:space="preserve">évaluation et de reconnaissance </w:t>
      </w:r>
      <w:r>
        <w:t>des qualifications professionnelles acquises à l</w:t>
      </w:r>
      <w:r w:rsidR="007C006D">
        <w:t>’</w:t>
      </w:r>
      <w:r>
        <w:t>étranger (CERD/C/CAN/19-20, par. 13);</w:t>
      </w:r>
    </w:p>
    <w:p w:rsidR="00D471F3" w:rsidRDefault="00D471F3" w:rsidP="00D471F3">
      <w:pPr>
        <w:pStyle w:val="SingleTxtG"/>
        <w:ind w:firstLine="567"/>
      </w:pPr>
      <w:r>
        <w:t>g)</w:t>
      </w:r>
      <w:r>
        <w:tab/>
        <w:t>Inégalités entre les provinces et les territoires en matière de droit aux prestations sociales auxquelles peuvent prétendre les demandeurs d</w:t>
      </w:r>
      <w:r w:rsidR="007C006D">
        <w:t>’</w:t>
      </w:r>
      <w:r>
        <w:t>asile déboutés ainsi que les non-ressortissants sans papiers et les apatrides, en particulier dans les domaines de la santé, de l</w:t>
      </w:r>
      <w:r w:rsidR="007C006D">
        <w:t>’</w:t>
      </w:r>
      <w:r>
        <w:t>assistance sociale et de l</w:t>
      </w:r>
      <w:r w:rsidR="007C006D">
        <w:t>’</w:t>
      </w:r>
      <w:r>
        <w:t>éducation (CERD/C/CAN/CO/18, par. 23; CERD/C/CAN/19-20, par. 117 et 118; 139; 156 à 158; 190 et191; 226 et 227; 315 à 318; 352; 384);</w:t>
      </w:r>
    </w:p>
    <w:p w:rsidR="00D471F3" w:rsidRDefault="00D471F3" w:rsidP="00D471F3">
      <w:pPr>
        <w:pStyle w:val="SingleTxtG"/>
        <w:ind w:firstLine="567"/>
      </w:pPr>
      <w:r>
        <w:t>h)</w:t>
      </w:r>
      <w:r>
        <w:tab/>
        <w:t>Garanties effectives mises en place pour combattre le profilage racial à l</w:t>
      </w:r>
      <w:r w:rsidR="007C006D">
        <w:t>’</w:t>
      </w:r>
      <w:r>
        <w:t>égard des personnes appartenant à une minorité raciale ou ethnique ainsi que des non-ressortissants (CERD/C/CAN/CO/18, par. 14; CERD/C/CAN/CO/18/Add.1, par. 2 à 17; CERD/C/CAN/19</w:t>
      </w:r>
      <w:r w:rsidR="007C006D">
        <w:t>-</w:t>
      </w:r>
      <w:r>
        <w:t>20, par. 92);</w:t>
      </w:r>
    </w:p>
    <w:p w:rsidR="00D471F3" w:rsidRDefault="00D471F3" w:rsidP="00D471F3">
      <w:pPr>
        <w:pStyle w:val="SingleTxtG"/>
        <w:ind w:firstLine="567"/>
      </w:pPr>
      <w:r>
        <w:t>i)</w:t>
      </w:r>
      <w:r>
        <w:tab/>
        <w:t>Effets des différentes mesures prises aux niveaux fédéral, provincial et territorial pour combattre la discrimination à l</w:t>
      </w:r>
      <w:r w:rsidR="007C006D">
        <w:t>’</w:t>
      </w:r>
      <w:r>
        <w:t>égard des non-ressortissants et des membres des groupes raciaux et ethniques, notamment des initiatives en faveur du multiculturalisme, de la diversité et de la tolérance;</w:t>
      </w:r>
    </w:p>
    <w:p w:rsidR="00D471F3" w:rsidRDefault="00D471F3" w:rsidP="00D471F3">
      <w:pPr>
        <w:pStyle w:val="SingleTxtG"/>
        <w:ind w:firstLine="567"/>
      </w:pPr>
      <w:r>
        <w:t>j)</w:t>
      </w:r>
      <w:r>
        <w:tab/>
        <w:t>Allégations de recours excessif à la force contre les Canadiens d</w:t>
      </w:r>
      <w:r w:rsidR="007C006D">
        <w:t>’</w:t>
      </w:r>
      <w:r>
        <w:t>ascendance africaine (CERD/C/CAN/CO/18, par. 19). Mesures prises pour que ce groupe de la population ait confiance dans les forces de sécurité;</w:t>
      </w:r>
    </w:p>
    <w:p w:rsidR="00D471F3" w:rsidRDefault="00D471F3" w:rsidP="00D471F3">
      <w:pPr>
        <w:pStyle w:val="SingleTxtG"/>
        <w:ind w:firstLine="567"/>
      </w:pPr>
      <w:r>
        <w:t>k)</w:t>
      </w:r>
      <w:r>
        <w:tab/>
        <w:t>Situation des réfugiés et des demandeurs d</w:t>
      </w:r>
      <w:r w:rsidR="007C006D">
        <w:t>’</w:t>
      </w:r>
      <w:r>
        <w:t>asile;</w:t>
      </w:r>
    </w:p>
    <w:p w:rsidR="00D471F3" w:rsidRDefault="00D471F3" w:rsidP="00D471F3">
      <w:pPr>
        <w:pStyle w:val="SingleTxtG"/>
        <w:ind w:firstLine="567"/>
      </w:pPr>
      <w:r>
        <w:t>l)</w:t>
      </w:r>
      <w:r>
        <w:tab/>
      </w:r>
      <w:r w:rsidR="00DF7228">
        <w:t>Rétention</w:t>
      </w:r>
      <w:r>
        <w:t xml:space="preserve"> administrati</w:t>
      </w:r>
      <w:r w:rsidR="00DF7228">
        <w:t>ve</w:t>
      </w:r>
      <w:r>
        <w:t xml:space="preserve"> obligatoire des immigrés clandestins.</w:t>
      </w:r>
    </w:p>
    <w:p w:rsidR="00D471F3" w:rsidRPr="00F42156" w:rsidRDefault="00D471F3" w:rsidP="00D471F3">
      <w:pPr>
        <w:pStyle w:val="H1G"/>
      </w:pPr>
      <w:r>
        <w:tab/>
      </w:r>
      <w:r w:rsidRPr="00F42156">
        <w:t>2.</w:t>
      </w:r>
      <w:r w:rsidRPr="00F42156">
        <w:tab/>
        <w:t>Législation et voies de recours disponibles en cas de discrimination raciale (art.</w:t>
      </w:r>
      <w:r w:rsidR="007C006D">
        <w:t xml:space="preserve"> </w:t>
      </w:r>
      <w:r w:rsidRPr="00F42156">
        <w:t>2, 4 et 6)</w:t>
      </w:r>
    </w:p>
    <w:p w:rsidR="00D471F3" w:rsidRDefault="00D471F3" w:rsidP="00D471F3">
      <w:pPr>
        <w:pStyle w:val="SingleTxtG"/>
        <w:ind w:firstLine="567"/>
      </w:pPr>
      <w:r>
        <w:t>a)</w:t>
      </w:r>
      <w:r>
        <w:tab/>
        <w:t>Conformité de l</w:t>
      </w:r>
      <w:r w:rsidR="007C006D">
        <w:t>’</w:t>
      </w:r>
      <w:r>
        <w:t>article 718.2 du Code criminel avec l</w:t>
      </w:r>
      <w:r w:rsidR="007C006D">
        <w:t>’</w:t>
      </w:r>
      <w:r>
        <w:t xml:space="preserve">article 4 a) de la Convention relatif à </w:t>
      </w:r>
      <w:r w:rsidR="00DF7228">
        <w:t>l</w:t>
      </w:r>
      <w:r w:rsidR="007C006D">
        <w:t>’</w:t>
      </w:r>
      <w:r w:rsidR="00DF7228">
        <w:t>incrimination</w:t>
      </w:r>
      <w:r>
        <w:t xml:space="preserve"> des actes racistes et des organisations racistes (CERD/C/CAN/CO/18, par.</w:t>
      </w:r>
      <w:r w:rsidR="007C006D">
        <w:t xml:space="preserve"> </w:t>
      </w:r>
      <w:r>
        <w:t>16);</w:t>
      </w:r>
    </w:p>
    <w:p w:rsidR="00D471F3" w:rsidRDefault="00D471F3" w:rsidP="00D471F3">
      <w:pPr>
        <w:pStyle w:val="SingleTxtG"/>
        <w:ind w:firstLine="567"/>
      </w:pPr>
      <w:r>
        <w:t>b)</w:t>
      </w:r>
      <w:r>
        <w:tab/>
        <w:t xml:space="preserve">Affaires de discrimination raciale, y compris </w:t>
      </w:r>
      <w:r w:rsidR="00DF7228">
        <w:t xml:space="preserve">les </w:t>
      </w:r>
      <w:r>
        <w:t xml:space="preserve">crimes </w:t>
      </w:r>
      <w:r w:rsidR="00DF7228">
        <w:t>inspirés par la haine</w:t>
      </w:r>
      <w:r>
        <w:t xml:space="preserve"> et réparations accordées (CERD/C/CAN/19-20, par. 73 à 77);</w:t>
      </w:r>
    </w:p>
    <w:p w:rsidR="00D471F3" w:rsidRDefault="00D471F3" w:rsidP="00D471F3">
      <w:pPr>
        <w:pStyle w:val="SingleTxtG"/>
        <w:ind w:firstLine="567"/>
      </w:pPr>
      <w:r>
        <w:t>c)</w:t>
      </w:r>
      <w:r>
        <w:tab/>
        <w:t xml:space="preserve">Mesures pour combattre les discours </w:t>
      </w:r>
      <w:r w:rsidR="00DF7228">
        <w:t xml:space="preserve">de </w:t>
      </w:r>
      <w:r>
        <w:t>haine;</w:t>
      </w:r>
    </w:p>
    <w:p w:rsidR="00D471F3" w:rsidRDefault="00D471F3" w:rsidP="00D471F3">
      <w:pPr>
        <w:pStyle w:val="SingleTxtG"/>
        <w:ind w:firstLine="567"/>
      </w:pPr>
      <w:r>
        <w:t>d)</w:t>
      </w:r>
      <w:r>
        <w:tab/>
        <w:t>Accès des autochtones, des membres des autres groupes ethniques et raciaux et des non-ressortissants à la justice, notamment à l</w:t>
      </w:r>
      <w:r w:rsidR="007C006D">
        <w:t>’</w:t>
      </w:r>
      <w:r>
        <w:t>aide juridictionnelle. Effets des mesures prises au</w:t>
      </w:r>
      <w:r w:rsidR="00DF7228">
        <w:t>x</w:t>
      </w:r>
      <w:r>
        <w:t xml:space="preserve"> niveau</w:t>
      </w:r>
      <w:r w:rsidR="00DF7228">
        <w:t>x</w:t>
      </w:r>
      <w:r>
        <w:t xml:space="preserve"> fédéral</w:t>
      </w:r>
      <w:r w:rsidR="00DF7228">
        <w:t xml:space="preserve">, </w:t>
      </w:r>
      <w:r>
        <w:t>provinc</w:t>
      </w:r>
      <w:r w:rsidR="00DF7228">
        <w:t xml:space="preserve">ial et </w:t>
      </w:r>
      <w:r>
        <w:t>territo</w:t>
      </w:r>
      <w:r w:rsidR="00DF7228">
        <w:t>rial</w:t>
      </w:r>
      <w:r>
        <w:t xml:space="preserve"> (CERD/C/CAN/19-20, par. 63 à 65; 258 à 260; 285);</w:t>
      </w:r>
    </w:p>
    <w:p w:rsidR="00D471F3" w:rsidRDefault="00D471F3" w:rsidP="00D471F3">
      <w:pPr>
        <w:pStyle w:val="SingleTxtG"/>
        <w:ind w:firstLine="567"/>
      </w:pPr>
      <w:r>
        <w:t>e)</w:t>
      </w:r>
      <w:r>
        <w:tab/>
        <w:t>État d</w:t>
      </w:r>
      <w:r w:rsidR="007C006D">
        <w:t>’</w:t>
      </w:r>
      <w:r>
        <w:t>avancement de la mise en place du mécanisme censé remplacer le Programme de contestation judiciaire (CERD/C/CAN/CO/18, par. 26; CERD/C/CAN/CO/</w:t>
      </w:r>
      <w:r w:rsidR="00A82332">
        <w:t xml:space="preserve"> </w:t>
      </w:r>
      <w:r>
        <w:t>18/Add.1, par. 139).</w:t>
      </w:r>
    </w:p>
    <w:p w:rsidR="00D471F3" w:rsidRDefault="00D471F3" w:rsidP="00D471F3">
      <w:pPr>
        <w:pStyle w:val="H1G"/>
      </w:pPr>
      <w:r>
        <w:tab/>
        <w:t>3.</w:t>
      </w:r>
      <w:r>
        <w:tab/>
        <w:t>Situation des autochtones (art. 2, 5 et 7)</w:t>
      </w:r>
    </w:p>
    <w:p w:rsidR="00D471F3" w:rsidRDefault="00D471F3" w:rsidP="00D471F3">
      <w:pPr>
        <w:pStyle w:val="SingleTxtG"/>
        <w:ind w:firstLine="567"/>
      </w:pPr>
      <w:r>
        <w:t>a)</w:t>
      </w:r>
      <w:r>
        <w:tab/>
        <w:t>Violence à l</w:t>
      </w:r>
      <w:r w:rsidR="007C006D">
        <w:t>’</w:t>
      </w:r>
      <w:r>
        <w:t>égard des femmes autochtones, des immigrées et des femmes issues de minorités raciales ou ethniques: effets, résultats et évaluation des différentes mesures prises au</w:t>
      </w:r>
      <w:r w:rsidR="00DF7228">
        <w:t>x</w:t>
      </w:r>
      <w:r>
        <w:t xml:space="preserve"> niveau</w:t>
      </w:r>
      <w:r w:rsidR="00DF7228">
        <w:t>x</w:t>
      </w:r>
      <w:r>
        <w:t xml:space="preserve"> fédéral</w:t>
      </w:r>
      <w:r w:rsidR="00DF7228">
        <w:t>,</w:t>
      </w:r>
      <w:r>
        <w:t xml:space="preserve"> provinc</w:t>
      </w:r>
      <w:r w:rsidR="00DF7228">
        <w:t>ial et</w:t>
      </w:r>
      <w:r>
        <w:t xml:space="preserve"> territo</w:t>
      </w:r>
      <w:r w:rsidR="00DF7228">
        <w:t>rial</w:t>
      </w:r>
      <w:r>
        <w:t xml:space="preserve"> (CERD/C/CAN/CO/18, par.</w:t>
      </w:r>
      <w:r w:rsidR="007C006D">
        <w:t xml:space="preserve"> </w:t>
      </w:r>
      <w:r>
        <w:t>20; CERD/C/CAN/CO/19-20, par. 44 à 62; 132 et 133; 141 à 143; 162 à 165; 204 à 219; 231 à 249; 275 à 281; 291 à 294; 306 à 313; 324 à 332; 355; 360 et 361; 374 à 377). Données ventilées insuffisantes;</w:t>
      </w:r>
    </w:p>
    <w:p w:rsidR="00D471F3" w:rsidRDefault="00D471F3" w:rsidP="00D471F3">
      <w:pPr>
        <w:pStyle w:val="SingleTxtG"/>
        <w:ind w:firstLine="567"/>
      </w:pPr>
      <w:r>
        <w:t>b)</w:t>
      </w:r>
      <w:r>
        <w:tab/>
        <w:t>Effets discriminatoires de la loi sur les Indiens sur les droits des femmes et des enfants autochtones de contracter mariage, d</w:t>
      </w:r>
      <w:r w:rsidR="007C006D">
        <w:t>’</w:t>
      </w:r>
      <w:r>
        <w:t>accéder à la propriété et d</w:t>
      </w:r>
      <w:r w:rsidR="007C006D">
        <w:t>’</w:t>
      </w:r>
      <w:r>
        <w:t>hériter de terres situées dans les réserves (CERD/C/CAN/CO/18, par. 15);</w:t>
      </w:r>
    </w:p>
    <w:p w:rsidR="00D471F3" w:rsidRDefault="00D471F3" w:rsidP="00D471F3">
      <w:pPr>
        <w:pStyle w:val="SingleTxtG"/>
        <w:ind w:firstLine="567"/>
      </w:pPr>
      <w:r>
        <w:t>c)</w:t>
      </w:r>
      <w:r>
        <w:tab/>
        <w:t xml:space="preserve">Surreprésentation des autochtones dans les établissements </w:t>
      </w:r>
      <w:r w:rsidR="00DF7228">
        <w:t>pénitentiaires</w:t>
      </w:r>
      <w:r>
        <w:t xml:space="preserve"> et réinsertion sociale</w:t>
      </w:r>
      <w:r w:rsidR="00DF7228">
        <w:t xml:space="preserve"> de ces personnes</w:t>
      </w:r>
      <w:r>
        <w:t xml:space="preserve">: résultats des initiatives prises, en particulier par la </w:t>
      </w:r>
      <w:r w:rsidR="007C006D">
        <w:t>p</w:t>
      </w:r>
      <w:r>
        <w:t>rovince de la Colombie</w:t>
      </w:r>
      <w:r w:rsidR="007C006D">
        <w:t xml:space="preserve"> b</w:t>
      </w:r>
      <w:r>
        <w:t>ritannique (CERD/C/CAN/CO/19-20, par. 346 à 350). Données insuffisantes au niveau fédéral;</w:t>
      </w:r>
    </w:p>
    <w:p w:rsidR="00D471F3" w:rsidRDefault="00DF7228" w:rsidP="00D471F3">
      <w:pPr>
        <w:pStyle w:val="SingleTxtG"/>
        <w:ind w:firstLine="567"/>
      </w:pPr>
      <w:r>
        <w:t>d)</w:t>
      </w:r>
      <w:r>
        <w:tab/>
        <w:t>Recrutement d</w:t>
      </w:r>
      <w:r w:rsidR="007C006D">
        <w:t>’</w:t>
      </w:r>
      <w:r w:rsidR="00D471F3">
        <w:t xml:space="preserve">autochtones dans la fonction publique au niveau fédéral, en particulier </w:t>
      </w:r>
      <w:r>
        <w:t>comme suite à</w:t>
      </w:r>
      <w:r w:rsidR="00D471F3">
        <w:t xml:space="preserve"> la mise en œuvre du Plan d</w:t>
      </w:r>
      <w:r w:rsidR="007C006D">
        <w:t>’</w:t>
      </w:r>
      <w:r w:rsidR="00D471F3">
        <w:t>action pour le renouvellement de la fonction publique 2008-2009</w:t>
      </w:r>
      <w:r>
        <w:t>,</w:t>
      </w:r>
      <w:r w:rsidR="00D471F3">
        <w:t xml:space="preserve"> ainsi qu</w:t>
      </w:r>
      <w:r w:rsidR="007C006D">
        <w:t>’</w:t>
      </w:r>
      <w:r w:rsidR="00D471F3">
        <w:t>au niveau des provinces et des territoires: résultats et évaluation (CERD/C/CAN/CO/19-20, par.</w:t>
      </w:r>
      <w:r w:rsidR="007C006D">
        <w:t xml:space="preserve"> </w:t>
      </w:r>
      <w:r w:rsidR="00D471F3">
        <w:t>69 à 71; 178 à 185; 314; 339; 356; 380 et 381);</w:t>
      </w:r>
    </w:p>
    <w:p w:rsidR="00D471F3" w:rsidRDefault="00D471F3" w:rsidP="00D471F3">
      <w:pPr>
        <w:pStyle w:val="SingleTxtG"/>
        <w:ind w:firstLine="567"/>
      </w:pPr>
      <w:r>
        <w:t>e)</w:t>
      </w:r>
      <w:r>
        <w:tab/>
        <w:t>Exercice des droits économiques, sociaux et culturels par les autochtones: accès au marché de l</w:t>
      </w:r>
      <w:r w:rsidR="007C006D">
        <w:t>’</w:t>
      </w:r>
      <w:r>
        <w:t>emploi public et privé, conditions de travail, reconnais</w:t>
      </w:r>
      <w:r w:rsidR="00DF7228">
        <w:t>sance de</w:t>
      </w:r>
      <w:r>
        <w:t>s qualifications professionnelles, sécurité de l</w:t>
      </w:r>
      <w:r w:rsidR="007C006D">
        <w:t>’</w:t>
      </w:r>
      <w:r>
        <w:t>emploi et éducation (CERD/C/CAN/CO/18, par. 21 et 24);</w:t>
      </w:r>
    </w:p>
    <w:p w:rsidR="00D471F3" w:rsidRDefault="00D471F3" w:rsidP="00D471F3">
      <w:pPr>
        <w:pStyle w:val="SingleTxtG"/>
        <w:ind w:firstLine="567"/>
      </w:pPr>
      <w:r>
        <w:t>f)</w:t>
      </w:r>
      <w:r>
        <w:tab/>
        <w:t>Effets des campagnes de sensibilisation et des initiatives en faveur du multiculturalisme et de la diversité sur la discrimination dont sont victimes les autochtones et les immigrés au</w:t>
      </w:r>
      <w:r w:rsidR="00DF7228">
        <w:t>x</w:t>
      </w:r>
      <w:r>
        <w:t xml:space="preserve"> niveau</w:t>
      </w:r>
      <w:r w:rsidR="00DF7228">
        <w:t>x</w:t>
      </w:r>
      <w:r>
        <w:t xml:space="preserve"> fédéral</w:t>
      </w:r>
      <w:r w:rsidR="00DF7228">
        <w:t>,</w:t>
      </w:r>
      <w:r>
        <w:t xml:space="preserve"> provinc</w:t>
      </w:r>
      <w:r w:rsidR="00DF7228">
        <w:t>ial</w:t>
      </w:r>
      <w:r>
        <w:t xml:space="preserve"> et territo</w:t>
      </w:r>
      <w:r w:rsidR="00DF7228">
        <w:t>rial</w:t>
      </w:r>
      <w:r>
        <w:t>;</w:t>
      </w:r>
    </w:p>
    <w:p w:rsidR="00D471F3" w:rsidRDefault="00D471F3" w:rsidP="00D471F3">
      <w:pPr>
        <w:pStyle w:val="SingleTxtG"/>
        <w:ind w:firstLine="567"/>
      </w:pPr>
      <w:r>
        <w:t>g)</w:t>
      </w:r>
      <w:r>
        <w:tab/>
        <w:t>Questions foncières, négociation de traités et revendications foncières des autochtones, en particulier l</w:t>
      </w:r>
      <w:r w:rsidR="007C006D">
        <w:t>’</w:t>
      </w:r>
      <w:r>
        <w:t>affaire du lac Lubicon (CERD/C/CAN/CO/18, par. 20 à 22; 25; CERD/C/CAN/CO/18/Add.1, par. 19 à 105).</w:t>
      </w:r>
    </w:p>
    <w:p w:rsidR="00D471F3" w:rsidRPr="00D471F3" w:rsidRDefault="00D471F3" w:rsidP="00D471F3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471F3" w:rsidRPr="00D471F3" w:rsidSect="00D471F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E3E" w:rsidRDefault="00541E3E"/>
  </w:endnote>
  <w:endnote w:type="continuationSeparator" w:id="0">
    <w:p w:rsidR="00541E3E" w:rsidRDefault="00541E3E"/>
  </w:endnote>
  <w:endnote w:type="continuationNotice" w:id="1">
    <w:p w:rsidR="00541E3E" w:rsidRDefault="00541E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1F3" w:rsidRPr="00D471F3" w:rsidRDefault="00D471F3" w:rsidP="00D471F3">
    <w:pPr>
      <w:pStyle w:val="Footer"/>
      <w:tabs>
        <w:tab w:val="right" w:pos="9638"/>
      </w:tabs>
    </w:pPr>
    <w:r w:rsidRPr="00D471F3">
      <w:rPr>
        <w:b/>
        <w:sz w:val="18"/>
      </w:rPr>
      <w:fldChar w:fldCharType="begin"/>
    </w:r>
    <w:r w:rsidRPr="00D471F3">
      <w:rPr>
        <w:b/>
        <w:sz w:val="18"/>
      </w:rPr>
      <w:instrText xml:space="preserve"> PAGE  \* MERGEFORMAT </w:instrText>
    </w:r>
    <w:r w:rsidRPr="00D471F3">
      <w:rPr>
        <w:b/>
        <w:sz w:val="18"/>
      </w:rPr>
      <w:fldChar w:fldCharType="separate"/>
    </w:r>
    <w:r w:rsidR="00C509BE">
      <w:rPr>
        <w:b/>
        <w:noProof/>
        <w:sz w:val="18"/>
      </w:rPr>
      <w:t>2</w:t>
    </w:r>
    <w:r w:rsidRPr="00D471F3">
      <w:rPr>
        <w:b/>
        <w:sz w:val="18"/>
      </w:rPr>
      <w:fldChar w:fldCharType="end"/>
    </w:r>
    <w:r>
      <w:rPr>
        <w:b/>
        <w:sz w:val="18"/>
      </w:rPr>
      <w:tab/>
    </w:r>
    <w:r>
      <w:t>GE.12-40376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1F3" w:rsidRPr="00D471F3" w:rsidRDefault="00D471F3" w:rsidP="00D471F3">
    <w:pPr>
      <w:pStyle w:val="Footer"/>
      <w:tabs>
        <w:tab w:val="right" w:pos="9638"/>
      </w:tabs>
      <w:rPr>
        <w:b/>
        <w:sz w:val="18"/>
      </w:rPr>
    </w:pPr>
    <w:r>
      <w:t>GE.12-40376</w:t>
    </w:r>
    <w:r>
      <w:tab/>
    </w:r>
    <w:r w:rsidRPr="00D471F3">
      <w:rPr>
        <w:b/>
        <w:sz w:val="18"/>
      </w:rPr>
      <w:fldChar w:fldCharType="begin"/>
    </w:r>
    <w:r w:rsidRPr="00D471F3">
      <w:rPr>
        <w:b/>
        <w:sz w:val="18"/>
      </w:rPr>
      <w:instrText xml:space="preserve"> PAGE  \* MERGEFORMAT </w:instrText>
    </w:r>
    <w:r w:rsidRPr="00D471F3">
      <w:rPr>
        <w:b/>
        <w:sz w:val="18"/>
      </w:rPr>
      <w:fldChar w:fldCharType="separate"/>
    </w:r>
    <w:r w:rsidR="00C509BE">
      <w:rPr>
        <w:b/>
        <w:noProof/>
        <w:sz w:val="18"/>
      </w:rPr>
      <w:t>3</w:t>
    </w:r>
    <w:r w:rsidRPr="00D471F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F8D" w:rsidRDefault="00D471F3">
    <w:pPr>
      <w:pStyle w:val="Footer"/>
    </w:pPr>
    <w:r>
      <w:rPr>
        <w:sz w:val="20"/>
      </w:rPr>
      <w:t>GE.12-40376</w:t>
    </w:r>
    <w:r w:rsidR="00AD5F8D"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96.9pt;margin-top:-8.5pt;width:86.95pt;height:18.35pt;z-index:1;mso-position-horizontal-relative:text;mso-position-vertical-relative:text">
          <v:imagedata r:id="rId1" o:title="recycle_French"/>
        </v:shape>
      </w:pict>
    </w:r>
    <w:r>
      <w:rPr>
        <w:sz w:val="20"/>
      </w:rPr>
      <w:t xml:space="preserve">  (F)    070212    </w:t>
    </w:r>
    <w:r w:rsidR="00A82332">
      <w:rPr>
        <w:sz w:val="20"/>
      </w:rPr>
      <w:t>100212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E3E" w:rsidRPr="00D27D5E" w:rsidRDefault="00541E3E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41E3E" w:rsidRPr="00AA7FE7" w:rsidRDefault="00541E3E" w:rsidP="00AA7FE7">
      <w:pPr>
        <w:tabs>
          <w:tab w:val="right" w:pos="2155"/>
        </w:tabs>
        <w:spacing w:after="80"/>
        <w:ind w:left="680"/>
        <w:rPr>
          <w:u w:val="single"/>
        </w:rPr>
      </w:pPr>
      <w:r w:rsidRPr="00AA7FE7">
        <w:rPr>
          <w:u w:val="single"/>
        </w:rPr>
        <w:tab/>
      </w:r>
    </w:p>
  </w:footnote>
  <w:footnote w:type="continuationNotice" w:id="1">
    <w:p w:rsidR="00541E3E" w:rsidRDefault="00541E3E"/>
  </w:footnote>
  <w:footnote w:id="2">
    <w:p w:rsidR="00D471F3" w:rsidRPr="00D471F3" w:rsidRDefault="00D471F3" w:rsidP="007C006D">
      <w:pPr>
        <w:pStyle w:val="FootnoteText"/>
      </w:pPr>
      <w:r>
        <w:tab/>
      </w:r>
      <w:r w:rsidRPr="00D471F3">
        <w:rPr>
          <w:rStyle w:val="FootnoteReference"/>
          <w:sz w:val="20"/>
          <w:vertAlign w:val="baseline"/>
        </w:rPr>
        <w:t>*</w:t>
      </w:r>
      <w:r>
        <w:rPr>
          <w:sz w:val="20"/>
        </w:rPr>
        <w:tab/>
      </w:r>
      <w:r>
        <w:t>Soumission tardive.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1F3" w:rsidRPr="00D471F3" w:rsidRDefault="00D471F3">
    <w:pPr>
      <w:pStyle w:val="Header"/>
    </w:pPr>
    <w:r>
      <w:t>CERD/C/CAN/Q/19-20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1F3" w:rsidRPr="00D471F3" w:rsidRDefault="00D471F3" w:rsidP="00D471F3">
    <w:pPr>
      <w:pStyle w:val="Header"/>
      <w:jc w:val="right"/>
    </w:pPr>
    <w:r>
      <w:t>CERD/C/CAN/Q/19-20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74B5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71419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196A2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45E9E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E4C88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901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D81E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2CF9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0A08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1CC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05691"/>
    <w:multiLevelType w:val="singleLevel"/>
    <w:tmpl w:val="36084D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11">
    <w:nsid w:val="08CE72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AC26C62"/>
    <w:multiLevelType w:val="singleLevel"/>
    <w:tmpl w:val="561E0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>
    <w:nsid w:val="0C2069F6"/>
    <w:multiLevelType w:val="hybridMultilevel"/>
    <w:tmpl w:val="AD0A083E"/>
    <w:lvl w:ilvl="0" w:tplc="50A07FE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70C549E"/>
    <w:multiLevelType w:val="singleLevel"/>
    <w:tmpl w:val="01325DD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15">
    <w:nsid w:val="1E4D378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2A123C58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B3F49C6"/>
    <w:multiLevelType w:val="singleLevel"/>
    <w:tmpl w:val="720CB540"/>
    <w:lvl w:ilvl="0">
      <w:start w:val="1"/>
      <w:numFmt w:val="lowerRoman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8">
    <w:nsid w:val="302A75A7"/>
    <w:multiLevelType w:val="singleLevel"/>
    <w:tmpl w:val="3496DD40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19">
    <w:nsid w:val="362557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1">
    <w:nsid w:val="3CB061AB"/>
    <w:multiLevelType w:val="singleLevel"/>
    <w:tmpl w:val="11B83F58"/>
    <w:lvl w:ilvl="0">
      <w:start w:val="1"/>
      <w:numFmt w:val="decimal"/>
      <w:lvlText w:val="%1."/>
      <w:lvlJc w:val="left"/>
      <w:pPr>
        <w:tabs>
          <w:tab w:val="num" w:pos="1494"/>
        </w:tabs>
        <w:ind w:left="1133" w:firstLine="1"/>
      </w:pPr>
      <w:rPr>
        <w:rFonts w:hint="default"/>
      </w:rPr>
    </w:lvl>
  </w:abstractNum>
  <w:abstractNum w:abstractNumId="22">
    <w:nsid w:val="40221049"/>
    <w:multiLevelType w:val="singleLevel"/>
    <w:tmpl w:val="04D4B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52D144C"/>
    <w:multiLevelType w:val="singleLevel"/>
    <w:tmpl w:val="7C4C0A7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24">
    <w:nsid w:val="45AC29BB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75545F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489F3657"/>
    <w:multiLevelType w:val="singleLevel"/>
    <w:tmpl w:val="2AB2508E"/>
    <w:lvl w:ilvl="0">
      <w:start w:val="1"/>
      <w:numFmt w:val="decimal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7">
    <w:nsid w:val="4B2E67DA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>
    <w:nsid w:val="4DF4559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4EFA25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B15788D"/>
    <w:multiLevelType w:val="singleLevel"/>
    <w:tmpl w:val="9ECEEF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31">
    <w:nsid w:val="5E69202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>
    <w:nsid w:val="6260382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65D15DFE"/>
    <w:multiLevelType w:val="singleLevel"/>
    <w:tmpl w:val="475E6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5">
    <w:nsid w:val="779C6EB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7ACA64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7C9538FD"/>
    <w:multiLevelType w:val="hybridMultilevel"/>
    <w:tmpl w:val="038A2DC0"/>
    <w:lvl w:ilvl="0" w:tplc="A5265396">
      <w:start w:val="1"/>
      <w:numFmt w:val="none"/>
      <w:lvlText w:val="%1"/>
      <w:lvlJc w:val="left"/>
      <w:pPr>
        <w:tabs>
          <w:tab w:val="num" w:pos="1134"/>
        </w:tabs>
        <w:ind w:left="1134" w:hanging="397"/>
      </w:pPr>
      <w:rPr>
        <w:rFonts w:hint="default"/>
        <w:b/>
        <w:i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CF349BD"/>
    <w:multiLevelType w:val="singleLevel"/>
    <w:tmpl w:val="51D4BF5A"/>
    <w:lvl w:ilvl="0">
      <w:start w:val="1"/>
      <w:numFmt w:val="lowerRoman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abstractNum w:abstractNumId="39">
    <w:nsid w:val="7DBF6B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F3A355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8"/>
  </w:num>
  <w:num w:numId="2">
    <w:abstractNumId w:val="17"/>
  </w:num>
  <w:num w:numId="3">
    <w:abstractNumId w:val="38"/>
  </w:num>
  <w:num w:numId="4">
    <w:abstractNumId w:val="17"/>
  </w:num>
  <w:num w:numId="5">
    <w:abstractNumId w:val="11"/>
  </w:num>
  <w:num w:numId="6">
    <w:abstractNumId w:val="19"/>
  </w:num>
  <w:num w:numId="7">
    <w:abstractNumId w:val="22"/>
  </w:num>
  <w:num w:numId="8">
    <w:abstractNumId w:val="36"/>
  </w:num>
  <w:num w:numId="9">
    <w:abstractNumId w:val="29"/>
  </w:num>
  <w:num w:numId="10">
    <w:abstractNumId w:val="39"/>
  </w:num>
  <w:num w:numId="11">
    <w:abstractNumId w:val="22"/>
  </w:num>
  <w:num w:numId="12">
    <w:abstractNumId w:val="26"/>
  </w:num>
  <w:num w:numId="13">
    <w:abstractNumId w:val="26"/>
  </w:num>
  <w:num w:numId="14">
    <w:abstractNumId w:val="33"/>
  </w:num>
  <w:num w:numId="15">
    <w:abstractNumId w:val="21"/>
  </w:num>
  <w:num w:numId="16">
    <w:abstractNumId w:val="21"/>
  </w:num>
  <w:num w:numId="17">
    <w:abstractNumId w:val="38"/>
  </w:num>
  <w:num w:numId="18">
    <w:abstractNumId w:val="17"/>
  </w:num>
  <w:num w:numId="19">
    <w:abstractNumId w:val="1"/>
  </w:num>
  <w:num w:numId="20">
    <w:abstractNumId w:val="0"/>
  </w:num>
  <w:num w:numId="21">
    <w:abstractNumId w:val="18"/>
  </w:num>
  <w:num w:numId="22">
    <w:abstractNumId w:val="10"/>
  </w:num>
  <w:num w:numId="23">
    <w:abstractNumId w:val="14"/>
  </w:num>
  <w:num w:numId="24">
    <w:abstractNumId w:val="12"/>
  </w:num>
  <w:num w:numId="25">
    <w:abstractNumId w:val="23"/>
  </w:num>
  <w:num w:numId="26">
    <w:abstractNumId w:val="30"/>
  </w:num>
  <w:num w:numId="27">
    <w:abstractNumId w:val="2"/>
  </w:num>
  <w:num w:numId="28">
    <w:abstractNumId w:val="3"/>
  </w:num>
  <w:num w:numId="29">
    <w:abstractNumId w:val="8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13"/>
  </w:num>
  <w:num w:numId="36">
    <w:abstractNumId w:val="37"/>
  </w:num>
  <w:num w:numId="37">
    <w:abstractNumId w:val="34"/>
  </w:num>
  <w:num w:numId="38">
    <w:abstractNumId w:val="20"/>
  </w:num>
  <w:num w:numId="39">
    <w:abstractNumId w:val="25"/>
  </w:num>
  <w:num w:numId="40">
    <w:abstractNumId w:val="35"/>
  </w:num>
  <w:num w:numId="41">
    <w:abstractNumId w:val="15"/>
  </w:num>
  <w:num w:numId="42">
    <w:abstractNumId w:val="31"/>
  </w:num>
  <w:num w:numId="43">
    <w:abstractNumId w:val="40"/>
  </w:num>
  <w:num w:numId="44">
    <w:abstractNumId w:val="27"/>
  </w:num>
  <w:num w:numId="45">
    <w:abstractNumId w:val="32"/>
  </w:num>
  <w:num w:numId="46">
    <w:abstractNumId w:val="28"/>
  </w:num>
  <w:num w:numId="47">
    <w:abstractNumId w:val="24"/>
  </w:num>
  <w:num w:numId="48">
    <w:abstractNumId w:val="16"/>
  </w:num>
  <w:num w:numId="49">
    <w:abstractNumId w:val="34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GB" w:vendorID="64" w:dllVersion="131077" w:nlCheck="1" w:checkStyle="1"/>
  <w:activeWritingStyle w:appName="MSWord" w:lang="fr-CH" w:vendorID="64" w:dllVersion="131078" w:nlCheck="1" w:checkStyle="1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5F8D"/>
    <w:rsid w:val="00016AC5"/>
    <w:rsid w:val="00054609"/>
    <w:rsid w:val="000A6F55"/>
    <w:rsid w:val="000E7579"/>
    <w:rsid w:val="000F41F2"/>
    <w:rsid w:val="001231AD"/>
    <w:rsid w:val="0013596A"/>
    <w:rsid w:val="001450E6"/>
    <w:rsid w:val="00150465"/>
    <w:rsid w:val="00160540"/>
    <w:rsid w:val="00192EEB"/>
    <w:rsid w:val="00197832"/>
    <w:rsid w:val="001A20FB"/>
    <w:rsid w:val="001B3867"/>
    <w:rsid w:val="001D72C5"/>
    <w:rsid w:val="001D7F8A"/>
    <w:rsid w:val="001E3FEB"/>
    <w:rsid w:val="001E45A2"/>
    <w:rsid w:val="001E4A02"/>
    <w:rsid w:val="00225A8C"/>
    <w:rsid w:val="00240BB8"/>
    <w:rsid w:val="002626D4"/>
    <w:rsid w:val="002659F1"/>
    <w:rsid w:val="00265CD7"/>
    <w:rsid w:val="00287E79"/>
    <w:rsid w:val="002928F9"/>
    <w:rsid w:val="002A5D07"/>
    <w:rsid w:val="002D3F03"/>
    <w:rsid w:val="002E0D40"/>
    <w:rsid w:val="002E5B0C"/>
    <w:rsid w:val="00300D06"/>
    <w:rsid w:val="003016B7"/>
    <w:rsid w:val="003515AA"/>
    <w:rsid w:val="00374106"/>
    <w:rsid w:val="003976D5"/>
    <w:rsid w:val="003D6C68"/>
    <w:rsid w:val="004159D0"/>
    <w:rsid w:val="00472145"/>
    <w:rsid w:val="00540389"/>
    <w:rsid w:val="00541E3E"/>
    <w:rsid w:val="00543D5E"/>
    <w:rsid w:val="00571F41"/>
    <w:rsid w:val="00593658"/>
    <w:rsid w:val="005A7AA2"/>
    <w:rsid w:val="005E5D1F"/>
    <w:rsid w:val="006034FC"/>
    <w:rsid w:val="00611D43"/>
    <w:rsid w:val="00612D48"/>
    <w:rsid w:val="00616B45"/>
    <w:rsid w:val="00630D9B"/>
    <w:rsid w:val="00631953"/>
    <w:rsid w:val="006439EC"/>
    <w:rsid w:val="00657120"/>
    <w:rsid w:val="00677837"/>
    <w:rsid w:val="00693E16"/>
    <w:rsid w:val="006B4590"/>
    <w:rsid w:val="006C340C"/>
    <w:rsid w:val="006D7B0B"/>
    <w:rsid w:val="006E6AE5"/>
    <w:rsid w:val="006F39E4"/>
    <w:rsid w:val="0070347C"/>
    <w:rsid w:val="007176C1"/>
    <w:rsid w:val="007231EF"/>
    <w:rsid w:val="0078670C"/>
    <w:rsid w:val="007C006D"/>
    <w:rsid w:val="007F55CB"/>
    <w:rsid w:val="00844750"/>
    <w:rsid w:val="008B44C4"/>
    <w:rsid w:val="008C3EBD"/>
    <w:rsid w:val="008D2259"/>
    <w:rsid w:val="008E7FAE"/>
    <w:rsid w:val="00911BF7"/>
    <w:rsid w:val="00977EC8"/>
    <w:rsid w:val="009C17F5"/>
    <w:rsid w:val="009D3A8C"/>
    <w:rsid w:val="009E7956"/>
    <w:rsid w:val="00A2492E"/>
    <w:rsid w:val="00A82332"/>
    <w:rsid w:val="00A82B6C"/>
    <w:rsid w:val="00AA7FE7"/>
    <w:rsid w:val="00AB3173"/>
    <w:rsid w:val="00AC01AA"/>
    <w:rsid w:val="00AC67A1"/>
    <w:rsid w:val="00AC7977"/>
    <w:rsid w:val="00AD5F8D"/>
    <w:rsid w:val="00AE352C"/>
    <w:rsid w:val="00B32E2D"/>
    <w:rsid w:val="00B61990"/>
    <w:rsid w:val="00BF0556"/>
    <w:rsid w:val="00C03431"/>
    <w:rsid w:val="00C261F8"/>
    <w:rsid w:val="00C33100"/>
    <w:rsid w:val="00C509BE"/>
    <w:rsid w:val="00CD1A71"/>
    <w:rsid w:val="00CD1FBB"/>
    <w:rsid w:val="00D016B5"/>
    <w:rsid w:val="00D034F1"/>
    <w:rsid w:val="00D21D4D"/>
    <w:rsid w:val="00D27D5E"/>
    <w:rsid w:val="00D37345"/>
    <w:rsid w:val="00D471F3"/>
    <w:rsid w:val="00DC156C"/>
    <w:rsid w:val="00DE6D90"/>
    <w:rsid w:val="00DF002F"/>
    <w:rsid w:val="00DF7228"/>
    <w:rsid w:val="00E0244D"/>
    <w:rsid w:val="00E42D5E"/>
    <w:rsid w:val="00E81E94"/>
    <w:rsid w:val="00E82607"/>
    <w:rsid w:val="00EC5A42"/>
    <w:rsid w:val="00F63BC6"/>
    <w:rsid w:val="00FA5A79"/>
    <w:rsid w:val="00FB0BFE"/>
    <w:rsid w:val="00FB4C51"/>
    <w:rsid w:val="00FF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17F5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D37345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9C17F5"/>
    <w:pPr>
      <w:outlineLvl w:val="1"/>
    </w:pPr>
  </w:style>
  <w:style w:type="paragraph" w:styleId="Heading3">
    <w:name w:val="heading 3"/>
    <w:basedOn w:val="Normal"/>
    <w:next w:val="Normal"/>
    <w:qFormat/>
    <w:rsid w:val="009C17F5"/>
    <w:pPr>
      <w:outlineLvl w:val="2"/>
    </w:pPr>
  </w:style>
  <w:style w:type="paragraph" w:styleId="Heading4">
    <w:name w:val="heading 4"/>
    <w:basedOn w:val="Normal"/>
    <w:next w:val="Normal"/>
    <w:qFormat/>
    <w:rsid w:val="009C17F5"/>
    <w:pPr>
      <w:outlineLvl w:val="3"/>
    </w:pPr>
  </w:style>
  <w:style w:type="paragraph" w:styleId="Heading5">
    <w:name w:val="heading 5"/>
    <w:basedOn w:val="Normal"/>
    <w:next w:val="Normal"/>
    <w:qFormat/>
    <w:rsid w:val="009C17F5"/>
    <w:pPr>
      <w:outlineLvl w:val="4"/>
    </w:pPr>
  </w:style>
  <w:style w:type="paragraph" w:styleId="Heading6">
    <w:name w:val="heading 6"/>
    <w:basedOn w:val="Normal"/>
    <w:next w:val="Normal"/>
    <w:qFormat/>
    <w:rsid w:val="009C17F5"/>
    <w:pPr>
      <w:outlineLvl w:val="5"/>
    </w:pPr>
  </w:style>
  <w:style w:type="paragraph" w:styleId="Heading7">
    <w:name w:val="heading 7"/>
    <w:basedOn w:val="Normal"/>
    <w:next w:val="Normal"/>
    <w:qFormat/>
    <w:rsid w:val="009C17F5"/>
    <w:pPr>
      <w:outlineLvl w:val="6"/>
    </w:pPr>
  </w:style>
  <w:style w:type="paragraph" w:styleId="Heading8">
    <w:name w:val="heading 8"/>
    <w:basedOn w:val="Normal"/>
    <w:next w:val="Normal"/>
    <w:qFormat/>
    <w:rsid w:val="009C17F5"/>
    <w:pPr>
      <w:outlineLvl w:val="7"/>
    </w:pPr>
  </w:style>
  <w:style w:type="paragraph" w:styleId="Heading9">
    <w:name w:val="heading 9"/>
    <w:basedOn w:val="Normal"/>
    <w:next w:val="Normal"/>
    <w:qFormat/>
    <w:rsid w:val="009C17F5"/>
    <w:pPr>
      <w:outlineLvl w:val="8"/>
    </w:pPr>
  </w:style>
  <w:style w:type="character" w:default="1" w:styleId="DefaultParagraphFont">
    <w:name w:val="Default Paragraph Font"/>
    <w:semiHidden/>
    <w:rsid w:val="009C17F5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C17F5"/>
  </w:style>
  <w:style w:type="paragraph" w:customStyle="1" w:styleId="HMG">
    <w:name w:val="_ H __M_G"/>
    <w:basedOn w:val="Normal"/>
    <w:next w:val="Normal"/>
    <w:rsid w:val="009C17F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9C17F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9C17F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9C17F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9C17F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9C17F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9C17F5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9C17F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9C17F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9C17F5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9C17F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9C17F5"/>
    <w:pPr>
      <w:numPr>
        <w:numId w:val="49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9C17F5"/>
    <w:pPr>
      <w:numPr>
        <w:numId w:val="50"/>
      </w:numPr>
      <w:spacing w:after="120"/>
      <w:ind w:right="1134"/>
      <w:jc w:val="both"/>
    </w:pPr>
  </w:style>
  <w:style w:type="character" w:styleId="FootnoteReference">
    <w:name w:val="footnote reference"/>
    <w:aliases w:val="4_G"/>
    <w:rsid w:val="009C17F5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9C17F5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rsid w:val="009C17F5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rsid w:val="00054609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054609"/>
  </w:style>
  <w:style w:type="character" w:styleId="PageNumber">
    <w:name w:val="page number"/>
    <w:aliases w:val="7_G"/>
    <w:rsid w:val="009C17F5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rsid w:val="009C17F5"/>
    <w:pPr>
      <w:spacing w:line="240" w:lineRule="auto"/>
    </w:pPr>
    <w:rPr>
      <w:sz w:val="16"/>
    </w:rPr>
  </w:style>
  <w:style w:type="character" w:styleId="Hyperlink">
    <w:name w:val="Hyperlink"/>
    <w:rsid w:val="00540389"/>
    <w:rPr>
      <w:color w:val="auto"/>
      <w:u w:val="none"/>
    </w:rPr>
  </w:style>
  <w:style w:type="character" w:styleId="FollowedHyperlink">
    <w:name w:val="FollowedHyperlink"/>
    <w:rsid w:val="00540389"/>
    <w:rPr>
      <w:color w:val="auto"/>
      <w:u w:val="none"/>
    </w:rPr>
  </w:style>
  <w:style w:type="table" w:styleId="TableGrid">
    <w:name w:val="Table Grid"/>
    <w:basedOn w:val="TableNormal"/>
    <w:semiHidden/>
    <w:rsid w:val="00D471F3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NEWFORMAT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</Template>
  <TotalTime>1</TotalTime>
  <Pages>3</Pages>
  <Words>1036</Words>
  <Characters>5984</Characters>
  <Application>Microsoft Office Word</Application>
  <DocSecurity>4</DocSecurity>
  <Lines>112</Lines>
  <Paragraphs>44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CERD/C/CAN/Q/19-20</vt:lpstr>
    </vt:vector>
  </TitlesOfParts>
  <Company>CSD</Company>
  <LinksUpToDate>false</LinksUpToDate>
  <CharactersWithSpaces>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CERD/C/CAN/Q/19-20</dc:title>
  <dc:subject>final</dc:subject>
  <dc:creator>Gibert</dc:creator>
  <cp:keywords/>
  <dc:description/>
  <cp:lastModifiedBy>Vigny</cp:lastModifiedBy>
  <cp:revision>2</cp:revision>
  <cp:lastPrinted>2012-02-07T14:20:00Z</cp:lastPrinted>
  <dcterms:created xsi:type="dcterms:W3CDTF">2012-02-10T07:08:00Z</dcterms:created>
  <dcterms:modified xsi:type="dcterms:W3CDTF">2012-02-10T07:08:00Z</dcterms:modified>
</cp:coreProperties>
</file>