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14:paraId="5DF14A97" w14:textId="77777777" w:rsidTr="00F90E4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61B6AFC" w14:textId="77777777" w:rsidR="002D5AAC" w:rsidRDefault="002D5AAC" w:rsidP="00D97DE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14:paraId="14E437E4" w14:textId="77777777" w:rsidR="002D5AAC" w:rsidRPr="00BD33EE" w:rsidRDefault="00DF71B9" w:rsidP="00F90E4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14:paraId="1240E080" w14:textId="3499034F" w:rsidR="002D5AAC" w:rsidRDefault="00D97DEA" w:rsidP="00D97DEA">
            <w:pPr>
              <w:jc w:val="right"/>
            </w:pPr>
            <w:r w:rsidRPr="00D97DEA">
              <w:rPr>
                <w:sz w:val="40"/>
              </w:rPr>
              <w:t>CAT</w:t>
            </w:r>
            <w:r>
              <w:t>/C/IRQ/CO/2</w:t>
            </w:r>
          </w:p>
        </w:tc>
      </w:tr>
      <w:tr w:rsidR="002D5AAC" w:rsidRPr="00075D72" w14:paraId="0A57813D" w14:textId="77777777" w:rsidTr="00F90E40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CC776A0" w14:textId="77777777" w:rsidR="002D5AAC" w:rsidRDefault="002E5067" w:rsidP="00F90E40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731EB6D" wp14:editId="41216B12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B1E7D96" w14:textId="77777777" w:rsidR="002D5AAC" w:rsidRPr="00C23549" w:rsidRDefault="00C23549" w:rsidP="00F90E40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3549">
              <w:rPr>
                <w:b/>
                <w:spacing w:val="-4"/>
                <w:sz w:val="34"/>
                <w:szCs w:val="34"/>
              </w:rPr>
              <w:t xml:space="preserve">Конвенция против пыток и </w:t>
            </w:r>
            <w:r w:rsidRPr="00C23549">
              <w:rPr>
                <w:b/>
                <w:spacing w:val="-4"/>
                <w:sz w:val="34"/>
                <w:szCs w:val="34"/>
              </w:rPr>
              <w:br/>
              <w:t xml:space="preserve">других жестоких, бесчеловечных </w:t>
            </w:r>
            <w:r w:rsidRPr="00C23549">
              <w:rPr>
                <w:b/>
                <w:spacing w:val="-4"/>
                <w:sz w:val="34"/>
                <w:szCs w:val="34"/>
              </w:rPr>
              <w:br/>
              <w:t>или унижающих достоинство</w:t>
            </w:r>
            <w:r w:rsidR="00F21B00" w:rsidRPr="00F21B00">
              <w:rPr>
                <w:b/>
                <w:spacing w:val="-4"/>
                <w:sz w:val="34"/>
                <w:szCs w:val="34"/>
              </w:rPr>
              <w:br/>
            </w:r>
            <w:r w:rsidRPr="00C23549">
              <w:rPr>
                <w:b/>
                <w:spacing w:val="-4"/>
                <w:sz w:val="34"/>
                <w:szCs w:val="34"/>
              </w:rPr>
              <w:t>видов обращения и наказания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33EE8435" w14:textId="77777777" w:rsidR="002D5AAC" w:rsidRPr="001261F0" w:rsidRDefault="00D97DEA" w:rsidP="00F90E40">
            <w:pPr>
              <w:spacing w:before="240"/>
              <w:rPr>
                <w:lang w:val="en-US"/>
              </w:rPr>
            </w:pPr>
            <w:r w:rsidRPr="001261F0">
              <w:rPr>
                <w:lang w:val="en-US"/>
              </w:rPr>
              <w:t>Distr.: General</w:t>
            </w:r>
          </w:p>
          <w:p w14:paraId="55B0BE68" w14:textId="77777777" w:rsidR="00D97DEA" w:rsidRPr="001261F0" w:rsidRDefault="00D97DEA" w:rsidP="00D97DEA">
            <w:pPr>
              <w:spacing w:line="240" w:lineRule="exact"/>
              <w:rPr>
                <w:lang w:val="en-US"/>
              </w:rPr>
            </w:pPr>
            <w:r w:rsidRPr="001261F0">
              <w:rPr>
                <w:lang w:val="en-US"/>
              </w:rPr>
              <w:t>15 June 2022</w:t>
            </w:r>
          </w:p>
          <w:p w14:paraId="46F85B30" w14:textId="77777777" w:rsidR="00D97DEA" w:rsidRPr="001261F0" w:rsidRDefault="00D97DEA" w:rsidP="00D97DEA">
            <w:pPr>
              <w:spacing w:line="240" w:lineRule="exact"/>
              <w:rPr>
                <w:lang w:val="en-US"/>
              </w:rPr>
            </w:pPr>
            <w:r w:rsidRPr="001261F0">
              <w:rPr>
                <w:lang w:val="en-US"/>
              </w:rPr>
              <w:t>Russian</w:t>
            </w:r>
          </w:p>
          <w:p w14:paraId="3BC4DCCD" w14:textId="64A0026B" w:rsidR="00D97DEA" w:rsidRPr="001261F0" w:rsidRDefault="00D97DEA" w:rsidP="00D97DEA">
            <w:pPr>
              <w:spacing w:line="240" w:lineRule="exact"/>
              <w:rPr>
                <w:lang w:val="en-US"/>
              </w:rPr>
            </w:pPr>
            <w:r w:rsidRPr="001261F0">
              <w:rPr>
                <w:lang w:val="en-US"/>
              </w:rPr>
              <w:t>Original: English</w:t>
            </w:r>
          </w:p>
        </w:tc>
      </w:tr>
    </w:tbl>
    <w:p w14:paraId="2D4ADFC7" w14:textId="77777777" w:rsidR="00D97DEA" w:rsidRPr="00D97DEA" w:rsidRDefault="00D97DEA" w:rsidP="00D97DEA">
      <w:pPr>
        <w:spacing w:before="120"/>
        <w:rPr>
          <w:rFonts w:eastAsiaTheme="minorEastAsia"/>
          <w:sz w:val="24"/>
          <w:szCs w:val="24"/>
        </w:rPr>
      </w:pPr>
      <w:r w:rsidRPr="00D97DEA">
        <w:rPr>
          <w:b/>
          <w:bCs/>
          <w:sz w:val="24"/>
          <w:szCs w:val="24"/>
        </w:rPr>
        <w:t>Комитет против пыток</w:t>
      </w:r>
    </w:p>
    <w:p w14:paraId="2C7791B0" w14:textId="77777777" w:rsidR="00D97DEA" w:rsidRPr="00931E38" w:rsidRDefault="00D97DEA" w:rsidP="00D97DEA">
      <w:pPr>
        <w:pStyle w:val="HChG"/>
      </w:pPr>
      <w:r>
        <w:tab/>
      </w:r>
      <w:r>
        <w:tab/>
        <w:t>Заключительные замечания по второму периодическому докладу Ирака</w:t>
      </w:r>
      <w:r w:rsidRPr="000776E3">
        <w:rPr>
          <w:b w:val="0"/>
          <w:bCs/>
          <w:sz w:val="20"/>
        </w:rPr>
        <w:footnoteReference w:customMarkFollows="1" w:id="1"/>
        <w:t>*</w:t>
      </w:r>
    </w:p>
    <w:p w14:paraId="021CCFDA" w14:textId="4BF76752" w:rsidR="00D97DEA" w:rsidRPr="00931E38" w:rsidRDefault="00D97DEA" w:rsidP="00D97DEA">
      <w:pPr>
        <w:pStyle w:val="SingleTxtG"/>
      </w:pPr>
      <w:r>
        <w:t>1.</w:t>
      </w:r>
      <w:r>
        <w:tab/>
        <w:t>Комитет против пыток рассмотрел второй периодический доклад Ирака</w:t>
      </w:r>
      <w:r w:rsidRPr="00E75A98">
        <w:rPr>
          <w:sz w:val="18"/>
          <w:vertAlign w:val="superscript"/>
        </w:rPr>
        <w:footnoteReference w:id="2"/>
      </w:r>
      <w:r>
        <w:t xml:space="preserve"> на своих 1887-м и 1890-м заседаниях</w:t>
      </w:r>
      <w:r w:rsidRPr="00E75A98">
        <w:rPr>
          <w:sz w:val="18"/>
          <w:vertAlign w:val="superscript"/>
        </w:rPr>
        <w:footnoteReference w:id="3"/>
      </w:r>
      <w:r w:rsidRPr="00D97DEA">
        <w:t>,</w:t>
      </w:r>
      <w:r>
        <w:t xml:space="preserve"> состоявшихся 26 и 27 апреля 2022 года, и принял настоящие заключительные замечания на своем 1903-м заседании, состоявшемся 9 мая 2022 года.</w:t>
      </w:r>
    </w:p>
    <w:p w14:paraId="265E998A" w14:textId="4FBFB479" w:rsidR="00D97DEA" w:rsidRPr="00931E38" w:rsidRDefault="00D97DEA" w:rsidP="00D97DEA">
      <w:pPr>
        <w:pStyle w:val="H1G"/>
      </w:pPr>
      <w:r>
        <w:rPr>
          <w:bCs/>
        </w:rPr>
        <w:tab/>
        <w:t>A.</w:t>
      </w:r>
      <w:r>
        <w:tab/>
      </w:r>
      <w:r>
        <w:rPr>
          <w:bCs/>
        </w:rPr>
        <w:t>Введение</w:t>
      </w:r>
    </w:p>
    <w:p w14:paraId="16351795" w14:textId="530E704F" w:rsidR="00D97DEA" w:rsidRPr="00931E38" w:rsidRDefault="00D97DEA" w:rsidP="00D97DEA">
      <w:pPr>
        <w:pStyle w:val="SingleTxtG"/>
      </w:pPr>
      <w:r>
        <w:t>2.</w:t>
      </w:r>
      <w:r>
        <w:tab/>
        <w:t>Комитет приветствует своевременное представление второго периодического доклада государства-участника. Комитет высоко оценивает письменные ответы государства-участника</w:t>
      </w:r>
      <w:r w:rsidRPr="00E75A98">
        <w:rPr>
          <w:sz w:val="18"/>
          <w:vertAlign w:val="superscript"/>
        </w:rPr>
        <w:footnoteReference w:id="4"/>
      </w:r>
      <w:r>
        <w:t xml:space="preserve"> на перечень вопросов</w:t>
      </w:r>
      <w:r w:rsidRPr="00E75A98">
        <w:rPr>
          <w:sz w:val="18"/>
          <w:vertAlign w:val="superscript"/>
        </w:rPr>
        <w:footnoteReference w:id="5"/>
      </w:r>
      <w:r w:rsidRPr="00D97DEA">
        <w:t>,</w:t>
      </w:r>
      <w:r>
        <w:t xml:space="preserve"> а также дополнительную информацию, представленную в ходе рассмотрения периодического доклада.</w:t>
      </w:r>
    </w:p>
    <w:p w14:paraId="0DD66E72" w14:textId="77777777" w:rsidR="00D97DEA" w:rsidRPr="00931E38" w:rsidRDefault="00D97DEA" w:rsidP="00D97DEA">
      <w:pPr>
        <w:pStyle w:val="SingleTxtG"/>
      </w:pPr>
      <w:r>
        <w:t>3.</w:t>
      </w:r>
      <w:r>
        <w:tab/>
        <w:t>Комитет также выражает удовлетворение в связи с тем, что имел возможность провести конструктивный диалог с делегацией государства-участника, хотя и сожалеет, что некоторые из его вопросов остались без ответа.</w:t>
      </w:r>
    </w:p>
    <w:p w14:paraId="7657D18B" w14:textId="087B680B" w:rsidR="00D97DEA" w:rsidRPr="00931E38" w:rsidRDefault="00D97DEA" w:rsidP="00D97DEA">
      <w:pPr>
        <w:pStyle w:val="H1G"/>
      </w:pPr>
      <w:r>
        <w:rPr>
          <w:bCs/>
        </w:rPr>
        <w:tab/>
        <w:t>B.</w:t>
      </w:r>
      <w:r>
        <w:tab/>
      </w:r>
      <w:r>
        <w:rPr>
          <w:bCs/>
        </w:rPr>
        <w:t>Позитивные аспекты</w:t>
      </w:r>
    </w:p>
    <w:p w14:paraId="220EC24D" w14:textId="77777777" w:rsidR="00D97DEA" w:rsidRPr="00931E38" w:rsidRDefault="00D97DEA" w:rsidP="00D97DEA">
      <w:pPr>
        <w:pStyle w:val="SingleTxtG"/>
      </w:pPr>
      <w:r>
        <w:t>4.</w:t>
      </w:r>
      <w:r>
        <w:tab/>
        <w:t>Комитет приветствует инициативы государства-участника по пересмотру действующего и принятию нового законодательства в областях, имеющих отношение к Конвенции, включая:</w:t>
      </w:r>
    </w:p>
    <w:p w14:paraId="2B40C0BE" w14:textId="6BF7573F" w:rsidR="00D97DEA" w:rsidRPr="00931E38" w:rsidRDefault="00D97DEA" w:rsidP="00D97DEA">
      <w:pPr>
        <w:pStyle w:val="SingleTxtG"/>
        <w:ind w:firstLine="567"/>
      </w:pPr>
      <w:r>
        <w:t>a)</w:t>
      </w:r>
      <w:r>
        <w:tab/>
        <w:t xml:space="preserve">Закон № 8 2021 года о переживших насилие </w:t>
      </w:r>
      <w:proofErr w:type="spellStart"/>
      <w:r>
        <w:t>езидских</w:t>
      </w:r>
      <w:proofErr w:type="spellEnd"/>
      <w:r>
        <w:t xml:space="preserve"> женщинах;</w:t>
      </w:r>
    </w:p>
    <w:p w14:paraId="6E2EF869" w14:textId="77777777" w:rsidR="00D97DEA" w:rsidRPr="00931E38" w:rsidRDefault="00D97DEA" w:rsidP="00D97DEA">
      <w:pPr>
        <w:pStyle w:val="SingleTxtG"/>
        <w:ind w:firstLine="567"/>
      </w:pPr>
      <w:r>
        <w:t>b)</w:t>
      </w:r>
      <w:r>
        <w:tab/>
        <w:t>Закон № 14 2018 года о реформе пенитенциарной системы;</w:t>
      </w:r>
    </w:p>
    <w:p w14:paraId="1AFCC79D" w14:textId="77777777" w:rsidR="00D97DEA" w:rsidRPr="00931E38" w:rsidRDefault="00D97DEA" w:rsidP="00D97DEA">
      <w:pPr>
        <w:pStyle w:val="SingleTxtG"/>
        <w:ind w:firstLine="567"/>
      </w:pPr>
      <w:r>
        <w:t>c)</w:t>
      </w:r>
      <w:r>
        <w:tab/>
        <w:t>Закон № 58 2017 года о защите свидетелей, экспертов, лиц, сообщающих о нарушениях, и жертв;</w:t>
      </w:r>
    </w:p>
    <w:p w14:paraId="6E828210" w14:textId="77777777" w:rsidR="00D97DEA" w:rsidRPr="00931E38" w:rsidRDefault="00D97DEA" w:rsidP="00D97DEA">
      <w:pPr>
        <w:pStyle w:val="SingleTxtG"/>
        <w:ind w:firstLine="567"/>
      </w:pPr>
      <w:r>
        <w:t>d)</w:t>
      </w:r>
      <w:r>
        <w:tab/>
        <w:t>Закон № 70 2017 года о передаче судебных органов в ведение Высшего судебного совета;</w:t>
      </w:r>
    </w:p>
    <w:p w14:paraId="1FC48A37" w14:textId="77777777" w:rsidR="00D97DEA" w:rsidRPr="00931E38" w:rsidRDefault="00D97DEA" w:rsidP="00D97DEA">
      <w:pPr>
        <w:pStyle w:val="SingleTxtG"/>
        <w:ind w:firstLine="567"/>
      </w:pPr>
      <w:r>
        <w:t>e)</w:t>
      </w:r>
      <w:r>
        <w:tab/>
        <w:t>Закон № 11 2016 года о трансплантации человеческих органов и запрете торговли ими;</w:t>
      </w:r>
    </w:p>
    <w:p w14:paraId="51F710C2" w14:textId="77777777" w:rsidR="00D97DEA" w:rsidRPr="00931E38" w:rsidRDefault="00D97DEA" w:rsidP="00D97DEA">
      <w:pPr>
        <w:pStyle w:val="SingleTxtG"/>
        <w:ind w:firstLine="567"/>
      </w:pPr>
      <w:r>
        <w:t>f)</w:t>
      </w:r>
      <w:r>
        <w:tab/>
        <w:t>Закон № 27 2016 года о всеобщей амнистии;</w:t>
      </w:r>
    </w:p>
    <w:p w14:paraId="0E4AC5D6" w14:textId="77777777" w:rsidR="00D97DEA" w:rsidRPr="00931E38" w:rsidRDefault="00D97DEA" w:rsidP="00D97DEA">
      <w:pPr>
        <w:pStyle w:val="SingleTxtG"/>
        <w:ind w:firstLine="567"/>
      </w:pPr>
      <w:r>
        <w:lastRenderedPageBreak/>
        <w:t>g)</w:t>
      </w:r>
      <w:r>
        <w:tab/>
        <w:t>Закон № 56 2015 года о внесении поправок в Закон о судебно-медицинской экспертизе.</w:t>
      </w:r>
    </w:p>
    <w:p w14:paraId="659450AC" w14:textId="77777777" w:rsidR="00D97DEA" w:rsidRPr="00931E38" w:rsidRDefault="00D97DEA" w:rsidP="00D97DEA">
      <w:pPr>
        <w:pStyle w:val="SingleTxtG"/>
      </w:pPr>
      <w:r>
        <w:t>5.</w:t>
      </w:r>
      <w:r>
        <w:tab/>
        <w:t>Комитет приветствует инициативы государства-участника по изменению своих стратегий и процедур в интересах обеспечения более эффективной защиты прав человека и более широкого применения положений Конвенции, в частности:</w:t>
      </w:r>
    </w:p>
    <w:p w14:paraId="05E7BD97" w14:textId="7353C6EC" w:rsidR="00D97DEA" w:rsidRPr="00931E38" w:rsidRDefault="00D97DEA" w:rsidP="00D97DEA">
      <w:pPr>
        <w:pStyle w:val="SingleTxtG"/>
        <w:ind w:firstLine="567"/>
      </w:pPr>
      <w:r>
        <w:t>a)</w:t>
      </w:r>
      <w:r>
        <w:tab/>
        <w:t xml:space="preserve">Национальную стратегию в области репродуктивного здоровья, </w:t>
      </w:r>
      <w:r w:rsidR="00B7153E">
        <w:br/>
      </w:r>
      <w:r>
        <w:t>2018–2022 годы;</w:t>
      </w:r>
    </w:p>
    <w:p w14:paraId="2660FAEF" w14:textId="77777777" w:rsidR="00D97DEA" w:rsidRPr="00931E38" w:rsidRDefault="00D97DEA" w:rsidP="00D97DEA">
      <w:pPr>
        <w:pStyle w:val="SingleTxtG"/>
        <w:ind w:firstLine="567"/>
      </w:pPr>
      <w:r>
        <w:t>b)</w:t>
      </w:r>
      <w:r>
        <w:tab/>
        <w:t>Национальный план по расширению прав и возможностей женщин, 2022–2030 годы;</w:t>
      </w:r>
    </w:p>
    <w:p w14:paraId="71877BB0" w14:textId="77777777" w:rsidR="00D97DEA" w:rsidRPr="00931E38" w:rsidRDefault="00D97DEA" w:rsidP="00D97DEA">
      <w:pPr>
        <w:pStyle w:val="SingleTxtG"/>
        <w:ind w:firstLine="567"/>
      </w:pPr>
      <w:r>
        <w:t>c)</w:t>
      </w:r>
      <w:r>
        <w:tab/>
        <w:t>Национальная стратегия защиты детей, принята в 2017 году;</w:t>
      </w:r>
    </w:p>
    <w:p w14:paraId="75A0F91C" w14:textId="77777777" w:rsidR="00D97DEA" w:rsidRPr="00931E38" w:rsidRDefault="00D97DEA" w:rsidP="00D97DEA">
      <w:pPr>
        <w:pStyle w:val="SingleTxtG"/>
        <w:ind w:firstLine="567"/>
      </w:pPr>
      <w:r>
        <w:t>d)</w:t>
      </w:r>
      <w:r>
        <w:tab/>
        <w:t>Руководящие указания Высшего судебного совета по осуществлению Закона № 58 2017 года о защите свидетелей, экспертов, лиц, сообщающих о нарушениях, и жертв;</w:t>
      </w:r>
    </w:p>
    <w:p w14:paraId="3B818FD9" w14:textId="77777777" w:rsidR="00D97DEA" w:rsidRPr="00931E38" w:rsidRDefault="00D97DEA" w:rsidP="00D97DEA">
      <w:pPr>
        <w:pStyle w:val="SingleTxtG"/>
        <w:ind w:firstLine="567"/>
      </w:pPr>
      <w:r>
        <w:t>e)</w:t>
      </w:r>
      <w:r>
        <w:tab/>
        <w:t>Постановление № 7 от 2017 года о приютах для жертв торговли людьми;</w:t>
      </w:r>
    </w:p>
    <w:p w14:paraId="7478483A" w14:textId="194D8EF2" w:rsidR="00D97DEA" w:rsidRPr="00931E38" w:rsidRDefault="00D97DEA" w:rsidP="00D97DEA">
      <w:pPr>
        <w:pStyle w:val="SingleTxtG"/>
        <w:ind w:firstLine="567"/>
      </w:pPr>
      <w:r>
        <w:t>f)</w:t>
      </w:r>
      <w:r>
        <w:tab/>
        <w:t>создание в соответствии с Административным приказом № 10 от 2015</w:t>
      </w:r>
      <w:r w:rsidR="00E437BD">
        <w:rPr>
          <w:lang w:val="en-US"/>
        </w:rPr>
        <w:t> </w:t>
      </w:r>
      <w:r>
        <w:t>года национального постоянного комитета по международному гуманитарному праву.</w:t>
      </w:r>
    </w:p>
    <w:p w14:paraId="4577D574" w14:textId="77777777" w:rsidR="00D97DEA" w:rsidRPr="00931E38" w:rsidRDefault="00D97DEA" w:rsidP="00D97DEA">
      <w:pPr>
        <w:pStyle w:val="SingleTxtG"/>
        <w:rPr>
          <w:bCs/>
        </w:rPr>
      </w:pPr>
      <w:r>
        <w:t>6.</w:t>
      </w:r>
      <w:r>
        <w:tab/>
        <w:t>Комитет высоко оценивает принятие государством-участником национального плана по правам человека на 2021–2025 годы, в котором, в частности, определены приоритеты в области борьбы с пытками, насильственными исчезновениями и гендерным насилием. Он также приветствует начало реализации плана региона Курдистан по правам человека на 2021–2025 годы.</w:t>
      </w:r>
    </w:p>
    <w:p w14:paraId="21448AB3" w14:textId="4D06D9D3" w:rsidR="00D97DEA" w:rsidRPr="00931E38" w:rsidRDefault="00E437BD" w:rsidP="00D97DEA">
      <w:pPr>
        <w:pStyle w:val="H1G"/>
      </w:pPr>
      <w:r>
        <w:rPr>
          <w:bCs/>
        </w:rPr>
        <w:tab/>
      </w:r>
      <w:r w:rsidR="00D97DEA">
        <w:rPr>
          <w:bCs/>
        </w:rPr>
        <w:t>C.</w:t>
      </w:r>
      <w:r w:rsidR="00D97DEA">
        <w:tab/>
      </w:r>
      <w:r w:rsidR="00D97DEA">
        <w:rPr>
          <w:bCs/>
        </w:rPr>
        <w:t>Основные вопросы, вызывающие обеспокоенность, и</w:t>
      </w:r>
      <w:r>
        <w:rPr>
          <w:bCs/>
          <w:lang w:val="en-US"/>
        </w:rPr>
        <w:t> </w:t>
      </w:r>
      <w:r w:rsidR="00D97DEA">
        <w:rPr>
          <w:bCs/>
        </w:rPr>
        <w:t>рекомендации</w:t>
      </w:r>
    </w:p>
    <w:p w14:paraId="5D89BA69" w14:textId="0584173D" w:rsidR="00D97DEA" w:rsidRPr="00931E38" w:rsidRDefault="00D97DEA" w:rsidP="00D97DEA">
      <w:pPr>
        <w:pStyle w:val="H23G"/>
      </w:pPr>
      <w:r>
        <w:tab/>
      </w:r>
      <w:r>
        <w:tab/>
      </w:r>
      <w:r>
        <w:rPr>
          <w:bCs/>
        </w:rPr>
        <w:t>Вопросы последующей деятельности, оставшиеся нерассмотренными со</w:t>
      </w:r>
      <w:r w:rsidR="00E437BD">
        <w:rPr>
          <w:bCs/>
          <w:lang w:val="en-US"/>
        </w:rPr>
        <w:t> </w:t>
      </w:r>
      <w:r>
        <w:rPr>
          <w:bCs/>
        </w:rPr>
        <w:t>времени предыдущего цикла представления докладов</w:t>
      </w:r>
    </w:p>
    <w:p w14:paraId="07C12FA1" w14:textId="4A6DDD62" w:rsidR="00D97DEA" w:rsidRPr="00931E38" w:rsidRDefault="00D97DEA" w:rsidP="00D97DEA">
      <w:pPr>
        <w:pStyle w:val="SingleTxtG"/>
      </w:pPr>
      <w:r>
        <w:t>7.</w:t>
      </w:r>
      <w:r>
        <w:tab/>
        <w:t>В своих заключительных замечаниях по первоначальному докладу государства-участника Комитет просил государство-участник представить информацию о выполнении им рекомендаций Комитета, касающихся вооруженного конфликта, террористических актов и нарушений Конвенции, сексуального насилия в условиях конфликта, основных правовых гарантий и тайного содержания под стражей в случаях, связанных с соображениями безопасности</w:t>
      </w:r>
      <w:r w:rsidRPr="00E75A98">
        <w:rPr>
          <w:sz w:val="18"/>
          <w:vertAlign w:val="superscript"/>
        </w:rPr>
        <w:footnoteReference w:id="6"/>
      </w:r>
      <w:r>
        <w:t>. С удовлетворением отмечая ответы, представленные государством-участником</w:t>
      </w:r>
      <w:r w:rsidRPr="00E75A98">
        <w:rPr>
          <w:sz w:val="18"/>
          <w:vertAlign w:val="superscript"/>
          <w:lang w:eastAsia="ko-KR"/>
        </w:rPr>
        <w:footnoteReference w:id="7"/>
      </w:r>
      <w:r w:rsidR="00B7153E" w:rsidRPr="00B7153E">
        <w:t>,</w:t>
      </w:r>
      <w:r>
        <w:t xml:space="preserve"> и ссылаясь на письмо докладчика Комитета по последующим мерам в связи с заключительными замечаниями от 23 июля 2020 года, Комитет считает, что рекомендация, содержащаяся в пункте 12 а) предыдущих заключительных замечаний, не выполнена, а рекомендация, содержащаяся в пункте 14, выполнена лишь частично. Информация о последующих мерах, представленная государством-участником в отношении пунктов 13 и 16 а) предыдущих заключительных замечаний, считается недостаточной для оценки выполнения. Эти вопросы рассматриваются в пунктах 18–21, 10, 11, 16 и 17 настоящих заключительных замечаний.</w:t>
      </w:r>
    </w:p>
    <w:p w14:paraId="194CF308" w14:textId="77777777" w:rsidR="00D97DEA" w:rsidRPr="00931E38" w:rsidRDefault="00D97DEA" w:rsidP="00D97DEA">
      <w:pPr>
        <w:pStyle w:val="H23G"/>
      </w:pPr>
      <w:r>
        <w:tab/>
      </w:r>
      <w:r>
        <w:tab/>
      </w:r>
      <w:r>
        <w:rPr>
          <w:bCs/>
        </w:rPr>
        <w:t>Определение и квалификация пытки в качестве преступления</w:t>
      </w:r>
    </w:p>
    <w:p w14:paraId="38142E95" w14:textId="06CDB554" w:rsidR="00D97DEA" w:rsidRPr="001261F0" w:rsidRDefault="00D97DEA" w:rsidP="00D97DEA">
      <w:pPr>
        <w:pStyle w:val="SingleTxtG"/>
        <w:rPr>
          <w:rFonts w:eastAsia="Malgun Gothic"/>
        </w:rPr>
      </w:pPr>
      <w:r>
        <w:t>8.</w:t>
      </w:r>
      <w:r>
        <w:tab/>
        <w:t>Ссылаясь на свои предыдущие заключительные замечания</w:t>
      </w:r>
      <w:r w:rsidRPr="00E75A98">
        <w:rPr>
          <w:rFonts w:eastAsia="Malgun Gothic"/>
          <w:sz w:val="18"/>
          <w:vertAlign w:val="superscript"/>
          <w:lang w:eastAsia="ko-KR"/>
        </w:rPr>
        <w:footnoteReference w:id="8"/>
      </w:r>
      <w:r w:rsidR="00BC74F9" w:rsidRPr="00BC74F9">
        <w:t>,</w:t>
      </w:r>
      <w:r>
        <w:t xml:space="preserve"> Комитет по</w:t>
      </w:r>
      <w:r w:rsidR="009E262A">
        <w:noBreakHyphen/>
      </w:r>
      <w:r>
        <w:t xml:space="preserve">прежнему обеспокоен задержкой в принятии законодательства о борьбе с пытками. Он отмечает, что уже подготовлены два законопроекта, а законопроект, представленный Министерством юстиции, в настоящее время находится на </w:t>
      </w:r>
      <w:r>
        <w:lastRenderedPageBreak/>
        <w:t>рассмотрении законодательного органа. Однако Комитет обеспокоен полученной информацией о том, что этот законопроект все еще не соответствует требованиям Конвенции, согласно статье 1 которой, такое определение должно содержать, помимо прочего, все элементы преступления пытки</w:t>
      </w:r>
      <w:r w:rsidRPr="00E75A98">
        <w:rPr>
          <w:rFonts w:eastAsia="Malgun Gothic"/>
          <w:sz w:val="18"/>
          <w:vertAlign w:val="superscript"/>
          <w:lang w:eastAsia="ko-KR"/>
        </w:rPr>
        <w:footnoteReference w:id="9"/>
      </w:r>
      <w:r>
        <w:t xml:space="preserve"> (статьи 1–2 и 4).</w:t>
      </w:r>
    </w:p>
    <w:p w14:paraId="794BD833" w14:textId="6728EC18" w:rsidR="00D97DEA" w:rsidRPr="00931E38" w:rsidRDefault="00D97DEA" w:rsidP="00D97DEA">
      <w:pPr>
        <w:pStyle w:val="SingleTxtG"/>
        <w:rPr>
          <w:b/>
        </w:rPr>
      </w:pPr>
      <w:r>
        <w:t>9.</w:t>
      </w:r>
      <w:r>
        <w:tab/>
      </w:r>
      <w:r>
        <w:rPr>
          <w:b/>
          <w:bCs/>
        </w:rPr>
        <w:t>В свете обязательств, взятых государством-участником в контексте процесса универсального периодического обзора в ноябре 2019 года</w:t>
      </w:r>
      <w:r w:rsidRPr="00F901FD">
        <w:rPr>
          <w:rFonts w:eastAsia="Malgun Gothic"/>
          <w:bCs/>
          <w:sz w:val="18"/>
          <w:vertAlign w:val="superscript"/>
          <w:lang w:eastAsia="ko-KR"/>
        </w:rPr>
        <w:footnoteReference w:id="10"/>
      </w:r>
      <w:r w:rsidR="00F901FD" w:rsidRPr="00F901FD">
        <w:rPr>
          <w:b/>
          <w:bCs/>
        </w:rPr>
        <w:t>,</w:t>
      </w:r>
      <w:r>
        <w:rPr>
          <w:b/>
          <w:bCs/>
        </w:rPr>
        <w:t xml:space="preserve"> Комитет настоятельно призывает государство-участник ускорить процесс приняти</w:t>
      </w:r>
      <w:r w:rsidR="00140A0F">
        <w:rPr>
          <w:b/>
          <w:bCs/>
        </w:rPr>
        <w:t xml:space="preserve">я </w:t>
      </w:r>
      <w:r>
        <w:rPr>
          <w:b/>
          <w:bCs/>
        </w:rPr>
        <w:t>законопроекта по вопросу о борьбе с пытками, обеспечив, чтобы он охватывал все элементы, содержащиеся в статье 1 Конвенции.</w:t>
      </w:r>
      <w:r>
        <w:t xml:space="preserve"> </w:t>
      </w:r>
      <w:r>
        <w:rPr>
          <w:b/>
          <w:bCs/>
        </w:rPr>
        <w:t xml:space="preserve">В этой связи Комитет обращает внимание государства-участника на свое замечание общего </w:t>
      </w:r>
      <w:r w:rsidR="00E437BD">
        <w:rPr>
          <w:b/>
          <w:bCs/>
        </w:rPr>
        <w:br/>
      </w:r>
      <w:r>
        <w:rPr>
          <w:b/>
          <w:bCs/>
        </w:rPr>
        <w:t>порядка № 2 (2007) об имплементации статьи 2 государствами-участниками, в</w:t>
      </w:r>
      <w:r w:rsidR="002F662C">
        <w:rPr>
          <w:b/>
          <w:bCs/>
        </w:rPr>
        <w:t> </w:t>
      </w:r>
      <w:r>
        <w:rPr>
          <w:b/>
          <w:bCs/>
        </w:rPr>
        <w:t>котором говорится, что серьезные расхождения между определением, содержащимся в Конвенции, и определением, включенным во внутреннее право, открывают реальные или потенциальные лазейки для безнаказанности.</w:t>
      </w:r>
      <w:r>
        <w:t xml:space="preserve"> </w:t>
      </w:r>
      <w:r>
        <w:rPr>
          <w:b/>
          <w:bCs/>
        </w:rPr>
        <w:t xml:space="preserve">Государству-участнику следует обеспечить исключение пыток из сферы действия законов об амнистии, а также полное соблюдение абсолютного </w:t>
      </w:r>
      <w:r w:rsidR="00E437BD">
        <w:rPr>
          <w:b/>
          <w:bCs/>
        </w:rPr>
        <w:br/>
      </w:r>
      <w:r>
        <w:rPr>
          <w:b/>
          <w:bCs/>
        </w:rPr>
        <w:t>и не допускающего отступлений характера запрещения пыток.</w:t>
      </w:r>
      <w:r>
        <w:t xml:space="preserve"> </w:t>
      </w:r>
      <w:r>
        <w:rPr>
          <w:b/>
          <w:bCs/>
        </w:rPr>
        <w:t>Государству</w:t>
      </w:r>
      <w:r w:rsidR="00E437BD">
        <w:rPr>
          <w:b/>
          <w:bCs/>
        </w:rPr>
        <w:noBreakHyphen/>
      </w:r>
      <w:r>
        <w:rPr>
          <w:b/>
          <w:bCs/>
        </w:rPr>
        <w:t>участнику следует также обеспечить, чтобы за преступление пытки предусматривалось надлежащее наказание с учетом тяжести этого преступления, как это предусмотрено в пункте 2 статьи 4 Конвенции.</w:t>
      </w:r>
      <w:r>
        <w:t xml:space="preserve"> </w:t>
      </w:r>
      <w:r>
        <w:rPr>
          <w:b/>
          <w:bCs/>
        </w:rPr>
        <w:t>Государству-участнику следует также обеспечить эксплицитное признание в готовящемся законопроекте принципа ответственности начальников или вышестоящих должностных лиц за акты пыток, совершенные подчиненными.</w:t>
      </w:r>
    </w:p>
    <w:p w14:paraId="6DB22711" w14:textId="77777777" w:rsidR="00D97DEA" w:rsidRPr="00931E38" w:rsidRDefault="00D97DEA" w:rsidP="00D97DEA">
      <w:pPr>
        <w:pStyle w:val="H23G"/>
      </w:pPr>
      <w:r>
        <w:tab/>
      </w:r>
      <w:r>
        <w:tab/>
      </w:r>
      <w:r>
        <w:rPr>
          <w:bCs/>
        </w:rPr>
        <w:t>Основные правовые гарантии</w:t>
      </w:r>
    </w:p>
    <w:p w14:paraId="6691B1D5" w14:textId="5856115D" w:rsidR="00D97DEA" w:rsidRPr="00931E38" w:rsidRDefault="00D97DEA" w:rsidP="00D97DEA">
      <w:pPr>
        <w:pStyle w:val="SingleTxtG"/>
        <w:rPr>
          <w:rFonts w:eastAsia="Malgun Gothic"/>
        </w:rPr>
      </w:pPr>
      <w:r>
        <w:t>10.</w:t>
      </w:r>
      <w:r>
        <w:tab/>
        <w:t>Принимая к сведению процессуальные гарантии в целях предупреждения пыток и жестокого обращения, закрепленные в законодательстве Ирака, Комитет по</w:t>
      </w:r>
      <w:r w:rsidR="0027265B">
        <w:noBreakHyphen/>
      </w:r>
      <w:r>
        <w:t>прежнему обеспокоен сообщениями о том, что все основные правовые гарантии на практике не предоставляются лицам, находящимся под стражей, с самого начала их лишения свободы</w:t>
      </w:r>
      <w:r w:rsidRPr="00E75A98">
        <w:rPr>
          <w:rFonts w:eastAsia="Malgun Gothic"/>
          <w:sz w:val="18"/>
          <w:vertAlign w:val="superscript"/>
          <w:lang w:eastAsia="ko-KR"/>
        </w:rPr>
        <w:footnoteReference w:id="11"/>
      </w:r>
      <w:r>
        <w:t xml:space="preserve">. В этой связи сообщается, что: a) в части реализации права на доступ к адвокату систематически возникают задержки, при этом возможность пользоваться им появляется лишь после проведения допросов сотрудниками сил безопасности и следственным судьей в рамках предварительного следствия; b) лицам, которые подозреваются в преступлениях, связанных с терроризмом, зачастую не обеспечивается действенное юридическое представительство; c) доступ к независимому медицинскому освидетельствованию не является стандартной практикой для целей выявления признаков применения пыток и жестокого обращения, в частности в случае лиц, находящихся в предварительном заключении; d) при осуществлении права на уведомление родственника или лица по своему выбору зачастую возникают задержки; e) арестованные доставляются к следственному судье через несколько дней или даже недель после ареста, что значительно превышает предельный срок в 24 часа, предусмотренный иракским законодательством; </w:t>
      </w:r>
      <w:r w:rsidR="00CD00A4">
        <w:br/>
      </w:r>
      <w:r>
        <w:t>и</w:t>
      </w:r>
      <w:r w:rsidR="00CD00A4">
        <w:t xml:space="preserve"> </w:t>
      </w:r>
      <w:r>
        <w:t>f)</w:t>
      </w:r>
      <w:r w:rsidR="00CD00A4">
        <w:t xml:space="preserve"> </w:t>
      </w:r>
      <w:r>
        <w:t>регистры всех лиц, лишенных свободы, не связаны друг с другом и не являются централизованными</w:t>
      </w:r>
      <w:r w:rsidRPr="00B53870">
        <w:rPr>
          <w:sz w:val="18"/>
          <w:szCs w:val="18"/>
          <w:vertAlign w:val="superscript"/>
          <w:lang w:eastAsia="ko-KR"/>
        </w:rPr>
        <w:footnoteReference w:id="12"/>
      </w:r>
      <w:r>
        <w:t xml:space="preserve"> (статья 2).</w:t>
      </w:r>
    </w:p>
    <w:p w14:paraId="7E601F8D" w14:textId="0CB63AB9" w:rsidR="00D97DEA" w:rsidRPr="00931E38" w:rsidRDefault="00D97DEA" w:rsidP="00D97DEA">
      <w:pPr>
        <w:pStyle w:val="SingleTxtG"/>
        <w:rPr>
          <w:b/>
        </w:rPr>
      </w:pPr>
      <w:r>
        <w:t>11.</w:t>
      </w:r>
      <w:r>
        <w:tab/>
      </w:r>
      <w:r>
        <w:rPr>
          <w:b/>
          <w:bCs/>
        </w:rPr>
        <w:t>Ссылаясь на свои предыдущие рекомендации</w:t>
      </w:r>
      <w:r w:rsidRPr="00695907">
        <w:rPr>
          <w:bCs/>
          <w:sz w:val="18"/>
          <w:vertAlign w:val="superscript"/>
          <w:lang w:eastAsia="ko-KR"/>
        </w:rPr>
        <w:footnoteReference w:id="13"/>
      </w:r>
      <w:r w:rsidR="00695907">
        <w:rPr>
          <w:b/>
          <w:bCs/>
        </w:rPr>
        <w:t>,</w:t>
      </w:r>
      <w:r>
        <w:rPr>
          <w:b/>
          <w:bCs/>
        </w:rPr>
        <w:t xml:space="preserve"> Комитет рекомендует государству-участнику:</w:t>
      </w:r>
    </w:p>
    <w:p w14:paraId="48A768FF" w14:textId="23E3460F" w:rsidR="00D97DEA" w:rsidRPr="0027265B" w:rsidRDefault="00D97DEA" w:rsidP="00D97DEA">
      <w:pPr>
        <w:pStyle w:val="SingleTxtG"/>
        <w:ind w:firstLine="567"/>
        <w:rPr>
          <w:b/>
          <w:bCs/>
        </w:rPr>
      </w:pPr>
      <w:r w:rsidRPr="0027265B">
        <w:rPr>
          <w:b/>
          <w:bCs/>
        </w:rPr>
        <w:t>a)</w:t>
      </w:r>
      <w:r w:rsidRPr="0027265B">
        <w:rPr>
          <w:b/>
          <w:bCs/>
        </w:rPr>
        <w:tab/>
        <w:t xml:space="preserve">обеспечить, чтобы на практике все основные правовые гарантии предоставлялись всем лицам, находящимся под стражей, с самого начала их лишения свободы, включая, в частности, такие гарантии, как: a) быть проинформированным о своем праве на беспрепятственный доступ к независимому адвокату по своему выбору или, в случае необходимости, </w:t>
      </w:r>
      <w:r w:rsidRPr="0027265B">
        <w:rPr>
          <w:b/>
          <w:bCs/>
        </w:rPr>
        <w:lastRenderedPageBreak/>
        <w:t>к</w:t>
      </w:r>
      <w:r w:rsidR="00AA6F3B">
        <w:rPr>
          <w:b/>
          <w:bCs/>
        </w:rPr>
        <w:t> </w:t>
      </w:r>
      <w:r w:rsidRPr="0027265B">
        <w:rPr>
          <w:b/>
          <w:bCs/>
        </w:rPr>
        <w:t>бесплатной юридической помощи надлежащего качества, в том числе в ходе первоначального допроса и дознания; b) иметь право запрашивать и проходить независимое и конфиденциальное бесплатное медицинское освидетельствование, в том числе у врача по своему выбору; c) иметь возможность уведомить члена семьи или любое другое лицо по своему выбору о своем заключении под стражу сразу после задержания; и d) быть доставленным к судье в установленный законом срок;</w:t>
      </w:r>
    </w:p>
    <w:p w14:paraId="5973D361" w14:textId="77777777" w:rsidR="00D97DEA" w:rsidRPr="0027265B" w:rsidRDefault="00D97DEA" w:rsidP="00D97DEA">
      <w:pPr>
        <w:pStyle w:val="SingleTxtG"/>
        <w:ind w:firstLine="567"/>
        <w:rPr>
          <w:b/>
          <w:bCs/>
        </w:rPr>
      </w:pPr>
      <w:r w:rsidRPr="0027265B">
        <w:rPr>
          <w:b/>
          <w:bCs/>
        </w:rPr>
        <w:t>b)</w:t>
      </w:r>
      <w:r w:rsidRPr="0027265B">
        <w:rPr>
          <w:b/>
          <w:bCs/>
        </w:rPr>
        <w:tab/>
        <w:t>проводить систематические проверки для обеспечения на практике надлежащего ведения компетентными должностными лицами регистров и создать компьютеризированный центральный регистр, доступный любому компетентному органу;</w:t>
      </w:r>
    </w:p>
    <w:p w14:paraId="4B811AC9" w14:textId="77777777" w:rsidR="00D97DEA" w:rsidRPr="0027265B" w:rsidRDefault="00D97DEA" w:rsidP="00D97DEA">
      <w:pPr>
        <w:pStyle w:val="SingleTxtG"/>
        <w:ind w:firstLine="567"/>
        <w:rPr>
          <w:b/>
          <w:bCs/>
        </w:rPr>
      </w:pPr>
      <w:r w:rsidRPr="0027265B">
        <w:rPr>
          <w:b/>
          <w:bCs/>
        </w:rPr>
        <w:t>c)</w:t>
      </w:r>
      <w:r w:rsidRPr="0027265B">
        <w:rPr>
          <w:b/>
          <w:bCs/>
        </w:rPr>
        <w:tab/>
        <w:t>представить Комитету в следующем периодическом докладе информацию о количестве полученных жалоб на несоблюдение основных правовых гарантий и о результатах рассмотрения таких жалоб, в том числе о дисциплинарных мерах, принятых в отношении должностных лиц, не обеспечивающих соблюдение основных правовых гарантий.</w:t>
      </w:r>
    </w:p>
    <w:p w14:paraId="32ED7619" w14:textId="77777777" w:rsidR="00D97DEA" w:rsidRPr="00931E38" w:rsidRDefault="00D97DEA" w:rsidP="00D97DEA">
      <w:pPr>
        <w:pStyle w:val="H23G"/>
      </w:pPr>
      <w:r>
        <w:tab/>
      </w:r>
      <w:r>
        <w:tab/>
      </w:r>
      <w:r>
        <w:rPr>
          <w:bCs/>
        </w:rPr>
        <w:t xml:space="preserve">Утверждения о широко распространенной практике пыток или жестокого обращения и </w:t>
      </w:r>
      <w:proofErr w:type="spellStart"/>
      <w:r>
        <w:rPr>
          <w:bCs/>
        </w:rPr>
        <w:t>непривлечение</w:t>
      </w:r>
      <w:proofErr w:type="spellEnd"/>
      <w:r>
        <w:rPr>
          <w:bCs/>
        </w:rPr>
        <w:t xml:space="preserve"> к ответственности</w:t>
      </w:r>
    </w:p>
    <w:p w14:paraId="5AD87832" w14:textId="4C4D94A0" w:rsidR="00D97DEA" w:rsidRPr="00931E38" w:rsidRDefault="00D97DEA" w:rsidP="00D97DEA">
      <w:pPr>
        <w:pStyle w:val="SingleTxtG"/>
      </w:pPr>
      <w:r>
        <w:t>12.</w:t>
      </w:r>
      <w:r>
        <w:tab/>
        <w:t>Отмечая отрицание делегацией государства-участника применения пыток в местах содержания под стражей, Комитет по-прежнему обеспокоен сообщениями о том, что лица, содержащиеся под стражей, в том числе в учреждениях, находящихся в ведении сил безопасности, и в учреждениях, которые, по сообщениям, неизвестны задержанным, подвергаются пыткам или жестокому обращению, в частности на стадии следствия. Согласно информации, имеющейся в распоряжении Комитета, задержанные зачастую не подают жалобы из-за страха возмездия, а в случаях, когда такие жалобы подаются, информация о проведенных расследованиях и их результатах отсутствует. Более того, роль следственных судей ставит под сомнение беспристрастность расследований по заявлениям о применении пыток в ходе проведения следствия по уголовным делам, поскольку расследование предполагаемого уголовного преступления и расследование таких заявлений о применении пыток ведет один и тот же следственный судья. Комитет принимает к сведению представленную делегацией информацию о расследовании утверждений о применении пыток и случаях смерти во время содержания под стражей в следственном изоляторе в Мосуле, который находится в ведении Министерства внутренних дел, но с озабоченностью отмечает, что не получил исчерпывающих данных о расследованиях, проведенных по этим делам, или о результатах таких расследований. Комитет отмечает, что механизмы, созданные государством-участником для получения и расследования жалоб на пытки и жестокое обращение со стороны должностных лиц, на практике не обеспечивают реального привлечения виновных к ответственности. Например, дела по жалобам на пытки, преимущественно от осужденных, поступают в суды по правам человека только после их предварительного рассмотрения в Верховной комиссии по правам человека Ирака и расследования прокуратурой, а последующие разбирательства в этих судах проходят медленно (статьи 2, 12–13 и 16).</w:t>
      </w:r>
    </w:p>
    <w:p w14:paraId="3D87EB35" w14:textId="5B8D200B" w:rsidR="00D97DEA" w:rsidRPr="00931E38" w:rsidRDefault="00D97DEA" w:rsidP="00D97DEA">
      <w:pPr>
        <w:pStyle w:val="SingleTxtG"/>
        <w:rPr>
          <w:b/>
        </w:rPr>
      </w:pPr>
      <w:r>
        <w:t>13.</w:t>
      </w:r>
      <w:r>
        <w:tab/>
      </w:r>
      <w:r>
        <w:rPr>
          <w:b/>
          <w:bCs/>
        </w:rPr>
        <w:t>Государству-участнику настоятельно рекомендуется незамедлительно решить проблему безнаказанности и принять меры, с тем чтобы обеспечить на практике привлечение к ответственности за все акты пыток или жестокого обращения с участием государственных должностных лиц и неофициальных сообщников путем оперативного, беспристрастного и эффективного расследования жалоб с помощью независимого механизма, преследования виновных в таком насилии и назначения им соответствующего наказания.</w:t>
      </w:r>
      <w:r>
        <w:t xml:space="preserve"> </w:t>
      </w:r>
      <w:r>
        <w:rPr>
          <w:b/>
          <w:bCs/>
        </w:rPr>
        <w:t>Государству-участнику также настоятельно рекомендуется обеспечить на практике и в соответствии с действующим законодательством, чтобы лица, в</w:t>
      </w:r>
      <w:r w:rsidR="00AA6F3B">
        <w:rPr>
          <w:b/>
          <w:bCs/>
        </w:rPr>
        <w:t> </w:t>
      </w:r>
      <w:r>
        <w:rPr>
          <w:b/>
          <w:bCs/>
        </w:rPr>
        <w:t>отношении которых проводится расследование по факту применения пыток или жестокого обращения, немедленно отстранялись от своих служебных обязанностей на весь период расследования.</w:t>
      </w:r>
      <w:r>
        <w:t xml:space="preserve"> </w:t>
      </w:r>
      <w:r>
        <w:rPr>
          <w:b/>
          <w:bCs/>
        </w:rPr>
        <w:t xml:space="preserve">Государству-участнику следует на </w:t>
      </w:r>
      <w:r>
        <w:rPr>
          <w:b/>
          <w:bCs/>
        </w:rPr>
        <w:lastRenderedPageBreak/>
        <w:t>практике гарантировать защиту заявителей и свидетелей от любого жестокого обращения или запугивания вследствие подачи жалоб.</w:t>
      </w:r>
    </w:p>
    <w:p w14:paraId="22573050" w14:textId="77777777" w:rsidR="00D97DEA" w:rsidRPr="00931E38" w:rsidRDefault="00D97DEA" w:rsidP="00D97DEA">
      <w:pPr>
        <w:pStyle w:val="H23G"/>
      </w:pPr>
      <w:r>
        <w:tab/>
      </w:r>
      <w:r>
        <w:tab/>
      </w:r>
      <w:r>
        <w:rPr>
          <w:bCs/>
        </w:rPr>
        <w:t>Признания, полученные в результате применения пыток или жестокого обращения</w:t>
      </w:r>
    </w:p>
    <w:p w14:paraId="05E541A9" w14:textId="50131D96" w:rsidR="00D97DEA" w:rsidRPr="00931E38" w:rsidRDefault="00D97DEA" w:rsidP="00D97DEA">
      <w:pPr>
        <w:pStyle w:val="SingleTxtG"/>
      </w:pPr>
      <w:r>
        <w:t>14.</w:t>
      </w:r>
      <w:r>
        <w:tab/>
        <w:t>Комитет обеспокоен сообщениями о том, что, несмотря на существующие правовые положения о недопустимости доказательств, полученных незаконным путем, признания, сделанные под принуждением, как сообщается, принимаются в качестве доказательств в суде, особенно в делах, связанных с терроризмом, в том числе в случае детей. Более того, имеющаяся в распоряжении Комитета информация позволяет предположить, что заявления о вынужденных признаниях под пытками или жестоком обращении, сделанные в суде или апелляционной инстанции, часто игнорируются и тщательно не расследуются и что серьезные недостатки в документировании признаков физических и психологических пыток часто вызваны истечением времени между предполагаемым событием и его запоздалым расследованием (статья 15).</w:t>
      </w:r>
    </w:p>
    <w:p w14:paraId="4714A6A4" w14:textId="07E9BEEF" w:rsidR="00D97DEA" w:rsidRPr="00931E38" w:rsidRDefault="00D97DEA" w:rsidP="00D97DEA">
      <w:pPr>
        <w:pStyle w:val="SingleTxtG"/>
        <w:rPr>
          <w:b/>
        </w:rPr>
      </w:pPr>
      <w:r>
        <w:t>15.</w:t>
      </w:r>
      <w:r>
        <w:tab/>
      </w:r>
      <w:r>
        <w:rPr>
          <w:b/>
          <w:bCs/>
        </w:rPr>
        <w:t>Государству-участнику следует обеспечить на практике, чтобы признания, полученные в результате применения пыток или жестокого обращения, объявлялись недопустимыми и чтобы такие случаи расследовались, расширить программы специальной подготовки судей и прокуроров, с тем чтобы они могли эффективно выявлять факты применения пыток и жестокого обращения и расследовать все утверждения о таких действиях, разработать для сотрудников правоохранительных органов учебные модули по непринудительным методам ведения допросов и дознания, представить Комитету информацию о любых случаях, когда признания были сочтены недопустимыми на том основании, что они были получены в результате применения пыток или жестокого обращения, и сообщить, были ли привлечены к ответственности и наказаны какие-либо должностные лица за получение таких признаний.</w:t>
      </w:r>
    </w:p>
    <w:p w14:paraId="7E49CEE5" w14:textId="77777777" w:rsidR="00D97DEA" w:rsidRPr="00931E38" w:rsidRDefault="00D97DEA" w:rsidP="00D97DEA">
      <w:pPr>
        <w:pStyle w:val="H23G"/>
      </w:pPr>
      <w:r>
        <w:tab/>
      </w:r>
      <w:r>
        <w:tab/>
      </w:r>
      <w:r>
        <w:rPr>
          <w:bCs/>
        </w:rPr>
        <w:t>Неофициальные места содержания под стражей</w:t>
      </w:r>
    </w:p>
    <w:p w14:paraId="709327EA" w14:textId="77777777" w:rsidR="00D97DEA" w:rsidRPr="00931E38" w:rsidRDefault="00D97DEA" w:rsidP="00D97DEA">
      <w:pPr>
        <w:pStyle w:val="SingleTxtG"/>
      </w:pPr>
      <w:r>
        <w:t>16.</w:t>
      </w:r>
      <w:r>
        <w:tab/>
        <w:t>Принимая к сведению национальный запрет на незаконное содержание под стражей в местах, не предназначенных для этих целей, а также утверждение государства-участника об отсутствии доказательств существования тайных мест содержания под стражей, Комитет отмечает, что он продолжает получать из заслуживающих доверия источников информацию о незаконном содержании под стражей без связи с внешним миром в неизвестных местах</w:t>
      </w:r>
      <w:r w:rsidRPr="00E75A98">
        <w:rPr>
          <w:sz w:val="18"/>
          <w:vertAlign w:val="superscript"/>
          <w:lang w:eastAsia="ko-KR"/>
        </w:rPr>
        <w:footnoteReference w:id="14"/>
      </w:r>
      <w:r>
        <w:t xml:space="preserve"> (статьи 2, 11 и 16).</w:t>
      </w:r>
    </w:p>
    <w:p w14:paraId="586F3E9B" w14:textId="07E9C93D" w:rsidR="00D97DEA" w:rsidRPr="00931E38" w:rsidRDefault="00D97DEA" w:rsidP="00D97DEA">
      <w:pPr>
        <w:pStyle w:val="SingleTxtG"/>
        <w:rPr>
          <w:b/>
        </w:rPr>
      </w:pPr>
      <w:r>
        <w:t>17.</w:t>
      </w:r>
      <w:r>
        <w:tab/>
      </w:r>
      <w:r>
        <w:rPr>
          <w:b/>
          <w:bCs/>
        </w:rPr>
        <w:t>Ссылаясь на свою предыдущую рекомендацию</w:t>
      </w:r>
      <w:r w:rsidRPr="00EE37AB">
        <w:rPr>
          <w:bCs/>
          <w:sz w:val="18"/>
          <w:vertAlign w:val="superscript"/>
          <w:lang w:eastAsia="ko-KR"/>
        </w:rPr>
        <w:footnoteReference w:id="15"/>
      </w:r>
      <w:r w:rsidRPr="00D97DEA">
        <w:rPr>
          <w:b/>
          <w:bCs/>
        </w:rPr>
        <w:t>,</w:t>
      </w:r>
      <w:r>
        <w:rPr>
          <w:b/>
          <w:bCs/>
        </w:rPr>
        <w:t xml:space="preserve"> Комитет настоятельно призывает государство-участник в приоритетном порядке обеспечить эффективное применение национального законодательства на всей территории страны и незамедлительно закрыть все неофициальные места содержания под стражей.</w:t>
      </w:r>
    </w:p>
    <w:p w14:paraId="3EC1B13A" w14:textId="77777777" w:rsidR="00D97DEA" w:rsidRPr="00931E38" w:rsidRDefault="00D97DEA" w:rsidP="00D97DEA">
      <w:pPr>
        <w:pStyle w:val="H23G"/>
        <w:rPr>
          <w:color w:val="000000" w:themeColor="text1"/>
        </w:rPr>
      </w:pPr>
      <w:r>
        <w:tab/>
      </w:r>
      <w:r>
        <w:tab/>
      </w:r>
      <w:r>
        <w:rPr>
          <w:bCs/>
        </w:rPr>
        <w:t>Меры по борьбе с терроризмом и военные операции</w:t>
      </w:r>
    </w:p>
    <w:p w14:paraId="27B8CDA5" w14:textId="1C7752B9" w:rsidR="00D97DEA" w:rsidRPr="00931E38" w:rsidRDefault="00D97DEA" w:rsidP="00D97DEA">
      <w:pPr>
        <w:pStyle w:val="SingleTxtG"/>
      </w:pPr>
      <w:r>
        <w:t>18.</w:t>
      </w:r>
      <w:r>
        <w:tab/>
        <w:t>Комитет отмечает усилия государства-участника по расследованию и преследованию преступлений, совершенных ДАИШ</w:t>
      </w:r>
      <w:r w:rsidRPr="00E75A98">
        <w:rPr>
          <w:sz w:val="18"/>
          <w:vertAlign w:val="superscript"/>
          <w:lang w:eastAsia="ko-KR"/>
        </w:rPr>
        <w:footnoteReference w:id="16"/>
      </w:r>
      <w:r w:rsidR="00EF2146" w:rsidRPr="00EF2146">
        <w:t>,</w:t>
      </w:r>
      <w:r>
        <w:t xml:space="preserve"> включая проект закона о международных преступлениях для суда над лицами, связанными с ДАИШ. Он</w:t>
      </w:r>
      <w:r>
        <w:rPr>
          <w:lang w:val="en-US"/>
        </w:rPr>
        <w:t> </w:t>
      </w:r>
      <w:r>
        <w:t xml:space="preserve">отмечает дополнительные усилия правительства региона Курдистан, включая законопроект о создании уголовного суда для рассмотрения преступлений, совершенных ДАИШ. Однако он по-прежнему обеспокоен сообщениями об имеющихся утверждениях относительно пыток, жестокого обращения, произвольных </w:t>
      </w:r>
      <w:r>
        <w:lastRenderedPageBreak/>
        <w:t>арестов, незаконных задержаний и насильственных исчезновений</w:t>
      </w:r>
      <w:r>
        <w:rPr>
          <w:rStyle w:val="aa"/>
        </w:rPr>
        <w:footnoteReference w:id="17"/>
      </w:r>
      <w:r w:rsidRPr="00D97DEA">
        <w:t>,</w:t>
      </w:r>
      <w:r>
        <w:t xml:space="preserve"> совершенных иракскими силами и связанными с ними вооруженными формированиями в ходе военных операций и кампаний по борьбе с терроризмом, и отсутствием информации о проведенных в этой связи расследованиях и судебных преследованиях. Помимо этого, Комитет обеспокоен преследованием боевиков ДАИШ как в федеральных судах, так и в судах Курдистана на основе преимущественно законодательства о борьбе с терроризмом, что не отражает характер и тяжесть международных преступлений, совершенных, согласно сообщениям, ДАИШ, и тем, что такая практика лишает жертв возможности участвовать в судебных процессах. Кроме того, это законодательство не предусматривает уголовной ответственности за изнасилование и другие акты</w:t>
      </w:r>
      <w:r w:rsidR="0071534B">
        <w:t> </w:t>
      </w:r>
      <w:r>
        <w:t>сексуального насилия. Принимая к сведению представленную государством</w:t>
      </w:r>
      <w:r w:rsidR="0071534B">
        <w:noBreakHyphen/>
      </w:r>
      <w:r>
        <w:t>участником информацию о текущем пересмотре Закона о борьбе с терроризмом, Комитет отмечает, что продолжает применяться широкое определение терроризма, не соответствующее международным стандартам</w:t>
      </w:r>
      <w:r w:rsidRPr="00E75A98">
        <w:rPr>
          <w:sz w:val="18"/>
          <w:vertAlign w:val="superscript"/>
          <w:lang w:eastAsia="ko-KR"/>
        </w:rPr>
        <w:footnoteReference w:id="18"/>
      </w:r>
      <w:r>
        <w:t>. К тому же, сообщается, что дети задерживаются силами безопасности и признаются виновными на основании слишком широких обвинений, связанных с национальной безопасностью, лишь за их предполагаемую принадлежность к ДАИШ</w:t>
      </w:r>
      <w:r w:rsidRPr="00E75A98">
        <w:rPr>
          <w:rFonts w:eastAsiaTheme="minorEastAsia"/>
          <w:sz w:val="18"/>
          <w:vertAlign w:val="superscript"/>
        </w:rPr>
        <w:footnoteReference w:id="19"/>
      </w:r>
      <w:r>
        <w:t>. Также вызывают озабоченность сообщения о несоблюдении прав на справедливое судебное разбирательство и гарантий надлежащей правовой процедуры в ходе соответствующих разбирательств (статьи 2, 11, 14 и 16).</w:t>
      </w:r>
    </w:p>
    <w:p w14:paraId="77B60908" w14:textId="77777777" w:rsidR="00D97DEA" w:rsidRPr="00931E38" w:rsidRDefault="00D97DEA" w:rsidP="00D97DEA">
      <w:pPr>
        <w:pStyle w:val="SingleTxtG"/>
        <w:rPr>
          <w:b/>
        </w:rPr>
      </w:pPr>
      <w:r>
        <w:t>19.</w:t>
      </w:r>
      <w:r>
        <w:tab/>
      </w:r>
      <w:r>
        <w:rPr>
          <w:b/>
          <w:bCs/>
        </w:rPr>
        <w:t>Комитет напоминает о своих предыдущих рекомендациях</w:t>
      </w:r>
      <w:r w:rsidRPr="00075FF0">
        <w:rPr>
          <w:bCs/>
          <w:sz w:val="18"/>
          <w:vertAlign w:val="superscript"/>
        </w:rPr>
        <w:footnoteReference w:id="20"/>
      </w:r>
      <w:r>
        <w:rPr>
          <w:b/>
          <w:bCs/>
        </w:rPr>
        <w:t xml:space="preserve"> и настоятельно призывает государство-участник:</w:t>
      </w:r>
    </w:p>
    <w:p w14:paraId="1D856CCC" w14:textId="77777777" w:rsidR="00D97DEA" w:rsidRPr="0027265B" w:rsidRDefault="00D97DEA" w:rsidP="00935532">
      <w:pPr>
        <w:pStyle w:val="SingleTxtG"/>
        <w:ind w:firstLine="567"/>
        <w:rPr>
          <w:b/>
          <w:bCs/>
        </w:rPr>
      </w:pPr>
      <w:r w:rsidRPr="00707290">
        <w:rPr>
          <w:b/>
          <w:bCs/>
        </w:rPr>
        <w:t>a)</w:t>
      </w:r>
      <w:r w:rsidRPr="00707290">
        <w:rPr>
          <w:b/>
          <w:bCs/>
        </w:rPr>
        <w:tab/>
      </w:r>
      <w:r>
        <w:rPr>
          <w:b/>
          <w:bCs/>
        </w:rPr>
        <w:t xml:space="preserve">обеспечить, чтобы лишенные свободы лица, которые обвиняются в </w:t>
      </w:r>
      <w:r w:rsidRPr="0027265B">
        <w:rPr>
          <w:b/>
          <w:bCs/>
        </w:rPr>
        <w:t>совершении террористических актов, пользовались основными гарантиями защиты от пыток, в том числе правом быть незамедлительно доставленными к судье;</w:t>
      </w:r>
    </w:p>
    <w:p w14:paraId="22AB8F60" w14:textId="77777777" w:rsidR="00D97DEA" w:rsidRPr="0027265B" w:rsidRDefault="00D97DEA" w:rsidP="00935532">
      <w:pPr>
        <w:pStyle w:val="SingleTxtG"/>
        <w:ind w:firstLine="567"/>
        <w:rPr>
          <w:b/>
          <w:bCs/>
        </w:rPr>
      </w:pPr>
      <w:r w:rsidRPr="0027265B">
        <w:rPr>
          <w:b/>
          <w:bCs/>
        </w:rPr>
        <w:t>b)</w:t>
      </w:r>
      <w:r w:rsidRPr="0027265B">
        <w:rPr>
          <w:b/>
          <w:bCs/>
        </w:rPr>
        <w:tab/>
        <w:t>проводить оперативные, тщательные и беспристрастные расследования в связи со всеми утверждениями о применении пыток, жестоком обращении и других нарушениях, совершенных государственными и негосударственными субъектами в контексте борьбы с терроризмом и военных операций, осуществлять, при необходимости, судебное преследование, обеспечивать возмещение ущерба всем жертвам и укреплять текущие усилия по организации подготовки, посвященной предупреждению нарушений прав человека в ходе контртеррористических и военных операций;</w:t>
      </w:r>
    </w:p>
    <w:p w14:paraId="2AA8115F" w14:textId="70F246F7" w:rsidR="00D97DEA" w:rsidRPr="0027265B" w:rsidRDefault="00D97DEA" w:rsidP="00935532">
      <w:pPr>
        <w:pStyle w:val="SingleTxtG"/>
        <w:ind w:firstLine="567"/>
        <w:rPr>
          <w:b/>
          <w:bCs/>
        </w:rPr>
      </w:pPr>
      <w:r w:rsidRPr="0027265B">
        <w:rPr>
          <w:b/>
          <w:bCs/>
        </w:rPr>
        <w:t>c)</w:t>
      </w:r>
      <w:r w:rsidRPr="0027265B">
        <w:rPr>
          <w:b/>
          <w:bCs/>
        </w:rPr>
        <w:tab/>
        <w:t>принять все надлежащие меры для расследования утверждений о международных преступлениях, совершенных ДАИШ, с учетом их характера и тяжести, и обеспечить соответствующие механизмы для рассмотрения этих преступлений, в том числе для примирения и предоставления всеобъемлющего возмещения;</w:t>
      </w:r>
    </w:p>
    <w:p w14:paraId="0CAF2588" w14:textId="77777777" w:rsidR="00D97DEA" w:rsidRPr="0027265B" w:rsidRDefault="00D97DEA" w:rsidP="00935532">
      <w:pPr>
        <w:pStyle w:val="SingleTxtG"/>
        <w:ind w:firstLine="567"/>
        <w:rPr>
          <w:rFonts w:eastAsiaTheme="minorEastAsia"/>
          <w:b/>
          <w:bCs/>
        </w:rPr>
      </w:pPr>
      <w:r w:rsidRPr="0027265B">
        <w:rPr>
          <w:b/>
          <w:bCs/>
        </w:rPr>
        <w:t>d)</w:t>
      </w:r>
      <w:r w:rsidRPr="0027265B">
        <w:rPr>
          <w:b/>
          <w:bCs/>
        </w:rPr>
        <w:tab/>
        <w:t>принять надлежащие меры, с тем чтобы положить конец преследованию детей на основании обвинений, связанных лишь с их предполагаемой принадлежностью к ДАИШ, а не с их участием в насильственных преступлениях, обеспечить реабилитацию и реинтеграцию этих детей и предоставить им соответствующие услуги; в случаях, когда требуется уголовное преследование за насильственные преступления, обеспечивать, чтобы обращение с несовершеннолетними соответствовало международным стандартам отправления правосудия в отношении несовершеннолетних и чтобы по возможности применялись меры, альтернативные содержанию под стражей;</w:t>
      </w:r>
    </w:p>
    <w:p w14:paraId="363F98D7" w14:textId="6D8ABA48" w:rsidR="00D97DEA" w:rsidRPr="0027265B" w:rsidRDefault="00D97DEA" w:rsidP="00935532">
      <w:pPr>
        <w:pStyle w:val="SingleTxtG"/>
        <w:ind w:firstLine="567"/>
        <w:rPr>
          <w:b/>
          <w:bCs/>
        </w:rPr>
      </w:pPr>
      <w:r w:rsidRPr="0027265B">
        <w:rPr>
          <w:b/>
          <w:bCs/>
        </w:rPr>
        <w:lastRenderedPageBreak/>
        <w:t>e)</w:t>
      </w:r>
      <w:r w:rsidRPr="0027265B">
        <w:rPr>
          <w:b/>
          <w:bCs/>
        </w:rPr>
        <w:tab/>
        <w:t xml:space="preserve">предпринять необходимые шаги для обеспечения того, чтобы все законодательство, касающееся борьбы с терроризмом, включая предстоящую поправку к Закону о борьбе с терроризмом, полностью соответствовало Конвенции и международным стандартам, чтобы на практике действовали надлежащие и эффективные правовые гарантии и гарантии справедливого судебного </w:t>
      </w:r>
      <w:proofErr w:type="gramStart"/>
      <w:r w:rsidRPr="0027265B">
        <w:rPr>
          <w:b/>
          <w:bCs/>
        </w:rPr>
        <w:t>разбирательства</w:t>
      </w:r>
      <w:proofErr w:type="gramEnd"/>
      <w:r w:rsidRPr="0027265B">
        <w:rPr>
          <w:b/>
          <w:bCs/>
        </w:rPr>
        <w:t xml:space="preserve"> и чтобы под видом борьбы с терроризмом не производились произвольные аресты, незаконные задержания или насильственные исчезновения.</w:t>
      </w:r>
    </w:p>
    <w:p w14:paraId="40D7400E" w14:textId="77777777" w:rsidR="00D97DEA" w:rsidRPr="00931E38" w:rsidRDefault="00D97DEA" w:rsidP="00D97DEA">
      <w:pPr>
        <w:pStyle w:val="H23G"/>
      </w:pPr>
      <w:r>
        <w:tab/>
      </w:r>
      <w:r>
        <w:tab/>
      </w:r>
      <w:r>
        <w:rPr>
          <w:bCs/>
        </w:rPr>
        <w:t>Связанное с конфликтом сексуальное насилие</w:t>
      </w:r>
    </w:p>
    <w:p w14:paraId="1CC12BA9" w14:textId="54BEEC02" w:rsidR="00D97DEA" w:rsidRPr="00D823E3" w:rsidRDefault="00D97DEA" w:rsidP="00935532">
      <w:pPr>
        <w:pStyle w:val="SingleTxtG"/>
      </w:pPr>
      <w:r>
        <w:t>20.</w:t>
      </w:r>
      <w:r>
        <w:tab/>
        <w:t xml:space="preserve">Принимая к сведению усилия государства-участника по предоставлению возмещения жертвам сексуального и гендерного насилия, связанного с конфликтом, Комитет по-прежнему обеспокоен полученной информацией о медленном прогрессе в осуществлении Закона о переживших насилие </w:t>
      </w:r>
      <w:proofErr w:type="spellStart"/>
      <w:r>
        <w:t>езидских</w:t>
      </w:r>
      <w:proofErr w:type="spellEnd"/>
      <w:r>
        <w:t xml:space="preserve"> женщинах и ограниченным объемом средств, выделенных в настоящее время на эти цели. Он также отмечает, что в этом Законе не рассматривается статус детей, зачатых в результате изнасилований, совершенных членами ДАИШ, и что определение </w:t>
      </w:r>
      <w:r w:rsidR="00EE661D">
        <w:t>«</w:t>
      </w:r>
      <w:r>
        <w:t>переживших насилие</w:t>
      </w:r>
      <w:r w:rsidR="00EE661D">
        <w:t>»</w:t>
      </w:r>
      <w:r>
        <w:t xml:space="preserve"> не включает представителей некоторых общин меньшинств</w:t>
      </w:r>
      <w:r w:rsidRPr="00E75A98">
        <w:rPr>
          <w:sz w:val="18"/>
          <w:vertAlign w:val="superscript"/>
          <w:lang w:eastAsia="ko-KR"/>
        </w:rPr>
        <w:footnoteReference w:id="21"/>
      </w:r>
      <w:r>
        <w:t>. Отмечая прогресс, достигнутый в расследовании похищений, совершенных ДАИШ (5170 зарегистрированных дел, из которых 2324 дела были завершены в судах, а число спасенных составило 3552</w:t>
      </w:r>
      <w:r w:rsidR="00935532">
        <w:rPr>
          <w:lang w:val="en-US"/>
        </w:rPr>
        <w:t> </w:t>
      </w:r>
      <w:r>
        <w:t>человека), Комитет по-прежнему обеспокоен судьбой 2719</w:t>
      </w:r>
      <w:r w:rsidR="00386D97">
        <w:rPr>
          <w:lang w:val="en-US"/>
        </w:rPr>
        <w:t> </w:t>
      </w:r>
      <w:r>
        <w:t>человек, зарегистрированных как пропавшие без вести (статьи 1, 2, 4, 14 и 16).</w:t>
      </w:r>
    </w:p>
    <w:p w14:paraId="39B4AC51" w14:textId="2D2F3B81" w:rsidR="00D97DEA" w:rsidRPr="00931E38" w:rsidRDefault="00D97DEA" w:rsidP="00D97DEA">
      <w:pPr>
        <w:pStyle w:val="SingleTxtG"/>
        <w:rPr>
          <w:b/>
        </w:rPr>
      </w:pPr>
      <w:r>
        <w:t>21.</w:t>
      </w:r>
      <w:r>
        <w:tab/>
      </w:r>
      <w:r>
        <w:rPr>
          <w:b/>
          <w:bCs/>
        </w:rPr>
        <w:t>Государству-участнику следует активизировать свои усилия по спасению жертв, все еще находящихся в плену у ДАИШ, а также расследовать и преследовать в судебном порядке все акты сексуального насилия, связанные с конфликтом.</w:t>
      </w:r>
      <w:r>
        <w:t xml:space="preserve"> </w:t>
      </w:r>
      <w:r>
        <w:rPr>
          <w:b/>
          <w:bCs/>
        </w:rPr>
        <w:t xml:space="preserve">Ему следует обеспечить, чтобы жертвы могли эффективно и </w:t>
      </w:r>
      <w:proofErr w:type="gramStart"/>
      <w:r>
        <w:rPr>
          <w:b/>
          <w:bCs/>
        </w:rPr>
        <w:t>оперативно требовать</w:t>
      </w:r>
      <w:proofErr w:type="gramEnd"/>
      <w:r>
        <w:rPr>
          <w:b/>
          <w:bCs/>
        </w:rPr>
        <w:t xml:space="preserve"> и получать все соответствующие формы возмещения ущерба, которые включают комплексные, инклюзивные и ориентированные на пострадавших реабилитационные программы и гарантии неповторения.</w:t>
      </w:r>
      <w:r>
        <w:t xml:space="preserve"> </w:t>
      </w:r>
      <w:r>
        <w:rPr>
          <w:b/>
          <w:bCs/>
        </w:rPr>
        <w:t xml:space="preserve">С этой целью государству-участнику следует обеспечить эффективное и своевременное выполнение Закона о переживших насилие </w:t>
      </w:r>
      <w:proofErr w:type="spellStart"/>
      <w:r>
        <w:rPr>
          <w:b/>
          <w:bCs/>
        </w:rPr>
        <w:t>езидских</w:t>
      </w:r>
      <w:proofErr w:type="spellEnd"/>
      <w:r>
        <w:rPr>
          <w:b/>
          <w:bCs/>
        </w:rPr>
        <w:t xml:space="preserve"> женщинах путем: a)</w:t>
      </w:r>
      <w:r w:rsidR="0027265B">
        <w:rPr>
          <w:b/>
          <w:bCs/>
        </w:rPr>
        <w:t> </w:t>
      </w:r>
      <w:r>
        <w:rPr>
          <w:b/>
          <w:bCs/>
        </w:rPr>
        <w:t>выделения достаточных средств;</w:t>
      </w:r>
      <w:r>
        <w:t xml:space="preserve"> </w:t>
      </w:r>
      <w:r>
        <w:rPr>
          <w:b/>
          <w:bCs/>
        </w:rPr>
        <w:t>b) повышения эффективности обработки заявлений;</w:t>
      </w:r>
      <w:r>
        <w:t xml:space="preserve"> </w:t>
      </w:r>
      <w:r>
        <w:rPr>
          <w:b/>
          <w:bCs/>
        </w:rPr>
        <w:t>c) обеспечения активного участия женщин из затронутых конфликтом общин в реализации этого закона, например путем проведения с ними консультаций или их включения в штат сотрудников;</w:t>
      </w:r>
      <w:r>
        <w:t xml:space="preserve"> </w:t>
      </w:r>
      <w:r>
        <w:rPr>
          <w:b/>
          <w:bCs/>
        </w:rPr>
        <w:t>и d) проведения регулярных мероприятий по наращиванию потенциала всех сотрудников, работающих над его реализацией, в том числе по этическому и учитывающему психологические травмы взаимодействию с жертвами.</w:t>
      </w:r>
      <w:r>
        <w:t xml:space="preserve"> </w:t>
      </w:r>
      <w:r>
        <w:rPr>
          <w:b/>
          <w:bCs/>
        </w:rPr>
        <w:t>Государству-участнику следует также гарантировать право жертв на эффективное участие в уголовном производстве, приняв при этом меры для недопущения стигматизации и повторного травмирования, и обеспечить, чтобы специализированные реабилитационные услуги оперативно предоставлялись всем пострадавшим.</w:t>
      </w:r>
    </w:p>
    <w:p w14:paraId="6343628F" w14:textId="77777777" w:rsidR="00D97DEA" w:rsidRPr="00931E38" w:rsidRDefault="00D97DEA" w:rsidP="00D97DEA">
      <w:pPr>
        <w:pStyle w:val="H23G"/>
      </w:pPr>
      <w:r>
        <w:tab/>
      </w:r>
      <w:r>
        <w:tab/>
      </w:r>
      <w:r>
        <w:rPr>
          <w:bCs/>
        </w:rPr>
        <w:t>Мониторинг мест содержания под стражей</w:t>
      </w:r>
    </w:p>
    <w:p w14:paraId="2B28FE90" w14:textId="77777777" w:rsidR="00D97DEA" w:rsidRPr="00931E38" w:rsidRDefault="00D97DEA" w:rsidP="00D97DEA">
      <w:pPr>
        <w:pStyle w:val="SingleTxtG"/>
        <w:rPr>
          <w:b/>
        </w:rPr>
      </w:pPr>
      <w:r>
        <w:t>22.</w:t>
      </w:r>
      <w:r>
        <w:tab/>
        <w:t>Принимая к сведению представленную информацию о деятельности по мониторингу мест содержания под стражей, осуществляемой Верховной комиссией по правам человека Ирака, Комитет с обеспокоенностью отмечает, что в соответствии со статьей 45 (4) Закона о реформе пенитенциарной системы, сроки посещений мест лишения свободы подлежат предварительному согласованию с соответствующими властями, включая посещения центров, где содержатся подозреваемые в терроризме, что противоречит мандату Комиссии проводить внеплановые контрольные посещения всех мест лишения свободы без получения предварительного разрешения</w:t>
      </w:r>
      <w:r w:rsidRPr="00E75A98">
        <w:rPr>
          <w:sz w:val="18"/>
          <w:vertAlign w:val="superscript"/>
          <w:lang w:eastAsia="ko-KR"/>
        </w:rPr>
        <w:footnoteReference w:id="22"/>
      </w:r>
      <w:r>
        <w:t xml:space="preserve">. Комитет отмечает, что Закон о реформе пенитенциарной системы не предусматривает проведения контрольных посещений мест лишения свободы организациями </w:t>
      </w:r>
      <w:r>
        <w:lastRenderedPageBreak/>
        <w:t>гражданского общества. В этой связи Комитет с удовлетворение принимает к сведению информацию государства-участника о законопроекте, предусматривающем внесение поправок в этот Закон, и ожидает получить в надлежащее время дополнительную информацию (статьи 2, 11 и 16).</w:t>
      </w:r>
    </w:p>
    <w:p w14:paraId="5EBAA264" w14:textId="77777777" w:rsidR="00D97DEA" w:rsidRPr="00931E38" w:rsidRDefault="00D97DEA" w:rsidP="00D97DEA">
      <w:pPr>
        <w:pStyle w:val="SingleTxtG"/>
        <w:rPr>
          <w:b/>
        </w:rPr>
      </w:pPr>
      <w:r>
        <w:t>23.</w:t>
      </w:r>
      <w:r>
        <w:tab/>
      </w:r>
      <w:r>
        <w:rPr>
          <w:b/>
          <w:bCs/>
        </w:rPr>
        <w:t>Государству-участнику следует:</w:t>
      </w:r>
    </w:p>
    <w:p w14:paraId="38F4CC7E" w14:textId="77777777" w:rsidR="00D97DEA" w:rsidRPr="00D823E3" w:rsidRDefault="00D97DEA" w:rsidP="00D823E3">
      <w:pPr>
        <w:pStyle w:val="SingleTxtG"/>
        <w:ind w:firstLine="567"/>
        <w:rPr>
          <w:b/>
          <w:bCs/>
        </w:rPr>
      </w:pPr>
      <w:r w:rsidRPr="00D823E3">
        <w:rPr>
          <w:b/>
          <w:bCs/>
        </w:rPr>
        <w:t>a)</w:t>
      </w:r>
      <w:r w:rsidRPr="00D823E3">
        <w:rPr>
          <w:b/>
          <w:bCs/>
        </w:rPr>
        <w:tab/>
        <w:t>без промедления внести поправки в Закон о реформе пенитенциарной системы и гарантировать беспрепятственный доступ во время внеплановых посещений, проводимых Верховной комиссией по правам человека Ирака;</w:t>
      </w:r>
    </w:p>
    <w:p w14:paraId="2255C269" w14:textId="77777777" w:rsidR="00D97DEA" w:rsidRPr="00D823E3" w:rsidRDefault="00D97DEA" w:rsidP="00D823E3">
      <w:pPr>
        <w:pStyle w:val="SingleTxtG"/>
        <w:ind w:firstLine="567"/>
        <w:rPr>
          <w:b/>
          <w:bCs/>
        </w:rPr>
      </w:pPr>
      <w:r w:rsidRPr="00D823E3">
        <w:rPr>
          <w:b/>
          <w:bCs/>
        </w:rPr>
        <w:t>b)</w:t>
      </w:r>
      <w:r w:rsidRPr="00D823E3">
        <w:rPr>
          <w:b/>
          <w:bCs/>
        </w:rPr>
        <w:tab/>
        <w:t>продолжать обеспечивать, чтобы международные и национальные наблюдатели имели возможность посещать все места лишения свободы в государстве-участнике;</w:t>
      </w:r>
    </w:p>
    <w:p w14:paraId="4F0FF84E" w14:textId="77777777" w:rsidR="00D97DEA" w:rsidRPr="00931E38" w:rsidRDefault="00D97DEA" w:rsidP="00D823E3">
      <w:pPr>
        <w:pStyle w:val="SingleTxtG"/>
        <w:ind w:firstLine="567"/>
        <w:rPr>
          <w:b/>
        </w:rPr>
      </w:pPr>
      <w:r w:rsidRPr="00D823E3">
        <w:rPr>
          <w:b/>
          <w:bCs/>
        </w:rPr>
        <w:t>c)</w:t>
      </w:r>
      <w:r w:rsidRPr="00D823E3">
        <w:rPr>
          <w:b/>
          <w:bCs/>
        </w:rPr>
        <w:tab/>
        <w:t>рассмотреть возможность ратификации Факультативного протокола к Конвенции против пыток и других жестоких, бесчеловечных или унижающих достоинс</w:t>
      </w:r>
      <w:r>
        <w:rPr>
          <w:b/>
          <w:bCs/>
        </w:rPr>
        <w:t>тво видов обращения и наказания.</w:t>
      </w:r>
    </w:p>
    <w:p w14:paraId="32B5B116" w14:textId="77777777" w:rsidR="00D97DEA" w:rsidRPr="00931E38" w:rsidRDefault="00D97DEA" w:rsidP="00D97DEA">
      <w:pPr>
        <w:pStyle w:val="H23G"/>
      </w:pPr>
      <w:r>
        <w:tab/>
      </w:r>
      <w:r>
        <w:tab/>
      </w:r>
      <w:r>
        <w:rPr>
          <w:bCs/>
        </w:rPr>
        <w:t>Условия содержания под стражей</w:t>
      </w:r>
    </w:p>
    <w:p w14:paraId="7F577048" w14:textId="77777777" w:rsidR="00D97DEA" w:rsidRPr="00931E38" w:rsidRDefault="00D97DEA" w:rsidP="00D97DEA">
      <w:pPr>
        <w:pStyle w:val="SingleTxtG"/>
        <w:rPr>
          <w:rFonts w:eastAsiaTheme="minorEastAsia"/>
        </w:rPr>
      </w:pPr>
      <w:r>
        <w:t>24.</w:t>
      </w:r>
      <w:r>
        <w:tab/>
        <w:t>Несмотря на объяснения, представленные делегацией государства-участника относительно текущей реформы иракской пенитенциарной системы, в том числе в регионе Курдистан, и в связи с мерами, принятыми во время пандемии COVID-19, Комитет по-прежнему обеспокоен сообщениями о переполненности мест лишения свободы и плохих материальных условиях содержания под стражей, в частности о проблемах с водоснабжением и санитарией, низком качестве предоставляемого питания, нехватке медицинских и оздоровительных услуг, отсутствии психосоциальной поддержки для нуждающихся в специализированных услугах, особенно для лиц с инвалидностью, и ограниченном характере рекреационных или общеобразовательных мероприятий, способствующих реабилитации. Особую обеспокоенность вызывают материальные условия содержания и обращение с женщинами и девочками в местах лишения свободы, которые находятся в ведении сил безопасности, включая утверждения о сексуальных домогательствах и различных формах эксплуатации и злоупотреблений. Комитет сожалеет по поводу отсутствия всеобъемлющих официальных данных о количестве следственно-арестованных и осужденных заключенных, а также о местонахождении и заполненности всех мест лишения свободы в разбивке по учреждениям, находящимся в ведении всех соответствующих министерств или других органов власти (статьи 11 и 16).</w:t>
      </w:r>
    </w:p>
    <w:p w14:paraId="587B6B72" w14:textId="64234785" w:rsidR="00D97DEA" w:rsidRPr="00931E38" w:rsidRDefault="00D97DEA" w:rsidP="00D97DEA">
      <w:pPr>
        <w:pStyle w:val="SingleTxtG"/>
        <w:rPr>
          <w:b/>
        </w:rPr>
      </w:pPr>
      <w:r>
        <w:t>25.</w:t>
      </w:r>
      <w:r>
        <w:tab/>
      </w:r>
      <w:r>
        <w:rPr>
          <w:b/>
          <w:bCs/>
        </w:rPr>
        <w:t>Комитет призывает государство-участник активизировать усилия по приведению условий содержания под стражей в соответствие с Минимальными стандартными правилами Организации Объединенных Наций в отношении обращения с заключенными (Правилами Нельсона Манделы)</w:t>
      </w:r>
      <w:r w:rsidR="00305C85" w:rsidRPr="00B638F9">
        <w:rPr>
          <w:b/>
          <w:bCs/>
        </w:rPr>
        <w:t>,</w:t>
      </w:r>
      <w:r>
        <w:rPr>
          <w:b/>
          <w:bCs/>
        </w:rPr>
        <w:t xml:space="preserve"> и в частности:</w:t>
      </w:r>
    </w:p>
    <w:p w14:paraId="11D5E6D5" w14:textId="77777777" w:rsidR="00D97DEA" w:rsidRPr="00E437BD" w:rsidRDefault="00D97DEA" w:rsidP="00E437BD">
      <w:pPr>
        <w:pStyle w:val="SingleTxtG"/>
        <w:ind w:firstLine="567"/>
        <w:rPr>
          <w:b/>
          <w:bCs/>
        </w:rPr>
      </w:pPr>
      <w:r w:rsidRPr="00E437BD">
        <w:rPr>
          <w:b/>
          <w:bCs/>
        </w:rPr>
        <w:t>a)</w:t>
      </w:r>
      <w:r w:rsidRPr="00E437BD">
        <w:rPr>
          <w:b/>
          <w:bCs/>
        </w:rPr>
        <w:tab/>
      </w:r>
      <w:r>
        <w:rPr>
          <w:b/>
          <w:bCs/>
        </w:rPr>
        <w:t>уменьшить переполненность тюрем путем расширения масштабов использования мер, альтернативных содержанию под стражей, и продолжения реализации планов по развитию пенитенциарной инфраструктуры и улучшению условий содержания;</w:t>
      </w:r>
    </w:p>
    <w:p w14:paraId="56053ADD" w14:textId="77777777" w:rsidR="00D97DEA" w:rsidRPr="00E437BD" w:rsidRDefault="00D97DEA" w:rsidP="00E437BD">
      <w:pPr>
        <w:pStyle w:val="SingleTxtG"/>
        <w:ind w:firstLine="567"/>
        <w:rPr>
          <w:b/>
          <w:bCs/>
        </w:rPr>
      </w:pPr>
      <w:r w:rsidRPr="00E437BD">
        <w:rPr>
          <w:b/>
          <w:bCs/>
        </w:rPr>
        <w:t>b)</w:t>
      </w:r>
      <w:r w:rsidRPr="00E437BD">
        <w:rPr>
          <w:b/>
          <w:bCs/>
        </w:rPr>
        <w:tab/>
      </w:r>
      <w:r>
        <w:rPr>
          <w:b/>
          <w:bCs/>
        </w:rPr>
        <w:t>проводить плановое медицинского обследования в начале задержания, уделяя особое внимание лицам, находящимся в предварительном заключении, составлять индивидуальную, полную и конфиденциальную медицинскую карту на каждого заключенного, принимать все необходимые меры для борьбы с инфекционными заболеваниями в местах лишения свободы и обеспечивать наличие достаточного квалифицированного и обученного персонала, включая профессиональных охранников и медицинских работников для предоставления надлежащих услуг по уходу;</w:t>
      </w:r>
    </w:p>
    <w:p w14:paraId="21B0270C" w14:textId="77777777" w:rsidR="00D97DEA" w:rsidRPr="00E437BD" w:rsidRDefault="00D97DEA" w:rsidP="00E437BD">
      <w:pPr>
        <w:pStyle w:val="SingleTxtG"/>
        <w:ind w:firstLine="567"/>
        <w:rPr>
          <w:b/>
          <w:bCs/>
        </w:rPr>
      </w:pPr>
      <w:r w:rsidRPr="00E437BD">
        <w:rPr>
          <w:b/>
          <w:bCs/>
        </w:rPr>
        <w:t>c)</w:t>
      </w:r>
      <w:r w:rsidRPr="00E437BD">
        <w:rPr>
          <w:b/>
          <w:bCs/>
        </w:rPr>
        <w:tab/>
      </w:r>
      <w:r>
        <w:rPr>
          <w:b/>
          <w:bCs/>
        </w:rPr>
        <w:t xml:space="preserve">обеспечить, чтобы женщины-заключенные имели доступ к надлежащему медицинскому обслуживанию и услугам в области гигиены и содержались в условиях, учитывающих гендерную специфику, и чтобы тюрьмы были приспособлены к потребностям заключенных с инвалидностью, а также </w:t>
      </w:r>
      <w:r>
        <w:rPr>
          <w:b/>
          <w:bCs/>
        </w:rPr>
        <w:lastRenderedPageBreak/>
        <w:t>предотвращать, отслеживать и документировать случаи сексуальных домогательств и другого насилия в местах лишения свободы;</w:t>
      </w:r>
    </w:p>
    <w:p w14:paraId="7DD6CD60" w14:textId="77777777" w:rsidR="00D97DEA" w:rsidRPr="00E437BD" w:rsidRDefault="00D97DEA" w:rsidP="00E437BD">
      <w:pPr>
        <w:pStyle w:val="SingleTxtG"/>
        <w:ind w:firstLine="567"/>
        <w:rPr>
          <w:b/>
          <w:bCs/>
        </w:rPr>
      </w:pPr>
      <w:r w:rsidRPr="00E437BD">
        <w:rPr>
          <w:b/>
          <w:bCs/>
        </w:rPr>
        <w:t>d)</w:t>
      </w:r>
      <w:r w:rsidRPr="00E437BD">
        <w:rPr>
          <w:b/>
          <w:bCs/>
        </w:rPr>
        <w:tab/>
      </w:r>
      <w:r>
        <w:rPr>
          <w:b/>
          <w:bCs/>
        </w:rPr>
        <w:t>облегчить в следственных изоляторах и тюрьмах доступ к рекреационным и культурным мероприятиям, а также к профессиональному обучению и образованию, с тем чтобы способствовать реинтеграции лиц, лишенных свободы, в жизнь общества;</w:t>
      </w:r>
    </w:p>
    <w:p w14:paraId="3491C9CC" w14:textId="669ADDB9" w:rsidR="00D97DEA" w:rsidRPr="00931E38" w:rsidRDefault="00D97DEA" w:rsidP="00E437BD">
      <w:pPr>
        <w:pStyle w:val="SingleTxtG"/>
        <w:ind w:firstLine="567"/>
        <w:rPr>
          <w:b/>
        </w:rPr>
      </w:pPr>
      <w:r w:rsidRPr="00E437BD">
        <w:rPr>
          <w:b/>
          <w:bCs/>
        </w:rPr>
        <w:t>e)</w:t>
      </w:r>
      <w:r w:rsidRPr="00E437BD">
        <w:rPr>
          <w:b/>
          <w:bCs/>
        </w:rPr>
        <w:tab/>
      </w:r>
      <w:r>
        <w:rPr>
          <w:b/>
          <w:bCs/>
        </w:rPr>
        <w:t>представить в своем следующем периодическом докладе запрошенные данные о количестве следственно-арестованных и осужденных заключенных во всех учреждениях.</w:t>
      </w:r>
    </w:p>
    <w:p w14:paraId="57F75C91" w14:textId="77777777" w:rsidR="00D97DEA" w:rsidRPr="00931E38" w:rsidRDefault="00D97DEA" w:rsidP="00D97DEA">
      <w:pPr>
        <w:pStyle w:val="H23G"/>
      </w:pPr>
      <w:r>
        <w:tab/>
      </w:r>
      <w:r>
        <w:tab/>
      </w:r>
      <w:r>
        <w:rPr>
          <w:bCs/>
        </w:rPr>
        <w:t>Правосудие по делам несовершеннолетних</w:t>
      </w:r>
    </w:p>
    <w:p w14:paraId="47A70F20" w14:textId="77777777" w:rsidR="00D97DEA" w:rsidRPr="00931E38" w:rsidRDefault="00D97DEA" w:rsidP="00D97DEA">
      <w:pPr>
        <w:pStyle w:val="SingleTxtG"/>
      </w:pPr>
      <w:r>
        <w:t>26.</w:t>
      </w:r>
      <w:r>
        <w:tab/>
        <w:t>Комитет обеспокоен низким минимальным возрастом наступления уголовной ответственности (9 лет), который скоро может быть изменен на 11 лет, как это имеет место в регионе Курдистан</w:t>
      </w:r>
      <w:r w:rsidRPr="00E75A98">
        <w:rPr>
          <w:color w:val="000000"/>
          <w:sz w:val="18"/>
          <w:szCs w:val="24"/>
          <w:vertAlign w:val="superscript"/>
        </w:rPr>
        <w:footnoteReference w:id="23"/>
      </w:r>
      <w:r>
        <w:t>. Он также обеспокоен полученной информацией о переполненности центров, где содержатся несовершеннолетние заключенные, и ненадлежащих материальных условиях содержания в них, а также об отсутствии доступа к соответствующим образовательным и реабилитационным программам (статьи 2, 11 и 16).</w:t>
      </w:r>
    </w:p>
    <w:p w14:paraId="6EFC2067" w14:textId="53D6E28D" w:rsidR="00D97DEA" w:rsidRPr="00931E38" w:rsidRDefault="00D97DEA" w:rsidP="00D97DEA">
      <w:pPr>
        <w:pStyle w:val="SingleTxtG"/>
        <w:rPr>
          <w:b/>
        </w:rPr>
      </w:pPr>
      <w:r>
        <w:t>27.</w:t>
      </w:r>
      <w:r>
        <w:tab/>
      </w:r>
      <w:r>
        <w:rPr>
          <w:b/>
          <w:bCs/>
        </w:rPr>
        <w:t xml:space="preserve">Государству-участнику следует повысить минимальный возраст наступления уголовной ответственности до </w:t>
      </w:r>
      <w:proofErr w:type="spellStart"/>
      <w:r>
        <w:rPr>
          <w:b/>
          <w:bCs/>
        </w:rPr>
        <w:t>международно</w:t>
      </w:r>
      <w:proofErr w:type="spellEnd"/>
      <w:r>
        <w:rPr>
          <w:b/>
          <w:bCs/>
        </w:rPr>
        <w:t xml:space="preserve"> приемлемого уровня и обеспечить полное соблюдение норм отправления правосудия в отношении несовершеннолетних, а также Минимальных стандартных правил Организации Объединенных Наций, касающихся отправления правосудия в отношении несовершеннолетних (Пекинские правила), Руководящих принципов Организации Объединенных Наций для предупреждения преступности среди несовершеннолетних (Эр-</w:t>
      </w:r>
      <w:proofErr w:type="spellStart"/>
      <w:r>
        <w:rPr>
          <w:b/>
          <w:bCs/>
        </w:rPr>
        <w:t>Риядские</w:t>
      </w:r>
      <w:proofErr w:type="spellEnd"/>
      <w:r>
        <w:rPr>
          <w:b/>
          <w:bCs/>
        </w:rPr>
        <w:t xml:space="preserve"> руководящие принципы) и Правил Организации Объединенных Наций, касающихся защиты несовершеннолетних, лишенных свободы.</w:t>
      </w:r>
    </w:p>
    <w:p w14:paraId="59741131" w14:textId="77777777" w:rsidR="00D97DEA" w:rsidRPr="00931E38" w:rsidRDefault="00D97DEA" w:rsidP="00D97DEA">
      <w:pPr>
        <w:pStyle w:val="H23G"/>
      </w:pPr>
      <w:r>
        <w:tab/>
      </w:r>
      <w:r>
        <w:tab/>
      </w:r>
      <w:r>
        <w:rPr>
          <w:bCs/>
        </w:rPr>
        <w:t>Случаи смерти в местах содержания под стражей</w:t>
      </w:r>
    </w:p>
    <w:p w14:paraId="54C475B7" w14:textId="1C260B5A" w:rsidR="00D97DEA" w:rsidRPr="00931E38" w:rsidRDefault="00D97DEA" w:rsidP="00D97DEA">
      <w:pPr>
        <w:pStyle w:val="SingleTxtG"/>
      </w:pPr>
      <w:r>
        <w:t>28.</w:t>
      </w:r>
      <w:r>
        <w:tab/>
        <w:t>Согласно информации, представленной делегацией государства-участника, без указания названий пенитенциарных учреждений, только в 2021 году в местах содержания под стражей был зарегистрирован 461 случай смерти. Комитет сожалеет, что государство-участник не представило полную статистическую информацию за весь рассматриваемый период, в том числе в разбивке по местам содержания под стражей, включая учреждения, находящиеся в ведении Министерства внутренних дел, Министерства обороны и разведывательных служб, полу, возрасту и этнической или национальной принадлежности умерших и причинам смерти. Комитет обеспокоен утверждениями о том, что причинами смерти в местах содержания под стражей являются, в частности, пытки и отсутствие медицинского обслуживания, и сожалеет об отсутствии информации о проведенных в этой связи расследованиях (статьи 2, 11 и</w:t>
      </w:r>
      <w:r w:rsidR="0027265B">
        <w:t> </w:t>
      </w:r>
      <w:r>
        <w:t>16).</w:t>
      </w:r>
    </w:p>
    <w:p w14:paraId="0FE4E36C" w14:textId="77777777" w:rsidR="00D97DEA" w:rsidRPr="00931E38" w:rsidRDefault="00D97DEA" w:rsidP="00D97DEA">
      <w:pPr>
        <w:pStyle w:val="SingleTxtG"/>
        <w:rPr>
          <w:b/>
        </w:rPr>
      </w:pPr>
      <w:r>
        <w:t>29.</w:t>
      </w:r>
      <w:r>
        <w:tab/>
      </w:r>
      <w:r>
        <w:rPr>
          <w:b/>
          <w:bCs/>
        </w:rPr>
        <w:t>Государству-участнику следует:</w:t>
      </w:r>
    </w:p>
    <w:p w14:paraId="5AF555F6" w14:textId="77777777" w:rsidR="00D97DEA" w:rsidRPr="00E437BD" w:rsidRDefault="00D97DEA" w:rsidP="00E437BD">
      <w:pPr>
        <w:pStyle w:val="SingleTxtG"/>
        <w:ind w:firstLine="567"/>
        <w:rPr>
          <w:b/>
          <w:bCs/>
        </w:rPr>
      </w:pPr>
      <w:r w:rsidRPr="00E437BD">
        <w:rPr>
          <w:b/>
          <w:bCs/>
        </w:rPr>
        <w:t>a)</w:t>
      </w:r>
      <w:r w:rsidRPr="00E437BD">
        <w:rPr>
          <w:b/>
          <w:bCs/>
        </w:rPr>
        <w:tab/>
      </w:r>
      <w:r>
        <w:rPr>
          <w:b/>
          <w:bCs/>
        </w:rPr>
        <w:t>обеспечивать проведение независимым органом оперативного и беспристрастного расследования всех случаев смерти в местах содержания под стражей и в надлежащих случаях применять соответствующие санкции;</w:t>
      </w:r>
    </w:p>
    <w:p w14:paraId="10EFB342" w14:textId="77777777" w:rsidR="00D97DEA" w:rsidRPr="00E437BD" w:rsidRDefault="00D97DEA" w:rsidP="00E437BD">
      <w:pPr>
        <w:pStyle w:val="SingleTxtG"/>
        <w:ind w:firstLine="567"/>
        <w:rPr>
          <w:b/>
          <w:bCs/>
        </w:rPr>
      </w:pPr>
      <w:r w:rsidRPr="00E437BD">
        <w:rPr>
          <w:b/>
          <w:bCs/>
        </w:rPr>
        <w:t>b)</w:t>
      </w:r>
      <w:r w:rsidRPr="00E437BD">
        <w:rPr>
          <w:b/>
          <w:bCs/>
        </w:rPr>
        <w:tab/>
      </w:r>
      <w:r>
        <w:rPr>
          <w:b/>
          <w:bCs/>
        </w:rPr>
        <w:t>рассмотреть возможность принятия типового регламента расследования случаев смерти в местах содержания под стражей;</w:t>
      </w:r>
    </w:p>
    <w:p w14:paraId="56BCAC3D" w14:textId="77777777" w:rsidR="00D97DEA" w:rsidRPr="00E437BD" w:rsidRDefault="00D97DEA" w:rsidP="00E437BD">
      <w:pPr>
        <w:pStyle w:val="SingleTxtG"/>
        <w:ind w:firstLine="567"/>
        <w:rPr>
          <w:b/>
          <w:bCs/>
        </w:rPr>
      </w:pPr>
      <w:r w:rsidRPr="00E437BD">
        <w:rPr>
          <w:b/>
          <w:bCs/>
        </w:rPr>
        <w:t>c)</w:t>
      </w:r>
      <w:r w:rsidRPr="00E437BD">
        <w:rPr>
          <w:b/>
          <w:bCs/>
        </w:rPr>
        <w:tab/>
      </w:r>
      <w:r>
        <w:rPr>
          <w:b/>
          <w:bCs/>
        </w:rPr>
        <w:t>проанализировать эффективность программ профилактики, выявления и лечения инфекционных заболеваний в тюрьмах;</w:t>
      </w:r>
    </w:p>
    <w:p w14:paraId="1F288205" w14:textId="77777777" w:rsidR="00D97DEA" w:rsidRPr="00E437BD" w:rsidRDefault="00D97DEA" w:rsidP="00E437BD">
      <w:pPr>
        <w:pStyle w:val="SingleTxtG"/>
        <w:ind w:firstLine="567"/>
        <w:rPr>
          <w:b/>
          <w:bCs/>
        </w:rPr>
      </w:pPr>
      <w:r w:rsidRPr="00E437BD">
        <w:rPr>
          <w:b/>
          <w:bCs/>
        </w:rPr>
        <w:lastRenderedPageBreak/>
        <w:t>d)</w:t>
      </w:r>
      <w:r w:rsidRPr="00E437BD">
        <w:rPr>
          <w:b/>
          <w:bCs/>
        </w:rPr>
        <w:tab/>
      </w:r>
      <w:r>
        <w:rPr>
          <w:b/>
          <w:bCs/>
        </w:rPr>
        <w:t>собрать и представить Комитету подробную информацию о случаях смерти в местах содержания под стражей, их причинах и результатах их расследования.</w:t>
      </w:r>
    </w:p>
    <w:p w14:paraId="7010B5D5" w14:textId="77777777" w:rsidR="00D97DEA" w:rsidRPr="00931E38" w:rsidRDefault="00D97DEA" w:rsidP="00D97DEA">
      <w:pPr>
        <w:pStyle w:val="H23G"/>
      </w:pPr>
      <w:r>
        <w:tab/>
      </w:r>
      <w:r>
        <w:tab/>
      </w:r>
      <w:r>
        <w:rPr>
          <w:bCs/>
        </w:rPr>
        <w:t>Смертная казнь</w:t>
      </w:r>
    </w:p>
    <w:p w14:paraId="4C1C992D" w14:textId="77777777" w:rsidR="00D97DEA" w:rsidRPr="00931E38" w:rsidRDefault="00D97DEA" w:rsidP="00D97DEA">
      <w:pPr>
        <w:pStyle w:val="SingleTxtG"/>
      </w:pPr>
      <w:r>
        <w:t>30.</w:t>
      </w:r>
      <w:r>
        <w:tab/>
        <w:t xml:space="preserve">Приветствуя де-факто мораторий на приведение в исполнение смертных приговоров, введенный в регионе Курдистан с 2008 года, Комитет сожалеет, что, согласно сообщениям, он несколько раз нарушался в 2015 и 2016 годах. Он отмечает, что федеральные суды Ирака продолжают назначать высшую меру наказания, в том числе в делах, касающихся иностранных граждан, и что смертные приговоры приводились в исполнение. Кроме того, он сожалеет по поводу отсутствия всеобъемлющих данных и информации о правовых гарантиях в этом отношении. Комитет обеспокоен сообщениями о том, что такие приговоры преимущественно выносятся на основании законодательства о борьбе с терроризмом и зачастую без соблюдения гарантий надлежащей правовой процедуры и справедливого судебного разбирательства. Комитет также обеспокоен сообщениями о том, что заключенные, ожидающие смертной казни в центральной тюрьме </w:t>
      </w:r>
      <w:proofErr w:type="spellStart"/>
      <w:r>
        <w:t>Насирии</w:t>
      </w:r>
      <w:proofErr w:type="spellEnd"/>
      <w:r>
        <w:t>, содержатся в плачевных материальных условиях и часто подвергаются пыткам и жестокому обращению, включая ложные угрозы со стороны тюремной охраны об их скорой казни. Кроме того, как подтвердила делегация в своем письменном ответе на вопрос Комитета, семьи, как сообщается, не уведомляются перед казнью их родственников, как это предусмотрено статьей 291 Уголовно-процессуального кодекса (статьи 2, 11 и 16).</w:t>
      </w:r>
    </w:p>
    <w:p w14:paraId="002D234D" w14:textId="77777777" w:rsidR="00D97DEA" w:rsidRPr="00931E38" w:rsidRDefault="00D97DEA" w:rsidP="00D97DEA">
      <w:pPr>
        <w:pStyle w:val="SingleTxtG"/>
        <w:rPr>
          <w:b/>
        </w:rPr>
      </w:pPr>
      <w:r>
        <w:t>31.</w:t>
      </w:r>
      <w:r>
        <w:tab/>
      </w:r>
      <w:r>
        <w:rPr>
          <w:b/>
          <w:bCs/>
        </w:rPr>
        <w:t>Комитет настоятельно призывает государство-участник ввести мораторий на применение смертной казни, продолжать усилия по замене всех смертных приговоров альтернативными наказаниями, улучшить условия содержания заключенных, ожидающих смертной казни, пересмотреть в свете своих международных обязательств применение законодательства о борьбе с терроризмом и других соответствующих законов, на основании которых могут выносится смертные приговоры, усилить правовые гарантии и гарантии надлежащей правовой процедуры на всех этапах судопроизводства и в отношении всех преступлений, обеспечить надлежащее уведомление семей о предстоящих казнях и рассмотреть вопрос о ратификации второго Факультативного протокола к Международному пакту о гражданских и политических правах, направленного на отмену смертной казни.</w:t>
      </w:r>
    </w:p>
    <w:p w14:paraId="5EAFED2E" w14:textId="77777777" w:rsidR="00D97DEA" w:rsidRPr="00931E38" w:rsidRDefault="00D97DEA" w:rsidP="00D97DEA">
      <w:pPr>
        <w:pStyle w:val="H23G"/>
      </w:pPr>
      <w:r>
        <w:tab/>
      </w:r>
      <w:r>
        <w:tab/>
      </w:r>
      <w:r>
        <w:rPr>
          <w:bCs/>
        </w:rPr>
        <w:t>Чрезмерное применение силы во время протестов в период 2019–2020 годов</w:t>
      </w:r>
    </w:p>
    <w:p w14:paraId="1E2ADDFF" w14:textId="70ADF410" w:rsidR="00D97DEA" w:rsidRPr="00931E38" w:rsidRDefault="00D97DEA" w:rsidP="00D97DEA">
      <w:pPr>
        <w:pStyle w:val="SingleTxtG"/>
        <w:rPr>
          <w:color w:val="000000" w:themeColor="text1"/>
        </w:rPr>
      </w:pPr>
      <w:r>
        <w:t>32.</w:t>
      </w:r>
      <w:r>
        <w:tab/>
        <w:t>Комитет обеспокоен утверждениями о чрезмерном применении силы, в</w:t>
      </w:r>
      <w:r w:rsidR="00B638F9">
        <w:rPr>
          <w:lang w:val="en-US"/>
        </w:rPr>
        <w:t> </w:t>
      </w:r>
      <w:r>
        <w:t>частности об использовании менее смертоносного оружия, которое привело к гибели и ранениям, в том числе детей, произвольных арестах, содержании под стражей без связи с внешним миром</w:t>
      </w:r>
      <w:r w:rsidRPr="00E75A98">
        <w:rPr>
          <w:color w:val="000000" w:themeColor="text1"/>
          <w:sz w:val="18"/>
          <w:vertAlign w:val="superscript"/>
        </w:rPr>
        <w:footnoteReference w:id="24"/>
      </w:r>
      <w:r w:rsidR="0027265B">
        <w:t>,</w:t>
      </w:r>
      <w:r>
        <w:t xml:space="preserve"> пытках и жестоком обращении и насильственных исчезновениях</w:t>
      </w:r>
      <w:r w:rsidRPr="00E75A98">
        <w:rPr>
          <w:color w:val="000000" w:themeColor="text1"/>
          <w:sz w:val="18"/>
          <w:vertAlign w:val="superscript"/>
        </w:rPr>
        <w:footnoteReference w:id="25"/>
      </w:r>
      <w:r w:rsidR="0027265B">
        <w:t>,</w:t>
      </w:r>
      <w:r>
        <w:t xml:space="preserve"> совершенных силами безопасности, а также неустановленными вооруженными элементами в контексте демонстраций, которые проводятся с октября 2019 года</w:t>
      </w:r>
      <w:r w:rsidRPr="00E75A98">
        <w:rPr>
          <w:sz w:val="18"/>
          <w:vertAlign w:val="superscript"/>
          <w:lang w:eastAsia="ko-KR"/>
        </w:rPr>
        <w:footnoteReference w:id="26"/>
      </w:r>
      <w:r w:rsidR="0027265B">
        <w:t>.</w:t>
      </w:r>
      <w:r>
        <w:t xml:space="preserve"> Он обеспокоен заявлениями о похищениях, нападениях и запугивании, которым подвергаются журналисты и правозащитники. Комитет принимает к сведению готовность государства-участника гарантировать привлечение к ответственности за вышеуказанные действия, в том числе создание независимого комитета по установлению фактов и судебных следственных комитетов в каждой затронутой демонстрациями мухафазе. Однако он сожалеет по поводу отсутствия открытых докладов о действиях, предпринятых комитетом по установлению фактов, ограниченного прогресса в проведении расследований и того факта, что на сегодняшний день было проведено лишь несколько судебных разбирательств</w:t>
      </w:r>
      <w:r w:rsidRPr="00E75A98">
        <w:rPr>
          <w:sz w:val="18"/>
          <w:vertAlign w:val="superscript"/>
        </w:rPr>
        <w:footnoteReference w:id="27"/>
      </w:r>
      <w:r>
        <w:t xml:space="preserve"> (статьи</w:t>
      </w:r>
      <w:r w:rsidR="009E175D">
        <w:t> </w:t>
      </w:r>
      <w:r>
        <w:t>2, 12–14 и 16).</w:t>
      </w:r>
    </w:p>
    <w:p w14:paraId="6D935128" w14:textId="77777777" w:rsidR="00D97DEA" w:rsidRPr="00931E38" w:rsidRDefault="00D97DEA" w:rsidP="00D97DEA">
      <w:pPr>
        <w:pStyle w:val="SingleTxtG"/>
        <w:rPr>
          <w:b/>
          <w:color w:val="000000" w:themeColor="text1"/>
        </w:rPr>
      </w:pPr>
      <w:r>
        <w:lastRenderedPageBreak/>
        <w:t>33.</w:t>
      </w:r>
      <w:r>
        <w:tab/>
      </w:r>
      <w:r>
        <w:rPr>
          <w:b/>
          <w:bCs/>
        </w:rPr>
        <w:t>Государству-участнику следует:</w:t>
      </w:r>
    </w:p>
    <w:p w14:paraId="479D5D59" w14:textId="77777777" w:rsidR="00D97DEA" w:rsidRPr="00E437BD" w:rsidRDefault="00D97DEA" w:rsidP="00E437BD">
      <w:pPr>
        <w:pStyle w:val="SingleTxtG"/>
        <w:ind w:firstLine="567"/>
        <w:rPr>
          <w:b/>
          <w:bCs/>
        </w:rPr>
      </w:pPr>
      <w:r w:rsidRPr="00E437BD">
        <w:rPr>
          <w:b/>
          <w:bCs/>
        </w:rPr>
        <w:t>a)</w:t>
      </w:r>
      <w:r w:rsidRPr="00E437BD">
        <w:rPr>
          <w:b/>
          <w:bCs/>
        </w:rPr>
        <w:tab/>
      </w:r>
      <w:r>
        <w:rPr>
          <w:b/>
          <w:bCs/>
        </w:rPr>
        <w:t>пересмотреть внутреннее законодательство о применении силы и оружия и разработать, при необходимости, четкие руководящие принципы, включающие принципы законности, необходимости, пропорциональности и предосторожности, привести законы и правила, регулирующие применение силы, в соответствие с международными стандартами, в частности с Основными принципами применения силы и огнестрельного оружия должностными лицами по поддержанию правопорядка и Руководством Организации Объединенных Наций по правам человека при применении менее смертоносного оружия в правоохранительной деятельности, и обеспечить подготовку всех сотрудников сил безопасности по этим принципам;</w:t>
      </w:r>
    </w:p>
    <w:p w14:paraId="7B12F5DF" w14:textId="096DBCF0" w:rsidR="00D97DEA" w:rsidRPr="00E437BD" w:rsidRDefault="00D97DEA" w:rsidP="00E437BD">
      <w:pPr>
        <w:pStyle w:val="SingleTxtG"/>
        <w:ind w:firstLine="567"/>
        <w:rPr>
          <w:b/>
          <w:bCs/>
        </w:rPr>
      </w:pPr>
      <w:r w:rsidRPr="00E437BD">
        <w:rPr>
          <w:b/>
          <w:bCs/>
        </w:rPr>
        <w:t>b)</w:t>
      </w:r>
      <w:r w:rsidRPr="00E437BD">
        <w:rPr>
          <w:b/>
          <w:bCs/>
        </w:rPr>
        <w:tab/>
      </w:r>
      <w:r>
        <w:rPr>
          <w:b/>
          <w:bCs/>
        </w:rPr>
        <w:t xml:space="preserve">обеспечить, чтобы правопорядок в максимально возможной степени поддерживался гражданскими </w:t>
      </w:r>
      <w:proofErr w:type="gramStart"/>
      <w:r>
        <w:rPr>
          <w:b/>
          <w:bCs/>
        </w:rPr>
        <w:t>властями</w:t>
      </w:r>
      <w:proofErr w:type="gramEnd"/>
      <w:r>
        <w:rPr>
          <w:b/>
          <w:bCs/>
        </w:rPr>
        <w:t xml:space="preserve"> и чтобы все должностные лица могли быть эффективно идентифицированы в любое время в процессе исполнения ими своих обязанностей для обеспечения их личной ответственности и защиты задержанных от пыток и жестокого обращения;</w:t>
      </w:r>
    </w:p>
    <w:p w14:paraId="216F6459" w14:textId="77777777" w:rsidR="00D97DEA" w:rsidRPr="00931E38" w:rsidRDefault="00D97DEA" w:rsidP="00E437BD">
      <w:pPr>
        <w:pStyle w:val="SingleTxtG"/>
        <w:ind w:firstLine="567"/>
        <w:rPr>
          <w:b/>
          <w:color w:val="000000" w:themeColor="text1"/>
        </w:rPr>
      </w:pPr>
      <w:r w:rsidRPr="00E437BD">
        <w:rPr>
          <w:b/>
          <w:bCs/>
        </w:rPr>
        <w:t>c)</w:t>
      </w:r>
      <w:r w:rsidRPr="00E437BD">
        <w:rPr>
          <w:b/>
          <w:bCs/>
        </w:rPr>
        <w:tab/>
      </w:r>
      <w:r>
        <w:rPr>
          <w:b/>
          <w:bCs/>
        </w:rPr>
        <w:t>обеспечить проведение оперативных, беспристрастных и эффективных расследований в связи со всеми описанными выше утверждениями, касающимися государственных и негосударственных субъектов, а также судебное преследование виновных и получение жертвами или их семьями полного возмещения.</w:t>
      </w:r>
    </w:p>
    <w:p w14:paraId="49697962" w14:textId="77777777" w:rsidR="00D97DEA" w:rsidRPr="00931E38" w:rsidRDefault="00D97DEA" w:rsidP="00D97DEA">
      <w:pPr>
        <w:pStyle w:val="H23G"/>
      </w:pPr>
      <w:r>
        <w:tab/>
      </w:r>
      <w:r>
        <w:tab/>
      </w:r>
      <w:r>
        <w:rPr>
          <w:bCs/>
        </w:rPr>
        <w:t>Возмещение ущерба, включая компенсацию и реабилитацию</w:t>
      </w:r>
    </w:p>
    <w:p w14:paraId="6E627047" w14:textId="2529CE3B" w:rsidR="00D97DEA" w:rsidRPr="00931E38" w:rsidRDefault="00D97DEA" w:rsidP="00D97DEA">
      <w:pPr>
        <w:pStyle w:val="SingleTxtG"/>
      </w:pPr>
      <w:r>
        <w:t>34.</w:t>
      </w:r>
      <w:r>
        <w:tab/>
        <w:t>Ссылаясь на свои предыдущие заключительные замечания</w:t>
      </w:r>
      <w:r w:rsidRPr="00E75A98">
        <w:rPr>
          <w:sz w:val="18"/>
          <w:vertAlign w:val="superscript"/>
        </w:rPr>
        <w:footnoteReference w:id="28"/>
      </w:r>
      <w:r w:rsidR="006A411E" w:rsidRPr="006A411E">
        <w:t>,</w:t>
      </w:r>
      <w:r>
        <w:t xml:space="preserve"> Комитет сожалеет, что государство-участник не представило всеобъемлющей информации о возмещении, предоставляемом жертвам пыток или жестокого обращения в соответствии с действующим законодательством, предусматривающим гражданско-правовые средства защиты, или любыми другими действенными средствами правовой защиты, позволяющими жертвам требовать возмещения материального, а также нематериального ущерба и получать доступ к медицинской и психосоциальной реабилитации (статья 14).</w:t>
      </w:r>
    </w:p>
    <w:p w14:paraId="517A3F2A" w14:textId="77777777" w:rsidR="00D97DEA" w:rsidRPr="00AF6DBF" w:rsidRDefault="00D97DEA" w:rsidP="00D97DEA">
      <w:pPr>
        <w:pStyle w:val="SingleTxtG"/>
        <w:rPr>
          <w:b/>
          <w:bCs/>
        </w:rPr>
      </w:pPr>
      <w:r>
        <w:t>35.</w:t>
      </w:r>
      <w:r>
        <w:tab/>
      </w:r>
      <w:r w:rsidRPr="00AF6DBF">
        <w:rPr>
          <w:b/>
          <w:bCs/>
        </w:rPr>
        <w:t>Государству-участнику следует обеспечить, чтобы жертвы пыток и жестокого обращения получали возмещение, включая средства для как можно более полной реабилитации, как указано в замечании общего порядка № 3 (2012) об осуществлении статьи 14.</w:t>
      </w:r>
    </w:p>
    <w:p w14:paraId="59D61356" w14:textId="77777777" w:rsidR="00D97DEA" w:rsidRPr="00931E38" w:rsidRDefault="00D97DEA" w:rsidP="00D97DEA">
      <w:pPr>
        <w:pStyle w:val="H23G"/>
      </w:pPr>
      <w:r>
        <w:tab/>
      </w:r>
      <w:r>
        <w:tab/>
      </w:r>
      <w:r>
        <w:rPr>
          <w:bCs/>
        </w:rPr>
        <w:t>Принцип недопустимости принудительного возвращения</w:t>
      </w:r>
    </w:p>
    <w:p w14:paraId="04B0A55C" w14:textId="77777777" w:rsidR="00D97DEA" w:rsidRPr="00931E38" w:rsidRDefault="00D97DEA" w:rsidP="00D97DEA">
      <w:pPr>
        <w:pStyle w:val="SingleTxtG"/>
      </w:pPr>
      <w:r>
        <w:t>36.</w:t>
      </w:r>
      <w:r>
        <w:tab/>
        <w:t>Комитет отмечает, что законопроект о беженцах все еще находится на утверждении Совета представителей. Он сожалеет, что делегация не представила исчерпывающих разъяснений относительно обеспечения соблюдения принципа недопустимости принудительного возвращения в законопроекте о борьбе с пытками. Он с озабоченностью отмечает, что государство-участник не представило всеобъемлющей информации о полученных и удовлетворенных ходатайствах о предоставлении убежища или о случаях возвращения, экстрадиции или высылки в отчетный период, а также о гарантиях и оценке риска для соответствующих лиц. Кроме того, Комитет обеспокоен полученной информацией о том, что в нарушение принципа недопустимости принудительного возвращения несколько человек были возвращены в соседние страны без надлежащего соблюдения процедурных гарантий (статья 3).</w:t>
      </w:r>
    </w:p>
    <w:p w14:paraId="07C4691B" w14:textId="77777777" w:rsidR="00D97DEA" w:rsidRPr="00931E38" w:rsidRDefault="00D97DEA" w:rsidP="00D97DEA">
      <w:pPr>
        <w:pStyle w:val="SingleTxtG"/>
        <w:rPr>
          <w:b/>
        </w:rPr>
      </w:pPr>
      <w:r>
        <w:t>37.</w:t>
      </w:r>
      <w:r>
        <w:tab/>
      </w:r>
      <w:r>
        <w:rPr>
          <w:b/>
          <w:bCs/>
        </w:rPr>
        <w:t>Государству-участнику рекомендуется разработать и принять законопроект о борьбе с пытками в соответствии с Конвенцией.</w:t>
      </w:r>
      <w:r>
        <w:t xml:space="preserve"> </w:t>
      </w:r>
      <w:r>
        <w:rPr>
          <w:b/>
          <w:bCs/>
        </w:rPr>
        <w:t xml:space="preserve">Ни при каких обстоятельства государство-участник не должно высылать, возвращать или выдавать какое-либо лицо другому государству, если существуют серьезные </w:t>
      </w:r>
      <w:r>
        <w:rPr>
          <w:b/>
          <w:bCs/>
        </w:rPr>
        <w:lastRenderedPageBreak/>
        <w:t>основания полагать, что ему может угрожать там применение пыток.</w:t>
      </w:r>
      <w:r>
        <w:t xml:space="preserve"> </w:t>
      </w:r>
      <w:r>
        <w:rPr>
          <w:b/>
          <w:bCs/>
        </w:rPr>
        <w:t>Государству-участнику следует тщательно рассматривать по существу каждое дело и обеспечивать соблюдение процедурных гарантий.</w:t>
      </w:r>
      <w:r>
        <w:t xml:space="preserve"> </w:t>
      </w:r>
      <w:r>
        <w:rPr>
          <w:b/>
          <w:bCs/>
        </w:rPr>
        <w:t>Государству-участнику следует рассмотреть вопрос о ратификации Конвенции о статусе беженцев и Протокола к ней.</w:t>
      </w:r>
    </w:p>
    <w:p w14:paraId="1500EA82" w14:textId="77777777" w:rsidR="00D97DEA" w:rsidRPr="00931E38" w:rsidRDefault="00D97DEA" w:rsidP="00D97DEA">
      <w:pPr>
        <w:pStyle w:val="H23G"/>
      </w:pPr>
      <w:r>
        <w:tab/>
      </w:r>
      <w:r>
        <w:tab/>
      </w:r>
      <w:r>
        <w:rPr>
          <w:bCs/>
        </w:rPr>
        <w:t>Гендерное насилие</w:t>
      </w:r>
    </w:p>
    <w:p w14:paraId="5F312B75" w14:textId="43B57781" w:rsidR="00D97DEA" w:rsidRPr="00931E38" w:rsidRDefault="00D97DEA" w:rsidP="00D97DEA">
      <w:pPr>
        <w:pStyle w:val="SingleTxtG"/>
      </w:pPr>
      <w:r>
        <w:t>38.</w:t>
      </w:r>
      <w:r>
        <w:tab/>
        <w:t>Комитет принимает к сведению информацию, представленную государством-участником, включая информацию о законопроекте о бытовом насилии, который находится на рассмотрении Совета представителей и должен устранить существующие в действующем законодательстве некоторые смягчающие оговорки в отношении акта изнасилования жены мужем или насилия над ней с его стороны, и о пересмотре национальной стратегии по борьбе с насилием в отношении женщин. Тем не менее он признает обеспокоенность Комитета по правам человека</w:t>
      </w:r>
      <w:r w:rsidRPr="00E75A98">
        <w:rPr>
          <w:sz w:val="18"/>
          <w:vertAlign w:val="superscript"/>
        </w:rPr>
        <w:footnoteReference w:id="29"/>
      </w:r>
      <w:r>
        <w:t xml:space="preserve"> по поводу необходимости дальнейших шагов по отмене или изменению всех положений, которые являются дискриминационными по отношению к женщинам или потворствуют насилию над ними, включая смягчающие и оправдательные положения Уголовного кодекса об изнасиловании и так называемых преступлениях на почве </w:t>
      </w:r>
      <w:r w:rsidR="00EE661D">
        <w:t>«</w:t>
      </w:r>
      <w:r>
        <w:t>оскорбленной чести</w:t>
      </w:r>
      <w:r w:rsidR="00EE661D">
        <w:t>»</w:t>
      </w:r>
      <w:r>
        <w:t>, как это было рекомендовано Комитетом в его предыдущих рекомендациях</w:t>
      </w:r>
      <w:r w:rsidRPr="00E75A98">
        <w:rPr>
          <w:sz w:val="18"/>
          <w:vertAlign w:val="superscript"/>
          <w:lang w:eastAsia="ko-KR"/>
        </w:rPr>
        <w:footnoteReference w:id="30"/>
      </w:r>
      <w:r>
        <w:t>. Комитет также обеспокоен незначительным числом возбужденных дел, по сравнению с большим числом зарегистрированных жалоб на насилие в отношении женщин. Кроме того, он обеспокоен тем, что в некоторых районах страны по-прежнему практикуются калечащие операции на женских половых органах, и с интересом отмечает разработку правительством региона Курдистан плана по прекращению такой практики (статьи 2, 12–14 и 16).</w:t>
      </w:r>
    </w:p>
    <w:p w14:paraId="7C5D041D" w14:textId="77777777" w:rsidR="00D97DEA" w:rsidRPr="00931E38" w:rsidRDefault="00D97DEA" w:rsidP="00D97DEA">
      <w:pPr>
        <w:pStyle w:val="SingleTxtG"/>
        <w:rPr>
          <w:b/>
        </w:rPr>
      </w:pPr>
      <w:r>
        <w:t>39.</w:t>
      </w:r>
      <w:r>
        <w:tab/>
      </w:r>
      <w:r>
        <w:rPr>
          <w:b/>
          <w:bCs/>
        </w:rPr>
        <w:t>Государству-участнику настоятельно рекомендуется принять находящиеся на рассмотрении законопроект о бытовом насилии и национальную стратегию, а также отменить или изменить, руководствуясь Конвенцией, соответствующие положения Уголовного кодекса.</w:t>
      </w:r>
      <w:r>
        <w:t xml:space="preserve"> </w:t>
      </w:r>
      <w:r>
        <w:rPr>
          <w:b/>
          <w:bCs/>
        </w:rPr>
        <w:t>Ему следует активизировать усилия по искоренению калечащих операций на женских половых органах.</w:t>
      </w:r>
      <w:r>
        <w:t xml:space="preserve"> </w:t>
      </w:r>
      <w:r>
        <w:rPr>
          <w:b/>
          <w:bCs/>
        </w:rPr>
        <w:t>Государству-участнику следует также обеспечить, чтобы все случаи гендерного насилия, особенно те, которые затрагивают международную ответственность государства-участника по Конвенции, тщательно расследовались, чтобы предполагаемые виновные были привлечены к ответственности и, в случае осуждения, понесли соответствующее наказание, а жертвы или их семьи получили возмещение, включая адекватную компенсацию, и имели доступ к юридической помощи, безопасным убежищам и необходимой медицинской помощи и психологической поддержке.</w:t>
      </w:r>
    </w:p>
    <w:p w14:paraId="1773B9DC" w14:textId="77777777" w:rsidR="00D97DEA" w:rsidRPr="00931E38" w:rsidRDefault="00D97DEA" w:rsidP="00D97DEA">
      <w:pPr>
        <w:pStyle w:val="H23G"/>
      </w:pPr>
      <w:r>
        <w:tab/>
      </w:r>
      <w:r>
        <w:tab/>
      </w:r>
      <w:r>
        <w:rPr>
          <w:bCs/>
        </w:rPr>
        <w:t>Верховная комиссия по правам человека Ирака</w:t>
      </w:r>
    </w:p>
    <w:p w14:paraId="4DADE0FF" w14:textId="77777777" w:rsidR="00D97DEA" w:rsidRPr="00931E38" w:rsidRDefault="00D97DEA" w:rsidP="00D97DEA">
      <w:pPr>
        <w:pStyle w:val="SingleTxtG"/>
      </w:pPr>
      <w:r>
        <w:t>40.</w:t>
      </w:r>
      <w:r>
        <w:tab/>
        <w:t>Комитет обеспокоен сообщениями о задержках с назначением новых членов Верховной комиссии по правам человека Ирака и отсутствии у нее независимости от политических партий в том, что касается этого процесса</w:t>
      </w:r>
      <w:r w:rsidRPr="00E75A98">
        <w:rPr>
          <w:sz w:val="18"/>
          <w:vertAlign w:val="superscript"/>
          <w:lang w:eastAsia="ko-KR"/>
        </w:rPr>
        <w:footnoteReference w:id="31"/>
      </w:r>
      <w:r>
        <w:t>. Он сожалеет, что государство-участник не представило информацию о последующих расследованиях, судебных преследованиях и результатах рассмотрения дел, переданных Комиссией в органы прокуратуры в связи с утверждениями о пытках. Также вызывает озабоченность отсутствие защиты и иммунитета у членов Комиссии от репрессалий или других мер запугивания в контексте выполнения ими своих официальных обязанностей, как это наблюдалось во время недавнего, но как уточнила делегация в ходе диалога, уже прекращенного судебного преследования бывшего члена Комиссии Али Акрама аль-</w:t>
      </w:r>
      <w:proofErr w:type="spellStart"/>
      <w:r>
        <w:t>Баяти</w:t>
      </w:r>
      <w:proofErr w:type="spellEnd"/>
      <w:r>
        <w:t xml:space="preserve"> за комментарии, которые он сделал, еще находясь на своем посту, относительно пыток в Ираке (статья 2).</w:t>
      </w:r>
    </w:p>
    <w:p w14:paraId="229D79B2" w14:textId="77777777" w:rsidR="00D97DEA" w:rsidRPr="00931E38" w:rsidRDefault="00D97DEA" w:rsidP="00D97DEA">
      <w:pPr>
        <w:pStyle w:val="SingleTxtG"/>
        <w:rPr>
          <w:b/>
        </w:rPr>
      </w:pPr>
      <w:r>
        <w:lastRenderedPageBreak/>
        <w:t>41.</w:t>
      </w:r>
      <w:r>
        <w:tab/>
      </w:r>
      <w:r>
        <w:rPr>
          <w:b/>
          <w:bCs/>
        </w:rPr>
        <w:t>Государству-участнику следует:</w:t>
      </w:r>
    </w:p>
    <w:p w14:paraId="0E525A17" w14:textId="77777777" w:rsidR="00D97DEA" w:rsidRPr="00E437BD" w:rsidRDefault="00D97DEA" w:rsidP="00E437BD">
      <w:pPr>
        <w:pStyle w:val="SingleTxtG"/>
        <w:ind w:firstLine="567"/>
        <w:rPr>
          <w:b/>
          <w:bCs/>
        </w:rPr>
      </w:pPr>
      <w:r w:rsidRPr="00E437BD">
        <w:rPr>
          <w:b/>
          <w:bCs/>
        </w:rPr>
        <w:t>a)</w:t>
      </w:r>
      <w:r w:rsidRPr="00E437BD">
        <w:rPr>
          <w:b/>
          <w:bCs/>
        </w:rPr>
        <w:tab/>
      </w:r>
      <w:r>
        <w:rPr>
          <w:b/>
          <w:bCs/>
        </w:rPr>
        <w:t>продолжать укреплять Верховную комиссию по правам человека Ирака, с тем чтобы она могла эффективно выполнять свой мандат, и обеспечить, чтобы процесс назначения ее членов полностью соответствовал принципам, касающимся статуса национальных учреждений, занимающихся поощрением и защитой прав человека (Парижские принципы);</w:t>
      </w:r>
    </w:p>
    <w:p w14:paraId="0856CF38" w14:textId="77777777" w:rsidR="00D97DEA" w:rsidRPr="00E437BD" w:rsidRDefault="00D97DEA" w:rsidP="00E437BD">
      <w:pPr>
        <w:pStyle w:val="SingleTxtG"/>
        <w:ind w:firstLine="567"/>
        <w:rPr>
          <w:b/>
          <w:bCs/>
        </w:rPr>
      </w:pPr>
      <w:r w:rsidRPr="00E437BD">
        <w:rPr>
          <w:b/>
          <w:bCs/>
        </w:rPr>
        <w:t>b)</w:t>
      </w:r>
      <w:r w:rsidRPr="00E437BD">
        <w:rPr>
          <w:b/>
          <w:bCs/>
        </w:rPr>
        <w:tab/>
      </w:r>
      <w:r>
        <w:rPr>
          <w:b/>
          <w:bCs/>
        </w:rPr>
        <w:t>принимать последующие меры в связи с жалобами на пытки, поданными в Верховную комиссию по правам человека Ирака, проводить эффективные расследования, преследовать в судебном порядке виновных и предоставлять возмещение жертвам;</w:t>
      </w:r>
    </w:p>
    <w:p w14:paraId="055846ED" w14:textId="77777777" w:rsidR="00D97DEA" w:rsidRPr="00931E38" w:rsidRDefault="00D97DEA" w:rsidP="00E437BD">
      <w:pPr>
        <w:pStyle w:val="SingleTxtG"/>
        <w:ind w:firstLine="567"/>
        <w:rPr>
          <w:b/>
        </w:rPr>
      </w:pPr>
      <w:r w:rsidRPr="00E437BD">
        <w:rPr>
          <w:b/>
          <w:bCs/>
        </w:rPr>
        <w:t>c)</w:t>
      </w:r>
      <w:r w:rsidRPr="00E437BD">
        <w:rPr>
          <w:b/>
          <w:bCs/>
        </w:rPr>
        <w:tab/>
      </w:r>
      <w:r>
        <w:rPr>
          <w:b/>
          <w:bCs/>
        </w:rPr>
        <w:t>обеспечить в приоритетном порядке, чтобы члены Верховной комиссии по правам человека Ирака могли независимо выполнять свои профессиональные обязанности и были защищены от любого запугивания, преследования, неоправданного вмешательства или репрессалий.</w:t>
      </w:r>
    </w:p>
    <w:p w14:paraId="26A5B2B0" w14:textId="77777777" w:rsidR="00D97DEA" w:rsidRPr="00931E38" w:rsidRDefault="00D97DEA" w:rsidP="00D97DEA">
      <w:pPr>
        <w:pStyle w:val="H23G"/>
      </w:pPr>
      <w:r>
        <w:tab/>
      </w:r>
      <w:r>
        <w:tab/>
      </w:r>
      <w:r>
        <w:rPr>
          <w:bCs/>
        </w:rPr>
        <w:t>Подготовка</w:t>
      </w:r>
    </w:p>
    <w:p w14:paraId="3DC4D371" w14:textId="00008676" w:rsidR="00D97DEA" w:rsidRPr="00931E38" w:rsidRDefault="00D97DEA" w:rsidP="00D97DEA">
      <w:pPr>
        <w:pStyle w:val="SingleTxtG"/>
      </w:pPr>
      <w:r>
        <w:t>42.</w:t>
      </w:r>
      <w:r>
        <w:tab/>
        <w:t>Комитет принимает к сведению представленную делегацией государства-участника информацию о модулях подготовки по правам человека в военных и полицейских училищах и других учебных заведениях. Однако он сожалеет по поводу отсутствия информации о специальной подготовке по Конвенции, посвященной, в</w:t>
      </w:r>
      <w:r w:rsidR="00EF2146">
        <w:rPr>
          <w:lang w:val="en-US"/>
        </w:rPr>
        <w:t> </w:t>
      </w:r>
      <w:r>
        <w:t>частности, абсолютному запрещению пыток и жестокого обращения, для судей, прокуроров, судебно-медицинских экспертов и медицинского персонала, а также для сотрудников сил безопасности (статья 10).</w:t>
      </w:r>
    </w:p>
    <w:p w14:paraId="42F07728" w14:textId="77777777" w:rsidR="00D97DEA" w:rsidRPr="00931E38" w:rsidRDefault="00D97DEA" w:rsidP="00D97DEA">
      <w:pPr>
        <w:pStyle w:val="SingleTxtG"/>
        <w:rPr>
          <w:b/>
        </w:rPr>
      </w:pPr>
      <w:r>
        <w:t>43.</w:t>
      </w:r>
      <w:r>
        <w:tab/>
      </w:r>
      <w:r>
        <w:rPr>
          <w:b/>
          <w:bCs/>
        </w:rPr>
        <w:t>Государству-участнику следует:</w:t>
      </w:r>
    </w:p>
    <w:p w14:paraId="1E1822F5" w14:textId="77777777" w:rsidR="00D97DEA" w:rsidRPr="00E437BD" w:rsidRDefault="00D97DEA" w:rsidP="00E437BD">
      <w:pPr>
        <w:pStyle w:val="SingleTxtG"/>
        <w:ind w:firstLine="567"/>
        <w:rPr>
          <w:b/>
          <w:bCs/>
        </w:rPr>
      </w:pPr>
      <w:r w:rsidRPr="00E437BD">
        <w:rPr>
          <w:b/>
          <w:bCs/>
        </w:rPr>
        <w:t>a)</w:t>
      </w:r>
      <w:r w:rsidRPr="00E437BD">
        <w:rPr>
          <w:b/>
          <w:bCs/>
        </w:rPr>
        <w:tab/>
      </w:r>
      <w:r>
        <w:rPr>
          <w:b/>
          <w:bCs/>
        </w:rPr>
        <w:t>включить положения Конвенции в учебные программы обязательных курсов для сотрудников полиции, правоохранительных органов и органов национальной безопасности, военнослужащих, пограничников, работников тюрем, судей, прокуроров и адвокатов;</w:t>
      </w:r>
    </w:p>
    <w:p w14:paraId="1F01DA49" w14:textId="77777777" w:rsidR="00D97DEA" w:rsidRPr="00931E38" w:rsidRDefault="00D97DEA" w:rsidP="00E437BD">
      <w:pPr>
        <w:pStyle w:val="SingleTxtG"/>
        <w:ind w:firstLine="567"/>
        <w:rPr>
          <w:b/>
        </w:rPr>
      </w:pPr>
      <w:r w:rsidRPr="00E437BD">
        <w:rPr>
          <w:b/>
          <w:bCs/>
        </w:rPr>
        <w:t>b)</w:t>
      </w:r>
      <w:r w:rsidRPr="00E437BD">
        <w:rPr>
          <w:b/>
          <w:bCs/>
        </w:rPr>
        <w:tab/>
      </w:r>
      <w:r>
        <w:rPr>
          <w:b/>
          <w:bCs/>
        </w:rPr>
        <w:t>обеспечивать прохождение всем соответствующим персоналом, включая медицинских работников, специальной подготовки, которая бы позволяла ему выявлять и документировать случаи применения пыток и жестокого обращения в соответствии с Руководством по эффективному расследованию и документированию пыток и других жестоких, бесчеловечных или унижающих достоинство видов обращения и наказания (Стамбульский протокол).</w:t>
      </w:r>
    </w:p>
    <w:p w14:paraId="251FEEB9" w14:textId="77777777" w:rsidR="00D97DEA" w:rsidRPr="00931E38" w:rsidRDefault="00D97DEA" w:rsidP="00D97DEA">
      <w:pPr>
        <w:pStyle w:val="H23G"/>
      </w:pPr>
      <w:r>
        <w:tab/>
      </w:r>
      <w:r>
        <w:tab/>
      </w:r>
      <w:r>
        <w:tab/>
      </w:r>
      <w:r>
        <w:rPr>
          <w:bCs/>
        </w:rPr>
        <w:t>Процедура последующей деятельности</w:t>
      </w:r>
    </w:p>
    <w:p w14:paraId="5515FEA1" w14:textId="5BE8AA83" w:rsidR="00D97DEA" w:rsidRPr="00931E38" w:rsidRDefault="00D97DEA" w:rsidP="00D97DEA">
      <w:pPr>
        <w:pStyle w:val="SingleTxtG"/>
        <w:rPr>
          <w:sz w:val="24"/>
          <w:szCs w:val="24"/>
        </w:rPr>
      </w:pPr>
      <w:r>
        <w:t>44.</w:t>
      </w:r>
      <w:r>
        <w:tab/>
      </w:r>
      <w:r>
        <w:rPr>
          <w:b/>
          <w:bCs/>
        </w:rPr>
        <w:t>Комитет просит государство-участник представить к 13 мая 2023 года информацию о последующих мерах по выполнению рекомендаций Комитета, касающихся криминализации пыток, основных правовых гарантий, сексуального насилия в условиях конфликта и смертной казни (см. пункты 9, 11</w:t>
      </w:r>
      <w:r w:rsidR="00E437BD">
        <w:rPr>
          <w:b/>
          <w:bCs/>
          <w:lang w:val="en-US"/>
        </w:rPr>
        <w:t> </w:t>
      </w:r>
      <w:r>
        <w:rPr>
          <w:b/>
          <w:bCs/>
        </w:rPr>
        <w:t>а) и с), 21 и 31 выше).</w:t>
      </w:r>
      <w:r>
        <w:t xml:space="preserve"> </w:t>
      </w:r>
      <w:r>
        <w:rPr>
          <w:b/>
          <w:bCs/>
        </w:rPr>
        <w:t>В связи с этим государству-участнику предлагается сообщить Комитету о своих планах по выполнению в предстоящий отчетный период некоторых или всех оставшихся рекомендаций, содержащихся в заключительных замечаниях.</w:t>
      </w:r>
    </w:p>
    <w:p w14:paraId="47D65502" w14:textId="77777777" w:rsidR="00D97DEA" w:rsidRPr="00931E38" w:rsidRDefault="00D97DEA" w:rsidP="00D97DEA">
      <w:pPr>
        <w:pStyle w:val="H23G"/>
      </w:pPr>
      <w:r>
        <w:tab/>
      </w:r>
      <w:r>
        <w:tab/>
      </w:r>
      <w:r>
        <w:rPr>
          <w:bCs/>
        </w:rPr>
        <w:t>Прочие вопросы</w:t>
      </w:r>
    </w:p>
    <w:p w14:paraId="0488047F" w14:textId="77777777" w:rsidR="00D97DEA" w:rsidRPr="00931E38" w:rsidRDefault="00D97DEA" w:rsidP="00D97DEA">
      <w:pPr>
        <w:pStyle w:val="SingleTxtG"/>
      </w:pPr>
      <w:r>
        <w:t>45.</w:t>
      </w:r>
      <w:r>
        <w:tab/>
      </w:r>
      <w:r>
        <w:rPr>
          <w:b/>
          <w:bCs/>
        </w:rPr>
        <w:t>Комитет призывает государство-участник рассмотреть вопрос о том, чтобы сделать заявления по статьям 21 и 22 Конвенции.</w:t>
      </w:r>
    </w:p>
    <w:p w14:paraId="71213CA6" w14:textId="56A4BF05" w:rsidR="00D97DEA" w:rsidRPr="00931E38" w:rsidRDefault="00D97DEA" w:rsidP="00D97DEA">
      <w:pPr>
        <w:pStyle w:val="SingleTxtG"/>
      </w:pPr>
      <w:r>
        <w:t>46.</w:t>
      </w:r>
      <w:r>
        <w:tab/>
      </w:r>
      <w:r>
        <w:rPr>
          <w:b/>
          <w:bCs/>
        </w:rPr>
        <w:t>Комитет предлагает государству-участнику рассмотреть возможность присоединения к Римскому статуту Международного уголовного суда, стать участником Дополнительного протокола к Женевским конвенциям от 12 августа 1949</w:t>
      </w:r>
      <w:r w:rsidR="00EF2146">
        <w:rPr>
          <w:b/>
          <w:bCs/>
          <w:lang w:val="en-US"/>
        </w:rPr>
        <w:t> </w:t>
      </w:r>
      <w:r>
        <w:rPr>
          <w:b/>
          <w:bCs/>
        </w:rPr>
        <w:t xml:space="preserve">года, касающегося защиты жертв вооруженных конфликтов немеждународного характера, Конвенции о статусе апатридов и Конвенции о </w:t>
      </w:r>
      <w:r>
        <w:rPr>
          <w:b/>
          <w:bCs/>
        </w:rPr>
        <w:lastRenderedPageBreak/>
        <w:t xml:space="preserve">сокращении </w:t>
      </w:r>
      <w:proofErr w:type="spellStart"/>
      <w:r>
        <w:rPr>
          <w:b/>
          <w:bCs/>
        </w:rPr>
        <w:t>безгражданства</w:t>
      </w:r>
      <w:proofErr w:type="spellEnd"/>
      <w:r>
        <w:rPr>
          <w:b/>
          <w:bCs/>
        </w:rPr>
        <w:t xml:space="preserve"> и ратифицировать основные договоры Организации Объединенных Наций по правам человека, участником которых оно еще не является.</w:t>
      </w:r>
    </w:p>
    <w:p w14:paraId="23209535" w14:textId="77777777" w:rsidR="00D97DEA" w:rsidRPr="00931E38" w:rsidRDefault="00D97DEA" w:rsidP="00D97DEA">
      <w:pPr>
        <w:pStyle w:val="SingleTxtG"/>
        <w:rPr>
          <w:b/>
          <w:bCs/>
        </w:rPr>
      </w:pPr>
      <w:r>
        <w:t>47.</w:t>
      </w:r>
      <w:r>
        <w:tab/>
      </w:r>
      <w:r>
        <w:rPr>
          <w:b/>
          <w:bCs/>
        </w:rPr>
        <w:t>Государству-участнику предлагается обеспечить широкое распространение представленного Комитету доклада и настоящих заключительных замечаний на соответствующих языках через официальные веб-сайты, средства массовой информации и неправительственные организации, а также сообщить Комитету о проводимых мероприятиях по их распространению.</w:t>
      </w:r>
    </w:p>
    <w:p w14:paraId="3408D11F" w14:textId="77777777" w:rsidR="00D97DEA" w:rsidRPr="00931E38" w:rsidRDefault="00D97DEA" w:rsidP="00D97DEA">
      <w:pPr>
        <w:pStyle w:val="SingleTxtG"/>
        <w:rPr>
          <w:sz w:val="24"/>
        </w:rPr>
      </w:pPr>
      <w:r>
        <w:t>48.</w:t>
      </w:r>
      <w:r>
        <w:tab/>
      </w:r>
      <w:r>
        <w:rPr>
          <w:b/>
          <w:bCs/>
        </w:rPr>
        <w:t>Комитет просит государство-участник представить свой третий периодический доклад к 13 мая 2026 года.</w:t>
      </w:r>
      <w:r>
        <w:t xml:space="preserve"> </w:t>
      </w:r>
      <w:r>
        <w:rPr>
          <w:b/>
          <w:bCs/>
        </w:rPr>
        <w:t>С этой целью Комитет предлагает государству-участнику дать до 13 мая 2023 года свое согласие на применение упрощенной процедуры отчетности, заключающейся в препровождении Комитетом государству-участнику перечня вопросов, предваряющего представление доклада.</w:t>
      </w:r>
      <w:r>
        <w:t xml:space="preserve"> </w:t>
      </w:r>
      <w:r>
        <w:rPr>
          <w:b/>
          <w:bCs/>
        </w:rPr>
        <w:t>Ответы государства-участника на этот перечень вопросов и будут представлять собой его третий периодический доклад, подлежащий представлению согласно статье 19 Конвенции.</w:t>
      </w:r>
    </w:p>
    <w:p w14:paraId="514B54F2" w14:textId="77777777" w:rsidR="00D97DEA" w:rsidRPr="00931E38" w:rsidRDefault="00D97DEA" w:rsidP="00D97DEA">
      <w:pPr>
        <w:pStyle w:val="SingleTxtG"/>
        <w:jc w:val="center"/>
        <w:rPr>
          <w:rFonts w:eastAsiaTheme="minorEastAsia"/>
        </w:rPr>
      </w:pPr>
      <w:r w:rsidRPr="00931E38">
        <w:rPr>
          <w:u w:val="single"/>
          <w:lang w:eastAsia="en-GB"/>
        </w:rPr>
        <w:tab/>
      </w:r>
      <w:r w:rsidRPr="00931E38">
        <w:rPr>
          <w:u w:val="single"/>
          <w:lang w:eastAsia="en-GB"/>
        </w:rPr>
        <w:tab/>
      </w:r>
      <w:r w:rsidRPr="00931E38">
        <w:rPr>
          <w:u w:val="single"/>
          <w:lang w:eastAsia="en-GB"/>
        </w:rPr>
        <w:tab/>
      </w:r>
      <w:r w:rsidRPr="00931E38">
        <w:rPr>
          <w:u w:val="single"/>
          <w:lang w:eastAsia="en-GB"/>
        </w:rPr>
        <w:tab/>
      </w:r>
    </w:p>
    <w:sectPr w:rsidR="00D97DEA" w:rsidRPr="00931E38" w:rsidSect="00D97D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BB6DB" w14:textId="77777777" w:rsidR="0096204D" w:rsidRPr="00A312BC" w:rsidRDefault="0096204D" w:rsidP="00A312BC"/>
  </w:endnote>
  <w:endnote w:type="continuationSeparator" w:id="0">
    <w:p w14:paraId="4FBE98E3" w14:textId="77777777" w:rsidR="0096204D" w:rsidRPr="00A312BC" w:rsidRDefault="0096204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E0C6E" w14:textId="1A43921A" w:rsidR="00D97DEA" w:rsidRPr="00D97DEA" w:rsidRDefault="00D97DEA">
    <w:pPr>
      <w:pStyle w:val="a8"/>
    </w:pPr>
    <w:r w:rsidRPr="00D97DEA">
      <w:rPr>
        <w:b/>
        <w:sz w:val="18"/>
      </w:rPr>
      <w:fldChar w:fldCharType="begin"/>
    </w:r>
    <w:r w:rsidRPr="00D97DEA">
      <w:rPr>
        <w:b/>
        <w:sz w:val="18"/>
      </w:rPr>
      <w:instrText xml:space="preserve"> PAGE  \* MERGEFORMAT </w:instrText>
    </w:r>
    <w:r w:rsidRPr="00D97DEA">
      <w:rPr>
        <w:b/>
        <w:sz w:val="18"/>
      </w:rPr>
      <w:fldChar w:fldCharType="separate"/>
    </w:r>
    <w:r w:rsidRPr="00D97DEA">
      <w:rPr>
        <w:b/>
        <w:noProof/>
        <w:sz w:val="18"/>
      </w:rPr>
      <w:t>2</w:t>
    </w:r>
    <w:r w:rsidRPr="00D97DEA">
      <w:rPr>
        <w:b/>
        <w:sz w:val="18"/>
      </w:rPr>
      <w:fldChar w:fldCharType="end"/>
    </w:r>
    <w:r>
      <w:rPr>
        <w:b/>
        <w:sz w:val="18"/>
      </w:rPr>
      <w:tab/>
    </w:r>
    <w:r>
      <w:t>GE.22-09270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7D318" w14:textId="3EC0E37F" w:rsidR="00D97DEA" w:rsidRPr="00D97DEA" w:rsidRDefault="00D97DEA" w:rsidP="00D97DEA">
    <w:pPr>
      <w:pStyle w:val="a8"/>
      <w:tabs>
        <w:tab w:val="clear" w:pos="9639"/>
        <w:tab w:val="right" w:pos="9638"/>
      </w:tabs>
      <w:rPr>
        <w:b/>
        <w:sz w:val="18"/>
      </w:rPr>
    </w:pPr>
    <w:r>
      <w:t>GE.22-09270</w:t>
    </w:r>
    <w:r>
      <w:tab/>
    </w:r>
    <w:r w:rsidRPr="00D97DEA">
      <w:rPr>
        <w:b/>
        <w:sz w:val="18"/>
      </w:rPr>
      <w:fldChar w:fldCharType="begin"/>
    </w:r>
    <w:r w:rsidRPr="00D97DEA">
      <w:rPr>
        <w:b/>
        <w:sz w:val="18"/>
      </w:rPr>
      <w:instrText xml:space="preserve"> PAGE  \* MERGEFORMAT </w:instrText>
    </w:r>
    <w:r w:rsidRPr="00D97DEA">
      <w:rPr>
        <w:b/>
        <w:sz w:val="18"/>
      </w:rPr>
      <w:fldChar w:fldCharType="separate"/>
    </w:r>
    <w:r w:rsidRPr="00D97DEA">
      <w:rPr>
        <w:b/>
        <w:noProof/>
        <w:sz w:val="18"/>
      </w:rPr>
      <w:t>3</w:t>
    </w:r>
    <w:r w:rsidRPr="00D97DE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260F9" w14:textId="163290E6" w:rsidR="00042B72" w:rsidRPr="00D97DEA" w:rsidRDefault="00D97DEA" w:rsidP="00D97DEA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FA5CEF0" wp14:editId="0715E35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</w:t>
    </w:r>
    <w:proofErr w:type="gramStart"/>
    <w:r>
      <w:t>09270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EEDB76E" wp14:editId="51118A3E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040722  101122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56D67" w14:textId="77777777" w:rsidR="0096204D" w:rsidRPr="001075E9" w:rsidRDefault="0096204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4B8A414" w14:textId="77777777" w:rsidR="0096204D" w:rsidRDefault="0096204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206BB14" w14:textId="6F89F56B" w:rsidR="00D97DEA" w:rsidRPr="00931E38" w:rsidRDefault="00D97DEA" w:rsidP="00D97DEA">
      <w:pPr>
        <w:pStyle w:val="ad"/>
      </w:pPr>
      <w:r>
        <w:tab/>
      </w:r>
      <w:r w:rsidRPr="00721D7A">
        <w:rPr>
          <w:sz w:val="20"/>
        </w:rPr>
        <w:t>*</w:t>
      </w:r>
      <w:r>
        <w:tab/>
        <w:t xml:space="preserve">Приняты Комитетом на его семьдесят третьей сессии (19 апреля </w:t>
      </w:r>
      <w:r w:rsidR="00E437BD" w:rsidRPr="00E437BD">
        <w:t>—</w:t>
      </w:r>
      <w:r>
        <w:t xml:space="preserve"> 13 мая 2022 года).</w:t>
      </w:r>
    </w:p>
  </w:footnote>
  <w:footnote w:id="2">
    <w:p w14:paraId="6743CF12" w14:textId="2B3133F3" w:rsidR="00D97DEA" w:rsidRPr="00931E38" w:rsidRDefault="00D97DEA" w:rsidP="00D97DEA">
      <w:pPr>
        <w:pStyle w:val="ad"/>
        <w:rPr>
          <w:szCs w:val="18"/>
        </w:rPr>
      </w:pPr>
      <w:r w:rsidRPr="00E15A38">
        <w:rPr>
          <w:szCs w:val="18"/>
        </w:rPr>
        <w:tab/>
      </w:r>
      <w:r w:rsidRPr="00E15A38">
        <w:rPr>
          <w:rStyle w:val="aa"/>
          <w:szCs w:val="18"/>
        </w:rPr>
        <w:footnoteRef/>
      </w:r>
      <w:r>
        <w:tab/>
      </w:r>
      <w:hyperlink r:id="rId1" w:history="1">
        <w:r w:rsidRPr="00E437BD">
          <w:rPr>
            <w:rStyle w:val="af1"/>
          </w:rPr>
          <w:t>CAT/C/IRQ/2</w:t>
        </w:r>
      </w:hyperlink>
      <w:r>
        <w:t>.</w:t>
      </w:r>
    </w:p>
  </w:footnote>
  <w:footnote w:id="3">
    <w:p w14:paraId="2F6BD974" w14:textId="2EF1EB30" w:rsidR="00D97DEA" w:rsidRPr="00B7153E" w:rsidRDefault="00D97DEA" w:rsidP="00D97DEA">
      <w:pPr>
        <w:pStyle w:val="ad"/>
        <w:rPr>
          <w:szCs w:val="18"/>
        </w:rPr>
      </w:pPr>
      <w:r w:rsidRPr="00E15A38">
        <w:rPr>
          <w:szCs w:val="18"/>
        </w:rPr>
        <w:tab/>
      </w:r>
      <w:r w:rsidRPr="00E15A38">
        <w:rPr>
          <w:rStyle w:val="aa"/>
          <w:szCs w:val="18"/>
        </w:rPr>
        <w:footnoteRef/>
      </w:r>
      <w:r w:rsidRPr="00B7153E">
        <w:tab/>
      </w:r>
      <w:r>
        <w:t>См</w:t>
      </w:r>
      <w:r w:rsidRPr="00B7153E">
        <w:t>.</w:t>
      </w:r>
      <w:hyperlink r:id="rId2" w:history="1">
        <w:r w:rsidRPr="00B7153E">
          <w:rPr>
            <w:rStyle w:val="af1"/>
          </w:rPr>
          <w:t xml:space="preserve"> </w:t>
        </w:r>
        <w:r w:rsidRPr="001261F0">
          <w:rPr>
            <w:rStyle w:val="af1"/>
            <w:lang w:val="en-US"/>
          </w:rPr>
          <w:t>CAT</w:t>
        </w:r>
        <w:r w:rsidRPr="00B7153E">
          <w:rPr>
            <w:rStyle w:val="af1"/>
          </w:rPr>
          <w:t>/</w:t>
        </w:r>
        <w:r w:rsidRPr="001261F0">
          <w:rPr>
            <w:rStyle w:val="af1"/>
            <w:lang w:val="en-US"/>
          </w:rPr>
          <w:t>C</w:t>
        </w:r>
        <w:r w:rsidRPr="00B7153E">
          <w:rPr>
            <w:rStyle w:val="af1"/>
          </w:rPr>
          <w:t>/</w:t>
        </w:r>
        <w:r w:rsidRPr="001261F0">
          <w:rPr>
            <w:rStyle w:val="af1"/>
            <w:lang w:val="en-US"/>
          </w:rPr>
          <w:t>SR</w:t>
        </w:r>
        <w:r w:rsidRPr="00B7153E">
          <w:rPr>
            <w:rStyle w:val="af1"/>
          </w:rPr>
          <w:t>.1887</w:t>
        </w:r>
      </w:hyperlink>
      <w:r w:rsidRPr="00B7153E">
        <w:t xml:space="preserve"> </w:t>
      </w:r>
      <w:r>
        <w:t>и</w:t>
      </w:r>
      <w:r w:rsidRPr="00B7153E">
        <w:t xml:space="preserve"> </w:t>
      </w:r>
      <w:hyperlink r:id="rId3" w:history="1">
        <w:r w:rsidRPr="001261F0">
          <w:rPr>
            <w:rStyle w:val="af1"/>
            <w:lang w:val="en-US"/>
          </w:rPr>
          <w:t>CAT</w:t>
        </w:r>
        <w:r w:rsidRPr="00B7153E">
          <w:rPr>
            <w:rStyle w:val="af1"/>
          </w:rPr>
          <w:t>/</w:t>
        </w:r>
        <w:r w:rsidRPr="001261F0">
          <w:rPr>
            <w:rStyle w:val="af1"/>
            <w:lang w:val="en-US"/>
          </w:rPr>
          <w:t>C</w:t>
        </w:r>
        <w:r w:rsidRPr="00B7153E">
          <w:rPr>
            <w:rStyle w:val="af1"/>
          </w:rPr>
          <w:t>/</w:t>
        </w:r>
        <w:r w:rsidRPr="001261F0">
          <w:rPr>
            <w:rStyle w:val="af1"/>
            <w:lang w:val="en-US"/>
          </w:rPr>
          <w:t>SR</w:t>
        </w:r>
        <w:r w:rsidRPr="00B7153E">
          <w:rPr>
            <w:rStyle w:val="af1"/>
          </w:rPr>
          <w:t>.1890</w:t>
        </w:r>
      </w:hyperlink>
      <w:r w:rsidRPr="00B7153E">
        <w:t>.</w:t>
      </w:r>
    </w:p>
  </w:footnote>
  <w:footnote w:id="4">
    <w:p w14:paraId="578210E7" w14:textId="6BF1BB24" w:rsidR="00D97DEA" w:rsidRPr="00D74316" w:rsidRDefault="00D97DEA" w:rsidP="00D97DEA">
      <w:pPr>
        <w:pStyle w:val="ad"/>
        <w:rPr>
          <w:szCs w:val="18"/>
          <w:lang w:val="fr-CH"/>
        </w:rPr>
      </w:pPr>
      <w:r w:rsidRPr="00B7153E">
        <w:rPr>
          <w:szCs w:val="18"/>
        </w:rPr>
        <w:tab/>
      </w:r>
      <w:r w:rsidRPr="00E75A98">
        <w:rPr>
          <w:rStyle w:val="aa"/>
          <w:szCs w:val="18"/>
        </w:rPr>
        <w:footnoteRef/>
      </w:r>
      <w:r w:rsidRPr="00D74316">
        <w:rPr>
          <w:lang w:val="fr-CH"/>
        </w:rPr>
        <w:tab/>
      </w:r>
      <w:hyperlink r:id="rId4" w:history="1">
        <w:r w:rsidRPr="001261F0">
          <w:rPr>
            <w:rStyle w:val="af1"/>
            <w:lang w:val="fr-CH"/>
          </w:rPr>
          <w:t>CAT</w:t>
        </w:r>
        <w:r w:rsidRPr="00D74316">
          <w:rPr>
            <w:rStyle w:val="af1"/>
            <w:lang w:val="fr-CH"/>
          </w:rPr>
          <w:t>/</w:t>
        </w:r>
        <w:r w:rsidRPr="001261F0">
          <w:rPr>
            <w:rStyle w:val="af1"/>
            <w:lang w:val="fr-CH"/>
          </w:rPr>
          <w:t>C</w:t>
        </w:r>
        <w:r w:rsidRPr="00D74316">
          <w:rPr>
            <w:rStyle w:val="af1"/>
            <w:lang w:val="fr-CH"/>
          </w:rPr>
          <w:t>/</w:t>
        </w:r>
        <w:r w:rsidRPr="001261F0">
          <w:rPr>
            <w:rStyle w:val="af1"/>
            <w:lang w:val="fr-CH"/>
          </w:rPr>
          <w:t>IRQ</w:t>
        </w:r>
        <w:r w:rsidRPr="00D74316">
          <w:rPr>
            <w:rStyle w:val="af1"/>
            <w:lang w:val="fr-CH"/>
          </w:rPr>
          <w:t>/</w:t>
        </w:r>
        <w:r w:rsidRPr="001261F0">
          <w:rPr>
            <w:rStyle w:val="af1"/>
            <w:lang w:val="fr-CH"/>
          </w:rPr>
          <w:t>RQ</w:t>
        </w:r>
        <w:r w:rsidRPr="00D74316">
          <w:rPr>
            <w:rStyle w:val="af1"/>
            <w:lang w:val="fr-CH"/>
          </w:rPr>
          <w:t>/2</w:t>
        </w:r>
      </w:hyperlink>
      <w:r w:rsidRPr="00D74316">
        <w:rPr>
          <w:lang w:val="fr-CH"/>
        </w:rPr>
        <w:t>.</w:t>
      </w:r>
    </w:p>
  </w:footnote>
  <w:footnote w:id="5">
    <w:p w14:paraId="33CF5EFC" w14:textId="0990F78B" w:rsidR="00D97DEA" w:rsidRPr="00D74316" w:rsidRDefault="00D97DEA" w:rsidP="00D97DEA">
      <w:pPr>
        <w:pStyle w:val="ad"/>
        <w:rPr>
          <w:lang w:val="fr-CH"/>
        </w:rPr>
      </w:pPr>
      <w:r w:rsidRPr="00D74316">
        <w:rPr>
          <w:lang w:val="fr-CH"/>
        </w:rPr>
        <w:tab/>
      </w:r>
      <w:r w:rsidRPr="00E75A98">
        <w:rPr>
          <w:rStyle w:val="aa"/>
        </w:rPr>
        <w:footnoteRef/>
      </w:r>
      <w:r w:rsidRPr="00D74316">
        <w:rPr>
          <w:lang w:val="fr-CH"/>
        </w:rPr>
        <w:tab/>
      </w:r>
      <w:hyperlink r:id="rId5" w:history="1">
        <w:r w:rsidRPr="001261F0">
          <w:rPr>
            <w:rStyle w:val="af1"/>
            <w:lang w:val="fr-CH"/>
          </w:rPr>
          <w:t>CAT</w:t>
        </w:r>
        <w:r w:rsidRPr="00D74316">
          <w:rPr>
            <w:rStyle w:val="af1"/>
            <w:lang w:val="fr-CH"/>
          </w:rPr>
          <w:t>/</w:t>
        </w:r>
        <w:r w:rsidRPr="001261F0">
          <w:rPr>
            <w:rStyle w:val="af1"/>
            <w:lang w:val="fr-CH"/>
          </w:rPr>
          <w:t>C</w:t>
        </w:r>
        <w:r w:rsidRPr="00D74316">
          <w:rPr>
            <w:rStyle w:val="af1"/>
            <w:lang w:val="fr-CH"/>
          </w:rPr>
          <w:t>/</w:t>
        </w:r>
        <w:r w:rsidRPr="001261F0">
          <w:rPr>
            <w:rStyle w:val="af1"/>
            <w:lang w:val="fr-CH"/>
          </w:rPr>
          <w:t>IRQ</w:t>
        </w:r>
        <w:r w:rsidRPr="00D74316">
          <w:rPr>
            <w:rStyle w:val="af1"/>
            <w:lang w:val="fr-CH"/>
          </w:rPr>
          <w:t>/</w:t>
        </w:r>
        <w:r w:rsidRPr="001261F0">
          <w:rPr>
            <w:rStyle w:val="af1"/>
            <w:lang w:val="fr-CH"/>
          </w:rPr>
          <w:t>Q</w:t>
        </w:r>
        <w:r w:rsidRPr="00D74316">
          <w:rPr>
            <w:rStyle w:val="af1"/>
            <w:lang w:val="fr-CH"/>
          </w:rPr>
          <w:t>/2</w:t>
        </w:r>
      </w:hyperlink>
      <w:r w:rsidRPr="00D74316">
        <w:rPr>
          <w:lang w:val="fr-CH"/>
        </w:rPr>
        <w:t>.</w:t>
      </w:r>
    </w:p>
  </w:footnote>
  <w:footnote w:id="6">
    <w:p w14:paraId="357BC70F" w14:textId="598D1680" w:rsidR="00D97DEA" w:rsidRPr="00D97DEA" w:rsidRDefault="00D97DEA" w:rsidP="00D97DEA">
      <w:pPr>
        <w:pStyle w:val="ad"/>
        <w:rPr>
          <w:lang w:val="en-US"/>
        </w:rPr>
      </w:pPr>
      <w:r w:rsidRPr="00D74316">
        <w:rPr>
          <w:lang w:val="fr-CH"/>
        </w:rPr>
        <w:tab/>
      </w:r>
      <w:r>
        <w:rPr>
          <w:rStyle w:val="aa"/>
        </w:rPr>
        <w:footnoteRef/>
      </w:r>
      <w:r w:rsidRPr="00931E38">
        <w:rPr>
          <w:lang w:val="en-US"/>
        </w:rPr>
        <w:tab/>
      </w:r>
      <w:hyperlink r:id="rId6" w:history="1">
        <w:r w:rsidRPr="00E437BD">
          <w:rPr>
            <w:rStyle w:val="af1"/>
            <w:lang w:val="en-US"/>
          </w:rPr>
          <w:t>CAT/C/IRQ/CO/1</w:t>
        </w:r>
      </w:hyperlink>
      <w:r w:rsidRPr="00931E38">
        <w:rPr>
          <w:lang w:val="en-US"/>
        </w:rPr>
        <w:t xml:space="preserve"> </w:t>
      </w:r>
      <w:r>
        <w:t>и</w:t>
      </w:r>
      <w:r w:rsidRPr="00931E38">
        <w:rPr>
          <w:lang w:val="en-US"/>
        </w:rPr>
        <w:t xml:space="preserve"> </w:t>
      </w:r>
      <w:hyperlink r:id="rId7" w:history="1">
        <w:r w:rsidRPr="00E437BD">
          <w:rPr>
            <w:rStyle w:val="af1"/>
            <w:lang w:val="en-US"/>
          </w:rPr>
          <w:t>CAT/C/IRQ/CO/1/Corr.1</w:t>
        </w:r>
      </w:hyperlink>
      <w:r w:rsidRPr="00931E38">
        <w:rPr>
          <w:lang w:val="en-US"/>
        </w:rPr>
        <w:t xml:space="preserve">, </w:t>
      </w:r>
      <w:proofErr w:type="spellStart"/>
      <w:r>
        <w:t>п</w:t>
      </w:r>
      <w:r w:rsidR="00E437BD">
        <w:t>п</w:t>
      </w:r>
      <w:proofErr w:type="spellEnd"/>
      <w:r w:rsidR="00E437BD" w:rsidRPr="00E437BD">
        <w:rPr>
          <w:lang w:val="en-US"/>
        </w:rPr>
        <w:t>.</w:t>
      </w:r>
      <w:r w:rsidRPr="00931E38">
        <w:rPr>
          <w:lang w:val="en-US"/>
        </w:rPr>
        <w:t xml:space="preserve"> 12 a), 13</w:t>
      </w:r>
      <w:r w:rsidR="00E437BD" w:rsidRPr="00E437BD">
        <w:rPr>
          <w:lang w:val="en-US"/>
        </w:rPr>
        <w:t>–</w:t>
      </w:r>
      <w:r w:rsidRPr="00931E38">
        <w:rPr>
          <w:lang w:val="en-US"/>
        </w:rPr>
        <w:t xml:space="preserve">14, 16 a) </w:t>
      </w:r>
      <w:r>
        <w:t>и</w:t>
      </w:r>
      <w:r w:rsidRPr="00931E38">
        <w:rPr>
          <w:lang w:val="en-US"/>
        </w:rPr>
        <w:t xml:space="preserve"> 32.</w:t>
      </w:r>
    </w:p>
  </w:footnote>
  <w:footnote w:id="7">
    <w:p w14:paraId="6890584C" w14:textId="2CF628E3" w:rsidR="00D97DEA" w:rsidRPr="00D97DEA" w:rsidRDefault="00D97DEA" w:rsidP="00D97DEA">
      <w:pPr>
        <w:pStyle w:val="ad"/>
        <w:rPr>
          <w:szCs w:val="18"/>
          <w:lang w:val="en-US"/>
        </w:rPr>
      </w:pPr>
      <w:r w:rsidRPr="00931E38">
        <w:rPr>
          <w:szCs w:val="18"/>
          <w:lang w:val="en-US"/>
        </w:rPr>
        <w:tab/>
      </w:r>
      <w:r w:rsidRPr="00E15A38">
        <w:rPr>
          <w:rStyle w:val="aa"/>
          <w:szCs w:val="18"/>
        </w:rPr>
        <w:footnoteRef/>
      </w:r>
      <w:r w:rsidRPr="00931E38">
        <w:rPr>
          <w:lang w:val="en-US"/>
        </w:rPr>
        <w:tab/>
      </w:r>
      <w:r w:rsidRPr="00931E38">
        <w:rPr>
          <w:lang w:val="en-US"/>
        </w:rPr>
        <w:tab/>
      </w:r>
      <w:r w:rsidR="00D74316">
        <w:fldChar w:fldCharType="begin"/>
      </w:r>
      <w:r w:rsidR="00D74316" w:rsidRPr="00D74316">
        <w:rPr>
          <w:lang w:val="en-US"/>
        </w:rPr>
        <w:instrText xml:space="preserve"> HYPERLINK "http://undocs.org/en/CAT/C/IRQ/FCO/1" </w:instrText>
      </w:r>
      <w:r w:rsidR="00D74316">
        <w:fldChar w:fldCharType="separate"/>
      </w:r>
      <w:r w:rsidRPr="00E437BD">
        <w:rPr>
          <w:rStyle w:val="af1"/>
          <w:lang w:val="en-US"/>
        </w:rPr>
        <w:t>CAT/C/IRQ/FCO/1</w:t>
      </w:r>
      <w:r w:rsidR="00D74316">
        <w:rPr>
          <w:rStyle w:val="af1"/>
          <w:lang w:val="en-US"/>
        </w:rPr>
        <w:fldChar w:fldCharType="end"/>
      </w:r>
      <w:r w:rsidRPr="00931E38">
        <w:rPr>
          <w:lang w:val="en-US"/>
        </w:rPr>
        <w:t>.</w:t>
      </w:r>
    </w:p>
  </w:footnote>
  <w:footnote w:id="8">
    <w:p w14:paraId="04985140" w14:textId="3A8F1B5D" w:rsidR="00D97DEA" w:rsidRPr="00D97DEA" w:rsidRDefault="00D97DEA" w:rsidP="00D97DEA">
      <w:pPr>
        <w:pStyle w:val="ad"/>
        <w:rPr>
          <w:szCs w:val="18"/>
          <w:lang w:val="en-US"/>
        </w:rPr>
      </w:pPr>
      <w:r w:rsidRPr="00931E38">
        <w:rPr>
          <w:szCs w:val="18"/>
          <w:lang w:val="en-US"/>
        </w:rPr>
        <w:tab/>
      </w:r>
      <w:r w:rsidRPr="00E15A38">
        <w:rPr>
          <w:rStyle w:val="aa"/>
          <w:szCs w:val="18"/>
        </w:rPr>
        <w:footnoteRef/>
      </w:r>
      <w:r w:rsidRPr="00931E38">
        <w:rPr>
          <w:lang w:val="en-US"/>
        </w:rPr>
        <w:tab/>
      </w:r>
      <w:r w:rsidRPr="00931E38">
        <w:rPr>
          <w:lang w:val="en-US"/>
        </w:rPr>
        <w:tab/>
      </w:r>
      <w:hyperlink r:id="rId8" w:history="1">
        <w:r w:rsidRPr="00E437BD">
          <w:rPr>
            <w:rStyle w:val="af1"/>
            <w:lang w:val="en-US"/>
          </w:rPr>
          <w:t>CAT/C/IRQ/CO/1</w:t>
        </w:r>
      </w:hyperlink>
      <w:r w:rsidRPr="00931E38">
        <w:rPr>
          <w:lang w:val="en-US"/>
        </w:rPr>
        <w:t xml:space="preserve">, </w:t>
      </w:r>
      <w:proofErr w:type="spellStart"/>
      <w:r>
        <w:t>п</w:t>
      </w:r>
      <w:r w:rsidR="00E437BD">
        <w:t>п</w:t>
      </w:r>
      <w:proofErr w:type="spellEnd"/>
      <w:r w:rsidR="00E437BD" w:rsidRPr="00E437BD">
        <w:rPr>
          <w:lang w:val="en-US"/>
        </w:rPr>
        <w:t>.</w:t>
      </w:r>
      <w:r w:rsidRPr="00931E38">
        <w:rPr>
          <w:lang w:val="en-US"/>
        </w:rPr>
        <w:t xml:space="preserve"> 10 </w:t>
      </w:r>
      <w:r>
        <w:t>и</w:t>
      </w:r>
      <w:r w:rsidRPr="00931E38">
        <w:rPr>
          <w:lang w:val="en-US"/>
        </w:rPr>
        <w:t xml:space="preserve"> 27.</w:t>
      </w:r>
    </w:p>
  </w:footnote>
  <w:footnote w:id="9">
    <w:p w14:paraId="6271BE78" w14:textId="4B8B1FD3" w:rsidR="00D97DEA" w:rsidRPr="00D97DEA" w:rsidRDefault="00D97DEA" w:rsidP="00D97DEA">
      <w:pPr>
        <w:pStyle w:val="ad"/>
        <w:rPr>
          <w:szCs w:val="18"/>
          <w:lang w:val="en-US"/>
        </w:rPr>
      </w:pPr>
      <w:r w:rsidRPr="00931E38">
        <w:rPr>
          <w:szCs w:val="18"/>
          <w:lang w:val="en-US"/>
        </w:rPr>
        <w:tab/>
      </w:r>
      <w:r w:rsidRPr="00E15A38">
        <w:rPr>
          <w:rStyle w:val="aa"/>
          <w:szCs w:val="18"/>
        </w:rPr>
        <w:footnoteRef/>
      </w:r>
      <w:r w:rsidRPr="00931E38">
        <w:rPr>
          <w:lang w:val="en-US"/>
        </w:rPr>
        <w:tab/>
      </w:r>
      <w:r w:rsidRPr="00931E38">
        <w:rPr>
          <w:lang w:val="en-US"/>
        </w:rPr>
        <w:tab/>
      </w:r>
      <w:r>
        <w:t>См</w:t>
      </w:r>
      <w:r w:rsidRPr="00931E38">
        <w:rPr>
          <w:lang w:val="en-US"/>
        </w:rPr>
        <w:t xml:space="preserve">. </w:t>
      </w:r>
      <w:hyperlink r:id="rId9" w:history="1">
        <w:r w:rsidRPr="0027265B">
          <w:rPr>
            <w:rStyle w:val="af1"/>
            <w:lang w:val="en-US"/>
          </w:rPr>
          <w:t>CCPR/C/IRQ/CO/6</w:t>
        </w:r>
      </w:hyperlink>
      <w:r w:rsidRPr="00931E38">
        <w:rPr>
          <w:lang w:val="en-US"/>
        </w:rPr>
        <w:t>.</w:t>
      </w:r>
    </w:p>
  </w:footnote>
  <w:footnote w:id="10">
    <w:p w14:paraId="40A4E09A" w14:textId="7AD92139" w:rsidR="00D97DEA" w:rsidRPr="00D97DEA" w:rsidRDefault="00D97DEA" w:rsidP="00D97DEA">
      <w:pPr>
        <w:pStyle w:val="ad"/>
        <w:rPr>
          <w:szCs w:val="18"/>
          <w:lang w:val="en-US"/>
        </w:rPr>
      </w:pPr>
      <w:r w:rsidRPr="00931E38">
        <w:rPr>
          <w:szCs w:val="18"/>
          <w:lang w:val="en-US"/>
        </w:rPr>
        <w:tab/>
      </w:r>
      <w:r w:rsidRPr="00E15A38">
        <w:rPr>
          <w:rStyle w:val="aa"/>
          <w:szCs w:val="18"/>
        </w:rPr>
        <w:footnoteRef/>
      </w:r>
      <w:r w:rsidRPr="00931E38">
        <w:rPr>
          <w:lang w:val="en-US"/>
        </w:rPr>
        <w:tab/>
      </w:r>
      <w:r w:rsidRPr="00931E38">
        <w:rPr>
          <w:lang w:val="en-US"/>
        </w:rPr>
        <w:tab/>
      </w:r>
      <w:hyperlink r:id="rId10" w:history="1">
        <w:r w:rsidRPr="0027265B">
          <w:rPr>
            <w:rStyle w:val="af1"/>
            <w:lang w:val="en-US"/>
          </w:rPr>
          <w:t>A/HRC/43/14</w:t>
        </w:r>
      </w:hyperlink>
      <w:r w:rsidRPr="00931E38">
        <w:rPr>
          <w:lang w:val="en-US"/>
        </w:rPr>
        <w:t xml:space="preserve">, </w:t>
      </w:r>
      <w:r w:rsidR="008A643A">
        <w:t>п</w:t>
      </w:r>
      <w:r w:rsidR="008A643A" w:rsidRPr="00EE661D">
        <w:rPr>
          <w:lang w:val="en-US"/>
        </w:rPr>
        <w:t>.</w:t>
      </w:r>
      <w:r w:rsidRPr="00931E38">
        <w:rPr>
          <w:lang w:val="en-US"/>
        </w:rPr>
        <w:t xml:space="preserve"> 147.152; </w:t>
      </w:r>
      <w:r>
        <w:t>см</w:t>
      </w:r>
      <w:r w:rsidRPr="00931E38">
        <w:rPr>
          <w:lang w:val="en-US"/>
        </w:rPr>
        <w:t xml:space="preserve">. </w:t>
      </w:r>
      <w:r>
        <w:t>также</w:t>
      </w:r>
      <w:r w:rsidRPr="00931E38">
        <w:rPr>
          <w:lang w:val="en-US"/>
        </w:rPr>
        <w:t xml:space="preserve"> </w:t>
      </w:r>
      <w:hyperlink r:id="rId11" w:history="1">
        <w:r w:rsidRPr="0027265B">
          <w:rPr>
            <w:rStyle w:val="af1"/>
            <w:lang w:val="en-US"/>
          </w:rPr>
          <w:t>A/HRC/43/14/Add.1</w:t>
        </w:r>
      </w:hyperlink>
      <w:r w:rsidRPr="00931E38">
        <w:rPr>
          <w:lang w:val="en-US"/>
        </w:rPr>
        <w:t>.</w:t>
      </w:r>
    </w:p>
  </w:footnote>
  <w:footnote w:id="11">
    <w:p w14:paraId="10495A13" w14:textId="227D6758" w:rsidR="00D97DEA" w:rsidRPr="00D97DEA" w:rsidRDefault="00D97DEA" w:rsidP="00D97DEA">
      <w:pPr>
        <w:pStyle w:val="ad"/>
        <w:rPr>
          <w:szCs w:val="18"/>
          <w:lang w:val="en-US"/>
        </w:rPr>
      </w:pPr>
      <w:r w:rsidRPr="00931E38">
        <w:rPr>
          <w:szCs w:val="18"/>
          <w:lang w:val="en-US"/>
        </w:rPr>
        <w:tab/>
      </w:r>
      <w:r w:rsidRPr="00E15A38">
        <w:rPr>
          <w:rStyle w:val="aa"/>
          <w:szCs w:val="18"/>
        </w:rPr>
        <w:footnoteRef/>
      </w:r>
      <w:r w:rsidRPr="00931E38">
        <w:rPr>
          <w:lang w:val="en-US"/>
        </w:rPr>
        <w:tab/>
      </w:r>
      <w:hyperlink r:id="rId12" w:history="1">
        <w:r w:rsidRPr="0027265B">
          <w:rPr>
            <w:rStyle w:val="af1"/>
            <w:lang w:val="en-US"/>
          </w:rPr>
          <w:tab/>
          <w:t>CED/C/IRQ/OAI/1</w:t>
        </w:r>
      </w:hyperlink>
      <w:r w:rsidRPr="00931E38">
        <w:rPr>
          <w:lang w:val="en-US"/>
        </w:rPr>
        <w:t xml:space="preserve">, </w:t>
      </w:r>
      <w:proofErr w:type="spellStart"/>
      <w:r>
        <w:t>п</w:t>
      </w:r>
      <w:r w:rsidR="008A643A">
        <w:t>п</w:t>
      </w:r>
      <w:proofErr w:type="spellEnd"/>
      <w:r w:rsidR="008A643A" w:rsidRPr="00EE661D">
        <w:rPr>
          <w:lang w:val="en-US"/>
        </w:rPr>
        <w:t>.</w:t>
      </w:r>
      <w:r w:rsidRPr="00931E38">
        <w:rPr>
          <w:lang w:val="en-US"/>
        </w:rPr>
        <w:t xml:space="preserve"> 18</w:t>
      </w:r>
      <w:r w:rsidR="001261F0">
        <w:rPr>
          <w:lang w:val="en-US"/>
        </w:rPr>
        <w:t>–</w:t>
      </w:r>
      <w:r w:rsidRPr="00931E38">
        <w:rPr>
          <w:lang w:val="en-US"/>
        </w:rPr>
        <w:t xml:space="preserve">19; </w:t>
      </w:r>
      <w:r>
        <w:t>см</w:t>
      </w:r>
      <w:r w:rsidRPr="00931E38">
        <w:rPr>
          <w:lang w:val="en-US"/>
        </w:rPr>
        <w:t xml:space="preserve">. </w:t>
      </w:r>
      <w:r>
        <w:t>также</w:t>
      </w:r>
      <w:r w:rsidRPr="00931E38">
        <w:rPr>
          <w:lang w:val="en-US"/>
        </w:rPr>
        <w:t xml:space="preserve"> </w:t>
      </w:r>
      <w:hyperlink r:id="rId13" w:history="1">
        <w:r w:rsidRPr="0027265B">
          <w:rPr>
            <w:rStyle w:val="af1"/>
            <w:lang w:val="en-US"/>
          </w:rPr>
          <w:t>CCPR/C/IRQ/CO/6</w:t>
        </w:r>
      </w:hyperlink>
      <w:r w:rsidRPr="00931E38">
        <w:rPr>
          <w:lang w:val="en-US"/>
        </w:rPr>
        <w:t>.</w:t>
      </w:r>
    </w:p>
  </w:footnote>
  <w:footnote w:id="12">
    <w:p w14:paraId="6911547B" w14:textId="55A1BED7" w:rsidR="00D97DEA" w:rsidRPr="00D97DEA" w:rsidRDefault="00D97DEA" w:rsidP="00D97DEA">
      <w:pPr>
        <w:pStyle w:val="ad"/>
        <w:rPr>
          <w:szCs w:val="18"/>
          <w:lang w:val="en-US"/>
        </w:rPr>
      </w:pPr>
      <w:r w:rsidRPr="00931E38">
        <w:rPr>
          <w:szCs w:val="18"/>
          <w:lang w:val="en-US"/>
        </w:rPr>
        <w:tab/>
      </w:r>
      <w:r w:rsidRPr="00E15A38">
        <w:rPr>
          <w:rStyle w:val="aa"/>
          <w:szCs w:val="18"/>
        </w:rPr>
        <w:footnoteRef/>
      </w:r>
      <w:r w:rsidRPr="00931E38">
        <w:rPr>
          <w:lang w:val="en-US"/>
        </w:rPr>
        <w:tab/>
      </w:r>
      <w:r w:rsidRPr="00931E38">
        <w:rPr>
          <w:lang w:val="en-US"/>
        </w:rPr>
        <w:tab/>
      </w:r>
      <w:hyperlink r:id="rId14" w:history="1">
        <w:r w:rsidRPr="0027265B">
          <w:rPr>
            <w:rStyle w:val="af1"/>
            <w:lang w:val="en-US"/>
          </w:rPr>
          <w:t>CED/C/IRQ/OAI/1</w:t>
        </w:r>
      </w:hyperlink>
      <w:r w:rsidRPr="00931E38">
        <w:rPr>
          <w:lang w:val="en-US"/>
        </w:rPr>
        <w:t xml:space="preserve">, </w:t>
      </w:r>
      <w:proofErr w:type="spellStart"/>
      <w:r>
        <w:t>п</w:t>
      </w:r>
      <w:r w:rsidR="008A643A">
        <w:t>п</w:t>
      </w:r>
      <w:proofErr w:type="spellEnd"/>
      <w:r w:rsidR="008A643A" w:rsidRPr="00EE661D">
        <w:rPr>
          <w:lang w:val="en-US"/>
        </w:rPr>
        <w:t>.</w:t>
      </w:r>
      <w:r w:rsidRPr="00931E38">
        <w:rPr>
          <w:lang w:val="en-US"/>
        </w:rPr>
        <w:t xml:space="preserve"> 20</w:t>
      </w:r>
      <w:r w:rsidR="001261F0">
        <w:rPr>
          <w:lang w:val="en-US"/>
        </w:rPr>
        <w:t>–</w:t>
      </w:r>
      <w:r w:rsidRPr="00931E38">
        <w:rPr>
          <w:lang w:val="en-US"/>
        </w:rPr>
        <w:t>21.</w:t>
      </w:r>
    </w:p>
  </w:footnote>
  <w:footnote w:id="13">
    <w:p w14:paraId="58E2DAC2" w14:textId="0470D1BE" w:rsidR="00D97DEA" w:rsidRPr="00D97DEA" w:rsidRDefault="00D97DEA" w:rsidP="00D97DEA">
      <w:pPr>
        <w:pStyle w:val="ad"/>
        <w:rPr>
          <w:lang w:val="en-US"/>
        </w:rPr>
      </w:pPr>
      <w:r w:rsidRPr="00931E38">
        <w:rPr>
          <w:lang w:val="en-US"/>
        </w:rPr>
        <w:tab/>
      </w:r>
      <w:r w:rsidRPr="00482299">
        <w:rPr>
          <w:rStyle w:val="aa"/>
        </w:rPr>
        <w:footnoteRef/>
      </w:r>
      <w:r w:rsidRPr="00931E38">
        <w:rPr>
          <w:lang w:val="en-US"/>
        </w:rPr>
        <w:tab/>
      </w:r>
      <w:hyperlink r:id="rId15" w:history="1">
        <w:r w:rsidRPr="0027265B">
          <w:rPr>
            <w:rStyle w:val="af1"/>
            <w:lang w:val="en-US"/>
          </w:rPr>
          <w:t>CAT/C/IRQ/CO/1</w:t>
        </w:r>
      </w:hyperlink>
      <w:r w:rsidRPr="00931E38">
        <w:rPr>
          <w:lang w:val="en-US"/>
        </w:rPr>
        <w:t xml:space="preserve">, </w:t>
      </w:r>
      <w:r w:rsidR="008A643A">
        <w:t>п</w:t>
      </w:r>
      <w:r w:rsidR="008A643A" w:rsidRPr="00EE661D">
        <w:rPr>
          <w:lang w:val="en-US"/>
        </w:rPr>
        <w:t>.</w:t>
      </w:r>
      <w:r w:rsidRPr="00931E38">
        <w:rPr>
          <w:lang w:val="en-US"/>
        </w:rPr>
        <w:t xml:space="preserve"> 14.</w:t>
      </w:r>
    </w:p>
  </w:footnote>
  <w:footnote w:id="14">
    <w:p w14:paraId="11EF29C8" w14:textId="106AD718" w:rsidR="00D97DEA" w:rsidRPr="00D97DEA" w:rsidRDefault="00D97DEA" w:rsidP="00D97DEA">
      <w:pPr>
        <w:pStyle w:val="ad"/>
        <w:rPr>
          <w:szCs w:val="18"/>
          <w:lang w:val="en-US"/>
        </w:rPr>
      </w:pPr>
      <w:r w:rsidRPr="00931E38">
        <w:rPr>
          <w:szCs w:val="18"/>
          <w:lang w:val="en-US"/>
        </w:rPr>
        <w:tab/>
      </w:r>
      <w:r w:rsidRPr="00E15A38">
        <w:rPr>
          <w:rStyle w:val="aa"/>
          <w:szCs w:val="18"/>
        </w:rPr>
        <w:footnoteRef/>
      </w:r>
      <w:r w:rsidRPr="00931E38">
        <w:rPr>
          <w:lang w:val="en-US"/>
        </w:rPr>
        <w:tab/>
      </w:r>
      <w:r>
        <w:t>См</w:t>
      </w:r>
      <w:r w:rsidRPr="00931E38">
        <w:rPr>
          <w:lang w:val="en-US"/>
        </w:rPr>
        <w:t xml:space="preserve">. </w:t>
      </w:r>
      <w:hyperlink r:id="rId16" w:history="1">
        <w:r w:rsidRPr="0027265B">
          <w:rPr>
            <w:rStyle w:val="af1"/>
            <w:lang w:val="en-US"/>
          </w:rPr>
          <w:t>CCPR/C/IRQ/CO/6</w:t>
        </w:r>
      </w:hyperlink>
      <w:r w:rsidRPr="00931E38">
        <w:rPr>
          <w:lang w:val="en-US"/>
        </w:rPr>
        <w:t xml:space="preserve">; </w:t>
      </w:r>
      <w:r>
        <w:t>и</w:t>
      </w:r>
      <w:r w:rsidRPr="00931E38">
        <w:rPr>
          <w:lang w:val="en-US"/>
        </w:rPr>
        <w:t xml:space="preserve"> </w:t>
      </w:r>
      <w:hyperlink r:id="rId17" w:history="1">
        <w:r w:rsidRPr="0027265B">
          <w:rPr>
            <w:rStyle w:val="af1"/>
            <w:lang w:val="en-US"/>
          </w:rPr>
          <w:t>CED/C/IRQ/OAI/1</w:t>
        </w:r>
      </w:hyperlink>
      <w:r w:rsidRPr="00931E38">
        <w:rPr>
          <w:lang w:val="en-US"/>
        </w:rPr>
        <w:t xml:space="preserve">, </w:t>
      </w:r>
      <w:proofErr w:type="spellStart"/>
      <w:r>
        <w:t>п</w:t>
      </w:r>
      <w:r w:rsidR="007E3E6A">
        <w:t>п</w:t>
      </w:r>
      <w:proofErr w:type="spellEnd"/>
      <w:r w:rsidR="007E3E6A" w:rsidRPr="00EE661D">
        <w:rPr>
          <w:lang w:val="en-US"/>
        </w:rPr>
        <w:t>.</w:t>
      </w:r>
      <w:r w:rsidRPr="00931E38">
        <w:rPr>
          <w:lang w:val="en-US"/>
        </w:rPr>
        <w:t xml:space="preserve"> 16–17.</w:t>
      </w:r>
    </w:p>
  </w:footnote>
  <w:footnote w:id="15">
    <w:p w14:paraId="1F22A750" w14:textId="79E83579" w:rsidR="00D97DEA" w:rsidRPr="00D97DEA" w:rsidRDefault="00D97DEA" w:rsidP="00D97DEA">
      <w:pPr>
        <w:pStyle w:val="ad"/>
        <w:rPr>
          <w:lang w:val="en-US"/>
        </w:rPr>
      </w:pPr>
      <w:r w:rsidRPr="00931E38">
        <w:rPr>
          <w:lang w:val="en-US"/>
        </w:rPr>
        <w:tab/>
      </w:r>
      <w:r w:rsidRPr="009210F7">
        <w:rPr>
          <w:rStyle w:val="aa"/>
        </w:rPr>
        <w:footnoteRef/>
      </w:r>
      <w:r w:rsidRPr="00931E38">
        <w:rPr>
          <w:lang w:val="en-US"/>
        </w:rPr>
        <w:tab/>
      </w:r>
      <w:hyperlink r:id="rId18" w:history="1">
        <w:r w:rsidRPr="0027265B">
          <w:rPr>
            <w:rStyle w:val="af1"/>
            <w:lang w:val="en-US"/>
          </w:rPr>
          <w:t>CAT/C/IRQ/CO/1</w:t>
        </w:r>
      </w:hyperlink>
      <w:r w:rsidRPr="00931E38">
        <w:rPr>
          <w:lang w:val="en-US"/>
        </w:rPr>
        <w:t xml:space="preserve">, </w:t>
      </w:r>
      <w:r w:rsidR="007E3E6A">
        <w:t>п</w:t>
      </w:r>
      <w:r w:rsidR="007E3E6A" w:rsidRPr="00EE661D">
        <w:rPr>
          <w:lang w:val="en-US"/>
        </w:rPr>
        <w:t>.</w:t>
      </w:r>
      <w:r w:rsidRPr="00931E38">
        <w:rPr>
          <w:lang w:val="en-US"/>
        </w:rPr>
        <w:t xml:space="preserve"> 16.</w:t>
      </w:r>
    </w:p>
  </w:footnote>
  <w:footnote w:id="16">
    <w:p w14:paraId="0F7970BF" w14:textId="0BCB5979" w:rsidR="00D97DEA" w:rsidRPr="00D97DEA" w:rsidRDefault="00D97DEA" w:rsidP="00D97DEA">
      <w:pPr>
        <w:pStyle w:val="ad"/>
        <w:rPr>
          <w:lang w:val="en-US"/>
        </w:rPr>
      </w:pPr>
      <w:r w:rsidRPr="00931E38">
        <w:rPr>
          <w:lang w:val="en-US"/>
        </w:rPr>
        <w:tab/>
      </w:r>
      <w:r>
        <w:rPr>
          <w:rStyle w:val="aa"/>
        </w:rPr>
        <w:footnoteRef/>
      </w:r>
      <w:r w:rsidRPr="00931E38">
        <w:rPr>
          <w:lang w:val="en-US"/>
        </w:rPr>
        <w:tab/>
      </w:r>
      <w:hyperlink r:id="rId19" w:history="1">
        <w:r w:rsidRPr="0027265B">
          <w:rPr>
            <w:rStyle w:val="af1"/>
            <w:lang w:val="en-US"/>
          </w:rPr>
          <w:t>CAT/C/IRQ/CO/1</w:t>
        </w:r>
      </w:hyperlink>
      <w:r w:rsidRPr="00931E38">
        <w:rPr>
          <w:lang w:val="en-US"/>
        </w:rPr>
        <w:t xml:space="preserve">, </w:t>
      </w:r>
      <w:proofErr w:type="spellStart"/>
      <w:r>
        <w:t>п</w:t>
      </w:r>
      <w:r w:rsidR="007E3E6A">
        <w:t>п</w:t>
      </w:r>
      <w:proofErr w:type="spellEnd"/>
      <w:r w:rsidR="007E3E6A" w:rsidRPr="00EE661D">
        <w:rPr>
          <w:lang w:val="en-US"/>
        </w:rPr>
        <w:t>.</w:t>
      </w:r>
      <w:r w:rsidRPr="00931E38">
        <w:rPr>
          <w:lang w:val="en-US"/>
        </w:rPr>
        <w:t xml:space="preserve"> 11</w:t>
      </w:r>
      <w:r w:rsidR="001261F0">
        <w:rPr>
          <w:lang w:val="en-US"/>
        </w:rPr>
        <w:t>–</w:t>
      </w:r>
      <w:r w:rsidRPr="00931E38">
        <w:rPr>
          <w:lang w:val="en-US"/>
        </w:rPr>
        <w:t>12.</w:t>
      </w:r>
    </w:p>
  </w:footnote>
  <w:footnote w:id="17">
    <w:p w14:paraId="40E70A35" w14:textId="77777777" w:rsidR="00D97DEA" w:rsidRPr="00931E38" w:rsidRDefault="00D97DEA" w:rsidP="00D97DEA">
      <w:pPr>
        <w:pStyle w:val="ad"/>
      </w:pPr>
      <w:r w:rsidRPr="00931E38">
        <w:rPr>
          <w:lang w:val="en-US"/>
        </w:rPr>
        <w:tab/>
      </w:r>
      <w:r>
        <w:rPr>
          <w:rStyle w:val="aa"/>
        </w:rPr>
        <w:footnoteRef/>
      </w:r>
      <w:r>
        <w:tab/>
      </w:r>
      <w:r>
        <w:tab/>
        <w:t>Комитет принимает к сведению информацию о предстоящей поездке делегации экспертов Комитета по насильственным исчезновениям в государство-участник, которая предварительно запланирована на ноябрь 2022 года</w:t>
      </w:r>
    </w:p>
  </w:footnote>
  <w:footnote w:id="18">
    <w:p w14:paraId="7A7F5D48" w14:textId="78205F8D" w:rsidR="00D97DEA" w:rsidRPr="00D97DEA" w:rsidRDefault="00D97DEA" w:rsidP="00D97DEA">
      <w:pPr>
        <w:pStyle w:val="ad"/>
        <w:rPr>
          <w:szCs w:val="18"/>
          <w:lang w:val="en-US"/>
        </w:rPr>
      </w:pPr>
      <w:r w:rsidRPr="00F72477">
        <w:rPr>
          <w:szCs w:val="18"/>
        </w:rPr>
        <w:tab/>
      </w:r>
      <w:r w:rsidRPr="00E15A38">
        <w:rPr>
          <w:rStyle w:val="aa"/>
          <w:szCs w:val="18"/>
        </w:rPr>
        <w:footnoteRef/>
      </w:r>
      <w:r w:rsidRPr="00931E38">
        <w:rPr>
          <w:lang w:val="en-US"/>
        </w:rPr>
        <w:tab/>
      </w:r>
      <w:r w:rsidRPr="00931E38">
        <w:rPr>
          <w:lang w:val="en-US"/>
        </w:rPr>
        <w:tab/>
      </w:r>
      <w:r>
        <w:t>См</w:t>
      </w:r>
      <w:r w:rsidRPr="00931E38">
        <w:rPr>
          <w:lang w:val="en-US"/>
        </w:rPr>
        <w:t xml:space="preserve">. </w:t>
      </w:r>
      <w:hyperlink r:id="rId20" w:history="1">
        <w:r w:rsidRPr="0027265B">
          <w:rPr>
            <w:rStyle w:val="af1"/>
            <w:lang w:val="en-US"/>
          </w:rPr>
          <w:t>CCPR/C/IRQ/CO/6</w:t>
        </w:r>
      </w:hyperlink>
      <w:r w:rsidRPr="00931E38">
        <w:rPr>
          <w:lang w:val="en-US"/>
        </w:rPr>
        <w:t>.</w:t>
      </w:r>
    </w:p>
  </w:footnote>
  <w:footnote w:id="19">
    <w:p w14:paraId="032A7EAF" w14:textId="0FC1432B" w:rsidR="00D97DEA" w:rsidRPr="00D97DEA" w:rsidRDefault="00D97DEA" w:rsidP="00D97DEA">
      <w:pPr>
        <w:pStyle w:val="ad"/>
        <w:rPr>
          <w:lang w:val="en-US"/>
        </w:rPr>
      </w:pPr>
      <w:r w:rsidRPr="00931E38">
        <w:rPr>
          <w:lang w:val="en-US"/>
        </w:rPr>
        <w:tab/>
      </w:r>
      <w:r w:rsidRPr="00E15A38">
        <w:rPr>
          <w:rStyle w:val="aa"/>
        </w:rPr>
        <w:footnoteRef/>
      </w:r>
      <w:r w:rsidRPr="00931E38">
        <w:rPr>
          <w:lang w:val="en-US"/>
        </w:rPr>
        <w:tab/>
      </w:r>
      <w:r w:rsidRPr="00931E38">
        <w:rPr>
          <w:lang w:val="en-US"/>
        </w:rPr>
        <w:tab/>
      </w:r>
      <w:r w:rsidR="00D74316">
        <w:fldChar w:fldCharType="begin"/>
      </w:r>
      <w:r w:rsidR="00D74316" w:rsidRPr="00D74316">
        <w:rPr>
          <w:lang w:val="en-US"/>
        </w:rPr>
        <w:instrText xml:space="preserve"> HYPERLINK "http://undocs.org/ru/S/2022/46" </w:instrText>
      </w:r>
      <w:r w:rsidR="00D74316">
        <w:fldChar w:fldCharType="separate"/>
      </w:r>
      <w:r w:rsidRPr="0027265B">
        <w:rPr>
          <w:rStyle w:val="af1"/>
          <w:lang w:val="en-US"/>
        </w:rPr>
        <w:t>S/2022/46</w:t>
      </w:r>
      <w:r w:rsidR="00D74316">
        <w:rPr>
          <w:rStyle w:val="af1"/>
          <w:lang w:val="en-US"/>
        </w:rPr>
        <w:fldChar w:fldCharType="end"/>
      </w:r>
      <w:r w:rsidRPr="00931E38">
        <w:rPr>
          <w:lang w:val="en-US"/>
        </w:rPr>
        <w:t xml:space="preserve">, </w:t>
      </w:r>
      <w:r w:rsidR="004B64EF">
        <w:t>п</w:t>
      </w:r>
      <w:r w:rsidR="004B64EF" w:rsidRPr="00EE661D">
        <w:rPr>
          <w:lang w:val="en-US"/>
        </w:rPr>
        <w:t>.</w:t>
      </w:r>
      <w:r w:rsidRPr="00931E38">
        <w:rPr>
          <w:lang w:val="en-US"/>
        </w:rPr>
        <w:t xml:space="preserve"> 27.</w:t>
      </w:r>
    </w:p>
  </w:footnote>
  <w:footnote w:id="20">
    <w:p w14:paraId="104AA5DE" w14:textId="58B85285" w:rsidR="00D97DEA" w:rsidRPr="00D97DEA" w:rsidRDefault="00D97DEA" w:rsidP="00D97DEA">
      <w:pPr>
        <w:pStyle w:val="ad"/>
        <w:rPr>
          <w:lang w:val="en-US"/>
        </w:rPr>
      </w:pPr>
      <w:r w:rsidRPr="00931E38">
        <w:rPr>
          <w:lang w:val="en-US"/>
        </w:rPr>
        <w:tab/>
      </w:r>
      <w:r>
        <w:rPr>
          <w:rStyle w:val="aa"/>
        </w:rPr>
        <w:footnoteRef/>
      </w:r>
      <w:r w:rsidRPr="00931E38">
        <w:rPr>
          <w:lang w:val="en-US"/>
        </w:rPr>
        <w:tab/>
      </w:r>
      <w:hyperlink r:id="rId21" w:history="1">
        <w:r w:rsidRPr="0027265B">
          <w:rPr>
            <w:rStyle w:val="af1"/>
            <w:lang w:val="en-US"/>
          </w:rPr>
          <w:t>CAT/C/IRQ/CO/1</w:t>
        </w:r>
      </w:hyperlink>
      <w:r w:rsidRPr="00931E38">
        <w:rPr>
          <w:lang w:val="en-US"/>
        </w:rPr>
        <w:t xml:space="preserve">, </w:t>
      </w:r>
      <w:proofErr w:type="spellStart"/>
      <w:r>
        <w:t>п</w:t>
      </w:r>
      <w:r w:rsidR="004B64EF">
        <w:t>п</w:t>
      </w:r>
      <w:proofErr w:type="spellEnd"/>
      <w:r w:rsidR="004B64EF" w:rsidRPr="00EE661D">
        <w:rPr>
          <w:lang w:val="en-US"/>
        </w:rPr>
        <w:t>.</w:t>
      </w:r>
      <w:r w:rsidRPr="00931E38">
        <w:rPr>
          <w:lang w:val="en-US"/>
        </w:rPr>
        <w:t xml:space="preserve"> 11</w:t>
      </w:r>
      <w:r w:rsidR="004B64EF" w:rsidRPr="007E3E6A">
        <w:rPr>
          <w:lang w:val="en-US"/>
        </w:rPr>
        <w:t>–</w:t>
      </w:r>
      <w:r w:rsidRPr="00931E38">
        <w:rPr>
          <w:lang w:val="en-US"/>
        </w:rPr>
        <w:t>12.</w:t>
      </w:r>
    </w:p>
  </w:footnote>
  <w:footnote w:id="21">
    <w:p w14:paraId="1AC9E229" w14:textId="151FDB10" w:rsidR="00D97DEA" w:rsidRPr="00D97DEA" w:rsidRDefault="00D97DEA" w:rsidP="00D97DEA">
      <w:pPr>
        <w:pStyle w:val="ad"/>
        <w:rPr>
          <w:lang w:val="en-US"/>
        </w:rPr>
      </w:pPr>
      <w:r w:rsidRPr="00931E38">
        <w:rPr>
          <w:lang w:val="en-US"/>
        </w:rPr>
        <w:tab/>
      </w:r>
      <w:r w:rsidRPr="00E15A38">
        <w:rPr>
          <w:rStyle w:val="aa"/>
        </w:rPr>
        <w:footnoteRef/>
      </w:r>
      <w:r w:rsidRPr="00931E38">
        <w:rPr>
          <w:lang w:val="en-US"/>
        </w:rPr>
        <w:tab/>
      </w:r>
      <w:r w:rsidRPr="00931E38">
        <w:rPr>
          <w:lang w:val="en-US"/>
        </w:rPr>
        <w:tab/>
      </w:r>
      <w:hyperlink r:id="rId22" w:history="1">
        <w:r w:rsidRPr="0027265B">
          <w:rPr>
            <w:rStyle w:val="af1"/>
            <w:lang w:val="en-US"/>
          </w:rPr>
          <w:t>S/2022/46</w:t>
        </w:r>
      </w:hyperlink>
      <w:r w:rsidRPr="00931E38">
        <w:rPr>
          <w:lang w:val="en-US"/>
        </w:rPr>
        <w:t xml:space="preserve">, </w:t>
      </w:r>
      <w:r w:rsidR="004B64EF">
        <w:t>п</w:t>
      </w:r>
      <w:r w:rsidR="004B64EF" w:rsidRPr="00EE661D">
        <w:rPr>
          <w:lang w:val="en-US"/>
        </w:rPr>
        <w:t>.</w:t>
      </w:r>
      <w:r w:rsidRPr="00931E38">
        <w:rPr>
          <w:lang w:val="en-US"/>
        </w:rPr>
        <w:t xml:space="preserve"> 46.</w:t>
      </w:r>
    </w:p>
  </w:footnote>
  <w:footnote w:id="22">
    <w:p w14:paraId="4DF60554" w14:textId="2A5F4909" w:rsidR="00D97DEA" w:rsidRPr="00D97DEA" w:rsidRDefault="00D97DEA" w:rsidP="00D97DEA">
      <w:pPr>
        <w:pStyle w:val="ad"/>
        <w:rPr>
          <w:szCs w:val="18"/>
          <w:lang w:val="en-US"/>
        </w:rPr>
      </w:pPr>
      <w:r w:rsidRPr="00931E38">
        <w:rPr>
          <w:szCs w:val="18"/>
          <w:lang w:val="en-US"/>
        </w:rPr>
        <w:tab/>
      </w:r>
      <w:r w:rsidRPr="00E15A38">
        <w:rPr>
          <w:rStyle w:val="aa"/>
          <w:szCs w:val="18"/>
        </w:rPr>
        <w:footnoteRef/>
      </w:r>
      <w:r w:rsidRPr="00931E38">
        <w:rPr>
          <w:lang w:val="en-US"/>
        </w:rPr>
        <w:tab/>
      </w:r>
      <w:r w:rsidRPr="00931E38">
        <w:rPr>
          <w:lang w:val="en-US"/>
        </w:rPr>
        <w:tab/>
      </w:r>
      <w:r>
        <w:t>См</w:t>
      </w:r>
      <w:r w:rsidRPr="00931E38">
        <w:rPr>
          <w:lang w:val="en-US"/>
        </w:rPr>
        <w:t xml:space="preserve">. </w:t>
      </w:r>
      <w:hyperlink r:id="rId23" w:history="1">
        <w:r w:rsidRPr="0027265B">
          <w:rPr>
            <w:rStyle w:val="af1"/>
            <w:lang w:val="en-US"/>
          </w:rPr>
          <w:t>CCPR/C/IRQ/CO/6</w:t>
        </w:r>
      </w:hyperlink>
      <w:r w:rsidRPr="00931E38">
        <w:rPr>
          <w:lang w:val="en-US"/>
        </w:rPr>
        <w:t>.</w:t>
      </w:r>
    </w:p>
  </w:footnote>
  <w:footnote w:id="23">
    <w:p w14:paraId="72373776" w14:textId="77777777" w:rsidR="00D97DEA" w:rsidRPr="00931E38" w:rsidRDefault="00D97DEA" w:rsidP="00D97DEA">
      <w:pPr>
        <w:pStyle w:val="ad"/>
        <w:rPr>
          <w:szCs w:val="18"/>
        </w:rPr>
      </w:pPr>
      <w:r w:rsidRPr="00931E38">
        <w:rPr>
          <w:szCs w:val="18"/>
          <w:lang w:val="en-US"/>
        </w:rPr>
        <w:tab/>
      </w:r>
      <w:r w:rsidRPr="00E15A38">
        <w:rPr>
          <w:rStyle w:val="aa"/>
          <w:szCs w:val="18"/>
        </w:rPr>
        <w:footnoteRef/>
      </w:r>
      <w:r>
        <w:tab/>
        <w:t>Там же.</w:t>
      </w:r>
    </w:p>
  </w:footnote>
  <w:footnote w:id="24">
    <w:p w14:paraId="4B57A2CD" w14:textId="41707CB0" w:rsidR="00D97DEA" w:rsidRPr="001261F0" w:rsidRDefault="00D97DEA" w:rsidP="00D97DEA">
      <w:pPr>
        <w:pStyle w:val="ad"/>
        <w:rPr>
          <w:szCs w:val="18"/>
        </w:rPr>
      </w:pPr>
      <w:r w:rsidRPr="00E82CD9">
        <w:rPr>
          <w:szCs w:val="18"/>
        </w:rPr>
        <w:tab/>
      </w:r>
      <w:r w:rsidRPr="00E15A38">
        <w:rPr>
          <w:rStyle w:val="aa"/>
          <w:szCs w:val="18"/>
        </w:rPr>
        <w:footnoteRef/>
      </w:r>
      <w:r w:rsidRPr="001261F0">
        <w:tab/>
      </w:r>
      <w:r w:rsidRPr="001261F0">
        <w:tab/>
      </w:r>
      <w:hyperlink r:id="rId24" w:history="1">
        <w:r w:rsidRPr="00EE661D">
          <w:rPr>
            <w:rStyle w:val="af1"/>
            <w:lang w:val="en-US"/>
          </w:rPr>
          <w:t>CED</w:t>
        </w:r>
        <w:r w:rsidRPr="001261F0">
          <w:rPr>
            <w:rStyle w:val="af1"/>
          </w:rPr>
          <w:t>/</w:t>
        </w:r>
        <w:r w:rsidRPr="00EE661D">
          <w:rPr>
            <w:rStyle w:val="af1"/>
            <w:lang w:val="en-US"/>
          </w:rPr>
          <w:t>C</w:t>
        </w:r>
        <w:r w:rsidRPr="001261F0">
          <w:rPr>
            <w:rStyle w:val="af1"/>
          </w:rPr>
          <w:t>/</w:t>
        </w:r>
        <w:r w:rsidRPr="00EE661D">
          <w:rPr>
            <w:rStyle w:val="af1"/>
            <w:lang w:val="en-US"/>
          </w:rPr>
          <w:t>IRQ</w:t>
        </w:r>
        <w:r w:rsidRPr="001261F0">
          <w:rPr>
            <w:rStyle w:val="af1"/>
          </w:rPr>
          <w:t>/</w:t>
        </w:r>
        <w:r w:rsidRPr="00EE661D">
          <w:rPr>
            <w:rStyle w:val="af1"/>
            <w:lang w:val="en-US"/>
          </w:rPr>
          <w:t>OAI</w:t>
        </w:r>
        <w:r w:rsidRPr="001261F0">
          <w:rPr>
            <w:rStyle w:val="af1"/>
          </w:rPr>
          <w:t>/1</w:t>
        </w:r>
      </w:hyperlink>
      <w:r w:rsidRPr="001261F0">
        <w:t xml:space="preserve">, </w:t>
      </w:r>
      <w:proofErr w:type="spellStart"/>
      <w:r>
        <w:t>п</w:t>
      </w:r>
      <w:r w:rsidR="00EE661D">
        <w:t>п</w:t>
      </w:r>
      <w:proofErr w:type="spellEnd"/>
      <w:r w:rsidR="00EE661D" w:rsidRPr="001261F0">
        <w:t>.</w:t>
      </w:r>
      <w:r w:rsidRPr="001261F0">
        <w:t xml:space="preserve"> 18–19.</w:t>
      </w:r>
    </w:p>
  </w:footnote>
  <w:footnote w:id="25">
    <w:p w14:paraId="7C0D72E7" w14:textId="136C4EB2" w:rsidR="00D97DEA" w:rsidRPr="00931E38" w:rsidRDefault="00D97DEA" w:rsidP="00D97DEA">
      <w:pPr>
        <w:pStyle w:val="ad"/>
        <w:rPr>
          <w:szCs w:val="18"/>
        </w:rPr>
      </w:pPr>
      <w:r w:rsidRPr="001261F0">
        <w:rPr>
          <w:szCs w:val="18"/>
        </w:rPr>
        <w:tab/>
      </w:r>
      <w:r w:rsidRPr="00E15A38">
        <w:rPr>
          <w:rStyle w:val="aa"/>
          <w:szCs w:val="18"/>
        </w:rPr>
        <w:footnoteRef/>
      </w:r>
      <w:r>
        <w:tab/>
        <w:t xml:space="preserve">Там же, </w:t>
      </w:r>
      <w:proofErr w:type="spellStart"/>
      <w:r>
        <w:t>п</w:t>
      </w:r>
      <w:r w:rsidR="00EE661D">
        <w:t>п</w:t>
      </w:r>
      <w:proofErr w:type="spellEnd"/>
      <w:r w:rsidR="00EE661D" w:rsidRPr="001261F0">
        <w:t>.</w:t>
      </w:r>
      <w:r>
        <w:t xml:space="preserve"> 14–15.</w:t>
      </w:r>
    </w:p>
  </w:footnote>
  <w:footnote w:id="26">
    <w:p w14:paraId="2AFDFF5B" w14:textId="79C722DC" w:rsidR="00D97DEA" w:rsidRPr="00931E38" w:rsidRDefault="00D97DEA" w:rsidP="00D97DEA">
      <w:pPr>
        <w:pStyle w:val="ad"/>
        <w:rPr>
          <w:color w:val="212529"/>
          <w:sz w:val="20"/>
        </w:rPr>
      </w:pPr>
      <w:r w:rsidRPr="008477ED">
        <w:rPr>
          <w:szCs w:val="18"/>
        </w:rPr>
        <w:tab/>
      </w:r>
      <w:r w:rsidRPr="00E15A38">
        <w:rPr>
          <w:rStyle w:val="aa"/>
          <w:szCs w:val="18"/>
        </w:rPr>
        <w:footnoteRef/>
      </w:r>
      <w:r>
        <w:tab/>
      </w:r>
      <w:r>
        <w:tab/>
        <w:t xml:space="preserve">См. </w:t>
      </w:r>
      <w:hyperlink r:id="rId25" w:history="1">
        <w:r w:rsidRPr="009E175D">
          <w:rPr>
            <w:rStyle w:val="af1"/>
          </w:rPr>
          <w:t>CCPR/C/IRQ/CO/6</w:t>
        </w:r>
      </w:hyperlink>
      <w:r>
        <w:t>.</w:t>
      </w:r>
    </w:p>
  </w:footnote>
  <w:footnote w:id="27">
    <w:p w14:paraId="6D3A0E36" w14:textId="77777777" w:rsidR="00D97DEA" w:rsidRPr="00931E38" w:rsidRDefault="00D97DEA" w:rsidP="00D97DEA">
      <w:pPr>
        <w:pStyle w:val="ad"/>
      </w:pPr>
      <w:r w:rsidRPr="008477ED">
        <w:tab/>
      </w:r>
      <w:r w:rsidRPr="00E15A38">
        <w:rPr>
          <w:rStyle w:val="aa"/>
        </w:rPr>
        <w:footnoteRef/>
      </w:r>
      <w:r>
        <w:tab/>
        <w:t>Там же.</w:t>
      </w:r>
    </w:p>
  </w:footnote>
  <w:footnote w:id="28">
    <w:p w14:paraId="67402ABF" w14:textId="1C76FD2D" w:rsidR="00D97DEA" w:rsidRPr="001261F0" w:rsidRDefault="00D97DEA" w:rsidP="00D97DEA">
      <w:pPr>
        <w:pStyle w:val="ad"/>
      </w:pPr>
      <w:r w:rsidRPr="008477ED">
        <w:tab/>
      </w:r>
      <w:r>
        <w:rPr>
          <w:rStyle w:val="aa"/>
        </w:rPr>
        <w:footnoteRef/>
      </w:r>
      <w:r w:rsidRPr="001261F0">
        <w:tab/>
      </w:r>
      <w:r w:rsidRPr="001261F0">
        <w:tab/>
      </w:r>
      <w:hyperlink r:id="rId26" w:history="1">
        <w:r w:rsidRPr="00EE661D">
          <w:rPr>
            <w:rStyle w:val="af1"/>
            <w:lang w:val="en-US"/>
          </w:rPr>
          <w:t>CAT</w:t>
        </w:r>
        <w:r w:rsidRPr="001261F0">
          <w:rPr>
            <w:rStyle w:val="af1"/>
          </w:rPr>
          <w:t>/</w:t>
        </w:r>
        <w:r w:rsidRPr="00EE661D">
          <w:rPr>
            <w:rStyle w:val="af1"/>
            <w:lang w:val="en-US"/>
          </w:rPr>
          <w:t>C</w:t>
        </w:r>
        <w:r w:rsidRPr="001261F0">
          <w:rPr>
            <w:rStyle w:val="af1"/>
          </w:rPr>
          <w:t>/</w:t>
        </w:r>
        <w:r w:rsidRPr="00EE661D">
          <w:rPr>
            <w:rStyle w:val="af1"/>
            <w:lang w:val="en-US"/>
          </w:rPr>
          <w:t>IRQ</w:t>
        </w:r>
        <w:r w:rsidRPr="001261F0">
          <w:rPr>
            <w:rStyle w:val="af1"/>
          </w:rPr>
          <w:t>/</w:t>
        </w:r>
        <w:r w:rsidRPr="00EE661D">
          <w:rPr>
            <w:rStyle w:val="af1"/>
            <w:lang w:val="en-US"/>
          </w:rPr>
          <w:t>CO</w:t>
        </w:r>
        <w:r w:rsidRPr="001261F0">
          <w:rPr>
            <w:rStyle w:val="af1"/>
          </w:rPr>
          <w:t>/1</w:t>
        </w:r>
      </w:hyperlink>
      <w:r w:rsidRPr="001261F0">
        <w:t xml:space="preserve">, </w:t>
      </w:r>
      <w:r w:rsidR="00EE661D">
        <w:t>п</w:t>
      </w:r>
      <w:r w:rsidR="00EE661D" w:rsidRPr="001261F0">
        <w:t>.</w:t>
      </w:r>
      <w:r w:rsidRPr="001261F0">
        <w:t xml:space="preserve"> 31.</w:t>
      </w:r>
    </w:p>
  </w:footnote>
  <w:footnote w:id="29">
    <w:p w14:paraId="23B4C86A" w14:textId="3D6422E3" w:rsidR="00D97DEA" w:rsidRPr="00D97DEA" w:rsidRDefault="00D97DEA" w:rsidP="00D97DEA">
      <w:pPr>
        <w:pStyle w:val="ad"/>
        <w:rPr>
          <w:lang w:val="en-US"/>
        </w:rPr>
      </w:pPr>
      <w:r w:rsidRPr="001261F0">
        <w:tab/>
      </w:r>
      <w:r w:rsidRPr="00E15A38">
        <w:rPr>
          <w:rStyle w:val="aa"/>
        </w:rPr>
        <w:footnoteRef/>
      </w:r>
      <w:r w:rsidRPr="00931E38">
        <w:rPr>
          <w:lang w:val="en-US"/>
        </w:rPr>
        <w:tab/>
      </w:r>
      <w:r>
        <w:t>См</w:t>
      </w:r>
      <w:r w:rsidRPr="00931E38">
        <w:rPr>
          <w:lang w:val="en-US"/>
        </w:rPr>
        <w:t xml:space="preserve">. </w:t>
      </w:r>
      <w:hyperlink r:id="rId27" w:history="1">
        <w:r w:rsidRPr="00EE661D">
          <w:rPr>
            <w:rStyle w:val="af1"/>
            <w:lang w:val="en-US"/>
          </w:rPr>
          <w:t>CCPR/C/IRQ/CO/6</w:t>
        </w:r>
      </w:hyperlink>
      <w:r w:rsidRPr="00931E38">
        <w:rPr>
          <w:lang w:val="en-US"/>
        </w:rPr>
        <w:t>.</w:t>
      </w:r>
    </w:p>
  </w:footnote>
  <w:footnote w:id="30">
    <w:p w14:paraId="69795AFB" w14:textId="271B7408" w:rsidR="00D97DEA" w:rsidRPr="00D97DEA" w:rsidRDefault="00D97DEA" w:rsidP="00D97DEA">
      <w:pPr>
        <w:pStyle w:val="ad"/>
        <w:rPr>
          <w:lang w:val="en-US"/>
        </w:rPr>
      </w:pPr>
      <w:r w:rsidRPr="00931E38">
        <w:rPr>
          <w:lang w:val="en-US"/>
        </w:rPr>
        <w:tab/>
      </w:r>
      <w:r>
        <w:rPr>
          <w:rStyle w:val="aa"/>
        </w:rPr>
        <w:footnoteRef/>
      </w:r>
      <w:r w:rsidRPr="00931E38">
        <w:rPr>
          <w:lang w:val="en-US"/>
        </w:rPr>
        <w:tab/>
      </w:r>
      <w:hyperlink r:id="rId28" w:history="1">
        <w:r w:rsidRPr="00EE661D">
          <w:rPr>
            <w:rStyle w:val="af1"/>
            <w:lang w:val="en-US"/>
          </w:rPr>
          <w:t>CAT/C/IRQ/CO/1</w:t>
        </w:r>
      </w:hyperlink>
      <w:r w:rsidRPr="00931E38">
        <w:rPr>
          <w:lang w:val="en-US"/>
        </w:rPr>
        <w:t xml:space="preserve">, </w:t>
      </w:r>
      <w:r>
        <w:t>п</w:t>
      </w:r>
      <w:r w:rsidR="00EE661D" w:rsidRPr="00EE661D">
        <w:rPr>
          <w:lang w:val="en-US"/>
        </w:rPr>
        <w:t>.</w:t>
      </w:r>
      <w:r w:rsidRPr="00931E38">
        <w:rPr>
          <w:lang w:val="en-US"/>
        </w:rPr>
        <w:t xml:space="preserve"> 24 e).</w:t>
      </w:r>
    </w:p>
  </w:footnote>
  <w:footnote w:id="31">
    <w:p w14:paraId="6FA42C2B" w14:textId="5D7CDA49" w:rsidR="00D97DEA" w:rsidRPr="00D97DEA" w:rsidRDefault="00D97DEA" w:rsidP="00D97DEA">
      <w:pPr>
        <w:pStyle w:val="ad"/>
        <w:rPr>
          <w:szCs w:val="18"/>
          <w:lang w:val="en-US"/>
        </w:rPr>
      </w:pPr>
      <w:r w:rsidRPr="00931E38">
        <w:rPr>
          <w:szCs w:val="18"/>
          <w:lang w:val="en-US"/>
        </w:rPr>
        <w:tab/>
      </w:r>
      <w:r w:rsidRPr="00E15A38">
        <w:rPr>
          <w:rStyle w:val="aa"/>
          <w:szCs w:val="18"/>
        </w:rPr>
        <w:footnoteRef/>
      </w:r>
      <w:r w:rsidRPr="00931E38">
        <w:rPr>
          <w:lang w:val="en-US"/>
        </w:rPr>
        <w:tab/>
      </w:r>
      <w:r w:rsidRPr="00931E38">
        <w:rPr>
          <w:lang w:val="en-US"/>
        </w:rPr>
        <w:tab/>
      </w:r>
      <w:r>
        <w:t>См</w:t>
      </w:r>
      <w:r w:rsidRPr="00931E38">
        <w:rPr>
          <w:lang w:val="en-US"/>
        </w:rPr>
        <w:t xml:space="preserve">. </w:t>
      </w:r>
      <w:hyperlink r:id="rId29" w:history="1">
        <w:r w:rsidR="005E70A3" w:rsidRPr="00EE661D">
          <w:rPr>
            <w:rStyle w:val="af1"/>
            <w:lang w:val="en-US"/>
          </w:rPr>
          <w:t>CCPR/C/IRQ/CO/6</w:t>
        </w:r>
      </w:hyperlink>
      <w:r w:rsidRPr="00931E38"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6CB1F" w14:textId="46B7790E" w:rsidR="00D97DEA" w:rsidRPr="00D97DEA" w:rsidRDefault="00D74316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 w:rsidR="00D97DEA">
      <w:t>CAT/C/IRQ/CO/2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C0088" w14:textId="5D2ACE91" w:rsidR="00D97DEA" w:rsidRPr="00D97DEA" w:rsidRDefault="00D74316" w:rsidP="00D97DEA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D97DEA">
      <w:t>CAT/C/IRQ/CO/2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6700F" w14:textId="77777777" w:rsidR="00D97DEA" w:rsidRDefault="00D97DEA" w:rsidP="00D97DEA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8A44EC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86673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523E6D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5"/>
  </w:num>
  <w:num w:numId="4">
    <w:abstractNumId w:val="10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4"/>
  </w:num>
  <w:num w:numId="19">
    <w:abstractNumId w:val="16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04D"/>
    <w:rsid w:val="00026913"/>
    <w:rsid w:val="00030741"/>
    <w:rsid w:val="00033EE1"/>
    <w:rsid w:val="00041407"/>
    <w:rsid w:val="00042B72"/>
    <w:rsid w:val="000558BD"/>
    <w:rsid w:val="000725B5"/>
    <w:rsid w:val="00075D72"/>
    <w:rsid w:val="000776E3"/>
    <w:rsid w:val="000814CD"/>
    <w:rsid w:val="000B57E7"/>
    <w:rsid w:val="000B6373"/>
    <w:rsid w:val="000F09DF"/>
    <w:rsid w:val="000F61B2"/>
    <w:rsid w:val="001075E9"/>
    <w:rsid w:val="001261F0"/>
    <w:rsid w:val="00140A0F"/>
    <w:rsid w:val="0015017D"/>
    <w:rsid w:val="00180183"/>
    <w:rsid w:val="0018024D"/>
    <w:rsid w:val="0018649F"/>
    <w:rsid w:val="00196389"/>
    <w:rsid w:val="001B3EF6"/>
    <w:rsid w:val="001C7A89"/>
    <w:rsid w:val="001E4F74"/>
    <w:rsid w:val="0027265B"/>
    <w:rsid w:val="002A2EFC"/>
    <w:rsid w:val="002C0E18"/>
    <w:rsid w:val="002D525E"/>
    <w:rsid w:val="002D5AAC"/>
    <w:rsid w:val="002E5067"/>
    <w:rsid w:val="002F405F"/>
    <w:rsid w:val="002F662C"/>
    <w:rsid w:val="002F7EEC"/>
    <w:rsid w:val="00301299"/>
    <w:rsid w:val="00305C85"/>
    <w:rsid w:val="00307FB6"/>
    <w:rsid w:val="00315ED6"/>
    <w:rsid w:val="00317339"/>
    <w:rsid w:val="00322004"/>
    <w:rsid w:val="003269FF"/>
    <w:rsid w:val="003365E9"/>
    <w:rsid w:val="003402C2"/>
    <w:rsid w:val="00374EC6"/>
    <w:rsid w:val="00381C24"/>
    <w:rsid w:val="00386D97"/>
    <w:rsid w:val="00393C46"/>
    <w:rsid w:val="003958D0"/>
    <w:rsid w:val="003B00E5"/>
    <w:rsid w:val="00403C9E"/>
    <w:rsid w:val="00407B78"/>
    <w:rsid w:val="00424203"/>
    <w:rsid w:val="00452493"/>
    <w:rsid w:val="00454E07"/>
    <w:rsid w:val="00472C5C"/>
    <w:rsid w:val="004B64EF"/>
    <w:rsid w:val="0050108D"/>
    <w:rsid w:val="00513081"/>
    <w:rsid w:val="00517901"/>
    <w:rsid w:val="00526683"/>
    <w:rsid w:val="00550706"/>
    <w:rsid w:val="005709E0"/>
    <w:rsid w:val="00570A37"/>
    <w:rsid w:val="00572E19"/>
    <w:rsid w:val="0058663C"/>
    <w:rsid w:val="005961C8"/>
    <w:rsid w:val="005D7914"/>
    <w:rsid w:val="005E2B41"/>
    <w:rsid w:val="005E70A3"/>
    <w:rsid w:val="005F0B42"/>
    <w:rsid w:val="00681A10"/>
    <w:rsid w:val="00695907"/>
    <w:rsid w:val="006A1ED8"/>
    <w:rsid w:val="006A411E"/>
    <w:rsid w:val="006B7FA7"/>
    <w:rsid w:val="006C2031"/>
    <w:rsid w:val="006D461A"/>
    <w:rsid w:val="006F35EE"/>
    <w:rsid w:val="007021FF"/>
    <w:rsid w:val="00707290"/>
    <w:rsid w:val="00712895"/>
    <w:rsid w:val="0071534B"/>
    <w:rsid w:val="00721D7A"/>
    <w:rsid w:val="00757357"/>
    <w:rsid w:val="007E3E6A"/>
    <w:rsid w:val="00825F8D"/>
    <w:rsid w:val="00834B71"/>
    <w:rsid w:val="00834CC0"/>
    <w:rsid w:val="0086445C"/>
    <w:rsid w:val="00894693"/>
    <w:rsid w:val="008A08D7"/>
    <w:rsid w:val="008A643A"/>
    <w:rsid w:val="008B6909"/>
    <w:rsid w:val="00906890"/>
    <w:rsid w:val="00911BE4"/>
    <w:rsid w:val="00935532"/>
    <w:rsid w:val="00951972"/>
    <w:rsid w:val="00953B7A"/>
    <w:rsid w:val="009569AF"/>
    <w:rsid w:val="009608F3"/>
    <w:rsid w:val="0096204D"/>
    <w:rsid w:val="009A24AC"/>
    <w:rsid w:val="009E175D"/>
    <w:rsid w:val="009E262A"/>
    <w:rsid w:val="00A312BC"/>
    <w:rsid w:val="00A478EF"/>
    <w:rsid w:val="00A66C5E"/>
    <w:rsid w:val="00A74D9D"/>
    <w:rsid w:val="00A84021"/>
    <w:rsid w:val="00A84D35"/>
    <w:rsid w:val="00A917B3"/>
    <w:rsid w:val="00AA6F3B"/>
    <w:rsid w:val="00AB4B51"/>
    <w:rsid w:val="00AF6DBF"/>
    <w:rsid w:val="00B10CC7"/>
    <w:rsid w:val="00B20CB2"/>
    <w:rsid w:val="00B53870"/>
    <w:rsid w:val="00B539E7"/>
    <w:rsid w:val="00B62458"/>
    <w:rsid w:val="00B638F9"/>
    <w:rsid w:val="00B7153E"/>
    <w:rsid w:val="00B93B75"/>
    <w:rsid w:val="00BC18B2"/>
    <w:rsid w:val="00BC74F9"/>
    <w:rsid w:val="00BD33EE"/>
    <w:rsid w:val="00C07949"/>
    <w:rsid w:val="00C106D6"/>
    <w:rsid w:val="00C23549"/>
    <w:rsid w:val="00C60F0C"/>
    <w:rsid w:val="00C805C9"/>
    <w:rsid w:val="00C838C6"/>
    <w:rsid w:val="00C92939"/>
    <w:rsid w:val="00CA1679"/>
    <w:rsid w:val="00CB151C"/>
    <w:rsid w:val="00CD00A4"/>
    <w:rsid w:val="00CE5A1A"/>
    <w:rsid w:val="00CF55F6"/>
    <w:rsid w:val="00D33D63"/>
    <w:rsid w:val="00D708F0"/>
    <w:rsid w:val="00D7263B"/>
    <w:rsid w:val="00D74316"/>
    <w:rsid w:val="00D7633E"/>
    <w:rsid w:val="00D823E3"/>
    <w:rsid w:val="00D90028"/>
    <w:rsid w:val="00D90138"/>
    <w:rsid w:val="00D97DEA"/>
    <w:rsid w:val="00DC60A6"/>
    <w:rsid w:val="00DF71B9"/>
    <w:rsid w:val="00E21169"/>
    <w:rsid w:val="00E437BD"/>
    <w:rsid w:val="00E528D1"/>
    <w:rsid w:val="00E73F76"/>
    <w:rsid w:val="00EA2C9F"/>
    <w:rsid w:val="00ED0BDA"/>
    <w:rsid w:val="00EE661D"/>
    <w:rsid w:val="00EF1360"/>
    <w:rsid w:val="00EF2146"/>
    <w:rsid w:val="00EF3220"/>
    <w:rsid w:val="00F21B00"/>
    <w:rsid w:val="00F6125B"/>
    <w:rsid w:val="00F82DE6"/>
    <w:rsid w:val="00F901FD"/>
    <w:rsid w:val="00F90E40"/>
    <w:rsid w:val="00F94155"/>
    <w:rsid w:val="00F9783F"/>
    <w:rsid w:val="00FA665A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323159"/>
  <w15:docId w15:val="{8EB1C95E-2822-4ACC-A348-12A8E4966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20CB2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570A37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0814CD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0814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0814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0814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0814CD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0814C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0814C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0814CD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0814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A74D9D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570A37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570A37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570A37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A74D9D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570A37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570A3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570A37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570A3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570A37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570A37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A74D9D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570A37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570A37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570A37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570A37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570A37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570A37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570A37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570A37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570A37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B20CB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Footnote Text Char Char1,Footnote Text Char1 Char Char1,Footnote Text Char Char1 Char Char,Footnote Text Char1 Char Char1 Char Char,ft Char Char Char Char Char,Geneva 9 Char Char Char Char Char,Footnote Text Char Char,Char,Fußnote,Text"/>
    <w:basedOn w:val="a"/>
    <w:link w:val="ae"/>
    <w:qFormat/>
    <w:rsid w:val="00570A37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Footnote Text Char Char1 Знак,Footnote Text Char1 Char Char1 Знак,Footnote Text Char Char1 Char Char Знак,Footnote Text Char1 Char Char1 Char Char Знак,ft Char Char Char Char Char Знак,Geneva 9 Char Char Char Char Char Знак"/>
    <w:basedOn w:val="a0"/>
    <w:link w:val="ad"/>
    <w:rsid w:val="00570A37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570A37"/>
  </w:style>
  <w:style w:type="character" w:customStyle="1" w:styleId="af0">
    <w:name w:val="Текст концевой сноски Знак"/>
    <w:aliases w:val="2_G Знак"/>
    <w:basedOn w:val="a0"/>
    <w:link w:val="af"/>
    <w:rsid w:val="00570A37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570A37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570A37"/>
    <w:rPr>
      <w:color w:val="0000FF" w:themeColor="hyperlink"/>
      <w:u w:val="none"/>
    </w:rPr>
  </w:style>
  <w:style w:type="character" w:styleId="af2">
    <w:name w:val="FollowedHyperlink"/>
    <w:basedOn w:val="a0"/>
    <w:rsid w:val="00570A37"/>
    <w:rPr>
      <w:color w:val="800080" w:themeColor="followedHyperlink"/>
      <w:u w:val="none"/>
    </w:rPr>
  </w:style>
  <w:style w:type="character" w:customStyle="1" w:styleId="SingleTxtGChar">
    <w:name w:val="_ Single Txt_G Char"/>
    <w:basedOn w:val="a0"/>
    <w:link w:val="SingleTxtG"/>
    <w:locked/>
    <w:rsid w:val="00D97DEA"/>
    <w:rPr>
      <w:lang w:val="ru-RU" w:eastAsia="en-US"/>
    </w:rPr>
  </w:style>
  <w:style w:type="character" w:styleId="af3">
    <w:name w:val="Unresolved Mention"/>
    <w:basedOn w:val="a0"/>
    <w:uiPriority w:val="99"/>
    <w:semiHidden/>
    <w:unhideWhenUsed/>
    <w:rsid w:val="00E437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undocs.org/ru/CAT/C/IRQ/CO/1" TargetMode="External"/><Relationship Id="rId13" Type="http://schemas.openxmlformats.org/officeDocument/2006/relationships/hyperlink" Target="http://undocs.org/en/CCPR/C/IRQ/CO/6" TargetMode="External"/><Relationship Id="rId18" Type="http://schemas.openxmlformats.org/officeDocument/2006/relationships/hyperlink" Target="http://undocs.org/ru/CAT/C/IRQ/CO/1" TargetMode="External"/><Relationship Id="rId26" Type="http://schemas.openxmlformats.org/officeDocument/2006/relationships/hyperlink" Target="http://undocs.org/ru/CAT/C/IRQ/CO/1" TargetMode="External"/><Relationship Id="rId3" Type="http://schemas.openxmlformats.org/officeDocument/2006/relationships/hyperlink" Target="http://undocs.org/en/CAT/C/SR.1890" TargetMode="External"/><Relationship Id="rId21" Type="http://schemas.openxmlformats.org/officeDocument/2006/relationships/hyperlink" Target="http://undocs.org/ru/CAT/C/IRQ/CO/1" TargetMode="External"/><Relationship Id="rId7" Type="http://schemas.openxmlformats.org/officeDocument/2006/relationships/hyperlink" Target="http://undocs.org/en/CAT/C/IRQ/CO/1/Corr.1" TargetMode="External"/><Relationship Id="rId12" Type="http://schemas.openxmlformats.org/officeDocument/2006/relationships/hyperlink" Target="http://undocs.org/ru/CED/C/IRQ/OAI/1" TargetMode="External"/><Relationship Id="rId17" Type="http://schemas.openxmlformats.org/officeDocument/2006/relationships/hyperlink" Target="http://undocs.org/ru/CED/C/IRQ/OAI/1" TargetMode="External"/><Relationship Id="rId25" Type="http://schemas.openxmlformats.org/officeDocument/2006/relationships/hyperlink" Target="http://undocs.org/en/CCPR/C/IRQ/CO/6" TargetMode="External"/><Relationship Id="rId2" Type="http://schemas.openxmlformats.org/officeDocument/2006/relationships/hyperlink" Target="http://undocs.org/en/20CAT/C/SR.1887" TargetMode="External"/><Relationship Id="rId16" Type="http://schemas.openxmlformats.org/officeDocument/2006/relationships/hyperlink" Target="http://undocs.org/en/CCPR/C/IRQ/CO/6" TargetMode="External"/><Relationship Id="rId20" Type="http://schemas.openxmlformats.org/officeDocument/2006/relationships/hyperlink" Target="http://undocs.org/en/CCPR/C/IRQ/CO/6" TargetMode="External"/><Relationship Id="rId29" Type="http://schemas.openxmlformats.org/officeDocument/2006/relationships/hyperlink" Target="http://undocs.org/en/CCPR/C/IRQ/CO/6" TargetMode="External"/><Relationship Id="rId1" Type="http://schemas.openxmlformats.org/officeDocument/2006/relationships/hyperlink" Target="http://undocs.org/en/CAT/C/IRQ/2" TargetMode="External"/><Relationship Id="rId6" Type="http://schemas.openxmlformats.org/officeDocument/2006/relationships/hyperlink" Target="http://undocs.org/ru/CAT/C/IRQ/CO/1" TargetMode="External"/><Relationship Id="rId11" Type="http://schemas.openxmlformats.org/officeDocument/2006/relationships/hyperlink" Target="http://undocs.org/ru/A/HRC/43/14/Add.1" TargetMode="External"/><Relationship Id="rId24" Type="http://schemas.openxmlformats.org/officeDocument/2006/relationships/hyperlink" Target="http://undocs.org/ru/CED/C/IRQ/OAI/1" TargetMode="External"/><Relationship Id="rId5" Type="http://schemas.openxmlformats.org/officeDocument/2006/relationships/hyperlink" Target="http://undocs.org/en/CAT/C/IRQ/Q/2" TargetMode="External"/><Relationship Id="rId15" Type="http://schemas.openxmlformats.org/officeDocument/2006/relationships/hyperlink" Target="http://undocs.org/ru/CAT/C/IRQ/CO/1" TargetMode="External"/><Relationship Id="rId23" Type="http://schemas.openxmlformats.org/officeDocument/2006/relationships/hyperlink" Target="http://undocs.org/en/CCPR/C/IRQ/CO/6" TargetMode="External"/><Relationship Id="rId28" Type="http://schemas.openxmlformats.org/officeDocument/2006/relationships/hyperlink" Target="http://undocs.org/ru/CAT/C/IRQ/CO/1" TargetMode="External"/><Relationship Id="rId10" Type="http://schemas.openxmlformats.org/officeDocument/2006/relationships/hyperlink" Target="http://undocs.org/ru/A/HRC/43/14" TargetMode="External"/><Relationship Id="rId19" Type="http://schemas.openxmlformats.org/officeDocument/2006/relationships/hyperlink" Target="http://undocs.org/ru/CAT/C/IRQ/CO/1" TargetMode="External"/><Relationship Id="rId4" Type="http://schemas.openxmlformats.org/officeDocument/2006/relationships/hyperlink" Target="http://undocs.org/en/CAT/C/IRQ/RQ/2" TargetMode="External"/><Relationship Id="rId9" Type="http://schemas.openxmlformats.org/officeDocument/2006/relationships/hyperlink" Target="http://undocs.org/en/CCPR/C/IRQ/CO/6" TargetMode="External"/><Relationship Id="rId14" Type="http://schemas.openxmlformats.org/officeDocument/2006/relationships/hyperlink" Target="http://undocs.org/ru/CED/C/IRQ/OAI/1" TargetMode="External"/><Relationship Id="rId22" Type="http://schemas.openxmlformats.org/officeDocument/2006/relationships/hyperlink" Target="http://undocs.org/ru/S/2022/46" TargetMode="External"/><Relationship Id="rId27" Type="http://schemas.openxmlformats.org/officeDocument/2006/relationships/hyperlink" Target="http://undocs.org/en/CCPR/C/IRQ/CO/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AT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0</TotalTime>
  <Pages>14</Pages>
  <Words>5280</Words>
  <Characters>37436</Characters>
  <Application>Microsoft Office Word</Application>
  <DocSecurity>0</DocSecurity>
  <Lines>668</Lines>
  <Paragraphs>139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CAT/C/IRQ/CO/2</vt:lpstr>
      <vt:lpstr>A/</vt:lpstr>
      <vt:lpstr>A/</vt:lpstr>
      <vt:lpstr>A/</vt:lpstr>
    </vt:vector>
  </TitlesOfParts>
  <Company>DCM</Company>
  <LinksUpToDate>false</LinksUpToDate>
  <CharactersWithSpaces>42577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CAT/C/IRQ/CO/2</dc:title>
  <dc:subject/>
  <dc:creator>Shuvalova NATALIA</dc:creator>
  <cp:keywords/>
  <cp:lastModifiedBy>Natalia Shuvalova</cp:lastModifiedBy>
  <cp:revision>2</cp:revision>
  <cp:lastPrinted>2008-01-15T07:58:00Z</cp:lastPrinted>
  <dcterms:created xsi:type="dcterms:W3CDTF">2022-11-10T13:56:00Z</dcterms:created>
  <dcterms:modified xsi:type="dcterms:W3CDTF">2022-11-10T13:56:00Z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