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006F28DF" w14:textId="77777777" w:rsidTr="00B456A0">
        <w:trPr>
          <w:trHeight w:hRule="exact" w:val="810"/>
        </w:trPr>
        <w:tc>
          <w:tcPr>
            <w:tcW w:w="1266" w:type="dxa"/>
            <w:tcBorders>
              <w:top w:val="nil"/>
              <w:bottom w:val="single" w:sz="4" w:space="0" w:color="auto"/>
            </w:tcBorders>
            <w:shd w:val="clear" w:color="auto" w:fill="auto"/>
          </w:tcPr>
          <w:p w14:paraId="456ABA8D" w14:textId="77777777" w:rsidR="00712059" w:rsidRPr="00CA35DF" w:rsidRDefault="00712059" w:rsidP="001C0FE0">
            <w:pPr>
              <w:kinsoku w:val="0"/>
              <w:overflowPunct w:val="0"/>
              <w:autoSpaceDE w:val="0"/>
              <w:autoSpaceDN w:val="0"/>
              <w:adjustRightInd w:val="0"/>
              <w:snapToGrid w:val="0"/>
              <w:spacing w:after="80" w:line="480" w:lineRule="exact"/>
              <w:rPr>
                <w:rFonts w:hint="cs"/>
                <w:szCs w:val="40"/>
              </w:rPr>
            </w:pPr>
          </w:p>
        </w:tc>
        <w:tc>
          <w:tcPr>
            <w:tcW w:w="4767" w:type="dxa"/>
            <w:tcBorders>
              <w:top w:val="nil"/>
              <w:bottom w:val="single" w:sz="4" w:space="0" w:color="auto"/>
            </w:tcBorders>
            <w:shd w:val="clear" w:color="auto" w:fill="auto"/>
            <w:vAlign w:val="bottom"/>
          </w:tcPr>
          <w:p w14:paraId="2A839A7A"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15C9F957" w14:textId="3655B66D" w:rsidR="006B3E27" w:rsidRPr="000A70C3" w:rsidRDefault="000A70C3" w:rsidP="000A70C3">
            <w:pPr>
              <w:bidi w:val="0"/>
              <w:rPr>
                <w:szCs w:val="20"/>
              </w:rPr>
            </w:pPr>
            <w:r w:rsidRPr="00DE6894">
              <w:rPr>
                <w:sz w:val="40"/>
                <w:szCs w:val="20"/>
              </w:rPr>
              <w:t>CAT</w:t>
            </w:r>
            <w:r w:rsidRPr="00DE6894">
              <w:rPr>
                <w:szCs w:val="20"/>
              </w:rPr>
              <w:t>/C/</w:t>
            </w:r>
            <w:proofErr w:type="spellStart"/>
            <w:r w:rsidRPr="00DE6894">
              <w:rPr>
                <w:szCs w:val="20"/>
              </w:rPr>
              <w:t>IRQ</w:t>
            </w:r>
            <w:proofErr w:type="spellEnd"/>
            <w:r w:rsidRPr="00DE6894">
              <w:rPr>
                <w:szCs w:val="20"/>
              </w:rPr>
              <w:t>/CO/</w:t>
            </w:r>
            <w:r w:rsidRPr="00DE6894">
              <w:t>2</w:t>
            </w:r>
          </w:p>
        </w:tc>
      </w:tr>
      <w:tr w:rsidR="006B3E27" w:rsidRPr="00CA35DF" w14:paraId="4FD2F6AB" w14:textId="77777777" w:rsidTr="00B456A0">
        <w:trPr>
          <w:trHeight w:hRule="exact" w:val="2835"/>
        </w:trPr>
        <w:tc>
          <w:tcPr>
            <w:tcW w:w="1266" w:type="dxa"/>
            <w:tcBorders>
              <w:top w:val="nil"/>
              <w:bottom w:val="single" w:sz="12" w:space="0" w:color="auto"/>
            </w:tcBorders>
            <w:shd w:val="clear" w:color="auto" w:fill="auto"/>
          </w:tcPr>
          <w:p w14:paraId="437F9135" w14:textId="77777777" w:rsidR="006B3E27" w:rsidRPr="00CA35DF" w:rsidRDefault="00261289" w:rsidP="00CA35DF">
            <w:pPr>
              <w:jc w:val="center"/>
              <w:rPr>
                <w:rtl/>
              </w:rPr>
            </w:pPr>
            <w:r w:rsidRPr="00CA35DF">
              <w:rPr>
                <w:noProof/>
                <w:rtl/>
              </w:rPr>
              <w:drawing>
                <wp:inline distT="0" distB="0" distL="0" distR="0" wp14:anchorId="25EC9853" wp14:editId="009C661F">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0FF27FD1" w14:textId="77777777" w:rsidR="00A67AF5" w:rsidRPr="00CA35DF" w:rsidRDefault="00817373" w:rsidP="00D3653E">
            <w:pPr>
              <w:spacing w:before="120" w:after="40" w:line="580" w:lineRule="exact"/>
              <w:ind w:left="57"/>
              <w:rPr>
                <w:b/>
                <w:bCs/>
                <w:sz w:val="42"/>
                <w:szCs w:val="42"/>
              </w:rPr>
            </w:pPr>
            <w:r w:rsidRPr="00CA35DF">
              <w:rPr>
                <w:rFonts w:hint="cs"/>
                <w:b/>
                <w:bCs/>
                <w:sz w:val="42"/>
                <w:szCs w:val="42"/>
                <w:rtl/>
              </w:rPr>
              <w:t xml:space="preserve">اتفاقية مناهضة التعذيب وغيره من ضروب </w:t>
            </w:r>
            <w:proofErr w:type="gramStart"/>
            <w:r w:rsidRPr="00CA35DF">
              <w:rPr>
                <w:rFonts w:hint="cs"/>
                <w:b/>
                <w:bCs/>
                <w:sz w:val="42"/>
                <w:szCs w:val="42"/>
                <w:rtl/>
              </w:rPr>
              <w:t>المعاملة</w:t>
            </w:r>
            <w:proofErr w:type="gramEnd"/>
            <w:r w:rsidRPr="00CA35DF">
              <w:rPr>
                <w:rFonts w:hint="cs"/>
                <w:b/>
                <w:bCs/>
                <w:sz w:val="42"/>
                <w:szCs w:val="42"/>
                <w:rtl/>
              </w:rPr>
              <w:t xml:space="preserve"> أو العقوبة القاسية أو اللاإنسانية أو المهينة</w:t>
            </w:r>
          </w:p>
        </w:tc>
        <w:tc>
          <w:tcPr>
            <w:tcW w:w="3598" w:type="dxa"/>
            <w:tcBorders>
              <w:top w:val="nil"/>
              <w:bottom w:val="single" w:sz="12" w:space="0" w:color="auto"/>
            </w:tcBorders>
            <w:shd w:val="clear" w:color="auto" w:fill="auto"/>
          </w:tcPr>
          <w:p w14:paraId="42269A3E" w14:textId="1B56C060" w:rsidR="006B3E27" w:rsidRDefault="000A70C3" w:rsidP="00EE56C3">
            <w:pPr>
              <w:bidi w:val="0"/>
              <w:spacing w:before="240"/>
              <w:rPr>
                <w:szCs w:val="20"/>
              </w:rPr>
            </w:pPr>
            <w:r>
              <w:rPr>
                <w:szCs w:val="20"/>
              </w:rPr>
              <w:t>Dist</w:t>
            </w:r>
            <w:r w:rsidR="00DE6894" w:rsidRPr="00DE6894">
              <w:rPr>
                <w:color w:val="000000"/>
                <w:szCs w:val="20"/>
              </w:rPr>
              <w:t>r.:</w:t>
            </w:r>
            <w:r>
              <w:rPr>
                <w:szCs w:val="20"/>
              </w:rPr>
              <w:t xml:space="preserve"> General</w:t>
            </w:r>
          </w:p>
          <w:p w14:paraId="106C4750" w14:textId="6E20487D" w:rsidR="000A70C3" w:rsidRDefault="00293066" w:rsidP="000A70C3">
            <w:pPr>
              <w:bidi w:val="0"/>
              <w:spacing w:line="240" w:lineRule="exact"/>
              <w:jc w:val="left"/>
              <w:rPr>
                <w:szCs w:val="20"/>
              </w:rPr>
            </w:pPr>
            <w:r>
              <w:t>15 June 2022</w:t>
            </w:r>
          </w:p>
          <w:p w14:paraId="1C3FBB03" w14:textId="77777777" w:rsidR="000A70C3" w:rsidRDefault="000A70C3" w:rsidP="000A70C3">
            <w:pPr>
              <w:bidi w:val="0"/>
              <w:spacing w:line="240" w:lineRule="exact"/>
              <w:jc w:val="left"/>
              <w:rPr>
                <w:szCs w:val="20"/>
              </w:rPr>
            </w:pPr>
            <w:r>
              <w:rPr>
                <w:szCs w:val="20"/>
              </w:rPr>
              <w:t>Arabic</w:t>
            </w:r>
          </w:p>
          <w:p w14:paraId="651E2088" w14:textId="74491476" w:rsidR="000A70C3" w:rsidRPr="000A70C3" w:rsidRDefault="000A70C3" w:rsidP="000A70C3">
            <w:pPr>
              <w:bidi w:val="0"/>
              <w:spacing w:line="240" w:lineRule="exact"/>
              <w:jc w:val="left"/>
              <w:rPr>
                <w:szCs w:val="20"/>
              </w:rPr>
            </w:pPr>
            <w:r>
              <w:rPr>
                <w:szCs w:val="20"/>
              </w:rPr>
              <w:t>Origina</w:t>
            </w:r>
            <w:r w:rsidR="00DE6894" w:rsidRPr="00DE6894">
              <w:rPr>
                <w:color w:val="000000"/>
                <w:szCs w:val="20"/>
              </w:rPr>
              <w:t xml:space="preserve">l: </w:t>
            </w:r>
            <w:r>
              <w:rPr>
                <w:szCs w:val="20"/>
              </w:rPr>
              <w:t>English</w:t>
            </w:r>
          </w:p>
        </w:tc>
      </w:tr>
    </w:tbl>
    <w:p w14:paraId="1F837150" w14:textId="33F4A67B" w:rsidR="00442C63" w:rsidRPr="004D1929" w:rsidRDefault="00442C63" w:rsidP="004D1929">
      <w:pPr>
        <w:spacing w:before="120" w:line="360" w:lineRule="exact"/>
        <w:textDirection w:val="tbRlV"/>
        <w:rPr>
          <w:rFonts w:eastAsiaTheme="minorEastAsia"/>
          <w:sz w:val="24"/>
          <w:szCs w:val="24"/>
          <w:lang w:val="ar-SA" w:eastAsia="zh-TW" w:bidi="en-GB"/>
        </w:rPr>
      </w:pPr>
      <w:r w:rsidRPr="004D1929">
        <w:rPr>
          <w:b/>
          <w:bCs/>
          <w:sz w:val="24"/>
          <w:szCs w:val="26"/>
          <w:rtl/>
        </w:rPr>
        <w:t>لجنة مناهضة التعذيب</w:t>
      </w:r>
    </w:p>
    <w:p w14:paraId="109EC7F5" w14:textId="77777777" w:rsidR="00442C63" w:rsidRPr="000579D6" w:rsidRDefault="00442C63" w:rsidP="004D1929">
      <w:pPr>
        <w:pStyle w:val="HChGA"/>
        <w:rPr>
          <w:szCs w:val="20"/>
          <w:lang w:val="en-US" w:eastAsia="zh-TW" w:bidi="en-GB"/>
        </w:rPr>
      </w:pPr>
      <w:r>
        <w:rPr>
          <w:rtl/>
        </w:rPr>
        <w:tab/>
      </w:r>
      <w:r>
        <w:rPr>
          <w:rtl/>
        </w:rPr>
        <w:tab/>
        <w:t>الملاحظات الختامية بشأن التقرير الدوري الثاني للعراق</w:t>
      </w:r>
      <w:r w:rsidRPr="000579D6">
        <w:rPr>
          <w:sz w:val="22"/>
          <w:szCs w:val="22"/>
          <w:rtl/>
        </w:rPr>
        <w:footnoteReference w:customMarkFollows="1" w:id="1"/>
        <w:t>*</w:t>
      </w:r>
    </w:p>
    <w:p w14:paraId="3669B6D4" w14:textId="67D6FD0C" w:rsidR="00442C63" w:rsidRPr="00E75A98" w:rsidRDefault="00442C63" w:rsidP="004D1929">
      <w:pPr>
        <w:pStyle w:val="SingleTxtGA"/>
        <w:rPr>
          <w:szCs w:val="20"/>
          <w:lang w:val="ar-SA" w:eastAsia="zh-TW" w:bidi="en-GB"/>
        </w:rPr>
      </w:pPr>
      <w:r w:rsidRPr="00442C63">
        <w:rPr>
          <w:rtl/>
        </w:rPr>
        <w:t>1</w:t>
      </w:r>
      <w:r>
        <w:rPr>
          <w:rFonts w:ascii="Traditional Arabic"/>
          <w:szCs w:val="20"/>
          <w:rtl/>
        </w:rPr>
        <w:t>-</w:t>
      </w:r>
      <w:r>
        <w:rPr>
          <w:rtl/>
        </w:rPr>
        <w:tab/>
        <w:t xml:space="preserve">نظرت لجنة مناهضة التعذيب في التقرير الدوري الثاني </w:t>
      </w:r>
      <w:proofErr w:type="gramStart"/>
      <w:r>
        <w:rPr>
          <w:rtl/>
        </w:rPr>
        <w:t>للعراق</w:t>
      </w:r>
      <w:r w:rsidR="00DE6894" w:rsidRPr="00DE6894">
        <w:rPr>
          <w:sz w:val="18"/>
          <w:vertAlign w:val="superscript"/>
          <w:rtl/>
        </w:rPr>
        <w:t>(</w:t>
      </w:r>
      <w:proofErr w:type="gramEnd"/>
      <w:r w:rsidR="00DE6894" w:rsidRPr="00E75A98">
        <w:rPr>
          <w:sz w:val="18"/>
          <w:vertAlign w:val="superscript"/>
          <w:rtl/>
        </w:rPr>
        <w:footnoteReference w:id="2"/>
      </w:r>
      <w:r w:rsidR="00DE6894">
        <w:rPr>
          <w:sz w:val="18"/>
          <w:vertAlign w:val="superscript"/>
          <w:rtl/>
        </w:rPr>
        <w:t>)</w:t>
      </w:r>
      <w:r>
        <w:rPr>
          <w:rtl/>
        </w:rPr>
        <w:t xml:space="preserve"> في جلستيها </w:t>
      </w:r>
      <w:r w:rsidRPr="00442C63">
        <w:rPr>
          <w:rtl/>
        </w:rPr>
        <w:t>1887</w:t>
      </w:r>
      <w:r>
        <w:rPr>
          <w:rtl/>
        </w:rPr>
        <w:t xml:space="preserve"> </w:t>
      </w:r>
      <w:proofErr w:type="spellStart"/>
      <w:r>
        <w:rPr>
          <w:rtl/>
        </w:rPr>
        <w:t>و</w:t>
      </w:r>
      <w:r w:rsidRPr="00442C63">
        <w:rPr>
          <w:rtl/>
        </w:rPr>
        <w:t>1890</w:t>
      </w:r>
      <w:proofErr w:type="spellEnd"/>
      <w:r w:rsidR="00DE6894" w:rsidRPr="00DE6894">
        <w:rPr>
          <w:sz w:val="18"/>
          <w:vertAlign w:val="superscript"/>
          <w:rtl/>
        </w:rPr>
        <w:t>(</w:t>
      </w:r>
      <w:r w:rsidR="00DE6894" w:rsidRPr="00E75A98">
        <w:rPr>
          <w:sz w:val="18"/>
          <w:vertAlign w:val="superscript"/>
          <w:rtl/>
        </w:rPr>
        <w:footnoteReference w:id="3"/>
      </w:r>
      <w:r w:rsidR="00DE6894">
        <w:rPr>
          <w:sz w:val="18"/>
          <w:vertAlign w:val="superscript"/>
          <w:rtl/>
        </w:rPr>
        <w:t>)</w:t>
      </w:r>
      <w:r>
        <w:rPr>
          <w:rtl/>
        </w:rPr>
        <w:t xml:space="preserve"> المعقودتين في </w:t>
      </w:r>
      <w:r w:rsidRPr="00442C63">
        <w:rPr>
          <w:rtl/>
        </w:rPr>
        <w:t>26</w:t>
      </w:r>
      <w:r>
        <w:rPr>
          <w:rtl/>
        </w:rPr>
        <w:t xml:space="preserve"> </w:t>
      </w:r>
      <w:proofErr w:type="spellStart"/>
      <w:r>
        <w:rPr>
          <w:rtl/>
        </w:rPr>
        <w:t>و</w:t>
      </w:r>
      <w:r w:rsidRPr="00442C63">
        <w:rPr>
          <w:rtl/>
        </w:rPr>
        <w:t>27</w:t>
      </w:r>
      <w:proofErr w:type="spellEnd"/>
      <w:r>
        <w:rPr>
          <w:rtl/>
        </w:rPr>
        <w:t xml:space="preserve"> نيسان/أبريل </w:t>
      </w:r>
      <w:r w:rsidRPr="00442C63">
        <w:rPr>
          <w:rtl/>
        </w:rPr>
        <w:t>2022</w:t>
      </w:r>
      <w:r>
        <w:rPr>
          <w:rtl/>
        </w:rPr>
        <w:t xml:space="preserve">، واعتمدت هذه الملاحظات الختامية في جلستها </w:t>
      </w:r>
      <w:r w:rsidRPr="00442C63">
        <w:rPr>
          <w:rtl/>
        </w:rPr>
        <w:t>1903</w:t>
      </w:r>
      <w:r>
        <w:rPr>
          <w:rtl/>
        </w:rPr>
        <w:t xml:space="preserve"> المعقودة في </w:t>
      </w:r>
      <w:r w:rsidRPr="00442C63">
        <w:rPr>
          <w:rtl/>
        </w:rPr>
        <w:t>9</w:t>
      </w:r>
      <w:r>
        <w:rPr>
          <w:rtl/>
        </w:rPr>
        <w:t xml:space="preserve"> أيار/مايو </w:t>
      </w:r>
      <w:r w:rsidRPr="00442C63">
        <w:rPr>
          <w:rtl/>
        </w:rPr>
        <w:t>202</w:t>
      </w:r>
      <w:r w:rsidR="00DE6894" w:rsidRPr="00DE6894">
        <w:rPr>
          <w:color w:val="000000"/>
          <w:rtl/>
        </w:rPr>
        <w:t xml:space="preserve">2. </w:t>
      </w:r>
    </w:p>
    <w:p w14:paraId="1097BF08" w14:textId="4670787D" w:rsidR="00442C63" w:rsidRPr="00E75A98" w:rsidRDefault="00442C63" w:rsidP="00442C63">
      <w:pPr>
        <w:pStyle w:val="H1GA"/>
        <w:rPr>
          <w:szCs w:val="20"/>
          <w:lang w:val="ar-SA" w:eastAsia="zh-TW" w:bidi="en-GB"/>
        </w:rPr>
      </w:pPr>
      <w:r>
        <w:rPr>
          <w:rtl/>
        </w:rPr>
        <w:tab/>
        <w:t>ألف-</w:t>
      </w:r>
      <w:r>
        <w:rPr>
          <w:rtl/>
        </w:rPr>
        <w:tab/>
        <w:t>مقدمة</w:t>
      </w:r>
    </w:p>
    <w:p w14:paraId="28884B7B" w14:textId="79AD7CD4" w:rsidR="00442C63" w:rsidRPr="00DE6894" w:rsidRDefault="00442C63" w:rsidP="00442C63">
      <w:pPr>
        <w:pStyle w:val="SingleTxtGA"/>
        <w:rPr>
          <w:szCs w:val="20"/>
          <w:lang w:val="en-US" w:eastAsia="zh-TW" w:bidi="en-GB"/>
        </w:rPr>
      </w:pPr>
      <w:r w:rsidRPr="00442C63">
        <w:rPr>
          <w:rtl/>
        </w:rPr>
        <w:t>2</w:t>
      </w:r>
      <w:r>
        <w:rPr>
          <w:rFonts w:ascii="Traditional Arabic"/>
          <w:szCs w:val="20"/>
          <w:rtl/>
        </w:rPr>
        <w:t>-</w:t>
      </w:r>
      <w:r>
        <w:rPr>
          <w:rtl/>
        </w:rPr>
        <w:tab/>
        <w:t xml:space="preserve">ترحب اللجنة بتقديم الدولة الطرف تقريرها الدوري الثاني في الوقت المناسب. وتعرب عن تقديرها للردود </w:t>
      </w:r>
      <w:proofErr w:type="gramStart"/>
      <w:r>
        <w:rPr>
          <w:rtl/>
        </w:rPr>
        <w:t>الكتابية</w:t>
      </w:r>
      <w:r w:rsidR="00DE6894" w:rsidRPr="00DE6894">
        <w:rPr>
          <w:sz w:val="18"/>
          <w:vertAlign w:val="superscript"/>
          <w:rtl/>
        </w:rPr>
        <w:t>(</w:t>
      </w:r>
      <w:proofErr w:type="gramEnd"/>
      <w:r w:rsidR="00DE6894" w:rsidRPr="00E75A98">
        <w:rPr>
          <w:sz w:val="18"/>
          <w:vertAlign w:val="superscript"/>
          <w:rtl/>
        </w:rPr>
        <w:footnoteReference w:id="4"/>
      </w:r>
      <w:r w:rsidR="00DE6894">
        <w:rPr>
          <w:sz w:val="18"/>
          <w:vertAlign w:val="superscript"/>
          <w:rtl/>
        </w:rPr>
        <w:t>)</w:t>
      </w:r>
      <w:r>
        <w:rPr>
          <w:rtl/>
        </w:rPr>
        <w:t xml:space="preserve"> التي قدمتها الدولة الطرف على قائمة المسائل</w:t>
      </w:r>
      <w:r w:rsidR="00DE6894" w:rsidRPr="00DE6894">
        <w:rPr>
          <w:sz w:val="18"/>
          <w:vertAlign w:val="superscript"/>
          <w:rtl/>
        </w:rPr>
        <w:t>(</w:t>
      </w:r>
      <w:r w:rsidR="00DE6894" w:rsidRPr="00E75A98">
        <w:rPr>
          <w:sz w:val="18"/>
          <w:vertAlign w:val="superscript"/>
          <w:rtl/>
        </w:rPr>
        <w:footnoteReference w:id="5"/>
      </w:r>
      <w:r w:rsidR="00DE6894">
        <w:rPr>
          <w:sz w:val="18"/>
          <w:vertAlign w:val="superscript"/>
          <w:rtl/>
        </w:rPr>
        <w:t>)</w:t>
      </w:r>
      <w:r>
        <w:rPr>
          <w:rtl/>
        </w:rPr>
        <w:t xml:space="preserve">، وللمعلومات التكميلية التي أتاحتها أثناء النظر في التقرير الدوري. </w:t>
      </w:r>
    </w:p>
    <w:p w14:paraId="0FC482A8" w14:textId="73A4C74A" w:rsidR="00442C63" w:rsidRPr="00E75A98" w:rsidRDefault="00442C63" w:rsidP="00442C63">
      <w:pPr>
        <w:pStyle w:val="SingleTxtGA"/>
        <w:rPr>
          <w:szCs w:val="20"/>
          <w:lang w:val="ar-SA" w:eastAsia="zh-TW" w:bidi="en-GB"/>
        </w:rPr>
      </w:pPr>
      <w:r w:rsidRPr="00442C63">
        <w:rPr>
          <w:rtl/>
        </w:rPr>
        <w:t>3</w:t>
      </w:r>
      <w:r>
        <w:rPr>
          <w:rFonts w:ascii="Traditional Arabic"/>
          <w:szCs w:val="20"/>
          <w:rtl/>
        </w:rPr>
        <w:t>-</w:t>
      </w:r>
      <w:r>
        <w:rPr>
          <w:rtl/>
        </w:rPr>
        <w:tab/>
        <w:t>وتعرب اللجنة أيضا</w:t>
      </w:r>
      <w:r w:rsidR="00310DA0">
        <w:rPr>
          <w:rFonts w:hint="cs"/>
          <w:rtl/>
        </w:rPr>
        <w:t>ً</w:t>
      </w:r>
      <w:r>
        <w:rPr>
          <w:rtl/>
        </w:rPr>
        <w:t xml:space="preserve"> عن تقديرها للفرصة التي أُتيحت لها لإجراء حوار بناء مع وفد الدولة الطرف، لكنها تبدي أسفها لعدم ردِّ هذه الأخيرة على بعض أسئلتها.</w:t>
      </w:r>
    </w:p>
    <w:p w14:paraId="00D519C3" w14:textId="63CB2A66" w:rsidR="00442C63" w:rsidRPr="00E75A98" w:rsidRDefault="00442C63" w:rsidP="00442C63">
      <w:pPr>
        <w:pStyle w:val="H1GA"/>
        <w:rPr>
          <w:szCs w:val="20"/>
          <w:lang w:val="ar-SA" w:eastAsia="zh-TW" w:bidi="en-GB"/>
        </w:rPr>
      </w:pPr>
      <w:r>
        <w:rPr>
          <w:rtl/>
        </w:rPr>
        <w:tab/>
        <w:t>باء-</w:t>
      </w:r>
      <w:r>
        <w:rPr>
          <w:rtl/>
        </w:rPr>
        <w:tab/>
        <w:t>الجوانب الإيجابية</w:t>
      </w:r>
    </w:p>
    <w:p w14:paraId="0A4A0032" w14:textId="77777777" w:rsidR="00442C63" w:rsidRPr="00E75A98" w:rsidRDefault="00442C63" w:rsidP="00442C63">
      <w:pPr>
        <w:pStyle w:val="SingleTxtGA"/>
        <w:rPr>
          <w:szCs w:val="20"/>
          <w:lang w:val="ar-SA" w:eastAsia="zh-TW" w:bidi="en-GB"/>
        </w:rPr>
      </w:pPr>
      <w:r w:rsidRPr="00442C63">
        <w:rPr>
          <w:rtl/>
        </w:rPr>
        <w:t>4</w:t>
      </w:r>
      <w:r>
        <w:rPr>
          <w:rFonts w:ascii="Traditional Arabic"/>
          <w:szCs w:val="20"/>
          <w:rtl/>
        </w:rPr>
        <w:t>-</w:t>
      </w:r>
      <w:r>
        <w:rPr>
          <w:rtl/>
        </w:rPr>
        <w:tab/>
        <w:t>ترحب اللجنة بالمبادرات التي اتخذتها الدولة الطرف لتنقيح تشريعاتها ووضع أخرى في مجالات ذات صلة بالاتفاقية، بما في ذلك اعتماد ما يلي:</w:t>
      </w:r>
    </w:p>
    <w:p w14:paraId="53F6340A" w14:textId="191058DD" w:rsidR="00442C63" w:rsidRPr="000F1D4A" w:rsidRDefault="00442C63" w:rsidP="00442C63">
      <w:pPr>
        <w:pStyle w:val="SingleTxtGA"/>
        <w:rPr>
          <w:szCs w:val="20"/>
          <w:rtl/>
          <w:lang w:eastAsia="zh-TW"/>
        </w:rPr>
      </w:pPr>
      <w:r>
        <w:rPr>
          <w:rtl/>
        </w:rPr>
        <w:tab/>
        <w:t>(أ)</w:t>
      </w:r>
      <w:r>
        <w:rPr>
          <w:rtl/>
        </w:rPr>
        <w:tab/>
        <w:t xml:space="preserve">قانون الناجيات </w:t>
      </w:r>
      <w:proofErr w:type="spellStart"/>
      <w:r>
        <w:rPr>
          <w:rtl/>
        </w:rPr>
        <w:t>الأيزيديات</w:t>
      </w:r>
      <w:proofErr w:type="spellEnd"/>
      <w:r>
        <w:rPr>
          <w:rtl/>
        </w:rPr>
        <w:t xml:space="preserve"> رقم </w:t>
      </w:r>
      <w:r>
        <w:rPr>
          <w:rFonts w:ascii="Traditional Arabic"/>
          <w:szCs w:val="20"/>
          <w:rtl/>
        </w:rPr>
        <w:t>(</w:t>
      </w:r>
      <w:r w:rsidR="00DE6894" w:rsidRPr="00DE6894">
        <w:rPr>
          <w:color w:val="000000"/>
          <w:rtl/>
        </w:rPr>
        <w:t>8</w:t>
      </w:r>
      <w:r w:rsidR="00DE6894" w:rsidRPr="00DE6894">
        <w:rPr>
          <w:rFonts w:ascii="Traditional Arabic"/>
          <w:color w:val="000000"/>
          <w:szCs w:val="20"/>
          <w:rtl/>
        </w:rPr>
        <w:t>)</w:t>
      </w:r>
      <w:r w:rsidR="00DE6894" w:rsidRPr="00DE6894">
        <w:rPr>
          <w:color w:val="000000"/>
          <w:rtl/>
        </w:rPr>
        <w:t xml:space="preserve"> </w:t>
      </w:r>
      <w:r>
        <w:rPr>
          <w:rtl/>
        </w:rPr>
        <w:t xml:space="preserve">لسنة </w:t>
      </w:r>
      <w:r w:rsidRPr="00442C63">
        <w:rPr>
          <w:rtl/>
        </w:rPr>
        <w:t>2021</w:t>
      </w:r>
      <w:r>
        <w:rPr>
          <w:rtl/>
        </w:rPr>
        <w:t>؛</w:t>
      </w:r>
    </w:p>
    <w:p w14:paraId="2737399D" w14:textId="5CAC6386" w:rsidR="00442C63" w:rsidRPr="00E75A98" w:rsidRDefault="00442C63" w:rsidP="00442C63">
      <w:pPr>
        <w:pStyle w:val="SingleTxtGA"/>
        <w:rPr>
          <w:szCs w:val="20"/>
          <w:lang w:val="ar-SA" w:eastAsia="zh-TW" w:bidi="en-GB"/>
        </w:rPr>
      </w:pPr>
      <w:r>
        <w:rPr>
          <w:rtl/>
        </w:rPr>
        <w:tab/>
        <w:t>(ب)</w:t>
      </w:r>
      <w:r>
        <w:rPr>
          <w:rtl/>
        </w:rPr>
        <w:tab/>
        <w:t xml:space="preserve">قانون إصلاح النزلاء والمودعين رقم </w:t>
      </w:r>
      <w:r>
        <w:rPr>
          <w:rFonts w:ascii="Traditional Arabic"/>
          <w:szCs w:val="20"/>
          <w:rtl/>
        </w:rPr>
        <w:t>(</w:t>
      </w:r>
      <w:r w:rsidRPr="00442C63">
        <w:rPr>
          <w:rtl/>
        </w:rPr>
        <w:t>1</w:t>
      </w:r>
      <w:r w:rsidR="00DE6894" w:rsidRPr="00DE6894">
        <w:rPr>
          <w:color w:val="000000"/>
          <w:rtl/>
        </w:rPr>
        <w:t>4</w:t>
      </w:r>
      <w:r w:rsidR="00DE6894" w:rsidRPr="00DE6894">
        <w:rPr>
          <w:rFonts w:ascii="Traditional Arabic"/>
          <w:color w:val="000000"/>
          <w:szCs w:val="20"/>
          <w:rtl/>
        </w:rPr>
        <w:t>)</w:t>
      </w:r>
      <w:r w:rsidR="00DE6894" w:rsidRPr="00DE6894">
        <w:rPr>
          <w:color w:val="000000"/>
          <w:rtl/>
        </w:rPr>
        <w:t xml:space="preserve"> </w:t>
      </w:r>
      <w:r>
        <w:rPr>
          <w:rtl/>
        </w:rPr>
        <w:t xml:space="preserve">لسنة </w:t>
      </w:r>
      <w:r w:rsidRPr="00442C63">
        <w:rPr>
          <w:rtl/>
        </w:rPr>
        <w:t>2018</w:t>
      </w:r>
      <w:r>
        <w:rPr>
          <w:rtl/>
        </w:rPr>
        <w:t>؛</w:t>
      </w:r>
    </w:p>
    <w:p w14:paraId="0CAA1341" w14:textId="7E870208" w:rsidR="00442C63" w:rsidRPr="00E75A98" w:rsidRDefault="00442C63" w:rsidP="00442C63">
      <w:pPr>
        <w:pStyle w:val="SingleTxtGA"/>
        <w:rPr>
          <w:szCs w:val="20"/>
          <w:lang w:val="ar-SA" w:eastAsia="zh-TW" w:bidi="en-GB"/>
        </w:rPr>
      </w:pPr>
      <w:r>
        <w:rPr>
          <w:rtl/>
        </w:rPr>
        <w:tab/>
        <w:t>(ج)</w:t>
      </w:r>
      <w:r>
        <w:rPr>
          <w:rtl/>
        </w:rPr>
        <w:tab/>
        <w:t xml:space="preserve">قانون حماية الشهود والخبراء والمخبرين والمجني عليهم رقم </w:t>
      </w:r>
      <w:r>
        <w:rPr>
          <w:rFonts w:ascii="Traditional Arabic"/>
          <w:szCs w:val="20"/>
          <w:rtl/>
        </w:rPr>
        <w:t>(</w:t>
      </w:r>
      <w:r w:rsidRPr="00442C63">
        <w:rPr>
          <w:rtl/>
        </w:rPr>
        <w:t>5</w:t>
      </w:r>
      <w:r w:rsidR="00DE6894" w:rsidRPr="00DE6894">
        <w:rPr>
          <w:color w:val="000000"/>
          <w:rtl/>
        </w:rPr>
        <w:t>8</w:t>
      </w:r>
      <w:r w:rsidR="00DE6894" w:rsidRPr="00DE6894">
        <w:rPr>
          <w:rFonts w:ascii="Traditional Arabic"/>
          <w:color w:val="000000"/>
          <w:szCs w:val="20"/>
          <w:rtl/>
        </w:rPr>
        <w:t>)</w:t>
      </w:r>
      <w:r w:rsidR="00DE6894" w:rsidRPr="00DE6894">
        <w:rPr>
          <w:color w:val="000000"/>
          <w:rtl/>
        </w:rPr>
        <w:t xml:space="preserve"> </w:t>
      </w:r>
      <w:r>
        <w:rPr>
          <w:rtl/>
        </w:rPr>
        <w:t xml:space="preserve">لسنة </w:t>
      </w:r>
      <w:r w:rsidRPr="00442C63">
        <w:rPr>
          <w:rtl/>
        </w:rPr>
        <w:t>2017</w:t>
      </w:r>
      <w:r>
        <w:rPr>
          <w:rtl/>
        </w:rPr>
        <w:t>؛</w:t>
      </w:r>
    </w:p>
    <w:p w14:paraId="73B16892" w14:textId="7CD2EB20" w:rsidR="00442C63" w:rsidRPr="00E75A98" w:rsidRDefault="00442C63" w:rsidP="00442C63">
      <w:pPr>
        <w:pStyle w:val="SingleTxtGA"/>
        <w:rPr>
          <w:szCs w:val="20"/>
          <w:lang w:val="ar-SA" w:eastAsia="zh-TW" w:bidi="en-GB"/>
        </w:rPr>
      </w:pPr>
      <w:r>
        <w:rPr>
          <w:rtl/>
        </w:rPr>
        <w:tab/>
        <w:t>(د)</w:t>
      </w:r>
      <w:r>
        <w:rPr>
          <w:rtl/>
        </w:rPr>
        <w:tab/>
        <w:t xml:space="preserve">قانون ضم المعهد القضائي إلى مجلس القضاء الأعلى رقم </w:t>
      </w:r>
      <w:r>
        <w:rPr>
          <w:rFonts w:ascii="Traditional Arabic"/>
          <w:szCs w:val="20"/>
          <w:rtl/>
        </w:rPr>
        <w:t>(</w:t>
      </w:r>
      <w:r w:rsidRPr="00442C63">
        <w:rPr>
          <w:rtl/>
        </w:rPr>
        <w:t>7</w:t>
      </w:r>
      <w:r w:rsidR="00DE6894" w:rsidRPr="00DE6894">
        <w:rPr>
          <w:color w:val="000000"/>
          <w:rtl/>
        </w:rPr>
        <w:t>0</w:t>
      </w:r>
      <w:r w:rsidR="00DE6894" w:rsidRPr="00DE6894">
        <w:rPr>
          <w:rFonts w:ascii="Traditional Arabic"/>
          <w:color w:val="000000"/>
          <w:szCs w:val="20"/>
          <w:rtl/>
        </w:rPr>
        <w:t>)</w:t>
      </w:r>
      <w:r w:rsidR="00DE6894" w:rsidRPr="00DE6894">
        <w:rPr>
          <w:color w:val="000000"/>
          <w:rtl/>
        </w:rPr>
        <w:t xml:space="preserve"> </w:t>
      </w:r>
      <w:r>
        <w:rPr>
          <w:rtl/>
        </w:rPr>
        <w:t xml:space="preserve">لسنة </w:t>
      </w:r>
      <w:r w:rsidRPr="00442C63">
        <w:rPr>
          <w:rtl/>
        </w:rPr>
        <w:t>2017</w:t>
      </w:r>
      <w:r>
        <w:rPr>
          <w:rtl/>
        </w:rPr>
        <w:t>؛</w:t>
      </w:r>
    </w:p>
    <w:p w14:paraId="78059F93" w14:textId="052AA77F" w:rsidR="00442C63" w:rsidRPr="00E75A98" w:rsidRDefault="00442C63" w:rsidP="00442C63">
      <w:pPr>
        <w:pStyle w:val="SingleTxtGA"/>
        <w:rPr>
          <w:szCs w:val="20"/>
          <w:lang w:val="ar-SA" w:eastAsia="zh-TW" w:bidi="en-GB"/>
        </w:rPr>
      </w:pPr>
      <w:r>
        <w:rPr>
          <w:rtl/>
        </w:rPr>
        <w:lastRenderedPageBreak/>
        <w:tab/>
        <w:t>(هـ)</w:t>
      </w:r>
      <w:r>
        <w:rPr>
          <w:rtl/>
        </w:rPr>
        <w:tab/>
        <w:t xml:space="preserve">قانون عمليات زرع الأعضاء البشرية ومنع الاتجار بها رقم </w:t>
      </w:r>
      <w:r>
        <w:rPr>
          <w:rFonts w:ascii="Traditional Arabic"/>
          <w:szCs w:val="20"/>
          <w:rtl/>
        </w:rPr>
        <w:t>(</w:t>
      </w:r>
      <w:r w:rsidRPr="00442C63">
        <w:rPr>
          <w:rtl/>
        </w:rPr>
        <w:t>1</w:t>
      </w:r>
      <w:r w:rsidR="00DE6894" w:rsidRPr="00DE6894">
        <w:rPr>
          <w:color w:val="000000"/>
          <w:rtl/>
        </w:rPr>
        <w:t>1</w:t>
      </w:r>
      <w:r w:rsidR="00DE6894" w:rsidRPr="00DE6894">
        <w:rPr>
          <w:rFonts w:ascii="Traditional Arabic"/>
          <w:color w:val="000000"/>
          <w:szCs w:val="20"/>
          <w:rtl/>
        </w:rPr>
        <w:t>)</w:t>
      </w:r>
      <w:r w:rsidR="00DE6894" w:rsidRPr="00DE6894">
        <w:rPr>
          <w:color w:val="000000"/>
          <w:rtl/>
        </w:rPr>
        <w:t xml:space="preserve"> </w:t>
      </w:r>
      <w:r>
        <w:rPr>
          <w:rtl/>
        </w:rPr>
        <w:t xml:space="preserve">لسنة </w:t>
      </w:r>
      <w:r w:rsidRPr="00442C63">
        <w:rPr>
          <w:rtl/>
        </w:rPr>
        <w:t>2016</w:t>
      </w:r>
      <w:r>
        <w:rPr>
          <w:rtl/>
        </w:rPr>
        <w:t>؛</w:t>
      </w:r>
    </w:p>
    <w:p w14:paraId="0AC7B208" w14:textId="1FAEFF74" w:rsidR="00442C63" w:rsidRPr="00E75A98" w:rsidRDefault="00442C63" w:rsidP="00442C63">
      <w:pPr>
        <w:pStyle w:val="SingleTxtGA"/>
        <w:rPr>
          <w:szCs w:val="20"/>
          <w:lang w:val="ar-SA" w:eastAsia="zh-TW" w:bidi="en-GB"/>
        </w:rPr>
      </w:pPr>
      <w:r>
        <w:rPr>
          <w:rtl/>
        </w:rPr>
        <w:tab/>
        <w:t>(و)</w:t>
      </w:r>
      <w:r>
        <w:rPr>
          <w:rtl/>
        </w:rPr>
        <w:tab/>
        <w:t xml:space="preserve">قانون العفو العام رقم </w:t>
      </w:r>
      <w:r>
        <w:rPr>
          <w:rFonts w:ascii="Traditional Arabic"/>
          <w:szCs w:val="20"/>
          <w:rtl/>
        </w:rPr>
        <w:t>(</w:t>
      </w:r>
      <w:r w:rsidRPr="00442C63">
        <w:rPr>
          <w:rtl/>
        </w:rPr>
        <w:t>2</w:t>
      </w:r>
      <w:r w:rsidR="00DE6894" w:rsidRPr="00DE6894">
        <w:rPr>
          <w:color w:val="000000"/>
          <w:rtl/>
        </w:rPr>
        <w:t>7</w:t>
      </w:r>
      <w:r w:rsidR="00DE6894" w:rsidRPr="00DE6894">
        <w:rPr>
          <w:rFonts w:ascii="Traditional Arabic"/>
          <w:color w:val="000000"/>
          <w:szCs w:val="20"/>
          <w:rtl/>
        </w:rPr>
        <w:t>)</w:t>
      </w:r>
      <w:r w:rsidR="00DE6894" w:rsidRPr="00DE6894">
        <w:rPr>
          <w:color w:val="000000"/>
          <w:rtl/>
        </w:rPr>
        <w:t xml:space="preserve"> </w:t>
      </w:r>
      <w:r>
        <w:rPr>
          <w:rtl/>
        </w:rPr>
        <w:t xml:space="preserve">لسنة </w:t>
      </w:r>
      <w:r w:rsidRPr="00442C63">
        <w:rPr>
          <w:rtl/>
        </w:rPr>
        <w:t>2016</w:t>
      </w:r>
      <w:r>
        <w:rPr>
          <w:rtl/>
        </w:rPr>
        <w:t>؛</w:t>
      </w:r>
    </w:p>
    <w:p w14:paraId="592DCF58" w14:textId="261B18C5" w:rsidR="00DE6894" w:rsidRPr="00DE6894" w:rsidRDefault="00442C63" w:rsidP="00442C63">
      <w:pPr>
        <w:pStyle w:val="SingleTxtGA"/>
        <w:rPr>
          <w:color w:val="000000"/>
          <w:szCs w:val="20"/>
          <w:lang w:val="ar-SA" w:eastAsia="zh-TW" w:bidi="en-GB"/>
        </w:rPr>
      </w:pPr>
      <w:r>
        <w:rPr>
          <w:rtl/>
        </w:rPr>
        <w:tab/>
        <w:t>(ز)</w:t>
      </w:r>
      <w:r>
        <w:rPr>
          <w:rtl/>
        </w:rPr>
        <w:tab/>
        <w:t xml:space="preserve">قانون تعديل قانون الطب الشرعي رقم </w:t>
      </w:r>
      <w:r>
        <w:rPr>
          <w:rFonts w:ascii="Traditional Arabic"/>
          <w:szCs w:val="20"/>
          <w:rtl/>
        </w:rPr>
        <w:t>(</w:t>
      </w:r>
      <w:r w:rsidRPr="00442C63">
        <w:rPr>
          <w:rtl/>
        </w:rPr>
        <w:t>5</w:t>
      </w:r>
      <w:r w:rsidR="00DE6894" w:rsidRPr="00DE6894">
        <w:rPr>
          <w:color w:val="000000"/>
          <w:rtl/>
        </w:rPr>
        <w:t>6</w:t>
      </w:r>
      <w:r w:rsidR="00DE6894" w:rsidRPr="00DE6894">
        <w:rPr>
          <w:rFonts w:ascii="Traditional Arabic"/>
          <w:color w:val="000000"/>
          <w:szCs w:val="20"/>
          <w:rtl/>
        </w:rPr>
        <w:t>)</w:t>
      </w:r>
      <w:r w:rsidR="00DE6894" w:rsidRPr="00DE6894">
        <w:rPr>
          <w:color w:val="000000"/>
          <w:rtl/>
        </w:rPr>
        <w:t xml:space="preserve"> </w:t>
      </w:r>
      <w:r>
        <w:rPr>
          <w:rtl/>
        </w:rPr>
        <w:t xml:space="preserve">لسنة </w:t>
      </w:r>
      <w:r w:rsidRPr="00442C63">
        <w:rPr>
          <w:rtl/>
        </w:rPr>
        <w:t>201</w:t>
      </w:r>
      <w:r w:rsidR="00DE6894" w:rsidRPr="00DE6894">
        <w:rPr>
          <w:color w:val="000000"/>
          <w:rtl/>
        </w:rPr>
        <w:t>5.</w:t>
      </w:r>
    </w:p>
    <w:p w14:paraId="33B7434F" w14:textId="4D784DBE" w:rsidR="00442C63" w:rsidRPr="003757E2" w:rsidRDefault="00442C63" w:rsidP="00442C63">
      <w:pPr>
        <w:pStyle w:val="SingleTxtGA"/>
        <w:rPr>
          <w:szCs w:val="20"/>
          <w:lang w:val="ar-SA" w:eastAsia="zh-TW" w:bidi="en-GB"/>
        </w:rPr>
      </w:pPr>
      <w:r w:rsidRPr="00442C63">
        <w:rPr>
          <w:rtl/>
        </w:rPr>
        <w:t>5</w:t>
      </w:r>
      <w:r>
        <w:rPr>
          <w:rFonts w:ascii="Traditional Arabic"/>
          <w:szCs w:val="20"/>
          <w:rtl/>
        </w:rPr>
        <w:t>-</w:t>
      </w:r>
      <w:r>
        <w:rPr>
          <w:rtl/>
        </w:rPr>
        <w:tab/>
        <w:t>وتثني اللجنة على المبادرات التي اتخذتها الدولة الطرف لتعديل سياساتها وإجراءاتها بغية توفير حماية أكبر لحقوق الإنسان وتطبيق الاتفاقية بشكل أوسع، ومنها على وجه الخصوص ما يلي:</w:t>
      </w:r>
    </w:p>
    <w:p w14:paraId="189DF003" w14:textId="735043CC" w:rsidR="00442C63" w:rsidRPr="00E75A98" w:rsidRDefault="00442C63" w:rsidP="00442C63">
      <w:pPr>
        <w:pStyle w:val="SingleTxtGA"/>
        <w:rPr>
          <w:szCs w:val="20"/>
          <w:lang w:val="ar-SA" w:eastAsia="zh-TW" w:bidi="en-GB"/>
        </w:rPr>
      </w:pPr>
      <w:r>
        <w:rPr>
          <w:rtl/>
        </w:rPr>
        <w:tab/>
        <w:t>(أ)</w:t>
      </w:r>
      <w:r>
        <w:rPr>
          <w:rtl/>
        </w:rPr>
        <w:tab/>
        <w:t xml:space="preserve">الاستراتيجية الوطنية للصحة الإنجابية، </w:t>
      </w:r>
      <w:r w:rsidRPr="00442C63">
        <w:rPr>
          <w:rtl/>
        </w:rPr>
        <w:t>2018</w:t>
      </w:r>
      <w:r>
        <w:rPr>
          <w:rFonts w:ascii="Traditional Arabic"/>
          <w:szCs w:val="20"/>
          <w:rtl/>
        </w:rPr>
        <w:t>-</w:t>
      </w:r>
      <w:r w:rsidRPr="00442C63">
        <w:rPr>
          <w:rtl/>
        </w:rPr>
        <w:t>2022</w:t>
      </w:r>
      <w:r>
        <w:rPr>
          <w:rtl/>
        </w:rPr>
        <w:t>؛</w:t>
      </w:r>
    </w:p>
    <w:p w14:paraId="7E0D7369" w14:textId="6945D54E" w:rsidR="00442C63" w:rsidRPr="00E75A98" w:rsidRDefault="00442C63" w:rsidP="00442C63">
      <w:pPr>
        <w:pStyle w:val="SingleTxtGA"/>
        <w:rPr>
          <w:szCs w:val="20"/>
          <w:lang w:val="ar-SA" w:eastAsia="zh-TW" w:bidi="en-GB"/>
        </w:rPr>
      </w:pPr>
      <w:r>
        <w:rPr>
          <w:rtl/>
        </w:rPr>
        <w:tab/>
        <w:t>(ب)</w:t>
      </w:r>
      <w:r>
        <w:rPr>
          <w:rtl/>
        </w:rPr>
        <w:tab/>
        <w:t xml:space="preserve">الخطة الوطنية للتمكين الاقتصادي للمرأة، </w:t>
      </w:r>
      <w:r w:rsidRPr="00442C63">
        <w:rPr>
          <w:rtl/>
        </w:rPr>
        <w:t>2022</w:t>
      </w:r>
      <w:r>
        <w:rPr>
          <w:rFonts w:ascii="Traditional Arabic"/>
          <w:szCs w:val="20"/>
          <w:rtl/>
        </w:rPr>
        <w:t>-</w:t>
      </w:r>
      <w:r w:rsidRPr="00442C63">
        <w:rPr>
          <w:rtl/>
        </w:rPr>
        <w:t>2030</w:t>
      </w:r>
      <w:r>
        <w:rPr>
          <w:rtl/>
        </w:rPr>
        <w:t>؛</w:t>
      </w:r>
    </w:p>
    <w:p w14:paraId="6511788E" w14:textId="3714F644" w:rsidR="00442C63" w:rsidRPr="00E75A98" w:rsidRDefault="00442C63" w:rsidP="00442C63">
      <w:pPr>
        <w:pStyle w:val="SingleTxtGA"/>
        <w:rPr>
          <w:szCs w:val="20"/>
          <w:lang w:val="ar-SA" w:eastAsia="zh-TW" w:bidi="en-GB"/>
        </w:rPr>
      </w:pPr>
      <w:r>
        <w:rPr>
          <w:rtl/>
        </w:rPr>
        <w:tab/>
        <w:t>(ج)</w:t>
      </w:r>
      <w:r>
        <w:rPr>
          <w:rtl/>
        </w:rPr>
        <w:tab/>
        <w:t xml:space="preserve">السياسة الوطنية لحماية الطفل لسنة </w:t>
      </w:r>
      <w:r w:rsidRPr="00442C63">
        <w:rPr>
          <w:rtl/>
        </w:rPr>
        <w:t>2017</w:t>
      </w:r>
      <w:r>
        <w:rPr>
          <w:rtl/>
        </w:rPr>
        <w:t>؛</w:t>
      </w:r>
    </w:p>
    <w:p w14:paraId="6A4AD1B3" w14:textId="3A385BE1" w:rsidR="00442C63" w:rsidRPr="00E75A98" w:rsidRDefault="00442C63" w:rsidP="00442C63">
      <w:pPr>
        <w:pStyle w:val="SingleTxtGA"/>
        <w:rPr>
          <w:szCs w:val="20"/>
          <w:lang w:val="ar-SA" w:eastAsia="zh-TW" w:bidi="en-GB"/>
        </w:rPr>
      </w:pPr>
      <w:r>
        <w:rPr>
          <w:rtl/>
        </w:rPr>
        <w:tab/>
        <w:t>(د)</w:t>
      </w:r>
      <w:r>
        <w:rPr>
          <w:rtl/>
        </w:rPr>
        <w:tab/>
        <w:t xml:space="preserve">المبادئ التوجيهية لمجلس القضاء الأعلى لتطبيق القانون رقم </w:t>
      </w:r>
      <w:r w:rsidRPr="00442C63">
        <w:rPr>
          <w:rtl/>
        </w:rPr>
        <w:t>58</w:t>
      </w:r>
      <w:r>
        <w:rPr>
          <w:rtl/>
        </w:rPr>
        <w:t xml:space="preserve"> لسنة </w:t>
      </w:r>
      <w:r w:rsidRPr="00442C63">
        <w:rPr>
          <w:rtl/>
        </w:rPr>
        <w:t>2017</w:t>
      </w:r>
      <w:r>
        <w:rPr>
          <w:rtl/>
        </w:rPr>
        <w:t xml:space="preserve"> بشأن حماية الشهود والخبراء والمخبرين والمجني عليهم؛</w:t>
      </w:r>
    </w:p>
    <w:p w14:paraId="535BB25E" w14:textId="47915E33" w:rsidR="00442C63" w:rsidRPr="00AF39C1" w:rsidRDefault="00442C63" w:rsidP="00442C63">
      <w:pPr>
        <w:pStyle w:val="SingleTxtGA"/>
        <w:rPr>
          <w:szCs w:val="20"/>
          <w:lang w:val="ar-SA" w:eastAsia="zh-TW" w:bidi="en-GB"/>
        </w:rPr>
      </w:pPr>
      <w:r>
        <w:rPr>
          <w:rtl/>
        </w:rPr>
        <w:tab/>
        <w:t>(هـ)</w:t>
      </w:r>
      <w:r>
        <w:rPr>
          <w:rtl/>
        </w:rPr>
        <w:tab/>
        <w:t xml:space="preserve">النظام رقم </w:t>
      </w:r>
      <w:r>
        <w:rPr>
          <w:rFonts w:ascii="Traditional Arabic"/>
          <w:szCs w:val="20"/>
          <w:rtl/>
        </w:rPr>
        <w:t>(</w:t>
      </w:r>
      <w:r w:rsidR="00DE6894" w:rsidRPr="00DE6894">
        <w:rPr>
          <w:color w:val="000000"/>
          <w:rtl/>
        </w:rPr>
        <w:t>7</w:t>
      </w:r>
      <w:r w:rsidR="00DE6894" w:rsidRPr="00DE6894">
        <w:rPr>
          <w:rFonts w:ascii="Traditional Arabic"/>
          <w:color w:val="000000"/>
          <w:szCs w:val="20"/>
          <w:rtl/>
        </w:rPr>
        <w:t>)</w:t>
      </w:r>
      <w:r w:rsidR="00DE6894" w:rsidRPr="00DE6894">
        <w:rPr>
          <w:color w:val="000000"/>
          <w:rtl/>
        </w:rPr>
        <w:t xml:space="preserve"> </w:t>
      </w:r>
      <w:r>
        <w:rPr>
          <w:rtl/>
        </w:rPr>
        <w:t xml:space="preserve">لعام </w:t>
      </w:r>
      <w:r w:rsidRPr="00442C63">
        <w:rPr>
          <w:rtl/>
        </w:rPr>
        <w:t>2017</w:t>
      </w:r>
      <w:r>
        <w:rPr>
          <w:rtl/>
        </w:rPr>
        <w:t xml:space="preserve"> بشأن دور رعاية ضحايا الاتجار بالبشر؛</w:t>
      </w:r>
    </w:p>
    <w:p w14:paraId="0F6268B9" w14:textId="506CCFAF" w:rsidR="00DE6894" w:rsidRPr="00310DA0" w:rsidRDefault="00442C63" w:rsidP="00442C63">
      <w:pPr>
        <w:pStyle w:val="SingleTxtGA"/>
        <w:rPr>
          <w:color w:val="000000"/>
          <w:szCs w:val="20"/>
          <w:lang w:val="en-US" w:eastAsia="zh-TW" w:bidi="en-GB"/>
        </w:rPr>
      </w:pPr>
      <w:r>
        <w:rPr>
          <w:rtl/>
        </w:rPr>
        <w:tab/>
        <w:t>(و)</w:t>
      </w:r>
      <w:r w:rsidR="00F2569E">
        <w:rPr>
          <w:rtl/>
        </w:rPr>
        <w:tab/>
      </w:r>
      <w:r>
        <w:rPr>
          <w:rtl/>
        </w:rPr>
        <w:t xml:space="preserve">إنشاء اللجنة الوطنية العراقية الدائمة للقانون الدولي الإنساني بموجب الأمر الإداري رقم </w:t>
      </w:r>
      <w:r w:rsidRPr="00442C63">
        <w:rPr>
          <w:rtl/>
        </w:rPr>
        <w:t>10</w:t>
      </w:r>
      <w:r>
        <w:rPr>
          <w:rtl/>
        </w:rPr>
        <w:t xml:space="preserve"> لسنة </w:t>
      </w:r>
      <w:r w:rsidRPr="00442C63">
        <w:rPr>
          <w:rtl/>
        </w:rPr>
        <w:t>201</w:t>
      </w:r>
      <w:r w:rsidR="00DE6894" w:rsidRPr="00DE6894">
        <w:rPr>
          <w:color w:val="000000"/>
          <w:rtl/>
        </w:rPr>
        <w:t>5.</w:t>
      </w:r>
    </w:p>
    <w:p w14:paraId="3C82AD3F" w14:textId="7424F4F4" w:rsidR="00DE6894" w:rsidRPr="00DE6894" w:rsidRDefault="00442C63" w:rsidP="00442C63">
      <w:pPr>
        <w:pStyle w:val="SingleTxtGA"/>
        <w:rPr>
          <w:bCs/>
          <w:color w:val="000000"/>
          <w:szCs w:val="20"/>
          <w:lang w:val="ar-SA" w:eastAsia="zh-TW" w:bidi="en-GB"/>
        </w:rPr>
      </w:pPr>
      <w:r w:rsidRPr="00442C63">
        <w:rPr>
          <w:rtl/>
        </w:rPr>
        <w:t>6</w:t>
      </w:r>
      <w:r w:rsidRPr="00F2569E">
        <w:rPr>
          <w:rFonts w:ascii="Traditional Arabic"/>
          <w:spacing w:val="-2"/>
          <w:szCs w:val="20"/>
          <w:rtl/>
        </w:rPr>
        <w:t>-</w:t>
      </w:r>
      <w:r w:rsidRPr="00F2569E">
        <w:rPr>
          <w:spacing w:val="-2"/>
          <w:rtl/>
        </w:rPr>
        <w:tab/>
        <w:t>وتثني اللجنة على الدولة الطرف لاعتمادها الخطة الوطنية لحقوق الإنسان للفترة 2021</w:t>
      </w:r>
      <w:r w:rsidRPr="00F2569E">
        <w:rPr>
          <w:rFonts w:ascii="Traditional Arabic"/>
          <w:spacing w:val="-2"/>
          <w:szCs w:val="20"/>
          <w:rtl/>
        </w:rPr>
        <w:t>-</w:t>
      </w:r>
      <w:r w:rsidRPr="00F2569E">
        <w:rPr>
          <w:spacing w:val="-2"/>
          <w:rtl/>
        </w:rPr>
        <w:t>2025،</w:t>
      </w:r>
      <w:r>
        <w:rPr>
          <w:rtl/>
        </w:rPr>
        <w:t xml:space="preserve"> التي تحدّد الأولويات فيما يتعلق بمكافحة التعذيب والاختفاء القسري والعنف الجنساني، ضمن أمور أخرى. كما ترحّب بإطلاق خطة إقليم كردستان لحقوق الإنسان للفترة </w:t>
      </w:r>
      <w:r w:rsidRPr="00442C63">
        <w:rPr>
          <w:rtl/>
        </w:rPr>
        <w:t>2021</w:t>
      </w:r>
      <w:r>
        <w:rPr>
          <w:rFonts w:ascii="Traditional Arabic"/>
          <w:szCs w:val="20"/>
          <w:rtl/>
        </w:rPr>
        <w:t>-</w:t>
      </w:r>
      <w:r w:rsidRPr="00442C63">
        <w:rPr>
          <w:rtl/>
        </w:rPr>
        <w:t>202</w:t>
      </w:r>
      <w:r w:rsidR="00DE6894" w:rsidRPr="00DE6894">
        <w:rPr>
          <w:color w:val="000000"/>
          <w:rtl/>
        </w:rPr>
        <w:t>5.</w:t>
      </w:r>
    </w:p>
    <w:p w14:paraId="77A11F3D" w14:textId="7C3D13D6" w:rsidR="00442C63" w:rsidRPr="00730B4B" w:rsidRDefault="00442C63" w:rsidP="00442C63">
      <w:pPr>
        <w:pStyle w:val="H1GA"/>
        <w:rPr>
          <w:szCs w:val="20"/>
          <w:lang w:val="en-US" w:eastAsia="zh-TW" w:bidi="en-GB"/>
        </w:rPr>
      </w:pPr>
      <w:r>
        <w:rPr>
          <w:rtl/>
        </w:rPr>
        <w:tab/>
        <w:t>جيم-</w:t>
      </w:r>
      <w:r>
        <w:rPr>
          <w:rtl/>
        </w:rPr>
        <w:tab/>
        <w:t>دواعي القلق الرئيسية والتوصيات</w:t>
      </w:r>
    </w:p>
    <w:p w14:paraId="7B385899" w14:textId="32E501AA" w:rsidR="00442C63" w:rsidRPr="00E75A98" w:rsidRDefault="00442C63" w:rsidP="00442C63">
      <w:pPr>
        <w:pStyle w:val="H23GA"/>
        <w:rPr>
          <w:szCs w:val="20"/>
          <w:lang w:val="ar-SA" w:eastAsia="zh-TW" w:bidi="en-GB"/>
        </w:rPr>
      </w:pPr>
      <w:r>
        <w:rPr>
          <w:rtl/>
        </w:rPr>
        <w:tab/>
      </w:r>
      <w:r>
        <w:rPr>
          <w:rtl/>
        </w:rPr>
        <w:tab/>
        <w:t>مسائل المتابعة المعلَّقة منذ الجولة السابقة لتقديم التقارير</w:t>
      </w:r>
    </w:p>
    <w:p w14:paraId="3BABE616" w14:textId="7223FC22" w:rsidR="00442C63" w:rsidRPr="00E75A98" w:rsidRDefault="00442C63" w:rsidP="00442C63">
      <w:pPr>
        <w:pStyle w:val="SingleTxtGA"/>
        <w:rPr>
          <w:szCs w:val="20"/>
          <w:lang w:val="ar-SA" w:eastAsia="zh-TW" w:bidi="en-GB"/>
        </w:rPr>
      </w:pPr>
      <w:r w:rsidRPr="00442C63">
        <w:rPr>
          <w:rtl/>
        </w:rPr>
        <w:t>7</w:t>
      </w:r>
      <w:r>
        <w:rPr>
          <w:rFonts w:ascii="Traditional Arabic"/>
          <w:szCs w:val="20"/>
          <w:rtl/>
        </w:rPr>
        <w:t>-</w:t>
      </w:r>
      <w:r>
        <w:rPr>
          <w:rtl/>
        </w:rPr>
        <w:tab/>
        <w:t xml:space="preserve">اللجنة، في ملاحظاتها الختامية على التقرير الأولي للدولة الطرف، طلبت إلى الدولة الطرف أن تقدم معلومات عن تنفيذها لتوصيات اللجنة بشأن النزاع المسلح وأعمال الإرهاب وانتهاكات الاتفاقية، والعنف الجنسي المتصل بالنزاع، والضمانات القانونية الأساسية، والاحتجاز السري في الحالات التي تثير شواغل </w:t>
      </w:r>
      <w:proofErr w:type="gramStart"/>
      <w:r>
        <w:rPr>
          <w:rtl/>
        </w:rPr>
        <w:t>أمنية</w:t>
      </w:r>
      <w:r w:rsidR="00DE6894" w:rsidRPr="00DE6894">
        <w:rPr>
          <w:sz w:val="18"/>
          <w:vertAlign w:val="superscript"/>
          <w:rtl/>
        </w:rPr>
        <w:t>(</w:t>
      </w:r>
      <w:proofErr w:type="gramEnd"/>
      <w:r w:rsidR="00DE6894" w:rsidRPr="00E75A98">
        <w:rPr>
          <w:sz w:val="18"/>
          <w:vertAlign w:val="superscript"/>
          <w:rtl/>
        </w:rPr>
        <w:footnoteReference w:id="6"/>
      </w:r>
      <w:r w:rsidR="00DE6894">
        <w:rPr>
          <w:sz w:val="18"/>
          <w:vertAlign w:val="superscript"/>
          <w:rtl/>
        </w:rPr>
        <w:t>)</w:t>
      </w:r>
      <w:r>
        <w:rPr>
          <w:rtl/>
        </w:rPr>
        <w:t xml:space="preserve">. وإذ تلاحظ اللجنة مع التقدير الردود التي قدمتها الدولة </w:t>
      </w:r>
      <w:proofErr w:type="gramStart"/>
      <w:r>
        <w:rPr>
          <w:rtl/>
        </w:rPr>
        <w:t>الطرف</w:t>
      </w:r>
      <w:r w:rsidR="00DE6894" w:rsidRPr="00DE6894">
        <w:rPr>
          <w:sz w:val="18"/>
          <w:vertAlign w:val="superscript"/>
          <w:rtl/>
        </w:rPr>
        <w:t>(</w:t>
      </w:r>
      <w:proofErr w:type="gramEnd"/>
      <w:r w:rsidR="00DE6894" w:rsidRPr="00E75A98">
        <w:rPr>
          <w:sz w:val="18"/>
          <w:vertAlign w:val="superscript"/>
          <w:rtl/>
        </w:rPr>
        <w:footnoteReference w:id="7"/>
      </w:r>
      <w:r w:rsidR="00DE6894">
        <w:rPr>
          <w:sz w:val="18"/>
          <w:vertAlign w:val="superscript"/>
          <w:rtl/>
        </w:rPr>
        <w:t>)</w:t>
      </w:r>
      <w:r w:rsidR="00DE6894">
        <w:rPr>
          <w:rFonts w:hint="cs"/>
          <w:rtl/>
        </w:rPr>
        <w:t>،</w:t>
      </w:r>
      <w:r>
        <w:rPr>
          <w:rtl/>
        </w:rPr>
        <w:t xml:space="preserve"> وتشير إلى الرسالة المؤرخة </w:t>
      </w:r>
      <w:r w:rsidRPr="00442C63">
        <w:rPr>
          <w:rtl/>
        </w:rPr>
        <w:t>23</w:t>
      </w:r>
      <w:r>
        <w:rPr>
          <w:rtl/>
        </w:rPr>
        <w:t xml:space="preserve"> تموز/يوليه </w:t>
      </w:r>
      <w:r w:rsidRPr="00442C63">
        <w:rPr>
          <w:rtl/>
        </w:rPr>
        <w:t>2020</w:t>
      </w:r>
      <w:r>
        <w:rPr>
          <w:rtl/>
        </w:rPr>
        <w:t xml:space="preserve"> والموجهة من مقرر اللجنة في إطار متابعة الملاحظات الختامية، فإنها ترى أن التوصية الواردة في الفقرة </w:t>
      </w:r>
      <w:r w:rsidRPr="00442C63">
        <w:rPr>
          <w:rtl/>
        </w:rPr>
        <w:t>12</w:t>
      </w:r>
      <w:r>
        <w:rPr>
          <w:rFonts w:ascii="Traditional Arabic"/>
          <w:szCs w:val="20"/>
          <w:rtl/>
        </w:rPr>
        <w:t>(</w:t>
      </w:r>
      <w:r>
        <w:rPr>
          <w:rtl/>
        </w:rPr>
        <w:t>أ</w:t>
      </w:r>
      <w:r>
        <w:rPr>
          <w:rFonts w:ascii="Traditional Arabic"/>
          <w:szCs w:val="20"/>
          <w:rtl/>
        </w:rPr>
        <w:t>)</w:t>
      </w:r>
      <w:r>
        <w:rPr>
          <w:rtl/>
        </w:rPr>
        <w:t xml:space="preserve"> من الملاحظات الختامية السابقة لم تنفذ وأن التوصية الواردة في الفقرة </w:t>
      </w:r>
      <w:r w:rsidRPr="00442C63">
        <w:rPr>
          <w:rtl/>
        </w:rPr>
        <w:t>14</w:t>
      </w:r>
      <w:r>
        <w:rPr>
          <w:rtl/>
        </w:rPr>
        <w:t xml:space="preserve"> نُفّذت بشكل جزئي فقط. وتعتبر المعلومات التي قدمتها الدولة الطرف فيما يتعلق بالفقرتين </w:t>
      </w:r>
      <w:r w:rsidRPr="00442C63">
        <w:rPr>
          <w:rtl/>
        </w:rPr>
        <w:t>13</w:t>
      </w:r>
      <w:r>
        <w:rPr>
          <w:rtl/>
        </w:rPr>
        <w:t xml:space="preserve"> </w:t>
      </w:r>
      <w:proofErr w:type="spellStart"/>
      <w:r>
        <w:rPr>
          <w:rtl/>
        </w:rPr>
        <w:t>و</w:t>
      </w:r>
      <w:r w:rsidRPr="00442C63">
        <w:rPr>
          <w:rtl/>
        </w:rPr>
        <w:t>16</w:t>
      </w:r>
      <w:proofErr w:type="spellEnd"/>
      <w:r>
        <w:rPr>
          <w:rFonts w:ascii="Traditional Arabic"/>
          <w:szCs w:val="20"/>
          <w:rtl/>
        </w:rPr>
        <w:t>(</w:t>
      </w:r>
      <w:r>
        <w:rPr>
          <w:rtl/>
        </w:rPr>
        <w:t>أ</w:t>
      </w:r>
      <w:r>
        <w:rPr>
          <w:rFonts w:ascii="Traditional Arabic"/>
          <w:szCs w:val="20"/>
          <w:rtl/>
        </w:rPr>
        <w:t>)</w:t>
      </w:r>
      <w:r>
        <w:rPr>
          <w:rtl/>
        </w:rPr>
        <w:t xml:space="preserve"> من الملاحظات الختامية السابقة غير كافية لتقييم التنفيذ. وتُبحث هذه المسائل في الفقرات من</w:t>
      </w:r>
      <w:r w:rsidR="00310DA0">
        <w:rPr>
          <w:rFonts w:hint="cs"/>
          <w:rtl/>
        </w:rPr>
        <w:t> </w:t>
      </w:r>
      <w:r w:rsidRPr="00442C63">
        <w:rPr>
          <w:rtl/>
        </w:rPr>
        <w:t>18</w:t>
      </w:r>
      <w:r>
        <w:rPr>
          <w:rtl/>
        </w:rPr>
        <w:t xml:space="preserve"> إلى </w:t>
      </w:r>
      <w:r w:rsidRPr="00442C63">
        <w:rPr>
          <w:rtl/>
        </w:rPr>
        <w:t>21</w:t>
      </w:r>
      <w:r>
        <w:rPr>
          <w:rtl/>
        </w:rPr>
        <w:t xml:space="preserve"> </w:t>
      </w:r>
      <w:proofErr w:type="spellStart"/>
      <w:r>
        <w:rPr>
          <w:rtl/>
        </w:rPr>
        <w:t>و</w:t>
      </w:r>
      <w:r w:rsidRPr="00442C63">
        <w:rPr>
          <w:rtl/>
        </w:rPr>
        <w:t>10</w:t>
      </w:r>
      <w:proofErr w:type="spellEnd"/>
      <w:r>
        <w:rPr>
          <w:rtl/>
        </w:rPr>
        <w:t xml:space="preserve"> </w:t>
      </w:r>
      <w:proofErr w:type="spellStart"/>
      <w:r>
        <w:rPr>
          <w:rtl/>
        </w:rPr>
        <w:t>و</w:t>
      </w:r>
      <w:r w:rsidRPr="00442C63">
        <w:rPr>
          <w:rtl/>
        </w:rPr>
        <w:t>11</w:t>
      </w:r>
      <w:proofErr w:type="spellEnd"/>
      <w:r>
        <w:rPr>
          <w:rtl/>
        </w:rPr>
        <w:t xml:space="preserve"> </w:t>
      </w:r>
      <w:proofErr w:type="spellStart"/>
      <w:r>
        <w:rPr>
          <w:rtl/>
        </w:rPr>
        <w:t>و</w:t>
      </w:r>
      <w:r w:rsidRPr="00442C63">
        <w:rPr>
          <w:rtl/>
        </w:rPr>
        <w:t>16</w:t>
      </w:r>
      <w:proofErr w:type="spellEnd"/>
      <w:r>
        <w:rPr>
          <w:rtl/>
        </w:rPr>
        <w:t xml:space="preserve"> </w:t>
      </w:r>
      <w:proofErr w:type="spellStart"/>
      <w:r>
        <w:rPr>
          <w:rtl/>
        </w:rPr>
        <w:t>و</w:t>
      </w:r>
      <w:r w:rsidRPr="00442C63">
        <w:rPr>
          <w:rtl/>
        </w:rPr>
        <w:t>17</w:t>
      </w:r>
      <w:proofErr w:type="spellEnd"/>
      <w:r>
        <w:rPr>
          <w:rtl/>
        </w:rPr>
        <w:t xml:space="preserve"> من هذه الملاحظات الختامية.</w:t>
      </w:r>
    </w:p>
    <w:p w14:paraId="4CA6A140" w14:textId="77777777" w:rsidR="00442C63" w:rsidRPr="00E75A98" w:rsidRDefault="00442C63" w:rsidP="00442C63">
      <w:pPr>
        <w:pStyle w:val="H23GA"/>
        <w:rPr>
          <w:szCs w:val="20"/>
          <w:lang w:val="ar-SA" w:eastAsia="zh-TW" w:bidi="en-GB"/>
        </w:rPr>
      </w:pPr>
      <w:r>
        <w:rPr>
          <w:rtl/>
        </w:rPr>
        <w:lastRenderedPageBreak/>
        <w:tab/>
      </w:r>
      <w:r>
        <w:rPr>
          <w:rtl/>
        </w:rPr>
        <w:tab/>
        <w:t>تعريف التعذيب وتجريمه</w:t>
      </w:r>
    </w:p>
    <w:p w14:paraId="28A54972" w14:textId="19E981B5" w:rsidR="00DE6894" w:rsidRPr="00D24163" w:rsidRDefault="00442C63" w:rsidP="00442C63">
      <w:pPr>
        <w:pStyle w:val="SingleTxtGA"/>
        <w:rPr>
          <w:rFonts w:eastAsia="Malgun Gothic"/>
          <w:color w:val="000000"/>
          <w:szCs w:val="20"/>
          <w:rtl/>
          <w:lang w:val="en-US" w:eastAsia="zh-TW"/>
        </w:rPr>
      </w:pPr>
      <w:r w:rsidRPr="00442C63">
        <w:rPr>
          <w:rtl/>
        </w:rPr>
        <w:t>8</w:t>
      </w:r>
      <w:r>
        <w:rPr>
          <w:rFonts w:ascii="Traditional Arabic"/>
          <w:szCs w:val="20"/>
          <w:rtl/>
        </w:rPr>
        <w:t>-</w:t>
      </w:r>
      <w:r w:rsidR="00F2569E">
        <w:rPr>
          <w:rtl/>
        </w:rPr>
        <w:tab/>
      </w:r>
      <w:r>
        <w:rPr>
          <w:rtl/>
        </w:rPr>
        <w:t xml:space="preserve">لا تزال اللجنة، بالإشارة إلى ملاحظاتها الختامية </w:t>
      </w:r>
      <w:proofErr w:type="gramStart"/>
      <w:r>
        <w:rPr>
          <w:rtl/>
        </w:rPr>
        <w:t>السابقة</w:t>
      </w:r>
      <w:r w:rsidR="00DE6894" w:rsidRPr="00DE6894">
        <w:rPr>
          <w:rFonts w:eastAsia="Malgun Gothic"/>
          <w:sz w:val="18"/>
          <w:vertAlign w:val="superscript"/>
          <w:rtl/>
        </w:rPr>
        <w:t>(</w:t>
      </w:r>
      <w:proofErr w:type="gramEnd"/>
      <w:r w:rsidR="00DE6894" w:rsidRPr="00E75A98">
        <w:rPr>
          <w:rFonts w:eastAsia="Malgun Gothic"/>
          <w:sz w:val="18"/>
          <w:vertAlign w:val="superscript"/>
          <w:rtl/>
        </w:rPr>
        <w:footnoteReference w:id="8"/>
      </w:r>
      <w:r w:rsidR="00DE6894">
        <w:rPr>
          <w:rFonts w:eastAsia="Malgun Gothic"/>
          <w:sz w:val="18"/>
          <w:vertAlign w:val="superscript"/>
          <w:rtl/>
        </w:rPr>
        <w:t>)</w:t>
      </w:r>
      <w:r w:rsidR="00DE6894">
        <w:rPr>
          <w:rFonts w:hint="cs"/>
          <w:rtl/>
        </w:rPr>
        <w:t>،</w:t>
      </w:r>
      <w:r>
        <w:rPr>
          <w:rtl/>
        </w:rPr>
        <w:t xml:space="preserve"> قلقة إزاء التأخر في اعتماد التشريع المناهض للتعذيب. وتلاحظ اللجنة أنه تم بالفعل إعداد مشروعي قانونين، وأن مشروع القانون المقدم من وزارة العدل ينتظر الخضوع لدراسة تشريعية. بيد أن اللجنة تشعر بالقلق إزاء المعلومات التي تفيد بأن مشروع القانون لم يستوف بعدُ الشرط المنصوص عليه في الاتفاقية، تمشيا مع المادة </w:t>
      </w:r>
      <w:r w:rsidRPr="00442C63">
        <w:rPr>
          <w:rtl/>
        </w:rPr>
        <w:t>1</w:t>
      </w:r>
      <w:r>
        <w:rPr>
          <w:rtl/>
        </w:rPr>
        <w:t xml:space="preserve">، والقاضي، في جملة أمور منها، بأن يتضمن التعريف جميع أركان جريمة </w:t>
      </w:r>
      <w:proofErr w:type="gramStart"/>
      <w:r>
        <w:rPr>
          <w:rtl/>
        </w:rPr>
        <w:t>التعذيب</w:t>
      </w:r>
      <w:r w:rsidR="00DE6894" w:rsidRPr="00DE6894">
        <w:rPr>
          <w:rFonts w:eastAsia="Malgun Gothic"/>
          <w:sz w:val="18"/>
          <w:vertAlign w:val="superscript"/>
          <w:rtl/>
        </w:rPr>
        <w:t>(</w:t>
      </w:r>
      <w:proofErr w:type="gramEnd"/>
      <w:r w:rsidR="00DE6894" w:rsidRPr="00E75A98">
        <w:rPr>
          <w:rFonts w:eastAsia="Malgun Gothic"/>
          <w:sz w:val="18"/>
          <w:vertAlign w:val="superscript"/>
          <w:rtl/>
        </w:rPr>
        <w:footnoteReference w:id="9"/>
      </w:r>
      <w:r w:rsidR="00DE6894">
        <w:rPr>
          <w:rFonts w:eastAsia="Malgun Gothic"/>
          <w:sz w:val="18"/>
          <w:vertAlign w:val="superscript"/>
          <w:rtl/>
        </w:rPr>
        <w:t>)</w:t>
      </w:r>
      <w:r>
        <w:rPr>
          <w:rtl/>
        </w:rPr>
        <w:t xml:space="preserve"> (المواد </w:t>
      </w:r>
      <w:r w:rsidRPr="00442C63">
        <w:rPr>
          <w:rtl/>
        </w:rPr>
        <w:t>1</w:t>
      </w:r>
      <w:r>
        <w:rPr>
          <w:rFonts w:ascii="Traditional Arabic"/>
          <w:szCs w:val="20"/>
          <w:rtl/>
        </w:rPr>
        <w:t>-</w:t>
      </w:r>
      <w:r w:rsidRPr="00442C63">
        <w:rPr>
          <w:rtl/>
        </w:rPr>
        <w:t>2</w:t>
      </w:r>
      <w:r>
        <w:rPr>
          <w:rtl/>
        </w:rPr>
        <w:t xml:space="preserve"> </w:t>
      </w:r>
      <w:proofErr w:type="spellStart"/>
      <w:r>
        <w:rPr>
          <w:rtl/>
        </w:rPr>
        <w:t>و</w:t>
      </w:r>
      <w:r w:rsidR="00DE6894" w:rsidRPr="00DE6894">
        <w:rPr>
          <w:color w:val="000000"/>
          <w:rtl/>
        </w:rPr>
        <w:t>4</w:t>
      </w:r>
      <w:proofErr w:type="spellEnd"/>
      <w:r w:rsidR="00DE6894" w:rsidRPr="00DE6894">
        <w:rPr>
          <w:rFonts w:ascii="Traditional Arabic"/>
          <w:color w:val="000000"/>
          <w:szCs w:val="20"/>
          <w:rtl/>
        </w:rPr>
        <w:t>)</w:t>
      </w:r>
      <w:r w:rsidR="00DE6894" w:rsidRPr="00DE6894">
        <w:rPr>
          <w:color w:val="000000"/>
          <w:rtl/>
        </w:rPr>
        <w:t>.</w:t>
      </w:r>
    </w:p>
    <w:p w14:paraId="18306B3B" w14:textId="5DD3C7AA" w:rsidR="00442C63" w:rsidRPr="00967127" w:rsidRDefault="00442C63" w:rsidP="00442C63">
      <w:pPr>
        <w:pStyle w:val="SingleTxtGA"/>
        <w:rPr>
          <w:b/>
          <w:bCs/>
          <w:spacing w:val="-2"/>
          <w:szCs w:val="20"/>
          <w:lang w:val="ar-SA" w:eastAsia="zh-TW" w:bidi="en-GB"/>
        </w:rPr>
      </w:pPr>
      <w:r w:rsidRPr="00442C63">
        <w:rPr>
          <w:rtl/>
        </w:rPr>
        <w:t>9</w:t>
      </w:r>
      <w:r>
        <w:rPr>
          <w:rFonts w:ascii="Traditional Arabic"/>
          <w:szCs w:val="20"/>
          <w:rtl/>
        </w:rPr>
        <w:t>-</w:t>
      </w:r>
      <w:r w:rsidR="00F2569E" w:rsidRPr="00DC2BC0">
        <w:rPr>
          <w:b/>
          <w:bCs/>
          <w:rtl/>
        </w:rPr>
        <w:tab/>
      </w:r>
      <w:r w:rsidRPr="00967127">
        <w:rPr>
          <w:b/>
          <w:bCs/>
          <w:spacing w:val="-2"/>
          <w:rtl/>
        </w:rPr>
        <w:t>في ضوء التعهدات التي قطعتها الدولة الطرف، في تشرين الثاني/نوفمبر 2019</w:t>
      </w:r>
      <w:r w:rsidR="00DE6894" w:rsidRPr="00967127">
        <w:rPr>
          <w:rFonts w:eastAsia="Malgun Gothic"/>
          <w:b/>
          <w:bCs/>
          <w:spacing w:val="-2"/>
          <w:sz w:val="18"/>
          <w:vertAlign w:val="superscript"/>
          <w:rtl/>
        </w:rPr>
        <w:t>(</w:t>
      </w:r>
      <w:r w:rsidR="00DE6894" w:rsidRPr="00967127">
        <w:rPr>
          <w:rFonts w:eastAsia="Malgun Gothic"/>
          <w:b/>
          <w:bCs/>
          <w:spacing w:val="-2"/>
          <w:sz w:val="18"/>
          <w:vertAlign w:val="superscript"/>
          <w:rtl/>
        </w:rPr>
        <w:footnoteReference w:id="10"/>
      </w:r>
      <w:r w:rsidR="00DE6894" w:rsidRPr="00967127">
        <w:rPr>
          <w:rFonts w:eastAsia="Malgun Gothic"/>
          <w:b/>
          <w:bCs/>
          <w:spacing w:val="-2"/>
          <w:sz w:val="18"/>
          <w:vertAlign w:val="superscript"/>
          <w:rtl/>
        </w:rPr>
        <w:t>)</w:t>
      </w:r>
      <w:r w:rsidR="00DE6894" w:rsidRPr="00967127">
        <w:rPr>
          <w:rFonts w:hint="cs"/>
          <w:b/>
          <w:bCs/>
          <w:spacing w:val="-2"/>
          <w:rtl/>
        </w:rPr>
        <w:t>،</w:t>
      </w:r>
      <w:r w:rsidRPr="00967127">
        <w:rPr>
          <w:b/>
          <w:bCs/>
          <w:spacing w:val="-2"/>
          <w:rtl/>
        </w:rPr>
        <w:t xml:space="preserve"> في سياق عملية الاستعراض الدوري الشامل، تحث اللجنة الدولة الطرف على التعجيل باعتماد مشروع قانون مناهضة التعذيب، بما يضمن اشتماله على جميع العناصر الواردة في المادة 1 من الاتفاقية. وفي هذا الصدد، تلفت اللجنة انتباه الدولة الطرف إلى تعليقها العام رقم 2</w:t>
      </w:r>
      <w:r w:rsidRPr="00967127">
        <w:rPr>
          <w:rFonts w:ascii="Traditional Arabic"/>
          <w:b/>
          <w:bCs/>
          <w:spacing w:val="-2"/>
          <w:szCs w:val="20"/>
          <w:rtl/>
        </w:rPr>
        <w:t>(</w:t>
      </w:r>
      <w:r w:rsidRPr="00967127">
        <w:rPr>
          <w:b/>
          <w:bCs/>
          <w:spacing w:val="-2"/>
          <w:rtl/>
        </w:rPr>
        <w:t>200</w:t>
      </w:r>
      <w:r w:rsidR="00DE6894" w:rsidRPr="00967127">
        <w:rPr>
          <w:b/>
          <w:bCs/>
          <w:color w:val="000000"/>
          <w:spacing w:val="-2"/>
          <w:rtl/>
        </w:rPr>
        <w:t>7</w:t>
      </w:r>
      <w:r w:rsidR="00DE6894" w:rsidRPr="00967127">
        <w:rPr>
          <w:rFonts w:ascii="Traditional Arabic"/>
          <w:b/>
          <w:bCs/>
          <w:color w:val="000000"/>
          <w:spacing w:val="-2"/>
          <w:szCs w:val="20"/>
          <w:rtl/>
        </w:rPr>
        <w:t>)</w:t>
      </w:r>
      <w:r w:rsidR="00DE6894" w:rsidRPr="00967127">
        <w:rPr>
          <w:b/>
          <w:bCs/>
          <w:color w:val="000000"/>
          <w:spacing w:val="-2"/>
          <w:rtl/>
        </w:rPr>
        <w:t xml:space="preserve"> </w:t>
      </w:r>
      <w:r w:rsidRPr="00967127">
        <w:rPr>
          <w:b/>
          <w:bCs/>
          <w:spacing w:val="-2"/>
          <w:rtl/>
        </w:rPr>
        <w:t>بشأن تنفيذ المادة 2، الذي أشارت فيه إلى أن التناقضات الخطيرة بين التعريف المحدد في الاتفاقية وذلك الوارد في القانون المحلي أسفرت عن ثغرات فعلية أو محتملة تتيح إمكانية الإفلات من العقاب. وينبغي للدولة الطرف أن تكفل استبعاد التعذيب من نطاق قوانين العفو وأن تكفل الاحترام الكامل للطابع المطلق وغير القابل للتقييد لحظر التعذيب. كما يجب على الدولة الطرف كفالة المعاقبة على جرائم التعذيب بعقوبات تتناسب وخطورتها، وفقاً لأحكام المادة 4</w:t>
      </w:r>
      <w:r w:rsidRPr="00967127">
        <w:rPr>
          <w:rFonts w:ascii="Traditional Arabic"/>
          <w:b/>
          <w:bCs/>
          <w:spacing w:val="-2"/>
          <w:szCs w:val="20"/>
          <w:rtl/>
        </w:rPr>
        <w:t>(</w:t>
      </w:r>
      <w:r w:rsidR="00DE6894" w:rsidRPr="00967127">
        <w:rPr>
          <w:b/>
          <w:bCs/>
          <w:color w:val="000000"/>
          <w:spacing w:val="-2"/>
          <w:rtl/>
        </w:rPr>
        <w:t>2</w:t>
      </w:r>
      <w:r w:rsidR="00DE6894" w:rsidRPr="00967127">
        <w:rPr>
          <w:rFonts w:ascii="Traditional Arabic"/>
          <w:b/>
          <w:bCs/>
          <w:color w:val="000000"/>
          <w:spacing w:val="-2"/>
          <w:szCs w:val="20"/>
          <w:rtl/>
        </w:rPr>
        <w:t>)</w:t>
      </w:r>
      <w:r w:rsidR="00DE6894" w:rsidRPr="00967127">
        <w:rPr>
          <w:b/>
          <w:bCs/>
          <w:color w:val="000000"/>
          <w:spacing w:val="-2"/>
          <w:rtl/>
        </w:rPr>
        <w:t xml:space="preserve"> </w:t>
      </w:r>
      <w:r w:rsidRPr="00967127">
        <w:rPr>
          <w:b/>
          <w:bCs/>
          <w:spacing w:val="-2"/>
          <w:rtl/>
        </w:rPr>
        <w:t>من الاتفاقية. وينبغي أن تضمن الدولة الطرف كذلك الاعتراف الصريح في القانون القادم بمبدأ مسؤولية القيادة أو الرؤساء عن أعمال التعذيب التي يرتكبها المرؤوسون.</w:t>
      </w:r>
    </w:p>
    <w:p w14:paraId="148E747A" w14:textId="77777777" w:rsidR="00442C63" w:rsidRPr="00E75A98" w:rsidRDefault="00442C63" w:rsidP="00442C63">
      <w:pPr>
        <w:pStyle w:val="H23GA"/>
        <w:rPr>
          <w:szCs w:val="20"/>
          <w:lang w:val="ar-SA" w:eastAsia="zh-TW" w:bidi="en-GB"/>
        </w:rPr>
      </w:pPr>
      <w:r>
        <w:rPr>
          <w:rtl/>
        </w:rPr>
        <w:tab/>
      </w:r>
      <w:r>
        <w:rPr>
          <w:rtl/>
        </w:rPr>
        <w:tab/>
        <w:t>الضمانات القانونية الأساسية</w:t>
      </w:r>
    </w:p>
    <w:p w14:paraId="6168FFEE" w14:textId="6199EBF8" w:rsidR="00DE6894" w:rsidRPr="00967127" w:rsidRDefault="00442C63" w:rsidP="00442C63">
      <w:pPr>
        <w:pStyle w:val="SingleTxtGA"/>
        <w:rPr>
          <w:rFonts w:eastAsia="Malgun Gothic"/>
          <w:color w:val="000000"/>
          <w:spacing w:val="-2"/>
          <w:szCs w:val="20"/>
          <w:lang w:val="ar-SA" w:eastAsia="zh-TW" w:bidi="en-GB"/>
        </w:rPr>
      </w:pPr>
      <w:r w:rsidRPr="00442C63">
        <w:rPr>
          <w:rtl/>
        </w:rPr>
        <w:t>10</w:t>
      </w:r>
      <w:r>
        <w:rPr>
          <w:rFonts w:ascii="Traditional Arabic"/>
          <w:szCs w:val="20"/>
          <w:rtl/>
        </w:rPr>
        <w:t>-</w:t>
      </w:r>
      <w:r>
        <w:rPr>
          <w:rtl/>
        </w:rPr>
        <w:tab/>
      </w:r>
      <w:r w:rsidRPr="00967127">
        <w:rPr>
          <w:spacing w:val="-2"/>
          <w:rtl/>
        </w:rPr>
        <w:t xml:space="preserve">تحيط اللجنة علماً بالضمانات الإجرائية لمنع التعذيب وسوء المعاملة المنصوص عليها في القانون العراقي، لكنها لا تزال تشعر بالقلق إزاء تقارير مفادها أن الأشخاص المحتجزين لا يحصلون بانتظام في الممارسة العملية على جميع الضمانات القانونية الأساسية منذ اللحظة الأولى لحرمانهم من </w:t>
      </w:r>
      <w:proofErr w:type="gramStart"/>
      <w:r w:rsidRPr="00967127">
        <w:rPr>
          <w:spacing w:val="-2"/>
          <w:rtl/>
        </w:rPr>
        <w:t>الحرية</w:t>
      </w:r>
      <w:r w:rsidR="00DE6894" w:rsidRPr="00967127">
        <w:rPr>
          <w:rFonts w:eastAsia="Malgun Gothic"/>
          <w:spacing w:val="-2"/>
          <w:sz w:val="18"/>
          <w:vertAlign w:val="superscript"/>
          <w:rtl/>
        </w:rPr>
        <w:t>(</w:t>
      </w:r>
      <w:proofErr w:type="gramEnd"/>
      <w:r w:rsidR="00DE6894" w:rsidRPr="00967127">
        <w:rPr>
          <w:rFonts w:eastAsia="Malgun Gothic"/>
          <w:spacing w:val="-2"/>
          <w:sz w:val="18"/>
          <w:vertAlign w:val="superscript"/>
          <w:rtl/>
        </w:rPr>
        <w:footnoteReference w:id="11"/>
      </w:r>
      <w:r w:rsidR="00DE6894" w:rsidRPr="00967127">
        <w:rPr>
          <w:rFonts w:eastAsia="Malgun Gothic"/>
          <w:spacing w:val="-2"/>
          <w:sz w:val="18"/>
          <w:vertAlign w:val="superscript"/>
          <w:rtl/>
        </w:rPr>
        <w:t>)</w:t>
      </w:r>
      <w:r w:rsidR="00DE6894" w:rsidRPr="00967127">
        <w:rPr>
          <w:rFonts w:hint="cs"/>
          <w:spacing w:val="-2"/>
          <w:rtl/>
        </w:rPr>
        <w:t>.</w:t>
      </w:r>
      <w:r w:rsidRPr="00967127">
        <w:rPr>
          <w:spacing w:val="-2"/>
          <w:rtl/>
        </w:rPr>
        <w:t xml:space="preserve"> وفي هذا الصدد، أفيد بما يلي: (أ) أن الحق في الاتصال بمحام يتأخّر بصورة منهجية ولا يجري إعماله إلا بعد مقابلات التحقيق الأولي مع قوات الأمن وقاضي التحقيق؛ و(ب) أن الأشخاص المشتبه في ارتكابهم جرائم متصلة بالإرهاب غالبا ما لا يستفيدون من تمثيل قانوني فعال؛ و(ج) أن الخضوع لفحص طبي مستقل لا</w:t>
      </w:r>
      <w:r w:rsidR="00967127">
        <w:rPr>
          <w:rFonts w:hint="cs"/>
          <w:spacing w:val="-2"/>
          <w:rtl/>
        </w:rPr>
        <w:t> </w:t>
      </w:r>
      <w:r w:rsidRPr="00967127">
        <w:rPr>
          <w:spacing w:val="-2"/>
          <w:rtl/>
        </w:rPr>
        <w:t>يمثل ممارسة معتادة للكشف عن علامات التعذيب وسوء المعاملة، ولا سيما بالنسبة للأشخاص المحتجزين قبل المحاكمة؛ و(د) أن حق المحتجز في إخطار أحد أفراد أسرته أو أي شخص من اختياره غالبا ما يتأخر إعماله؛ و(ه) أن عرض الأشخاص المعتقلين على قاضي التحقيق يتم بعد عدة أيام بل أسابيع من إلقاء القبض عليهم، بما يتجاوز بكثير فترة الـ 24 ساعة التي ينص عليها القانون العراقي؛ و(و) أن سجلات جميع الأشخاص المحرومين من حريتهم غير مترابطة ومركزية</w:t>
      </w:r>
      <w:r w:rsidR="00DE6894" w:rsidRPr="00967127">
        <w:rPr>
          <w:spacing w:val="-2"/>
          <w:vertAlign w:val="superscript"/>
          <w:rtl/>
        </w:rPr>
        <w:t>(</w:t>
      </w:r>
      <w:r w:rsidR="00DE6894" w:rsidRPr="00967127">
        <w:rPr>
          <w:spacing w:val="-2"/>
          <w:vertAlign w:val="superscript"/>
          <w:rtl/>
        </w:rPr>
        <w:footnoteReference w:id="12"/>
      </w:r>
      <w:r w:rsidR="00DE6894" w:rsidRPr="00967127">
        <w:rPr>
          <w:spacing w:val="-2"/>
          <w:vertAlign w:val="superscript"/>
          <w:rtl/>
        </w:rPr>
        <w:t>)</w:t>
      </w:r>
      <w:r w:rsidRPr="00967127">
        <w:rPr>
          <w:spacing w:val="-2"/>
          <w:rtl/>
        </w:rPr>
        <w:t xml:space="preserve"> (المادة </w:t>
      </w:r>
      <w:r w:rsidR="00DE6894" w:rsidRPr="00967127">
        <w:rPr>
          <w:color w:val="000000"/>
          <w:spacing w:val="-2"/>
          <w:rtl/>
        </w:rPr>
        <w:t>2</w:t>
      </w:r>
      <w:r w:rsidR="00DE6894" w:rsidRPr="00967127">
        <w:rPr>
          <w:rFonts w:ascii="Traditional Arabic"/>
          <w:color w:val="000000"/>
          <w:spacing w:val="-2"/>
          <w:szCs w:val="20"/>
          <w:rtl/>
        </w:rPr>
        <w:t>)</w:t>
      </w:r>
      <w:r w:rsidR="00DE6894" w:rsidRPr="00967127">
        <w:rPr>
          <w:color w:val="000000"/>
          <w:spacing w:val="-2"/>
          <w:rtl/>
        </w:rPr>
        <w:t>.</w:t>
      </w:r>
    </w:p>
    <w:p w14:paraId="6C760C65" w14:textId="5C270DD8" w:rsidR="00442C63" w:rsidRPr="00DC2BC0" w:rsidRDefault="00442C63" w:rsidP="00967127">
      <w:pPr>
        <w:pStyle w:val="SingleTxtGA"/>
        <w:pageBreakBefore/>
        <w:rPr>
          <w:b/>
          <w:bCs/>
          <w:szCs w:val="20"/>
          <w:lang w:val="ar-SA" w:eastAsia="zh-TW" w:bidi="en-GB"/>
        </w:rPr>
      </w:pPr>
      <w:r w:rsidRPr="00442C63">
        <w:rPr>
          <w:rtl/>
        </w:rPr>
        <w:lastRenderedPageBreak/>
        <w:t>11</w:t>
      </w:r>
      <w:r>
        <w:rPr>
          <w:rFonts w:ascii="Traditional Arabic"/>
          <w:szCs w:val="20"/>
          <w:rtl/>
        </w:rPr>
        <w:t>-</w:t>
      </w:r>
      <w:r>
        <w:rPr>
          <w:rtl/>
        </w:rPr>
        <w:tab/>
      </w:r>
      <w:r w:rsidRPr="00DC2BC0">
        <w:rPr>
          <w:b/>
          <w:bCs/>
          <w:rtl/>
        </w:rPr>
        <w:t xml:space="preserve">تُشير اللجنةُ إلى توصياتها </w:t>
      </w:r>
      <w:proofErr w:type="gramStart"/>
      <w:r w:rsidRPr="00DC2BC0">
        <w:rPr>
          <w:b/>
          <w:bCs/>
          <w:rtl/>
        </w:rPr>
        <w:t>السابقة</w:t>
      </w:r>
      <w:r w:rsidR="00DE6894" w:rsidRPr="00967127">
        <w:rPr>
          <w:sz w:val="18"/>
          <w:vertAlign w:val="superscript"/>
          <w:rtl/>
        </w:rPr>
        <w:t>(</w:t>
      </w:r>
      <w:proofErr w:type="gramEnd"/>
      <w:r w:rsidR="00DE6894" w:rsidRPr="00967127">
        <w:rPr>
          <w:sz w:val="18"/>
          <w:vertAlign w:val="superscript"/>
          <w:rtl/>
        </w:rPr>
        <w:footnoteReference w:id="13"/>
      </w:r>
      <w:r w:rsidR="00DE6894" w:rsidRPr="00967127">
        <w:rPr>
          <w:sz w:val="18"/>
          <w:vertAlign w:val="superscript"/>
          <w:rtl/>
        </w:rPr>
        <w:t>)</w:t>
      </w:r>
      <w:r w:rsidR="00DE6894" w:rsidRPr="00DC2BC0">
        <w:rPr>
          <w:rFonts w:hint="cs"/>
          <w:b/>
          <w:bCs/>
          <w:rtl/>
        </w:rPr>
        <w:t>،</w:t>
      </w:r>
      <w:r w:rsidRPr="00DC2BC0">
        <w:rPr>
          <w:b/>
          <w:bCs/>
          <w:rtl/>
        </w:rPr>
        <w:t xml:space="preserve"> وتوصي الدولةَ الطرف بما يلي</w:t>
      </w:r>
      <w:r w:rsidRPr="00DC2BC0">
        <w:rPr>
          <w:rFonts w:ascii="Traditional Arabic"/>
          <w:b/>
          <w:bCs/>
          <w:szCs w:val="20"/>
        </w:rPr>
        <w:t>:</w:t>
      </w:r>
    </w:p>
    <w:p w14:paraId="07C681BF" w14:textId="430CFF28" w:rsidR="00442C63" w:rsidRPr="00DC2BC0" w:rsidRDefault="00442C63" w:rsidP="00442C63">
      <w:pPr>
        <w:pStyle w:val="SingleTxtGA"/>
        <w:rPr>
          <w:b/>
          <w:bCs/>
          <w:szCs w:val="20"/>
          <w:lang w:val="ar-SA" w:eastAsia="zh-TW" w:bidi="en-GB"/>
        </w:rPr>
      </w:pPr>
      <w:r w:rsidRPr="00DC2BC0">
        <w:rPr>
          <w:b/>
          <w:bCs/>
          <w:rtl/>
        </w:rPr>
        <w:tab/>
        <w:t>(أ)</w:t>
      </w:r>
      <w:r w:rsidR="004D1929" w:rsidRPr="00DC2BC0">
        <w:rPr>
          <w:b/>
          <w:bCs/>
          <w:rtl/>
        </w:rPr>
        <w:tab/>
      </w:r>
      <w:r w:rsidRPr="00DC2BC0">
        <w:rPr>
          <w:b/>
          <w:bCs/>
          <w:rtl/>
        </w:rPr>
        <w:t>ضمان حصول جميع الأشخاص المحرومين من حريتهم على جميع الضمانات القانونية الأساسية في الممارسة العملية منذ بداية حرمانهم من الحرية، بما في ذلك على وجه الخصوص: (أ) إبلاغهم بحقهم في الاستعانة بمحام مستقل يختارونه دون عائق، أو منحهم، عند الاقتضاء، معونة قضائية جيدة المستوى تؤمنها الدولة، بما في ذلك أثناء الاستجواب الأولي والتحقيق. و(ب) منحهم الحق في طلب عرضهم على طبيب مستقل لإجراء فحص طبي سري وفي الاستجابة لطلبهم مجاناً، بما في ذلك عرضهم على طبيب يختاروه إذا طلبوا ذلك؛ و(ج) منحهم إمكانية إخبار أحد أفراد أسرهم أو أي شخص آخر من اختيارهم بإجراء احتجازهم فور اعتقالهم؛ و(د) عرضهم على قاض في غضون الإطار الزمني الذي يحدده القانون؛</w:t>
      </w:r>
    </w:p>
    <w:p w14:paraId="656C2406" w14:textId="3E52A680" w:rsidR="00442C63" w:rsidRPr="00DC2BC0" w:rsidRDefault="00442C63" w:rsidP="00442C63">
      <w:pPr>
        <w:pStyle w:val="SingleTxtGA"/>
        <w:rPr>
          <w:b/>
          <w:bCs/>
          <w:szCs w:val="20"/>
          <w:lang w:val="ar-SA" w:eastAsia="zh-TW" w:bidi="en-GB"/>
        </w:rPr>
      </w:pPr>
      <w:r w:rsidRPr="00DC2BC0">
        <w:rPr>
          <w:b/>
          <w:bCs/>
          <w:rtl/>
        </w:rPr>
        <w:tab/>
        <w:t>(ب)</w:t>
      </w:r>
      <w:r w:rsidRPr="00DC2BC0">
        <w:rPr>
          <w:b/>
          <w:bCs/>
          <w:rtl/>
        </w:rPr>
        <w:tab/>
        <w:t>التحقق المنهجي من احترام الموظفين المختصين الحفظ الصارم للسجلات في الممارسة العملية وإنشاء سجل معلوماتي مركزي يمكن لأي سلطة مختصة الوصول إليه؛</w:t>
      </w:r>
    </w:p>
    <w:p w14:paraId="00AED765" w14:textId="03CA53B8" w:rsidR="00442C63" w:rsidRPr="00DC2BC0" w:rsidRDefault="00442C63" w:rsidP="00442C63">
      <w:pPr>
        <w:pStyle w:val="SingleTxtGA"/>
        <w:rPr>
          <w:b/>
          <w:bCs/>
          <w:szCs w:val="20"/>
          <w:lang w:val="en-US" w:eastAsia="zh-TW" w:bidi="en-GB"/>
        </w:rPr>
      </w:pPr>
      <w:r w:rsidRPr="00DC2BC0">
        <w:rPr>
          <w:b/>
          <w:bCs/>
          <w:rtl/>
        </w:rPr>
        <w:tab/>
        <w:t>(ج)</w:t>
      </w:r>
      <w:r w:rsidRPr="00DC2BC0">
        <w:rPr>
          <w:b/>
          <w:bCs/>
          <w:rtl/>
        </w:rPr>
        <w:tab/>
        <w:t>تضمين التقرير الدوري المقبل معلومات إلى اللجنة عن عدد الشكاوى الواردة بشأن عدم احترام الضمانات القانونية الأساسية وعن نتائج هذه الشكاوى، بما في ذلك التدابير التأديبية المتخذة ضد المسؤولين الذين لا يوفرون الضمانات القانونية الأساسية.</w:t>
      </w:r>
    </w:p>
    <w:p w14:paraId="4E89EFAB" w14:textId="77777777" w:rsidR="00442C63" w:rsidRPr="00E75A98" w:rsidRDefault="00442C63" w:rsidP="00442C63">
      <w:pPr>
        <w:pStyle w:val="H23GA"/>
        <w:rPr>
          <w:szCs w:val="20"/>
          <w:lang w:val="ar-SA" w:eastAsia="zh-TW" w:bidi="en-GB"/>
        </w:rPr>
      </w:pPr>
      <w:r>
        <w:rPr>
          <w:rtl/>
        </w:rPr>
        <w:tab/>
      </w:r>
      <w:r>
        <w:rPr>
          <w:rtl/>
        </w:rPr>
        <w:tab/>
        <w:t>الادعاءات بانتشار التعذيب أو سوء المعاملة على نطاق واسع وانعدام المساءلة</w:t>
      </w:r>
    </w:p>
    <w:p w14:paraId="0A9EDD3C" w14:textId="49FE3FAD" w:rsidR="00DE6894" w:rsidRPr="00DE6894" w:rsidRDefault="00442C63" w:rsidP="00442C63">
      <w:pPr>
        <w:pStyle w:val="SingleTxtGA"/>
        <w:rPr>
          <w:color w:val="000000"/>
          <w:szCs w:val="20"/>
          <w:lang w:val="ar-SA" w:eastAsia="zh-TW" w:bidi="en-GB"/>
        </w:rPr>
      </w:pPr>
      <w:r w:rsidRPr="00442C63">
        <w:rPr>
          <w:rtl/>
        </w:rPr>
        <w:t>12</w:t>
      </w:r>
      <w:r>
        <w:rPr>
          <w:rFonts w:ascii="Traditional Arabic"/>
          <w:szCs w:val="20"/>
          <w:rtl/>
        </w:rPr>
        <w:t>-</w:t>
      </w:r>
      <w:r w:rsidR="00DC2BC0">
        <w:rPr>
          <w:rtl/>
        </w:rPr>
        <w:tab/>
      </w:r>
      <w:r>
        <w:rPr>
          <w:rtl/>
        </w:rPr>
        <w:t>تحيط اللجنة علما</w:t>
      </w:r>
      <w:r w:rsidR="00DC2BC0">
        <w:rPr>
          <w:rFonts w:hint="cs"/>
          <w:rtl/>
        </w:rPr>
        <w:t>ً</w:t>
      </w:r>
      <w:r>
        <w:rPr>
          <w:rtl/>
        </w:rPr>
        <w:t xml:space="preserve"> بإنكار وفد الدولة الطرف ممارسة التعذيب في أماكن الاحتجاز، غير أنها لا تزال تشعر بالقلق إزاء التقارير التي تشير إلى أن الأشخاص المحتجزين، بما في ذلك في المرافق الخاضعة لسلطة قوات الأمن وتلك التي يفاد بأنها مجهولة للمحتجزين، يتعرضون للتعذيب أو سوء المعاملة، ولا</w:t>
      </w:r>
      <w:r w:rsidR="00DC2BC0">
        <w:rPr>
          <w:rFonts w:hint="cs"/>
          <w:rtl/>
        </w:rPr>
        <w:t> </w:t>
      </w:r>
      <w:r>
        <w:rPr>
          <w:rtl/>
        </w:rPr>
        <w:t>سيما أثناء التحقيق في إطار الإجراءات الجارية. ووفقا للمعلومات المعروضة على اللجنة، غالبا ما لا يقدم المحتجزون شكاوى بسبب خوفهم من الانتقام. وفي الحالات التي تقدّم فيها هذه الشكاوى، لا تتاح المعلومات المتعلقة بالتحقيقات وبنتائجها. وعلاوة على ذلك، توضع نزاهة التحقيقات في ادعاءات التعذيب أثناء المحاكمات الجنائية الجارية موضع الشك بسبب دور قضاة التحقيق، لأن قاضي التحقيق الذي يقود التحقيق في ادعاءات جريمة جنائية هو نفسه الذي يتولى التحقيق في ادعاءات التعذيب هذه. وتحيط اللجنة علما بالمعلومات التي قدّمها الوفد بشأن عمليات التحقيق في ادعاءات التعذيب والوفاة أثناء الاحتجاز في مرفق احتجاز يقع بالموصل ويخضع لسلطة وزارة الداخلية، لكنها تلاحظ مع القلق أنها لم تتلق بيانات شاملة عن عمليات التحقيق في تلك الحالات أو عن نتائجها. وتلاحظ اللجنة أن الآليات التي أنشأتها الدولة الطرف لتلقي الشكاوى المتعلقة بالتعرض للتعذيب وسوء المعاملة على أيدي موظفي الدولة والتحقيق في هذه الشكاوى لا تتيح عملياً إمكانية مساءلة الجناة مساءلة جدية. وعلى سبيل المثال، يبدو أن حالات التعذيب، المحالة أساسا</w:t>
      </w:r>
      <w:r w:rsidR="00490003">
        <w:rPr>
          <w:rFonts w:hint="cs"/>
          <w:rtl/>
        </w:rPr>
        <w:t>ً</w:t>
      </w:r>
      <w:r>
        <w:rPr>
          <w:rtl/>
        </w:rPr>
        <w:t xml:space="preserve"> من الأشخاص المدانين، لا تصل إلى محاكم حقوق الإنسان إلا بعد أن تنظر فيها بصورة أولية المفوضيةُ العليا المستقلة لحقوق الإنسان وأن يحقق فيها مكتب المدعي العام. والإجراءات اللاحقة أمام تلك المحاكم تظل بطيئة (المواد </w:t>
      </w:r>
      <w:r w:rsidRPr="00442C63">
        <w:rPr>
          <w:rtl/>
        </w:rPr>
        <w:t>2</w:t>
      </w:r>
      <w:r>
        <w:rPr>
          <w:rtl/>
        </w:rPr>
        <w:t xml:space="preserve"> </w:t>
      </w:r>
      <w:proofErr w:type="spellStart"/>
      <w:r>
        <w:rPr>
          <w:rtl/>
        </w:rPr>
        <w:t>و</w:t>
      </w:r>
      <w:r w:rsidRPr="00442C63">
        <w:rPr>
          <w:rtl/>
        </w:rPr>
        <w:t>12</w:t>
      </w:r>
      <w:proofErr w:type="spellEnd"/>
      <w:r>
        <w:rPr>
          <w:rFonts w:ascii="Traditional Arabic"/>
          <w:szCs w:val="20"/>
          <w:rtl/>
        </w:rPr>
        <w:t>-</w:t>
      </w:r>
      <w:r w:rsidRPr="00442C63">
        <w:rPr>
          <w:rtl/>
        </w:rPr>
        <w:t>13</w:t>
      </w:r>
      <w:r>
        <w:rPr>
          <w:rtl/>
        </w:rPr>
        <w:t xml:space="preserve"> </w:t>
      </w:r>
      <w:proofErr w:type="spellStart"/>
      <w:r>
        <w:rPr>
          <w:rtl/>
        </w:rPr>
        <w:t>و</w:t>
      </w:r>
      <w:r w:rsidRPr="00442C63">
        <w:rPr>
          <w:rtl/>
        </w:rPr>
        <w:t>1</w:t>
      </w:r>
      <w:r w:rsidR="00DE6894" w:rsidRPr="00DE6894">
        <w:rPr>
          <w:color w:val="000000"/>
          <w:rtl/>
        </w:rPr>
        <w:t>6</w:t>
      </w:r>
      <w:proofErr w:type="spellEnd"/>
      <w:r w:rsidR="00DE6894" w:rsidRPr="00DE6894">
        <w:rPr>
          <w:rFonts w:ascii="Traditional Arabic"/>
          <w:color w:val="000000"/>
          <w:szCs w:val="20"/>
          <w:rtl/>
        </w:rPr>
        <w:t>)</w:t>
      </w:r>
      <w:r w:rsidR="00DE6894" w:rsidRPr="00DE6894">
        <w:rPr>
          <w:color w:val="000000"/>
          <w:rtl/>
        </w:rPr>
        <w:t>.</w:t>
      </w:r>
    </w:p>
    <w:p w14:paraId="7FC46C48" w14:textId="698C9DBC" w:rsidR="00442C63" w:rsidRPr="00403EFC" w:rsidRDefault="00442C63" w:rsidP="00442C63">
      <w:pPr>
        <w:pStyle w:val="SingleTxtGA"/>
        <w:rPr>
          <w:b/>
          <w:bCs/>
          <w:szCs w:val="20"/>
          <w:lang w:val="ar-SA" w:eastAsia="zh-TW" w:bidi="en-GB"/>
        </w:rPr>
      </w:pPr>
      <w:r w:rsidRPr="00442C63">
        <w:rPr>
          <w:rtl/>
        </w:rPr>
        <w:t>13</w:t>
      </w:r>
      <w:r>
        <w:rPr>
          <w:rFonts w:ascii="Traditional Arabic"/>
          <w:szCs w:val="20"/>
          <w:rtl/>
        </w:rPr>
        <w:t>-</w:t>
      </w:r>
      <w:r>
        <w:rPr>
          <w:rtl/>
        </w:rPr>
        <w:tab/>
      </w:r>
      <w:r w:rsidRPr="00403EFC">
        <w:rPr>
          <w:b/>
          <w:bCs/>
          <w:rtl/>
        </w:rPr>
        <w:t>تحث اللجنة الدولة الطرف على التصدي فورا</w:t>
      </w:r>
      <w:r w:rsidR="004D1929" w:rsidRPr="00403EFC">
        <w:rPr>
          <w:rFonts w:hint="cs"/>
          <w:b/>
          <w:bCs/>
          <w:rtl/>
        </w:rPr>
        <w:t>ً</w:t>
      </w:r>
      <w:r w:rsidRPr="00403EFC">
        <w:rPr>
          <w:b/>
          <w:bCs/>
          <w:rtl/>
        </w:rPr>
        <w:t xml:space="preserve"> لمشكلة الإفلات من العقاب واعتماد التدابير اللازمة لضمان المساءلة في الممارسة العملية عن جميع أعمال التعذيب أو سوء المعاملة التي يرتكبها موظفون عموميون وشركاء غير رسميين عن طريق إجراء تحقيقات سريعة ونزيهة وفعالة في الشكاوى من خلال آلية مستقلة، ومقاضاة مرتكبي هذا العنف ومعاقبتهم كما يجب. وتحث اللجنة الدولة الطرف </w:t>
      </w:r>
      <w:r w:rsidRPr="00403EFC">
        <w:rPr>
          <w:b/>
          <w:bCs/>
          <w:rtl/>
        </w:rPr>
        <w:lastRenderedPageBreak/>
        <w:t>أيضا</w:t>
      </w:r>
      <w:r w:rsidR="00310DA0">
        <w:rPr>
          <w:rFonts w:hint="cs"/>
          <w:b/>
          <w:bCs/>
          <w:rtl/>
        </w:rPr>
        <w:t>ً</w:t>
      </w:r>
      <w:r w:rsidRPr="00403EFC">
        <w:rPr>
          <w:b/>
          <w:bCs/>
          <w:rtl/>
        </w:rPr>
        <w:t xml:space="preserve"> على أن تضمن في الممارسة العملية وعلى النحو المطلوب بموجب القانون الساري وقف الأشخاص الخاضعين للتحقيق لارتكابهم أعمال تعذيب أو سوء معاملة من الخدمة فوراً وبقائهم كذلك طوال التحقيق. وينبغي للدولة الطرف أن تضمن حماية أصحاب الشكاوى والشهود في الممارسة العملية من أي سوء معاملة أو تخويف نتيجة للشكاوى.</w:t>
      </w:r>
    </w:p>
    <w:p w14:paraId="2D7B1199" w14:textId="77777777" w:rsidR="00442C63" w:rsidRPr="00E75A98" w:rsidRDefault="00442C63" w:rsidP="00442C63">
      <w:pPr>
        <w:pStyle w:val="H23GA"/>
        <w:rPr>
          <w:szCs w:val="20"/>
          <w:lang w:val="ar-SA" w:eastAsia="zh-TW" w:bidi="en-GB"/>
        </w:rPr>
      </w:pPr>
      <w:r>
        <w:rPr>
          <w:rtl/>
        </w:rPr>
        <w:tab/>
      </w:r>
      <w:r>
        <w:rPr>
          <w:rtl/>
        </w:rPr>
        <w:tab/>
        <w:t>الاعترافات المنتزعة عن طريق التعذيب وسوء المعاملة</w:t>
      </w:r>
    </w:p>
    <w:p w14:paraId="19D8D1FB" w14:textId="528C1907" w:rsidR="00DE6894" w:rsidRPr="00DE6894" w:rsidRDefault="00442C63" w:rsidP="00442C63">
      <w:pPr>
        <w:pStyle w:val="SingleTxtGA"/>
        <w:rPr>
          <w:color w:val="000000"/>
          <w:szCs w:val="20"/>
          <w:lang w:val="ar-SA" w:eastAsia="zh-TW" w:bidi="en-GB"/>
        </w:rPr>
      </w:pPr>
      <w:r w:rsidRPr="00442C63">
        <w:rPr>
          <w:rtl/>
        </w:rPr>
        <w:t>14</w:t>
      </w:r>
      <w:r>
        <w:rPr>
          <w:rFonts w:ascii="Traditional Arabic"/>
          <w:szCs w:val="20"/>
          <w:rtl/>
        </w:rPr>
        <w:t>-</w:t>
      </w:r>
      <w:r>
        <w:rPr>
          <w:rtl/>
        </w:rPr>
        <w:tab/>
        <w:t>يساور اللجنة القلق إزاء التقارير التي تشير إلى أنه على الرغم من الأحكام القانونية القائمة بشأن عدم مقبولية الأدلة المنتزعة بطرق غير مشروعة، تفيد التقارير بأن المحاكم تقبل بالاعترافات المنتزعة تحت الإكراه كدليل، ولا سيما في القضايا المتصلة بالإرهاب، بما في ذلك في حالة الأطفال. وعلاوة على ذلك، تشير المعلومات المعروضة على اللجنة إلى أن ادعاءات الاعترافات القسرية المنتزعة تحت التعذيب أو سوء المعاملة التي تقدم إلى قاضي المحاكمة أو قاضي الاستئناف كثيرا</w:t>
      </w:r>
      <w:r w:rsidR="00310DA0">
        <w:rPr>
          <w:rFonts w:hint="cs"/>
          <w:rtl/>
        </w:rPr>
        <w:t>ً</w:t>
      </w:r>
      <w:r>
        <w:rPr>
          <w:rtl/>
        </w:rPr>
        <w:t xml:space="preserve"> ما يتم تجاهلها ولا تتابع بشكل دقيق وإلى أن أوجه القصور الخطيرة في توثيق علامات التعذيب البدني والنفسي كثيرا</w:t>
      </w:r>
      <w:r w:rsidR="00967127">
        <w:rPr>
          <w:rFonts w:hint="cs"/>
          <w:rtl/>
        </w:rPr>
        <w:t>ً</w:t>
      </w:r>
      <w:r>
        <w:rPr>
          <w:rtl/>
        </w:rPr>
        <w:t xml:space="preserve"> ما</w:t>
      </w:r>
      <w:r w:rsidR="00967127">
        <w:rPr>
          <w:rFonts w:hint="cs"/>
          <w:rtl/>
        </w:rPr>
        <w:t> </w:t>
      </w:r>
      <w:r>
        <w:rPr>
          <w:rtl/>
        </w:rPr>
        <w:t xml:space="preserve">تكون ناجمة عن الفترة الفاصلة بين الحدث المزعوم والتحقيق المتأخر فيه (المادة </w:t>
      </w:r>
      <w:r w:rsidRPr="00442C63">
        <w:rPr>
          <w:rtl/>
        </w:rPr>
        <w:t>1</w:t>
      </w:r>
      <w:r w:rsidR="00DE6894" w:rsidRPr="00DE6894">
        <w:rPr>
          <w:color w:val="000000"/>
          <w:rtl/>
        </w:rPr>
        <w:t>5</w:t>
      </w:r>
      <w:r w:rsidR="00DE6894" w:rsidRPr="00DE6894">
        <w:rPr>
          <w:rFonts w:ascii="Traditional Arabic"/>
          <w:color w:val="000000"/>
          <w:szCs w:val="20"/>
          <w:rtl/>
        </w:rPr>
        <w:t>)</w:t>
      </w:r>
      <w:r w:rsidR="00DE6894" w:rsidRPr="00DE6894">
        <w:rPr>
          <w:color w:val="000000"/>
          <w:rtl/>
        </w:rPr>
        <w:t>.</w:t>
      </w:r>
    </w:p>
    <w:p w14:paraId="07076295" w14:textId="2DFC3CB0" w:rsidR="00442C63" w:rsidRPr="00403EFC" w:rsidRDefault="00442C63" w:rsidP="00442C63">
      <w:pPr>
        <w:pStyle w:val="SingleTxtGA"/>
        <w:rPr>
          <w:b/>
          <w:bCs/>
          <w:szCs w:val="20"/>
          <w:lang w:val="en-US" w:eastAsia="zh-TW" w:bidi="en-GB"/>
        </w:rPr>
      </w:pPr>
      <w:r w:rsidRPr="00442C63">
        <w:rPr>
          <w:rtl/>
        </w:rPr>
        <w:t>15</w:t>
      </w:r>
      <w:r>
        <w:rPr>
          <w:rFonts w:ascii="Traditional Arabic"/>
          <w:szCs w:val="20"/>
          <w:rtl/>
        </w:rPr>
        <w:t>-</w:t>
      </w:r>
      <w:r>
        <w:rPr>
          <w:rtl/>
        </w:rPr>
        <w:tab/>
      </w:r>
      <w:r w:rsidRPr="00403EFC">
        <w:rPr>
          <w:b/>
          <w:bCs/>
          <w:rtl/>
        </w:rPr>
        <w:t>ينبغي للدولة الطرف أن تكفل في الممارسة العملية عدم مقبولية الاعترافات المنتزعة تحت التعذيب أو سوء المعاملة والتحقيق فيها، وتوسيع نطاق برامج التدريب المتخصصة لكل من القضاة والمدعين العامين لضمان قدرتهم على التعرف بشكل فعال على أفعال التعذيب وسوء المعاملة والتحقيق في جميع الادعاءات المتعلقة بها، ووضع وحدات تدريبية على الاستجواب غير القسري وأساليب التحقيق لفائدة موظفي إنفاذ القانون، وموافاة اللجنة بمعلومات عن أية قضايا لم تُقبل فيها الاعترافات لأنها منتزعة تحت التعذيب أو سوء المعاملة، وذِكْر ما إذا كان أي موظف قد لوحق قضائياً وعوقب بسبب انتزاع تلك الاعترافات.</w:t>
      </w:r>
    </w:p>
    <w:p w14:paraId="415DA3B4" w14:textId="77777777" w:rsidR="00442C63" w:rsidRPr="00E75A98" w:rsidRDefault="00442C63" w:rsidP="00442C63">
      <w:pPr>
        <w:pStyle w:val="H23GA"/>
        <w:rPr>
          <w:szCs w:val="20"/>
          <w:lang w:val="ar-SA" w:eastAsia="zh-TW" w:bidi="en-GB"/>
        </w:rPr>
      </w:pPr>
      <w:r>
        <w:rPr>
          <w:rtl/>
        </w:rPr>
        <w:tab/>
      </w:r>
      <w:r>
        <w:rPr>
          <w:rtl/>
        </w:rPr>
        <w:tab/>
        <w:t>أماكن الاحتجاز غير الرسمية</w:t>
      </w:r>
    </w:p>
    <w:p w14:paraId="104D9BBF" w14:textId="276E8DD8" w:rsidR="00DE6894" w:rsidRPr="00DE6894" w:rsidRDefault="00442C63" w:rsidP="00442C63">
      <w:pPr>
        <w:pStyle w:val="SingleTxtGA"/>
        <w:rPr>
          <w:color w:val="000000"/>
          <w:szCs w:val="20"/>
          <w:lang w:val="ar-SA" w:eastAsia="zh-TW" w:bidi="en-GB"/>
        </w:rPr>
      </w:pPr>
      <w:r w:rsidRPr="00442C63">
        <w:rPr>
          <w:rtl/>
        </w:rPr>
        <w:t>16</w:t>
      </w:r>
      <w:r>
        <w:rPr>
          <w:rFonts w:ascii="Traditional Arabic"/>
          <w:szCs w:val="20"/>
          <w:rtl/>
        </w:rPr>
        <w:t>-</w:t>
      </w:r>
      <w:r>
        <w:rPr>
          <w:rtl/>
        </w:rPr>
        <w:tab/>
        <w:t xml:space="preserve">في حين تحيط اللجنة علما بالحظر المحلي للاحتجاز غير القانوني في أماكن غير مخصصة لهذا الغرض، وكذا بتأكيد الدولة الطرف غياب الدليل على وجود أماكن احتجاز سرية، فإنها لا تزال تتلقى معلومات من مصادر موثوقة عن ممارسة الاحتجاز غير القانوني وبمعزل عن العالم الخارجي في مرافق </w:t>
      </w:r>
      <w:proofErr w:type="gramStart"/>
      <w:r>
        <w:rPr>
          <w:rtl/>
        </w:rPr>
        <w:t>مجهولة</w:t>
      </w:r>
      <w:r w:rsidR="00DE6894" w:rsidRPr="00DE6894">
        <w:rPr>
          <w:sz w:val="18"/>
          <w:vertAlign w:val="superscript"/>
          <w:rtl/>
        </w:rPr>
        <w:t>(</w:t>
      </w:r>
      <w:proofErr w:type="gramEnd"/>
      <w:r w:rsidR="00DE6894" w:rsidRPr="00E75A98">
        <w:rPr>
          <w:sz w:val="18"/>
          <w:vertAlign w:val="superscript"/>
          <w:rtl/>
        </w:rPr>
        <w:footnoteReference w:id="14"/>
      </w:r>
      <w:r w:rsidR="00DE6894">
        <w:rPr>
          <w:sz w:val="18"/>
          <w:vertAlign w:val="superscript"/>
          <w:rtl/>
        </w:rPr>
        <w:t>)</w:t>
      </w:r>
      <w:r>
        <w:rPr>
          <w:rtl/>
        </w:rPr>
        <w:t xml:space="preserve"> (المواد </w:t>
      </w:r>
      <w:r w:rsidRPr="00442C63">
        <w:rPr>
          <w:rtl/>
        </w:rPr>
        <w:t>2</w:t>
      </w:r>
      <w:r>
        <w:rPr>
          <w:rtl/>
        </w:rPr>
        <w:t xml:space="preserve"> </w:t>
      </w:r>
      <w:proofErr w:type="spellStart"/>
      <w:r>
        <w:rPr>
          <w:rtl/>
        </w:rPr>
        <w:t>و</w:t>
      </w:r>
      <w:r w:rsidRPr="00442C63">
        <w:rPr>
          <w:rtl/>
        </w:rPr>
        <w:t>11</w:t>
      </w:r>
      <w:proofErr w:type="spellEnd"/>
      <w:r>
        <w:rPr>
          <w:rtl/>
        </w:rPr>
        <w:t xml:space="preserve"> </w:t>
      </w:r>
      <w:proofErr w:type="spellStart"/>
      <w:r>
        <w:rPr>
          <w:rtl/>
        </w:rPr>
        <w:t>و</w:t>
      </w:r>
      <w:r w:rsidRPr="00442C63">
        <w:rPr>
          <w:rtl/>
        </w:rPr>
        <w:t>1</w:t>
      </w:r>
      <w:r w:rsidR="00DE6894" w:rsidRPr="00DE6894">
        <w:rPr>
          <w:color w:val="000000"/>
          <w:rtl/>
        </w:rPr>
        <w:t>6</w:t>
      </w:r>
      <w:proofErr w:type="spellEnd"/>
      <w:r w:rsidR="00DE6894" w:rsidRPr="00DE6894">
        <w:rPr>
          <w:rFonts w:ascii="Traditional Arabic"/>
          <w:color w:val="000000"/>
          <w:szCs w:val="20"/>
          <w:rtl/>
        </w:rPr>
        <w:t>)</w:t>
      </w:r>
      <w:r w:rsidR="00DE6894" w:rsidRPr="00DE6894">
        <w:rPr>
          <w:color w:val="000000"/>
          <w:rtl/>
        </w:rPr>
        <w:t>.</w:t>
      </w:r>
    </w:p>
    <w:p w14:paraId="72007382" w14:textId="2FEF3A0D" w:rsidR="00442C63" w:rsidRPr="00E75A98" w:rsidRDefault="00442C63" w:rsidP="00442C63">
      <w:pPr>
        <w:pStyle w:val="SingleTxtGA"/>
        <w:rPr>
          <w:szCs w:val="20"/>
          <w:lang w:val="ar-SA" w:eastAsia="zh-TW" w:bidi="en-GB"/>
        </w:rPr>
      </w:pPr>
      <w:r w:rsidRPr="00442C63">
        <w:rPr>
          <w:rtl/>
        </w:rPr>
        <w:t>17</w:t>
      </w:r>
      <w:r>
        <w:rPr>
          <w:rFonts w:ascii="Traditional Arabic"/>
          <w:szCs w:val="20"/>
          <w:rtl/>
        </w:rPr>
        <w:t>-</w:t>
      </w:r>
      <w:r>
        <w:rPr>
          <w:rtl/>
        </w:rPr>
        <w:tab/>
      </w:r>
      <w:r w:rsidRPr="00403EFC">
        <w:rPr>
          <w:b/>
          <w:bCs/>
          <w:rtl/>
        </w:rPr>
        <w:t xml:space="preserve">إذ تشير اللجنة إلى توصيتها </w:t>
      </w:r>
      <w:proofErr w:type="gramStart"/>
      <w:r w:rsidRPr="00403EFC">
        <w:rPr>
          <w:b/>
          <w:bCs/>
          <w:rtl/>
        </w:rPr>
        <w:t>السابقة</w:t>
      </w:r>
      <w:r w:rsidR="00DE6894" w:rsidRPr="00967127">
        <w:rPr>
          <w:sz w:val="18"/>
          <w:vertAlign w:val="superscript"/>
          <w:rtl/>
        </w:rPr>
        <w:t>(</w:t>
      </w:r>
      <w:proofErr w:type="gramEnd"/>
      <w:r w:rsidR="00DE6894" w:rsidRPr="00967127">
        <w:rPr>
          <w:sz w:val="18"/>
          <w:vertAlign w:val="superscript"/>
          <w:rtl/>
        </w:rPr>
        <w:footnoteReference w:id="15"/>
      </w:r>
      <w:r w:rsidR="00DE6894" w:rsidRPr="00967127">
        <w:rPr>
          <w:sz w:val="18"/>
          <w:vertAlign w:val="superscript"/>
          <w:rtl/>
        </w:rPr>
        <w:t>)</w:t>
      </w:r>
      <w:r w:rsidR="00DE6894" w:rsidRPr="00403EFC">
        <w:rPr>
          <w:rFonts w:hint="cs"/>
          <w:b/>
          <w:bCs/>
          <w:rtl/>
        </w:rPr>
        <w:t>،</w:t>
      </w:r>
      <w:r w:rsidRPr="00403EFC">
        <w:rPr>
          <w:b/>
          <w:bCs/>
          <w:rtl/>
        </w:rPr>
        <w:t xml:space="preserve"> تحث الدولة الطرف على أن تكفل، على سبيل الأولوية، تطبيق التشريعات الوطنية تطبيقا</w:t>
      </w:r>
      <w:r w:rsidR="00310DA0">
        <w:rPr>
          <w:rFonts w:hint="cs"/>
          <w:b/>
          <w:bCs/>
          <w:rtl/>
        </w:rPr>
        <w:t>ً</w:t>
      </w:r>
      <w:r w:rsidRPr="00403EFC">
        <w:rPr>
          <w:b/>
          <w:bCs/>
          <w:rtl/>
        </w:rPr>
        <w:t xml:space="preserve"> فعالا</w:t>
      </w:r>
      <w:r w:rsidR="00310DA0">
        <w:rPr>
          <w:rFonts w:hint="cs"/>
          <w:b/>
          <w:bCs/>
          <w:rtl/>
        </w:rPr>
        <w:t>ً</w:t>
      </w:r>
      <w:r w:rsidRPr="00403EFC">
        <w:rPr>
          <w:b/>
          <w:bCs/>
          <w:rtl/>
        </w:rPr>
        <w:t xml:space="preserve"> في جميع أنحاء البلد وأن تغلق فورا</w:t>
      </w:r>
      <w:r w:rsidR="00310DA0">
        <w:rPr>
          <w:rFonts w:hint="cs"/>
          <w:b/>
          <w:bCs/>
          <w:rtl/>
        </w:rPr>
        <w:t>ً</w:t>
      </w:r>
      <w:r w:rsidRPr="00403EFC">
        <w:rPr>
          <w:b/>
          <w:bCs/>
          <w:rtl/>
        </w:rPr>
        <w:t xml:space="preserve"> جميع أماكن الاحتجاز غير الرسمية.</w:t>
      </w:r>
    </w:p>
    <w:p w14:paraId="165C414F" w14:textId="77777777" w:rsidR="00442C63" w:rsidRPr="00E75A98" w:rsidRDefault="00442C63" w:rsidP="00442C63">
      <w:pPr>
        <w:pStyle w:val="H23GA"/>
        <w:rPr>
          <w:color w:val="000000" w:themeColor="text1"/>
          <w:szCs w:val="20"/>
          <w:lang w:val="ar-SA" w:eastAsia="zh-TW" w:bidi="en-GB"/>
        </w:rPr>
      </w:pPr>
      <w:r>
        <w:rPr>
          <w:rtl/>
        </w:rPr>
        <w:tab/>
      </w:r>
      <w:r>
        <w:rPr>
          <w:rtl/>
        </w:rPr>
        <w:tab/>
        <w:t>تدابير مكافحة الإرهاب والعمليات العسكرية</w:t>
      </w:r>
    </w:p>
    <w:p w14:paraId="0911593D" w14:textId="0792CBFC" w:rsidR="00DE6894" w:rsidRPr="00DE6894" w:rsidRDefault="00442C63" w:rsidP="00442C63">
      <w:pPr>
        <w:pStyle w:val="SingleTxtGA"/>
        <w:rPr>
          <w:color w:val="000000"/>
          <w:szCs w:val="20"/>
          <w:lang w:val="ar-SA" w:eastAsia="zh-TW" w:bidi="en-GB"/>
        </w:rPr>
      </w:pPr>
      <w:r w:rsidRPr="00442C63">
        <w:rPr>
          <w:rtl/>
        </w:rPr>
        <w:t>18</w:t>
      </w:r>
      <w:r>
        <w:rPr>
          <w:rFonts w:ascii="Traditional Arabic"/>
          <w:szCs w:val="20"/>
          <w:rtl/>
        </w:rPr>
        <w:t>-</w:t>
      </w:r>
      <w:r>
        <w:rPr>
          <w:rtl/>
        </w:rPr>
        <w:tab/>
        <w:t>تحيط اللجنة علما</w:t>
      </w:r>
      <w:r w:rsidR="00967127">
        <w:rPr>
          <w:rFonts w:hint="cs"/>
          <w:rtl/>
        </w:rPr>
        <w:t>ً</w:t>
      </w:r>
      <w:r>
        <w:rPr>
          <w:rtl/>
        </w:rPr>
        <w:t xml:space="preserve"> بالجهود التي تبذلها الدولة الطرف للتحقيق في الجرائم التي ارتكبها تنظيم داعش ومقاضاة </w:t>
      </w:r>
      <w:proofErr w:type="gramStart"/>
      <w:r>
        <w:rPr>
          <w:rtl/>
        </w:rPr>
        <w:t>مرتكبيها</w:t>
      </w:r>
      <w:r w:rsidR="00DE6894" w:rsidRPr="00DE6894">
        <w:rPr>
          <w:sz w:val="18"/>
          <w:vertAlign w:val="superscript"/>
          <w:rtl/>
        </w:rPr>
        <w:t>(</w:t>
      </w:r>
      <w:proofErr w:type="gramEnd"/>
      <w:r w:rsidR="00DE6894" w:rsidRPr="00E75A98">
        <w:rPr>
          <w:sz w:val="18"/>
          <w:vertAlign w:val="superscript"/>
          <w:rtl/>
        </w:rPr>
        <w:footnoteReference w:id="16"/>
      </w:r>
      <w:r w:rsidR="00DE6894">
        <w:rPr>
          <w:sz w:val="18"/>
          <w:vertAlign w:val="superscript"/>
          <w:rtl/>
        </w:rPr>
        <w:t>)</w:t>
      </w:r>
      <w:r w:rsidR="00DE6894">
        <w:rPr>
          <w:rFonts w:hint="cs"/>
          <w:rtl/>
        </w:rPr>
        <w:t>،</w:t>
      </w:r>
      <w:r>
        <w:rPr>
          <w:rtl/>
        </w:rPr>
        <w:t xml:space="preserve"> بما في ذلك مشروع قانون الجرائم الدولية لمحاكمة المنتسبين إلى هذا التنظيم. وتحيط علما</w:t>
      </w:r>
      <w:r w:rsidR="00967127">
        <w:rPr>
          <w:rFonts w:hint="cs"/>
          <w:rtl/>
        </w:rPr>
        <w:t>ً</w:t>
      </w:r>
      <w:r>
        <w:rPr>
          <w:rtl/>
        </w:rPr>
        <w:t xml:space="preserve"> بالجهود الإضافية التي تبذلها حكومة إقليم كردستان، بما في ذلك مشروع القانون المنشئ لمحكمة جنائية بغرض التصدي لجرائم تنظيم داعش. بيد أنها لا تزال تشعر بالقلق إزاء التقارير </w:t>
      </w:r>
      <w:r>
        <w:rPr>
          <w:rtl/>
        </w:rPr>
        <w:lastRenderedPageBreak/>
        <w:t>التي يُدّعى فيها تورط القوات العراقية والجهات الفاعلة المسلحة التابعة لها في أعمال التعذيب وسوء المعاملة والاعتقال التعسفي والاحتجاز غير القانوني والاختفاء القسري</w:t>
      </w:r>
      <w:r w:rsidR="00DE6894" w:rsidRPr="00DE6894">
        <w:rPr>
          <w:rStyle w:val="FootnoteReference"/>
          <w:rtl/>
        </w:rPr>
        <w:t>(</w:t>
      </w:r>
      <w:r w:rsidR="00DE6894">
        <w:rPr>
          <w:rStyle w:val="FootnoteReference"/>
          <w:rtl/>
        </w:rPr>
        <w:footnoteReference w:id="17"/>
      </w:r>
      <w:r w:rsidR="00DE6894">
        <w:rPr>
          <w:rStyle w:val="FootnoteReference"/>
          <w:rtl/>
        </w:rPr>
        <w:t>)</w:t>
      </w:r>
      <w:r>
        <w:rPr>
          <w:rtl/>
        </w:rPr>
        <w:t xml:space="preserve"> أثناء العمليات العسكرية وحملات مكافحة الإرهاب، وإزاء نقص المعلومات بشأن التحقيقات والملاحقات القضائية في هذا الصدد. وبالإضافة إلى ذلك، يساور اللجنة القلق إزاء محاكمة مقاتلي داعش بناء على تشريعات مكافحة الإرهاب بالأساس أمام المحاكم الاتحادية ومحاكم كردستان على حد سواء، وهو ما لا يعكس طبيعة وخطورة الجرائم الدولية التي يزعم ارتكابها من قبل داعش، وإزاء إقصاء هذه الممارسة للضحايا من المشاركة في المحاكمات. وبالإضافة إلى ذلك، لا تجرم هذه التشريعات الاغتصاب وغيره من أعمال العنف الجنسي. وتحيط اللجنة علما بالمعلومات التي قدمتها الدولة الطرف بشأن التنقيح الجاري لقانون مكافحة الإرهاب، لكن تطبيق التعريف الواسع للإرهاب والذي لا يستوفي المعايير الدولية ما</w:t>
      </w:r>
      <w:r w:rsidR="00967127">
        <w:rPr>
          <w:rFonts w:hint="cs"/>
          <w:rtl/>
        </w:rPr>
        <w:t xml:space="preserve"> </w:t>
      </w:r>
      <w:r>
        <w:rPr>
          <w:rtl/>
        </w:rPr>
        <w:t xml:space="preserve">زال </w:t>
      </w:r>
      <w:proofErr w:type="gramStart"/>
      <w:r>
        <w:rPr>
          <w:rtl/>
        </w:rPr>
        <w:t>قائما</w:t>
      </w:r>
      <w:r w:rsidR="00967127">
        <w:rPr>
          <w:rFonts w:hint="cs"/>
          <w:rtl/>
        </w:rPr>
        <w:t>ً</w:t>
      </w:r>
      <w:r w:rsidR="00DE6894" w:rsidRPr="00DE6894">
        <w:rPr>
          <w:sz w:val="18"/>
          <w:vertAlign w:val="superscript"/>
          <w:rtl/>
        </w:rPr>
        <w:t>(</w:t>
      </w:r>
      <w:proofErr w:type="gramEnd"/>
      <w:r w:rsidR="00DE6894" w:rsidRPr="00E75A98">
        <w:rPr>
          <w:sz w:val="18"/>
          <w:vertAlign w:val="superscript"/>
          <w:rtl/>
        </w:rPr>
        <w:footnoteReference w:id="18"/>
      </w:r>
      <w:r w:rsidR="00DE6894">
        <w:rPr>
          <w:sz w:val="18"/>
          <w:vertAlign w:val="superscript"/>
          <w:rtl/>
        </w:rPr>
        <w:t>)</w:t>
      </w:r>
      <w:r>
        <w:rPr>
          <w:rtl/>
        </w:rPr>
        <w:t xml:space="preserve">. وبالإضافة إلى ذلك، يُزعم أن قوات الأمن تحتجز الأطفال وتدينهم بتهم فضفاضة تتعلق بالأمن القومي لمجرد انتمائهم إلى </w:t>
      </w:r>
      <w:proofErr w:type="gramStart"/>
      <w:r>
        <w:rPr>
          <w:rtl/>
        </w:rPr>
        <w:t>داعش</w:t>
      </w:r>
      <w:r w:rsidR="00DE6894" w:rsidRPr="00DE6894">
        <w:rPr>
          <w:rFonts w:eastAsiaTheme="minorEastAsia"/>
          <w:sz w:val="18"/>
          <w:vertAlign w:val="superscript"/>
          <w:rtl/>
        </w:rPr>
        <w:t>(</w:t>
      </w:r>
      <w:proofErr w:type="gramEnd"/>
      <w:r w:rsidR="00DE6894" w:rsidRPr="00E75A98">
        <w:rPr>
          <w:rFonts w:eastAsiaTheme="minorEastAsia"/>
          <w:sz w:val="18"/>
          <w:vertAlign w:val="superscript"/>
          <w:rtl/>
        </w:rPr>
        <w:footnoteReference w:id="19"/>
      </w:r>
      <w:r w:rsidR="00DE6894">
        <w:rPr>
          <w:rFonts w:eastAsiaTheme="minorEastAsia"/>
          <w:sz w:val="18"/>
          <w:vertAlign w:val="superscript"/>
          <w:rtl/>
        </w:rPr>
        <w:t>)</w:t>
      </w:r>
      <w:r>
        <w:rPr>
          <w:rtl/>
        </w:rPr>
        <w:t>. ومما يثير القلق أيضا</w:t>
      </w:r>
      <w:r w:rsidR="00310DA0">
        <w:rPr>
          <w:rFonts w:hint="cs"/>
          <w:rtl/>
        </w:rPr>
        <w:t>ً</w:t>
      </w:r>
      <w:r>
        <w:rPr>
          <w:rtl/>
        </w:rPr>
        <w:t xml:space="preserve"> التقارير التي تشير إلى الحرمان من حقوق المحاكمة العادلة وضمانات المحاكمة وفق الأصول القانونية في الإجراءات ذات الصلة (المواد </w:t>
      </w:r>
      <w:r w:rsidRPr="00442C63">
        <w:rPr>
          <w:rtl/>
        </w:rPr>
        <w:t>2</w:t>
      </w:r>
      <w:r>
        <w:rPr>
          <w:rtl/>
        </w:rPr>
        <w:t xml:space="preserve"> </w:t>
      </w:r>
      <w:proofErr w:type="spellStart"/>
      <w:r>
        <w:rPr>
          <w:rtl/>
        </w:rPr>
        <w:t>و</w:t>
      </w:r>
      <w:r w:rsidRPr="00442C63">
        <w:rPr>
          <w:rtl/>
        </w:rPr>
        <w:t>11</w:t>
      </w:r>
      <w:proofErr w:type="spellEnd"/>
      <w:r>
        <w:rPr>
          <w:rtl/>
        </w:rPr>
        <w:t xml:space="preserve"> </w:t>
      </w:r>
      <w:proofErr w:type="spellStart"/>
      <w:r>
        <w:rPr>
          <w:rtl/>
        </w:rPr>
        <w:t>و</w:t>
      </w:r>
      <w:r w:rsidRPr="00442C63">
        <w:rPr>
          <w:rtl/>
        </w:rPr>
        <w:t>14</w:t>
      </w:r>
      <w:proofErr w:type="spellEnd"/>
      <w:r>
        <w:rPr>
          <w:rtl/>
        </w:rPr>
        <w:t xml:space="preserve"> </w:t>
      </w:r>
      <w:proofErr w:type="spellStart"/>
      <w:r>
        <w:rPr>
          <w:rtl/>
        </w:rPr>
        <w:t>و</w:t>
      </w:r>
      <w:r w:rsidRPr="00442C63">
        <w:rPr>
          <w:rtl/>
        </w:rPr>
        <w:t>1</w:t>
      </w:r>
      <w:r w:rsidR="00DE6894" w:rsidRPr="00DE6894">
        <w:rPr>
          <w:color w:val="000000"/>
          <w:rtl/>
        </w:rPr>
        <w:t>6</w:t>
      </w:r>
      <w:proofErr w:type="spellEnd"/>
      <w:r w:rsidR="00DE6894" w:rsidRPr="00DE6894">
        <w:rPr>
          <w:rFonts w:ascii="Traditional Arabic"/>
          <w:color w:val="000000"/>
          <w:szCs w:val="20"/>
          <w:rtl/>
        </w:rPr>
        <w:t>)</w:t>
      </w:r>
      <w:r w:rsidR="00DE6894" w:rsidRPr="00DE6894">
        <w:rPr>
          <w:color w:val="000000"/>
          <w:rtl/>
        </w:rPr>
        <w:t>.</w:t>
      </w:r>
    </w:p>
    <w:p w14:paraId="4141B6E2" w14:textId="4DE181BB" w:rsidR="00442C63" w:rsidRPr="00967127" w:rsidRDefault="00442C63" w:rsidP="00442C63">
      <w:pPr>
        <w:pStyle w:val="SingleTxtGA"/>
        <w:rPr>
          <w:b/>
          <w:bCs/>
          <w:szCs w:val="20"/>
          <w:lang w:val="en-US" w:eastAsia="zh-TW" w:bidi="en-GB"/>
        </w:rPr>
      </w:pPr>
      <w:r w:rsidRPr="00442C63">
        <w:rPr>
          <w:rtl/>
        </w:rPr>
        <w:t>19</w:t>
      </w:r>
      <w:r>
        <w:rPr>
          <w:rFonts w:ascii="Traditional Arabic"/>
          <w:szCs w:val="20"/>
          <w:rtl/>
        </w:rPr>
        <w:t>-</w:t>
      </w:r>
      <w:r w:rsidRPr="00403EFC">
        <w:rPr>
          <w:b/>
          <w:bCs/>
          <w:rtl/>
        </w:rPr>
        <w:tab/>
        <w:t xml:space="preserve">تكرر اللجنةُ توصياتها </w:t>
      </w:r>
      <w:proofErr w:type="gramStart"/>
      <w:r w:rsidRPr="00403EFC">
        <w:rPr>
          <w:b/>
          <w:bCs/>
          <w:rtl/>
        </w:rPr>
        <w:t>السابقة</w:t>
      </w:r>
      <w:r w:rsidR="00DE6894" w:rsidRPr="00967127">
        <w:rPr>
          <w:sz w:val="18"/>
          <w:vertAlign w:val="superscript"/>
          <w:rtl/>
        </w:rPr>
        <w:t>(</w:t>
      </w:r>
      <w:proofErr w:type="gramEnd"/>
      <w:r w:rsidR="00DE6894" w:rsidRPr="00967127">
        <w:rPr>
          <w:sz w:val="18"/>
          <w:vertAlign w:val="superscript"/>
          <w:rtl/>
        </w:rPr>
        <w:footnoteReference w:id="20"/>
      </w:r>
      <w:r w:rsidR="00DE6894" w:rsidRPr="00967127">
        <w:rPr>
          <w:sz w:val="18"/>
          <w:vertAlign w:val="superscript"/>
          <w:rtl/>
        </w:rPr>
        <w:t>)</w:t>
      </w:r>
      <w:r w:rsidRPr="00403EFC">
        <w:rPr>
          <w:b/>
          <w:bCs/>
          <w:rtl/>
        </w:rPr>
        <w:t xml:space="preserve"> وتحث الدولةَ الطرف على القيام بما يلي</w:t>
      </w:r>
      <w:r w:rsidR="00967127">
        <w:rPr>
          <w:rFonts w:hint="cs"/>
          <w:b/>
          <w:bCs/>
          <w:rtl/>
        </w:rPr>
        <w:t>:</w:t>
      </w:r>
    </w:p>
    <w:p w14:paraId="1111C4DC" w14:textId="03FA7DCF" w:rsidR="00442C63" w:rsidRPr="00403EFC" w:rsidRDefault="00442C63" w:rsidP="00442C63">
      <w:pPr>
        <w:pStyle w:val="SingleTxtGA"/>
        <w:rPr>
          <w:b/>
          <w:bCs/>
          <w:szCs w:val="20"/>
          <w:lang w:val="ar-SA" w:eastAsia="zh-TW" w:bidi="en-GB"/>
        </w:rPr>
      </w:pPr>
      <w:r w:rsidRPr="00403EFC">
        <w:rPr>
          <w:b/>
          <w:bCs/>
          <w:rtl/>
        </w:rPr>
        <w:tab/>
        <w:t>(أ)</w:t>
      </w:r>
      <w:r w:rsidRPr="00403EFC">
        <w:rPr>
          <w:b/>
          <w:bCs/>
          <w:rtl/>
        </w:rPr>
        <w:tab/>
        <w:t>ضمان تمتع الأشخاص المحرومين من حريتهم المتهمين بارتكاب أعمال إرهابية بالضمانات الأساسية ضد التعذيب، بما في ذلك الحق في المثول أمام قاض دون تأخير؛</w:t>
      </w:r>
    </w:p>
    <w:p w14:paraId="71B9EDB5" w14:textId="3BB91803" w:rsidR="00442C63" w:rsidRPr="00403EFC" w:rsidRDefault="00442C63" w:rsidP="00442C63">
      <w:pPr>
        <w:pStyle w:val="SingleTxtGA"/>
        <w:rPr>
          <w:b/>
          <w:bCs/>
          <w:szCs w:val="20"/>
          <w:lang w:val="ar-SA" w:eastAsia="zh-TW" w:bidi="en-GB"/>
        </w:rPr>
      </w:pPr>
      <w:r w:rsidRPr="00403EFC">
        <w:rPr>
          <w:b/>
          <w:bCs/>
          <w:rtl/>
        </w:rPr>
        <w:tab/>
        <w:t>(ب)</w:t>
      </w:r>
      <w:r w:rsidRPr="00403EFC">
        <w:rPr>
          <w:b/>
          <w:bCs/>
          <w:rtl/>
        </w:rPr>
        <w:tab/>
        <w:t>إجراء تحقيقات فورية وشاملة ونزيهة في جميع ادعاءات التعذيب وسوء المعاملة وغيرها من الانتهاكات التي ترتكبها الجهات الفاعلة الحكومية وغير الحكومية في سياق مكافحة الإرهاب والعمليات العسكرية، وإجراء ملاحقات قضائية، عند الاقتضاء، وضمان حصول جميع الضحايا على الإنصاف وتعزيز الجهود الجارية للتدريب على منع تجاوزات حقوق الإنسان أثناء مكافحة الإرهاب والعمليات العسكرية؛</w:t>
      </w:r>
    </w:p>
    <w:p w14:paraId="04E12507" w14:textId="46DAEC34" w:rsidR="00442C63" w:rsidRPr="00403EFC" w:rsidRDefault="00442C63" w:rsidP="00442C63">
      <w:pPr>
        <w:pStyle w:val="SingleTxtGA"/>
        <w:rPr>
          <w:b/>
          <w:bCs/>
          <w:szCs w:val="20"/>
          <w:lang w:val="ar-SA" w:eastAsia="zh-TW" w:bidi="en-GB"/>
        </w:rPr>
      </w:pPr>
      <w:r w:rsidRPr="00403EFC">
        <w:rPr>
          <w:b/>
          <w:bCs/>
          <w:rtl/>
        </w:rPr>
        <w:tab/>
        <w:t>(ج)</w:t>
      </w:r>
      <w:r w:rsidRPr="00403EFC">
        <w:rPr>
          <w:b/>
          <w:bCs/>
          <w:rtl/>
        </w:rPr>
        <w:tab/>
        <w:t>اتخاذ جميع التدابير المناسبة للتحقيق في مزاعم الجرائم الدولية التي ارتكبها داعش، بما يعكس طبيعتها وخطورتها، وتوفير الآليات المناسبة للتصدي لتلك الجرائم، بما في ذلك المصالحة والتعويضات الشاملة؛</w:t>
      </w:r>
    </w:p>
    <w:p w14:paraId="4C564327" w14:textId="3FAF070D" w:rsidR="00442C63" w:rsidRPr="00403EFC" w:rsidRDefault="00442C63" w:rsidP="00442C63">
      <w:pPr>
        <w:pStyle w:val="SingleTxtGA"/>
        <w:rPr>
          <w:rFonts w:eastAsiaTheme="minorEastAsia"/>
          <w:b/>
          <w:bCs/>
          <w:szCs w:val="20"/>
          <w:lang w:val="ar-SA" w:eastAsia="zh-TW" w:bidi="en-GB"/>
        </w:rPr>
      </w:pPr>
      <w:r w:rsidRPr="00403EFC">
        <w:rPr>
          <w:b/>
          <w:bCs/>
          <w:rtl/>
        </w:rPr>
        <w:tab/>
        <w:t>(د)</w:t>
      </w:r>
      <w:r w:rsidRPr="00403EFC">
        <w:rPr>
          <w:b/>
          <w:bCs/>
          <w:rtl/>
        </w:rPr>
        <w:tab/>
        <w:t>اتخاذ التدابير المناسبة لوضع حد لمحاكمة الأطفال على أساس تهم تتعلق بمجرد انتمائهم المفترض إلى داعش، وليس على أساس تورطهم في جرائم عنف، وإعادة تأهيلهم وإدماجهم وتوفير الخدمات المناسبة لهم، حيثما تكون الملاحقات الجنائية للمتورطين في جرائم العنف أمرا</w:t>
      </w:r>
      <w:r w:rsidR="00310DA0">
        <w:rPr>
          <w:rFonts w:hint="cs"/>
          <w:b/>
          <w:bCs/>
          <w:rtl/>
        </w:rPr>
        <w:t>ً</w:t>
      </w:r>
      <w:r w:rsidRPr="00403EFC">
        <w:rPr>
          <w:b/>
          <w:bCs/>
          <w:rtl/>
        </w:rPr>
        <w:t xml:space="preserve"> ضروريا</w:t>
      </w:r>
      <w:r w:rsidR="00310DA0">
        <w:rPr>
          <w:rFonts w:hint="cs"/>
          <w:b/>
          <w:bCs/>
          <w:rtl/>
        </w:rPr>
        <w:t>ً</w:t>
      </w:r>
      <w:r w:rsidRPr="00403EFC">
        <w:rPr>
          <w:b/>
          <w:bCs/>
          <w:rtl/>
        </w:rPr>
        <w:t>، وضمان أن تكون معاملة القصر متماشية مع المعايير الدولية المتعلقة بقضاء الأحداث، وأن يُلجأ قدر الإمكان إلى بدائل الاحتجاز؛</w:t>
      </w:r>
    </w:p>
    <w:p w14:paraId="245AFF32" w14:textId="573CA1D2" w:rsidR="00442C63" w:rsidRPr="00403EFC" w:rsidRDefault="00442C63" w:rsidP="00442C63">
      <w:pPr>
        <w:pStyle w:val="SingleTxtGA"/>
        <w:rPr>
          <w:b/>
          <w:bCs/>
          <w:szCs w:val="20"/>
          <w:lang w:val="en-US" w:eastAsia="zh-TW" w:bidi="en-GB"/>
        </w:rPr>
      </w:pPr>
      <w:r w:rsidRPr="00403EFC">
        <w:rPr>
          <w:b/>
          <w:bCs/>
          <w:rtl/>
        </w:rPr>
        <w:tab/>
        <w:t>(هـ)</w:t>
      </w:r>
      <w:r w:rsidRPr="00403EFC">
        <w:rPr>
          <w:b/>
          <w:bCs/>
          <w:rtl/>
        </w:rPr>
        <w:tab/>
        <w:t>اتخاذ الخطوات اللازمة لضمان أن تكون جميع التشريعات المتعلقة بمكافحة الإرهاب، بما في ذلك التعديل المقبل لقانون مكافحة الإرهاب، متفقة تماما مع الاتفاقية والمعايير الدولية، وأن تكون الضمانات القانونية وضمانات المحاكمة العادلة كافية وفعالة وموجودة في الممارسة العملية، وألا يتم أي اعتقال تعسفي أو احتجاز غير قانوني أو اختفاء قسري بذريعة مكافحة الإرهاب.</w:t>
      </w:r>
    </w:p>
    <w:p w14:paraId="51FCD457" w14:textId="77777777" w:rsidR="00442C63" w:rsidRPr="00E75A98" w:rsidRDefault="00442C63" w:rsidP="00442C63">
      <w:pPr>
        <w:pStyle w:val="H23GA"/>
        <w:rPr>
          <w:szCs w:val="20"/>
          <w:lang w:val="ar-SA" w:eastAsia="zh-TW" w:bidi="en-GB"/>
        </w:rPr>
      </w:pPr>
      <w:r>
        <w:rPr>
          <w:rtl/>
        </w:rPr>
        <w:lastRenderedPageBreak/>
        <w:tab/>
      </w:r>
      <w:r>
        <w:rPr>
          <w:rtl/>
        </w:rPr>
        <w:tab/>
        <w:t>العنف الجنسي المتصل بالنزاع</w:t>
      </w:r>
    </w:p>
    <w:p w14:paraId="2A838870" w14:textId="733FA4B0" w:rsidR="00DE6894" w:rsidRPr="00DE6894" w:rsidRDefault="00442C63" w:rsidP="00442C63">
      <w:pPr>
        <w:pStyle w:val="SingleTxtGA"/>
        <w:rPr>
          <w:color w:val="000000"/>
          <w:szCs w:val="20"/>
          <w:lang w:val="ar-SA" w:eastAsia="zh-TW" w:bidi="en-GB"/>
        </w:rPr>
      </w:pPr>
      <w:r w:rsidRPr="00442C63">
        <w:rPr>
          <w:rtl/>
        </w:rPr>
        <w:t>20</w:t>
      </w:r>
      <w:r>
        <w:rPr>
          <w:rFonts w:ascii="Traditional Arabic"/>
          <w:szCs w:val="20"/>
          <w:rtl/>
        </w:rPr>
        <w:t>-</w:t>
      </w:r>
      <w:r w:rsidR="00A425D5">
        <w:rPr>
          <w:rtl/>
        </w:rPr>
        <w:tab/>
      </w:r>
      <w:r>
        <w:rPr>
          <w:rtl/>
        </w:rPr>
        <w:t xml:space="preserve">بينما تحيط اللجنة علما بالجهود التي تبذلها الدولة الطرف لتوفير سبل الانتصاف للناجيات من العنف الجنسي والجنساني المتّصل بالنزاع، فإنها لا تزال تشعر بالقلق إزاء المعلومات الواردة بشأن التقدم البطيء فيما يزعم في تنفيذ قانون الناجيات </w:t>
      </w:r>
      <w:proofErr w:type="spellStart"/>
      <w:r>
        <w:rPr>
          <w:rtl/>
        </w:rPr>
        <w:t>الإيزيديات</w:t>
      </w:r>
      <w:proofErr w:type="spellEnd"/>
      <w:r>
        <w:rPr>
          <w:rtl/>
        </w:rPr>
        <w:t xml:space="preserve"> وإزاء النقص الحالي في الأموال المخصصة لهذا الغرض. وتلاحظ أيضا أن القانون لا يتناول وضع الأطفال المولودين من حمل ناجم أفعال الاغتصاب التي يرتكبها أعضاء داعش، وأن تعريف الناجيات لا يشمل أفراد بعض </w:t>
      </w:r>
      <w:proofErr w:type="gramStart"/>
      <w:r>
        <w:rPr>
          <w:rtl/>
        </w:rPr>
        <w:t>الأقليات</w:t>
      </w:r>
      <w:r w:rsidR="00DE6894" w:rsidRPr="00DE6894">
        <w:rPr>
          <w:sz w:val="18"/>
          <w:vertAlign w:val="superscript"/>
          <w:rtl/>
        </w:rPr>
        <w:t>(</w:t>
      </w:r>
      <w:proofErr w:type="gramEnd"/>
      <w:r w:rsidR="00DE6894" w:rsidRPr="00E75A98">
        <w:rPr>
          <w:sz w:val="18"/>
          <w:vertAlign w:val="superscript"/>
          <w:rtl/>
        </w:rPr>
        <w:footnoteReference w:id="21"/>
      </w:r>
      <w:r w:rsidR="00DE6894">
        <w:rPr>
          <w:sz w:val="18"/>
          <w:vertAlign w:val="superscript"/>
          <w:rtl/>
        </w:rPr>
        <w:t>)</w:t>
      </w:r>
      <w:r>
        <w:rPr>
          <w:rtl/>
        </w:rPr>
        <w:t xml:space="preserve">. وإذ تلاحظ التقدّم المحرز فيما يتعلق بالتحقيق في عمليات الاختطاف التي قام بها تنظيم داعش </w:t>
      </w:r>
      <w:r>
        <w:rPr>
          <w:rFonts w:ascii="Traditional Arabic"/>
          <w:szCs w:val="20"/>
          <w:rtl/>
        </w:rPr>
        <w:t>(</w:t>
      </w:r>
      <w:r w:rsidR="00497B6F">
        <w:rPr>
          <w:rFonts w:hint="cs"/>
          <w:rtl/>
        </w:rPr>
        <w:t>170 5</w:t>
      </w:r>
      <w:r>
        <w:rPr>
          <w:rtl/>
        </w:rPr>
        <w:t xml:space="preserve"> حالة مسجّلة، أحيلت </w:t>
      </w:r>
      <w:r w:rsidRPr="00442C63">
        <w:rPr>
          <w:rtl/>
        </w:rPr>
        <w:t>324</w:t>
      </w:r>
      <w:r>
        <w:rPr>
          <w:rFonts w:ascii="Traditional Arabic"/>
          <w:szCs w:val="20"/>
          <w:rtl/>
        </w:rPr>
        <w:t xml:space="preserve"> </w:t>
      </w:r>
      <w:r w:rsidRPr="00442C63">
        <w:rPr>
          <w:rtl/>
        </w:rPr>
        <w:t>2</w:t>
      </w:r>
      <w:r>
        <w:rPr>
          <w:rtl/>
        </w:rPr>
        <w:t xml:space="preserve"> منها إلى المحاكم وأُنقذ </w:t>
      </w:r>
      <w:r w:rsidRPr="00442C63">
        <w:rPr>
          <w:rtl/>
        </w:rPr>
        <w:t>552</w:t>
      </w:r>
      <w:r>
        <w:rPr>
          <w:rFonts w:ascii="Traditional Arabic"/>
          <w:szCs w:val="20"/>
          <w:rtl/>
        </w:rPr>
        <w:t xml:space="preserve"> </w:t>
      </w:r>
      <w:r w:rsidRPr="00442C63">
        <w:rPr>
          <w:rtl/>
        </w:rPr>
        <w:t>3</w:t>
      </w:r>
      <w:r>
        <w:rPr>
          <w:rtl/>
        </w:rPr>
        <w:t xml:space="preserve"> شخصا</w:t>
      </w:r>
      <w:r w:rsidR="00A425D5">
        <w:rPr>
          <w:rFonts w:hint="cs"/>
          <w:color w:val="000000"/>
          <w:rtl/>
        </w:rPr>
        <w:t>ً</w:t>
      </w:r>
      <w:r w:rsidR="00DE6894" w:rsidRPr="00DE6894">
        <w:rPr>
          <w:color w:val="000000"/>
          <w:rtl/>
        </w:rPr>
        <w:t xml:space="preserve">)، </w:t>
      </w:r>
      <w:r>
        <w:rPr>
          <w:rtl/>
        </w:rPr>
        <w:t xml:space="preserve">فإنه لا يزال يساورها القلق بشأن حالة </w:t>
      </w:r>
      <w:r w:rsidRPr="00442C63">
        <w:rPr>
          <w:rtl/>
        </w:rPr>
        <w:t>719</w:t>
      </w:r>
      <w:r>
        <w:rPr>
          <w:rFonts w:ascii="Traditional Arabic"/>
          <w:szCs w:val="20"/>
          <w:rtl/>
        </w:rPr>
        <w:t xml:space="preserve"> </w:t>
      </w:r>
      <w:r w:rsidRPr="00442C63">
        <w:rPr>
          <w:rtl/>
        </w:rPr>
        <w:t>2</w:t>
      </w:r>
      <w:r>
        <w:rPr>
          <w:rtl/>
        </w:rPr>
        <w:t xml:space="preserve"> شخصا</w:t>
      </w:r>
      <w:r w:rsidR="00497B6F">
        <w:rPr>
          <w:rFonts w:hint="cs"/>
          <w:rtl/>
        </w:rPr>
        <w:t>ً</w:t>
      </w:r>
      <w:r>
        <w:rPr>
          <w:rtl/>
        </w:rPr>
        <w:t xml:space="preserve"> مسجلا</w:t>
      </w:r>
      <w:r w:rsidR="00497B6F">
        <w:rPr>
          <w:rFonts w:hint="cs"/>
          <w:rtl/>
        </w:rPr>
        <w:t>ً</w:t>
      </w:r>
      <w:r>
        <w:rPr>
          <w:rtl/>
        </w:rPr>
        <w:t xml:space="preserve"> كمفقودين (المواد </w:t>
      </w:r>
      <w:r w:rsidRPr="00442C63">
        <w:rPr>
          <w:rtl/>
        </w:rPr>
        <w:t>1</w:t>
      </w:r>
      <w:r>
        <w:rPr>
          <w:rtl/>
        </w:rPr>
        <w:t xml:space="preserve"> </w:t>
      </w:r>
      <w:proofErr w:type="spellStart"/>
      <w:r>
        <w:rPr>
          <w:rtl/>
        </w:rPr>
        <w:t>و</w:t>
      </w:r>
      <w:r w:rsidRPr="00442C63">
        <w:rPr>
          <w:rtl/>
        </w:rPr>
        <w:t>2</w:t>
      </w:r>
      <w:proofErr w:type="spellEnd"/>
      <w:r>
        <w:rPr>
          <w:rtl/>
        </w:rPr>
        <w:t xml:space="preserve"> </w:t>
      </w:r>
      <w:proofErr w:type="spellStart"/>
      <w:r>
        <w:rPr>
          <w:rtl/>
        </w:rPr>
        <w:t>و</w:t>
      </w:r>
      <w:r w:rsidRPr="00442C63">
        <w:rPr>
          <w:rtl/>
        </w:rPr>
        <w:t>4</w:t>
      </w:r>
      <w:proofErr w:type="spellEnd"/>
      <w:r>
        <w:rPr>
          <w:rtl/>
        </w:rPr>
        <w:t xml:space="preserve"> </w:t>
      </w:r>
      <w:proofErr w:type="spellStart"/>
      <w:r>
        <w:rPr>
          <w:rtl/>
        </w:rPr>
        <w:t>و</w:t>
      </w:r>
      <w:r w:rsidRPr="00442C63">
        <w:rPr>
          <w:rtl/>
        </w:rPr>
        <w:t>14</w:t>
      </w:r>
      <w:proofErr w:type="spellEnd"/>
      <w:r>
        <w:rPr>
          <w:rtl/>
        </w:rPr>
        <w:t xml:space="preserve"> </w:t>
      </w:r>
      <w:proofErr w:type="spellStart"/>
      <w:r>
        <w:rPr>
          <w:rtl/>
        </w:rPr>
        <w:t>و</w:t>
      </w:r>
      <w:r w:rsidRPr="00442C63">
        <w:rPr>
          <w:rtl/>
        </w:rPr>
        <w:t>1</w:t>
      </w:r>
      <w:r w:rsidR="00DE6894" w:rsidRPr="00DE6894">
        <w:rPr>
          <w:color w:val="000000"/>
          <w:rtl/>
        </w:rPr>
        <w:t>6</w:t>
      </w:r>
      <w:proofErr w:type="spellEnd"/>
      <w:r w:rsidR="00DE6894" w:rsidRPr="00DE6894">
        <w:rPr>
          <w:rFonts w:ascii="Traditional Arabic"/>
          <w:color w:val="000000"/>
          <w:szCs w:val="20"/>
          <w:rtl/>
        </w:rPr>
        <w:t>)</w:t>
      </w:r>
      <w:r w:rsidR="00DE6894" w:rsidRPr="00DE6894">
        <w:rPr>
          <w:color w:val="000000"/>
          <w:rtl/>
        </w:rPr>
        <w:t>.</w:t>
      </w:r>
    </w:p>
    <w:p w14:paraId="7F96EE13" w14:textId="6E94EF84" w:rsidR="00442C63" w:rsidRPr="006D5E86" w:rsidRDefault="00442C63" w:rsidP="00442C63">
      <w:pPr>
        <w:pStyle w:val="SingleTxtGA"/>
        <w:rPr>
          <w:b/>
          <w:bCs/>
          <w:szCs w:val="20"/>
          <w:lang w:val="en-US" w:eastAsia="zh-TW" w:bidi="en-GB"/>
        </w:rPr>
      </w:pPr>
      <w:r w:rsidRPr="00442C63">
        <w:rPr>
          <w:rtl/>
        </w:rPr>
        <w:t>21</w:t>
      </w:r>
      <w:r>
        <w:rPr>
          <w:rFonts w:ascii="Traditional Arabic"/>
          <w:szCs w:val="20"/>
          <w:rtl/>
        </w:rPr>
        <w:t>-</w:t>
      </w:r>
      <w:r w:rsidR="006D5E86">
        <w:rPr>
          <w:rtl/>
        </w:rPr>
        <w:tab/>
      </w:r>
      <w:r w:rsidRPr="006D5E86">
        <w:rPr>
          <w:b/>
          <w:bCs/>
          <w:rtl/>
        </w:rPr>
        <w:t>ينبغي للدولة الطرف أن تعزز جهودها الرامية إلى إنقاذ الضحايا الذين ما زالوا مأسورين عند داعش والتحقيق في جميع أعمال العنف الجنسي المتصلة بالنزاع ومقاضاة مرتكبيها. وينبغي لها أن تكفل تمكين الضحايا من المطالبة بفعالية وسرعة بجميع أشكال الانتصاف ذات الصلة وتلقيها، بما في ذلك برامج إعادة التأهيل الشاملة والجامعة والمركزة على الناجيات وضمانات عدم التكرار. وتحقيقا</w:t>
      </w:r>
      <w:r w:rsidR="00310DA0">
        <w:rPr>
          <w:rFonts w:hint="cs"/>
          <w:b/>
          <w:bCs/>
          <w:rtl/>
        </w:rPr>
        <w:t>ً</w:t>
      </w:r>
      <w:r w:rsidRPr="006D5E86">
        <w:rPr>
          <w:b/>
          <w:bCs/>
          <w:rtl/>
        </w:rPr>
        <w:t xml:space="preserve"> لهذه الغاية، ينبغي للدولة الطرف أن تكفل التنفيذ الفعال وفي الوقت المناسب لقانون الناجيات </w:t>
      </w:r>
      <w:proofErr w:type="spellStart"/>
      <w:r w:rsidRPr="006D5E86">
        <w:rPr>
          <w:b/>
          <w:bCs/>
          <w:rtl/>
        </w:rPr>
        <w:t>الإيزيديات</w:t>
      </w:r>
      <w:proofErr w:type="spellEnd"/>
      <w:r w:rsidRPr="006D5E86">
        <w:rPr>
          <w:b/>
          <w:bCs/>
          <w:rtl/>
        </w:rPr>
        <w:t xml:space="preserve"> عن طريق ما يلي: (أ) تخصيص أموال كافية؛ و(ب) تعزيز عملية تجهيز المطالبات؛ و(ج) كفالة أن تشارك نساء المجتمعات المحلية المتأثرة بالنزاع مشاركة نشطة في تنفيذه، مثلا</w:t>
      </w:r>
      <w:r w:rsidR="00310DA0">
        <w:rPr>
          <w:rFonts w:hint="cs"/>
          <w:b/>
          <w:bCs/>
          <w:rtl/>
        </w:rPr>
        <w:t>ً</w:t>
      </w:r>
      <w:r w:rsidRPr="006D5E86">
        <w:rPr>
          <w:b/>
          <w:bCs/>
          <w:rtl/>
        </w:rPr>
        <w:t xml:space="preserve"> عن طريق التشاور أو الإدماج كموظفات؛ و(د) القيام على نحو منتظم ببناء قدرات جميع الموظفين العاملين على تنفيذه، بما في ذلك فيما يتعلق بالتدخلات الأخلاقية والمراعية للصدمات النفسية لفائدة الضحايا. وينبغي للدولة الطرف أيضا</w:t>
      </w:r>
      <w:r w:rsidR="00310DA0">
        <w:rPr>
          <w:rFonts w:hint="cs"/>
          <w:b/>
          <w:bCs/>
          <w:rtl/>
        </w:rPr>
        <w:t>ً</w:t>
      </w:r>
      <w:r w:rsidRPr="006D5E86">
        <w:rPr>
          <w:b/>
          <w:bCs/>
          <w:rtl/>
        </w:rPr>
        <w:t xml:space="preserve"> أن تضمن حق الضحايا في المشاركة الفعالة في المحاكمة الجنائية، وتقرن ذلك بضمانات لتجنب الوصم وإعادة التعرض للصدمة، وأن تضمن إتاحة خدمات إعادة التأهيل المتخصصة على وجه السرعة لجميع الناجيات.</w:t>
      </w:r>
    </w:p>
    <w:p w14:paraId="5C384211" w14:textId="77777777" w:rsidR="00442C63" w:rsidRPr="00E75A98" w:rsidRDefault="00442C63" w:rsidP="00442C63">
      <w:pPr>
        <w:pStyle w:val="H23GA"/>
        <w:rPr>
          <w:szCs w:val="20"/>
          <w:lang w:val="ar-SA" w:eastAsia="zh-TW" w:bidi="en-GB"/>
        </w:rPr>
      </w:pPr>
      <w:r>
        <w:rPr>
          <w:rtl/>
        </w:rPr>
        <w:tab/>
      </w:r>
      <w:r>
        <w:rPr>
          <w:rtl/>
        </w:rPr>
        <w:tab/>
        <w:t>مراقبة أماكن الاحتجاز</w:t>
      </w:r>
    </w:p>
    <w:p w14:paraId="59E7E708" w14:textId="02721D57" w:rsidR="00DE6894" w:rsidRPr="00DE6894" w:rsidRDefault="00442C63" w:rsidP="00442C63">
      <w:pPr>
        <w:pStyle w:val="SingleTxtGA"/>
        <w:rPr>
          <w:color w:val="000000"/>
          <w:szCs w:val="20"/>
          <w:lang w:val="ar-SA" w:eastAsia="zh-TW" w:bidi="en-GB"/>
        </w:rPr>
      </w:pPr>
      <w:r w:rsidRPr="00442C63">
        <w:rPr>
          <w:rtl/>
        </w:rPr>
        <w:t>22</w:t>
      </w:r>
      <w:r>
        <w:rPr>
          <w:rFonts w:ascii="Traditional Arabic"/>
          <w:bCs/>
          <w:szCs w:val="20"/>
          <w:rtl/>
        </w:rPr>
        <w:t>-</w:t>
      </w:r>
      <w:r>
        <w:rPr>
          <w:bCs/>
          <w:rtl/>
        </w:rPr>
        <w:tab/>
      </w:r>
      <w:r w:rsidRPr="00DA13AB">
        <w:rPr>
          <w:rtl/>
        </w:rPr>
        <w:t xml:space="preserve">بينما تحيط اللجنة علما بالمعلومات المقدمة عن أنشطة رصد الاحتجاز التي تضطلع بها المفوضية العليا المستقلة لحقوق الإنسان، فإنها تلاحظ مع القلق أنه، عملا بالمادة </w:t>
      </w:r>
      <w:r w:rsidRPr="00442C63">
        <w:rPr>
          <w:rtl/>
        </w:rPr>
        <w:t>45</w:t>
      </w:r>
      <w:r w:rsidRPr="00DA13AB">
        <w:rPr>
          <w:rFonts w:ascii="Traditional Arabic"/>
          <w:szCs w:val="20"/>
          <w:rtl/>
        </w:rPr>
        <w:t>(</w:t>
      </w:r>
      <w:r w:rsidR="00DE6894" w:rsidRPr="00DE6894">
        <w:rPr>
          <w:color w:val="000000"/>
          <w:rtl/>
        </w:rPr>
        <w:t>4</w:t>
      </w:r>
      <w:r w:rsidR="00DE6894" w:rsidRPr="00DE6894">
        <w:rPr>
          <w:rFonts w:ascii="Traditional Arabic"/>
          <w:color w:val="000000"/>
          <w:szCs w:val="20"/>
          <w:rtl/>
        </w:rPr>
        <w:t>)</w:t>
      </w:r>
      <w:r w:rsidR="00DE6894" w:rsidRPr="00DE6894">
        <w:rPr>
          <w:color w:val="000000"/>
          <w:rtl/>
        </w:rPr>
        <w:t xml:space="preserve"> </w:t>
      </w:r>
      <w:r w:rsidRPr="00DA13AB">
        <w:rPr>
          <w:rtl/>
        </w:rPr>
        <w:t>من قانون إصلاح ال</w:t>
      </w:r>
      <w:r>
        <w:rPr>
          <w:rtl/>
        </w:rPr>
        <w:t>نزلاء</w:t>
      </w:r>
      <w:r w:rsidRPr="00DA13AB">
        <w:rPr>
          <w:rtl/>
        </w:rPr>
        <w:t xml:space="preserve"> و</w:t>
      </w:r>
      <w:r>
        <w:rPr>
          <w:rtl/>
        </w:rPr>
        <w:t>المودعين</w:t>
      </w:r>
      <w:r w:rsidRPr="00DA13AB">
        <w:rPr>
          <w:rtl/>
        </w:rPr>
        <w:t xml:space="preserve">، تخضع الزيارات إلى أماكن الحرمان من الحرية لاتفاق مسبق مع السلطات المختصة بشأن تواريخها، بما في ذلك الزيارات إلى مراكز احتجاز المشتبه في ارتكابهم أعمالا إرهابية، وهو ما يتعارض مع ولاية اللجنة المتمثلة في القيام بزيارات رصد مفاجئة إلى جميع أماكن الحرمان من الحرية دون أي موافقة </w:t>
      </w:r>
      <w:proofErr w:type="gramStart"/>
      <w:r w:rsidRPr="00DA13AB">
        <w:rPr>
          <w:rtl/>
        </w:rPr>
        <w:t>مسبقة</w:t>
      </w:r>
      <w:r w:rsidR="00DE6894" w:rsidRPr="00DE6894">
        <w:rPr>
          <w:sz w:val="18"/>
          <w:vertAlign w:val="superscript"/>
          <w:rtl/>
        </w:rPr>
        <w:t>(</w:t>
      </w:r>
      <w:proofErr w:type="gramEnd"/>
      <w:r w:rsidR="00DE6894" w:rsidRPr="00DA13AB">
        <w:rPr>
          <w:sz w:val="18"/>
          <w:vertAlign w:val="superscript"/>
          <w:rtl/>
        </w:rPr>
        <w:footnoteReference w:id="22"/>
      </w:r>
      <w:r w:rsidR="00DE6894">
        <w:rPr>
          <w:sz w:val="18"/>
          <w:vertAlign w:val="superscript"/>
          <w:rtl/>
        </w:rPr>
        <w:t>)</w:t>
      </w:r>
      <w:r w:rsidR="00DE6894">
        <w:rPr>
          <w:rFonts w:hint="cs"/>
          <w:rtl/>
        </w:rPr>
        <w:t>.</w:t>
      </w:r>
      <w:r w:rsidRPr="00DA13AB">
        <w:rPr>
          <w:rtl/>
        </w:rPr>
        <w:t xml:space="preserve"> وتلاحظ اللجنة أن قانون إصلاح </w:t>
      </w:r>
      <w:r>
        <w:rPr>
          <w:rtl/>
        </w:rPr>
        <w:t>النزلاء والمودعين</w:t>
      </w:r>
      <w:r w:rsidRPr="00DA13AB">
        <w:rPr>
          <w:rtl/>
        </w:rPr>
        <w:t xml:space="preserve"> لا ينص على قيام منظمات المجتمع المدني بزيارات رصد إلى أماكن الحرمان من الحرية. وفي هذا الصدد، تعرب اللجنة عن تقديرها للمعلومات التي قدمتها الدولة الطرف بشأن مشروع قانون لتعديل ذلك التشريع، وتتوقع أن تتلقى </w:t>
      </w:r>
      <w:r>
        <w:rPr>
          <w:rtl/>
        </w:rPr>
        <w:t>ال</w:t>
      </w:r>
      <w:r w:rsidRPr="00DA13AB">
        <w:rPr>
          <w:rtl/>
        </w:rPr>
        <w:t xml:space="preserve">مزيد من المعلومات في الوقت المناسب (المواد </w:t>
      </w:r>
      <w:r w:rsidRPr="00442C63">
        <w:rPr>
          <w:rtl/>
        </w:rPr>
        <w:t>2</w:t>
      </w:r>
      <w:r w:rsidRPr="00DA13AB">
        <w:rPr>
          <w:rtl/>
        </w:rPr>
        <w:t xml:space="preserve"> </w:t>
      </w:r>
      <w:proofErr w:type="spellStart"/>
      <w:r w:rsidRPr="00DA13AB">
        <w:rPr>
          <w:rtl/>
        </w:rPr>
        <w:t>و</w:t>
      </w:r>
      <w:r w:rsidRPr="00442C63">
        <w:rPr>
          <w:rtl/>
        </w:rPr>
        <w:t>11</w:t>
      </w:r>
      <w:proofErr w:type="spellEnd"/>
      <w:r w:rsidRPr="00DA13AB">
        <w:rPr>
          <w:rtl/>
        </w:rPr>
        <w:t xml:space="preserve"> </w:t>
      </w:r>
      <w:proofErr w:type="spellStart"/>
      <w:r w:rsidRPr="00DA13AB">
        <w:rPr>
          <w:rtl/>
        </w:rPr>
        <w:t>و</w:t>
      </w:r>
      <w:r w:rsidRPr="00442C63">
        <w:rPr>
          <w:rtl/>
        </w:rPr>
        <w:t>1</w:t>
      </w:r>
      <w:r w:rsidR="00DE6894" w:rsidRPr="00DE6894">
        <w:rPr>
          <w:color w:val="000000"/>
          <w:rtl/>
        </w:rPr>
        <w:t>6</w:t>
      </w:r>
      <w:proofErr w:type="spellEnd"/>
      <w:r w:rsidR="00DE6894" w:rsidRPr="00DE6894">
        <w:rPr>
          <w:rFonts w:ascii="Traditional Arabic"/>
          <w:color w:val="000000"/>
          <w:szCs w:val="20"/>
          <w:rtl/>
        </w:rPr>
        <w:t>)</w:t>
      </w:r>
      <w:r w:rsidR="00DE6894" w:rsidRPr="00DE6894">
        <w:rPr>
          <w:bCs/>
          <w:color w:val="000000"/>
          <w:rtl/>
        </w:rPr>
        <w:t>.</w:t>
      </w:r>
    </w:p>
    <w:p w14:paraId="68BD7EF7" w14:textId="30970DC7" w:rsidR="00442C63" w:rsidRPr="006D5E86" w:rsidRDefault="00442C63" w:rsidP="00442C63">
      <w:pPr>
        <w:pStyle w:val="SingleTxtGA"/>
        <w:rPr>
          <w:b/>
          <w:bCs/>
          <w:szCs w:val="20"/>
          <w:lang w:val="ar-SA" w:eastAsia="zh-TW" w:bidi="en-GB"/>
        </w:rPr>
      </w:pPr>
      <w:r w:rsidRPr="00442C63">
        <w:rPr>
          <w:rtl/>
        </w:rPr>
        <w:t>23</w:t>
      </w:r>
      <w:r>
        <w:rPr>
          <w:rFonts w:ascii="Traditional Arabic"/>
          <w:szCs w:val="20"/>
          <w:rtl/>
        </w:rPr>
        <w:t>-</w:t>
      </w:r>
      <w:r>
        <w:rPr>
          <w:rtl/>
        </w:rPr>
        <w:tab/>
      </w:r>
      <w:r w:rsidRPr="006D5E86">
        <w:rPr>
          <w:b/>
          <w:bCs/>
          <w:rtl/>
        </w:rPr>
        <w:t>يجب على الدولة الطرف القيام بما يلي:</w:t>
      </w:r>
    </w:p>
    <w:p w14:paraId="48BCC5BD" w14:textId="4C18E156" w:rsidR="00442C63" w:rsidRPr="006D5E86" w:rsidRDefault="00442C63" w:rsidP="00442C63">
      <w:pPr>
        <w:pStyle w:val="SingleTxtGA"/>
        <w:rPr>
          <w:b/>
          <w:bCs/>
          <w:szCs w:val="20"/>
          <w:lang w:val="ar-SA" w:eastAsia="zh-TW" w:bidi="en-GB"/>
        </w:rPr>
      </w:pPr>
      <w:r w:rsidRPr="006D5E86">
        <w:rPr>
          <w:b/>
          <w:bCs/>
          <w:rtl/>
        </w:rPr>
        <w:tab/>
        <w:t>(أ)</w:t>
      </w:r>
      <w:r w:rsidRPr="006D5E86">
        <w:rPr>
          <w:b/>
          <w:bCs/>
          <w:rtl/>
        </w:rPr>
        <w:tab/>
        <w:t>تعديل قانون إصلاح النزلاء والمودعين على وجه السرعة وضمان وصول المفوضية العليا لحقوق الإنسان العراقية بطريقة سلسة خلال الزيارات غير المعلنة؛</w:t>
      </w:r>
    </w:p>
    <w:p w14:paraId="0CFAAEBE" w14:textId="7189773B" w:rsidR="00442C63" w:rsidRPr="006D5E86" w:rsidRDefault="00442C63" w:rsidP="00442C63">
      <w:pPr>
        <w:pStyle w:val="SingleTxtGA"/>
        <w:rPr>
          <w:b/>
          <w:bCs/>
          <w:szCs w:val="20"/>
          <w:lang w:val="ar-SA" w:eastAsia="zh-TW" w:bidi="en-GB"/>
        </w:rPr>
      </w:pPr>
      <w:r w:rsidRPr="006D5E86">
        <w:rPr>
          <w:b/>
          <w:bCs/>
          <w:rtl/>
        </w:rPr>
        <w:lastRenderedPageBreak/>
        <w:tab/>
        <w:t>(ب)</w:t>
      </w:r>
      <w:r w:rsidRPr="006D5E86">
        <w:rPr>
          <w:b/>
          <w:bCs/>
          <w:rtl/>
        </w:rPr>
        <w:tab/>
        <w:t>مواصلة ضمان السماح للمراقبين الدوليين والوطنيين بزيارة جميع أماكن الحرمان من الحرية في الدولة الطرف؛</w:t>
      </w:r>
    </w:p>
    <w:p w14:paraId="080E62A7" w14:textId="41B00E37" w:rsidR="00442C63" w:rsidRPr="006D5E86" w:rsidRDefault="00442C63" w:rsidP="00442C63">
      <w:pPr>
        <w:pStyle w:val="SingleTxtGA"/>
        <w:rPr>
          <w:b/>
          <w:bCs/>
          <w:szCs w:val="20"/>
          <w:lang w:val="ar-SA" w:eastAsia="zh-TW" w:bidi="en-GB"/>
        </w:rPr>
      </w:pPr>
      <w:r w:rsidRPr="006D5E86">
        <w:rPr>
          <w:b/>
          <w:bCs/>
          <w:rtl/>
        </w:rPr>
        <w:tab/>
        <w:t>(ج)</w:t>
      </w:r>
      <w:r w:rsidRPr="006D5E86">
        <w:rPr>
          <w:b/>
          <w:bCs/>
          <w:rtl/>
        </w:rPr>
        <w:tab/>
        <w:t xml:space="preserve">النظر في التصديق على البروتوكول الاختياري لاتفاقية مناهضة التعذيب وغيره من ضروب </w:t>
      </w:r>
      <w:proofErr w:type="gramStart"/>
      <w:r w:rsidRPr="006D5E86">
        <w:rPr>
          <w:b/>
          <w:bCs/>
          <w:rtl/>
        </w:rPr>
        <w:t>المعاملة</w:t>
      </w:r>
      <w:proofErr w:type="gramEnd"/>
      <w:r w:rsidRPr="006D5E86">
        <w:rPr>
          <w:b/>
          <w:bCs/>
          <w:rtl/>
        </w:rPr>
        <w:t xml:space="preserve"> أو العقوبة القاسية أو اللاإنسانية أو المهينة.</w:t>
      </w:r>
    </w:p>
    <w:p w14:paraId="2AEB59EA" w14:textId="77777777" w:rsidR="00442C63" w:rsidRPr="00B828B1" w:rsidRDefault="00442C63" w:rsidP="00442C63">
      <w:pPr>
        <w:pStyle w:val="H23GA"/>
        <w:rPr>
          <w:szCs w:val="20"/>
          <w:lang w:val="ar-SA" w:eastAsia="zh-TW" w:bidi="en-GB"/>
        </w:rPr>
      </w:pPr>
      <w:r>
        <w:rPr>
          <w:rtl/>
        </w:rPr>
        <w:tab/>
      </w:r>
      <w:r>
        <w:rPr>
          <w:rtl/>
        </w:rPr>
        <w:tab/>
        <w:t>ظروف الاحتجاز</w:t>
      </w:r>
    </w:p>
    <w:p w14:paraId="57EC174F" w14:textId="5091FC05" w:rsidR="00DE6894" w:rsidRPr="006D5E86" w:rsidRDefault="00442C63" w:rsidP="00442C63">
      <w:pPr>
        <w:pStyle w:val="SingleTxtGA"/>
        <w:rPr>
          <w:rFonts w:eastAsiaTheme="minorEastAsia"/>
          <w:color w:val="000000"/>
          <w:spacing w:val="-4"/>
          <w:szCs w:val="20"/>
          <w:lang w:val="ar-SA" w:eastAsia="zh-TW" w:bidi="en-GB"/>
        </w:rPr>
      </w:pPr>
      <w:r w:rsidRPr="00442C63">
        <w:rPr>
          <w:rtl/>
        </w:rPr>
        <w:t>24</w:t>
      </w:r>
      <w:r>
        <w:rPr>
          <w:rFonts w:ascii="Traditional Arabic"/>
          <w:szCs w:val="20"/>
          <w:rtl/>
        </w:rPr>
        <w:t>-</w:t>
      </w:r>
      <w:r>
        <w:rPr>
          <w:rtl/>
        </w:rPr>
        <w:tab/>
        <w:t>على الرغم من التوضيحات التي قدمها وفد الدولة الطرف فيما يتعلق بالإصلاح الجاري لنظام السجون العراقية، بما في ذلك في إقليم كردستان، وبالتدابير المتخذة خلال جائحة كوفيد-</w:t>
      </w:r>
      <w:r w:rsidRPr="00442C63">
        <w:rPr>
          <w:rtl/>
        </w:rPr>
        <w:t>19</w:t>
      </w:r>
      <w:r>
        <w:rPr>
          <w:rtl/>
        </w:rPr>
        <w:t xml:space="preserve">، لا تزال اللجنة تشعر بالقلق إزاء التقارير التي تشير إلى الاكتظاظ وسوء الظروف المادية للاحتجاز في أماكن الحرمان من الحرية، ولا سيما مشاكل إمدادات المياه وخدمات الصرف الصحي، وتدني نوعية الأغذية المقدمة إلى السجناء، والنقص الكبير في الخدمات الطبية والصحية، وعدم توفير الدعم النفسي والاجتماعي للذين يحتاجون إلى خدمات متخصصة، ولاسيما الأشخاص ذوي الإعاقة، ومحدودية الأنشطة الترفيهية أو التعليمية اللازمة لتعزيز إعادة التأهيل. ومما يثير القلق بوجه خاص الظروف المادية لاحتجاز ومعاملة النساء والفتيات في مرافق الاحتجاز الخاضعة لسلطة قوات الأمن، بما في ذلك ادعاءات التحرش الجنسي ومختلف أشكال الاستغلال والإيذاء. وتأسف اللجنة لعدم وجود بيانات رسمية شاملة عن عدد المحتجزين قبل المحاكمة والسجناء المدانين وعن موقع جميع أماكن الحرمان من الحرية ومعدل شغلها، </w:t>
      </w:r>
      <w:r w:rsidRPr="006D5E86">
        <w:rPr>
          <w:spacing w:val="-4"/>
          <w:rtl/>
        </w:rPr>
        <w:t xml:space="preserve">مصنّفة حسب المرافق التي تخضع لرعاية جميع الوزارات أو السلطات الأخرى ذات الصلة (المادتان 11 </w:t>
      </w:r>
      <w:proofErr w:type="spellStart"/>
      <w:r w:rsidRPr="006D5E86">
        <w:rPr>
          <w:spacing w:val="-4"/>
          <w:rtl/>
        </w:rPr>
        <w:t>و1</w:t>
      </w:r>
      <w:r w:rsidR="00DE6894" w:rsidRPr="006D5E86">
        <w:rPr>
          <w:color w:val="000000"/>
          <w:spacing w:val="-4"/>
          <w:rtl/>
        </w:rPr>
        <w:t>6</w:t>
      </w:r>
      <w:proofErr w:type="spellEnd"/>
      <w:r w:rsidR="00DE6894" w:rsidRPr="006D5E86">
        <w:rPr>
          <w:rFonts w:ascii="Traditional Arabic"/>
          <w:color w:val="000000"/>
          <w:spacing w:val="-4"/>
          <w:szCs w:val="20"/>
          <w:rtl/>
        </w:rPr>
        <w:t>)</w:t>
      </w:r>
      <w:r w:rsidR="00DE6894" w:rsidRPr="006D5E86">
        <w:rPr>
          <w:color w:val="000000"/>
          <w:spacing w:val="-4"/>
          <w:rtl/>
        </w:rPr>
        <w:t>.</w:t>
      </w:r>
    </w:p>
    <w:p w14:paraId="7181C881" w14:textId="12F3CB91" w:rsidR="00442C63" w:rsidRPr="000C488D" w:rsidRDefault="00442C63" w:rsidP="00442C63">
      <w:pPr>
        <w:pStyle w:val="SingleTxtGA"/>
        <w:rPr>
          <w:b/>
          <w:bCs/>
          <w:szCs w:val="20"/>
          <w:lang w:val="ar-SA" w:eastAsia="zh-TW" w:bidi="en-GB"/>
        </w:rPr>
      </w:pPr>
      <w:r w:rsidRPr="00442C63">
        <w:rPr>
          <w:rtl/>
        </w:rPr>
        <w:t>25</w:t>
      </w:r>
      <w:r>
        <w:rPr>
          <w:rFonts w:ascii="Traditional Arabic"/>
          <w:szCs w:val="20"/>
          <w:rtl/>
        </w:rPr>
        <w:t>-</w:t>
      </w:r>
      <w:r>
        <w:rPr>
          <w:rtl/>
        </w:rPr>
        <w:tab/>
      </w:r>
      <w:r w:rsidRPr="000C488D">
        <w:rPr>
          <w:b/>
          <w:bCs/>
          <w:rtl/>
        </w:rPr>
        <w:t>تحث اللجنة الدولة الطرف على تكثيف جهودها لجعل ظروف الاحتجاز متوافقة مع قواعد الأمم المتحدة النموذجية الدنيا لمعاملة السجناء (قواعد نيلسون مانديلا</w:t>
      </w:r>
      <w:r w:rsidR="00DE6894" w:rsidRPr="000C488D">
        <w:rPr>
          <w:b/>
          <w:bCs/>
          <w:color w:val="000000"/>
          <w:rtl/>
        </w:rPr>
        <w:t xml:space="preserve">)، </w:t>
      </w:r>
      <w:r w:rsidRPr="000C488D">
        <w:rPr>
          <w:b/>
          <w:bCs/>
          <w:rtl/>
        </w:rPr>
        <w:t>لا سيما ما يلي:</w:t>
      </w:r>
    </w:p>
    <w:p w14:paraId="1AF5E7F0" w14:textId="1A1E3085" w:rsidR="00442C63" w:rsidRPr="000C488D" w:rsidRDefault="00442C63" w:rsidP="00442C63">
      <w:pPr>
        <w:pStyle w:val="SingleTxtGA"/>
        <w:rPr>
          <w:b/>
          <w:bCs/>
          <w:szCs w:val="20"/>
          <w:lang w:val="ar-SA" w:eastAsia="zh-TW" w:bidi="en-GB"/>
        </w:rPr>
      </w:pPr>
      <w:r w:rsidRPr="000C488D">
        <w:rPr>
          <w:b/>
          <w:bCs/>
          <w:rtl/>
        </w:rPr>
        <w:tab/>
        <w:t>(أ)</w:t>
      </w:r>
      <w:r w:rsidRPr="000C488D">
        <w:rPr>
          <w:b/>
          <w:bCs/>
          <w:rtl/>
        </w:rPr>
        <w:tab/>
        <w:t>الحد من الاكتظاظ في السجون بزيادة استخدام بدائل الاحتجاز والاستمرار في تنفيذ خطط لتطوير البنية التحتية للسجون وتحسين ظروف الاحتجاز؛</w:t>
      </w:r>
    </w:p>
    <w:p w14:paraId="66CFAB64" w14:textId="13381E4F" w:rsidR="00442C63" w:rsidRPr="000C488D" w:rsidRDefault="00442C63" w:rsidP="00442C63">
      <w:pPr>
        <w:pStyle w:val="SingleTxtGA"/>
        <w:rPr>
          <w:b/>
          <w:bCs/>
          <w:szCs w:val="20"/>
          <w:lang w:val="ar-SA" w:eastAsia="zh-TW" w:bidi="en-GB"/>
        </w:rPr>
      </w:pPr>
      <w:r w:rsidRPr="000C488D">
        <w:rPr>
          <w:b/>
          <w:bCs/>
          <w:rtl/>
        </w:rPr>
        <w:tab/>
        <w:t>(ب)</w:t>
      </w:r>
      <w:r w:rsidRPr="000C488D">
        <w:rPr>
          <w:b/>
          <w:bCs/>
          <w:rtl/>
        </w:rPr>
        <w:tab/>
        <w:t>إجراء فحص طبي روتيني في بداية الاحتجاز، مع إيلاء اهتمام خاص للأشخاص المحتجزين السابق للمحاكمة، وإعداد ملف طبي فردي وشامل وسري لكل محتجز، واتخاذ كل التدابير اللازمة لمكافحة الأمراض المعدية في أماكن الحرمان من الحرية، وتوفير عدد كاف من الموظفين المؤهلين والمدربين، بمن فيهم حراس مهنيون وموظفون طبيون لضمان توفير الرعاية المناسبة؛</w:t>
      </w:r>
    </w:p>
    <w:p w14:paraId="47EF06ED" w14:textId="6AEF74D1" w:rsidR="00442C63" w:rsidRPr="000C488D" w:rsidRDefault="00442C63" w:rsidP="00442C63">
      <w:pPr>
        <w:pStyle w:val="SingleTxtGA"/>
        <w:rPr>
          <w:b/>
          <w:bCs/>
          <w:szCs w:val="20"/>
          <w:lang w:val="ar-SA" w:eastAsia="zh-TW" w:bidi="en-GB"/>
        </w:rPr>
      </w:pPr>
      <w:r w:rsidRPr="000C488D">
        <w:rPr>
          <w:b/>
          <w:bCs/>
          <w:rtl/>
        </w:rPr>
        <w:tab/>
        <w:t>(ج)</w:t>
      </w:r>
      <w:r w:rsidRPr="000C488D">
        <w:rPr>
          <w:b/>
          <w:bCs/>
          <w:rtl/>
        </w:rPr>
        <w:tab/>
        <w:t>ضمان وصول السجينات إلى المرافق الصحية والخدمات الصحية الملائمة واحتجازهن في ظروف تراعي الفوارق بين الجنسين، وتكييف السجون مع احتياجات المحتجزين ذوي الإعاقة، ومنع ورصد وتوثيق حوادث التحرش الجنسي وغيره من أشكال العنف أثناء الاحتجاز؛</w:t>
      </w:r>
    </w:p>
    <w:p w14:paraId="37E985A5" w14:textId="6B322C0E" w:rsidR="00442C63" w:rsidRPr="000C488D" w:rsidRDefault="00442C63" w:rsidP="00442C63">
      <w:pPr>
        <w:pStyle w:val="SingleTxtGA"/>
        <w:rPr>
          <w:b/>
          <w:bCs/>
          <w:szCs w:val="20"/>
          <w:lang w:val="ar-SA" w:eastAsia="zh-TW" w:bidi="en-GB"/>
        </w:rPr>
      </w:pPr>
      <w:r w:rsidRPr="000C488D">
        <w:rPr>
          <w:b/>
          <w:bCs/>
          <w:rtl/>
        </w:rPr>
        <w:tab/>
        <w:t>(د)</w:t>
      </w:r>
      <w:r w:rsidRPr="000C488D">
        <w:rPr>
          <w:b/>
          <w:bCs/>
          <w:rtl/>
        </w:rPr>
        <w:tab/>
        <w:t>تيسير الوصول إلى الأنشطة الترفيهية والثقافية في أماكن الاحتجاز والسجون، وكذا إلى التدريب المهني والتعليم، بغرض دعم إعادة إدماج المحت</w:t>
      </w:r>
      <w:r w:rsidR="00967127">
        <w:rPr>
          <w:rFonts w:hint="cs"/>
          <w:b/>
          <w:bCs/>
          <w:rtl/>
        </w:rPr>
        <w:t>ج</w:t>
      </w:r>
      <w:r w:rsidRPr="000C488D">
        <w:rPr>
          <w:b/>
          <w:bCs/>
          <w:rtl/>
        </w:rPr>
        <w:t>زين في المجتمع؛</w:t>
      </w:r>
    </w:p>
    <w:p w14:paraId="14B8D2BA" w14:textId="59457E6D" w:rsidR="00442C63" w:rsidRPr="00310DA0" w:rsidRDefault="00442C63" w:rsidP="00442C63">
      <w:pPr>
        <w:pStyle w:val="SingleTxtGA"/>
        <w:rPr>
          <w:b/>
          <w:bCs/>
          <w:szCs w:val="20"/>
          <w:lang w:val="en-US" w:eastAsia="zh-TW" w:bidi="en-GB"/>
        </w:rPr>
      </w:pPr>
      <w:r w:rsidRPr="000C488D">
        <w:rPr>
          <w:b/>
          <w:bCs/>
          <w:rtl/>
        </w:rPr>
        <w:tab/>
        <w:t>(هـ)</w:t>
      </w:r>
      <w:r w:rsidRPr="000C488D">
        <w:rPr>
          <w:b/>
          <w:bCs/>
          <w:rtl/>
        </w:rPr>
        <w:tab/>
        <w:t>تضمين تقريرها الدوري المقبل البيانات المطلوبة عن عدد المحتجزين قبل المحاكمة والمدانين في جميع المرافق.</w:t>
      </w:r>
    </w:p>
    <w:p w14:paraId="1178DD80" w14:textId="77777777" w:rsidR="00442C63" w:rsidRPr="00E75A98" w:rsidRDefault="00442C63" w:rsidP="00442C63">
      <w:pPr>
        <w:pStyle w:val="H23GA"/>
        <w:rPr>
          <w:szCs w:val="20"/>
          <w:lang w:val="ar-SA" w:eastAsia="zh-TW" w:bidi="en-GB"/>
        </w:rPr>
      </w:pPr>
      <w:r>
        <w:rPr>
          <w:rtl/>
        </w:rPr>
        <w:lastRenderedPageBreak/>
        <w:tab/>
      </w:r>
      <w:r>
        <w:rPr>
          <w:rtl/>
        </w:rPr>
        <w:tab/>
        <w:t>قضاء الأحداث</w:t>
      </w:r>
    </w:p>
    <w:p w14:paraId="7F602071" w14:textId="2F14379E" w:rsidR="00DE6894" w:rsidRPr="00DE6894" w:rsidRDefault="00442C63" w:rsidP="00442C63">
      <w:pPr>
        <w:pStyle w:val="SingleTxtGA"/>
        <w:rPr>
          <w:color w:val="000000"/>
          <w:szCs w:val="20"/>
          <w:lang w:val="ar-SA" w:eastAsia="zh-TW" w:bidi="en-GB"/>
        </w:rPr>
      </w:pPr>
      <w:r w:rsidRPr="00442C63">
        <w:rPr>
          <w:rtl/>
        </w:rPr>
        <w:t>26</w:t>
      </w:r>
      <w:r>
        <w:rPr>
          <w:rFonts w:ascii="Traditional Arabic"/>
          <w:szCs w:val="20"/>
          <w:rtl/>
        </w:rPr>
        <w:t>-</w:t>
      </w:r>
      <w:r>
        <w:rPr>
          <w:rtl/>
        </w:rPr>
        <w:tab/>
        <w:t xml:space="preserve">يساور اللجنة القلق إزاء انخفاض الحد الأدنى لسن المسؤولية الجنائية </w:t>
      </w:r>
      <w:r>
        <w:rPr>
          <w:rFonts w:ascii="Traditional Arabic"/>
          <w:szCs w:val="20"/>
          <w:rtl/>
        </w:rPr>
        <w:t>(</w:t>
      </w:r>
      <w:r w:rsidRPr="00442C63">
        <w:rPr>
          <w:rtl/>
        </w:rPr>
        <w:t>9</w:t>
      </w:r>
      <w:r>
        <w:rPr>
          <w:rtl/>
        </w:rPr>
        <w:t xml:space="preserve"> سنوات</w:t>
      </w:r>
      <w:r w:rsidR="00DE6894" w:rsidRPr="00DE6894">
        <w:rPr>
          <w:color w:val="000000"/>
          <w:rtl/>
        </w:rPr>
        <w:t xml:space="preserve">)، </w:t>
      </w:r>
      <w:r>
        <w:rPr>
          <w:rtl/>
        </w:rPr>
        <w:t xml:space="preserve">الذي يخضع حاليا للتعديل بهدف رفعه إلى </w:t>
      </w:r>
      <w:r w:rsidRPr="00442C63">
        <w:rPr>
          <w:rtl/>
        </w:rPr>
        <w:t>11</w:t>
      </w:r>
      <w:r>
        <w:rPr>
          <w:rtl/>
        </w:rPr>
        <w:t xml:space="preserve"> سنة، كما هو الحال في إقليم </w:t>
      </w:r>
      <w:proofErr w:type="gramStart"/>
      <w:r>
        <w:rPr>
          <w:rtl/>
        </w:rPr>
        <w:t>كردستان</w:t>
      </w:r>
      <w:r w:rsidR="00DE6894" w:rsidRPr="00DE6894">
        <w:rPr>
          <w:color w:val="000000"/>
          <w:sz w:val="18"/>
          <w:vertAlign w:val="superscript"/>
          <w:rtl/>
        </w:rPr>
        <w:t>(</w:t>
      </w:r>
      <w:proofErr w:type="gramEnd"/>
      <w:r w:rsidR="00DE6894" w:rsidRPr="00E75A98">
        <w:rPr>
          <w:color w:val="000000"/>
          <w:sz w:val="18"/>
          <w:vertAlign w:val="superscript"/>
          <w:rtl/>
        </w:rPr>
        <w:footnoteReference w:id="23"/>
      </w:r>
      <w:r w:rsidR="00DE6894">
        <w:rPr>
          <w:color w:val="000000"/>
          <w:sz w:val="18"/>
          <w:vertAlign w:val="superscript"/>
          <w:rtl/>
        </w:rPr>
        <w:t>)</w:t>
      </w:r>
      <w:r>
        <w:rPr>
          <w:rtl/>
        </w:rPr>
        <w:t xml:space="preserve">. ويساورها القلق أيضا إزاء المعلومات الواردة بشأن الاكتظاظ وظروف الاحتجاز المادية غير الملائمة في مراكز إيواء المحتجزين الأحداث، وعدم إمكانية الحصول على البرامج التعليمية والتأهيلية المناسبة (المواد </w:t>
      </w:r>
      <w:r w:rsidRPr="00442C63">
        <w:rPr>
          <w:rtl/>
        </w:rPr>
        <w:t>2</w:t>
      </w:r>
      <w:r>
        <w:rPr>
          <w:rtl/>
        </w:rPr>
        <w:t xml:space="preserve"> </w:t>
      </w:r>
      <w:proofErr w:type="spellStart"/>
      <w:r>
        <w:rPr>
          <w:rtl/>
        </w:rPr>
        <w:t>و</w:t>
      </w:r>
      <w:r w:rsidRPr="00442C63">
        <w:rPr>
          <w:rtl/>
        </w:rPr>
        <w:t>11</w:t>
      </w:r>
      <w:proofErr w:type="spellEnd"/>
      <w:r>
        <w:rPr>
          <w:rtl/>
        </w:rPr>
        <w:t xml:space="preserve"> </w:t>
      </w:r>
      <w:proofErr w:type="spellStart"/>
      <w:r>
        <w:rPr>
          <w:rtl/>
        </w:rPr>
        <w:t>و</w:t>
      </w:r>
      <w:r w:rsidRPr="00442C63">
        <w:rPr>
          <w:rtl/>
        </w:rPr>
        <w:t>1</w:t>
      </w:r>
      <w:r w:rsidR="00DE6894" w:rsidRPr="00DE6894">
        <w:rPr>
          <w:color w:val="000000"/>
          <w:rtl/>
        </w:rPr>
        <w:t>6</w:t>
      </w:r>
      <w:proofErr w:type="spellEnd"/>
      <w:r w:rsidR="00DE6894" w:rsidRPr="00DE6894">
        <w:rPr>
          <w:rFonts w:ascii="Traditional Arabic"/>
          <w:color w:val="000000"/>
          <w:szCs w:val="20"/>
          <w:rtl/>
        </w:rPr>
        <w:t>)</w:t>
      </w:r>
      <w:r w:rsidR="00DE6894" w:rsidRPr="00DE6894">
        <w:rPr>
          <w:color w:val="000000"/>
          <w:rtl/>
        </w:rPr>
        <w:t>.</w:t>
      </w:r>
    </w:p>
    <w:p w14:paraId="068672A5" w14:textId="64BAEC98" w:rsidR="00442C63" w:rsidRPr="00E75A98" w:rsidRDefault="00442C63" w:rsidP="00442C63">
      <w:pPr>
        <w:pStyle w:val="SingleTxtGA"/>
        <w:rPr>
          <w:szCs w:val="20"/>
          <w:lang w:val="ar-SA" w:eastAsia="zh-TW" w:bidi="en-GB"/>
        </w:rPr>
      </w:pPr>
      <w:r w:rsidRPr="00442C63">
        <w:rPr>
          <w:rtl/>
        </w:rPr>
        <w:t>27</w:t>
      </w:r>
      <w:r>
        <w:rPr>
          <w:rFonts w:ascii="Traditional Arabic"/>
          <w:szCs w:val="20"/>
          <w:rtl/>
        </w:rPr>
        <w:t>-</w:t>
      </w:r>
      <w:r w:rsidR="000C488D">
        <w:rPr>
          <w:rtl/>
        </w:rPr>
        <w:tab/>
      </w:r>
      <w:r w:rsidRPr="000C488D">
        <w:rPr>
          <w:b/>
          <w:bCs/>
          <w:rtl/>
        </w:rPr>
        <w:t>ينبغي للدولة الطرف أن ترفع السن الدنيا للمسؤولية الجنائية لكي تستوفي المعايير الدولية المقبولة وأن تكفل التنفيذ الكامل لمعايير قضاء الأحداث وقواعد الأمم المتحدة النموذجية الدنيا لإدارة شؤون قضاء الأحداث (قواعد بيجين</w:t>
      </w:r>
      <w:r w:rsidR="00DE6894" w:rsidRPr="000C488D">
        <w:rPr>
          <w:b/>
          <w:bCs/>
          <w:color w:val="000000"/>
          <w:rtl/>
        </w:rPr>
        <w:t xml:space="preserve">)، </w:t>
      </w:r>
      <w:r w:rsidRPr="000C488D">
        <w:rPr>
          <w:b/>
          <w:bCs/>
          <w:rtl/>
        </w:rPr>
        <w:t>ومبادئ الأمم المتحدة التوجيهية لمنع جنوح الأحداث (مبادئ الرياض التوجيهية) وقواعد الأمم المتحدة بشأن حماية الأحداث المجردين من حريتهم.</w:t>
      </w:r>
    </w:p>
    <w:p w14:paraId="6EE8CE0C" w14:textId="77777777" w:rsidR="00442C63" w:rsidRPr="00E75A98" w:rsidRDefault="00442C63" w:rsidP="00442C63">
      <w:pPr>
        <w:pStyle w:val="H23GA"/>
        <w:rPr>
          <w:szCs w:val="20"/>
          <w:lang w:val="ar-SA" w:eastAsia="zh-TW" w:bidi="en-GB"/>
        </w:rPr>
      </w:pPr>
      <w:r>
        <w:rPr>
          <w:rtl/>
        </w:rPr>
        <w:tab/>
      </w:r>
      <w:r>
        <w:rPr>
          <w:rtl/>
        </w:rPr>
        <w:tab/>
        <w:t>الوفيات في مراكز الاحتجاز</w:t>
      </w:r>
    </w:p>
    <w:p w14:paraId="1F69C1DB" w14:textId="7002DC31" w:rsidR="00DE6894" w:rsidRPr="00DE6894" w:rsidRDefault="00442C63" w:rsidP="00442C63">
      <w:pPr>
        <w:pStyle w:val="SingleTxtGA"/>
        <w:rPr>
          <w:color w:val="000000"/>
          <w:szCs w:val="20"/>
          <w:lang w:val="ar-SA" w:eastAsia="zh-TW" w:bidi="en-GB"/>
        </w:rPr>
      </w:pPr>
      <w:r w:rsidRPr="00442C63">
        <w:rPr>
          <w:rtl/>
        </w:rPr>
        <w:t>28</w:t>
      </w:r>
      <w:r>
        <w:rPr>
          <w:rFonts w:ascii="Traditional Arabic"/>
          <w:szCs w:val="20"/>
          <w:rtl/>
        </w:rPr>
        <w:t>-</w:t>
      </w:r>
      <w:r>
        <w:rPr>
          <w:rtl/>
        </w:rPr>
        <w:tab/>
        <w:t xml:space="preserve">وفقا للمعلومات التي قدّمها وفد الدولة الطرف، دون تحديد المرافق، سُجّلت </w:t>
      </w:r>
      <w:r w:rsidRPr="00442C63">
        <w:rPr>
          <w:rtl/>
        </w:rPr>
        <w:t>461</w:t>
      </w:r>
      <w:r>
        <w:rPr>
          <w:rtl/>
        </w:rPr>
        <w:t xml:space="preserve"> حالة وفاة أثناء الاحتجاز في عام </w:t>
      </w:r>
      <w:r w:rsidRPr="00442C63">
        <w:rPr>
          <w:rtl/>
        </w:rPr>
        <w:t>2021</w:t>
      </w:r>
      <w:r>
        <w:rPr>
          <w:rtl/>
        </w:rPr>
        <w:t xml:space="preserve"> وحده. وتعرب اللجنة عن أسفها لأن الدولة الطرف لم تقدم معلومات إحصائية وافية عن كامل الفترة قيد الاستعراض، مصنّفة حسب مكان الاحتجاز، بما في ذلك المرافق الخاضعة لسلطة وزارة الداخلية ووزارة الدفاع وأجهزة الاستخبارات، ونوع جنس الشخص المتوفى وسنه وانتمائه الإثني أو جنسيته وأسباب وفاته. ويساور اللجنة القلق إزاء الادعاءات التي تفيد بأن أسباب الوفاة أثناء الاحتجاز تشمل التعذيب وغياب الرعاية الصحية، وتأسف لعدم وجود معلومات عن التحقيقات التي أجريت في هذا الصدد (المواد </w:t>
      </w:r>
      <w:r w:rsidRPr="00442C63">
        <w:rPr>
          <w:rtl/>
        </w:rPr>
        <w:t>2</w:t>
      </w:r>
      <w:r>
        <w:rPr>
          <w:rtl/>
        </w:rPr>
        <w:t xml:space="preserve"> </w:t>
      </w:r>
      <w:proofErr w:type="spellStart"/>
      <w:r>
        <w:rPr>
          <w:rtl/>
        </w:rPr>
        <w:t>و</w:t>
      </w:r>
      <w:r w:rsidRPr="00442C63">
        <w:rPr>
          <w:rtl/>
        </w:rPr>
        <w:t>11</w:t>
      </w:r>
      <w:proofErr w:type="spellEnd"/>
      <w:r>
        <w:rPr>
          <w:rtl/>
        </w:rPr>
        <w:t xml:space="preserve"> </w:t>
      </w:r>
      <w:proofErr w:type="spellStart"/>
      <w:r>
        <w:rPr>
          <w:rtl/>
        </w:rPr>
        <w:t>و</w:t>
      </w:r>
      <w:r w:rsidRPr="00442C63">
        <w:rPr>
          <w:rtl/>
        </w:rPr>
        <w:t>1</w:t>
      </w:r>
      <w:r w:rsidR="00DE6894" w:rsidRPr="00DE6894">
        <w:rPr>
          <w:color w:val="000000"/>
          <w:rtl/>
        </w:rPr>
        <w:t>6</w:t>
      </w:r>
      <w:proofErr w:type="spellEnd"/>
      <w:r w:rsidR="00DE6894" w:rsidRPr="00DE6894">
        <w:rPr>
          <w:rFonts w:ascii="Traditional Arabic"/>
          <w:color w:val="000000"/>
          <w:szCs w:val="20"/>
          <w:rtl/>
        </w:rPr>
        <w:t>)</w:t>
      </w:r>
      <w:r w:rsidR="00DE6894" w:rsidRPr="00DE6894">
        <w:rPr>
          <w:color w:val="000000"/>
          <w:rtl/>
        </w:rPr>
        <w:t>.</w:t>
      </w:r>
    </w:p>
    <w:p w14:paraId="4922FAA1" w14:textId="373EAAA7" w:rsidR="00442C63" w:rsidRPr="000C488D" w:rsidRDefault="00442C63" w:rsidP="00442C63">
      <w:pPr>
        <w:pStyle w:val="SingleTxtGA"/>
        <w:rPr>
          <w:b/>
          <w:bCs/>
          <w:szCs w:val="20"/>
          <w:lang w:val="ar-SA" w:eastAsia="zh-TW" w:bidi="en-GB"/>
        </w:rPr>
      </w:pPr>
      <w:r w:rsidRPr="00442C63">
        <w:rPr>
          <w:rtl/>
        </w:rPr>
        <w:t>29</w:t>
      </w:r>
      <w:r>
        <w:rPr>
          <w:rFonts w:ascii="Traditional Arabic"/>
          <w:szCs w:val="20"/>
          <w:rtl/>
        </w:rPr>
        <w:t>-</w:t>
      </w:r>
      <w:r>
        <w:rPr>
          <w:rtl/>
        </w:rPr>
        <w:tab/>
      </w:r>
      <w:r w:rsidRPr="000C488D">
        <w:rPr>
          <w:b/>
          <w:bCs/>
          <w:rtl/>
        </w:rPr>
        <w:t>يجب على الدولة الطرف القيام بما يلي:</w:t>
      </w:r>
    </w:p>
    <w:p w14:paraId="5DF5BF4A" w14:textId="5A100120" w:rsidR="00442C63" w:rsidRPr="000C488D" w:rsidRDefault="00442C63" w:rsidP="00442C63">
      <w:pPr>
        <w:pStyle w:val="SingleTxtGA"/>
        <w:rPr>
          <w:rFonts w:ascii="Times New Roman Bold" w:hAnsi="Times New Roman Bold" w:hint="eastAsia"/>
          <w:b/>
          <w:bCs/>
          <w:spacing w:val="-4"/>
          <w:szCs w:val="20"/>
          <w:lang w:val="en-US" w:eastAsia="zh-TW" w:bidi="en-GB"/>
        </w:rPr>
      </w:pPr>
      <w:r w:rsidRPr="000C488D">
        <w:rPr>
          <w:b/>
          <w:bCs/>
          <w:rtl/>
        </w:rPr>
        <w:tab/>
        <w:t xml:space="preserve">(أ) ضمان إجراء تحقيق فوري ونزيه من قِبل كيان مستقل، بطرق منها عمليات مستقلة </w:t>
      </w:r>
      <w:r w:rsidRPr="000C488D">
        <w:rPr>
          <w:rFonts w:ascii="Times New Roman Bold" w:hAnsi="Times New Roman Bold"/>
          <w:b/>
          <w:bCs/>
          <w:spacing w:val="-4"/>
          <w:rtl/>
        </w:rPr>
        <w:t>لفحص الأدلة الجنائية، في جميع حالات الوفاة أثناء الاحتجاز، وتطبيق العقوبات المناسبة، عند الاقتضاء؛</w:t>
      </w:r>
    </w:p>
    <w:p w14:paraId="37B85AB1" w14:textId="33080730" w:rsidR="00442C63" w:rsidRPr="000C488D" w:rsidRDefault="00442C63" w:rsidP="00442C63">
      <w:pPr>
        <w:pStyle w:val="SingleTxtGA"/>
        <w:rPr>
          <w:b/>
          <w:bCs/>
          <w:szCs w:val="20"/>
          <w:lang w:val="ar-SA" w:eastAsia="zh-TW" w:bidi="en-GB"/>
        </w:rPr>
      </w:pPr>
      <w:r w:rsidRPr="000C488D">
        <w:rPr>
          <w:b/>
          <w:bCs/>
          <w:rtl/>
        </w:rPr>
        <w:tab/>
        <w:t>(ب)</w:t>
      </w:r>
      <w:r w:rsidRPr="000C488D">
        <w:rPr>
          <w:b/>
          <w:bCs/>
          <w:rtl/>
        </w:rPr>
        <w:tab/>
        <w:t>النظر في اعتماد طريقة تشغيل موحدة للتحقيق في الوفيات أثناء الاحتجاز؛</w:t>
      </w:r>
    </w:p>
    <w:p w14:paraId="367C05DA" w14:textId="560878C1" w:rsidR="00442C63" w:rsidRPr="000C488D" w:rsidRDefault="00442C63" w:rsidP="00442C63">
      <w:pPr>
        <w:pStyle w:val="SingleTxtGA"/>
        <w:rPr>
          <w:b/>
          <w:bCs/>
          <w:szCs w:val="20"/>
          <w:lang w:val="ar-SA" w:eastAsia="zh-TW" w:bidi="en-GB"/>
        </w:rPr>
      </w:pPr>
      <w:r w:rsidRPr="000C488D">
        <w:rPr>
          <w:b/>
          <w:bCs/>
          <w:rtl/>
        </w:rPr>
        <w:tab/>
        <w:t>(ج)</w:t>
      </w:r>
      <w:r w:rsidRPr="000C488D">
        <w:rPr>
          <w:b/>
          <w:bCs/>
          <w:rtl/>
        </w:rPr>
        <w:tab/>
        <w:t>استعراض فعالية برامج الوقاية من الأمراض المعدية في السجون وكشفها وعلاجها؛</w:t>
      </w:r>
    </w:p>
    <w:p w14:paraId="4EF955F5" w14:textId="0F091ECF" w:rsidR="00442C63" w:rsidRPr="000C488D" w:rsidRDefault="00442C63" w:rsidP="00442C63">
      <w:pPr>
        <w:pStyle w:val="SingleTxtGA"/>
        <w:rPr>
          <w:b/>
          <w:bCs/>
          <w:szCs w:val="20"/>
          <w:lang w:val="en-US" w:eastAsia="zh-TW" w:bidi="en-GB"/>
        </w:rPr>
      </w:pPr>
      <w:r w:rsidRPr="000C488D">
        <w:rPr>
          <w:b/>
          <w:bCs/>
          <w:rtl/>
        </w:rPr>
        <w:tab/>
        <w:t>(د)</w:t>
      </w:r>
      <w:r w:rsidRPr="000C488D">
        <w:rPr>
          <w:b/>
          <w:bCs/>
          <w:rtl/>
        </w:rPr>
        <w:tab/>
        <w:t>تجميع معلومات مفصلة عن حالات الوفاة في جميع أماكن الاحتجاز وأسبابها ونتائج التحقيق فيها، وتقديمها إلى اللجنة</w:t>
      </w:r>
      <w:r w:rsidR="000C488D" w:rsidRPr="000C488D">
        <w:rPr>
          <w:rFonts w:hint="cs"/>
          <w:b/>
          <w:bCs/>
          <w:rtl/>
        </w:rPr>
        <w:t>.</w:t>
      </w:r>
    </w:p>
    <w:p w14:paraId="4E638912" w14:textId="77777777" w:rsidR="00442C63" w:rsidRPr="00E75A98" w:rsidRDefault="00442C63" w:rsidP="00442C63">
      <w:pPr>
        <w:pStyle w:val="H23GA"/>
        <w:rPr>
          <w:szCs w:val="20"/>
          <w:lang w:val="ar-SA" w:eastAsia="zh-TW" w:bidi="en-GB"/>
        </w:rPr>
      </w:pPr>
      <w:r>
        <w:rPr>
          <w:rtl/>
        </w:rPr>
        <w:tab/>
      </w:r>
      <w:r>
        <w:rPr>
          <w:rtl/>
        </w:rPr>
        <w:tab/>
        <w:t>عقوبة الإعدام</w:t>
      </w:r>
    </w:p>
    <w:p w14:paraId="19977CE4" w14:textId="3655A7C4" w:rsidR="00DE6894" w:rsidRPr="00DE6894" w:rsidRDefault="00442C63" w:rsidP="00967127">
      <w:pPr>
        <w:pStyle w:val="SingleTxtGA"/>
        <w:rPr>
          <w:color w:val="000000"/>
          <w:szCs w:val="20"/>
          <w:lang w:val="ar-SA" w:eastAsia="zh-TW" w:bidi="en-GB"/>
        </w:rPr>
      </w:pPr>
      <w:r w:rsidRPr="00442C63">
        <w:rPr>
          <w:rtl/>
        </w:rPr>
        <w:t>30</w:t>
      </w:r>
      <w:r>
        <w:rPr>
          <w:rFonts w:ascii="Traditional Arabic"/>
          <w:szCs w:val="20"/>
          <w:rtl/>
        </w:rPr>
        <w:t>-</w:t>
      </w:r>
      <w:r w:rsidR="00967127">
        <w:rPr>
          <w:rtl/>
        </w:rPr>
        <w:tab/>
      </w:r>
      <w:r>
        <w:rPr>
          <w:rtl/>
        </w:rPr>
        <w:t xml:space="preserve">بينما ترحب اللجنة بالوقف الاختياري الفعلي لتنفيذ عقوبة الإعدام، الذي بدأ العمل به في إقليم كردستان منذ عام </w:t>
      </w:r>
      <w:r w:rsidRPr="00442C63">
        <w:rPr>
          <w:rtl/>
        </w:rPr>
        <w:t>2008</w:t>
      </w:r>
      <w:r>
        <w:rPr>
          <w:rtl/>
        </w:rPr>
        <w:t xml:space="preserve">، فإنها تأسف لانتهاكه مرارا في عامي </w:t>
      </w:r>
      <w:r w:rsidRPr="00442C63">
        <w:rPr>
          <w:rtl/>
        </w:rPr>
        <w:t>2015</w:t>
      </w:r>
      <w:r>
        <w:rPr>
          <w:rtl/>
        </w:rPr>
        <w:t xml:space="preserve"> </w:t>
      </w:r>
      <w:proofErr w:type="spellStart"/>
      <w:r>
        <w:rPr>
          <w:rtl/>
        </w:rPr>
        <w:t>و</w:t>
      </w:r>
      <w:r w:rsidRPr="00442C63">
        <w:rPr>
          <w:rtl/>
        </w:rPr>
        <w:t>2016</w:t>
      </w:r>
      <w:proofErr w:type="spellEnd"/>
      <w:r>
        <w:rPr>
          <w:rtl/>
        </w:rPr>
        <w:t xml:space="preserve">، حسبما ورد. وتلاحظ أن عقوبة الإعدام لا تزال تُفرض في المحاكم الاتحادية العراقية، بما في ذلك في القضايا المتعلقة بالرعايا الأجانب، وأن عمليات الإعدام نُفّذت. وعلاوة على ذلك، تأسف اللجنة لعدم وجود بيانات ومعلومات شاملة عن الضمانات القانونية في هذا الصدد. ويساور اللجنة القلق إزاء التقارير التي تشير إلى أن هذه الأحكام غالبا ما تصدر بموجب تشريعات مكافحة الإرهاب وما تكون مصحوبة بغياب ضمانات الإجراءات القانونية الواجبة والمحاكمة العادلة. ويساور اللجنة القلق أيضا إزاء التقارير التي تفيد بأن السجناء المحكوم عليهم بالإعدام في سجن الناصرية المركزي احتجزوا في ظروف مادية بشعة، وكثيرا ما تعرضوا للتعذيب </w:t>
      </w:r>
      <w:r>
        <w:rPr>
          <w:rtl/>
        </w:rPr>
        <w:lastRenderedPageBreak/>
        <w:t xml:space="preserve">وسوء المعاملة، بما في ذلك تلقي تهديدات كاذبة من حراس السجن بشأن إعدامهم الوشيك. وعلاوة على ذلك، وكما أكّد الوفد في رده الخطي على سؤال اللجنة، تفيد التقارير بأن الأسر لا تخطر قبل إعدام أقاربها، كما تنص على ذلك المادة </w:t>
      </w:r>
      <w:r w:rsidRPr="00442C63">
        <w:rPr>
          <w:rtl/>
        </w:rPr>
        <w:t>291</w:t>
      </w:r>
      <w:r>
        <w:rPr>
          <w:rtl/>
        </w:rPr>
        <w:t xml:space="preserve"> من قانون الإجراءات الجنائية (المواد </w:t>
      </w:r>
      <w:r w:rsidRPr="00442C63">
        <w:rPr>
          <w:rtl/>
        </w:rPr>
        <w:t>2</w:t>
      </w:r>
      <w:r>
        <w:rPr>
          <w:rtl/>
        </w:rPr>
        <w:t xml:space="preserve"> </w:t>
      </w:r>
      <w:proofErr w:type="spellStart"/>
      <w:r>
        <w:rPr>
          <w:rtl/>
        </w:rPr>
        <w:t>و</w:t>
      </w:r>
      <w:r w:rsidRPr="00442C63">
        <w:rPr>
          <w:rtl/>
        </w:rPr>
        <w:t>11</w:t>
      </w:r>
      <w:proofErr w:type="spellEnd"/>
      <w:r>
        <w:rPr>
          <w:rtl/>
        </w:rPr>
        <w:t xml:space="preserve"> </w:t>
      </w:r>
      <w:proofErr w:type="spellStart"/>
      <w:r>
        <w:rPr>
          <w:rtl/>
        </w:rPr>
        <w:t>و</w:t>
      </w:r>
      <w:r w:rsidRPr="00442C63">
        <w:rPr>
          <w:rtl/>
        </w:rPr>
        <w:t>1</w:t>
      </w:r>
      <w:r w:rsidR="00DE6894" w:rsidRPr="00DE6894">
        <w:rPr>
          <w:color w:val="000000"/>
          <w:rtl/>
        </w:rPr>
        <w:t>6</w:t>
      </w:r>
      <w:proofErr w:type="spellEnd"/>
      <w:r w:rsidR="00DE6894" w:rsidRPr="00DE6894">
        <w:rPr>
          <w:rFonts w:ascii="Traditional Arabic"/>
          <w:color w:val="000000"/>
          <w:szCs w:val="20"/>
          <w:rtl/>
        </w:rPr>
        <w:t>)</w:t>
      </w:r>
      <w:r w:rsidR="00DE6894" w:rsidRPr="00DE6894">
        <w:rPr>
          <w:color w:val="000000"/>
          <w:rtl/>
        </w:rPr>
        <w:t>.</w:t>
      </w:r>
    </w:p>
    <w:p w14:paraId="7E61A192" w14:textId="639EED4D" w:rsidR="00442C63" w:rsidRPr="000C488D" w:rsidRDefault="00442C63" w:rsidP="00442C63">
      <w:pPr>
        <w:pStyle w:val="SingleTxtGA"/>
        <w:rPr>
          <w:b/>
          <w:bCs/>
          <w:szCs w:val="20"/>
          <w:lang w:val="ar-SA" w:eastAsia="zh-TW" w:bidi="en-GB"/>
        </w:rPr>
      </w:pPr>
      <w:r w:rsidRPr="00442C63">
        <w:rPr>
          <w:rtl/>
        </w:rPr>
        <w:t>31</w:t>
      </w:r>
      <w:r>
        <w:rPr>
          <w:rFonts w:ascii="Traditional Arabic"/>
          <w:szCs w:val="20"/>
          <w:rtl/>
        </w:rPr>
        <w:t>-</w:t>
      </w:r>
      <w:r>
        <w:rPr>
          <w:rtl/>
        </w:rPr>
        <w:tab/>
      </w:r>
      <w:r w:rsidRPr="000C488D">
        <w:rPr>
          <w:b/>
          <w:bCs/>
          <w:rtl/>
        </w:rPr>
        <w:t>تحث اللجنة الدولة الطرف على فرض وقف اختياري على تطبيق عقوبة الإعدام، ومواصلة جهودها الرامية إلى الاستعاضة عن جميع أحكام الإعدام بعقوبات بديلة، وتحسين ظروف احتجاز السجناء المحكوم عليهم بالإعدام، والقيام، في ضوء التزاماتها الدولية، بإعادة النظر في تطبيق تشريعات مكافحة الإرهاب وغيرها من القوانين ذات الصلة التي قد تستتبع فرض عقوبة الإعدام، وتعزيز الضمانات القانونية وضمانات الإجراءات القانونية الواجبة في جميع مراحل الإجراءات وفيما يتعلق بجميع الجرائم، وضمان إخطار الأسر على النحو الواجب بعمليات الإعدام الوشيكة، والنظر في التصديق على البروتوكول الاختياري الثاني الملحق بالعهد الدولي الخاص بالحقوق المدنية والسياسية، الهادف إلى إلغاء عقوبة الإعدام.</w:t>
      </w:r>
    </w:p>
    <w:p w14:paraId="028053AE" w14:textId="77777777" w:rsidR="00442C63" w:rsidRPr="00E75A98" w:rsidRDefault="00442C63" w:rsidP="00A10F8A">
      <w:pPr>
        <w:pStyle w:val="H23GA"/>
        <w:rPr>
          <w:szCs w:val="20"/>
          <w:lang w:val="ar-SA" w:eastAsia="zh-TW" w:bidi="en-GB"/>
        </w:rPr>
      </w:pPr>
      <w:r>
        <w:rPr>
          <w:rtl/>
        </w:rPr>
        <w:tab/>
      </w:r>
      <w:r>
        <w:rPr>
          <w:rtl/>
        </w:rPr>
        <w:tab/>
        <w:t xml:space="preserve">الاستخدام المفرط للقوة أثناء الاحتجاجات خلال الفترة </w:t>
      </w:r>
      <w:r w:rsidRPr="00442C63">
        <w:rPr>
          <w:rtl/>
        </w:rPr>
        <w:t>2019</w:t>
      </w:r>
      <w:r>
        <w:rPr>
          <w:rFonts w:ascii="Traditional Arabic"/>
          <w:szCs w:val="20"/>
          <w:rtl/>
        </w:rPr>
        <w:t>-</w:t>
      </w:r>
      <w:r w:rsidRPr="00442C63">
        <w:rPr>
          <w:rtl/>
        </w:rPr>
        <w:t>2020</w:t>
      </w:r>
    </w:p>
    <w:p w14:paraId="227B500B" w14:textId="62B59E00" w:rsidR="00DE6894" w:rsidRPr="00DE6894" w:rsidRDefault="00442C63" w:rsidP="00A10F8A">
      <w:pPr>
        <w:pStyle w:val="SingleTxtGA"/>
        <w:rPr>
          <w:color w:val="000000"/>
          <w:szCs w:val="20"/>
          <w:lang w:val="ar-SA" w:eastAsia="zh-TW" w:bidi="en-GB"/>
        </w:rPr>
      </w:pPr>
      <w:r w:rsidRPr="00442C63">
        <w:rPr>
          <w:rtl/>
        </w:rPr>
        <w:t>32</w:t>
      </w:r>
      <w:r>
        <w:rPr>
          <w:rFonts w:ascii="Traditional Arabic"/>
          <w:szCs w:val="20"/>
          <w:rtl/>
        </w:rPr>
        <w:t>-</w:t>
      </w:r>
      <w:r>
        <w:rPr>
          <w:rtl/>
        </w:rPr>
        <w:tab/>
        <w:t xml:space="preserve">يساور اللجنة القلق إزاء ادّعاءات الاستخدام المفرط للقوة، لاسيما استخدام الأسلحة الأقل فتكا الذي أسفر عن وفيات وإصابات، بما في ذلك في صفوف الأطفال، والاعتقالات التعسفية، والاحتجاز بمعزل عن العالم </w:t>
      </w:r>
      <w:proofErr w:type="gramStart"/>
      <w:r>
        <w:rPr>
          <w:rtl/>
        </w:rPr>
        <w:t>الخارجي</w:t>
      </w:r>
      <w:r w:rsidR="00DE6894" w:rsidRPr="00DE6894">
        <w:rPr>
          <w:color w:val="000000" w:themeColor="text1"/>
          <w:sz w:val="18"/>
          <w:vertAlign w:val="superscript"/>
          <w:rtl/>
        </w:rPr>
        <w:t>(</w:t>
      </w:r>
      <w:proofErr w:type="gramEnd"/>
      <w:r w:rsidR="00DE6894" w:rsidRPr="00E75A98">
        <w:rPr>
          <w:color w:val="000000" w:themeColor="text1"/>
          <w:sz w:val="18"/>
          <w:vertAlign w:val="superscript"/>
          <w:rtl/>
        </w:rPr>
        <w:footnoteReference w:id="24"/>
      </w:r>
      <w:r w:rsidR="00DE6894">
        <w:rPr>
          <w:color w:val="000000" w:themeColor="text1"/>
          <w:sz w:val="18"/>
          <w:vertAlign w:val="superscript"/>
          <w:rtl/>
        </w:rPr>
        <w:t>)</w:t>
      </w:r>
      <w:r w:rsidR="00967127">
        <w:rPr>
          <w:rFonts w:hint="cs"/>
          <w:rtl/>
        </w:rPr>
        <w:t xml:space="preserve">، </w:t>
      </w:r>
      <w:r>
        <w:rPr>
          <w:rtl/>
        </w:rPr>
        <w:t>والتعذيب وسوء المعاملة، والاختفاء القسري</w:t>
      </w:r>
      <w:r w:rsidR="00DE6894" w:rsidRPr="00DE6894">
        <w:rPr>
          <w:color w:val="000000" w:themeColor="text1"/>
          <w:sz w:val="18"/>
          <w:vertAlign w:val="superscript"/>
          <w:rtl/>
        </w:rPr>
        <w:t>(</w:t>
      </w:r>
      <w:r w:rsidR="00DE6894" w:rsidRPr="00E75A98">
        <w:rPr>
          <w:color w:val="000000" w:themeColor="text1"/>
          <w:sz w:val="18"/>
          <w:vertAlign w:val="superscript"/>
          <w:rtl/>
        </w:rPr>
        <w:footnoteReference w:id="25"/>
      </w:r>
      <w:r w:rsidR="00DE6894">
        <w:rPr>
          <w:color w:val="000000" w:themeColor="text1"/>
          <w:sz w:val="18"/>
          <w:vertAlign w:val="superscript"/>
          <w:rtl/>
        </w:rPr>
        <w:t>)</w:t>
      </w:r>
      <w:r>
        <w:rPr>
          <w:rtl/>
        </w:rPr>
        <w:t xml:space="preserve"> على أيدي أفراد من قوات الأمن وعناصر مسلحة مجهولة الهوية في سياق المظاهرات المندلعة منذ تشرين الأول/أكتوبر </w:t>
      </w:r>
      <w:r w:rsidRPr="00442C63">
        <w:rPr>
          <w:rtl/>
        </w:rPr>
        <w:t>2019</w:t>
      </w:r>
      <w:r w:rsidR="00DE6894" w:rsidRPr="00DE6894">
        <w:rPr>
          <w:sz w:val="18"/>
          <w:vertAlign w:val="superscript"/>
          <w:rtl/>
        </w:rPr>
        <w:t>(</w:t>
      </w:r>
      <w:r w:rsidR="00DE6894" w:rsidRPr="00E75A98">
        <w:rPr>
          <w:sz w:val="18"/>
          <w:vertAlign w:val="superscript"/>
          <w:rtl/>
        </w:rPr>
        <w:footnoteReference w:id="26"/>
      </w:r>
      <w:r w:rsidR="00DE6894">
        <w:rPr>
          <w:sz w:val="18"/>
          <w:vertAlign w:val="superscript"/>
          <w:rtl/>
        </w:rPr>
        <w:t>)</w:t>
      </w:r>
      <w:r w:rsidR="00DE6894">
        <w:rPr>
          <w:rFonts w:hint="cs"/>
          <w:rtl/>
        </w:rPr>
        <w:t>.</w:t>
      </w:r>
      <w:r>
        <w:rPr>
          <w:rtl/>
        </w:rPr>
        <w:t xml:space="preserve"> وتعرب اللجنة عن أسفها إزاء ادعاءات اختطاف الصحفيين والمدافعين عن حقوق الإنسان والاعتداء عليهم وترهيبهم. وتحيط اللجنة علما</w:t>
      </w:r>
      <w:r w:rsidR="00310DA0">
        <w:rPr>
          <w:rFonts w:hint="cs"/>
          <w:rtl/>
        </w:rPr>
        <w:t>ً</w:t>
      </w:r>
      <w:r>
        <w:rPr>
          <w:rtl/>
        </w:rPr>
        <w:t xml:space="preserve"> بالتزام الدولة الطرف بضمان المساءلة عن الأفعال المذكورة أعلاه، بما في ذلك إنشاء لجنة مستقلة لتقصي الحقائق ولجان تحقيق قضائية في كل محافظة من المحافظات المتضررة من المظاهرات. بيد أنها تأسف لعدم وجود تقارير علنية عن الإجراءات التي اتخذتها لجنة تقصي الحقائق، ولإحراز تقدم محدود في التحقيقات، وعدم القيام حتى الآن سوى بعدد قليل من الملاحقات </w:t>
      </w:r>
      <w:proofErr w:type="gramStart"/>
      <w:r>
        <w:rPr>
          <w:rtl/>
        </w:rPr>
        <w:t>القضائية</w:t>
      </w:r>
      <w:r w:rsidR="00DE6894" w:rsidRPr="00DE6894">
        <w:rPr>
          <w:sz w:val="18"/>
          <w:vertAlign w:val="superscript"/>
          <w:rtl/>
        </w:rPr>
        <w:t>(</w:t>
      </w:r>
      <w:proofErr w:type="gramEnd"/>
      <w:r w:rsidR="00DE6894" w:rsidRPr="00E75A98">
        <w:rPr>
          <w:sz w:val="18"/>
          <w:vertAlign w:val="superscript"/>
          <w:rtl/>
        </w:rPr>
        <w:footnoteReference w:id="27"/>
      </w:r>
      <w:r w:rsidR="00DE6894">
        <w:rPr>
          <w:sz w:val="18"/>
          <w:vertAlign w:val="superscript"/>
          <w:rtl/>
        </w:rPr>
        <w:t>)</w:t>
      </w:r>
      <w:r>
        <w:rPr>
          <w:rtl/>
        </w:rPr>
        <w:t xml:space="preserve"> (المواد </w:t>
      </w:r>
      <w:r w:rsidRPr="00442C63">
        <w:rPr>
          <w:rtl/>
        </w:rPr>
        <w:t>2</w:t>
      </w:r>
      <w:r>
        <w:rPr>
          <w:rtl/>
        </w:rPr>
        <w:t xml:space="preserve"> </w:t>
      </w:r>
      <w:proofErr w:type="spellStart"/>
      <w:r>
        <w:rPr>
          <w:rtl/>
        </w:rPr>
        <w:t>و</w:t>
      </w:r>
      <w:r w:rsidRPr="00442C63">
        <w:rPr>
          <w:rtl/>
        </w:rPr>
        <w:t>12</w:t>
      </w:r>
      <w:proofErr w:type="spellEnd"/>
      <w:r>
        <w:rPr>
          <w:rFonts w:ascii="Traditional Arabic"/>
          <w:szCs w:val="20"/>
          <w:rtl/>
        </w:rPr>
        <w:t>-</w:t>
      </w:r>
      <w:r w:rsidRPr="00442C63">
        <w:rPr>
          <w:rtl/>
        </w:rPr>
        <w:t>14</w:t>
      </w:r>
      <w:r>
        <w:rPr>
          <w:rtl/>
        </w:rPr>
        <w:t xml:space="preserve"> </w:t>
      </w:r>
      <w:proofErr w:type="spellStart"/>
      <w:r>
        <w:rPr>
          <w:rtl/>
        </w:rPr>
        <w:t>و</w:t>
      </w:r>
      <w:r w:rsidRPr="00442C63">
        <w:rPr>
          <w:rtl/>
        </w:rPr>
        <w:t>1</w:t>
      </w:r>
      <w:r w:rsidR="00DE6894" w:rsidRPr="00DE6894">
        <w:rPr>
          <w:color w:val="000000"/>
          <w:rtl/>
        </w:rPr>
        <w:t>6</w:t>
      </w:r>
      <w:proofErr w:type="spellEnd"/>
      <w:r w:rsidR="00DE6894" w:rsidRPr="00DE6894">
        <w:rPr>
          <w:rFonts w:ascii="Traditional Arabic"/>
          <w:color w:val="000000"/>
          <w:szCs w:val="20"/>
          <w:rtl/>
        </w:rPr>
        <w:t>)</w:t>
      </w:r>
      <w:r w:rsidR="00DE6894" w:rsidRPr="00DE6894">
        <w:rPr>
          <w:color w:val="000000"/>
          <w:rtl/>
        </w:rPr>
        <w:t>.</w:t>
      </w:r>
    </w:p>
    <w:p w14:paraId="5BB1BEB6" w14:textId="6FBA7CBA" w:rsidR="00442C63" w:rsidRPr="000C488D" w:rsidRDefault="00442C63" w:rsidP="00A10F8A">
      <w:pPr>
        <w:pStyle w:val="SingleTxtGA"/>
        <w:rPr>
          <w:b/>
          <w:bCs/>
          <w:color w:val="000000" w:themeColor="text1"/>
          <w:szCs w:val="20"/>
          <w:lang w:val="ar-SA" w:eastAsia="zh-TW" w:bidi="en-GB"/>
        </w:rPr>
      </w:pPr>
      <w:r w:rsidRPr="00442C63">
        <w:rPr>
          <w:rtl/>
        </w:rPr>
        <w:t>33</w:t>
      </w:r>
      <w:r>
        <w:rPr>
          <w:rFonts w:ascii="Traditional Arabic"/>
          <w:szCs w:val="20"/>
          <w:rtl/>
        </w:rPr>
        <w:t>-</w:t>
      </w:r>
      <w:r>
        <w:rPr>
          <w:rtl/>
        </w:rPr>
        <w:tab/>
      </w:r>
      <w:r w:rsidRPr="000C488D">
        <w:rPr>
          <w:b/>
          <w:bCs/>
          <w:rtl/>
        </w:rPr>
        <w:t>يجب على الدولة الطرف القيام بما يلي:</w:t>
      </w:r>
    </w:p>
    <w:p w14:paraId="4CEE4101" w14:textId="4929209F" w:rsidR="00442C63" w:rsidRPr="000C488D" w:rsidRDefault="00A10F8A" w:rsidP="00A10F8A">
      <w:pPr>
        <w:pStyle w:val="SingleTxtGA"/>
        <w:rPr>
          <w:b/>
          <w:bCs/>
          <w:color w:val="000000" w:themeColor="text1"/>
          <w:szCs w:val="20"/>
          <w:lang w:val="ar-SA" w:eastAsia="zh-TW" w:bidi="en-GB"/>
        </w:rPr>
      </w:pPr>
      <w:r w:rsidRPr="000C488D">
        <w:rPr>
          <w:b/>
          <w:bCs/>
          <w:rtl/>
        </w:rPr>
        <w:tab/>
      </w:r>
      <w:r w:rsidR="00442C63" w:rsidRPr="000C488D">
        <w:rPr>
          <w:b/>
          <w:bCs/>
          <w:rtl/>
        </w:rPr>
        <w:t>(أ)</w:t>
      </w:r>
      <w:r w:rsidR="00442C63" w:rsidRPr="000C488D">
        <w:rPr>
          <w:b/>
          <w:bCs/>
          <w:rtl/>
        </w:rPr>
        <w:tab/>
        <w:t>استعراض التشريعات المحلية المتعلقة باستخدام القوة والأسلحة ووضع مبادئ توجيهية واضحة، عند الاقتضاء، تدمج فيها مبادئ الشرعية والضرورة والتناسب والحيطة، ومواءمة القوانين والأنظمة التي تحكم استخدام القوة مع المعايير الدولية، ولا سيما المبادئ الأساسية بشأن استخدام القوة والأسلحة النارية من جانب الموظفين المكلفين بإنفاذ القوانين والتوجيهات المتعلقة بحقوق الإنسان الصادرة عن الأمم المتحدة بشأن استخدام الأسلحة الأقل فتكاً في سياق إنفاذ القانون، وتوفير التدريب لجميع قوات الأمن على المبادئ؛</w:t>
      </w:r>
    </w:p>
    <w:p w14:paraId="6B40AAFD" w14:textId="49D542F6" w:rsidR="00442C63" w:rsidRPr="000C488D" w:rsidRDefault="00A10F8A" w:rsidP="00A10F8A">
      <w:pPr>
        <w:pStyle w:val="SingleTxtGA"/>
        <w:rPr>
          <w:rFonts w:ascii="Calibri" w:hAnsi="Calibri" w:cs="Calibri"/>
          <w:b/>
          <w:bCs/>
          <w:color w:val="000000"/>
          <w:szCs w:val="20"/>
          <w:lang w:val="ar-SA" w:eastAsia="zh-TW" w:bidi="en-GB"/>
        </w:rPr>
      </w:pPr>
      <w:r w:rsidRPr="000C488D">
        <w:rPr>
          <w:b/>
          <w:bCs/>
          <w:rtl/>
        </w:rPr>
        <w:tab/>
      </w:r>
      <w:r w:rsidR="00442C63" w:rsidRPr="000C488D">
        <w:rPr>
          <w:b/>
          <w:bCs/>
          <w:rtl/>
        </w:rPr>
        <w:t>(ب)</w:t>
      </w:r>
      <w:r w:rsidR="00442C63" w:rsidRPr="000C488D">
        <w:rPr>
          <w:b/>
          <w:bCs/>
          <w:rtl/>
        </w:rPr>
        <w:tab/>
        <w:t>ضمان حفاظ السلطات المدنية على القانون والنظام، إلى أقصى حد ممكن، وضمان إمكانية تحديد هوية جميع الضباط بفعالية في جميع الأوقات أثناء قيامهم بمهامهم للمساعدة في ضمان المساءلة الفردية والحماية من أعمال التعذيب وسوء المعاملة؛</w:t>
      </w:r>
    </w:p>
    <w:p w14:paraId="2AEC8DC5" w14:textId="1576B0FC" w:rsidR="00442C63" w:rsidRPr="000C488D" w:rsidRDefault="00A10F8A" w:rsidP="00A10F8A">
      <w:pPr>
        <w:pStyle w:val="SingleTxtGA"/>
        <w:rPr>
          <w:b/>
          <w:bCs/>
          <w:color w:val="000000" w:themeColor="text1"/>
          <w:szCs w:val="20"/>
          <w:lang w:val="en-US" w:eastAsia="zh-TW" w:bidi="en-GB"/>
        </w:rPr>
      </w:pPr>
      <w:r w:rsidRPr="000C488D">
        <w:rPr>
          <w:b/>
          <w:bCs/>
          <w:rtl/>
        </w:rPr>
        <w:lastRenderedPageBreak/>
        <w:tab/>
      </w:r>
      <w:r w:rsidR="00442C63" w:rsidRPr="000C488D">
        <w:rPr>
          <w:b/>
          <w:bCs/>
          <w:rtl/>
        </w:rPr>
        <w:t>(ج)</w:t>
      </w:r>
      <w:r w:rsidR="00442C63" w:rsidRPr="000C488D">
        <w:rPr>
          <w:b/>
          <w:bCs/>
          <w:rtl/>
        </w:rPr>
        <w:tab/>
        <w:t>ضمان إجراء تحقيقات فورية ونزيهة وفعالة في جميع الادعاءات الموصوفة أعلاه بشأن الجهات الفاعلة الحكومية وغير الحكومية، وضمان مقاضاة الجناة وحصول الضحايا أو أسرهم على تعويض كامل.</w:t>
      </w:r>
    </w:p>
    <w:p w14:paraId="50077ABC" w14:textId="77777777" w:rsidR="00442C63" w:rsidRPr="00E75A98" w:rsidRDefault="00442C63" w:rsidP="00A10F8A">
      <w:pPr>
        <w:pStyle w:val="H23GA"/>
        <w:rPr>
          <w:szCs w:val="20"/>
          <w:lang w:val="ar-SA" w:eastAsia="zh-TW" w:bidi="en-GB"/>
        </w:rPr>
      </w:pPr>
      <w:r>
        <w:rPr>
          <w:rtl/>
        </w:rPr>
        <w:tab/>
      </w:r>
      <w:r>
        <w:rPr>
          <w:rtl/>
        </w:rPr>
        <w:tab/>
        <w:t>سبل الانتصاف، بما في ذلك التعويض وإعادة التأهيل</w:t>
      </w:r>
    </w:p>
    <w:p w14:paraId="359937E9" w14:textId="3E5592C6" w:rsidR="00DE6894" w:rsidRPr="000C488D" w:rsidRDefault="00442C63" w:rsidP="00A10F8A">
      <w:pPr>
        <w:pStyle w:val="SingleTxtGA"/>
        <w:rPr>
          <w:color w:val="000000"/>
          <w:spacing w:val="-2"/>
          <w:szCs w:val="20"/>
          <w:lang w:val="ar-SA" w:eastAsia="zh-TW" w:bidi="en-GB"/>
        </w:rPr>
      </w:pPr>
      <w:r w:rsidRPr="000C488D">
        <w:rPr>
          <w:spacing w:val="-2"/>
          <w:rtl/>
        </w:rPr>
        <w:t>34</w:t>
      </w:r>
      <w:r w:rsidRPr="000C488D">
        <w:rPr>
          <w:rFonts w:ascii="Traditional Arabic"/>
          <w:spacing w:val="-2"/>
          <w:szCs w:val="20"/>
          <w:rtl/>
        </w:rPr>
        <w:t>-</w:t>
      </w:r>
      <w:r w:rsidRPr="000C488D">
        <w:rPr>
          <w:spacing w:val="-2"/>
          <w:rtl/>
        </w:rPr>
        <w:tab/>
        <w:t xml:space="preserve">بالإشارة إلى ملاحظاتها الختامية </w:t>
      </w:r>
      <w:proofErr w:type="gramStart"/>
      <w:r w:rsidRPr="000C488D">
        <w:rPr>
          <w:spacing w:val="-2"/>
          <w:rtl/>
        </w:rPr>
        <w:t>السابقة</w:t>
      </w:r>
      <w:r w:rsidR="00DE6894" w:rsidRPr="000C488D">
        <w:rPr>
          <w:spacing w:val="-2"/>
          <w:sz w:val="18"/>
          <w:vertAlign w:val="superscript"/>
          <w:rtl/>
        </w:rPr>
        <w:t>(</w:t>
      </w:r>
      <w:proofErr w:type="gramEnd"/>
      <w:r w:rsidR="00DE6894" w:rsidRPr="000C488D">
        <w:rPr>
          <w:spacing w:val="-2"/>
          <w:sz w:val="18"/>
          <w:vertAlign w:val="superscript"/>
          <w:rtl/>
        </w:rPr>
        <w:footnoteReference w:id="28"/>
      </w:r>
      <w:r w:rsidR="00DE6894" w:rsidRPr="000C488D">
        <w:rPr>
          <w:spacing w:val="-2"/>
          <w:sz w:val="18"/>
          <w:vertAlign w:val="superscript"/>
          <w:rtl/>
        </w:rPr>
        <w:t>)</w:t>
      </w:r>
      <w:r w:rsidR="00DE6894" w:rsidRPr="000C488D">
        <w:rPr>
          <w:rFonts w:hint="cs"/>
          <w:spacing w:val="-2"/>
          <w:rtl/>
        </w:rPr>
        <w:t>،</w:t>
      </w:r>
      <w:r w:rsidRPr="000C488D">
        <w:rPr>
          <w:spacing w:val="-2"/>
          <w:rtl/>
        </w:rPr>
        <w:t xml:space="preserve"> تأسف اللجنة لعدم تقديم الدولة الطرف معلومات شاملة عن سبل الانتصاف الممنوحة لضحايا التعذيب أو سوء المعاملة بموجب التشريعات القائمة التي تنص على سبل انتصاف مدنية، أو بموجب أي سبيل انتصاف آخر قابل للتطبيق يسمح لهؤلاء الضحايا بالمطالبة بتعويضات مالية وغير مالية، والحصول على إعادة التأهيل الطبي والنفسي والاجتماعي (المادة 1</w:t>
      </w:r>
      <w:r w:rsidR="00DE6894" w:rsidRPr="000C488D">
        <w:rPr>
          <w:color w:val="000000"/>
          <w:spacing w:val="-2"/>
          <w:rtl/>
        </w:rPr>
        <w:t>4</w:t>
      </w:r>
      <w:r w:rsidR="00DE6894" w:rsidRPr="000C488D">
        <w:rPr>
          <w:rFonts w:ascii="Traditional Arabic"/>
          <w:color w:val="000000"/>
          <w:spacing w:val="-2"/>
          <w:szCs w:val="20"/>
          <w:rtl/>
        </w:rPr>
        <w:t>)</w:t>
      </w:r>
      <w:r w:rsidR="00DE6894" w:rsidRPr="000C488D">
        <w:rPr>
          <w:color w:val="000000"/>
          <w:spacing w:val="-2"/>
          <w:rtl/>
        </w:rPr>
        <w:t>.</w:t>
      </w:r>
    </w:p>
    <w:p w14:paraId="060424B5" w14:textId="38C44286" w:rsidR="00DE6894" w:rsidRPr="00DE6894" w:rsidRDefault="00442C63" w:rsidP="00A10F8A">
      <w:pPr>
        <w:pStyle w:val="SingleTxtGA"/>
        <w:rPr>
          <w:b/>
          <w:color w:val="000000"/>
          <w:szCs w:val="20"/>
          <w:lang w:val="ar-SA" w:eastAsia="zh-TW" w:bidi="en-GB"/>
        </w:rPr>
      </w:pPr>
      <w:r w:rsidRPr="00442C63">
        <w:rPr>
          <w:rtl/>
        </w:rPr>
        <w:t>35</w:t>
      </w:r>
      <w:r>
        <w:rPr>
          <w:rFonts w:ascii="Traditional Arabic"/>
          <w:szCs w:val="20"/>
          <w:rtl/>
        </w:rPr>
        <w:t>-</w:t>
      </w:r>
      <w:r>
        <w:rPr>
          <w:rtl/>
        </w:rPr>
        <w:tab/>
      </w:r>
      <w:r w:rsidRPr="000C488D">
        <w:rPr>
          <w:b/>
          <w:bCs/>
          <w:rtl/>
        </w:rPr>
        <w:t>ينبغي أن تكفل الدولة الطرف حصول ضحايا التعذيب وسوء المعاملة على سبل الانتصاف، بما في ذلك وسائل إعادة تأهيلهم على أكمل وجه، على النحو المبين في تعليق اللجنة العام رقم</w:t>
      </w:r>
      <w:r w:rsidR="000C488D">
        <w:rPr>
          <w:rFonts w:hint="cs"/>
          <w:b/>
          <w:bCs/>
          <w:rtl/>
        </w:rPr>
        <w:t> </w:t>
      </w:r>
      <w:r w:rsidRPr="000C488D">
        <w:rPr>
          <w:b/>
          <w:bCs/>
          <w:rtl/>
        </w:rPr>
        <w:t>3</w:t>
      </w:r>
      <w:r w:rsidRPr="000C488D">
        <w:rPr>
          <w:rFonts w:ascii="Traditional Arabic"/>
          <w:b/>
          <w:bCs/>
          <w:szCs w:val="20"/>
          <w:rtl/>
        </w:rPr>
        <w:t>(</w:t>
      </w:r>
      <w:r w:rsidRPr="000C488D">
        <w:rPr>
          <w:b/>
          <w:bCs/>
          <w:rtl/>
        </w:rPr>
        <w:t>201</w:t>
      </w:r>
      <w:r w:rsidR="00DE6894" w:rsidRPr="000C488D">
        <w:rPr>
          <w:b/>
          <w:bCs/>
          <w:color w:val="000000"/>
          <w:rtl/>
        </w:rPr>
        <w:t>2</w:t>
      </w:r>
      <w:r w:rsidR="00DE6894" w:rsidRPr="000C488D">
        <w:rPr>
          <w:rFonts w:ascii="Traditional Arabic"/>
          <w:b/>
          <w:bCs/>
          <w:color w:val="000000"/>
          <w:szCs w:val="20"/>
          <w:rtl/>
        </w:rPr>
        <w:t>)</w:t>
      </w:r>
      <w:r w:rsidR="00DE6894" w:rsidRPr="000C488D">
        <w:rPr>
          <w:b/>
          <w:bCs/>
          <w:color w:val="000000"/>
          <w:rtl/>
        </w:rPr>
        <w:t xml:space="preserve"> </w:t>
      </w:r>
      <w:r w:rsidRPr="000C488D">
        <w:rPr>
          <w:b/>
          <w:bCs/>
          <w:rtl/>
        </w:rPr>
        <w:t>بشأن تنفيذ المادة 1</w:t>
      </w:r>
      <w:r w:rsidR="00DE6894" w:rsidRPr="000C488D">
        <w:rPr>
          <w:b/>
          <w:bCs/>
          <w:color w:val="000000"/>
          <w:rtl/>
        </w:rPr>
        <w:t>4.</w:t>
      </w:r>
    </w:p>
    <w:p w14:paraId="39106556" w14:textId="6800E4FB" w:rsidR="00442C63" w:rsidRPr="00E75A98" w:rsidRDefault="00442C63" w:rsidP="00A10F8A">
      <w:pPr>
        <w:pStyle w:val="H23GA"/>
        <w:rPr>
          <w:szCs w:val="20"/>
          <w:lang w:val="ar-SA" w:eastAsia="zh-TW" w:bidi="en-GB"/>
        </w:rPr>
      </w:pPr>
      <w:r>
        <w:rPr>
          <w:rtl/>
        </w:rPr>
        <w:tab/>
      </w:r>
      <w:r>
        <w:rPr>
          <w:rtl/>
        </w:rPr>
        <w:tab/>
        <w:t>مبدأ عدم الإعادة القسرية</w:t>
      </w:r>
    </w:p>
    <w:p w14:paraId="42900AB3" w14:textId="6C7B5A5C" w:rsidR="00DE6894" w:rsidRPr="00DE6894" w:rsidRDefault="00442C63" w:rsidP="00A10F8A">
      <w:pPr>
        <w:pStyle w:val="SingleTxtGA"/>
        <w:rPr>
          <w:color w:val="000000"/>
          <w:szCs w:val="20"/>
          <w:lang w:val="ar-SA" w:eastAsia="zh-TW" w:bidi="en-GB"/>
        </w:rPr>
      </w:pPr>
      <w:r w:rsidRPr="00442C63">
        <w:rPr>
          <w:rtl/>
        </w:rPr>
        <w:t>36</w:t>
      </w:r>
      <w:r>
        <w:rPr>
          <w:rFonts w:ascii="Traditional Arabic"/>
          <w:szCs w:val="20"/>
          <w:rtl/>
        </w:rPr>
        <w:t>-</w:t>
      </w:r>
      <w:r>
        <w:rPr>
          <w:rtl/>
        </w:rPr>
        <w:tab/>
        <w:t>تلاحظ اللجنة أن</w:t>
      </w:r>
      <w:r w:rsidR="00C645AE">
        <w:rPr>
          <w:rtl/>
        </w:rPr>
        <w:t xml:space="preserve"> </w:t>
      </w:r>
      <w:r>
        <w:rPr>
          <w:rtl/>
        </w:rPr>
        <w:t>مجلس النواب ما</w:t>
      </w:r>
      <w:r w:rsidR="00310DA0">
        <w:rPr>
          <w:rFonts w:hint="cs"/>
          <w:rtl/>
        </w:rPr>
        <w:t xml:space="preserve"> </w:t>
      </w:r>
      <w:r>
        <w:rPr>
          <w:rtl/>
        </w:rPr>
        <w:t xml:space="preserve">زال لم يوافق بعد على مشروع القانون المتعلق باللاجئين. وتأسف لعدم تقديم الوفد توضيحات شاملة بشأن ضمان الامتثال لمبدأ عدم الإعادة القسرية الوارد في مشروع قانون مناهضة التعذيب. وتلاحظ اللجنة بقلق أن الدولة الطرف لم تقدم أي معلومات شاملة عن طلبات اللجوء التي تلقتها واستجابت لها أو عن حالات الإعادة أو التسليم أو الطرد خلال الفترة المشمولة بالتقرير وعن الضمانات وعملية تقييم المخاطر الممنوحة لهؤلاء الأفراد. وعلاوة على ذلك، يساور اللجنة القلق إزاء المعلومات التي تفيد بأن عدة أفراد أعيدوا إلى بلدان مجاورة، بما يتعارض مع مبدأ عدم الإعادة القسرية، دون أن تكفل لهم الضمانات الإجرائية كما يجب (المادة </w:t>
      </w:r>
      <w:r w:rsidR="00DE6894" w:rsidRPr="00DE6894">
        <w:rPr>
          <w:color w:val="000000"/>
          <w:rtl/>
        </w:rPr>
        <w:t>3</w:t>
      </w:r>
      <w:r w:rsidR="00DE6894" w:rsidRPr="00DE6894">
        <w:rPr>
          <w:rFonts w:ascii="Traditional Arabic"/>
          <w:color w:val="000000"/>
          <w:szCs w:val="20"/>
          <w:rtl/>
        </w:rPr>
        <w:t>)</w:t>
      </w:r>
      <w:r w:rsidR="00DE6894" w:rsidRPr="00DE6894">
        <w:rPr>
          <w:color w:val="000000"/>
          <w:rtl/>
        </w:rPr>
        <w:t>.</w:t>
      </w:r>
    </w:p>
    <w:p w14:paraId="08D0EE57" w14:textId="53467EFF" w:rsidR="00442C63" w:rsidRPr="000C488D" w:rsidRDefault="00442C63" w:rsidP="00A10F8A">
      <w:pPr>
        <w:pStyle w:val="SingleTxtGA"/>
        <w:rPr>
          <w:rFonts w:ascii="Times New Roman Bold" w:hAnsi="Times New Roman Bold" w:hint="eastAsia"/>
          <w:spacing w:val="-2"/>
          <w:szCs w:val="20"/>
          <w:lang w:val="ar-SA" w:eastAsia="zh-TW" w:bidi="en-GB"/>
        </w:rPr>
      </w:pPr>
      <w:r w:rsidRPr="00442C63">
        <w:rPr>
          <w:rtl/>
        </w:rPr>
        <w:t>37</w:t>
      </w:r>
      <w:r>
        <w:rPr>
          <w:rFonts w:ascii="Traditional Arabic"/>
          <w:szCs w:val="20"/>
          <w:rtl/>
        </w:rPr>
        <w:t>-</w:t>
      </w:r>
      <w:r>
        <w:rPr>
          <w:rtl/>
        </w:rPr>
        <w:tab/>
      </w:r>
      <w:r w:rsidRPr="000C488D">
        <w:rPr>
          <w:b/>
          <w:bCs/>
          <w:rtl/>
        </w:rPr>
        <w:t>تشجع اللجنة الدولة الطرف على صياغة وسن مشروع قانون مناهضة التعذيب تمشيا</w:t>
      </w:r>
      <w:r w:rsidR="00310DA0">
        <w:rPr>
          <w:rFonts w:hint="cs"/>
          <w:b/>
          <w:bCs/>
          <w:rtl/>
        </w:rPr>
        <w:t>ً</w:t>
      </w:r>
      <w:r w:rsidRPr="000C488D">
        <w:rPr>
          <w:b/>
          <w:bCs/>
          <w:rtl/>
        </w:rPr>
        <w:t xml:space="preserve"> مع الاتفاقية. وينبغي للدولة الطرف ألا تقوم، تحت أي ظرف من الظروف، بطرد أي شخص إلى دولة أخرى أو إعادته أو تسليمه إذا كانت هناك أسباب جوهرية تدعو إلى الاعتقاد بأنه سيتعرض لخطر التعذيب. وينبغي للدولة الطرف أن تنظر بدقة في الأسس الموضوعية لكل حالة على حدة وأن تقدم ضمانات </w:t>
      </w:r>
      <w:r w:rsidRPr="000C488D">
        <w:rPr>
          <w:rFonts w:ascii="Times New Roman Bold" w:hAnsi="Times New Roman Bold"/>
          <w:b/>
          <w:bCs/>
          <w:spacing w:val="-2"/>
          <w:rtl/>
        </w:rPr>
        <w:t>إجرائية. وينبغي أن تنظر في التصديق على الاتفاقية الخاصة بوضع اللاجئين والبروتوكول الملحق بها.</w:t>
      </w:r>
    </w:p>
    <w:p w14:paraId="52542D3C" w14:textId="77777777" w:rsidR="00442C63" w:rsidRPr="00F72D93" w:rsidRDefault="00442C63" w:rsidP="00A10F8A">
      <w:pPr>
        <w:pStyle w:val="H23GA"/>
        <w:rPr>
          <w:szCs w:val="20"/>
          <w:rtl/>
          <w:lang w:val="fr-CH" w:eastAsia="zh-TW" w:bidi="en-GB"/>
        </w:rPr>
      </w:pPr>
      <w:r>
        <w:rPr>
          <w:rtl/>
        </w:rPr>
        <w:tab/>
      </w:r>
      <w:r>
        <w:rPr>
          <w:rtl/>
        </w:rPr>
        <w:tab/>
        <w:t>العنف الجنساني</w:t>
      </w:r>
    </w:p>
    <w:p w14:paraId="5B020F09" w14:textId="0A5FF633" w:rsidR="00DE6894" w:rsidRPr="00DE6894" w:rsidRDefault="00442C63" w:rsidP="00A10F8A">
      <w:pPr>
        <w:pStyle w:val="SingleTxtGA"/>
        <w:rPr>
          <w:color w:val="000000"/>
          <w:szCs w:val="20"/>
          <w:lang w:val="ar-SA" w:eastAsia="zh-TW" w:bidi="en-GB"/>
        </w:rPr>
      </w:pPr>
      <w:r w:rsidRPr="00442C63">
        <w:rPr>
          <w:rtl/>
        </w:rPr>
        <w:t>38</w:t>
      </w:r>
      <w:r>
        <w:rPr>
          <w:rFonts w:ascii="Traditional Arabic"/>
          <w:szCs w:val="20"/>
          <w:rtl/>
        </w:rPr>
        <w:t>-</w:t>
      </w:r>
      <w:r>
        <w:rPr>
          <w:rtl/>
        </w:rPr>
        <w:tab/>
        <w:t xml:space="preserve">تحيط اللجنة علما بالمعلومات التي قدمتها الدولة الطرف، بما في ذلك معلومات عن مشروع القانون المتعلق بالعنف المنزلي المعروض على مجلس النواب، والذي ينبغي أن يلغي بعض بنود التخفيف التي تنطبق بموجب القانون الحالي على فعل الاغتصاب أو العنف الذي يرتكبه الزوج ضد زوجته، وعن استعراض الاستراتيجية الوطنية لمكافحة العنف ضد المرأة. بيد أنها تسلم بالشواغل التي أثارتها اللجنة المعنية بحقوق </w:t>
      </w:r>
      <w:proofErr w:type="gramStart"/>
      <w:r>
        <w:rPr>
          <w:rtl/>
        </w:rPr>
        <w:t>الإنسان</w:t>
      </w:r>
      <w:r w:rsidR="00DE6894" w:rsidRPr="00DE6894">
        <w:rPr>
          <w:sz w:val="18"/>
          <w:vertAlign w:val="superscript"/>
          <w:rtl/>
        </w:rPr>
        <w:t>(</w:t>
      </w:r>
      <w:proofErr w:type="gramEnd"/>
      <w:r w:rsidR="00DE6894" w:rsidRPr="00E75A98">
        <w:rPr>
          <w:sz w:val="18"/>
          <w:vertAlign w:val="superscript"/>
          <w:rtl/>
        </w:rPr>
        <w:footnoteReference w:id="29"/>
      </w:r>
      <w:r w:rsidR="00DE6894">
        <w:rPr>
          <w:sz w:val="18"/>
          <w:vertAlign w:val="superscript"/>
          <w:rtl/>
        </w:rPr>
        <w:t>)</w:t>
      </w:r>
      <w:r>
        <w:rPr>
          <w:rtl/>
        </w:rPr>
        <w:t xml:space="preserve"> ومؤداها أنه من الضروري اتخاذ خطوات إضافية لإلغاء أو تعديل جميع الأحكام التمييزية ضد المرأة أو التي تتغاضى عن العنف الممارس ضدها، بما في ذلك أحكام التخفيف وإسقاط التهمة الواردة في القانون الجنائي بشأن الاغتصاب وما يسمى بجرائم "الشرف"، على النحو الذي </w:t>
      </w:r>
      <w:r>
        <w:rPr>
          <w:rtl/>
        </w:rPr>
        <w:lastRenderedPageBreak/>
        <w:t>نصت عليه اللجنة في توصياتها السابقة</w:t>
      </w:r>
      <w:r w:rsidR="00DE6894" w:rsidRPr="00DE6894">
        <w:rPr>
          <w:sz w:val="18"/>
          <w:vertAlign w:val="superscript"/>
          <w:rtl/>
        </w:rPr>
        <w:t>(</w:t>
      </w:r>
      <w:r w:rsidR="00DE6894" w:rsidRPr="00E75A98">
        <w:rPr>
          <w:sz w:val="18"/>
          <w:vertAlign w:val="superscript"/>
          <w:rtl/>
        </w:rPr>
        <w:footnoteReference w:id="30"/>
      </w:r>
      <w:r w:rsidR="00DE6894">
        <w:rPr>
          <w:sz w:val="18"/>
          <w:vertAlign w:val="superscript"/>
          <w:rtl/>
        </w:rPr>
        <w:t>)</w:t>
      </w:r>
      <w:r w:rsidR="00DE6894">
        <w:rPr>
          <w:rFonts w:hint="cs"/>
          <w:rtl/>
        </w:rPr>
        <w:t>.</w:t>
      </w:r>
      <w:r>
        <w:rPr>
          <w:rtl/>
        </w:rPr>
        <w:t xml:space="preserve"> ويساور اللجنة القلق كذلك إزاء تدني عدد القضايا المعروضة على المحاكم مقابل ارتفاع عدد الشكاوى المبلغ عنها بشأن العنف ضد المرأة. وبالإضافة إلى ذلك، يساور اللجنة القلق إزاء استمرار ممارسة تشويه الأعضاء التناسلية الأنثوية في بعض أنحاء البلد، وتلاحظ باهتمام قيام حكومة إقليم كردستان بوضع خطة لإنهاء هذه الممارسة (المواد </w:t>
      </w:r>
      <w:r w:rsidRPr="00442C63">
        <w:rPr>
          <w:rtl/>
        </w:rPr>
        <w:t>2</w:t>
      </w:r>
      <w:r>
        <w:rPr>
          <w:rtl/>
        </w:rPr>
        <w:t xml:space="preserve"> </w:t>
      </w:r>
      <w:proofErr w:type="spellStart"/>
      <w:r>
        <w:rPr>
          <w:rtl/>
        </w:rPr>
        <w:t>و</w:t>
      </w:r>
      <w:r w:rsidRPr="00442C63">
        <w:rPr>
          <w:rtl/>
        </w:rPr>
        <w:t>12</w:t>
      </w:r>
      <w:proofErr w:type="spellEnd"/>
      <w:r>
        <w:rPr>
          <w:rFonts w:ascii="Traditional Arabic"/>
          <w:szCs w:val="20"/>
          <w:rtl/>
        </w:rPr>
        <w:t>-</w:t>
      </w:r>
      <w:r w:rsidRPr="00442C63">
        <w:rPr>
          <w:rtl/>
        </w:rPr>
        <w:t>14</w:t>
      </w:r>
      <w:r>
        <w:rPr>
          <w:rtl/>
        </w:rPr>
        <w:t xml:space="preserve"> </w:t>
      </w:r>
      <w:proofErr w:type="spellStart"/>
      <w:r>
        <w:rPr>
          <w:rtl/>
        </w:rPr>
        <w:t>و</w:t>
      </w:r>
      <w:r w:rsidRPr="00442C63">
        <w:rPr>
          <w:rtl/>
        </w:rPr>
        <w:t>1</w:t>
      </w:r>
      <w:r w:rsidR="00DE6894" w:rsidRPr="00DE6894">
        <w:rPr>
          <w:color w:val="000000"/>
          <w:rtl/>
        </w:rPr>
        <w:t>6</w:t>
      </w:r>
      <w:proofErr w:type="spellEnd"/>
      <w:r w:rsidR="00DE6894" w:rsidRPr="00DE6894">
        <w:rPr>
          <w:rFonts w:ascii="Traditional Arabic"/>
          <w:color w:val="000000"/>
          <w:szCs w:val="20"/>
          <w:rtl/>
        </w:rPr>
        <w:t>)</w:t>
      </w:r>
      <w:r w:rsidR="00DE6894" w:rsidRPr="00DE6894">
        <w:rPr>
          <w:color w:val="000000"/>
          <w:rtl/>
        </w:rPr>
        <w:t>.</w:t>
      </w:r>
    </w:p>
    <w:p w14:paraId="0FDDE5E5" w14:textId="7907A79B" w:rsidR="00442C63" w:rsidRPr="000C488D" w:rsidRDefault="00442C63" w:rsidP="00A10F8A">
      <w:pPr>
        <w:pStyle w:val="SingleTxtGA"/>
        <w:rPr>
          <w:b/>
          <w:bCs/>
          <w:szCs w:val="20"/>
          <w:lang w:val="ar-SA" w:eastAsia="zh-TW" w:bidi="en-GB"/>
        </w:rPr>
      </w:pPr>
      <w:r w:rsidRPr="00442C63">
        <w:rPr>
          <w:rtl/>
        </w:rPr>
        <w:t>39</w:t>
      </w:r>
      <w:r>
        <w:rPr>
          <w:rFonts w:ascii="Traditional Arabic"/>
          <w:szCs w:val="20"/>
          <w:rtl/>
        </w:rPr>
        <w:t>-</w:t>
      </w:r>
      <w:r>
        <w:rPr>
          <w:rtl/>
        </w:rPr>
        <w:tab/>
      </w:r>
      <w:r w:rsidRPr="000C488D">
        <w:rPr>
          <w:b/>
          <w:bCs/>
          <w:rtl/>
        </w:rPr>
        <w:t>تحث اللجنة الدولة الطرف على اعتماد مشروع القانون المعلّق بشأن العنف المنزلي والاستراتيجية الوطنية وإلغاء أو تعديل الأحكام التشريعية المتعلقة بالقانون الجنائي تمشيا مع الاتفاقية. وينبغي أن تكثف جهودها للقضاء على ممارسة تشويه الأعضاء التناسلية الأنثوية. وينبغي أن تضمن الدولة الطرف التحقيق الشامل في جميع حالات العنف الجنساني، وبخاصة تلك التي تستبع المسؤولية الدولية للدولة الطرف بموجب الاتفاقية، وكفالة محاكمة جميع الجناة المزعومين وإنزال العقوبات المناسبة بهم إن ثبتت إدانتهم، و</w:t>
      </w:r>
      <w:r w:rsidRPr="000C488D">
        <w:rPr>
          <w:b/>
          <w:bCs/>
          <w:rtl/>
          <w:lang w:val="fr-CH"/>
        </w:rPr>
        <w:t xml:space="preserve">توفير </w:t>
      </w:r>
      <w:r w:rsidRPr="000C488D">
        <w:rPr>
          <w:b/>
          <w:bCs/>
          <w:rtl/>
        </w:rPr>
        <w:t>الجبر الكامل للضرر للضحايا أو أفراد أسرهم، بما في ذلك منحهم تعويضاً كافياً، وإتاحة وصولهم إلى المعونة القضائية، وإلى مرافق الإيواء الآمنة والرعاية الطبية والدعم النفسي اللازمين.</w:t>
      </w:r>
    </w:p>
    <w:p w14:paraId="4EC93332" w14:textId="77777777" w:rsidR="00442C63" w:rsidRPr="00E75A98" w:rsidRDefault="00442C63" w:rsidP="00A10F8A">
      <w:pPr>
        <w:pStyle w:val="H23GA"/>
        <w:rPr>
          <w:szCs w:val="20"/>
          <w:lang w:val="ar-SA" w:eastAsia="zh-TW" w:bidi="en-GB"/>
        </w:rPr>
      </w:pPr>
      <w:r>
        <w:rPr>
          <w:rtl/>
        </w:rPr>
        <w:tab/>
      </w:r>
      <w:r>
        <w:rPr>
          <w:rtl/>
        </w:rPr>
        <w:tab/>
        <w:t>المفوضية العليا المستقلة لحقوق الإنسان</w:t>
      </w:r>
    </w:p>
    <w:p w14:paraId="7BF5B2CE" w14:textId="4380C5D7" w:rsidR="00DE6894" w:rsidRPr="00DE6894" w:rsidRDefault="00442C63" w:rsidP="00A10F8A">
      <w:pPr>
        <w:pStyle w:val="SingleTxtGA"/>
        <w:rPr>
          <w:color w:val="000000"/>
          <w:szCs w:val="20"/>
          <w:lang w:val="ar-SA" w:eastAsia="zh-TW" w:bidi="en-GB"/>
        </w:rPr>
      </w:pPr>
      <w:r w:rsidRPr="00442C63">
        <w:rPr>
          <w:rtl/>
        </w:rPr>
        <w:t>40</w:t>
      </w:r>
      <w:r>
        <w:rPr>
          <w:rFonts w:ascii="Traditional Arabic"/>
          <w:szCs w:val="20"/>
          <w:rtl/>
        </w:rPr>
        <w:t>-</w:t>
      </w:r>
      <w:r>
        <w:rPr>
          <w:rtl/>
        </w:rPr>
        <w:tab/>
        <w:t xml:space="preserve">يساور اللجنة القلق إزاء التقارير التي تشير إلى التأخر في اختيار أعضاء جدد في المفوضية العليا المستقلة لحقوق الإنسان وتلك التي تشير إلى غياب الاستقلالية تجاه الأحزاب السياسية أثناء عملية </w:t>
      </w:r>
      <w:proofErr w:type="gramStart"/>
      <w:r>
        <w:rPr>
          <w:rtl/>
        </w:rPr>
        <w:t>الترشيح</w:t>
      </w:r>
      <w:r w:rsidR="00DE6894" w:rsidRPr="00DE6894">
        <w:rPr>
          <w:sz w:val="18"/>
          <w:vertAlign w:val="superscript"/>
          <w:rtl/>
        </w:rPr>
        <w:t>(</w:t>
      </w:r>
      <w:proofErr w:type="gramEnd"/>
      <w:r w:rsidR="00DE6894" w:rsidRPr="00E75A98">
        <w:rPr>
          <w:sz w:val="18"/>
          <w:vertAlign w:val="superscript"/>
          <w:rtl/>
        </w:rPr>
        <w:footnoteReference w:id="31"/>
      </w:r>
      <w:r w:rsidR="00DE6894">
        <w:rPr>
          <w:sz w:val="18"/>
          <w:vertAlign w:val="superscript"/>
          <w:rtl/>
        </w:rPr>
        <w:t>)</w:t>
      </w:r>
      <w:r w:rsidR="00DE6894">
        <w:rPr>
          <w:rFonts w:hint="cs"/>
          <w:rtl/>
        </w:rPr>
        <w:t>.</w:t>
      </w:r>
      <w:r>
        <w:rPr>
          <w:rtl/>
        </w:rPr>
        <w:t xml:space="preserve"> وتأسف اللجنة لأن الدولة الطرف لم تقدم معلومات عن تحقيقات المتابعة والملاحقات القضائية ونتائج القضايا التي أحالتها اللجنة إلى دوائر الادعاء العام فيما يتعلق بادعاءات التعذيب. ومما يثير القلق أيضا</w:t>
      </w:r>
      <w:r w:rsidR="000C488D">
        <w:rPr>
          <w:rFonts w:hint="cs"/>
          <w:rtl/>
        </w:rPr>
        <w:t>ً</w:t>
      </w:r>
      <w:r>
        <w:rPr>
          <w:rtl/>
        </w:rPr>
        <w:t xml:space="preserve"> عدم توفير الحماية والحصانة لأعضاء اللجنة من الأعمال الانتقامية أو غيرها من تدابير الترهيب في سياق أداء واجباتهم الرسمية، على نحو ما لوحظ خلال المحاكمة الأخيرة، التي توقفت الآن، حسبما أوضح الوفد أثناء الحوار، للمفوض السابق علي أكرم البياتي بسبب التعليقات التي أدلى بها أثناء وجوده في منصبه بشأن التعذيب في العراق (المادة </w:t>
      </w:r>
      <w:r w:rsidR="00DE6894" w:rsidRPr="00DE6894">
        <w:rPr>
          <w:color w:val="000000"/>
          <w:rtl/>
        </w:rPr>
        <w:t>2</w:t>
      </w:r>
      <w:r w:rsidR="00DE6894" w:rsidRPr="00DE6894">
        <w:rPr>
          <w:rFonts w:ascii="Traditional Arabic"/>
          <w:color w:val="000000"/>
          <w:szCs w:val="20"/>
          <w:rtl/>
        </w:rPr>
        <w:t>)</w:t>
      </w:r>
      <w:r w:rsidR="00DE6894" w:rsidRPr="00DE6894">
        <w:rPr>
          <w:color w:val="000000"/>
          <w:rtl/>
        </w:rPr>
        <w:t>.</w:t>
      </w:r>
    </w:p>
    <w:p w14:paraId="6C62C10A" w14:textId="1BD979FB" w:rsidR="00442C63" w:rsidRPr="000C488D" w:rsidRDefault="00442C63" w:rsidP="00A10F8A">
      <w:pPr>
        <w:pStyle w:val="SingleTxtGA"/>
        <w:rPr>
          <w:b/>
          <w:bCs/>
          <w:szCs w:val="20"/>
          <w:lang w:val="ar-SA" w:eastAsia="zh-TW" w:bidi="en-GB"/>
        </w:rPr>
      </w:pPr>
      <w:r w:rsidRPr="00442C63">
        <w:rPr>
          <w:rtl/>
        </w:rPr>
        <w:t>41</w:t>
      </w:r>
      <w:r>
        <w:rPr>
          <w:rFonts w:ascii="Traditional Arabic"/>
          <w:szCs w:val="20"/>
          <w:rtl/>
        </w:rPr>
        <w:t>-</w:t>
      </w:r>
      <w:r>
        <w:rPr>
          <w:rtl/>
        </w:rPr>
        <w:tab/>
      </w:r>
      <w:r w:rsidRPr="000C488D">
        <w:rPr>
          <w:b/>
          <w:bCs/>
          <w:rtl/>
        </w:rPr>
        <w:t>يجب على الدولة الطرف القيام بما يلي:</w:t>
      </w:r>
    </w:p>
    <w:p w14:paraId="5A55AF3E" w14:textId="00315A95" w:rsidR="00DE6894" w:rsidRPr="000C488D" w:rsidRDefault="00A10F8A" w:rsidP="00A10F8A">
      <w:pPr>
        <w:pStyle w:val="SingleTxtGA"/>
        <w:rPr>
          <w:b/>
          <w:bCs/>
          <w:color w:val="000000"/>
          <w:szCs w:val="20"/>
          <w:lang w:val="ar-SA" w:eastAsia="zh-TW" w:bidi="en-GB"/>
        </w:rPr>
      </w:pPr>
      <w:r w:rsidRPr="000C488D">
        <w:rPr>
          <w:b/>
          <w:bCs/>
          <w:rtl/>
        </w:rPr>
        <w:tab/>
      </w:r>
      <w:r w:rsidR="00442C63" w:rsidRPr="000C488D">
        <w:rPr>
          <w:b/>
          <w:bCs/>
          <w:rtl/>
        </w:rPr>
        <w:t>(أ)</w:t>
      </w:r>
      <w:r w:rsidR="00442C63" w:rsidRPr="000C488D">
        <w:rPr>
          <w:b/>
          <w:bCs/>
          <w:rtl/>
        </w:rPr>
        <w:tab/>
        <w:t>زيادة تعزيز المفوضية العليا المستقلة لحقوق الإنسان لكي تتمكن من الاضطلاع بولايتها بشكل فعال، وضمان اتساق عملية تعيين أعضاء اللجنة اتساقا</w:t>
      </w:r>
      <w:r w:rsidR="00310DA0">
        <w:rPr>
          <w:rFonts w:hint="cs"/>
          <w:b/>
          <w:bCs/>
          <w:rtl/>
        </w:rPr>
        <w:t>ً</w:t>
      </w:r>
      <w:r w:rsidR="00442C63" w:rsidRPr="000C488D">
        <w:rPr>
          <w:b/>
          <w:bCs/>
          <w:rtl/>
        </w:rPr>
        <w:t xml:space="preserve"> تاما</w:t>
      </w:r>
      <w:r w:rsidR="00310DA0">
        <w:rPr>
          <w:rFonts w:hint="cs"/>
          <w:b/>
          <w:bCs/>
          <w:rtl/>
        </w:rPr>
        <w:t>ً</w:t>
      </w:r>
      <w:r w:rsidR="00442C63" w:rsidRPr="000C488D">
        <w:rPr>
          <w:b/>
          <w:bCs/>
          <w:rtl/>
        </w:rPr>
        <w:t xml:space="preserve"> مع المبادئ المتعلقة بمركز المؤسسات الوطنية لتعزيز وحماية حقوق الإنسان (مبادئ باريس</w:t>
      </w:r>
      <w:r w:rsidR="00DE6894" w:rsidRPr="000C488D">
        <w:rPr>
          <w:b/>
          <w:bCs/>
          <w:color w:val="000000"/>
          <w:rtl/>
        </w:rPr>
        <w:t>)؛</w:t>
      </w:r>
    </w:p>
    <w:p w14:paraId="13D95787" w14:textId="2430C30E" w:rsidR="00442C63" w:rsidRPr="000C488D" w:rsidRDefault="00A10F8A" w:rsidP="00A10F8A">
      <w:pPr>
        <w:pStyle w:val="SingleTxtGA"/>
        <w:rPr>
          <w:b/>
          <w:bCs/>
          <w:szCs w:val="20"/>
          <w:lang w:val="ar-SA" w:eastAsia="zh-TW" w:bidi="en-GB"/>
        </w:rPr>
      </w:pPr>
      <w:r w:rsidRPr="000C488D">
        <w:rPr>
          <w:b/>
          <w:bCs/>
          <w:rtl/>
        </w:rPr>
        <w:tab/>
      </w:r>
      <w:r w:rsidR="00442C63" w:rsidRPr="000C488D">
        <w:rPr>
          <w:b/>
          <w:bCs/>
          <w:rtl/>
        </w:rPr>
        <w:t>(ب)</w:t>
      </w:r>
      <w:r w:rsidR="00442C63" w:rsidRPr="000C488D">
        <w:rPr>
          <w:b/>
          <w:bCs/>
          <w:rtl/>
        </w:rPr>
        <w:tab/>
        <w:t>متابعة شكاوى التعذيب المقدّمة إلى المفوضية العليا المستقلة لحقوق الإنسان، وإجراء تحقيقات ومحاكمات فعالة للجناة وتوفير سبل الانتصاف للضحايا؛</w:t>
      </w:r>
    </w:p>
    <w:p w14:paraId="13FF9E6D" w14:textId="66E277ED" w:rsidR="00442C63" w:rsidRPr="00730B4B" w:rsidRDefault="00A10F8A" w:rsidP="00A10F8A">
      <w:pPr>
        <w:pStyle w:val="SingleTxtGA"/>
        <w:rPr>
          <w:b/>
          <w:bCs/>
          <w:szCs w:val="20"/>
          <w:rtl/>
          <w:lang w:val="en-US" w:eastAsia="zh-TW"/>
        </w:rPr>
      </w:pPr>
      <w:r w:rsidRPr="000C488D">
        <w:rPr>
          <w:b/>
          <w:bCs/>
          <w:rtl/>
        </w:rPr>
        <w:tab/>
      </w:r>
      <w:r w:rsidR="00442C63" w:rsidRPr="000C488D">
        <w:rPr>
          <w:b/>
          <w:bCs/>
          <w:rtl/>
        </w:rPr>
        <w:t>(ج)</w:t>
      </w:r>
      <w:r w:rsidR="00442C63" w:rsidRPr="000C488D">
        <w:rPr>
          <w:b/>
          <w:bCs/>
          <w:rtl/>
        </w:rPr>
        <w:tab/>
        <w:t>ضمان أن يكون أعضاء المفوضية العليا المستقلة لحقوق الإنسان، على سبيل الأولوية، قادرين على أداء واجباتهم المهنية بشكل مستقل وأن يكونوا محميين من أي ترهيب أو</w:t>
      </w:r>
      <w:r w:rsidR="00310DA0">
        <w:rPr>
          <w:rFonts w:hint="cs"/>
          <w:b/>
          <w:bCs/>
          <w:rtl/>
        </w:rPr>
        <w:t> </w:t>
      </w:r>
      <w:r w:rsidR="00442C63" w:rsidRPr="000C488D">
        <w:rPr>
          <w:b/>
          <w:bCs/>
          <w:rtl/>
        </w:rPr>
        <w:t>مضايقة أو تدخل غير لائق أو أعمال انتقامية.</w:t>
      </w:r>
    </w:p>
    <w:p w14:paraId="506D80E8" w14:textId="77777777" w:rsidR="00442C63" w:rsidRPr="000C488D" w:rsidRDefault="00442C63" w:rsidP="00A10F8A">
      <w:pPr>
        <w:pStyle w:val="H23GA"/>
        <w:rPr>
          <w:szCs w:val="20"/>
          <w:lang w:val="en-US" w:eastAsia="zh-TW" w:bidi="en-GB"/>
        </w:rPr>
      </w:pPr>
      <w:r>
        <w:rPr>
          <w:rtl/>
        </w:rPr>
        <w:tab/>
      </w:r>
      <w:r>
        <w:rPr>
          <w:rtl/>
        </w:rPr>
        <w:tab/>
        <w:t>التدريب</w:t>
      </w:r>
    </w:p>
    <w:p w14:paraId="2CD2E8A1" w14:textId="0E14800A" w:rsidR="00DE6894" w:rsidRPr="002F79EC" w:rsidRDefault="00442C63" w:rsidP="00A10F8A">
      <w:pPr>
        <w:pStyle w:val="SingleTxtGA"/>
        <w:rPr>
          <w:color w:val="000000"/>
          <w:spacing w:val="-2"/>
          <w:szCs w:val="20"/>
          <w:lang w:val="ar-SA" w:eastAsia="zh-TW" w:bidi="en-GB"/>
        </w:rPr>
      </w:pPr>
      <w:r w:rsidRPr="00442C63">
        <w:rPr>
          <w:rtl/>
        </w:rPr>
        <w:t>42</w:t>
      </w:r>
      <w:r>
        <w:rPr>
          <w:rFonts w:ascii="Traditional Arabic"/>
          <w:szCs w:val="20"/>
          <w:rtl/>
        </w:rPr>
        <w:t>-</w:t>
      </w:r>
      <w:r>
        <w:rPr>
          <w:rtl/>
        </w:rPr>
        <w:tab/>
        <w:t>تحيط اللجنة علما</w:t>
      </w:r>
      <w:r w:rsidR="000C488D">
        <w:rPr>
          <w:rFonts w:hint="cs"/>
          <w:rtl/>
        </w:rPr>
        <w:t>ً</w:t>
      </w:r>
      <w:r>
        <w:rPr>
          <w:rtl/>
        </w:rPr>
        <w:t xml:space="preserve"> بالمعلومات التي قدّمها وفد الدولة الطرف بشأن الوحدات التدريبية المخصصة لحقوق الإنسان في كليات الجيش والشرطة وأماكن أخرى. بيد أنها تأسف لعدم وجود معلومات عن </w:t>
      </w:r>
      <w:r>
        <w:rPr>
          <w:rtl/>
        </w:rPr>
        <w:lastRenderedPageBreak/>
        <w:t xml:space="preserve">التدريب على الاتفاقية، الذي يشمل بوجه خاص الحظر المطلق للتعذيب وسوء المعاملة، ويستهدف بشكل </w:t>
      </w:r>
      <w:r w:rsidRPr="002F79EC">
        <w:rPr>
          <w:spacing w:val="-2"/>
          <w:rtl/>
        </w:rPr>
        <w:t>محدد القضاة والمدعين العامين والأطباء الشرعيين والموظفين الطبيين، وكذا أفراد قوات الأمن (المادة 1</w:t>
      </w:r>
      <w:r w:rsidR="00DE6894" w:rsidRPr="002F79EC">
        <w:rPr>
          <w:color w:val="000000"/>
          <w:spacing w:val="-2"/>
          <w:rtl/>
        </w:rPr>
        <w:t>0</w:t>
      </w:r>
      <w:r w:rsidR="00DE6894" w:rsidRPr="002F79EC">
        <w:rPr>
          <w:rFonts w:ascii="Traditional Arabic"/>
          <w:color w:val="000000"/>
          <w:spacing w:val="-2"/>
          <w:szCs w:val="20"/>
          <w:rtl/>
        </w:rPr>
        <w:t>)</w:t>
      </w:r>
      <w:r w:rsidR="00DE6894" w:rsidRPr="002F79EC">
        <w:rPr>
          <w:color w:val="000000"/>
          <w:spacing w:val="-2"/>
          <w:rtl/>
        </w:rPr>
        <w:t>.</w:t>
      </w:r>
    </w:p>
    <w:p w14:paraId="0A653BC6" w14:textId="3233228F" w:rsidR="00442C63" w:rsidRPr="002F79EC" w:rsidRDefault="00442C63" w:rsidP="00A10F8A">
      <w:pPr>
        <w:pStyle w:val="SingleTxtGA"/>
        <w:rPr>
          <w:b/>
          <w:bCs/>
          <w:szCs w:val="20"/>
          <w:lang w:val="ar-SA" w:eastAsia="zh-TW" w:bidi="en-GB"/>
        </w:rPr>
      </w:pPr>
      <w:r w:rsidRPr="00442C63">
        <w:rPr>
          <w:rtl/>
        </w:rPr>
        <w:t>43</w:t>
      </w:r>
      <w:r>
        <w:rPr>
          <w:rFonts w:ascii="Traditional Arabic"/>
          <w:szCs w:val="20"/>
          <w:rtl/>
        </w:rPr>
        <w:t>-</w:t>
      </w:r>
      <w:r>
        <w:rPr>
          <w:rtl/>
        </w:rPr>
        <w:tab/>
      </w:r>
      <w:r w:rsidRPr="002F79EC">
        <w:rPr>
          <w:b/>
          <w:bCs/>
          <w:rtl/>
        </w:rPr>
        <w:t>يجب على الدولة الطرف القيام بما يلي:</w:t>
      </w:r>
    </w:p>
    <w:p w14:paraId="68B2CF3A" w14:textId="0CC4C7DD" w:rsidR="00442C63" w:rsidRPr="00310DA0" w:rsidRDefault="00A10F8A" w:rsidP="00A10F8A">
      <w:pPr>
        <w:pStyle w:val="SingleTxtGA"/>
        <w:rPr>
          <w:b/>
          <w:bCs/>
          <w:szCs w:val="20"/>
          <w:lang w:val="en-US" w:eastAsia="zh-TW" w:bidi="en-GB"/>
        </w:rPr>
      </w:pPr>
      <w:r w:rsidRPr="002F79EC">
        <w:rPr>
          <w:b/>
          <w:bCs/>
          <w:rtl/>
        </w:rPr>
        <w:tab/>
      </w:r>
      <w:r w:rsidR="00442C63" w:rsidRPr="002F79EC">
        <w:rPr>
          <w:b/>
          <w:bCs/>
          <w:rtl/>
        </w:rPr>
        <w:t>(أ)</w:t>
      </w:r>
      <w:r w:rsidR="00442C63" w:rsidRPr="002F79EC">
        <w:rPr>
          <w:b/>
          <w:bCs/>
          <w:rtl/>
        </w:rPr>
        <w:tab/>
        <w:t>إدراج أحكام الاتفاقية في مناهج الدورات الإلزامية التي تستهدف ضباط الشرطة وإنفاذ القانون والأمن القومي، والأفراد العسكريين، وحرس الحدود، وموظفي السجون، والقضاة، والمدعين العامين، والمحامين؛</w:t>
      </w:r>
    </w:p>
    <w:p w14:paraId="474AE82A" w14:textId="262DE2EF" w:rsidR="00DE6894" w:rsidRPr="002F79EC" w:rsidRDefault="00A10F8A" w:rsidP="00A10F8A">
      <w:pPr>
        <w:pStyle w:val="SingleTxtGA"/>
        <w:rPr>
          <w:b/>
          <w:bCs/>
          <w:color w:val="000000"/>
          <w:szCs w:val="20"/>
          <w:lang w:val="ar-SA" w:eastAsia="zh-TW" w:bidi="en-GB"/>
        </w:rPr>
      </w:pPr>
      <w:r w:rsidRPr="002F79EC">
        <w:rPr>
          <w:b/>
          <w:bCs/>
          <w:rtl/>
        </w:rPr>
        <w:tab/>
      </w:r>
      <w:r w:rsidR="00442C63" w:rsidRPr="002F79EC">
        <w:rPr>
          <w:b/>
          <w:bCs/>
          <w:rtl/>
        </w:rPr>
        <w:t>(ب)</w:t>
      </w:r>
      <w:r w:rsidR="00442C63" w:rsidRPr="002F79EC">
        <w:rPr>
          <w:b/>
          <w:bCs/>
          <w:rtl/>
        </w:rPr>
        <w:tab/>
        <w:t xml:space="preserve">ضمان تدريب جميع الموظفين المعنيين، بمن فيهم الموظفون الطبيون، على حالات التعذيب وسوء المعاملة تحديداً، وفقاً لدليل التقصي والتوثيق الفعالين بشأن التعذيب وغيره من ضروب </w:t>
      </w:r>
      <w:proofErr w:type="gramStart"/>
      <w:r w:rsidR="00442C63" w:rsidRPr="002F79EC">
        <w:rPr>
          <w:b/>
          <w:bCs/>
          <w:rtl/>
        </w:rPr>
        <w:t>المعاملة</w:t>
      </w:r>
      <w:proofErr w:type="gramEnd"/>
      <w:r w:rsidR="00442C63" w:rsidRPr="002F79EC">
        <w:rPr>
          <w:b/>
          <w:bCs/>
          <w:rtl/>
        </w:rPr>
        <w:t xml:space="preserve"> أو العقوبة القاسية أو اللاإنسانية أو المهينة (بروتوكول اسطنبول</w:t>
      </w:r>
      <w:r w:rsidR="00DE6894" w:rsidRPr="002F79EC">
        <w:rPr>
          <w:b/>
          <w:bCs/>
          <w:color w:val="000000"/>
          <w:rtl/>
        </w:rPr>
        <w:t>).</w:t>
      </w:r>
    </w:p>
    <w:p w14:paraId="5139F154" w14:textId="1FB97292" w:rsidR="00442C63" w:rsidRPr="00967127" w:rsidRDefault="00442C63" w:rsidP="00A10F8A">
      <w:pPr>
        <w:pStyle w:val="H23GA"/>
        <w:rPr>
          <w:szCs w:val="20"/>
          <w:lang w:val="en-US" w:eastAsia="zh-TW" w:bidi="en-GB"/>
        </w:rPr>
      </w:pPr>
      <w:r>
        <w:rPr>
          <w:rtl/>
        </w:rPr>
        <w:tab/>
      </w:r>
      <w:r>
        <w:rPr>
          <w:rtl/>
        </w:rPr>
        <w:tab/>
        <w:t>إجراءات المتابعة</w:t>
      </w:r>
    </w:p>
    <w:p w14:paraId="36EBF5DD" w14:textId="71144A82" w:rsidR="00442C63" w:rsidRPr="002F79EC" w:rsidRDefault="00442C63" w:rsidP="00A10F8A">
      <w:pPr>
        <w:pStyle w:val="SingleTxtGA"/>
        <w:rPr>
          <w:b/>
          <w:bCs/>
          <w:sz w:val="24"/>
          <w:szCs w:val="20"/>
          <w:lang w:val="ar-SA" w:eastAsia="zh-TW" w:bidi="en-GB"/>
        </w:rPr>
      </w:pPr>
      <w:r w:rsidRPr="00442C63">
        <w:rPr>
          <w:rtl/>
        </w:rPr>
        <w:t>44</w:t>
      </w:r>
      <w:r>
        <w:rPr>
          <w:rFonts w:ascii="Traditional Arabic"/>
          <w:szCs w:val="20"/>
          <w:rtl/>
        </w:rPr>
        <w:t>-</w:t>
      </w:r>
      <w:r w:rsidR="002F79EC">
        <w:rPr>
          <w:b/>
          <w:bCs/>
          <w:rtl/>
        </w:rPr>
        <w:tab/>
      </w:r>
      <w:r w:rsidRPr="002F79EC">
        <w:rPr>
          <w:b/>
          <w:bCs/>
          <w:rtl/>
        </w:rPr>
        <w:t xml:space="preserve">تطلب اللجنة إلى الدولة الطرف أن تقدم، بحلول 13 أيار/مايو 2023، معلومات عن متابعة توصيات اللجنة بشأن تجريم التعذيب والضمانات القانونية الأساسية والعنف الجنسي المتصل بالنزاع وعقوبة الإعدام (انظر الفقرات 9 </w:t>
      </w:r>
      <w:proofErr w:type="spellStart"/>
      <w:r w:rsidRPr="002F79EC">
        <w:rPr>
          <w:b/>
          <w:bCs/>
          <w:rtl/>
        </w:rPr>
        <w:t>و11</w:t>
      </w:r>
      <w:proofErr w:type="spellEnd"/>
      <w:r w:rsidRPr="002F79EC">
        <w:rPr>
          <w:rFonts w:ascii="Traditional Arabic"/>
          <w:b/>
          <w:bCs/>
          <w:szCs w:val="20"/>
          <w:rtl/>
        </w:rPr>
        <w:t>(</w:t>
      </w:r>
      <w:r w:rsidRPr="002F79EC">
        <w:rPr>
          <w:b/>
          <w:bCs/>
          <w:rtl/>
        </w:rPr>
        <w:t>أ</w:t>
      </w:r>
      <w:r w:rsidRPr="002F79EC">
        <w:rPr>
          <w:rFonts w:ascii="Traditional Arabic"/>
          <w:b/>
          <w:bCs/>
          <w:szCs w:val="20"/>
          <w:rtl/>
        </w:rPr>
        <w:t>)</w:t>
      </w:r>
      <w:r w:rsidRPr="002F79EC">
        <w:rPr>
          <w:b/>
          <w:bCs/>
          <w:rtl/>
        </w:rPr>
        <w:t xml:space="preserve"> و(ج) </w:t>
      </w:r>
      <w:proofErr w:type="spellStart"/>
      <w:r w:rsidRPr="002F79EC">
        <w:rPr>
          <w:b/>
          <w:bCs/>
          <w:rtl/>
        </w:rPr>
        <w:t>و21</w:t>
      </w:r>
      <w:proofErr w:type="spellEnd"/>
      <w:r w:rsidRPr="002F79EC">
        <w:rPr>
          <w:b/>
          <w:bCs/>
          <w:rtl/>
        </w:rPr>
        <w:t xml:space="preserve"> </w:t>
      </w:r>
      <w:proofErr w:type="spellStart"/>
      <w:r w:rsidRPr="002F79EC">
        <w:rPr>
          <w:b/>
          <w:bCs/>
          <w:rtl/>
        </w:rPr>
        <w:t>و31</w:t>
      </w:r>
      <w:proofErr w:type="spellEnd"/>
      <w:r w:rsidRPr="002F79EC">
        <w:rPr>
          <w:b/>
          <w:bCs/>
          <w:rtl/>
        </w:rPr>
        <w:t xml:space="preserve"> أعلاه</w:t>
      </w:r>
      <w:r w:rsidR="00DE6894" w:rsidRPr="002F79EC">
        <w:rPr>
          <w:b/>
          <w:bCs/>
          <w:color w:val="000000"/>
          <w:rtl/>
        </w:rPr>
        <w:t xml:space="preserve">). </w:t>
      </w:r>
      <w:r w:rsidRPr="002F79EC">
        <w:rPr>
          <w:b/>
          <w:bCs/>
          <w:rtl/>
        </w:rPr>
        <w:t>وفي هذا السياق، تدعو اللجنة الدولة الطرف إلى إعلامها بخططها لتنفيذ بعض التوصيات المتبقية الواردة في الملاحظات الختامية أو</w:t>
      </w:r>
      <w:r w:rsidR="00310DA0">
        <w:rPr>
          <w:rFonts w:hint="cs"/>
          <w:b/>
          <w:bCs/>
          <w:rtl/>
        </w:rPr>
        <w:t> </w:t>
      </w:r>
      <w:r w:rsidRPr="002F79EC">
        <w:rPr>
          <w:b/>
          <w:bCs/>
          <w:rtl/>
        </w:rPr>
        <w:t>جميعها، خلال الفترة المشمولة بالتقرير المقبل.</w:t>
      </w:r>
    </w:p>
    <w:p w14:paraId="1543EAAA" w14:textId="77777777" w:rsidR="00442C63" w:rsidRPr="00E75A98" w:rsidRDefault="00442C63" w:rsidP="00A10F8A">
      <w:pPr>
        <w:pStyle w:val="H23GA"/>
        <w:rPr>
          <w:szCs w:val="20"/>
          <w:lang w:val="ar-SA" w:eastAsia="zh-TW" w:bidi="en-GB"/>
        </w:rPr>
      </w:pPr>
      <w:r>
        <w:rPr>
          <w:rtl/>
        </w:rPr>
        <w:tab/>
      </w:r>
      <w:r>
        <w:rPr>
          <w:rtl/>
        </w:rPr>
        <w:tab/>
        <w:t>مسائل أخرى</w:t>
      </w:r>
    </w:p>
    <w:p w14:paraId="698E4B41" w14:textId="6B3E19EB" w:rsidR="00442C63" w:rsidRPr="00E75A98" w:rsidRDefault="00442C63" w:rsidP="00A10F8A">
      <w:pPr>
        <w:pStyle w:val="SingleTxtGA"/>
        <w:rPr>
          <w:szCs w:val="20"/>
          <w:lang w:val="ar-SA" w:eastAsia="zh-TW" w:bidi="en-GB"/>
        </w:rPr>
      </w:pPr>
      <w:r w:rsidRPr="00442C63">
        <w:rPr>
          <w:rtl/>
        </w:rPr>
        <w:t>45</w:t>
      </w:r>
      <w:r>
        <w:rPr>
          <w:rFonts w:ascii="Traditional Arabic"/>
          <w:szCs w:val="20"/>
          <w:rtl/>
        </w:rPr>
        <w:t>-</w:t>
      </w:r>
      <w:r>
        <w:rPr>
          <w:rtl/>
        </w:rPr>
        <w:tab/>
      </w:r>
      <w:r w:rsidRPr="002F79EC">
        <w:rPr>
          <w:b/>
          <w:bCs/>
          <w:rtl/>
        </w:rPr>
        <w:t>تشجع اللجنة الدولة الطرف على النظر في إصدار الإعلانين المنصوص عليهما في المادتين</w:t>
      </w:r>
      <w:r w:rsidR="002F79EC">
        <w:rPr>
          <w:rFonts w:hint="cs"/>
          <w:b/>
          <w:bCs/>
          <w:rtl/>
        </w:rPr>
        <w:t> </w:t>
      </w:r>
      <w:r w:rsidRPr="002F79EC">
        <w:rPr>
          <w:b/>
          <w:bCs/>
          <w:rtl/>
        </w:rPr>
        <w:t xml:space="preserve">21 </w:t>
      </w:r>
      <w:proofErr w:type="spellStart"/>
      <w:r w:rsidRPr="002F79EC">
        <w:rPr>
          <w:b/>
          <w:bCs/>
          <w:rtl/>
        </w:rPr>
        <w:t>و22</w:t>
      </w:r>
      <w:proofErr w:type="spellEnd"/>
      <w:r w:rsidRPr="002F79EC">
        <w:rPr>
          <w:b/>
          <w:bCs/>
          <w:rtl/>
        </w:rPr>
        <w:t xml:space="preserve"> من الاتفاقية.</w:t>
      </w:r>
      <w:r>
        <w:rPr>
          <w:rtl/>
        </w:rPr>
        <w:t xml:space="preserve"> </w:t>
      </w:r>
    </w:p>
    <w:p w14:paraId="12E9F21B" w14:textId="6F4EBEBF" w:rsidR="00442C63" w:rsidRPr="00E75A98" w:rsidRDefault="00442C63" w:rsidP="00A10F8A">
      <w:pPr>
        <w:pStyle w:val="SingleTxtGA"/>
        <w:rPr>
          <w:szCs w:val="20"/>
          <w:lang w:val="ar-SA" w:eastAsia="zh-TW" w:bidi="en-GB"/>
        </w:rPr>
      </w:pPr>
      <w:r w:rsidRPr="00442C63">
        <w:rPr>
          <w:rtl/>
        </w:rPr>
        <w:t>46</w:t>
      </w:r>
      <w:r>
        <w:rPr>
          <w:rFonts w:ascii="Traditional Arabic"/>
          <w:szCs w:val="20"/>
          <w:rtl/>
        </w:rPr>
        <w:t>-</w:t>
      </w:r>
      <w:r>
        <w:rPr>
          <w:rtl/>
        </w:rPr>
        <w:tab/>
      </w:r>
      <w:r w:rsidRPr="002F79EC">
        <w:rPr>
          <w:b/>
          <w:bCs/>
          <w:rtl/>
        </w:rPr>
        <w:t>وتدعو اللجنة الدولة الطرف إلى أن تنظر في الانضمام إلى نظام روما الأساسي للمحكمة الجنائية الدولية، وأن تصبح طرفا في البروتوكول الإضافي لاتفاقيات جنيف المبرمة في 12 آب/</w:t>
      </w:r>
      <w:r w:rsidR="002F79EC" w:rsidRPr="002F79EC">
        <w:rPr>
          <w:rFonts w:hint="cs"/>
          <w:b/>
          <w:bCs/>
          <w:rtl/>
        </w:rPr>
        <w:t xml:space="preserve"> </w:t>
      </w:r>
      <w:r w:rsidRPr="002F79EC">
        <w:rPr>
          <w:b/>
          <w:bCs/>
          <w:rtl/>
        </w:rPr>
        <w:t>أغسطس</w:t>
      </w:r>
      <w:r w:rsidR="002F79EC" w:rsidRPr="002F79EC">
        <w:rPr>
          <w:rFonts w:hint="cs"/>
          <w:b/>
          <w:bCs/>
          <w:rtl/>
        </w:rPr>
        <w:t> </w:t>
      </w:r>
      <w:r w:rsidRPr="002F79EC">
        <w:rPr>
          <w:b/>
          <w:bCs/>
          <w:rtl/>
        </w:rPr>
        <w:t>1949 والمتعلق بحماية ضحايا المنازعات المسلحة غير الدولية، والاتفاقية المتعلقة بوضع الأشخاص عديمي الجنسية، واتفاقية خفض حالات انعدام الجنسية، وأن تصدق على معاهدات الأمم المتحدة الأساسية لحقوق الإنسان التي لم تنضم إليها بعد.</w:t>
      </w:r>
    </w:p>
    <w:p w14:paraId="33F9A218" w14:textId="77777777" w:rsidR="00442C63" w:rsidRPr="00E75A98" w:rsidRDefault="00442C63" w:rsidP="00A10F8A">
      <w:pPr>
        <w:pStyle w:val="SingleTxtGA"/>
        <w:rPr>
          <w:szCs w:val="20"/>
          <w:lang w:val="ar-SA" w:eastAsia="zh-TW" w:bidi="en-GB"/>
        </w:rPr>
      </w:pPr>
      <w:r w:rsidRPr="00442C63">
        <w:rPr>
          <w:rtl/>
        </w:rPr>
        <w:t>47</w:t>
      </w:r>
      <w:r>
        <w:rPr>
          <w:rFonts w:ascii="Traditional Arabic"/>
          <w:szCs w:val="20"/>
          <w:rtl/>
        </w:rPr>
        <w:t>-</w:t>
      </w:r>
      <w:r>
        <w:rPr>
          <w:rtl/>
        </w:rPr>
        <w:tab/>
      </w:r>
      <w:r w:rsidRPr="002F79EC">
        <w:rPr>
          <w:b/>
          <w:bCs/>
          <w:rtl/>
        </w:rPr>
        <w:t>ويُطلب إلى الدولة الطرف أن تنشر على نطاق واسع التقرير المقدّم إلى اللجنة وهذه الملاحظات الختامية، باللغات المناسبة، وذلك عن طريق المواقع الرسمية على الإنترنت ووسائط الإعلام والمنظمات غير الحكومية وأن تبلغ اللجنة بأنشطتها المتعلقة بالنشر.</w:t>
      </w:r>
    </w:p>
    <w:p w14:paraId="0ACC339C" w14:textId="7A9632E1" w:rsidR="00442C63" w:rsidRPr="000D4A26" w:rsidRDefault="00442C63" w:rsidP="00A10F8A">
      <w:pPr>
        <w:pStyle w:val="SingleTxtGA"/>
        <w:rPr>
          <w:sz w:val="24"/>
          <w:szCs w:val="20"/>
          <w:lang w:val="ar-SA" w:eastAsia="zh-TW" w:bidi="en-GB"/>
        </w:rPr>
      </w:pPr>
      <w:r w:rsidRPr="00442C63">
        <w:rPr>
          <w:rtl/>
        </w:rPr>
        <w:t>48</w:t>
      </w:r>
      <w:r>
        <w:rPr>
          <w:rFonts w:ascii="Traditional Arabic"/>
          <w:szCs w:val="20"/>
          <w:rtl/>
        </w:rPr>
        <w:t>-</w:t>
      </w:r>
      <w:r>
        <w:rPr>
          <w:rtl/>
        </w:rPr>
        <w:tab/>
      </w:r>
      <w:r w:rsidRPr="002F79EC">
        <w:rPr>
          <w:b/>
          <w:bCs/>
          <w:rtl/>
        </w:rPr>
        <w:t>وتطلب اللجنة إلى الدولة الطرف أن تقدّم تقريرها الدوري المقبل، الذي سيكون تقريرها الثالث، بحلول 13 أيار/مايو 202</w:t>
      </w:r>
      <w:r w:rsidR="00DE6894" w:rsidRPr="002F79EC">
        <w:rPr>
          <w:b/>
          <w:bCs/>
          <w:color w:val="000000"/>
          <w:rtl/>
        </w:rPr>
        <w:t>6</w:t>
      </w:r>
      <w:r w:rsidR="00DE6894" w:rsidRPr="002F79EC">
        <w:rPr>
          <w:rFonts w:ascii="Traditional Arabic"/>
          <w:b/>
          <w:bCs/>
          <w:color w:val="000000"/>
          <w:szCs w:val="20"/>
          <w:rtl/>
        </w:rPr>
        <w:t>.</w:t>
      </w:r>
      <w:r w:rsidR="00DE6894" w:rsidRPr="002F79EC">
        <w:rPr>
          <w:b/>
          <w:bCs/>
          <w:color w:val="000000"/>
          <w:rtl/>
        </w:rPr>
        <w:t xml:space="preserve"> </w:t>
      </w:r>
      <w:r w:rsidRPr="002F79EC">
        <w:rPr>
          <w:b/>
          <w:bCs/>
          <w:rtl/>
        </w:rPr>
        <w:t>ولهذا الغرض، تدعو اللجنة الدولة الطرف إلى الموافقة، بحلول 13 أيار/مايو 2023، على الإجراء المبسط لتقديم التقارير المتمثل في أن تحيل اللجنة إلى الدولة الطرف قائمة مسائل قبل تقديم تقريرها. وستشكّل ردود الدولة الطرف على قائمة المسائل هذه تقريرها الدوري الثالث بموجب المادة 19 من الاتفاقية.</w:t>
      </w:r>
    </w:p>
    <w:p w14:paraId="56E4A6AF" w14:textId="77777777" w:rsidR="00442C63" w:rsidRPr="00F2569E" w:rsidRDefault="00442C63" w:rsidP="00442C63">
      <w:pPr>
        <w:pStyle w:val="SingleTxtG"/>
        <w:jc w:val="center"/>
        <w:rPr>
          <w:rFonts w:eastAsiaTheme="minorEastAsia"/>
          <w:lang w:val="en-US"/>
        </w:rPr>
      </w:pPr>
      <w:r>
        <w:rPr>
          <w:rFonts w:eastAsia="Times New Roman"/>
          <w:u w:val="single"/>
          <w:lang w:eastAsia="en-GB"/>
        </w:rPr>
        <w:tab/>
      </w:r>
      <w:r>
        <w:rPr>
          <w:rFonts w:eastAsia="Times New Roman"/>
          <w:u w:val="single"/>
          <w:lang w:eastAsia="en-GB"/>
        </w:rPr>
        <w:tab/>
      </w:r>
      <w:r>
        <w:rPr>
          <w:rFonts w:eastAsia="Times New Roman"/>
          <w:u w:val="single"/>
          <w:lang w:eastAsia="en-GB"/>
        </w:rPr>
        <w:tab/>
      </w:r>
      <w:r>
        <w:rPr>
          <w:rFonts w:eastAsia="Times New Roman"/>
          <w:u w:val="single"/>
          <w:lang w:eastAsia="en-GB"/>
        </w:rPr>
        <w:tab/>
      </w:r>
    </w:p>
    <w:sectPr w:rsidR="00442C63" w:rsidRPr="00F2569E" w:rsidSect="000A70C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A1A37" w14:textId="77777777" w:rsidR="008B27F9" w:rsidRPr="002901D9" w:rsidRDefault="008B27F9" w:rsidP="00874514">
      <w:pPr>
        <w:spacing w:after="60" w:line="240" w:lineRule="auto"/>
        <w:ind w:left="57"/>
        <w:rPr>
          <w:i/>
          <w:iCs/>
        </w:rPr>
      </w:pPr>
      <w:r>
        <w:rPr>
          <w:rFonts w:hint="cs"/>
          <w:i/>
          <w:iCs/>
          <w:rtl/>
        </w:rPr>
        <w:t>الحواشي</w:t>
      </w:r>
    </w:p>
  </w:endnote>
  <w:endnote w:type="continuationSeparator" w:id="0">
    <w:p w14:paraId="7DB149EE" w14:textId="77777777" w:rsidR="008B27F9" w:rsidRDefault="008B27F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1435" w14:textId="52BF70E9" w:rsidR="001C0FE0" w:rsidRPr="001C0FE0" w:rsidRDefault="001C0FE0" w:rsidP="001C0FE0">
    <w:pPr>
      <w:pStyle w:val="Footer"/>
      <w:tabs>
        <w:tab w:val="right" w:pos="9638"/>
      </w:tabs>
      <w:rPr>
        <w:b/>
        <w:sz w:val="18"/>
        <w:lang w:val="en-US"/>
      </w:rPr>
    </w:pPr>
    <w:proofErr w:type="spellStart"/>
    <w:r>
      <w:rPr>
        <w:lang w:val="en-US"/>
      </w:rPr>
      <w:t>GE.22</w:t>
    </w:r>
    <w:proofErr w:type="spellEnd"/>
    <w:r>
      <w:rPr>
        <w:lang w:val="en-US"/>
      </w:rPr>
      <w:t>-09270</w:t>
    </w:r>
    <w:r>
      <w:rPr>
        <w:lang w:val="en-US"/>
      </w:rPr>
      <w:tab/>
    </w:r>
    <w:r w:rsidRPr="001C0FE0">
      <w:rPr>
        <w:b/>
        <w:sz w:val="18"/>
        <w:lang w:val="en-US"/>
      </w:rPr>
      <w:fldChar w:fldCharType="begin"/>
    </w:r>
    <w:r w:rsidRPr="001C0FE0">
      <w:rPr>
        <w:b/>
        <w:sz w:val="18"/>
        <w:lang w:val="en-US"/>
      </w:rPr>
      <w:instrText xml:space="preserve"> PAGE  \* MERGEFORMAT </w:instrText>
    </w:r>
    <w:r w:rsidRPr="001C0FE0">
      <w:rPr>
        <w:b/>
        <w:sz w:val="18"/>
        <w:lang w:val="en-US"/>
      </w:rPr>
      <w:fldChar w:fldCharType="separate"/>
    </w:r>
    <w:r w:rsidRPr="001C0FE0">
      <w:rPr>
        <w:b/>
        <w:noProof/>
        <w:sz w:val="18"/>
        <w:lang w:val="en-US"/>
      </w:rPr>
      <w:t>2</w:t>
    </w:r>
    <w:r w:rsidRPr="001C0FE0">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2051" w14:textId="132E45D0" w:rsidR="006959B0" w:rsidRPr="001C0FE0" w:rsidRDefault="001C0FE0" w:rsidP="001C0FE0">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proofErr w:type="spellStart"/>
    <w:r>
      <w:rPr>
        <w:lang w:val="en-US"/>
      </w:rPr>
      <w:t>GE.22</w:t>
    </w:r>
    <w:proofErr w:type="spellEnd"/>
    <w:r>
      <w:rPr>
        <w:lang w:val="en-US"/>
      </w:rPr>
      <w:t>-09270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1C11" w14:textId="7C948132" w:rsidR="00261289" w:rsidRPr="001C0FE0" w:rsidRDefault="001C0FE0" w:rsidP="001C0FE0">
    <w:pPr>
      <w:pStyle w:val="Footer"/>
      <w:spacing w:before="600"/>
      <w:ind w:left="567"/>
      <w:jc w:val="right"/>
      <w:rPr>
        <w:sz w:val="20"/>
        <w:lang w:val="en-US"/>
      </w:rPr>
    </w:pPr>
    <w:proofErr w:type="spellStart"/>
    <w:r>
      <w:rPr>
        <w:sz w:val="20"/>
        <w:lang w:val="en-US"/>
      </w:rPr>
      <w:t>GE.</w:t>
    </w:r>
    <w:r w:rsidR="00F62057">
      <w:rPr>
        <w:noProof/>
      </w:rPr>
      <w:drawing>
        <wp:anchor distT="0" distB="0" distL="114300" distR="114300" simplePos="0" relativeHeight="251658240" behindDoc="1" locked="1" layoutInCell="0" allowOverlap="1" wp14:anchorId="7EA34A17" wp14:editId="3FD88390">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w:t>
    </w:r>
    <w:proofErr w:type="spellEnd"/>
    <w:r>
      <w:rPr>
        <w:sz w:val="20"/>
        <w:lang w:val="en-US"/>
      </w:rPr>
      <w:t>-09270 (A)</w:t>
    </w:r>
    <w:r>
      <w:rPr>
        <w:noProof/>
        <w:sz w:val="20"/>
        <w:lang w:val="en-US"/>
      </w:rPr>
      <w:drawing>
        <wp:anchor distT="0" distB="0" distL="114300" distR="114300" simplePos="0" relativeHeight="251659264" behindDoc="0" locked="0" layoutInCell="1" allowOverlap="1" wp14:anchorId="3835E355" wp14:editId="7A6188D1">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66F0F" w14:textId="77777777" w:rsidR="008B27F9" w:rsidRPr="00C111C6" w:rsidRDefault="008B27F9" w:rsidP="00C111C6">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603FB5A2" w14:textId="77777777" w:rsidR="008B27F9" w:rsidRDefault="008B27F9" w:rsidP="00656392">
      <w:pPr>
        <w:spacing w:line="240" w:lineRule="auto"/>
      </w:pPr>
      <w:r>
        <w:continuationSeparator/>
      </w:r>
    </w:p>
  </w:footnote>
  <w:footnote w:id="1">
    <w:p w14:paraId="1CDB7E90" w14:textId="69B4D492" w:rsidR="00442C63" w:rsidRPr="00651C31" w:rsidRDefault="00442C63" w:rsidP="004D1929">
      <w:pPr>
        <w:pStyle w:val="FootnoteText"/>
        <w:tabs>
          <w:tab w:val="clear" w:pos="1021"/>
        </w:tabs>
        <w:bidi/>
        <w:spacing w:after="60" w:line="280" w:lineRule="exact"/>
        <w:ind w:left="1247" w:right="1247" w:hanging="567"/>
        <w:jc w:val="lowKashida"/>
        <w:textDirection w:val="tbRlV"/>
        <w:rPr>
          <w:szCs w:val="18"/>
          <w:lang w:val="ar-SA" w:eastAsia="zh-TW" w:bidi="en-GB"/>
        </w:rPr>
      </w:pPr>
      <w:r w:rsidRPr="00651C31">
        <w:rPr>
          <w:rFonts w:ascii="Traditional Arabic"/>
          <w:szCs w:val="18"/>
        </w:rPr>
        <w:t>*</w:t>
      </w:r>
      <w:r w:rsidRPr="00651C31">
        <w:rPr>
          <w:szCs w:val="18"/>
          <w:rtl/>
        </w:rPr>
        <w:tab/>
        <w:t xml:space="preserve">اعتمدته اللجنة في دورتها الثالثة والسبعين </w:t>
      </w:r>
      <w:r w:rsidRPr="00651C31">
        <w:rPr>
          <w:rFonts w:ascii="Traditional Arabic"/>
          <w:szCs w:val="18"/>
          <w:rtl/>
        </w:rPr>
        <w:t>(</w:t>
      </w:r>
      <w:r w:rsidRPr="00651C31">
        <w:rPr>
          <w:szCs w:val="18"/>
          <w:rtl/>
        </w:rPr>
        <w:t>19 نيسان/أبريل - 13 أيار/مايو 2022</w:t>
      </w:r>
      <w:r w:rsidR="00DE6894" w:rsidRPr="00651C31">
        <w:rPr>
          <w:rFonts w:ascii="Traditional Arabic"/>
          <w:color w:val="000000"/>
          <w:szCs w:val="18"/>
          <w:rtl/>
        </w:rPr>
        <w:t>)</w:t>
      </w:r>
      <w:r w:rsidR="00DE6894" w:rsidRPr="00651C31">
        <w:rPr>
          <w:color w:val="000000"/>
          <w:szCs w:val="18"/>
          <w:rtl/>
        </w:rPr>
        <w:t xml:space="preserve">. </w:t>
      </w:r>
    </w:p>
  </w:footnote>
  <w:footnote w:id="2">
    <w:p w14:paraId="45D8AD5A" w14:textId="17CB0C70" w:rsidR="00DE6894" w:rsidRPr="00651C31" w:rsidRDefault="00DE6894" w:rsidP="00DE6894">
      <w:pPr>
        <w:pStyle w:val="FootnoteText"/>
        <w:tabs>
          <w:tab w:val="clear" w:pos="1021"/>
        </w:tabs>
        <w:bidi/>
        <w:spacing w:after="60" w:line="280" w:lineRule="exact"/>
        <w:ind w:left="1247" w:right="1247" w:hanging="567"/>
        <w:jc w:val="lowKashida"/>
        <w:textDirection w:val="tbRlV"/>
        <w:rPr>
          <w:szCs w:val="18"/>
          <w:lang w:val="ar-SA" w:eastAsia="zh-TW" w:bidi="en-GB"/>
        </w:rPr>
      </w:pPr>
      <w:r w:rsidRPr="00651C31">
        <w:rPr>
          <w:rStyle w:val="FootnoteReference"/>
          <w:vertAlign w:val="baseline"/>
          <w:rtl/>
        </w:rPr>
        <w:t>(</w:t>
      </w:r>
      <w:r w:rsidRPr="00651C31">
        <w:rPr>
          <w:rStyle w:val="FootnoteReference"/>
          <w:vertAlign w:val="baseline"/>
          <w:rtl/>
        </w:rPr>
        <w:footnoteRef/>
      </w:r>
      <w:r w:rsidRPr="00651C31">
        <w:rPr>
          <w:rStyle w:val="FootnoteReference"/>
          <w:vertAlign w:val="baseline"/>
          <w:rtl/>
        </w:rPr>
        <w:t>)</w:t>
      </w:r>
      <w:r w:rsidRPr="00651C31">
        <w:rPr>
          <w:szCs w:val="18"/>
          <w:rtl/>
        </w:rPr>
        <w:tab/>
        <w:t xml:space="preserve">الوثيقة </w:t>
      </w:r>
      <w:hyperlink r:id="rId1" w:history="1">
        <w:r w:rsidRPr="00651C31">
          <w:rPr>
            <w:rStyle w:val="Hyperlink"/>
            <w:szCs w:val="18"/>
            <w:lang w:val="en-AU"/>
          </w:rPr>
          <w:t>CAT/C/</w:t>
        </w:r>
        <w:proofErr w:type="spellStart"/>
        <w:r w:rsidRPr="00651C31">
          <w:rPr>
            <w:rStyle w:val="Hyperlink"/>
            <w:szCs w:val="18"/>
            <w:lang w:val="en-AU"/>
          </w:rPr>
          <w:t>IRQ</w:t>
        </w:r>
        <w:proofErr w:type="spellEnd"/>
        <w:r w:rsidRPr="00651C31">
          <w:rPr>
            <w:rStyle w:val="Hyperlink"/>
            <w:szCs w:val="18"/>
            <w:lang w:val="en-AU"/>
          </w:rPr>
          <w:t>/2</w:t>
        </w:r>
      </w:hyperlink>
      <w:r w:rsidRPr="00651C31">
        <w:rPr>
          <w:rFonts w:cs="Times New Roman"/>
          <w:color w:val="000000"/>
          <w:szCs w:val="18"/>
          <w:rtl/>
        </w:rPr>
        <w:t xml:space="preserve">. </w:t>
      </w:r>
    </w:p>
  </w:footnote>
  <w:footnote w:id="3">
    <w:p w14:paraId="714204CE" w14:textId="524FDF59" w:rsidR="00DE6894" w:rsidRPr="00651C31" w:rsidRDefault="00DE6894" w:rsidP="00DE6894">
      <w:pPr>
        <w:pStyle w:val="FootnoteText"/>
        <w:tabs>
          <w:tab w:val="clear" w:pos="1021"/>
        </w:tabs>
        <w:bidi/>
        <w:spacing w:after="60" w:line="280" w:lineRule="exact"/>
        <w:ind w:left="1247" w:right="1247" w:hanging="567"/>
        <w:jc w:val="lowKashida"/>
        <w:textDirection w:val="tbRlV"/>
        <w:rPr>
          <w:szCs w:val="18"/>
          <w:lang w:val="ar-SA" w:eastAsia="zh-TW" w:bidi="en-GB"/>
        </w:rPr>
      </w:pPr>
      <w:r w:rsidRPr="00651C31">
        <w:rPr>
          <w:rStyle w:val="FootnoteReference"/>
          <w:vertAlign w:val="baseline"/>
          <w:rtl/>
        </w:rPr>
        <w:t>(</w:t>
      </w:r>
      <w:r w:rsidRPr="00651C31">
        <w:rPr>
          <w:rStyle w:val="FootnoteReference"/>
          <w:vertAlign w:val="baseline"/>
          <w:rtl/>
        </w:rPr>
        <w:footnoteRef/>
      </w:r>
      <w:r w:rsidRPr="00651C31">
        <w:rPr>
          <w:rStyle w:val="FootnoteReference"/>
          <w:vertAlign w:val="baseline"/>
          <w:rtl/>
        </w:rPr>
        <w:t>)</w:t>
      </w:r>
      <w:r w:rsidRPr="00651C31">
        <w:rPr>
          <w:szCs w:val="18"/>
          <w:rtl/>
        </w:rPr>
        <w:tab/>
        <w:t xml:space="preserve">انظر الوثيقة </w:t>
      </w:r>
      <w:hyperlink r:id="rId2" w:history="1">
        <w:r w:rsidRPr="00651C31">
          <w:rPr>
            <w:rStyle w:val="Hyperlink"/>
            <w:szCs w:val="18"/>
            <w:lang w:val="en-AU"/>
          </w:rPr>
          <w:t>CAT/C/</w:t>
        </w:r>
        <w:proofErr w:type="spellStart"/>
        <w:r w:rsidRPr="00651C31">
          <w:rPr>
            <w:rStyle w:val="Hyperlink"/>
            <w:szCs w:val="18"/>
            <w:lang w:val="en-AU"/>
          </w:rPr>
          <w:t>SR.1887</w:t>
        </w:r>
        <w:proofErr w:type="spellEnd"/>
      </w:hyperlink>
      <w:r w:rsidRPr="00651C31">
        <w:rPr>
          <w:szCs w:val="18"/>
          <w:rtl/>
        </w:rPr>
        <w:t xml:space="preserve"> والوثيقة </w:t>
      </w:r>
      <w:hyperlink r:id="rId3" w:history="1">
        <w:r w:rsidRPr="00651C31">
          <w:rPr>
            <w:rStyle w:val="Hyperlink"/>
            <w:szCs w:val="18"/>
            <w:lang w:val="en-AU"/>
          </w:rPr>
          <w:t>CAT/C/</w:t>
        </w:r>
        <w:proofErr w:type="spellStart"/>
        <w:r w:rsidRPr="00651C31">
          <w:rPr>
            <w:rStyle w:val="Hyperlink"/>
            <w:szCs w:val="18"/>
            <w:lang w:val="en-AU"/>
          </w:rPr>
          <w:t>SR.1890</w:t>
        </w:r>
        <w:proofErr w:type="spellEnd"/>
      </w:hyperlink>
      <w:r w:rsidRPr="00651C31">
        <w:rPr>
          <w:rFonts w:cs="Times New Roman"/>
          <w:color w:val="000000"/>
          <w:szCs w:val="18"/>
          <w:rtl/>
        </w:rPr>
        <w:t xml:space="preserve">. </w:t>
      </w:r>
    </w:p>
  </w:footnote>
  <w:footnote w:id="4">
    <w:p w14:paraId="5D4DD738" w14:textId="11A358B2" w:rsidR="00DE6894" w:rsidRPr="00651C31" w:rsidRDefault="00DE6894" w:rsidP="00DE6894">
      <w:pPr>
        <w:pStyle w:val="FootnoteText"/>
        <w:tabs>
          <w:tab w:val="clear" w:pos="1021"/>
        </w:tabs>
        <w:bidi/>
        <w:spacing w:after="60" w:line="280" w:lineRule="exact"/>
        <w:ind w:left="1247" w:right="1247" w:hanging="567"/>
        <w:jc w:val="lowKashida"/>
        <w:textDirection w:val="tbRlV"/>
        <w:rPr>
          <w:szCs w:val="18"/>
          <w:lang w:eastAsia="zh-TW" w:bidi="en-GB"/>
        </w:rPr>
      </w:pPr>
      <w:r w:rsidRPr="00651C31">
        <w:rPr>
          <w:rStyle w:val="FootnoteReference"/>
          <w:vertAlign w:val="baseline"/>
          <w:rtl/>
        </w:rPr>
        <w:t>(</w:t>
      </w:r>
      <w:r w:rsidRPr="00651C31">
        <w:rPr>
          <w:rStyle w:val="FootnoteReference"/>
          <w:vertAlign w:val="baseline"/>
          <w:rtl/>
        </w:rPr>
        <w:footnoteRef/>
      </w:r>
      <w:r w:rsidRPr="00651C31">
        <w:rPr>
          <w:rStyle w:val="FootnoteReference"/>
          <w:vertAlign w:val="baseline"/>
          <w:rtl/>
        </w:rPr>
        <w:t>)</w:t>
      </w:r>
      <w:r w:rsidRPr="00651C31">
        <w:rPr>
          <w:szCs w:val="18"/>
          <w:rtl/>
        </w:rPr>
        <w:tab/>
        <w:t xml:space="preserve">الوثيقة </w:t>
      </w:r>
      <w:hyperlink r:id="rId4" w:history="1">
        <w:r w:rsidRPr="00651C31">
          <w:rPr>
            <w:rStyle w:val="Hyperlink"/>
            <w:szCs w:val="18"/>
            <w:lang w:val="en-AU"/>
          </w:rPr>
          <w:t>CAT/C/</w:t>
        </w:r>
        <w:proofErr w:type="spellStart"/>
        <w:r w:rsidRPr="00651C31">
          <w:rPr>
            <w:rStyle w:val="Hyperlink"/>
            <w:szCs w:val="18"/>
            <w:lang w:val="en-AU"/>
          </w:rPr>
          <w:t>IRQ</w:t>
        </w:r>
        <w:proofErr w:type="spellEnd"/>
        <w:r w:rsidRPr="00651C31">
          <w:rPr>
            <w:rStyle w:val="Hyperlink"/>
            <w:szCs w:val="18"/>
            <w:lang w:val="en-AU"/>
          </w:rPr>
          <w:t>/</w:t>
        </w:r>
        <w:proofErr w:type="spellStart"/>
        <w:r w:rsidRPr="00651C31">
          <w:rPr>
            <w:rStyle w:val="Hyperlink"/>
            <w:szCs w:val="18"/>
            <w:lang w:val="en-AU"/>
          </w:rPr>
          <w:t>RQ</w:t>
        </w:r>
        <w:proofErr w:type="spellEnd"/>
        <w:r w:rsidRPr="00651C31">
          <w:rPr>
            <w:rStyle w:val="Hyperlink"/>
            <w:szCs w:val="18"/>
            <w:lang w:val="en-AU"/>
          </w:rPr>
          <w:t>/2</w:t>
        </w:r>
      </w:hyperlink>
      <w:r w:rsidRPr="00651C31">
        <w:rPr>
          <w:rFonts w:cs="Times New Roman"/>
          <w:color w:val="000000"/>
          <w:szCs w:val="18"/>
          <w:rtl/>
        </w:rPr>
        <w:t xml:space="preserve">. </w:t>
      </w:r>
    </w:p>
  </w:footnote>
  <w:footnote w:id="5">
    <w:p w14:paraId="5B1D6B0E" w14:textId="5625C453" w:rsidR="00DE6894" w:rsidRPr="00651C31" w:rsidRDefault="00DE6894" w:rsidP="00DE6894">
      <w:pPr>
        <w:pStyle w:val="FootnoteText"/>
        <w:tabs>
          <w:tab w:val="clear" w:pos="1021"/>
        </w:tabs>
        <w:bidi/>
        <w:spacing w:after="60" w:line="280" w:lineRule="exact"/>
        <w:ind w:left="1247" w:right="1247" w:hanging="567"/>
        <w:jc w:val="lowKashida"/>
        <w:textDirection w:val="tbRlV"/>
        <w:rPr>
          <w:szCs w:val="18"/>
          <w:lang w:val="ar-SA" w:eastAsia="zh-TW" w:bidi="en-GB"/>
        </w:rPr>
      </w:pPr>
      <w:r w:rsidRPr="00651C31">
        <w:rPr>
          <w:rStyle w:val="FootnoteReference"/>
          <w:vertAlign w:val="baseline"/>
          <w:rtl/>
        </w:rPr>
        <w:t>(</w:t>
      </w:r>
      <w:r w:rsidRPr="00651C31">
        <w:rPr>
          <w:rStyle w:val="FootnoteReference"/>
          <w:vertAlign w:val="baseline"/>
          <w:rtl/>
        </w:rPr>
        <w:footnoteRef/>
      </w:r>
      <w:r w:rsidRPr="00651C31">
        <w:rPr>
          <w:rStyle w:val="FootnoteReference"/>
          <w:vertAlign w:val="baseline"/>
          <w:rtl/>
        </w:rPr>
        <w:t>)</w:t>
      </w:r>
      <w:r w:rsidRPr="00651C31">
        <w:rPr>
          <w:szCs w:val="18"/>
          <w:rtl/>
        </w:rPr>
        <w:tab/>
        <w:t xml:space="preserve">الوثيقة </w:t>
      </w:r>
      <w:hyperlink r:id="rId5" w:history="1">
        <w:r w:rsidRPr="00651C31">
          <w:rPr>
            <w:rStyle w:val="Hyperlink"/>
            <w:szCs w:val="18"/>
            <w:lang w:val="en-AU"/>
          </w:rPr>
          <w:t>CAT/C/</w:t>
        </w:r>
        <w:proofErr w:type="spellStart"/>
        <w:r w:rsidRPr="00651C31">
          <w:rPr>
            <w:rStyle w:val="Hyperlink"/>
            <w:szCs w:val="18"/>
            <w:lang w:val="en-AU"/>
          </w:rPr>
          <w:t>IRQ</w:t>
        </w:r>
        <w:proofErr w:type="spellEnd"/>
        <w:r w:rsidRPr="00651C31">
          <w:rPr>
            <w:rStyle w:val="Hyperlink"/>
            <w:szCs w:val="18"/>
            <w:lang w:val="en-AU"/>
          </w:rPr>
          <w:t>/Q/2</w:t>
        </w:r>
      </w:hyperlink>
      <w:r w:rsidRPr="00651C31">
        <w:rPr>
          <w:rFonts w:cs="Times New Roman"/>
          <w:color w:val="000000"/>
          <w:szCs w:val="18"/>
          <w:rtl/>
        </w:rPr>
        <w:t xml:space="preserve">. </w:t>
      </w:r>
    </w:p>
  </w:footnote>
  <w:footnote w:id="6">
    <w:p w14:paraId="0A2311CA" w14:textId="47BD3B6A" w:rsidR="00DE6894" w:rsidRPr="00651C31" w:rsidRDefault="00DE6894" w:rsidP="00DE6894">
      <w:pPr>
        <w:pStyle w:val="FootnoteText"/>
        <w:tabs>
          <w:tab w:val="clear" w:pos="1021"/>
        </w:tabs>
        <w:bidi/>
        <w:spacing w:after="60" w:line="280" w:lineRule="exact"/>
        <w:ind w:left="1247" w:right="1247" w:hanging="567"/>
        <w:jc w:val="lowKashida"/>
        <w:textDirection w:val="tbRlV"/>
        <w:rPr>
          <w:szCs w:val="18"/>
          <w:lang w:val="ar-SA" w:eastAsia="zh-TW" w:bidi="en-GB"/>
        </w:rPr>
      </w:pPr>
      <w:r w:rsidRPr="00651C31">
        <w:rPr>
          <w:rStyle w:val="FootnoteReference"/>
          <w:vertAlign w:val="baseline"/>
          <w:rtl/>
        </w:rPr>
        <w:t>(</w:t>
      </w:r>
      <w:r w:rsidRPr="00651C31">
        <w:rPr>
          <w:rStyle w:val="FootnoteReference"/>
          <w:vertAlign w:val="baseline"/>
          <w:rtl/>
        </w:rPr>
        <w:footnoteRef/>
      </w:r>
      <w:r w:rsidRPr="00651C31">
        <w:rPr>
          <w:rStyle w:val="FootnoteReference"/>
          <w:vertAlign w:val="baseline"/>
          <w:rtl/>
        </w:rPr>
        <w:t>)</w:t>
      </w:r>
      <w:r w:rsidRPr="00651C31">
        <w:rPr>
          <w:szCs w:val="18"/>
          <w:rtl/>
        </w:rPr>
        <w:tab/>
        <w:t xml:space="preserve">الوثيقتان </w:t>
      </w:r>
      <w:hyperlink r:id="rId6" w:history="1">
        <w:r w:rsidRPr="00651C31">
          <w:rPr>
            <w:rStyle w:val="Hyperlink"/>
            <w:szCs w:val="18"/>
            <w:lang w:val="en-AU"/>
          </w:rPr>
          <w:t>CAT/C/</w:t>
        </w:r>
        <w:proofErr w:type="spellStart"/>
        <w:r w:rsidRPr="00651C31">
          <w:rPr>
            <w:rStyle w:val="Hyperlink"/>
            <w:szCs w:val="18"/>
            <w:lang w:val="en-AU"/>
          </w:rPr>
          <w:t>IRQ</w:t>
        </w:r>
        <w:proofErr w:type="spellEnd"/>
        <w:r w:rsidRPr="00651C31">
          <w:rPr>
            <w:rStyle w:val="Hyperlink"/>
            <w:szCs w:val="18"/>
            <w:lang w:val="en-AU"/>
          </w:rPr>
          <w:t>/CO/1</w:t>
        </w:r>
      </w:hyperlink>
      <w:r w:rsidRPr="00651C31">
        <w:rPr>
          <w:szCs w:val="18"/>
          <w:rtl/>
        </w:rPr>
        <w:t xml:space="preserve"> و</w:t>
      </w:r>
      <w:hyperlink r:id="rId7" w:history="1">
        <w:r w:rsidRPr="00651C31">
          <w:rPr>
            <w:rStyle w:val="Hyperlink"/>
            <w:szCs w:val="18"/>
            <w:lang w:val="en-AU"/>
          </w:rPr>
          <w:t>CAT/C/</w:t>
        </w:r>
        <w:proofErr w:type="spellStart"/>
        <w:r w:rsidRPr="00651C31">
          <w:rPr>
            <w:rStyle w:val="Hyperlink"/>
            <w:szCs w:val="18"/>
            <w:lang w:val="en-AU"/>
          </w:rPr>
          <w:t>IRQ</w:t>
        </w:r>
        <w:proofErr w:type="spellEnd"/>
        <w:r w:rsidRPr="00651C31">
          <w:rPr>
            <w:rStyle w:val="Hyperlink"/>
            <w:szCs w:val="18"/>
            <w:lang w:val="en-AU"/>
          </w:rPr>
          <w:t>/CO/1/</w:t>
        </w:r>
        <w:proofErr w:type="spellStart"/>
        <w:r w:rsidRPr="00651C31">
          <w:rPr>
            <w:rStyle w:val="Hyperlink"/>
            <w:szCs w:val="18"/>
            <w:lang w:val="en-AU"/>
          </w:rPr>
          <w:t>Corr.1</w:t>
        </w:r>
        <w:proofErr w:type="spellEnd"/>
      </w:hyperlink>
      <w:r w:rsidRPr="00651C31">
        <w:rPr>
          <w:szCs w:val="18"/>
          <w:rtl/>
        </w:rPr>
        <w:t xml:space="preserve">، الفقرات 12(أ) </w:t>
      </w:r>
      <w:proofErr w:type="spellStart"/>
      <w:r w:rsidRPr="00651C31">
        <w:rPr>
          <w:szCs w:val="18"/>
          <w:rtl/>
        </w:rPr>
        <w:t>و13</w:t>
      </w:r>
      <w:proofErr w:type="spellEnd"/>
      <w:r w:rsidRPr="00651C31">
        <w:rPr>
          <w:szCs w:val="18"/>
          <w:rtl/>
        </w:rPr>
        <w:t xml:space="preserve">-14 </w:t>
      </w:r>
      <w:proofErr w:type="spellStart"/>
      <w:r w:rsidRPr="00651C31">
        <w:rPr>
          <w:szCs w:val="18"/>
          <w:rtl/>
        </w:rPr>
        <w:t>و16</w:t>
      </w:r>
      <w:proofErr w:type="spellEnd"/>
      <w:r w:rsidRPr="00651C31">
        <w:rPr>
          <w:szCs w:val="18"/>
          <w:rtl/>
        </w:rPr>
        <w:t xml:space="preserve">(أ) </w:t>
      </w:r>
      <w:proofErr w:type="spellStart"/>
      <w:r w:rsidRPr="00651C31">
        <w:rPr>
          <w:szCs w:val="18"/>
          <w:rtl/>
        </w:rPr>
        <w:t>و32</w:t>
      </w:r>
      <w:proofErr w:type="spellEnd"/>
      <w:r w:rsidRPr="00651C31">
        <w:rPr>
          <w:color w:val="000000"/>
          <w:szCs w:val="18"/>
          <w:rtl/>
        </w:rPr>
        <w:t xml:space="preserve">. </w:t>
      </w:r>
    </w:p>
  </w:footnote>
  <w:footnote w:id="7">
    <w:p w14:paraId="1B4AD9AE" w14:textId="7F4A819A" w:rsidR="00DE6894" w:rsidRPr="00651C31" w:rsidRDefault="00DE6894" w:rsidP="00DE6894">
      <w:pPr>
        <w:pStyle w:val="FootnoteText"/>
        <w:tabs>
          <w:tab w:val="clear" w:pos="1021"/>
        </w:tabs>
        <w:bidi/>
        <w:spacing w:after="60" w:line="280" w:lineRule="exact"/>
        <w:ind w:left="1247" w:right="1247" w:hanging="567"/>
        <w:jc w:val="lowKashida"/>
        <w:textDirection w:val="tbRlV"/>
        <w:rPr>
          <w:szCs w:val="18"/>
          <w:lang w:eastAsia="zh-TW" w:bidi="en-GB"/>
        </w:rPr>
      </w:pPr>
      <w:r w:rsidRPr="00651C31">
        <w:rPr>
          <w:rStyle w:val="FootnoteReference"/>
          <w:vertAlign w:val="baseline"/>
          <w:rtl/>
        </w:rPr>
        <w:t>(</w:t>
      </w:r>
      <w:r w:rsidRPr="00651C31">
        <w:rPr>
          <w:rStyle w:val="FootnoteReference"/>
          <w:vertAlign w:val="baseline"/>
          <w:rtl/>
        </w:rPr>
        <w:footnoteRef/>
      </w:r>
      <w:r w:rsidRPr="00651C31">
        <w:rPr>
          <w:rStyle w:val="FootnoteReference"/>
          <w:vertAlign w:val="baseline"/>
          <w:rtl/>
        </w:rPr>
        <w:t>)</w:t>
      </w:r>
      <w:r w:rsidRPr="00651C31">
        <w:rPr>
          <w:szCs w:val="18"/>
          <w:rtl/>
        </w:rPr>
        <w:tab/>
        <w:t>الوثيقة</w:t>
      </w:r>
      <w:r w:rsidRPr="00651C31">
        <w:rPr>
          <w:rFonts w:cs="Times New Roman" w:hint="cs"/>
          <w:szCs w:val="18"/>
          <w:rtl/>
        </w:rPr>
        <w:t xml:space="preserve"> </w:t>
      </w:r>
      <w:hyperlink r:id="rId8" w:history="1">
        <w:r w:rsidRPr="00651C31">
          <w:rPr>
            <w:rStyle w:val="Hyperlink"/>
            <w:szCs w:val="18"/>
            <w:lang w:val="en-AU"/>
          </w:rPr>
          <w:t>CAT/C/</w:t>
        </w:r>
        <w:proofErr w:type="spellStart"/>
        <w:r w:rsidRPr="00651C31">
          <w:rPr>
            <w:rStyle w:val="Hyperlink"/>
            <w:szCs w:val="18"/>
            <w:lang w:val="en-AU"/>
          </w:rPr>
          <w:t>IRQ</w:t>
        </w:r>
        <w:proofErr w:type="spellEnd"/>
        <w:r w:rsidRPr="00651C31">
          <w:rPr>
            <w:rStyle w:val="Hyperlink"/>
            <w:szCs w:val="18"/>
            <w:lang w:val="en-AU"/>
          </w:rPr>
          <w:t>/</w:t>
        </w:r>
        <w:proofErr w:type="spellStart"/>
        <w:r w:rsidRPr="00651C31">
          <w:rPr>
            <w:rStyle w:val="Hyperlink"/>
            <w:szCs w:val="18"/>
            <w:lang w:val="en-AU"/>
          </w:rPr>
          <w:t>FCO</w:t>
        </w:r>
        <w:proofErr w:type="spellEnd"/>
        <w:r w:rsidRPr="00651C31">
          <w:rPr>
            <w:rStyle w:val="Hyperlink"/>
            <w:szCs w:val="18"/>
            <w:lang w:val="en-AU"/>
          </w:rPr>
          <w:t>/1</w:t>
        </w:r>
      </w:hyperlink>
      <w:r w:rsidRPr="00651C31">
        <w:rPr>
          <w:rFonts w:cs="Times New Roman"/>
          <w:color w:val="000000"/>
          <w:szCs w:val="18"/>
          <w:rtl/>
        </w:rPr>
        <w:t xml:space="preserve">. </w:t>
      </w:r>
    </w:p>
  </w:footnote>
  <w:footnote w:id="8">
    <w:p w14:paraId="50128313" w14:textId="1090104B" w:rsidR="00DE6894" w:rsidRPr="00651C31" w:rsidRDefault="00DE6894" w:rsidP="00DE6894">
      <w:pPr>
        <w:pStyle w:val="FootnoteText"/>
        <w:tabs>
          <w:tab w:val="clear" w:pos="1021"/>
        </w:tabs>
        <w:bidi/>
        <w:spacing w:after="60" w:line="280" w:lineRule="exact"/>
        <w:ind w:left="1247" w:right="1247" w:hanging="567"/>
        <w:jc w:val="lowKashida"/>
        <w:textDirection w:val="tbRlV"/>
        <w:rPr>
          <w:szCs w:val="18"/>
          <w:lang w:val="ar-SA" w:eastAsia="zh-TW" w:bidi="en-GB"/>
        </w:rPr>
      </w:pPr>
      <w:r w:rsidRPr="00651C31">
        <w:rPr>
          <w:rStyle w:val="FootnoteReference"/>
          <w:vertAlign w:val="baseline"/>
          <w:rtl/>
        </w:rPr>
        <w:t>(</w:t>
      </w:r>
      <w:r w:rsidRPr="00651C31">
        <w:rPr>
          <w:rStyle w:val="FootnoteReference"/>
          <w:vertAlign w:val="baseline"/>
          <w:rtl/>
        </w:rPr>
        <w:footnoteRef/>
      </w:r>
      <w:r w:rsidRPr="00651C31">
        <w:rPr>
          <w:rStyle w:val="FootnoteReference"/>
          <w:vertAlign w:val="baseline"/>
          <w:rtl/>
        </w:rPr>
        <w:t>)</w:t>
      </w:r>
      <w:r w:rsidRPr="00651C31">
        <w:rPr>
          <w:szCs w:val="18"/>
          <w:rtl/>
        </w:rPr>
        <w:tab/>
        <w:t xml:space="preserve">الوثيقة </w:t>
      </w:r>
      <w:hyperlink r:id="rId9" w:history="1">
        <w:r w:rsidRPr="00651C31">
          <w:rPr>
            <w:rStyle w:val="Hyperlink"/>
            <w:szCs w:val="18"/>
            <w:lang w:val="en-AU"/>
          </w:rPr>
          <w:t>CAT/C/</w:t>
        </w:r>
        <w:proofErr w:type="spellStart"/>
        <w:r w:rsidRPr="00651C31">
          <w:rPr>
            <w:rStyle w:val="Hyperlink"/>
            <w:szCs w:val="18"/>
            <w:lang w:val="en-AU"/>
          </w:rPr>
          <w:t>IRQ</w:t>
        </w:r>
        <w:proofErr w:type="spellEnd"/>
        <w:r w:rsidRPr="00651C31">
          <w:rPr>
            <w:rStyle w:val="Hyperlink"/>
            <w:szCs w:val="18"/>
            <w:lang w:val="en-AU"/>
          </w:rPr>
          <w:t>/CO/1</w:t>
        </w:r>
      </w:hyperlink>
      <w:r w:rsidRPr="00651C31">
        <w:rPr>
          <w:szCs w:val="18"/>
          <w:rtl/>
        </w:rPr>
        <w:t xml:space="preserve">، الفقرتان 10 </w:t>
      </w:r>
      <w:proofErr w:type="spellStart"/>
      <w:r w:rsidRPr="00651C31">
        <w:rPr>
          <w:szCs w:val="18"/>
          <w:rtl/>
        </w:rPr>
        <w:t>و27</w:t>
      </w:r>
      <w:proofErr w:type="spellEnd"/>
      <w:r w:rsidRPr="00651C31">
        <w:rPr>
          <w:color w:val="000000"/>
          <w:szCs w:val="18"/>
          <w:rtl/>
        </w:rPr>
        <w:t xml:space="preserve">. </w:t>
      </w:r>
    </w:p>
  </w:footnote>
  <w:footnote w:id="9">
    <w:p w14:paraId="70AF546C" w14:textId="75B4C61C" w:rsidR="00DE6894" w:rsidRPr="00651C31" w:rsidRDefault="00DE6894" w:rsidP="00DE6894">
      <w:pPr>
        <w:pStyle w:val="FootnoteText"/>
        <w:tabs>
          <w:tab w:val="clear" w:pos="1021"/>
        </w:tabs>
        <w:bidi/>
        <w:spacing w:after="60" w:line="280" w:lineRule="exact"/>
        <w:ind w:left="1247" w:right="1247" w:hanging="567"/>
        <w:jc w:val="lowKashida"/>
        <w:textDirection w:val="tbRlV"/>
        <w:rPr>
          <w:szCs w:val="18"/>
          <w:lang w:val="ar-SA" w:eastAsia="zh-TW" w:bidi="en-GB"/>
        </w:rPr>
      </w:pPr>
      <w:r w:rsidRPr="00651C31">
        <w:rPr>
          <w:rStyle w:val="FootnoteReference"/>
          <w:vertAlign w:val="baseline"/>
          <w:rtl/>
        </w:rPr>
        <w:t>(</w:t>
      </w:r>
      <w:r w:rsidRPr="00651C31">
        <w:rPr>
          <w:rStyle w:val="FootnoteReference"/>
          <w:vertAlign w:val="baseline"/>
          <w:rtl/>
        </w:rPr>
        <w:footnoteRef/>
      </w:r>
      <w:r w:rsidRPr="00651C31">
        <w:rPr>
          <w:rStyle w:val="FootnoteReference"/>
          <w:vertAlign w:val="baseline"/>
          <w:rtl/>
        </w:rPr>
        <w:t>)</w:t>
      </w:r>
      <w:r w:rsidRPr="00651C31">
        <w:rPr>
          <w:szCs w:val="18"/>
          <w:rtl/>
        </w:rPr>
        <w:tab/>
        <w:t xml:space="preserve">انظر الوثيقة </w:t>
      </w:r>
      <w:hyperlink r:id="rId10" w:history="1">
        <w:proofErr w:type="spellStart"/>
        <w:r w:rsidRPr="00651C31">
          <w:rPr>
            <w:rStyle w:val="Hyperlink"/>
            <w:szCs w:val="18"/>
            <w:lang w:val="en-AU"/>
          </w:rPr>
          <w:t>CCPR</w:t>
        </w:r>
        <w:proofErr w:type="spellEnd"/>
        <w:r w:rsidRPr="00651C31">
          <w:rPr>
            <w:rStyle w:val="Hyperlink"/>
            <w:szCs w:val="18"/>
            <w:lang w:val="en-AU"/>
          </w:rPr>
          <w:t>/C/</w:t>
        </w:r>
        <w:proofErr w:type="spellStart"/>
        <w:r w:rsidRPr="00651C31">
          <w:rPr>
            <w:rStyle w:val="Hyperlink"/>
            <w:szCs w:val="18"/>
            <w:lang w:val="en-AU"/>
          </w:rPr>
          <w:t>IRQ</w:t>
        </w:r>
        <w:proofErr w:type="spellEnd"/>
        <w:r w:rsidRPr="00651C31">
          <w:rPr>
            <w:rStyle w:val="Hyperlink"/>
            <w:szCs w:val="18"/>
            <w:lang w:val="en-AU"/>
          </w:rPr>
          <w:t>/CO/6</w:t>
        </w:r>
      </w:hyperlink>
      <w:r w:rsidRPr="00651C31">
        <w:rPr>
          <w:rFonts w:cs="Times New Roman"/>
          <w:color w:val="000000"/>
          <w:szCs w:val="18"/>
          <w:rtl/>
        </w:rPr>
        <w:t xml:space="preserve">. </w:t>
      </w:r>
    </w:p>
  </w:footnote>
  <w:footnote w:id="10">
    <w:p w14:paraId="21D561A8" w14:textId="3B437A21" w:rsidR="00DE6894" w:rsidRPr="00651C31" w:rsidRDefault="00DE6894" w:rsidP="00DE6894">
      <w:pPr>
        <w:pStyle w:val="FootnoteText"/>
        <w:tabs>
          <w:tab w:val="clear" w:pos="1021"/>
        </w:tabs>
        <w:bidi/>
        <w:spacing w:after="60" w:line="280" w:lineRule="exact"/>
        <w:ind w:left="1247" w:right="1247" w:hanging="567"/>
        <w:jc w:val="lowKashida"/>
        <w:textDirection w:val="tbRlV"/>
        <w:rPr>
          <w:szCs w:val="18"/>
          <w:lang w:val="ar-SA" w:eastAsia="zh-TW" w:bidi="en-GB"/>
        </w:rPr>
      </w:pPr>
      <w:r w:rsidRPr="00651C31">
        <w:rPr>
          <w:rStyle w:val="FootnoteReference"/>
          <w:vertAlign w:val="baseline"/>
          <w:rtl/>
        </w:rPr>
        <w:t>(</w:t>
      </w:r>
      <w:r w:rsidRPr="00651C31">
        <w:rPr>
          <w:rStyle w:val="FootnoteReference"/>
          <w:vertAlign w:val="baseline"/>
          <w:rtl/>
        </w:rPr>
        <w:footnoteRef/>
      </w:r>
      <w:r w:rsidRPr="00651C31">
        <w:rPr>
          <w:rStyle w:val="FootnoteReference"/>
          <w:vertAlign w:val="baseline"/>
          <w:rtl/>
        </w:rPr>
        <w:t>)</w:t>
      </w:r>
      <w:r w:rsidRPr="00651C31">
        <w:rPr>
          <w:szCs w:val="18"/>
          <w:rtl/>
        </w:rPr>
        <w:tab/>
        <w:t xml:space="preserve">الوثيقة </w:t>
      </w:r>
      <w:hyperlink r:id="rId11" w:history="1">
        <w:r w:rsidRPr="00651C31">
          <w:rPr>
            <w:rStyle w:val="Hyperlink"/>
            <w:szCs w:val="18"/>
            <w:lang w:val="en-AU"/>
          </w:rPr>
          <w:t>A/</w:t>
        </w:r>
        <w:proofErr w:type="spellStart"/>
        <w:r w:rsidRPr="00651C31">
          <w:rPr>
            <w:rStyle w:val="Hyperlink"/>
            <w:szCs w:val="18"/>
            <w:lang w:val="en-AU"/>
          </w:rPr>
          <w:t>HRC</w:t>
        </w:r>
        <w:proofErr w:type="spellEnd"/>
        <w:r w:rsidRPr="00651C31">
          <w:rPr>
            <w:rStyle w:val="Hyperlink"/>
            <w:szCs w:val="18"/>
            <w:lang w:val="en-AU"/>
          </w:rPr>
          <w:t>/43/14</w:t>
        </w:r>
      </w:hyperlink>
      <w:r w:rsidRPr="00651C31">
        <w:rPr>
          <w:szCs w:val="18"/>
          <w:rtl/>
        </w:rPr>
        <w:t xml:space="preserve">، الفقرة 147-152؛ انظر أيضاً الوثيقة </w:t>
      </w:r>
      <w:hyperlink r:id="rId12" w:history="1">
        <w:r w:rsidRPr="00651C31">
          <w:rPr>
            <w:rStyle w:val="Hyperlink"/>
            <w:szCs w:val="18"/>
            <w:lang w:val="en-AU"/>
          </w:rPr>
          <w:t>A/</w:t>
        </w:r>
        <w:proofErr w:type="spellStart"/>
        <w:r w:rsidRPr="00651C31">
          <w:rPr>
            <w:rStyle w:val="Hyperlink"/>
            <w:szCs w:val="18"/>
            <w:lang w:val="en-AU"/>
          </w:rPr>
          <w:t>HRC</w:t>
        </w:r>
        <w:proofErr w:type="spellEnd"/>
        <w:r w:rsidRPr="00651C31">
          <w:rPr>
            <w:rStyle w:val="Hyperlink"/>
            <w:szCs w:val="18"/>
            <w:lang w:val="en-AU"/>
          </w:rPr>
          <w:t>/43/14/</w:t>
        </w:r>
        <w:proofErr w:type="spellStart"/>
        <w:r w:rsidRPr="00651C31">
          <w:rPr>
            <w:rStyle w:val="Hyperlink"/>
            <w:szCs w:val="18"/>
            <w:lang w:val="en-AU"/>
          </w:rPr>
          <w:t>Add.1</w:t>
        </w:r>
        <w:proofErr w:type="spellEnd"/>
      </w:hyperlink>
      <w:r w:rsidRPr="00651C31">
        <w:rPr>
          <w:rFonts w:cs="Times New Roman"/>
          <w:color w:val="000000"/>
          <w:szCs w:val="18"/>
          <w:rtl/>
        </w:rPr>
        <w:t xml:space="preserve">. </w:t>
      </w:r>
    </w:p>
  </w:footnote>
  <w:footnote w:id="11">
    <w:p w14:paraId="446BFECE" w14:textId="484EF42E" w:rsidR="00DE6894" w:rsidRPr="00651C31" w:rsidRDefault="00DE6894" w:rsidP="00DE6894">
      <w:pPr>
        <w:pStyle w:val="FootnoteText"/>
        <w:tabs>
          <w:tab w:val="clear" w:pos="1021"/>
        </w:tabs>
        <w:bidi/>
        <w:spacing w:after="60" w:line="280" w:lineRule="exact"/>
        <w:ind w:left="1247" w:right="1247" w:hanging="567"/>
        <w:jc w:val="lowKashida"/>
        <w:textDirection w:val="tbRlV"/>
        <w:rPr>
          <w:szCs w:val="18"/>
          <w:lang w:val="ar-SA" w:eastAsia="zh-TW" w:bidi="en-GB"/>
        </w:rPr>
      </w:pPr>
      <w:r w:rsidRPr="00651C31">
        <w:rPr>
          <w:rStyle w:val="FootnoteReference"/>
          <w:vertAlign w:val="baseline"/>
          <w:rtl/>
        </w:rPr>
        <w:t>(</w:t>
      </w:r>
      <w:r w:rsidRPr="00651C31">
        <w:rPr>
          <w:rStyle w:val="FootnoteReference"/>
          <w:vertAlign w:val="baseline"/>
          <w:rtl/>
        </w:rPr>
        <w:footnoteRef/>
      </w:r>
      <w:r w:rsidRPr="00651C31">
        <w:rPr>
          <w:rStyle w:val="FootnoteReference"/>
          <w:vertAlign w:val="baseline"/>
          <w:rtl/>
        </w:rPr>
        <w:t>)</w:t>
      </w:r>
      <w:r w:rsidRPr="00651C31">
        <w:rPr>
          <w:szCs w:val="18"/>
          <w:rtl/>
        </w:rPr>
        <w:tab/>
        <w:t xml:space="preserve">الوثيقة </w:t>
      </w:r>
      <w:hyperlink r:id="rId13" w:history="1">
        <w:proofErr w:type="spellStart"/>
        <w:r w:rsidRPr="00651C31">
          <w:rPr>
            <w:rStyle w:val="Hyperlink"/>
            <w:szCs w:val="18"/>
            <w:lang w:val="en-AU"/>
          </w:rPr>
          <w:t>CED</w:t>
        </w:r>
        <w:proofErr w:type="spellEnd"/>
        <w:r w:rsidRPr="00651C31">
          <w:rPr>
            <w:rStyle w:val="Hyperlink"/>
            <w:szCs w:val="18"/>
            <w:lang w:val="en-AU"/>
          </w:rPr>
          <w:t>/C/</w:t>
        </w:r>
        <w:proofErr w:type="spellStart"/>
        <w:r w:rsidRPr="00651C31">
          <w:rPr>
            <w:rStyle w:val="Hyperlink"/>
            <w:szCs w:val="18"/>
            <w:lang w:val="en-AU"/>
          </w:rPr>
          <w:t>IRQ</w:t>
        </w:r>
        <w:proofErr w:type="spellEnd"/>
        <w:r w:rsidRPr="00651C31">
          <w:rPr>
            <w:rStyle w:val="Hyperlink"/>
            <w:szCs w:val="18"/>
            <w:lang w:val="en-AU"/>
          </w:rPr>
          <w:t>/</w:t>
        </w:r>
        <w:proofErr w:type="spellStart"/>
        <w:r w:rsidRPr="00651C31">
          <w:rPr>
            <w:rStyle w:val="Hyperlink"/>
            <w:szCs w:val="18"/>
            <w:lang w:val="en-AU"/>
          </w:rPr>
          <w:t>OAI</w:t>
        </w:r>
        <w:proofErr w:type="spellEnd"/>
        <w:r w:rsidRPr="00651C31">
          <w:rPr>
            <w:rStyle w:val="Hyperlink"/>
            <w:szCs w:val="18"/>
            <w:lang w:val="en-AU"/>
          </w:rPr>
          <w:t>/1</w:t>
        </w:r>
      </w:hyperlink>
      <w:r w:rsidRPr="00651C31">
        <w:rPr>
          <w:szCs w:val="18"/>
          <w:rtl/>
        </w:rPr>
        <w:t>، الفقرات 18-19؛ انظر أيضا</w:t>
      </w:r>
      <w:r w:rsidR="00651C31" w:rsidRPr="00651C31">
        <w:rPr>
          <w:rFonts w:hint="cs"/>
          <w:szCs w:val="18"/>
          <w:rtl/>
        </w:rPr>
        <w:t>ً</w:t>
      </w:r>
      <w:r w:rsidRPr="00651C31">
        <w:rPr>
          <w:szCs w:val="18"/>
          <w:rtl/>
        </w:rPr>
        <w:t xml:space="preserve"> الوثيقة </w:t>
      </w:r>
      <w:hyperlink r:id="rId14" w:history="1">
        <w:proofErr w:type="spellStart"/>
        <w:r w:rsidRPr="00651C31">
          <w:rPr>
            <w:rStyle w:val="Hyperlink"/>
            <w:szCs w:val="18"/>
            <w:lang w:val="en-AU"/>
          </w:rPr>
          <w:t>CCPR</w:t>
        </w:r>
        <w:proofErr w:type="spellEnd"/>
        <w:r w:rsidRPr="00651C31">
          <w:rPr>
            <w:rStyle w:val="Hyperlink"/>
            <w:szCs w:val="18"/>
            <w:lang w:val="en-AU"/>
          </w:rPr>
          <w:t>/C/</w:t>
        </w:r>
        <w:proofErr w:type="spellStart"/>
        <w:r w:rsidRPr="00651C31">
          <w:rPr>
            <w:rStyle w:val="Hyperlink"/>
            <w:szCs w:val="18"/>
            <w:lang w:val="en-AU"/>
          </w:rPr>
          <w:t>IRQ</w:t>
        </w:r>
        <w:proofErr w:type="spellEnd"/>
        <w:r w:rsidRPr="00651C31">
          <w:rPr>
            <w:rStyle w:val="Hyperlink"/>
            <w:szCs w:val="18"/>
            <w:lang w:val="en-AU"/>
          </w:rPr>
          <w:t>/CO/6</w:t>
        </w:r>
      </w:hyperlink>
      <w:r w:rsidRPr="00651C31">
        <w:rPr>
          <w:rFonts w:cs="Times New Roman"/>
          <w:color w:val="000000"/>
          <w:szCs w:val="18"/>
          <w:rtl/>
        </w:rPr>
        <w:t xml:space="preserve">. </w:t>
      </w:r>
    </w:p>
  </w:footnote>
  <w:footnote w:id="12">
    <w:p w14:paraId="7FD26D9B" w14:textId="388F2C69" w:rsidR="00DE6894" w:rsidRPr="00651C31" w:rsidRDefault="00DE6894" w:rsidP="00DE6894">
      <w:pPr>
        <w:pStyle w:val="FootnoteText"/>
        <w:tabs>
          <w:tab w:val="clear" w:pos="1021"/>
        </w:tabs>
        <w:bidi/>
        <w:spacing w:after="60" w:line="280" w:lineRule="exact"/>
        <w:ind w:left="1247" w:right="1247" w:hanging="567"/>
        <w:jc w:val="lowKashida"/>
        <w:textDirection w:val="tbRlV"/>
        <w:rPr>
          <w:szCs w:val="18"/>
          <w:lang w:val="ar-SA" w:eastAsia="zh-TW" w:bidi="en-GB"/>
        </w:rPr>
      </w:pPr>
      <w:r w:rsidRPr="00651C31">
        <w:rPr>
          <w:rStyle w:val="FootnoteReference"/>
          <w:vertAlign w:val="baseline"/>
          <w:rtl/>
        </w:rPr>
        <w:t>(</w:t>
      </w:r>
      <w:r w:rsidRPr="00651C31">
        <w:rPr>
          <w:rStyle w:val="FootnoteReference"/>
          <w:vertAlign w:val="baseline"/>
          <w:rtl/>
        </w:rPr>
        <w:footnoteRef/>
      </w:r>
      <w:r w:rsidRPr="00651C31">
        <w:rPr>
          <w:rStyle w:val="FootnoteReference"/>
          <w:vertAlign w:val="baseline"/>
          <w:rtl/>
        </w:rPr>
        <w:t>)</w:t>
      </w:r>
      <w:r w:rsidRPr="00651C31">
        <w:rPr>
          <w:szCs w:val="18"/>
          <w:rtl/>
        </w:rPr>
        <w:tab/>
        <w:t xml:space="preserve">الوثيقة </w:t>
      </w:r>
      <w:hyperlink r:id="rId15" w:history="1">
        <w:proofErr w:type="spellStart"/>
        <w:r w:rsidRPr="00651C31">
          <w:rPr>
            <w:rStyle w:val="Hyperlink"/>
            <w:szCs w:val="18"/>
            <w:lang w:val="en-AU"/>
          </w:rPr>
          <w:t>CED</w:t>
        </w:r>
        <w:proofErr w:type="spellEnd"/>
        <w:r w:rsidRPr="00651C31">
          <w:rPr>
            <w:rStyle w:val="Hyperlink"/>
            <w:szCs w:val="18"/>
            <w:lang w:val="en-AU"/>
          </w:rPr>
          <w:t>/C/</w:t>
        </w:r>
        <w:proofErr w:type="spellStart"/>
        <w:r w:rsidRPr="00651C31">
          <w:rPr>
            <w:rStyle w:val="Hyperlink"/>
            <w:szCs w:val="18"/>
            <w:lang w:val="en-AU"/>
          </w:rPr>
          <w:t>IRQ</w:t>
        </w:r>
        <w:proofErr w:type="spellEnd"/>
        <w:r w:rsidRPr="00651C31">
          <w:rPr>
            <w:rStyle w:val="Hyperlink"/>
            <w:szCs w:val="18"/>
            <w:lang w:val="en-AU"/>
          </w:rPr>
          <w:t>/</w:t>
        </w:r>
        <w:proofErr w:type="spellStart"/>
        <w:r w:rsidRPr="00651C31">
          <w:rPr>
            <w:rStyle w:val="Hyperlink"/>
            <w:szCs w:val="18"/>
            <w:lang w:val="en-AU"/>
          </w:rPr>
          <w:t>OAI</w:t>
        </w:r>
        <w:proofErr w:type="spellEnd"/>
        <w:r w:rsidRPr="00651C31">
          <w:rPr>
            <w:rStyle w:val="Hyperlink"/>
            <w:szCs w:val="18"/>
            <w:lang w:val="en-AU"/>
          </w:rPr>
          <w:t>/1</w:t>
        </w:r>
      </w:hyperlink>
      <w:r w:rsidRPr="00651C31">
        <w:rPr>
          <w:szCs w:val="18"/>
          <w:rtl/>
        </w:rPr>
        <w:t>، الفقرتان 20-21</w:t>
      </w:r>
      <w:r w:rsidRPr="00651C31">
        <w:rPr>
          <w:color w:val="000000"/>
          <w:szCs w:val="18"/>
          <w:rtl/>
        </w:rPr>
        <w:t xml:space="preserve">. </w:t>
      </w:r>
    </w:p>
  </w:footnote>
  <w:footnote w:id="13">
    <w:p w14:paraId="2B823B68" w14:textId="5014297B" w:rsidR="00DE6894" w:rsidRPr="00651C31" w:rsidRDefault="00DE6894" w:rsidP="00DE6894">
      <w:pPr>
        <w:pStyle w:val="FootnoteText"/>
        <w:tabs>
          <w:tab w:val="clear" w:pos="1021"/>
        </w:tabs>
        <w:bidi/>
        <w:spacing w:after="60" w:line="280" w:lineRule="exact"/>
        <w:ind w:left="1247" w:right="1247" w:hanging="567"/>
        <w:jc w:val="lowKashida"/>
        <w:textDirection w:val="tbRlV"/>
        <w:rPr>
          <w:szCs w:val="18"/>
          <w:lang w:val="ar-SA" w:eastAsia="zh-TW" w:bidi="en-GB"/>
        </w:rPr>
      </w:pPr>
      <w:r w:rsidRPr="00651C31">
        <w:rPr>
          <w:rStyle w:val="FootnoteReference"/>
          <w:vertAlign w:val="baseline"/>
          <w:rtl/>
        </w:rPr>
        <w:t>(</w:t>
      </w:r>
      <w:r w:rsidRPr="00651C31">
        <w:rPr>
          <w:rStyle w:val="FootnoteReference"/>
          <w:vertAlign w:val="baseline"/>
          <w:rtl/>
        </w:rPr>
        <w:footnoteRef/>
      </w:r>
      <w:r w:rsidRPr="00651C31">
        <w:rPr>
          <w:rStyle w:val="FootnoteReference"/>
          <w:vertAlign w:val="baseline"/>
          <w:rtl/>
        </w:rPr>
        <w:t>)</w:t>
      </w:r>
      <w:r w:rsidRPr="00651C31">
        <w:rPr>
          <w:szCs w:val="18"/>
          <w:rtl/>
        </w:rPr>
        <w:tab/>
        <w:t xml:space="preserve">الوثيقة </w:t>
      </w:r>
      <w:hyperlink r:id="rId16" w:history="1">
        <w:r w:rsidRPr="00651C31">
          <w:rPr>
            <w:rStyle w:val="Hyperlink"/>
            <w:szCs w:val="18"/>
            <w:lang w:val="en-AU"/>
          </w:rPr>
          <w:t>CAT/C/</w:t>
        </w:r>
        <w:proofErr w:type="spellStart"/>
        <w:r w:rsidRPr="00651C31">
          <w:rPr>
            <w:rStyle w:val="Hyperlink"/>
            <w:szCs w:val="18"/>
            <w:lang w:val="en-AU"/>
          </w:rPr>
          <w:t>IRQ</w:t>
        </w:r>
        <w:proofErr w:type="spellEnd"/>
        <w:r w:rsidRPr="00651C31">
          <w:rPr>
            <w:rStyle w:val="Hyperlink"/>
            <w:szCs w:val="18"/>
            <w:lang w:val="en-AU"/>
          </w:rPr>
          <w:t>/CO/1</w:t>
        </w:r>
      </w:hyperlink>
      <w:r w:rsidRPr="00651C31">
        <w:rPr>
          <w:szCs w:val="18"/>
          <w:rtl/>
        </w:rPr>
        <w:t>، الفقرة 14</w:t>
      </w:r>
      <w:r w:rsidRPr="00651C31">
        <w:rPr>
          <w:color w:val="000000"/>
          <w:szCs w:val="18"/>
          <w:rtl/>
        </w:rPr>
        <w:t xml:space="preserve">. </w:t>
      </w:r>
    </w:p>
  </w:footnote>
  <w:footnote w:id="14">
    <w:p w14:paraId="30A15712" w14:textId="13E943F5" w:rsidR="00DE6894" w:rsidRPr="00651C31" w:rsidRDefault="00DE6894" w:rsidP="00DE6894">
      <w:pPr>
        <w:pStyle w:val="FootnoteText"/>
        <w:tabs>
          <w:tab w:val="clear" w:pos="1021"/>
        </w:tabs>
        <w:bidi/>
        <w:spacing w:after="60" w:line="280" w:lineRule="exact"/>
        <w:ind w:left="1247" w:right="1247" w:hanging="567"/>
        <w:jc w:val="lowKashida"/>
        <w:textDirection w:val="tbRlV"/>
        <w:rPr>
          <w:szCs w:val="18"/>
          <w:lang w:val="ar-SA" w:eastAsia="zh-TW" w:bidi="en-GB"/>
        </w:rPr>
      </w:pPr>
      <w:r w:rsidRPr="00651C31">
        <w:rPr>
          <w:rStyle w:val="FootnoteReference"/>
          <w:vertAlign w:val="baseline"/>
          <w:rtl/>
        </w:rPr>
        <w:t>(</w:t>
      </w:r>
      <w:r w:rsidRPr="00651C31">
        <w:rPr>
          <w:rStyle w:val="FootnoteReference"/>
          <w:vertAlign w:val="baseline"/>
          <w:rtl/>
        </w:rPr>
        <w:footnoteRef/>
      </w:r>
      <w:r w:rsidRPr="00651C31">
        <w:rPr>
          <w:rStyle w:val="FootnoteReference"/>
          <w:vertAlign w:val="baseline"/>
          <w:rtl/>
        </w:rPr>
        <w:t>)</w:t>
      </w:r>
      <w:r w:rsidRPr="00651C31">
        <w:rPr>
          <w:szCs w:val="18"/>
          <w:rtl/>
        </w:rPr>
        <w:tab/>
        <w:t xml:space="preserve">انظر الوثيقة </w:t>
      </w:r>
      <w:hyperlink r:id="rId17" w:history="1">
        <w:proofErr w:type="spellStart"/>
        <w:r w:rsidRPr="00651C31">
          <w:rPr>
            <w:rStyle w:val="Hyperlink"/>
            <w:szCs w:val="18"/>
            <w:lang w:val="en-AU"/>
          </w:rPr>
          <w:t>CCPR</w:t>
        </w:r>
        <w:proofErr w:type="spellEnd"/>
        <w:r w:rsidRPr="00651C31">
          <w:rPr>
            <w:rStyle w:val="Hyperlink"/>
            <w:szCs w:val="18"/>
            <w:lang w:val="en-AU"/>
          </w:rPr>
          <w:t>/C/</w:t>
        </w:r>
        <w:proofErr w:type="spellStart"/>
        <w:r w:rsidRPr="00651C31">
          <w:rPr>
            <w:rStyle w:val="Hyperlink"/>
            <w:szCs w:val="18"/>
            <w:lang w:val="en-AU"/>
          </w:rPr>
          <w:t>IRQ</w:t>
        </w:r>
        <w:proofErr w:type="spellEnd"/>
        <w:r w:rsidRPr="00651C31">
          <w:rPr>
            <w:rStyle w:val="Hyperlink"/>
            <w:szCs w:val="18"/>
            <w:lang w:val="en-AU"/>
          </w:rPr>
          <w:t>/CO/6</w:t>
        </w:r>
      </w:hyperlink>
      <w:r w:rsidRPr="00651C31">
        <w:rPr>
          <w:szCs w:val="18"/>
          <w:rtl/>
        </w:rPr>
        <w:t xml:space="preserve">؛ والوثيقة </w:t>
      </w:r>
      <w:hyperlink r:id="rId18" w:history="1">
        <w:proofErr w:type="spellStart"/>
        <w:r w:rsidRPr="00651C31">
          <w:rPr>
            <w:rStyle w:val="Hyperlink"/>
            <w:szCs w:val="18"/>
            <w:lang w:val="en-AU"/>
          </w:rPr>
          <w:t>CED</w:t>
        </w:r>
        <w:proofErr w:type="spellEnd"/>
        <w:r w:rsidRPr="00651C31">
          <w:rPr>
            <w:rStyle w:val="Hyperlink"/>
            <w:szCs w:val="18"/>
            <w:lang w:val="en-AU"/>
          </w:rPr>
          <w:t>/C/</w:t>
        </w:r>
        <w:proofErr w:type="spellStart"/>
        <w:r w:rsidRPr="00651C31">
          <w:rPr>
            <w:rStyle w:val="Hyperlink"/>
            <w:szCs w:val="18"/>
            <w:lang w:val="en-AU"/>
          </w:rPr>
          <w:t>IRQ</w:t>
        </w:r>
        <w:proofErr w:type="spellEnd"/>
        <w:r w:rsidRPr="00651C31">
          <w:rPr>
            <w:rStyle w:val="Hyperlink"/>
            <w:szCs w:val="18"/>
            <w:lang w:val="en-AU"/>
          </w:rPr>
          <w:t>/</w:t>
        </w:r>
        <w:proofErr w:type="spellStart"/>
        <w:r w:rsidRPr="00651C31">
          <w:rPr>
            <w:rStyle w:val="Hyperlink"/>
            <w:szCs w:val="18"/>
            <w:lang w:val="en-AU"/>
          </w:rPr>
          <w:t>OAI</w:t>
        </w:r>
        <w:proofErr w:type="spellEnd"/>
        <w:r w:rsidRPr="00651C31">
          <w:rPr>
            <w:rStyle w:val="Hyperlink"/>
            <w:szCs w:val="18"/>
            <w:lang w:val="en-AU"/>
          </w:rPr>
          <w:t>/1</w:t>
        </w:r>
      </w:hyperlink>
      <w:r w:rsidRPr="00651C31">
        <w:rPr>
          <w:szCs w:val="18"/>
          <w:rtl/>
        </w:rPr>
        <w:t>، الفقرتان 16-17</w:t>
      </w:r>
      <w:r w:rsidRPr="00651C31">
        <w:rPr>
          <w:color w:val="000000"/>
          <w:szCs w:val="18"/>
          <w:rtl/>
        </w:rPr>
        <w:t xml:space="preserve">. </w:t>
      </w:r>
    </w:p>
  </w:footnote>
  <w:footnote w:id="15">
    <w:p w14:paraId="3E6BF818" w14:textId="4EE4FAFE" w:rsidR="00DE6894" w:rsidRPr="00651C31" w:rsidRDefault="00DE6894" w:rsidP="00DE6894">
      <w:pPr>
        <w:pStyle w:val="FootnoteText"/>
        <w:tabs>
          <w:tab w:val="clear" w:pos="1021"/>
        </w:tabs>
        <w:bidi/>
        <w:spacing w:after="60" w:line="280" w:lineRule="exact"/>
        <w:ind w:left="1247" w:right="1247" w:hanging="567"/>
        <w:jc w:val="lowKashida"/>
        <w:textDirection w:val="tbRlV"/>
        <w:rPr>
          <w:szCs w:val="18"/>
          <w:lang w:eastAsia="zh-TW" w:bidi="en-GB"/>
        </w:rPr>
      </w:pPr>
      <w:r w:rsidRPr="00651C31">
        <w:rPr>
          <w:rStyle w:val="FootnoteReference"/>
          <w:vertAlign w:val="baseline"/>
          <w:rtl/>
        </w:rPr>
        <w:t>(</w:t>
      </w:r>
      <w:r w:rsidRPr="00651C31">
        <w:rPr>
          <w:rStyle w:val="FootnoteReference"/>
          <w:vertAlign w:val="baseline"/>
          <w:rtl/>
        </w:rPr>
        <w:footnoteRef/>
      </w:r>
      <w:r w:rsidRPr="00651C31">
        <w:rPr>
          <w:rStyle w:val="FootnoteReference"/>
          <w:vertAlign w:val="baseline"/>
          <w:rtl/>
        </w:rPr>
        <w:t>)</w:t>
      </w:r>
      <w:r w:rsidRPr="00651C31">
        <w:rPr>
          <w:szCs w:val="18"/>
          <w:rtl/>
        </w:rPr>
        <w:tab/>
        <w:t xml:space="preserve">الوثيقة </w:t>
      </w:r>
      <w:hyperlink r:id="rId19" w:history="1">
        <w:r w:rsidRPr="00651C31">
          <w:rPr>
            <w:rStyle w:val="Hyperlink"/>
            <w:szCs w:val="18"/>
            <w:lang w:val="en-AU"/>
          </w:rPr>
          <w:t>CAT/C/</w:t>
        </w:r>
        <w:proofErr w:type="spellStart"/>
        <w:r w:rsidRPr="00651C31">
          <w:rPr>
            <w:rStyle w:val="Hyperlink"/>
            <w:szCs w:val="18"/>
            <w:lang w:val="en-AU"/>
          </w:rPr>
          <w:t>IRQ</w:t>
        </w:r>
        <w:proofErr w:type="spellEnd"/>
        <w:r w:rsidRPr="00651C31">
          <w:rPr>
            <w:rStyle w:val="Hyperlink"/>
            <w:szCs w:val="18"/>
            <w:lang w:val="en-AU"/>
          </w:rPr>
          <w:t>/CO/1</w:t>
        </w:r>
      </w:hyperlink>
      <w:r w:rsidRPr="00651C31">
        <w:rPr>
          <w:szCs w:val="18"/>
          <w:rtl/>
        </w:rPr>
        <w:t>، الفقرة 16</w:t>
      </w:r>
      <w:r w:rsidRPr="00651C31">
        <w:rPr>
          <w:color w:val="000000"/>
          <w:szCs w:val="18"/>
          <w:rtl/>
        </w:rPr>
        <w:t xml:space="preserve">. </w:t>
      </w:r>
    </w:p>
  </w:footnote>
  <w:footnote w:id="16">
    <w:p w14:paraId="11EA9877" w14:textId="06303136" w:rsidR="00DE6894" w:rsidRPr="00651C31" w:rsidRDefault="00DE6894" w:rsidP="00DE6894">
      <w:pPr>
        <w:pStyle w:val="FootnoteText"/>
        <w:tabs>
          <w:tab w:val="clear" w:pos="1021"/>
        </w:tabs>
        <w:bidi/>
        <w:spacing w:after="60" w:line="280" w:lineRule="exact"/>
        <w:ind w:left="1247" w:right="1247" w:hanging="567"/>
        <w:jc w:val="lowKashida"/>
        <w:textDirection w:val="tbRlV"/>
        <w:rPr>
          <w:szCs w:val="18"/>
          <w:lang w:eastAsia="zh-TW" w:bidi="en-GB"/>
        </w:rPr>
      </w:pPr>
      <w:r w:rsidRPr="00651C31">
        <w:rPr>
          <w:rStyle w:val="FootnoteReference"/>
          <w:vertAlign w:val="baseline"/>
          <w:rtl/>
        </w:rPr>
        <w:t>(</w:t>
      </w:r>
      <w:r w:rsidRPr="00651C31">
        <w:rPr>
          <w:rStyle w:val="FootnoteReference"/>
          <w:vertAlign w:val="baseline"/>
          <w:rtl/>
        </w:rPr>
        <w:footnoteRef/>
      </w:r>
      <w:r w:rsidRPr="00651C31">
        <w:rPr>
          <w:rStyle w:val="FootnoteReference"/>
          <w:vertAlign w:val="baseline"/>
          <w:rtl/>
        </w:rPr>
        <w:t>)</w:t>
      </w:r>
      <w:r w:rsidRPr="00651C31">
        <w:rPr>
          <w:szCs w:val="18"/>
          <w:rtl/>
        </w:rPr>
        <w:tab/>
        <w:t xml:space="preserve">الوثيقة </w:t>
      </w:r>
      <w:hyperlink r:id="rId20" w:history="1">
        <w:r w:rsidRPr="00651C31">
          <w:rPr>
            <w:rStyle w:val="Hyperlink"/>
            <w:szCs w:val="18"/>
            <w:lang w:val="en-AU"/>
          </w:rPr>
          <w:t>CAT/C/</w:t>
        </w:r>
        <w:proofErr w:type="spellStart"/>
        <w:r w:rsidRPr="00651C31">
          <w:rPr>
            <w:rStyle w:val="Hyperlink"/>
            <w:szCs w:val="18"/>
            <w:lang w:val="en-AU"/>
          </w:rPr>
          <w:t>IRQ</w:t>
        </w:r>
        <w:proofErr w:type="spellEnd"/>
        <w:r w:rsidRPr="00651C31">
          <w:rPr>
            <w:rStyle w:val="Hyperlink"/>
            <w:szCs w:val="18"/>
            <w:lang w:val="en-AU"/>
          </w:rPr>
          <w:t>/CO/1</w:t>
        </w:r>
      </w:hyperlink>
      <w:r w:rsidRPr="00651C31">
        <w:rPr>
          <w:szCs w:val="18"/>
          <w:rtl/>
        </w:rPr>
        <w:t xml:space="preserve">، الفقرتان 11 </w:t>
      </w:r>
      <w:proofErr w:type="spellStart"/>
      <w:r w:rsidRPr="00651C31">
        <w:rPr>
          <w:szCs w:val="18"/>
          <w:rtl/>
        </w:rPr>
        <w:t>و12</w:t>
      </w:r>
      <w:proofErr w:type="spellEnd"/>
      <w:r w:rsidRPr="00651C31">
        <w:rPr>
          <w:color w:val="000000"/>
          <w:szCs w:val="18"/>
          <w:rtl/>
        </w:rPr>
        <w:t xml:space="preserve">. </w:t>
      </w:r>
    </w:p>
  </w:footnote>
  <w:footnote w:id="17">
    <w:p w14:paraId="35CC5A2B" w14:textId="4C112E08" w:rsidR="00DE6894" w:rsidRPr="00651C31" w:rsidRDefault="00DE6894" w:rsidP="004D1929">
      <w:pPr>
        <w:pStyle w:val="FootnoteText"/>
        <w:tabs>
          <w:tab w:val="clear" w:pos="1021"/>
        </w:tabs>
        <w:bidi/>
        <w:spacing w:after="60" w:line="280" w:lineRule="exact"/>
        <w:ind w:left="1247" w:right="1247" w:hanging="567"/>
        <w:jc w:val="lowKashida"/>
        <w:textDirection w:val="tbRlV"/>
        <w:rPr>
          <w:szCs w:val="18"/>
          <w:lang w:val="ar-SA" w:eastAsia="zh-TW" w:bidi="en-GB"/>
        </w:rPr>
      </w:pPr>
      <w:r w:rsidRPr="00651C31">
        <w:rPr>
          <w:rStyle w:val="FootnoteReference"/>
          <w:vertAlign w:val="baseline"/>
          <w:rtl/>
        </w:rPr>
        <w:t>(</w:t>
      </w:r>
      <w:r w:rsidRPr="00651C31">
        <w:rPr>
          <w:rStyle w:val="FootnoteReference"/>
          <w:vertAlign w:val="baseline"/>
          <w:rtl/>
        </w:rPr>
        <w:footnoteRef/>
      </w:r>
      <w:r w:rsidRPr="00651C31">
        <w:rPr>
          <w:rStyle w:val="FootnoteReference"/>
          <w:vertAlign w:val="baseline"/>
          <w:rtl/>
        </w:rPr>
        <w:t>)</w:t>
      </w:r>
      <w:r w:rsidRPr="00651C31">
        <w:rPr>
          <w:szCs w:val="18"/>
          <w:rtl/>
        </w:rPr>
        <w:tab/>
        <w:t>تحيط اللجنة علما</w:t>
      </w:r>
      <w:r w:rsidRPr="00651C31">
        <w:rPr>
          <w:rFonts w:hint="cs"/>
          <w:szCs w:val="18"/>
          <w:rtl/>
        </w:rPr>
        <w:t>ً</w:t>
      </w:r>
      <w:r w:rsidRPr="00651C31">
        <w:rPr>
          <w:szCs w:val="18"/>
          <w:rtl/>
        </w:rPr>
        <w:t xml:space="preserve"> بالزيارة المقبلة لوفد خبراء اللجنة المعنية بحالات الاختفاء القسري إلى الدولة الطرف، والمقررة مبدئيا</w:t>
      </w:r>
      <w:r w:rsidRPr="00651C31">
        <w:rPr>
          <w:rFonts w:hint="cs"/>
          <w:szCs w:val="18"/>
          <w:rtl/>
        </w:rPr>
        <w:t>ً</w:t>
      </w:r>
      <w:r w:rsidRPr="00651C31">
        <w:rPr>
          <w:szCs w:val="18"/>
          <w:rtl/>
        </w:rPr>
        <w:t xml:space="preserve"> في تشرين الثاني/نوفمبر 202</w:t>
      </w:r>
      <w:r w:rsidRPr="00651C31">
        <w:rPr>
          <w:color w:val="000000"/>
          <w:szCs w:val="18"/>
          <w:rtl/>
        </w:rPr>
        <w:t xml:space="preserve">2. </w:t>
      </w:r>
    </w:p>
  </w:footnote>
  <w:footnote w:id="18">
    <w:p w14:paraId="35ADC44F" w14:textId="104B9AE0" w:rsidR="00DE6894" w:rsidRPr="00651C31" w:rsidRDefault="00DE6894" w:rsidP="00DE6894">
      <w:pPr>
        <w:pStyle w:val="FootnoteText"/>
        <w:tabs>
          <w:tab w:val="clear" w:pos="1021"/>
        </w:tabs>
        <w:bidi/>
        <w:spacing w:after="60" w:line="280" w:lineRule="exact"/>
        <w:ind w:left="1247" w:right="1247" w:hanging="567"/>
        <w:jc w:val="lowKashida"/>
        <w:textDirection w:val="tbRlV"/>
        <w:rPr>
          <w:szCs w:val="18"/>
          <w:lang w:val="ar-SA" w:eastAsia="zh-TW" w:bidi="en-GB"/>
        </w:rPr>
      </w:pPr>
      <w:r w:rsidRPr="00651C31">
        <w:rPr>
          <w:rStyle w:val="FootnoteReference"/>
          <w:vertAlign w:val="baseline"/>
          <w:rtl/>
        </w:rPr>
        <w:t>(</w:t>
      </w:r>
      <w:r w:rsidRPr="00651C31">
        <w:rPr>
          <w:rStyle w:val="FootnoteReference"/>
          <w:vertAlign w:val="baseline"/>
          <w:rtl/>
        </w:rPr>
        <w:footnoteRef/>
      </w:r>
      <w:r w:rsidRPr="00651C31">
        <w:rPr>
          <w:rStyle w:val="FootnoteReference"/>
          <w:vertAlign w:val="baseline"/>
          <w:rtl/>
        </w:rPr>
        <w:t>)</w:t>
      </w:r>
      <w:r w:rsidRPr="00651C31">
        <w:rPr>
          <w:szCs w:val="18"/>
          <w:rtl/>
        </w:rPr>
        <w:tab/>
        <w:t xml:space="preserve">انظر الوثيقة </w:t>
      </w:r>
      <w:hyperlink r:id="rId21" w:history="1">
        <w:proofErr w:type="spellStart"/>
        <w:r w:rsidRPr="00651C31">
          <w:rPr>
            <w:rStyle w:val="Hyperlink"/>
            <w:szCs w:val="18"/>
            <w:lang w:val="en-AU"/>
          </w:rPr>
          <w:t>CCPR</w:t>
        </w:r>
        <w:proofErr w:type="spellEnd"/>
        <w:r w:rsidRPr="00651C31">
          <w:rPr>
            <w:rStyle w:val="Hyperlink"/>
            <w:szCs w:val="18"/>
            <w:lang w:val="en-AU"/>
          </w:rPr>
          <w:t>/C/</w:t>
        </w:r>
        <w:proofErr w:type="spellStart"/>
        <w:r w:rsidRPr="00651C31">
          <w:rPr>
            <w:rStyle w:val="Hyperlink"/>
            <w:szCs w:val="18"/>
            <w:lang w:val="en-AU"/>
          </w:rPr>
          <w:t>IRQ</w:t>
        </w:r>
        <w:proofErr w:type="spellEnd"/>
        <w:r w:rsidRPr="00651C31">
          <w:rPr>
            <w:rStyle w:val="Hyperlink"/>
            <w:szCs w:val="18"/>
            <w:lang w:val="en-AU"/>
          </w:rPr>
          <w:t>/CO/6</w:t>
        </w:r>
      </w:hyperlink>
      <w:r w:rsidRPr="00651C31">
        <w:rPr>
          <w:rFonts w:cs="Times New Roman"/>
          <w:color w:val="000000"/>
          <w:szCs w:val="18"/>
          <w:rtl/>
        </w:rPr>
        <w:t xml:space="preserve">. </w:t>
      </w:r>
    </w:p>
  </w:footnote>
  <w:footnote w:id="19">
    <w:p w14:paraId="43453451" w14:textId="3C93E8AC" w:rsidR="00DE6894" w:rsidRPr="00651C31" w:rsidRDefault="00DE6894" w:rsidP="00DE6894">
      <w:pPr>
        <w:pStyle w:val="FootnoteText"/>
        <w:tabs>
          <w:tab w:val="clear" w:pos="1021"/>
        </w:tabs>
        <w:bidi/>
        <w:spacing w:after="60" w:line="280" w:lineRule="exact"/>
        <w:ind w:left="1247" w:right="1247" w:hanging="567"/>
        <w:jc w:val="lowKashida"/>
        <w:textDirection w:val="tbRlV"/>
        <w:rPr>
          <w:szCs w:val="18"/>
          <w:lang w:eastAsia="zh-TW" w:bidi="en-GB"/>
        </w:rPr>
      </w:pPr>
      <w:r w:rsidRPr="00651C31">
        <w:rPr>
          <w:rStyle w:val="FootnoteReference"/>
          <w:vertAlign w:val="baseline"/>
          <w:rtl/>
        </w:rPr>
        <w:t>(</w:t>
      </w:r>
      <w:r w:rsidRPr="00651C31">
        <w:rPr>
          <w:rStyle w:val="FootnoteReference"/>
          <w:vertAlign w:val="baseline"/>
          <w:rtl/>
        </w:rPr>
        <w:footnoteRef/>
      </w:r>
      <w:r w:rsidRPr="00651C31">
        <w:rPr>
          <w:rStyle w:val="FootnoteReference"/>
          <w:vertAlign w:val="baseline"/>
          <w:rtl/>
        </w:rPr>
        <w:t>)</w:t>
      </w:r>
      <w:r w:rsidRPr="00651C31">
        <w:rPr>
          <w:szCs w:val="18"/>
          <w:rtl/>
        </w:rPr>
        <w:tab/>
        <w:t xml:space="preserve">الوثيقة </w:t>
      </w:r>
      <w:hyperlink r:id="rId22" w:history="1">
        <w:r w:rsidRPr="00651C31">
          <w:rPr>
            <w:rStyle w:val="Hyperlink"/>
            <w:szCs w:val="18"/>
            <w:lang w:val="en-AU"/>
          </w:rPr>
          <w:t>S/2022/46</w:t>
        </w:r>
      </w:hyperlink>
      <w:r w:rsidRPr="00651C31">
        <w:rPr>
          <w:szCs w:val="18"/>
          <w:rtl/>
        </w:rPr>
        <w:t>، الفقرة 27</w:t>
      </w:r>
      <w:r w:rsidRPr="00651C31">
        <w:rPr>
          <w:color w:val="000000"/>
          <w:szCs w:val="18"/>
          <w:rtl/>
        </w:rPr>
        <w:t xml:space="preserve">. </w:t>
      </w:r>
    </w:p>
  </w:footnote>
  <w:footnote w:id="20">
    <w:p w14:paraId="742D4279" w14:textId="18DA94CD" w:rsidR="00DE6894" w:rsidRPr="00651C31" w:rsidRDefault="00DE6894" w:rsidP="00DE6894">
      <w:pPr>
        <w:pStyle w:val="FootnoteText"/>
        <w:tabs>
          <w:tab w:val="clear" w:pos="1021"/>
        </w:tabs>
        <w:bidi/>
        <w:spacing w:after="60" w:line="280" w:lineRule="exact"/>
        <w:ind w:left="1247" w:right="1247" w:hanging="567"/>
        <w:jc w:val="lowKashida"/>
        <w:textDirection w:val="tbRlV"/>
        <w:rPr>
          <w:szCs w:val="18"/>
          <w:lang w:val="ar-SA" w:eastAsia="zh-TW" w:bidi="en-GB"/>
        </w:rPr>
      </w:pPr>
      <w:r w:rsidRPr="00651C31">
        <w:rPr>
          <w:rStyle w:val="FootnoteReference"/>
          <w:vertAlign w:val="baseline"/>
          <w:rtl/>
        </w:rPr>
        <w:t>(</w:t>
      </w:r>
      <w:r w:rsidRPr="00651C31">
        <w:rPr>
          <w:rStyle w:val="FootnoteReference"/>
          <w:vertAlign w:val="baseline"/>
          <w:rtl/>
        </w:rPr>
        <w:footnoteRef/>
      </w:r>
      <w:r w:rsidRPr="00651C31">
        <w:rPr>
          <w:rStyle w:val="FootnoteReference"/>
          <w:vertAlign w:val="baseline"/>
          <w:rtl/>
        </w:rPr>
        <w:t>)</w:t>
      </w:r>
      <w:r w:rsidRPr="00651C31">
        <w:rPr>
          <w:szCs w:val="18"/>
          <w:rtl/>
        </w:rPr>
        <w:tab/>
        <w:t xml:space="preserve">الوثيقة </w:t>
      </w:r>
      <w:hyperlink r:id="rId23" w:history="1">
        <w:r w:rsidRPr="00651C31">
          <w:rPr>
            <w:rStyle w:val="Hyperlink"/>
            <w:szCs w:val="18"/>
            <w:lang w:val="en-AU"/>
          </w:rPr>
          <w:t>CAT/C/</w:t>
        </w:r>
        <w:proofErr w:type="spellStart"/>
        <w:r w:rsidRPr="00651C31">
          <w:rPr>
            <w:rStyle w:val="Hyperlink"/>
            <w:szCs w:val="18"/>
            <w:lang w:val="en-AU"/>
          </w:rPr>
          <w:t>IRQ</w:t>
        </w:r>
        <w:proofErr w:type="spellEnd"/>
        <w:r w:rsidRPr="00651C31">
          <w:rPr>
            <w:rStyle w:val="Hyperlink"/>
            <w:szCs w:val="18"/>
            <w:lang w:val="en-AU"/>
          </w:rPr>
          <w:t>/CO/1</w:t>
        </w:r>
      </w:hyperlink>
      <w:r w:rsidRPr="00651C31">
        <w:rPr>
          <w:szCs w:val="18"/>
          <w:rtl/>
        </w:rPr>
        <w:t xml:space="preserve">، الفقرتان 11 </w:t>
      </w:r>
      <w:proofErr w:type="spellStart"/>
      <w:r w:rsidRPr="00651C31">
        <w:rPr>
          <w:szCs w:val="18"/>
          <w:rtl/>
        </w:rPr>
        <w:t>و12</w:t>
      </w:r>
      <w:proofErr w:type="spellEnd"/>
      <w:r w:rsidRPr="00651C31">
        <w:rPr>
          <w:color w:val="000000"/>
          <w:szCs w:val="18"/>
          <w:rtl/>
        </w:rPr>
        <w:t xml:space="preserve">. </w:t>
      </w:r>
    </w:p>
  </w:footnote>
  <w:footnote w:id="21">
    <w:p w14:paraId="19F06A8C" w14:textId="5358AF7B" w:rsidR="00DE6894" w:rsidRPr="00651C31" w:rsidRDefault="00DE6894" w:rsidP="00DE6894">
      <w:pPr>
        <w:pStyle w:val="FootnoteText"/>
        <w:tabs>
          <w:tab w:val="clear" w:pos="1021"/>
        </w:tabs>
        <w:bidi/>
        <w:spacing w:after="60" w:line="280" w:lineRule="exact"/>
        <w:ind w:left="1247" w:right="1247" w:hanging="567"/>
        <w:jc w:val="lowKashida"/>
        <w:textDirection w:val="tbRlV"/>
        <w:rPr>
          <w:szCs w:val="18"/>
          <w:lang w:val="ar-SA" w:eastAsia="zh-TW" w:bidi="en-GB"/>
        </w:rPr>
      </w:pPr>
      <w:r w:rsidRPr="00651C31">
        <w:rPr>
          <w:rStyle w:val="FootnoteReference"/>
          <w:vertAlign w:val="baseline"/>
          <w:rtl/>
        </w:rPr>
        <w:t>(</w:t>
      </w:r>
      <w:r w:rsidRPr="00651C31">
        <w:rPr>
          <w:rStyle w:val="FootnoteReference"/>
          <w:vertAlign w:val="baseline"/>
          <w:rtl/>
        </w:rPr>
        <w:footnoteRef/>
      </w:r>
      <w:r w:rsidRPr="00651C31">
        <w:rPr>
          <w:rStyle w:val="FootnoteReference"/>
          <w:vertAlign w:val="baseline"/>
          <w:rtl/>
        </w:rPr>
        <w:t>)</w:t>
      </w:r>
      <w:r w:rsidRPr="00651C31">
        <w:rPr>
          <w:szCs w:val="18"/>
          <w:rtl/>
        </w:rPr>
        <w:tab/>
        <w:t xml:space="preserve">الوثيقة </w:t>
      </w:r>
      <w:hyperlink r:id="rId24" w:history="1">
        <w:r w:rsidRPr="00651C31">
          <w:rPr>
            <w:rStyle w:val="Hyperlink"/>
            <w:szCs w:val="18"/>
            <w:lang w:val="en-AU"/>
          </w:rPr>
          <w:t>S/2022/46</w:t>
        </w:r>
      </w:hyperlink>
      <w:r w:rsidRPr="00651C31">
        <w:rPr>
          <w:szCs w:val="18"/>
          <w:rtl/>
        </w:rPr>
        <w:t>، الفقرة 46</w:t>
      </w:r>
      <w:r w:rsidRPr="00651C31">
        <w:rPr>
          <w:color w:val="000000"/>
          <w:szCs w:val="18"/>
          <w:rtl/>
        </w:rPr>
        <w:t xml:space="preserve">. </w:t>
      </w:r>
    </w:p>
  </w:footnote>
  <w:footnote w:id="22">
    <w:p w14:paraId="44F72B5D" w14:textId="5F2971D6" w:rsidR="00DE6894" w:rsidRPr="00651C31" w:rsidRDefault="00DE6894" w:rsidP="00DE6894">
      <w:pPr>
        <w:pStyle w:val="FootnoteText"/>
        <w:tabs>
          <w:tab w:val="clear" w:pos="1021"/>
        </w:tabs>
        <w:bidi/>
        <w:spacing w:after="60" w:line="280" w:lineRule="exact"/>
        <w:ind w:left="1247" w:right="1247" w:hanging="567"/>
        <w:jc w:val="lowKashida"/>
        <w:textDirection w:val="tbRlV"/>
        <w:rPr>
          <w:szCs w:val="18"/>
          <w:lang w:val="ar-SA" w:eastAsia="zh-TW" w:bidi="en-GB"/>
        </w:rPr>
      </w:pPr>
      <w:r w:rsidRPr="00651C31">
        <w:rPr>
          <w:rStyle w:val="FootnoteReference"/>
          <w:vertAlign w:val="baseline"/>
          <w:rtl/>
        </w:rPr>
        <w:t>(</w:t>
      </w:r>
      <w:r w:rsidRPr="00651C31">
        <w:rPr>
          <w:rStyle w:val="FootnoteReference"/>
          <w:vertAlign w:val="baseline"/>
          <w:rtl/>
        </w:rPr>
        <w:footnoteRef/>
      </w:r>
      <w:r w:rsidRPr="00651C31">
        <w:rPr>
          <w:rStyle w:val="FootnoteReference"/>
          <w:vertAlign w:val="baseline"/>
          <w:rtl/>
        </w:rPr>
        <w:t>)</w:t>
      </w:r>
      <w:r w:rsidRPr="00651C31">
        <w:rPr>
          <w:szCs w:val="18"/>
          <w:rtl/>
        </w:rPr>
        <w:tab/>
        <w:t xml:space="preserve">انظر الوثيقة </w:t>
      </w:r>
      <w:hyperlink r:id="rId25" w:history="1">
        <w:proofErr w:type="spellStart"/>
        <w:r w:rsidRPr="00651C31">
          <w:rPr>
            <w:rStyle w:val="Hyperlink"/>
            <w:szCs w:val="18"/>
            <w:lang w:val="en-AU"/>
          </w:rPr>
          <w:t>CCPR</w:t>
        </w:r>
        <w:proofErr w:type="spellEnd"/>
        <w:r w:rsidRPr="00651C31">
          <w:rPr>
            <w:rStyle w:val="Hyperlink"/>
            <w:szCs w:val="18"/>
            <w:lang w:val="en-AU"/>
          </w:rPr>
          <w:t>/C/</w:t>
        </w:r>
        <w:proofErr w:type="spellStart"/>
        <w:r w:rsidRPr="00651C31">
          <w:rPr>
            <w:rStyle w:val="Hyperlink"/>
            <w:szCs w:val="18"/>
            <w:lang w:val="en-AU"/>
          </w:rPr>
          <w:t>IRQ</w:t>
        </w:r>
        <w:proofErr w:type="spellEnd"/>
        <w:r w:rsidRPr="00651C31">
          <w:rPr>
            <w:rStyle w:val="Hyperlink"/>
            <w:szCs w:val="18"/>
            <w:lang w:val="en-AU"/>
          </w:rPr>
          <w:t>/CO/6</w:t>
        </w:r>
      </w:hyperlink>
      <w:r w:rsidRPr="00651C31">
        <w:rPr>
          <w:rFonts w:cs="Times New Roman"/>
          <w:color w:val="000000"/>
          <w:szCs w:val="18"/>
          <w:rtl/>
        </w:rPr>
        <w:t xml:space="preserve">. </w:t>
      </w:r>
    </w:p>
  </w:footnote>
  <w:footnote w:id="23">
    <w:p w14:paraId="6B11369A" w14:textId="16790AF6" w:rsidR="00DE6894" w:rsidRPr="00651C31" w:rsidRDefault="00DE6894" w:rsidP="004D1929">
      <w:pPr>
        <w:pStyle w:val="FootnoteText"/>
        <w:tabs>
          <w:tab w:val="clear" w:pos="1021"/>
        </w:tabs>
        <w:bidi/>
        <w:spacing w:after="60" w:line="280" w:lineRule="exact"/>
        <w:ind w:left="1247" w:right="1247" w:hanging="567"/>
        <w:jc w:val="lowKashida"/>
        <w:textDirection w:val="tbRlV"/>
        <w:rPr>
          <w:szCs w:val="18"/>
          <w:lang w:val="ar-SA" w:eastAsia="zh-TW" w:bidi="en-GB"/>
        </w:rPr>
      </w:pPr>
      <w:r w:rsidRPr="00651C31">
        <w:rPr>
          <w:rStyle w:val="FootnoteReference"/>
          <w:vertAlign w:val="baseline"/>
          <w:rtl/>
        </w:rPr>
        <w:t>(</w:t>
      </w:r>
      <w:r w:rsidRPr="00651C31">
        <w:rPr>
          <w:rStyle w:val="FootnoteReference"/>
          <w:vertAlign w:val="baseline"/>
          <w:rtl/>
        </w:rPr>
        <w:footnoteRef/>
      </w:r>
      <w:r w:rsidRPr="00651C31">
        <w:rPr>
          <w:rStyle w:val="FootnoteReference"/>
          <w:vertAlign w:val="baseline"/>
          <w:rtl/>
        </w:rPr>
        <w:t>)</w:t>
      </w:r>
      <w:r w:rsidRPr="00651C31">
        <w:rPr>
          <w:szCs w:val="18"/>
          <w:rtl/>
        </w:rPr>
        <w:tab/>
        <w:t xml:space="preserve">المرجع نفسه. </w:t>
      </w:r>
    </w:p>
  </w:footnote>
  <w:footnote w:id="24">
    <w:p w14:paraId="60A6DE9D" w14:textId="0EEB233A" w:rsidR="00DE6894" w:rsidRPr="00651C31" w:rsidRDefault="00DE6894" w:rsidP="00DE6894">
      <w:pPr>
        <w:pStyle w:val="FootnoteText"/>
        <w:tabs>
          <w:tab w:val="clear" w:pos="1021"/>
        </w:tabs>
        <w:bidi/>
        <w:spacing w:after="60" w:line="280" w:lineRule="exact"/>
        <w:ind w:left="1247" w:right="1247" w:hanging="567"/>
        <w:jc w:val="lowKashida"/>
        <w:textDirection w:val="tbRlV"/>
        <w:rPr>
          <w:szCs w:val="18"/>
          <w:lang w:val="ar-SA" w:eastAsia="zh-TW" w:bidi="en-GB"/>
        </w:rPr>
      </w:pPr>
      <w:r w:rsidRPr="00651C31">
        <w:rPr>
          <w:rStyle w:val="FootnoteReference"/>
          <w:vertAlign w:val="baseline"/>
          <w:rtl/>
        </w:rPr>
        <w:t>(</w:t>
      </w:r>
      <w:r w:rsidRPr="00651C31">
        <w:rPr>
          <w:rStyle w:val="FootnoteReference"/>
          <w:vertAlign w:val="baseline"/>
          <w:rtl/>
        </w:rPr>
        <w:footnoteRef/>
      </w:r>
      <w:r w:rsidRPr="00651C31">
        <w:rPr>
          <w:rStyle w:val="FootnoteReference"/>
          <w:vertAlign w:val="baseline"/>
          <w:rtl/>
        </w:rPr>
        <w:t>)</w:t>
      </w:r>
      <w:r w:rsidRPr="00651C31">
        <w:rPr>
          <w:szCs w:val="18"/>
          <w:rtl/>
        </w:rPr>
        <w:tab/>
        <w:t xml:space="preserve">الوثيقة </w:t>
      </w:r>
      <w:hyperlink r:id="rId26" w:history="1">
        <w:proofErr w:type="spellStart"/>
        <w:r w:rsidRPr="00651C31">
          <w:rPr>
            <w:rStyle w:val="Hyperlink"/>
            <w:szCs w:val="18"/>
            <w:lang w:val="en-AU"/>
          </w:rPr>
          <w:t>CED</w:t>
        </w:r>
        <w:proofErr w:type="spellEnd"/>
        <w:r w:rsidRPr="00651C31">
          <w:rPr>
            <w:rStyle w:val="Hyperlink"/>
            <w:szCs w:val="18"/>
            <w:lang w:val="en-AU"/>
          </w:rPr>
          <w:t>/C/</w:t>
        </w:r>
        <w:proofErr w:type="spellStart"/>
        <w:r w:rsidRPr="00651C31">
          <w:rPr>
            <w:rStyle w:val="Hyperlink"/>
            <w:szCs w:val="18"/>
            <w:lang w:val="en-AU"/>
          </w:rPr>
          <w:t>IRQ</w:t>
        </w:r>
        <w:proofErr w:type="spellEnd"/>
        <w:r w:rsidRPr="00651C31">
          <w:rPr>
            <w:rStyle w:val="Hyperlink"/>
            <w:szCs w:val="18"/>
            <w:lang w:val="en-AU"/>
          </w:rPr>
          <w:t>/</w:t>
        </w:r>
        <w:proofErr w:type="spellStart"/>
        <w:r w:rsidRPr="00651C31">
          <w:rPr>
            <w:rStyle w:val="Hyperlink"/>
            <w:szCs w:val="18"/>
            <w:lang w:val="en-AU"/>
          </w:rPr>
          <w:t>OAI</w:t>
        </w:r>
        <w:proofErr w:type="spellEnd"/>
        <w:r w:rsidRPr="00651C31">
          <w:rPr>
            <w:rStyle w:val="Hyperlink"/>
            <w:szCs w:val="18"/>
            <w:lang w:val="en-AU"/>
          </w:rPr>
          <w:t>/1</w:t>
        </w:r>
      </w:hyperlink>
      <w:r w:rsidRPr="00651C31">
        <w:rPr>
          <w:szCs w:val="18"/>
          <w:rtl/>
        </w:rPr>
        <w:t>، الفقرتان 18-19</w:t>
      </w:r>
      <w:r w:rsidRPr="00651C31">
        <w:rPr>
          <w:color w:val="000000"/>
          <w:szCs w:val="18"/>
          <w:rtl/>
        </w:rPr>
        <w:t xml:space="preserve">. </w:t>
      </w:r>
    </w:p>
  </w:footnote>
  <w:footnote w:id="25">
    <w:p w14:paraId="6FF4F5AA" w14:textId="5DC872B1" w:rsidR="00DE6894" w:rsidRPr="00651C31" w:rsidRDefault="00DE6894" w:rsidP="004D1929">
      <w:pPr>
        <w:pStyle w:val="FootnoteText"/>
        <w:tabs>
          <w:tab w:val="clear" w:pos="1021"/>
        </w:tabs>
        <w:bidi/>
        <w:spacing w:after="60" w:line="280" w:lineRule="exact"/>
        <w:ind w:left="1247" w:right="1247" w:hanging="567"/>
        <w:jc w:val="lowKashida"/>
        <w:textDirection w:val="tbRlV"/>
        <w:rPr>
          <w:szCs w:val="18"/>
          <w:lang w:val="ar-SA" w:eastAsia="zh-TW" w:bidi="en-GB"/>
        </w:rPr>
      </w:pPr>
      <w:r w:rsidRPr="00651C31">
        <w:rPr>
          <w:rStyle w:val="FootnoteReference"/>
          <w:vertAlign w:val="baseline"/>
          <w:rtl/>
        </w:rPr>
        <w:t>(</w:t>
      </w:r>
      <w:r w:rsidRPr="00651C31">
        <w:rPr>
          <w:rStyle w:val="FootnoteReference"/>
          <w:vertAlign w:val="baseline"/>
          <w:rtl/>
        </w:rPr>
        <w:footnoteRef/>
      </w:r>
      <w:r w:rsidRPr="00651C31">
        <w:rPr>
          <w:rStyle w:val="FootnoteReference"/>
          <w:vertAlign w:val="baseline"/>
          <w:rtl/>
        </w:rPr>
        <w:t>)</w:t>
      </w:r>
      <w:r w:rsidRPr="00651C31">
        <w:rPr>
          <w:szCs w:val="18"/>
          <w:rtl/>
        </w:rPr>
        <w:tab/>
        <w:t xml:space="preserve">المرجع نفسه، الفقرتان 14 </w:t>
      </w:r>
      <w:proofErr w:type="spellStart"/>
      <w:r w:rsidRPr="00651C31">
        <w:rPr>
          <w:szCs w:val="18"/>
          <w:rtl/>
        </w:rPr>
        <w:t>و15</w:t>
      </w:r>
      <w:proofErr w:type="spellEnd"/>
      <w:r w:rsidRPr="00651C31">
        <w:rPr>
          <w:color w:val="000000"/>
          <w:szCs w:val="18"/>
          <w:rtl/>
        </w:rPr>
        <w:t xml:space="preserve">. </w:t>
      </w:r>
    </w:p>
  </w:footnote>
  <w:footnote w:id="26">
    <w:p w14:paraId="61E468EF" w14:textId="0EF673EC" w:rsidR="00DE6894" w:rsidRPr="00651C31" w:rsidRDefault="00DE6894" w:rsidP="00DE6894">
      <w:pPr>
        <w:pStyle w:val="FootnoteText"/>
        <w:tabs>
          <w:tab w:val="clear" w:pos="1021"/>
        </w:tabs>
        <w:bidi/>
        <w:spacing w:after="60" w:line="280" w:lineRule="exact"/>
        <w:ind w:left="1247" w:right="1247" w:hanging="567"/>
        <w:jc w:val="lowKashida"/>
        <w:textDirection w:val="tbRlV"/>
        <w:rPr>
          <w:color w:val="212529"/>
          <w:szCs w:val="18"/>
          <w:lang w:val="ar-SA" w:eastAsia="zh-TW" w:bidi="en-GB"/>
        </w:rPr>
      </w:pPr>
      <w:r w:rsidRPr="00651C31">
        <w:rPr>
          <w:rStyle w:val="FootnoteReference"/>
          <w:vertAlign w:val="baseline"/>
          <w:rtl/>
        </w:rPr>
        <w:t>(</w:t>
      </w:r>
      <w:r w:rsidRPr="00651C31">
        <w:rPr>
          <w:rStyle w:val="FootnoteReference"/>
          <w:vertAlign w:val="baseline"/>
          <w:rtl/>
        </w:rPr>
        <w:footnoteRef/>
      </w:r>
      <w:r w:rsidRPr="00651C31">
        <w:rPr>
          <w:rStyle w:val="FootnoteReference"/>
          <w:vertAlign w:val="baseline"/>
          <w:rtl/>
        </w:rPr>
        <w:t>)</w:t>
      </w:r>
      <w:r w:rsidRPr="00651C31">
        <w:rPr>
          <w:szCs w:val="18"/>
          <w:rtl/>
        </w:rPr>
        <w:tab/>
        <w:t xml:space="preserve">انظر الوثيقة </w:t>
      </w:r>
      <w:hyperlink r:id="rId27" w:history="1">
        <w:proofErr w:type="spellStart"/>
        <w:r w:rsidRPr="00651C31">
          <w:rPr>
            <w:rStyle w:val="Hyperlink"/>
            <w:szCs w:val="18"/>
            <w:lang w:val="en-AU"/>
          </w:rPr>
          <w:t>CCPR</w:t>
        </w:r>
        <w:proofErr w:type="spellEnd"/>
        <w:r w:rsidRPr="00651C31">
          <w:rPr>
            <w:rStyle w:val="Hyperlink"/>
            <w:szCs w:val="18"/>
            <w:lang w:val="en-AU"/>
          </w:rPr>
          <w:t>/C/</w:t>
        </w:r>
        <w:proofErr w:type="spellStart"/>
        <w:r w:rsidRPr="00651C31">
          <w:rPr>
            <w:rStyle w:val="Hyperlink"/>
            <w:szCs w:val="18"/>
            <w:lang w:val="en-AU"/>
          </w:rPr>
          <w:t>IRQ</w:t>
        </w:r>
        <w:proofErr w:type="spellEnd"/>
        <w:r w:rsidRPr="00651C31">
          <w:rPr>
            <w:rStyle w:val="Hyperlink"/>
            <w:szCs w:val="18"/>
            <w:lang w:val="en-AU"/>
          </w:rPr>
          <w:t>/CO/6</w:t>
        </w:r>
      </w:hyperlink>
      <w:r w:rsidRPr="00651C31">
        <w:rPr>
          <w:rFonts w:cs="Times New Roman"/>
          <w:color w:val="000000"/>
          <w:szCs w:val="18"/>
          <w:rtl/>
        </w:rPr>
        <w:t xml:space="preserve">. </w:t>
      </w:r>
    </w:p>
  </w:footnote>
  <w:footnote w:id="27">
    <w:p w14:paraId="436DAF8E" w14:textId="4F85AD57" w:rsidR="00DE6894" w:rsidRPr="00651C31" w:rsidRDefault="00DE6894" w:rsidP="004D1929">
      <w:pPr>
        <w:pStyle w:val="FootnoteText"/>
        <w:tabs>
          <w:tab w:val="clear" w:pos="1021"/>
        </w:tabs>
        <w:bidi/>
        <w:spacing w:after="60" w:line="280" w:lineRule="exact"/>
        <w:ind w:left="1247" w:right="1247" w:hanging="567"/>
        <w:jc w:val="lowKashida"/>
        <w:textDirection w:val="tbRlV"/>
        <w:rPr>
          <w:szCs w:val="18"/>
          <w:lang w:val="ar-SA" w:eastAsia="zh-TW" w:bidi="en-GB"/>
        </w:rPr>
      </w:pPr>
      <w:r w:rsidRPr="00651C31">
        <w:rPr>
          <w:rStyle w:val="FootnoteReference"/>
          <w:vertAlign w:val="baseline"/>
          <w:rtl/>
        </w:rPr>
        <w:t>(</w:t>
      </w:r>
      <w:r w:rsidRPr="00651C31">
        <w:rPr>
          <w:rStyle w:val="FootnoteReference"/>
          <w:vertAlign w:val="baseline"/>
          <w:rtl/>
        </w:rPr>
        <w:footnoteRef/>
      </w:r>
      <w:r w:rsidRPr="00651C31">
        <w:rPr>
          <w:rStyle w:val="FootnoteReference"/>
          <w:vertAlign w:val="baseline"/>
          <w:rtl/>
        </w:rPr>
        <w:t>)</w:t>
      </w:r>
      <w:r w:rsidRPr="00651C31">
        <w:rPr>
          <w:szCs w:val="18"/>
          <w:rtl/>
        </w:rPr>
        <w:tab/>
        <w:t xml:space="preserve">المرجع نفسه. </w:t>
      </w:r>
    </w:p>
  </w:footnote>
  <w:footnote w:id="28">
    <w:p w14:paraId="683700ED" w14:textId="7158B87E" w:rsidR="00DE6894" w:rsidRPr="00651C31" w:rsidRDefault="00DE6894" w:rsidP="00DE6894">
      <w:pPr>
        <w:pStyle w:val="FootnoteText"/>
        <w:tabs>
          <w:tab w:val="clear" w:pos="1021"/>
        </w:tabs>
        <w:bidi/>
        <w:spacing w:after="60" w:line="280" w:lineRule="exact"/>
        <w:ind w:left="1247" w:right="1247" w:hanging="567"/>
        <w:jc w:val="lowKashida"/>
        <w:textDirection w:val="tbRlV"/>
        <w:rPr>
          <w:szCs w:val="18"/>
          <w:lang w:val="ar-SA" w:eastAsia="zh-TW" w:bidi="en-GB"/>
        </w:rPr>
      </w:pPr>
      <w:r w:rsidRPr="00651C31">
        <w:rPr>
          <w:rStyle w:val="FootnoteReference"/>
          <w:vertAlign w:val="baseline"/>
          <w:rtl/>
        </w:rPr>
        <w:t>(</w:t>
      </w:r>
      <w:r w:rsidRPr="00651C31">
        <w:rPr>
          <w:rStyle w:val="FootnoteReference"/>
          <w:vertAlign w:val="baseline"/>
          <w:rtl/>
        </w:rPr>
        <w:footnoteRef/>
      </w:r>
      <w:r w:rsidRPr="00651C31">
        <w:rPr>
          <w:rStyle w:val="FootnoteReference"/>
          <w:vertAlign w:val="baseline"/>
          <w:rtl/>
        </w:rPr>
        <w:t>)</w:t>
      </w:r>
      <w:r w:rsidRPr="00651C31">
        <w:rPr>
          <w:szCs w:val="18"/>
          <w:rtl/>
        </w:rPr>
        <w:tab/>
        <w:t xml:space="preserve">الوثيقة </w:t>
      </w:r>
      <w:hyperlink r:id="rId28" w:history="1">
        <w:r w:rsidRPr="00651C31">
          <w:rPr>
            <w:rStyle w:val="Hyperlink"/>
            <w:szCs w:val="18"/>
            <w:lang w:val="en-AU"/>
          </w:rPr>
          <w:t>CAT/C/</w:t>
        </w:r>
        <w:proofErr w:type="spellStart"/>
        <w:r w:rsidRPr="00651C31">
          <w:rPr>
            <w:rStyle w:val="Hyperlink"/>
            <w:szCs w:val="18"/>
            <w:lang w:val="en-AU"/>
          </w:rPr>
          <w:t>IRQ</w:t>
        </w:r>
        <w:proofErr w:type="spellEnd"/>
        <w:r w:rsidRPr="00651C31">
          <w:rPr>
            <w:rStyle w:val="Hyperlink"/>
            <w:szCs w:val="18"/>
            <w:lang w:val="en-AU"/>
          </w:rPr>
          <w:t>/CO/1</w:t>
        </w:r>
      </w:hyperlink>
      <w:r w:rsidRPr="00651C31">
        <w:rPr>
          <w:szCs w:val="18"/>
          <w:rtl/>
        </w:rPr>
        <w:t>، الفقرة 31</w:t>
      </w:r>
      <w:r w:rsidRPr="00651C31">
        <w:rPr>
          <w:color w:val="000000"/>
          <w:szCs w:val="18"/>
          <w:rtl/>
        </w:rPr>
        <w:t xml:space="preserve">. </w:t>
      </w:r>
    </w:p>
  </w:footnote>
  <w:footnote w:id="29">
    <w:p w14:paraId="0DDE863D" w14:textId="4073EC45" w:rsidR="00DE6894" w:rsidRPr="00651C31" w:rsidRDefault="00DE6894" w:rsidP="00DE6894">
      <w:pPr>
        <w:pStyle w:val="FootnoteText"/>
        <w:tabs>
          <w:tab w:val="clear" w:pos="1021"/>
        </w:tabs>
        <w:bidi/>
        <w:spacing w:after="60" w:line="280" w:lineRule="exact"/>
        <w:ind w:left="1247" w:right="1247" w:hanging="567"/>
        <w:jc w:val="lowKashida"/>
        <w:textDirection w:val="tbRlV"/>
        <w:rPr>
          <w:szCs w:val="18"/>
          <w:lang w:val="ar-SA" w:eastAsia="zh-TW" w:bidi="en-GB"/>
        </w:rPr>
      </w:pPr>
      <w:r w:rsidRPr="00651C31">
        <w:rPr>
          <w:rStyle w:val="FootnoteReference"/>
          <w:vertAlign w:val="baseline"/>
          <w:rtl/>
        </w:rPr>
        <w:t>(</w:t>
      </w:r>
      <w:r w:rsidRPr="00651C31">
        <w:rPr>
          <w:rStyle w:val="FootnoteReference"/>
          <w:vertAlign w:val="baseline"/>
          <w:rtl/>
        </w:rPr>
        <w:footnoteRef/>
      </w:r>
      <w:r w:rsidRPr="00651C31">
        <w:rPr>
          <w:rStyle w:val="FootnoteReference"/>
          <w:vertAlign w:val="baseline"/>
          <w:rtl/>
        </w:rPr>
        <w:t>)</w:t>
      </w:r>
      <w:r w:rsidRPr="00651C31">
        <w:rPr>
          <w:szCs w:val="18"/>
          <w:rtl/>
        </w:rPr>
        <w:tab/>
        <w:t xml:space="preserve">انظر الوثيقة </w:t>
      </w:r>
      <w:hyperlink r:id="rId29" w:history="1">
        <w:proofErr w:type="spellStart"/>
        <w:r w:rsidRPr="00651C31">
          <w:rPr>
            <w:rStyle w:val="Hyperlink"/>
            <w:szCs w:val="18"/>
            <w:lang w:val="en-AU"/>
          </w:rPr>
          <w:t>CCPR</w:t>
        </w:r>
        <w:proofErr w:type="spellEnd"/>
        <w:r w:rsidRPr="00651C31">
          <w:rPr>
            <w:rStyle w:val="Hyperlink"/>
            <w:szCs w:val="18"/>
            <w:lang w:val="en-AU"/>
          </w:rPr>
          <w:t>/C/</w:t>
        </w:r>
        <w:proofErr w:type="spellStart"/>
        <w:r w:rsidRPr="00651C31">
          <w:rPr>
            <w:rStyle w:val="Hyperlink"/>
            <w:szCs w:val="18"/>
            <w:lang w:val="en-AU"/>
          </w:rPr>
          <w:t>IRQ</w:t>
        </w:r>
        <w:proofErr w:type="spellEnd"/>
        <w:r w:rsidRPr="00651C31">
          <w:rPr>
            <w:rStyle w:val="Hyperlink"/>
            <w:szCs w:val="18"/>
            <w:lang w:val="en-AU"/>
          </w:rPr>
          <w:t>/CO/6</w:t>
        </w:r>
      </w:hyperlink>
      <w:r w:rsidRPr="00651C31">
        <w:rPr>
          <w:rFonts w:cs="Times New Roman"/>
          <w:color w:val="000000"/>
          <w:szCs w:val="18"/>
          <w:rtl/>
        </w:rPr>
        <w:t xml:space="preserve">. </w:t>
      </w:r>
    </w:p>
  </w:footnote>
  <w:footnote w:id="30">
    <w:p w14:paraId="3660E664" w14:textId="206154A9" w:rsidR="00DE6894" w:rsidRPr="00651C31" w:rsidRDefault="00DE6894" w:rsidP="00DE6894">
      <w:pPr>
        <w:pStyle w:val="FootnoteText"/>
        <w:tabs>
          <w:tab w:val="clear" w:pos="1021"/>
        </w:tabs>
        <w:bidi/>
        <w:spacing w:after="60" w:line="280" w:lineRule="exact"/>
        <w:ind w:left="1247" w:right="1247" w:hanging="567"/>
        <w:jc w:val="lowKashida"/>
        <w:textDirection w:val="tbRlV"/>
        <w:rPr>
          <w:szCs w:val="18"/>
          <w:lang w:val="ar-SA" w:eastAsia="zh-TW" w:bidi="en-GB"/>
        </w:rPr>
      </w:pPr>
      <w:r w:rsidRPr="00651C31">
        <w:rPr>
          <w:rStyle w:val="FootnoteReference"/>
          <w:vertAlign w:val="baseline"/>
          <w:rtl/>
        </w:rPr>
        <w:t>(</w:t>
      </w:r>
      <w:r w:rsidRPr="00651C31">
        <w:rPr>
          <w:rStyle w:val="FootnoteReference"/>
          <w:vertAlign w:val="baseline"/>
          <w:rtl/>
        </w:rPr>
        <w:footnoteRef/>
      </w:r>
      <w:r w:rsidRPr="00651C31">
        <w:rPr>
          <w:rStyle w:val="FootnoteReference"/>
          <w:vertAlign w:val="baseline"/>
          <w:rtl/>
        </w:rPr>
        <w:t>)</w:t>
      </w:r>
      <w:r w:rsidRPr="00651C31">
        <w:rPr>
          <w:szCs w:val="18"/>
          <w:rtl/>
        </w:rPr>
        <w:tab/>
        <w:t xml:space="preserve">الوثيقة </w:t>
      </w:r>
      <w:hyperlink r:id="rId30" w:history="1">
        <w:r w:rsidRPr="00651C31">
          <w:rPr>
            <w:rStyle w:val="Hyperlink"/>
            <w:szCs w:val="18"/>
            <w:lang w:val="en-AU"/>
          </w:rPr>
          <w:t>CAT/C/</w:t>
        </w:r>
        <w:proofErr w:type="spellStart"/>
        <w:r w:rsidRPr="00651C31">
          <w:rPr>
            <w:rStyle w:val="Hyperlink"/>
            <w:szCs w:val="18"/>
            <w:lang w:val="en-AU"/>
          </w:rPr>
          <w:t>IRQ</w:t>
        </w:r>
        <w:proofErr w:type="spellEnd"/>
        <w:r w:rsidRPr="00651C31">
          <w:rPr>
            <w:rStyle w:val="Hyperlink"/>
            <w:szCs w:val="18"/>
            <w:lang w:val="en-AU"/>
          </w:rPr>
          <w:t>/CO/1</w:t>
        </w:r>
      </w:hyperlink>
      <w:r w:rsidRPr="00651C31">
        <w:rPr>
          <w:szCs w:val="18"/>
          <w:rtl/>
        </w:rPr>
        <w:t>، الفقرة 24</w:t>
      </w:r>
      <w:r w:rsidRPr="00651C31">
        <w:rPr>
          <w:rFonts w:ascii="Traditional Arabic"/>
          <w:szCs w:val="18"/>
          <w:rtl/>
        </w:rPr>
        <w:t>(</w:t>
      </w:r>
      <w:r w:rsidRPr="00651C31">
        <w:rPr>
          <w:szCs w:val="18"/>
          <w:rtl/>
        </w:rPr>
        <w:t>ه</w:t>
      </w:r>
      <w:r w:rsidRPr="00651C31">
        <w:rPr>
          <w:rFonts w:ascii="Traditional Arabic"/>
          <w:color w:val="000000"/>
          <w:szCs w:val="18"/>
          <w:rtl/>
        </w:rPr>
        <w:t>)</w:t>
      </w:r>
      <w:r w:rsidRPr="00651C31">
        <w:rPr>
          <w:color w:val="000000"/>
          <w:szCs w:val="18"/>
          <w:rtl/>
        </w:rPr>
        <w:t xml:space="preserve">. </w:t>
      </w:r>
    </w:p>
  </w:footnote>
  <w:footnote w:id="31">
    <w:p w14:paraId="60E4F484" w14:textId="70F5BA53" w:rsidR="00DE6894" w:rsidRPr="00651C31" w:rsidRDefault="00DE6894" w:rsidP="00DE6894">
      <w:pPr>
        <w:pStyle w:val="FootnoteText"/>
        <w:tabs>
          <w:tab w:val="clear" w:pos="1021"/>
        </w:tabs>
        <w:bidi/>
        <w:spacing w:after="60" w:line="280" w:lineRule="exact"/>
        <w:ind w:left="1247" w:right="1247" w:hanging="567"/>
        <w:jc w:val="lowKashida"/>
        <w:textDirection w:val="tbRlV"/>
        <w:rPr>
          <w:szCs w:val="18"/>
          <w:lang w:eastAsia="zh-TW" w:bidi="en-GB"/>
        </w:rPr>
      </w:pPr>
      <w:r w:rsidRPr="00651C31">
        <w:rPr>
          <w:rStyle w:val="FootnoteReference"/>
          <w:vertAlign w:val="baseline"/>
          <w:rtl/>
        </w:rPr>
        <w:t>(</w:t>
      </w:r>
      <w:r w:rsidRPr="00651C31">
        <w:rPr>
          <w:rStyle w:val="FootnoteReference"/>
          <w:vertAlign w:val="baseline"/>
          <w:rtl/>
        </w:rPr>
        <w:footnoteRef/>
      </w:r>
      <w:r w:rsidRPr="00651C31">
        <w:rPr>
          <w:rStyle w:val="FootnoteReference"/>
          <w:vertAlign w:val="baseline"/>
          <w:rtl/>
        </w:rPr>
        <w:t>)</w:t>
      </w:r>
      <w:r w:rsidRPr="00651C31">
        <w:rPr>
          <w:szCs w:val="18"/>
          <w:rtl/>
        </w:rPr>
        <w:tab/>
        <w:t xml:space="preserve">انظر الوثيقة </w:t>
      </w:r>
      <w:hyperlink r:id="rId31" w:history="1">
        <w:proofErr w:type="spellStart"/>
        <w:r w:rsidRPr="00651C31">
          <w:rPr>
            <w:rStyle w:val="Hyperlink"/>
            <w:szCs w:val="18"/>
            <w:lang w:val="en-AU"/>
          </w:rPr>
          <w:t>CCPR</w:t>
        </w:r>
        <w:proofErr w:type="spellEnd"/>
        <w:r w:rsidRPr="00651C31">
          <w:rPr>
            <w:rStyle w:val="Hyperlink"/>
            <w:szCs w:val="18"/>
            <w:lang w:val="en-AU"/>
          </w:rPr>
          <w:t>/C/</w:t>
        </w:r>
        <w:proofErr w:type="spellStart"/>
        <w:r w:rsidRPr="00651C31">
          <w:rPr>
            <w:rStyle w:val="Hyperlink"/>
            <w:szCs w:val="18"/>
            <w:lang w:val="en-AU"/>
          </w:rPr>
          <w:t>IRQ</w:t>
        </w:r>
        <w:proofErr w:type="spellEnd"/>
        <w:r w:rsidRPr="00651C31">
          <w:rPr>
            <w:rStyle w:val="Hyperlink"/>
            <w:szCs w:val="18"/>
            <w:lang w:val="en-AU"/>
          </w:rPr>
          <w:t>/CO/6</w:t>
        </w:r>
      </w:hyperlink>
      <w:r w:rsidRPr="00651C31">
        <w:rPr>
          <w:rFonts w:cs="Times New Roman"/>
          <w:color w:val="000000"/>
          <w:szCs w:val="18"/>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B8AE" w14:textId="4A65FA87" w:rsidR="001C0FE0" w:rsidRPr="001C0FE0" w:rsidRDefault="001C0FE0" w:rsidP="001C0FE0">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32451C">
      <w:t>CAT/C/</w:t>
    </w:r>
    <w:proofErr w:type="spellStart"/>
    <w:r w:rsidR="0032451C">
      <w:t>IRQ</w:t>
    </w:r>
    <w:proofErr w:type="spellEnd"/>
    <w:r w:rsidR="0032451C">
      <w:t>/CO/2</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2549" w14:textId="1AF904D1" w:rsidR="001C0FE0" w:rsidRPr="001C0FE0" w:rsidRDefault="001C0FE0" w:rsidP="001C0FE0">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32451C">
      <w:t>CAT/C/</w:t>
    </w:r>
    <w:proofErr w:type="spellStart"/>
    <w:r w:rsidR="0032451C">
      <w:t>IRQ</w:t>
    </w:r>
    <w:proofErr w:type="spellEnd"/>
    <w:r w:rsidR="0032451C">
      <w:t>/CO/2</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00F9" w14:textId="77777777" w:rsidR="00143C39" w:rsidRDefault="00143C39" w:rsidP="00143C3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F9"/>
    <w:rsid w:val="000076D5"/>
    <w:rsid w:val="00043663"/>
    <w:rsid w:val="000456F3"/>
    <w:rsid w:val="000505CF"/>
    <w:rsid w:val="000579D6"/>
    <w:rsid w:val="000A2113"/>
    <w:rsid w:val="000A70C3"/>
    <w:rsid w:val="000C488D"/>
    <w:rsid w:val="000D701C"/>
    <w:rsid w:val="000E11D4"/>
    <w:rsid w:val="000E2A71"/>
    <w:rsid w:val="000F1D4A"/>
    <w:rsid w:val="000F71D2"/>
    <w:rsid w:val="00143C39"/>
    <w:rsid w:val="00160263"/>
    <w:rsid w:val="00166BD2"/>
    <w:rsid w:val="00167825"/>
    <w:rsid w:val="00170EB3"/>
    <w:rsid w:val="00181F96"/>
    <w:rsid w:val="001A1371"/>
    <w:rsid w:val="001B346A"/>
    <w:rsid w:val="001C0FE0"/>
    <w:rsid w:val="001D4EA2"/>
    <w:rsid w:val="001D6F7B"/>
    <w:rsid w:val="001E1CAD"/>
    <w:rsid w:val="001E290D"/>
    <w:rsid w:val="00210DD4"/>
    <w:rsid w:val="002144FA"/>
    <w:rsid w:val="0023469A"/>
    <w:rsid w:val="00243C8A"/>
    <w:rsid w:val="00261289"/>
    <w:rsid w:val="00266034"/>
    <w:rsid w:val="0026755E"/>
    <w:rsid w:val="00267A0E"/>
    <w:rsid w:val="002901D9"/>
    <w:rsid w:val="00293066"/>
    <w:rsid w:val="002976C2"/>
    <w:rsid w:val="002F79EC"/>
    <w:rsid w:val="00310DA0"/>
    <w:rsid w:val="00323EC8"/>
    <w:rsid w:val="0032451C"/>
    <w:rsid w:val="003260FF"/>
    <w:rsid w:val="00343D95"/>
    <w:rsid w:val="00362E33"/>
    <w:rsid w:val="00374341"/>
    <w:rsid w:val="00384DA7"/>
    <w:rsid w:val="003D1062"/>
    <w:rsid w:val="00403EFC"/>
    <w:rsid w:val="00420D7B"/>
    <w:rsid w:val="00442C63"/>
    <w:rsid w:val="00450B21"/>
    <w:rsid w:val="00453B63"/>
    <w:rsid w:val="00455780"/>
    <w:rsid w:val="00462F28"/>
    <w:rsid w:val="00472BE8"/>
    <w:rsid w:val="004811D5"/>
    <w:rsid w:val="00490003"/>
    <w:rsid w:val="00493A9B"/>
    <w:rsid w:val="004956DC"/>
    <w:rsid w:val="00497B6F"/>
    <w:rsid w:val="004B0A1C"/>
    <w:rsid w:val="004D1929"/>
    <w:rsid w:val="004D2177"/>
    <w:rsid w:val="004D298E"/>
    <w:rsid w:val="00531DEA"/>
    <w:rsid w:val="0054472E"/>
    <w:rsid w:val="005662A9"/>
    <w:rsid w:val="00575E9A"/>
    <w:rsid w:val="005827D4"/>
    <w:rsid w:val="0059622A"/>
    <w:rsid w:val="005A3015"/>
    <w:rsid w:val="005C5878"/>
    <w:rsid w:val="005C7CEA"/>
    <w:rsid w:val="005D3C0B"/>
    <w:rsid w:val="005E23DF"/>
    <w:rsid w:val="005E5217"/>
    <w:rsid w:val="005F0FA4"/>
    <w:rsid w:val="005F30EE"/>
    <w:rsid w:val="0060473A"/>
    <w:rsid w:val="00647F07"/>
    <w:rsid w:val="00651C31"/>
    <w:rsid w:val="00656392"/>
    <w:rsid w:val="006646E9"/>
    <w:rsid w:val="0068781D"/>
    <w:rsid w:val="006959B0"/>
    <w:rsid w:val="006B2A7F"/>
    <w:rsid w:val="006B3E27"/>
    <w:rsid w:val="006B6507"/>
    <w:rsid w:val="006C104C"/>
    <w:rsid w:val="006D05CB"/>
    <w:rsid w:val="006D5E86"/>
    <w:rsid w:val="00706DFD"/>
    <w:rsid w:val="00712059"/>
    <w:rsid w:val="00730B4B"/>
    <w:rsid w:val="00733704"/>
    <w:rsid w:val="0074737D"/>
    <w:rsid w:val="00761849"/>
    <w:rsid w:val="0078071A"/>
    <w:rsid w:val="007A3847"/>
    <w:rsid w:val="007D56C1"/>
    <w:rsid w:val="00817373"/>
    <w:rsid w:val="00852A9A"/>
    <w:rsid w:val="00860491"/>
    <w:rsid w:val="00874514"/>
    <w:rsid w:val="00893A8A"/>
    <w:rsid w:val="00897AA1"/>
    <w:rsid w:val="008B27F9"/>
    <w:rsid w:val="008C0B37"/>
    <w:rsid w:val="008F49E1"/>
    <w:rsid w:val="0090370F"/>
    <w:rsid w:val="00906A57"/>
    <w:rsid w:val="009269D2"/>
    <w:rsid w:val="00942135"/>
    <w:rsid w:val="009521B0"/>
    <w:rsid w:val="00967127"/>
    <w:rsid w:val="00972676"/>
    <w:rsid w:val="00981C12"/>
    <w:rsid w:val="009A7E9F"/>
    <w:rsid w:val="009E4397"/>
    <w:rsid w:val="009E5018"/>
    <w:rsid w:val="009F09F5"/>
    <w:rsid w:val="00A10F8A"/>
    <w:rsid w:val="00A12B37"/>
    <w:rsid w:val="00A34EA8"/>
    <w:rsid w:val="00A425D5"/>
    <w:rsid w:val="00A44D86"/>
    <w:rsid w:val="00A67AF5"/>
    <w:rsid w:val="00A94CA3"/>
    <w:rsid w:val="00AB2C0B"/>
    <w:rsid w:val="00AB6758"/>
    <w:rsid w:val="00B07715"/>
    <w:rsid w:val="00B13763"/>
    <w:rsid w:val="00B456A0"/>
    <w:rsid w:val="00B477A4"/>
    <w:rsid w:val="00B54045"/>
    <w:rsid w:val="00B82677"/>
    <w:rsid w:val="00BA39D4"/>
    <w:rsid w:val="00BD0805"/>
    <w:rsid w:val="00C111C6"/>
    <w:rsid w:val="00C438D7"/>
    <w:rsid w:val="00C62476"/>
    <w:rsid w:val="00C645AE"/>
    <w:rsid w:val="00C64C7B"/>
    <w:rsid w:val="00C81B50"/>
    <w:rsid w:val="00C87F1F"/>
    <w:rsid w:val="00C96AFF"/>
    <w:rsid w:val="00CA2103"/>
    <w:rsid w:val="00CA35DF"/>
    <w:rsid w:val="00CD1801"/>
    <w:rsid w:val="00CF25FC"/>
    <w:rsid w:val="00D10EF1"/>
    <w:rsid w:val="00D24163"/>
    <w:rsid w:val="00D317F1"/>
    <w:rsid w:val="00D3653E"/>
    <w:rsid w:val="00D414B7"/>
    <w:rsid w:val="00D42810"/>
    <w:rsid w:val="00D914A7"/>
    <w:rsid w:val="00DB712F"/>
    <w:rsid w:val="00DC1D29"/>
    <w:rsid w:val="00DC2BC0"/>
    <w:rsid w:val="00DD13C3"/>
    <w:rsid w:val="00DD596E"/>
    <w:rsid w:val="00DD621E"/>
    <w:rsid w:val="00DE6894"/>
    <w:rsid w:val="00DF0575"/>
    <w:rsid w:val="00E2697F"/>
    <w:rsid w:val="00E51D57"/>
    <w:rsid w:val="00E64B72"/>
    <w:rsid w:val="00E70E04"/>
    <w:rsid w:val="00E76499"/>
    <w:rsid w:val="00EC05A7"/>
    <w:rsid w:val="00EC4B6B"/>
    <w:rsid w:val="00EE56C3"/>
    <w:rsid w:val="00EF1EE5"/>
    <w:rsid w:val="00F158EB"/>
    <w:rsid w:val="00F1695F"/>
    <w:rsid w:val="00F2569E"/>
    <w:rsid w:val="00F62057"/>
    <w:rsid w:val="00F763B4"/>
    <w:rsid w:val="00F81AF1"/>
    <w:rsid w:val="00F900C3"/>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642FB5B"/>
  <w15:docId w15:val="{DA2DCFE7-DD92-49B7-BC93-7384DF4B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EB"/>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F158EB"/>
    <w:pPr>
      <w:bidi w:val="0"/>
      <w:outlineLvl w:val="0"/>
    </w:pPr>
  </w:style>
  <w:style w:type="paragraph" w:styleId="Heading2">
    <w:name w:val="heading 2"/>
    <w:basedOn w:val="Normal"/>
    <w:next w:val="Normal"/>
    <w:link w:val="Heading2Char"/>
    <w:uiPriority w:val="9"/>
    <w:unhideWhenUsed/>
    <w:rsid w:val="00F158EB"/>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F158EB"/>
    <w:pPr>
      <w:keepNext/>
      <w:keepLines/>
      <w:spacing w:before="200"/>
      <w:outlineLvl w:val="2"/>
    </w:pPr>
    <w:rPr>
      <w:b/>
      <w:bCs/>
      <w:color w:val="4F81BD"/>
    </w:rPr>
  </w:style>
  <w:style w:type="paragraph" w:styleId="Heading4">
    <w:name w:val="heading 4"/>
    <w:basedOn w:val="Normal"/>
    <w:next w:val="Normal"/>
    <w:link w:val="Heading4Char"/>
    <w:uiPriority w:val="9"/>
    <w:unhideWhenUsed/>
    <w:rsid w:val="00F158EB"/>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F158EB"/>
    <w:pPr>
      <w:keepNext/>
      <w:keepLines/>
      <w:spacing w:before="200"/>
      <w:outlineLvl w:val="4"/>
    </w:pPr>
    <w:rPr>
      <w:color w:val="243F60"/>
    </w:rPr>
  </w:style>
  <w:style w:type="paragraph" w:styleId="Heading6">
    <w:name w:val="heading 6"/>
    <w:basedOn w:val="Normal"/>
    <w:next w:val="Normal"/>
    <w:link w:val="Heading6Char"/>
    <w:uiPriority w:val="9"/>
    <w:unhideWhenUsed/>
    <w:rsid w:val="00F158EB"/>
    <w:pPr>
      <w:keepNext/>
      <w:keepLines/>
      <w:spacing w:before="200"/>
      <w:outlineLvl w:val="5"/>
    </w:pPr>
    <w:rPr>
      <w:i/>
      <w:iCs/>
      <w:color w:val="243F60"/>
    </w:rPr>
  </w:style>
  <w:style w:type="paragraph" w:styleId="Heading7">
    <w:name w:val="heading 7"/>
    <w:basedOn w:val="Normal"/>
    <w:next w:val="Normal"/>
    <w:link w:val="Heading7Char"/>
    <w:uiPriority w:val="9"/>
    <w:unhideWhenUsed/>
    <w:rsid w:val="00F158EB"/>
    <w:pPr>
      <w:keepNext/>
      <w:keepLines/>
      <w:spacing w:before="200"/>
      <w:outlineLvl w:val="6"/>
    </w:pPr>
    <w:rPr>
      <w:i/>
      <w:iCs/>
      <w:color w:val="404040"/>
    </w:rPr>
  </w:style>
  <w:style w:type="paragraph" w:styleId="Heading8">
    <w:name w:val="heading 8"/>
    <w:basedOn w:val="Normal"/>
    <w:next w:val="Normal"/>
    <w:link w:val="Heading8Char"/>
    <w:uiPriority w:val="9"/>
    <w:unhideWhenUsed/>
    <w:rsid w:val="00F158EB"/>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F158EB"/>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F158EB"/>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F158EB"/>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F158EB"/>
    <w:rPr>
      <w:szCs w:val="18"/>
      <w:vertAlign w:val="superscript"/>
    </w:rPr>
  </w:style>
  <w:style w:type="paragraph" w:customStyle="1" w:styleId="HMGA">
    <w:name w:val="_ H __M_GA"/>
    <w:basedOn w:val="Normal"/>
    <w:next w:val="SingleTxtGA"/>
    <w:qFormat/>
    <w:rsid w:val="00F158EB"/>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F158EB"/>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F158EB"/>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F158EB"/>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F158EB"/>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F158EB"/>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F158EB"/>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F158EB"/>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F158EB"/>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F158EB"/>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F158EB"/>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F158EB"/>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F158EB"/>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F158EB"/>
    <w:pPr>
      <w:numPr>
        <w:numId w:val="5"/>
      </w:numPr>
      <w:bidi w:val="0"/>
    </w:pPr>
    <w:rPr>
      <w:lang w:val="en-US"/>
    </w:rPr>
  </w:style>
  <w:style w:type="paragraph" w:customStyle="1" w:styleId="Roman1GA">
    <w:name w:val="_Roman 1_GA"/>
    <w:basedOn w:val="Bullet1GA"/>
    <w:qFormat/>
    <w:rsid w:val="00F158EB"/>
    <w:pPr>
      <w:numPr>
        <w:numId w:val="6"/>
      </w:numPr>
      <w:tabs>
        <w:tab w:val="clear" w:pos="2310"/>
        <w:tab w:val="left" w:pos="2486"/>
      </w:tabs>
      <w:ind w:left="2486" w:hanging="378"/>
    </w:pPr>
  </w:style>
  <w:style w:type="paragraph" w:customStyle="1" w:styleId="Roman2GA">
    <w:name w:val="_Roman 2_GA"/>
    <w:basedOn w:val="Bullet2GA"/>
    <w:qFormat/>
    <w:rsid w:val="00F158EB"/>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F158EB"/>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F158EB"/>
    <w:rPr>
      <w:rFonts w:ascii="Times New Roman" w:eastAsia="PMingLiU" w:hAnsi="Times New Roman" w:cs="Simplified Arabic"/>
      <w:sz w:val="18"/>
      <w:lang w:val="en-GB" w:eastAsia="en-US"/>
    </w:rPr>
  </w:style>
  <w:style w:type="character" w:customStyle="1" w:styleId="EndtnoteReference">
    <w:name w:val="Endtnote Reference"/>
    <w:aliases w:val="1_GA"/>
    <w:qFormat/>
    <w:rsid w:val="00F158EB"/>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F158EB"/>
    <w:pPr>
      <w:suppressAutoHyphens/>
      <w:bidi w:val="0"/>
      <w:spacing w:line="240" w:lineRule="auto"/>
    </w:pPr>
    <w:rPr>
      <w:sz w:val="16"/>
      <w:lang w:val="en-GB"/>
    </w:rPr>
  </w:style>
  <w:style w:type="character" w:customStyle="1" w:styleId="FooterChar">
    <w:name w:val="Footer Char"/>
    <w:aliases w:val="3_GA Char,3_G Char"/>
    <w:link w:val="Footer"/>
    <w:rsid w:val="00F158EB"/>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F158EB"/>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F158EB"/>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F158EB"/>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F158EB"/>
    <w:rPr>
      <w:rFonts w:ascii="Times New Roman" w:eastAsia="PMingLiU" w:hAnsi="Times New Roman" w:cs="Simplified Arabic"/>
      <w:sz w:val="22"/>
      <w:szCs w:val="22"/>
      <w:lang w:val="en-GB" w:eastAsia="en-US"/>
    </w:rPr>
  </w:style>
  <w:style w:type="character" w:styleId="PageNumber">
    <w:name w:val="page number"/>
    <w:aliases w:val="7_GA,7_G"/>
    <w:qFormat/>
    <w:rsid w:val="00F158EB"/>
    <w:rPr>
      <w:rFonts w:ascii="Times New Roman Bold" w:hAnsi="Times New Roman Bold"/>
      <w:b/>
      <w:i w:val="0"/>
      <w:sz w:val="18"/>
      <w:szCs w:val="18"/>
    </w:rPr>
  </w:style>
  <w:style w:type="paragraph" w:customStyle="1" w:styleId="XXLargeGA">
    <w:name w:val="XXLarge_GA"/>
    <w:basedOn w:val="Normal"/>
    <w:next w:val="SingleTxtGA"/>
    <w:qFormat/>
    <w:rsid w:val="00F158EB"/>
    <w:pPr>
      <w:suppressAutoHyphens/>
      <w:spacing w:line="820" w:lineRule="exact"/>
    </w:pPr>
    <w:rPr>
      <w:spacing w:val="-8"/>
      <w:w w:val="96"/>
      <w:sz w:val="57"/>
      <w:szCs w:val="86"/>
      <w:lang w:val="en-GB"/>
    </w:rPr>
  </w:style>
  <w:style w:type="character" w:customStyle="1" w:styleId="Heading2Char">
    <w:name w:val="Heading 2 Char"/>
    <w:link w:val="Heading2"/>
    <w:uiPriority w:val="9"/>
    <w:rsid w:val="00F158EB"/>
    <w:rPr>
      <w:rFonts w:ascii="Times New Roman" w:eastAsia="PMingLiU" w:hAnsi="Times New Roman" w:cs="Simplified Arabic"/>
      <w:b/>
      <w:bCs/>
      <w:color w:val="4F81BD"/>
      <w:sz w:val="26"/>
      <w:szCs w:val="26"/>
      <w:lang w:eastAsia="en-US"/>
    </w:rPr>
  </w:style>
  <w:style w:type="character" w:styleId="BookTitle">
    <w:name w:val="Book Title"/>
    <w:uiPriority w:val="33"/>
    <w:rsid w:val="00F158EB"/>
    <w:rPr>
      <w:b/>
      <w:bCs/>
      <w:smallCaps/>
      <w:spacing w:val="5"/>
    </w:rPr>
  </w:style>
  <w:style w:type="character" w:customStyle="1" w:styleId="Heading3Char">
    <w:name w:val="Heading 3 Char"/>
    <w:link w:val="Heading3"/>
    <w:uiPriority w:val="9"/>
    <w:rsid w:val="00F158EB"/>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F158EB"/>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F158EB"/>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F158EB"/>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F158EB"/>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F158EB"/>
    <w:rPr>
      <w:rFonts w:ascii="Times New Roman" w:eastAsia="PMingLiU" w:hAnsi="Times New Roman" w:cs="Simplified Arabic"/>
      <w:color w:val="404040"/>
      <w:lang w:eastAsia="en-US"/>
    </w:rPr>
  </w:style>
  <w:style w:type="character" w:customStyle="1" w:styleId="Heading9Char">
    <w:name w:val="Heading 9 Char"/>
    <w:link w:val="Heading9"/>
    <w:uiPriority w:val="9"/>
    <w:rsid w:val="00F158EB"/>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F158E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F158EB"/>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F158EB"/>
    <w:pPr>
      <w:numPr>
        <w:ilvl w:val="1"/>
      </w:numPr>
    </w:pPr>
    <w:rPr>
      <w:i/>
      <w:iCs/>
      <w:color w:val="4F81BD"/>
      <w:spacing w:val="15"/>
      <w:sz w:val="24"/>
      <w:szCs w:val="24"/>
    </w:rPr>
  </w:style>
  <w:style w:type="character" w:customStyle="1" w:styleId="SubtitleChar">
    <w:name w:val="Subtitle Char"/>
    <w:link w:val="Subtitle"/>
    <w:uiPriority w:val="11"/>
    <w:rsid w:val="00F158EB"/>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F158EB"/>
    <w:rPr>
      <w:i/>
      <w:iCs/>
      <w:color w:val="808080"/>
    </w:rPr>
  </w:style>
  <w:style w:type="table" w:styleId="ColorfulGrid-Accent6">
    <w:name w:val="Colorful Grid Accent 6"/>
    <w:basedOn w:val="TableNormal"/>
    <w:uiPriority w:val="73"/>
    <w:rsid w:val="00F158EB"/>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F158EB"/>
    <w:rPr>
      <w:i/>
      <w:iCs/>
    </w:rPr>
  </w:style>
  <w:style w:type="character" w:styleId="IntenseEmphasis">
    <w:name w:val="Intense Emphasis"/>
    <w:uiPriority w:val="21"/>
    <w:rsid w:val="00F158EB"/>
    <w:rPr>
      <w:b/>
      <w:bCs/>
      <w:i/>
      <w:iCs/>
      <w:color w:val="4F81BD"/>
    </w:rPr>
  </w:style>
  <w:style w:type="character" w:styleId="Strong">
    <w:name w:val="Strong"/>
    <w:uiPriority w:val="22"/>
    <w:rsid w:val="00F158EB"/>
    <w:rPr>
      <w:b/>
      <w:bCs/>
    </w:rPr>
  </w:style>
  <w:style w:type="paragraph" w:styleId="Quote">
    <w:name w:val="Quote"/>
    <w:basedOn w:val="Normal"/>
    <w:next w:val="Normal"/>
    <w:link w:val="QuoteChar"/>
    <w:uiPriority w:val="29"/>
    <w:rsid w:val="00F158EB"/>
    <w:rPr>
      <w:i/>
      <w:iCs/>
      <w:color w:val="000000"/>
    </w:rPr>
  </w:style>
  <w:style w:type="character" w:customStyle="1" w:styleId="QuoteChar">
    <w:name w:val="Quote Char"/>
    <w:link w:val="Quote"/>
    <w:uiPriority w:val="29"/>
    <w:rsid w:val="00F158EB"/>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F158E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158EB"/>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F158EB"/>
    <w:rPr>
      <w:smallCaps/>
      <w:color w:val="C0504D"/>
      <w:u w:val="single"/>
    </w:rPr>
  </w:style>
  <w:style w:type="character" w:styleId="IntenseReference">
    <w:name w:val="Intense Reference"/>
    <w:uiPriority w:val="32"/>
    <w:rsid w:val="00F158EB"/>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158EB"/>
    <w:pPr>
      <w:ind w:left="720"/>
    </w:pPr>
  </w:style>
  <w:style w:type="table" w:styleId="MediumShading1-Accent4">
    <w:name w:val="Medium Shading 1 Accent 4"/>
    <w:basedOn w:val="TableNormal"/>
    <w:uiPriority w:val="63"/>
    <w:rsid w:val="00F158EB"/>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F158EB"/>
    <w:rPr>
      <w:rFonts w:eastAsia="MS Mincho"/>
      <w:sz w:val="18"/>
      <w:vertAlign w:val="superscript"/>
    </w:rPr>
  </w:style>
  <w:style w:type="table" w:styleId="TableGrid">
    <w:name w:val="Table Grid"/>
    <w:basedOn w:val="TableNormal"/>
    <w:rsid w:val="00F158EB"/>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8EB"/>
    <w:pPr>
      <w:spacing w:line="240" w:lineRule="auto"/>
    </w:pPr>
    <w:rPr>
      <w:sz w:val="16"/>
      <w:szCs w:val="16"/>
    </w:rPr>
  </w:style>
  <w:style w:type="character" w:customStyle="1" w:styleId="BalloonTextChar">
    <w:name w:val="Balloon Text Char"/>
    <w:link w:val="BalloonText"/>
    <w:uiPriority w:val="99"/>
    <w:semiHidden/>
    <w:rsid w:val="00F158EB"/>
    <w:rPr>
      <w:rFonts w:ascii="Times New Roman" w:eastAsia="PMingLiU" w:hAnsi="Times New Roman" w:cs="Simplified Arabic"/>
      <w:sz w:val="16"/>
      <w:szCs w:val="16"/>
      <w:lang w:eastAsia="en-US"/>
    </w:rPr>
  </w:style>
  <w:style w:type="character" w:styleId="Hyperlink">
    <w:name w:val="Hyperlink"/>
    <w:uiPriority w:val="99"/>
    <w:unhideWhenUsed/>
    <w:rsid w:val="00F158EB"/>
    <w:rPr>
      <w:color w:val="0000FF"/>
      <w:u w:val="none"/>
    </w:rPr>
  </w:style>
  <w:style w:type="paragraph" w:styleId="TOC1">
    <w:name w:val="toc 1"/>
    <w:basedOn w:val="Normal"/>
    <w:link w:val="TOC1Char"/>
    <w:autoRedefine/>
    <w:uiPriority w:val="39"/>
    <w:unhideWhenUsed/>
    <w:rsid w:val="00F158EB"/>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F158EB"/>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F158EB"/>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F158EB"/>
    <w:rPr>
      <w:rFonts w:eastAsia="DengXian"/>
      <w:color w:val="auto"/>
      <w:sz w:val="20"/>
      <w:szCs w:val="20"/>
      <w:u w:val="none"/>
      <w:lang w:eastAsia="zh-CN" w:bidi="ar-EG"/>
    </w:rPr>
  </w:style>
  <w:style w:type="paragraph" w:styleId="TOC4">
    <w:name w:val="toc 4"/>
    <w:basedOn w:val="Normal"/>
    <w:link w:val="TOC4Char"/>
    <w:autoRedefine/>
    <w:uiPriority w:val="39"/>
    <w:unhideWhenUsed/>
    <w:rsid w:val="00F158EB"/>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F158EB"/>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F158EB"/>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F158EB"/>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F158EB"/>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F158EB"/>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F158EB"/>
    <w:rPr>
      <w:color w:val="605E5C"/>
      <w:shd w:val="clear" w:color="auto" w:fill="E1DFDD"/>
    </w:rPr>
  </w:style>
  <w:style w:type="character" w:customStyle="1" w:styleId="TOC1Char">
    <w:name w:val="TOC 1 Char"/>
    <w:basedOn w:val="DefaultParagraphFont"/>
    <w:link w:val="TOC1"/>
    <w:uiPriority w:val="39"/>
    <w:rsid w:val="00F158EB"/>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F158EB"/>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F158EB"/>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F158EB"/>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F158EB"/>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F158EB"/>
    <w:rPr>
      <w:rFonts w:ascii="Times New Roman" w:eastAsia="PMingLiU" w:hAnsi="Times New Roman" w:cs="Simplified Arabic"/>
      <w:lang w:val="en-GB" w:eastAsia="en-US"/>
    </w:rPr>
  </w:style>
  <w:style w:type="paragraph" w:customStyle="1" w:styleId="SessionDate">
    <w:name w:val="Session_Date"/>
    <w:basedOn w:val="Normal"/>
    <w:qFormat/>
    <w:rsid w:val="00F158EB"/>
    <w:pPr>
      <w:spacing w:before="240" w:after="240" w:line="460" w:lineRule="exact"/>
      <w:ind w:left="1247"/>
    </w:pPr>
    <w:rPr>
      <w:b/>
      <w:bCs/>
      <w:sz w:val="32"/>
      <w:szCs w:val="44"/>
    </w:rPr>
  </w:style>
  <w:style w:type="paragraph" w:customStyle="1" w:styleId="SessionNumber">
    <w:name w:val="Session_Number"/>
    <w:basedOn w:val="Normal"/>
    <w:qFormat/>
    <w:rsid w:val="00F158EB"/>
    <w:pPr>
      <w:spacing w:line="480" w:lineRule="exact"/>
      <w:ind w:left="1247"/>
    </w:pPr>
    <w:rPr>
      <w:b/>
      <w:bCs/>
      <w:sz w:val="28"/>
      <w:szCs w:val="38"/>
    </w:rPr>
  </w:style>
  <w:style w:type="paragraph" w:customStyle="1" w:styleId="CityandYear">
    <w:name w:val="City and Year"/>
    <w:basedOn w:val="SingleTxtGA"/>
    <w:qFormat/>
    <w:rsid w:val="00F158EB"/>
    <w:pPr>
      <w:spacing w:line="480" w:lineRule="exact"/>
    </w:pPr>
    <w:rPr>
      <w:b/>
      <w:bCs/>
      <w:sz w:val="30"/>
      <w:szCs w:val="38"/>
      <w:lang w:eastAsia="ar-SA"/>
    </w:rPr>
  </w:style>
  <w:style w:type="paragraph" w:customStyle="1" w:styleId="NormalA">
    <w:name w:val="Normal_A"/>
    <w:basedOn w:val="Normal"/>
    <w:qFormat/>
    <w:rsid w:val="00F158EB"/>
  </w:style>
  <w:style w:type="paragraph" w:customStyle="1" w:styleId="H1G">
    <w:name w:val="_ H_1_G"/>
    <w:basedOn w:val="Normal"/>
    <w:next w:val="Normal"/>
    <w:qFormat/>
    <w:rsid w:val="00F158EB"/>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F158EB"/>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F158EB"/>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F158EB"/>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F158EB"/>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F158EB"/>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F158EB"/>
    <w:rPr>
      <w:sz w:val="44"/>
      <w:szCs w:val="44"/>
      <w:lang w:val="en-US" w:bidi="ar-DZ"/>
    </w:rPr>
  </w:style>
  <w:style w:type="paragraph" w:customStyle="1" w:styleId="FootnoteGA0">
    <w:name w:val="Footnote_GA"/>
    <w:basedOn w:val="Normal"/>
    <w:qFormat/>
    <w:rsid w:val="00F158EB"/>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F158EB"/>
    <w:pPr>
      <w:keepNext/>
      <w:keepLines/>
      <w:spacing w:after="120" w:line="400" w:lineRule="exact"/>
      <w:outlineLvl w:val="0"/>
    </w:pPr>
    <w:rPr>
      <w:b/>
      <w:bCs/>
      <w:kern w:val="14"/>
      <w:sz w:val="24"/>
      <w:szCs w:val="32"/>
    </w:rPr>
  </w:style>
  <w:style w:type="paragraph" w:customStyle="1" w:styleId="HCh">
    <w:name w:val="_ H _Ch"/>
    <w:basedOn w:val="H1"/>
    <w:next w:val="SingleTxt"/>
    <w:qFormat/>
    <w:rsid w:val="00F158EB"/>
    <w:pPr>
      <w:spacing w:line="440" w:lineRule="exact"/>
    </w:pPr>
    <w:rPr>
      <w:spacing w:val="-2"/>
      <w:sz w:val="28"/>
      <w:szCs w:val="36"/>
    </w:rPr>
  </w:style>
  <w:style w:type="character" w:styleId="CommentReference">
    <w:name w:val="annotation reference"/>
    <w:uiPriority w:val="99"/>
    <w:semiHidden/>
    <w:rsid w:val="00F158EB"/>
    <w:rPr>
      <w:sz w:val="6"/>
      <w:szCs w:val="9"/>
    </w:rPr>
  </w:style>
  <w:style w:type="paragraph" w:customStyle="1" w:styleId="HM">
    <w:name w:val="_ H __M"/>
    <w:basedOn w:val="HCh"/>
    <w:next w:val="Normal"/>
    <w:qFormat/>
    <w:rsid w:val="00F158EB"/>
    <w:pPr>
      <w:suppressAutoHyphens/>
      <w:spacing w:line="520" w:lineRule="exact"/>
    </w:pPr>
    <w:rPr>
      <w:spacing w:val="-3"/>
      <w:sz w:val="34"/>
      <w:szCs w:val="48"/>
    </w:rPr>
  </w:style>
  <w:style w:type="paragraph" w:customStyle="1" w:styleId="SingleTxt">
    <w:name w:val="__Single Txt"/>
    <w:basedOn w:val="SingleTxtG"/>
    <w:qFormat/>
    <w:rsid w:val="00F158EB"/>
  </w:style>
  <w:style w:type="paragraph" w:customStyle="1" w:styleId="H23">
    <w:name w:val="_ H_2/3"/>
    <w:basedOn w:val="H1"/>
    <w:next w:val="Normal"/>
    <w:qFormat/>
    <w:rsid w:val="00F158EB"/>
    <w:pPr>
      <w:suppressAutoHyphens/>
      <w:spacing w:line="360" w:lineRule="exact"/>
      <w:outlineLvl w:val="1"/>
    </w:pPr>
    <w:rPr>
      <w:spacing w:val="2"/>
      <w:sz w:val="20"/>
      <w:szCs w:val="28"/>
    </w:rPr>
  </w:style>
  <w:style w:type="paragraph" w:customStyle="1" w:styleId="H4">
    <w:name w:val="_ H_4"/>
    <w:basedOn w:val="Normal"/>
    <w:next w:val="Normal"/>
    <w:qFormat/>
    <w:rsid w:val="00F158EB"/>
    <w:pPr>
      <w:keepNext/>
      <w:keepLines/>
      <w:spacing w:after="120" w:line="360" w:lineRule="exact"/>
      <w:outlineLvl w:val="3"/>
    </w:pPr>
    <w:rPr>
      <w:i/>
      <w:iCs/>
      <w:kern w:val="14"/>
      <w:szCs w:val="28"/>
    </w:rPr>
  </w:style>
  <w:style w:type="paragraph" w:customStyle="1" w:styleId="H56">
    <w:name w:val="_ H_5/6"/>
    <w:basedOn w:val="Normal"/>
    <w:next w:val="Normal"/>
    <w:qFormat/>
    <w:rsid w:val="00F158EB"/>
    <w:pPr>
      <w:keepNext/>
      <w:keepLines/>
      <w:spacing w:after="120" w:line="360" w:lineRule="exact"/>
      <w:outlineLvl w:val="4"/>
    </w:pPr>
    <w:rPr>
      <w:kern w:val="14"/>
      <w:szCs w:val="28"/>
    </w:rPr>
  </w:style>
  <w:style w:type="paragraph" w:customStyle="1" w:styleId="DualTxt">
    <w:name w:val="__Dual Txt"/>
    <w:basedOn w:val="Normal"/>
    <w:qFormat/>
    <w:rsid w:val="00F158EB"/>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F158EB"/>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F158EB"/>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F158EB"/>
    <w:pPr>
      <w:spacing w:after="120" w:line="440" w:lineRule="exact"/>
      <w:jc w:val="center"/>
    </w:pPr>
    <w:rPr>
      <w:b/>
      <w:bCs/>
      <w:sz w:val="25"/>
      <w:szCs w:val="38"/>
    </w:rPr>
  </w:style>
  <w:style w:type="paragraph" w:customStyle="1" w:styleId="JH1">
    <w:name w:val="J_H_1"/>
    <w:basedOn w:val="JCH"/>
    <w:qFormat/>
    <w:rsid w:val="00F158EB"/>
    <w:pPr>
      <w:spacing w:line="420" w:lineRule="exact"/>
    </w:pPr>
    <w:rPr>
      <w:sz w:val="23"/>
      <w:szCs w:val="34"/>
    </w:rPr>
  </w:style>
  <w:style w:type="paragraph" w:customStyle="1" w:styleId="JH2">
    <w:name w:val="J_H_2"/>
    <w:basedOn w:val="JH1"/>
    <w:qFormat/>
    <w:rsid w:val="00F158EB"/>
    <w:pPr>
      <w:spacing w:line="400" w:lineRule="exact"/>
    </w:pPr>
    <w:rPr>
      <w:sz w:val="20"/>
      <w:szCs w:val="30"/>
    </w:rPr>
  </w:style>
  <w:style w:type="paragraph" w:customStyle="1" w:styleId="JSmall">
    <w:name w:val="J_Small"/>
    <w:basedOn w:val="JSingleTxt"/>
    <w:next w:val="JSingleTxt"/>
    <w:qFormat/>
    <w:rsid w:val="00F158EB"/>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F158EB"/>
    <w:pPr>
      <w:tabs>
        <w:tab w:val="right" w:leader="dot" w:pos="360"/>
      </w:tabs>
      <w:spacing w:line="310" w:lineRule="exact"/>
      <w:jc w:val="right"/>
    </w:pPr>
    <w:rPr>
      <w:spacing w:val="5"/>
      <w:w w:val="104"/>
      <w:kern w:val="14"/>
      <w:sz w:val="17"/>
      <w:szCs w:val="25"/>
    </w:rPr>
  </w:style>
  <w:style w:type="character" w:styleId="LineNumber">
    <w:name w:val="line number"/>
    <w:qFormat/>
    <w:rsid w:val="00F158EB"/>
    <w:rPr>
      <w:sz w:val="14"/>
      <w:szCs w:val="16"/>
    </w:rPr>
  </w:style>
  <w:style w:type="paragraph" w:customStyle="1" w:styleId="SmallX">
    <w:name w:val="SmallX"/>
    <w:basedOn w:val="Small"/>
    <w:next w:val="Normal"/>
    <w:qFormat/>
    <w:rsid w:val="00F158EB"/>
    <w:pPr>
      <w:spacing w:line="240" w:lineRule="exact"/>
    </w:pPr>
    <w:rPr>
      <w:spacing w:val="6"/>
      <w:w w:val="106"/>
      <w:sz w:val="14"/>
      <w:szCs w:val="21"/>
    </w:rPr>
  </w:style>
  <w:style w:type="paragraph" w:customStyle="1" w:styleId="XLarge">
    <w:name w:val="XLarge"/>
    <w:basedOn w:val="HM"/>
    <w:qFormat/>
    <w:rsid w:val="00F158EB"/>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158EB"/>
    <w:pPr>
      <w:spacing w:line="820" w:lineRule="exact"/>
    </w:pPr>
    <w:rPr>
      <w:spacing w:val="-8"/>
      <w:w w:val="96"/>
      <w:sz w:val="57"/>
      <w:szCs w:val="86"/>
    </w:rPr>
  </w:style>
  <w:style w:type="paragraph" w:customStyle="1" w:styleId="Distribution">
    <w:name w:val="Distribu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F158EB"/>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F158EB"/>
    <w:pPr>
      <w:tabs>
        <w:tab w:val="left" w:pos="662"/>
        <w:tab w:val="left" w:pos="1267"/>
        <w:tab w:val="left" w:pos="1987"/>
        <w:tab w:val="left" w:pos="2650"/>
      </w:tabs>
      <w:spacing w:after="0"/>
      <w:ind w:left="662" w:hanging="662"/>
    </w:pPr>
  </w:style>
  <w:style w:type="paragraph" w:customStyle="1" w:styleId="Committee">
    <w:name w:val="Committee"/>
    <w:basedOn w:val="H1"/>
    <w:qFormat/>
    <w:rsid w:val="00F158EB"/>
    <w:pPr>
      <w:tabs>
        <w:tab w:val="left" w:pos="662"/>
        <w:tab w:val="left" w:pos="1267"/>
        <w:tab w:val="left" w:pos="1987"/>
        <w:tab w:val="left" w:pos="2650"/>
      </w:tabs>
      <w:ind w:right="1264"/>
    </w:pPr>
  </w:style>
  <w:style w:type="paragraph" w:customStyle="1" w:styleId="AgendaItemNormal">
    <w:name w:val="Agenda_Item_Normal"/>
    <w:next w:val="Normal"/>
    <w:qFormat/>
    <w:rsid w:val="00F158EB"/>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F158EB"/>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F158EB"/>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F158EB"/>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F158EB"/>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F158EB"/>
    <w:rPr>
      <w:i w:val="0"/>
      <w:color w:val="0000FF"/>
      <w:u w:val="none"/>
    </w:rPr>
  </w:style>
  <w:style w:type="paragraph" w:customStyle="1" w:styleId="Bullet1">
    <w:name w:val="Bullet 1"/>
    <w:basedOn w:val="Normal"/>
    <w:qFormat/>
    <w:rsid w:val="00F158EB"/>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F158EB"/>
    <w:pPr>
      <w:numPr>
        <w:numId w:val="19"/>
      </w:numPr>
      <w:spacing w:after="120" w:line="360" w:lineRule="exact"/>
      <w:ind w:right="1264"/>
    </w:pPr>
    <w:rPr>
      <w:kern w:val="14"/>
      <w:szCs w:val="28"/>
    </w:rPr>
  </w:style>
  <w:style w:type="paragraph" w:customStyle="1" w:styleId="Bullet3">
    <w:name w:val="Bullet 3"/>
    <w:basedOn w:val="SingleTxt"/>
    <w:qFormat/>
    <w:rsid w:val="00F158EB"/>
    <w:pPr>
      <w:numPr>
        <w:numId w:val="20"/>
      </w:numPr>
      <w:tabs>
        <w:tab w:val="num" w:pos="2495"/>
      </w:tabs>
      <w:ind w:left="2495" w:hanging="545"/>
    </w:pPr>
  </w:style>
  <w:style w:type="paragraph" w:customStyle="1" w:styleId="AgendaTitleH2">
    <w:name w:val="Agenda_Title_H2"/>
    <w:basedOn w:val="H1"/>
    <w:next w:val="Normal"/>
    <w:qFormat/>
    <w:rsid w:val="00F158EB"/>
    <w:pPr>
      <w:ind w:right="5760"/>
      <w:outlineLvl w:val="1"/>
    </w:pPr>
    <w:rPr>
      <w:spacing w:val="2"/>
      <w:sz w:val="20"/>
      <w:szCs w:val="28"/>
    </w:rPr>
  </w:style>
  <w:style w:type="paragraph" w:customStyle="1" w:styleId="STitleM">
    <w:name w:val="S_Title_M"/>
    <w:basedOn w:val="Normal"/>
    <w:next w:val="Normal"/>
    <w:qFormat/>
    <w:rsid w:val="00F158EB"/>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F158EB"/>
    <w:pPr>
      <w:spacing w:line="600" w:lineRule="exact"/>
      <w:ind w:left="1267" w:right="1267"/>
    </w:pPr>
    <w:rPr>
      <w:w w:val="103"/>
      <w:sz w:val="60"/>
      <w:szCs w:val="60"/>
    </w:rPr>
  </w:style>
  <w:style w:type="paragraph" w:customStyle="1" w:styleId="STitleL">
    <w:name w:val="S_Title_L"/>
    <w:basedOn w:val="XLarge"/>
    <w:next w:val="Normal"/>
    <w:qFormat/>
    <w:rsid w:val="00F158EB"/>
    <w:rPr>
      <w:spacing w:val="-8"/>
      <w:w w:val="96"/>
      <w:sz w:val="57"/>
    </w:rPr>
  </w:style>
  <w:style w:type="paragraph" w:styleId="CommentText">
    <w:name w:val="annotation text"/>
    <w:basedOn w:val="Normal"/>
    <w:link w:val="CommentTextChar"/>
    <w:uiPriority w:val="99"/>
    <w:semiHidden/>
    <w:unhideWhenUsed/>
    <w:rsid w:val="00F158EB"/>
    <w:pPr>
      <w:spacing w:line="240" w:lineRule="auto"/>
    </w:pPr>
    <w:rPr>
      <w:kern w:val="14"/>
    </w:rPr>
  </w:style>
  <w:style w:type="character" w:customStyle="1" w:styleId="CommentTextChar">
    <w:name w:val="Comment Text Char"/>
    <w:basedOn w:val="DefaultParagraphFont"/>
    <w:link w:val="CommentText"/>
    <w:uiPriority w:val="99"/>
    <w:semiHidden/>
    <w:rsid w:val="00F158EB"/>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F158EB"/>
    <w:rPr>
      <w:b/>
      <w:bCs/>
    </w:rPr>
  </w:style>
  <w:style w:type="character" w:customStyle="1" w:styleId="CommentSubjectChar">
    <w:name w:val="Comment Subject Char"/>
    <w:basedOn w:val="CommentTextChar"/>
    <w:link w:val="CommentSubject"/>
    <w:uiPriority w:val="99"/>
    <w:semiHidden/>
    <w:rsid w:val="00F158EB"/>
    <w:rPr>
      <w:rFonts w:ascii="Times New Roman" w:eastAsia="PMingLiU" w:hAnsi="Times New Roman" w:cs="Simplified Arabic"/>
      <w:b/>
      <w:bCs/>
      <w:kern w:val="14"/>
      <w:szCs w:val="22"/>
      <w:lang w:eastAsia="en-US"/>
    </w:rPr>
  </w:style>
  <w:style w:type="paragraph" w:customStyle="1" w:styleId="Bullet1G">
    <w:name w:val="_Bullet 1_G"/>
    <w:basedOn w:val="Normal"/>
    <w:qFormat/>
    <w:rsid w:val="00F158EB"/>
    <w:pPr>
      <w:numPr>
        <w:numId w:val="21"/>
      </w:numPr>
      <w:bidi w:val="0"/>
      <w:spacing w:after="120"/>
      <w:ind w:right="1134"/>
      <w:jc w:val="both"/>
    </w:pPr>
    <w:rPr>
      <w:sz w:val="22"/>
    </w:rPr>
  </w:style>
  <w:style w:type="character" w:customStyle="1" w:styleId="SingleTxtGChar">
    <w:name w:val="_ Single Txt_G Char"/>
    <w:link w:val="SingleTxtG"/>
    <w:rsid w:val="00F158EB"/>
    <w:rPr>
      <w:rFonts w:ascii="Times New Roman" w:eastAsia="PMingLiU" w:hAnsi="Times New Roman" w:cs="Simplified Arabic"/>
      <w:lang w:val="en-GB" w:eastAsia="en-US"/>
    </w:rPr>
  </w:style>
  <w:style w:type="paragraph" w:customStyle="1" w:styleId="Preparedby">
    <w:name w:val="Prepared by:"/>
    <w:basedOn w:val="H23GA"/>
    <w:qFormat/>
    <w:rsid w:val="00F158EB"/>
    <w:rPr>
      <w:sz w:val="32"/>
      <w:szCs w:val="32"/>
    </w:rPr>
  </w:style>
  <w:style w:type="paragraph" w:customStyle="1" w:styleId="ParaNoG">
    <w:name w:val="_ParaNo._G"/>
    <w:basedOn w:val="SingleTxtG"/>
    <w:rsid w:val="00F158EB"/>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F158EB"/>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F158EB"/>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F158EB"/>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F158EB"/>
    <w:rPr>
      <w:rFonts w:asciiTheme="minorHAnsi" w:eastAsiaTheme="minorEastAsia" w:hAnsiTheme="minorHAnsi" w:cstheme="minorBidi"/>
      <w:sz w:val="24"/>
      <w:szCs w:val="24"/>
      <w:lang w:val="fr-FR" w:eastAsia="fr-FR"/>
    </w:rPr>
  </w:style>
  <w:style w:type="paragraph" w:customStyle="1" w:styleId="Default">
    <w:name w:val="Default"/>
    <w:semiHidden/>
    <w:rsid w:val="00F158EB"/>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F158EB"/>
  </w:style>
  <w:style w:type="character" w:customStyle="1" w:styleId="preferred">
    <w:name w:val="preferred"/>
    <w:basedOn w:val="DefaultParagraphFont"/>
    <w:rsid w:val="00F158EB"/>
  </w:style>
  <w:style w:type="character" w:customStyle="1" w:styleId="admitted">
    <w:name w:val="admitted"/>
    <w:basedOn w:val="DefaultParagraphFont"/>
    <w:rsid w:val="00F158EB"/>
  </w:style>
  <w:style w:type="paragraph" w:styleId="TOC7">
    <w:name w:val="toc 7"/>
    <w:basedOn w:val="Normal"/>
    <w:next w:val="Normal"/>
    <w:autoRedefine/>
    <w:uiPriority w:val="39"/>
    <w:unhideWhenUsed/>
    <w:rsid w:val="00C64C7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C64C7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C64C7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uiPriority w:val="99"/>
    <w:rsid w:val="00F158EB"/>
    <w:pPr>
      <w:bidi w:val="0"/>
      <w:spacing w:after="160" w:line="240" w:lineRule="exact"/>
      <w:jc w:val="both"/>
    </w:pPr>
    <w:rPr>
      <w:rFonts w:ascii="Calibri" w:eastAsia="Times New Roman" w:hAnsi="Calibri" w:cs="Arial"/>
      <w:szCs w:val="18"/>
      <w:vertAlign w:val="superscript"/>
      <w:lang w:eastAsia="zh-TW"/>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158EB"/>
    <w:rPr>
      <w:rFonts w:ascii="Times New Roman" w:eastAsia="PMingLiU" w:hAnsi="Times New Roman" w:cs="Simplified Arabic"/>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AT/C/IRQ/FCO/1" TargetMode="External"/><Relationship Id="rId13" Type="http://schemas.openxmlformats.org/officeDocument/2006/relationships/hyperlink" Target="https://undocs.org/ar/CED/C/IRQ/OAI/1" TargetMode="External"/><Relationship Id="rId18" Type="http://schemas.openxmlformats.org/officeDocument/2006/relationships/hyperlink" Target="https://undocs.org/ar/CED/C/IRQ/OAI/1" TargetMode="External"/><Relationship Id="rId26" Type="http://schemas.openxmlformats.org/officeDocument/2006/relationships/hyperlink" Target="https://undocs.org/ar/CED/C/IRQ/OAI/1" TargetMode="External"/><Relationship Id="rId3" Type="http://schemas.openxmlformats.org/officeDocument/2006/relationships/hyperlink" Target="https://undocs.org/ar/CAT/C/SR.1890" TargetMode="External"/><Relationship Id="rId21" Type="http://schemas.openxmlformats.org/officeDocument/2006/relationships/hyperlink" Target="https://undocs.org/ar/CCPR/C/IRQ/CO/6" TargetMode="External"/><Relationship Id="rId7" Type="http://schemas.openxmlformats.org/officeDocument/2006/relationships/hyperlink" Target="https://undocs.org/ar/CAT/C/IRQ/CO/1/Corr.1" TargetMode="External"/><Relationship Id="rId12" Type="http://schemas.openxmlformats.org/officeDocument/2006/relationships/hyperlink" Target="https://undocs.org/ar/A/HRC/43/14/Add.1" TargetMode="External"/><Relationship Id="rId17" Type="http://schemas.openxmlformats.org/officeDocument/2006/relationships/hyperlink" Target="https://undocs.org/ar/CCPR/C/IRQ/CO/6" TargetMode="External"/><Relationship Id="rId25" Type="http://schemas.openxmlformats.org/officeDocument/2006/relationships/hyperlink" Target="https://undocs.org/ar/CCPR/C/IRQ/CO/6" TargetMode="External"/><Relationship Id="rId2" Type="http://schemas.openxmlformats.org/officeDocument/2006/relationships/hyperlink" Target="https://undocs.org/ar/CAT/C/SR.1887" TargetMode="External"/><Relationship Id="rId16" Type="http://schemas.openxmlformats.org/officeDocument/2006/relationships/hyperlink" Target="https://undocs.org/ar/CAT/C/IRQ/CO/1" TargetMode="External"/><Relationship Id="rId20" Type="http://schemas.openxmlformats.org/officeDocument/2006/relationships/hyperlink" Target="https://undocs.org/ar/CAT/C/IRQ/CO/1" TargetMode="External"/><Relationship Id="rId29" Type="http://schemas.openxmlformats.org/officeDocument/2006/relationships/hyperlink" Target="https://undocs.org/ar/CCPR/C/IRQ/CO/6" TargetMode="External"/><Relationship Id="rId1" Type="http://schemas.openxmlformats.org/officeDocument/2006/relationships/hyperlink" Target="https://undocs.org/ar/CAT/C/IRQ/2" TargetMode="External"/><Relationship Id="rId6" Type="http://schemas.openxmlformats.org/officeDocument/2006/relationships/hyperlink" Target="https://undocs.org/ar/CAT/C/IRQ/CO/1" TargetMode="External"/><Relationship Id="rId11" Type="http://schemas.openxmlformats.org/officeDocument/2006/relationships/hyperlink" Target="https://undocs.org/ar/A/HRC/43/14" TargetMode="External"/><Relationship Id="rId24" Type="http://schemas.openxmlformats.org/officeDocument/2006/relationships/hyperlink" Target="https://undocs.org/ar/S/2022/46" TargetMode="External"/><Relationship Id="rId5" Type="http://schemas.openxmlformats.org/officeDocument/2006/relationships/hyperlink" Target="https://undocs.org/ar/CAT/C/IRQ/Q/2" TargetMode="External"/><Relationship Id="rId15" Type="http://schemas.openxmlformats.org/officeDocument/2006/relationships/hyperlink" Target="https://undocs.org/ar/CED/C/IRQ/OAI/1" TargetMode="External"/><Relationship Id="rId23" Type="http://schemas.openxmlformats.org/officeDocument/2006/relationships/hyperlink" Target="https://undocs.org/ar/CAT/C/IRQ/CO/1" TargetMode="External"/><Relationship Id="rId28" Type="http://schemas.openxmlformats.org/officeDocument/2006/relationships/hyperlink" Target="https://undocs.org/ar/CAT/C/IRQ/CO/1" TargetMode="External"/><Relationship Id="rId10" Type="http://schemas.openxmlformats.org/officeDocument/2006/relationships/hyperlink" Target="https://undocs.org/ar/CCPR/C/IRQ/CO/6" TargetMode="External"/><Relationship Id="rId19" Type="http://schemas.openxmlformats.org/officeDocument/2006/relationships/hyperlink" Target="https://undocs.org/ar/CAT/C/IRQ/CO/1" TargetMode="External"/><Relationship Id="rId31" Type="http://schemas.openxmlformats.org/officeDocument/2006/relationships/hyperlink" Target="https://undocs.org/ar/CCPR/C/IRQ/CO/6" TargetMode="External"/><Relationship Id="rId4" Type="http://schemas.openxmlformats.org/officeDocument/2006/relationships/hyperlink" Target="https://undocs.org/ar/CAT/C/IRQ/RQ/2" TargetMode="External"/><Relationship Id="rId9" Type="http://schemas.openxmlformats.org/officeDocument/2006/relationships/hyperlink" Target="https://undocs.org/ar/CAT/C/IRQ/CO/1" TargetMode="External"/><Relationship Id="rId14" Type="http://schemas.openxmlformats.org/officeDocument/2006/relationships/hyperlink" Target="https://undocs.org/ar/CCPR/C/IRQ/CO/6" TargetMode="External"/><Relationship Id="rId22" Type="http://schemas.openxmlformats.org/officeDocument/2006/relationships/hyperlink" Target="https://undocs.org/ar/S/2022/46" TargetMode="External"/><Relationship Id="rId27" Type="http://schemas.openxmlformats.org/officeDocument/2006/relationships/hyperlink" Target="https://undocs.org/ar/CCPR/C/IRQ/CO/6" TargetMode="External"/><Relationship Id="rId30" Type="http://schemas.openxmlformats.org/officeDocument/2006/relationships/hyperlink" Target="https://undocs.org/ar/CAT/C/IRQ/C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5059</Words>
  <Characters>26556</Characters>
  <Application>Microsoft Office Word</Application>
  <DocSecurity>0</DocSecurity>
  <Lines>410</Lines>
  <Paragraphs>122</Paragraphs>
  <ScaleCrop>false</ScaleCrop>
  <HeadingPairs>
    <vt:vector size="2" baseType="variant">
      <vt:variant>
        <vt:lpstr>Title</vt:lpstr>
      </vt:variant>
      <vt:variant>
        <vt:i4>1</vt:i4>
      </vt:variant>
    </vt:vector>
  </HeadingPairs>
  <TitlesOfParts>
    <vt:vector size="1" baseType="lpstr">
      <vt:lpstr>CAT/C/IRQ/CO/2</vt:lpstr>
    </vt:vector>
  </TitlesOfParts>
  <Company>DCM</Company>
  <LinksUpToDate>false</LinksUpToDate>
  <CharactersWithSpaces>31558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CAT/C/IRQ/CO/2</dc:title>
  <dc:subject>GE.2209270(A)</dc:subject>
  <dc:creator>Ihab RIZ - </dc:creator>
  <cp:keywords>GE.2238128(A)</cp:keywords>
  <dc:description>General_x000d_
_x000d_
Arabic_x000d_
English</dc:description>
  <cp:lastModifiedBy>Ibrahim Balan</cp:lastModifiedBy>
  <cp:revision>3</cp:revision>
  <cp:lastPrinted>2022-07-08T14:47:00Z</cp:lastPrinted>
  <dcterms:created xsi:type="dcterms:W3CDTF">2022-07-08T14:47:00Z</dcterms:created>
  <dcterms:modified xsi:type="dcterms:W3CDTF">2022-07-08T14:48:00Z</dcterms:modified>
  <cp:category>Final</cp:category>
</cp:coreProperties>
</file>