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4780BF7" w14:textId="77777777" w:rsidTr="00FC1527">
        <w:trPr>
          <w:cantSplit/>
          <w:trHeight w:hRule="exact" w:val="851"/>
        </w:trPr>
        <w:tc>
          <w:tcPr>
            <w:tcW w:w="1276" w:type="dxa"/>
            <w:tcBorders>
              <w:bottom w:val="single" w:sz="4" w:space="0" w:color="auto"/>
            </w:tcBorders>
            <w:vAlign w:val="bottom"/>
          </w:tcPr>
          <w:p w14:paraId="2659F211" w14:textId="77777777" w:rsidR="00A43F01" w:rsidRDefault="00A43F01" w:rsidP="00FC1527">
            <w:pPr>
              <w:spacing w:after="80"/>
            </w:pPr>
          </w:p>
        </w:tc>
        <w:tc>
          <w:tcPr>
            <w:tcW w:w="2268" w:type="dxa"/>
            <w:tcBorders>
              <w:bottom w:val="single" w:sz="4" w:space="0" w:color="auto"/>
            </w:tcBorders>
            <w:vAlign w:val="bottom"/>
          </w:tcPr>
          <w:p w14:paraId="63A831E4"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8EEF1D" w14:textId="77BBFA98" w:rsidR="00A43F01" w:rsidRPr="006E4EE9" w:rsidRDefault="009B4592" w:rsidP="009B4592">
            <w:pPr>
              <w:suppressAutoHyphens w:val="0"/>
              <w:spacing w:after="20"/>
              <w:jc w:val="right"/>
            </w:pPr>
            <w:r w:rsidRPr="000F5384">
              <w:rPr>
                <w:sz w:val="40"/>
              </w:rPr>
              <w:t>CAT</w:t>
            </w:r>
            <w:r w:rsidRPr="000F5384">
              <w:t>/C/IRQ/CO/2</w:t>
            </w:r>
          </w:p>
        </w:tc>
      </w:tr>
      <w:tr w:rsidR="00A43F01" w14:paraId="4DE7AD9A" w14:textId="77777777" w:rsidTr="00FC1527">
        <w:trPr>
          <w:cantSplit/>
          <w:trHeight w:hRule="exact" w:val="2835"/>
        </w:trPr>
        <w:tc>
          <w:tcPr>
            <w:tcW w:w="1276" w:type="dxa"/>
            <w:tcBorders>
              <w:top w:val="single" w:sz="4" w:space="0" w:color="auto"/>
              <w:bottom w:val="single" w:sz="12" w:space="0" w:color="auto"/>
            </w:tcBorders>
          </w:tcPr>
          <w:p w14:paraId="3C6FFA2B" w14:textId="77777777" w:rsidR="00A43F01" w:rsidRDefault="00A43F01" w:rsidP="00FC1527">
            <w:pPr>
              <w:spacing w:before="120"/>
              <w:jc w:val="center"/>
            </w:pPr>
            <w:r>
              <w:rPr>
                <w:noProof/>
                <w:lang w:val="fr-CH" w:eastAsia="fr-CH"/>
              </w:rPr>
              <w:drawing>
                <wp:inline distT="0" distB="0" distL="0" distR="0" wp14:anchorId="44C72FBF" wp14:editId="287F83F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DD0BC7"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119A80F" w14:textId="77777777" w:rsidR="00A43F01" w:rsidRDefault="009B4592" w:rsidP="009B4592">
            <w:pPr>
              <w:suppressAutoHyphens w:val="0"/>
              <w:spacing w:before="240"/>
            </w:pPr>
            <w:r>
              <w:t>Distr.: General</w:t>
            </w:r>
          </w:p>
          <w:p w14:paraId="00512E54" w14:textId="77777777" w:rsidR="009B4592" w:rsidRDefault="009B4592" w:rsidP="009B4592">
            <w:pPr>
              <w:suppressAutoHyphens w:val="0"/>
            </w:pPr>
            <w:r>
              <w:t>15 June 2022</w:t>
            </w:r>
          </w:p>
          <w:p w14:paraId="456B0F20" w14:textId="77777777" w:rsidR="009B4592" w:rsidRDefault="009B4592" w:rsidP="009B4592">
            <w:pPr>
              <w:suppressAutoHyphens w:val="0"/>
            </w:pPr>
          </w:p>
          <w:p w14:paraId="37302AD3" w14:textId="77777777" w:rsidR="009B4592" w:rsidRDefault="009B4592" w:rsidP="009B4592">
            <w:pPr>
              <w:suppressAutoHyphens w:val="0"/>
            </w:pPr>
            <w:r>
              <w:t>Original: English</w:t>
            </w:r>
          </w:p>
        </w:tc>
      </w:tr>
    </w:tbl>
    <w:p w14:paraId="4BFBDBB0" w14:textId="6009CBD7" w:rsidR="009B4592" w:rsidRDefault="009B4592" w:rsidP="009B4592">
      <w:pPr>
        <w:spacing w:before="120"/>
        <w:rPr>
          <w:rFonts w:eastAsiaTheme="minorEastAsia"/>
        </w:rPr>
      </w:pPr>
      <w:r>
        <w:rPr>
          <w:b/>
          <w:sz w:val="24"/>
          <w:szCs w:val="24"/>
        </w:rPr>
        <w:t>Committee against Torture</w:t>
      </w:r>
    </w:p>
    <w:p w14:paraId="70A89537" w14:textId="4ADC271F" w:rsidR="009B4592" w:rsidRPr="000D4A26" w:rsidRDefault="003757E2" w:rsidP="00CA5065">
      <w:pPr>
        <w:pStyle w:val="HChG"/>
        <w:rPr>
          <w:bCs/>
        </w:rPr>
      </w:pPr>
      <w:r>
        <w:tab/>
      </w:r>
      <w:r>
        <w:tab/>
      </w:r>
      <w:r w:rsidR="009B4592">
        <w:t>Concluding observations on the second periodic report</w:t>
      </w:r>
      <w:r w:rsidR="009B4592">
        <w:br/>
        <w:t>of Iraq</w:t>
      </w:r>
      <w:r w:rsidR="009B4592" w:rsidRPr="00CA5065">
        <w:rPr>
          <w:b w:val="0"/>
          <w:sz w:val="20"/>
        </w:rPr>
        <w:footnoteReference w:customMarkFollows="1" w:id="1"/>
        <w:t>*</w:t>
      </w:r>
    </w:p>
    <w:p w14:paraId="0E7141D0" w14:textId="77777777" w:rsidR="009B4592" w:rsidRPr="00E75A98" w:rsidRDefault="009B4592" w:rsidP="003757E2">
      <w:pPr>
        <w:pStyle w:val="SingleTxtG"/>
      </w:pPr>
      <w:r w:rsidRPr="00E75A98">
        <w:t>1.</w:t>
      </w:r>
      <w:r w:rsidRPr="00E75A98">
        <w:tab/>
        <w:t>The Committee against Torture considered the second periodic report of Iraq</w:t>
      </w:r>
      <w:r w:rsidRPr="00E75A98">
        <w:rPr>
          <w:sz w:val="18"/>
          <w:vertAlign w:val="superscript"/>
        </w:rPr>
        <w:footnoteReference w:id="2"/>
      </w:r>
      <w:r w:rsidRPr="00E75A98">
        <w:t xml:space="preserve"> at its 1887th and 1890th meetings,</w:t>
      </w:r>
      <w:r w:rsidRPr="00E75A98">
        <w:rPr>
          <w:sz w:val="18"/>
          <w:vertAlign w:val="superscript"/>
        </w:rPr>
        <w:footnoteReference w:id="3"/>
      </w:r>
      <w:r w:rsidRPr="00E75A98">
        <w:t xml:space="preserve"> held on 26 and 27 </w:t>
      </w:r>
      <w:r>
        <w:t>April</w:t>
      </w:r>
      <w:r w:rsidRPr="00E75A98">
        <w:t xml:space="preserve"> 2022, and adopted the present concluding observations at its </w:t>
      </w:r>
      <w:r>
        <w:t>1903rd</w:t>
      </w:r>
      <w:r w:rsidRPr="00E75A98">
        <w:t xml:space="preserve"> meeting, held on </w:t>
      </w:r>
      <w:r>
        <w:t>9</w:t>
      </w:r>
      <w:r w:rsidRPr="00E75A98">
        <w:t xml:space="preserve"> May 2022.</w:t>
      </w:r>
    </w:p>
    <w:p w14:paraId="29F69285" w14:textId="77777777" w:rsidR="009B4592" w:rsidRPr="00E75A98" w:rsidRDefault="009B4592" w:rsidP="00CA5065">
      <w:pPr>
        <w:pStyle w:val="H1G"/>
      </w:pPr>
      <w:r w:rsidRPr="00E75A98">
        <w:tab/>
        <w:t>A.</w:t>
      </w:r>
      <w:r w:rsidRPr="00E75A98">
        <w:tab/>
        <w:t>Introduction</w:t>
      </w:r>
    </w:p>
    <w:p w14:paraId="735FB681" w14:textId="77777777" w:rsidR="009B4592" w:rsidRPr="00E75A98" w:rsidRDefault="009B4592" w:rsidP="003757E2">
      <w:pPr>
        <w:pStyle w:val="SingleTxtG"/>
      </w:pPr>
      <w:r w:rsidRPr="00E75A98">
        <w:t>2.</w:t>
      </w:r>
      <w:r w:rsidRPr="00E75A98">
        <w:tab/>
        <w:t>The Committee welcomes the timely submission of the second periodic report of the State party</w:t>
      </w:r>
      <w:r>
        <w:t>.</w:t>
      </w:r>
      <w:r w:rsidRPr="00E75A98">
        <w:t xml:space="preserve"> The Committee appreciates the State party’s written replies</w:t>
      </w:r>
      <w:r w:rsidRPr="00E75A98">
        <w:rPr>
          <w:sz w:val="18"/>
          <w:vertAlign w:val="superscript"/>
        </w:rPr>
        <w:footnoteReference w:id="4"/>
      </w:r>
      <w:r w:rsidRPr="00E75A98">
        <w:t xml:space="preserve"> to the list of issues,</w:t>
      </w:r>
      <w:r w:rsidRPr="00E75A98">
        <w:rPr>
          <w:sz w:val="18"/>
          <w:vertAlign w:val="superscript"/>
        </w:rPr>
        <w:footnoteReference w:id="5"/>
      </w:r>
      <w:r w:rsidRPr="00E75A98">
        <w:t xml:space="preserve"> along with the supplementary information provided during the consideration of the periodic report.</w:t>
      </w:r>
    </w:p>
    <w:p w14:paraId="39E969ED" w14:textId="77777777" w:rsidR="009B4592" w:rsidRPr="00E75A98" w:rsidRDefault="009B4592" w:rsidP="003757E2">
      <w:pPr>
        <w:pStyle w:val="SingleTxtG"/>
      </w:pPr>
      <w:r w:rsidRPr="00E75A98">
        <w:t>3.</w:t>
      </w:r>
      <w:r w:rsidRPr="00E75A98">
        <w:tab/>
        <w:t>The Committee also appreciates having had the opportunity to engage in a constructive dialogue with the State party’s</w:t>
      </w:r>
      <w:r>
        <w:t xml:space="preserve"> </w:t>
      </w:r>
      <w:r w:rsidRPr="00C300B6">
        <w:t>delegation, although it regrets that some of its questions remain unanswered</w:t>
      </w:r>
      <w:r w:rsidRPr="00C300B6">
        <w:rPr>
          <w:rFonts w:eastAsia="Calibri"/>
        </w:rPr>
        <w:t>.</w:t>
      </w:r>
    </w:p>
    <w:p w14:paraId="4A9174B3" w14:textId="77777777" w:rsidR="009B4592" w:rsidRPr="00E75A98" w:rsidRDefault="009B4592" w:rsidP="00CA5065">
      <w:pPr>
        <w:pStyle w:val="H1G"/>
      </w:pPr>
      <w:r w:rsidRPr="00E75A98">
        <w:tab/>
        <w:t>B.</w:t>
      </w:r>
      <w:r w:rsidRPr="00E75A98">
        <w:tab/>
        <w:t>Positive aspects</w:t>
      </w:r>
    </w:p>
    <w:p w14:paraId="4936DB6E" w14:textId="77777777" w:rsidR="009B4592" w:rsidRPr="00E75A98" w:rsidRDefault="009B4592" w:rsidP="003757E2">
      <w:pPr>
        <w:pStyle w:val="SingleTxtG"/>
      </w:pPr>
      <w:r w:rsidRPr="00E75A98">
        <w:t>4.</w:t>
      </w:r>
      <w:r w:rsidRPr="00E75A98">
        <w:tab/>
        <w:t xml:space="preserve">The Committee </w:t>
      </w:r>
      <w:r w:rsidRPr="00E75A98">
        <w:rPr>
          <w:rFonts w:eastAsia="Yu Mincho"/>
        </w:rPr>
        <w:t>welcomes the State party’s initiatives to revise and introduce legislation in areas of relevance to the Con</w:t>
      </w:r>
      <w:r w:rsidRPr="00E75A98">
        <w:t>vention, including the adoption of</w:t>
      </w:r>
      <w:r>
        <w:t xml:space="preserve"> the following</w:t>
      </w:r>
      <w:r w:rsidRPr="00E75A98">
        <w:t>:</w:t>
      </w:r>
    </w:p>
    <w:p w14:paraId="588CF416" w14:textId="20E6B480" w:rsidR="009B4592" w:rsidRPr="00E75A98" w:rsidRDefault="009B4592" w:rsidP="003757E2">
      <w:pPr>
        <w:pStyle w:val="SingleTxtG"/>
        <w:rPr>
          <w:lang w:eastAsia="ko-KR"/>
        </w:rPr>
      </w:pPr>
      <w:r w:rsidRPr="00E75A98">
        <w:tab/>
        <w:t>(a)</w:t>
      </w:r>
      <w:r w:rsidRPr="00E75A98">
        <w:tab/>
      </w:r>
      <w:r w:rsidRPr="00E75A98">
        <w:tab/>
      </w:r>
      <w:r w:rsidRPr="00E75A98">
        <w:rPr>
          <w:lang w:eastAsia="ko-KR"/>
        </w:rPr>
        <w:t>Yazidi Female Survivor</w:t>
      </w:r>
      <w:r w:rsidR="000F5384">
        <w:rPr>
          <w:lang w:eastAsia="ko-KR"/>
        </w:rPr>
        <w:t>’</w:t>
      </w:r>
      <w:r w:rsidRPr="00E75A98">
        <w:rPr>
          <w:lang w:eastAsia="ko-KR"/>
        </w:rPr>
        <w:t>s Law No. 8 of 2021;</w:t>
      </w:r>
    </w:p>
    <w:p w14:paraId="327CC3C3" w14:textId="77777777" w:rsidR="009B4592" w:rsidRPr="00E75A98" w:rsidRDefault="009B4592" w:rsidP="003757E2">
      <w:pPr>
        <w:pStyle w:val="SingleTxtG"/>
      </w:pPr>
      <w:r w:rsidRPr="00E75A98">
        <w:rPr>
          <w:lang w:eastAsia="ko-KR"/>
        </w:rPr>
        <w:tab/>
        <w:t>(b)</w:t>
      </w:r>
      <w:r w:rsidRPr="00E75A98">
        <w:rPr>
          <w:lang w:eastAsia="ko-KR"/>
        </w:rPr>
        <w:tab/>
      </w:r>
      <w:r w:rsidRPr="00E75A98">
        <w:t>Prisoners and Detainees Reform Law No. 14 of 2018;</w:t>
      </w:r>
    </w:p>
    <w:p w14:paraId="776EEC86" w14:textId="7AD5AD9E" w:rsidR="009B4592" w:rsidRPr="00E75A98" w:rsidRDefault="009B4592" w:rsidP="003757E2">
      <w:pPr>
        <w:pStyle w:val="SingleTxtG"/>
      </w:pPr>
      <w:r w:rsidRPr="00E75A98">
        <w:tab/>
        <w:t>(</w:t>
      </w:r>
      <w:r>
        <w:t>c</w:t>
      </w:r>
      <w:r w:rsidRPr="00E75A98">
        <w:t>)</w:t>
      </w:r>
      <w:r w:rsidRPr="00E75A98">
        <w:tab/>
        <w:t>Protection of Witnesses, Experts, Informants and Victims Law No. 58 of 2017;</w:t>
      </w:r>
    </w:p>
    <w:p w14:paraId="7574C4F7" w14:textId="77777777" w:rsidR="009B4592" w:rsidRPr="00E75A98" w:rsidRDefault="009B4592" w:rsidP="003757E2">
      <w:pPr>
        <w:pStyle w:val="SingleTxtG"/>
      </w:pPr>
      <w:r w:rsidRPr="00E75A98">
        <w:tab/>
        <w:t>(</w:t>
      </w:r>
      <w:r>
        <w:t>d</w:t>
      </w:r>
      <w:r w:rsidRPr="00E75A98">
        <w:t>)</w:t>
      </w:r>
      <w:r w:rsidRPr="00E75A98">
        <w:tab/>
        <w:t>Joining Judicial Institute to Supreme Judicial Council Law No. 70 of 2017;</w:t>
      </w:r>
    </w:p>
    <w:p w14:paraId="1BB53457" w14:textId="77777777" w:rsidR="009B4592" w:rsidRPr="00E75A98" w:rsidRDefault="009B4592" w:rsidP="003757E2">
      <w:pPr>
        <w:pStyle w:val="SingleTxtG"/>
      </w:pPr>
      <w:r w:rsidRPr="00E75A98">
        <w:tab/>
        <w:t>(</w:t>
      </w:r>
      <w:r>
        <w:t>e</w:t>
      </w:r>
      <w:r w:rsidRPr="00E75A98">
        <w:t>)</w:t>
      </w:r>
      <w:r w:rsidRPr="00E75A98">
        <w:tab/>
      </w:r>
      <w:r>
        <w:t>T</w:t>
      </w:r>
      <w:r w:rsidRPr="00E75A98">
        <w:t>ransplantation of Human Organs and Prohibition of Trade therein Law No. 11 of 2016;</w:t>
      </w:r>
    </w:p>
    <w:p w14:paraId="11A5A3C8" w14:textId="721A89C5" w:rsidR="009B4592" w:rsidRPr="00E75A98" w:rsidRDefault="009B4592" w:rsidP="003757E2">
      <w:pPr>
        <w:pStyle w:val="SingleTxtG"/>
      </w:pPr>
      <w:r w:rsidRPr="00E75A98">
        <w:tab/>
        <w:t>(</w:t>
      </w:r>
      <w:r>
        <w:t>f</w:t>
      </w:r>
      <w:r w:rsidRPr="00E75A98">
        <w:t>)</w:t>
      </w:r>
      <w:r w:rsidRPr="00E75A98">
        <w:tab/>
        <w:t>General Amnesty Law No. 27 of 2016;</w:t>
      </w:r>
    </w:p>
    <w:p w14:paraId="1A88EFA6" w14:textId="475A676A" w:rsidR="009B4592" w:rsidRPr="00E75A98" w:rsidRDefault="009B4592" w:rsidP="003757E2">
      <w:pPr>
        <w:pStyle w:val="SingleTxtG"/>
      </w:pPr>
      <w:r w:rsidRPr="00E75A98">
        <w:tab/>
        <w:t>(</w:t>
      </w:r>
      <w:r>
        <w:t>g</w:t>
      </w:r>
      <w:r w:rsidRPr="00E75A98">
        <w:t>)</w:t>
      </w:r>
      <w:r w:rsidRPr="00E75A98">
        <w:tab/>
        <w:t>Law No. 56 of 2015</w:t>
      </w:r>
      <w:r>
        <w:t xml:space="preserve"> amending the </w:t>
      </w:r>
      <w:r w:rsidRPr="00E75A98">
        <w:t>Forensic Medicine Law.</w:t>
      </w:r>
    </w:p>
    <w:p w14:paraId="125E6B6E" w14:textId="77777777" w:rsidR="009B4592" w:rsidRPr="003757E2" w:rsidRDefault="009B4592" w:rsidP="003757E2">
      <w:pPr>
        <w:pStyle w:val="SingleTxtG"/>
      </w:pPr>
      <w:r w:rsidRPr="00E75A98">
        <w:t>5.</w:t>
      </w:r>
      <w:r w:rsidRPr="00E75A98">
        <w:tab/>
        <w:t>The Committee commends the State party’s initiatives to amend its policies and procedures in order to afford greater human rights protection and to apply the Convention</w:t>
      </w:r>
      <w:r>
        <w:t xml:space="preserve"> more widely</w:t>
      </w:r>
      <w:r w:rsidRPr="00E75A98">
        <w:t>, in particular</w:t>
      </w:r>
      <w:r>
        <w:t xml:space="preserve"> the following</w:t>
      </w:r>
      <w:r w:rsidRPr="00E75A98">
        <w:t>:</w:t>
      </w:r>
    </w:p>
    <w:p w14:paraId="4B4C104F" w14:textId="77777777" w:rsidR="009B4592" w:rsidRPr="00E75A98" w:rsidRDefault="009B4592" w:rsidP="003757E2">
      <w:pPr>
        <w:pStyle w:val="SingleTxtG"/>
      </w:pPr>
      <w:r w:rsidRPr="00ED3F60">
        <w:lastRenderedPageBreak/>
        <w:tab/>
      </w:r>
      <w:r w:rsidRPr="00E75A98">
        <w:t>(a)</w:t>
      </w:r>
      <w:r w:rsidRPr="00E75A98">
        <w:tab/>
        <w:t>National strategy for reproductive health</w:t>
      </w:r>
      <w:r>
        <w:t>,</w:t>
      </w:r>
      <w:r w:rsidRPr="00E75A98">
        <w:t xml:space="preserve"> 2018</w:t>
      </w:r>
      <w:r>
        <w:t>–</w:t>
      </w:r>
      <w:r w:rsidRPr="00E75A98">
        <w:t>2022;</w:t>
      </w:r>
    </w:p>
    <w:p w14:paraId="401A8D20" w14:textId="77777777" w:rsidR="009B4592" w:rsidRPr="00E75A98" w:rsidRDefault="009B4592" w:rsidP="003757E2">
      <w:pPr>
        <w:pStyle w:val="SingleTxtG"/>
      </w:pPr>
      <w:r w:rsidRPr="00E75A98">
        <w:tab/>
        <w:t>(b)</w:t>
      </w:r>
      <w:r w:rsidRPr="00E75A98">
        <w:tab/>
        <w:t>National plan for the empowerment of women</w:t>
      </w:r>
      <w:r>
        <w:t>,</w:t>
      </w:r>
      <w:r w:rsidRPr="00E75A98">
        <w:t xml:space="preserve"> 2022</w:t>
      </w:r>
      <w:r>
        <w:t>–</w:t>
      </w:r>
      <w:r w:rsidRPr="00E75A98">
        <w:t>2030;</w:t>
      </w:r>
    </w:p>
    <w:p w14:paraId="55A4EA14" w14:textId="77777777" w:rsidR="009B4592" w:rsidRPr="00E75A98" w:rsidRDefault="009B4592" w:rsidP="003757E2">
      <w:pPr>
        <w:pStyle w:val="SingleTxtG"/>
      </w:pPr>
      <w:r w:rsidRPr="00E75A98">
        <w:tab/>
        <w:t>(c)</w:t>
      </w:r>
      <w:r w:rsidRPr="00E75A98">
        <w:tab/>
        <w:t>National child protection policy</w:t>
      </w:r>
      <w:r>
        <w:t>,</w:t>
      </w:r>
      <w:r w:rsidRPr="00E75A98">
        <w:t xml:space="preserve"> in 2017;</w:t>
      </w:r>
    </w:p>
    <w:p w14:paraId="32B4D8DC" w14:textId="2B7BCC53" w:rsidR="009B4592" w:rsidRPr="00E75A98" w:rsidRDefault="009B4592" w:rsidP="003757E2">
      <w:pPr>
        <w:pStyle w:val="SingleTxtG"/>
      </w:pPr>
      <w:r w:rsidRPr="00E75A98">
        <w:tab/>
        <w:t>(d)</w:t>
      </w:r>
      <w:r w:rsidRPr="00E75A98">
        <w:tab/>
        <w:t>Implementing guidelines for Law No. 58 of 2017 concerning the protection of witnesses, experts, informants and victims</w:t>
      </w:r>
      <w:r>
        <w:t>,</w:t>
      </w:r>
      <w:r w:rsidRPr="00E75A98">
        <w:t xml:space="preserve"> of the Supreme Judicial Council;</w:t>
      </w:r>
    </w:p>
    <w:p w14:paraId="5EF0305C" w14:textId="7097BDD6" w:rsidR="009B4592" w:rsidRPr="00AF39C1" w:rsidRDefault="009B4592" w:rsidP="003757E2">
      <w:pPr>
        <w:pStyle w:val="SingleTxtG"/>
      </w:pPr>
      <w:r w:rsidRPr="00E75A98">
        <w:tab/>
        <w:t>(e)</w:t>
      </w:r>
      <w:r w:rsidRPr="00E75A98">
        <w:tab/>
      </w:r>
      <w:r w:rsidRPr="00AF39C1">
        <w:t>Regulation No. 7 of 2017 regarding shelters for victims of human trafficking;</w:t>
      </w:r>
    </w:p>
    <w:p w14:paraId="3F7C1B5A" w14:textId="77777777" w:rsidR="009B4592" w:rsidRPr="00E75A98" w:rsidRDefault="009B4592" w:rsidP="003757E2">
      <w:pPr>
        <w:pStyle w:val="SingleTxtG"/>
      </w:pPr>
      <w:r w:rsidRPr="00AF39C1">
        <w:tab/>
        <w:t>(f)</w:t>
      </w:r>
      <w:r w:rsidRPr="00AF39C1">
        <w:tab/>
        <w:t>Establishment of the national standing committee on international humanitarian law pursuant to Administrative Order No. 10 of 2015.</w:t>
      </w:r>
    </w:p>
    <w:p w14:paraId="1732350C" w14:textId="2E1E5C57" w:rsidR="009B4592" w:rsidRPr="00E75A98" w:rsidRDefault="009B4592" w:rsidP="003757E2">
      <w:pPr>
        <w:pStyle w:val="SingleTxtG"/>
        <w:rPr>
          <w:bCs/>
        </w:rPr>
      </w:pPr>
      <w:r w:rsidRPr="00E75A98">
        <w:rPr>
          <w:bCs/>
        </w:rPr>
        <w:t>6.</w:t>
      </w:r>
      <w:r w:rsidRPr="00E75A98">
        <w:rPr>
          <w:bCs/>
        </w:rPr>
        <w:tab/>
        <w:t xml:space="preserve">The Committee commends the State party for the adoption of the </w:t>
      </w:r>
      <w:r w:rsidRPr="00E75A98">
        <w:rPr>
          <w:lang w:eastAsia="ko-KR"/>
        </w:rPr>
        <w:t>national human rights plan</w:t>
      </w:r>
      <w:r>
        <w:rPr>
          <w:lang w:eastAsia="ko-KR"/>
        </w:rPr>
        <w:t>,</w:t>
      </w:r>
      <w:r w:rsidRPr="00E75A98">
        <w:rPr>
          <w:lang w:eastAsia="ko-KR"/>
        </w:rPr>
        <w:t xml:space="preserve"> 2021</w:t>
      </w:r>
      <w:r>
        <w:rPr>
          <w:lang w:eastAsia="ko-KR"/>
        </w:rPr>
        <w:t>–</w:t>
      </w:r>
      <w:r w:rsidRPr="00E75A98">
        <w:rPr>
          <w:lang w:eastAsia="ko-KR"/>
        </w:rPr>
        <w:t xml:space="preserve">2025, </w:t>
      </w:r>
      <w:r>
        <w:rPr>
          <w:bCs/>
        </w:rPr>
        <w:t xml:space="preserve">setting out the </w:t>
      </w:r>
      <w:r w:rsidRPr="00E75A98">
        <w:rPr>
          <w:bCs/>
        </w:rPr>
        <w:t>priorities to combat torture, enforced disappearance and gender-based violence, among other</w:t>
      </w:r>
      <w:r>
        <w:rPr>
          <w:bCs/>
        </w:rPr>
        <w:t xml:space="preserve"> thing</w:t>
      </w:r>
      <w:r w:rsidRPr="00E75A98">
        <w:rPr>
          <w:bCs/>
        </w:rPr>
        <w:t>s. It also welcomes the launch of the Kurdistan regional plan for human rights</w:t>
      </w:r>
      <w:r>
        <w:rPr>
          <w:bCs/>
        </w:rPr>
        <w:t>,</w:t>
      </w:r>
      <w:r w:rsidRPr="00E75A98" w:rsidDel="007B27B8">
        <w:rPr>
          <w:bCs/>
        </w:rPr>
        <w:t xml:space="preserve"> </w:t>
      </w:r>
      <w:r w:rsidRPr="00E75A98">
        <w:rPr>
          <w:bCs/>
        </w:rPr>
        <w:t>2021</w:t>
      </w:r>
      <w:r>
        <w:rPr>
          <w:bCs/>
        </w:rPr>
        <w:t>–</w:t>
      </w:r>
      <w:r w:rsidRPr="00E75A98">
        <w:rPr>
          <w:bCs/>
        </w:rPr>
        <w:t>2025.</w:t>
      </w:r>
    </w:p>
    <w:p w14:paraId="7C29CFAB" w14:textId="77777777" w:rsidR="009B4592" w:rsidRPr="00E75A98" w:rsidRDefault="009B4592" w:rsidP="00E538F4">
      <w:pPr>
        <w:pStyle w:val="H1G"/>
      </w:pPr>
      <w:r w:rsidRPr="00E75A98">
        <w:tab/>
        <w:t>C.</w:t>
      </w:r>
      <w:r w:rsidRPr="00E75A98">
        <w:tab/>
        <w:t>Principal subjects of concern and recommendations</w:t>
      </w:r>
    </w:p>
    <w:p w14:paraId="6B10C9CE" w14:textId="77777777" w:rsidR="009B4592" w:rsidRPr="00E75A98" w:rsidRDefault="009B4592" w:rsidP="00E538F4">
      <w:pPr>
        <w:pStyle w:val="H23G"/>
      </w:pPr>
      <w:r w:rsidRPr="00E75A98">
        <w:tab/>
      </w:r>
      <w:r w:rsidRPr="00E75A98">
        <w:tab/>
        <w:t>Pending follow-up issues from the previous reporting cycle</w:t>
      </w:r>
    </w:p>
    <w:p w14:paraId="7E1AD93F" w14:textId="77777777" w:rsidR="009B4592" w:rsidRPr="00E75A98" w:rsidRDefault="009B4592" w:rsidP="003757E2">
      <w:pPr>
        <w:pStyle w:val="SingleTxtG"/>
        <w:rPr>
          <w:lang w:eastAsia="ko-KR"/>
        </w:rPr>
      </w:pPr>
      <w:r w:rsidRPr="00E75A98">
        <w:t>7.</w:t>
      </w:r>
      <w:r w:rsidRPr="00E75A98">
        <w:tab/>
        <w:t>In its concluding observations</w:t>
      </w:r>
      <w:r>
        <w:t xml:space="preserve"> on the initial report of the State party</w:t>
      </w:r>
      <w:r w:rsidRPr="00E75A98">
        <w:t xml:space="preserve">, the Committee requested </w:t>
      </w:r>
      <w:r>
        <w:t xml:space="preserve">that </w:t>
      </w:r>
      <w:r w:rsidRPr="00E75A98">
        <w:t>the State party provide information on its implementation of the Committee’s recommendations on armed conflict, acts of terrorism and violations of the Convention</w:t>
      </w:r>
      <w:r>
        <w:t>,</w:t>
      </w:r>
      <w:r w:rsidRPr="00E75A98">
        <w:t xml:space="preserve"> conflict-related sexual violence</w:t>
      </w:r>
      <w:r>
        <w:t>,</w:t>
      </w:r>
      <w:r w:rsidRPr="00E75A98">
        <w:t xml:space="preserve"> fundamental legal safeguards and secret detention in cases involving security concerns</w:t>
      </w:r>
      <w:r>
        <w:t>.</w:t>
      </w:r>
      <w:r w:rsidRPr="00E75A98">
        <w:rPr>
          <w:sz w:val="18"/>
          <w:vertAlign w:val="superscript"/>
        </w:rPr>
        <w:footnoteReference w:id="6"/>
      </w:r>
      <w:r w:rsidRPr="00E75A98">
        <w:rPr>
          <w:lang w:eastAsia="ko-KR"/>
        </w:rPr>
        <w:t xml:space="preserve"> While noting with appreciation the replies submitted by the State party</w:t>
      </w:r>
      <w:r>
        <w:rPr>
          <w:lang w:eastAsia="ko-KR"/>
        </w:rPr>
        <w:t>,</w:t>
      </w:r>
      <w:r w:rsidRPr="00E75A98">
        <w:rPr>
          <w:sz w:val="18"/>
          <w:vertAlign w:val="superscript"/>
          <w:lang w:eastAsia="ko-KR"/>
        </w:rPr>
        <w:footnoteReference w:id="7"/>
      </w:r>
      <w:r w:rsidRPr="00E75A98">
        <w:rPr>
          <w:lang w:eastAsia="ko-KR"/>
        </w:rPr>
        <w:t xml:space="preserve"> and referring to the letter dated 23 July 2020 from the Committee’s </w:t>
      </w:r>
      <w:r w:rsidRPr="00E75A98">
        <w:t>rapporteur for follow-up to concluding observations</w:t>
      </w:r>
      <w:r w:rsidRPr="00E75A98">
        <w:rPr>
          <w:lang w:eastAsia="ko-KR"/>
        </w:rPr>
        <w:t xml:space="preserve">, the Committee considers </w:t>
      </w:r>
      <w:r w:rsidRPr="00E75A98">
        <w:t xml:space="preserve">that the recommendation included in paragraph 12 (a) of the previous concluding observations has not been implemented and that the recommendation included in paragraph 14 has been only partially implemented. The information provided by the State party regarding paragraphs 13 and 16 (a) of the </w:t>
      </w:r>
      <w:r>
        <w:t xml:space="preserve">previous </w:t>
      </w:r>
      <w:r w:rsidRPr="00E75A98">
        <w:t xml:space="preserve">concluding observations is considered insufficient to assess implementation. </w:t>
      </w:r>
      <w:r w:rsidRPr="00E75A98">
        <w:rPr>
          <w:lang w:eastAsia="ko-KR"/>
        </w:rPr>
        <w:t>Those issues are covered in paragraphs 18</w:t>
      </w:r>
      <w:r>
        <w:rPr>
          <w:lang w:eastAsia="ko-KR"/>
        </w:rPr>
        <w:t xml:space="preserve"> to </w:t>
      </w:r>
      <w:r w:rsidRPr="00E75A98">
        <w:rPr>
          <w:lang w:eastAsia="ko-KR"/>
        </w:rPr>
        <w:t>21, 10</w:t>
      </w:r>
      <w:r>
        <w:rPr>
          <w:lang w:eastAsia="ko-KR"/>
        </w:rPr>
        <w:t xml:space="preserve">, </w:t>
      </w:r>
      <w:r w:rsidRPr="00E75A98">
        <w:rPr>
          <w:lang w:eastAsia="ko-KR"/>
        </w:rPr>
        <w:t>11</w:t>
      </w:r>
      <w:r>
        <w:rPr>
          <w:lang w:eastAsia="ko-KR"/>
        </w:rPr>
        <w:t>,</w:t>
      </w:r>
      <w:r w:rsidRPr="00E75A98">
        <w:rPr>
          <w:lang w:eastAsia="ko-KR"/>
        </w:rPr>
        <w:t xml:space="preserve"> 16</w:t>
      </w:r>
      <w:r>
        <w:rPr>
          <w:lang w:eastAsia="ko-KR"/>
        </w:rPr>
        <w:t xml:space="preserve"> and </w:t>
      </w:r>
      <w:r w:rsidRPr="00E75A98">
        <w:rPr>
          <w:lang w:eastAsia="ko-KR"/>
        </w:rPr>
        <w:t>17 of the present concluding observations.</w:t>
      </w:r>
    </w:p>
    <w:p w14:paraId="670D3800" w14:textId="5DC9348B" w:rsidR="009B4592" w:rsidRPr="00E75A98" w:rsidRDefault="009B4592" w:rsidP="00E538F4">
      <w:pPr>
        <w:pStyle w:val="H23G"/>
        <w:rPr>
          <w:lang w:eastAsia="ko-KR"/>
        </w:rPr>
      </w:pPr>
      <w:r w:rsidRPr="00E75A98">
        <w:rPr>
          <w:lang w:eastAsia="ko-KR"/>
        </w:rPr>
        <w:tab/>
      </w:r>
      <w:r w:rsidRPr="00E75A98">
        <w:rPr>
          <w:lang w:eastAsia="ko-KR"/>
        </w:rPr>
        <w:tab/>
        <w:t>Definition and criminalization of torture</w:t>
      </w:r>
    </w:p>
    <w:p w14:paraId="012A4A6B" w14:textId="2AD3E801" w:rsidR="009B4592" w:rsidRPr="003757E2" w:rsidRDefault="009B4592" w:rsidP="003757E2">
      <w:pPr>
        <w:pStyle w:val="SingleTxtG"/>
        <w:rPr>
          <w:rFonts w:eastAsia="Malgun Gothic"/>
          <w:lang w:eastAsia="ko-KR"/>
        </w:rPr>
      </w:pPr>
      <w:r w:rsidRPr="00E75A98">
        <w:rPr>
          <w:rFonts w:eastAsia="Malgun Gothic"/>
          <w:lang w:eastAsia="ko-KR"/>
        </w:rPr>
        <w:t>8.</w:t>
      </w:r>
      <w:r w:rsidRPr="00E75A98">
        <w:rPr>
          <w:rFonts w:eastAsia="Malgun Gothic"/>
          <w:lang w:eastAsia="ko-KR"/>
        </w:rPr>
        <w:tab/>
        <w:t>With reference to its previous concluding observations,</w:t>
      </w:r>
      <w:r w:rsidRPr="00E75A98">
        <w:rPr>
          <w:rFonts w:eastAsia="Malgun Gothic"/>
          <w:sz w:val="18"/>
          <w:vertAlign w:val="superscript"/>
          <w:lang w:eastAsia="ko-KR"/>
        </w:rPr>
        <w:footnoteReference w:id="8"/>
      </w:r>
      <w:r w:rsidRPr="00E75A98">
        <w:rPr>
          <w:rFonts w:eastAsia="Malgun Gothic"/>
          <w:lang w:eastAsia="ko-KR"/>
        </w:rPr>
        <w:t xml:space="preserve"> the Committee remains concerned a</w:t>
      </w:r>
      <w:r>
        <w:rPr>
          <w:rFonts w:eastAsia="Malgun Gothic"/>
          <w:lang w:eastAsia="ko-KR"/>
        </w:rPr>
        <w:t>bou</w:t>
      </w:r>
      <w:r w:rsidRPr="00E75A98">
        <w:rPr>
          <w:rFonts w:eastAsia="Malgun Gothic"/>
          <w:lang w:eastAsia="ko-KR"/>
        </w:rPr>
        <w:t xml:space="preserve">t the delay in the adoption of the anti-torture legislation. It notes that two bills have been prepared already and </w:t>
      </w:r>
      <w:r>
        <w:rPr>
          <w:rFonts w:eastAsia="Malgun Gothic"/>
          <w:lang w:eastAsia="ko-KR"/>
        </w:rPr>
        <w:t xml:space="preserve">that </w:t>
      </w:r>
      <w:r w:rsidRPr="00E75A98">
        <w:rPr>
          <w:rFonts w:eastAsia="Malgun Gothic"/>
          <w:lang w:eastAsia="ko-KR"/>
        </w:rPr>
        <w:t>the bill presented by the Ministry of Justice is currently pending legislative examination. The Committee is concerned, however, a</w:t>
      </w:r>
      <w:r>
        <w:rPr>
          <w:rFonts w:eastAsia="Malgun Gothic"/>
          <w:lang w:eastAsia="ko-KR"/>
        </w:rPr>
        <w:t>bou</w:t>
      </w:r>
      <w:r w:rsidRPr="00E75A98">
        <w:rPr>
          <w:rFonts w:eastAsia="Malgun Gothic"/>
          <w:lang w:eastAsia="ko-KR"/>
        </w:rPr>
        <w:t xml:space="preserve">t the information received that </w:t>
      </w:r>
      <w:r>
        <w:rPr>
          <w:rFonts w:eastAsia="Malgun Gothic"/>
          <w:lang w:eastAsia="ko-KR"/>
        </w:rPr>
        <w:t xml:space="preserve">the </w:t>
      </w:r>
      <w:r w:rsidRPr="00E75A98">
        <w:rPr>
          <w:rFonts w:eastAsia="Malgun Gothic"/>
          <w:lang w:eastAsia="ko-KR"/>
        </w:rPr>
        <w:t>bill still falls short of the requirement</w:t>
      </w:r>
      <w:r>
        <w:rPr>
          <w:rFonts w:eastAsia="Malgun Gothic"/>
          <w:lang w:eastAsia="ko-KR"/>
        </w:rPr>
        <w:t xml:space="preserve"> under the </w:t>
      </w:r>
      <w:r w:rsidRPr="00E75A98">
        <w:rPr>
          <w:rFonts w:eastAsia="Malgun Gothic"/>
          <w:lang w:eastAsia="ko-KR"/>
        </w:rPr>
        <w:t>Convention</w:t>
      </w:r>
      <w:r>
        <w:rPr>
          <w:rFonts w:eastAsia="Malgun Gothic"/>
          <w:lang w:eastAsia="ko-KR"/>
        </w:rPr>
        <w:t>,</w:t>
      </w:r>
      <w:r w:rsidRPr="00E75A98">
        <w:rPr>
          <w:rFonts w:eastAsia="Malgun Gothic"/>
          <w:lang w:eastAsia="ko-KR"/>
        </w:rPr>
        <w:t xml:space="preserve"> </w:t>
      </w:r>
      <w:r w:rsidRPr="00E75A98">
        <w:rPr>
          <w:rFonts w:eastAsia="Yu Mincho"/>
        </w:rPr>
        <w:t>consistent with article 1</w:t>
      </w:r>
      <w:r w:rsidRPr="00E75A98">
        <w:rPr>
          <w:rFonts w:eastAsia="Malgun Gothic"/>
          <w:lang w:eastAsia="ko-KR"/>
        </w:rPr>
        <w:t xml:space="preserve">, </w:t>
      </w:r>
      <w:r>
        <w:rPr>
          <w:rFonts w:eastAsia="Malgun Gothic"/>
          <w:lang w:eastAsia="ko-KR"/>
        </w:rPr>
        <w:t xml:space="preserve">that such definition </w:t>
      </w:r>
      <w:r w:rsidRPr="00E75A98">
        <w:rPr>
          <w:rFonts w:eastAsia="Malgun Gothic"/>
          <w:lang w:eastAsia="ko-KR"/>
        </w:rPr>
        <w:t xml:space="preserve">contain all elements of </w:t>
      </w:r>
      <w:r>
        <w:rPr>
          <w:rFonts w:eastAsia="Malgun Gothic"/>
          <w:lang w:eastAsia="ko-KR"/>
        </w:rPr>
        <w:t xml:space="preserve">the </w:t>
      </w:r>
      <w:r w:rsidRPr="00E75A98">
        <w:rPr>
          <w:rFonts w:eastAsia="Malgun Gothic"/>
          <w:lang w:eastAsia="ko-KR"/>
        </w:rPr>
        <w:t>crime of torture, among other</w:t>
      </w:r>
      <w:r>
        <w:rPr>
          <w:rFonts w:eastAsia="Malgun Gothic"/>
          <w:lang w:eastAsia="ko-KR"/>
        </w:rPr>
        <w:t xml:space="preserve"> thing</w:t>
      </w:r>
      <w:r w:rsidRPr="00E75A98">
        <w:rPr>
          <w:rFonts w:eastAsia="Malgun Gothic"/>
          <w:lang w:eastAsia="ko-KR"/>
        </w:rPr>
        <w:t>s</w:t>
      </w:r>
      <w:r w:rsidRPr="00E75A98">
        <w:rPr>
          <w:rFonts w:eastAsia="Malgun Gothic"/>
          <w:sz w:val="18"/>
          <w:vertAlign w:val="superscript"/>
          <w:lang w:eastAsia="ko-KR"/>
        </w:rPr>
        <w:footnoteReference w:id="9"/>
      </w:r>
      <w:r w:rsidRPr="00E75A98">
        <w:rPr>
          <w:rFonts w:eastAsia="Malgun Gothic"/>
          <w:lang w:eastAsia="ko-KR"/>
        </w:rPr>
        <w:t xml:space="preserve"> (arts. 1</w:t>
      </w:r>
      <w:r>
        <w:rPr>
          <w:rFonts w:eastAsia="Malgun Gothic"/>
          <w:lang w:eastAsia="ko-KR"/>
        </w:rPr>
        <w:t>–</w:t>
      </w:r>
      <w:r w:rsidRPr="00E75A98">
        <w:rPr>
          <w:rFonts w:eastAsia="Malgun Gothic"/>
          <w:lang w:eastAsia="ko-KR"/>
        </w:rPr>
        <w:t>2 and 4).</w:t>
      </w:r>
    </w:p>
    <w:p w14:paraId="4E75AC5C" w14:textId="6373EB4E" w:rsidR="009B4592" w:rsidRPr="00E75A98" w:rsidRDefault="009B4592" w:rsidP="003757E2">
      <w:pPr>
        <w:pStyle w:val="SingleTxtG"/>
        <w:rPr>
          <w:b/>
          <w:lang w:eastAsia="ko-KR"/>
        </w:rPr>
      </w:pPr>
      <w:r w:rsidRPr="00E75A98">
        <w:rPr>
          <w:rFonts w:eastAsia="Malgun Gothic"/>
          <w:lang w:eastAsia="ko-KR"/>
        </w:rPr>
        <w:t>9</w:t>
      </w:r>
      <w:r w:rsidRPr="00E75A98">
        <w:rPr>
          <w:lang w:eastAsia="ko-KR"/>
        </w:rPr>
        <w:t>.</w:t>
      </w:r>
      <w:r w:rsidRPr="00E75A98">
        <w:rPr>
          <w:lang w:eastAsia="ko-KR"/>
        </w:rPr>
        <w:tab/>
      </w:r>
      <w:r w:rsidRPr="00E75A98">
        <w:rPr>
          <w:b/>
          <w:lang w:eastAsia="ko-KR"/>
        </w:rPr>
        <w:t xml:space="preserve">In the </w:t>
      </w:r>
      <w:r w:rsidRPr="006A4C5A">
        <w:rPr>
          <w:b/>
          <w:lang w:eastAsia="ko-KR"/>
        </w:rPr>
        <w:t xml:space="preserve">light of </w:t>
      </w:r>
      <w:r w:rsidRPr="0031751E">
        <w:rPr>
          <w:b/>
          <w:lang w:eastAsia="ko-KR"/>
        </w:rPr>
        <w:t xml:space="preserve">the State party’s </w:t>
      </w:r>
      <w:r w:rsidRPr="00A6158C">
        <w:rPr>
          <w:b/>
          <w:lang w:eastAsia="ko-KR"/>
        </w:rPr>
        <w:t xml:space="preserve">pledges </w:t>
      </w:r>
      <w:r w:rsidRPr="00F72477">
        <w:rPr>
          <w:b/>
          <w:lang w:eastAsia="ko-KR"/>
        </w:rPr>
        <w:t xml:space="preserve">made in the context of the universal periodic review process, </w:t>
      </w:r>
      <w:r w:rsidRPr="00A6158C">
        <w:rPr>
          <w:b/>
          <w:lang w:eastAsia="ko-KR"/>
        </w:rPr>
        <w:t>in November 2019,</w:t>
      </w:r>
      <w:r w:rsidRPr="006A4C5A">
        <w:rPr>
          <w:rFonts w:eastAsia="Malgun Gothic"/>
          <w:b/>
          <w:sz w:val="18"/>
          <w:vertAlign w:val="superscript"/>
          <w:lang w:eastAsia="ko-KR"/>
        </w:rPr>
        <w:footnoteReference w:id="10"/>
      </w:r>
      <w:r w:rsidRPr="006A4C5A">
        <w:rPr>
          <w:b/>
          <w:lang w:eastAsia="ko-KR"/>
        </w:rPr>
        <w:t xml:space="preserve"> the Committee urges the State party to expedite the adoption of the </w:t>
      </w:r>
      <w:r w:rsidRPr="00F72477">
        <w:rPr>
          <w:b/>
          <w:lang w:eastAsia="ko-KR"/>
        </w:rPr>
        <w:t xml:space="preserve">anti-torture </w:t>
      </w:r>
      <w:r w:rsidRPr="006A4C5A">
        <w:rPr>
          <w:b/>
          <w:lang w:eastAsia="ko-KR"/>
        </w:rPr>
        <w:t>bill, ensu</w:t>
      </w:r>
      <w:r w:rsidRPr="0031751E">
        <w:rPr>
          <w:b/>
          <w:lang w:eastAsia="ko-KR"/>
        </w:rPr>
        <w:t>ring</w:t>
      </w:r>
      <w:r w:rsidRPr="00A6158C">
        <w:rPr>
          <w:b/>
          <w:lang w:eastAsia="ko-KR"/>
        </w:rPr>
        <w:t xml:space="preserve"> that it covers all the elements contained in article 1 of the Convention. In that connection, the Committee</w:t>
      </w:r>
      <w:r w:rsidRPr="00E75A98">
        <w:rPr>
          <w:b/>
          <w:lang w:eastAsia="ko-KR"/>
        </w:rPr>
        <w:t xml:space="preserve"> wishes to draw the State party’s attention to its general comment No. 2 (2007) on the implementation of article 2, in which it point</w:t>
      </w:r>
      <w:r>
        <w:rPr>
          <w:b/>
          <w:lang w:eastAsia="ko-KR"/>
        </w:rPr>
        <w:t>ed</w:t>
      </w:r>
      <w:r w:rsidRPr="00E75A98">
        <w:rPr>
          <w:b/>
          <w:lang w:eastAsia="ko-KR"/>
        </w:rPr>
        <w:t xml:space="preserve"> out that serious discrepancies between the definition in the Convention and the definition in domestic law create</w:t>
      </w:r>
      <w:r>
        <w:rPr>
          <w:b/>
          <w:lang w:eastAsia="ko-KR"/>
        </w:rPr>
        <w:t>d</w:t>
      </w:r>
      <w:r w:rsidRPr="00E75A98">
        <w:rPr>
          <w:b/>
          <w:lang w:eastAsia="ko-KR"/>
        </w:rPr>
        <w:t xml:space="preserve"> actual or potential loopholes for impunity. The State party should ensure that torture is excluded from the scope of amnesty laws and ensure full respect for the absolute and non-derogable character of the prohibition of torture. The State party should also ensure </w:t>
      </w:r>
      <w:r w:rsidRPr="00E75A98">
        <w:rPr>
          <w:b/>
          <w:lang w:eastAsia="ko-KR"/>
        </w:rPr>
        <w:lastRenderedPageBreak/>
        <w:t xml:space="preserve">that offences involving acts of torture are punishable by appropriate penalties that take into account their grave nature, in accordance with article 4 (2) of the Convention. </w:t>
      </w:r>
      <w:r>
        <w:rPr>
          <w:b/>
          <w:lang w:eastAsia="ko-KR"/>
        </w:rPr>
        <w:t>T</w:t>
      </w:r>
      <w:r w:rsidRPr="00E75A98">
        <w:rPr>
          <w:b/>
          <w:lang w:eastAsia="ko-KR"/>
        </w:rPr>
        <w:t xml:space="preserve">he State party should </w:t>
      </w:r>
      <w:r>
        <w:rPr>
          <w:b/>
          <w:lang w:eastAsia="ko-KR"/>
        </w:rPr>
        <w:t xml:space="preserve">further </w:t>
      </w:r>
      <w:r w:rsidRPr="00E75A98">
        <w:rPr>
          <w:b/>
          <w:lang w:eastAsia="ko-KR"/>
        </w:rPr>
        <w:t>ensure that the principle of command or superior responsibility for acts of torture committed by subordinates is explicitly recognized in the forthcoming bill.</w:t>
      </w:r>
    </w:p>
    <w:p w14:paraId="136215D3" w14:textId="61505FB1" w:rsidR="009B4592" w:rsidRPr="00E75A98" w:rsidRDefault="009B4592" w:rsidP="00E538F4">
      <w:pPr>
        <w:pStyle w:val="H23G"/>
        <w:rPr>
          <w:lang w:eastAsia="ko-KR"/>
        </w:rPr>
      </w:pPr>
      <w:r w:rsidRPr="00E538F4">
        <w:rPr>
          <w:lang w:eastAsia="ko-KR"/>
        </w:rPr>
        <w:tab/>
      </w:r>
      <w:r w:rsidRPr="00E538F4">
        <w:rPr>
          <w:lang w:eastAsia="ko-KR"/>
        </w:rPr>
        <w:tab/>
      </w:r>
      <w:r w:rsidRPr="00E75A98">
        <w:rPr>
          <w:lang w:eastAsia="ko-KR"/>
        </w:rPr>
        <w:t>Fundamental legal safeguards</w:t>
      </w:r>
    </w:p>
    <w:p w14:paraId="34EBFAC6" w14:textId="4D7D7723" w:rsidR="009B4592" w:rsidRPr="00E75A98" w:rsidRDefault="009B4592" w:rsidP="003757E2">
      <w:pPr>
        <w:pStyle w:val="SingleTxtG"/>
        <w:rPr>
          <w:rFonts w:eastAsia="Malgun Gothic"/>
          <w:lang w:eastAsia="ko-KR"/>
        </w:rPr>
      </w:pPr>
      <w:r w:rsidRPr="00E75A98">
        <w:rPr>
          <w:rFonts w:eastAsia="Malgun Gothic"/>
          <w:lang w:eastAsia="ko-KR"/>
        </w:rPr>
        <w:t>10.</w:t>
      </w:r>
      <w:r w:rsidRPr="00E75A98">
        <w:rPr>
          <w:rFonts w:eastAsia="Malgun Gothic"/>
          <w:lang w:eastAsia="ko-KR"/>
        </w:rPr>
        <w:tab/>
        <w:t>While taking note of the procedural safeguards to prevent torture and ill-treatment that are enshrined in Iraqi law, the Committee remains concerned a</w:t>
      </w:r>
      <w:r>
        <w:rPr>
          <w:rFonts w:eastAsia="Malgun Gothic"/>
          <w:lang w:eastAsia="ko-KR"/>
        </w:rPr>
        <w:t>bou</w:t>
      </w:r>
      <w:r w:rsidRPr="00E75A98">
        <w:rPr>
          <w:rFonts w:eastAsia="Malgun Gothic"/>
          <w:lang w:eastAsia="ko-KR"/>
        </w:rPr>
        <w:t>t reports indicating that persons in custody are not routinely afforded all fundamental legal safeguards from the very outset of deprivation of liberty</w:t>
      </w:r>
      <w:r>
        <w:rPr>
          <w:rFonts w:eastAsia="Malgun Gothic"/>
          <w:lang w:eastAsia="ko-KR"/>
        </w:rPr>
        <w:t>,</w:t>
      </w:r>
      <w:r w:rsidRPr="00E75A98">
        <w:rPr>
          <w:rFonts w:eastAsia="Malgun Gothic"/>
          <w:lang w:eastAsia="ko-KR"/>
        </w:rPr>
        <w:t xml:space="preserve"> in practice.</w:t>
      </w:r>
      <w:r w:rsidRPr="00E75A98">
        <w:rPr>
          <w:rFonts w:eastAsia="Malgun Gothic"/>
          <w:sz w:val="18"/>
          <w:vertAlign w:val="superscript"/>
          <w:lang w:eastAsia="ko-KR"/>
        </w:rPr>
        <w:footnoteReference w:id="11"/>
      </w:r>
      <w:r w:rsidRPr="00E75A98">
        <w:rPr>
          <w:rFonts w:eastAsia="Malgun Gothic"/>
          <w:lang w:eastAsia="ko-KR"/>
        </w:rPr>
        <w:t xml:space="preserve"> In that respect, it has been reported that</w:t>
      </w:r>
      <w:r>
        <w:rPr>
          <w:rFonts w:eastAsia="Malgun Gothic"/>
          <w:lang w:eastAsia="ko-KR"/>
        </w:rPr>
        <w:t>:</w:t>
      </w:r>
      <w:r w:rsidRPr="00E75A98">
        <w:rPr>
          <w:rFonts w:eastAsia="Malgun Gothic"/>
          <w:lang w:eastAsia="ko-KR"/>
        </w:rPr>
        <w:t xml:space="preserve"> (</w:t>
      </w:r>
      <w:r>
        <w:rPr>
          <w:rFonts w:eastAsia="Malgun Gothic"/>
          <w:lang w:eastAsia="ko-KR"/>
        </w:rPr>
        <w:t>a</w:t>
      </w:r>
      <w:r w:rsidRPr="00E75A98">
        <w:rPr>
          <w:rFonts w:eastAsia="Malgun Gothic"/>
          <w:lang w:eastAsia="ko-KR"/>
        </w:rPr>
        <w:t>) the right to access to a lawyer is systematically delayed and exercised only after the preliminary investigation interviews with the security forces and the investigative judge have taken place; (</w:t>
      </w:r>
      <w:r>
        <w:rPr>
          <w:rFonts w:eastAsia="Malgun Gothic"/>
          <w:lang w:eastAsia="ko-KR"/>
        </w:rPr>
        <w:t>b</w:t>
      </w:r>
      <w:r w:rsidRPr="00E75A98">
        <w:rPr>
          <w:rFonts w:eastAsia="Malgun Gothic"/>
          <w:lang w:eastAsia="ko-KR"/>
        </w:rPr>
        <w:t>) persons suspected of terrorism-related offences are often not provided effective legal representation; (</w:t>
      </w:r>
      <w:r>
        <w:rPr>
          <w:rFonts w:eastAsia="Malgun Gothic"/>
          <w:lang w:eastAsia="ko-KR"/>
        </w:rPr>
        <w:t>c</w:t>
      </w:r>
      <w:r w:rsidRPr="00E75A98">
        <w:rPr>
          <w:rFonts w:eastAsia="Malgun Gothic"/>
          <w:lang w:eastAsia="ko-KR"/>
        </w:rPr>
        <w:t xml:space="preserve">) access to an independent medical examination is not a standard practice aimed at uncovering signs of torture and ill-treatment, </w:t>
      </w:r>
      <w:r>
        <w:rPr>
          <w:rFonts w:eastAsia="Malgun Gothic"/>
          <w:lang w:eastAsia="ko-KR"/>
        </w:rPr>
        <w:t xml:space="preserve">in </w:t>
      </w:r>
      <w:r w:rsidRPr="00E75A98">
        <w:rPr>
          <w:rFonts w:eastAsia="Malgun Gothic"/>
          <w:lang w:eastAsia="ko-KR"/>
        </w:rPr>
        <w:t>particular for persons in pretrial detention; (</w:t>
      </w:r>
      <w:r>
        <w:rPr>
          <w:rFonts w:eastAsia="Malgun Gothic"/>
          <w:lang w:eastAsia="ko-KR"/>
        </w:rPr>
        <w:t>d</w:t>
      </w:r>
      <w:r w:rsidRPr="00E75A98">
        <w:rPr>
          <w:rFonts w:eastAsia="Malgun Gothic"/>
          <w:lang w:eastAsia="ko-KR"/>
        </w:rPr>
        <w:t>) the right to notify a relative or a person of one’s choice is often delayed; (</w:t>
      </w:r>
      <w:r>
        <w:rPr>
          <w:rFonts w:eastAsia="Malgun Gothic"/>
          <w:lang w:eastAsia="ko-KR"/>
        </w:rPr>
        <w:t>e</w:t>
      </w:r>
      <w:r w:rsidRPr="00E75A98">
        <w:rPr>
          <w:rFonts w:eastAsia="Malgun Gothic"/>
          <w:lang w:eastAsia="ko-KR"/>
        </w:rPr>
        <w:t xml:space="preserve">) arrested persons are brought before the investigative judge </w:t>
      </w:r>
      <w:r w:rsidRPr="00E75A98">
        <w:rPr>
          <w:color w:val="000000" w:themeColor="text1"/>
        </w:rPr>
        <w:t>several days or even weeks after their arrest, well</w:t>
      </w:r>
      <w:r>
        <w:rPr>
          <w:color w:val="000000" w:themeColor="text1"/>
        </w:rPr>
        <w:t xml:space="preserve"> </w:t>
      </w:r>
      <w:r w:rsidRPr="00E75A98">
        <w:rPr>
          <w:color w:val="000000" w:themeColor="text1"/>
        </w:rPr>
        <w:t>beyond the</w:t>
      </w:r>
      <w:r w:rsidRPr="00E75A98">
        <w:rPr>
          <w:rFonts w:eastAsia="Malgun Gothic"/>
          <w:lang w:eastAsia="ko-KR"/>
        </w:rPr>
        <w:t xml:space="preserve"> 24-hour limit</w:t>
      </w:r>
      <w:r>
        <w:rPr>
          <w:rFonts w:eastAsia="Malgun Gothic"/>
          <w:lang w:eastAsia="ko-KR"/>
        </w:rPr>
        <w:t>, as provided by Iraqi law</w:t>
      </w:r>
      <w:r w:rsidRPr="00E75A98">
        <w:rPr>
          <w:rFonts w:eastAsia="Malgun Gothic"/>
          <w:lang w:eastAsia="ko-KR"/>
        </w:rPr>
        <w:t>; and (</w:t>
      </w:r>
      <w:r>
        <w:rPr>
          <w:rFonts w:eastAsia="Malgun Gothic"/>
          <w:lang w:eastAsia="ko-KR"/>
        </w:rPr>
        <w:t>f</w:t>
      </w:r>
      <w:r w:rsidRPr="00E75A98">
        <w:rPr>
          <w:rFonts w:eastAsia="Malgun Gothic"/>
          <w:lang w:eastAsia="ko-KR"/>
        </w:rPr>
        <w:t xml:space="preserve">) </w:t>
      </w:r>
      <w:r w:rsidRPr="00E75A98">
        <w:rPr>
          <w:rFonts w:eastAsiaTheme="minorEastAsia"/>
        </w:rPr>
        <w:t>registers for all persons deprived of liberty are not interconnected and centralized</w:t>
      </w:r>
      <w:r w:rsidRPr="00E75A98">
        <w:rPr>
          <w:vertAlign w:val="superscript"/>
          <w:lang w:eastAsia="ko-KR"/>
        </w:rPr>
        <w:footnoteReference w:id="12"/>
      </w:r>
      <w:r w:rsidRPr="00E75A98">
        <w:rPr>
          <w:rFonts w:eastAsiaTheme="minorEastAsia"/>
        </w:rPr>
        <w:t xml:space="preserve"> </w:t>
      </w:r>
      <w:r w:rsidRPr="00E75A98">
        <w:rPr>
          <w:rFonts w:eastAsia="Malgun Gothic"/>
          <w:lang w:eastAsia="ko-KR"/>
        </w:rPr>
        <w:t>(art. 2).</w:t>
      </w:r>
    </w:p>
    <w:p w14:paraId="5C003D78" w14:textId="77777777" w:rsidR="009B4592" w:rsidRPr="00E75A98" w:rsidRDefault="009B4592" w:rsidP="003757E2">
      <w:pPr>
        <w:pStyle w:val="SingleTxtG"/>
        <w:rPr>
          <w:b/>
          <w:lang w:eastAsia="ko-KR"/>
        </w:rPr>
      </w:pPr>
      <w:r w:rsidRPr="00891136">
        <w:rPr>
          <w:bCs/>
          <w:lang w:eastAsia="ko-KR"/>
        </w:rPr>
        <w:t>11</w:t>
      </w:r>
      <w:r w:rsidRPr="00E538F4">
        <w:rPr>
          <w:bCs/>
          <w:lang w:eastAsia="ko-KR"/>
        </w:rPr>
        <w:t>.</w:t>
      </w:r>
      <w:r w:rsidRPr="00E75A98">
        <w:rPr>
          <w:b/>
          <w:lang w:eastAsia="ko-KR"/>
        </w:rPr>
        <w:tab/>
        <w:t>Recalling its previous recommendations</w:t>
      </w:r>
      <w:r>
        <w:rPr>
          <w:b/>
          <w:lang w:eastAsia="ko-KR"/>
        </w:rPr>
        <w:t>,</w:t>
      </w:r>
      <w:r w:rsidRPr="00E75A98">
        <w:rPr>
          <w:b/>
          <w:sz w:val="18"/>
          <w:vertAlign w:val="superscript"/>
          <w:lang w:eastAsia="ko-KR"/>
        </w:rPr>
        <w:footnoteReference w:id="13"/>
      </w:r>
      <w:r w:rsidRPr="00E75A98">
        <w:rPr>
          <w:b/>
          <w:lang w:eastAsia="ko-KR"/>
        </w:rPr>
        <w:t xml:space="preserve"> the Committee recommends that the State party:</w:t>
      </w:r>
    </w:p>
    <w:p w14:paraId="1042FFA3" w14:textId="1AC332B8" w:rsidR="009B4592" w:rsidRPr="00E75A98" w:rsidRDefault="009B4592" w:rsidP="003757E2">
      <w:pPr>
        <w:pStyle w:val="SingleTxtG"/>
        <w:rPr>
          <w:b/>
          <w:lang w:eastAsia="ko-KR"/>
        </w:rPr>
      </w:pPr>
      <w:r>
        <w:rPr>
          <w:b/>
          <w:lang w:eastAsia="ko-KR"/>
        </w:rPr>
        <w:tab/>
      </w:r>
      <w:r w:rsidRPr="00F72477">
        <w:rPr>
          <w:bCs/>
          <w:lang w:eastAsia="ko-KR"/>
        </w:rPr>
        <w:t>(a)</w:t>
      </w:r>
      <w:r w:rsidRPr="00E75A98">
        <w:rPr>
          <w:b/>
          <w:lang w:eastAsia="ko-KR"/>
        </w:rPr>
        <w:tab/>
        <w:t xml:space="preserve">Ensure that all persons deprived of their liberty are afforded in practice all fundamental legal safeguards from the very outset of their deprivation of liberty, </w:t>
      </w:r>
      <w:r>
        <w:rPr>
          <w:b/>
          <w:lang w:eastAsia="ko-KR"/>
        </w:rPr>
        <w:t xml:space="preserve">including </w:t>
      </w:r>
      <w:r w:rsidRPr="00E75A98">
        <w:rPr>
          <w:b/>
          <w:lang w:eastAsia="ko-KR"/>
        </w:rPr>
        <w:t>notably</w:t>
      </w:r>
      <w:r>
        <w:rPr>
          <w:b/>
          <w:lang w:eastAsia="ko-KR"/>
        </w:rPr>
        <w:t>:</w:t>
      </w:r>
      <w:r w:rsidRPr="00E75A98">
        <w:rPr>
          <w:b/>
          <w:lang w:eastAsia="ko-KR"/>
        </w:rPr>
        <w:t xml:space="preserve"> (</w:t>
      </w:r>
      <w:r>
        <w:rPr>
          <w:b/>
          <w:lang w:eastAsia="ko-KR"/>
        </w:rPr>
        <w:t>a</w:t>
      </w:r>
      <w:r w:rsidRPr="00E75A98">
        <w:rPr>
          <w:b/>
          <w:lang w:eastAsia="ko-KR"/>
        </w:rPr>
        <w:t>) being informed of their right to unimpeded access to an independent lawyer of their choice or, if necessary, to free legal aid of adequate quality, including during the initial interrogation and inquiry; (</w:t>
      </w:r>
      <w:r>
        <w:rPr>
          <w:b/>
          <w:lang w:eastAsia="ko-KR"/>
        </w:rPr>
        <w:t>b</w:t>
      </w:r>
      <w:r w:rsidRPr="00E75A98">
        <w:rPr>
          <w:b/>
          <w:lang w:eastAsia="ko-KR"/>
        </w:rPr>
        <w:t>) having the right to request and receive an independent and confidential medical examination, free of charge, including by a doctor of their choice upon request; (</w:t>
      </w:r>
      <w:r>
        <w:rPr>
          <w:b/>
          <w:lang w:eastAsia="ko-KR"/>
        </w:rPr>
        <w:t>c</w:t>
      </w:r>
      <w:r w:rsidRPr="00E75A98">
        <w:rPr>
          <w:b/>
          <w:lang w:eastAsia="ko-KR"/>
        </w:rPr>
        <w:t>) being able to notify a family member</w:t>
      </w:r>
      <w:r>
        <w:rPr>
          <w:b/>
          <w:lang w:eastAsia="ko-KR"/>
        </w:rPr>
        <w:t>,</w:t>
      </w:r>
      <w:r w:rsidRPr="00E75A98">
        <w:rPr>
          <w:b/>
          <w:lang w:eastAsia="ko-KR"/>
        </w:rPr>
        <w:t xml:space="preserve"> or any other person of their choice</w:t>
      </w:r>
      <w:r>
        <w:rPr>
          <w:b/>
          <w:lang w:eastAsia="ko-KR"/>
        </w:rPr>
        <w:t>,</w:t>
      </w:r>
      <w:r w:rsidRPr="00E75A98">
        <w:rPr>
          <w:b/>
          <w:lang w:eastAsia="ko-KR"/>
        </w:rPr>
        <w:t xml:space="preserve"> of their detention immediately after apprehension; and (</w:t>
      </w:r>
      <w:r>
        <w:rPr>
          <w:b/>
          <w:lang w:eastAsia="ko-KR"/>
        </w:rPr>
        <w:t>d</w:t>
      </w:r>
      <w:r w:rsidRPr="00E75A98">
        <w:rPr>
          <w:b/>
          <w:lang w:eastAsia="ko-KR"/>
        </w:rPr>
        <w:t>) being brought before a judge within the time frame prescribed by law;</w:t>
      </w:r>
    </w:p>
    <w:p w14:paraId="7555B7ED" w14:textId="77777777" w:rsidR="009B4592" w:rsidRPr="00E75A98" w:rsidRDefault="009B4592" w:rsidP="003757E2">
      <w:pPr>
        <w:pStyle w:val="SingleTxtG"/>
        <w:rPr>
          <w:b/>
          <w:lang w:eastAsia="ko-KR"/>
        </w:rPr>
      </w:pPr>
      <w:r>
        <w:rPr>
          <w:b/>
          <w:lang w:eastAsia="ko-KR"/>
        </w:rPr>
        <w:tab/>
      </w:r>
      <w:r w:rsidRPr="00F72477">
        <w:rPr>
          <w:bCs/>
          <w:lang w:eastAsia="ko-KR"/>
        </w:rPr>
        <w:t>(b)</w:t>
      </w:r>
      <w:r w:rsidRPr="00F72477">
        <w:rPr>
          <w:bCs/>
          <w:lang w:eastAsia="ko-KR"/>
        </w:rPr>
        <w:tab/>
      </w:r>
      <w:r w:rsidRPr="00E75A98">
        <w:rPr>
          <w:b/>
          <w:lang w:eastAsia="ko-KR"/>
        </w:rPr>
        <w:t>Systematically verify that the competent officials respect the strict keeping of registers in practice and establish a computerized central register accessible to any competent authority;</w:t>
      </w:r>
    </w:p>
    <w:p w14:paraId="747DE346" w14:textId="0AF1A884" w:rsidR="009B4592" w:rsidRPr="00E75A98" w:rsidRDefault="009B4592" w:rsidP="003757E2">
      <w:pPr>
        <w:pStyle w:val="SingleTxtG"/>
        <w:rPr>
          <w:b/>
          <w:lang w:eastAsia="ko-KR"/>
        </w:rPr>
      </w:pPr>
      <w:r>
        <w:rPr>
          <w:b/>
          <w:lang w:eastAsia="ko-KR"/>
        </w:rPr>
        <w:tab/>
      </w:r>
      <w:r w:rsidRPr="00F72477">
        <w:rPr>
          <w:bCs/>
          <w:lang w:eastAsia="ko-KR"/>
        </w:rPr>
        <w:t>(c)</w:t>
      </w:r>
      <w:r w:rsidRPr="00E75A98">
        <w:rPr>
          <w:b/>
          <w:lang w:eastAsia="ko-KR"/>
        </w:rPr>
        <w:tab/>
        <w:t>Provide information to the Committee on the number of complaints received regarding failure to respect fundamental legal safeguards and on the outcome of such complaints, including disciplinary measures taken against officials who fail to afford fundamental legal safeguards, in the next periodic report.</w:t>
      </w:r>
    </w:p>
    <w:p w14:paraId="1C84EF17" w14:textId="7E2E863C" w:rsidR="009B4592" w:rsidRPr="00E75A98" w:rsidRDefault="009B4592" w:rsidP="00E538F4">
      <w:pPr>
        <w:pStyle w:val="H23G"/>
      </w:pPr>
      <w:r>
        <w:tab/>
      </w:r>
      <w:r>
        <w:tab/>
      </w:r>
      <w:r w:rsidRPr="00E75A98">
        <w:t>Allegations of widespread torture or ill-treatment and the lack of accountability</w:t>
      </w:r>
    </w:p>
    <w:p w14:paraId="32D5062B" w14:textId="00BFB1E8" w:rsidR="009B4592" w:rsidRPr="00E75A98" w:rsidRDefault="009B4592" w:rsidP="003757E2">
      <w:pPr>
        <w:pStyle w:val="SingleTxtG"/>
      </w:pPr>
      <w:r w:rsidRPr="00E75A98">
        <w:rPr>
          <w:lang w:eastAsia="ko-KR"/>
        </w:rPr>
        <w:t>12.</w:t>
      </w:r>
      <w:r w:rsidRPr="00E75A98">
        <w:rPr>
          <w:lang w:eastAsia="ko-KR"/>
        </w:rPr>
        <w:tab/>
      </w:r>
      <w:r w:rsidRPr="004923B0">
        <w:rPr>
          <w:lang w:eastAsia="ko-KR"/>
        </w:rPr>
        <w:t>While noting the denial of the existence of torture in places of detention</w:t>
      </w:r>
      <w:r>
        <w:rPr>
          <w:lang w:eastAsia="ko-KR"/>
        </w:rPr>
        <w:t xml:space="preserve">, by the </w:t>
      </w:r>
      <w:r w:rsidRPr="004923B0">
        <w:rPr>
          <w:lang w:eastAsia="ko-KR"/>
        </w:rPr>
        <w:t xml:space="preserve">State party’s delegation, the Committee remains </w:t>
      </w:r>
      <w:r w:rsidRPr="004923B0">
        <w:rPr>
          <w:rFonts w:eastAsia="Malgun Gothic"/>
          <w:lang w:eastAsia="ko-KR"/>
        </w:rPr>
        <w:t>concerned about</w:t>
      </w:r>
      <w:r w:rsidRPr="004923B0">
        <w:rPr>
          <w:lang w:eastAsia="ko-KR"/>
        </w:rPr>
        <w:t xml:space="preserve"> reports indicating that persons in custody, including in the facilities under the authority of security forces and facilities reportedly unknown to detainees, are subjected to torture or ill-treatment, </w:t>
      </w:r>
      <w:r w:rsidRPr="004923B0">
        <w:rPr>
          <w:rFonts w:eastAsia="Malgun Gothic"/>
          <w:lang w:eastAsia="ko-KR"/>
        </w:rPr>
        <w:t>in particular</w:t>
      </w:r>
      <w:r w:rsidRPr="004923B0">
        <w:rPr>
          <w:lang w:eastAsia="ko-KR"/>
        </w:rPr>
        <w:t xml:space="preserve"> during the investigation stage of proceedings. According to the information before the Committee, detainees often do not lodge complaints due to their fear of retaliation and</w:t>
      </w:r>
      <w:r>
        <w:rPr>
          <w:lang w:eastAsia="ko-KR"/>
        </w:rPr>
        <w:t>,</w:t>
      </w:r>
      <w:r w:rsidRPr="004923B0">
        <w:rPr>
          <w:lang w:eastAsia="ko-KR"/>
        </w:rPr>
        <w:t xml:space="preserve"> </w:t>
      </w:r>
      <w:r>
        <w:rPr>
          <w:lang w:eastAsia="ko-KR"/>
        </w:rPr>
        <w:t xml:space="preserve">in cases </w:t>
      </w:r>
      <w:r w:rsidRPr="004923B0">
        <w:rPr>
          <w:lang w:eastAsia="ko-KR"/>
        </w:rPr>
        <w:t>where such complaints are lodged, the information on investigations carried out and their outcome is lacking. Moreover, th</w:t>
      </w:r>
      <w:r w:rsidRPr="004923B0">
        <w:t>e role of investigative judge</w:t>
      </w:r>
      <w:r>
        <w:t>s</w:t>
      </w:r>
      <w:r w:rsidRPr="004923B0">
        <w:t xml:space="preserve"> casts </w:t>
      </w:r>
      <w:r w:rsidRPr="004923B0">
        <w:rPr>
          <w:lang w:eastAsia="ko-KR"/>
        </w:rPr>
        <w:t>doubt on the impartiality of investigations into torture</w:t>
      </w:r>
      <w:r w:rsidRPr="00E75A98">
        <w:rPr>
          <w:lang w:eastAsia="ko-KR"/>
        </w:rPr>
        <w:t xml:space="preserve"> allegations during ongoing </w:t>
      </w:r>
      <w:r>
        <w:rPr>
          <w:lang w:eastAsia="ko-KR"/>
        </w:rPr>
        <w:t xml:space="preserve">criminal </w:t>
      </w:r>
      <w:r w:rsidRPr="00E75A98">
        <w:rPr>
          <w:lang w:eastAsia="ko-KR"/>
        </w:rPr>
        <w:t>proceeding</w:t>
      </w:r>
      <w:r>
        <w:rPr>
          <w:lang w:eastAsia="ko-KR"/>
        </w:rPr>
        <w:t>s</w:t>
      </w:r>
      <w:r w:rsidRPr="00E75A98">
        <w:rPr>
          <w:lang w:eastAsia="ko-KR"/>
        </w:rPr>
        <w:t xml:space="preserve">, </w:t>
      </w:r>
      <w:r>
        <w:rPr>
          <w:lang w:eastAsia="ko-KR"/>
        </w:rPr>
        <w:t>bec</w:t>
      </w:r>
      <w:r w:rsidRPr="00E75A98">
        <w:rPr>
          <w:lang w:eastAsia="ko-KR"/>
        </w:rPr>
        <w:t>a</w:t>
      </w:r>
      <w:r>
        <w:rPr>
          <w:lang w:eastAsia="ko-KR"/>
        </w:rPr>
        <w:t>u</w:t>
      </w:r>
      <w:r w:rsidRPr="00E75A98">
        <w:rPr>
          <w:lang w:eastAsia="ko-KR"/>
        </w:rPr>
        <w:t>s</w:t>
      </w:r>
      <w:r>
        <w:rPr>
          <w:lang w:eastAsia="ko-KR"/>
        </w:rPr>
        <w:t>e</w:t>
      </w:r>
      <w:r w:rsidRPr="00E75A98">
        <w:rPr>
          <w:lang w:eastAsia="ko-KR"/>
        </w:rPr>
        <w:t xml:space="preserve"> the same investigative judge leading the investigation into an alleged criminal offence </w:t>
      </w:r>
      <w:r>
        <w:rPr>
          <w:lang w:eastAsia="ko-KR"/>
        </w:rPr>
        <w:t>i</w:t>
      </w:r>
      <w:r w:rsidRPr="00E75A98">
        <w:rPr>
          <w:lang w:eastAsia="ko-KR"/>
        </w:rPr>
        <w:t xml:space="preserve">s responsible for investigations of </w:t>
      </w:r>
      <w:r>
        <w:rPr>
          <w:lang w:eastAsia="ko-KR"/>
        </w:rPr>
        <w:t xml:space="preserve">such </w:t>
      </w:r>
      <w:r w:rsidRPr="00E75A98">
        <w:rPr>
          <w:lang w:eastAsia="ko-KR"/>
        </w:rPr>
        <w:t xml:space="preserve">torture claims. </w:t>
      </w:r>
      <w:r w:rsidRPr="002834E3">
        <w:rPr>
          <w:lang w:eastAsia="ko-KR"/>
        </w:rPr>
        <w:t xml:space="preserve">The Committee </w:t>
      </w:r>
      <w:r>
        <w:rPr>
          <w:lang w:eastAsia="ko-KR"/>
        </w:rPr>
        <w:t xml:space="preserve">takes </w:t>
      </w:r>
      <w:r w:rsidRPr="002834E3">
        <w:rPr>
          <w:lang w:eastAsia="ko-KR"/>
        </w:rPr>
        <w:t xml:space="preserve">note </w:t>
      </w:r>
      <w:r>
        <w:rPr>
          <w:lang w:eastAsia="ko-KR"/>
        </w:rPr>
        <w:t xml:space="preserve">of the </w:t>
      </w:r>
      <w:r w:rsidRPr="002834E3">
        <w:rPr>
          <w:lang w:eastAsia="ko-KR"/>
        </w:rPr>
        <w:t xml:space="preserve">information </w:t>
      </w:r>
      <w:r w:rsidRPr="002834E3">
        <w:rPr>
          <w:lang w:eastAsia="ko-KR"/>
        </w:rPr>
        <w:lastRenderedPageBreak/>
        <w:t>provided by the delegation concerning the investigations into allegations of torture and death in custody in a detention facility in Mosul under the authority of the Ministry of the Interior</w:t>
      </w:r>
      <w:r>
        <w:rPr>
          <w:lang w:eastAsia="ko-KR"/>
        </w:rPr>
        <w:t>,</w:t>
      </w:r>
      <w:r w:rsidRPr="002834E3">
        <w:rPr>
          <w:lang w:eastAsia="ko-KR"/>
        </w:rPr>
        <w:t xml:space="preserve"> but </w:t>
      </w:r>
      <w:r>
        <w:rPr>
          <w:lang w:eastAsia="ko-KR"/>
        </w:rPr>
        <w:t xml:space="preserve">it </w:t>
      </w:r>
      <w:r w:rsidRPr="002834E3">
        <w:rPr>
          <w:lang w:eastAsia="ko-KR"/>
        </w:rPr>
        <w:t xml:space="preserve">notes with concern that it has not received comprehensive data on investigations undertaken </w:t>
      </w:r>
      <w:r>
        <w:rPr>
          <w:lang w:eastAsia="ko-KR"/>
        </w:rPr>
        <w:t>in those cases or</w:t>
      </w:r>
      <w:r w:rsidRPr="002834E3">
        <w:rPr>
          <w:lang w:eastAsia="ko-KR"/>
        </w:rPr>
        <w:t xml:space="preserve"> the outcome</w:t>
      </w:r>
      <w:r>
        <w:rPr>
          <w:lang w:eastAsia="ko-KR"/>
        </w:rPr>
        <w:t xml:space="preserve"> of such investigations</w:t>
      </w:r>
      <w:r w:rsidRPr="002834E3">
        <w:rPr>
          <w:lang w:eastAsia="ko-KR"/>
        </w:rPr>
        <w:t>.</w:t>
      </w:r>
      <w:r w:rsidRPr="00E75A98">
        <w:rPr>
          <w:lang w:eastAsia="ko-KR"/>
        </w:rPr>
        <w:t xml:space="preserve"> </w:t>
      </w:r>
      <w:r>
        <w:rPr>
          <w:lang w:eastAsia="ko-KR"/>
        </w:rPr>
        <w:t>T</w:t>
      </w:r>
      <w:r w:rsidRPr="00E75A98">
        <w:rPr>
          <w:lang w:eastAsia="ko-KR"/>
        </w:rPr>
        <w:t xml:space="preserve">he Committee observes that the mechanisms established by the State party to receive and investigate complaints of torture and ill-treatment by officials are not leading in practice to </w:t>
      </w:r>
      <w:r>
        <w:rPr>
          <w:lang w:eastAsia="ko-KR"/>
        </w:rPr>
        <w:t xml:space="preserve">the </w:t>
      </w:r>
      <w:r w:rsidRPr="00E75A98">
        <w:rPr>
          <w:lang w:eastAsia="ko-KR"/>
        </w:rPr>
        <w:t xml:space="preserve">meaningful accountability </w:t>
      </w:r>
      <w:r>
        <w:rPr>
          <w:lang w:eastAsia="ko-KR"/>
        </w:rPr>
        <w:t>o</w:t>
      </w:r>
      <w:r w:rsidRPr="00E75A98">
        <w:rPr>
          <w:lang w:eastAsia="ko-KR"/>
        </w:rPr>
        <w:t>f perpetrators. By way of example, cases of torture, prevalently from convicted persons, seem to arrive before the human rights courts only after they ha</w:t>
      </w:r>
      <w:r>
        <w:rPr>
          <w:lang w:eastAsia="ko-KR"/>
        </w:rPr>
        <w:t>ve</w:t>
      </w:r>
      <w:r w:rsidRPr="00E75A98">
        <w:rPr>
          <w:lang w:eastAsia="ko-KR"/>
        </w:rPr>
        <w:t xml:space="preserve"> been preliminarily examined by the Iraqi High Commission for Human Rights and investigated by the Prosecution Office</w:t>
      </w:r>
      <w:r>
        <w:rPr>
          <w:lang w:eastAsia="ko-KR"/>
        </w:rPr>
        <w:t>,</w:t>
      </w:r>
      <w:r w:rsidRPr="00E75A98">
        <w:rPr>
          <w:lang w:eastAsia="ko-KR"/>
        </w:rPr>
        <w:t xml:space="preserve"> and the subsequent proceedings before those courts remain slow </w:t>
      </w:r>
      <w:r w:rsidRPr="00E75A98">
        <w:t>(arts. 2, 12</w:t>
      </w:r>
      <w:r>
        <w:t>–</w:t>
      </w:r>
      <w:r w:rsidRPr="00E75A98">
        <w:t>13 and 16).</w:t>
      </w:r>
    </w:p>
    <w:p w14:paraId="315A7E08" w14:textId="5C14BA20" w:rsidR="009B4592" w:rsidRPr="00E75A98" w:rsidRDefault="009B4592" w:rsidP="003757E2">
      <w:pPr>
        <w:pStyle w:val="SingleTxtG"/>
        <w:rPr>
          <w:b/>
          <w:lang w:eastAsia="ko-KR"/>
        </w:rPr>
      </w:pPr>
      <w:r w:rsidRPr="00891136">
        <w:rPr>
          <w:bCs/>
          <w:lang w:eastAsia="ko-KR"/>
        </w:rPr>
        <w:t>13</w:t>
      </w:r>
      <w:r w:rsidRPr="00E538F4">
        <w:rPr>
          <w:bCs/>
          <w:lang w:eastAsia="ko-KR"/>
        </w:rPr>
        <w:t>.</w:t>
      </w:r>
      <w:r w:rsidRPr="00E75A98">
        <w:rPr>
          <w:b/>
          <w:lang w:eastAsia="ko-KR"/>
        </w:rPr>
        <w:tab/>
        <w:t xml:space="preserve">The State party is urged to immediately </w:t>
      </w:r>
      <w:r w:rsidRPr="00106831">
        <w:rPr>
          <w:b/>
          <w:lang w:eastAsia="ko-KR"/>
        </w:rPr>
        <w:t>address</w:t>
      </w:r>
      <w:r>
        <w:rPr>
          <w:b/>
          <w:lang w:eastAsia="ko-KR"/>
        </w:rPr>
        <w:t xml:space="preserve"> the problem of</w:t>
      </w:r>
      <w:r w:rsidRPr="00106831">
        <w:rPr>
          <w:b/>
          <w:lang w:eastAsia="ko-KR"/>
        </w:rPr>
        <w:t xml:space="preserve"> impunity </w:t>
      </w:r>
      <w:r w:rsidRPr="00917EAB">
        <w:rPr>
          <w:b/>
          <w:lang w:eastAsia="ko-KR"/>
        </w:rPr>
        <w:t xml:space="preserve">and </w:t>
      </w:r>
      <w:r w:rsidRPr="00E75A98">
        <w:rPr>
          <w:b/>
          <w:lang w:eastAsia="ko-KR"/>
        </w:rPr>
        <w:t xml:space="preserve">adopt measures to ensure accountability in practice for all acts of torture or ill-treatment involving public officials and non-official accomplices by undertaking prompt, impartial and effective investigations into complaints </w:t>
      </w:r>
      <w:r>
        <w:rPr>
          <w:b/>
          <w:lang w:eastAsia="ko-KR"/>
        </w:rPr>
        <w:t xml:space="preserve">through </w:t>
      </w:r>
      <w:r w:rsidRPr="00E75A98">
        <w:rPr>
          <w:b/>
          <w:lang w:eastAsia="ko-KR"/>
        </w:rPr>
        <w:t xml:space="preserve">an independent mechanism, by prosecuting perpetrators of such violence and </w:t>
      </w:r>
      <w:r>
        <w:rPr>
          <w:b/>
          <w:lang w:eastAsia="ko-KR"/>
        </w:rPr>
        <w:t xml:space="preserve">by </w:t>
      </w:r>
      <w:r w:rsidRPr="00E75A98">
        <w:rPr>
          <w:b/>
          <w:lang w:eastAsia="ko-KR"/>
        </w:rPr>
        <w:t xml:space="preserve">punishing them with appropriate penalties. </w:t>
      </w:r>
      <w:r>
        <w:rPr>
          <w:b/>
          <w:lang w:eastAsia="ko-KR"/>
        </w:rPr>
        <w:t>The State party is also urged to e</w:t>
      </w:r>
      <w:r w:rsidRPr="00E75A98">
        <w:rPr>
          <w:b/>
          <w:lang w:eastAsia="ko-KR"/>
        </w:rPr>
        <w:t xml:space="preserve">nsure, in practice and as </w:t>
      </w:r>
      <w:r>
        <w:rPr>
          <w:b/>
          <w:lang w:eastAsia="ko-KR"/>
        </w:rPr>
        <w:t>required under</w:t>
      </w:r>
      <w:r w:rsidRPr="00E75A98">
        <w:rPr>
          <w:b/>
          <w:lang w:eastAsia="ko-KR"/>
        </w:rPr>
        <w:t xml:space="preserve"> applicable law,</w:t>
      </w:r>
      <w:r w:rsidR="00812AA7">
        <w:rPr>
          <w:b/>
          <w:lang w:eastAsia="ko-KR"/>
        </w:rPr>
        <w:t xml:space="preserve"> </w:t>
      </w:r>
      <w:r w:rsidRPr="00E75A98">
        <w:rPr>
          <w:b/>
          <w:lang w:eastAsia="ko-KR"/>
        </w:rPr>
        <w:t>that persons under investigation for having committed acts of torture or ill-treatment are immediately suspended from their duties and remain so throughout the investigation. The State party should guarantee the protection of complainants and witnesses in practice against any ill-treatment or intimidation as a consequence of the complaint</w:t>
      </w:r>
      <w:r>
        <w:rPr>
          <w:b/>
          <w:lang w:eastAsia="ko-KR"/>
        </w:rPr>
        <w:t>s</w:t>
      </w:r>
      <w:r w:rsidRPr="00E75A98">
        <w:rPr>
          <w:b/>
          <w:lang w:eastAsia="ko-KR"/>
        </w:rPr>
        <w:t>.</w:t>
      </w:r>
    </w:p>
    <w:p w14:paraId="77A1CDA6" w14:textId="77777777" w:rsidR="009B4592" w:rsidRPr="00E75A98" w:rsidRDefault="009B4592" w:rsidP="00E538F4">
      <w:pPr>
        <w:pStyle w:val="H23G"/>
        <w:rPr>
          <w:lang w:eastAsia="ko-KR"/>
        </w:rPr>
      </w:pPr>
      <w:r>
        <w:tab/>
      </w:r>
      <w:r>
        <w:tab/>
      </w:r>
      <w:r w:rsidRPr="00E75A98">
        <w:t>Confessions obtained through torture and ill-treatment</w:t>
      </w:r>
    </w:p>
    <w:p w14:paraId="155B43DB" w14:textId="77777777" w:rsidR="009B4592" w:rsidRPr="00E75A98" w:rsidRDefault="009B4592" w:rsidP="003757E2">
      <w:pPr>
        <w:pStyle w:val="SingleTxtG"/>
        <w:rPr>
          <w:lang w:eastAsia="ko-KR"/>
        </w:rPr>
      </w:pPr>
      <w:r w:rsidRPr="00E75A98">
        <w:rPr>
          <w:lang w:eastAsia="ko-KR"/>
        </w:rPr>
        <w:t>14.</w:t>
      </w:r>
      <w:r w:rsidRPr="00E75A98">
        <w:rPr>
          <w:lang w:eastAsia="ko-KR"/>
        </w:rPr>
        <w:tab/>
        <w:t xml:space="preserve">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reports indicating that</w:t>
      </w:r>
      <w:r>
        <w:rPr>
          <w:lang w:eastAsia="ko-KR"/>
        </w:rPr>
        <w:t>,</w:t>
      </w:r>
      <w:r w:rsidRPr="00E75A98">
        <w:rPr>
          <w:lang w:eastAsia="ko-KR"/>
        </w:rPr>
        <w:t xml:space="preserve"> despite the existing legal provisions regarding the inadmissibility of evidence obtained by unlawful means, coerced confessions are reportedly admitted as </w:t>
      </w:r>
      <w:r w:rsidRPr="00E75A98">
        <w:rPr>
          <w:color w:val="000000" w:themeColor="text1"/>
        </w:rPr>
        <w:t xml:space="preserve">evidence in court, notably in terrorism-related cases, including in the case of children. Moreover, the information before the Committee suggests that the allegations of forced confessions under torture or ill-treatment made before </w:t>
      </w:r>
      <w:r>
        <w:rPr>
          <w:color w:val="000000" w:themeColor="text1"/>
        </w:rPr>
        <w:t>a</w:t>
      </w:r>
      <w:r w:rsidRPr="00E75A98">
        <w:rPr>
          <w:color w:val="000000" w:themeColor="text1"/>
        </w:rPr>
        <w:t xml:space="preserve"> trial or appeal judge are often ignored and not thoroughly pursued and that </w:t>
      </w:r>
      <w:r w:rsidRPr="00E75A98">
        <w:rPr>
          <w:lang w:eastAsia="ko-KR"/>
        </w:rPr>
        <w:t>serious shortcomings in documenting signs of physical a</w:t>
      </w:r>
      <w:r>
        <w:rPr>
          <w:lang w:eastAsia="ko-KR"/>
        </w:rPr>
        <w:t>nd</w:t>
      </w:r>
      <w:r w:rsidRPr="00E75A98">
        <w:rPr>
          <w:lang w:eastAsia="ko-KR"/>
        </w:rPr>
        <w:t xml:space="preserve"> psychological torture are often caused by the lapse of time between the alleged event and its belated investigation (art. 15).</w:t>
      </w:r>
    </w:p>
    <w:p w14:paraId="6946E76C" w14:textId="77777777" w:rsidR="009B4592" w:rsidRPr="00E75A98" w:rsidRDefault="009B4592" w:rsidP="003757E2">
      <w:pPr>
        <w:pStyle w:val="SingleTxtG"/>
        <w:rPr>
          <w:b/>
        </w:rPr>
      </w:pPr>
      <w:r w:rsidRPr="00891136">
        <w:rPr>
          <w:bCs/>
          <w:lang w:eastAsia="ko-KR"/>
        </w:rPr>
        <w:t>15</w:t>
      </w:r>
      <w:r w:rsidRPr="00E538F4">
        <w:rPr>
          <w:bCs/>
          <w:lang w:eastAsia="ko-KR"/>
        </w:rPr>
        <w:t>.</w:t>
      </w:r>
      <w:r w:rsidRPr="00E75A98">
        <w:rPr>
          <w:b/>
          <w:lang w:eastAsia="ko-KR"/>
        </w:rPr>
        <w:tab/>
      </w:r>
      <w:r w:rsidRPr="00E75A98">
        <w:rPr>
          <w:b/>
        </w:rPr>
        <w:t xml:space="preserve">The State party should ensure in practice that confessions obtained through torture or ill-treatment are ruled inadmissible and </w:t>
      </w:r>
      <w:r>
        <w:rPr>
          <w:b/>
        </w:rPr>
        <w:t xml:space="preserve">that such cases are </w:t>
      </w:r>
      <w:r w:rsidRPr="00E75A98">
        <w:rPr>
          <w:b/>
        </w:rPr>
        <w:t>investigated</w:t>
      </w:r>
      <w:r>
        <w:rPr>
          <w:b/>
        </w:rPr>
        <w:t>,</w:t>
      </w:r>
      <w:r w:rsidRPr="00E75A98">
        <w:rPr>
          <w:b/>
        </w:rPr>
        <w:t xml:space="preserve"> expand specialized training programmes for both judges and prosecutors to ensure their ability to effectively identify torture and ill-treatment and investigate all allegations of such acts</w:t>
      </w:r>
      <w:r>
        <w:rPr>
          <w:b/>
        </w:rPr>
        <w:t>,</w:t>
      </w:r>
      <w:r w:rsidRPr="00E75A98">
        <w:rPr>
          <w:b/>
        </w:rPr>
        <w:t xml:space="preserve"> develop training modules for law enforcement officers on non-coercive interviewing and investigation techniques</w:t>
      </w:r>
      <w:r>
        <w:rPr>
          <w:b/>
        </w:rPr>
        <w:t>,</w:t>
      </w:r>
      <w:r w:rsidRPr="00E75A98">
        <w:rPr>
          <w:b/>
        </w:rPr>
        <w:t xml:space="preserve"> provide the Committee with information on any cases in which confessions were deemed inadmissible on the grounds that they had been obtained through torture or ill-treatment, and indicate whether any officials have been prosecuted and punished for extracting such confessions.</w:t>
      </w:r>
    </w:p>
    <w:p w14:paraId="60290348" w14:textId="7BDA4CC2" w:rsidR="009B4592" w:rsidRPr="00E75A98" w:rsidRDefault="009B4592" w:rsidP="00E538F4">
      <w:pPr>
        <w:pStyle w:val="H23G"/>
      </w:pPr>
      <w:r>
        <w:tab/>
      </w:r>
      <w:r>
        <w:tab/>
      </w:r>
      <w:r w:rsidRPr="00E75A98">
        <w:t>Unofficial places of detention</w:t>
      </w:r>
    </w:p>
    <w:p w14:paraId="206FD453" w14:textId="77777777" w:rsidR="009B4592" w:rsidRPr="00E75A98" w:rsidRDefault="009B4592" w:rsidP="003757E2">
      <w:pPr>
        <w:pStyle w:val="SingleTxtG"/>
        <w:rPr>
          <w:lang w:eastAsia="ko-KR"/>
        </w:rPr>
      </w:pPr>
      <w:r w:rsidRPr="00E75A98">
        <w:rPr>
          <w:lang w:eastAsia="ko-KR"/>
        </w:rPr>
        <w:t>16.</w:t>
      </w:r>
      <w:r w:rsidRPr="00E75A98">
        <w:rPr>
          <w:lang w:eastAsia="ko-KR"/>
        </w:rPr>
        <w:tab/>
        <w:t xml:space="preserve">While </w:t>
      </w:r>
      <w:r>
        <w:rPr>
          <w:lang w:eastAsia="ko-KR"/>
        </w:rPr>
        <w:t xml:space="preserve">taking </w:t>
      </w:r>
      <w:r w:rsidRPr="00E75A98">
        <w:rPr>
          <w:lang w:eastAsia="ko-KR"/>
        </w:rPr>
        <w:t>not</w:t>
      </w:r>
      <w:r>
        <w:rPr>
          <w:lang w:eastAsia="ko-KR"/>
        </w:rPr>
        <w:t>e</w:t>
      </w:r>
      <w:r w:rsidRPr="00E75A98">
        <w:rPr>
          <w:lang w:eastAsia="ko-KR"/>
        </w:rPr>
        <w:t xml:space="preserve"> </w:t>
      </w:r>
      <w:r>
        <w:rPr>
          <w:lang w:eastAsia="ko-KR"/>
        </w:rPr>
        <w:t xml:space="preserve">of </w:t>
      </w:r>
      <w:r w:rsidRPr="00E75A98">
        <w:rPr>
          <w:lang w:eastAsia="ko-KR"/>
        </w:rPr>
        <w:t xml:space="preserve">the domestic prohibition of </w:t>
      </w:r>
      <w:r w:rsidRPr="00E75A98">
        <w:rPr>
          <w:rFonts w:eastAsiaTheme="minorEastAsia"/>
          <w:lang w:val="en-US"/>
        </w:rPr>
        <w:t>unlawful detention in places not designated for that purpose</w:t>
      </w:r>
      <w:r w:rsidRPr="00E75A98">
        <w:rPr>
          <w:lang w:eastAsia="ko-KR"/>
        </w:rPr>
        <w:t xml:space="preserve">, as well as the State party’s assertion that there is no evidence of the existence of secret places of detention, the Committee continues to receive </w:t>
      </w:r>
      <w:r w:rsidRPr="002B72AE">
        <w:rPr>
          <w:lang w:eastAsia="ko-KR"/>
        </w:rPr>
        <w:t>information from credible</w:t>
      </w:r>
      <w:r w:rsidRPr="00E75A98">
        <w:rPr>
          <w:lang w:eastAsia="ko-KR"/>
        </w:rPr>
        <w:t xml:space="preserve"> </w:t>
      </w:r>
      <w:r>
        <w:rPr>
          <w:lang w:eastAsia="ko-KR"/>
        </w:rPr>
        <w:t>sources</w:t>
      </w:r>
      <w:r w:rsidRPr="00E75A98">
        <w:rPr>
          <w:lang w:eastAsia="ko-KR"/>
        </w:rPr>
        <w:t xml:space="preserve"> of unlawful and incommunicado detention in unknown facilities</w:t>
      </w:r>
      <w:r w:rsidRPr="00E75A98">
        <w:rPr>
          <w:sz w:val="18"/>
          <w:vertAlign w:val="superscript"/>
          <w:lang w:eastAsia="ko-KR"/>
        </w:rPr>
        <w:footnoteReference w:id="14"/>
      </w:r>
      <w:r w:rsidRPr="00E75A98">
        <w:rPr>
          <w:lang w:eastAsia="ko-KR"/>
        </w:rPr>
        <w:t xml:space="preserve"> (arts. 2, 11 and 16).</w:t>
      </w:r>
    </w:p>
    <w:p w14:paraId="7D312E98" w14:textId="6602CE1F" w:rsidR="009B4592" w:rsidRPr="00E75A98" w:rsidRDefault="009B4592" w:rsidP="003757E2">
      <w:pPr>
        <w:pStyle w:val="SingleTxtG"/>
        <w:rPr>
          <w:b/>
          <w:lang w:eastAsia="ko-KR"/>
        </w:rPr>
      </w:pPr>
      <w:r w:rsidRPr="00891136">
        <w:rPr>
          <w:bCs/>
          <w:lang w:eastAsia="ko-KR"/>
        </w:rPr>
        <w:t>17</w:t>
      </w:r>
      <w:r w:rsidRPr="00E538F4">
        <w:rPr>
          <w:bCs/>
          <w:lang w:eastAsia="ko-KR"/>
        </w:rPr>
        <w:t>.</w:t>
      </w:r>
      <w:r w:rsidRPr="00E75A98">
        <w:rPr>
          <w:b/>
          <w:lang w:eastAsia="ko-KR"/>
        </w:rPr>
        <w:tab/>
        <w:t>Recalling its previous recommendation,</w:t>
      </w:r>
      <w:r w:rsidRPr="00EE37AB">
        <w:rPr>
          <w:bCs/>
          <w:sz w:val="18"/>
          <w:vertAlign w:val="superscript"/>
          <w:lang w:eastAsia="ko-KR"/>
        </w:rPr>
        <w:footnoteReference w:id="15"/>
      </w:r>
      <w:r w:rsidRPr="00E75A98">
        <w:rPr>
          <w:b/>
          <w:lang w:eastAsia="ko-KR"/>
        </w:rPr>
        <w:t xml:space="preserve"> the Committee urges the State party to ensure, as a matter of priority, that national legislation is applied effectively throughout the country and </w:t>
      </w:r>
      <w:r>
        <w:rPr>
          <w:b/>
          <w:lang w:eastAsia="ko-KR"/>
        </w:rPr>
        <w:t xml:space="preserve">to </w:t>
      </w:r>
      <w:r w:rsidRPr="00E75A98">
        <w:rPr>
          <w:b/>
          <w:lang w:eastAsia="ko-KR"/>
        </w:rPr>
        <w:t>immediately close all unofficial places of detention.</w:t>
      </w:r>
    </w:p>
    <w:p w14:paraId="62D57122" w14:textId="09016B77" w:rsidR="009B4592" w:rsidRPr="00E75A98" w:rsidRDefault="009B4592" w:rsidP="00E538F4">
      <w:pPr>
        <w:pStyle w:val="H23G"/>
        <w:rPr>
          <w:color w:val="000000" w:themeColor="text1"/>
        </w:rPr>
      </w:pPr>
      <w:r>
        <w:lastRenderedPageBreak/>
        <w:tab/>
      </w:r>
      <w:r>
        <w:tab/>
      </w:r>
      <w:r w:rsidRPr="00E75A98">
        <w:t>Counter-terrorism measures and military operations</w:t>
      </w:r>
    </w:p>
    <w:p w14:paraId="3161FF31" w14:textId="2AF1B252" w:rsidR="009B4592" w:rsidRPr="00E75A98" w:rsidRDefault="009B4592" w:rsidP="003757E2">
      <w:pPr>
        <w:pStyle w:val="SingleTxtG"/>
        <w:rPr>
          <w:lang w:eastAsia="en-GB"/>
        </w:rPr>
      </w:pPr>
      <w:r w:rsidRPr="00E75A98">
        <w:rPr>
          <w:color w:val="000000" w:themeColor="text1"/>
        </w:rPr>
        <w:t>18.</w:t>
      </w:r>
      <w:r w:rsidRPr="00E75A98">
        <w:rPr>
          <w:color w:val="000000" w:themeColor="text1"/>
        </w:rPr>
        <w:tab/>
        <w:t xml:space="preserve">The Committee takes note of the State party’s efforts to investigate and prosecute </w:t>
      </w:r>
      <w:r w:rsidRPr="00E75A98">
        <w:t xml:space="preserve">crimes committed by </w:t>
      </w:r>
      <w:r>
        <w:rPr>
          <w:lang w:eastAsia="ko-KR"/>
        </w:rPr>
        <w:t>Da’esh,</w:t>
      </w:r>
      <w:r w:rsidRPr="00E75A98">
        <w:rPr>
          <w:sz w:val="18"/>
          <w:vertAlign w:val="superscript"/>
          <w:lang w:eastAsia="ko-KR"/>
        </w:rPr>
        <w:footnoteReference w:id="16"/>
      </w:r>
      <w:r w:rsidRPr="00E75A98">
        <w:t xml:space="preserve"> including the draft international crimes law to try </w:t>
      </w:r>
      <w:r>
        <w:t>Da’esh</w:t>
      </w:r>
      <w:r w:rsidRPr="00E75A98">
        <w:t xml:space="preserve"> affiliates. It </w:t>
      </w:r>
      <w:r>
        <w:t xml:space="preserve">takes </w:t>
      </w:r>
      <w:r w:rsidRPr="00E75A98">
        <w:t xml:space="preserve">note </w:t>
      </w:r>
      <w:r>
        <w:t xml:space="preserve">of the </w:t>
      </w:r>
      <w:r w:rsidRPr="00E75A98">
        <w:rPr>
          <w:lang w:eastAsia="ko-KR"/>
        </w:rPr>
        <w:t xml:space="preserve">further efforts made by the Kurdistan Regional Government, including the draft legislation establishing a criminal court to address the crimes committed by </w:t>
      </w:r>
      <w:r>
        <w:rPr>
          <w:lang w:eastAsia="ko-KR"/>
        </w:rPr>
        <w:t>Da</w:t>
      </w:r>
      <w:r>
        <w:rPr>
          <w:rFonts w:eastAsia="Malgun Gothic"/>
          <w:lang w:eastAsia="ko-KR"/>
        </w:rPr>
        <w:t>’</w:t>
      </w:r>
      <w:r>
        <w:rPr>
          <w:lang w:eastAsia="ko-KR"/>
        </w:rPr>
        <w:t>esh</w:t>
      </w:r>
      <w:r w:rsidRPr="00E75A98">
        <w:rPr>
          <w:lang w:eastAsia="ko-KR"/>
        </w:rPr>
        <w:t xml:space="preserve">. However, it remains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reports of </w:t>
      </w:r>
      <w:r w:rsidRPr="00E75A98">
        <w:t xml:space="preserve">allegations of </w:t>
      </w:r>
      <w:r w:rsidRPr="00E75A98">
        <w:rPr>
          <w:lang w:eastAsia="ko-KR"/>
        </w:rPr>
        <w:t xml:space="preserve">torture, ill-treatment, arbitrary arrest, unlawful detention and </w:t>
      </w:r>
      <w:r w:rsidRPr="00E75A98">
        <w:t>enforced disappearance</w:t>
      </w:r>
      <w:r>
        <w:rPr>
          <w:rStyle w:val="FootnoteReference"/>
        </w:rPr>
        <w:footnoteReference w:id="17"/>
      </w:r>
      <w:r w:rsidRPr="00E75A98">
        <w:t xml:space="preserve"> committed by Iraqi forces and affiliated armed actors during the military operations and the counter-terrorism campaigns and the lack of information on investigation</w:t>
      </w:r>
      <w:r>
        <w:t>s</w:t>
      </w:r>
      <w:r w:rsidRPr="00E75A98">
        <w:t xml:space="preserve"> and prosecutions in th</w:t>
      </w:r>
      <w:r>
        <w:t>at</w:t>
      </w:r>
      <w:r w:rsidRPr="00E75A98">
        <w:t xml:space="preserve"> regard. In addition, 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t xml:space="preserve"> the prosecution of </w:t>
      </w:r>
      <w:r>
        <w:t>Da’esh</w:t>
      </w:r>
      <w:r w:rsidRPr="00E75A98">
        <w:t xml:space="preserve"> fighters based primarily on the </w:t>
      </w:r>
      <w:r w:rsidRPr="00E75A98">
        <w:rPr>
          <w:lang w:eastAsia="ko-KR"/>
        </w:rPr>
        <w:t>counter-terrorism legislation</w:t>
      </w:r>
      <w:r w:rsidRPr="00E75A98">
        <w:t xml:space="preserve"> </w:t>
      </w:r>
      <w:r w:rsidRPr="00E75A98">
        <w:rPr>
          <w:lang w:eastAsia="ko-KR"/>
        </w:rPr>
        <w:t xml:space="preserve">before both federal and Kurdistan courts, which fails to reflect the nature and gravity of the international crimes reportedly committed by </w:t>
      </w:r>
      <w:r>
        <w:rPr>
          <w:lang w:eastAsia="ko-KR"/>
        </w:rPr>
        <w:t>Da</w:t>
      </w:r>
      <w:r>
        <w:rPr>
          <w:rFonts w:eastAsia="Malgun Gothic"/>
          <w:lang w:eastAsia="ko-KR"/>
        </w:rPr>
        <w:t>’</w:t>
      </w:r>
      <w:r>
        <w:rPr>
          <w:lang w:eastAsia="ko-KR"/>
        </w:rPr>
        <w:t>esh</w:t>
      </w:r>
      <w:r w:rsidRPr="00E75A98">
        <w:rPr>
          <w:lang w:eastAsia="ko-KR"/>
        </w:rPr>
        <w:t xml:space="preserve">, </w:t>
      </w:r>
      <w:r w:rsidRPr="00E75A98">
        <w:rPr>
          <w:rFonts w:cstheme="minorHAnsi"/>
        </w:rPr>
        <w:t xml:space="preserve">and </w:t>
      </w:r>
      <w:r>
        <w:rPr>
          <w:rFonts w:cstheme="minorHAnsi"/>
        </w:rPr>
        <w:t xml:space="preserve">that </w:t>
      </w:r>
      <w:r w:rsidRPr="00E75A98">
        <w:rPr>
          <w:rFonts w:cstheme="minorHAnsi"/>
        </w:rPr>
        <w:t xml:space="preserve">such practice </w:t>
      </w:r>
      <w:r w:rsidRPr="00E75A98">
        <w:rPr>
          <w:color w:val="000000" w:themeColor="text1"/>
        </w:rPr>
        <w:t>excludes victims from participating in trials.</w:t>
      </w:r>
      <w:r>
        <w:rPr>
          <w:color w:val="000000" w:themeColor="text1"/>
        </w:rPr>
        <w:t xml:space="preserve"> </w:t>
      </w:r>
      <w:r w:rsidRPr="00E75A98">
        <w:rPr>
          <w:lang w:eastAsia="ko-KR"/>
        </w:rPr>
        <w:t xml:space="preserve">In addition, </w:t>
      </w:r>
      <w:r w:rsidRPr="00E75A98">
        <w:rPr>
          <w:color w:val="000000" w:themeColor="text1"/>
        </w:rPr>
        <w:t>r</w:t>
      </w:r>
      <w:r w:rsidRPr="00E75A98">
        <w:rPr>
          <w:rFonts w:cstheme="minorHAnsi"/>
        </w:rPr>
        <w:t xml:space="preserve">ape and other acts of sexual violence are not criminalized under such legislation. </w:t>
      </w:r>
      <w:r w:rsidRPr="00E75A98">
        <w:rPr>
          <w:color w:val="000000" w:themeColor="text1"/>
        </w:rPr>
        <w:t xml:space="preserve">While </w:t>
      </w:r>
      <w:r>
        <w:rPr>
          <w:color w:val="000000" w:themeColor="text1"/>
        </w:rPr>
        <w:t xml:space="preserve">taking </w:t>
      </w:r>
      <w:r w:rsidRPr="00E75A98">
        <w:rPr>
          <w:color w:val="000000" w:themeColor="text1"/>
        </w:rPr>
        <w:t>not</w:t>
      </w:r>
      <w:r>
        <w:rPr>
          <w:color w:val="000000" w:themeColor="text1"/>
        </w:rPr>
        <w:t>e</w:t>
      </w:r>
      <w:r w:rsidRPr="00E75A98">
        <w:rPr>
          <w:color w:val="000000" w:themeColor="text1"/>
        </w:rPr>
        <w:t xml:space="preserve"> </w:t>
      </w:r>
      <w:r>
        <w:rPr>
          <w:color w:val="000000" w:themeColor="text1"/>
        </w:rPr>
        <w:t xml:space="preserve">of </w:t>
      </w:r>
      <w:r w:rsidRPr="00E75A98">
        <w:rPr>
          <w:color w:val="000000" w:themeColor="text1"/>
        </w:rPr>
        <w:t xml:space="preserve">the information </w:t>
      </w:r>
      <w:r>
        <w:rPr>
          <w:color w:val="000000" w:themeColor="text1"/>
        </w:rPr>
        <w:t xml:space="preserve">provided by the </w:t>
      </w:r>
      <w:r w:rsidRPr="00E75A98">
        <w:rPr>
          <w:color w:val="000000" w:themeColor="text1"/>
        </w:rPr>
        <w:t xml:space="preserve">State party on the ongoing revision of the </w:t>
      </w:r>
      <w:r w:rsidRPr="00E75A98">
        <w:rPr>
          <w:rFonts w:eastAsiaTheme="minorEastAsia"/>
        </w:rPr>
        <w:t>Anti-Terrorism Law</w:t>
      </w:r>
      <w:r w:rsidRPr="00E75A98">
        <w:rPr>
          <w:color w:val="000000" w:themeColor="text1"/>
        </w:rPr>
        <w:t xml:space="preserve">, the </w:t>
      </w:r>
      <w:r w:rsidRPr="00E75A98">
        <w:rPr>
          <w:lang w:eastAsia="ko-KR"/>
        </w:rPr>
        <w:t>broad definition of terrorism</w:t>
      </w:r>
      <w:r>
        <w:rPr>
          <w:lang w:eastAsia="ko-KR"/>
        </w:rPr>
        <w:t>,</w:t>
      </w:r>
      <w:r w:rsidRPr="00E75A98">
        <w:rPr>
          <w:lang w:eastAsia="ko-KR"/>
        </w:rPr>
        <w:t xml:space="preserve"> </w:t>
      </w:r>
      <w:r>
        <w:rPr>
          <w:lang w:eastAsia="ko-KR"/>
        </w:rPr>
        <w:t xml:space="preserve">which </w:t>
      </w:r>
      <w:r w:rsidRPr="00E75A98">
        <w:rPr>
          <w:lang w:eastAsia="ko-KR"/>
        </w:rPr>
        <w:t>fall</w:t>
      </w:r>
      <w:r>
        <w:rPr>
          <w:lang w:eastAsia="ko-KR"/>
        </w:rPr>
        <w:t>s</w:t>
      </w:r>
      <w:r w:rsidRPr="00E75A98">
        <w:rPr>
          <w:lang w:eastAsia="ko-KR"/>
        </w:rPr>
        <w:t xml:space="preserve"> </w:t>
      </w:r>
      <w:r w:rsidRPr="00E75A98">
        <w:t>short of international standards</w:t>
      </w:r>
      <w:r>
        <w:t>,</w:t>
      </w:r>
      <w:r w:rsidRPr="00E75A98">
        <w:t xml:space="preserve"> continues to be applied.</w:t>
      </w:r>
      <w:r w:rsidRPr="00E75A98">
        <w:rPr>
          <w:sz w:val="18"/>
          <w:vertAlign w:val="superscript"/>
          <w:lang w:eastAsia="ko-KR"/>
        </w:rPr>
        <w:footnoteReference w:id="18"/>
      </w:r>
      <w:r w:rsidRPr="00E75A98">
        <w:t xml:space="preserve"> </w:t>
      </w:r>
      <w:r w:rsidRPr="00E75A98">
        <w:rPr>
          <w:lang w:eastAsia="ko-KR"/>
        </w:rPr>
        <w:t xml:space="preserve">In addition, </w:t>
      </w:r>
      <w:r w:rsidRPr="00E75A98">
        <w:t xml:space="preserve">children are reportedly detained by security forces and convicted on </w:t>
      </w:r>
      <w:r w:rsidRPr="00E75A98">
        <w:rPr>
          <w:color w:val="000000" w:themeColor="text1"/>
        </w:rPr>
        <w:t>the overbroad</w:t>
      </w:r>
      <w:r w:rsidRPr="00E75A98">
        <w:rPr>
          <w:rFonts w:eastAsiaTheme="minorEastAsia"/>
        </w:rPr>
        <w:t xml:space="preserve"> national</w:t>
      </w:r>
      <w:r>
        <w:rPr>
          <w:rFonts w:eastAsiaTheme="minorEastAsia"/>
        </w:rPr>
        <w:t xml:space="preserve"> </w:t>
      </w:r>
      <w:r w:rsidRPr="00E75A98">
        <w:rPr>
          <w:rFonts w:eastAsiaTheme="minorEastAsia"/>
        </w:rPr>
        <w:t>security-related</w:t>
      </w:r>
      <w:r w:rsidRPr="00E75A98">
        <w:rPr>
          <w:color w:val="000000" w:themeColor="text1"/>
        </w:rPr>
        <w:t xml:space="preserve"> charges for mere affiliation </w:t>
      </w:r>
      <w:r>
        <w:rPr>
          <w:color w:val="000000" w:themeColor="text1"/>
        </w:rPr>
        <w:t>with</w:t>
      </w:r>
      <w:r w:rsidRPr="00E75A98">
        <w:rPr>
          <w:color w:val="000000" w:themeColor="text1"/>
        </w:rPr>
        <w:t xml:space="preserve"> </w:t>
      </w:r>
      <w:r w:rsidR="00FF38C0">
        <w:rPr>
          <w:lang w:eastAsia="ko-KR"/>
        </w:rPr>
        <w:t>Da</w:t>
      </w:r>
      <w:r w:rsidR="00FF38C0">
        <w:rPr>
          <w:rFonts w:eastAsia="Malgun Gothic"/>
          <w:lang w:eastAsia="ko-KR"/>
        </w:rPr>
        <w:t>’</w:t>
      </w:r>
      <w:r w:rsidR="00FF38C0">
        <w:rPr>
          <w:lang w:eastAsia="ko-KR"/>
        </w:rPr>
        <w:t>esh</w:t>
      </w:r>
      <w:r w:rsidRPr="00E75A98">
        <w:rPr>
          <w:color w:val="000000" w:themeColor="text1"/>
        </w:rPr>
        <w:t>.</w:t>
      </w:r>
      <w:r w:rsidRPr="00E75A98">
        <w:rPr>
          <w:rFonts w:eastAsiaTheme="minorEastAsia"/>
          <w:sz w:val="18"/>
          <w:vertAlign w:val="superscript"/>
        </w:rPr>
        <w:footnoteReference w:id="19"/>
      </w:r>
      <w:r w:rsidRPr="00E75A98">
        <w:rPr>
          <w:color w:val="000000" w:themeColor="text1"/>
        </w:rPr>
        <w:t xml:space="preserve"> </w:t>
      </w:r>
      <w:r w:rsidRPr="00E75A98">
        <w:rPr>
          <w:lang w:eastAsia="ko-KR"/>
        </w:rPr>
        <w:t>Also of concern is</w:t>
      </w:r>
      <w:r w:rsidRPr="00E75A98">
        <w:t xml:space="preserve"> </w:t>
      </w:r>
      <w:r w:rsidRPr="00E75A98">
        <w:rPr>
          <w:rFonts w:eastAsiaTheme="minorEastAsia"/>
        </w:rPr>
        <w:t xml:space="preserve">the reported </w:t>
      </w:r>
      <w:r w:rsidRPr="00E75A98">
        <w:rPr>
          <w:lang w:eastAsia="ko-KR"/>
        </w:rPr>
        <w:t>denial of fair trial rights and due process guarantees in the related proceedings</w:t>
      </w:r>
      <w:r w:rsidRPr="00E75A98">
        <w:rPr>
          <w:rFonts w:eastAsiaTheme="minorEastAsia"/>
        </w:rPr>
        <w:t xml:space="preserve"> </w:t>
      </w:r>
      <w:r w:rsidRPr="00E75A98">
        <w:t>(</w:t>
      </w:r>
      <w:r w:rsidRPr="00E75A98">
        <w:rPr>
          <w:lang w:eastAsia="ko-KR"/>
        </w:rPr>
        <w:t>ar</w:t>
      </w:r>
      <w:r w:rsidRPr="00E75A98">
        <w:t>ts. 2, 11, 14 and 16).</w:t>
      </w:r>
    </w:p>
    <w:p w14:paraId="1787CC7A" w14:textId="7F76BB6E" w:rsidR="009B4592" w:rsidRPr="00E75A98" w:rsidRDefault="009B4592" w:rsidP="003757E2">
      <w:pPr>
        <w:pStyle w:val="SingleTxtG"/>
        <w:rPr>
          <w:b/>
        </w:rPr>
      </w:pPr>
      <w:r w:rsidRPr="00891136">
        <w:rPr>
          <w:bCs/>
          <w:lang w:eastAsia="ko-KR"/>
        </w:rPr>
        <w:t>19</w:t>
      </w:r>
      <w:r w:rsidRPr="00E538F4">
        <w:rPr>
          <w:bCs/>
          <w:lang w:eastAsia="ko-KR"/>
        </w:rPr>
        <w:t>.</w:t>
      </w:r>
      <w:r w:rsidRPr="00E75A98">
        <w:rPr>
          <w:lang w:eastAsia="ko-KR"/>
        </w:rPr>
        <w:tab/>
      </w:r>
      <w:r w:rsidRPr="00E75A98">
        <w:rPr>
          <w:b/>
        </w:rPr>
        <w:t>The Committee recalls its previous recommendations</w:t>
      </w:r>
      <w:r w:rsidRPr="00075FF0">
        <w:rPr>
          <w:bCs/>
          <w:sz w:val="18"/>
          <w:vertAlign w:val="superscript"/>
        </w:rPr>
        <w:footnoteReference w:id="20"/>
      </w:r>
      <w:r w:rsidRPr="00E75A98">
        <w:rPr>
          <w:b/>
        </w:rPr>
        <w:t xml:space="preserve"> and urges the State party to:</w:t>
      </w:r>
    </w:p>
    <w:p w14:paraId="4FBC1759" w14:textId="72068705" w:rsidR="009B4592" w:rsidRDefault="009B4592" w:rsidP="003757E2">
      <w:pPr>
        <w:pStyle w:val="SingleTxtG"/>
        <w:rPr>
          <w:b/>
          <w:lang w:eastAsia="ko-KR"/>
        </w:rPr>
      </w:pPr>
      <w:r>
        <w:rPr>
          <w:b/>
          <w:lang w:eastAsia="ko-KR"/>
        </w:rPr>
        <w:tab/>
      </w:r>
      <w:r w:rsidRPr="00075FF0">
        <w:rPr>
          <w:bCs/>
          <w:lang w:eastAsia="ko-KR"/>
        </w:rPr>
        <w:t>(a)</w:t>
      </w:r>
      <w:r w:rsidRPr="00E75A98">
        <w:rPr>
          <w:b/>
          <w:lang w:eastAsia="ko-KR"/>
        </w:rPr>
        <w:tab/>
      </w:r>
      <w:r>
        <w:rPr>
          <w:b/>
          <w:lang w:eastAsia="ko-KR"/>
        </w:rPr>
        <w:t>E</w:t>
      </w:r>
      <w:r w:rsidRPr="00B702F4">
        <w:rPr>
          <w:b/>
          <w:bCs/>
        </w:rPr>
        <w:t>nsure that persons deprived of their liberty who are accused of acts of terrorism enjoy basic safeguards against torture, including the right to be brought before a judge without delay;</w:t>
      </w:r>
    </w:p>
    <w:p w14:paraId="7DD87F8E" w14:textId="77777777" w:rsidR="009B4592" w:rsidRPr="00E75A98" w:rsidRDefault="009B4592" w:rsidP="003757E2">
      <w:pPr>
        <w:pStyle w:val="SingleTxtG"/>
        <w:rPr>
          <w:b/>
          <w:bCs/>
        </w:rPr>
      </w:pPr>
      <w:r>
        <w:rPr>
          <w:b/>
          <w:lang w:eastAsia="ko-KR"/>
        </w:rPr>
        <w:tab/>
      </w:r>
      <w:r w:rsidRPr="00075FF0">
        <w:rPr>
          <w:bCs/>
          <w:lang w:eastAsia="ko-KR"/>
        </w:rPr>
        <w:t>(b)</w:t>
      </w:r>
      <w:r>
        <w:rPr>
          <w:b/>
          <w:lang w:eastAsia="ko-KR"/>
        </w:rPr>
        <w:tab/>
      </w:r>
      <w:r w:rsidRPr="00E75A98">
        <w:rPr>
          <w:b/>
          <w:lang w:eastAsia="ko-KR"/>
        </w:rPr>
        <w:t>U</w:t>
      </w:r>
      <w:r w:rsidRPr="00E75A98">
        <w:rPr>
          <w:b/>
          <w:bCs/>
        </w:rPr>
        <w:t>ndertake prompt, thorough and impartial investigations into all allegations of torture, ill-treatment and other violations committed by State and non-State actors in the context of countering terrorism and military operations, undertake prosecutions, where necessary, ensure that all victims obtain redress</w:t>
      </w:r>
      <w:r>
        <w:rPr>
          <w:b/>
          <w:bCs/>
        </w:rPr>
        <w:t xml:space="preserve"> and s</w:t>
      </w:r>
      <w:r w:rsidRPr="00E75A98">
        <w:rPr>
          <w:b/>
          <w:bCs/>
        </w:rPr>
        <w:t xml:space="preserve">trengthen ongoing efforts </w:t>
      </w:r>
      <w:r>
        <w:rPr>
          <w:b/>
          <w:bCs/>
        </w:rPr>
        <w:t>to deliver</w:t>
      </w:r>
      <w:r w:rsidRPr="00E75A98">
        <w:rPr>
          <w:b/>
          <w:bCs/>
        </w:rPr>
        <w:t xml:space="preserve"> training on preventing human rights abuses during counter-terrorism and military operations</w:t>
      </w:r>
      <w:r w:rsidRPr="00E75A98">
        <w:rPr>
          <w:b/>
          <w:lang w:eastAsia="ko-KR"/>
        </w:rPr>
        <w:t>;</w:t>
      </w:r>
    </w:p>
    <w:p w14:paraId="75A25CB3" w14:textId="2D09BA5E" w:rsidR="009B4592" w:rsidRPr="00E75A98" w:rsidRDefault="009B4592" w:rsidP="003757E2">
      <w:pPr>
        <w:pStyle w:val="SingleTxtG"/>
        <w:rPr>
          <w:b/>
          <w:lang w:eastAsia="ko-KR"/>
        </w:rPr>
      </w:pPr>
      <w:r>
        <w:rPr>
          <w:b/>
          <w:lang w:eastAsia="ko-KR"/>
        </w:rPr>
        <w:tab/>
      </w:r>
      <w:r w:rsidRPr="00075FF0">
        <w:rPr>
          <w:bCs/>
          <w:lang w:eastAsia="ko-KR"/>
        </w:rPr>
        <w:t>(c)</w:t>
      </w:r>
      <w:r w:rsidRPr="00E75A98">
        <w:rPr>
          <w:b/>
          <w:lang w:eastAsia="ko-KR"/>
        </w:rPr>
        <w:tab/>
        <w:t xml:space="preserve">Take all appropriate measures to investigate </w:t>
      </w:r>
      <w:r>
        <w:rPr>
          <w:b/>
          <w:lang w:eastAsia="ko-KR"/>
        </w:rPr>
        <w:t xml:space="preserve">the </w:t>
      </w:r>
      <w:r w:rsidRPr="00E75A98">
        <w:rPr>
          <w:b/>
          <w:lang w:eastAsia="ko-KR"/>
        </w:rPr>
        <w:t xml:space="preserve">allegations of international crimes committed by </w:t>
      </w:r>
      <w:r>
        <w:rPr>
          <w:b/>
          <w:lang w:eastAsia="ko-KR"/>
        </w:rPr>
        <w:t>Da</w:t>
      </w:r>
      <w:r>
        <w:rPr>
          <w:rFonts w:eastAsia="Malgun Gothic"/>
          <w:b/>
          <w:lang w:eastAsia="ko-KR"/>
        </w:rPr>
        <w:t>’</w:t>
      </w:r>
      <w:r>
        <w:rPr>
          <w:b/>
          <w:lang w:eastAsia="ko-KR"/>
        </w:rPr>
        <w:t>esh</w:t>
      </w:r>
      <w:r w:rsidRPr="00E75A98">
        <w:rPr>
          <w:b/>
          <w:lang w:eastAsia="ko-KR"/>
        </w:rPr>
        <w:t>, reflecting their nature and gravity, and provide appropriate mechanisms to address those crimes, including reconciliation and comprehensive reparations;</w:t>
      </w:r>
    </w:p>
    <w:p w14:paraId="70CB3171" w14:textId="2FF38A34" w:rsidR="009B4592" w:rsidRPr="00E75A98" w:rsidRDefault="009B4592" w:rsidP="003757E2">
      <w:pPr>
        <w:pStyle w:val="SingleTxtG"/>
        <w:rPr>
          <w:rFonts w:eastAsiaTheme="minorEastAsia"/>
          <w:b/>
        </w:rPr>
      </w:pPr>
      <w:r>
        <w:rPr>
          <w:b/>
          <w:lang w:eastAsia="ko-KR"/>
        </w:rPr>
        <w:tab/>
      </w:r>
      <w:r w:rsidRPr="00D213D7">
        <w:rPr>
          <w:bCs/>
          <w:lang w:eastAsia="ko-KR"/>
        </w:rPr>
        <w:t>(d)</w:t>
      </w:r>
      <w:r w:rsidRPr="00D213D7">
        <w:rPr>
          <w:bCs/>
          <w:lang w:eastAsia="ko-KR"/>
        </w:rPr>
        <w:tab/>
      </w:r>
      <w:r w:rsidRPr="00E75A98">
        <w:rPr>
          <w:rFonts w:eastAsiaTheme="minorEastAsia"/>
          <w:b/>
        </w:rPr>
        <w:t xml:space="preserve">Take appropriate measures to bring to an end </w:t>
      </w:r>
      <w:r>
        <w:rPr>
          <w:rFonts w:eastAsiaTheme="minorEastAsia"/>
          <w:b/>
        </w:rPr>
        <w:t xml:space="preserve">the </w:t>
      </w:r>
      <w:r w:rsidRPr="00E75A98">
        <w:rPr>
          <w:rFonts w:eastAsiaTheme="minorEastAsia"/>
          <w:b/>
        </w:rPr>
        <w:t xml:space="preserve">prosecution of children on </w:t>
      </w:r>
      <w:r>
        <w:rPr>
          <w:rFonts w:eastAsiaTheme="minorEastAsia"/>
          <w:b/>
        </w:rPr>
        <w:t xml:space="preserve">the basis of </w:t>
      </w:r>
      <w:r w:rsidRPr="00E75A98">
        <w:rPr>
          <w:rFonts w:eastAsiaTheme="minorEastAsia"/>
          <w:b/>
        </w:rPr>
        <w:t xml:space="preserve">charges related to their mere </w:t>
      </w:r>
      <w:r w:rsidRPr="00E75A98">
        <w:rPr>
          <w:rFonts w:eastAsiaTheme="minorEastAsia"/>
          <w:b/>
          <w:lang w:val="en-US"/>
        </w:rPr>
        <w:t xml:space="preserve">assumed </w:t>
      </w:r>
      <w:r w:rsidRPr="00E75A98">
        <w:rPr>
          <w:rFonts w:eastAsiaTheme="minorEastAsia"/>
          <w:b/>
        </w:rPr>
        <w:t xml:space="preserve">affiliation to </w:t>
      </w:r>
      <w:r>
        <w:rPr>
          <w:rFonts w:eastAsiaTheme="minorEastAsia"/>
          <w:b/>
        </w:rPr>
        <w:t>Da’esh</w:t>
      </w:r>
      <w:r w:rsidRPr="00E75A98">
        <w:rPr>
          <w:rFonts w:eastAsiaTheme="minorEastAsia"/>
          <w:b/>
        </w:rPr>
        <w:t>, rather than their involvement in violent crimes, rehabilitate and reintegrate those children and provide them with appropriate services</w:t>
      </w:r>
      <w:r>
        <w:rPr>
          <w:rFonts w:eastAsiaTheme="minorEastAsia"/>
          <w:b/>
        </w:rPr>
        <w:t>;</w:t>
      </w:r>
      <w:r w:rsidRPr="00E75A98">
        <w:rPr>
          <w:rFonts w:eastAsiaTheme="minorEastAsia"/>
          <w:b/>
        </w:rPr>
        <w:t xml:space="preserve"> </w:t>
      </w:r>
      <w:r>
        <w:rPr>
          <w:rFonts w:eastAsiaTheme="minorEastAsia"/>
          <w:b/>
        </w:rPr>
        <w:t>w</w:t>
      </w:r>
      <w:r w:rsidRPr="00E75A98">
        <w:rPr>
          <w:rFonts w:eastAsiaTheme="minorEastAsia"/>
          <w:b/>
        </w:rPr>
        <w:t xml:space="preserve">here criminal prosecutions for violent crimes are necessary, ensure that </w:t>
      </w:r>
      <w:r>
        <w:rPr>
          <w:rFonts w:eastAsiaTheme="minorEastAsia"/>
          <w:b/>
        </w:rPr>
        <w:t xml:space="preserve">the </w:t>
      </w:r>
      <w:r w:rsidRPr="00E75A98">
        <w:rPr>
          <w:rFonts w:eastAsiaTheme="minorEastAsia"/>
          <w:b/>
        </w:rPr>
        <w:t>treatment of minors is in line with international standards on juvenile justice and that alternatives to detention are pursued as much as possible;</w:t>
      </w:r>
    </w:p>
    <w:p w14:paraId="3E34A3FA" w14:textId="77777777" w:rsidR="009B4592" w:rsidRPr="00E75A98" w:rsidRDefault="009B4592" w:rsidP="003757E2">
      <w:pPr>
        <w:pStyle w:val="SingleTxtG"/>
        <w:rPr>
          <w:b/>
          <w:lang w:eastAsia="ko-KR"/>
        </w:rPr>
      </w:pPr>
      <w:r>
        <w:rPr>
          <w:b/>
          <w:lang w:eastAsia="ko-KR"/>
        </w:rPr>
        <w:tab/>
      </w:r>
      <w:r w:rsidRPr="00D213D7">
        <w:rPr>
          <w:bCs/>
          <w:lang w:eastAsia="ko-KR"/>
        </w:rPr>
        <w:t>(e)</w:t>
      </w:r>
      <w:r w:rsidRPr="00E75A98">
        <w:rPr>
          <w:b/>
          <w:lang w:eastAsia="ko-KR"/>
        </w:rPr>
        <w:tab/>
        <w:t xml:space="preserve">Take </w:t>
      </w:r>
      <w:r>
        <w:rPr>
          <w:b/>
          <w:lang w:eastAsia="ko-KR"/>
        </w:rPr>
        <w:t xml:space="preserve">the </w:t>
      </w:r>
      <w:r w:rsidRPr="00E75A98">
        <w:rPr>
          <w:b/>
          <w:lang w:eastAsia="ko-KR"/>
        </w:rPr>
        <w:t xml:space="preserve">steps necessary to ensure that all legislation related to combating terrorism, including the forthcoming amendment of the Anti-Terrorism Law, is in full conformity with the Convention and international standards, that adequate and effective legal safeguards and fair trial guarantees are in place in practice and </w:t>
      </w:r>
      <w:r>
        <w:rPr>
          <w:b/>
          <w:lang w:eastAsia="ko-KR"/>
        </w:rPr>
        <w:t xml:space="preserve">that </w:t>
      </w:r>
      <w:r w:rsidRPr="00E75A98">
        <w:rPr>
          <w:b/>
          <w:lang w:eastAsia="ko-KR"/>
        </w:rPr>
        <w:t xml:space="preserve">no arbitrary arrest, unlawful detention </w:t>
      </w:r>
      <w:r>
        <w:rPr>
          <w:b/>
          <w:lang w:eastAsia="ko-KR"/>
        </w:rPr>
        <w:t>or</w:t>
      </w:r>
      <w:r w:rsidRPr="00E75A98">
        <w:rPr>
          <w:b/>
          <w:lang w:eastAsia="ko-KR"/>
        </w:rPr>
        <w:t xml:space="preserve"> enforced disappearance </w:t>
      </w:r>
      <w:r>
        <w:rPr>
          <w:b/>
          <w:lang w:eastAsia="ko-KR"/>
        </w:rPr>
        <w:t>is</w:t>
      </w:r>
      <w:r w:rsidRPr="00E75A98">
        <w:rPr>
          <w:b/>
          <w:lang w:eastAsia="ko-KR"/>
        </w:rPr>
        <w:t xml:space="preserve"> carried out under the guise of countering terrorism.</w:t>
      </w:r>
    </w:p>
    <w:p w14:paraId="04838544" w14:textId="1E975DBB" w:rsidR="009B4592" w:rsidRPr="00E75A98" w:rsidRDefault="009B4592" w:rsidP="00E538F4">
      <w:pPr>
        <w:pStyle w:val="H23G"/>
      </w:pPr>
      <w:r>
        <w:lastRenderedPageBreak/>
        <w:tab/>
      </w:r>
      <w:r>
        <w:tab/>
      </w:r>
      <w:r w:rsidRPr="00E75A98">
        <w:t>Conflict-related sexual violence</w:t>
      </w:r>
    </w:p>
    <w:p w14:paraId="449C3434" w14:textId="767FC437" w:rsidR="009B4592" w:rsidRPr="00E75A98" w:rsidRDefault="009B4592" w:rsidP="003757E2">
      <w:pPr>
        <w:pStyle w:val="SingleTxtG"/>
        <w:rPr>
          <w:lang w:eastAsia="ko-KR"/>
        </w:rPr>
      </w:pPr>
      <w:r w:rsidRPr="00E75A98">
        <w:rPr>
          <w:lang w:eastAsia="ko-KR"/>
        </w:rPr>
        <w:t>20.</w:t>
      </w:r>
      <w:r w:rsidRPr="00E75A98">
        <w:rPr>
          <w:lang w:eastAsia="ko-KR"/>
        </w:rPr>
        <w:tab/>
        <w:t xml:space="preserve">While </w:t>
      </w:r>
      <w:r>
        <w:rPr>
          <w:lang w:eastAsia="ko-KR"/>
        </w:rPr>
        <w:t xml:space="preserve">taking </w:t>
      </w:r>
      <w:r w:rsidRPr="00E75A98">
        <w:rPr>
          <w:lang w:eastAsia="ko-KR"/>
        </w:rPr>
        <w:t>not</w:t>
      </w:r>
      <w:r>
        <w:rPr>
          <w:lang w:eastAsia="ko-KR"/>
        </w:rPr>
        <w:t>e</w:t>
      </w:r>
      <w:r w:rsidRPr="00E75A98">
        <w:rPr>
          <w:lang w:eastAsia="ko-KR"/>
        </w:rPr>
        <w:t xml:space="preserve"> </w:t>
      </w:r>
      <w:r>
        <w:rPr>
          <w:lang w:eastAsia="ko-KR"/>
        </w:rPr>
        <w:t xml:space="preserve">of </w:t>
      </w:r>
      <w:r w:rsidRPr="00E75A98">
        <w:rPr>
          <w:lang w:eastAsia="ko-KR"/>
        </w:rPr>
        <w:t xml:space="preserve">the State party’s efforts to </w:t>
      </w:r>
      <w:r>
        <w:rPr>
          <w:lang w:eastAsia="ko-KR"/>
        </w:rPr>
        <w:t xml:space="preserve">provide </w:t>
      </w:r>
      <w:r w:rsidRPr="00E75A98">
        <w:rPr>
          <w:lang w:eastAsia="ko-KR"/>
        </w:rPr>
        <w:t xml:space="preserve">redress </w:t>
      </w:r>
      <w:r>
        <w:rPr>
          <w:lang w:eastAsia="ko-KR"/>
        </w:rPr>
        <w:t xml:space="preserve">to </w:t>
      </w:r>
      <w:r w:rsidRPr="00E75A98">
        <w:t>survivors of conflict-related sexual and gender-based violence</w:t>
      </w:r>
      <w:r w:rsidRPr="00E75A98">
        <w:rPr>
          <w:lang w:eastAsia="ko-KR"/>
        </w:rPr>
        <w:t>, the Committee</w:t>
      </w:r>
      <w:r w:rsidRPr="00E75A98">
        <w:rPr>
          <w:color w:val="000000" w:themeColor="text1"/>
        </w:rPr>
        <w:t xml:space="preserve"> remains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color w:val="000000" w:themeColor="text1"/>
        </w:rPr>
        <w:t xml:space="preserve"> the</w:t>
      </w:r>
      <w:r w:rsidRPr="00E75A98">
        <w:rPr>
          <w:lang w:eastAsia="ko-KR"/>
        </w:rPr>
        <w:t xml:space="preserve"> information received on the reported slow progress in </w:t>
      </w:r>
      <w:r>
        <w:rPr>
          <w:lang w:eastAsia="ko-KR"/>
        </w:rPr>
        <w:t xml:space="preserve">the </w:t>
      </w:r>
      <w:r w:rsidRPr="00E75A98">
        <w:rPr>
          <w:lang w:eastAsia="ko-KR"/>
        </w:rPr>
        <w:t>implementation of the Yazidi Survivors Law and the current lack of funds allocated to that effect. It also notes that the</w:t>
      </w:r>
      <w:r w:rsidRPr="00E75A98">
        <w:t xml:space="preserve"> Law does not address the status of children </w:t>
      </w:r>
      <w:r>
        <w:t>conceived</w:t>
      </w:r>
      <w:r w:rsidRPr="00E75A98">
        <w:t xml:space="preserve"> </w:t>
      </w:r>
      <w:r>
        <w:t>through</w:t>
      </w:r>
      <w:r w:rsidRPr="00E75A98">
        <w:t xml:space="preserve"> rape </w:t>
      </w:r>
      <w:r>
        <w:t xml:space="preserve">perpetrated </w:t>
      </w:r>
      <w:r w:rsidRPr="00E75A98">
        <w:t xml:space="preserve">by members of </w:t>
      </w:r>
      <w:r>
        <w:t>Da’esh</w:t>
      </w:r>
      <w:r w:rsidRPr="00E75A98">
        <w:t xml:space="preserve"> and </w:t>
      </w:r>
      <w:r>
        <w:t xml:space="preserve">that </w:t>
      </w:r>
      <w:r w:rsidRPr="00E75A98">
        <w:t xml:space="preserve">the definition of survivor does not include </w:t>
      </w:r>
      <w:r>
        <w:t xml:space="preserve">members of </w:t>
      </w:r>
      <w:r w:rsidRPr="00E75A98">
        <w:t>some minority communities.</w:t>
      </w:r>
      <w:r w:rsidRPr="00E75A98">
        <w:rPr>
          <w:sz w:val="18"/>
          <w:vertAlign w:val="superscript"/>
          <w:lang w:eastAsia="ko-KR"/>
        </w:rPr>
        <w:footnoteReference w:id="21"/>
      </w:r>
      <w:r w:rsidRPr="00E75A98">
        <w:rPr>
          <w:lang w:eastAsia="ko-KR"/>
        </w:rPr>
        <w:t xml:space="preserve"> Wh</w:t>
      </w:r>
      <w:r w:rsidRPr="00E75A98">
        <w:rPr>
          <w:lang w:eastAsia="en-GB"/>
        </w:rPr>
        <w:t xml:space="preserve">ile noting </w:t>
      </w:r>
      <w:r w:rsidRPr="00E75A98">
        <w:rPr>
          <w:lang w:eastAsia="ko-KR"/>
        </w:rPr>
        <w:t xml:space="preserve">the progress made with respect to the investigations of abductions by </w:t>
      </w:r>
      <w:r>
        <w:rPr>
          <w:lang w:eastAsia="ko-KR"/>
        </w:rPr>
        <w:t>Da</w:t>
      </w:r>
      <w:r>
        <w:rPr>
          <w:rFonts w:eastAsia="Malgun Gothic"/>
          <w:lang w:eastAsia="ko-KR"/>
        </w:rPr>
        <w:t>’</w:t>
      </w:r>
      <w:r>
        <w:rPr>
          <w:lang w:eastAsia="ko-KR"/>
        </w:rPr>
        <w:t>esh</w:t>
      </w:r>
      <w:r w:rsidRPr="00E75A98">
        <w:rPr>
          <w:lang w:eastAsia="ko-KR"/>
        </w:rPr>
        <w:t xml:space="preserve"> (</w:t>
      </w:r>
      <w:r w:rsidRPr="00E75A98">
        <w:t>5,170 registered files, of which 2</w:t>
      </w:r>
      <w:r>
        <w:t>,</w:t>
      </w:r>
      <w:r w:rsidRPr="00E75A98">
        <w:t xml:space="preserve">324 cases </w:t>
      </w:r>
      <w:r>
        <w:t xml:space="preserve">had </w:t>
      </w:r>
      <w:r w:rsidRPr="00E75A98">
        <w:t>concluded in the courts and 3,552 persons rescued), concerns remain as to the 2,719 people registered as missing</w:t>
      </w:r>
      <w:r w:rsidRPr="00E75A98">
        <w:rPr>
          <w:lang w:eastAsia="ko-KR"/>
        </w:rPr>
        <w:t xml:space="preserve"> (art. 1, 2, 4, 14 and 16).</w:t>
      </w:r>
    </w:p>
    <w:p w14:paraId="378B9911" w14:textId="0BA7BFD1" w:rsidR="009B4592" w:rsidRPr="0058217C" w:rsidRDefault="009B4592" w:rsidP="003757E2">
      <w:pPr>
        <w:pStyle w:val="SingleTxtG"/>
        <w:rPr>
          <w:b/>
          <w:lang w:eastAsia="ko-KR"/>
        </w:rPr>
      </w:pPr>
      <w:r w:rsidRPr="00891136">
        <w:rPr>
          <w:bCs/>
          <w:lang w:eastAsia="ko-KR"/>
        </w:rPr>
        <w:t>21</w:t>
      </w:r>
      <w:r w:rsidRPr="00E538F4">
        <w:rPr>
          <w:bCs/>
          <w:lang w:eastAsia="ko-KR"/>
        </w:rPr>
        <w:t>.</w:t>
      </w:r>
      <w:r w:rsidRPr="0058217C">
        <w:rPr>
          <w:b/>
          <w:lang w:eastAsia="ko-KR"/>
        </w:rPr>
        <w:tab/>
        <w:t xml:space="preserve">The State party should strengthen its efforts to rescue the victims still in </w:t>
      </w:r>
      <w:r>
        <w:rPr>
          <w:b/>
          <w:lang w:eastAsia="ko-KR"/>
        </w:rPr>
        <w:t>Da</w:t>
      </w:r>
      <w:r>
        <w:rPr>
          <w:rFonts w:eastAsia="Malgun Gothic"/>
          <w:b/>
          <w:lang w:eastAsia="ko-KR"/>
        </w:rPr>
        <w:t>’</w:t>
      </w:r>
      <w:r>
        <w:rPr>
          <w:b/>
          <w:lang w:eastAsia="ko-KR"/>
        </w:rPr>
        <w:t>esh</w:t>
      </w:r>
      <w:r w:rsidRPr="0058217C">
        <w:rPr>
          <w:b/>
          <w:lang w:eastAsia="ko-KR"/>
        </w:rPr>
        <w:t xml:space="preserve"> captivity and investigate and prosecute all acts of conflict-related sexual violence. It should ensure that victims are able to effectively and expeditiously claim and receive all </w:t>
      </w:r>
      <w:r>
        <w:rPr>
          <w:b/>
          <w:lang w:eastAsia="ko-KR"/>
        </w:rPr>
        <w:t xml:space="preserve">relevant </w:t>
      </w:r>
      <w:r w:rsidRPr="0058217C">
        <w:rPr>
          <w:b/>
          <w:lang w:eastAsia="ko-KR"/>
        </w:rPr>
        <w:t>forms of redress, which include comprehensive, inclusive and survivor-centred rehabilitation programmes and guarantees of non-repetition.</w:t>
      </w:r>
      <w:r w:rsidRPr="0058217C">
        <w:rPr>
          <w:rFonts w:ascii="Roboto" w:hAnsi="Roboto"/>
          <w:b/>
          <w:bCs/>
          <w:color w:val="505050"/>
          <w:sz w:val="26"/>
          <w:szCs w:val="26"/>
          <w:shd w:val="clear" w:color="auto" w:fill="FFFFFF"/>
        </w:rPr>
        <w:t xml:space="preserve"> </w:t>
      </w:r>
      <w:r w:rsidRPr="0058217C">
        <w:rPr>
          <w:b/>
          <w:lang w:eastAsia="ko-KR"/>
        </w:rPr>
        <w:t>To th</w:t>
      </w:r>
      <w:r>
        <w:rPr>
          <w:b/>
          <w:lang w:eastAsia="ko-KR"/>
        </w:rPr>
        <w:t>at</w:t>
      </w:r>
      <w:r w:rsidRPr="0058217C">
        <w:rPr>
          <w:b/>
          <w:lang w:eastAsia="ko-KR"/>
        </w:rPr>
        <w:t xml:space="preserve"> end, the State party should ensure </w:t>
      </w:r>
      <w:r>
        <w:rPr>
          <w:b/>
          <w:lang w:eastAsia="ko-KR"/>
        </w:rPr>
        <w:t xml:space="preserve">the </w:t>
      </w:r>
      <w:r w:rsidRPr="0058217C">
        <w:rPr>
          <w:b/>
          <w:lang w:eastAsia="ko-KR"/>
        </w:rPr>
        <w:t>effective and timely implementation of the Yazidi Survivors Law by</w:t>
      </w:r>
      <w:r>
        <w:rPr>
          <w:b/>
          <w:lang w:eastAsia="ko-KR"/>
        </w:rPr>
        <w:t>:</w:t>
      </w:r>
      <w:r w:rsidRPr="0058217C">
        <w:rPr>
          <w:b/>
          <w:lang w:eastAsia="ko-KR"/>
        </w:rPr>
        <w:t xml:space="preserve"> (</w:t>
      </w:r>
      <w:r>
        <w:rPr>
          <w:b/>
          <w:lang w:eastAsia="ko-KR"/>
        </w:rPr>
        <w:t>a</w:t>
      </w:r>
      <w:r w:rsidRPr="0058217C">
        <w:rPr>
          <w:b/>
          <w:lang w:eastAsia="ko-KR"/>
        </w:rPr>
        <w:t>) allocating sufficient funds</w:t>
      </w:r>
      <w:r>
        <w:rPr>
          <w:b/>
          <w:lang w:eastAsia="ko-KR"/>
        </w:rPr>
        <w:t>;</w:t>
      </w:r>
      <w:r w:rsidRPr="0058217C">
        <w:rPr>
          <w:b/>
          <w:lang w:eastAsia="ko-KR"/>
        </w:rPr>
        <w:t xml:space="preserve"> (</w:t>
      </w:r>
      <w:r>
        <w:rPr>
          <w:b/>
          <w:lang w:eastAsia="ko-KR"/>
        </w:rPr>
        <w:t>b</w:t>
      </w:r>
      <w:r w:rsidRPr="0058217C">
        <w:rPr>
          <w:b/>
          <w:lang w:eastAsia="ko-KR"/>
        </w:rPr>
        <w:t>) enhanc</w:t>
      </w:r>
      <w:r>
        <w:rPr>
          <w:b/>
          <w:lang w:eastAsia="ko-KR"/>
        </w:rPr>
        <w:t xml:space="preserve">ing the </w:t>
      </w:r>
      <w:r w:rsidRPr="0058217C">
        <w:rPr>
          <w:b/>
          <w:lang w:eastAsia="ko-KR"/>
        </w:rPr>
        <w:t>processing of claims</w:t>
      </w:r>
      <w:r>
        <w:rPr>
          <w:b/>
          <w:lang w:eastAsia="ko-KR"/>
        </w:rPr>
        <w:t>;</w:t>
      </w:r>
      <w:r w:rsidRPr="0058217C">
        <w:rPr>
          <w:b/>
          <w:lang w:eastAsia="ko-KR"/>
        </w:rPr>
        <w:t xml:space="preserve"> (</w:t>
      </w:r>
      <w:r>
        <w:rPr>
          <w:b/>
          <w:lang w:eastAsia="ko-KR"/>
        </w:rPr>
        <w:t>c</w:t>
      </w:r>
      <w:r w:rsidRPr="0058217C">
        <w:rPr>
          <w:b/>
          <w:lang w:eastAsia="ko-KR"/>
        </w:rPr>
        <w:t>) ensuring the active participation of women from conflict-a</w:t>
      </w:r>
      <w:r>
        <w:rPr>
          <w:b/>
          <w:lang w:eastAsia="ko-KR"/>
        </w:rPr>
        <w:t>ffe</w:t>
      </w:r>
      <w:r w:rsidRPr="0058217C">
        <w:rPr>
          <w:b/>
          <w:lang w:eastAsia="ko-KR"/>
        </w:rPr>
        <w:t>cted communities in its implementation, for example</w:t>
      </w:r>
      <w:r>
        <w:rPr>
          <w:b/>
          <w:lang w:eastAsia="ko-KR"/>
        </w:rPr>
        <w:t>,</w:t>
      </w:r>
      <w:r w:rsidRPr="0058217C">
        <w:rPr>
          <w:b/>
          <w:lang w:eastAsia="ko-KR"/>
        </w:rPr>
        <w:t xml:space="preserve"> through consultation or inclusion as staff</w:t>
      </w:r>
      <w:r>
        <w:rPr>
          <w:b/>
          <w:lang w:eastAsia="ko-KR"/>
        </w:rPr>
        <w:t>;</w:t>
      </w:r>
      <w:r w:rsidRPr="0058217C">
        <w:rPr>
          <w:b/>
          <w:lang w:eastAsia="ko-KR"/>
        </w:rPr>
        <w:t xml:space="preserve"> and (</w:t>
      </w:r>
      <w:r>
        <w:rPr>
          <w:b/>
          <w:lang w:eastAsia="ko-KR"/>
        </w:rPr>
        <w:t>d</w:t>
      </w:r>
      <w:r w:rsidRPr="0058217C">
        <w:rPr>
          <w:b/>
          <w:lang w:eastAsia="ko-KR"/>
        </w:rPr>
        <w:t>)</w:t>
      </w:r>
      <w:r w:rsidRPr="0058217C">
        <w:rPr>
          <w:rFonts w:ascii="Calibri" w:hAnsi="Calibri" w:cs="Calibri"/>
          <w:b/>
          <w:i/>
          <w:iCs/>
          <w:lang w:eastAsia="en-GB"/>
        </w:rPr>
        <w:t xml:space="preserve"> </w:t>
      </w:r>
      <w:r w:rsidRPr="0058217C">
        <w:rPr>
          <w:b/>
          <w:lang w:eastAsia="ko-KR"/>
        </w:rPr>
        <w:t>conducting regular capacity</w:t>
      </w:r>
      <w:r>
        <w:rPr>
          <w:b/>
          <w:lang w:eastAsia="ko-KR"/>
        </w:rPr>
        <w:t>-</w:t>
      </w:r>
      <w:r w:rsidRPr="0058217C">
        <w:rPr>
          <w:b/>
          <w:lang w:eastAsia="ko-KR"/>
        </w:rPr>
        <w:t>building f</w:t>
      </w:r>
      <w:r>
        <w:rPr>
          <w:b/>
          <w:lang w:eastAsia="ko-KR"/>
        </w:rPr>
        <w:t>or</w:t>
      </w:r>
      <w:r w:rsidRPr="0058217C">
        <w:rPr>
          <w:b/>
          <w:lang w:eastAsia="ko-KR"/>
        </w:rPr>
        <w:t xml:space="preserve"> all staff working on its implementation, including on ethical and trauma</w:t>
      </w:r>
      <w:r>
        <w:rPr>
          <w:b/>
          <w:lang w:eastAsia="ko-KR"/>
        </w:rPr>
        <w:t>-</w:t>
      </w:r>
      <w:r w:rsidRPr="0058217C">
        <w:rPr>
          <w:b/>
          <w:lang w:eastAsia="ko-KR"/>
        </w:rPr>
        <w:t xml:space="preserve">informed engagement with victims. The State party should also guarantee the victims’ right to participate in criminal proceedings effectively, accompanied by safeguards to avoid stigmatization </w:t>
      </w:r>
      <w:r>
        <w:rPr>
          <w:b/>
          <w:lang w:eastAsia="ko-KR"/>
        </w:rPr>
        <w:t xml:space="preserve">and </w:t>
      </w:r>
      <w:r w:rsidRPr="0058217C">
        <w:rPr>
          <w:b/>
          <w:lang w:eastAsia="ko-KR"/>
        </w:rPr>
        <w:t>retraumatization</w:t>
      </w:r>
      <w:r>
        <w:rPr>
          <w:b/>
          <w:lang w:eastAsia="ko-KR"/>
        </w:rPr>
        <w:t>,</w:t>
      </w:r>
      <w:r w:rsidRPr="0058217C">
        <w:rPr>
          <w:b/>
          <w:lang w:eastAsia="ko-KR"/>
        </w:rPr>
        <w:t xml:space="preserve"> and ensure that specialized rehabilitation services are promptly made available to all survivors.</w:t>
      </w:r>
    </w:p>
    <w:p w14:paraId="017BE36B" w14:textId="77777777" w:rsidR="009B4592" w:rsidRPr="00E75A98" w:rsidRDefault="009B4592" w:rsidP="00E538F4">
      <w:pPr>
        <w:pStyle w:val="H23G"/>
      </w:pPr>
      <w:r>
        <w:tab/>
      </w:r>
      <w:r>
        <w:tab/>
      </w:r>
      <w:r w:rsidRPr="00E75A98">
        <w:t>Monitoring of detention facilities</w:t>
      </w:r>
    </w:p>
    <w:p w14:paraId="08D022DE" w14:textId="77777777" w:rsidR="009B4592" w:rsidRPr="00E75A98" w:rsidRDefault="009B4592" w:rsidP="003757E2">
      <w:pPr>
        <w:pStyle w:val="SingleTxtG"/>
        <w:rPr>
          <w:b/>
          <w:lang w:eastAsia="ko-KR"/>
        </w:rPr>
      </w:pPr>
      <w:r w:rsidRPr="00E75A98">
        <w:rPr>
          <w:lang w:eastAsia="ko-KR"/>
        </w:rPr>
        <w:t>22.</w:t>
      </w:r>
      <w:r w:rsidRPr="00E75A98">
        <w:rPr>
          <w:lang w:eastAsia="ko-KR"/>
        </w:rPr>
        <w:tab/>
        <w:t xml:space="preserve">While </w:t>
      </w:r>
      <w:r>
        <w:rPr>
          <w:lang w:eastAsia="ko-KR"/>
        </w:rPr>
        <w:t xml:space="preserve">taking </w:t>
      </w:r>
      <w:r w:rsidRPr="00E75A98">
        <w:rPr>
          <w:lang w:eastAsia="ko-KR"/>
        </w:rPr>
        <w:t>not</w:t>
      </w:r>
      <w:r>
        <w:rPr>
          <w:lang w:eastAsia="ko-KR"/>
        </w:rPr>
        <w:t>e</w:t>
      </w:r>
      <w:r w:rsidRPr="00E75A98">
        <w:rPr>
          <w:lang w:eastAsia="ko-KR"/>
        </w:rPr>
        <w:t xml:space="preserve"> </w:t>
      </w:r>
      <w:r>
        <w:rPr>
          <w:lang w:eastAsia="ko-KR"/>
        </w:rPr>
        <w:t xml:space="preserve">of </w:t>
      </w:r>
      <w:r w:rsidRPr="00E75A98">
        <w:rPr>
          <w:lang w:eastAsia="ko-KR"/>
        </w:rPr>
        <w:t xml:space="preserve">the information </w:t>
      </w:r>
      <w:r>
        <w:rPr>
          <w:lang w:eastAsia="ko-KR"/>
        </w:rPr>
        <w:t xml:space="preserve">provided </w:t>
      </w:r>
      <w:r w:rsidRPr="00E75A98">
        <w:rPr>
          <w:lang w:eastAsia="ko-KR"/>
        </w:rPr>
        <w:t xml:space="preserve">on the detention monitoring activities </w:t>
      </w:r>
      <w:r>
        <w:rPr>
          <w:lang w:eastAsia="ko-KR"/>
        </w:rPr>
        <w:t xml:space="preserve">undertaken </w:t>
      </w:r>
      <w:r w:rsidRPr="00E75A98">
        <w:rPr>
          <w:lang w:eastAsia="ko-KR"/>
        </w:rPr>
        <w:t xml:space="preserve">by the </w:t>
      </w:r>
      <w:r>
        <w:rPr>
          <w:lang w:eastAsia="ko-KR"/>
        </w:rPr>
        <w:t>Iraqi High Commission for Human Rights</w:t>
      </w:r>
      <w:r w:rsidRPr="00E75A98">
        <w:rPr>
          <w:lang w:eastAsia="ko-KR"/>
        </w:rPr>
        <w:t>, the Committee notes with concern that, pursuant to article 45</w:t>
      </w:r>
      <w:r>
        <w:rPr>
          <w:lang w:eastAsia="ko-KR"/>
        </w:rPr>
        <w:t xml:space="preserve"> </w:t>
      </w:r>
      <w:r w:rsidRPr="00E75A98">
        <w:rPr>
          <w:lang w:eastAsia="ko-KR"/>
        </w:rPr>
        <w:t>(4) of the Prisoners and Detainees Reforms Law, visits to places of deprivation of liberty are subject to prior agreement on the dates with the relevant authorities, including visits to detention centres where suspects of terrorism are being held</w:t>
      </w:r>
      <w:r>
        <w:rPr>
          <w:lang w:eastAsia="ko-KR"/>
        </w:rPr>
        <w:t xml:space="preserve">, </w:t>
      </w:r>
      <w:r w:rsidRPr="00E75A98">
        <w:rPr>
          <w:lang w:eastAsia="ko-KR"/>
        </w:rPr>
        <w:t xml:space="preserve">in contradiction with the </w:t>
      </w:r>
      <w:r>
        <w:rPr>
          <w:lang w:eastAsia="ko-KR"/>
        </w:rPr>
        <w:t>Commission</w:t>
      </w:r>
      <w:r w:rsidRPr="00E75A98">
        <w:rPr>
          <w:lang w:eastAsia="ko-KR"/>
        </w:rPr>
        <w:t>’s mandate to make unannounced monitoring visits without any prior approval to all places of deprivation of liberty.</w:t>
      </w:r>
      <w:r w:rsidRPr="00E75A98">
        <w:rPr>
          <w:sz w:val="18"/>
          <w:vertAlign w:val="superscript"/>
          <w:lang w:eastAsia="ko-KR"/>
        </w:rPr>
        <w:footnoteReference w:id="22"/>
      </w:r>
      <w:r w:rsidRPr="00E75A98">
        <w:rPr>
          <w:lang w:eastAsia="ko-KR"/>
        </w:rPr>
        <w:t xml:space="preserve"> The Committee notes that the Prisoners and Detainees Reforms Law does not provide for civil society organizations to conduct monitoring visits to places of deprivation of liberty. In th</w:t>
      </w:r>
      <w:r>
        <w:rPr>
          <w:lang w:eastAsia="ko-KR"/>
        </w:rPr>
        <w:t>at</w:t>
      </w:r>
      <w:r w:rsidRPr="00E75A98">
        <w:rPr>
          <w:lang w:eastAsia="ko-KR"/>
        </w:rPr>
        <w:t xml:space="preserve"> connection, the Committee appreciates the State party’s information on a draft law to amend th</w:t>
      </w:r>
      <w:r>
        <w:rPr>
          <w:lang w:eastAsia="ko-KR"/>
        </w:rPr>
        <w:t>at</w:t>
      </w:r>
      <w:r w:rsidRPr="00E75A98">
        <w:rPr>
          <w:lang w:eastAsia="ko-KR"/>
        </w:rPr>
        <w:t xml:space="preserve"> piece of legislation and expects </w:t>
      </w:r>
      <w:r>
        <w:rPr>
          <w:lang w:eastAsia="ko-KR"/>
        </w:rPr>
        <w:t xml:space="preserve">to receive </w:t>
      </w:r>
      <w:r w:rsidRPr="00E75A98">
        <w:rPr>
          <w:lang w:eastAsia="ko-KR"/>
        </w:rPr>
        <w:t>further information in due course (arts. 2, 11 and 16).</w:t>
      </w:r>
    </w:p>
    <w:p w14:paraId="33D64B75" w14:textId="6648B0A4" w:rsidR="009B4592" w:rsidRPr="00B36A89" w:rsidRDefault="009B4592" w:rsidP="003757E2">
      <w:pPr>
        <w:pStyle w:val="SingleTxtG"/>
        <w:rPr>
          <w:b/>
          <w:lang w:eastAsia="ko-KR"/>
        </w:rPr>
      </w:pPr>
      <w:r w:rsidRPr="006472FF">
        <w:rPr>
          <w:bCs/>
          <w:lang w:eastAsia="ko-KR"/>
        </w:rPr>
        <w:t>23.</w:t>
      </w:r>
      <w:r w:rsidRPr="006472FF">
        <w:rPr>
          <w:bCs/>
          <w:lang w:eastAsia="ko-KR"/>
        </w:rPr>
        <w:tab/>
      </w:r>
      <w:r w:rsidRPr="00B36A89">
        <w:rPr>
          <w:b/>
          <w:lang w:eastAsia="ko-KR"/>
        </w:rPr>
        <w:t>The State party should:</w:t>
      </w:r>
    </w:p>
    <w:p w14:paraId="3F199E4F" w14:textId="0DAD60F1" w:rsidR="009B4592" w:rsidRPr="00292C86" w:rsidRDefault="009B4592" w:rsidP="003757E2">
      <w:pPr>
        <w:pStyle w:val="SingleTxtG"/>
        <w:rPr>
          <w:b/>
          <w:lang w:eastAsia="ko-KR"/>
        </w:rPr>
      </w:pPr>
      <w:r w:rsidRPr="00B63C0C">
        <w:rPr>
          <w:b/>
          <w:lang w:eastAsia="ko-KR"/>
        </w:rPr>
        <w:tab/>
      </w:r>
      <w:r w:rsidRPr="00903238">
        <w:rPr>
          <w:bCs/>
          <w:lang w:eastAsia="ko-KR"/>
        </w:rPr>
        <w:t>(a)</w:t>
      </w:r>
      <w:r w:rsidRPr="00B63C0C">
        <w:rPr>
          <w:b/>
          <w:lang w:eastAsia="ko-KR"/>
        </w:rPr>
        <w:tab/>
        <w:t xml:space="preserve">Amend promptly the Prisoners and Detainees Reforms Law and guarantee </w:t>
      </w:r>
      <w:r w:rsidRPr="00292C86">
        <w:rPr>
          <w:b/>
          <w:lang w:eastAsia="ko-KR"/>
        </w:rPr>
        <w:t>unhindered access during unannounced visits of the Iraqi High Commission for Human Rights;</w:t>
      </w:r>
    </w:p>
    <w:p w14:paraId="54DB13E1" w14:textId="19AD55C0" w:rsidR="009B4592" w:rsidRPr="00E75A98" w:rsidRDefault="009B4592" w:rsidP="003757E2">
      <w:pPr>
        <w:pStyle w:val="SingleTxtG"/>
        <w:rPr>
          <w:b/>
          <w:lang w:eastAsia="ko-KR"/>
        </w:rPr>
      </w:pPr>
      <w:r w:rsidRPr="00292C86">
        <w:rPr>
          <w:b/>
          <w:lang w:eastAsia="ko-KR"/>
        </w:rPr>
        <w:tab/>
      </w:r>
      <w:r w:rsidRPr="00903238">
        <w:rPr>
          <w:bCs/>
          <w:lang w:eastAsia="ko-KR"/>
        </w:rPr>
        <w:t>(b)</w:t>
      </w:r>
      <w:r w:rsidRPr="00292C86">
        <w:rPr>
          <w:b/>
          <w:lang w:eastAsia="ko-KR"/>
        </w:rPr>
        <w:tab/>
        <w:t xml:space="preserve">Continue to ensure that international and national monitors are able to </w:t>
      </w:r>
      <w:r w:rsidRPr="00292C86">
        <w:rPr>
          <w:b/>
        </w:rPr>
        <w:t xml:space="preserve">undertake visits to </w:t>
      </w:r>
      <w:r w:rsidRPr="002F64F7">
        <w:rPr>
          <w:b/>
          <w:bCs/>
          <w:lang w:eastAsia="ko-KR"/>
        </w:rPr>
        <w:t>al</w:t>
      </w:r>
      <w:r w:rsidRPr="00E75A98">
        <w:rPr>
          <w:b/>
          <w:lang w:eastAsia="ko-KR"/>
        </w:rPr>
        <w:t>l places of deprivation of liberty in the State party;</w:t>
      </w:r>
    </w:p>
    <w:p w14:paraId="7396725B" w14:textId="77777777" w:rsidR="009B4592" w:rsidRPr="00E75A98" w:rsidRDefault="009B4592" w:rsidP="003757E2">
      <w:pPr>
        <w:pStyle w:val="SingleTxtG"/>
        <w:rPr>
          <w:b/>
          <w:lang w:eastAsia="ko-KR"/>
        </w:rPr>
      </w:pPr>
      <w:r>
        <w:rPr>
          <w:b/>
          <w:lang w:eastAsia="ko-KR"/>
        </w:rPr>
        <w:tab/>
      </w:r>
      <w:r w:rsidRPr="00903238">
        <w:rPr>
          <w:bCs/>
          <w:lang w:eastAsia="ko-KR"/>
        </w:rPr>
        <w:t>(c)</w:t>
      </w:r>
      <w:r w:rsidRPr="00E75A98">
        <w:rPr>
          <w:b/>
          <w:lang w:eastAsia="ko-KR"/>
        </w:rPr>
        <w:tab/>
        <w:t xml:space="preserve">Consider ratifying the Optional Protocol to the Convention against Torture and </w:t>
      </w:r>
      <w:r>
        <w:rPr>
          <w:b/>
          <w:lang w:eastAsia="ko-KR"/>
        </w:rPr>
        <w:t>O</w:t>
      </w:r>
      <w:r w:rsidRPr="00E75A98">
        <w:rPr>
          <w:b/>
          <w:lang w:eastAsia="ko-KR"/>
        </w:rPr>
        <w:t>ther Cruel, Inhuman or Degrading Treatment or Punishment.</w:t>
      </w:r>
    </w:p>
    <w:p w14:paraId="6DAE022B" w14:textId="77777777" w:rsidR="009B4592" w:rsidRPr="00B828B1" w:rsidRDefault="009B4592" w:rsidP="00E538F4">
      <w:pPr>
        <w:pStyle w:val="H23G"/>
      </w:pPr>
      <w:r>
        <w:tab/>
      </w:r>
      <w:r>
        <w:tab/>
      </w:r>
      <w:r w:rsidRPr="00E75A98">
        <w:t xml:space="preserve">Conditions of </w:t>
      </w:r>
      <w:r w:rsidRPr="00B828B1">
        <w:t>detention</w:t>
      </w:r>
    </w:p>
    <w:p w14:paraId="4796283A" w14:textId="77777777" w:rsidR="009B4592" w:rsidRPr="00E75A98" w:rsidRDefault="009B4592" w:rsidP="003757E2">
      <w:pPr>
        <w:pStyle w:val="SingleTxtG"/>
        <w:rPr>
          <w:rFonts w:eastAsiaTheme="minorEastAsia"/>
        </w:rPr>
      </w:pPr>
      <w:r w:rsidRPr="00B828B1">
        <w:rPr>
          <w:lang w:eastAsia="ko-KR"/>
        </w:rPr>
        <w:t>24.</w:t>
      </w:r>
      <w:r w:rsidRPr="00B828B1">
        <w:rPr>
          <w:lang w:eastAsia="ko-KR"/>
        </w:rPr>
        <w:tab/>
        <w:t xml:space="preserve">Notwithstanding the explanations offered by the State party’s delegation regarding the ongoing reform of the Iraqi prison system, including in the Kurdistan region, and in relation to the measures taken during the COVID-19 pandemic, the Committee remains </w:t>
      </w:r>
      <w:r w:rsidRPr="00B828B1">
        <w:rPr>
          <w:rFonts w:eastAsia="Malgun Gothic"/>
          <w:lang w:eastAsia="ko-KR"/>
        </w:rPr>
        <w:t xml:space="preserve">concerned </w:t>
      </w:r>
      <w:r w:rsidRPr="00B828B1">
        <w:rPr>
          <w:rFonts w:eastAsia="Malgun Gothic"/>
          <w:lang w:eastAsia="ko-KR"/>
        </w:rPr>
        <w:lastRenderedPageBreak/>
        <w:t>about</w:t>
      </w:r>
      <w:r w:rsidRPr="00B828B1">
        <w:rPr>
          <w:lang w:eastAsia="ko-KR"/>
        </w:rPr>
        <w:t xml:space="preserve"> reports indicating overcrowding and poor material conditions of detention in places of deprivation of liberty, in particular water supply and sanitation problems, </w:t>
      </w:r>
      <w:r>
        <w:rPr>
          <w:lang w:eastAsia="ko-KR"/>
        </w:rPr>
        <w:t xml:space="preserve">the </w:t>
      </w:r>
      <w:r w:rsidRPr="00B828B1">
        <w:rPr>
          <w:lang w:eastAsia="ko-KR"/>
        </w:rPr>
        <w:t>poor quality of the food</w:t>
      </w:r>
      <w:r w:rsidRPr="00E75A98">
        <w:rPr>
          <w:lang w:eastAsia="ko-KR"/>
        </w:rPr>
        <w:t xml:space="preserve"> provided, shortages in medical and health-care services, </w:t>
      </w:r>
      <w:r>
        <w:rPr>
          <w:lang w:eastAsia="ko-KR"/>
        </w:rPr>
        <w:t xml:space="preserve">the </w:t>
      </w:r>
      <w:r w:rsidRPr="00E75A98">
        <w:rPr>
          <w:lang w:eastAsia="ko-KR"/>
        </w:rPr>
        <w:t xml:space="preserve">lack of psychosocial support for those who need specialized services, especially persons with disabilities, and limited recreational or educational activities to foster rehabilitation. Of particular concern are the material conditions </w:t>
      </w:r>
      <w:r>
        <w:rPr>
          <w:lang w:eastAsia="ko-KR"/>
        </w:rPr>
        <w:t xml:space="preserve">of detention for, </w:t>
      </w:r>
      <w:r w:rsidRPr="00E75A98">
        <w:rPr>
          <w:lang w:eastAsia="ko-KR"/>
        </w:rPr>
        <w:t xml:space="preserve">and </w:t>
      </w:r>
      <w:r>
        <w:rPr>
          <w:lang w:eastAsia="ko-KR"/>
        </w:rPr>
        <w:t xml:space="preserve">the </w:t>
      </w:r>
      <w:r w:rsidRPr="00E75A98">
        <w:rPr>
          <w:lang w:eastAsia="ko-KR"/>
        </w:rPr>
        <w:t>treatment of</w:t>
      </w:r>
      <w:r>
        <w:rPr>
          <w:lang w:eastAsia="ko-KR"/>
        </w:rPr>
        <w:t>,</w:t>
      </w:r>
      <w:r w:rsidRPr="00E75A98">
        <w:rPr>
          <w:lang w:eastAsia="ko-KR"/>
        </w:rPr>
        <w:t xml:space="preserve"> women and girls held in detention facilities under the authority of the security forces, including allegations of sexual harassment and various forms of exploitation and abuse. The Committee regrets the lack of comprehensive official data </w:t>
      </w:r>
      <w:r w:rsidRPr="00E75A98">
        <w:t xml:space="preserve">on the number of </w:t>
      </w:r>
      <w:r w:rsidRPr="00E75A98">
        <w:rPr>
          <w:rFonts w:eastAsia="Malgun Gothic"/>
          <w:lang w:eastAsia="ko-KR"/>
        </w:rPr>
        <w:t>pretrial</w:t>
      </w:r>
      <w:r w:rsidRPr="00E75A98">
        <w:t xml:space="preserve"> detainees</w:t>
      </w:r>
      <w:r>
        <w:t xml:space="preserve"> and</w:t>
      </w:r>
      <w:r w:rsidRPr="00E75A98">
        <w:t xml:space="preserve"> convicted prisoners </w:t>
      </w:r>
      <w:r>
        <w:t xml:space="preserve">and the </w:t>
      </w:r>
      <w:r w:rsidRPr="00E75A98">
        <w:t>location and occupancy rate of all places of deprivation of liberty, d</w:t>
      </w:r>
      <w:r>
        <w:t>isaggregated</w:t>
      </w:r>
      <w:r w:rsidRPr="00E75A98">
        <w:t xml:space="preserve"> by the facilities under the auspices of all </w:t>
      </w:r>
      <w:r w:rsidRPr="00E75A98">
        <w:rPr>
          <w:lang w:eastAsia="ko-KR"/>
        </w:rPr>
        <w:t xml:space="preserve">relevant ministries or other authorities </w:t>
      </w:r>
      <w:r w:rsidRPr="00E75A98">
        <w:rPr>
          <w:rFonts w:eastAsiaTheme="minorEastAsia"/>
        </w:rPr>
        <w:t>(arts. 11 and 16).</w:t>
      </w:r>
    </w:p>
    <w:p w14:paraId="6692159B" w14:textId="4BF64DAA" w:rsidR="009B4592" w:rsidRPr="00E75A98" w:rsidRDefault="009B4592" w:rsidP="003757E2">
      <w:pPr>
        <w:pStyle w:val="SingleTxtG"/>
        <w:rPr>
          <w:b/>
          <w:lang w:eastAsia="ko-KR"/>
        </w:rPr>
      </w:pPr>
      <w:r w:rsidRPr="00891136">
        <w:rPr>
          <w:bCs/>
          <w:lang w:eastAsia="ko-KR"/>
        </w:rPr>
        <w:t>25</w:t>
      </w:r>
      <w:r w:rsidRPr="00E538F4">
        <w:rPr>
          <w:bCs/>
          <w:lang w:eastAsia="ko-KR"/>
        </w:rPr>
        <w:t>.</w:t>
      </w:r>
      <w:r w:rsidRPr="00E75A98">
        <w:rPr>
          <w:b/>
          <w:lang w:eastAsia="ko-KR"/>
        </w:rPr>
        <w:tab/>
        <w:t xml:space="preserve">The Committee calls </w:t>
      </w:r>
      <w:r>
        <w:rPr>
          <w:b/>
          <w:lang w:eastAsia="ko-KR"/>
        </w:rPr>
        <w:t>up</w:t>
      </w:r>
      <w:r w:rsidRPr="00E75A98">
        <w:rPr>
          <w:b/>
          <w:lang w:eastAsia="ko-KR"/>
        </w:rPr>
        <w:t>on the State party to intensify its efforts to bring conditions of detention into line with the United Nations Standard Minimum Rules for the Treatment of Prisoners (</w:t>
      </w:r>
      <w:r>
        <w:rPr>
          <w:b/>
          <w:lang w:eastAsia="ko-KR"/>
        </w:rPr>
        <w:t xml:space="preserve">the </w:t>
      </w:r>
      <w:r w:rsidRPr="00E75A98">
        <w:rPr>
          <w:b/>
          <w:lang w:eastAsia="ko-KR"/>
        </w:rPr>
        <w:t>Nelson Mandela Rules), and in particular to:</w:t>
      </w:r>
    </w:p>
    <w:p w14:paraId="0D53C1AA" w14:textId="430E5EF4" w:rsidR="009B4592" w:rsidRPr="00E75A98" w:rsidRDefault="009B4592" w:rsidP="003757E2">
      <w:pPr>
        <w:pStyle w:val="SingleTxtG"/>
        <w:rPr>
          <w:b/>
          <w:lang w:eastAsia="ko-KR"/>
        </w:rPr>
      </w:pPr>
      <w:r w:rsidRPr="00443967">
        <w:rPr>
          <w:bCs/>
          <w:lang w:eastAsia="ko-KR"/>
        </w:rPr>
        <w:tab/>
        <w:t>(a)</w:t>
      </w:r>
      <w:r w:rsidRPr="00443967">
        <w:rPr>
          <w:bCs/>
          <w:lang w:eastAsia="ko-KR"/>
        </w:rPr>
        <w:tab/>
      </w:r>
      <w:r w:rsidRPr="00E75A98">
        <w:rPr>
          <w:b/>
          <w:lang w:eastAsia="ko-KR"/>
        </w:rPr>
        <w:t>Reduce overcrowding in prisons by making more use of alternatives to detention and continu</w:t>
      </w:r>
      <w:r>
        <w:rPr>
          <w:b/>
          <w:lang w:eastAsia="ko-KR"/>
        </w:rPr>
        <w:t>ing</w:t>
      </w:r>
      <w:r w:rsidRPr="00E75A98">
        <w:rPr>
          <w:b/>
          <w:lang w:eastAsia="ko-KR"/>
        </w:rPr>
        <w:t xml:space="preserve"> to implement plans to develop the prison infrastructure and improve detention conditions;</w:t>
      </w:r>
    </w:p>
    <w:p w14:paraId="61394EE1" w14:textId="195D9B92" w:rsidR="009B4592" w:rsidRPr="00E75A98" w:rsidRDefault="009B4592" w:rsidP="003757E2">
      <w:pPr>
        <w:pStyle w:val="SingleTxtG"/>
        <w:rPr>
          <w:b/>
          <w:lang w:eastAsia="ko-KR"/>
        </w:rPr>
      </w:pPr>
      <w:r>
        <w:rPr>
          <w:b/>
          <w:lang w:eastAsia="ko-KR"/>
        </w:rPr>
        <w:tab/>
      </w:r>
      <w:r w:rsidRPr="00443967">
        <w:rPr>
          <w:bCs/>
          <w:lang w:eastAsia="ko-KR"/>
        </w:rPr>
        <w:t>(b)</w:t>
      </w:r>
      <w:r w:rsidRPr="00443967">
        <w:rPr>
          <w:bCs/>
          <w:lang w:eastAsia="ko-KR"/>
        </w:rPr>
        <w:tab/>
      </w:r>
      <w:r w:rsidRPr="00E75A98">
        <w:rPr>
          <w:b/>
          <w:lang w:eastAsia="ko-KR"/>
        </w:rPr>
        <w:t>Carry out a routine medical examination at the start of detention</w:t>
      </w:r>
      <w:r>
        <w:rPr>
          <w:b/>
          <w:lang w:eastAsia="ko-KR"/>
        </w:rPr>
        <w:t xml:space="preserve">, </w:t>
      </w:r>
      <w:r w:rsidRPr="00840B9E">
        <w:rPr>
          <w:b/>
          <w:lang w:eastAsia="ko-KR"/>
        </w:rPr>
        <w:t xml:space="preserve">paying particular attention to persons in </w:t>
      </w:r>
      <w:r w:rsidRPr="003C4822">
        <w:rPr>
          <w:rFonts w:eastAsia="Malgun Gothic"/>
          <w:b/>
          <w:bCs/>
          <w:lang w:eastAsia="ko-KR"/>
        </w:rPr>
        <w:t>pretrial</w:t>
      </w:r>
      <w:r w:rsidRPr="00840B9E">
        <w:rPr>
          <w:b/>
          <w:lang w:eastAsia="ko-KR"/>
        </w:rPr>
        <w:t xml:space="preserve"> detention,</w:t>
      </w:r>
      <w:r w:rsidRPr="00E75A98">
        <w:rPr>
          <w:b/>
          <w:lang w:eastAsia="ko-KR"/>
        </w:rPr>
        <w:t xml:space="preserve"> compile an individual, comprehensive and confidential medical file for each detainee</w:t>
      </w:r>
      <w:r>
        <w:rPr>
          <w:b/>
          <w:lang w:eastAsia="ko-KR"/>
        </w:rPr>
        <w:t xml:space="preserve"> and t</w:t>
      </w:r>
      <w:r w:rsidRPr="00E75A98">
        <w:rPr>
          <w:b/>
          <w:lang w:eastAsia="ko-KR"/>
        </w:rPr>
        <w:t>ake every measure necessary to combat infectious diseases in places of deprivation of liberty and provide a sufficient number of qualified, trained staff, including professional guards and medical personnel to ensure the provision of appropriate care;</w:t>
      </w:r>
    </w:p>
    <w:p w14:paraId="6E93E973" w14:textId="3725FD37" w:rsidR="009B4592" w:rsidRPr="00E75A98" w:rsidRDefault="009B4592" w:rsidP="003757E2">
      <w:pPr>
        <w:pStyle w:val="SingleTxtG"/>
        <w:rPr>
          <w:b/>
          <w:lang w:eastAsia="ko-KR"/>
        </w:rPr>
      </w:pPr>
      <w:r>
        <w:rPr>
          <w:b/>
          <w:lang w:eastAsia="ko-KR"/>
        </w:rPr>
        <w:tab/>
      </w:r>
      <w:r w:rsidRPr="00443967">
        <w:rPr>
          <w:bCs/>
          <w:lang w:eastAsia="ko-KR"/>
        </w:rPr>
        <w:t>(c)</w:t>
      </w:r>
      <w:r w:rsidRPr="00443967">
        <w:rPr>
          <w:bCs/>
          <w:lang w:eastAsia="ko-KR"/>
        </w:rPr>
        <w:tab/>
      </w:r>
      <w:r w:rsidRPr="00E75A98">
        <w:rPr>
          <w:b/>
          <w:lang w:eastAsia="ko-KR"/>
        </w:rPr>
        <w:t xml:space="preserve">Ensure that female prisoners have access to adequate health facilities and hygienic services and are detained in gender-sensitive conditions </w:t>
      </w:r>
      <w:r>
        <w:rPr>
          <w:b/>
          <w:lang w:eastAsia="ko-KR"/>
        </w:rPr>
        <w:t xml:space="preserve">and </w:t>
      </w:r>
      <w:r w:rsidRPr="00E75A98">
        <w:rPr>
          <w:b/>
          <w:lang w:eastAsia="ko-KR"/>
        </w:rPr>
        <w:t>that prisons are adapted to the needs of detainees with disabilities</w:t>
      </w:r>
      <w:r>
        <w:rPr>
          <w:b/>
          <w:lang w:eastAsia="ko-KR"/>
        </w:rPr>
        <w:t>, and p</w:t>
      </w:r>
      <w:r w:rsidRPr="00E75A98">
        <w:rPr>
          <w:b/>
          <w:lang w:eastAsia="ko-KR"/>
        </w:rPr>
        <w:t>revent, monitor and document incidents of sexual harassment and other violence in detention;</w:t>
      </w:r>
    </w:p>
    <w:p w14:paraId="3B6FC734" w14:textId="47700444" w:rsidR="009B4592" w:rsidRPr="00E75A98" w:rsidRDefault="009B4592" w:rsidP="003757E2">
      <w:pPr>
        <w:pStyle w:val="SingleTxtG"/>
        <w:rPr>
          <w:b/>
          <w:lang w:eastAsia="ko-KR"/>
        </w:rPr>
      </w:pPr>
      <w:r>
        <w:rPr>
          <w:b/>
          <w:lang w:eastAsia="ko-KR"/>
        </w:rPr>
        <w:tab/>
      </w:r>
      <w:r w:rsidRPr="00443967">
        <w:rPr>
          <w:bCs/>
          <w:lang w:eastAsia="ko-KR"/>
        </w:rPr>
        <w:t>(d)</w:t>
      </w:r>
      <w:r w:rsidRPr="00443967">
        <w:rPr>
          <w:bCs/>
          <w:lang w:eastAsia="ko-KR"/>
        </w:rPr>
        <w:tab/>
      </w:r>
      <w:r w:rsidRPr="00E75A98">
        <w:rPr>
          <w:b/>
          <w:lang w:eastAsia="ko-KR"/>
        </w:rPr>
        <w:t>Facilitate access to recreational and cultural activities in places of detention and prison facilities, as well as vocational training and education, with a view to supporting detainees’ rehabilitation in the community;</w:t>
      </w:r>
    </w:p>
    <w:p w14:paraId="4A39FB6B" w14:textId="2F608403" w:rsidR="009B4592" w:rsidRPr="00E75A98" w:rsidRDefault="009B4592" w:rsidP="003757E2">
      <w:pPr>
        <w:pStyle w:val="SingleTxtG"/>
        <w:rPr>
          <w:b/>
          <w:lang w:eastAsia="ko-KR"/>
        </w:rPr>
      </w:pPr>
      <w:r>
        <w:rPr>
          <w:b/>
          <w:lang w:eastAsia="ko-KR"/>
        </w:rPr>
        <w:tab/>
      </w:r>
      <w:r w:rsidRPr="00443967">
        <w:rPr>
          <w:bCs/>
          <w:lang w:eastAsia="ko-KR"/>
        </w:rPr>
        <w:t>(e)</w:t>
      </w:r>
      <w:r w:rsidRPr="00443967">
        <w:rPr>
          <w:bCs/>
          <w:lang w:eastAsia="ko-KR"/>
        </w:rPr>
        <w:tab/>
      </w:r>
      <w:r w:rsidRPr="00E75A98">
        <w:rPr>
          <w:b/>
          <w:lang w:eastAsia="ko-KR"/>
        </w:rPr>
        <w:t>Provide the requested data on</w:t>
      </w:r>
      <w:r>
        <w:rPr>
          <w:b/>
          <w:lang w:eastAsia="ko-KR"/>
        </w:rPr>
        <w:t xml:space="preserve"> the</w:t>
      </w:r>
      <w:r w:rsidRPr="00E75A98">
        <w:rPr>
          <w:b/>
          <w:lang w:eastAsia="ko-KR"/>
        </w:rPr>
        <w:t xml:space="preserve"> number of </w:t>
      </w:r>
      <w:r w:rsidRPr="00A64211">
        <w:rPr>
          <w:rFonts w:eastAsia="Malgun Gothic"/>
          <w:b/>
          <w:bCs/>
          <w:lang w:eastAsia="ko-KR"/>
        </w:rPr>
        <w:t>pretrial</w:t>
      </w:r>
      <w:r w:rsidRPr="00E75A98">
        <w:rPr>
          <w:b/>
          <w:lang w:eastAsia="ko-KR"/>
        </w:rPr>
        <w:t xml:space="preserve"> detainees and convicts in all facilities in its next periodic report.</w:t>
      </w:r>
    </w:p>
    <w:p w14:paraId="2D6F166F" w14:textId="77777777" w:rsidR="009B4592" w:rsidRPr="00E75A98" w:rsidRDefault="009B4592" w:rsidP="00E538F4">
      <w:pPr>
        <w:pStyle w:val="H23G"/>
      </w:pPr>
      <w:r>
        <w:tab/>
      </w:r>
      <w:r>
        <w:tab/>
      </w:r>
      <w:r w:rsidRPr="00E75A98">
        <w:t>Juvenile justice</w:t>
      </w:r>
    </w:p>
    <w:p w14:paraId="19BC5CA5" w14:textId="77777777" w:rsidR="009B4592" w:rsidRPr="00E75A98" w:rsidRDefault="009B4592" w:rsidP="003757E2">
      <w:pPr>
        <w:pStyle w:val="SingleTxtG"/>
        <w:rPr>
          <w:lang w:eastAsia="ko-KR"/>
        </w:rPr>
      </w:pPr>
      <w:r w:rsidRPr="00E75A98">
        <w:rPr>
          <w:lang w:eastAsia="ko-KR"/>
        </w:rPr>
        <w:t>26.</w:t>
      </w:r>
      <w:r w:rsidRPr="00E75A98">
        <w:rPr>
          <w:lang w:eastAsia="ko-KR"/>
        </w:rPr>
        <w:tab/>
        <w:t xml:space="preserve">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the low minimum age of criminal responsibility </w:t>
      </w:r>
      <w:r>
        <w:rPr>
          <w:lang w:eastAsia="ko-KR"/>
        </w:rPr>
        <w:t>(9</w:t>
      </w:r>
      <w:r w:rsidRPr="00E75A98">
        <w:rPr>
          <w:lang w:eastAsia="ko-KR"/>
        </w:rPr>
        <w:t xml:space="preserve"> years of age</w:t>
      </w:r>
      <w:r>
        <w:rPr>
          <w:lang w:eastAsia="ko-KR"/>
        </w:rPr>
        <w:t>),</w:t>
      </w:r>
      <w:r w:rsidRPr="00E75A98">
        <w:rPr>
          <w:lang w:eastAsia="ko-KR"/>
        </w:rPr>
        <w:t xml:space="preserve"> currently subject to amendment to 11 years, as is the case</w:t>
      </w:r>
      <w:r w:rsidRPr="00E75A98">
        <w:t xml:space="preserve"> in </w:t>
      </w:r>
      <w:r>
        <w:t xml:space="preserve">the </w:t>
      </w:r>
      <w:r w:rsidRPr="00E75A98">
        <w:t>Kurdistan region</w:t>
      </w:r>
      <w:r w:rsidRPr="00E75A98">
        <w:rPr>
          <w:lang w:eastAsia="ko-KR"/>
        </w:rPr>
        <w:t>.</w:t>
      </w:r>
      <w:r w:rsidRPr="00E75A98">
        <w:rPr>
          <w:color w:val="000000"/>
          <w:sz w:val="18"/>
          <w:szCs w:val="24"/>
          <w:vertAlign w:val="superscript"/>
        </w:rPr>
        <w:footnoteReference w:id="23"/>
      </w:r>
      <w:r w:rsidRPr="00E75A98">
        <w:rPr>
          <w:lang w:eastAsia="ko-KR"/>
        </w:rPr>
        <w:t xml:space="preserve"> It is also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the information </w:t>
      </w:r>
      <w:r>
        <w:rPr>
          <w:lang w:eastAsia="ko-KR"/>
        </w:rPr>
        <w:t xml:space="preserve">received </w:t>
      </w:r>
      <w:r w:rsidRPr="00E75A98">
        <w:rPr>
          <w:lang w:eastAsia="ko-KR"/>
        </w:rPr>
        <w:t>o</w:t>
      </w:r>
      <w:r>
        <w:rPr>
          <w:lang w:eastAsia="ko-KR"/>
        </w:rPr>
        <w:t>n</w:t>
      </w:r>
      <w:r w:rsidRPr="00E75A98">
        <w:rPr>
          <w:lang w:eastAsia="ko-KR"/>
        </w:rPr>
        <w:t xml:space="preserve"> overcrowding and inappropriate material conditions </w:t>
      </w:r>
      <w:r>
        <w:rPr>
          <w:lang w:eastAsia="ko-KR"/>
        </w:rPr>
        <w:t xml:space="preserve">of detention </w:t>
      </w:r>
      <w:r w:rsidRPr="00E75A98">
        <w:rPr>
          <w:lang w:eastAsia="ko-KR"/>
        </w:rPr>
        <w:t>in the centres accommodating juvenile</w:t>
      </w:r>
      <w:r>
        <w:rPr>
          <w:lang w:eastAsia="ko-KR"/>
        </w:rPr>
        <w:t xml:space="preserve"> detainee</w:t>
      </w:r>
      <w:r w:rsidRPr="00E75A98">
        <w:rPr>
          <w:lang w:eastAsia="ko-KR"/>
        </w:rPr>
        <w:t>s and the lack of access to appropriate educational and rehabilitative programmes (arts. 2, 11 and 16).</w:t>
      </w:r>
    </w:p>
    <w:p w14:paraId="6A3AE1E2" w14:textId="59067F3A" w:rsidR="009B4592" w:rsidRPr="00E75A98" w:rsidRDefault="009B4592" w:rsidP="003757E2">
      <w:pPr>
        <w:pStyle w:val="SingleTxtG"/>
        <w:rPr>
          <w:b/>
          <w:lang w:eastAsia="ko-KR"/>
        </w:rPr>
      </w:pPr>
      <w:r w:rsidRPr="00891136">
        <w:rPr>
          <w:bCs/>
          <w:lang w:eastAsia="ko-KR"/>
        </w:rPr>
        <w:t>27</w:t>
      </w:r>
      <w:r w:rsidRPr="00E538F4">
        <w:rPr>
          <w:bCs/>
          <w:lang w:eastAsia="ko-KR"/>
        </w:rPr>
        <w:t>.</w:t>
      </w:r>
      <w:r w:rsidRPr="00E75A98">
        <w:rPr>
          <w:b/>
          <w:lang w:eastAsia="ko-KR"/>
        </w:rPr>
        <w:tab/>
        <w:t>The State party should raise the minimum age of criminal responsibility to an internationally acceptable standard and ensure the full implementation of juvenile justice standards and of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p>
    <w:p w14:paraId="6FF880ED" w14:textId="77777777" w:rsidR="009B4592" w:rsidRPr="00E75A98" w:rsidRDefault="009B4592" w:rsidP="00E538F4">
      <w:pPr>
        <w:pStyle w:val="H23G"/>
      </w:pPr>
      <w:r>
        <w:tab/>
      </w:r>
      <w:r>
        <w:tab/>
      </w:r>
      <w:r w:rsidRPr="00E75A98">
        <w:t>Deaths in custody</w:t>
      </w:r>
    </w:p>
    <w:p w14:paraId="2B76FE88" w14:textId="77777777" w:rsidR="009B4592" w:rsidRPr="00E75A98" w:rsidRDefault="009B4592" w:rsidP="003757E2">
      <w:pPr>
        <w:pStyle w:val="SingleTxtG"/>
        <w:rPr>
          <w:lang w:eastAsia="ko-KR"/>
        </w:rPr>
      </w:pPr>
      <w:r w:rsidRPr="00E75A98">
        <w:t>28.</w:t>
      </w:r>
      <w:r w:rsidRPr="00E75A98">
        <w:tab/>
        <w:t>According to the information provided by the State party’s delegation</w:t>
      </w:r>
      <w:r w:rsidRPr="00E75A98">
        <w:rPr>
          <w:rFonts w:eastAsiaTheme="minorEastAsia"/>
        </w:rPr>
        <w:t>, without specifying the facilities</w:t>
      </w:r>
      <w:r w:rsidRPr="00E75A98">
        <w:t>, in 2021 alone, 4</w:t>
      </w:r>
      <w:r w:rsidRPr="00E75A98">
        <w:rPr>
          <w:rFonts w:eastAsiaTheme="minorEastAsia"/>
        </w:rPr>
        <w:t xml:space="preserve">61 deaths in custody </w:t>
      </w:r>
      <w:r>
        <w:rPr>
          <w:rFonts w:eastAsiaTheme="minorEastAsia"/>
        </w:rPr>
        <w:t>were</w:t>
      </w:r>
      <w:r w:rsidRPr="00E75A98">
        <w:rPr>
          <w:rFonts w:eastAsiaTheme="minorEastAsia"/>
        </w:rPr>
        <w:t xml:space="preserve"> registered</w:t>
      </w:r>
      <w:r w:rsidRPr="00E75A98">
        <w:rPr>
          <w:lang w:eastAsia="ko-KR"/>
        </w:rPr>
        <w:t xml:space="preserve">. The Committee regrets that the State party did not submit complete statistical information for the entire period under review, disaggregated by place of detention, including the facilities under the authority </w:t>
      </w:r>
      <w:r w:rsidRPr="00E75A98">
        <w:rPr>
          <w:lang w:eastAsia="ko-KR"/>
        </w:rPr>
        <w:lastRenderedPageBreak/>
        <w:t>of the</w:t>
      </w:r>
      <w:r w:rsidRPr="00E75A98">
        <w:t xml:space="preserve"> Ministr</w:t>
      </w:r>
      <w:r>
        <w:t>y</w:t>
      </w:r>
      <w:r w:rsidRPr="00E75A98">
        <w:t xml:space="preserve"> of </w:t>
      </w:r>
      <w:r>
        <w:t xml:space="preserve">the </w:t>
      </w:r>
      <w:r w:rsidRPr="00E75A98">
        <w:t>Interior</w:t>
      </w:r>
      <w:r>
        <w:t>,</w:t>
      </w:r>
      <w:r w:rsidRPr="00E75A98">
        <w:t xml:space="preserve"> </w:t>
      </w:r>
      <w:r>
        <w:t xml:space="preserve">the Ministry of </w:t>
      </w:r>
      <w:r w:rsidRPr="00E75A98">
        <w:t xml:space="preserve">Defence and </w:t>
      </w:r>
      <w:r>
        <w:t xml:space="preserve">the </w:t>
      </w:r>
      <w:r w:rsidRPr="00E75A98">
        <w:t xml:space="preserve">intelligence services, </w:t>
      </w:r>
      <w:r>
        <w:t xml:space="preserve">the </w:t>
      </w:r>
      <w:r w:rsidRPr="00E75A98">
        <w:rPr>
          <w:lang w:eastAsia="ko-KR"/>
        </w:rPr>
        <w:t xml:space="preserve">sex, age and ethnicity or nationality of the deceased and </w:t>
      </w:r>
      <w:r>
        <w:rPr>
          <w:lang w:eastAsia="ko-KR"/>
        </w:rPr>
        <w:t xml:space="preserve">the </w:t>
      </w:r>
      <w:r w:rsidRPr="00E75A98">
        <w:rPr>
          <w:lang w:eastAsia="ko-KR"/>
        </w:rPr>
        <w:t xml:space="preserve">cause of death. 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the allegations </w:t>
      </w:r>
      <w:r>
        <w:rPr>
          <w:lang w:eastAsia="ko-KR"/>
        </w:rPr>
        <w:t xml:space="preserve">that </w:t>
      </w:r>
      <w:r w:rsidRPr="00E75A98">
        <w:rPr>
          <w:lang w:eastAsia="ko-KR"/>
        </w:rPr>
        <w:t>causes of death in custody includ</w:t>
      </w:r>
      <w:r>
        <w:rPr>
          <w:lang w:eastAsia="ko-KR"/>
        </w:rPr>
        <w:t>e</w:t>
      </w:r>
      <w:r w:rsidRPr="00E75A98">
        <w:rPr>
          <w:lang w:eastAsia="ko-KR"/>
        </w:rPr>
        <w:t xml:space="preserve"> torture and the lack of health care, and regrets the lack of information on investigation</w:t>
      </w:r>
      <w:r>
        <w:rPr>
          <w:lang w:eastAsia="ko-KR"/>
        </w:rPr>
        <w:t>s</w:t>
      </w:r>
      <w:r w:rsidRPr="00E75A98">
        <w:rPr>
          <w:lang w:eastAsia="ko-KR"/>
        </w:rPr>
        <w:t xml:space="preserve"> undertaken in that regard (arts. 2, 11 and 16).</w:t>
      </w:r>
    </w:p>
    <w:p w14:paraId="0F0F79C1" w14:textId="77777777" w:rsidR="009B4592" w:rsidRPr="00E75A98" w:rsidRDefault="009B4592" w:rsidP="003757E2">
      <w:pPr>
        <w:pStyle w:val="SingleTxtG"/>
        <w:rPr>
          <w:b/>
          <w:lang w:eastAsia="ko-KR"/>
        </w:rPr>
      </w:pPr>
      <w:r w:rsidRPr="00891136">
        <w:rPr>
          <w:bCs/>
          <w:lang w:eastAsia="ko-KR"/>
        </w:rPr>
        <w:t>29</w:t>
      </w:r>
      <w:r w:rsidRPr="00E538F4">
        <w:rPr>
          <w:bCs/>
          <w:lang w:eastAsia="ko-KR"/>
        </w:rPr>
        <w:t>.</w:t>
      </w:r>
      <w:r w:rsidRPr="00E75A98">
        <w:rPr>
          <w:b/>
          <w:lang w:eastAsia="ko-KR"/>
        </w:rPr>
        <w:tab/>
        <w:t>The State party should:</w:t>
      </w:r>
    </w:p>
    <w:p w14:paraId="5FBEAC7D" w14:textId="58CDB907" w:rsidR="009B4592" w:rsidRPr="00E75A98" w:rsidRDefault="00E538F4" w:rsidP="003757E2">
      <w:pPr>
        <w:pStyle w:val="SingleTxtG"/>
        <w:rPr>
          <w:b/>
          <w:lang w:eastAsia="ko-KR"/>
        </w:rPr>
      </w:pPr>
      <w:r>
        <w:rPr>
          <w:b/>
          <w:lang w:eastAsia="ko-KR"/>
        </w:rPr>
        <w:tab/>
      </w:r>
      <w:r w:rsidR="009B4592" w:rsidRPr="00903238">
        <w:rPr>
          <w:bCs/>
          <w:lang w:eastAsia="ko-KR"/>
        </w:rPr>
        <w:t>(a)</w:t>
      </w:r>
      <w:r w:rsidR="009B4592" w:rsidRPr="00E75A98">
        <w:rPr>
          <w:b/>
          <w:lang w:eastAsia="ko-KR"/>
        </w:rPr>
        <w:tab/>
        <w:t>Ensure that all deaths in custody are promptly and impartially investigated by an independent entity, including by means of independent forensic examinations, and, where appropriate, apply the corresponding sanctions;</w:t>
      </w:r>
    </w:p>
    <w:p w14:paraId="30EC2D46" w14:textId="67402B1D" w:rsidR="009B4592" w:rsidRPr="00E75A98" w:rsidRDefault="00E538F4" w:rsidP="003757E2">
      <w:pPr>
        <w:pStyle w:val="SingleTxtG"/>
        <w:rPr>
          <w:b/>
          <w:lang w:eastAsia="ko-KR"/>
        </w:rPr>
      </w:pPr>
      <w:r>
        <w:rPr>
          <w:b/>
          <w:lang w:eastAsia="ko-KR"/>
        </w:rPr>
        <w:tab/>
      </w:r>
      <w:r w:rsidR="009B4592" w:rsidRPr="00903238">
        <w:rPr>
          <w:bCs/>
          <w:lang w:eastAsia="ko-KR"/>
        </w:rPr>
        <w:t>(b)</w:t>
      </w:r>
      <w:r w:rsidR="009B4592" w:rsidRPr="00E75A98">
        <w:rPr>
          <w:b/>
          <w:lang w:eastAsia="ko-KR"/>
        </w:rPr>
        <w:tab/>
        <w:t>Consider adopting a standard operating procedure to investigate deaths in custody;</w:t>
      </w:r>
    </w:p>
    <w:p w14:paraId="6F91A58D" w14:textId="23C2F51E" w:rsidR="009B4592" w:rsidRPr="00E75A98" w:rsidRDefault="00E538F4" w:rsidP="003757E2">
      <w:pPr>
        <w:pStyle w:val="SingleTxtG"/>
        <w:rPr>
          <w:b/>
          <w:lang w:eastAsia="ko-KR"/>
        </w:rPr>
      </w:pPr>
      <w:r>
        <w:rPr>
          <w:b/>
          <w:lang w:eastAsia="ko-KR"/>
        </w:rPr>
        <w:tab/>
      </w:r>
      <w:r w:rsidR="009B4592" w:rsidRPr="00903238">
        <w:rPr>
          <w:bCs/>
          <w:lang w:eastAsia="ko-KR"/>
        </w:rPr>
        <w:t>(c)</w:t>
      </w:r>
      <w:r w:rsidR="009B4592" w:rsidRPr="00E75A98">
        <w:rPr>
          <w:b/>
          <w:lang w:eastAsia="ko-KR"/>
        </w:rPr>
        <w:tab/>
        <w:t>Assess the effectiveness of programmes for the prevention, detection and treatment of infectious diseases in prisons;</w:t>
      </w:r>
    </w:p>
    <w:p w14:paraId="41890B3B" w14:textId="094243DD" w:rsidR="009B4592" w:rsidRPr="00E75A98" w:rsidRDefault="00E538F4" w:rsidP="003757E2">
      <w:pPr>
        <w:pStyle w:val="SingleTxtG"/>
        <w:rPr>
          <w:b/>
          <w:lang w:eastAsia="ko-KR"/>
        </w:rPr>
      </w:pPr>
      <w:r>
        <w:rPr>
          <w:b/>
          <w:lang w:eastAsia="ko-KR"/>
        </w:rPr>
        <w:tab/>
      </w:r>
      <w:r w:rsidR="009B4592" w:rsidRPr="00903238">
        <w:rPr>
          <w:bCs/>
          <w:lang w:eastAsia="ko-KR"/>
        </w:rPr>
        <w:t>(d)</w:t>
      </w:r>
      <w:r w:rsidR="009B4592" w:rsidRPr="00E75A98">
        <w:rPr>
          <w:b/>
          <w:lang w:eastAsia="ko-KR"/>
        </w:rPr>
        <w:tab/>
        <w:t>Compile and provide to the Committee detailed information on the cases of death in all places of detention, their causes and the outcome of the investigations</w:t>
      </w:r>
      <w:r w:rsidR="009B4592">
        <w:rPr>
          <w:b/>
          <w:lang w:eastAsia="ko-KR"/>
        </w:rPr>
        <w:t xml:space="preserve"> into the deaths</w:t>
      </w:r>
      <w:r w:rsidR="009B4592" w:rsidRPr="00E75A98">
        <w:rPr>
          <w:b/>
          <w:lang w:eastAsia="ko-KR"/>
        </w:rPr>
        <w:t>.</w:t>
      </w:r>
    </w:p>
    <w:p w14:paraId="4180BDC3" w14:textId="77777777" w:rsidR="009B4592" w:rsidRPr="00E75A98" w:rsidRDefault="009B4592" w:rsidP="00E538F4">
      <w:pPr>
        <w:pStyle w:val="H23G"/>
      </w:pPr>
      <w:r>
        <w:tab/>
      </w:r>
      <w:r>
        <w:tab/>
      </w:r>
      <w:r w:rsidRPr="00E75A98">
        <w:t>Death penalty</w:t>
      </w:r>
    </w:p>
    <w:p w14:paraId="02FCA7D4" w14:textId="172A9E45" w:rsidR="009B4592" w:rsidRPr="00E75A98" w:rsidRDefault="009B4592" w:rsidP="003757E2">
      <w:pPr>
        <w:pStyle w:val="SingleTxtG"/>
        <w:rPr>
          <w:lang w:eastAsia="ko-KR"/>
        </w:rPr>
      </w:pPr>
      <w:r w:rsidRPr="00E75A98">
        <w:rPr>
          <w:lang w:eastAsia="ko-KR"/>
        </w:rPr>
        <w:t>30.</w:t>
      </w:r>
      <w:r w:rsidRPr="00E75A98">
        <w:rPr>
          <w:lang w:eastAsia="ko-KR"/>
        </w:rPr>
        <w:tab/>
        <w:t xml:space="preserve">While welcoming </w:t>
      </w:r>
      <w:r>
        <w:rPr>
          <w:lang w:eastAsia="ko-KR"/>
        </w:rPr>
        <w:t xml:space="preserve">the </w:t>
      </w:r>
      <w:r w:rsidRPr="004D59C3">
        <w:rPr>
          <w:iCs/>
          <w:lang w:eastAsia="ko-KR"/>
        </w:rPr>
        <w:t>de facto</w:t>
      </w:r>
      <w:r w:rsidRPr="00E75A98">
        <w:rPr>
          <w:lang w:eastAsia="ko-KR"/>
        </w:rPr>
        <w:t xml:space="preserve"> moratorium </w:t>
      </w:r>
      <w:r>
        <w:rPr>
          <w:lang w:eastAsia="ko-KR"/>
        </w:rPr>
        <w:t xml:space="preserve">on the implementation of the death penalty, </w:t>
      </w:r>
      <w:r w:rsidRPr="00E75A98">
        <w:rPr>
          <w:lang w:eastAsia="ko-KR"/>
        </w:rPr>
        <w:t xml:space="preserve">established in </w:t>
      </w:r>
      <w:r>
        <w:rPr>
          <w:lang w:eastAsia="ko-KR"/>
        </w:rPr>
        <w:t xml:space="preserve">the </w:t>
      </w:r>
      <w:r w:rsidRPr="00E75A98">
        <w:rPr>
          <w:lang w:eastAsia="ko-KR"/>
        </w:rPr>
        <w:t>Kurdistan region since 2008, the Committee regrets that it was reportedly breached on several occasions in 2015 and 2016.</w:t>
      </w:r>
      <w:r>
        <w:rPr>
          <w:lang w:eastAsia="ko-KR"/>
        </w:rPr>
        <w:t xml:space="preserve"> </w:t>
      </w:r>
      <w:r w:rsidRPr="00E75A98">
        <w:rPr>
          <w:lang w:eastAsia="ko-KR"/>
        </w:rPr>
        <w:t xml:space="preserve">It notes that capital punishment continues to be imposed in </w:t>
      </w:r>
      <w:r>
        <w:rPr>
          <w:lang w:eastAsia="ko-KR"/>
        </w:rPr>
        <w:t xml:space="preserve">the </w:t>
      </w:r>
      <w:r w:rsidRPr="00E75A98">
        <w:rPr>
          <w:lang w:eastAsia="ko-KR"/>
        </w:rPr>
        <w:t xml:space="preserve">federal courts of Iraq, </w:t>
      </w:r>
      <w:r>
        <w:rPr>
          <w:lang w:eastAsia="ko-KR"/>
        </w:rPr>
        <w:t>including</w:t>
      </w:r>
      <w:r w:rsidRPr="00E75A98">
        <w:rPr>
          <w:lang w:eastAsia="ko-KR"/>
        </w:rPr>
        <w:t xml:space="preserve"> </w:t>
      </w:r>
      <w:r>
        <w:rPr>
          <w:lang w:eastAsia="ko-KR"/>
        </w:rPr>
        <w:t xml:space="preserve">in cases </w:t>
      </w:r>
      <w:r w:rsidRPr="00E75A98">
        <w:t>involving foreign nationals,</w:t>
      </w:r>
      <w:r w:rsidRPr="00E75A98">
        <w:rPr>
          <w:lang w:eastAsia="ko-KR"/>
        </w:rPr>
        <w:t xml:space="preserve"> and </w:t>
      </w:r>
      <w:r>
        <w:rPr>
          <w:lang w:eastAsia="ko-KR"/>
        </w:rPr>
        <w:t xml:space="preserve">that </w:t>
      </w:r>
      <w:r w:rsidRPr="00E75A98">
        <w:rPr>
          <w:lang w:eastAsia="ko-KR"/>
        </w:rPr>
        <w:t xml:space="preserve">the executions </w:t>
      </w:r>
      <w:r>
        <w:rPr>
          <w:lang w:eastAsia="ko-KR"/>
        </w:rPr>
        <w:t xml:space="preserve">were </w:t>
      </w:r>
      <w:r w:rsidRPr="00E75A98">
        <w:rPr>
          <w:lang w:eastAsia="ko-KR"/>
        </w:rPr>
        <w:t xml:space="preserve">carried out. Furthermore, it regrets the lack of comprehensive </w:t>
      </w:r>
      <w:r>
        <w:rPr>
          <w:lang w:eastAsia="ko-KR"/>
        </w:rPr>
        <w:t>data</w:t>
      </w:r>
      <w:r w:rsidRPr="00E75A98">
        <w:rPr>
          <w:lang w:eastAsia="ko-KR"/>
        </w:rPr>
        <w:t xml:space="preserve"> and information on legal safeguards in th</w:t>
      </w:r>
      <w:r>
        <w:rPr>
          <w:lang w:eastAsia="ko-KR"/>
        </w:rPr>
        <w:t>at</w:t>
      </w:r>
      <w:r w:rsidRPr="00E75A98">
        <w:rPr>
          <w:lang w:eastAsia="ko-KR"/>
        </w:rPr>
        <w:t xml:space="preserve"> regard. 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the reports suggesting that such sentences are prevalently handed down under the counter-terrorism legislation and </w:t>
      </w:r>
      <w:r>
        <w:rPr>
          <w:lang w:eastAsia="ko-KR"/>
        </w:rPr>
        <w:t xml:space="preserve">are </w:t>
      </w:r>
      <w:r w:rsidRPr="00E75A98">
        <w:rPr>
          <w:lang w:eastAsia="ko-KR"/>
        </w:rPr>
        <w:t xml:space="preserve">often accompanied by </w:t>
      </w:r>
      <w:r>
        <w:rPr>
          <w:lang w:eastAsia="ko-KR"/>
        </w:rPr>
        <w:t>a</w:t>
      </w:r>
      <w:r w:rsidRPr="00E75A98">
        <w:rPr>
          <w:lang w:eastAsia="ko-KR"/>
        </w:rPr>
        <w:t xml:space="preserve"> lack of due process</w:t>
      </w:r>
      <w:r w:rsidRPr="00E75A98">
        <w:t xml:space="preserve"> and fair trial guarantees</w:t>
      </w:r>
      <w:r w:rsidRPr="00E75A98">
        <w:rPr>
          <w:lang w:eastAsia="ko-KR"/>
        </w:rPr>
        <w:t xml:space="preserve">. </w:t>
      </w:r>
      <w:r>
        <w:rPr>
          <w:lang w:eastAsia="ko-KR"/>
        </w:rPr>
        <w:t>T</w:t>
      </w:r>
      <w:r w:rsidRPr="00E75A98">
        <w:rPr>
          <w:lang w:eastAsia="ko-KR"/>
        </w:rPr>
        <w:t xml:space="preserve">he Committee is </w:t>
      </w:r>
      <w:r>
        <w:rPr>
          <w:lang w:eastAsia="ko-KR"/>
        </w:rPr>
        <w:t xml:space="preserve">also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reports that prisoners on death row in Nasiriyah central prison have been held in deplorable material conditions</w:t>
      </w:r>
      <w:r>
        <w:rPr>
          <w:lang w:eastAsia="ko-KR"/>
        </w:rPr>
        <w:t xml:space="preserve"> of detention</w:t>
      </w:r>
      <w:r w:rsidRPr="00E75A98">
        <w:rPr>
          <w:lang w:eastAsia="ko-KR"/>
        </w:rPr>
        <w:t xml:space="preserve"> </w:t>
      </w:r>
      <w:r>
        <w:rPr>
          <w:lang w:eastAsia="ko-KR"/>
        </w:rPr>
        <w:t xml:space="preserve">and have </w:t>
      </w:r>
      <w:r w:rsidRPr="00E75A98">
        <w:rPr>
          <w:lang w:eastAsia="ko-KR"/>
        </w:rPr>
        <w:t xml:space="preserve">often </w:t>
      </w:r>
      <w:r>
        <w:rPr>
          <w:lang w:eastAsia="ko-KR"/>
        </w:rPr>
        <w:t xml:space="preserve">been </w:t>
      </w:r>
      <w:r w:rsidRPr="00E75A98">
        <w:rPr>
          <w:lang w:eastAsia="ko-KR"/>
        </w:rPr>
        <w:t>subjected to torture and ill-treatment, including false threats from the prison guards about their imminent execution. Furthermore</w:t>
      </w:r>
      <w:r w:rsidRPr="00C2359E">
        <w:rPr>
          <w:lang w:eastAsia="ko-KR"/>
        </w:rPr>
        <w:t>, and as confirmed by the delegation in its written reply to the Committee’s question, t</w:t>
      </w:r>
      <w:r w:rsidRPr="00E75A98">
        <w:rPr>
          <w:lang w:eastAsia="ko-KR"/>
        </w:rPr>
        <w:t xml:space="preserve">he families </w:t>
      </w:r>
      <w:r w:rsidRPr="00C2359E">
        <w:rPr>
          <w:lang w:eastAsia="ko-KR"/>
        </w:rPr>
        <w:t>are reportedly not</w:t>
      </w:r>
      <w:r w:rsidRPr="00E75A98">
        <w:rPr>
          <w:lang w:eastAsia="ko-KR"/>
        </w:rPr>
        <w:t xml:space="preserve"> notified prior to </w:t>
      </w:r>
      <w:r>
        <w:rPr>
          <w:lang w:eastAsia="ko-KR"/>
        </w:rPr>
        <w:t xml:space="preserve">the </w:t>
      </w:r>
      <w:r w:rsidRPr="00E75A98">
        <w:rPr>
          <w:lang w:eastAsia="ko-KR"/>
        </w:rPr>
        <w:t xml:space="preserve">execution of their relatives, as envisaged in article 291 </w:t>
      </w:r>
      <w:r>
        <w:rPr>
          <w:lang w:eastAsia="ko-KR"/>
        </w:rPr>
        <w:t xml:space="preserve">of the </w:t>
      </w:r>
      <w:r w:rsidRPr="00E75A98">
        <w:rPr>
          <w:lang w:eastAsia="ko-KR"/>
        </w:rPr>
        <w:t xml:space="preserve">Code </w:t>
      </w:r>
      <w:r>
        <w:rPr>
          <w:lang w:eastAsia="ko-KR"/>
        </w:rPr>
        <w:t xml:space="preserve">of </w:t>
      </w:r>
      <w:r w:rsidRPr="00E75A98">
        <w:rPr>
          <w:lang w:eastAsia="ko-KR"/>
        </w:rPr>
        <w:t>Criminal Procedure (arts. 2, 11 and 16).</w:t>
      </w:r>
    </w:p>
    <w:p w14:paraId="31BF1628" w14:textId="5AD42209" w:rsidR="009B4592" w:rsidRPr="00E75A98" w:rsidRDefault="009B4592" w:rsidP="003757E2">
      <w:pPr>
        <w:pStyle w:val="SingleTxtG"/>
        <w:rPr>
          <w:b/>
          <w:lang w:eastAsia="ko-KR"/>
        </w:rPr>
      </w:pPr>
      <w:r w:rsidRPr="00891136">
        <w:rPr>
          <w:bCs/>
          <w:lang w:eastAsia="ko-KR"/>
        </w:rPr>
        <w:t>31</w:t>
      </w:r>
      <w:r w:rsidRPr="00E538F4">
        <w:rPr>
          <w:bCs/>
          <w:lang w:eastAsia="ko-KR"/>
        </w:rPr>
        <w:t>.</w:t>
      </w:r>
      <w:r w:rsidRPr="00E75A98">
        <w:rPr>
          <w:b/>
          <w:lang w:eastAsia="ko-KR"/>
        </w:rPr>
        <w:tab/>
        <w:t xml:space="preserve">The Committee urges the State party to establish a moratorium on the </w:t>
      </w:r>
      <w:r>
        <w:rPr>
          <w:b/>
          <w:lang w:eastAsia="ko-KR"/>
        </w:rPr>
        <w:t xml:space="preserve">application of the </w:t>
      </w:r>
      <w:r w:rsidRPr="00E75A98">
        <w:rPr>
          <w:b/>
          <w:lang w:eastAsia="ko-KR"/>
        </w:rPr>
        <w:t>death penalty</w:t>
      </w:r>
      <w:r>
        <w:rPr>
          <w:b/>
          <w:lang w:eastAsia="ko-KR"/>
        </w:rPr>
        <w:t>,</w:t>
      </w:r>
      <w:r w:rsidRPr="00E75A98">
        <w:rPr>
          <w:b/>
          <w:lang w:eastAsia="ko-KR"/>
        </w:rPr>
        <w:t xml:space="preserve"> </w:t>
      </w:r>
      <w:r>
        <w:rPr>
          <w:b/>
          <w:lang w:eastAsia="ko-KR"/>
        </w:rPr>
        <w:t xml:space="preserve">to </w:t>
      </w:r>
      <w:r w:rsidRPr="00E75A98">
        <w:rPr>
          <w:b/>
          <w:lang w:eastAsia="ko-KR"/>
        </w:rPr>
        <w:t>continue its efforts to commute all death sentences into alternative penalties</w:t>
      </w:r>
      <w:r>
        <w:rPr>
          <w:b/>
          <w:lang w:eastAsia="ko-KR"/>
        </w:rPr>
        <w:t>,</w:t>
      </w:r>
      <w:r w:rsidRPr="00E75A98">
        <w:rPr>
          <w:b/>
          <w:lang w:eastAsia="ko-KR"/>
        </w:rPr>
        <w:t xml:space="preserve"> </w:t>
      </w:r>
      <w:r>
        <w:rPr>
          <w:b/>
          <w:lang w:eastAsia="ko-KR"/>
        </w:rPr>
        <w:t xml:space="preserve">to </w:t>
      </w:r>
      <w:r w:rsidRPr="00E75A98">
        <w:rPr>
          <w:b/>
          <w:lang w:eastAsia="ko-KR"/>
        </w:rPr>
        <w:t>improve the conditions of detention of prisoners on death row</w:t>
      </w:r>
      <w:r>
        <w:rPr>
          <w:b/>
          <w:lang w:eastAsia="ko-KR"/>
        </w:rPr>
        <w:t>,</w:t>
      </w:r>
      <w:r w:rsidRPr="00E75A98">
        <w:rPr>
          <w:b/>
          <w:lang w:eastAsia="ko-KR"/>
        </w:rPr>
        <w:t xml:space="preserve"> </w:t>
      </w:r>
      <w:r>
        <w:rPr>
          <w:b/>
          <w:lang w:eastAsia="ko-KR"/>
        </w:rPr>
        <w:t xml:space="preserve">to </w:t>
      </w:r>
      <w:r w:rsidRPr="00E75A98">
        <w:rPr>
          <w:b/>
          <w:lang w:eastAsia="ko-KR"/>
        </w:rPr>
        <w:t>review, in the light of its international obligations, the application of the counter-terrorism legislation and other relevant laws that may entail the imposition of the death penalty</w:t>
      </w:r>
      <w:r>
        <w:rPr>
          <w:b/>
          <w:lang w:eastAsia="ko-KR"/>
        </w:rPr>
        <w:t xml:space="preserve">, to </w:t>
      </w:r>
      <w:r w:rsidRPr="00E75A98">
        <w:rPr>
          <w:b/>
          <w:lang w:eastAsia="ko-KR"/>
        </w:rPr>
        <w:t>strengthen legal safeguards and guarantees of due process in all phases of the proceedings and concerning all offences</w:t>
      </w:r>
      <w:r>
        <w:rPr>
          <w:b/>
          <w:lang w:eastAsia="ko-KR"/>
        </w:rPr>
        <w:t>,</w:t>
      </w:r>
      <w:r w:rsidRPr="00E75A98">
        <w:rPr>
          <w:b/>
          <w:lang w:eastAsia="ko-KR"/>
        </w:rPr>
        <w:t xml:space="preserve"> </w:t>
      </w:r>
      <w:r>
        <w:rPr>
          <w:b/>
          <w:lang w:eastAsia="ko-KR"/>
        </w:rPr>
        <w:t xml:space="preserve">to </w:t>
      </w:r>
      <w:r w:rsidRPr="00E75A98">
        <w:rPr>
          <w:b/>
          <w:lang w:eastAsia="ko-KR"/>
        </w:rPr>
        <w:t>ensure that families are properly notified of impending executions</w:t>
      </w:r>
      <w:r>
        <w:rPr>
          <w:b/>
          <w:lang w:eastAsia="ko-KR"/>
        </w:rPr>
        <w:t xml:space="preserve"> and to </w:t>
      </w:r>
      <w:r w:rsidRPr="00E75A98">
        <w:rPr>
          <w:b/>
          <w:lang w:eastAsia="ko-KR"/>
        </w:rPr>
        <w:t>consider ratifying the Second Optional Protocol to the International Covenant on Civil and Political Rights, aiming at the abolition of the death penalty.</w:t>
      </w:r>
    </w:p>
    <w:p w14:paraId="0AC1C179" w14:textId="77777777" w:rsidR="009B4592" w:rsidRPr="00E75A98" w:rsidRDefault="009B4592" w:rsidP="00E538F4">
      <w:pPr>
        <w:pStyle w:val="H23G"/>
      </w:pPr>
      <w:r>
        <w:tab/>
      </w:r>
      <w:r>
        <w:tab/>
      </w:r>
      <w:r w:rsidRPr="00E75A98">
        <w:t xml:space="preserve">Excessive use of force during the protests </w:t>
      </w:r>
      <w:r>
        <w:t xml:space="preserve">during the period </w:t>
      </w:r>
      <w:r w:rsidRPr="00E75A98">
        <w:t>2019</w:t>
      </w:r>
      <w:r>
        <w:t>–</w:t>
      </w:r>
      <w:r w:rsidRPr="00E75A98">
        <w:t>2020</w:t>
      </w:r>
    </w:p>
    <w:p w14:paraId="4627E745" w14:textId="2A5D5D61" w:rsidR="009B4592" w:rsidRPr="00E75A98" w:rsidRDefault="009B4592" w:rsidP="003757E2">
      <w:pPr>
        <w:pStyle w:val="SingleTxtG"/>
        <w:rPr>
          <w:color w:val="000000" w:themeColor="text1"/>
        </w:rPr>
      </w:pPr>
      <w:r w:rsidRPr="00E75A98">
        <w:rPr>
          <w:lang w:eastAsia="ko-KR"/>
        </w:rPr>
        <w:t>32.</w:t>
      </w:r>
      <w:r w:rsidRPr="00E75A98">
        <w:rPr>
          <w:lang w:eastAsia="ko-KR"/>
        </w:rPr>
        <w:tab/>
        <w:t xml:space="preserve">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the allegations of </w:t>
      </w:r>
      <w:r>
        <w:rPr>
          <w:lang w:eastAsia="ko-KR"/>
        </w:rPr>
        <w:t xml:space="preserve">the </w:t>
      </w:r>
      <w:r w:rsidRPr="00E75A98">
        <w:rPr>
          <w:lang w:eastAsia="ko-KR"/>
        </w:rPr>
        <w:t>excessive use of force, notably the use of less-lethal weapons</w:t>
      </w:r>
      <w:r w:rsidRPr="00E75A98">
        <w:rPr>
          <w:sz w:val="18"/>
          <w:vertAlign w:val="superscript"/>
          <w:lang w:eastAsia="ko-KR"/>
        </w:rPr>
        <w:t xml:space="preserve"> </w:t>
      </w:r>
      <w:r w:rsidRPr="00E75A98">
        <w:rPr>
          <w:color w:val="000000" w:themeColor="text1"/>
        </w:rPr>
        <w:t xml:space="preserve">resulting in </w:t>
      </w:r>
      <w:r w:rsidRPr="00E75A98">
        <w:rPr>
          <w:lang w:eastAsia="ko-KR"/>
        </w:rPr>
        <w:t>deaths</w:t>
      </w:r>
      <w:r w:rsidRPr="00E75A98">
        <w:rPr>
          <w:color w:val="C00000"/>
          <w:lang w:eastAsia="ko-KR"/>
        </w:rPr>
        <w:t xml:space="preserve"> </w:t>
      </w:r>
      <w:r w:rsidRPr="00E75A98">
        <w:rPr>
          <w:lang w:eastAsia="ko-KR"/>
        </w:rPr>
        <w:t>and injuries, including of children,</w:t>
      </w:r>
      <w:r w:rsidRPr="00E75A98">
        <w:rPr>
          <w:rFonts w:eastAsia="Malgun Gothic"/>
          <w:lang w:eastAsia="ko-KR"/>
        </w:rPr>
        <w:t xml:space="preserve"> arbitrary arrests</w:t>
      </w:r>
      <w:r w:rsidRPr="00E75A98">
        <w:rPr>
          <w:color w:val="000000" w:themeColor="text1"/>
        </w:rPr>
        <w:t xml:space="preserve">, </w:t>
      </w:r>
      <w:r w:rsidRPr="00E75A98">
        <w:rPr>
          <w:rFonts w:eastAsia="Malgun Gothic"/>
          <w:lang w:eastAsia="ko-KR"/>
        </w:rPr>
        <w:t>incommunicado</w:t>
      </w:r>
      <w:r w:rsidRPr="00E75A98">
        <w:rPr>
          <w:color w:val="000000" w:themeColor="text1"/>
        </w:rPr>
        <w:t xml:space="preserve"> detention,</w:t>
      </w:r>
      <w:r w:rsidRPr="00E75A98">
        <w:rPr>
          <w:color w:val="000000" w:themeColor="text1"/>
          <w:sz w:val="18"/>
          <w:vertAlign w:val="superscript"/>
        </w:rPr>
        <w:footnoteReference w:id="24"/>
      </w:r>
      <w:r w:rsidRPr="00E75A98">
        <w:rPr>
          <w:rFonts w:eastAsia="Malgun Gothic"/>
          <w:lang w:eastAsia="ko-KR"/>
        </w:rPr>
        <w:t xml:space="preserve"> </w:t>
      </w:r>
      <w:r w:rsidRPr="00E75A98">
        <w:rPr>
          <w:color w:val="000000" w:themeColor="text1"/>
        </w:rPr>
        <w:t>torture and ill-treatment and enforced disappearances</w:t>
      </w:r>
      <w:r w:rsidRPr="00E75A98">
        <w:rPr>
          <w:color w:val="000000" w:themeColor="text1"/>
          <w:sz w:val="18"/>
          <w:vertAlign w:val="superscript"/>
        </w:rPr>
        <w:footnoteReference w:id="25"/>
      </w:r>
      <w:r w:rsidRPr="00E75A98">
        <w:rPr>
          <w:color w:val="000000" w:themeColor="text1"/>
        </w:rPr>
        <w:t xml:space="preserve"> </w:t>
      </w:r>
      <w:r w:rsidRPr="00E75A98">
        <w:rPr>
          <w:lang w:eastAsia="ko-KR"/>
        </w:rPr>
        <w:t>by security forces</w:t>
      </w:r>
      <w:r>
        <w:rPr>
          <w:lang w:eastAsia="ko-KR"/>
        </w:rPr>
        <w:t>,</w:t>
      </w:r>
      <w:r w:rsidRPr="00E75A98">
        <w:t xml:space="preserve"> as well as </w:t>
      </w:r>
      <w:r w:rsidRPr="00E75A98">
        <w:rPr>
          <w:color w:val="000000" w:themeColor="text1"/>
        </w:rPr>
        <w:t>by the unidentified armed element</w:t>
      </w:r>
      <w:r w:rsidRPr="00E75A98">
        <w:t xml:space="preserve">s </w:t>
      </w:r>
      <w:r w:rsidRPr="00E75A98">
        <w:rPr>
          <w:lang w:eastAsia="ko-KR"/>
        </w:rPr>
        <w:t>in the context of demonstrations that have occurred since October 2019.</w:t>
      </w:r>
      <w:r w:rsidRPr="00E75A98">
        <w:rPr>
          <w:sz w:val="18"/>
          <w:vertAlign w:val="superscript"/>
          <w:lang w:eastAsia="ko-KR"/>
        </w:rPr>
        <w:footnoteReference w:id="26"/>
      </w:r>
      <w:r w:rsidRPr="00E75A98">
        <w:rPr>
          <w:lang w:eastAsia="ko-KR"/>
        </w:rPr>
        <w:t xml:space="preserve"> It is distressed about the allegations of </w:t>
      </w:r>
      <w:r w:rsidRPr="00E75A98">
        <w:t xml:space="preserve">abduction, attacks and intimidation of journalists and human rights </w:t>
      </w:r>
      <w:r w:rsidRPr="00E75A98">
        <w:rPr>
          <w:color w:val="000000" w:themeColor="text1"/>
        </w:rPr>
        <w:t xml:space="preserve">defenders. </w:t>
      </w:r>
      <w:r w:rsidRPr="00E75A98">
        <w:rPr>
          <w:color w:val="000000" w:themeColor="text1"/>
        </w:rPr>
        <w:lastRenderedPageBreak/>
        <w:t xml:space="preserve">The Committee </w:t>
      </w:r>
      <w:r>
        <w:rPr>
          <w:color w:val="000000" w:themeColor="text1"/>
        </w:rPr>
        <w:t xml:space="preserve">takes </w:t>
      </w:r>
      <w:r w:rsidRPr="00E75A98">
        <w:rPr>
          <w:color w:val="000000" w:themeColor="text1"/>
        </w:rPr>
        <w:t xml:space="preserve">note </w:t>
      </w:r>
      <w:r>
        <w:rPr>
          <w:color w:val="000000" w:themeColor="text1"/>
        </w:rPr>
        <w:t xml:space="preserve">of </w:t>
      </w:r>
      <w:r w:rsidRPr="00E75A98">
        <w:rPr>
          <w:color w:val="000000" w:themeColor="text1"/>
        </w:rPr>
        <w:t xml:space="preserve">the State party’s commitment to </w:t>
      </w:r>
      <w:r w:rsidRPr="00E75A98">
        <w:t>ensur</w:t>
      </w:r>
      <w:r>
        <w:t>ing</w:t>
      </w:r>
      <w:r w:rsidRPr="00E75A98">
        <w:t xml:space="preserve"> accountability for the above acts, including the establishment of an independent fact-finding committee and the judicial investigative committees in each demonstration-affected governorate. </w:t>
      </w:r>
      <w:r w:rsidRPr="00E75A98">
        <w:rPr>
          <w:color w:val="000000" w:themeColor="text1"/>
        </w:rPr>
        <w:t xml:space="preserve">However, it regrets the lack of public reports on the actions taken by the fact-finding committee, the limited progress </w:t>
      </w:r>
      <w:r>
        <w:rPr>
          <w:color w:val="000000" w:themeColor="text1"/>
        </w:rPr>
        <w:t xml:space="preserve">made </w:t>
      </w:r>
      <w:r w:rsidRPr="00E75A98">
        <w:rPr>
          <w:color w:val="000000" w:themeColor="text1"/>
        </w:rPr>
        <w:t xml:space="preserve">on investigations and </w:t>
      </w:r>
      <w:r>
        <w:rPr>
          <w:color w:val="000000" w:themeColor="text1"/>
        </w:rPr>
        <w:t xml:space="preserve">the fact that only </w:t>
      </w:r>
      <w:r w:rsidRPr="00E75A98">
        <w:rPr>
          <w:color w:val="000000" w:themeColor="text1"/>
        </w:rPr>
        <w:t>a handful of prosecutions</w:t>
      </w:r>
      <w:r>
        <w:rPr>
          <w:color w:val="000000" w:themeColor="text1"/>
        </w:rPr>
        <w:t xml:space="preserve"> have been</w:t>
      </w:r>
      <w:r w:rsidRPr="00E75A98">
        <w:rPr>
          <w:color w:val="000000" w:themeColor="text1"/>
        </w:rPr>
        <w:t xml:space="preserve"> undertaken to date</w:t>
      </w:r>
      <w:r w:rsidRPr="00E75A98">
        <w:rPr>
          <w:sz w:val="18"/>
          <w:vertAlign w:val="superscript"/>
        </w:rPr>
        <w:footnoteReference w:id="27"/>
      </w:r>
      <w:r w:rsidRPr="00E75A98">
        <w:t xml:space="preserve"> </w:t>
      </w:r>
      <w:r w:rsidRPr="00E75A98">
        <w:rPr>
          <w:color w:val="000000" w:themeColor="text1"/>
        </w:rPr>
        <w:t>(arts. 2, 12–14 and 16).</w:t>
      </w:r>
    </w:p>
    <w:p w14:paraId="03E01145" w14:textId="77777777" w:rsidR="009B4592" w:rsidRPr="00E75A98" w:rsidRDefault="009B4592" w:rsidP="003757E2">
      <w:pPr>
        <w:pStyle w:val="SingleTxtG"/>
        <w:rPr>
          <w:b/>
          <w:color w:val="000000" w:themeColor="text1"/>
        </w:rPr>
      </w:pPr>
      <w:r w:rsidRPr="00891136">
        <w:rPr>
          <w:bCs/>
          <w:color w:val="000000" w:themeColor="text1"/>
        </w:rPr>
        <w:t>33</w:t>
      </w:r>
      <w:r w:rsidRPr="00E538F4">
        <w:rPr>
          <w:bCs/>
          <w:color w:val="000000" w:themeColor="text1"/>
        </w:rPr>
        <w:t>.</w:t>
      </w:r>
      <w:r w:rsidRPr="00E75A98">
        <w:rPr>
          <w:b/>
          <w:color w:val="000000" w:themeColor="text1"/>
        </w:rPr>
        <w:tab/>
        <w:t>The State party should:</w:t>
      </w:r>
    </w:p>
    <w:p w14:paraId="46033751" w14:textId="2044F541" w:rsidR="009B4592" w:rsidRPr="00E75A98" w:rsidRDefault="009B4592" w:rsidP="003757E2">
      <w:pPr>
        <w:pStyle w:val="SingleTxtG"/>
        <w:rPr>
          <w:b/>
          <w:color w:val="000000" w:themeColor="text1"/>
        </w:rPr>
      </w:pPr>
      <w:r>
        <w:rPr>
          <w:b/>
          <w:color w:val="000000" w:themeColor="text1"/>
        </w:rPr>
        <w:tab/>
      </w:r>
      <w:r w:rsidRPr="00255B81">
        <w:rPr>
          <w:bCs/>
          <w:color w:val="000000" w:themeColor="text1"/>
        </w:rPr>
        <w:t>(a)</w:t>
      </w:r>
      <w:r w:rsidRPr="00255B81">
        <w:rPr>
          <w:bCs/>
          <w:color w:val="000000" w:themeColor="text1"/>
        </w:rPr>
        <w:tab/>
      </w:r>
      <w:r w:rsidRPr="00E75A98">
        <w:rPr>
          <w:b/>
          <w:color w:val="000000" w:themeColor="text1"/>
        </w:rPr>
        <w:t>Review domestic legislation on the use of force and weapons and develop clear guidelines, if necessary, incorporating the principles of lawfulness, necessity and proportionality and the precautionary principle, bring the laws and regulations governing the use of force into line with international standards, in particular the Basic Principles on the Use of Force and Firearms by Law Enforcement Officials and the United Nations Human Rights Guidance on Less-Lethal Weapons in Law Enforcement</w:t>
      </w:r>
      <w:r>
        <w:rPr>
          <w:b/>
          <w:color w:val="000000" w:themeColor="text1"/>
        </w:rPr>
        <w:t>, and p</w:t>
      </w:r>
      <w:r w:rsidRPr="00E75A98">
        <w:rPr>
          <w:b/>
          <w:color w:val="000000" w:themeColor="text1"/>
        </w:rPr>
        <w:t>rovide training to all security forces on the principles;</w:t>
      </w:r>
    </w:p>
    <w:p w14:paraId="046E018F" w14:textId="1081844D" w:rsidR="009B4592" w:rsidRPr="00E75A98" w:rsidRDefault="009B4592" w:rsidP="003757E2">
      <w:pPr>
        <w:pStyle w:val="SingleTxtG"/>
        <w:rPr>
          <w:rFonts w:ascii="Calibri" w:hAnsi="Calibri" w:cs="Calibri"/>
          <w:color w:val="000000"/>
          <w:sz w:val="22"/>
          <w:szCs w:val="22"/>
        </w:rPr>
      </w:pPr>
      <w:r>
        <w:rPr>
          <w:b/>
          <w:color w:val="000000" w:themeColor="text1"/>
        </w:rPr>
        <w:tab/>
      </w:r>
      <w:r w:rsidRPr="00255B81">
        <w:rPr>
          <w:bCs/>
          <w:color w:val="000000" w:themeColor="text1"/>
        </w:rPr>
        <w:t>(b)</w:t>
      </w:r>
      <w:r w:rsidRPr="00255B81">
        <w:rPr>
          <w:bCs/>
          <w:color w:val="000000" w:themeColor="text1"/>
        </w:rPr>
        <w:tab/>
      </w:r>
      <w:r w:rsidRPr="00E75A98">
        <w:rPr>
          <w:b/>
          <w:color w:val="000000" w:themeColor="text1"/>
        </w:rPr>
        <w:t xml:space="preserve">Ensure that law and order is maintained, to the greatest extent possible, by civilian authorities and ensure that all officers can be effectively identified at all times when carrying out their functions to </w:t>
      </w:r>
      <w:r>
        <w:rPr>
          <w:b/>
          <w:color w:val="000000" w:themeColor="text1"/>
        </w:rPr>
        <w:t xml:space="preserve">help to </w:t>
      </w:r>
      <w:r w:rsidRPr="00E75A98">
        <w:rPr>
          <w:b/>
          <w:color w:val="000000" w:themeColor="text1"/>
        </w:rPr>
        <w:t>ensure individual accountability and protection against acts of torture and ill-treatment;</w:t>
      </w:r>
    </w:p>
    <w:p w14:paraId="0B3E8A58" w14:textId="53BD2E9A" w:rsidR="009B4592" w:rsidRPr="00E75A98" w:rsidRDefault="009B4592" w:rsidP="003757E2">
      <w:pPr>
        <w:pStyle w:val="SingleTxtG"/>
        <w:rPr>
          <w:b/>
          <w:color w:val="000000" w:themeColor="text1"/>
        </w:rPr>
      </w:pPr>
      <w:r>
        <w:rPr>
          <w:b/>
          <w:color w:val="000000" w:themeColor="text1"/>
        </w:rPr>
        <w:tab/>
      </w:r>
      <w:r w:rsidRPr="00A27D2D">
        <w:rPr>
          <w:bCs/>
          <w:color w:val="000000" w:themeColor="text1"/>
        </w:rPr>
        <w:t>(c)</w:t>
      </w:r>
      <w:r w:rsidRPr="00A27D2D">
        <w:rPr>
          <w:bCs/>
          <w:color w:val="000000" w:themeColor="text1"/>
        </w:rPr>
        <w:tab/>
      </w:r>
      <w:r w:rsidRPr="00E75A98">
        <w:rPr>
          <w:b/>
          <w:color w:val="000000" w:themeColor="text1"/>
        </w:rPr>
        <w:t xml:space="preserve">Ensure that prompt, impartial and effective investigations are undertaken into all allegations described above </w:t>
      </w:r>
      <w:r>
        <w:rPr>
          <w:b/>
          <w:color w:val="000000" w:themeColor="text1"/>
        </w:rPr>
        <w:t>concerning</w:t>
      </w:r>
      <w:r w:rsidRPr="00E75A98">
        <w:rPr>
          <w:b/>
          <w:color w:val="000000" w:themeColor="text1"/>
        </w:rPr>
        <w:t xml:space="preserve"> State and non-State actors and ensure that the perpetrators are prosecuted and </w:t>
      </w:r>
      <w:r>
        <w:rPr>
          <w:b/>
          <w:color w:val="000000" w:themeColor="text1"/>
        </w:rPr>
        <w:t xml:space="preserve">that </w:t>
      </w:r>
      <w:r w:rsidRPr="00E75A98">
        <w:rPr>
          <w:b/>
          <w:color w:val="000000" w:themeColor="text1"/>
        </w:rPr>
        <w:t>the victims or their families receive full redress.</w:t>
      </w:r>
    </w:p>
    <w:p w14:paraId="794DF8B4" w14:textId="77777777" w:rsidR="009B4592" w:rsidRPr="00E75A98" w:rsidRDefault="009B4592" w:rsidP="00E538F4">
      <w:pPr>
        <w:pStyle w:val="H23G"/>
      </w:pPr>
      <w:r>
        <w:tab/>
      </w:r>
      <w:r>
        <w:tab/>
      </w:r>
      <w:r w:rsidRPr="00E75A98">
        <w:t>Redress, including compensation and rehabilitation</w:t>
      </w:r>
    </w:p>
    <w:p w14:paraId="3F4B0E12" w14:textId="77777777" w:rsidR="009B4592" w:rsidRPr="00E75A98" w:rsidRDefault="009B4592" w:rsidP="003757E2">
      <w:pPr>
        <w:pStyle w:val="SingleTxtG"/>
      </w:pPr>
      <w:r w:rsidRPr="00E75A98">
        <w:t>34.</w:t>
      </w:r>
      <w:r w:rsidRPr="00E75A98">
        <w:tab/>
        <w:t>With reference to its previous concluding observations,</w:t>
      </w:r>
      <w:r w:rsidRPr="00E75A98">
        <w:rPr>
          <w:sz w:val="18"/>
          <w:vertAlign w:val="superscript"/>
        </w:rPr>
        <w:footnoteReference w:id="28"/>
      </w:r>
      <w:r>
        <w:t xml:space="preserve"> </w:t>
      </w:r>
      <w:r w:rsidRPr="00E75A98">
        <w:t>the Committee regrets that the State party failed to provide comprehensive information on redress afforded to victims of torture or ill-treatment under the existing legislation providing for civil remedies</w:t>
      </w:r>
      <w:r>
        <w:t>,</w:t>
      </w:r>
      <w:r w:rsidRPr="00E75A98">
        <w:t xml:space="preserve"> or under any other viable recourse allowing </w:t>
      </w:r>
      <w:r>
        <w:t xml:space="preserve">for </w:t>
      </w:r>
      <w:r w:rsidRPr="00E75A98">
        <w:t>those victims to claim pecuniary</w:t>
      </w:r>
      <w:r>
        <w:t>,</w:t>
      </w:r>
      <w:r w:rsidRPr="00E75A98">
        <w:t xml:space="preserve"> as well as non-pecuniary</w:t>
      </w:r>
      <w:r>
        <w:t>,</w:t>
      </w:r>
      <w:r w:rsidRPr="00E75A98">
        <w:t xml:space="preserve"> damages and </w:t>
      </w:r>
      <w:r>
        <w:t xml:space="preserve">acquire </w:t>
      </w:r>
      <w:r w:rsidRPr="00E75A98">
        <w:t xml:space="preserve">access </w:t>
      </w:r>
      <w:r>
        <w:t xml:space="preserve">to </w:t>
      </w:r>
      <w:r w:rsidRPr="00E75A98">
        <w:t>medical and psychosocial rehabilitation (arts. 14).</w:t>
      </w:r>
    </w:p>
    <w:p w14:paraId="3D67ABF8" w14:textId="77777777" w:rsidR="009B4592" w:rsidRPr="00E75A98" w:rsidRDefault="009B4592" w:rsidP="003757E2">
      <w:pPr>
        <w:pStyle w:val="SingleTxtG"/>
        <w:rPr>
          <w:b/>
        </w:rPr>
      </w:pPr>
      <w:r w:rsidRPr="00891136">
        <w:rPr>
          <w:bCs/>
        </w:rPr>
        <w:t>35</w:t>
      </w:r>
      <w:r w:rsidRPr="00E538F4">
        <w:rPr>
          <w:bCs/>
        </w:rPr>
        <w:t>.</w:t>
      </w:r>
      <w:r w:rsidRPr="00E75A98">
        <w:rPr>
          <w:b/>
        </w:rPr>
        <w:tab/>
        <w:t>The State party should ensure that victims of torture and ill-treatment obtain redress, including the means for as full a rehabilitation as possible, as set out in its general comment No. 3 (2012)</w:t>
      </w:r>
      <w:r w:rsidRPr="00DB264A">
        <w:t xml:space="preserve"> </w:t>
      </w:r>
      <w:r w:rsidRPr="00DB264A">
        <w:rPr>
          <w:b/>
        </w:rPr>
        <w:t>on the implementation of article 14</w:t>
      </w:r>
      <w:r w:rsidRPr="00E75A98">
        <w:rPr>
          <w:b/>
        </w:rPr>
        <w:t>.</w:t>
      </w:r>
    </w:p>
    <w:p w14:paraId="4D3D245B" w14:textId="77777777" w:rsidR="009B4592" w:rsidRPr="00E75A98" w:rsidRDefault="009B4592" w:rsidP="00E538F4">
      <w:pPr>
        <w:pStyle w:val="H23G"/>
      </w:pPr>
      <w:r>
        <w:tab/>
      </w:r>
      <w:r>
        <w:tab/>
      </w:r>
      <w:r w:rsidRPr="00E75A98">
        <w:t>Principle of non-refoulement</w:t>
      </w:r>
    </w:p>
    <w:p w14:paraId="3DA89A0A" w14:textId="03786A36" w:rsidR="009B4592" w:rsidRPr="00E75A98" w:rsidRDefault="009B4592" w:rsidP="003757E2">
      <w:pPr>
        <w:pStyle w:val="SingleTxtG"/>
      </w:pPr>
      <w:r w:rsidRPr="00E75A98">
        <w:rPr>
          <w:lang w:eastAsia="ko-KR"/>
        </w:rPr>
        <w:t>36.</w:t>
      </w:r>
      <w:r w:rsidRPr="00E75A98">
        <w:rPr>
          <w:lang w:eastAsia="ko-KR"/>
        </w:rPr>
        <w:tab/>
        <w:t xml:space="preserve">The Committee notes </w:t>
      </w:r>
      <w:r w:rsidRPr="005A0A64">
        <w:rPr>
          <w:lang w:eastAsia="ko-KR"/>
        </w:rPr>
        <w:t xml:space="preserve">that the </w:t>
      </w:r>
      <w:r w:rsidRPr="005A0A64">
        <w:t>bill concerning refugees</w:t>
      </w:r>
      <w:r w:rsidRPr="005A0A64">
        <w:rPr>
          <w:lang w:eastAsia="ko-KR"/>
        </w:rPr>
        <w:t xml:space="preserve"> is still pending approval before the Council of Representatives. It regrets the failure of the delegation to provide comprehensive clarifications with respect to ensur</w:t>
      </w:r>
      <w:r>
        <w:rPr>
          <w:lang w:eastAsia="ko-KR"/>
        </w:rPr>
        <w:t>ing</w:t>
      </w:r>
      <w:r w:rsidRPr="005A0A64">
        <w:rPr>
          <w:lang w:eastAsia="ko-KR"/>
        </w:rPr>
        <w:t xml:space="preserve"> compliance with the principle of non-refoulement in the anti-torture bill. It notes with concern that the State party has presented no comprehensive information on asylum applications</w:t>
      </w:r>
      <w:r w:rsidRPr="00E75A98">
        <w:rPr>
          <w:lang w:eastAsia="ko-KR"/>
        </w:rPr>
        <w:t xml:space="preserve"> received and granted or on </w:t>
      </w:r>
      <w:r w:rsidRPr="00E75A98">
        <w:t xml:space="preserve">cases in which return, extradition or expulsion were carried out during the reporting period and the guarantees and risk assessment afforded to such individuals. Furthermore, 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t xml:space="preserve"> the information received that several individuals were returned to neighbouring countries, in contravention to the non-refoulement principle, without proper assurance of procedural safeguards (art. 3).</w:t>
      </w:r>
    </w:p>
    <w:p w14:paraId="082A4974" w14:textId="6C29581C" w:rsidR="009B4592" w:rsidRPr="00E75A98" w:rsidRDefault="009B4592" w:rsidP="003757E2">
      <w:pPr>
        <w:pStyle w:val="SingleTxtG"/>
        <w:rPr>
          <w:b/>
          <w:lang w:eastAsia="ko-KR"/>
        </w:rPr>
      </w:pPr>
      <w:r w:rsidRPr="00891136">
        <w:rPr>
          <w:bCs/>
          <w:lang w:eastAsia="ko-KR"/>
        </w:rPr>
        <w:t>37</w:t>
      </w:r>
      <w:r w:rsidRPr="00E538F4">
        <w:rPr>
          <w:bCs/>
          <w:lang w:eastAsia="ko-KR"/>
        </w:rPr>
        <w:t>.</w:t>
      </w:r>
      <w:r w:rsidRPr="00E75A98">
        <w:rPr>
          <w:b/>
          <w:lang w:eastAsia="ko-KR"/>
        </w:rPr>
        <w:tab/>
        <w:t xml:space="preserve">The State party is encouraged to draft and enact the anti-torture bill in line with the Convention. Under no circumstances should the State party expel, return or extradite a person to another State where there are substantial grounds for believing that he or she would be in danger of being subjected to torture. The State party should thoroughly consider the merits of each individual case and afford procedural guarantees. The State party should consider ratifying the Convention relating to the Status of Refugees and the Protocol </w:t>
      </w:r>
      <w:r>
        <w:rPr>
          <w:b/>
          <w:lang w:eastAsia="ko-KR"/>
        </w:rPr>
        <w:t>thereto</w:t>
      </w:r>
      <w:r w:rsidRPr="00E75A98">
        <w:rPr>
          <w:b/>
          <w:lang w:eastAsia="ko-KR"/>
        </w:rPr>
        <w:t>.</w:t>
      </w:r>
    </w:p>
    <w:p w14:paraId="5950961F" w14:textId="77777777" w:rsidR="009B4592" w:rsidRPr="00E75A98" w:rsidRDefault="009B4592" w:rsidP="00E538F4">
      <w:pPr>
        <w:pStyle w:val="H23G"/>
      </w:pPr>
      <w:r>
        <w:lastRenderedPageBreak/>
        <w:tab/>
      </w:r>
      <w:r>
        <w:tab/>
      </w:r>
      <w:r w:rsidRPr="00E75A98">
        <w:t>Gender-based violence</w:t>
      </w:r>
    </w:p>
    <w:p w14:paraId="039BF8D5" w14:textId="68641D03" w:rsidR="009B4592" w:rsidRPr="00E75A98" w:rsidRDefault="009B4592" w:rsidP="003757E2">
      <w:pPr>
        <w:pStyle w:val="SingleTxtG"/>
      </w:pPr>
      <w:r w:rsidRPr="00E75A98">
        <w:rPr>
          <w:lang w:eastAsia="ko-KR"/>
        </w:rPr>
        <w:t>38.</w:t>
      </w:r>
      <w:r w:rsidRPr="00E75A98">
        <w:rPr>
          <w:lang w:eastAsia="ko-KR"/>
        </w:rPr>
        <w:tab/>
        <w:t xml:space="preserve">The Committee </w:t>
      </w:r>
      <w:r>
        <w:rPr>
          <w:lang w:eastAsia="ko-KR"/>
        </w:rPr>
        <w:t xml:space="preserve">takes </w:t>
      </w:r>
      <w:r w:rsidRPr="00E75A98">
        <w:rPr>
          <w:lang w:eastAsia="ko-KR"/>
        </w:rPr>
        <w:t xml:space="preserve">note </w:t>
      </w:r>
      <w:r>
        <w:rPr>
          <w:lang w:eastAsia="ko-KR"/>
        </w:rPr>
        <w:t xml:space="preserve">of </w:t>
      </w:r>
      <w:r w:rsidRPr="00E75A98">
        <w:rPr>
          <w:lang w:eastAsia="ko-KR"/>
        </w:rPr>
        <w:t xml:space="preserve">the </w:t>
      </w:r>
      <w:r>
        <w:rPr>
          <w:lang w:eastAsia="ko-KR"/>
        </w:rPr>
        <w:t xml:space="preserve">information provided by the </w:t>
      </w:r>
      <w:r w:rsidRPr="00E75A98">
        <w:rPr>
          <w:lang w:eastAsia="ko-KR"/>
        </w:rPr>
        <w:t>State party</w:t>
      </w:r>
      <w:r>
        <w:rPr>
          <w:lang w:eastAsia="ko-KR"/>
        </w:rPr>
        <w:t>, including the</w:t>
      </w:r>
      <w:r w:rsidRPr="00E75A98">
        <w:rPr>
          <w:lang w:eastAsia="ko-KR"/>
        </w:rPr>
        <w:t xml:space="preserve"> information on the </w:t>
      </w:r>
      <w:r w:rsidRPr="00E75A98">
        <w:t>bill on domestic violence pending before the Council of Representatives, which should remove some of the mitigating clauses</w:t>
      </w:r>
      <w:r>
        <w:t xml:space="preserve"> </w:t>
      </w:r>
      <w:r w:rsidRPr="00D03247">
        <w:t>that apply under current law to</w:t>
      </w:r>
      <w:r w:rsidRPr="00E75A98">
        <w:t xml:space="preserve"> a husband’s act of rape </w:t>
      </w:r>
      <w:r>
        <w:t>or</w:t>
      </w:r>
      <w:r w:rsidRPr="00E75A98">
        <w:t xml:space="preserve"> violence against his wife, and </w:t>
      </w:r>
      <w:r>
        <w:t xml:space="preserve">on </w:t>
      </w:r>
      <w:r w:rsidRPr="00E75A98">
        <w:t xml:space="preserve">the review of the national strategy to combat violence against women. However, it </w:t>
      </w:r>
      <w:r>
        <w:t>acknowledges</w:t>
      </w:r>
      <w:r w:rsidRPr="00E75A98">
        <w:t xml:space="preserve"> the concerns raised by the Human Rights Committee</w:t>
      </w:r>
      <w:r w:rsidRPr="00E75A98">
        <w:rPr>
          <w:sz w:val="18"/>
          <w:vertAlign w:val="superscript"/>
        </w:rPr>
        <w:footnoteReference w:id="29"/>
      </w:r>
      <w:r w:rsidRPr="00E75A98">
        <w:t xml:space="preserve"> that further steps are necessary to repeal or amend all provisions that </w:t>
      </w:r>
      <w:r>
        <w:t xml:space="preserve">are </w:t>
      </w:r>
      <w:r w:rsidRPr="00E75A98">
        <w:t>discriminat</w:t>
      </w:r>
      <w:r>
        <w:t>ory</w:t>
      </w:r>
      <w:r w:rsidRPr="00E75A98">
        <w:t xml:space="preserve"> </w:t>
      </w:r>
      <w:r>
        <w:t xml:space="preserve">towards, </w:t>
      </w:r>
      <w:r w:rsidRPr="00E75A98">
        <w:t xml:space="preserve">or condone violence against women, including the mitigating and exculpatory provisions in the Criminal Code about rape and </w:t>
      </w:r>
      <w:r>
        <w:t xml:space="preserve">so-called </w:t>
      </w:r>
      <w:r w:rsidRPr="00E75A98">
        <w:t xml:space="preserve">“honour” crimes, </w:t>
      </w:r>
      <w:r w:rsidRPr="00E75A98">
        <w:rPr>
          <w:lang w:eastAsia="ko-KR"/>
        </w:rPr>
        <w:t>as recommended by the Committee in its previous recommendations.</w:t>
      </w:r>
      <w:r w:rsidRPr="00E75A98">
        <w:rPr>
          <w:sz w:val="18"/>
          <w:vertAlign w:val="superscript"/>
          <w:lang w:eastAsia="ko-KR"/>
        </w:rPr>
        <w:footnoteReference w:id="30"/>
      </w:r>
      <w:r w:rsidRPr="00E75A98">
        <w:rPr>
          <w:lang w:eastAsia="ko-KR"/>
        </w:rPr>
        <w:t xml:space="preserve"> T</w:t>
      </w:r>
      <w:r w:rsidRPr="00E75A98">
        <w:t xml:space="preserve">he Committee is further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t xml:space="preserve"> the low number of cases brought to the courts vis-à-vis the high number of reported complaints of violence against women. In addition, it is concerned that female genital mutilation continues to be practi</w:t>
      </w:r>
      <w:r w:rsidR="003B3D9A">
        <w:t>s</w:t>
      </w:r>
      <w:r w:rsidRPr="00E75A98">
        <w:t xml:space="preserve">ed in some parts </w:t>
      </w:r>
      <w:r>
        <w:t xml:space="preserve">of the country </w:t>
      </w:r>
      <w:r w:rsidRPr="00E75A98">
        <w:t>and notes with interest the development of the plan to end such practice by the government of the Kurdistan region (arts. 2, 12</w:t>
      </w:r>
      <w:r>
        <w:t>–</w:t>
      </w:r>
      <w:r w:rsidRPr="00E75A98">
        <w:t>14 and 16).</w:t>
      </w:r>
    </w:p>
    <w:p w14:paraId="11A5C77E" w14:textId="77777777" w:rsidR="009B4592" w:rsidRDefault="009B4592" w:rsidP="003757E2">
      <w:pPr>
        <w:pStyle w:val="SingleTxtG"/>
        <w:rPr>
          <w:b/>
          <w:lang w:eastAsia="ko-KR"/>
        </w:rPr>
      </w:pPr>
      <w:r w:rsidRPr="00891136">
        <w:rPr>
          <w:bCs/>
          <w:lang w:eastAsia="ko-KR"/>
        </w:rPr>
        <w:t>39</w:t>
      </w:r>
      <w:r w:rsidRPr="00E538F4">
        <w:rPr>
          <w:bCs/>
          <w:lang w:eastAsia="ko-KR"/>
        </w:rPr>
        <w:t>.</w:t>
      </w:r>
      <w:r w:rsidRPr="00E75A98">
        <w:rPr>
          <w:b/>
          <w:lang w:eastAsia="ko-KR"/>
        </w:rPr>
        <w:tab/>
        <w:t>The State party is urged to adopt the pending bill on domestic violence</w:t>
      </w:r>
      <w:r w:rsidRPr="00E75A98">
        <w:t xml:space="preserve"> </w:t>
      </w:r>
      <w:r w:rsidRPr="00E75A98">
        <w:rPr>
          <w:b/>
          <w:lang w:eastAsia="ko-KR"/>
        </w:rPr>
        <w:t xml:space="preserve">and the national strategy and </w:t>
      </w:r>
      <w:r>
        <w:rPr>
          <w:b/>
          <w:lang w:eastAsia="ko-KR"/>
        </w:rPr>
        <w:t xml:space="preserve">to </w:t>
      </w:r>
      <w:r w:rsidRPr="00E75A98">
        <w:rPr>
          <w:b/>
          <w:lang w:eastAsia="ko-KR"/>
        </w:rPr>
        <w:t>repeal or amend the concerning legislative provisions of the Criminal Code in line with the Convention. It should strengthen its efforts to eliminate female genital mutilation. The State party should also ensure that all cases of gender-based violence, especially those that engage the international responsibility of the State party under the Convention, are thoroughly investigated, that the alleged perpetrators are prosecuted and, if convicted, punished appropriately and that the victims or their families receive redress, including adequate compensation, and have access to legal assistance, safe shelters and the necessary medical care and psychological support.</w:t>
      </w:r>
    </w:p>
    <w:p w14:paraId="1FE2E486" w14:textId="2F14837A" w:rsidR="009B4592" w:rsidRPr="00E75A98" w:rsidRDefault="009B4592" w:rsidP="00E538F4">
      <w:pPr>
        <w:pStyle w:val="H23G"/>
      </w:pPr>
      <w:r w:rsidRPr="000D4A26">
        <w:rPr>
          <w:sz w:val="24"/>
        </w:rPr>
        <w:tab/>
      </w:r>
      <w:r w:rsidRPr="000D4A26">
        <w:rPr>
          <w:sz w:val="24"/>
        </w:rPr>
        <w:tab/>
      </w:r>
      <w:r w:rsidRPr="00E75A98">
        <w:t xml:space="preserve">Iraqi High Commission for </w:t>
      </w:r>
      <w:r w:rsidRPr="00730532">
        <w:t>Human</w:t>
      </w:r>
      <w:r w:rsidRPr="00E75A98">
        <w:t xml:space="preserve"> Rights</w:t>
      </w:r>
    </w:p>
    <w:p w14:paraId="5E65A18C" w14:textId="77777777" w:rsidR="009B4592" w:rsidRPr="00E75A98" w:rsidRDefault="009B4592" w:rsidP="003757E2">
      <w:pPr>
        <w:pStyle w:val="SingleTxtG"/>
        <w:rPr>
          <w:lang w:eastAsia="ko-KR"/>
        </w:rPr>
      </w:pPr>
      <w:r w:rsidRPr="00E75A98">
        <w:rPr>
          <w:lang w:eastAsia="ko-KR"/>
        </w:rPr>
        <w:t>40.</w:t>
      </w:r>
      <w:r w:rsidRPr="00E75A98">
        <w:rPr>
          <w:lang w:eastAsia="ko-KR"/>
        </w:rPr>
        <w:tab/>
        <w:t xml:space="preserve">The Committee is </w:t>
      </w:r>
      <w:r w:rsidRPr="00E75A98">
        <w:rPr>
          <w:rFonts w:eastAsia="Malgun Gothic"/>
          <w:lang w:eastAsia="ko-KR"/>
        </w:rPr>
        <w:t>concerned a</w:t>
      </w:r>
      <w:r>
        <w:rPr>
          <w:rFonts w:eastAsia="Malgun Gothic"/>
          <w:lang w:eastAsia="ko-KR"/>
        </w:rPr>
        <w:t>bou</w:t>
      </w:r>
      <w:r w:rsidRPr="00E75A98">
        <w:rPr>
          <w:rFonts w:eastAsia="Malgun Gothic"/>
          <w:lang w:eastAsia="ko-KR"/>
        </w:rPr>
        <w:t>t</w:t>
      </w:r>
      <w:r w:rsidRPr="00E75A98">
        <w:rPr>
          <w:lang w:eastAsia="ko-KR"/>
        </w:rPr>
        <w:t xml:space="preserve"> reports indicating the delay in </w:t>
      </w:r>
      <w:r>
        <w:rPr>
          <w:lang w:eastAsia="ko-KR"/>
        </w:rPr>
        <w:t xml:space="preserve">the </w:t>
      </w:r>
      <w:r w:rsidRPr="00E75A98">
        <w:rPr>
          <w:lang w:eastAsia="ko-KR"/>
        </w:rPr>
        <w:t xml:space="preserve">selection of new </w:t>
      </w:r>
      <w:r>
        <w:rPr>
          <w:lang w:eastAsia="ko-KR"/>
        </w:rPr>
        <w:t>members of the Iraqi High Commission for Human Rights</w:t>
      </w:r>
      <w:r w:rsidRPr="00E75A98">
        <w:rPr>
          <w:lang w:eastAsia="ko-KR"/>
        </w:rPr>
        <w:t xml:space="preserve"> and a reported lack of independence from political parties during the nomination process.</w:t>
      </w:r>
      <w:r w:rsidRPr="00E75A98">
        <w:rPr>
          <w:sz w:val="18"/>
          <w:vertAlign w:val="superscript"/>
          <w:lang w:eastAsia="ko-KR"/>
        </w:rPr>
        <w:footnoteReference w:id="31"/>
      </w:r>
      <w:r w:rsidRPr="00E75A98">
        <w:rPr>
          <w:lang w:eastAsia="ko-KR"/>
        </w:rPr>
        <w:t xml:space="preserve"> It regrets that the State party has not provided information on the follow-up investigations, prosecutions and the outcome of cases referred by the </w:t>
      </w:r>
      <w:r>
        <w:rPr>
          <w:lang w:eastAsia="ko-KR"/>
        </w:rPr>
        <w:t>Commission</w:t>
      </w:r>
      <w:r w:rsidRPr="00E75A98">
        <w:rPr>
          <w:lang w:eastAsia="ko-KR"/>
        </w:rPr>
        <w:t xml:space="preserve"> to prosecution services concerning torture allegations. Also of concern is the lack of protection and immunity of the </w:t>
      </w:r>
      <w:r>
        <w:rPr>
          <w:lang w:eastAsia="ko-KR"/>
        </w:rPr>
        <w:t>Commission</w:t>
      </w:r>
      <w:r w:rsidRPr="00E75A98">
        <w:rPr>
          <w:lang w:eastAsia="ko-KR"/>
        </w:rPr>
        <w:t xml:space="preserve"> members from reprisals or other intimidation measures in the context of carrying out their official duties, as observed during the recent prosecution, </w:t>
      </w:r>
      <w:r w:rsidRPr="00577D40">
        <w:t xml:space="preserve">which </w:t>
      </w:r>
      <w:r>
        <w:t>has by now been discontinued,</w:t>
      </w:r>
      <w:r w:rsidRPr="00577D40">
        <w:t xml:space="preserve"> as clarified by the delegation during the dialogue</w:t>
      </w:r>
      <w:r w:rsidRPr="00E75A98">
        <w:rPr>
          <w:lang w:eastAsia="ko-KR"/>
        </w:rPr>
        <w:t xml:space="preserve">, of former Commissioner Ali </w:t>
      </w:r>
      <w:proofErr w:type="spellStart"/>
      <w:r w:rsidRPr="00E75A98">
        <w:rPr>
          <w:lang w:eastAsia="ko-KR"/>
        </w:rPr>
        <w:t>Akram</w:t>
      </w:r>
      <w:proofErr w:type="spellEnd"/>
      <w:r w:rsidRPr="00E75A98">
        <w:rPr>
          <w:lang w:eastAsia="ko-KR"/>
        </w:rPr>
        <w:t xml:space="preserve"> Al-</w:t>
      </w:r>
      <w:proofErr w:type="spellStart"/>
      <w:r w:rsidRPr="00E75A98">
        <w:rPr>
          <w:lang w:eastAsia="ko-KR"/>
        </w:rPr>
        <w:t>Bayati</w:t>
      </w:r>
      <w:proofErr w:type="spellEnd"/>
      <w:r w:rsidRPr="00E75A98">
        <w:rPr>
          <w:lang w:eastAsia="ko-KR"/>
        </w:rPr>
        <w:t xml:space="preserve"> for the comments </w:t>
      </w:r>
      <w:r>
        <w:rPr>
          <w:lang w:eastAsia="ko-KR"/>
        </w:rPr>
        <w:t xml:space="preserve">that </w:t>
      </w:r>
      <w:r w:rsidRPr="00E75A98">
        <w:rPr>
          <w:lang w:eastAsia="ko-KR"/>
        </w:rPr>
        <w:t>he made while still in office regarding torture in Iraq (art. 2).</w:t>
      </w:r>
    </w:p>
    <w:p w14:paraId="7BF372E3" w14:textId="60015B32" w:rsidR="009B4592" w:rsidRPr="00E75A98" w:rsidRDefault="009B4592" w:rsidP="003757E2">
      <w:pPr>
        <w:pStyle w:val="SingleTxtG"/>
        <w:rPr>
          <w:b/>
          <w:lang w:eastAsia="ko-KR"/>
        </w:rPr>
      </w:pPr>
      <w:r w:rsidRPr="00E538F4">
        <w:rPr>
          <w:bCs/>
          <w:lang w:eastAsia="ko-KR"/>
        </w:rPr>
        <w:t>41.</w:t>
      </w:r>
      <w:r w:rsidRPr="00E75A98">
        <w:rPr>
          <w:b/>
          <w:lang w:eastAsia="ko-KR"/>
        </w:rPr>
        <w:tab/>
        <w:t>The State party should:</w:t>
      </w:r>
    </w:p>
    <w:p w14:paraId="458B7868" w14:textId="6FF62323" w:rsidR="009B4592" w:rsidRPr="00E75A98" w:rsidRDefault="009B4592" w:rsidP="003757E2">
      <w:pPr>
        <w:pStyle w:val="SingleTxtG"/>
        <w:rPr>
          <w:b/>
          <w:lang w:eastAsia="ko-KR"/>
        </w:rPr>
      </w:pPr>
      <w:r>
        <w:rPr>
          <w:b/>
          <w:lang w:eastAsia="ko-KR"/>
        </w:rPr>
        <w:tab/>
      </w:r>
      <w:r w:rsidRPr="00140597">
        <w:rPr>
          <w:bCs/>
          <w:lang w:eastAsia="ko-KR"/>
        </w:rPr>
        <w:t>(a)</w:t>
      </w:r>
      <w:r w:rsidRPr="00140597">
        <w:rPr>
          <w:bCs/>
          <w:lang w:eastAsia="ko-KR"/>
        </w:rPr>
        <w:tab/>
      </w:r>
      <w:r w:rsidRPr="00E75A98">
        <w:rPr>
          <w:b/>
          <w:lang w:eastAsia="ko-KR"/>
        </w:rPr>
        <w:t xml:space="preserve">Further strengthen the </w:t>
      </w:r>
      <w:r>
        <w:rPr>
          <w:b/>
          <w:lang w:eastAsia="ko-KR"/>
        </w:rPr>
        <w:t>Iraqi High Commission for Human Rights</w:t>
      </w:r>
      <w:r w:rsidRPr="00E75A98">
        <w:rPr>
          <w:b/>
          <w:lang w:eastAsia="ko-KR"/>
        </w:rPr>
        <w:t xml:space="preserve"> so that it can effectively carry out its mandate, and </w:t>
      </w:r>
      <w:r w:rsidRPr="00E75A98">
        <w:rPr>
          <w:b/>
        </w:rPr>
        <w:t xml:space="preserve">ensure that the appointment process of </w:t>
      </w:r>
      <w:r>
        <w:rPr>
          <w:b/>
        </w:rPr>
        <w:t>Commission</w:t>
      </w:r>
      <w:r w:rsidRPr="00E75A98">
        <w:rPr>
          <w:b/>
        </w:rPr>
        <w:t xml:space="preserve"> members is in full accordance with the </w:t>
      </w:r>
      <w:r w:rsidRPr="00E75A98">
        <w:rPr>
          <w:b/>
          <w:lang w:eastAsia="ko-KR"/>
        </w:rPr>
        <w:t>principles relating to the status of national institutions for the promotion and protection of human rights (</w:t>
      </w:r>
      <w:r>
        <w:rPr>
          <w:b/>
          <w:lang w:eastAsia="ko-KR"/>
        </w:rPr>
        <w:t xml:space="preserve">the </w:t>
      </w:r>
      <w:r w:rsidRPr="00E75A98">
        <w:rPr>
          <w:b/>
          <w:lang w:eastAsia="ko-KR"/>
        </w:rPr>
        <w:t>Paris Principles);</w:t>
      </w:r>
    </w:p>
    <w:p w14:paraId="1297170F" w14:textId="50AEFA90" w:rsidR="009B4592" w:rsidRPr="00E75A98" w:rsidRDefault="009B4592" w:rsidP="003757E2">
      <w:pPr>
        <w:pStyle w:val="SingleTxtG"/>
        <w:rPr>
          <w:b/>
          <w:lang w:eastAsia="ko-KR"/>
        </w:rPr>
      </w:pPr>
      <w:r>
        <w:rPr>
          <w:b/>
          <w:lang w:eastAsia="ko-KR"/>
        </w:rPr>
        <w:tab/>
      </w:r>
      <w:r w:rsidRPr="004545B0">
        <w:rPr>
          <w:bCs/>
          <w:lang w:eastAsia="ko-KR"/>
        </w:rPr>
        <w:t>(b)</w:t>
      </w:r>
      <w:r w:rsidRPr="004545B0">
        <w:rPr>
          <w:bCs/>
          <w:lang w:eastAsia="ko-KR"/>
        </w:rPr>
        <w:tab/>
      </w:r>
      <w:r w:rsidRPr="00E75A98">
        <w:rPr>
          <w:b/>
          <w:lang w:eastAsia="ko-KR"/>
        </w:rPr>
        <w:t>Follow</w:t>
      </w:r>
      <w:r>
        <w:rPr>
          <w:b/>
          <w:lang w:eastAsia="ko-KR"/>
        </w:rPr>
        <w:t xml:space="preserve"> </w:t>
      </w:r>
      <w:r w:rsidRPr="00E75A98">
        <w:rPr>
          <w:b/>
          <w:lang w:eastAsia="ko-KR"/>
        </w:rPr>
        <w:t xml:space="preserve">up on complaints of torture lodged with the </w:t>
      </w:r>
      <w:r>
        <w:rPr>
          <w:b/>
          <w:lang w:eastAsia="ko-KR"/>
        </w:rPr>
        <w:t>Iraqi High Commission for Human Rights,</w:t>
      </w:r>
      <w:r w:rsidRPr="00E75A98">
        <w:rPr>
          <w:b/>
          <w:lang w:eastAsia="ko-KR"/>
        </w:rPr>
        <w:t xml:space="preserve"> undertake effective investigations </w:t>
      </w:r>
      <w:r>
        <w:rPr>
          <w:b/>
          <w:lang w:eastAsia="ko-KR"/>
        </w:rPr>
        <w:t xml:space="preserve">and </w:t>
      </w:r>
      <w:r w:rsidRPr="00E75A98">
        <w:rPr>
          <w:b/>
          <w:lang w:eastAsia="ko-KR"/>
        </w:rPr>
        <w:t>prosecution</w:t>
      </w:r>
      <w:r>
        <w:rPr>
          <w:b/>
          <w:lang w:eastAsia="ko-KR"/>
        </w:rPr>
        <w:t>s</w:t>
      </w:r>
      <w:r w:rsidRPr="00E75A98">
        <w:rPr>
          <w:b/>
          <w:lang w:eastAsia="ko-KR"/>
        </w:rPr>
        <w:t xml:space="preserve"> of perpetrators and provide redress to victims;</w:t>
      </w:r>
    </w:p>
    <w:p w14:paraId="495C55CB" w14:textId="63CF4219" w:rsidR="009B4592" w:rsidRPr="00E75A98" w:rsidRDefault="009B4592" w:rsidP="003757E2">
      <w:pPr>
        <w:pStyle w:val="SingleTxtG"/>
        <w:rPr>
          <w:b/>
          <w:lang w:eastAsia="ko-KR"/>
        </w:rPr>
      </w:pPr>
      <w:r>
        <w:rPr>
          <w:b/>
          <w:lang w:eastAsia="ko-KR"/>
        </w:rPr>
        <w:tab/>
      </w:r>
      <w:r w:rsidRPr="00F6640D">
        <w:rPr>
          <w:bCs/>
          <w:lang w:eastAsia="ko-KR"/>
        </w:rPr>
        <w:t>(c)</w:t>
      </w:r>
      <w:r w:rsidRPr="00F6640D">
        <w:rPr>
          <w:bCs/>
          <w:lang w:eastAsia="ko-KR"/>
        </w:rPr>
        <w:tab/>
      </w:r>
      <w:r w:rsidRPr="00E75A98">
        <w:rPr>
          <w:b/>
          <w:lang w:eastAsia="ko-KR"/>
        </w:rPr>
        <w:t xml:space="preserve">Ensure, as a matter of priority, that the members of the </w:t>
      </w:r>
      <w:r>
        <w:rPr>
          <w:b/>
          <w:lang w:eastAsia="ko-KR"/>
        </w:rPr>
        <w:t>Iraqi High Commission for Human Rights</w:t>
      </w:r>
      <w:r w:rsidRPr="00E75A98">
        <w:rPr>
          <w:b/>
          <w:lang w:eastAsia="ko-KR"/>
        </w:rPr>
        <w:t xml:space="preserve"> are able to carry out their professional duties independently and are protected from any intimidation, harassment, improper interference or reprisals.</w:t>
      </w:r>
    </w:p>
    <w:p w14:paraId="76542130" w14:textId="77777777" w:rsidR="009B4592" w:rsidRPr="00E75A98" w:rsidRDefault="009B4592" w:rsidP="00E538F4">
      <w:pPr>
        <w:pStyle w:val="H23G"/>
      </w:pPr>
      <w:r>
        <w:lastRenderedPageBreak/>
        <w:tab/>
      </w:r>
      <w:r>
        <w:tab/>
      </w:r>
      <w:r w:rsidRPr="00E75A98">
        <w:t>Training</w:t>
      </w:r>
    </w:p>
    <w:p w14:paraId="148A237A" w14:textId="77777777" w:rsidR="009B4592" w:rsidRPr="00E75A98" w:rsidRDefault="009B4592" w:rsidP="003757E2">
      <w:pPr>
        <w:pStyle w:val="SingleTxtG"/>
        <w:rPr>
          <w:lang w:eastAsia="ko-KR"/>
        </w:rPr>
      </w:pPr>
      <w:r w:rsidRPr="00E75A98">
        <w:rPr>
          <w:lang w:eastAsia="ko-KR"/>
        </w:rPr>
        <w:t>42.</w:t>
      </w:r>
      <w:r w:rsidRPr="00E75A98">
        <w:rPr>
          <w:lang w:eastAsia="ko-KR"/>
        </w:rPr>
        <w:tab/>
        <w:t xml:space="preserve">The Committee </w:t>
      </w:r>
      <w:r>
        <w:rPr>
          <w:lang w:eastAsia="ko-KR"/>
        </w:rPr>
        <w:t xml:space="preserve">takes </w:t>
      </w:r>
      <w:r w:rsidRPr="00E75A98">
        <w:rPr>
          <w:lang w:eastAsia="ko-KR"/>
        </w:rPr>
        <w:t xml:space="preserve">note </w:t>
      </w:r>
      <w:r>
        <w:rPr>
          <w:lang w:eastAsia="ko-KR"/>
        </w:rPr>
        <w:t xml:space="preserve">of </w:t>
      </w:r>
      <w:r w:rsidRPr="00E75A98">
        <w:rPr>
          <w:lang w:eastAsia="ko-KR"/>
        </w:rPr>
        <w:t>the information provided by the State party’s delegation on the training dedicated to human rights modules in military and police colleges</w:t>
      </w:r>
      <w:r>
        <w:rPr>
          <w:lang w:eastAsia="ko-KR"/>
        </w:rPr>
        <w:t xml:space="preserve"> and elsewhere</w:t>
      </w:r>
      <w:r w:rsidRPr="00E75A98">
        <w:rPr>
          <w:lang w:eastAsia="ko-KR"/>
        </w:rPr>
        <w:t>. However, it regrets the lack of information on specific training on the Convention,</w:t>
      </w:r>
      <w:r>
        <w:rPr>
          <w:lang w:eastAsia="ko-KR"/>
        </w:rPr>
        <w:t xml:space="preserve"> </w:t>
      </w:r>
      <w:r w:rsidRPr="00E75A98">
        <w:rPr>
          <w:lang w:eastAsia="ko-KR"/>
        </w:rPr>
        <w:t xml:space="preserve">covering in particular the absolute prohibition of torture and ill-treatment, for judges, prosecutors, forensic doctors and medical personnel, as well as </w:t>
      </w:r>
      <w:r>
        <w:rPr>
          <w:lang w:eastAsia="ko-KR"/>
        </w:rPr>
        <w:t xml:space="preserve">members of the </w:t>
      </w:r>
      <w:r w:rsidRPr="00E75A98">
        <w:rPr>
          <w:lang w:eastAsia="ko-KR"/>
        </w:rPr>
        <w:t>security forces (art. 10).</w:t>
      </w:r>
    </w:p>
    <w:p w14:paraId="127FCEAC" w14:textId="533BC8AD" w:rsidR="009B4592" w:rsidRPr="00E75A98" w:rsidRDefault="009B4592" w:rsidP="003757E2">
      <w:pPr>
        <w:pStyle w:val="SingleTxtG"/>
        <w:rPr>
          <w:b/>
          <w:lang w:eastAsia="ko-KR"/>
        </w:rPr>
      </w:pPr>
      <w:r w:rsidRPr="00E538F4">
        <w:rPr>
          <w:bCs/>
          <w:lang w:eastAsia="ko-KR"/>
        </w:rPr>
        <w:t>43.</w:t>
      </w:r>
      <w:r w:rsidRPr="00E75A98">
        <w:rPr>
          <w:b/>
          <w:lang w:eastAsia="ko-KR"/>
        </w:rPr>
        <w:tab/>
        <w:t>The State party should:</w:t>
      </w:r>
    </w:p>
    <w:p w14:paraId="4C285DAC" w14:textId="47C1BEDA" w:rsidR="009B4592" w:rsidRPr="00E75A98" w:rsidRDefault="009B4592" w:rsidP="003757E2">
      <w:pPr>
        <w:pStyle w:val="SingleTxtG"/>
        <w:rPr>
          <w:b/>
          <w:lang w:eastAsia="ko-KR"/>
        </w:rPr>
      </w:pPr>
      <w:r>
        <w:rPr>
          <w:b/>
          <w:lang w:eastAsia="ko-KR"/>
        </w:rPr>
        <w:tab/>
      </w:r>
      <w:r w:rsidRPr="00825674">
        <w:rPr>
          <w:bCs/>
          <w:lang w:eastAsia="ko-KR"/>
        </w:rPr>
        <w:t>(a)</w:t>
      </w:r>
      <w:r w:rsidRPr="00825674">
        <w:rPr>
          <w:bCs/>
          <w:lang w:eastAsia="ko-KR"/>
        </w:rPr>
        <w:tab/>
      </w:r>
      <w:r w:rsidRPr="00E75A98">
        <w:rPr>
          <w:b/>
          <w:lang w:eastAsia="ko-KR"/>
        </w:rPr>
        <w:t>Include the provisions of the Convention in the curricula of mandatory courses</w:t>
      </w:r>
      <w:r>
        <w:rPr>
          <w:b/>
          <w:lang w:eastAsia="ko-KR"/>
        </w:rPr>
        <w:t xml:space="preserve"> </w:t>
      </w:r>
      <w:r w:rsidRPr="00E75A98">
        <w:rPr>
          <w:b/>
          <w:lang w:eastAsia="ko-KR"/>
        </w:rPr>
        <w:t>for police, law enforcement and national security officers, military personnel, border guards, prison staff, judges, prosecutors and lawyers;</w:t>
      </w:r>
    </w:p>
    <w:p w14:paraId="439E6A5F" w14:textId="77777777" w:rsidR="009B4592" w:rsidRPr="00E75A98" w:rsidRDefault="009B4592" w:rsidP="003757E2">
      <w:pPr>
        <w:pStyle w:val="SingleTxtG"/>
        <w:rPr>
          <w:b/>
        </w:rPr>
      </w:pPr>
      <w:r>
        <w:rPr>
          <w:b/>
        </w:rPr>
        <w:tab/>
      </w:r>
      <w:r w:rsidRPr="00825674">
        <w:rPr>
          <w:bCs/>
        </w:rPr>
        <w:t>(b)</w:t>
      </w:r>
      <w:r w:rsidRPr="00825674">
        <w:rPr>
          <w:bCs/>
        </w:rPr>
        <w:tab/>
      </w:r>
      <w:r w:rsidRPr="00E75A98">
        <w:rPr>
          <w:b/>
        </w:rPr>
        <w:t xml:space="preserve">Ensure that all relevant staff, including medical personnel, are specifically trained to identify cases of torture and ill-treatment, in accordance with the Manual on </w:t>
      </w:r>
      <w:r>
        <w:rPr>
          <w:b/>
        </w:rPr>
        <w:t xml:space="preserve">the </w:t>
      </w:r>
      <w:r w:rsidRPr="00E75A98">
        <w:rPr>
          <w:b/>
        </w:rPr>
        <w:t xml:space="preserve">Effective Investigation and Documentation of Torture and </w:t>
      </w:r>
      <w:r>
        <w:rPr>
          <w:b/>
        </w:rPr>
        <w:t>O</w:t>
      </w:r>
      <w:r w:rsidRPr="00E75A98">
        <w:rPr>
          <w:b/>
        </w:rPr>
        <w:t>ther Cruel, Inhuman or Degrading Treatment or Punishment (Istanbul Protocol).</w:t>
      </w:r>
    </w:p>
    <w:p w14:paraId="2F63A504" w14:textId="77777777" w:rsidR="009B4592" w:rsidRPr="00E75A98" w:rsidRDefault="009B4592" w:rsidP="00E538F4">
      <w:pPr>
        <w:pStyle w:val="H23G"/>
      </w:pPr>
      <w:r w:rsidRPr="00E538F4">
        <w:rPr>
          <w:lang w:eastAsia="ko-KR"/>
        </w:rPr>
        <w:tab/>
      </w:r>
      <w:r w:rsidRPr="00E538F4">
        <w:rPr>
          <w:lang w:eastAsia="ko-KR"/>
        </w:rPr>
        <w:tab/>
      </w:r>
      <w:r w:rsidRPr="00E75A98">
        <w:rPr>
          <w:color w:val="C00000"/>
          <w:lang w:eastAsia="ko-KR"/>
        </w:rPr>
        <w:tab/>
      </w:r>
      <w:r w:rsidRPr="00E75A98">
        <w:t>Follow-up procedure</w:t>
      </w:r>
    </w:p>
    <w:p w14:paraId="1CBE5083" w14:textId="5DFB3E61" w:rsidR="009B4592" w:rsidRPr="00E75A98" w:rsidRDefault="009B4592" w:rsidP="003757E2">
      <w:pPr>
        <w:pStyle w:val="SingleTxtG"/>
        <w:rPr>
          <w:sz w:val="24"/>
          <w:szCs w:val="24"/>
        </w:rPr>
      </w:pPr>
      <w:r w:rsidRPr="00E75A98">
        <w:t>44.</w:t>
      </w:r>
      <w:r w:rsidRPr="00E75A98">
        <w:tab/>
      </w:r>
      <w:r w:rsidRPr="00E75A98">
        <w:rPr>
          <w:b/>
        </w:rPr>
        <w:t xml:space="preserve">The Committee requests the State party to provide, by 13 May 2023, information on follow-up to the Committee’s recommendations on </w:t>
      </w:r>
      <w:r>
        <w:rPr>
          <w:b/>
        </w:rPr>
        <w:t xml:space="preserve">the </w:t>
      </w:r>
      <w:r w:rsidRPr="00E75A98">
        <w:rPr>
          <w:b/>
        </w:rPr>
        <w:t xml:space="preserve">criminalization of torture, fundamental legal safeguards, conflict-related sexual violence and </w:t>
      </w:r>
      <w:r>
        <w:rPr>
          <w:b/>
        </w:rPr>
        <w:t xml:space="preserve">the </w:t>
      </w:r>
      <w:r w:rsidRPr="00E75A98">
        <w:rPr>
          <w:b/>
        </w:rPr>
        <w:t>death penalty (see paras. 9, 11 (a) and (c), 21 and 31 above). In that context, the State party is invited to inform the Committee about its plans for implementing, within the coming reporting period, some or all of the remaining recommendations in the concluding observations.</w:t>
      </w:r>
    </w:p>
    <w:p w14:paraId="4C23850F" w14:textId="77777777" w:rsidR="009B4592" w:rsidRPr="00E75A98" w:rsidRDefault="009B4592" w:rsidP="00E82CD9">
      <w:pPr>
        <w:pStyle w:val="H23G"/>
      </w:pPr>
      <w:r w:rsidRPr="00E75A98">
        <w:tab/>
      </w:r>
      <w:r w:rsidRPr="00E75A98">
        <w:tab/>
        <w:t>Other issues</w:t>
      </w:r>
    </w:p>
    <w:p w14:paraId="09B477A1" w14:textId="77777777" w:rsidR="009B4592" w:rsidRPr="00E75A98" w:rsidRDefault="009B4592" w:rsidP="003757E2">
      <w:pPr>
        <w:pStyle w:val="SingleTxtG"/>
      </w:pPr>
      <w:r w:rsidRPr="00E75A98">
        <w:t>45.</w:t>
      </w:r>
      <w:r w:rsidRPr="00E75A98">
        <w:tab/>
      </w:r>
      <w:r w:rsidRPr="00E75A98">
        <w:rPr>
          <w:b/>
          <w:bCs/>
        </w:rPr>
        <w:t>The Committee encourages the State party to consider making the declarations under articles 21 and 22 of the Convention.</w:t>
      </w:r>
    </w:p>
    <w:p w14:paraId="6B5E1388" w14:textId="6DBBF036" w:rsidR="009B4592" w:rsidRPr="00E75A98" w:rsidRDefault="009B4592" w:rsidP="003757E2">
      <w:pPr>
        <w:pStyle w:val="SingleTxtG"/>
      </w:pPr>
      <w:r w:rsidRPr="00E75A98">
        <w:rPr>
          <w:bCs/>
        </w:rPr>
        <w:t>46.</w:t>
      </w:r>
      <w:r w:rsidRPr="00E75A98">
        <w:rPr>
          <w:b/>
        </w:rPr>
        <w:tab/>
        <w:t>The Committee invites the State party to consider acceding to the Rome Statute of the International Criminal Court, becoming party to the Protocol Additional to the Geneva Conventions of 12 August 1949, and relating to the Protection of Victims of Non-International Armed Conflict</w:t>
      </w:r>
      <w:r>
        <w:rPr>
          <w:b/>
        </w:rPr>
        <w:t>s</w:t>
      </w:r>
      <w:r w:rsidRPr="00E75A98">
        <w:rPr>
          <w:b/>
        </w:rPr>
        <w:t>, t</w:t>
      </w:r>
      <w:r w:rsidRPr="00E75A98">
        <w:rPr>
          <w:b/>
          <w:lang w:eastAsia="ko-KR"/>
        </w:rPr>
        <w:t>he Convention relating to the Status of Stateless Persons and the Convention on the Reduction of Statelessness</w:t>
      </w:r>
      <w:r w:rsidRPr="00E75A98">
        <w:rPr>
          <w:b/>
        </w:rPr>
        <w:t xml:space="preserve"> and ratifying the core United Nations human rights treaties to which it is not yet party.</w:t>
      </w:r>
    </w:p>
    <w:p w14:paraId="13204384" w14:textId="77777777" w:rsidR="009B4592" w:rsidRPr="00E75A98" w:rsidRDefault="009B4592" w:rsidP="003757E2">
      <w:pPr>
        <w:pStyle w:val="SingleTxtG"/>
        <w:rPr>
          <w:b/>
          <w:bCs/>
          <w:lang w:eastAsia="ko-KR"/>
        </w:rPr>
      </w:pPr>
      <w:r w:rsidRPr="00E75A98">
        <w:t>47.</w:t>
      </w:r>
      <w:r w:rsidRPr="00E75A98">
        <w:tab/>
      </w:r>
      <w:r w:rsidRPr="00E75A98">
        <w:rPr>
          <w:b/>
          <w:bCs/>
          <w:lang w:eastAsia="ko-KR"/>
        </w:rPr>
        <w:t>The State party is requested to widely disseminate the report submitted to the Committee and the present concluding observations, in appropriate languages, through official websites, the media and non-governmental organizations</w:t>
      </w:r>
      <w:r w:rsidRPr="00E75A98">
        <w:rPr>
          <w:b/>
          <w:bCs/>
        </w:rPr>
        <w:t xml:space="preserve"> </w:t>
      </w:r>
      <w:r w:rsidRPr="00E75A98">
        <w:rPr>
          <w:b/>
          <w:bCs/>
          <w:lang w:eastAsia="ko-KR"/>
        </w:rPr>
        <w:t>and to inform the Committee about its dissemination activities.</w:t>
      </w:r>
    </w:p>
    <w:p w14:paraId="1D7B7AAB" w14:textId="3C784A02" w:rsidR="009B4592" w:rsidRPr="000D4A26" w:rsidRDefault="009B4592" w:rsidP="003757E2">
      <w:pPr>
        <w:pStyle w:val="SingleTxtG"/>
        <w:rPr>
          <w:sz w:val="24"/>
        </w:rPr>
      </w:pPr>
      <w:r w:rsidRPr="00E75A98">
        <w:rPr>
          <w:rFonts w:eastAsia="Times New Roman"/>
          <w:lang w:eastAsia="en-GB"/>
        </w:rPr>
        <w:t>48.</w:t>
      </w:r>
      <w:r w:rsidRPr="00E75A98">
        <w:rPr>
          <w:rFonts w:eastAsia="Times New Roman"/>
          <w:lang w:eastAsia="en-GB"/>
        </w:rPr>
        <w:tab/>
      </w:r>
      <w:r w:rsidRPr="00E75A98">
        <w:rPr>
          <w:b/>
          <w:bCs/>
          <w:lang w:eastAsia="en-GB"/>
        </w:rPr>
        <w:t>The Committee requests the State party to submit its next periodic report, which will be its third, by 13 May 2026. To th</w:t>
      </w:r>
      <w:r>
        <w:rPr>
          <w:b/>
          <w:bCs/>
          <w:lang w:eastAsia="en-GB"/>
        </w:rPr>
        <w:t>at</w:t>
      </w:r>
      <w:r w:rsidRPr="00E75A98">
        <w:rPr>
          <w:b/>
          <w:bCs/>
          <w:lang w:eastAsia="en-GB"/>
        </w:rPr>
        <w:t xml:space="preserve"> end, the Committee invites the State party to accept, by 13 May 2023, the simplified reporting procedure consisting of the Committee’s transmittal to the State party of a list of issues prior to the submission of the report. The State party’s replies to that list of issues </w:t>
      </w:r>
      <w:r>
        <w:rPr>
          <w:b/>
          <w:bCs/>
          <w:lang w:eastAsia="en-GB"/>
        </w:rPr>
        <w:t>would then</w:t>
      </w:r>
      <w:r w:rsidRPr="00E75A98">
        <w:rPr>
          <w:b/>
          <w:bCs/>
          <w:lang w:eastAsia="en-GB"/>
        </w:rPr>
        <w:t xml:space="preserve"> constitute its third periodic report under article 19 of the Convention.</w:t>
      </w:r>
    </w:p>
    <w:p w14:paraId="613B8E19" w14:textId="1A264754" w:rsidR="00E67FFB" w:rsidRPr="00E67FFB" w:rsidRDefault="003757E2" w:rsidP="003757E2">
      <w:pPr>
        <w:pStyle w:val="SingleTxtG"/>
        <w:jc w:val="center"/>
        <w:rPr>
          <w:rFonts w:eastAsiaTheme="minorEastAsia"/>
        </w:rPr>
      </w:pPr>
      <w:r>
        <w:rPr>
          <w:rFonts w:eastAsia="Times New Roman"/>
          <w:u w:val="single"/>
          <w:lang w:eastAsia="en-GB"/>
        </w:rPr>
        <w:tab/>
      </w:r>
      <w:r>
        <w:rPr>
          <w:rFonts w:eastAsia="Times New Roman"/>
          <w:u w:val="single"/>
          <w:lang w:eastAsia="en-GB"/>
        </w:rPr>
        <w:tab/>
      </w:r>
      <w:r>
        <w:rPr>
          <w:rFonts w:eastAsia="Times New Roman"/>
          <w:u w:val="single"/>
          <w:lang w:eastAsia="en-GB"/>
        </w:rPr>
        <w:tab/>
      </w:r>
      <w:r>
        <w:rPr>
          <w:rFonts w:eastAsia="Times New Roman"/>
          <w:u w:val="single"/>
          <w:lang w:eastAsia="en-GB"/>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4E36" w14:textId="77777777" w:rsidR="005B3729" w:rsidRPr="008779DC" w:rsidRDefault="005B3729" w:rsidP="008779DC">
      <w:pPr>
        <w:pStyle w:val="Footer"/>
      </w:pPr>
    </w:p>
  </w:endnote>
  <w:endnote w:type="continuationSeparator" w:id="0">
    <w:p w14:paraId="19E80E5C" w14:textId="77777777" w:rsidR="005B3729" w:rsidRPr="008779DC" w:rsidRDefault="005B372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Roboto">
    <w:altName w:val="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4BE2" w14:textId="054618D0" w:rsidR="009B4592" w:rsidRDefault="009B4592" w:rsidP="00CA5065">
    <w:pPr>
      <w:pStyle w:val="Footer"/>
      <w:tabs>
        <w:tab w:val="right" w:pos="9638"/>
      </w:tabs>
    </w:pPr>
    <w:r w:rsidRPr="009B4592">
      <w:rPr>
        <w:b/>
        <w:bCs/>
        <w:sz w:val="18"/>
      </w:rPr>
      <w:fldChar w:fldCharType="begin"/>
    </w:r>
    <w:r w:rsidRPr="009B4592">
      <w:rPr>
        <w:b/>
        <w:bCs/>
        <w:sz w:val="18"/>
      </w:rPr>
      <w:instrText xml:space="preserve"> PAGE  \* MERGEFORMAT </w:instrText>
    </w:r>
    <w:r w:rsidRPr="009B4592">
      <w:rPr>
        <w:b/>
        <w:bCs/>
        <w:sz w:val="18"/>
      </w:rPr>
      <w:fldChar w:fldCharType="separate"/>
    </w:r>
    <w:r w:rsidRPr="009B4592">
      <w:rPr>
        <w:b/>
        <w:bCs/>
        <w:noProof/>
        <w:sz w:val="18"/>
      </w:rPr>
      <w:t>2</w:t>
    </w:r>
    <w:r w:rsidRPr="009B459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2CFC" w14:textId="6D32A1FA" w:rsidR="009B4592" w:rsidRDefault="009B4592" w:rsidP="009B4592">
    <w:pPr>
      <w:pStyle w:val="Footer"/>
      <w:tabs>
        <w:tab w:val="right" w:pos="9638"/>
      </w:tabs>
    </w:pPr>
    <w:r>
      <w:tab/>
    </w:r>
    <w:r w:rsidRPr="009B4592">
      <w:rPr>
        <w:b/>
        <w:bCs/>
        <w:sz w:val="18"/>
      </w:rPr>
      <w:fldChar w:fldCharType="begin"/>
    </w:r>
    <w:r w:rsidRPr="009B4592">
      <w:rPr>
        <w:b/>
        <w:bCs/>
        <w:sz w:val="18"/>
      </w:rPr>
      <w:instrText xml:space="preserve"> PAGE  \* MERGEFORMAT </w:instrText>
    </w:r>
    <w:r w:rsidRPr="009B4592">
      <w:rPr>
        <w:b/>
        <w:bCs/>
        <w:sz w:val="18"/>
      </w:rPr>
      <w:fldChar w:fldCharType="separate"/>
    </w:r>
    <w:r w:rsidRPr="009B4592">
      <w:rPr>
        <w:b/>
        <w:bCs/>
        <w:noProof/>
        <w:sz w:val="18"/>
      </w:rPr>
      <w:t>3</w:t>
    </w:r>
    <w:r w:rsidRPr="009B45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9472" w14:textId="1919A595" w:rsidR="00800DB2" w:rsidRDefault="00800DB2" w:rsidP="00800DB2">
    <w:pPr>
      <w:pStyle w:val="Footer"/>
    </w:pPr>
    <w:bookmarkStart w:id="0" w:name="_GoBack"/>
    <w:bookmarkEnd w:id="0"/>
    <w:r>
      <w:rPr>
        <w:noProof/>
        <w:lang w:val="en-US"/>
      </w:rPr>
      <w:drawing>
        <wp:anchor distT="0" distB="0" distL="114300" distR="114300" simplePos="0" relativeHeight="251659264" behindDoc="1" locked="1" layoutInCell="1" allowOverlap="1" wp14:anchorId="511918CF" wp14:editId="4AD99AE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F2080B" w14:textId="31526A8B" w:rsidR="00800DB2" w:rsidRPr="00800DB2" w:rsidRDefault="00800DB2" w:rsidP="00800DB2">
    <w:pPr>
      <w:pStyle w:val="Footer"/>
      <w:ind w:right="1134"/>
      <w:rPr>
        <w:sz w:val="20"/>
      </w:rPr>
    </w:pPr>
    <w:r>
      <w:rPr>
        <w:sz w:val="20"/>
      </w:rPr>
      <w:t>GE.22-09270(E)</w:t>
    </w:r>
    <w:r>
      <w:rPr>
        <w:noProof/>
        <w:sz w:val="20"/>
      </w:rPr>
      <w:drawing>
        <wp:anchor distT="0" distB="0" distL="114300" distR="114300" simplePos="0" relativeHeight="251660288" behindDoc="0" locked="0" layoutInCell="1" allowOverlap="1" wp14:anchorId="6D69B73E" wp14:editId="573B49D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1826" w14:textId="77777777" w:rsidR="005B3729" w:rsidRPr="008779DC" w:rsidRDefault="005B3729" w:rsidP="008779DC">
      <w:pPr>
        <w:tabs>
          <w:tab w:val="right" w:pos="2155"/>
        </w:tabs>
        <w:spacing w:after="80" w:line="240" w:lineRule="auto"/>
        <w:ind w:left="680"/>
      </w:pPr>
      <w:r>
        <w:rPr>
          <w:u w:val="single"/>
        </w:rPr>
        <w:tab/>
      </w:r>
    </w:p>
  </w:footnote>
  <w:footnote w:type="continuationSeparator" w:id="0">
    <w:p w14:paraId="56E11471" w14:textId="77777777" w:rsidR="005B3729" w:rsidRPr="008779DC" w:rsidRDefault="005B3729" w:rsidP="008779DC">
      <w:pPr>
        <w:tabs>
          <w:tab w:val="right" w:pos="2155"/>
        </w:tabs>
        <w:spacing w:after="80" w:line="240" w:lineRule="auto"/>
        <w:ind w:left="680"/>
      </w:pPr>
      <w:r>
        <w:rPr>
          <w:u w:val="single"/>
        </w:rPr>
        <w:tab/>
      </w:r>
    </w:p>
  </w:footnote>
  <w:footnote w:id="1">
    <w:p w14:paraId="7CF9752A" w14:textId="77777777" w:rsidR="009B4592" w:rsidRDefault="009B4592" w:rsidP="009B4592">
      <w:pPr>
        <w:pStyle w:val="FootnoteText"/>
      </w:pPr>
      <w:r>
        <w:tab/>
        <w:t>*</w:t>
      </w:r>
      <w:r>
        <w:tab/>
      </w:r>
      <w:r w:rsidRPr="00730532">
        <w:t>Adopted by the Committee at its seventy-third session (19 April</w:t>
      </w:r>
      <w:r>
        <w:t>–</w:t>
      </w:r>
      <w:r w:rsidRPr="00730532">
        <w:t>13 May 2022).</w:t>
      </w:r>
    </w:p>
  </w:footnote>
  <w:footnote w:id="2">
    <w:p w14:paraId="0910CF29" w14:textId="5449E07C" w:rsidR="009B4592" w:rsidRPr="00E15A38" w:rsidRDefault="009B4592" w:rsidP="009B4592">
      <w:pPr>
        <w:pStyle w:val="FootnoteText"/>
        <w:rPr>
          <w:szCs w:val="18"/>
        </w:rPr>
      </w:pPr>
      <w:r w:rsidRPr="00E15A38">
        <w:rPr>
          <w:szCs w:val="18"/>
        </w:rPr>
        <w:tab/>
      </w:r>
      <w:r w:rsidRPr="00E15A38">
        <w:rPr>
          <w:rStyle w:val="FootnoteReference"/>
          <w:szCs w:val="18"/>
        </w:rPr>
        <w:footnoteRef/>
      </w:r>
      <w:r w:rsidRPr="00E15A38">
        <w:rPr>
          <w:szCs w:val="18"/>
        </w:rPr>
        <w:tab/>
      </w:r>
      <w:hyperlink r:id="rId1" w:history="1">
        <w:r w:rsidRPr="000F5384">
          <w:rPr>
            <w:rStyle w:val="Hyperlink"/>
            <w:szCs w:val="18"/>
          </w:rPr>
          <w:t>CAT/C/IRQ/2</w:t>
        </w:r>
      </w:hyperlink>
      <w:r w:rsidRPr="00E15A38">
        <w:rPr>
          <w:szCs w:val="18"/>
        </w:rPr>
        <w:t>.</w:t>
      </w:r>
    </w:p>
  </w:footnote>
  <w:footnote w:id="3">
    <w:p w14:paraId="64E817F5" w14:textId="3E2885B0" w:rsidR="009B4592" w:rsidRPr="00E75A98" w:rsidRDefault="009B4592" w:rsidP="009B4592">
      <w:pPr>
        <w:pStyle w:val="FootnoteText"/>
        <w:rPr>
          <w:szCs w:val="18"/>
          <w:lang w:val="en-US"/>
        </w:rPr>
      </w:pPr>
      <w:r w:rsidRPr="00E15A38">
        <w:rPr>
          <w:szCs w:val="18"/>
        </w:rPr>
        <w:tab/>
      </w:r>
      <w:r w:rsidRPr="00E15A38">
        <w:rPr>
          <w:rStyle w:val="FootnoteReference"/>
          <w:szCs w:val="18"/>
        </w:rPr>
        <w:footnoteRef/>
      </w:r>
      <w:r w:rsidRPr="00E15A38">
        <w:rPr>
          <w:szCs w:val="18"/>
        </w:rPr>
        <w:tab/>
        <w:t xml:space="preserve">See </w:t>
      </w:r>
      <w:hyperlink r:id="rId2" w:history="1">
        <w:r w:rsidRPr="000F5384">
          <w:rPr>
            <w:rStyle w:val="Hyperlink"/>
            <w:szCs w:val="18"/>
          </w:rPr>
          <w:t>CAT/C/SR.1887</w:t>
        </w:r>
      </w:hyperlink>
      <w:r w:rsidRPr="00E75A98">
        <w:rPr>
          <w:rStyle w:val="Hyperlink"/>
          <w:szCs w:val="18"/>
        </w:rPr>
        <w:t xml:space="preserve"> </w:t>
      </w:r>
      <w:r w:rsidRPr="003757E2">
        <w:rPr>
          <w:rStyle w:val="Hyperlink"/>
          <w:color w:val="auto"/>
          <w:szCs w:val="18"/>
        </w:rPr>
        <w:t>a</w:t>
      </w:r>
      <w:r w:rsidRPr="00E75A98">
        <w:rPr>
          <w:szCs w:val="18"/>
        </w:rPr>
        <w:t xml:space="preserve">nd </w:t>
      </w:r>
      <w:hyperlink r:id="rId3" w:history="1">
        <w:r w:rsidRPr="000F5384">
          <w:rPr>
            <w:rStyle w:val="Hyperlink"/>
            <w:szCs w:val="18"/>
          </w:rPr>
          <w:t>CAT/C/SR.1890</w:t>
        </w:r>
      </w:hyperlink>
      <w:r w:rsidRPr="00E75A98">
        <w:rPr>
          <w:szCs w:val="18"/>
        </w:rPr>
        <w:t>.</w:t>
      </w:r>
    </w:p>
  </w:footnote>
  <w:footnote w:id="4">
    <w:p w14:paraId="36EBF775" w14:textId="492AAE44" w:rsidR="009B4592" w:rsidRPr="008477ED" w:rsidRDefault="009B4592" w:rsidP="009B4592">
      <w:pPr>
        <w:pStyle w:val="FootnoteText"/>
        <w:rPr>
          <w:szCs w:val="18"/>
          <w:lang w:val="fr-FR"/>
        </w:rPr>
      </w:pPr>
      <w:r w:rsidRPr="00E75A98">
        <w:rPr>
          <w:szCs w:val="18"/>
        </w:rPr>
        <w:tab/>
      </w:r>
      <w:r w:rsidRPr="00E75A98">
        <w:rPr>
          <w:rStyle w:val="FootnoteReference"/>
          <w:szCs w:val="18"/>
        </w:rPr>
        <w:footnoteRef/>
      </w:r>
      <w:r w:rsidRPr="008477ED">
        <w:rPr>
          <w:szCs w:val="18"/>
          <w:lang w:val="fr-FR"/>
        </w:rPr>
        <w:tab/>
      </w:r>
      <w:hyperlink r:id="rId4" w:history="1">
        <w:r w:rsidRPr="000F5384">
          <w:rPr>
            <w:rStyle w:val="Hyperlink"/>
            <w:szCs w:val="18"/>
            <w:lang w:val="fr-FR"/>
          </w:rPr>
          <w:t>CAT/C/IRQ/RQ/2</w:t>
        </w:r>
      </w:hyperlink>
      <w:r w:rsidRPr="008477ED">
        <w:rPr>
          <w:szCs w:val="18"/>
          <w:lang w:val="fr-FR"/>
        </w:rPr>
        <w:t>.</w:t>
      </w:r>
    </w:p>
  </w:footnote>
  <w:footnote w:id="5">
    <w:p w14:paraId="15811B19" w14:textId="59570495" w:rsidR="009B4592" w:rsidRPr="008477ED" w:rsidRDefault="009B4592" w:rsidP="009B4592">
      <w:pPr>
        <w:pStyle w:val="FootnoteText"/>
        <w:rPr>
          <w:lang w:val="fr-FR"/>
        </w:rPr>
      </w:pPr>
      <w:r w:rsidRPr="008477ED">
        <w:rPr>
          <w:lang w:val="fr-FR"/>
        </w:rPr>
        <w:tab/>
      </w:r>
      <w:r w:rsidRPr="00E75A98">
        <w:rPr>
          <w:rStyle w:val="FootnoteReference"/>
        </w:rPr>
        <w:footnoteRef/>
      </w:r>
      <w:r w:rsidRPr="008477ED">
        <w:rPr>
          <w:lang w:val="fr-FR"/>
        </w:rPr>
        <w:tab/>
      </w:r>
      <w:hyperlink r:id="rId5" w:history="1">
        <w:r w:rsidRPr="000F5384">
          <w:rPr>
            <w:rStyle w:val="Hyperlink"/>
            <w:lang w:val="fr-FR"/>
          </w:rPr>
          <w:t>CAT/C/IRQ/Q/2</w:t>
        </w:r>
      </w:hyperlink>
      <w:r w:rsidRPr="008477ED">
        <w:rPr>
          <w:lang w:val="fr-FR"/>
        </w:rPr>
        <w:t>.</w:t>
      </w:r>
    </w:p>
  </w:footnote>
  <w:footnote w:id="6">
    <w:p w14:paraId="14F94E86" w14:textId="514BA08C" w:rsidR="009B4592" w:rsidRPr="00AA7C7A" w:rsidRDefault="009B4592" w:rsidP="009B4592">
      <w:pPr>
        <w:pStyle w:val="FootnoteText"/>
      </w:pPr>
      <w:r w:rsidRPr="008477ED">
        <w:rPr>
          <w:lang w:val="fr-FR"/>
        </w:rPr>
        <w:tab/>
      </w:r>
      <w:r>
        <w:rPr>
          <w:rStyle w:val="FootnoteReference"/>
        </w:rPr>
        <w:footnoteRef/>
      </w:r>
      <w:r>
        <w:tab/>
      </w:r>
      <w:hyperlink r:id="rId6" w:history="1">
        <w:r w:rsidRPr="000F5384">
          <w:rPr>
            <w:rStyle w:val="Hyperlink"/>
          </w:rPr>
          <w:t>CAT/C/IRQ/CO/1</w:t>
        </w:r>
      </w:hyperlink>
      <w:r w:rsidRPr="002F5CDD">
        <w:rPr>
          <w:szCs w:val="18"/>
        </w:rPr>
        <w:t xml:space="preserve"> </w:t>
      </w:r>
      <w:r w:rsidRPr="0084025E">
        <w:rPr>
          <w:szCs w:val="18"/>
        </w:rPr>
        <w:t xml:space="preserve">and </w:t>
      </w:r>
      <w:hyperlink r:id="rId7" w:history="1">
        <w:r w:rsidRPr="000F5384">
          <w:rPr>
            <w:rStyle w:val="Hyperlink"/>
            <w:szCs w:val="18"/>
          </w:rPr>
          <w:t>CAT/C/IRQ/CO/1/Corr.1</w:t>
        </w:r>
      </w:hyperlink>
      <w:r>
        <w:t>, paras. 12 (a), 13–14, 16 (a) and 32.</w:t>
      </w:r>
    </w:p>
  </w:footnote>
  <w:footnote w:id="7">
    <w:p w14:paraId="3B462640" w14:textId="7198E8C9" w:rsidR="009B4592" w:rsidRPr="00E82CD9" w:rsidRDefault="009B4592" w:rsidP="009B4592">
      <w:pPr>
        <w:pStyle w:val="FootnoteText"/>
        <w:rPr>
          <w:szCs w:val="18"/>
          <w:lang w:val="en-US"/>
        </w:rPr>
      </w:pPr>
      <w:r w:rsidRPr="00C37E99">
        <w:rPr>
          <w:szCs w:val="18"/>
        </w:rPr>
        <w:tab/>
      </w:r>
      <w:r w:rsidRPr="00E15A38">
        <w:rPr>
          <w:rStyle w:val="FootnoteReference"/>
          <w:szCs w:val="18"/>
        </w:rPr>
        <w:footnoteRef/>
      </w:r>
      <w:r w:rsidRPr="00E82CD9">
        <w:rPr>
          <w:szCs w:val="18"/>
          <w:lang w:val="en-US"/>
        </w:rPr>
        <w:tab/>
      </w:r>
      <w:r w:rsidRPr="00E82CD9">
        <w:rPr>
          <w:szCs w:val="18"/>
          <w:lang w:val="en-US"/>
        </w:rPr>
        <w:tab/>
      </w:r>
      <w:hyperlink r:id="rId8" w:history="1">
        <w:r w:rsidRPr="00E82CD9">
          <w:rPr>
            <w:rStyle w:val="Hyperlink"/>
            <w:szCs w:val="18"/>
            <w:lang w:val="en-US"/>
          </w:rPr>
          <w:t>CAT/C/IRQ/FCO/1</w:t>
        </w:r>
      </w:hyperlink>
      <w:r w:rsidRPr="00E82CD9">
        <w:rPr>
          <w:szCs w:val="18"/>
          <w:lang w:val="en-US"/>
        </w:rPr>
        <w:t>.</w:t>
      </w:r>
    </w:p>
  </w:footnote>
  <w:footnote w:id="8">
    <w:p w14:paraId="0D36283D" w14:textId="27F85463" w:rsidR="009B4592" w:rsidRPr="00E15A38" w:rsidRDefault="009B4592" w:rsidP="009B4592">
      <w:pPr>
        <w:pStyle w:val="FootnoteText"/>
        <w:rPr>
          <w:szCs w:val="18"/>
        </w:rPr>
      </w:pPr>
      <w:r w:rsidRPr="00E82CD9">
        <w:rPr>
          <w:szCs w:val="18"/>
          <w:lang w:val="en-US"/>
        </w:rPr>
        <w:tab/>
      </w:r>
      <w:r w:rsidRPr="00E15A38">
        <w:rPr>
          <w:rStyle w:val="FootnoteReference"/>
          <w:szCs w:val="18"/>
        </w:rPr>
        <w:footnoteRef/>
      </w:r>
      <w:r w:rsidRPr="00E82CD9">
        <w:rPr>
          <w:szCs w:val="18"/>
          <w:lang w:val="en-US"/>
        </w:rPr>
        <w:tab/>
      </w:r>
      <w:r w:rsidRPr="00E82CD9">
        <w:rPr>
          <w:szCs w:val="18"/>
          <w:lang w:val="en-US"/>
        </w:rPr>
        <w:tab/>
      </w:r>
      <w:hyperlink r:id="rId9" w:history="1">
        <w:r w:rsidRPr="00E82CD9">
          <w:rPr>
            <w:rStyle w:val="Hyperlink"/>
            <w:szCs w:val="18"/>
            <w:lang w:val="en-US"/>
          </w:rPr>
          <w:t>CAT/C/IRQ/CO/1</w:t>
        </w:r>
      </w:hyperlink>
      <w:r w:rsidRPr="00E82CD9">
        <w:rPr>
          <w:szCs w:val="18"/>
          <w:lang w:val="en-US"/>
        </w:rPr>
        <w:t xml:space="preserve">, paras. </w:t>
      </w:r>
      <w:r w:rsidRPr="00E15A38">
        <w:rPr>
          <w:szCs w:val="18"/>
        </w:rPr>
        <w:t>10 and 27</w:t>
      </w:r>
      <w:r>
        <w:rPr>
          <w:szCs w:val="18"/>
        </w:rPr>
        <w:t>.</w:t>
      </w:r>
    </w:p>
  </w:footnote>
  <w:footnote w:id="9">
    <w:p w14:paraId="71B26E78" w14:textId="202B28F4" w:rsidR="009B4592" w:rsidRPr="004640D6" w:rsidRDefault="009B4592" w:rsidP="009B4592">
      <w:pPr>
        <w:pStyle w:val="FootnoteText"/>
        <w:rPr>
          <w:szCs w:val="18"/>
        </w:rPr>
      </w:pPr>
      <w:r w:rsidRPr="00E15A38">
        <w:rPr>
          <w:szCs w:val="18"/>
        </w:rPr>
        <w:tab/>
      </w:r>
      <w:r w:rsidRPr="00E15A38">
        <w:rPr>
          <w:rStyle w:val="FootnoteReference"/>
          <w:szCs w:val="18"/>
        </w:rPr>
        <w:footnoteRef/>
      </w:r>
      <w:r w:rsidRPr="008477ED">
        <w:rPr>
          <w:szCs w:val="18"/>
        </w:rPr>
        <w:tab/>
      </w:r>
      <w:r w:rsidRPr="008477ED">
        <w:rPr>
          <w:szCs w:val="18"/>
        </w:rPr>
        <w:tab/>
        <w:t xml:space="preserve">See </w:t>
      </w:r>
      <w:hyperlink r:id="rId10" w:history="1">
        <w:r w:rsidRPr="000F5384">
          <w:rPr>
            <w:rStyle w:val="Hyperlink"/>
            <w:szCs w:val="18"/>
          </w:rPr>
          <w:t>CCPR/C/IRQ/CO/6</w:t>
        </w:r>
      </w:hyperlink>
      <w:r w:rsidRPr="004640D6">
        <w:rPr>
          <w:szCs w:val="18"/>
        </w:rPr>
        <w:t>.</w:t>
      </w:r>
    </w:p>
  </w:footnote>
  <w:footnote w:id="10">
    <w:p w14:paraId="6544E847" w14:textId="6920C916" w:rsidR="009B4592" w:rsidRPr="00E15A38" w:rsidRDefault="009B4592" w:rsidP="009B4592">
      <w:pPr>
        <w:pStyle w:val="FootnoteText"/>
        <w:rPr>
          <w:szCs w:val="18"/>
        </w:rPr>
      </w:pPr>
      <w:r w:rsidRPr="00E15A38">
        <w:rPr>
          <w:szCs w:val="18"/>
        </w:rPr>
        <w:tab/>
      </w:r>
      <w:r w:rsidRPr="00E15A38">
        <w:rPr>
          <w:rStyle w:val="FootnoteReference"/>
          <w:szCs w:val="18"/>
        </w:rPr>
        <w:footnoteRef/>
      </w:r>
      <w:r w:rsidRPr="00E15A38">
        <w:rPr>
          <w:szCs w:val="18"/>
        </w:rPr>
        <w:tab/>
      </w:r>
      <w:r w:rsidRPr="00E15A38">
        <w:rPr>
          <w:szCs w:val="18"/>
        </w:rPr>
        <w:tab/>
      </w:r>
      <w:hyperlink r:id="rId11" w:history="1">
        <w:r w:rsidRPr="000F5384">
          <w:rPr>
            <w:rStyle w:val="Hyperlink"/>
            <w:szCs w:val="18"/>
          </w:rPr>
          <w:t>A/HRC/43/14</w:t>
        </w:r>
      </w:hyperlink>
      <w:r w:rsidRPr="00E15A38">
        <w:rPr>
          <w:szCs w:val="18"/>
        </w:rPr>
        <w:t>, para. 147.152</w:t>
      </w:r>
      <w:r>
        <w:rPr>
          <w:szCs w:val="18"/>
        </w:rPr>
        <w:t>;</w:t>
      </w:r>
      <w:r w:rsidRPr="00E15A38">
        <w:rPr>
          <w:szCs w:val="18"/>
        </w:rPr>
        <w:t xml:space="preserve"> </w:t>
      </w:r>
      <w:r>
        <w:rPr>
          <w:szCs w:val="18"/>
        </w:rPr>
        <w:t xml:space="preserve">see also </w:t>
      </w:r>
      <w:hyperlink r:id="rId12" w:history="1">
        <w:r w:rsidRPr="000F5384">
          <w:rPr>
            <w:rStyle w:val="Hyperlink"/>
            <w:szCs w:val="18"/>
          </w:rPr>
          <w:t>A/HRC/43/14/Add.1</w:t>
        </w:r>
      </w:hyperlink>
      <w:r>
        <w:rPr>
          <w:szCs w:val="18"/>
        </w:rPr>
        <w:t>.</w:t>
      </w:r>
    </w:p>
  </w:footnote>
  <w:footnote w:id="11">
    <w:p w14:paraId="1F8FE135" w14:textId="78872B37" w:rsidR="009B4592" w:rsidRPr="008477ED" w:rsidRDefault="009B4592" w:rsidP="009B4592">
      <w:pPr>
        <w:pStyle w:val="FootnoteText"/>
        <w:rPr>
          <w:szCs w:val="18"/>
        </w:rPr>
      </w:pPr>
      <w:r w:rsidRPr="00A01D3C">
        <w:rPr>
          <w:szCs w:val="18"/>
        </w:rPr>
        <w:tab/>
      </w:r>
      <w:r w:rsidRPr="00E15A38">
        <w:rPr>
          <w:rStyle w:val="FootnoteReference"/>
          <w:szCs w:val="18"/>
        </w:rPr>
        <w:footnoteRef/>
      </w:r>
      <w:r w:rsidRPr="00F72477">
        <w:rPr>
          <w:szCs w:val="18"/>
          <w:lang w:val="fr-CH"/>
        </w:rPr>
        <w:tab/>
      </w:r>
      <w:r w:rsidRPr="00F72477">
        <w:rPr>
          <w:szCs w:val="18"/>
          <w:lang w:val="fr-CH"/>
        </w:rPr>
        <w:tab/>
      </w:r>
      <w:hyperlink r:id="rId13" w:history="1">
        <w:r w:rsidRPr="000F5384">
          <w:rPr>
            <w:rStyle w:val="Hyperlink"/>
            <w:szCs w:val="18"/>
            <w:lang w:val="fr-CH"/>
          </w:rPr>
          <w:t>CED/C/IRQ/OAI/1</w:t>
        </w:r>
      </w:hyperlink>
      <w:r w:rsidRPr="00F72477">
        <w:rPr>
          <w:szCs w:val="18"/>
          <w:lang w:val="fr-CH"/>
        </w:rPr>
        <w:t xml:space="preserve">, paras. </w:t>
      </w:r>
      <w:r w:rsidRPr="008477ED">
        <w:rPr>
          <w:szCs w:val="18"/>
        </w:rPr>
        <w:t xml:space="preserve">18–19; see also </w:t>
      </w:r>
      <w:hyperlink r:id="rId14" w:history="1">
        <w:r w:rsidRPr="000F5384">
          <w:rPr>
            <w:rStyle w:val="Hyperlink"/>
            <w:szCs w:val="18"/>
          </w:rPr>
          <w:t>CCPR/C/IRQ/CO/6</w:t>
        </w:r>
      </w:hyperlink>
      <w:r w:rsidRPr="008477ED">
        <w:rPr>
          <w:szCs w:val="18"/>
        </w:rPr>
        <w:t>.</w:t>
      </w:r>
    </w:p>
  </w:footnote>
  <w:footnote w:id="12">
    <w:p w14:paraId="6DBF79EE" w14:textId="22B2B3E6" w:rsidR="009B4592" w:rsidRPr="00E82CD9" w:rsidRDefault="009B4592" w:rsidP="009B4592">
      <w:pPr>
        <w:pStyle w:val="FootnoteText"/>
        <w:rPr>
          <w:szCs w:val="18"/>
          <w:lang w:val="en-US"/>
        </w:rPr>
      </w:pPr>
      <w:r w:rsidRPr="008477ED">
        <w:rPr>
          <w:szCs w:val="18"/>
        </w:rPr>
        <w:tab/>
      </w:r>
      <w:r w:rsidRPr="00E15A38">
        <w:rPr>
          <w:rStyle w:val="FootnoteReference"/>
          <w:szCs w:val="18"/>
        </w:rPr>
        <w:footnoteRef/>
      </w:r>
      <w:r w:rsidRPr="000F5384">
        <w:rPr>
          <w:szCs w:val="18"/>
          <w:lang w:val="en-US"/>
        </w:rPr>
        <w:tab/>
      </w:r>
      <w:r w:rsidRPr="000F5384">
        <w:rPr>
          <w:szCs w:val="18"/>
          <w:lang w:val="en-US"/>
        </w:rPr>
        <w:tab/>
      </w:r>
      <w:hyperlink r:id="rId15" w:history="1">
        <w:r w:rsidRPr="000F5384">
          <w:rPr>
            <w:rStyle w:val="Hyperlink"/>
            <w:szCs w:val="18"/>
            <w:lang w:val="en-US"/>
          </w:rPr>
          <w:t>CED/C/IRQ/OAI/1</w:t>
        </w:r>
      </w:hyperlink>
      <w:r w:rsidRPr="000F5384">
        <w:rPr>
          <w:szCs w:val="18"/>
          <w:lang w:val="en-US"/>
        </w:rPr>
        <w:t xml:space="preserve">, paras. </w:t>
      </w:r>
      <w:r w:rsidRPr="00E82CD9">
        <w:rPr>
          <w:szCs w:val="18"/>
          <w:lang w:val="en-US"/>
        </w:rPr>
        <w:t>20–21.</w:t>
      </w:r>
    </w:p>
  </w:footnote>
  <w:footnote w:id="13">
    <w:p w14:paraId="65B58AD5" w14:textId="747B8ED4" w:rsidR="009B4592" w:rsidRPr="008477ED" w:rsidRDefault="009B4592" w:rsidP="009B4592">
      <w:pPr>
        <w:pStyle w:val="FootnoteText"/>
      </w:pPr>
      <w:r w:rsidRPr="00E82CD9">
        <w:rPr>
          <w:lang w:val="en-US"/>
        </w:rPr>
        <w:tab/>
      </w:r>
      <w:r w:rsidRPr="00482299">
        <w:rPr>
          <w:rStyle w:val="FootnoteReference"/>
        </w:rPr>
        <w:footnoteRef/>
      </w:r>
      <w:r w:rsidRPr="00E82CD9">
        <w:rPr>
          <w:lang w:val="en-US"/>
        </w:rPr>
        <w:tab/>
      </w:r>
      <w:hyperlink r:id="rId16" w:history="1">
        <w:r w:rsidRPr="00E82CD9">
          <w:rPr>
            <w:rStyle w:val="Hyperlink"/>
            <w:lang w:val="en-US"/>
          </w:rPr>
          <w:t>CAT/C/IRQ/CO/1</w:t>
        </w:r>
      </w:hyperlink>
      <w:r w:rsidRPr="00E82CD9">
        <w:rPr>
          <w:lang w:val="en-US"/>
        </w:rPr>
        <w:t xml:space="preserve">, para. </w:t>
      </w:r>
      <w:r w:rsidRPr="008477ED">
        <w:t>14.</w:t>
      </w:r>
    </w:p>
  </w:footnote>
  <w:footnote w:id="14">
    <w:p w14:paraId="009BF276" w14:textId="62DEE36A" w:rsidR="009B4592" w:rsidRPr="008477ED" w:rsidRDefault="009B4592" w:rsidP="009B4592">
      <w:pPr>
        <w:pStyle w:val="FootnoteText"/>
        <w:rPr>
          <w:szCs w:val="18"/>
          <w:lang w:val="es-ES"/>
        </w:rPr>
      </w:pPr>
      <w:r w:rsidRPr="008477ED">
        <w:rPr>
          <w:szCs w:val="18"/>
        </w:rPr>
        <w:tab/>
      </w:r>
      <w:r w:rsidRPr="00E15A38">
        <w:rPr>
          <w:rStyle w:val="FootnoteReference"/>
          <w:szCs w:val="18"/>
        </w:rPr>
        <w:footnoteRef/>
      </w:r>
      <w:r w:rsidRPr="008477ED">
        <w:rPr>
          <w:szCs w:val="18"/>
        </w:rPr>
        <w:tab/>
        <w:t xml:space="preserve">See </w:t>
      </w:r>
      <w:hyperlink r:id="rId17" w:history="1">
        <w:r w:rsidRPr="000F5384">
          <w:rPr>
            <w:rStyle w:val="Hyperlink"/>
            <w:szCs w:val="18"/>
          </w:rPr>
          <w:t>CCPR/C/IRQ/CO/6;</w:t>
        </w:r>
      </w:hyperlink>
      <w:r w:rsidRPr="001534E6">
        <w:rPr>
          <w:szCs w:val="18"/>
        </w:rPr>
        <w:t xml:space="preserve"> </w:t>
      </w:r>
      <w:r w:rsidRPr="008477ED">
        <w:rPr>
          <w:szCs w:val="18"/>
        </w:rPr>
        <w:t xml:space="preserve">and </w:t>
      </w:r>
      <w:hyperlink r:id="rId18" w:history="1">
        <w:r w:rsidRPr="000F5384">
          <w:rPr>
            <w:rStyle w:val="Hyperlink"/>
            <w:szCs w:val="18"/>
          </w:rPr>
          <w:t>CED/C/IRQ/OAI/1</w:t>
        </w:r>
      </w:hyperlink>
      <w:r w:rsidRPr="008477ED">
        <w:rPr>
          <w:szCs w:val="18"/>
        </w:rPr>
        <w:t xml:space="preserve">, paras. </w:t>
      </w:r>
      <w:r w:rsidRPr="008477ED">
        <w:rPr>
          <w:szCs w:val="18"/>
          <w:lang w:val="es-ES"/>
        </w:rPr>
        <w:t>16–17.</w:t>
      </w:r>
    </w:p>
  </w:footnote>
  <w:footnote w:id="15">
    <w:p w14:paraId="79B14D9D" w14:textId="3213A97D" w:rsidR="009B4592" w:rsidRPr="00E82CD9" w:rsidRDefault="009B4592" w:rsidP="009B4592">
      <w:pPr>
        <w:pStyle w:val="FootnoteText"/>
        <w:rPr>
          <w:lang w:val="es-ES"/>
        </w:rPr>
      </w:pPr>
      <w:r w:rsidRPr="008477ED">
        <w:rPr>
          <w:lang w:val="es-ES"/>
        </w:rPr>
        <w:tab/>
      </w:r>
      <w:r w:rsidRPr="009210F7">
        <w:rPr>
          <w:rStyle w:val="FootnoteReference"/>
        </w:rPr>
        <w:footnoteRef/>
      </w:r>
      <w:r w:rsidRPr="008477ED">
        <w:rPr>
          <w:lang w:val="es-ES"/>
        </w:rPr>
        <w:tab/>
      </w:r>
      <w:hyperlink r:id="rId19" w:history="1">
        <w:r w:rsidRPr="000F5384">
          <w:rPr>
            <w:rStyle w:val="Hyperlink"/>
            <w:lang w:val="es-ES"/>
          </w:rPr>
          <w:t>CAT/C/IRQ/CO/1</w:t>
        </w:r>
      </w:hyperlink>
      <w:r w:rsidRPr="008477ED">
        <w:rPr>
          <w:lang w:val="es-ES"/>
        </w:rPr>
        <w:t xml:space="preserve">, para. </w:t>
      </w:r>
      <w:r w:rsidRPr="00E82CD9">
        <w:rPr>
          <w:lang w:val="es-ES"/>
        </w:rPr>
        <w:t>16.</w:t>
      </w:r>
    </w:p>
  </w:footnote>
  <w:footnote w:id="16">
    <w:p w14:paraId="21FB7B72" w14:textId="2837971E" w:rsidR="009B4592" w:rsidRPr="006B29D1" w:rsidRDefault="009B4592" w:rsidP="009B4592">
      <w:pPr>
        <w:pStyle w:val="FootnoteText"/>
      </w:pPr>
      <w:r w:rsidRPr="00E82CD9">
        <w:rPr>
          <w:lang w:val="es-ES"/>
        </w:rPr>
        <w:tab/>
      </w:r>
      <w:r>
        <w:rPr>
          <w:rStyle w:val="FootnoteReference"/>
        </w:rPr>
        <w:footnoteRef/>
      </w:r>
      <w:r w:rsidRPr="00E82CD9">
        <w:rPr>
          <w:lang w:val="es-ES"/>
        </w:rPr>
        <w:tab/>
      </w:r>
      <w:hyperlink r:id="rId20" w:history="1">
        <w:r w:rsidRPr="00E82CD9">
          <w:rPr>
            <w:rStyle w:val="Hyperlink"/>
            <w:lang w:val="es-ES"/>
          </w:rPr>
          <w:t>CAT/C/IRQ/CO/1</w:t>
        </w:r>
      </w:hyperlink>
      <w:r w:rsidRPr="00E82CD9">
        <w:rPr>
          <w:lang w:val="es-ES"/>
        </w:rPr>
        <w:t xml:space="preserve">, paras. </w:t>
      </w:r>
      <w:r w:rsidRPr="006B29D1">
        <w:t>11</w:t>
      </w:r>
      <w:r>
        <w:t>–</w:t>
      </w:r>
      <w:r w:rsidRPr="006B29D1">
        <w:t>12.</w:t>
      </w:r>
    </w:p>
  </w:footnote>
  <w:footnote w:id="17">
    <w:p w14:paraId="47BB89B9" w14:textId="241E6009" w:rsidR="009B4592" w:rsidRDefault="009B4592" w:rsidP="009B4592">
      <w:pPr>
        <w:pStyle w:val="FootnoteText"/>
      </w:pPr>
      <w:r>
        <w:tab/>
      </w:r>
      <w:r>
        <w:rPr>
          <w:rStyle w:val="FootnoteReference"/>
        </w:rPr>
        <w:footnoteRef/>
      </w:r>
      <w:r>
        <w:tab/>
      </w:r>
      <w:r>
        <w:tab/>
        <w:t xml:space="preserve">The Committee takes note of the forthcoming visit by the </w:t>
      </w:r>
      <w:r w:rsidRPr="008134E9">
        <w:t>delegation of experts of the</w:t>
      </w:r>
      <w:r>
        <w:t xml:space="preserve"> </w:t>
      </w:r>
      <w:r w:rsidRPr="007A3899">
        <w:t>Committee on Enforced Disappearances</w:t>
      </w:r>
      <w:r>
        <w:t xml:space="preserve"> to the State party, tentatively scheduled for November 2022</w:t>
      </w:r>
    </w:p>
  </w:footnote>
  <w:footnote w:id="18">
    <w:p w14:paraId="009F58B9" w14:textId="7D934793" w:rsidR="009B4592" w:rsidRPr="008477ED" w:rsidRDefault="009B4592" w:rsidP="009B4592">
      <w:pPr>
        <w:pStyle w:val="FootnoteText"/>
        <w:rPr>
          <w:szCs w:val="18"/>
        </w:rPr>
      </w:pPr>
      <w:r w:rsidRPr="00F72477">
        <w:rPr>
          <w:szCs w:val="18"/>
        </w:rPr>
        <w:tab/>
      </w:r>
      <w:r w:rsidRPr="00E15A38">
        <w:rPr>
          <w:rStyle w:val="FootnoteReference"/>
          <w:szCs w:val="18"/>
        </w:rPr>
        <w:footnoteRef/>
      </w:r>
      <w:r w:rsidRPr="008477ED">
        <w:rPr>
          <w:szCs w:val="18"/>
        </w:rPr>
        <w:tab/>
      </w:r>
      <w:r w:rsidRPr="008477ED">
        <w:rPr>
          <w:szCs w:val="18"/>
        </w:rPr>
        <w:tab/>
        <w:t xml:space="preserve">See </w:t>
      </w:r>
      <w:hyperlink r:id="rId21" w:history="1">
        <w:r w:rsidRPr="000F5384">
          <w:rPr>
            <w:rStyle w:val="Hyperlink"/>
            <w:szCs w:val="18"/>
          </w:rPr>
          <w:t>CCPR/C/IRQ/CO/6</w:t>
        </w:r>
      </w:hyperlink>
      <w:r w:rsidRPr="008477ED">
        <w:rPr>
          <w:szCs w:val="18"/>
        </w:rPr>
        <w:t>.</w:t>
      </w:r>
    </w:p>
  </w:footnote>
  <w:footnote w:id="19">
    <w:p w14:paraId="7C1B74DD" w14:textId="6A5266C7" w:rsidR="009B4592" w:rsidRPr="00AC43C9" w:rsidRDefault="009B4592" w:rsidP="009B4592">
      <w:pPr>
        <w:pStyle w:val="FootnoteText"/>
        <w:rPr>
          <w:lang w:val="es-ES"/>
        </w:rPr>
      </w:pPr>
      <w:r w:rsidRPr="008477ED">
        <w:tab/>
      </w:r>
      <w:r w:rsidRPr="00E15A38">
        <w:rPr>
          <w:rStyle w:val="FootnoteReference"/>
        </w:rPr>
        <w:footnoteRef/>
      </w:r>
      <w:r w:rsidRPr="00AC43C9">
        <w:rPr>
          <w:lang w:val="es-ES"/>
        </w:rPr>
        <w:tab/>
      </w:r>
      <w:r w:rsidRPr="00AC43C9">
        <w:rPr>
          <w:lang w:val="es-ES"/>
        </w:rPr>
        <w:tab/>
      </w:r>
      <w:hyperlink r:id="rId22" w:history="1">
        <w:r w:rsidRPr="000F5384">
          <w:rPr>
            <w:rStyle w:val="Hyperlink"/>
            <w:rFonts w:eastAsiaTheme="minorHAnsi"/>
            <w:lang w:val="es-ES"/>
          </w:rPr>
          <w:t>S/2022/46</w:t>
        </w:r>
      </w:hyperlink>
      <w:r w:rsidRPr="008B5836">
        <w:rPr>
          <w:rFonts w:eastAsiaTheme="minorEastAsia"/>
          <w:szCs w:val="18"/>
          <w:lang w:val="es-ES"/>
        </w:rPr>
        <w:t>,</w:t>
      </w:r>
      <w:r w:rsidRPr="00AC43C9">
        <w:rPr>
          <w:rFonts w:eastAsiaTheme="minorEastAsia"/>
          <w:szCs w:val="18"/>
          <w:lang w:val="es-ES"/>
        </w:rPr>
        <w:t xml:space="preserve"> para. 27.</w:t>
      </w:r>
    </w:p>
  </w:footnote>
  <w:footnote w:id="20">
    <w:p w14:paraId="445F4350" w14:textId="50C017C1" w:rsidR="009B4592" w:rsidRPr="008477ED" w:rsidRDefault="009B4592" w:rsidP="009B4592">
      <w:pPr>
        <w:pStyle w:val="FootnoteText"/>
      </w:pPr>
      <w:r w:rsidRPr="00CC427C">
        <w:rPr>
          <w:lang w:val="es-ES"/>
        </w:rPr>
        <w:tab/>
      </w:r>
      <w:r>
        <w:rPr>
          <w:rStyle w:val="FootnoteReference"/>
        </w:rPr>
        <w:footnoteRef/>
      </w:r>
      <w:r w:rsidRPr="00CC427C">
        <w:rPr>
          <w:lang w:val="es-ES"/>
        </w:rPr>
        <w:tab/>
      </w:r>
      <w:hyperlink r:id="rId23" w:history="1">
        <w:r w:rsidRPr="000F5384">
          <w:rPr>
            <w:rStyle w:val="Hyperlink"/>
            <w:lang w:val="es-ES"/>
          </w:rPr>
          <w:t>CAT/C/IRQ/CO/1</w:t>
        </w:r>
      </w:hyperlink>
      <w:r w:rsidRPr="00CC427C">
        <w:rPr>
          <w:lang w:val="es-ES"/>
        </w:rPr>
        <w:t xml:space="preserve">, paras. </w:t>
      </w:r>
      <w:r w:rsidRPr="008477ED">
        <w:t>11–12.</w:t>
      </w:r>
    </w:p>
  </w:footnote>
  <w:footnote w:id="21">
    <w:p w14:paraId="15A63134" w14:textId="3D85AE86" w:rsidR="009B4592" w:rsidRPr="008477ED" w:rsidRDefault="009B4592" w:rsidP="009B4592">
      <w:pPr>
        <w:pStyle w:val="FootnoteText"/>
      </w:pPr>
      <w:r w:rsidRPr="008477ED">
        <w:tab/>
      </w:r>
      <w:r w:rsidRPr="00E15A38">
        <w:rPr>
          <w:rStyle w:val="FootnoteReference"/>
        </w:rPr>
        <w:footnoteRef/>
      </w:r>
      <w:r w:rsidRPr="008477ED">
        <w:tab/>
      </w:r>
      <w:r w:rsidRPr="008477ED">
        <w:tab/>
      </w:r>
      <w:hyperlink r:id="rId24" w:history="1">
        <w:r w:rsidRPr="000F5384">
          <w:rPr>
            <w:rStyle w:val="Hyperlink"/>
            <w:rFonts w:eastAsiaTheme="minorHAnsi"/>
          </w:rPr>
          <w:t>S/2022/46</w:t>
        </w:r>
      </w:hyperlink>
      <w:r w:rsidRPr="008477ED">
        <w:rPr>
          <w:rFonts w:eastAsiaTheme="minorEastAsia"/>
          <w:szCs w:val="18"/>
        </w:rPr>
        <w:t>, para. 46.</w:t>
      </w:r>
    </w:p>
  </w:footnote>
  <w:footnote w:id="22">
    <w:p w14:paraId="23BA42E7" w14:textId="36076F30" w:rsidR="009B4592" w:rsidRPr="008477ED" w:rsidRDefault="009B4592" w:rsidP="009B4592">
      <w:pPr>
        <w:pStyle w:val="FootnoteText"/>
        <w:rPr>
          <w:szCs w:val="18"/>
        </w:rPr>
      </w:pPr>
      <w:r w:rsidRPr="008477ED">
        <w:rPr>
          <w:szCs w:val="18"/>
        </w:rPr>
        <w:tab/>
      </w:r>
      <w:r w:rsidRPr="00E15A38">
        <w:rPr>
          <w:rStyle w:val="FootnoteReference"/>
          <w:szCs w:val="18"/>
        </w:rPr>
        <w:footnoteRef/>
      </w:r>
      <w:r w:rsidRPr="008477ED">
        <w:rPr>
          <w:szCs w:val="18"/>
        </w:rPr>
        <w:tab/>
      </w:r>
      <w:r w:rsidRPr="008477ED">
        <w:rPr>
          <w:szCs w:val="18"/>
        </w:rPr>
        <w:tab/>
        <w:t xml:space="preserve">See </w:t>
      </w:r>
      <w:hyperlink r:id="rId25" w:history="1">
        <w:r w:rsidRPr="000F5384">
          <w:rPr>
            <w:rStyle w:val="Hyperlink"/>
            <w:szCs w:val="18"/>
          </w:rPr>
          <w:t>CCPR/C/IRQ/CO/6</w:t>
        </w:r>
      </w:hyperlink>
      <w:r w:rsidRPr="008477ED">
        <w:rPr>
          <w:szCs w:val="18"/>
        </w:rPr>
        <w:t>.</w:t>
      </w:r>
    </w:p>
  </w:footnote>
  <w:footnote w:id="23">
    <w:p w14:paraId="3BA5556F" w14:textId="24B542BB" w:rsidR="009B4592" w:rsidRPr="00E82CD9" w:rsidRDefault="009B4592" w:rsidP="009B4592">
      <w:pPr>
        <w:pStyle w:val="FootnoteText"/>
        <w:rPr>
          <w:szCs w:val="18"/>
          <w:lang w:val="en-US"/>
        </w:rPr>
      </w:pPr>
      <w:r w:rsidRPr="008477ED">
        <w:rPr>
          <w:szCs w:val="18"/>
        </w:rPr>
        <w:tab/>
      </w:r>
      <w:r w:rsidRPr="00E15A38">
        <w:rPr>
          <w:rStyle w:val="FootnoteReference"/>
          <w:szCs w:val="18"/>
        </w:rPr>
        <w:footnoteRef/>
      </w:r>
      <w:r w:rsidRPr="00E82CD9">
        <w:rPr>
          <w:szCs w:val="18"/>
          <w:lang w:val="en-US"/>
        </w:rPr>
        <w:tab/>
        <w:t>Ibid.</w:t>
      </w:r>
    </w:p>
  </w:footnote>
  <w:footnote w:id="24">
    <w:p w14:paraId="50CB6208" w14:textId="13A37247" w:rsidR="009B4592" w:rsidRPr="00E82CD9" w:rsidRDefault="009B4592" w:rsidP="009B4592">
      <w:pPr>
        <w:pStyle w:val="FootnoteText"/>
        <w:rPr>
          <w:szCs w:val="18"/>
          <w:lang w:val="en-US"/>
        </w:rPr>
      </w:pPr>
      <w:r w:rsidRPr="00E82CD9">
        <w:rPr>
          <w:szCs w:val="18"/>
          <w:lang w:val="en-US"/>
        </w:rPr>
        <w:tab/>
      </w:r>
      <w:r w:rsidRPr="00E15A38">
        <w:rPr>
          <w:rStyle w:val="FootnoteReference"/>
          <w:szCs w:val="18"/>
        </w:rPr>
        <w:footnoteRef/>
      </w:r>
      <w:r w:rsidRPr="00E82CD9">
        <w:rPr>
          <w:szCs w:val="18"/>
          <w:lang w:val="en-US"/>
        </w:rPr>
        <w:tab/>
      </w:r>
      <w:r w:rsidRPr="00E82CD9">
        <w:rPr>
          <w:szCs w:val="18"/>
          <w:lang w:val="en-US"/>
        </w:rPr>
        <w:tab/>
      </w:r>
      <w:hyperlink r:id="rId26" w:history="1">
        <w:r w:rsidRPr="00E82CD9">
          <w:rPr>
            <w:rStyle w:val="Hyperlink"/>
            <w:szCs w:val="18"/>
            <w:lang w:val="en-US"/>
          </w:rPr>
          <w:t>CED/C/IRQ/OAI/1</w:t>
        </w:r>
      </w:hyperlink>
      <w:r w:rsidRPr="00E82CD9">
        <w:rPr>
          <w:szCs w:val="18"/>
          <w:lang w:val="en-US"/>
        </w:rPr>
        <w:t>, paras. 18–19.</w:t>
      </w:r>
    </w:p>
  </w:footnote>
  <w:footnote w:id="25">
    <w:p w14:paraId="257CBD87" w14:textId="73DFC331" w:rsidR="009B4592" w:rsidRPr="008477ED" w:rsidRDefault="009B4592" w:rsidP="009B4592">
      <w:pPr>
        <w:pStyle w:val="FootnoteText"/>
        <w:rPr>
          <w:szCs w:val="18"/>
        </w:rPr>
      </w:pPr>
      <w:r w:rsidRPr="00E82CD9">
        <w:rPr>
          <w:szCs w:val="18"/>
          <w:lang w:val="en-US"/>
        </w:rPr>
        <w:tab/>
      </w:r>
      <w:r w:rsidRPr="00E15A38">
        <w:rPr>
          <w:rStyle w:val="FootnoteReference"/>
          <w:szCs w:val="18"/>
        </w:rPr>
        <w:footnoteRef/>
      </w:r>
      <w:r w:rsidRPr="00E82CD9">
        <w:rPr>
          <w:szCs w:val="18"/>
          <w:lang w:val="en-US"/>
        </w:rPr>
        <w:tab/>
        <w:t xml:space="preserve">Ibid., paras. </w:t>
      </w:r>
      <w:r w:rsidRPr="008477ED">
        <w:rPr>
          <w:szCs w:val="18"/>
        </w:rPr>
        <w:t>14–15.</w:t>
      </w:r>
    </w:p>
  </w:footnote>
  <w:footnote w:id="26">
    <w:p w14:paraId="3D7F97BE" w14:textId="57156783" w:rsidR="009B4592" w:rsidRPr="008477ED" w:rsidRDefault="009B4592" w:rsidP="009B4592">
      <w:pPr>
        <w:pStyle w:val="FootnoteText"/>
        <w:rPr>
          <w:color w:val="212529"/>
          <w:sz w:val="20"/>
          <w:lang w:eastAsia="en-GB"/>
        </w:rPr>
      </w:pPr>
      <w:r w:rsidRPr="008477ED">
        <w:rPr>
          <w:szCs w:val="18"/>
        </w:rPr>
        <w:tab/>
      </w:r>
      <w:r w:rsidRPr="00E15A38">
        <w:rPr>
          <w:rStyle w:val="FootnoteReference"/>
          <w:szCs w:val="18"/>
        </w:rPr>
        <w:footnoteRef/>
      </w:r>
      <w:r w:rsidRPr="008477ED">
        <w:rPr>
          <w:szCs w:val="18"/>
        </w:rPr>
        <w:tab/>
      </w:r>
      <w:r w:rsidRPr="008477ED">
        <w:rPr>
          <w:szCs w:val="18"/>
        </w:rPr>
        <w:tab/>
        <w:t xml:space="preserve">See </w:t>
      </w:r>
      <w:hyperlink r:id="rId27" w:history="1">
        <w:r w:rsidRPr="000F5384">
          <w:rPr>
            <w:rStyle w:val="Hyperlink"/>
            <w:szCs w:val="18"/>
          </w:rPr>
          <w:t>CCPR/C/IRQ/CO/6</w:t>
        </w:r>
      </w:hyperlink>
      <w:r w:rsidRPr="008477ED">
        <w:rPr>
          <w:szCs w:val="18"/>
        </w:rPr>
        <w:t>.</w:t>
      </w:r>
    </w:p>
  </w:footnote>
  <w:footnote w:id="27">
    <w:p w14:paraId="62ED3A99" w14:textId="1BB19F5E" w:rsidR="009B4592" w:rsidRPr="008477ED" w:rsidRDefault="009B4592" w:rsidP="009B4592">
      <w:pPr>
        <w:pStyle w:val="FootnoteText"/>
      </w:pPr>
      <w:r w:rsidRPr="008477ED">
        <w:tab/>
      </w:r>
      <w:r w:rsidRPr="00E15A38">
        <w:rPr>
          <w:rStyle w:val="FootnoteReference"/>
        </w:rPr>
        <w:footnoteRef/>
      </w:r>
      <w:r w:rsidRPr="008477ED">
        <w:tab/>
      </w:r>
      <w:r w:rsidRPr="008477ED">
        <w:rPr>
          <w:szCs w:val="18"/>
        </w:rPr>
        <w:t>Ibid.</w:t>
      </w:r>
    </w:p>
  </w:footnote>
  <w:footnote w:id="28">
    <w:p w14:paraId="41EDF2F9" w14:textId="17584F0D" w:rsidR="009B4592" w:rsidRPr="008477ED" w:rsidRDefault="009B4592" w:rsidP="009B4592">
      <w:pPr>
        <w:pStyle w:val="FootnoteText"/>
      </w:pPr>
      <w:r w:rsidRPr="008477ED">
        <w:tab/>
      </w:r>
      <w:r>
        <w:rPr>
          <w:rStyle w:val="FootnoteReference"/>
        </w:rPr>
        <w:footnoteRef/>
      </w:r>
      <w:r w:rsidRPr="00E82CD9">
        <w:rPr>
          <w:lang w:val="en-US"/>
        </w:rPr>
        <w:tab/>
      </w:r>
      <w:r w:rsidRPr="00E82CD9">
        <w:rPr>
          <w:lang w:val="en-US"/>
        </w:rPr>
        <w:tab/>
      </w:r>
      <w:hyperlink r:id="rId28" w:history="1">
        <w:r w:rsidRPr="00E82CD9">
          <w:rPr>
            <w:rStyle w:val="Hyperlink"/>
            <w:lang w:val="en-US"/>
          </w:rPr>
          <w:t>CAT/C/IRQ/CO/1</w:t>
        </w:r>
      </w:hyperlink>
      <w:r w:rsidRPr="00E82CD9">
        <w:rPr>
          <w:lang w:val="en-US"/>
        </w:rPr>
        <w:t xml:space="preserve">, para. </w:t>
      </w:r>
      <w:r w:rsidRPr="008477ED">
        <w:t>31.</w:t>
      </w:r>
    </w:p>
  </w:footnote>
  <w:footnote w:id="29">
    <w:p w14:paraId="608F09CE" w14:textId="5CC8B195" w:rsidR="009B4592" w:rsidRPr="008477ED" w:rsidRDefault="009B4592" w:rsidP="009B4592">
      <w:pPr>
        <w:pStyle w:val="FootnoteText"/>
      </w:pPr>
      <w:r w:rsidRPr="008477ED">
        <w:tab/>
      </w:r>
      <w:r w:rsidRPr="00E15A38">
        <w:rPr>
          <w:rStyle w:val="FootnoteReference"/>
        </w:rPr>
        <w:footnoteRef/>
      </w:r>
      <w:r w:rsidRPr="008477ED">
        <w:tab/>
        <w:t xml:space="preserve">See </w:t>
      </w:r>
      <w:hyperlink r:id="rId29" w:history="1">
        <w:r w:rsidRPr="000F5384">
          <w:rPr>
            <w:rStyle w:val="Hyperlink"/>
            <w:szCs w:val="18"/>
          </w:rPr>
          <w:t>CCPR/C/IRQ/CO/6</w:t>
        </w:r>
      </w:hyperlink>
      <w:r w:rsidRPr="008477ED">
        <w:rPr>
          <w:szCs w:val="18"/>
        </w:rPr>
        <w:t>.</w:t>
      </w:r>
    </w:p>
  </w:footnote>
  <w:footnote w:id="30">
    <w:p w14:paraId="6A780B62" w14:textId="0D7093F5" w:rsidR="009B4592" w:rsidRPr="008477ED" w:rsidRDefault="009B4592" w:rsidP="009B4592">
      <w:pPr>
        <w:pStyle w:val="FootnoteText"/>
      </w:pPr>
      <w:r w:rsidRPr="008477ED">
        <w:tab/>
      </w:r>
      <w:r>
        <w:rPr>
          <w:rStyle w:val="FootnoteReference"/>
        </w:rPr>
        <w:footnoteRef/>
      </w:r>
      <w:r w:rsidRPr="00E82CD9">
        <w:rPr>
          <w:lang w:val="en-US"/>
        </w:rPr>
        <w:tab/>
      </w:r>
      <w:hyperlink r:id="rId30" w:history="1">
        <w:r w:rsidRPr="00E82CD9">
          <w:rPr>
            <w:rStyle w:val="Hyperlink"/>
            <w:lang w:val="en-US"/>
          </w:rPr>
          <w:t>CAT/C/IRQ/CO/1</w:t>
        </w:r>
      </w:hyperlink>
      <w:r w:rsidRPr="00E82CD9">
        <w:rPr>
          <w:lang w:val="en-US"/>
        </w:rPr>
        <w:t xml:space="preserve">, para. </w:t>
      </w:r>
      <w:r w:rsidRPr="008477ED">
        <w:t>24 (e).</w:t>
      </w:r>
    </w:p>
  </w:footnote>
  <w:footnote w:id="31">
    <w:p w14:paraId="1A59AFDB" w14:textId="79298531" w:rsidR="009B4592" w:rsidRPr="008477ED" w:rsidRDefault="009B4592" w:rsidP="009B4592">
      <w:pPr>
        <w:pStyle w:val="FootnoteText"/>
        <w:rPr>
          <w:szCs w:val="18"/>
        </w:rPr>
      </w:pPr>
      <w:r w:rsidRPr="008477ED">
        <w:rPr>
          <w:szCs w:val="18"/>
        </w:rPr>
        <w:tab/>
      </w:r>
      <w:r w:rsidRPr="00E15A38">
        <w:rPr>
          <w:rStyle w:val="FootnoteReference"/>
          <w:szCs w:val="18"/>
        </w:rPr>
        <w:footnoteRef/>
      </w:r>
      <w:r w:rsidRPr="008477ED">
        <w:rPr>
          <w:szCs w:val="18"/>
        </w:rPr>
        <w:tab/>
      </w:r>
      <w:r w:rsidRPr="008477ED">
        <w:rPr>
          <w:szCs w:val="18"/>
        </w:rPr>
        <w:tab/>
        <w:t xml:space="preserve">See </w:t>
      </w:r>
      <w:hyperlink r:id="rId31" w:history="1">
        <w:r w:rsidRPr="000F5384">
          <w:rPr>
            <w:rStyle w:val="Hyperlink"/>
            <w:szCs w:val="18"/>
          </w:rPr>
          <w:t>CCPR/C/IRQ/CO/6</w:t>
        </w:r>
      </w:hyperlink>
      <w:r w:rsidRPr="008477E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CA7E" w14:textId="77777777" w:rsidR="009B4592" w:rsidRDefault="009B4592" w:rsidP="009B4592">
    <w:pPr>
      <w:pStyle w:val="Header"/>
    </w:pPr>
    <w:r>
      <w:t>CAT/C/IRQ/CO/2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59D7" w14:textId="77777777" w:rsidR="009B4592" w:rsidRDefault="009B4592" w:rsidP="009B4592">
    <w:pPr>
      <w:pStyle w:val="Header"/>
      <w:jc w:val="right"/>
    </w:pPr>
    <w:r>
      <w:t>CAT/C/IRQ/CO/2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50032A"/>
    <w:styleLink w:val="1ai1"/>
    <w:lvl w:ilvl="0">
      <w:start w:val="1"/>
      <w:numFmt w:val="decimal"/>
      <w:lvlText w:val="%1."/>
      <w:lvlJc w:val="left"/>
      <w:pPr>
        <w:tabs>
          <w:tab w:val="num" w:pos="926"/>
        </w:tabs>
        <w:ind w:left="926" w:hanging="360"/>
      </w:pPr>
    </w:lvl>
  </w:abstractNum>
  <w:abstractNum w:abstractNumId="1" w15:restartNumberingAfterBreak="0">
    <w:nsid w:val="00F14112"/>
    <w:multiLevelType w:val="hybridMultilevel"/>
    <w:tmpl w:val="53FED33E"/>
    <w:lvl w:ilvl="0" w:tplc="8466A3A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54887"/>
    <w:multiLevelType w:val="hybridMultilevel"/>
    <w:tmpl w:val="2B362816"/>
    <w:lvl w:ilvl="0" w:tplc="A0820EC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BFE0170" w:tentative="1">
      <w:start w:val="1"/>
      <w:numFmt w:val="lowerLetter"/>
      <w:lvlText w:val="%2."/>
      <w:lvlJc w:val="left"/>
      <w:pPr>
        <w:tabs>
          <w:tab w:val="num" w:pos="1440"/>
        </w:tabs>
        <w:ind w:left="1440" w:hanging="360"/>
      </w:pPr>
    </w:lvl>
    <w:lvl w:ilvl="2" w:tplc="7974CA40" w:tentative="1">
      <w:start w:val="1"/>
      <w:numFmt w:val="lowerRoman"/>
      <w:lvlText w:val="%3."/>
      <w:lvlJc w:val="right"/>
      <w:pPr>
        <w:tabs>
          <w:tab w:val="num" w:pos="2160"/>
        </w:tabs>
        <w:ind w:left="2160" w:hanging="180"/>
      </w:pPr>
    </w:lvl>
    <w:lvl w:ilvl="3" w:tplc="99B09212" w:tentative="1">
      <w:start w:val="1"/>
      <w:numFmt w:val="decimal"/>
      <w:lvlText w:val="%4."/>
      <w:lvlJc w:val="left"/>
      <w:pPr>
        <w:tabs>
          <w:tab w:val="num" w:pos="2880"/>
        </w:tabs>
        <w:ind w:left="2880" w:hanging="360"/>
      </w:pPr>
    </w:lvl>
    <w:lvl w:ilvl="4" w:tplc="4AB2FAE6" w:tentative="1">
      <w:start w:val="1"/>
      <w:numFmt w:val="lowerLetter"/>
      <w:lvlText w:val="%5."/>
      <w:lvlJc w:val="left"/>
      <w:pPr>
        <w:tabs>
          <w:tab w:val="num" w:pos="3600"/>
        </w:tabs>
        <w:ind w:left="3600" w:hanging="360"/>
      </w:pPr>
    </w:lvl>
    <w:lvl w:ilvl="5" w:tplc="0BCE2A14" w:tentative="1">
      <w:start w:val="1"/>
      <w:numFmt w:val="lowerRoman"/>
      <w:lvlText w:val="%6."/>
      <w:lvlJc w:val="right"/>
      <w:pPr>
        <w:tabs>
          <w:tab w:val="num" w:pos="4320"/>
        </w:tabs>
        <w:ind w:left="4320" w:hanging="180"/>
      </w:pPr>
    </w:lvl>
    <w:lvl w:ilvl="6" w:tplc="92F6922C" w:tentative="1">
      <w:start w:val="1"/>
      <w:numFmt w:val="decimal"/>
      <w:lvlText w:val="%7."/>
      <w:lvlJc w:val="left"/>
      <w:pPr>
        <w:tabs>
          <w:tab w:val="num" w:pos="5040"/>
        </w:tabs>
        <w:ind w:left="5040" w:hanging="360"/>
      </w:pPr>
    </w:lvl>
    <w:lvl w:ilvl="7" w:tplc="4342C064" w:tentative="1">
      <w:start w:val="1"/>
      <w:numFmt w:val="lowerLetter"/>
      <w:lvlText w:val="%8."/>
      <w:lvlJc w:val="left"/>
      <w:pPr>
        <w:tabs>
          <w:tab w:val="num" w:pos="5760"/>
        </w:tabs>
        <w:ind w:left="5760" w:hanging="360"/>
      </w:pPr>
    </w:lvl>
    <w:lvl w:ilvl="8" w:tplc="3F228486"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CB6C816A"/>
    <w:lvl w:ilvl="0" w:tplc="9326BE6C">
      <w:start w:val="1"/>
      <w:numFmt w:val="bullet"/>
      <w:lvlText w:val="•"/>
      <w:lvlJc w:val="left"/>
      <w:pPr>
        <w:tabs>
          <w:tab w:val="num" w:pos="2268"/>
        </w:tabs>
        <w:ind w:left="2268" w:hanging="170"/>
      </w:pPr>
      <w:rPr>
        <w:rFonts w:ascii="Times New Roman" w:hAnsi="Times New Roman" w:cs="Times New Roman" w:hint="default"/>
      </w:rPr>
    </w:lvl>
    <w:lvl w:ilvl="1" w:tplc="EC924DC4" w:tentative="1">
      <w:start w:val="1"/>
      <w:numFmt w:val="bullet"/>
      <w:lvlText w:val="o"/>
      <w:lvlJc w:val="left"/>
      <w:pPr>
        <w:tabs>
          <w:tab w:val="num" w:pos="3708"/>
        </w:tabs>
        <w:ind w:left="3708" w:hanging="360"/>
      </w:pPr>
      <w:rPr>
        <w:rFonts w:ascii="Courier New" w:hAnsi="Courier New" w:hint="default"/>
      </w:rPr>
    </w:lvl>
    <w:lvl w:ilvl="2" w:tplc="CCCEA2D4" w:tentative="1">
      <w:start w:val="1"/>
      <w:numFmt w:val="bullet"/>
      <w:lvlText w:val=""/>
      <w:lvlJc w:val="left"/>
      <w:pPr>
        <w:tabs>
          <w:tab w:val="num" w:pos="4428"/>
        </w:tabs>
        <w:ind w:left="4428" w:hanging="360"/>
      </w:pPr>
      <w:rPr>
        <w:rFonts w:ascii="Wingdings" w:hAnsi="Wingdings" w:hint="default"/>
      </w:rPr>
    </w:lvl>
    <w:lvl w:ilvl="3" w:tplc="289A0F6C" w:tentative="1">
      <w:start w:val="1"/>
      <w:numFmt w:val="bullet"/>
      <w:lvlText w:val=""/>
      <w:lvlJc w:val="left"/>
      <w:pPr>
        <w:tabs>
          <w:tab w:val="num" w:pos="5148"/>
        </w:tabs>
        <w:ind w:left="5148" w:hanging="360"/>
      </w:pPr>
      <w:rPr>
        <w:rFonts w:ascii="Symbol" w:hAnsi="Symbol" w:hint="default"/>
      </w:rPr>
    </w:lvl>
    <w:lvl w:ilvl="4" w:tplc="24C29DBE" w:tentative="1">
      <w:start w:val="1"/>
      <w:numFmt w:val="bullet"/>
      <w:lvlText w:val="o"/>
      <w:lvlJc w:val="left"/>
      <w:pPr>
        <w:tabs>
          <w:tab w:val="num" w:pos="5868"/>
        </w:tabs>
        <w:ind w:left="5868" w:hanging="360"/>
      </w:pPr>
      <w:rPr>
        <w:rFonts w:ascii="Courier New" w:hAnsi="Courier New" w:hint="default"/>
      </w:rPr>
    </w:lvl>
    <w:lvl w:ilvl="5" w:tplc="01D48288" w:tentative="1">
      <w:start w:val="1"/>
      <w:numFmt w:val="bullet"/>
      <w:lvlText w:val=""/>
      <w:lvlJc w:val="left"/>
      <w:pPr>
        <w:tabs>
          <w:tab w:val="num" w:pos="6588"/>
        </w:tabs>
        <w:ind w:left="6588" w:hanging="360"/>
      </w:pPr>
      <w:rPr>
        <w:rFonts w:ascii="Wingdings" w:hAnsi="Wingdings" w:hint="default"/>
      </w:rPr>
    </w:lvl>
    <w:lvl w:ilvl="6" w:tplc="142AF04C" w:tentative="1">
      <w:start w:val="1"/>
      <w:numFmt w:val="bullet"/>
      <w:lvlText w:val=""/>
      <w:lvlJc w:val="left"/>
      <w:pPr>
        <w:tabs>
          <w:tab w:val="num" w:pos="7308"/>
        </w:tabs>
        <w:ind w:left="7308" w:hanging="360"/>
      </w:pPr>
      <w:rPr>
        <w:rFonts w:ascii="Symbol" w:hAnsi="Symbol" w:hint="default"/>
      </w:rPr>
    </w:lvl>
    <w:lvl w:ilvl="7" w:tplc="3CC23772" w:tentative="1">
      <w:start w:val="1"/>
      <w:numFmt w:val="bullet"/>
      <w:lvlText w:val="o"/>
      <w:lvlJc w:val="left"/>
      <w:pPr>
        <w:tabs>
          <w:tab w:val="num" w:pos="8028"/>
        </w:tabs>
        <w:ind w:left="8028" w:hanging="360"/>
      </w:pPr>
      <w:rPr>
        <w:rFonts w:ascii="Courier New" w:hAnsi="Courier New" w:hint="default"/>
      </w:rPr>
    </w:lvl>
    <w:lvl w:ilvl="8" w:tplc="8F2AB672"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7FEE3222"/>
    <w:lvl w:ilvl="0" w:tplc="9E9C56B8">
      <w:start w:val="1"/>
      <w:numFmt w:val="bullet"/>
      <w:lvlText w:val="•"/>
      <w:lvlJc w:val="left"/>
      <w:pPr>
        <w:tabs>
          <w:tab w:val="num" w:pos="1701"/>
        </w:tabs>
        <w:ind w:left="1701" w:hanging="170"/>
      </w:pPr>
      <w:rPr>
        <w:rFonts w:ascii="Times New Roman" w:hAnsi="Times New Roman" w:cs="Times New Roman" w:hint="default"/>
      </w:rPr>
    </w:lvl>
    <w:lvl w:ilvl="1" w:tplc="68DEA4A2" w:tentative="1">
      <w:start w:val="1"/>
      <w:numFmt w:val="bullet"/>
      <w:lvlText w:val="o"/>
      <w:lvlJc w:val="left"/>
      <w:pPr>
        <w:tabs>
          <w:tab w:val="num" w:pos="3141"/>
        </w:tabs>
        <w:ind w:left="3141" w:hanging="360"/>
      </w:pPr>
      <w:rPr>
        <w:rFonts w:ascii="Courier New" w:hAnsi="Courier New" w:hint="default"/>
      </w:rPr>
    </w:lvl>
    <w:lvl w:ilvl="2" w:tplc="43A2F892" w:tentative="1">
      <w:start w:val="1"/>
      <w:numFmt w:val="bullet"/>
      <w:lvlText w:val=""/>
      <w:lvlJc w:val="left"/>
      <w:pPr>
        <w:tabs>
          <w:tab w:val="num" w:pos="3861"/>
        </w:tabs>
        <w:ind w:left="3861" w:hanging="360"/>
      </w:pPr>
      <w:rPr>
        <w:rFonts w:ascii="Wingdings" w:hAnsi="Wingdings" w:hint="default"/>
      </w:rPr>
    </w:lvl>
    <w:lvl w:ilvl="3" w:tplc="BF8CFD62" w:tentative="1">
      <w:start w:val="1"/>
      <w:numFmt w:val="bullet"/>
      <w:lvlText w:val=""/>
      <w:lvlJc w:val="left"/>
      <w:pPr>
        <w:tabs>
          <w:tab w:val="num" w:pos="4581"/>
        </w:tabs>
        <w:ind w:left="4581" w:hanging="360"/>
      </w:pPr>
      <w:rPr>
        <w:rFonts w:ascii="Symbol" w:hAnsi="Symbol" w:hint="default"/>
      </w:rPr>
    </w:lvl>
    <w:lvl w:ilvl="4" w:tplc="33E2AED6" w:tentative="1">
      <w:start w:val="1"/>
      <w:numFmt w:val="bullet"/>
      <w:lvlText w:val="o"/>
      <w:lvlJc w:val="left"/>
      <w:pPr>
        <w:tabs>
          <w:tab w:val="num" w:pos="5301"/>
        </w:tabs>
        <w:ind w:left="5301" w:hanging="360"/>
      </w:pPr>
      <w:rPr>
        <w:rFonts w:ascii="Courier New" w:hAnsi="Courier New" w:hint="default"/>
      </w:rPr>
    </w:lvl>
    <w:lvl w:ilvl="5" w:tplc="C54A5724" w:tentative="1">
      <w:start w:val="1"/>
      <w:numFmt w:val="bullet"/>
      <w:lvlText w:val=""/>
      <w:lvlJc w:val="left"/>
      <w:pPr>
        <w:tabs>
          <w:tab w:val="num" w:pos="6021"/>
        </w:tabs>
        <w:ind w:left="6021" w:hanging="360"/>
      </w:pPr>
      <w:rPr>
        <w:rFonts w:ascii="Wingdings" w:hAnsi="Wingdings" w:hint="default"/>
      </w:rPr>
    </w:lvl>
    <w:lvl w:ilvl="6" w:tplc="98C43972" w:tentative="1">
      <w:start w:val="1"/>
      <w:numFmt w:val="bullet"/>
      <w:lvlText w:val=""/>
      <w:lvlJc w:val="left"/>
      <w:pPr>
        <w:tabs>
          <w:tab w:val="num" w:pos="6741"/>
        </w:tabs>
        <w:ind w:left="6741" w:hanging="360"/>
      </w:pPr>
      <w:rPr>
        <w:rFonts w:ascii="Symbol" w:hAnsi="Symbol" w:hint="default"/>
      </w:rPr>
    </w:lvl>
    <w:lvl w:ilvl="7" w:tplc="5E20638E" w:tentative="1">
      <w:start w:val="1"/>
      <w:numFmt w:val="bullet"/>
      <w:lvlText w:val="o"/>
      <w:lvlJc w:val="left"/>
      <w:pPr>
        <w:tabs>
          <w:tab w:val="num" w:pos="7461"/>
        </w:tabs>
        <w:ind w:left="7461" w:hanging="360"/>
      </w:pPr>
      <w:rPr>
        <w:rFonts w:ascii="Courier New" w:hAnsi="Courier New" w:hint="default"/>
      </w:rPr>
    </w:lvl>
    <w:lvl w:ilvl="8" w:tplc="9C46C344"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8"/>
  </w:num>
  <w:num w:numId="5">
    <w:abstractNumId w:val="9"/>
  </w:num>
  <w:num w:numId="6">
    <w:abstractNumId w:val="11"/>
  </w:num>
  <w:num w:numId="7">
    <w:abstractNumId w:val="4"/>
  </w:num>
  <w:num w:numId="8">
    <w:abstractNumId w:val="0"/>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5B3729"/>
    <w:rsid w:val="000004EF"/>
    <w:rsid w:val="00046E92"/>
    <w:rsid w:val="00062024"/>
    <w:rsid w:val="00091ABF"/>
    <w:rsid w:val="000F5384"/>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757E2"/>
    <w:rsid w:val="003B3D9A"/>
    <w:rsid w:val="003B42AF"/>
    <w:rsid w:val="003B4550"/>
    <w:rsid w:val="00436EB9"/>
    <w:rsid w:val="00461253"/>
    <w:rsid w:val="004A635B"/>
    <w:rsid w:val="004A6B08"/>
    <w:rsid w:val="004F256F"/>
    <w:rsid w:val="005042C2"/>
    <w:rsid w:val="005150EB"/>
    <w:rsid w:val="00515592"/>
    <w:rsid w:val="00535834"/>
    <w:rsid w:val="0054620A"/>
    <w:rsid w:val="005869C8"/>
    <w:rsid w:val="005B3729"/>
    <w:rsid w:val="005B5FA1"/>
    <w:rsid w:val="006365DF"/>
    <w:rsid w:val="00671529"/>
    <w:rsid w:val="006A7265"/>
    <w:rsid w:val="006D09F7"/>
    <w:rsid w:val="006E1B45"/>
    <w:rsid w:val="007237F2"/>
    <w:rsid w:val="007268F9"/>
    <w:rsid w:val="007309C0"/>
    <w:rsid w:val="007B0CE3"/>
    <w:rsid w:val="007C52B0"/>
    <w:rsid w:val="00800DB2"/>
    <w:rsid w:val="00812AA7"/>
    <w:rsid w:val="00866CD3"/>
    <w:rsid w:val="008779DC"/>
    <w:rsid w:val="008A5333"/>
    <w:rsid w:val="008B5F85"/>
    <w:rsid w:val="008E6FA3"/>
    <w:rsid w:val="00903238"/>
    <w:rsid w:val="00917EBA"/>
    <w:rsid w:val="0093545A"/>
    <w:rsid w:val="009411B4"/>
    <w:rsid w:val="009B4592"/>
    <w:rsid w:val="009D0139"/>
    <w:rsid w:val="009E22DE"/>
    <w:rsid w:val="009E49D0"/>
    <w:rsid w:val="009F5CDC"/>
    <w:rsid w:val="00A43F01"/>
    <w:rsid w:val="00A775CF"/>
    <w:rsid w:val="00AA1533"/>
    <w:rsid w:val="00AE2550"/>
    <w:rsid w:val="00AF4E36"/>
    <w:rsid w:val="00B06045"/>
    <w:rsid w:val="00B4355D"/>
    <w:rsid w:val="00B43930"/>
    <w:rsid w:val="00BD7379"/>
    <w:rsid w:val="00C27CE2"/>
    <w:rsid w:val="00C35A27"/>
    <w:rsid w:val="00C77619"/>
    <w:rsid w:val="00C9269A"/>
    <w:rsid w:val="00CA5065"/>
    <w:rsid w:val="00D21609"/>
    <w:rsid w:val="00D926E5"/>
    <w:rsid w:val="00DB4722"/>
    <w:rsid w:val="00E00D7B"/>
    <w:rsid w:val="00E02C2B"/>
    <w:rsid w:val="00E204D7"/>
    <w:rsid w:val="00E538F4"/>
    <w:rsid w:val="00E67689"/>
    <w:rsid w:val="00E67FFB"/>
    <w:rsid w:val="00E82CD9"/>
    <w:rsid w:val="00EC5EC0"/>
    <w:rsid w:val="00ED3F60"/>
    <w:rsid w:val="00ED6C48"/>
    <w:rsid w:val="00EF3559"/>
    <w:rsid w:val="00F022BB"/>
    <w:rsid w:val="00F03CF3"/>
    <w:rsid w:val="00F04DB0"/>
    <w:rsid w:val="00F52D40"/>
    <w:rsid w:val="00F61731"/>
    <w:rsid w:val="00F65F5D"/>
    <w:rsid w:val="00F86A3A"/>
    <w:rsid w:val="00FA6B47"/>
    <w:rsid w:val="00FA6FE3"/>
    <w:rsid w:val="00FC1527"/>
    <w:rsid w:val="00FF3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37B6622"/>
  <w15:docId w15:val="{19933512-C71E-4EDF-A8B0-A3562832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customStyle="1" w:styleId="ParNoG">
    <w:name w:val="_ParNo_G"/>
    <w:basedOn w:val="Normal"/>
    <w:qFormat/>
    <w:rsid w:val="009B4592"/>
    <w:pPr>
      <w:numPr>
        <w:numId w:val="11"/>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semiHidden/>
    <w:rsid w:val="009B4592"/>
    <w:rPr>
      <w:color w:val="0000FF"/>
      <w:u w:val="none"/>
    </w:rPr>
  </w:style>
  <w:style w:type="character" w:styleId="FollowedHyperlink">
    <w:name w:val="FollowedHyperlink"/>
    <w:basedOn w:val="DefaultParagraphFont"/>
    <w:semiHidden/>
    <w:rsid w:val="009B4592"/>
    <w:rPr>
      <w:color w:val="0000FF"/>
      <w:u w:val="none"/>
    </w:rPr>
  </w:style>
  <w:style w:type="table" w:customStyle="1" w:styleId="Tablaconcuadrcula1">
    <w:name w:val="Tabla con cuadrícula1"/>
    <w:basedOn w:val="TableNormal"/>
    <w:rsid w:val="009B4592"/>
    <w:pPr>
      <w:suppressAutoHyphens/>
      <w:spacing w:after="0" w:line="240" w:lineRule="atLeast"/>
    </w:pPr>
    <w:rPr>
      <w:rFonts w:ascii="Times New Roman" w:eastAsia="Batang"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rsid w:val="009B4592"/>
    <w:pPr>
      <w:suppressAutoHyphens/>
      <w:spacing w:after="0" w:line="240" w:lineRule="atLeast"/>
    </w:pPr>
    <w:rPr>
      <w:rFonts w:ascii="Times New Roman" w:eastAsia="Batang"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9B4592"/>
  </w:style>
  <w:style w:type="numbering" w:customStyle="1" w:styleId="1ai1">
    <w:name w:val="1 / a / i1"/>
    <w:basedOn w:val="NoList"/>
    <w:next w:val="1ai"/>
    <w:semiHidden/>
    <w:rsid w:val="009B4592"/>
    <w:pPr>
      <w:numPr>
        <w:numId w:val="8"/>
      </w:numPr>
    </w:pPr>
  </w:style>
  <w:style w:type="table" w:customStyle="1" w:styleId="TableGrid2">
    <w:name w:val="Table Grid2"/>
    <w:basedOn w:val="TableNormal"/>
    <w:next w:val="TableGrid"/>
    <w:rsid w:val="009B459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592"/>
    <w:rPr>
      <w:sz w:val="16"/>
      <w:szCs w:val="16"/>
    </w:rPr>
  </w:style>
  <w:style w:type="paragraph" w:styleId="CommentText">
    <w:name w:val="annotation text"/>
    <w:basedOn w:val="Normal"/>
    <w:link w:val="CommentTextChar"/>
    <w:uiPriority w:val="99"/>
    <w:unhideWhenUsed/>
    <w:rsid w:val="009B4592"/>
    <w:pPr>
      <w:spacing w:line="240" w:lineRule="auto"/>
    </w:pPr>
  </w:style>
  <w:style w:type="character" w:customStyle="1" w:styleId="CommentTextChar">
    <w:name w:val="Comment Text Char"/>
    <w:basedOn w:val="DefaultParagraphFont"/>
    <w:link w:val="CommentText"/>
    <w:uiPriority w:val="99"/>
    <w:rsid w:val="009B4592"/>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9B4592"/>
    <w:pPr>
      <w:suppressAutoHyphens w:val="0"/>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9B4592"/>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B4592"/>
    <w:rPr>
      <w:color w:val="605E5C"/>
      <w:shd w:val="clear" w:color="auto" w:fill="E1DFDD"/>
    </w:rPr>
  </w:style>
  <w:style w:type="paragraph" w:customStyle="1" w:styleId="Default">
    <w:name w:val="Default"/>
    <w:rsid w:val="009B4592"/>
    <w:pPr>
      <w:autoSpaceDE w:val="0"/>
      <w:autoSpaceDN w:val="0"/>
      <w:adjustRightInd w:val="0"/>
      <w:spacing w:after="0" w:line="240" w:lineRule="auto"/>
    </w:pPr>
    <w:rPr>
      <w:rFonts w:ascii="Calibri" w:eastAsia="Batang" w:hAnsi="Calibri" w:cs="Calibri"/>
      <w:color w:val="000000"/>
      <w:sz w:val="24"/>
      <w:szCs w:val="24"/>
      <w:lang w:eastAsia="en-US"/>
    </w:rPr>
  </w:style>
  <w:style w:type="paragraph" w:styleId="ListParagraph">
    <w:name w:val="List Paragraph"/>
    <w:basedOn w:val="Normal"/>
    <w:uiPriority w:val="34"/>
    <w:qFormat/>
    <w:rsid w:val="009B4592"/>
    <w:pPr>
      <w:ind w:left="720"/>
      <w:contextualSpacing/>
    </w:pPr>
  </w:style>
  <w:style w:type="paragraph" w:customStyle="1" w:styleId="merged-reco">
    <w:name w:val="merged-reco"/>
    <w:basedOn w:val="Normal"/>
    <w:rsid w:val="009B4592"/>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semiHidden/>
    <w:unhideWhenUsed/>
    <w:rsid w:val="009B4592"/>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9B4592"/>
    <w:rPr>
      <w:b/>
      <w:bCs/>
    </w:rPr>
  </w:style>
  <w:style w:type="character" w:customStyle="1" w:styleId="normaltextrun">
    <w:name w:val="normaltextrun"/>
    <w:basedOn w:val="DefaultParagraphFont"/>
    <w:rsid w:val="009B4592"/>
  </w:style>
  <w:style w:type="paragraph" w:styleId="NoSpacing">
    <w:name w:val="No Spacing"/>
    <w:uiPriority w:val="1"/>
    <w:qFormat/>
    <w:rsid w:val="009B4592"/>
    <w:pPr>
      <w:spacing w:after="0" w:line="240" w:lineRule="auto"/>
    </w:pPr>
    <w:rPr>
      <w:rFonts w:eastAsia="Batang"/>
      <w:sz w:val="24"/>
      <w:szCs w:val="24"/>
      <w:lang w:val="en-US" w:eastAsia="en-US"/>
    </w:rPr>
  </w:style>
  <w:style w:type="character" w:styleId="Emphasis">
    <w:name w:val="Emphasis"/>
    <w:basedOn w:val="DefaultParagraphFont"/>
    <w:uiPriority w:val="20"/>
    <w:qFormat/>
    <w:rsid w:val="009B4592"/>
    <w:rPr>
      <w:i/>
      <w:iCs/>
    </w:rPr>
  </w:style>
  <w:style w:type="paragraph" w:styleId="Revision">
    <w:name w:val="Revision"/>
    <w:hidden/>
    <w:uiPriority w:val="99"/>
    <w:semiHidden/>
    <w:rsid w:val="009B4592"/>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0F5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IRQ/FCO/1" TargetMode="External"/><Relationship Id="rId13" Type="http://schemas.openxmlformats.org/officeDocument/2006/relationships/hyperlink" Target="http://undocs.org/en/CED/C/IRQ/OAI/1" TargetMode="External"/><Relationship Id="rId18" Type="http://schemas.openxmlformats.org/officeDocument/2006/relationships/hyperlink" Target="http://undocs.org/en/CED/C/IRQ/OAI/1" TargetMode="External"/><Relationship Id="rId26" Type="http://schemas.openxmlformats.org/officeDocument/2006/relationships/hyperlink" Target="http://undocs.org/en/CED/C/IRQ/OAI/1" TargetMode="External"/><Relationship Id="rId3" Type="http://schemas.openxmlformats.org/officeDocument/2006/relationships/hyperlink" Target="http://undocs.org/en/CAT/C/SR.1890" TargetMode="External"/><Relationship Id="rId21" Type="http://schemas.openxmlformats.org/officeDocument/2006/relationships/hyperlink" Target="http://undocs.org/en/CCPR/C/IRQ/CO/6" TargetMode="External"/><Relationship Id="rId7" Type="http://schemas.openxmlformats.org/officeDocument/2006/relationships/hyperlink" Target="http://undocs.org/en/CAT/C/IRQ/CO/1/Corr.1" TargetMode="External"/><Relationship Id="rId12" Type="http://schemas.openxmlformats.org/officeDocument/2006/relationships/hyperlink" Target="http://undocs.org/en/A/HRC/43/14/Add.1" TargetMode="External"/><Relationship Id="rId17" Type="http://schemas.openxmlformats.org/officeDocument/2006/relationships/hyperlink" Target="http://undocs.org/en/CCPR/C/IRQ/CO/6;" TargetMode="External"/><Relationship Id="rId25" Type="http://schemas.openxmlformats.org/officeDocument/2006/relationships/hyperlink" Target="http://undocs.org/en/CCPR/C/IRQ/CO/6" TargetMode="External"/><Relationship Id="rId2" Type="http://schemas.openxmlformats.org/officeDocument/2006/relationships/hyperlink" Target="http://undocs.org/en/CAT/C/SR.1887" TargetMode="External"/><Relationship Id="rId16" Type="http://schemas.openxmlformats.org/officeDocument/2006/relationships/hyperlink" Target="http://undocs.org/en/CAT/C/IRQ/CO/1" TargetMode="External"/><Relationship Id="rId20" Type="http://schemas.openxmlformats.org/officeDocument/2006/relationships/hyperlink" Target="http://undocs.org/en/CAT/C/IRQ/CO/1" TargetMode="External"/><Relationship Id="rId29" Type="http://schemas.openxmlformats.org/officeDocument/2006/relationships/hyperlink" Target="http://undocs.org/en/CCPR/C/IRQ/CO/6" TargetMode="External"/><Relationship Id="rId1" Type="http://schemas.openxmlformats.org/officeDocument/2006/relationships/hyperlink" Target="http://undocs.org/en/CAT/C/IRQ/2" TargetMode="External"/><Relationship Id="rId6" Type="http://schemas.openxmlformats.org/officeDocument/2006/relationships/hyperlink" Target="http://undocs.org/en/CAT/C/IRQ/CO/1" TargetMode="External"/><Relationship Id="rId11" Type="http://schemas.openxmlformats.org/officeDocument/2006/relationships/hyperlink" Target="http://undocs.org/en/A/HRC/43/14" TargetMode="External"/><Relationship Id="rId24" Type="http://schemas.openxmlformats.org/officeDocument/2006/relationships/hyperlink" Target="http://undocs.org/en/S/2022/46" TargetMode="External"/><Relationship Id="rId5" Type="http://schemas.openxmlformats.org/officeDocument/2006/relationships/hyperlink" Target="http://undocs.org/en/CAT/C/IRQ/Q/2" TargetMode="External"/><Relationship Id="rId15" Type="http://schemas.openxmlformats.org/officeDocument/2006/relationships/hyperlink" Target="http://undocs.org/en/CED/C/IRQ/OAI/1" TargetMode="External"/><Relationship Id="rId23" Type="http://schemas.openxmlformats.org/officeDocument/2006/relationships/hyperlink" Target="http://undocs.org/en/CAT/C/IRQ/CO/1" TargetMode="External"/><Relationship Id="rId28" Type="http://schemas.openxmlformats.org/officeDocument/2006/relationships/hyperlink" Target="http://undocs.org/en/CAT/C/IRQ/CO/1" TargetMode="External"/><Relationship Id="rId10" Type="http://schemas.openxmlformats.org/officeDocument/2006/relationships/hyperlink" Target="http://undocs.org/en/CCPR/C/IRQ/CO/6" TargetMode="External"/><Relationship Id="rId19" Type="http://schemas.openxmlformats.org/officeDocument/2006/relationships/hyperlink" Target="http://undocs.org/en/CAT/C/IRQ/CO/1" TargetMode="External"/><Relationship Id="rId31" Type="http://schemas.openxmlformats.org/officeDocument/2006/relationships/hyperlink" Target="http://undocs.org/en/CCPR/C/IRQ/CO/6" TargetMode="External"/><Relationship Id="rId4" Type="http://schemas.openxmlformats.org/officeDocument/2006/relationships/hyperlink" Target="http://undocs.org/en/CAT/C/IRQ/RQ/2" TargetMode="External"/><Relationship Id="rId9" Type="http://schemas.openxmlformats.org/officeDocument/2006/relationships/hyperlink" Target="http://undocs.org/en/CAT/C/IRQ/CO/1" TargetMode="External"/><Relationship Id="rId14" Type="http://schemas.openxmlformats.org/officeDocument/2006/relationships/hyperlink" Target="http://undocs.org/en/CCPR/C/IRQ/CO/6" TargetMode="External"/><Relationship Id="rId22" Type="http://schemas.openxmlformats.org/officeDocument/2006/relationships/hyperlink" Target="http://undocs.org/en/S/2022/46" TargetMode="External"/><Relationship Id="rId27" Type="http://schemas.openxmlformats.org/officeDocument/2006/relationships/hyperlink" Target="http://undocs.org/en/CCPR/C/IRQ/CO/6" TargetMode="External"/><Relationship Id="rId30" Type="http://schemas.openxmlformats.org/officeDocument/2006/relationships/hyperlink" Target="http://undocs.org/en/CAT/C/IRQ/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5866</Words>
  <Characters>33420</Characters>
  <Application>Microsoft Office Word</Application>
  <DocSecurity>0</DocSecurity>
  <Lines>521</Lines>
  <Paragraphs>121</Paragraphs>
  <ScaleCrop>false</ScaleCrop>
  <HeadingPairs>
    <vt:vector size="2" baseType="variant">
      <vt:variant>
        <vt:lpstr>Title</vt:lpstr>
      </vt:variant>
      <vt:variant>
        <vt:i4>1</vt:i4>
      </vt:variant>
    </vt:vector>
  </HeadingPairs>
  <TitlesOfParts>
    <vt:vector size="1" baseType="lpstr">
      <vt:lpstr>CAT/C/IRQ/CO/2</vt:lpstr>
    </vt:vector>
  </TitlesOfParts>
  <Company>DCM</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CAT/C/IRQ/CO/2</dc:title>
  <dc:subject>2209270</dc:subject>
  <dc:creator>edk</dc:creator>
  <cp:keywords/>
  <dc:description/>
  <cp:lastModifiedBy>Maria Rosario Corazon Gatmaytan</cp:lastModifiedBy>
  <cp:revision>2</cp:revision>
  <dcterms:created xsi:type="dcterms:W3CDTF">2022-06-15T15:28:00Z</dcterms:created>
  <dcterms:modified xsi:type="dcterms:W3CDTF">2022-06-15T15:28:00Z</dcterms:modified>
</cp:coreProperties>
</file>