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EE3191">
            <w:bookmarkStart w:id="0" w:name="_GoBack"/>
            <w:bookmarkEnd w:id="0"/>
          </w:p>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EE3191" w:rsidP="00EE3191">
            <w:pPr>
              <w:jc w:val="right"/>
            </w:pPr>
            <w:r w:rsidRPr="00EE3191">
              <w:rPr>
                <w:sz w:val="40"/>
              </w:rPr>
              <w:t>CRC</w:t>
            </w:r>
            <w:r>
              <w:t>/C/80/D/15/2017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607BE5">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EE3191" w:rsidP="008F3CA0">
            <w:pPr>
              <w:spacing w:before="240"/>
            </w:pPr>
            <w:r>
              <w:t>Distr. générale</w:t>
            </w:r>
          </w:p>
          <w:p w:rsidR="00EE3191" w:rsidRDefault="00EE3191" w:rsidP="00EE3191">
            <w:pPr>
              <w:spacing w:line="240" w:lineRule="exact"/>
            </w:pPr>
            <w:r>
              <w:t>2 juillet 2019</w:t>
            </w:r>
          </w:p>
          <w:p w:rsidR="00EE3191" w:rsidRDefault="00EE3191" w:rsidP="00EE3191">
            <w:pPr>
              <w:spacing w:line="240" w:lineRule="exact"/>
            </w:pPr>
            <w:r>
              <w:t>Français</w:t>
            </w:r>
          </w:p>
          <w:p w:rsidR="00EE3191" w:rsidRPr="00DB58B5" w:rsidRDefault="00EE3191" w:rsidP="00EE3191">
            <w:pPr>
              <w:spacing w:line="240" w:lineRule="exact"/>
            </w:pPr>
            <w:r>
              <w:t>Original : espagnol</w:t>
            </w:r>
          </w:p>
        </w:tc>
      </w:tr>
    </w:tbl>
    <w:p w:rsidR="002D14A3" w:rsidRDefault="002D14A3" w:rsidP="002D14A3">
      <w:pPr>
        <w:spacing w:before="120"/>
        <w:rPr>
          <w:b/>
          <w:sz w:val="24"/>
          <w:szCs w:val="24"/>
        </w:rPr>
      </w:pPr>
      <w:r w:rsidRPr="00DA3BE9">
        <w:rPr>
          <w:b/>
          <w:sz w:val="24"/>
          <w:szCs w:val="24"/>
        </w:rPr>
        <w:t>Comité des droits de l</w:t>
      </w:r>
      <w:r w:rsidR="00607BE5">
        <w:rPr>
          <w:b/>
          <w:sz w:val="24"/>
          <w:szCs w:val="24"/>
        </w:rPr>
        <w:t>’</w:t>
      </w:r>
      <w:r w:rsidRPr="00DA3BE9">
        <w:rPr>
          <w:b/>
          <w:sz w:val="24"/>
          <w:szCs w:val="24"/>
        </w:rPr>
        <w:t>enfant</w:t>
      </w:r>
    </w:p>
    <w:p w:rsidR="00EE3191" w:rsidRPr="00BB6085" w:rsidRDefault="00CF46E2" w:rsidP="00EE3191">
      <w:pPr>
        <w:pStyle w:val="HChG"/>
        <w:rPr>
          <w:lang w:val="fr-FR"/>
        </w:rPr>
      </w:pPr>
      <w:r>
        <w:rPr>
          <w:lang w:val="fr-FR"/>
        </w:rPr>
        <w:tab/>
      </w:r>
      <w:r>
        <w:rPr>
          <w:lang w:val="fr-FR"/>
        </w:rPr>
        <w:tab/>
      </w:r>
      <w:r w:rsidR="00EE3191" w:rsidRPr="00683CF1">
        <w:rPr>
          <w:lang w:val="fr-FR"/>
        </w:rPr>
        <w:t>Constatations adoptées par le Comité au titre du</w:t>
      </w:r>
      <w:r w:rsidR="00EE3191">
        <w:rPr>
          <w:lang w:val="fr-FR"/>
        </w:rPr>
        <w:t> </w:t>
      </w:r>
      <w:r w:rsidR="00EE3191" w:rsidRPr="00683CF1">
        <w:rPr>
          <w:lang w:val="fr-FR"/>
        </w:rPr>
        <w:t>Protocole</w:t>
      </w:r>
      <w:r w:rsidR="00EE3191">
        <w:rPr>
          <w:lang w:val="fr-FR"/>
        </w:rPr>
        <w:t> </w:t>
      </w:r>
      <w:r w:rsidR="00EE3191" w:rsidRPr="00683CF1">
        <w:rPr>
          <w:lang w:val="fr-FR"/>
        </w:rPr>
        <w:t xml:space="preserve">facultatif à la Convention relative </w:t>
      </w:r>
      <w:r w:rsidR="00EE3191">
        <w:rPr>
          <w:lang w:val="fr-FR"/>
        </w:rPr>
        <w:br/>
      </w:r>
      <w:r w:rsidR="00EE3191" w:rsidRPr="00683CF1">
        <w:rPr>
          <w:lang w:val="fr-FR"/>
        </w:rPr>
        <w:t>aux droits de</w:t>
      </w:r>
      <w:r w:rsidR="00EE3191">
        <w:rPr>
          <w:lang w:val="fr-FR"/>
        </w:rPr>
        <w:t> </w:t>
      </w:r>
      <w:r w:rsidR="00EE3191" w:rsidRPr="00683CF1">
        <w:rPr>
          <w:lang w:val="fr-FR"/>
        </w:rPr>
        <w:t>l</w:t>
      </w:r>
      <w:r w:rsidR="00607BE5">
        <w:rPr>
          <w:lang w:val="fr-FR"/>
        </w:rPr>
        <w:t>’</w:t>
      </w:r>
      <w:r w:rsidR="00EE3191" w:rsidRPr="00683CF1">
        <w:rPr>
          <w:lang w:val="fr-FR"/>
        </w:rPr>
        <w:t>enfant établissant une procédure de</w:t>
      </w:r>
      <w:r w:rsidR="00EE3191">
        <w:rPr>
          <w:lang w:val="fr-FR"/>
        </w:rPr>
        <w:t> </w:t>
      </w:r>
      <w:r w:rsidR="00EE3191" w:rsidRPr="00683CF1">
        <w:rPr>
          <w:lang w:val="fr-FR"/>
        </w:rPr>
        <w:t>présentation de communications, concernant la</w:t>
      </w:r>
      <w:r w:rsidR="00EE3191">
        <w:rPr>
          <w:lang w:val="fr-FR"/>
        </w:rPr>
        <w:t> c</w:t>
      </w:r>
      <w:r w:rsidR="00EE3191" w:rsidRPr="00BB6085">
        <w:rPr>
          <w:lang w:val="fr-FR"/>
        </w:rPr>
        <w:t>ommunication n</w:t>
      </w:r>
      <w:r w:rsidR="00EE3191" w:rsidRPr="00BB6085">
        <w:rPr>
          <w:vertAlign w:val="superscript"/>
          <w:lang w:val="fr-FR"/>
        </w:rPr>
        <w:t>o</w:t>
      </w:r>
      <w:r w:rsidR="00EE3191" w:rsidRPr="00BB6085">
        <w:rPr>
          <w:lang w:val="fr-FR"/>
        </w:rPr>
        <w:t> 15/2017</w:t>
      </w:r>
      <w:r w:rsidR="00EE3191" w:rsidRPr="002A35B9">
        <w:rPr>
          <w:rStyle w:val="Appelnotedebasdep"/>
          <w:b w:val="0"/>
          <w:sz w:val="20"/>
          <w:vertAlign w:val="baseline"/>
        </w:rPr>
        <w:footnoteReference w:customMarkFollows="1" w:id="2"/>
        <w:t>*</w:t>
      </w:r>
      <w:r w:rsidR="00EE3191" w:rsidRPr="002A35B9">
        <w:rPr>
          <w:b w:val="0"/>
          <w:sz w:val="20"/>
          <w:vertAlign w:val="superscript"/>
        </w:rPr>
        <w:t>,</w:t>
      </w:r>
      <w:r w:rsidR="00EE3191">
        <w:rPr>
          <w:b w:val="0"/>
          <w:sz w:val="20"/>
          <w:vertAlign w:val="superscript"/>
        </w:rPr>
        <w:t xml:space="preserve"> </w:t>
      </w:r>
      <w:r w:rsidR="00EE3191" w:rsidRPr="002A35B9">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EE3191" w:rsidTr="0033612E">
        <w:tc>
          <w:tcPr>
            <w:tcW w:w="3119" w:type="dxa"/>
          </w:tcPr>
          <w:p w:rsidR="00EE3191" w:rsidRDefault="00EE3191" w:rsidP="0033612E">
            <w:pPr>
              <w:pStyle w:val="SingleTxtG"/>
              <w:ind w:left="0" w:right="0"/>
              <w:jc w:val="left"/>
              <w:rPr>
                <w:i/>
              </w:rPr>
            </w:pPr>
            <w:r>
              <w:rPr>
                <w:i/>
              </w:rPr>
              <w:t>Communication présentée par</w:t>
            </w:r>
            <w:r>
              <w:t> :</w:t>
            </w:r>
          </w:p>
        </w:tc>
        <w:tc>
          <w:tcPr>
            <w:tcW w:w="3686" w:type="dxa"/>
          </w:tcPr>
          <w:p w:rsidR="00EE3191" w:rsidRDefault="00EE3191" w:rsidP="0033612E">
            <w:pPr>
              <w:pStyle w:val="SingleTxtG"/>
              <w:ind w:left="0" w:right="0"/>
              <w:jc w:val="left"/>
            </w:pPr>
            <w:r w:rsidRPr="00BB6085">
              <w:rPr>
                <w:lang w:val="fr-FR"/>
              </w:rPr>
              <w:t>D.</w:t>
            </w:r>
            <w:r>
              <w:rPr>
                <w:lang w:val="fr-FR"/>
              </w:rPr>
              <w:t> </w:t>
            </w:r>
            <w:r w:rsidRPr="00BB6085">
              <w:rPr>
                <w:lang w:val="fr-FR"/>
              </w:rPr>
              <w:t>K.</w:t>
            </w:r>
            <w:r>
              <w:rPr>
                <w:lang w:val="fr-FR"/>
              </w:rPr>
              <w:t> </w:t>
            </w:r>
            <w:r w:rsidRPr="00BB6085">
              <w:rPr>
                <w:lang w:val="fr-FR"/>
              </w:rPr>
              <w:t>N.</w:t>
            </w:r>
            <w:r>
              <w:rPr>
                <w:lang w:val="fr-FR"/>
              </w:rPr>
              <w:t xml:space="preserve"> (représenté par un conseil, </w:t>
            </w:r>
            <w:r>
              <w:rPr>
                <w:lang w:val="fr-FR"/>
              </w:rPr>
              <w:br/>
            </w:r>
            <w:r w:rsidRPr="00BB6085">
              <w:rPr>
                <w:lang w:val="fr-FR"/>
              </w:rPr>
              <w:t>Albert Parés Casanova)</w:t>
            </w:r>
          </w:p>
        </w:tc>
      </w:tr>
      <w:tr w:rsidR="00EE3191" w:rsidTr="0033612E">
        <w:tc>
          <w:tcPr>
            <w:tcW w:w="3119" w:type="dxa"/>
          </w:tcPr>
          <w:p w:rsidR="00EE3191" w:rsidRDefault="00EE3191" w:rsidP="0033612E">
            <w:pPr>
              <w:pStyle w:val="SingleTxtG"/>
              <w:ind w:left="0" w:right="0"/>
              <w:jc w:val="left"/>
              <w:rPr>
                <w:i/>
              </w:rPr>
            </w:pPr>
            <w:r>
              <w:rPr>
                <w:i/>
              </w:rPr>
              <w:t>Au nom de</w:t>
            </w:r>
            <w:r>
              <w:t> :</w:t>
            </w:r>
          </w:p>
        </w:tc>
        <w:tc>
          <w:tcPr>
            <w:tcW w:w="3686" w:type="dxa"/>
          </w:tcPr>
          <w:p w:rsidR="00EE3191" w:rsidRDefault="00EE3191" w:rsidP="0033612E">
            <w:pPr>
              <w:pStyle w:val="SingleTxtG"/>
              <w:ind w:left="0" w:right="0"/>
              <w:jc w:val="left"/>
            </w:pPr>
            <w:r w:rsidRPr="00BB6085">
              <w:rPr>
                <w:lang w:val="fr-FR"/>
              </w:rPr>
              <w:t>D.</w:t>
            </w:r>
            <w:r>
              <w:rPr>
                <w:lang w:val="fr-FR"/>
              </w:rPr>
              <w:t> </w:t>
            </w:r>
            <w:r w:rsidRPr="00BB6085">
              <w:rPr>
                <w:lang w:val="fr-FR"/>
              </w:rPr>
              <w:t>K.</w:t>
            </w:r>
            <w:r>
              <w:rPr>
                <w:lang w:val="fr-FR"/>
              </w:rPr>
              <w:t> </w:t>
            </w:r>
            <w:r w:rsidRPr="00BB6085">
              <w:rPr>
                <w:lang w:val="fr-FR"/>
              </w:rPr>
              <w:t>N.</w:t>
            </w:r>
          </w:p>
        </w:tc>
      </w:tr>
      <w:tr w:rsidR="00EE3191" w:rsidTr="0033612E">
        <w:tc>
          <w:tcPr>
            <w:tcW w:w="3119" w:type="dxa"/>
          </w:tcPr>
          <w:p w:rsidR="00EE3191" w:rsidRDefault="00EE3191" w:rsidP="0033612E">
            <w:pPr>
              <w:pStyle w:val="SingleTxtG"/>
              <w:ind w:left="0" w:right="0"/>
              <w:jc w:val="left"/>
              <w:rPr>
                <w:i/>
              </w:rPr>
            </w:pPr>
            <w:r>
              <w:rPr>
                <w:i/>
              </w:rPr>
              <w:t>État partie</w:t>
            </w:r>
            <w:r>
              <w:t> :</w:t>
            </w:r>
          </w:p>
        </w:tc>
        <w:tc>
          <w:tcPr>
            <w:tcW w:w="3686" w:type="dxa"/>
          </w:tcPr>
          <w:p w:rsidR="00EE3191" w:rsidRDefault="00EE3191" w:rsidP="0033612E">
            <w:pPr>
              <w:pStyle w:val="SingleTxtG"/>
              <w:ind w:left="0" w:right="0"/>
              <w:jc w:val="left"/>
            </w:pPr>
            <w:r>
              <w:t>Espagne</w:t>
            </w:r>
          </w:p>
        </w:tc>
      </w:tr>
      <w:tr w:rsidR="00EE3191" w:rsidTr="0033612E">
        <w:tc>
          <w:tcPr>
            <w:tcW w:w="3119" w:type="dxa"/>
          </w:tcPr>
          <w:p w:rsidR="00EE3191" w:rsidRDefault="00EE3191" w:rsidP="0033612E">
            <w:pPr>
              <w:pStyle w:val="SingleTxtG"/>
              <w:ind w:left="0" w:right="0"/>
              <w:jc w:val="left"/>
              <w:rPr>
                <w:i/>
              </w:rPr>
            </w:pPr>
            <w:r>
              <w:rPr>
                <w:i/>
              </w:rPr>
              <w:t>Date de la communication</w:t>
            </w:r>
            <w:r>
              <w:t> :</w:t>
            </w:r>
          </w:p>
        </w:tc>
        <w:tc>
          <w:tcPr>
            <w:tcW w:w="3686" w:type="dxa"/>
          </w:tcPr>
          <w:p w:rsidR="00EE3191" w:rsidRDefault="00EE3191" w:rsidP="0033612E">
            <w:pPr>
              <w:pStyle w:val="SingleTxtG"/>
              <w:ind w:left="0" w:right="0"/>
              <w:jc w:val="left"/>
            </w:pPr>
            <w:r>
              <w:t>13 mars 2017</w:t>
            </w:r>
          </w:p>
        </w:tc>
      </w:tr>
      <w:tr w:rsidR="00EE3191" w:rsidTr="0033612E">
        <w:tc>
          <w:tcPr>
            <w:tcW w:w="3119" w:type="dxa"/>
          </w:tcPr>
          <w:p w:rsidR="00EE3191" w:rsidRDefault="00EE3191" w:rsidP="0033612E">
            <w:pPr>
              <w:pStyle w:val="SingleTxtG"/>
              <w:ind w:left="0" w:right="0"/>
              <w:jc w:val="left"/>
              <w:rPr>
                <w:i/>
              </w:rPr>
            </w:pPr>
            <w:r>
              <w:rPr>
                <w:i/>
              </w:rPr>
              <w:t>Date de la présente décision</w:t>
            </w:r>
            <w:r>
              <w:t> :</w:t>
            </w:r>
          </w:p>
        </w:tc>
        <w:tc>
          <w:tcPr>
            <w:tcW w:w="3686" w:type="dxa"/>
            <w:vAlign w:val="bottom"/>
          </w:tcPr>
          <w:p w:rsidR="00EE3191" w:rsidRDefault="00EE3191" w:rsidP="0033612E">
            <w:pPr>
              <w:pStyle w:val="SingleTxtG"/>
              <w:ind w:left="0" w:right="0"/>
              <w:jc w:val="left"/>
            </w:pPr>
            <w:r>
              <w:t>1</w:t>
            </w:r>
            <w:r w:rsidRPr="002A35B9">
              <w:rPr>
                <w:vertAlign w:val="superscript"/>
              </w:rPr>
              <w:t>er</w:t>
            </w:r>
            <w:r>
              <w:t xml:space="preserve"> février 2019</w:t>
            </w:r>
          </w:p>
        </w:tc>
      </w:tr>
      <w:tr w:rsidR="00EE3191" w:rsidTr="0033612E">
        <w:tc>
          <w:tcPr>
            <w:tcW w:w="3119" w:type="dxa"/>
          </w:tcPr>
          <w:p w:rsidR="00EE3191" w:rsidRPr="00620920" w:rsidRDefault="00EE3191" w:rsidP="0033612E">
            <w:pPr>
              <w:pStyle w:val="SingleTxtG"/>
              <w:ind w:left="0" w:right="0"/>
              <w:jc w:val="left"/>
            </w:pPr>
            <w:r>
              <w:rPr>
                <w:i/>
              </w:rPr>
              <w:t>Objet</w:t>
            </w:r>
            <w:r>
              <w:t> :</w:t>
            </w:r>
          </w:p>
        </w:tc>
        <w:tc>
          <w:tcPr>
            <w:tcW w:w="3686" w:type="dxa"/>
            <w:vAlign w:val="bottom"/>
          </w:tcPr>
          <w:p w:rsidR="00EE3191" w:rsidRDefault="00EE3191" w:rsidP="0033612E">
            <w:pPr>
              <w:pStyle w:val="SingleTxtG"/>
              <w:ind w:left="0" w:right="0"/>
              <w:jc w:val="left"/>
            </w:pPr>
            <w:r w:rsidRPr="00BB6085">
              <w:rPr>
                <w:lang w:val="fr-FR"/>
              </w:rPr>
              <w:t>Détermination de l</w:t>
            </w:r>
            <w:r w:rsidR="00607BE5">
              <w:rPr>
                <w:lang w:val="fr-FR"/>
              </w:rPr>
              <w:t>’</w:t>
            </w:r>
            <w:r w:rsidRPr="00BB6085">
              <w:rPr>
                <w:lang w:val="fr-FR"/>
              </w:rPr>
              <w:t>âge d</w:t>
            </w:r>
            <w:r w:rsidR="00607BE5">
              <w:rPr>
                <w:lang w:val="fr-FR"/>
              </w:rPr>
              <w:t>’</w:t>
            </w:r>
            <w:r w:rsidRPr="00BB6085">
              <w:rPr>
                <w:lang w:val="fr-FR"/>
              </w:rPr>
              <w:t xml:space="preserve">un </w:t>
            </w:r>
            <w:r>
              <w:rPr>
                <w:lang w:val="fr-FR"/>
              </w:rPr>
              <w:t xml:space="preserve">présumé </w:t>
            </w:r>
            <w:r w:rsidRPr="00BB6085">
              <w:rPr>
                <w:lang w:val="fr-FR"/>
              </w:rPr>
              <w:t>enfant</w:t>
            </w:r>
            <w:r w:rsidRPr="003478A1">
              <w:rPr>
                <w:lang w:val="fr-FR"/>
              </w:rPr>
              <w:t xml:space="preserve"> </w:t>
            </w:r>
            <w:r>
              <w:rPr>
                <w:lang w:val="fr-FR"/>
              </w:rPr>
              <w:t>non </w:t>
            </w:r>
            <w:r w:rsidRPr="00BB6085">
              <w:rPr>
                <w:lang w:val="fr-FR"/>
              </w:rPr>
              <w:t>accompagné</w:t>
            </w:r>
          </w:p>
        </w:tc>
      </w:tr>
      <w:tr w:rsidR="00EE3191" w:rsidTr="0033612E">
        <w:tc>
          <w:tcPr>
            <w:tcW w:w="3119" w:type="dxa"/>
          </w:tcPr>
          <w:p w:rsidR="00EE3191" w:rsidRPr="00620920" w:rsidRDefault="00EE3191" w:rsidP="0033612E">
            <w:pPr>
              <w:pStyle w:val="SingleTxtG"/>
              <w:ind w:left="0" w:right="0"/>
              <w:jc w:val="left"/>
            </w:pPr>
            <w:r>
              <w:rPr>
                <w:i/>
              </w:rPr>
              <w:t>Question(s) de procédure</w:t>
            </w:r>
            <w:r>
              <w:t> :</w:t>
            </w:r>
          </w:p>
        </w:tc>
        <w:tc>
          <w:tcPr>
            <w:tcW w:w="3686" w:type="dxa"/>
            <w:vAlign w:val="bottom"/>
          </w:tcPr>
          <w:p w:rsidR="00EE3191" w:rsidRPr="00BB6085" w:rsidRDefault="00EE3191" w:rsidP="0033612E">
            <w:pPr>
              <w:pStyle w:val="SingleTxtG"/>
              <w:ind w:left="0" w:right="0"/>
              <w:jc w:val="left"/>
              <w:rPr>
                <w:lang w:val="fr-FR"/>
              </w:rPr>
            </w:pPr>
            <w:r w:rsidRPr="00BB6085">
              <w:rPr>
                <w:lang w:val="fr-FR"/>
              </w:rPr>
              <w:t>Non-épuisemen</w:t>
            </w:r>
            <w:r>
              <w:rPr>
                <w:lang w:val="fr-FR"/>
              </w:rPr>
              <w:t>t des recours internes, abus du </w:t>
            </w:r>
            <w:r w:rsidRPr="00BB6085">
              <w:rPr>
                <w:lang w:val="fr-FR"/>
              </w:rPr>
              <w:t xml:space="preserve">droit de présenter des communications, incompatibilité </w:t>
            </w:r>
            <w:r>
              <w:rPr>
                <w:i/>
                <w:lang w:val="fr-FR"/>
              </w:rPr>
              <w:t>ratione </w:t>
            </w:r>
            <w:r w:rsidRPr="00BB6085">
              <w:rPr>
                <w:i/>
                <w:lang w:val="fr-FR"/>
              </w:rPr>
              <w:t>personae</w:t>
            </w:r>
            <w:r>
              <w:rPr>
                <w:lang w:val="fr-FR"/>
              </w:rPr>
              <w:t>, défaut de </w:t>
            </w:r>
            <w:r w:rsidRPr="00BB6085">
              <w:rPr>
                <w:lang w:val="fr-FR"/>
              </w:rPr>
              <w:t>fondement des griefs</w:t>
            </w:r>
          </w:p>
        </w:tc>
      </w:tr>
      <w:tr w:rsidR="00EE3191" w:rsidTr="0033612E">
        <w:tc>
          <w:tcPr>
            <w:tcW w:w="3119" w:type="dxa"/>
          </w:tcPr>
          <w:p w:rsidR="00EE3191" w:rsidRPr="00620920" w:rsidRDefault="00EE3191" w:rsidP="0033612E">
            <w:pPr>
              <w:pStyle w:val="SingleTxtG"/>
              <w:ind w:left="0" w:right="0"/>
              <w:jc w:val="left"/>
            </w:pPr>
            <w:r>
              <w:rPr>
                <w:i/>
              </w:rPr>
              <w:t>Article(s) de la Convention</w:t>
            </w:r>
            <w:r>
              <w:t> :</w:t>
            </w:r>
          </w:p>
        </w:tc>
        <w:tc>
          <w:tcPr>
            <w:tcW w:w="3686" w:type="dxa"/>
            <w:vAlign w:val="bottom"/>
          </w:tcPr>
          <w:p w:rsidR="00EE3191" w:rsidRPr="00BB6085" w:rsidRDefault="00EE3191" w:rsidP="0033612E">
            <w:pPr>
              <w:pStyle w:val="SingleTxtG"/>
              <w:ind w:left="0" w:right="0"/>
              <w:jc w:val="left"/>
              <w:rPr>
                <w:lang w:val="fr-FR"/>
              </w:rPr>
            </w:pPr>
            <w:r>
              <w:rPr>
                <w:lang w:val="fr-FR"/>
              </w:rPr>
              <w:t>3 et 12</w:t>
            </w:r>
          </w:p>
        </w:tc>
      </w:tr>
      <w:tr w:rsidR="00EE3191" w:rsidTr="0033612E">
        <w:tc>
          <w:tcPr>
            <w:tcW w:w="3119" w:type="dxa"/>
          </w:tcPr>
          <w:p w:rsidR="00EE3191" w:rsidRPr="00620920" w:rsidRDefault="00EE3191" w:rsidP="0033612E">
            <w:pPr>
              <w:pStyle w:val="SingleTxtG"/>
              <w:ind w:left="0" w:right="0"/>
              <w:jc w:val="left"/>
            </w:pPr>
            <w:r>
              <w:rPr>
                <w:i/>
              </w:rPr>
              <w:t>Article(s) du Protocole facultatif</w:t>
            </w:r>
            <w:r>
              <w:t> :</w:t>
            </w:r>
          </w:p>
        </w:tc>
        <w:tc>
          <w:tcPr>
            <w:tcW w:w="3686" w:type="dxa"/>
            <w:vAlign w:val="bottom"/>
          </w:tcPr>
          <w:p w:rsidR="00EE3191" w:rsidRPr="00BB6085" w:rsidRDefault="00EE3191" w:rsidP="0033612E">
            <w:pPr>
              <w:pStyle w:val="SingleTxtG"/>
              <w:ind w:left="0" w:right="0"/>
              <w:jc w:val="left"/>
              <w:rPr>
                <w:lang w:val="fr-FR"/>
              </w:rPr>
            </w:pPr>
            <w:r>
              <w:rPr>
                <w:lang w:val="fr-FR"/>
              </w:rPr>
              <w:t>7 c), e) et f)</w:t>
            </w:r>
          </w:p>
        </w:tc>
      </w:tr>
    </w:tbl>
    <w:p w:rsidR="00EE3191" w:rsidRPr="00BB6085" w:rsidRDefault="00EE3191" w:rsidP="00EE3191">
      <w:pPr>
        <w:pStyle w:val="SingleTxtG"/>
        <w:rPr>
          <w:lang w:val="fr-FR"/>
        </w:rPr>
      </w:pPr>
      <w:r>
        <w:br w:type="page"/>
      </w:r>
      <w:r w:rsidRPr="00BB6085">
        <w:rPr>
          <w:lang w:val="fr-FR"/>
        </w:rPr>
        <w:lastRenderedPageBreak/>
        <w:t>1.1</w:t>
      </w:r>
      <w:r w:rsidRPr="00BB6085">
        <w:rPr>
          <w:lang w:val="fr-FR"/>
        </w:rPr>
        <w:tab/>
        <w:t>L</w:t>
      </w:r>
      <w:r w:rsidR="00607BE5">
        <w:rPr>
          <w:lang w:val="fr-FR"/>
        </w:rPr>
        <w:t>’</w:t>
      </w:r>
      <w:r w:rsidRPr="00BB6085">
        <w:rPr>
          <w:lang w:val="fr-FR"/>
        </w:rPr>
        <w:t>auteur de la communication est D.</w:t>
      </w:r>
      <w:r>
        <w:rPr>
          <w:lang w:val="fr-FR"/>
        </w:rPr>
        <w:t> </w:t>
      </w:r>
      <w:r w:rsidRPr="00BB6085">
        <w:rPr>
          <w:lang w:val="fr-FR"/>
        </w:rPr>
        <w:t>K.</w:t>
      </w:r>
      <w:r>
        <w:rPr>
          <w:lang w:val="fr-FR"/>
        </w:rPr>
        <w:t> </w:t>
      </w:r>
      <w:r w:rsidRPr="00BB6085">
        <w:rPr>
          <w:lang w:val="fr-FR"/>
        </w:rPr>
        <w:t>N., de nationalité ghanéenne, qui dit être né le 6 août</w:t>
      </w:r>
      <w:r>
        <w:rPr>
          <w:lang w:val="fr-FR"/>
        </w:rPr>
        <w:t xml:space="preserve"> </w:t>
      </w:r>
      <w:r w:rsidRPr="00BB6085">
        <w:rPr>
          <w:lang w:val="fr-FR"/>
        </w:rPr>
        <w:t xml:space="preserve">1999. Il </w:t>
      </w:r>
      <w:r>
        <w:rPr>
          <w:lang w:val="fr-FR"/>
        </w:rPr>
        <w:t>se dit</w:t>
      </w:r>
      <w:r w:rsidRPr="00BB6085">
        <w:rPr>
          <w:lang w:val="fr-FR"/>
        </w:rPr>
        <w:t xml:space="preserve"> victime d</w:t>
      </w:r>
      <w:r w:rsidR="00607BE5">
        <w:rPr>
          <w:lang w:val="fr-FR"/>
        </w:rPr>
        <w:t>’</w:t>
      </w:r>
      <w:r w:rsidRPr="00BB6085">
        <w:rPr>
          <w:lang w:val="fr-FR"/>
        </w:rPr>
        <w:t>une violation de l</w:t>
      </w:r>
      <w:r w:rsidR="00607BE5">
        <w:rPr>
          <w:lang w:val="fr-FR"/>
        </w:rPr>
        <w:t>’</w:t>
      </w:r>
      <w:r>
        <w:rPr>
          <w:lang w:val="fr-FR"/>
        </w:rPr>
        <w:t>article 12 de la Convention. Le </w:t>
      </w:r>
      <w:r w:rsidRPr="00BB6085">
        <w:rPr>
          <w:lang w:val="fr-FR"/>
        </w:rPr>
        <w:t>Protocole facultatif est entré en vigueur pour l</w:t>
      </w:r>
      <w:r w:rsidR="00607BE5">
        <w:rPr>
          <w:lang w:val="fr-FR"/>
        </w:rPr>
        <w:t>’</w:t>
      </w:r>
      <w:r>
        <w:rPr>
          <w:lang w:val="fr-FR"/>
        </w:rPr>
        <w:t>État partie le 14 avril 2014.</w:t>
      </w:r>
    </w:p>
    <w:p w:rsidR="00EE3191" w:rsidRPr="00BB6085" w:rsidRDefault="00EE3191" w:rsidP="00EE3191">
      <w:pPr>
        <w:pStyle w:val="SingleTxtG"/>
        <w:rPr>
          <w:lang w:val="fr-FR"/>
        </w:rPr>
      </w:pPr>
      <w:r w:rsidRPr="00BB6085">
        <w:rPr>
          <w:lang w:val="fr-FR"/>
        </w:rPr>
        <w:t>1.2</w:t>
      </w:r>
      <w:r w:rsidRPr="00BB6085">
        <w:rPr>
          <w:lang w:val="fr-FR"/>
        </w:rPr>
        <w:tab/>
        <w:t>Le 28 mars</w:t>
      </w:r>
      <w:r>
        <w:rPr>
          <w:lang w:val="fr-FR"/>
        </w:rPr>
        <w:t xml:space="preserve"> </w:t>
      </w:r>
      <w:r w:rsidRPr="00BB6085">
        <w:rPr>
          <w:lang w:val="fr-FR"/>
        </w:rPr>
        <w:t>2017, le Groupe de travail des communications, agissant au nom du Comité et se fondant sur l</w:t>
      </w:r>
      <w:r w:rsidR="00607BE5">
        <w:rPr>
          <w:lang w:val="fr-FR"/>
        </w:rPr>
        <w:t>’</w:t>
      </w:r>
      <w:r w:rsidRPr="00BB6085">
        <w:rPr>
          <w:lang w:val="fr-FR"/>
        </w:rPr>
        <w:t>article 6 du Protocole facultatif, a demandé à l</w:t>
      </w:r>
      <w:r w:rsidR="00607BE5">
        <w:rPr>
          <w:lang w:val="fr-FR"/>
        </w:rPr>
        <w:t>’</w:t>
      </w:r>
      <w:r w:rsidRPr="00BB6085">
        <w:rPr>
          <w:lang w:val="fr-FR"/>
        </w:rPr>
        <w:t>État partie de ne pas renvoyer l</w:t>
      </w:r>
      <w:r w:rsidR="00607BE5">
        <w:rPr>
          <w:lang w:val="fr-FR"/>
        </w:rPr>
        <w:t>’</w:t>
      </w:r>
      <w:r w:rsidRPr="00BB6085">
        <w:rPr>
          <w:lang w:val="fr-FR"/>
        </w:rPr>
        <w:t>auteur dans son pays d</w:t>
      </w:r>
      <w:r w:rsidR="00607BE5">
        <w:rPr>
          <w:lang w:val="fr-FR"/>
        </w:rPr>
        <w:t>’</w:t>
      </w:r>
      <w:r w:rsidRPr="00BB6085">
        <w:rPr>
          <w:lang w:val="fr-FR"/>
        </w:rPr>
        <w:t xml:space="preserve">origine et de le </w:t>
      </w:r>
      <w:r>
        <w:rPr>
          <w:lang w:val="fr-FR"/>
        </w:rPr>
        <w:t>placer</w:t>
      </w:r>
      <w:r w:rsidRPr="00BB6085">
        <w:rPr>
          <w:lang w:val="fr-FR"/>
        </w:rPr>
        <w:t xml:space="preserve"> dans un centre de protection des mineurs </w:t>
      </w:r>
      <w:r>
        <w:rPr>
          <w:lang w:val="fr-FR"/>
        </w:rPr>
        <w:t>en attendant</w:t>
      </w:r>
      <w:r w:rsidRPr="00BB6085">
        <w:rPr>
          <w:lang w:val="fr-FR"/>
        </w:rPr>
        <w:t xml:space="preserve"> que </w:t>
      </w:r>
      <w:r>
        <w:rPr>
          <w:lang w:val="fr-FR"/>
        </w:rPr>
        <w:t xml:space="preserve">le Comité ait examiné </w:t>
      </w:r>
      <w:r w:rsidRPr="00BB6085">
        <w:rPr>
          <w:lang w:val="fr-FR"/>
        </w:rPr>
        <w:t>sa communication.</w:t>
      </w:r>
    </w:p>
    <w:p w:rsidR="00EE3191" w:rsidRPr="00BB6085" w:rsidRDefault="00EE3191" w:rsidP="00EE3191">
      <w:pPr>
        <w:pStyle w:val="SingleTxtG"/>
        <w:rPr>
          <w:lang w:val="fr-FR"/>
        </w:rPr>
      </w:pPr>
      <w:r w:rsidRPr="00BB6085">
        <w:rPr>
          <w:lang w:val="fr-FR"/>
        </w:rPr>
        <w:t>1.3</w:t>
      </w:r>
      <w:r w:rsidRPr="00BB6085">
        <w:rPr>
          <w:lang w:val="fr-FR"/>
        </w:rPr>
        <w:tab/>
        <w:t>Le 19 octobre</w:t>
      </w:r>
      <w:r>
        <w:rPr>
          <w:lang w:val="fr-FR"/>
        </w:rPr>
        <w:t xml:space="preserve"> </w:t>
      </w:r>
      <w:r w:rsidRPr="00BB6085">
        <w:rPr>
          <w:lang w:val="fr-FR"/>
        </w:rPr>
        <w:t>2017, le Groupe de travail des com</w:t>
      </w:r>
      <w:r>
        <w:rPr>
          <w:lang w:val="fr-FR"/>
        </w:rPr>
        <w:t>munications, agissant au nom du </w:t>
      </w:r>
      <w:r w:rsidRPr="00BB6085">
        <w:rPr>
          <w:lang w:val="fr-FR"/>
        </w:rPr>
        <w:t>Comité, a décidé de ne pas accéder à la demande de l</w:t>
      </w:r>
      <w:r w:rsidR="00607BE5">
        <w:rPr>
          <w:lang w:val="fr-FR"/>
        </w:rPr>
        <w:t>’</w:t>
      </w:r>
      <w:r w:rsidRPr="00BB6085">
        <w:rPr>
          <w:lang w:val="fr-FR"/>
        </w:rPr>
        <w:t>État partie qui souhaitait que la question de la recevabilité soit examinée séparément du fond.</w:t>
      </w:r>
    </w:p>
    <w:p w:rsidR="00EE3191" w:rsidRPr="00BB6085" w:rsidRDefault="00EE3191" w:rsidP="00EE3191">
      <w:pPr>
        <w:pStyle w:val="H23G"/>
        <w:rPr>
          <w:lang w:val="fr-FR"/>
        </w:rPr>
      </w:pPr>
      <w:r w:rsidRPr="00BB6085">
        <w:rPr>
          <w:lang w:val="fr-FR"/>
        </w:rPr>
        <w:tab/>
      </w:r>
      <w:r w:rsidRPr="00BB6085">
        <w:rPr>
          <w:lang w:val="fr-FR"/>
        </w:rPr>
        <w:tab/>
        <w:t>Rappel des faits</w:t>
      </w:r>
    </w:p>
    <w:p w:rsidR="00EE3191" w:rsidRPr="00BB6085" w:rsidRDefault="00EE3191" w:rsidP="00EE3191">
      <w:pPr>
        <w:pStyle w:val="SingleTxtG"/>
        <w:rPr>
          <w:lang w:val="fr-FR"/>
        </w:rPr>
      </w:pPr>
      <w:r w:rsidRPr="00BB6085">
        <w:rPr>
          <w:lang w:val="fr-FR"/>
        </w:rPr>
        <w:t>2.1</w:t>
      </w:r>
      <w:r w:rsidRPr="00BB6085">
        <w:rPr>
          <w:lang w:val="fr-FR"/>
        </w:rPr>
        <w:tab/>
        <w:t>Le 9 décembre</w:t>
      </w:r>
      <w:r>
        <w:rPr>
          <w:lang w:val="fr-FR"/>
        </w:rPr>
        <w:t xml:space="preserve"> </w:t>
      </w:r>
      <w:r w:rsidRPr="00BB6085">
        <w:rPr>
          <w:lang w:val="fr-FR"/>
        </w:rPr>
        <w:t>2016, l</w:t>
      </w:r>
      <w:r w:rsidR="00607BE5">
        <w:rPr>
          <w:lang w:val="fr-FR"/>
        </w:rPr>
        <w:t>’</w:t>
      </w:r>
      <w:r w:rsidRPr="00BB6085">
        <w:rPr>
          <w:lang w:val="fr-FR"/>
        </w:rPr>
        <w:t>auteur est arr</w:t>
      </w:r>
      <w:r>
        <w:rPr>
          <w:lang w:val="fr-FR"/>
        </w:rPr>
        <w:t xml:space="preserve">ivé illégalement en Espagne. Le </w:t>
      </w:r>
      <w:r w:rsidRPr="00BB6085">
        <w:rPr>
          <w:lang w:val="fr-FR"/>
        </w:rPr>
        <w:t>10 décembre</w:t>
      </w:r>
      <w:r>
        <w:rPr>
          <w:lang w:val="fr-FR"/>
        </w:rPr>
        <w:t xml:space="preserve"> </w:t>
      </w:r>
      <w:r w:rsidRPr="00BB6085">
        <w:rPr>
          <w:lang w:val="fr-FR"/>
        </w:rPr>
        <w:t>2016, il s</w:t>
      </w:r>
      <w:r w:rsidR="00607BE5">
        <w:rPr>
          <w:lang w:val="fr-FR"/>
        </w:rPr>
        <w:t>’</w:t>
      </w:r>
      <w:r w:rsidRPr="00BB6085">
        <w:rPr>
          <w:lang w:val="fr-FR"/>
        </w:rPr>
        <w:t>est présenté spontanément au Service de protection de l</w:t>
      </w:r>
      <w:r w:rsidR="00607BE5">
        <w:rPr>
          <w:lang w:val="fr-FR"/>
        </w:rPr>
        <w:t>’</w:t>
      </w:r>
      <w:r w:rsidRPr="00BB6085">
        <w:rPr>
          <w:lang w:val="fr-FR"/>
        </w:rPr>
        <w:t xml:space="preserve">enfance du </w:t>
      </w:r>
      <w:r>
        <w:rPr>
          <w:lang w:val="fr-FR"/>
        </w:rPr>
        <w:t>parquet</w:t>
      </w:r>
      <w:r w:rsidRPr="00BB6085">
        <w:rPr>
          <w:lang w:val="fr-FR"/>
        </w:rPr>
        <w:t xml:space="preserve"> de la province de Barcelone, a déclaré être mineur et a </w:t>
      </w:r>
      <w:r>
        <w:rPr>
          <w:lang w:val="fr-FR"/>
        </w:rPr>
        <w:t>présenté</w:t>
      </w:r>
      <w:r w:rsidRPr="00BB6085">
        <w:rPr>
          <w:lang w:val="fr-FR"/>
        </w:rPr>
        <w:t xml:space="preserve"> un acte de naissance</w:t>
      </w:r>
      <w:r w:rsidRPr="00607BE5">
        <w:rPr>
          <w:rStyle w:val="Appelnotedebasdep"/>
        </w:rPr>
        <w:footnoteReference w:id="4"/>
      </w:r>
      <w:r w:rsidRPr="00BB6085">
        <w:rPr>
          <w:lang w:val="fr-FR"/>
        </w:rPr>
        <w:t xml:space="preserve"> ghanéen </w:t>
      </w:r>
      <w:r>
        <w:rPr>
          <w:lang w:val="fr-FR"/>
        </w:rPr>
        <w:t>montrant qu</w:t>
      </w:r>
      <w:r w:rsidR="00607BE5">
        <w:rPr>
          <w:lang w:val="fr-FR"/>
        </w:rPr>
        <w:t>’</w:t>
      </w:r>
      <w:r w:rsidRPr="00BB6085">
        <w:rPr>
          <w:lang w:val="fr-FR"/>
        </w:rPr>
        <w:t>il était né le 6 août</w:t>
      </w:r>
      <w:r>
        <w:rPr>
          <w:lang w:val="fr-FR"/>
        </w:rPr>
        <w:t xml:space="preserve"> </w:t>
      </w:r>
      <w:r w:rsidRPr="00BB6085">
        <w:rPr>
          <w:lang w:val="fr-FR"/>
        </w:rPr>
        <w:t>1999. Toutefois, l</w:t>
      </w:r>
      <w:r w:rsidR="00607BE5">
        <w:rPr>
          <w:lang w:val="fr-FR"/>
        </w:rPr>
        <w:t>’</w:t>
      </w:r>
      <w:r w:rsidRPr="00BB6085">
        <w:rPr>
          <w:lang w:val="fr-FR"/>
        </w:rPr>
        <w:t xml:space="preserve">auteur affirme que les autorités espagnoles ont considéré ce document comme </w:t>
      </w:r>
      <w:r>
        <w:rPr>
          <w:lang w:val="fr-FR"/>
        </w:rPr>
        <w:t xml:space="preserve">non valable </w:t>
      </w:r>
      <w:r w:rsidRPr="00BB6085">
        <w:rPr>
          <w:lang w:val="fr-FR"/>
        </w:rPr>
        <w:t>et l</w:t>
      </w:r>
      <w:r w:rsidR="00607BE5">
        <w:rPr>
          <w:lang w:val="fr-FR"/>
        </w:rPr>
        <w:t>’</w:t>
      </w:r>
      <w:r w:rsidRPr="00BB6085">
        <w:rPr>
          <w:lang w:val="fr-FR"/>
        </w:rPr>
        <w:t>ont traité comme un immigrant sans papiers</w:t>
      </w:r>
      <w:r>
        <w:rPr>
          <w:lang w:val="fr-FR"/>
        </w:rPr>
        <w:t>.</w:t>
      </w:r>
    </w:p>
    <w:p w:rsidR="00EE3191" w:rsidRPr="00BB6085" w:rsidRDefault="00EE3191" w:rsidP="00EE3191">
      <w:pPr>
        <w:pStyle w:val="SingleTxtG"/>
        <w:rPr>
          <w:lang w:val="fr-FR"/>
        </w:rPr>
      </w:pPr>
      <w:r w:rsidRPr="00BB6085">
        <w:rPr>
          <w:lang w:val="fr-FR"/>
        </w:rPr>
        <w:t>2.2</w:t>
      </w:r>
      <w:r w:rsidRPr="00BB6085">
        <w:rPr>
          <w:lang w:val="fr-FR"/>
        </w:rPr>
        <w:tab/>
        <w:t>Dans sa décision du 10 décembre</w:t>
      </w:r>
      <w:r>
        <w:rPr>
          <w:lang w:val="fr-FR"/>
        </w:rPr>
        <w:t xml:space="preserve"> </w:t>
      </w:r>
      <w:r w:rsidRPr="00BB6085">
        <w:rPr>
          <w:lang w:val="fr-FR"/>
        </w:rPr>
        <w:t xml:space="preserve">2016, le </w:t>
      </w:r>
      <w:r>
        <w:rPr>
          <w:lang w:val="fr-FR"/>
        </w:rPr>
        <w:t>parquet</w:t>
      </w:r>
      <w:r w:rsidRPr="00BB6085">
        <w:rPr>
          <w:lang w:val="fr-FR"/>
        </w:rPr>
        <w:t xml:space="preserve"> de la province de Barcelone a demandé que l</w:t>
      </w:r>
      <w:r w:rsidR="00607BE5">
        <w:rPr>
          <w:lang w:val="fr-FR"/>
        </w:rPr>
        <w:t>’</w:t>
      </w:r>
      <w:r w:rsidRPr="00BB6085">
        <w:rPr>
          <w:lang w:val="fr-FR"/>
        </w:rPr>
        <w:t>auteur soit soumis à des examens médicaux visant à déterminer son âge et qu</w:t>
      </w:r>
      <w:r w:rsidR="00607BE5">
        <w:rPr>
          <w:lang w:val="fr-FR"/>
        </w:rPr>
        <w:t>’</w:t>
      </w:r>
      <w:r w:rsidRPr="00BB6085">
        <w:rPr>
          <w:lang w:val="fr-FR"/>
        </w:rPr>
        <w:t>il soit placé dans un centre de protection des mineurs dans l</w:t>
      </w:r>
      <w:r w:rsidR="00607BE5">
        <w:rPr>
          <w:lang w:val="fr-FR"/>
        </w:rPr>
        <w:t>’</w:t>
      </w:r>
      <w:r w:rsidRPr="00BB6085">
        <w:rPr>
          <w:lang w:val="fr-FR"/>
        </w:rPr>
        <w:t xml:space="preserve">attente des examens. Il y </w:t>
      </w:r>
      <w:r>
        <w:rPr>
          <w:lang w:val="fr-FR"/>
        </w:rPr>
        <w:t xml:space="preserve">indiquait </w:t>
      </w:r>
      <w:r w:rsidRPr="00BB6085">
        <w:rPr>
          <w:lang w:val="fr-FR"/>
        </w:rPr>
        <w:t>également</w:t>
      </w:r>
      <w:r>
        <w:rPr>
          <w:lang w:val="fr-FR"/>
        </w:rPr>
        <w:t xml:space="preserve"> </w:t>
      </w:r>
      <w:r w:rsidRPr="00BB6085">
        <w:rPr>
          <w:lang w:val="fr-FR"/>
        </w:rPr>
        <w:t>que l</w:t>
      </w:r>
      <w:r w:rsidR="00607BE5">
        <w:rPr>
          <w:lang w:val="fr-FR"/>
        </w:rPr>
        <w:t>’</w:t>
      </w:r>
      <w:r w:rsidRPr="00BB6085">
        <w:rPr>
          <w:lang w:val="fr-FR"/>
        </w:rPr>
        <w:t>auteur devait se présenter accompagné d</w:t>
      </w:r>
      <w:r w:rsidR="00607BE5">
        <w:rPr>
          <w:lang w:val="fr-FR"/>
        </w:rPr>
        <w:t>’</w:t>
      </w:r>
      <w:r w:rsidRPr="00BB6085">
        <w:rPr>
          <w:lang w:val="fr-FR"/>
        </w:rPr>
        <w:t xml:space="preserve">un éducateur du centre </w:t>
      </w:r>
      <w:r>
        <w:rPr>
          <w:lang w:val="fr-FR"/>
        </w:rPr>
        <w:t>pour être</w:t>
      </w:r>
      <w:r w:rsidRPr="00BB6085">
        <w:rPr>
          <w:lang w:val="fr-FR"/>
        </w:rPr>
        <w:t xml:space="preserve"> examiné par un médecin légiste.</w:t>
      </w:r>
    </w:p>
    <w:p w:rsidR="00EE3191" w:rsidRPr="00BB6085" w:rsidRDefault="00EE3191" w:rsidP="00EE3191">
      <w:pPr>
        <w:pStyle w:val="SingleTxtG"/>
        <w:rPr>
          <w:lang w:val="fr-FR"/>
        </w:rPr>
      </w:pPr>
      <w:r w:rsidRPr="00BB6085">
        <w:rPr>
          <w:lang w:val="fr-FR"/>
        </w:rPr>
        <w:t>2.3</w:t>
      </w:r>
      <w:r w:rsidRPr="00BB6085">
        <w:rPr>
          <w:lang w:val="fr-FR"/>
        </w:rPr>
        <w:tab/>
        <w:t>Le 12 décembre</w:t>
      </w:r>
      <w:r>
        <w:rPr>
          <w:lang w:val="fr-FR"/>
        </w:rPr>
        <w:t xml:space="preserve"> </w:t>
      </w:r>
      <w:r w:rsidRPr="00BB6085">
        <w:rPr>
          <w:lang w:val="fr-FR"/>
        </w:rPr>
        <w:t>2016, l</w:t>
      </w:r>
      <w:r w:rsidR="00607BE5">
        <w:rPr>
          <w:lang w:val="fr-FR"/>
        </w:rPr>
        <w:t>’</w:t>
      </w:r>
      <w:r w:rsidRPr="00BB6085">
        <w:rPr>
          <w:lang w:val="fr-FR"/>
        </w:rPr>
        <w:t>auteur a</w:t>
      </w:r>
      <w:r>
        <w:rPr>
          <w:lang w:val="fr-FR"/>
        </w:rPr>
        <w:t xml:space="preserve"> </w:t>
      </w:r>
      <w:r w:rsidRPr="00BB6085">
        <w:rPr>
          <w:lang w:val="fr-FR"/>
        </w:rPr>
        <w:t xml:space="preserve">été transféré au centre Gaudí de protection des mineurs. Le même jour, </w:t>
      </w:r>
      <w:r>
        <w:rPr>
          <w:lang w:val="fr-FR"/>
        </w:rPr>
        <w:t xml:space="preserve">le parquet des mineurs </w:t>
      </w:r>
      <w:r w:rsidRPr="00BB6085">
        <w:rPr>
          <w:lang w:val="fr-FR"/>
        </w:rPr>
        <w:t xml:space="preserve">du </w:t>
      </w:r>
      <w:r>
        <w:rPr>
          <w:lang w:val="fr-FR"/>
        </w:rPr>
        <w:t>t</w:t>
      </w:r>
      <w:r w:rsidRPr="00BB6085">
        <w:rPr>
          <w:lang w:val="fr-FR"/>
        </w:rPr>
        <w:t>ribunal supérieur de justice de Catalogne a ouvert une procédure préliminaire et cité l</w:t>
      </w:r>
      <w:r w:rsidR="00607BE5">
        <w:rPr>
          <w:lang w:val="fr-FR"/>
        </w:rPr>
        <w:t>’</w:t>
      </w:r>
      <w:r w:rsidRPr="00BB6085">
        <w:rPr>
          <w:lang w:val="fr-FR"/>
        </w:rPr>
        <w:t>auteur à comparaître</w:t>
      </w:r>
      <w:r>
        <w:rPr>
          <w:lang w:val="fr-FR"/>
        </w:rPr>
        <w:t>,</w:t>
      </w:r>
      <w:r w:rsidRPr="00BB6085">
        <w:rPr>
          <w:lang w:val="fr-FR"/>
        </w:rPr>
        <w:t xml:space="preserve"> accompagné d</w:t>
      </w:r>
      <w:r w:rsidR="00607BE5">
        <w:rPr>
          <w:lang w:val="fr-FR"/>
        </w:rPr>
        <w:t>’</w:t>
      </w:r>
      <w:r w:rsidRPr="00BB6085">
        <w:rPr>
          <w:lang w:val="fr-FR"/>
        </w:rPr>
        <w:t xml:space="preserve">un éducateur du centre. </w:t>
      </w:r>
      <w:r>
        <w:rPr>
          <w:lang w:val="fr-FR"/>
        </w:rPr>
        <w:t>Dans sa citation, d</w:t>
      </w:r>
      <w:r w:rsidRPr="00BB6085">
        <w:rPr>
          <w:lang w:val="fr-FR"/>
        </w:rPr>
        <w:t xml:space="preserve">atée du même jour, </w:t>
      </w:r>
      <w:r>
        <w:rPr>
          <w:lang w:val="fr-FR"/>
        </w:rPr>
        <w:t>le parquet de la province de </w:t>
      </w:r>
      <w:r w:rsidRPr="00BB6085">
        <w:rPr>
          <w:lang w:val="fr-FR"/>
        </w:rPr>
        <w:t xml:space="preserve">Barcelone </w:t>
      </w:r>
      <w:r>
        <w:rPr>
          <w:lang w:val="fr-FR"/>
        </w:rPr>
        <w:t>demandait lui aussi</w:t>
      </w:r>
      <w:r w:rsidRPr="00BB6085">
        <w:rPr>
          <w:lang w:val="fr-FR"/>
        </w:rPr>
        <w:t xml:space="preserve"> que l</w:t>
      </w:r>
      <w:r w:rsidR="00607BE5">
        <w:rPr>
          <w:lang w:val="fr-FR"/>
        </w:rPr>
        <w:t>’</w:t>
      </w:r>
      <w:r w:rsidRPr="00BB6085">
        <w:rPr>
          <w:lang w:val="fr-FR"/>
        </w:rPr>
        <w:t>auteur se présente</w:t>
      </w:r>
      <w:r>
        <w:rPr>
          <w:lang w:val="fr-FR"/>
        </w:rPr>
        <w:t xml:space="preserve"> </w:t>
      </w:r>
      <w:r w:rsidRPr="00BB6085">
        <w:rPr>
          <w:lang w:val="fr-FR"/>
        </w:rPr>
        <w:t>le 20 décembre</w:t>
      </w:r>
      <w:r>
        <w:rPr>
          <w:lang w:val="fr-FR"/>
        </w:rPr>
        <w:t xml:space="preserve"> </w:t>
      </w:r>
      <w:r w:rsidRPr="00BB6085">
        <w:rPr>
          <w:lang w:val="fr-FR"/>
        </w:rPr>
        <w:t>2016 accompagné d</w:t>
      </w:r>
      <w:r w:rsidR="00607BE5">
        <w:rPr>
          <w:lang w:val="fr-FR"/>
        </w:rPr>
        <w:t>’</w:t>
      </w:r>
      <w:r>
        <w:rPr>
          <w:lang w:val="fr-FR"/>
        </w:rPr>
        <w:t>un éducateur du centre.</w:t>
      </w:r>
    </w:p>
    <w:p w:rsidR="00EE3191" w:rsidRPr="00BB6085" w:rsidRDefault="00EE3191" w:rsidP="00EE3191">
      <w:pPr>
        <w:pStyle w:val="SingleTxtG"/>
        <w:rPr>
          <w:lang w:val="fr-FR"/>
        </w:rPr>
      </w:pPr>
      <w:r w:rsidRPr="00BB6085">
        <w:rPr>
          <w:lang w:val="fr-FR"/>
        </w:rPr>
        <w:t>2.4</w:t>
      </w:r>
      <w:r w:rsidRPr="00BB6085">
        <w:rPr>
          <w:lang w:val="fr-FR"/>
        </w:rPr>
        <w:tab/>
      </w:r>
      <w:r>
        <w:rPr>
          <w:lang w:val="fr-FR"/>
        </w:rPr>
        <w:t xml:space="preserve">Le 20 décembre </w:t>
      </w:r>
      <w:r w:rsidRPr="00BB6085">
        <w:rPr>
          <w:lang w:val="fr-FR"/>
        </w:rPr>
        <w:t xml:space="preserve">2016, </w:t>
      </w:r>
      <w:r>
        <w:rPr>
          <w:lang w:val="fr-FR"/>
        </w:rPr>
        <w:t>des</w:t>
      </w:r>
      <w:r w:rsidRPr="00BB6085">
        <w:rPr>
          <w:lang w:val="fr-FR"/>
        </w:rPr>
        <w:t xml:space="preserve"> examens médicaux</w:t>
      </w:r>
      <w:r>
        <w:rPr>
          <w:lang w:val="fr-FR"/>
        </w:rPr>
        <w:t xml:space="preserve"> ont été pratiqués pour d</w:t>
      </w:r>
      <w:r w:rsidRPr="00BB6085">
        <w:rPr>
          <w:lang w:val="fr-FR"/>
        </w:rPr>
        <w:t xml:space="preserve">éterminer </w:t>
      </w:r>
      <w:r>
        <w:rPr>
          <w:lang w:val="fr-FR"/>
        </w:rPr>
        <w:t>l</w:t>
      </w:r>
      <w:r w:rsidR="00607BE5">
        <w:rPr>
          <w:lang w:val="fr-FR"/>
        </w:rPr>
        <w:t>’</w:t>
      </w:r>
      <w:r w:rsidRPr="00BB6085">
        <w:rPr>
          <w:lang w:val="fr-FR"/>
        </w:rPr>
        <w:t>âge </w:t>
      </w:r>
      <w:r>
        <w:rPr>
          <w:lang w:val="fr-FR"/>
        </w:rPr>
        <w:t>de l</w:t>
      </w:r>
      <w:r w:rsidR="00607BE5">
        <w:rPr>
          <w:lang w:val="fr-FR"/>
        </w:rPr>
        <w:t>’</w:t>
      </w:r>
      <w:r>
        <w:rPr>
          <w:lang w:val="fr-FR"/>
        </w:rPr>
        <w:t>auteur </w:t>
      </w:r>
      <w:r w:rsidRPr="00BB6085">
        <w:rPr>
          <w:lang w:val="fr-FR"/>
        </w:rPr>
        <w:t>: une radiographie de la main gauche comparée à l</w:t>
      </w:r>
      <w:r w:rsidR="00607BE5">
        <w:rPr>
          <w:lang w:val="fr-FR"/>
        </w:rPr>
        <w:t>’</w:t>
      </w:r>
      <w:r>
        <w:rPr>
          <w:lang w:val="fr-FR"/>
        </w:rPr>
        <w:t>Atlas de Greulich et </w:t>
      </w:r>
      <w:r w:rsidRPr="00BB6085">
        <w:rPr>
          <w:lang w:val="fr-FR"/>
        </w:rPr>
        <w:t>Pyle, un examen physique réalisé par un médecin légiste, un examen dentaire externe,</w:t>
      </w:r>
      <w:r>
        <w:rPr>
          <w:lang w:val="fr-FR"/>
        </w:rPr>
        <w:t xml:space="preserve"> </w:t>
      </w:r>
      <w:r w:rsidRPr="00BB6085">
        <w:rPr>
          <w:lang w:val="fr-FR"/>
        </w:rPr>
        <w:t>une évaluation du développement pubertaire selon la classification de Tanner et un orthopantomogramme selon la méthode de Demirjian ou une évaluation de l</w:t>
      </w:r>
      <w:r w:rsidR="00607BE5">
        <w:rPr>
          <w:lang w:val="fr-FR"/>
        </w:rPr>
        <w:t>’</w:t>
      </w:r>
      <w:r w:rsidRPr="00BB6085">
        <w:rPr>
          <w:lang w:val="fr-FR"/>
        </w:rPr>
        <w:t>âge osseux du carpe. Selon les résultats de ces examens, l</w:t>
      </w:r>
      <w:r w:rsidR="00607BE5">
        <w:rPr>
          <w:lang w:val="fr-FR"/>
        </w:rPr>
        <w:t>’</w:t>
      </w:r>
      <w:r w:rsidRPr="00BB6085">
        <w:rPr>
          <w:lang w:val="fr-FR"/>
        </w:rPr>
        <w:t>âge osseux de l</w:t>
      </w:r>
      <w:r w:rsidR="00607BE5">
        <w:rPr>
          <w:lang w:val="fr-FR"/>
        </w:rPr>
        <w:t>’</w:t>
      </w:r>
      <w:r w:rsidRPr="00BB6085">
        <w:rPr>
          <w:lang w:val="fr-FR"/>
        </w:rPr>
        <w:t>auteur était de 19 </w:t>
      </w:r>
      <w:r>
        <w:rPr>
          <w:lang w:val="fr-FR"/>
        </w:rPr>
        <w:t>ans. Dans </w:t>
      </w:r>
      <w:r w:rsidRPr="00BB6085">
        <w:rPr>
          <w:lang w:val="fr-FR"/>
        </w:rPr>
        <w:t>leurs conclusions médico</w:t>
      </w:r>
      <w:r>
        <w:rPr>
          <w:lang w:val="fr-FR"/>
        </w:rPr>
        <w:t>-</w:t>
      </w:r>
      <w:r w:rsidRPr="00BB6085">
        <w:rPr>
          <w:lang w:val="fr-FR"/>
        </w:rPr>
        <w:t>légales, les médecins ont indiqué que « l</w:t>
      </w:r>
      <w:r w:rsidR="00607BE5">
        <w:rPr>
          <w:lang w:val="fr-FR"/>
        </w:rPr>
        <w:t>’</w:t>
      </w:r>
      <w:r w:rsidRPr="00BB6085">
        <w:rPr>
          <w:lang w:val="fr-FR"/>
        </w:rPr>
        <w:t>âge le plus probable</w:t>
      </w:r>
      <w:r>
        <w:rPr>
          <w:lang w:val="fr-FR"/>
        </w:rPr>
        <w:t xml:space="preserve"> </w:t>
      </w:r>
      <w:r w:rsidRPr="00BB6085">
        <w:rPr>
          <w:lang w:val="fr-FR"/>
        </w:rPr>
        <w:t>était</w:t>
      </w:r>
      <w:r>
        <w:rPr>
          <w:lang w:val="fr-FR"/>
        </w:rPr>
        <w:t xml:space="preserve"> au minimum</w:t>
      </w:r>
      <w:r w:rsidRPr="00BB6085">
        <w:rPr>
          <w:lang w:val="fr-FR"/>
        </w:rPr>
        <w:t xml:space="preserve"> 18 ans ». Le 20 décembre</w:t>
      </w:r>
      <w:r>
        <w:rPr>
          <w:lang w:val="fr-FR"/>
        </w:rPr>
        <w:t xml:space="preserve"> </w:t>
      </w:r>
      <w:r w:rsidRPr="00BB6085">
        <w:rPr>
          <w:lang w:val="fr-FR"/>
        </w:rPr>
        <w:t>2016, l</w:t>
      </w:r>
      <w:r w:rsidR="00607BE5">
        <w:rPr>
          <w:lang w:val="fr-FR"/>
        </w:rPr>
        <w:t>’</w:t>
      </w:r>
      <w:r w:rsidRPr="00BB6085">
        <w:rPr>
          <w:lang w:val="fr-FR"/>
        </w:rPr>
        <w:t xml:space="preserve">auteur a été mis à la disposition de la police, pour que celle-ci </w:t>
      </w:r>
      <w:r>
        <w:rPr>
          <w:lang w:val="fr-FR"/>
        </w:rPr>
        <w:t>lance</w:t>
      </w:r>
      <w:r w:rsidRPr="00BB6085">
        <w:rPr>
          <w:lang w:val="fr-FR"/>
        </w:rPr>
        <w:t xml:space="preserve"> la procédure d</w:t>
      </w:r>
      <w:r w:rsidR="00607BE5">
        <w:rPr>
          <w:lang w:val="fr-FR"/>
        </w:rPr>
        <w:t>’</w:t>
      </w:r>
      <w:r w:rsidRPr="00BB6085">
        <w:rPr>
          <w:lang w:val="fr-FR"/>
        </w:rPr>
        <w:t>expulsion</w:t>
      </w:r>
      <w:r>
        <w:rPr>
          <w:lang w:val="fr-FR"/>
        </w:rPr>
        <w:t>. Il a été mis en liberté le même jour</w:t>
      </w:r>
      <w:r w:rsidRPr="00607BE5">
        <w:rPr>
          <w:rStyle w:val="Appelnotedebasdep"/>
        </w:rPr>
        <w:footnoteReference w:id="5"/>
      </w:r>
      <w:r w:rsidRPr="00BB6085">
        <w:rPr>
          <w:lang w:val="fr-FR"/>
        </w:rPr>
        <w:t>.</w:t>
      </w:r>
    </w:p>
    <w:p w:rsidR="00EE3191" w:rsidRPr="00BB6085" w:rsidRDefault="00EE3191" w:rsidP="00EE3191">
      <w:pPr>
        <w:pStyle w:val="SingleTxtG"/>
        <w:rPr>
          <w:lang w:val="fr-FR"/>
        </w:rPr>
      </w:pPr>
      <w:r w:rsidRPr="00BB6085">
        <w:rPr>
          <w:lang w:val="fr-FR"/>
        </w:rPr>
        <w:t>2.5</w:t>
      </w:r>
      <w:r w:rsidRPr="00BB6085">
        <w:rPr>
          <w:lang w:val="fr-FR"/>
        </w:rPr>
        <w:tab/>
        <w:t>Le 21</w:t>
      </w:r>
      <w:r>
        <w:rPr>
          <w:lang w:val="fr-FR"/>
        </w:rPr>
        <w:t> </w:t>
      </w:r>
      <w:r w:rsidRPr="00BB6085">
        <w:rPr>
          <w:lang w:val="fr-FR"/>
        </w:rPr>
        <w:t>décembre</w:t>
      </w:r>
      <w:r>
        <w:rPr>
          <w:lang w:val="fr-FR"/>
        </w:rPr>
        <w:t xml:space="preserve"> </w:t>
      </w:r>
      <w:r w:rsidRPr="00BB6085">
        <w:rPr>
          <w:lang w:val="fr-FR"/>
        </w:rPr>
        <w:t>2016, sur la base des résultats des examens médicaux réalisés, le</w:t>
      </w:r>
      <w:r>
        <w:rPr>
          <w:lang w:val="fr-FR"/>
        </w:rPr>
        <w:t> parquet</w:t>
      </w:r>
      <w:r w:rsidRPr="00BB6085">
        <w:rPr>
          <w:lang w:val="fr-FR"/>
        </w:rPr>
        <w:t xml:space="preserve"> de la province de Barcelone a rendu une décision</w:t>
      </w:r>
      <w:r>
        <w:rPr>
          <w:lang w:val="fr-FR"/>
        </w:rPr>
        <w:t xml:space="preserve"> établissant</w:t>
      </w:r>
      <w:r w:rsidRPr="00BB6085">
        <w:rPr>
          <w:lang w:val="fr-FR"/>
        </w:rPr>
        <w:t xml:space="preserve"> que l</w:t>
      </w:r>
      <w:r w:rsidR="00607BE5">
        <w:rPr>
          <w:lang w:val="fr-FR"/>
        </w:rPr>
        <w:t>’</w:t>
      </w:r>
      <w:r w:rsidRPr="00BB6085">
        <w:rPr>
          <w:lang w:val="fr-FR"/>
        </w:rPr>
        <w:t>auteur avait plus de 18 ans</w:t>
      </w:r>
      <w:r w:rsidRPr="00607BE5">
        <w:rPr>
          <w:rStyle w:val="Appelnotedebasdep"/>
        </w:rPr>
        <w:footnoteReference w:id="6"/>
      </w:r>
      <w:r>
        <w:rPr>
          <w:lang w:val="fr-FR"/>
        </w:rPr>
        <w:t>.</w:t>
      </w:r>
    </w:p>
    <w:p w:rsidR="00EE3191" w:rsidRPr="00BB6085" w:rsidRDefault="00EE3191" w:rsidP="00EE3191">
      <w:pPr>
        <w:pStyle w:val="SingleTxtG"/>
        <w:rPr>
          <w:lang w:val="fr-FR"/>
        </w:rPr>
      </w:pPr>
      <w:r w:rsidRPr="00BB6085">
        <w:rPr>
          <w:lang w:val="fr-FR"/>
        </w:rPr>
        <w:t>2.6</w:t>
      </w:r>
      <w:r w:rsidRPr="00BB6085">
        <w:rPr>
          <w:lang w:val="fr-FR"/>
        </w:rPr>
        <w:tab/>
        <w:t>Le 12 janvier</w:t>
      </w:r>
      <w:r>
        <w:rPr>
          <w:lang w:val="fr-FR"/>
        </w:rPr>
        <w:t xml:space="preserve"> </w:t>
      </w:r>
      <w:r w:rsidRPr="00BB6085">
        <w:rPr>
          <w:lang w:val="fr-FR"/>
        </w:rPr>
        <w:t>2017, un arrêté d</w:t>
      </w:r>
      <w:r w:rsidR="00607BE5">
        <w:rPr>
          <w:lang w:val="fr-FR"/>
        </w:rPr>
        <w:t>’</w:t>
      </w:r>
      <w:r w:rsidRPr="00BB6085">
        <w:rPr>
          <w:lang w:val="fr-FR"/>
        </w:rPr>
        <w:t>expulsion a été pris contre l</w:t>
      </w:r>
      <w:r w:rsidR="00607BE5">
        <w:rPr>
          <w:lang w:val="fr-FR"/>
        </w:rPr>
        <w:t>’</w:t>
      </w:r>
      <w:r>
        <w:rPr>
          <w:lang w:val="fr-FR"/>
        </w:rPr>
        <w:t>auteur.</w:t>
      </w:r>
    </w:p>
    <w:p w:rsidR="00EE3191" w:rsidRPr="00BB6085" w:rsidRDefault="00EE3191" w:rsidP="00607BE5">
      <w:pPr>
        <w:pStyle w:val="SingleTxtG"/>
        <w:keepNext/>
        <w:keepLines/>
        <w:rPr>
          <w:lang w:val="fr-FR"/>
        </w:rPr>
      </w:pPr>
      <w:r w:rsidRPr="00BB6085">
        <w:rPr>
          <w:lang w:val="fr-FR"/>
        </w:rPr>
        <w:lastRenderedPageBreak/>
        <w:t>2.7</w:t>
      </w:r>
      <w:r w:rsidRPr="00BB6085">
        <w:rPr>
          <w:lang w:val="fr-FR"/>
        </w:rPr>
        <w:tab/>
        <w:t>L</w:t>
      </w:r>
      <w:r w:rsidR="00607BE5">
        <w:rPr>
          <w:lang w:val="fr-FR"/>
        </w:rPr>
        <w:t>’</w:t>
      </w:r>
      <w:r w:rsidRPr="00BB6085">
        <w:rPr>
          <w:lang w:val="fr-FR"/>
        </w:rPr>
        <w:t>auteur fai</w:t>
      </w:r>
      <w:r>
        <w:rPr>
          <w:lang w:val="fr-FR"/>
        </w:rPr>
        <w:t xml:space="preserve">t observer que les décisions du parquet </w:t>
      </w:r>
      <w:r w:rsidRPr="00BB6085">
        <w:rPr>
          <w:lang w:val="fr-FR"/>
        </w:rPr>
        <w:t>relatives à la détermination de l</w:t>
      </w:r>
      <w:r w:rsidR="00607BE5">
        <w:rPr>
          <w:lang w:val="fr-FR"/>
        </w:rPr>
        <w:t>’</w:t>
      </w:r>
      <w:r w:rsidRPr="00BB6085">
        <w:rPr>
          <w:lang w:val="fr-FR"/>
        </w:rPr>
        <w:t xml:space="preserve">âge ne peuvent </w:t>
      </w:r>
      <w:r>
        <w:rPr>
          <w:lang w:val="fr-FR"/>
        </w:rPr>
        <w:t xml:space="preserve">pas </w:t>
      </w:r>
      <w:r w:rsidRPr="00BB6085">
        <w:rPr>
          <w:lang w:val="fr-FR"/>
        </w:rPr>
        <w:t>être contestées en justice, comme l</w:t>
      </w:r>
      <w:r w:rsidR="00607BE5">
        <w:rPr>
          <w:lang w:val="fr-FR"/>
        </w:rPr>
        <w:t>’</w:t>
      </w:r>
      <w:r>
        <w:rPr>
          <w:lang w:val="fr-FR"/>
        </w:rPr>
        <w:t>a confirmé le Tribunal</w:t>
      </w:r>
      <w:r w:rsidRPr="00BB6085">
        <w:rPr>
          <w:lang w:val="fr-FR"/>
        </w:rPr>
        <w:t xml:space="preserve"> constitutionnel dans son </w:t>
      </w:r>
      <w:r>
        <w:rPr>
          <w:lang w:val="fr-FR"/>
        </w:rPr>
        <w:t>arrêt </w:t>
      </w:r>
      <w:r w:rsidRPr="00BB6085">
        <w:rPr>
          <w:lang w:val="fr-FR"/>
        </w:rPr>
        <w:t>172/2013, et qu</w:t>
      </w:r>
      <w:r w:rsidR="00607BE5">
        <w:rPr>
          <w:lang w:val="fr-FR"/>
        </w:rPr>
        <w:t>’</w:t>
      </w:r>
      <w:r w:rsidRPr="00BB6085">
        <w:rPr>
          <w:lang w:val="fr-FR"/>
        </w:rPr>
        <w:t>il a par conséquent épuisé tous les recours internes disponibles</w:t>
      </w:r>
      <w:r>
        <w:rPr>
          <w:lang w:val="fr-FR"/>
        </w:rPr>
        <w:t>.</w:t>
      </w:r>
    </w:p>
    <w:p w:rsidR="00EE3191" w:rsidRPr="00BB6085" w:rsidRDefault="00EE3191" w:rsidP="00EE3191">
      <w:pPr>
        <w:pStyle w:val="SingleTxtG"/>
        <w:rPr>
          <w:lang w:val="fr-FR"/>
        </w:rPr>
      </w:pPr>
      <w:r w:rsidRPr="00BB6085">
        <w:rPr>
          <w:lang w:val="fr-FR"/>
        </w:rPr>
        <w:t>2.8</w:t>
      </w:r>
      <w:r w:rsidRPr="00BB6085">
        <w:rPr>
          <w:lang w:val="fr-FR"/>
        </w:rPr>
        <w:tab/>
        <w:t>L</w:t>
      </w:r>
      <w:r w:rsidR="00607BE5">
        <w:rPr>
          <w:lang w:val="fr-FR"/>
        </w:rPr>
        <w:t>’</w:t>
      </w:r>
      <w:r w:rsidRPr="00BB6085">
        <w:rPr>
          <w:lang w:val="fr-FR"/>
        </w:rPr>
        <w:t xml:space="preserve">auteur affirme </w:t>
      </w:r>
      <w:r>
        <w:rPr>
          <w:lang w:val="fr-FR"/>
        </w:rPr>
        <w:t>qu</w:t>
      </w:r>
      <w:r w:rsidR="00607BE5">
        <w:rPr>
          <w:lang w:val="fr-FR"/>
        </w:rPr>
        <w:t>’</w:t>
      </w:r>
      <w:r>
        <w:rPr>
          <w:lang w:val="fr-FR"/>
        </w:rPr>
        <w:t xml:space="preserve">il vit </w:t>
      </w:r>
      <w:r w:rsidRPr="00BB6085">
        <w:rPr>
          <w:lang w:val="fr-FR"/>
        </w:rPr>
        <w:t>actuellement dans un centre privé d</w:t>
      </w:r>
      <w:r w:rsidR="00607BE5">
        <w:rPr>
          <w:lang w:val="fr-FR"/>
        </w:rPr>
        <w:t>’</w:t>
      </w:r>
      <w:r>
        <w:rPr>
          <w:lang w:val="fr-FR"/>
        </w:rPr>
        <w:t>accueil de migrants.</w:t>
      </w:r>
    </w:p>
    <w:p w:rsidR="00EE3191" w:rsidRPr="00BB6085" w:rsidRDefault="00EE3191" w:rsidP="00EE3191">
      <w:pPr>
        <w:pStyle w:val="H23G"/>
        <w:rPr>
          <w:lang w:val="fr-FR"/>
        </w:rPr>
      </w:pPr>
      <w:r w:rsidRPr="00BB6085">
        <w:rPr>
          <w:lang w:val="fr-FR"/>
        </w:rPr>
        <w:tab/>
      </w:r>
      <w:r w:rsidRPr="00BB6085">
        <w:rPr>
          <w:lang w:val="fr-FR"/>
        </w:rPr>
        <w:tab/>
        <w:t>Teneur de la plainte</w:t>
      </w:r>
    </w:p>
    <w:p w:rsidR="00EE3191" w:rsidRPr="00BB6085" w:rsidRDefault="00EE3191" w:rsidP="00EE3191">
      <w:pPr>
        <w:pStyle w:val="SingleTxtG"/>
        <w:rPr>
          <w:lang w:val="fr-FR"/>
        </w:rPr>
      </w:pPr>
      <w:r w:rsidRPr="00BB6085">
        <w:rPr>
          <w:lang w:val="fr-FR"/>
        </w:rPr>
        <w:t>3.1</w:t>
      </w:r>
      <w:r w:rsidRPr="00BB6085">
        <w:rPr>
          <w:lang w:val="fr-FR"/>
        </w:rPr>
        <w:tab/>
        <w:t>L</w:t>
      </w:r>
      <w:r w:rsidR="00607BE5">
        <w:rPr>
          <w:lang w:val="fr-FR"/>
        </w:rPr>
        <w:t>’</w:t>
      </w:r>
      <w:r w:rsidRPr="00BB6085">
        <w:rPr>
          <w:lang w:val="fr-FR"/>
        </w:rPr>
        <w:t xml:space="preserve">auteur </w:t>
      </w:r>
      <w:r>
        <w:rPr>
          <w:lang w:val="fr-FR"/>
        </w:rPr>
        <w:t xml:space="preserve">affirme que, dans le cadre de </w:t>
      </w:r>
      <w:r w:rsidRPr="00BB6085">
        <w:rPr>
          <w:lang w:val="fr-FR"/>
        </w:rPr>
        <w:t>la procédure de détermination de l</w:t>
      </w:r>
      <w:r w:rsidR="00607BE5">
        <w:rPr>
          <w:lang w:val="fr-FR"/>
        </w:rPr>
        <w:t>’</w:t>
      </w:r>
      <w:r w:rsidRPr="00BB6085">
        <w:rPr>
          <w:lang w:val="fr-FR"/>
        </w:rPr>
        <w:t>âge à laquelle il a été soumis, il n</w:t>
      </w:r>
      <w:r w:rsidR="00607BE5">
        <w:rPr>
          <w:lang w:val="fr-FR"/>
        </w:rPr>
        <w:t>’</w:t>
      </w:r>
      <w:r w:rsidRPr="00BB6085">
        <w:rPr>
          <w:lang w:val="fr-FR"/>
        </w:rPr>
        <w:t>a pas été tenu compte de son droit d</w:t>
      </w:r>
      <w:r w:rsidR="00607BE5">
        <w:rPr>
          <w:lang w:val="fr-FR"/>
        </w:rPr>
        <w:t>’</w:t>
      </w:r>
      <w:r w:rsidRPr="00BB6085">
        <w:rPr>
          <w:lang w:val="fr-FR"/>
        </w:rPr>
        <w:t>être entendu, en violation de l</w:t>
      </w:r>
      <w:r w:rsidR="00607BE5">
        <w:rPr>
          <w:lang w:val="fr-FR"/>
        </w:rPr>
        <w:t>’</w:t>
      </w:r>
      <w:r w:rsidRPr="00BB6085">
        <w:rPr>
          <w:lang w:val="fr-FR"/>
        </w:rPr>
        <w:t>arti</w:t>
      </w:r>
      <w:r>
        <w:rPr>
          <w:lang w:val="fr-FR"/>
        </w:rPr>
        <w:t>cle 12 de la Convention, et ce, alors</w:t>
      </w:r>
      <w:r w:rsidRPr="00BB6085">
        <w:rPr>
          <w:lang w:val="fr-FR"/>
        </w:rPr>
        <w:t xml:space="preserve"> que la loi organique n</w:t>
      </w:r>
      <w:r w:rsidRPr="00BB6085">
        <w:rPr>
          <w:vertAlign w:val="superscript"/>
          <w:lang w:val="fr-FR"/>
        </w:rPr>
        <w:t>o</w:t>
      </w:r>
      <w:r w:rsidRPr="00BB6085">
        <w:rPr>
          <w:lang w:val="fr-FR"/>
        </w:rPr>
        <w:t> 1/1996</w:t>
      </w:r>
      <w:r>
        <w:rPr>
          <w:lang w:val="fr-FR"/>
        </w:rPr>
        <w:t>,</w:t>
      </w:r>
      <w:r w:rsidRPr="00BB6085">
        <w:rPr>
          <w:lang w:val="fr-FR"/>
        </w:rPr>
        <w:t xml:space="preserve"> du 15 janvier</w:t>
      </w:r>
      <w:r>
        <w:rPr>
          <w:lang w:val="fr-FR"/>
        </w:rPr>
        <w:t xml:space="preserve"> </w:t>
      </w:r>
      <w:r w:rsidRPr="00BB6085">
        <w:rPr>
          <w:lang w:val="fr-FR"/>
        </w:rPr>
        <w:t>1996</w:t>
      </w:r>
      <w:r>
        <w:rPr>
          <w:lang w:val="fr-FR"/>
        </w:rPr>
        <w:t>,</w:t>
      </w:r>
      <w:r w:rsidRPr="00BB6085">
        <w:rPr>
          <w:lang w:val="fr-FR"/>
        </w:rPr>
        <w:t xml:space="preserve"> sur la protection juridique des mineurs dispose que l</w:t>
      </w:r>
      <w:r w:rsidR="00607BE5">
        <w:rPr>
          <w:lang w:val="fr-FR"/>
        </w:rPr>
        <w:t>’</w:t>
      </w:r>
      <w:r w:rsidRPr="00BB6085">
        <w:rPr>
          <w:lang w:val="fr-FR"/>
        </w:rPr>
        <w:t>enfant doit recevoir, dans une langue qu</w:t>
      </w:r>
      <w:r w:rsidR="00607BE5">
        <w:rPr>
          <w:lang w:val="fr-FR"/>
        </w:rPr>
        <w:t>’</w:t>
      </w:r>
      <w:r w:rsidRPr="00BB6085">
        <w:rPr>
          <w:lang w:val="fr-FR"/>
        </w:rPr>
        <w:t>il comprend, les informations qui lui permettent d</w:t>
      </w:r>
      <w:r w:rsidR="00607BE5">
        <w:rPr>
          <w:lang w:val="fr-FR"/>
        </w:rPr>
        <w:t>’</w:t>
      </w:r>
      <w:r w:rsidRPr="00BB6085">
        <w:rPr>
          <w:lang w:val="fr-FR"/>
        </w:rPr>
        <w:t>exercer son droit d</w:t>
      </w:r>
      <w:r w:rsidR="00607BE5">
        <w:rPr>
          <w:lang w:val="fr-FR"/>
        </w:rPr>
        <w:t>’</w:t>
      </w:r>
      <w:r>
        <w:rPr>
          <w:lang w:val="fr-FR"/>
        </w:rPr>
        <w:t>être entendu et consulté.</w:t>
      </w:r>
    </w:p>
    <w:p w:rsidR="00EE3191" w:rsidRPr="00BB6085" w:rsidRDefault="00EE3191" w:rsidP="00EE3191">
      <w:pPr>
        <w:pStyle w:val="SingleTxtG"/>
        <w:rPr>
          <w:lang w:val="fr-FR"/>
        </w:rPr>
      </w:pPr>
      <w:r w:rsidRPr="00BB6085">
        <w:rPr>
          <w:lang w:val="fr-FR"/>
        </w:rPr>
        <w:t>3.2</w:t>
      </w:r>
      <w:r w:rsidRPr="00BB6085">
        <w:rPr>
          <w:lang w:val="fr-FR"/>
        </w:rPr>
        <w:tab/>
        <w:t>L</w:t>
      </w:r>
      <w:r w:rsidR="00607BE5">
        <w:rPr>
          <w:lang w:val="fr-FR"/>
        </w:rPr>
        <w:t>’</w:t>
      </w:r>
      <w:r w:rsidRPr="00BB6085">
        <w:rPr>
          <w:lang w:val="fr-FR"/>
        </w:rPr>
        <w:t xml:space="preserve">auteur affirme </w:t>
      </w:r>
      <w:r>
        <w:rPr>
          <w:lang w:val="fr-FR"/>
        </w:rPr>
        <w:t>que</w:t>
      </w:r>
      <w:r w:rsidRPr="00BB6085">
        <w:rPr>
          <w:lang w:val="fr-FR"/>
        </w:rPr>
        <w:t xml:space="preserve"> la décision de clore </w:t>
      </w:r>
      <w:r>
        <w:rPr>
          <w:lang w:val="fr-FR"/>
        </w:rPr>
        <w:t>le</w:t>
      </w:r>
      <w:r w:rsidRPr="00BB6085">
        <w:rPr>
          <w:lang w:val="fr-FR"/>
        </w:rPr>
        <w:t xml:space="preserve"> dossier de protection des mineurs</w:t>
      </w:r>
      <w:r>
        <w:rPr>
          <w:lang w:val="fr-FR"/>
        </w:rPr>
        <w:t xml:space="preserve"> ne lui a pas été notifiée</w:t>
      </w:r>
      <w:r w:rsidRPr="00BB6085">
        <w:rPr>
          <w:lang w:val="fr-FR"/>
        </w:rPr>
        <w:t>, ce qui contrevient à son droit à la protection judiciaire et à son droit d</w:t>
      </w:r>
      <w:r w:rsidR="00607BE5">
        <w:rPr>
          <w:lang w:val="fr-FR"/>
        </w:rPr>
        <w:t>’</w:t>
      </w:r>
      <w:r w:rsidRPr="00BB6085">
        <w:rPr>
          <w:lang w:val="fr-FR"/>
        </w:rPr>
        <w:t xml:space="preserve">être entendu. Il a seulement été informé de la décision relative à son âge rendue par le </w:t>
      </w:r>
      <w:r>
        <w:rPr>
          <w:lang w:val="fr-FR"/>
        </w:rPr>
        <w:t>parquet</w:t>
      </w:r>
      <w:r w:rsidRPr="00BB6085">
        <w:rPr>
          <w:lang w:val="fr-FR"/>
        </w:rPr>
        <w:t xml:space="preserve"> de la province de Barcelone le 21 décembre</w:t>
      </w:r>
      <w:r>
        <w:rPr>
          <w:lang w:val="fr-FR"/>
        </w:rPr>
        <w:t xml:space="preserve"> </w:t>
      </w:r>
      <w:r w:rsidRPr="00BB6085">
        <w:rPr>
          <w:lang w:val="fr-FR"/>
        </w:rPr>
        <w:t>2016.</w:t>
      </w:r>
    </w:p>
    <w:p w:rsidR="00EE3191" w:rsidRPr="00BB6085" w:rsidRDefault="00EE3191" w:rsidP="00EE3191">
      <w:pPr>
        <w:pStyle w:val="SingleTxtG"/>
        <w:rPr>
          <w:lang w:val="fr-FR"/>
        </w:rPr>
      </w:pPr>
      <w:r w:rsidRPr="00BB6085">
        <w:rPr>
          <w:lang w:val="fr-FR"/>
        </w:rPr>
        <w:t>3.3</w:t>
      </w:r>
      <w:r w:rsidRPr="00BB6085">
        <w:rPr>
          <w:lang w:val="fr-FR"/>
        </w:rPr>
        <w:tab/>
        <w:t>L</w:t>
      </w:r>
      <w:r w:rsidR="00607BE5">
        <w:rPr>
          <w:lang w:val="fr-FR"/>
        </w:rPr>
        <w:t>’</w:t>
      </w:r>
      <w:r w:rsidRPr="00BB6085">
        <w:rPr>
          <w:lang w:val="fr-FR"/>
        </w:rPr>
        <w:t xml:space="preserve">auteur affirme que si un avocat </w:t>
      </w:r>
      <w:r>
        <w:rPr>
          <w:lang w:val="fr-FR"/>
        </w:rPr>
        <w:t>lui</w:t>
      </w:r>
      <w:r w:rsidRPr="00BB6085">
        <w:rPr>
          <w:lang w:val="fr-FR"/>
        </w:rPr>
        <w:t xml:space="preserve"> a bien été </w:t>
      </w:r>
      <w:r>
        <w:rPr>
          <w:lang w:val="fr-FR"/>
        </w:rPr>
        <w:t>commis</w:t>
      </w:r>
      <w:r w:rsidRPr="009414A5">
        <w:rPr>
          <w:lang w:val="fr-FR"/>
        </w:rPr>
        <w:t xml:space="preserve"> </w:t>
      </w:r>
      <w:r w:rsidRPr="00B817AD">
        <w:rPr>
          <w:lang w:val="fr-FR"/>
        </w:rPr>
        <w:t>d</w:t>
      </w:r>
      <w:r w:rsidR="00607BE5">
        <w:rPr>
          <w:lang w:val="fr-FR"/>
        </w:rPr>
        <w:t>’</w:t>
      </w:r>
      <w:r w:rsidRPr="00B817AD">
        <w:rPr>
          <w:lang w:val="fr-FR"/>
        </w:rPr>
        <w:t>office</w:t>
      </w:r>
      <w:r w:rsidRPr="00BB6085">
        <w:rPr>
          <w:lang w:val="fr-FR"/>
        </w:rPr>
        <w:t xml:space="preserve">, cette nomination est intervenue alors que le </w:t>
      </w:r>
      <w:r>
        <w:rPr>
          <w:lang w:val="fr-FR"/>
        </w:rPr>
        <w:t>parquet</w:t>
      </w:r>
      <w:r w:rsidRPr="00BB6085">
        <w:rPr>
          <w:lang w:val="fr-FR"/>
        </w:rPr>
        <w:t xml:space="preserve"> avait déjà déterminé qu</w:t>
      </w:r>
      <w:r w:rsidR="00607BE5">
        <w:rPr>
          <w:lang w:val="fr-FR"/>
        </w:rPr>
        <w:t>’</w:t>
      </w:r>
      <w:r w:rsidRPr="00BB6085">
        <w:rPr>
          <w:lang w:val="fr-FR"/>
        </w:rPr>
        <w:t>il était majeur,</w:t>
      </w:r>
      <w:r>
        <w:rPr>
          <w:lang w:val="fr-FR"/>
        </w:rPr>
        <w:t xml:space="preserve"> et non avant.</w:t>
      </w:r>
    </w:p>
    <w:p w:rsidR="00EE3191" w:rsidRPr="00BB6085" w:rsidRDefault="00EE3191" w:rsidP="00EE3191">
      <w:pPr>
        <w:pStyle w:val="SingleTxtG"/>
        <w:rPr>
          <w:lang w:val="fr-FR"/>
        </w:rPr>
      </w:pPr>
      <w:r w:rsidRPr="00BB6085">
        <w:rPr>
          <w:lang w:val="fr-FR"/>
        </w:rPr>
        <w:t>3.4</w:t>
      </w:r>
      <w:r w:rsidRPr="00BB6085">
        <w:rPr>
          <w:lang w:val="fr-FR"/>
        </w:rPr>
        <w:tab/>
        <w:t>L</w:t>
      </w:r>
      <w:r w:rsidR="00607BE5">
        <w:rPr>
          <w:lang w:val="fr-FR"/>
        </w:rPr>
        <w:t>’</w:t>
      </w:r>
      <w:r w:rsidRPr="00BB6085">
        <w:rPr>
          <w:lang w:val="fr-FR"/>
        </w:rPr>
        <w:t>auteur propose</w:t>
      </w:r>
      <w:r>
        <w:rPr>
          <w:lang w:val="fr-FR"/>
        </w:rPr>
        <w:t xml:space="preserve">, à titre de </w:t>
      </w:r>
      <w:r w:rsidRPr="00BB6085">
        <w:rPr>
          <w:lang w:val="fr-FR"/>
        </w:rPr>
        <w:t>réparation</w:t>
      </w:r>
      <w:r>
        <w:rPr>
          <w:lang w:val="fr-FR"/>
        </w:rPr>
        <w:t>, les mesures</w:t>
      </w:r>
      <w:r w:rsidRPr="00BB6085">
        <w:rPr>
          <w:lang w:val="fr-FR"/>
        </w:rPr>
        <w:t xml:space="preserve"> suivantes : a)</w:t>
      </w:r>
      <w:r>
        <w:rPr>
          <w:lang w:val="fr-FR"/>
        </w:rPr>
        <w:t> </w:t>
      </w:r>
      <w:r w:rsidRPr="00BB6085">
        <w:rPr>
          <w:lang w:val="fr-FR"/>
        </w:rPr>
        <w:t>qu</w:t>
      </w:r>
      <w:r>
        <w:rPr>
          <w:lang w:val="fr-FR"/>
        </w:rPr>
        <w:t>e l</w:t>
      </w:r>
      <w:r w:rsidR="00607BE5">
        <w:rPr>
          <w:lang w:val="fr-FR"/>
        </w:rPr>
        <w:t>’</w:t>
      </w:r>
      <w:r>
        <w:rPr>
          <w:lang w:val="fr-FR"/>
        </w:rPr>
        <w:t>État partie</w:t>
      </w:r>
      <w:r w:rsidRPr="00BB6085">
        <w:rPr>
          <w:lang w:val="fr-FR"/>
        </w:rPr>
        <w:t xml:space="preserve"> </w:t>
      </w:r>
      <w:r>
        <w:rPr>
          <w:lang w:val="fr-FR"/>
        </w:rPr>
        <w:t>l</w:t>
      </w:r>
      <w:r w:rsidRPr="00BB6085">
        <w:rPr>
          <w:lang w:val="fr-FR"/>
        </w:rPr>
        <w:t>ui reconnaisse le droit d</w:t>
      </w:r>
      <w:r w:rsidR="00607BE5">
        <w:rPr>
          <w:lang w:val="fr-FR"/>
        </w:rPr>
        <w:t>’</w:t>
      </w:r>
      <w:r w:rsidRPr="00BB6085">
        <w:rPr>
          <w:lang w:val="fr-FR"/>
        </w:rPr>
        <w:t>être</w:t>
      </w:r>
      <w:r>
        <w:rPr>
          <w:lang w:val="fr-FR"/>
        </w:rPr>
        <w:t xml:space="preserve"> </w:t>
      </w:r>
      <w:r w:rsidRPr="00BB6085">
        <w:rPr>
          <w:lang w:val="fr-FR"/>
        </w:rPr>
        <w:t>assisté par un avocat ou un représentant librement choisi avant d</w:t>
      </w:r>
      <w:r w:rsidR="00607BE5">
        <w:rPr>
          <w:lang w:val="fr-FR"/>
        </w:rPr>
        <w:t>’</w:t>
      </w:r>
      <w:r w:rsidRPr="00BB6085">
        <w:rPr>
          <w:lang w:val="fr-FR"/>
        </w:rPr>
        <w:t>être mis</w:t>
      </w:r>
      <w:r>
        <w:rPr>
          <w:lang w:val="fr-FR"/>
        </w:rPr>
        <w:t xml:space="preserve"> </w:t>
      </w:r>
      <w:r w:rsidRPr="00BB6085">
        <w:rPr>
          <w:lang w:val="fr-FR"/>
        </w:rPr>
        <w:t>à la disposition de</w:t>
      </w:r>
      <w:r>
        <w:rPr>
          <w:lang w:val="fr-FR"/>
        </w:rPr>
        <w:t xml:space="preserve"> l</w:t>
      </w:r>
      <w:r w:rsidR="00607BE5">
        <w:rPr>
          <w:lang w:val="fr-FR"/>
        </w:rPr>
        <w:t>’</w:t>
      </w:r>
      <w:r>
        <w:rPr>
          <w:lang w:val="fr-FR"/>
        </w:rPr>
        <w:t>administration ; b) </w:t>
      </w:r>
      <w:r w:rsidRPr="00BB6085">
        <w:rPr>
          <w:lang w:val="fr-FR"/>
        </w:rPr>
        <w:t>qu</w:t>
      </w:r>
      <w:r w:rsidR="00607BE5">
        <w:rPr>
          <w:lang w:val="fr-FR"/>
        </w:rPr>
        <w:t>’</w:t>
      </w:r>
      <w:r w:rsidRPr="00BB6085">
        <w:rPr>
          <w:lang w:val="fr-FR"/>
        </w:rPr>
        <w:t>il soit informé de toute</w:t>
      </w:r>
      <w:r>
        <w:rPr>
          <w:lang w:val="fr-FR"/>
        </w:rPr>
        <w:t xml:space="preserve"> décision le concernant ; c) </w:t>
      </w:r>
      <w:r w:rsidRPr="00BB6085">
        <w:rPr>
          <w:lang w:val="fr-FR"/>
        </w:rPr>
        <w:t>qu</w:t>
      </w:r>
      <w:r w:rsidR="00607BE5">
        <w:rPr>
          <w:lang w:val="fr-FR"/>
        </w:rPr>
        <w:t>’</w:t>
      </w:r>
      <w:r w:rsidRPr="00BB6085">
        <w:rPr>
          <w:lang w:val="fr-FR"/>
        </w:rPr>
        <w:t xml:space="preserve">il soit </w:t>
      </w:r>
      <w:r>
        <w:rPr>
          <w:lang w:val="fr-FR"/>
        </w:rPr>
        <w:t xml:space="preserve">fait en sorte que les </w:t>
      </w:r>
      <w:r w:rsidRPr="00BB6085">
        <w:rPr>
          <w:lang w:val="fr-FR"/>
        </w:rPr>
        <w:t>décisions rendues par le</w:t>
      </w:r>
      <w:r>
        <w:rPr>
          <w:lang w:val="fr-FR"/>
        </w:rPr>
        <w:t xml:space="preserve"> parquet</w:t>
      </w:r>
      <w:r w:rsidRPr="00BB6085">
        <w:rPr>
          <w:lang w:val="fr-FR"/>
        </w:rPr>
        <w:t xml:space="preserve"> concernant la détermination de son âge</w:t>
      </w:r>
      <w:r>
        <w:rPr>
          <w:lang w:val="fr-FR"/>
        </w:rPr>
        <w:t xml:space="preserve"> puissent être contestées.</w:t>
      </w:r>
    </w:p>
    <w:p w:rsidR="00EE3191" w:rsidRPr="00BB6085" w:rsidRDefault="00EE3191" w:rsidP="00EE3191">
      <w:pPr>
        <w:pStyle w:val="H23G"/>
        <w:rPr>
          <w:lang w:val="fr-FR"/>
        </w:rPr>
      </w:pPr>
      <w:r w:rsidRPr="00BB6085">
        <w:rPr>
          <w:lang w:val="fr-FR"/>
        </w:rPr>
        <w:tab/>
      </w:r>
      <w:r w:rsidRPr="00BB6085">
        <w:rPr>
          <w:lang w:val="fr-FR"/>
        </w:rPr>
        <w:tab/>
        <w:t>Observations de l</w:t>
      </w:r>
      <w:r w:rsidR="00607BE5">
        <w:rPr>
          <w:lang w:val="fr-FR"/>
        </w:rPr>
        <w:t>’</w:t>
      </w:r>
      <w:r w:rsidRPr="00BB6085">
        <w:rPr>
          <w:lang w:val="fr-FR"/>
        </w:rPr>
        <w:t>État partie concernant la recevabilité</w:t>
      </w:r>
    </w:p>
    <w:p w:rsidR="00EE3191" w:rsidRPr="00BB6085" w:rsidRDefault="00EE3191" w:rsidP="00EE3191">
      <w:pPr>
        <w:pStyle w:val="SingleTxtG"/>
        <w:rPr>
          <w:lang w:val="fr-FR"/>
        </w:rPr>
      </w:pPr>
      <w:r w:rsidRPr="00BB6085">
        <w:rPr>
          <w:lang w:val="fr-FR"/>
        </w:rPr>
        <w:t>4.1</w:t>
      </w:r>
      <w:r w:rsidRPr="00BB6085">
        <w:rPr>
          <w:lang w:val="fr-FR"/>
        </w:rPr>
        <w:tab/>
        <w:t>Dans ses observations du 29 mai</w:t>
      </w:r>
      <w:r>
        <w:rPr>
          <w:lang w:val="fr-FR"/>
        </w:rPr>
        <w:t xml:space="preserve"> </w:t>
      </w:r>
      <w:r w:rsidRPr="00BB6085">
        <w:rPr>
          <w:lang w:val="fr-FR"/>
        </w:rPr>
        <w:t>2017, l</w:t>
      </w:r>
      <w:r w:rsidR="00607BE5">
        <w:rPr>
          <w:lang w:val="fr-FR"/>
        </w:rPr>
        <w:t>’</w:t>
      </w:r>
      <w:r w:rsidRPr="00BB6085">
        <w:rPr>
          <w:lang w:val="fr-FR"/>
        </w:rPr>
        <w:t xml:space="preserve">État partie </w:t>
      </w:r>
      <w:r>
        <w:rPr>
          <w:lang w:val="fr-FR"/>
        </w:rPr>
        <w:t xml:space="preserve">objecte </w:t>
      </w:r>
      <w:r w:rsidRPr="00BB6085">
        <w:rPr>
          <w:lang w:val="fr-FR"/>
        </w:rPr>
        <w:t>que la communication est irrecevable parce qu</w:t>
      </w:r>
      <w:r w:rsidR="00607BE5">
        <w:rPr>
          <w:lang w:val="fr-FR"/>
        </w:rPr>
        <w:t>’</w:t>
      </w:r>
      <w:r w:rsidRPr="00BB6085">
        <w:rPr>
          <w:lang w:val="fr-FR"/>
        </w:rPr>
        <w:t>elle constitue un abus du droit de présenter des communications et qu</w:t>
      </w:r>
      <w:r w:rsidR="00607BE5">
        <w:rPr>
          <w:lang w:val="fr-FR"/>
        </w:rPr>
        <w:t>’</w:t>
      </w:r>
      <w:r w:rsidRPr="00BB6085">
        <w:rPr>
          <w:lang w:val="fr-FR"/>
        </w:rPr>
        <w:t xml:space="preserve">elle est incompatible </w:t>
      </w:r>
      <w:r w:rsidRPr="00BB6085">
        <w:rPr>
          <w:i/>
          <w:lang w:val="fr-FR"/>
        </w:rPr>
        <w:t>ratione</w:t>
      </w:r>
      <w:r>
        <w:rPr>
          <w:i/>
          <w:lang w:val="fr-FR"/>
        </w:rPr>
        <w:t> </w:t>
      </w:r>
      <w:r w:rsidRPr="00BB6085">
        <w:rPr>
          <w:i/>
          <w:lang w:val="fr-FR"/>
        </w:rPr>
        <w:t xml:space="preserve">personae </w:t>
      </w:r>
      <w:r>
        <w:rPr>
          <w:lang w:val="fr-FR"/>
        </w:rPr>
        <w:t>avec les dispositions de la </w:t>
      </w:r>
      <w:r w:rsidRPr="00BB6085">
        <w:rPr>
          <w:lang w:val="fr-FR"/>
        </w:rPr>
        <w:t xml:space="preserve">Convention, </w:t>
      </w:r>
      <w:r>
        <w:rPr>
          <w:lang w:val="fr-FR"/>
        </w:rPr>
        <w:t>conformément à</w:t>
      </w:r>
      <w:r w:rsidRPr="00BB6085">
        <w:rPr>
          <w:lang w:val="fr-FR"/>
        </w:rPr>
        <w:t xml:space="preserve"> l</w:t>
      </w:r>
      <w:r w:rsidR="00607BE5">
        <w:rPr>
          <w:lang w:val="fr-FR"/>
        </w:rPr>
        <w:t>’</w:t>
      </w:r>
      <w:r>
        <w:rPr>
          <w:lang w:val="fr-FR"/>
        </w:rPr>
        <w:t>article </w:t>
      </w:r>
      <w:r w:rsidRPr="00BB6085">
        <w:rPr>
          <w:lang w:val="fr-FR"/>
        </w:rPr>
        <w:t>7</w:t>
      </w:r>
      <w:r>
        <w:rPr>
          <w:lang w:val="fr-FR"/>
        </w:rPr>
        <w:t> </w:t>
      </w:r>
      <w:r w:rsidRPr="00BB6085">
        <w:rPr>
          <w:lang w:val="fr-FR"/>
        </w:rPr>
        <w:t>c) du Protocole facultatif. Il souligne que l</w:t>
      </w:r>
      <w:r w:rsidR="00607BE5">
        <w:rPr>
          <w:lang w:val="fr-FR"/>
        </w:rPr>
        <w:t>’</w:t>
      </w:r>
      <w:r w:rsidRPr="00BB6085">
        <w:rPr>
          <w:lang w:val="fr-FR"/>
        </w:rPr>
        <w:t>auteur n</w:t>
      </w:r>
      <w:r w:rsidR="00607BE5">
        <w:rPr>
          <w:lang w:val="fr-FR"/>
        </w:rPr>
        <w:t>’</w:t>
      </w:r>
      <w:r w:rsidRPr="00BB6085">
        <w:rPr>
          <w:lang w:val="fr-FR"/>
        </w:rPr>
        <w:t xml:space="preserve">a </w:t>
      </w:r>
      <w:r>
        <w:rPr>
          <w:lang w:val="fr-FR"/>
        </w:rPr>
        <w:t>présenté aucun</w:t>
      </w:r>
      <w:r w:rsidRPr="00BB6085">
        <w:rPr>
          <w:lang w:val="fr-FR"/>
        </w:rPr>
        <w:t xml:space="preserve"> document officiel original ni </w:t>
      </w:r>
      <w:r>
        <w:rPr>
          <w:lang w:val="fr-FR"/>
        </w:rPr>
        <w:t xml:space="preserve">aucune </w:t>
      </w:r>
      <w:r w:rsidRPr="00BB6085">
        <w:rPr>
          <w:lang w:val="fr-FR"/>
        </w:rPr>
        <w:t>preuve médicale objective qui atteste son âge de manière irréfutable. À l</w:t>
      </w:r>
      <w:r w:rsidR="00607BE5">
        <w:rPr>
          <w:lang w:val="fr-FR"/>
        </w:rPr>
        <w:t>’</w:t>
      </w:r>
      <w:r w:rsidRPr="00BB6085">
        <w:rPr>
          <w:lang w:val="fr-FR"/>
        </w:rPr>
        <w:t>inverse, il a autorisé les autorités espagnoles à effectuer cinq examens mé</w:t>
      </w:r>
      <w:r>
        <w:rPr>
          <w:lang w:val="fr-FR"/>
        </w:rPr>
        <w:t>dicaux pour déterminer son âge.</w:t>
      </w:r>
    </w:p>
    <w:p w:rsidR="00EE3191" w:rsidRPr="00BB6085" w:rsidRDefault="00EE3191" w:rsidP="00EE3191">
      <w:pPr>
        <w:pStyle w:val="SingleTxtG"/>
        <w:rPr>
          <w:lang w:val="fr-FR"/>
        </w:rPr>
      </w:pPr>
      <w:r w:rsidRPr="00BB6085">
        <w:rPr>
          <w:lang w:val="fr-FR"/>
        </w:rPr>
        <w:t>4.2</w:t>
      </w:r>
      <w:r w:rsidRPr="00BB6085">
        <w:rPr>
          <w:lang w:val="fr-FR"/>
        </w:rPr>
        <w:tab/>
        <w:t>L</w:t>
      </w:r>
      <w:r w:rsidR="00607BE5">
        <w:rPr>
          <w:lang w:val="fr-FR"/>
        </w:rPr>
        <w:t>’</w:t>
      </w:r>
      <w:r w:rsidRPr="00BB6085">
        <w:rPr>
          <w:lang w:val="fr-FR"/>
        </w:rPr>
        <w:t>État partie fait observer que, comme pour les autres cas</w:t>
      </w:r>
      <w:r>
        <w:rPr>
          <w:lang w:val="fr-FR"/>
        </w:rPr>
        <w:t xml:space="preserve"> dont le </w:t>
      </w:r>
      <w:r w:rsidRPr="00BB6085">
        <w:rPr>
          <w:lang w:val="fr-FR"/>
        </w:rPr>
        <w:t>Comité</w:t>
      </w:r>
      <w:r>
        <w:rPr>
          <w:lang w:val="fr-FR"/>
        </w:rPr>
        <w:t xml:space="preserve"> a été saisi</w:t>
      </w:r>
      <w:r w:rsidRPr="00BB6085">
        <w:rPr>
          <w:lang w:val="fr-FR"/>
        </w:rPr>
        <w:t>, l</w:t>
      </w:r>
      <w:r w:rsidR="00607BE5">
        <w:rPr>
          <w:lang w:val="fr-FR"/>
        </w:rPr>
        <w:t>’</w:t>
      </w:r>
      <w:r w:rsidRPr="00BB6085">
        <w:rPr>
          <w:lang w:val="fr-FR"/>
        </w:rPr>
        <w:t>auteur est une personne présumée proche de l</w:t>
      </w:r>
      <w:r w:rsidR="00607BE5">
        <w:rPr>
          <w:lang w:val="fr-FR"/>
        </w:rPr>
        <w:t>’</w:t>
      </w:r>
      <w:r w:rsidRPr="00BB6085">
        <w:rPr>
          <w:lang w:val="fr-FR"/>
        </w:rPr>
        <w:t xml:space="preserve">âge de la majorité et qui semble être </w:t>
      </w:r>
      <w:r>
        <w:rPr>
          <w:lang w:val="fr-FR"/>
        </w:rPr>
        <w:t xml:space="preserve">adulte ; </w:t>
      </w:r>
      <w:r w:rsidRPr="00BB6085">
        <w:rPr>
          <w:lang w:val="fr-FR"/>
        </w:rPr>
        <w:t xml:space="preserve">il ne </w:t>
      </w:r>
      <w:r>
        <w:rPr>
          <w:lang w:val="fr-FR"/>
        </w:rPr>
        <w:t>présente</w:t>
      </w:r>
      <w:r w:rsidRPr="00BB6085">
        <w:rPr>
          <w:lang w:val="fr-FR"/>
        </w:rPr>
        <w:t xml:space="preserve"> aucun document d</w:t>
      </w:r>
      <w:r w:rsidR="00607BE5">
        <w:rPr>
          <w:lang w:val="fr-FR"/>
        </w:rPr>
        <w:t>’</w:t>
      </w:r>
      <w:r w:rsidRPr="00BB6085">
        <w:rPr>
          <w:lang w:val="fr-FR"/>
        </w:rPr>
        <w:t>identité original sur lequel figureraient des données biométriques,</w:t>
      </w:r>
      <w:r>
        <w:rPr>
          <w:lang w:val="fr-FR"/>
        </w:rPr>
        <w:t xml:space="preserve"> </w:t>
      </w:r>
      <w:r w:rsidRPr="00BB6085">
        <w:rPr>
          <w:lang w:val="fr-FR"/>
        </w:rPr>
        <w:t>ni aucune</w:t>
      </w:r>
      <w:r>
        <w:rPr>
          <w:lang w:val="fr-FR"/>
        </w:rPr>
        <w:t xml:space="preserve"> preuve médicale</w:t>
      </w:r>
      <w:r w:rsidRPr="00BB6085">
        <w:rPr>
          <w:lang w:val="fr-FR"/>
        </w:rPr>
        <w:t xml:space="preserve"> qui contredirait les résultats des examens effectués, alors qu</w:t>
      </w:r>
      <w:r w:rsidR="00607BE5">
        <w:rPr>
          <w:lang w:val="fr-FR"/>
        </w:rPr>
        <w:t>’</w:t>
      </w:r>
      <w:r w:rsidRPr="00BB6085">
        <w:rPr>
          <w:lang w:val="fr-FR"/>
        </w:rPr>
        <w:t xml:space="preserve">il </w:t>
      </w:r>
      <w:r>
        <w:rPr>
          <w:lang w:val="fr-FR"/>
        </w:rPr>
        <w:t xml:space="preserve">est </w:t>
      </w:r>
      <w:r w:rsidRPr="00BB6085">
        <w:rPr>
          <w:lang w:val="fr-FR"/>
        </w:rPr>
        <w:t>représenté par des avocats et des organisations non gouvernementales</w:t>
      </w:r>
      <w:r>
        <w:rPr>
          <w:lang w:val="fr-FR"/>
        </w:rPr>
        <w:t xml:space="preserve"> qui ont les moyens de</w:t>
      </w:r>
      <w:r w:rsidRPr="00BB6085">
        <w:rPr>
          <w:lang w:val="fr-FR"/>
        </w:rPr>
        <w:t xml:space="preserve"> le faire, et qu</w:t>
      </w:r>
      <w:r w:rsidR="00607BE5">
        <w:rPr>
          <w:lang w:val="fr-FR"/>
        </w:rPr>
        <w:t>’</w:t>
      </w:r>
      <w:r w:rsidRPr="00BB6085">
        <w:rPr>
          <w:lang w:val="fr-FR"/>
        </w:rPr>
        <w:t>il ne précise pas quels seraient les examens médicaux appropriés. Enfin, l</w:t>
      </w:r>
      <w:r w:rsidR="00607BE5">
        <w:rPr>
          <w:lang w:val="fr-FR"/>
        </w:rPr>
        <w:t>’</w:t>
      </w:r>
      <w:r w:rsidRPr="00BB6085">
        <w:rPr>
          <w:lang w:val="fr-FR"/>
        </w:rPr>
        <w:t>État partie renvoie à l</w:t>
      </w:r>
      <w:r w:rsidR="00607BE5">
        <w:rPr>
          <w:lang w:val="fr-FR"/>
        </w:rPr>
        <w:t>’</w:t>
      </w:r>
      <w:r w:rsidRPr="00BB6085">
        <w:rPr>
          <w:lang w:val="fr-FR"/>
        </w:rPr>
        <w:t xml:space="preserve">affaire </w:t>
      </w:r>
      <w:r>
        <w:rPr>
          <w:i/>
          <w:lang w:val="fr-FR"/>
        </w:rPr>
        <w:t>M. E. </w:t>
      </w:r>
      <w:r w:rsidRPr="00BB6085">
        <w:rPr>
          <w:i/>
          <w:lang w:val="fr-FR"/>
        </w:rPr>
        <w:t xml:space="preserve">B. </w:t>
      </w:r>
      <w:r w:rsidRPr="002A35B9">
        <w:rPr>
          <w:i/>
        </w:rPr>
        <w:t>c.</w:t>
      </w:r>
      <w:r>
        <w:rPr>
          <w:i/>
          <w:lang w:val="fr-FR"/>
        </w:rPr>
        <w:t> </w:t>
      </w:r>
      <w:r w:rsidRPr="00BB6085">
        <w:rPr>
          <w:i/>
          <w:lang w:val="fr-FR"/>
        </w:rPr>
        <w:t>Espagne</w:t>
      </w:r>
      <w:r w:rsidRPr="00607BE5">
        <w:rPr>
          <w:rStyle w:val="Appelnotedebasdep"/>
        </w:rPr>
        <w:footnoteReference w:id="7"/>
      </w:r>
      <w:r>
        <w:rPr>
          <w:lang w:val="fr-FR"/>
        </w:rPr>
        <w:t xml:space="preserve">, </w:t>
      </w:r>
      <w:r w:rsidRPr="00E37999">
        <w:rPr>
          <w:lang w:val="fr-FR"/>
        </w:rPr>
        <w:t xml:space="preserve">qui a été soumise au Comité, et </w:t>
      </w:r>
      <w:r>
        <w:rPr>
          <w:lang w:val="fr-FR"/>
        </w:rPr>
        <w:t>d</w:t>
      </w:r>
      <w:r w:rsidRPr="00E37999">
        <w:rPr>
          <w:lang w:val="fr-FR"/>
        </w:rPr>
        <w:t xml:space="preserve">ans laquelle </w:t>
      </w:r>
      <w:r w:rsidRPr="00BB6085">
        <w:rPr>
          <w:lang w:val="fr-FR"/>
        </w:rPr>
        <w:t>l</w:t>
      </w:r>
      <w:r w:rsidR="00607BE5">
        <w:rPr>
          <w:lang w:val="fr-FR"/>
        </w:rPr>
        <w:t>’</w:t>
      </w:r>
      <w:r w:rsidRPr="00BB6085">
        <w:rPr>
          <w:lang w:val="fr-FR"/>
        </w:rPr>
        <w:t>auteur affirmait être mineur alors qu</w:t>
      </w:r>
      <w:r w:rsidR="00607BE5">
        <w:rPr>
          <w:lang w:val="fr-FR"/>
        </w:rPr>
        <w:t>’</w:t>
      </w:r>
      <w:r w:rsidRPr="00BB6085">
        <w:rPr>
          <w:lang w:val="fr-FR"/>
        </w:rPr>
        <w:t xml:space="preserve">un examen radiologique avait </w:t>
      </w:r>
      <w:r>
        <w:rPr>
          <w:lang w:val="fr-FR"/>
        </w:rPr>
        <w:t>abouti à la conclusion</w:t>
      </w:r>
      <w:r w:rsidRPr="00BB6085">
        <w:rPr>
          <w:lang w:val="fr-FR"/>
        </w:rPr>
        <w:t xml:space="preserve"> qu</w:t>
      </w:r>
      <w:r w:rsidR="00607BE5">
        <w:rPr>
          <w:lang w:val="fr-FR"/>
        </w:rPr>
        <w:t>’</w:t>
      </w:r>
      <w:r w:rsidRPr="00BB6085">
        <w:rPr>
          <w:lang w:val="fr-FR"/>
        </w:rPr>
        <w:t>il avait 18 ans. Les enquêtes menées par la police espagnole dans le pays d</w:t>
      </w:r>
      <w:r w:rsidR="00607BE5">
        <w:rPr>
          <w:lang w:val="fr-FR"/>
        </w:rPr>
        <w:t>’</w:t>
      </w:r>
      <w:r w:rsidRPr="00BB6085">
        <w:rPr>
          <w:lang w:val="fr-FR"/>
        </w:rPr>
        <w:t>origine de l</w:t>
      </w:r>
      <w:r w:rsidR="00607BE5">
        <w:rPr>
          <w:lang w:val="fr-FR"/>
        </w:rPr>
        <w:t>’</w:t>
      </w:r>
      <w:r w:rsidRPr="00BB6085">
        <w:rPr>
          <w:lang w:val="fr-FR"/>
        </w:rPr>
        <w:t xml:space="preserve">auteur ont </w:t>
      </w:r>
      <w:r>
        <w:rPr>
          <w:lang w:val="fr-FR"/>
        </w:rPr>
        <w:t>révélé</w:t>
      </w:r>
      <w:r w:rsidRPr="00BB6085">
        <w:rPr>
          <w:lang w:val="fr-FR"/>
        </w:rPr>
        <w:t xml:space="preserve"> que l</w:t>
      </w:r>
      <w:r w:rsidR="00607BE5">
        <w:rPr>
          <w:lang w:val="fr-FR"/>
        </w:rPr>
        <w:t>’</w:t>
      </w:r>
      <w:r w:rsidRPr="00BB6085">
        <w:rPr>
          <w:lang w:val="fr-FR"/>
        </w:rPr>
        <w:t>intéressé avait essayé d</w:t>
      </w:r>
      <w:r w:rsidR="00607BE5">
        <w:rPr>
          <w:lang w:val="fr-FR"/>
        </w:rPr>
        <w:t>’</w:t>
      </w:r>
      <w:r w:rsidRPr="00BB6085">
        <w:rPr>
          <w:lang w:val="fr-FR"/>
        </w:rPr>
        <w:t>utiliser une fausse identité et qu</w:t>
      </w:r>
      <w:r w:rsidR="00607BE5">
        <w:rPr>
          <w:lang w:val="fr-FR"/>
        </w:rPr>
        <w:t>’</w:t>
      </w:r>
      <w:r w:rsidRPr="00BB6085">
        <w:rPr>
          <w:lang w:val="fr-FR"/>
        </w:rPr>
        <w:t>en réalité il avait 20 ans. L</w:t>
      </w:r>
      <w:r w:rsidR="00607BE5">
        <w:rPr>
          <w:lang w:val="fr-FR"/>
        </w:rPr>
        <w:t>’</w:t>
      </w:r>
      <w:r w:rsidRPr="00BB6085">
        <w:rPr>
          <w:lang w:val="fr-FR"/>
        </w:rPr>
        <w:t>État partie</w:t>
      </w:r>
      <w:r>
        <w:rPr>
          <w:lang w:val="fr-FR"/>
        </w:rPr>
        <w:t xml:space="preserve"> </w:t>
      </w:r>
      <w:r w:rsidRPr="00BB6085">
        <w:rPr>
          <w:lang w:val="fr-FR"/>
        </w:rPr>
        <w:t>appelle l</w:t>
      </w:r>
      <w:r w:rsidR="00607BE5">
        <w:rPr>
          <w:lang w:val="fr-FR"/>
        </w:rPr>
        <w:t>’</w:t>
      </w:r>
      <w:r w:rsidRPr="00BB6085">
        <w:rPr>
          <w:lang w:val="fr-FR"/>
        </w:rPr>
        <w:t>attention sur les mafias qui pratiquent la traite et qui profitent de l</w:t>
      </w:r>
      <w:r w:rsidR="00607BE5">
        <w:rPr>
          <w:lang w:val="fr-FR"/>
        </w:rPr>
        <w:t>’</w:t>
      </w:r>
      <w:r w:rsidRPr="00BB6085">
        <w:rPr>
          <w:lang w:val="fr-FR"/>
        </w:rPr>
        <w:t xml:space="preserve">immigration illégale, incitant </w:t>
      </w:r>
      <w:r>
        <w:rPr>
          <w:lang w:val="fr-FR"/>
        </w:rPr>
        <w:t xml:space="preserve">des </w:t>
      </w:r>
      <w:r w:rsidRPr="002C679C">
        <w:rPr>
          <w:lang w:val="fr-FR"/>
        </w:rPr>
        <w:t xml:space="preserve">personnes en détresse </w:t>
      </w:r>
      <w:r w:rsidRPr="00BB6085">
        <w:rPr>
          <w:lang w:val="fr-FR"/>
        </w:rPr>
        <w:t xml:space="preserve">à </w:t>
      </w:r>
      <w:r>
        <w:rPr>
          <w:lang w:val="fr-FR"/>
        </w:rPr>
        <w:t>quitter</w:t>
      </w:r>
      <w:r w:rsidRPr="00BB6085">
        <w:rPr>
          <w:lang w:val="fr-FR"/>
        </w:rPr>
        <w:t xml:space="preserve"> leur pays </w:t>
      </w:r>
      <w:r>
        <w:rPr>
          <w:lang w:val="fr-FR"/>
        </w:rPr>
        <w:t>pour l</w:t>
      </w:r>
      <w:r w:rsidR="00607BE5">
        <w:rPr>
          <w:lang w:val="fr-FR"/>
        </w:rPr>
        <w:t>’</w:t>
      </w:r>
      <w:r>
        <w:rPr>
          <w:lang w:val="fr-FR"/>
        </w:rPr>
        <w:t xml:space="preserve">Europe </w:t>
      </w:r>
      <w:r w:rsidRPr="00BB6085">
        <w:rPr>
          <w:lang w:val="fr-FR"/>
        </w:rPr>
        <w:t>à la recherche d</w:t>
      </w:r>
      <w:r w:rsidR="00607BE5">
        <w:rPr>
          <w:lang w:val="fr-FR"/>
        </w:rPr>
        <w:t>’</w:t>
      </w:r>
      <w:r w:rsidRPr="00BB6085">
        <w:rPr>
          <w:lang w:val="fr-FR"/>
        </w:rPr>
        <w:t xml:space="preserve">une prospérité incertaine et </w:t>
      </w:r>
      <w:r>
        <w:rPr>
          <w:lang w:val="fr-FR"/>
        </w:rPr>
        <w:t>illusoire,</w:t>
      </w:r>
      <w:r w:rsidRPr="00BB6085">
        <w:rPr>
          <w:lang w:val="fr-FR"/>
        </w:rPr>
        <w:t xml:space="preserve"> et </w:t>
      </w:r>
      <w:r>
        <w:rPr>
          <w:lang w:val="fr-FR"/>
        </w:rPr>
        <w:t xml:space="preserve">leur </w:t>
      </w:r>
      <w:r w:rsidRPr="00BB6085">
        <w:rPr>
          <w:lang w:val="fr-FR"/>
        </w:rPr>
        <w:t xml:space="preserve">recommandent </w:t>
      </w:r>
      <w:r>
        <w:rPr>
          <w:lang w:val="fr-FR"/>
        </w:rPr>
        <w:t xml:space="preserve">souvent </w:t>
      </w:r>
      <w:r w:rsidRPr="00BB6085">
        <w:rPr>
          <w:lang w:val="fr-FR"/>
        </w:rPr>
        <w:t>de ne pas emporter leurs pièces d</w:t>
      </w:r>
      <w:r w:rsidR="00607BE5">
        <w:rPr>
          <w:lang w:val="fr-FR"/>
        </w:rPr>
        <w:t>’</w:t>
      </w:r>
      <w:r w:rsidRPr="00BB6085">
        <w:rPr>
          <w:lang w:val="fr-FR"/>
        </w:rPr>
        <w:t>identité ou de les dissimuler et, si</w:t>
      </w:r>
      <w:r>
        <w:rPr>
          <w:lang w:val="fr-FR"/>
        </w:rPr>
        <w:t xml:space="preserve"> elles le peuvent</w:t>
      </w:r>
      <w:r w:rsidRPr="00BB6085">
        <w:rPr>
          <w:lang w:val="fr-FR"/>
        </w:rPr>
        <w:t>, de prétendre qu</w:t>
      </w:r>
      <w:r w:rsidR="00607BE5">
        <w:rPr>
          <w:lang w:val="fr-FR"/>
        </w:rPr>
        <w:t>’</w:t>
      </w:r>
      <w:r w:rsidRPr="00BB6085">
        <w:rPr>
          <w:lang w:val="fr-FR"/>
        </w:rPr>
        <w:t>elles sont mineures.</w:t>
      </w:r>
    </w:p>
    <w:p w:rsidR="00EE3191" w:rsidRPr="00BB6085" w:rsidRDefault="00EE3191" w:rsidP="00EE3191">
      <w:pPr>
        <w:pStyle w:val="SingleTxtG"/>
        <w:keepNext/>
        <w:keepLines/>
        <w:rPr>
          <w:lang w:val="fr-FR"/>
        </w:rPr>
      </w:pPr>
      <w:r w:rsidRPr="00BB6085">
        <w:rPr>
          <w:lang w:val="fr-FR"/>
        </w:rPr>
        <w:lastRenderedPageBreak/>
        <w:t>4.3</w:t>
      </w:r>
      <w:r w:rsidRPr="00BB6085">
        <w:rPr>
          <w:lang w:val="fr-FR"/>
        </w:rPr>
        <w:tab/>
        <w:t>L</w:t>
      </w:r>
      <w:r w:rsidR="00607BE5">
        <w:rPr>
          <w:lang w:val="fr-FR"/>
        </w:rPr>
        <w:t>’</w:t>
      </w:r>
      <w:r w:rsidRPr="00BB6085">
        <w:rPr>
          <w:lang w:val="fr-FR"/>
        </w:rPr>
        <w:t>État partie affirme également que la communication est irrecevable pour</w:t>
      </w:r>
      <w:r>
        <w:rPr>
          <w:lang w:val="fr-FR"/>
        </w:rPr>
        <w:t xml:space="preserve"> </w:t>
      </w:r>
      <w:r w:rsidRPr="00BB6085">
        <w:rPr>
          <w:lang w:val="fr-FR"/>
        </w:rPr>
        <w:t>non</w:t>
      </w:r>
      <w:r w:rsidR="00607BE5">
        <w:rPr>
          <w:lang w:val="fr-FR"/>
        </w:rPr>
        <w:t>-</w:t>
      </w:r>
      <w:r w:rsidRPr="00BB6085">
        <w:rPr>
          <w:lang w:val="fr-FR"/>
        </w:rPr>
        <w:t>épuisement des recours internes, étant donné : a) que la détermination de l</w:t>
      </w:r>
      <w:r w:rsidR="00607BE5">
        <w:rPr>
          <w:lang w:val="fr-FR"/>
        </w:rPr>
        <w:t>’</w:t>
      </w:r>
      <w:r w:rsidRPr="00BB6085">
        <w:rPr>
          <w:lang w:val="fr-FR"/>
        </w:rPr>
        <w:t>âge peut être révisée</w:t>
      </w:r>
      <w:r>
        <w:rPr>
          <w:lang w:val="fr-FR"/>
        </w:rPr>
        <w:t xml:space="preserve"> si</w:t>
      </w:r>
      <w:r w:rsidRPr="00BB6085">
        <w:rPr>
          <w:lang w:val="fr-FR"/>
        </w:rPr>
        <w:t xml:space="preserve"> de nouveaux éléments objectifs (pièces d</w:t>
      </w:r>
      <w:r w:rsidR="00607BE5">
        <w:rPr>
          <w:lang w:val="fr-FR"/>
        </w:rPr>
        <w:t>’</w:t>
      </w:r>
      <w:r w:rsidRPr="00BB6085">
        <w:rPr>
          <w:lang w:val="fr-FR"/>
        </w:rPr>
        <w:t xml:space="preserve">identité avec données biométriques ou </w:t>
      </w:r>
      <w:r>
        <w:rPr>
          <w:lang w:val="fr-FR"/>
        </w:rPr>
        <w:t>résultats d</w:t>
      </w:r>
      <w:r w:rsidR="00607BE5">
        <w:rPr>
          <w:lang w:val="fr-FR"/>
        </w:rPr>
        <w:t>’</w:t>
      </w:r>
      <w:r w:rsidRPr="00BB6085">
        <w:rPr>
          <w:lang w:val="fr-FR"/>
        </w:rPr>
        <w:t>examens médicaux objectifs)</w:t>
      </w:r>
      <w:r>
        <w:rPr>
          <w:lang w:val="fr-FR"/>
        </w:rPr>
        <w:t xml:space="preserve"> sont présentés</w:t>
      </w:r>
      <w:r w:rsidRPr="00BB6085">
        <w:rPr>
          <w:lang w:val="fr-FR"/>
        </w:rPr>
        <w:t xml:space="preserve">, auquel cas le </w:t>
      </w:r>
      <w:r>
        <w:rPr>
          <w:lang w:val="fr-FR"/>
        </w:rPr>
        <w:t>parquet</w:t>
      </w:r>
      <w:r w:rsidRPr="00BB6085">
        <w:rPr>
          <w:lang w:val="fr-FR"/>
        </w:rPr>
        <w:t xml:space="preserve"> peut demander de nouvelles investigations pour déterminer l</w:t>
      </w:r>
      <w:r w:rsidR="00607BE5">
        <w:rPr>
          <w:lang w:val="fr-FR"/>
        </w:rPr>
        <w:t>’</w:t>
      </w:r>
      <w:r w:rsidRPr="00BB6085">
        <w:rPr>
          <w:lang w:val="fr-FR"/>
        </w:rPr>
        <w:t>âge de l</w:t>
      </w:r>
      <w:r w:rsidR="00607BE5">
        <w:rPr>
          <w:lang w:val="fr-FR"/>
        </w:rPr>
        <w:t>’</w:t>
      </w:r>
      <w:r w:rsidRPr="00BB6085">
        <w:rPr>
          <w:lang w:val="fr-FR"/>
        </w:rPr>
        <w:t>intéressé ; b) qu</w:t>
      </w:r>
      <w:r w:rsidR="00607BE5">
        <w:rPr>
          <w:lang w:val="fr-FR"/>
        </w:rPr>
        <w:t>’</w:t>
      </w:r>
      <w:r w:rsidRPr="00BB6085">
        <w:rPr>
          <w:lang w:val="fr-FR"/>
        </w:rPr>
        <w:t>il est possible de demander la détermination judiciaire de l</w:t>
      </w:r>
      <w:r w:rsidR="00607BE5">
        <w:rPr>
          <w:lang w:val="fr-FR"/>
        </w:rPr>
        <w:t>’</w:t>
      </w:r>
      <w:r>
        <w:rPr>
          <w:lang w:val="fr-FR"/>
        </w:rPr>
        <w:t xml:space="preserve">âge ; </w:t>
      </w:r>
      <w:r w:rsidRPr="00BB6085">
        <w:rPr>
          <w:lang w:val="fr-FR"/>
        </w:rPr>
        <w:t>c) que</w:t>
      </w:r>
      <w:r>
        <w:rPr>
          <w:lang w:val="fr-FR"/>
        </w:rPr>
        <w:t xml:space="preserve"> la décision de renvoi</w:t>
      </w:r>
      <w:r w:rsidRPr="00BB6085">
        <w:rPr>
          <w:lang w:val="fr-FR"/>
        </w:rPr>
        <w:t xml:space="preserve"> peut également être contestée par voie administrative et judiciaire.</w:t>
      </w:r>
    </w:p>
    <w:p w:rsidR="00EE3191" w:rsidRPr="00BB6085" w:rsidRDefault="00EE3191" w:rsidP="00EE3191">
      <w:pPr>
        <w:pStyle w:val="SingleTxtG"/>
        <w:rPr>
          <w:lang w:val="fr-FR"/>
        </w:rPr>
      </w:pPr>
      <w:r w:rsidRPr="00BB6085">
        <w:rPr>
          <w:lang w:val="fr-FR"/>
        </w:rPr>
        <w:t>4.4</w:t>
      </w:r>
      <w:r w:rsidRPr="00BB6085">
        <w:rPr>
          <w:lang w:val="fr-FR"/>
        </w:rPr>
        <w:tab/>
        <w:t>L</w:t>
      </w:r>
      <w:r w:rsidR="00607BE5">
        <w:rPr>
          <w:lang w:val="fr-FR"/>
        </w:rPr>
        <w:t>’</w:t>
      </w:r>
      <w:r w:rsidRPr="00BB6085">
        <w:rPr>
          <w:lang w:val="fr-FR"/>
        </w:rPr>
        <w:t xml:space="preserve">État partie </w:t>
      </w:r>
      <w:r>
        <w:rPr>
          <w:lang w:val="fr-FR"/>
        </w:rPr>
        <w:t>donne</w:t>
      </w:r>
      <w:r w:rsidRPr="00BB6085">
        <w:rPr>
          <w:lang w:val="fr-FR"/>
        </w:rPr>
        <w:t xml:space="preserve"> des renseignements sur l</w:t>
      </w:r>
      <w:r w:rsidR="00607BE5">
        <w:rPr>
          <w:lang w:val="fr-FR"/>
        </w:rPr>
        <w:t>’</w:t>
      </w:r>
      <w:r w:rsidRPr="00BB6085">
        <w:rPr>
          <w:lang w:val="fr-FR"/>
        </w:rPr>
        <w:t>application d</w:t>
      </w:r>
      <w:r w:rsidR="00607BE5">
        <w:rPr>
          <w:lang w:val="fr-FR"/>
        </w:rPr>
        <w:t>’</w:t>
      </w:r>
      <w:r w:rsidRPr="00BB6085">
        <w:rPr>
          <w:lang w:val="fr-FR"/>
        </w:rPr>
        <w:t xml:space="preserve">un protocole particulier pour les </w:t>
      </w:r>
      <w:r>
        <w:rPr>
          <w:lang w:val="fr-FR"/>
        </w:rPr>
        <w:t>personnes</w:t>
      </w:r>
      <w:r w:rsidRPr="00BB6085">
        <w:rPr>
          <w:lang w:val="fr-FR"/>
        </w:rPr>
        <w:t xml:space="preserve"> non accompagné</w:t>
      </w:r>
      <w:r>
        <w:rPr>
          <w:lang w:val="fr-FR"/>
        </w:rPr>
        <w:t>e</w:t>
      </w:r>
      <w:r w:rsidRPr="00BB6085">
        <w:rPr>
          <w:lang w:val="fr-FR"/>
        </w:rPr>
        <w:t>s présumé</w:t>
      </w:r>
      <w:r>
        <w:rPr>
          <w:lang w:val="fr-FR"/>
        </w:rPr>
        <w:t>e</w:t>
      </w:r>
      <w:r w:rsidRPr="00BB6085">
        <w:rPr>
          <w:lang w:val="fr-FR"/>
        </w:rPr>
        <w:t>s</w:t>
      </w:r>
      <w:r>
        <w:rPr>
          <w:lang w:val="fr-FR"/>
        </w:rPr>
        <w:t xml:space="preserve"> mineures</w:t>
      </w:r>
      <w:r w:rsidRPr="00607BE5">
        <w:rPr>
          <w:rStyle w:val="Appelnotedebasdep"/>
        </w:rPr>
        <w:footnoteReference w:id="8"/>
      </w:r>
      <w:r w:rsidRPr="00BB6085">
        <w:rPr>
          <w:lang w:val="fr-FR"/>
        </w:rPr>
        <w:t xml:space="preserve"> dans le cadre duquel tout immigrant en situation irrégulière qui affirme être un mineur non accompagné et dont l</w:t>
      </w:r>
      <w:r w:rsidR="00607BE5">
        <w:rPr>
          <w:lang w:val="fr-FR"/>
        </w:rPr>
        <w:t>’</w:t>
      </w:r>
      <w:r w:rsidRPr="00BB6085">
        <w:rPr>
          <w:lang w:val="fr-FR"/>
        </w:rPr>
        <w:t>apparence physique est manifestement celle d</w:t>
      </w:r>
      <w:r w:rsidR="00607BE5">
        <w:rPr>
          <w:lang w:val="fr-FR"/>
        </w:rPr>
        <w:t>’</w:t>
      </w:r>
      <w:r w:rsidRPr="00BB6085">
        <w:rPr>
          <w:lang w:val="fr-FR"/>
        </w:rPr>
        <w:t>un mineur est immédiatement confié aux autorités de protection des mineurs et inscrit au registre des mineurs non accompagnés. Si</w:t>
      </w:r>
      <w:r>
        <w:rPr>
          <w:lang w:val="fr-FR"/>
        </w:rPr>
        <w:t>, bien qu</w:t>
      </w:r>
      <w:r w:rsidR="00607BE5">
        <w:rPr>
          <w:lang w:val="fr-FR"/>
        </w:rPr>
        <w:t>’</w:t>
      </w:r>
      <w:r>
        <w:rPr>
          <w:lang w:val="fr-FR"/>
        </w:rPr>
        <w:t>il se dise mineur, l</w:t>
      </w:r>
      <w:r w:rsidR="00607BE5">
        <w:rPr>
          <w:lang w:val="fr-FR"/>
        </w:rPr>
        <w:t>’</w:t>
      </w:r>
      <w:r>
        <w:rPr>
          <w:lang w:val="fr-FR"/>
        </w:rPr>
        <w:t xml:space="preserve">intéressé a une </w:t>
      </w:r>
      <w:r w:rsidRPr="00BB6085">
        <w:rPr>
          <w:lang w:val="fr-FR"/>
        </w:rPr>
        <w:t>apparence physique</w:t>
      </w:r>
      <w:r>
        <w:rPr>
          <w:lang w:val="fr-FR"/>
        </w:rPr>
        <w:t xml:space="preserve"> qui </w:t>
      </w:r>
      <w:r w:rsidRPr="00BB6085">
        <w:rPr>
          <w:lang w:val="fr-FR"/>
        </w:rPr>
        <w:t>fait douter de son âge, des examens médicaux sont immédiatement</w:t>
      </w:r>
      <w:r>
        <w:rPr>
          <w:lang w:val="fr-FR"/>
        </w:rPr>
        <w:t xml:space="preserve"> pratiqués</w:t>
      </w:r>
      <w:r w:rsidRPr="00BB6085">
        <w:rPr>
          <w:lang w:val="fr-FR"/>
        </w:rPr>
        <w:t xml:space="preserve">, avec </w:t>
      </w:r>
      <w:r>
        <w:rPr>
          <w:lang w:val="fr-FR"/>
        </w:rPr>
        <w:t xml:space="preserve">son </w:t>
      </w:r>
      <w:r w:rsidRPr="00BB6085">
        <w:rPr>
          <w:lang w:val="fr-FR"/>
        </w:rPr>
        <w:t>consentement préalable</w:t>
      </w:r>
      <w:r>
        <w:rPr>
          <w:lang w:val="fr-FR"/>
        </w:rPr>
        <w:t xml:space="preserve"> et éclairé</w:t>
      </w:r>
      <w:r w:rsidRPr="00BB6085">
        <w:rPr>
          <w:lang w:val="fr-FR"/>
        </w:rPr>
        <w:t>, pour déterminer son âge selon les critères reconnus par la communauté médico</w:t>
      </w:r>
      <w:r>
        <w:rPr>
          <w:lang w:val="fr-FR"/>
        </w:rPr>
        <w:t>-</w:t>
      </w:r>
      <w:r w:rsidRPr="00BB6085">
        <w:rPr>
          <w:lang w:val="fr-FR"/>
        </w:rPr>
        <w:t>légale. Les résultats de ces examens −</w:t>
      </w:r>
      <w:r>
        <w:rPr>
          <w:lang w:val="fr-FR"/>
        </w:rPr>
        <w:t> </w:t>
      </w:r>
      <w:r w:rsidRPr="00BB6085">
        <w:rPr>
          <w:lang w:val="fr-FR"/>
        </w:rPr>
        <w:t>interprétés dans le sens le plus favorable à l</w:t>
      </w:r>
      <w:r w:rsidR="00607BE5">
        <w:rPr>
          <w:lang w:val="fr-FR"/>
        </w:rPr>
        <w:t>’</w:t>
      </w:r>
      <w:r>
        <w:rPr>
          <w:lang w:val="fr-FR"/>
        </w:rPr>
        <w:t>immigrant </w:t>
      </w:r>
      <w:r w:rsidRPr="00BB6085">
        <w:rPr>
          <w:lang w:val="fr-FR"/>
        </w:rPr>
        <w:t>− sont</w:t>
      </w:r>
      <w:r>
        <w:rPr>
          <w:lang w:val="fr-FR"/>
        </w:rPr>
        <w:t xml:space="preserve"> utilisés</w:t>
      </w:r>
      <w:r w:rsidRPr="00BB6085">
        <w:rPr>
          <w:lang w:val="fr-FR"/>
        </w:rPr>
        <w:t xml:space="preserve"> pour </w:t>
      </w:r>
      <w:r>
        <w:rPr>
          <w:lang w:val="fr-FR"/>
        </w:rPr>
        <w:t>déterminer</w:t>
      </w:r>
      <w:r w:rsidRPr="00BB6085">
        <w:rPr>
          <w:lang w:val="fr-FR"/>
        </w:rPr>
        <w:t xml:space="preserve"> si les </w:t>
      </w:r>
      <w:r>
        <w:rPr>
          <w:lang w:val="fr-FR"/>
        </w:rPr>
        <w:t>mesures</w:t>
      </w:r>
      <w:r w:rsidRPr="00BB6085">
        <w:rPr>
          <w:lang w:val="fr-FR"/>
        </w:rPr>
        <w:t xml:space="preserve"> de protection </w:t>
      </w:r>
      <w:r>
        <w:rPr>
          <w:lang w:val="fr-FR"/>
        </w:rPr>
        <w:t xml:space="preserve">spécialement prévues pour les </w:t>
      </w:r>
      <w:r w:rsidRPr="00BB6085">
        <w:rPr>
          <w:lang w:val="fr-FR"/>
        </w:rPr>
        <w:t xml:space="preserve">mineurs </w:t>
      </w:r>
      <w:r>
        <w:rPr>
          <w:lang w:val="fr-FR"/>
        </w:rPr>
        <w:t>doivent s</w:t>
      </w:r>
      <w:r w:rsidR="00607BE5">
        <w:rPr>
          <w:lang w:val="fr-FR"/>
        </w:rPr>
        <w:t>’</w:t>
      </w:r>
      <w:r>
        <w:rPr>
          <w:lang w:val="fr-FR"/>
        </w:rPr>
        <w:t>appliquer</w:t>
      </w:r>
      <w:r w:rsidRPr="00BB6085">
        <w:rPr>
          <w:lang w:val="fr-FR"/>
        </w:rPr>
        <w:t>.</w:t>
      </w:r>
    </w:p>
    <w:p w:rsidR="00EE3191" w:rsidRPr="00BB6085" w:rsidRDefault="00EE3191" w:rsidP="00EE3191">
      <w:pPr>
        <w:pStyle w:val="H23G"/>
        <w:rPr>
          <w:lang w:val="fr-FR"/>
        </w:rPr>
      </w:pPr>
      <w:r w:rsidRPr="00BB6085">
        <w:rPr>
          <w:lang w:val="fr-FR"/>
        </w:rPr>
        <w:tab/>
      </w:r>
      <w:r w:rsidRPr="00BB6085">
        <w:rPr>
          <w:lang w:val="fr-FR"/>
        </w:rPr>
        <w:tab/>
        <w:t>Commentaires de l</w:t>
      </w:r>
      <w:r w:rsidR="00607BE5">
        <w:rPr>
          <w:lang w:val="fr-FR"/>
        </w:rPr>
        <w:t>’</w:t>
      </w:r>
      <w:r w:rsidRPr="00BB6085">
        <w:rPr>
          <w:lang w:val="fr-FR"/>
        </w:rPr>
        <w:t>auteur sur les observations de l</w:t>
      </w:r>
      <w:r w:rsidR="00607BE5">
        <w:rPr>
          <w:lang w:val="fr-FR"/>
        </w:rPr>
        <w:t>’</w:t>
      </w:r>
      <w:r>
        <w:rPr>
          <w:lang w:val="fr-FR"/>
        </w:rPr>
        <w:t>État partie concernant la </w:t>
      </w:r>
      <w:r w:rsidRPr="00BB6085">
        <w:rPr>
          <w:lang w:val="fr-FR"/>
        </w:rPr>
        <w:t>recevabilité</w:t>
      </w:r>
    </w:p>
    <w:p w:rsidR="00EE3191" w:rsidRPr="00BB6085" w:rsidRDefault="00EE3191" w:rsidP="00EE3191">
      <w:pPr>
        <w:pStyle w:val="SingleTxtG"/>
        <w:rPr>
          <w:lang w:val="fr-FR"/>
        </w:rPr>
      </w:pPr>
      <w:r w:rsidRPr="00BB6085">
        <w:rPr>
          <w:lang w:val="fr-FR"/>
        </w:rPr>
        <w:t>5.1</w:t>
      </w:r>
      <w:r w:rsidRPr="00BB6085">
        <w:rPr>
          <w:lang w:val="fr-FR"/>
        </w:rPr>
        <w:tab/>
        <w:t>Dans ses commentaires du 12 septembre</w:t>
      </w:r>
      <w:r>
        <w:rPr>
          <w:lang w:val="fr-FR"/>
        </w:rPr>
        <w:t xml:space="preserve"> </w:t>
      </w:r>
      <w:r w:rsidRPr="00BB6085">
        <w:rPr>
          <w:lang w:val="fr-FR"/>
        </w:rPr>
        <w:t>2017, l</w:t>
      </w:r>
      <w:r w:rsidR="00607BE5">
        <w:rPr>
          <w:lang w:val="fr-FR"/>
        </w:rPr>
        <w:t>’</w:t>
      </w:r>
      <w:r w:rsidRPr="00BB6085">
        <w:rPr>
          <w:lang w:val="fr-FR"/>
        </w:rPr>
        <w:t>auteur</w:t>
      </w:r>
      <w:r>
        <w:rPr>
          <w:lang w:val="fr-FR"/>
        </w:rPr>
        <w:t xml:space="preserve"> fait observer</w:t>
      </w:r>
      <w:r w:rsidRPr="00BB6085">
        <w:rPr>
          <w:lang w:val="fr-FR"/>
        </w:rPr>
        <w:t xml:space="preserve"> qu</w:t>
      </w:r>
      <w:r w:rsidR="00607BE5">
        <w:rPr>
          <w:lang w:val="fr-FR"/>
        </w:rPr>
        <w:t>’</w:t>
      </w:r>
      <w:r w:rsidRPr="00BB6085">
        <w:rPr>
          <w:lang w:val="fr-FR"/>
        </w:rPr>
        <w:t xml:space="preserve">un avocat lui a été </w:t>
      </w:r>
      <w:r>
        <w:rPr>
          <w:lang w:val="fr-FR"/>
        </w:rPr>
        <w:t>commis</w:t>
      </w:r>
      <w:r w:rsidRPr="00BB6085">
        <w:rPr>
          <w:lang w:val="fr-FR"/>
        </w:rPr>
        <w:t xml:space="preserve"> </w:t>
      </w:r>
      <w:r w:rsidRPr="000602EB">
        <w:rPr>
          <w:lang w:val="fr-FR"/>
        </w:rPr>
        <w:t>d</w:t>
      </w:r>
      <w:r w:rsidR="00607BE5">
        <w:rPr>
          <w:lang w:val="fr-FR"/>
        </w:rPr>
        <w:t>’</w:t>
      </w:r>
      <w:r w:rsidRPr="000602EB">
        <w:rPr>
          <w:lang w:val="fr-FR"/>
        </w:rPr>
        <w:t xml:space="preserve">office </w:t>
      </w:r>
      <w:r>
        <w:rPr>
          <w:lang w:val="fr-FR"/>
        </w:rPr>
        <w:t>dans le cadre de</w:t>
      </w:r>
      <w:r w:rsidRPr="00BB6085">
        <w:rPr>
          <w:lang w:val="fr-FR"/>
        </w:rPr>
        <w:t xml:space="preserve"> la procédure d</w:t>
      </w:r>
      <w:r w:rsidR="00607BE5">
        <w:rPr>
          <w:lang w:val="fr-FR"/>
        </w:rPr>
        <w:t>’</w:t>
      </w:r>
      <w:r w:rsidRPr="00BB6085">
        <w:rPr>
          <w:lang w:val="fr-FR"/>
        </w:rPr>
        <w:t xml:space="preserve">expulsion </w:t>
      </w:r>
      <w:r>
        <w:rPr>
          <w:lang w:val="fr-FR"/>
        </w:rPr>
        <w:t>engagée contre lui le</w:t>
      </w:r>
      <w:r w:rsidRPr="00955001">
        <w:rPr>
          <w:lang w:val="fr-FR"/>
        </w:rPr>
        <w:t xml:space="preserve"> </w:t>
      </w:r>
      <w:r w:rsidRPr="00BB6085">
        <w:rPr>
          <w:lang w:val="fr-FR"/>
        </w:rPr>
        <w:t>12 décembre</w:t>
      </w:r>
      <w:r>
        <w:rPr>
          <w:lang w:val="fr-FR"/>
        </w:rPr>
        <w:t xml:space="preserve"> </w:t>
      </w:r>
      <w:r w:rsidRPr="00BB6085">
        <w:rPr>
          <w:lang w:val="fr-FR"/>
        </w:rPr>
        <w:t>2016, alors qu</w:t>
      </w:r>
      <w:r w:rsidR="00607BE5">
        <w:rPr>
          <w:lang w:val="fr-FR"/>
        </w:rPr>
        <w:t>’</w:t>
      </w:r>
      <w:r w:rsidRPr="00BB6085">
        <w:rPr>
          <w:lang w:val="fr-FR"/>
        </w:rPr>
        <w:t>il était à la disposition de la police depuis le 10 décembre</w:t>
      </w:r>
      <w:r>
        <w:rPr>
          <w:lang w:val="fr-FR"/>
        </w:rPr>
        <w:t xml:space="preserve"> </w:t>
      </w:r>
      <w:r w:rsidRPr="00BB6085">
        <w:rPr>
          <w:lang w:val="fr-FR"/>
        </w:rPr>
        <w:t>2016, et qu</w:t>
      </w:r>
      <w:r>
        <w:rPr>
          <w:lang w:val="fr-FR"/>
        </w:rPr>
        <w:t xml:space="preserve">e la désignation </w:t>
      </w:r>
      <w:r w:rsidRPr="00BB6085">
        <w:rPr>
          <w:lang w:val="fr-FR"/>
        </w:rPr>
        <w:t>de l</w:t>
      </w:r>
      <w:r w:rsidR="00607BE5">
        <w:rPr>
          <w:lang w:val="fr-FR"/>
        </w:rPr>
        <w:t>’</w:t>
      </w:r>
      <w:r w:rsidRPr="00BB6085">
        <w:rPr>
          <w:lang w:val="fr-FR"/>
        </w:rPr>
        <w:t xml:space="preserve">avocat a </w:t>
      </w:r>
      <w:r>
        <w:rPr>
          <w:lang w:val="fr-FR"/>
        </w:rPr>
        <w:t xml:space="preserve">donc </w:t>
      </w:r>
      <w:r w:rsidRPr="00BB6085">
        <w:rPr>
          <w:lang w:val="fr-FR"/>
        </w:rPr>
        <w:t xml:space="preserve">été tardive. En outre, </w:t>
      </w:r>
      <w:r>
        <w:rPr>
          <w:lang w:val="fr-FR"/>
        </w:rPr>
        <w:t>le</w:t>
      </w:r>
      <w:r w:rsidRPr="00BB6085">
        <w:rPr>
          <w:lang w:val="fr-FR"/>
        </w:rPr>
        <w:t xml:space="preserve"> droit d</w:t>
      </w:r>
      <w:r w:rsidR="00607BE5">
        <w:rPr>
          <w:lang w:val="fr-FR"/>
        </w:rPr>
        <w:t>’</w:t>
      </w:r>
      <w:r w:rsidRPr="00BB6085">
        <w:rPr>
          <w:lang w:val="fr-FR"/>
        </w:rPr>
        <w:t xml:space="preserve">être entendu en tant que mineur avant que </w:t>
      </w:r>
      <w:r>
        <w:rPr>
          <w:lang w:val="fr-FR"/>
        </w:rPr>
        <w:t>l</w:t>
      </w:r>
      <w:r w:rsidR="00607BE5">
        <w:rPr>
          <w:lang w:val="fr-FR"/>
        </w:rPr>
        <w:t>’</w:t>
      </w:r>
      <w:r>
        <w:rPr>
          <w:lang w:val="fr-FR"/>
        </w:rPr>
        <w:t>administration</w:t>
      </w:r>
      <w:r w:rsidRPr="00BB6085">
        <w:rPr>
          <w:lang w:val="fr-FR"/>
        </w:rPr>
        <w:t xml:space="preserve"> ne détermine son âge n</w:t>
      </w:r>
      <w:r w:rsidR="00607BE5">
        <w:rPr>
          <w:lang w:val="fr-FR"/>
        </w:rPr>
        <w:t>’</w:t>
      </w:r>
      <w:r w:rsidRPr="00BB6085">
        <w:rPr>
          <w:lang w:val="fr-FR"/>
        </w:rPr>
        <w:t>a pas été respecté, ce qui contrevient à l</w:t>
      </w:r>
      <w:r w:rsidR="00607BE5">
        <w:rPr>
          <w:lang w:val="fr-FR"/>
        </w:rPr>
        <w:t>’</w:t>
      </w:r>
      <w:r>
        <w:rPr>
          <w:lang w:val="fr-FR"/>
        </w:rPr>
        <w:t>article 12 de la Convention.</w:t>
      </w:r>
    </w:p>
    <w:p w:rsidR="00EE3191" w:rsidRPr="00BB6085" w:rsidRDefault="00EE3191" w:rsidP="00EE3191">
      <w:pPr>
        <w:pStyle w:val="SingleTxtG"/>
        <w:rPr>
          <w:lang w:val="fr-FR"/>
        </w:rPr>
      </w:pPr>
      <w:r w:rsidRPr="00BB6085">
        <w:rPr>
          <w:lang w:val="fr-FR"/>
        </w:rPr>
        <w:t>5.2</w:t>
      </w:r>
      <w:r w:rsidRPr="00BB6085">
        <w:rPr>
          <w:lang w:val="fr-FR"/>
        </w:rPr>
        <w:tab/>
        <w:t>L</w:t>
      </w:r>
      <w:r w:rsidR="00607BE5">
        <w:rPr>
          <w:lang w:val="fr-FR"/>
        </w:rPr>
        <w:t>’</w:t>
      </w:r>
      <w:r w:rsidRPr="00BB6085">
        <w:rPr>
          <w:lang w:val="fr-FR"/>
        </w:rPr>
        <w:t>auteur fait remarquer que la police catalane l</w:t>
      </w:r>
      <w:r w:rsidR="00607BE5">
        <w:rPr>
          <w:lang w:val="fr-FR"/>
        </w:rPr>
        <w:t>’</w:t>
      </w:r>
      <w:r w:rsidRPr="00BB6085">
        <w:rPr>
          <w:lang w:val="fr-FR"/>
        </w:rPr>
        <w:t>a mis à la disposition de la police espagnole afin de lancer la procédure d</w:t>
      </w:r>
      <w:r w:rsidR="00607BE5">
        <w:rPr>
          <w:lang w:val="fr-FR"/>
        </w:rPr>
        <w:t>’</w:t>
      </w:r>
      <w:r w:rsidRPr="00BB6085">
        <w:rPr>
          <w:lang w:val="fr-FR"/>
        </w:rPr>
        <w:t>expulsion, en violation du principe de la présomption de minorité établ</w:t>
      </w:r>
      <w:r>
        <w:rPr>
          <w:lang w:val="fr-FR"/>
        </w:rPr>
        <w:t>i par la législation nationale.</w:t>
      </w:r>
    </w:p>
    <w:p w:rsidR="00EE3191" w:rsidRPr="00BB6085" w:rsidRDefault="00EE3191" w:rsidP="00EE3191">
      <w:pPr>
        <w:pStyle w:val="SingleTxtG"/>
        <w:rPr>
          <w:lang w:val="fr-FR"/>
        </w:rPr>
      </w:pPr>
      <w:r w:rsidRPr="00BB6085">
        <w:rPr>
          <w:lang w:val="fr-FR"/>
        </w:rPr>
        <w:t>5.3</w:t>
      </w:r>
      <w:r w:rsidRPr="00BB6085">
        <w:rPr>
          <w:lang w:val="fr-FR"/>
        </w:rPr>
        <w:tab/>
        <w:t>L</w:t>
      </w:r>
      <w:r w:rsidR="00607BE5">
        <w:rPr>
          <w:lang w:val="fr-FR"/>
        </w:rPr>
        <w:t>’</w:t>
      </w:r>
      <w:r w:rsidRPr="00BB6085">
        <w:rPr>
          <w:lang w:val="fr-FR"/>
        </w:rPr>
        <w:t>auteur réaffirme que les décisions relatives à la détermination de l</w:t>
      </w:r>
      <w:r w:rsidR="00607BE5">
        <w:rPr>
          <w:lang w:val="fr-FR"/>
        </w:rPr>
        <w:t>’</w:t>
      </w:r>
      <w:r w:rsidRPr="00BB6085">
        <w:rPr>
          <w:lang w:val="fr-FR"/>
        </w:rPr>
        <w:t xml:space="preserve">âge rendues par le </w:t>
      </w:r>
      <w:r>
        <w:rPr>
          <w:lang w:val="fr-FR"/>
        </w:rPr>
        <w:t>parquet</w:t>
      </w:r>
      <w:r w:rsidRPr="00BB6085">
        <w:rPr>
          <w:lang w:val="fr-FR"/>
        </w:rPr>
        <w:t xml:space="preserve"> ne peuvent </w:t>
      </w:r>
      <w:r>
        <w:rPr>
          <w:lang w:val="fr-FR"/>
        </w:rPr>
        <w:t xml:space="preserve">pas </w:t>
      </w:r>
      <w:r w:rsidRPr="00BB6085">
        <w:rPr>
          <w:lang w:val="fr-FR"/>
        </w:rPr>
        <w:t>être</w:t>
      </w:r>
      <w:r>
        <w:rPr>
          <w:lang w:val="fr-FR"/>
        </w:rPr>
        <w:t xml:space="preserve"> contestées devant un tribunal.</w:t>
      </w:r>
    </w:p>
    <w:p w:rsidR="00EE3191" w:rsidRPr="00BB6085" w:rsidRDefault="00EE3191" w:rsidP="00EE3191">
      <w:pPr>
        <w:pStyle w:val="H23G"/>
        <w:rPr>
          <w:lang w:val="fr-FR"/>
        </w:rPr>
      </w:pPr>
      <w:r w:rsidRPr="00BB6085">
        <w:rPr>
          <w:lang w:val="fr-FR"/>
        </w:rPr>
        <w:tab/>
      </w:r>
      <w:r w:rsidRPr="00BB6085">
        <w:rPr>
          <w:lang w:val="fr-FR"/>
        </w:rPr>
        <w:tab/>
        <w:t>Observations de l</w:t>
      </w:r>
      <w:r w:rsidR="00607BE5">
        <w:rPr>
          <w:lang w:val="fr-FR"/>
        </w:rPr>
        <w:t>’</w:t>
      </w:r>
      <w:r w:rsidRPr="00BB6085">
        <w:rPr>
          <w:lang w:val="fr-FR"/>
        </w:rPr>
        <w:t xml:space="preserve">État partie </w:t>
      </w:r>
      <w:r>
        <w:rPr>
          <w:lang w:val="fr-FR"/>
        </w:rPr>
        <w:t>sur</w:t>
      </w:r>
      <w:r w:rsidRPr="00BB6085">
        <w:rPr>
          <w:lang w:val="fr-FR"/>
        </w:rPr>
        <w:t xml:space="preserve"> la</w:t>
      </w:r>
      <w:r>
        <w:rPr>
          <w:lang w:val="fr-FR"/>
        </w:rPr>
        <w:t xml:space="preserve"> recevabilité et le fond</w:t>
      </w:r>
    </w:p>
    <w:p w:rsidR="00EE3191" w:rsidRPr="0028391F" w:rsidRDefault="00EE3191" w:rsidP="00EE3191">
      <w:pPr>
        <w:pStyle w:val="SingleTxtG"/>
        <w:rPr>
          <w:spacing w:val="-1"/>
          <w:lang w:val="fr-FR"/>
        </w:rPr>
      </w:pPr>
      <w:r w:rsidRPr="0028391F">
        <w:rPr>
          <w:spacing w:val="-1"/>
          <w:lang w:val="fr-FR"/>
        </w:rPr>
        <w:t>6.1</w:t>
      </w:r>
      <w:r w:rsidRPr="0028391F">
        <w:rPr>
          <w:spacing w:val="-1"/>
          <w:lang w:val="fr-FR"/>
        </w:rPr>
        <w:tab/>
        <w:t>Dans ses observations du 22 février 2018, l</w:t>
      </w:r>
      <w:r w:rsidR="00607BE5">
        <w:rPr>
          <w:spacing w:val="-1"/>
          <w:lang w:val="fr-FR"/>
        </w:rPr>
        <w:t>’</w:t>
      </w:r>
      <w:r w:rsidRPr="0028391F">
        <w:rPr>
          <w:spacing w:val="-1"/>
          <w:lang w:val="fr-FR"/>
        </w:rPr>
        <w:t>État partie répète ses arguments en faveur de l</w:t>
      </w:r>
      <w:r w:rsidR="00607BE5">
        <w:rPr>
          <w:spacing w:val="-1"/>
          <w:lang w:val="fr-FR"/>
        </w:rPr>
        <w:t>’</w:t>
      </w:r>
      <w:r w:rsidRPr="0028391F">
        <w:rPr>
          <w:spacing w:val="-1"/>
          <w:lang w:val="fr-FR"/>
        </w:rPr>
        <w:t>irrecevabilité de la communication, à savoir l</w:t>
      </w:r>
      <w:r w:rsidR="00607BE5">
        <w:rPr>
          <w:spacing w:val="-1"/>
          <w:lang w:val="fr-FR"/>
        </w:rPr>
        <w:t>’</w:t>
      </w:r>
      <w:r w:rsidRPr="0028391F">
        <w:rPr>
          <w:spacing w:val="-1"/>
          <w:lang w:val="fr-FR"/>
        </w:rPr>
        <w:t>absence de preuve irréfutable de la minorité de l</w:t>
      </w:r>
      <w:r w:rsidR="00607BE5">
        <w:rPr>
          <w:spacing w:val="-1"/>
          <w:lang w:val="fr-FR"/>
        </w:rPr>
        <w:t>’</w:t>
      </w:r>
      <w:r w:rsidRPr="0028391F">
        <w:rPr>
          <w:spacing w:val="-1"/>
          <w:lang w:val="fr-FR"/>
        </w:rPr>
        <w:t xml:space="preserve">auteur et le non-épuisement des recours internes disponibles. </w:t>
      </w:r>
      <w:r w:rsidRPr="0028391F">
        <w:rPr>
          <w:spacing w:val="-1"/>
        </w:rPr>
        <w:t>Il signale que, bien que la détermination provisoire de l</w:t>
      </w:r>
      <w:r w:rsidR="00607BE5">
        <w:rPr>
          <w:spacing w:val="-1"/>
        </w:rPr>
        <w:t>’</w:t>
      </w:r>
      <w:r w:rsidRPr="0028391F">
        <w:rPr>
          <w:spacing w:val="-1"/>
        </w:rPr>
        <w:t>âge par le procureur ne soit pas susceptible de recours devant les tribunaux, le procureur lui-même peut ordonner qu</w:t>
      </w:r>
      <w:r w:rsidR="00607BE5">
        <w:rPr>
          <w:spacing w:val="-1"/>
        </w:rPr>
        <w:t>’</w:t>
      </w:r>
      <w:r w:rsidRPr="0028391F">
        <w:rPr>
          <w:spacing w:val="-1"/>
        </w:rPr>
        <w:t>il soit procédé à de nouvelles investigations si de nouveaux éléments de preuve objectifs sont présentés. En outre, il est possible de former devant les tribunaux civils une demande en matière gracieuse aux fins de la détermination de l</w:t>
      </w:r>
      <w:r w:rsidR="00607BE5">
        <w:rPr>
          <w:spacing w:val="-1"/>
        </w:rPr>
        <w:t>’</w:t>
      </w:r>
      <w:r w:rsidRPr="0028391F">
        <w:rPr>
          <w:spacing w:val="-1"/>
        </w:rPr>
        <w:t>âge, conformément à la loi n</w:t>
      </w:r>
      <w:r w:rsidRPr="0028391F">
        <w:rPr>
          <w:spacing w:val="-1"/>
          <w:vertAlign w:val="superscript"/>
        </w:rPr>
        <w:t>o</w:t>
      </w:r>
      <w:r w:rsidRPr="0028391F">
        <w:rPr>
          <w:spacing w:val="-1"/>
        </w:rPr>
        <w:t> 15/2015 du 2 juillet 2015 relative à la juridiction gracieuse. Selon le Tribunal constitutionnel, les décisions du parquet concernant la détermination de l</w:t>
      </w:r>
      <w:r w:rsidR="00607BE5">
        <w:rPr>
          <w:spacing w:val="-1"/>
        </w:rPr>
        <w:t>’</w:t>
      </w:r>
      <w:r w:rsidRPr="0028391F">
        <w:rPr>
          <w:spacing w:val="-1"/>
        </w:rPr>
        <w:t>âge sont « éminemment provisoires », ce qui signifie qu</w:t>
      </w:r>
      <w:r w:rsidR="00607BE5">
        <w:rPr>
          <w:spacing w:val="-1"/>
        </w:rPr>
        <w:t>’</w:t>
      </w:r>
      <w:r w:rsidRPr="0028391F">
        <w:rPr>
          <w:spacing w:val="-1"/>
        </w:rPr>
        <w:t>il est possible de saisir un tribunal pour obtenir une décision définitive.</w:t>
      </w:r>
    </w:p>
    <w:p w:rsidR="00EE3191" w:rsidRPr="00BB6085" w:rsidRDefault="00EE3191" w:rsidP="00EE3191">
      <w:pPr>
        <w:pStyle w:val="SingleTxtG"/>
        <w:rPr>
          <w:lang w:val="fr-FR"/>
        </w:rPr>
      </w:pPr>
      <w:r w:rsidRPr="00BB6085">
        <w:rPr>
          <w:lang w:val="fr-FR"/>
        </w:rPr>
        <w:t>6.2</w:t>
      </w:r>
      <w:r w:rsidRPr="00BB6085">
        <w:rPr>
          <w:lang w:val="fr-FR"/>
        </w:rPr>
        <w:tab/>
      </w:r>
      <w:r w:rsidRPr="00BB6085">
        <w:t>L</w:t>
      </w:r>
      <w:r w:rsidR="00607BE5">
        <w:t>’</w:t>
      </w:r>
      <w:r w:rsidRPr="00BB6085">
        <w:t>État partie fait observer que, par l</w:t>
      </w:r>
      <w:r w:rsidR="00607BE5">
        <w:t>’</w:t>
      </w:r>
      <w:r w:rsidRPr="00BB6085">
        <w:t>arrêt qu</w:t>
      </w:r>
      <w:r w:rsidR="00607BE5">
        <w:t>’</w:t>
      </w:r>
      <w:r w:rsidRPr="00BB6085">
        <w:t>elle a rendu dans l</w:t>
      </w:r>
      <w:r w:rsidR="00607BE5">
        <w:t>’</w:t>
      </w:r>
      <w:r w:rsidRPr="00BB6085">
        <w:t xml:space="preserve">affaire </w:t>
      </w:r>
      <w:r w:rsidRPr="00BB6085">
        <w:rPr>
          <w:i/>
        </w:rPr>
        <w:t xml:space="preserve">Ahmade </w:t>
      </w:r>
      <w:r w:rsidRPr="002A35B9">
        <w:rPr>
          <w:i/>
        </w:rPr>
        <w:t>c.</w:t>
      </w:r>
      <w:r w:rsidRPr="00BB6085">
        <w:rPr>
          <w:i/>
        </w:rPr>
        <w:t> Grèce</w:t>
      </w:r>
      <w:r w:rsidRPr="00BB6085">
        <w:t>, la Cour européenne des droits de l</w:t>
      </w:r>
      <w:r w:rsidR="00607BE5">
        <w:t>’</w:t>
      </w:r>
      <w:r w:rsidRPr="00BB6085">
        <w:t>homme a confirmé que les examens médicaux de détermination de l</w:t>
      </w:r>
      <w:r w:rsidR="00607BE5">
        <w:t>’</w:t>
      </w:r>
      <w:r w:rsidRPr="00BB6085">
        <w:t>âge étaient conformes aux droits de l</w:t>
      </w:r>
      <w:r w:rsidR="00607BE5">
        <w:t>’</w:t>
      </w:r>
      <w:r w:rsidRPr="00BB6085">
        <w:t>homme</w:t>
      </w:r>
      <w:r w:rsidRPr="00607BE5">
        <w:rPr>
          <w:rStyle w:val="Appelnotedebasdep"/>
        </w:rPr>
        <w:footnoteReference w:id="9"/>
      </w:r>
      <w:r w:rsidRPr="00BB6085">
        <w:rPr>
          <w:lang w:val="fr-FR"/>
        </w:rPr>
        <w:t>.</w:t>
      </w:r>
      <w:r w:rsidRPr="00BB6085">
        <w:t xml:space="preserve"> Dans cet arrêt, la Cour a considéré que le refus du requérant de se soumettre à un examen radiologique de la </w:t>
      </w:r>
      <w:r w:rsidRPr="00BB6085">
        <w:lastRenderedPageBreak/>
        <w:t>mâchoire était la preuve qu</w:t>
      </w:r>
      <w:r w:rsidR="00607BE5">
        <w:t>’</w:t>
      </w:r>
      <w:r w:rsidRPr="00BB6085">
        <w:t xml:space="preserve">il craignait que </w:t>
      </w:r>
      <w:r>
        <w:t>l</w:t>
      </w:r>
      <w:r w:rsidR="00607BE5">
        <w:t>’</w:t>
      </w:r>
      <w:r w:rsidRPr="00BB6085">
        <w:t>examen révèle un âge différent de celui qu</w:t>
      </w:r>
      <w:r w:rsidR="00607BE5">
        <w:t>’</w:t>
      </w:r>
      <w:r w:rsidRPr="00BB6085">
        <w:t>il avait indiqué aux autorités.</w:t>
      </w:r>
    </w:p>
    <w:p w:rsidR="00EE3191" w:rsidRPr="00BB6085" w:rsidRDefault="00EE3191" w:rsidP="00EE3191">
      <w:pPr>
        <w:pStyle w:val="SingleTxtG"/>
        <w:rPr>
          <w:lang w:val="fr-FR"/>
        </w:rPr>
      </w:pPr>
      <w:r w:rsidRPr="00BB6085">
        <w:rPr>
          <w:lang w:val="fr-FR"/>
        </w:rPr>
        <w:t>6.3</w:t>
      </w:r>
      <w:r w:rsidRPr="00BB6085">
        <w:rPr>
          <w:lang w:val="fr-FR"/>
        </w:rPr>
        <w:tab/>
      </w:r>
      <w:r w:rsidRPr="00BB6085">
        <w:t>L</w:t>
      </w:r>
      <w:r w:rsidR="00607BE5">
        <w:t>’</w:t>
      </w:r>
      <w:r w:rsidRPr="00BB6085">
        <w:t xml:space="preserve">État partie soutient que </w:t>
      </w:r>
      <w:r>
        <w:t>les griefs</w:t>
      </w:r>
      <w:r w:rsidRPr="00BB6085">
        <w:t xml:space="preserve"> de l</w:t>
      </w:r>
      <w:r w:rsidR="00607BE5">
        <w:t>’</w:t>
      </w:r>
      <w:r w:rsidRPr="00BB6085">
        <w:t xml:space="preserve">auteur </w:t>
      </w:r>
      <w:r>
        <w:t xml:space="preserve">sont </w:t>
      </w:r>
      <w:r w:rsidRPr="00BB6085">
        <w:t>génér</w:t>
      </w:r>
      <w:r>
        <w:t>aux</w:t>
      </w:r>
      <w:r w:rsidRPr="00BB6085">
        <w:t xml:space="preserve"> et semble</w:t>
      </w:r>
      <w:r>
        <w:t>nt</w:t>
      </w:r>
      <w:r w:rsidRPr="00BB6085">
        <w:t xml:space="preserve"> reposer sur l</w:t>
      </w:r>
      <w:r w:rsidR="00607BE5">
        <w:t>’</w:t>
      </w:r>
      <w:r w:rsidRPr="00BB6085">
        <w:t xml:space="preserve">idée que tout </w:t>
      </w:r>
      <w:r>
        <w:t>examen</w:t>
      </w:r>
      <w:r w:rsidRPr="00BB6085">
        <w:t xml:space="preserve"> médica</w:t>
      </w:r>
      <w:r>
        <w:t>l</w:t>
      </w:r>
      <w:r w:rsidRPr="00BB6085">
        <w:t xml:space="preserve"> </w:t>
      </w:r>
      <w:r>
        <w:t xml:space="preserve">visant à déterminer </w:t>
      </w:r>
      <w:r w:rsidRPr="00BB6085">
        <w:t>l</w:t>
      </w:r>
      <w:r w:rsidR="00607BE5">
        <w:t>’</w:t>
      </w:r>
      <w:r w:rsidRPr="00BB6085">
        <w:t xml:space="preserve">âge </w:t>
      </w:r>
      <w:r>
        <w:t>qui aboutit à</w:t>
      </w:r>
      <w:r w:rsidRPr="00BB6085">
        <w:t xml:space="preserve"> la conclusion que l</w:t>
      </w:r>
      <w:r w:rsidR="00607BE5">
        <w:t>’</w:t>
      </w:r>
      <w:r w:rsidRPr="00BB6085">
        <w:t xml:space="preserve">intéressé est adulte </w:t>
      </w:r>
      <w:r>
        <w:t>implique</w:t>
      </w:r>
      <w:r w:rsidRPr="00BB6085">
        <w:t xml:space="preserve"> une violation de la Convention. Il affirme que</w:t>
      </w:r>
      <w:r>
        <w:t>,</w:t>
      </w:r>
      <w:r w:rsidRPr="00BB6085">
        <w:t xml:space="preserve"> dans son observation générale n</w:t>
      </w:r>
      <w:r w:rsidRPr="00BB6085">
        <w:rPr>
          <w:vertAlign w:val="superscript"/>
        </w:rPr>
        <w:t>o</w:t>
      </w:r>
      <w:r w:rsidRPr="00BB6085">
        <w:t> 6</w:t>
      </w:r>
      <w:r>
        <w:t xml:space="preserve"> (2005) </w:t>
      </w:r>
      <w:r w:rsidRPr="003607AB">
        <w:t>sur le traitement des enfants non accompagnés et des enfants séparés en dehors de leur pays d</w:t>
      </w:r>
      <w:r w:rsidR="00607BE5">
        <w:t>’</w:t>
      </w:r>
      <w:r w:rsidRPr="003607AB">
        <w:t>origine</w:t>
      </w:r>
      <w:r>
        <w:t>,</w:t>
      </w:r>
      <w:r w:rsidRPr="00BB6085">
        <w:t xml:space="preserve"> le Comité établit le principe de la présomption de minorité en cas d</w:t>
      </w:r>
      <w:r w:rsidR="00607BE5">
        <w:t>’</w:t>
      </w:r>
      <w:r w:rsidRPr="00BB6085">
        <w:t>incertitude</w:t>
      </w:r>
      <w:r>
        <w:t xml:space="preserve"> sur l</w:t>
      </w:r>
      <w:r w:rsidR="00607BE5">
        <w:t>’</w:t>
      </w:r>
      <w:r>
        <w:t>âge</w:t>
      </w:r>
      <w:r w:rsidRPr="00BB6085">
        <w:t>, mais que ce principe ne s</w:t>
      </w:r>
      <w:r w:rsidR="00607BE5">
        <w:t>’</w:t>
      </w:r>
      <w:r w:rsidRPr="00BB6085">
        <w:t>applique pas lorsque</w:t>
      </w:r>
      <w:r>
        <w:t xml:space="preserve"> l</w:t>
      </w:r>
      <w:r w:rsidR="00607BE5">
        <w:t>’</w:t>
      </w:r>
      <w:r>
        <w:t>intéressé a l</w:t>
      </w:r>
      <w:r w:rsidR="00607BE5">
        <w:t>’</w:t>
      </w:r>
      <w:r>
        <w:t>apparence d</w:t>
      </w:r>
      <w:r w:rsidR="00607BE5">
        <w:t>’</w:t>
      </w:r>
      <w:r>
        <w:t>un adulte</w:t>
      </w:r>
      <w:r w:rsidRPr="00BB6085">
        <w:t>, comme dans le cas présent</w:t>
      </w:r>
      <w:r>
        <w:t>.</w:t>
      </w:r>
      <w:r w:rsidRPr="00BB6085">
        <w:t xml:space="preserve"> Il ajoute que cela n</w:t>
      </w:r>
      <w:r w:rsidR="00607BE5">
        <w:t>’</w:t>
      </w:r>
      <w:r w:rsidRPr="00BB6085">
        <w:t>empêche pas</w:t>
      </w:r>
      <w:r>
        <w:t xml:space="preserve"> </w:t>
      </w:r>
      <w:r w:rsidRPr="00BB6085">
        <w:t>que</w:t>
      </w:r>
      <w:r>
        <w:t>,</w:t>
      </w:r>
      <w:r w:rsidRPr="00BB6085">
        <w:t xml:space="preserve"> lorsqu</w:t>
      </w:r>
      <w:r w:rsidR="00607BE5">
        <w:t>’</w:t>
      </w:r>
      <w:r>
        <w:t xml:space="preserve">un individu </w:t>
      </w:r>
      <w:r w:rsidRPr="00BB6085">
        <w:t xml:space="preserve">sans papiers </w:t>
      </w:r>
      <w:r>
        <w:t>a clairement l</w:t>
      </w:r>
      <w:r w:rsidR="00607BE5">
        <w:t>’</w:t>
      </w:r>
      <w:r>
        <w:t>apparence d</w:t>
      </w:r>
      <w:r w:rsidR="00607BE5">
        <w:t>’</w:t>
      </w:r>
      <w:r>
        <w:t>un adulte,</w:t>
      </w:r>
      <w:r w:rsidRPr="00BB6085">
        <w:t xml:space="preserve"> les autorités peuvent légalement </w:t>
      </w:r>
      <w:r>
        <w:t>le</w:t>
      </w:r>
      <w:r w:rsidRPr="00BB6085">
        <w:t xml:space="preserve"> considérer comme tel, sans</w:t>
      </w:r>
      <w:r>
        <w:t xml:space="preserve"> avoir à</w:t>
      </w:r>
      <w:r w:rsidRPr="00BB6085">
        <w:t xml:space="preserve"> procéder à un examen</w:t>
      </w:r>
      <w:r>
        <w:t xml:space="preserve"> quel qu</w:t>
      </w:r>
      <w:r w:rsidR="00607BE5">
        <w:t>’</w:t>
      </w:r>
      <w:r>
        <w:t>il soit</w:t>
      </w:r>
      <w:r w:rsidRPr="00BB6085">
        <w:t xml:space="preserve">. </w:t>
      </w:r>
      <w:r>
        <w:t>Or</w:t>
      </w:r>
      <w:r w:rsidRPr="00BB6085">
        <w:t>, en l</w:t>
      </w:r>
      <w:r w:rsidR="00607BE5">
        <w:t>’</w:t>
      </w:r>
      <w:r w:rsidRPr="00BB6085">
        <w:t xml:space="preserve">espèce, les autorités ont </w:t>
      </w:r>
      <w:r>
        <w:t>donné</w:t>
      </w:r>
      <w:r w:rsidRPr="00BB6085">
        <w:t xml:space="preserve"> à l</w:t>
      </w:r>
      <w:r w:rsidR="00607BE5">
        <w:t>’</w:t>
      </w:r>
      <w:r w:rsidRPr="00BB6085">
        <w:t>auteur la possibilité de</w:t>
      </w:r>
      <w:r>
        <w:t xml:space="preserve"> se soumettre à</w:t>
      </w:r>
      <w:r w:rsidRPr="00BB6085">
        <w:t xml:space="preserve"> des examens médicaux objectifs </w:t>
      </w:r>
      <w:r>
        <w:t>visant à déterminer son âge</w:t>
      </w:r>
      <w:r w:rsidRPr="00BB6085">
        <w:t>. L</w:t>
      </w:r>
      <w:r w:rsidR="00607BE5">
        <w:t>’</w:t>
      </w:r>
      <w:r w:rsidRPr="00BB6085">
        <w:t>État partie ajoute que l</w:t>
      </w:r>
      <w:r w:rsidR="00607BE5">
        <w:t>’</w:t>
      </w:r>
      <w:r w:rsidRPr="00BB6085">
        <w:t>auteur ne précise pas quels</w:t>
      </w:r>
      <w:r>
        <w:t xml:space="preserve"> autres examens</w:t>
      </w:r>
      <w:r w:rsidRPr="00BB6085">
        <w:t xml:space="preserve"> auraient dû être </w:t>
      </w:r>
      <w:r>
        <w:t>pratiqués</w:t>
      </w:r>
      <w:r w:rsidRPr="00BB6085">
        <w:t xml:space="preserve"> à la place </w:t>
      </w:r>
      <w:r>
        <w:t>de ceux qui ont été réalisés.</w:t>
      </w:r>
    </w:p>
    <w:p w:rsidR="00EE3191" w:rsidRPr="00BB6085" w:rsidRDefault="00EE3191" w:rsidP="00EE3191">
      <w:pPr>
        <w:pStyle w:val="SingleTxtG"/>
        <w:rPr>
          <w:lang w:val="fr-FR"/>
        </w:rPr>
      </w:pPr>
      <w:r w:rsidRPr="00BB6085">
        <w:rPr>
          <w:lang w:val="fr-FR"/>
        </w:rPr>
        <w:t>6.4</w:t>
      </w:r>
      <w:r w:rsidRPr="00BB6085">
        <w:rPr>
          <w:lang w:val="fr-FR"/>
        </w:rPr>
        <w:tab/>
        <w:t>L</w:t>
      </w:r>
      <w:r w:rsidR="00607BE5">
        <w:rPr>
          <w:lang w:val="fr-FR"/>
        </w:rPr>
        <w:t>’</w:t>
      </w:r>
      <w:r w:rsidRPr="00BB6085">
        <w:rPr>
          <w:lang w:val="fr-FR"/>
        </w:rPr>
        <w:t>État partie soutient que le principe de l</w:t>
      </w:r>
      <w:r w:rsidR="00607BE5">
        <w:rPr>
          <w:lang w:val="fr-FR"/>
        </w:rPr>
        <w:t>’</w:t>
      </w:r>
      <w:r w:rsidRPr="00BB6085">
        <w:rPr>
          <w:lang w:val="fr-FR"/>
        </w:rPr>
        <w:t>intérêt supérieur de l</w:t>
      </w:r>
      <w:r w:rsidR="00607BE5">
        <w:rPr>
          <w:lang w:val="fr-FR"/>
        </w:rPr>
        <w:t>’</w:t>
      </w:r>
      <w:r w:rsidRPr="00BB6085">
        <w:rPr>
          <w:lang w:val="fr-FR"/>
        </w:rPr>
        <w:t>enfant a toujours été respecté. Dès que l</w:t>
      </w:r>
      <w:r w:rsidR="00607BE5">
        <w:rPr>
          <w:lang w:val="fr-FR"/>
        </w:rPr>
        <w:t>’</w:t>
      </w:r>
      <w:r w:rsidRPr="00BB6085">
        <w:rPr>
          <w:lang w:val="fr-FR"/>
        </w:rPr>
        <w:t>auteur s</w:t>
      </w:r>
      <w:r w:rsidR="00607BE5">
        <w:rPr>
          <w:lang w:val="fr-FR"/>
        </w:rPr>
        <w:t>’</w:t>
      </w:r>
      <w:r w:rsidRPr="00BB6085">
        <w:rPr>
          <w:lang w:val="fr-FR"/>
        </w:rPr>
        <w:t>est présenté devant les autorités espagnoles en affirmant être entré illégalement sur le territoire, il</w:t>
      </w:r>
      <w:r>
        <w:rPr>
          <w:lang w:val="fr-FR"/>
        </w:rPr>
        <w:t xml:space="preserve"> a bénéficié </w:t>
      </w:r>
      <w:r w:rsidRPr="00BB6085">
        <w:rPr>
          <w:lang w:val="fr-FR"/>
        </w:rPr>
        <w:t xml:space="preserve">gratuitement </w:t>
      </w:r>
      <w:r>
        <w:rPr>
          <w:lang w:val="fr-FR"/>
        </w:rPr>
        <w:t>des</w:t>
      </w:r>
      <w:r w:rsidRPr="00BB6085">
        <w:rPr>
          <w:lang w:val="fr-FR"/>
        </w:rPr>
        <w:t xml:space="preserve"> services d</w:t>
      </w:r>
      <w:r w:rsidR="00607BE5">
        <w:rPr>
          <w:lang w:val="fr-FR"/>
        </w:rPr>
        <w:t>’</w:t>
      </w:r>
      <w:r w:rsidRPr="00BB6085">
        <w:rPr>
          <w:lang w:val="fr-FR"/>
        </w:rPr>
        <w:t>un avocat et d</w:t>
      </w:r>
      <w:r w:rsidR="00607BE5">
        <w:rPr>
          <w:lang w:val="fr-FR"/>
        </w:rPr>
        <w:t>’</w:t>
      </w:r>
      <w:r w:rsidRPr="00BB6085">
        <w:rPr>
          <w:lang w:val="fr-FR"/>
        </w:rPr>
        <w:t>un interprète, il a été informé de ses droits et les renseignements relatifs à sa situation ont été transmis au</w:t>
      </w:r>
      <w:r>
        <w:rPr>
          <w:lang w:val="fr-FR"/>
        </w:rPr>
        <w:t xml:space="preserve"> parquet, autorité </w:t>
      </w:r>
      <w:r w:rsidRPr="00BB6085">
        <w:rPr>
          <w:lang w:val="fr-FR"/>
        </w:rPr>
        <w:t xml:space="preserve">chargée de </w:t>
      </w:r>
      <w:r>
        <w:rPr>
          <w:lang w:val="fr-FR"/>
        </w:rPr>
        <w:t>veiller à</w:t>
      </w:r>
      <w:r w:rsidRPr="00BB6085">
        <w:rPr>
          <w:lang w:val="fr-FR"/>
        </w:rPr>
        <w:t xml:space="preserve"> l</w:t>
      </w:r>
      <w:r w:rsidR="00607BE5">
        <w:rPr>
          <w:lang w:val="fr-FR"/>
        </w:rPr>
        <w:t>’</w:t>
      </w:r>
      <w:r w:rsidRPr="00BB6085">
        <w:rPr>
          <w:lang w:val="fr-FR"/>
        </w:rPr>
        <w:t>intérêt supérieur de l</w:t>
      </w:r>
      <w:r w:rsidR="00607BE5">
        <w:rPr>
          <w:lang w:val="fr-FR"/>
        </w:rPr>
        <w:t>’</w:t>
      </w:r>
      <w:r w:rsidRPr="00BB6085">
        <w:rPr>
          <w:lang w:val="fr-FR"/>
        </w:rPr>
        <w:t xml:space="preserve">enfant conformément à la législation nationale. </w:t>
      </w:r>
    </w:p>
    <w:p w:rsidR="00EE3191" w:rsidRPr="00BB6085" w:rsidRDefault="00EE3191" w:rsidP="00EE3191">
      <w:pPr>
        <w:pStyle w:val="SingleTxtG"/>
        <w:rPr>
          <w:lang w:val="fr-FR"/>
        </w:rPr>
      </w:pPr>
      <w:r w:rsidRPr="00BB6085">
        <w:rPr>
          <w:lang w:val="fr-FR"/>
        </w:rPr>
        <w:t>6.5</w:t>
      </w:r>
      <w:r w:rsidRPr="00BB6085">
        <w:rPr>
          <w:lang w:val="fr-FR"/>
        </w:rPr>
        <w:tab/>
        <w:t>L</w:t>
      </w:r>
      <w:r w:rsidR="00607BE5">
        <w:rPr>
          <w:lang w:val="fr-FR"/>
        </w:rPr>
        <w:t>’</w:t>
      </w:r>
      <w:r w:rsidRPr="00BB6085">
        <w:rPr>
          <w:lang w:val="fr-FR"/>
        </w:rPr>
        <w:t>État partie soutient en outre qu</w:t>
      </w:r>
      <w:r w:rsidR="00607BE5">
        <w:rPr>
          <w:lang w:val="fr-FR"/>
        </w:rPr>
        <w:t>’</w:t>
      </w:r>
      <w:r w:rsidRPr="00BB6085">
        <w:rPr>
          <w:lang w:val="fr-FR"/>
        </w:rPr>
        <w:t>il n</w:t>
      </w:r>
      <w:r w:rsidR="00607BE5">
        <w:rPr>
          <w:lang w:val="fr-FR"/>
        </w:rPr>
        <w:t>’</w:t>
      </w:r>
      <w:r w:rsidRPr="00BB6085">
        <w:rPr>
          <w:lang w:val="fr-FR"/>
        </w:rPr>
        <w:t xml:space="preserve">y a pas eu de violation du droit </w:t>
      </w:r>
      <w:r>
        <w:rPr>
          <w:lang w:val="fr-FR"/>
        </w:rPr>
        <w:t>de l</w:t>
      </w:r>
      <w:r w:rsidR="00607BE5">
        <w:rPr>
          <w:lang w:val="fr-FR"/>
        </w:rPr>
        <w:t>’</w:t>
      </w:r>
      <w:r>
        <w:rPr>
          <w:lang w:val="fr-FR"/>
        </w:rPr>
        <w:t xml:space="preserve">auteur </w:t>
      </w:r>
      <w:r w:rsidRPr="00BB6085">
        <w:rPr>
          <w:lang w:val="fr-FR"/>
        </w:rPr>
        <w:t>à l</w:t>
      </w:r>
      <w:r w:rsidR="00607BE5">
        <w:rPr>
          <w:lang w:val="fr-FR"/>
        </w:rPr>
        <w:t>’</w:t>
      </w:r>
      <w:r w:rsidRPr="00BB6085">
        <w:rPr>
          <w:lang w:val="fr-FR"/>
        </w:rPr>
        <w:t xml:space="preserve">identité ni </w:t>
      </w:r>
      <w:r>
        <w:rPr>
          <w:lang w:val="fr-FR"/>
        </w:rPr>
        <w:t>de son</w:t>
      </w:r>
      <w:r w:rsidRPr="00BB6085">
        <w:rPr>
          <w:lang w:val="fr-FR"/>
        </w:rPr>
        <w:t xml:space="preserve"> droit au développement</w:t>
      </w:r>
      <w:r>
        <w:rPr>
          <w:lang w:val="fr-FR"/>
        </w:rPr>
        <w:t>.</w:t>
      </w:r>
    </w:p>
    <w:p w:rsidR="00EE3191" w:rsidRPr="00BB6085" w:rsidRDefault="00EE3191" w:rsidP="00EE3191">
      <w:pPr>
        <w:pStyle w:val="H23G"/>
        <w:rPr>
          <w:lang w:val="fr-FR"/>
        </w:rPr>
      </w:pPr>
      <w:r w:rsidRPr="00BB6085">
        <w:rPr>
          <w:lang w:val="fr-FR"/>
        </w:rPr>
        <w:tab/>
      </w:r>
      <w:r w:rsidRPr="00BB6085">
        <w:rPr>
          <w:lang w:val="fr-FR"/>
        </w:rPr>
        <w:tab/>
        <w:t>Commentaires de l</w:t>
      </w:r>
      <w:r w:rsidR="00607BE5">
        <w:rPr>
          <w:lang w:val="fr-FR"/>
        </w:rPr>
        <w:t>’</w:t>
      </w:r>
      <w:r w:rsidRPr="00BB6085">
        <w:rPr>
          <w:lang w:val="fr-FR"/>
        </w:rPr>
        <w:t>auteur sur les observations de l</w:t>
      </w:r>
      <w:r w:rsidR="00607BE5">
        <w:rPr>
          <w:lang w:val="fr-FR"/>
        </w:rPr>
        <w:t>’</w:t>
      </w:r>
      <w:r>
        <w:rPr>
          <w:lang w:val="fr-FR"/>
        </w:rPr>
        <w:t xml:space="preserve">État partie </w:t>
      </w:r>
      <w:r w:rsidR="004F09B9">
        <w:rPr>
          <w:lang w:val="fr-FR"/>
        </w:rPr>
        <w:br/>
      </w:r>
      <w:r>
        <w:rPr>
          <w:lang w:val="fr-FR"/>
        </w:rPr>
        <w:t>concernant la recevabilité et le fond</w:t>
      </w:r>
    </w:p>
    <w:p w:rsidR="00EE3191" w:rsidRPr="00BB6085" w:rsidRDefault="00EE3191" w:rsidP="00EE3191">
      <w:pPr>
        <w:pStyle w:val="SingleTxtG"/>
        <w:rPr>
          <w:lang w:val="fr-FR"/>
        </w:rPr>
      </w:pPr>
      <w:r w:rsidRPr="00BB6085">
        <w:rPr>
          <w:lang w:val="fr-FR"/>
        </w:rPr>
        <w:t>7.1</w:t>
      </w:r>
      <w:r w:rsidRPr="00BB6085">
        <w:rPr>
          <w:lang w:val="fr-FR"/>
        </w:rPr>
        <w:tab/>
        <w:t>Dans ses commentaires du 28 mars</w:t>
      </w:r>
      <w:r>
        <w:rPr>
          <w:lang w:val="fr-FR"/>
        </w:rPr>
        <w:t xml:space="preserve"> </w:t>
      </w:r>
      <w:r w:rsidRPr="00BB6085">
        <w:rPr>
          <w:lang w:val="fr-FR"/>
        </w:rPr>
        <w:t>2018, l</w:t>
      </w:r>
      <w:r w:rsidR="00607BE5">
        <w:rPr>
          <w:lang w:val="fr-FR"/>
        </w:rPr>
        <w:t>’</w:t>
      </w:r>
      <w:r w:rsidRPr="00BB6085">
        <w:rPr>
          <w:lang w:val="fr-FR"/>
        </w:rPr>
        <w:t>auteur précise que la communication porte essentiellement sur la violation de son droit d</w:t>
      </w:r>
      <w:r w:rsidR="00607BE5">
        <w:rPr>
          <w:lang w:val="fr-FR"/>
        </w:rPr>
        <w:t>’</w:t>
      </w:r>
      <w:r w:rsidRPr="00BB6085">
        <w:rPr>
          <w:lang w:val="fr-FR"/>
        </w:rPr>
        <w:t xml:space="preserve">être entendu avant de se présenter devant le </w:t>
      </w:r>
      <w:r>
        <w:rPr>
          <w:lang w:val="fr-FR"/>
        </w:rPr>
        <w:t>procureur</w:t>
      </w:r>
      <w:r w:rsidRPr="00BB6085">
        <w:rPr>
          <w:lang w:val="fr-FR"/>
        </w:rPr>
        <w:t>, puisqu</w:t>
      </w:r>
      <w:r w:rsidR="00607BE5">
        <w:rPr>
          <w:lang w:val="fr-FR"/>
        </w:rPr>
        <w:t>’</w:t>
      </w:r>
      <w:r w:rsidRPr="00BB6085">
        <w:rPr>
          <w:lang w:val="fr-FR"/>
        </w:rPr>
        <w:t>il n</w:t>
      </w:r>
      <w:r w:rsidR="00607BE5">
        <w:rPr>
          <w:lang w:val="fr-FR"/>
        </w:rPr>
        <w:t>’</w:t>
      </w:r>
      <w:r w:rsidRPr="00BB6085">
        <w:rPr>
          <w:lang w:val="fr-FR"/>
        </w:rPr>
        <w:t>a pas pu consulter un avocat ou un représentant librement choisi à cette fin. En l</w:t>
      </w:r>
      <w:r w:rsidR="00607BE5">
        <w:rPr>
          <w:lang w:val="fr-FR"/>
        </w:rPr>
        <w:t>’</w:t>
      </w:r>
      <w:r w:rsidRPr="00BB6085">
        <w:rPr>
          <w:lang w:val="fr-FR"/>
        </w:rPr>
        <w:t xml:space="preserve">espèce, le droit </w:t>
      </w:r>
      <w:r>
        <w:rPr>
          <w:lang w:val="fr-FR"/>
        </w:rPr>
        <w:t>que tient</w:t>
      </w:r>
      <w:r w:rsidRPr="00BB6085">
        <w:rPr>
          <w:lang w:val="fr-FR"/>
        </w:rPr>
        <w:t xml:space="preserve"> l</w:t>
      </w:r>
      <w:r w:rsidR="00607BE5">
        <w:rPr>
          <w:lang w:val="fr-FR"/>
        </w:rPr>
        <w:t>’</w:t>
      </w:r>
      <w:r w:rsidRPr="00BB6085">
        <w:rPr>
          <w:lang w:val="fr-FR"/>
        </w:rPr>
        <w:t>auteur</w:t>
      </w:r>
      <w:r>
        <w:rPr>
          <w:lang w:val="fr-FR"/>
        </w:rPr>
        <w:t xml:space="preserve"> de</w:t>
      </w:r>
      <w:r w:rsidRPr="00BB6085">
        <w:rPr>
          <w:lang w:val="fr-FR"/>
        </w:rPr>
        <w:t xml:space="preserve"> l</w:t>
      </w:r>
      <w:r w:rsidR="00607BE5">
        <w:rPr>
          <w:lang w:val="fr-FR"/>
        </w:rPr>
        <w:t>’</w:t>
      </w:r>
      <w:r w:rsidRPr="00BB6085">
        <w:rPr>
          <w:lang w:val="fr-FR"/>
        </w:rPr>
        <w:t>article 12 de la Convention n</w:t>
      </w:r>
      <w:r w:rsidR="00607BE5">
        <w:rPr>
          <w:lang w:val="fr-FR"/>
        </w:rPr>
        <w:t>’</w:t>
      </w:r>
      <w:r w:rsidRPr="00BB6085">
        <w:rPr>
          <w:lang w:val="fr-FR"/>
        </w:rPr>
        <w:t>a pas été respecté</w:t>
      </w:r>
      <w:r>
        <w:rPr>
          <w:lang w:val="fr-FR"/>
        </w:rPr>
        <w:t xml:space="preserve"> puisqu</w:t>
      </w:r>
      <w:r w:rsidR="00607BE5">
        <w:rPr>
          <w:lang w:val="fr-FR"/>
        </w:rPr>
        <w:t>’</w:t>
      </w:r>
      <w:r>
        <w:rPr>
          <w:lang w:val="fr-FR"/>
        </w:rPr>
        <w:t>il</w:t>
      </w:r>
      <w:r w:rsidRPr="00BB6085">
        <w:rPr>
          <w:lang w:val="fr-FR"/>
        </w:rPr>
        <w:t xml:space="preserve"> a été entendu par le </w:t>
      </w:r>
      <w:r>
        <w:rPr>
          <w:lang w:val="fr-FR"/>
        </w:rPr>
        <w:t>p</w:t>
      </w:r>
      <w:r w:rsidRPr="00BB6085">
        <w:rPr>
          <w:lang w:val="fr-FR"/>
        </w:rPr>
        <w:t>rocureur de la province sans que son avocat soit présent. Celui-ci n</w:t>
      </w:r>
      <w:r w:rsidR="00607BE5">
        <w:rPr>
          <w:lang w:val="fr-FR"/>
        </w:rPr>
        <w:t>’</w:t>
      </w:r>
      <w:r w:rsidRPr="00BB6085">
        <w:rPr>
          <w:lang w:val="fr-FR"/>
        </w:rPr>
        <w:t>a été désigné que deux jours après que l</w:t>
      </w:r>
      <w:r w:rsidR="00607BE5">
        <w:rPr>
          <w:lang w:val="fr-FR"/>
        </w:rPr>
        <w:t>’</w:t>
      </w:r>
      <w:r w:rsidRPr="00BB6085">
        <w:rPr>
          <w:lang w:val="fr-FR"/>
        </w:rPr>
        <w:t xml:space="preserve">auteur a été </w:t>
      </w:r>
      <w:r>
        <w:rPr>
          <w:lang w:val="fr-FR"/>
        </w:rPr>
        <w:t>présenté au procureur</w:t>
      </w:r>
      <w:r w:rsidRPr="00BB6085">
        <w:rPr>
          <w:lang w:val="fr-FR"/>
        </w:rPr>
        <w:t>. En outre, l</w:t>
      </w:r>
      <w:r w:rsidR="00607BE5">
        <w:rPr>
          <w:lang w:val="fr-FR"/>
        </w:rPr>
        <w:t>’</w:t>
      </w:r>
      <w:r w:rsidRPr="00BB6085">
        <w:rPr>
          <w:lang w:val="fr-FR"/>
        </w:rPr>
        <w:t>avocat a été commis</w:t>
      </w:r>
      <w:r>
        <w:rPr>
          <w:lang w:val="fr-FR"/>
        </w:rPr>
        <w:t xml:space="preserve"> </w:t>
      </w:r>
      <w:r w:rsidRPr="00BB6085">
        <w:rPr>
          <w:lang w:val="fr-FR"/>
        </w:rPr>
        <w:t>pour défendre les droits de l</w:t>
      </w:r>
      <w:r w:rsidR="00607BE5">
        <w:rPr>
          <w:lang w:val="fr-FR"/>
        </w:rPr>
        <w:t>’</w:t>
      </w:r>
      <w:r w:rsidRPr="00BB6085">
        <w:rPr>
          <w:lang w:val="fr-FR"/>
        </w:rPr>
        <w:t>auteur en tant qu</w:t>
      </w:r>
      <w:r w:rsidR="00607BE5">
        <w:rPr>
          <w:lang w:val="fr-FR"/>
        </w:rPr>
        <w:t>’</w:t>
      </w:r>
      <w:r w:rsidRPr="00BB6085">
        <w:rPr>
          <w:lang w:val="fr-FR"/>
        </w:rPr>
        <w:t>adulte faisant l</w:t>
      </w:r>
      <w:r w:rsidR="00607BE5">
        <w:rPr>
          <w:lang w:val="fr-FR"/>
        </w:rPr>
        <w:t>’</w:t>
      </w:r>
      <w:r w:rsidRPr="00BB6085">
        <w:rPr>
          <w:lang w:val="fr-FR"/>
        </w:rPr>
        <w:t>objet d</w:t>
      </w:r>
      <w:r w:rsidR="00607BE5">
        <w:rPr>
          <w:lang w:val="fr-FR"/>
        </w:rPr>
        <w:t>’</w:t>
      </w:r>
      <w:r w:rsidRPr="00BB6085">
        <w:rPr>
          <w:lang w:val="fr-FR"/>
        </w:rPr>
        <w:t>une procédure d</w:t>
      </w:r>
      <w:r w:rsidR="00607BE5">
        <w:rPr>
          <w:lang w:val="fr-FR"/>
        </w:rPr>
        <w:t>’</w:t>
      </w:r>
      <w:r w:rsidRPr="00BB6085">
        <w:rPr>
          <w:lang w:val="fr-FR"/>
        </w:rPr>
        <w:t>expulsion et non pas pour le représenter en tant que mineur</w:t>
      </w:r>
      <w:r>
        <w:rPr>
          <w:lang w:val="fr-FR"/>
        </w:rPr>
        <w:t>.</w:t>
      </w:r>
    </w:p>
    <w:p w:rsidR="00EE3191" w:rsidRPr="00BB6085" w:rsidRDefault="00EE3191" w:rsidP="00EE3191">
      <w:pPr>
        <w:pStyle w:val="SingleTxtG"/>
        <w:rPr>
          <w:lang w:val="fr-FR"/>
        </w:rPr>
      </w:pPr>
      <w:r w:rsidRPr="00BB6085">
        <w:rPr>
          <w:lang w:val="fr-FR"/>
        </w:rPr>
        <w:t>7.2</w:t>
      </w:r>
      <w:r w:rsidRPr="00BB6085">
        <w:rPr>
          <w:lang w:val="fr-FR"/>
        </w:rPr>
        <w:tab/>
        <w:t>L</w:t>
      </w:r>
      <w:r w:rsidR="00607BE5">
        <w:rPr>
          <w:lang w:val="fr-FR"/>
        </w:rPr>
        <w:t>’</w:t>
      </w:r>
      <w:r w:rsidRPr="00BB6085">
        <w:rPr>
          <w:lang w:val="fr-FR"/>
        </w:rPr>
        <w:t>auteur conteste les déclarations de l</w:t>
      </w:r>
      <w:r w:rsidR="00607BE5">
        <w:rPr>
          <w:lang w:val="fr-FR"/>
        </w:rPr>
        <w:t>’</w:t>
      </w:r>
      <w:r w:rsidRPr="00BB6085">
        <w:rPr>
          <w:lang w:val="fr-FR"/>
        </w:rPr>
        <w:t xml:space="preserve">État partie </w:t>
      </w:r>
      <w:r>
        <w:rPr>
          <w:lang w:val="fr-FR"/>
        </w:rPr>
        <w:t>qui affirme que les</w:t>
      </w:r>
      <w:r w:rsidRPr="00BB6085">
        <w:rPr>
          <w:lang w:val="fr-FR"/>
        </w:rPr>
        <w:t xml:space="preserve"> examens médicaux réalisés</w:t>
      </w:r>
      <w:r>
        <w:rPr>
          <w:lang w:val="fr-FR"/>
        </w:rPr>
        <w:t xml:space="preserve"> sont objectifs</w:t>
      </w:r>
      <w:r w:rsidRPr="00BB6085">
        <w:rPr>
          <w:lang w:val="fr-FR"/>
        </w:rPr>
        <w:t xml:space="preserve">, avançant que </w:t>
      </w:r>
      <w:r>
        <w:rPr>
          <w:lang w:val="fr-FR"/>
        </w:rPr>
        <w:t xml:space="preserve">cette </w:t>
      </w:r>
      <w:r w:rsidRPr="00BB6085">
        <w:rPr>
          <w:lang w:val="fr-FR"/>
        </w:rPr>
        <w:t>affirmation est contra</w:t>
      </w:r>
      <w:r>
        <w:rPr>
          <w:lang w:val="fr-FR"/>
        </w:rPr>
        <w:t>ire à la doctrine scientifique.</w:t>
      </w:r>
    </w:p>
    <w:p w:rsidR="00EE3191" w:rsidRPr="00BB6085" w:rsidRDefault="00EE3191" w:rsidP="00EE3191">
      <w:pPr>
        <w:pStyle w:val="SingleTxtG"/>
        <w:rPr>
          <w:lang w:val="fr-FR"/>
        </w:rPr>
      </w:pPr>
      <w:r w:rsidRPr="00BB6085">
        <w:rPr>
          <w:lang w:val="fr-FR"/>
        </w:rPr>
        <w:t>7.3</w:t>
      </w:r>
      <w:r w:rsidRPr="00BB6085">
        <w:rPr>
          <w:lang w:val="fr-FR"/>
        </w:rPr>
        <w:tab/>
        <w:t>Enfin, l</w:t>
      </w:r>
      <w:r w:rsidR="00607BE5">
        <w:rPr>
          <w:lang w:val="fr-FR"/>
        </w:rPr>
        <w:t>’</w:t>
      </w:r>
      <w:r w:rsidRPr="00BB6085">
        <w:rPr>
          <w:lang w:val="fr-FR"/>
        </w:rPr>
        <w:t xml:space="preserve">auteur </w:t>
      </w:r>
      <w:r>
        <w:rPr>
          <w:lang w:val="fr-FR"/>
        </w:rPr>
        <w:t xml:space="preserve">joint </w:t>
      </w:r>
      <w:r w:rsidRPr="00BB6085">
        <w:rPr>
          <w:lang w:val="fr-FR"/>
        </w:rPr>
        <w:t>une copie de son passeport délivré le 20 juin</w:t>
      </w:r>
      <w:r>
        <w:rPr>
          <w:lang w:val="fr-FR"/>
        </w:rPr>
        <w:t xml:space="preserve"> </w:t>
      </w:r>
      <w:r w:rsidRPr="00BB6085">
        <w:rPr>
          <w:lang w:val="fr-FR"/>
        </w:rPr>
        <w:t>2017 par l</w:t>
      </w:r>
      <w:r w:rsidR="00607BE5">
        <w:rPr>
          <w:lang w:val="fr-FR"/>
        </w:rPr>
        <w:t>’</w:t>
      </w:r>
      <w:r w:rsidRPr="00BB6085">
        <w:rPr>
          <w:lang w:val="fr-FR"/>
        </w:rPr>
        <w:t>ambassade du Ghana à Madrid qui atteste que sa date de naissance est le 6 août</w:t>
      </w:r>
      <w:r>
        <w:rPr>
          <w:lang w:val="fr-FR"/>
        </w:rPr>
        <w:t xml:space="preserve"> 1999.</w:t>
      </w:r>
    </w:p>
    <w:p w:rsidR="00EE3191" w:rsidRPr="00BB6085" w:rsidRDefault="00EE3191" w:rsidP="00EE3191">
      <w:pPr>
        <w:pStyle w:val="SingleTxtG"/>
        <w:rPr>
          <w:lang w:val="fr-FR"/>
        </w:rPr>
      </w:pPr>
      <w:r w:rsidRPr="00BB6085">
        <w:rPr>
          <w:lang w:val="fr-FR"/>
        </w:rPr>
        <w:t>7.4</w:t>
      </w:r>
      <w:r w:rsidRPr="00BB6085">
        <w:rPr>
          <w:lang w:val="fr-FR"/>
        </w:rPr>
        <w:tab/>
        <w:t>L</w:t>
      </w:r>
      <w:r w:rsidR="00607BE5">
        <w:rPr>
          <w:lang w:val="fr-FR"/>
        </w:rPr>
        <w:t>’</w:t>
      </w:r>
      <w:r w:rsidRPr="00BB6085">
        <w:rPr>
          <w:lang w:val="fr-FR"/>
        </w:rPr>
        <w:t>auteur demande que l</w:t>
      </w:r>
      <w:r w:rsidR="00607BE5">
        <w:rPr>
          <w:lang w:val="fr-FR"/>
        </w:rPr>
        <w:t>’</w:t>
      </w:r>
      <w:r w:rsidRPr="00BB6085">
        <w:rPr>
          <w:lang w:val="fr-FR"/>
        </w:rPr>
        <w:t>on reconnaisse à chaque enfant le droit d</w:t>
      </w:r>
      <w:r w:rsidR="00607BE5">
        <w:rPr>
          <w:lang w:val="fr-FR"/>
        </w:rPr>
        <w:t>’</w:t>
      </w:r>
      <w:r w:rsidRPr="00BB6085">
        <w:rPr>
          <w:lang w:val="fr-FR"/>
        </w:rPr>
        <w:t>être entendu par l</w:t>
      </w:r>
      <w:r w:rsidR="00607BE5">
        <w:rPr>
          <w:lang w:val="fr-FR"/>
        </w:rPr>
        <w:t>’</w:t>
      </w:r>
      <w:r w:rsidRPr="00BB6085">
        <w:rPr>
          <w:lang w:val="fr-FR"/>
        </w:rPr>
        <w:t>intermédiaire d</w:t>
      </w:r>
      <w:r w:rsidR="00607BE5">
        <w:rPr>
          <w:lang w:val="fr-FR"/>
        </w:rPr>
        <w:t>’</w:t>
      </w:r>
      <w:r w:rsidRPr="00BB6085">
        <w:rPr>
          <w:lang w:val="fr-FR"/>
        </w:rPr>
        <w:t xml:space="preserve">un avocat formé et spécialisé avant </w:t>
      </w:r>
      <w:r>
        <w:rPr>
          <w:lang w:val="fr-FR"/>
        </w:rPr>
        <w:t>que soit prise</w:t>
      </w:r>
      <w:r w:rsidRPr="00BB6085">
        <w:rPr>
          <w:lang w:val="fr-FR"/>
        </w:rPr>
        <w:t xml:space="preserve"> toute décision administrative le concernant, et qu</w:t>
      </w:r>
      <w:r w:rsidR="00607BE5">
        <w:rPr>
          <w:lang w:val="fr-FR"/>
        </w:rPr>
        <w:t>’</w:t>
      </w:r>
      <w:r>
        <w:rPr>
          <w:lang w:val="fr-FR"/>
        </w:rPr>
        <w:t>il soit admis qu</w:t>
      </w:r>
      <w:r w:rsidR="00607BE5">
        <w:rPr>
          <w:lang w:val="fr-FR"/>
        </w:rPr>
        <w:t>’</w:t>
      </w:r>
      <w:r w:rsidRPr="00BB6085">
        <w:rPr>
          <w:lang w:val="fr-FR"/>
        </w:rPr>
        <w:t>un</w:t>
      </w:r>
      <w:r>
        <w:rPr>
          <w:lang w:val="fr-FR"/>
        </w:rPr>
        <w:t xml:space="preserve">e organisation peut représenter un enfant </w:t>
      </w:r>
      <w:r w:rsidRPr="00BB6085">
        <w:rPr>
          <w:lang w:val="fr-FR"/>
        </w:rPr>
        <w:t xml:space="preserve">présenté devant </w:t>
      </w:r>
      <w:r>
        <w:rPr>
          <w:lang w:val="fr-FR"/>
        </w:rPr>
        <w:t>les autorités</w:t>
      </w:r>
      <w:r w:rsidRPr="00BB6085">
        <w:rPr>
          <w:lang w:val="fr-FR"/>
        </w:rPr>
        <w:t>.</w:t>
      </w:r>
    </w:p>
    <w:p w:rsidR="00EE3191" w:rsidRPr="004F09B9" w:rsidRDefault="00EE3191" w:rsidP="00EE3191">
      <w:pPr>
        <w:pStyle w:val="H23G"/>
        <w:rPr>
          <w:b w:val="0"/>
          <w:bCs/>
          <w:lang w:val="fr-FR"/>
        </w:rPr>
      </w:pPr>
      <w:r w:rsidRPr="00BB6085">
        <w:rPr>
          <w:lang w:val="fr-FR"/>
        </w:rPr>
        <w:tab/>
      </w:r>
      <w:r w:rsidRPr="00BB6085">
        <w:rPr>
          <w:lang w:val="fr-FR"/>
        </w:rPr>
        <w:tab/>
        <w:t xml:space="preserve">Intervention </w:t>
      </w:r>
      <w:r>
        <w:rPr>
          <w:lang w:val="fr-FR"/>
        </w:rPr>
        <w:t>de</w:t>
      </w:r>
      <w:r w:rsidRPr="00BB6085">
        <w:rPr>
          <w:lang w:val="fr-FR"/>
        </w:rPr>
        <w:t xml:space="preserve"> tiers</w:t>
      </w:r>
      <w:r w:rsidRPr="004F09B9">
        <w:rPr>
          <w:rStyle w:val="Appelnotedebasdep"/>
          <w:b w:val="0"/>
          <w:bCs/>
        </w:rPr>
        <w:footnoteReference w:id="10"/>
      </w:r>
    </w:p>
    <w:p w:rsidR="00EE3191" w:rsidRPr="00BB6085" w:rsidRDefault="00EE3191" w:rsidP="00EE3191">
      <w:pPr>
        <w:pStyle w:val="SingleTxtG"/>
        <w:rPr>
          <w:lang w:val="fr-FR"/>
        </w:rPr>
      </w:pPr>
      <w:r w:rsidRPr="00BB6085">
        <w:rPr>
          <w:lang w:val="fr-FR"/>
        </w:rPr>
        <w:t>8.1</w:t>
      </w:r>
      <w:r w:rsidRPr="00BB6085">
        <w:rPr>
          <w:lang w:val="fr-FR"/>
        </w:rPr>
        <w:tab/>
        <w:t>Le 3 mai</w:t>
      </w:r>
      <w:r>
        <w:rPr>
          <w:lang w:val="fr-FR"/>
        </w:rPr>
        <w:t xml:space="preserve"> </w:t>
      </w:r>
      <w:r w:rsidRPr="00BB6085">
        <w:rPr>
          <w:lang w:val="fr-FR"/>
        </w:rPr>
        <w:t>2018, le Défenseur des droits</w:t>
      </w:r>
      <w:r>
        <w:rPr>
          <w:lang w:val="fr-FR"/>
        </w:rPr>
        <w:t xml:space="preserve"> de la France</w:t>
      </w:r>
      <w:r w:rsidRPr="00BB6085">
        <w:rPr>
          <w:lang w:val="fr-FR"/>
        </w:rPr>
        <w:t xml:space="preserve"> </w:t>
      </w:r>
      <w:r>
        <w:rPr>
          <w:lang w:val="fr-FR"/>
        </w:rPr>
        <w:t xml:space="preserve">a soumis en qualité de tiers une intervention portant </w:t>
      </w:r>
      <w:r w:rsidRPr="00BB6085">
        <w:rPr>
          <w:lang w:val="fr-FR"/>
        </w:rPr>
        <w:t>sur la question de la détermination de l</w:t>
      </w:r>
      <w:r w:rsidR="00607BE5">
        <w:rPr>
          <w:lang w:val="fr-FR"/>
        </w:rPr>
        <w:t>’</w:t>
      </w:r>
      <w:r w:rsidRPr="00BB6085">
        <w:rPr>
          <w:lang w:val="fr-FR"/>
        </w:rPr>
        <w:t xml:space="preserve">âge. Il </w:t>
      </w:r>
      <w:r>
        <w:rPr>
          <w:lang w:val="fr-FR"/>
        </w:rPr>
        <w:t xml:space="preserve">souligne </w:t>
      </w:r>
      <w:r w:rsidRPr="00BB6085">
        <w:rPr>
          <w:lang w:val="fr-FR"/>
        </w:rPr>
        <w:t>que les procédures de détermination de l</w:t>
      </w:r>
      <w:r w:rsidR="00607BE5">
        <w:rPr>
          <w:lang w:val="fr-FR"/>
        </w:rPr>
        <w:t>’</w:t>
      </w:r>
      <w:r w:rsidRPr="00BB6085">
        <w:rPr>
          <w:lang w:val="fr-FR"/>
        </w:rPr>
        <w:t xml:space="preserve">âge doivent être assorties des garanties nécessaires </w:t>
      </w:r>
      <w:r>
        <w:rPr>
          <w:lang w:val="fr-FR"/>
        </w:rPr>
        <w:t xml:space="preserve">pour assurer le respect de </w:t>
      </w:r>
      <w:r w:rsidRPr="00BB6085">
        <w:rPr>
          <w:lang w:val="fr-FR"/>
        </w:rPr>
        <w:t>l</w:t>
      </w:r>
      <w:r w:rsidR="00607BE5">
        <w:rPr>
          <w:lang w:val="fr-FR"/>
        </w:rPr>
        <w:t>’</w:t>
      </w:r>
      <w:r w:rsidRPr="00BB6085">
        <w:rPr>
          <w:lang w:val="fr-FR"/>
        </w:rPr>
        <w:t>intérêt supérieur de l</w:t>
      </w:r>
      <w:r w:rsidR="00607BE5">
        <w:rPr>
          <w:lang w:val="fr-FR"/>
        </w:rPr>
        <w:t>’</w:t>
      </w:r>
      <w:r w:rsidRPr="00BB6085">
        <w:rPr>
          <w:lang w:val="fr-FR"/>
        </w:rPr>
        <w:t xml:space="preserve">enfant. </w:t>
      </w:r>
      <w:r>
        <w:rPr>
          <w:lang w:val="fr-FR"/>
        </w:rPr>
        <w:t xml:space="preserve">Dans </w:t>
      </w:r>
      <w:r w:rsidRPr="00BB6085">
        <w:rPr>
          <w:lang w:val="fr-FR"/>
        </w:rPr>
        <w:t xml:space="preserve">un rapport de 2017, </w:t>
      </w:r>
      <w:r>
        <w:rPr>
          <w:lang w:val="fr-FR"/>
        </w:rPr>
        <w:t>le C</w:t>
      </w:r>
      <w:r w:rsidRPr="00DF2E1E">
        <w:rPr>
          <w:lang w:val="fr-FR"/>
        </w:rPr>
        <w:t>onseil de l</w:t>
      </w:r>
      <w:r w:rsidR="00607BE5">
        <w:rPr>
          <w:lang w:val="fr-FR"/>
        </w:rPr>
        <w:t>’</w:t>
      </w:r>
      <w:r w:rsidRPr="00DF2E1E">
        <w:rPr>
          <w:lang w:val="fr-FR"/>
        </w:rPr>
        <w:t xml:space="preserve">Europe </w:t>
      </w:r>
      <w:r>
        <w:rPr>
          <w:lang w:val="fr-FR"/>
        </w:rPr>
        <w:t xml:space="preserve">a indiqué que </w:t>
      </w:r>
      <w:r w:rsidRPr="00BB6085">
        <w:rPr>
          <w:lang w:val="fr-FR"/>
        </w:rPr>
        <w:t xml:space="preserve">les garanties procédurales </w:t>
      </w:r>
      <w:r>
        <w:rPr>
          <w:lang w:val="fr-FR"/>
        </w:rPr>
        <w:t>reconnues</w:t>
      </w:r>
      <w:r w:rsidRPr="00BB6085">
        <w:rPr>
          <w:lang w:val="fr-FR"/>
        </w:rPr>
        <w:t xml:space="preserve"> par les </w:t>
      </w:r>
      <w:r>
        <w:rPr>
          <w:lang w:val="fr-FR"/>
        </w:rPr>
        <w:t xml:space="preserve">instruments </w:t>
      </w:r>
      <w:r w:rsidRPr="00BB6085">
        <w:rPr>
          <w:lang w:val="fr-FR"/>
        </w:rPr>
        <w:lastRenderedPageBreak/>
        <w:t>internationaux et européens</w:t>
      </w:r>
      <w:r>
        <w:rPr>
          <w:lang w:val="fr-FR"/>
        </w:rPr>
        <w:t xml:space="preserve"> </w:t>
      </w:r>
      <w:r w:rsidRPr="00BB6085">
        <w:rPr>
          <w:lang w:val="fr-FR"/>
        </w:rPr>
        <w:t xml:space="preserve">ne sont pas </w:t>
      </w:r>
      <w:r>
        <w:rPr>
          <w:lang w:val="fr-FR"/>
        </w:rPr>
        <w:t xml:space="preserve">uniformément </w:t>
      </w:r>
      <w:r w:rsidRPr="00BB6085">
        <w:rPr>
          <w:lang w:val="fr-FR"/>
        </w:rPr>
        <w:t xml:space="preserve">respectées dans </w:t>
      </w:r>
      <w:r>
        <w:rPr>
          <w:lang w:val="fr-FR"/>
        </w:rPr>
        <w:t>l</w:t>
      </w:r>
      <w:r w:rsidR="00607BE5">
        <w:rPr>
          <w:lang w:val="fr-FR"/>
        </w:rPr>
        <w:t>’</w:t>
      </w:r>
      <w:r>
        <w:rPr>
          <w:lang w:val="fr-FR"/>
        </w:rPr>
        <w:t xml:space="preserve">ensemble des </w:t>
      </w:r>
      <w:r w:rsidRPr="00BB6085">
        <w:rPr>
          <w:lang w:val="fr-FR"/>
        </w:rPr>
        <w:t>États</w:t>
      </w:r>
      <w:r>
        <w:rPr>
          <w:lang w:val="fr-FR"/>
        </w:rPr>
        <w:t xml:space="preserve"> </w:t>
      </w:r>
      <w:r w:rsidRPr="00BB6085">
        <w:rPr>
          <w:lang w:val="fr-FR"/>
        </w:rPr>
        <w:t>membres</w:t>
      </w:r>
      <w:r w:rsidRPr="00607BE5">
        <w:rPr>
          <w:rStyle w:val="Appelnotedebasdep"/>
        </w:rPr>
        <w:footnoteReference w:id="11"/>
      </w:r>
      <w:r>
        <w:rPr>
          <w:lang w:val="fr-FR"/>
        </w:rPr>
        <w:t>.</w:t>
      </w:r>
    </w:p>
    <w:p w:rsidR="00EE3191" w:rsidRPr="00BB6085" w:rsidRDefault="00EE3191" w:rsidP="00EE3191">
      <w:pPr>
        <w:pStyle w:val="SingleTxtG"/>
        <w:rPr>
          <w:lang w:val="fr-FR"/>
        </w:rPr>
      </w:pPr>
      <w:r w:rsidRPr="00BB6085">
        <w:rPr>
          <w:lang w:val="fr-FR"/>
        </w:rPr>
        <w:t>8.2</w:t>
      </w:r>
      <w:r w:rsidRPr="00BB6085">
        <w:rPr>
          <w:lang w:val="fr-FR"/>
        </w:rPr>
        <w:tab/>
        <w:t>Une procédure de détermination de l</w:t>
      </w:r>
      <w:r w:rsidR="00607BE5">
        <w:rPr>
          <w:lang w:val="fr-FR"/>
        </w:rPr>
        <w:t>’</w:t>
      </w:r>
      <w:r w:rsidRPr="00BB6085">
        <w:rPr>
          <w:lang w:val="fr-FR"/>
        </w:rPr>
        <w:t xml:space="preserve">âge ne devrait être engagée </w:t>
      </w:r>
      <w:r>
        <w:rPr>
          <w:lang w:val="fr-FR"/>
        </w:rPr>
        <w:t>qu</w:t>
      </w:r>
      <w:r w:rsidR="00607BE5">
        <w:rPr>
          <w:lang w:val="fr-FR"/>
        </w:rPr>
        <w:t>’</w:t>
      </w:r>
      <w:r>
        <w:rPr>
          <w:lang w:val="fr-FR"/>
        </w:rPr>
        <w:t>en cas</w:t>
      </w:r>
      <w:r w:rsidRPr="00BB6085">
        <w:rPr>
          <w:lang w:val="fr-FR"/>
        </w:rPr>
        <w:t xml:space="preserve"> de doute sérieux quant à l</w:t>
      </w:r>
      <w:r w:rsidR="00607BE5">
        <w:rPr>
          <w:lang w:val="fr-FR"/>
        </w:rPr>
        <w:t>’</w:t>
      </w:r>
      <w:r w:rsidRPr="00BB6085">
        <w:rPr>
          <w:lang w:val="fr-FR"/>
        </w:rPr>
        <w:t>âge d</w:t>
      </w:r>
      <w:r w:rsidR="00607BE5">
        <w:rPr>
          <w:lang w:val="fr-FR"/>
        </w:rPr>
        <w:t>’</w:t>
      </w:r>
      <w:r w:rsidRPr="00BB6085">
        <w:rPr>
          <w:lang w:val="fr-FR"/>
        </w:rPr>
        <w:t>un</w:t>
      </w:r>
      <w:r>
        <w:rPr>
          <w:lang w:val="fr-FR"/>
        </w:rPr>
        <w:t xml:space="preserve"> individu</w:t>
      </w:r>
      <w:r w:rsidRPr="00BB6085">
        <w:rPr>
          <w:lang w:val="fr-FR"/>
        </w:rPr>
        <w:t xml:space="preserve">, </w:t>
      </w:r>
      <w:r>
        <w:rPr>
          <w:lang w:val="fr-FR"/>
        </w:rPr>
        <w:t>qui</w:t>
      </w:r>
      <w:r w:rsidRPr="00BB6085">
        <w:rPr>
          <w:lang w:val="fr-FR"/>
        </w:rPr>
        <w:t xml:space="preserve"> doit être vérifié sur la base des documents ou des déclarations de </w:t>
      </w:r>
      <w:r>
        <w:rPr>
          <w:lang w:val="fr-FR"/>
        </w:rPr>
        <w:t>l</w:t>
      </w:r>
      <w:r w:rsidR="00607BE5">
        <w:rPr>
          <w:lang w:val="fr-FR"/>
        </w:rPr>
        <w:t>’</w:t>
      </w:r>
      <w:r>
        <w:rPr>
          <w:lang w:val="fr-FR"/>
        </w:rPr>
        <w:t>intéressé. Ce type de procédure ne devrait pas se fonder uniquement sur</w:t>
      </w:r>
      <w:r w:rsidRPr="00BB6085">
        <w:rPr>
          <w:lang w:val="fr-FR"/>
        </w:rPr>
        <w:t xml:space="preserve"> l</w:t>
      </w:r>
      <w:r w:rsidR="00607BE5">
        <w:rPr>
          <w:lang w:val="fr-FR"/>
        </w:rPr>
        <w:t>’</w:t>
      </w:r>
      <w:r w:rsidRPr="00BB6085">
        <w:rPr>
          <w:lang w:val="fr-FR"/>
        </w:rPr>
        <w:t>apparence physique</w:t>
      </w:r>
      <w:r>
        <w:rPr>
          <w:lang w:val="fr-FR"/>
        </w:rPr>
        <w:t xml:space="preserve"> ; elle devrait </w:t>
      </w:r>
      <w:r w:rsidRPr="00BB6085">
        <w:rPr>
          <w:lang w:val="fr-FR"/>
        </w:rPr>
        <w:t xml:space="preserve">également prendre en considération la maturité psychologique et </w:t>
      </w:r>
      <w:r>
        <w:rPr>
          <w:lang w:val="fr-FR"/>
        </w:rPr>
        <w:t>s</w:t>
      </w:r>
      <w:r w:rsidR="00607BE5">
        <w:rPr>
          <w:lang w:val="fr-FR"/>
        </w:rPr>
        <w:t>’</w:t>
      </w:r>
      <w:r>
        <w:rPr>
          <w:lang w:val="fr-FR"/>
        </w:rPr>
        <w:t xml:space="preserve">inscrire dans </w:t>
      </w:r>
      <w:r w:rsidRPr="00BB6085">
        <w:rPr>
          <w:lang w:val="fr-FR"/>
        </w:rPr>
        <w:t xml:space="preserve">une approche </w:t>
      </w:r>
      <w:r>
        <w:rPr>
          <w:lang w:val="fr-FR"/>
        </w:rPr>
        <w:t>pluri</w:t>
      </w:r>
      <w:r w:rsidRPr="00BB6085">
        <w:rPr>
          <w:lang w:val="fr-FR"/>
        </w:rPr>
        <w:t xml:space="preserve">disciplinaire. Si </w:t>
      </w:r>
      <w:r>
        <w:rPr>
          <w:lang w:val="fr-FR"/>
        </w:rPr>
        <w:t>le doute</w:t>
      </w:r>
      <w:r w:rsidRPr="00BB6085">
        <w:rPr>
          <w:lang w:val="fr-FR"/>
        </w:rPr>
        <w:t xml:space="preserve"> persiste </w:t>
      </w:r>
      <w:r>
        <w:rPr>
          <w:lang w:val="fr-FR"/>
        </w:rPr>
        <w:t>à l</w:t>
      </w:r>
      <w:r w:rsidR="00607BE5">
        <w:rPr>
          <w:lang w:val="fr-FR"/>
        </w:rPr>
        <w:t>’</w:t>
      </w:r>
      <w:r>
        <w:rPr>
          <w:lang w:val="fr-FR"/>
        </w:rPr>
        <w:t>issue de</w:t>
      </w:r>
      <w:r w:rsidRPr="00BB6085">
        <w:rPr>
          <w:lang w:val="fr-FR"/>
        </w:rPr>
        <w:t xml:space="preserve"> la procédure, il</w:t>
      </w:r>
      <w:r>
        <w:rPr>
          <w:lang w:val="fr-FR"/>
        </w:rPr>
        <w:t xml:space="preserve"> devrait bénéficier à la personne concernée.</w:t>
      </w:r>
    </w:p>
    <w:p w:rsidR="00EE3191" w:rsidRPr="00BB6085" w:rsidRDefault="00EE3191" w:rsidP="00EE3191">
      <w:pPr>
        <w:pStyle w:val="SingleTxtG"/>
        <w:rPr>
          <w:lang w:val="fr-FR"/>
        </w:rPr>
      </w:pPr>
      <w:r w:rsidRPr="00BB6085">
        <w:rPr>
          <w:lang w:val="fr-FR"/>
        </w:rPr>
        <w:t>8.3</w:t>
      </w:r>
      <w:r w:rsidRPr="00BB6085">
        <w:rPr>
          <w:lang w:val="fr-FR"/>
        </w:rPr>
        <w:tab/>
        <w:t>Il n</w:t>
      </w:r>
      <w:r w:rsidR="00607BE5">
        <w:rPr>
          <w:lang w:val="fr-FR"/>
        </w:rPr>
        <w:t>’</w:t>
      </w:r>
      <w:r w:rsidRPr="00BB6085">
        <w:rPr>
          <w:lang w:val="fr-FR"/>
        </w:rPr>
        <w:t xml:space="preserve">existe pas de règles </w:t>
      </w:r>
      <w:r>
        <w:rPr>
          <w:lang w:val="fr-FR"/>
        </w:rPr>
        <w:t>ni</w:t>
      </w:r>
      <w:r w:rsidRPr="00BB6085">
        <w:rPr>
          <w:lang w:val="fr-FR"/>
        </w:rPr>
        <w:t xml:space="preserve"> d</w:t>
      </w:r>
      <w:r w:rsidR="00607BE5">
        <w:rPr>
          <w:lang w:val="fr-FR"/>
        </w:rPr>
        <w:t>’</w:t>
      </w:r>
      <w:r w:rsidRPr="00BB6085">
        <w:rPr>
          <w:lang w:val="fr-FR"/>
        </w:rPr>
        <w:t xml:space="preserve">accords communs </w:t>
      </w:r>
      <w:r>
        <w:rPr>
          <w:lang w:val="fr-FR"/>
        </w:rPr>
        <w:t>concernant</w:t>
      </w:r>
      <w:r w:rsidRPr="00BB6085">
        <w:rPr>
          <w:lang w:val="fr-FR"/>
        </w:rPr>
        <w:t xml:space="preserve"> la détermination de l</w:t>
      </w:r>
      <w:r w:rsidR="00607BE5">
        <w:rPr>
          <w:lang w:val="fr-FR"/>
        </w:rPr>
        <w:t>’</w:t>
      </w:r>
      <w:r w:rsidRPr="00BB6085">
        <w:rPr>
          <w:lang w:val="fr-FR"/>
        </w:rPr>
        <w:t xml:space="preserve">âge dans les États européens. Plusieurs États </w:t>
      </w:r>
      <w:r>
        <w:rPr>
          <w:lang w:val="fr-FR"/>
        </w:rPr>
        <w:t xml:space="preserve">recourent à des </w:t>
      </w:r>
      <w:r w:rsidRPr="00BB6085">
        <w:rPr>
          <w:lang w:val="fr-FR"/>
        </w:rPr>
        <w:t xml:space="preserve">examens médicaux et non médicaux. </w:t>
      </w:r>
      <w:r>
        <w:rPr>
          <w:lang w:val="fr-FR"/>
        </w:rPr>
        <w:t>Les</w:t>
      </w:r>
      <w:r w:rsidRPr="00BB6085">
        <w:rPr>
          <w:lang w:val="fr-FR"/>
        </w:rPr>
        <w:t xml:space="preserve"> examens médicaux pratiqués</w:t>
      </w:r>
      <w:r>
        <w:rPr>
          <w:lang w:val="fr-FR"/>
        </w:rPr>
        <w:t xml:space="preserve"> comprennent</w:t>
      </w:r>
      <w:r w:rsidRPr="00BB6085">
        <w:rPr>
          <w:lang w:val="fr-FR"/>
        </w:rPr>
        <w:t xml:space="preserve"> la radiographie du poignet gauche (23 États), le panoramique dentaire (17 États), la radiographie</w:t>
      </w:r>
      <w:r>
        <w:rPr>
          <w:lang w:val="fr-FR"/>
        </w:rPr>
        <w:t xml:space="preserve"> </w:t>
      </w:r>
      <w:r w:rsidRPr="00BB6085">
        <w:rPr>
          <w:lang w:val="fr-FR"/>
        </w:rPr>
        <w:t>de la clavicule (15 États), l</w:t>
      </w:r>
      <w:r w:rsidR="00607BE5">
        <w:rPr>
          <w:lang w:val="fr-FR"/>
        </w:rPr>
        <w:t>’</w:t>
      </w:r>
      <w:r w:rsidRPr="00BB6085">
        <w:rPr>
          <w:lang w:val="fr-FR"/>
        </w:rPr>
        <w:t>examen dentaire (14 États) et l</w:t>
      </w:r>
      <w:r w:rsidR="00607BE5">
        <w:rPr>
          <w:lang w:val="fr-FR"/>
        </w:rPr>
        <w:t>’</w:t>
      </w:r>
      <w:r w:rsidRPr="00BB6085">
        <w:rPr>
          <w:lang w:val="fr-FR"/>
        </w:rPr>
        <w:t>évaluation fondée sur l</w:t>
      </w:r>
      <w:r w:rsidR="00607BE5">
        <w:rPr>
          <w:lang w:val="fr-FR"/>
        </w:rPr>
        <w:t>’</w:t>
      </w:r>
      <w:r w:rsidRPr="00BB6085">
        <w:rPr>
          <w:lang w:val="fr-FR"/>
        </w:rPr>
        <w:t xml:space="preserve">apparence physique (12 États). </w:t>
      </w:r>
      <w:r>
        <w:rPr>
          <w:lang w:val="fr-FR"/>
        </w:rPr>
        <w:t>Bien qu</w:t>
      </w:r>
      <w:r w:rsidR="00607BE5">
        <w:rPr>
          <w:lang w:val="fr-FR"/>
        </w:rPr>
        <w:t>’</w:t>
      </w:r>
      <w:r>
        <w:rPr>
          <w:lang w:val="fr-FR"/>
        </w:rPr>
        <w:t>elle soit couramment pratiquée</w:t>
      </w:r>
      <w:r w:rsidRPr="00BB6085">
        <w:rPr>
          <w:lang w:val="fr-FR"/>
        </w:rPr>
        <w:t>, la détermination de l</w:t>
      </w:r>
      <w:r w:rsidR="00607BE5">
        <w:rPr>
          <w:lang w:val="fr-FR"/>
        </w:rPr>
        <w:t>’</w:t>
      </w:r>
      <w:r w:rsidRPr="00BB6085">
        <w:rPr>
          <w:lang w:val="fr-FR"/>
        </w:rPr>
        <w:t>âge osseux n</w:t>
      </w:r>
      <w:r w:rsidR="00607BE5">
        <w:rPr>
          <w:lang w:val="fr-FR"/>
        </w:rPr>
        <w:t>’</w:t>
      </w:r>
      <w:r w:rsidRPr="00BB6085">
        <w:rPr>
          <w:lang w:val="fr-FR"/>
        </w:rPr>
        <w:t>est pas fiable et porte atteinte à la dignité et à l</w:t>
      </w:r>
      <w:r w:rsidR="00607BE5">
        <w:rPr>
          <w:lang w:val="fr-FR"/>
        </w:rPr>
        <w:t>’</w:t>
      </w:r>
      <w:r w:rsidRPr="00BB6085">
        <w:rPr>
          <w:lang w:val="fr-FR"/>
        </w:rPr>
        <w:t xml:space="preserve">intégrité physique de </w:t>
      </w:r>
      <w:r>
        <w:rPr>
          <w:lang w:val="fr-FR"/>
        </w:rPr>
        <w:t>l</w:t>
      </w:r>
      <w:r w:rsidR="00607BE5">
        <w:rPr>
          <w:lang w:val="fr-FR"/>
        </w:rPr>
        <w:t>’</w:t>
      </w:r>
      <w:r w:rsidRPr="00BB6085">
        <w:rPr>
          <w:lang w:val="fr-FR"/>
        </w:rPr>
        <w:t xml:space="preserve">enfant. </w:t>
      </w:r>
      <w:r>
        <w:rPr>
          <w:lang w:val="fr-FR"/>
        </w:rPr>
        <w:t>Elle n</w:t>
      </w:r>
      <w:r w:rsidR="00607BE5">
        <w:rPr>
          <w:lang w:val="fr-FR"/>
        </w:rPr>
        <w:t>’</w:t>
      </w:r>
      <w:r>
        <w:rPr>
          <w:lang w:val="fr-FR"/>
        </w:rPr>
        <w:t xml:space="preserve">a aucune valeur </w:t>
      </w:r>
      <w:r w:rsidRPr="00BB6085">
        <w:rPr>
          <w:lang w:val="fr-FR"/>
        </w:rPr>
        <w:t>médical</w:t>
      </w:r>
      <w:r>
        <w:rPr>
          <w:lang w:val="fr-FR"/>
        </w:rPr>
        <w:t>e</w:t>
      </w:r>
      <w:r w:rsidRPr="00BB6085">
        <w:rPr>
          <w:lang w:val="fr-FR"/>
        </w:rPr>
        <w:t>, comme l</w:t>
      </w:r>
      <w:r w:rsidR="00607BE5">
        <w:rPr>
          <w:lang w:val="fr-FR"/>
        </w:rPr>
        <w:t>’</w:t>
      </w:r>
      <w:r w:rsidRPr="00BB6085">
        <w:rPr>
          <w:lang w:val="fr-FR"/>
        </w:rPr>
        <w:t>a confirmé le Royal College</w:t>
      </w:r>
      <w:r>
        <w:rPr>
          <w:lang w:val="fr-FR"/>
        </w:rPr>
        <w:t xml:space="preserve"> </w:t>
      </w:r>
      <w:r w:rsidRPr="00BB6085">
        <w:rPr>
          <w:lang w:val="fr-FR"/>
        </w:rPr>
        <w:t xml:space="preserve">of Radiologists de Londres. Dans </w:t>
      </w:r>
      <w:r>
        <w:rPr>
          <w:lang w:val="fr-FR"/>
        </w:rPr>
        <w:t>une</w:t>
      </w:r>
      <w:r w:rsidRPr="00BB6085">
        <w:rPr>
          <w:lang w:val="fr-FR"/>
        </w:rPr>
        <w:t xml:space="preserve"> résolution du 12 septembre</w:t>
      </w:r>
      <w:r>
        <w:rPr>
          <w:lang w:val="fr-FR"/>
        </w:rPr>
        <w:t xml:space="preserve"> </w:t>
      </w:r>
      <w:r w:rsidRPr="00BB6085">
        <w:rPr>
          <w:lang w:val="fr-FR"/>
        </w:rPr>
        <w:t xml:space="preserve">2013, le Parlement européen a lui aussi </w:t>
      </w:r>
      <w:r>
        <w:rPr>
          <w:lang w:val="fr-FR"/>
        </w:rPr>
        <w:t xml:space="preserve">condamné </w:t>
      </w:r>
      <w:r w:rsidRPr="00BB6085">
        <w:rPr>
          <w:lang w:val="fr-FR"/>
        </w:rPr>
        <w:t xml:space="preserve">le caractère inadapté et invasif </w:t>
      </w:r>
      <w:r w:rsidRPr="00BB6085">
        <w:t xml:space="preserve">des techniques médicales </w:t>
      </w:r>
      <w:r w:rsidRPr="00790719">
        <w:t>utilisées pour la détermination de l</w:t>
      </w:r>
      <w:r w:rsidR="00607BE5">
        <w:t>’</w:t>
      </w:r>
      <w:r w:rsidRPr="00790719">
        <w:t xml:space="preserve">âge </w:t>
      </w:r>
      <w:r w:rsidRPr="00BB6085">
        <w:t>basées sur l</w:t>
      </w:r>
      <w:r w:rsidR="00607BE5">
        <w:t>’</w:t>
      </w:r>
      <w:r w:rsidRPr="00BB6085">
        <w:t>âge osseux</w:t>
      </w:r>
      <w:r>
        <w:t>,</w:t>
      </w:r>
      <w:r w:rsidRPr="00BB6085">
        <w:t xml:space="preserve"> </w:t>
      </w:r>
      <w:r>
        <w:t xml:space="preserve">car </w:t>
      </w:r>
      <w:r w:rsidRPr="00BB6085">
        <w:t>elles peuvent occasionner des traumatismes</w:t>
      </w:r>
      <w:r>
        <w:t>, présentent</w:t>
      </w:r>
      <w:r w:rsidRPr="00BB6085">
        <w:t xml:space="preserve"> de grandes marges d</w:t>
      </w:r>
      <w:r w:rsidR="00607BE5">
        <w:t>’</w:t>
      </w:r>
      <w:r w:rsidRPr="00BB6085">
        <w:t>erreur et sont parfois pratiquées sans le consentement de l</w:t>
      </w:r>
      <w:r w:rsidR="00607BE5">
        <w:t>’</w:t>
      </w:r>
      <w:r w:rsidRPr="00BB6085">
        <w:t>enfant</w:t>
      </w:r>
      <w:r w:rsidRPr="00607BE5">
        <w:rPr>
          <w:rStyle w:val="Appelnotedebasdep"/>
        </w:rPr>
        <w:footnoteReference w:id="12"/>
      </w:r>
      <w:r w:rsidRPr="00BB6085">
        <w:t>.</w:t>
      </w:r>
    </w:p>
    <w:p w:rsidR="00EE3191" w:rsidRPr="00BB6085" w:rsidRDefault="00EE3191" w:rsidP="00EE3191">
      <w:pPr>
        <w:pStyle w:val="SingleTxtG"/>
        <w:rPr>
          <w:lang w:val="fr-FR"/>
        </w:rPr>
      </w:pPr>
      <w:r w:rsidRPr="00BB6085">
        <w:rPr>
          <w:lang w:val="fr-FR"/>
        </w:rPr>
        <w:t>8.4</w:t>
      </w:r>
      <w:r w:rsidRPr="00BB6085">
        <w:rPr>
          <w:lang w:val="fr-FR"/>
        </w:rPr>
        <w:tab/>
      </w:r>
      <w:r>
        <w:rPr>
          <w:lang w:val="fr-FR"/>
        </w:rPr>
        <w:t xml:space="preserve">La méthode de </w:t>
      </w:r>
      <w:r w:rsidRPr="00BB6085">
        <w:rPr>
          <w:lang w:val="fr-FR"/>
        </w:rPr>
        <w:t>Greulich et Pyle</w:t>
      </w:r>
      <w:r>
        <w:rPr>
          <w:lang w:val="fr-FR"/>
        </w:rPr>
        <w:t xml:space="preserve"> </w:t>
      </w:r>
      <w:r w:rsidRPr="00BB6085">
        <w:rPr>
          <w:lang w:val="fr-FR"/>
        </w:rPr>
        <w:t xml:space="preserve">est </w:t>
      </w:r>
      <w:r>
        <w:rPr>
          <w:lang w:val="fr-FR"/>
        </w:rPr>
        <w:t>in</w:t>
      </w:r>
      <w:r w:rsidRPr="00BB6085">
        <w:rPr>
          <w:lang w:val="fr-FR"/>
        </w:rPr>
        <w:t>adapté</w:t>
      </w:r>
      <w:r>
        <w:rPr>
          <w:lang w:val="fr-FR"/>
        </w:rPr>
        <w:t>e</w:t>
      </w:r>
      <w:r w:rsidRPr="00BB6085">
        <w:rPr>
          <w:lang w:val="fr-FR"/>
        </w:rPr>
        <w:t xml:space="preserve"> et </w:t>
      </w:r>
      <w:r>
        <w:rPr>
          <w:lang w:val="fr-FR"/>
        </w:rPr>
        <w:t>inapplicable</w:t>
      </w:r>
      <w:r w:rsidRPr="00BB6085">
        <w:rPr>
          <w:lang w:val="fr-FR"/>
        </w:rPr>
        <w:t xml:space="preserve"> aux migrants, qui sont</w:t>
      </w:r>
      <w:r>
        <w:rPr>
          <w:lang w:val="fr-FR"/>
        </w:rPr>
        <w:t xml:space="preserve"> en majorité</w:t>
      </w:r>
      <w:r w:rsidRPr="00BB6085">
        <w:rPr>
          <w:lang w:val="fr-FR"/>
        </w:rPr>
        <w:t xml:space="preserve"> des adolescents venant</w:t>
      </w:r>
      <w:r>
        <w:rPr>
          <w:lang w:val="fr-FR"/>
        </w:rPr>
        <w:t xml:space="preserve"> </w:t>
      </w:r>
      <w:r w:rsidRPr="00BB6085">
        <w:rPr>
          <w:lang w:val="fr-FR"/>
        </w:rPr>
        <w:t>d</w:t>
      </w:r>
      <w:r w:rsidR="00607BE5">
        <w:rPr>
          <w:lang w:val="fr-FR"/>
        </w:rPr>
        <w:t>’</w:t>
      </w:r>
      <w:r w:rsidRPr="00BB6085">
        <w:rPr>
          <w:lang w:val="fr-FR"/>
        </w:rPr>
        <w:t>Afrique subsaharienne, d</w:t>
      </w:r>
      <w:r w:rsidR="00607BE5">
        <w:rPr>
          <w:lang w:val="fr-FR"/>
        </w:rPr>
        <w:t>’</w:t>
      </w:r>
      <w:r w:rsidRPr="00BB6085">
        <w:rPr>
          <w:lang w:val="fr-FR"/>
        </w:rPr>
        <w:t>Asie ou d</w:t>
      </w:r>
      <w:r w:rsidR="00607BE5">
        <w:rPr>
          <w:lang w:val="fr-FR"/>
        </w:rPr>
        <w:t>’</w:t>
      </w:r>
      <w:r w:rsidRPr="00BB6085">
        <w:rPr>
          <w:lang w:val="fr-FR"/>
        </w:rPr>
        <w:t xml:space="preserve">Europe </w:t>
      </w:r>
      <w:r>
        <w:rPr>
          <w:lang w:val="fr-FR"/>
        </w:rPr>
        <w:t>de l</w:t>
      </w:r>
      <w:r w:rsidR="00607BE5">
        <w:rPr>
          <w:lang w:val="fr-FR"/>
        </w:rPr>
        <w:t>’</w:t>
      </w:r>
      <w:r>
        <w:rPr>
          <w:lang w:val="fr-FR"/>
        </w:rPr>
        <w:t>Est</w:t>
      </w:r>
      <w:r w:rsidRPr="00BB6085">
        <w:rPr>
          <w:lang w:val="fr-FR"/>
        </w:rPr>
        <w:t xml:space="preserve"> qui fuient leur pays d</w:t>
      </w:r>
      <w:r w:rsidR="00607BE5">
        <w:rPr>
          <w:lang w:val="fr-FR"/>
        </w:rPr>
        <w:t>’</w:t>
      </w:r>
      <w:r w:rsidRPr="00BB6085">
        <w:rPr>
          <w:lang w:val="fr-FR"/>
        </w:rPr>
        <w:t>origine</w:t>
      </w:r>
      <w:r>
        <w:rPr>
          <w:lang w:val="fr-FR"/>
        </w:rPr>
        <w:t>,</w:t>
      </w:r>
      <w:r w:rsidRPr="00BB6085">
        <w:rPr>
          <w:lang w:val="fr-FR"/>
        </w:rPr>
        <w:t xml:space="preserve"> </w:t>
      </w:r>
      <w:r>
        <w:rPr>
          <w:lang w:val="fr-FR"/>
        </w:rPr>
        <w:t>où</w:t>
      </w:r>
      <w:r w:rsidRPr="00DE0AA3">
        <w:rPr>
          <w:lang w:val="fr-FR"/>
        </w:rPr>
        <w:t xml:space="preserve"> </w:t>
      </w:r>
      <w:r>
        <w:rPr>
          <w:lang w:val="fr-FR"/>
        </w:rPr>
        <w:t xml:space="preserve">leur situation </w:t>
      </w:r>
      <w:r w:rsidRPr="00BB6085">
        <w:rPr>
          <w:lang w:val="fr-FR"/>
        </w:rPr>
        <w:t>socioéconomique</w:t>
      </w:r>
      <w:r>
        <w:rPr>
          <w:lang w:val="fr-FR"/>
        </w:rPr>
        <w:t xml:space="preserve"> est souvent</w:t>
      </w:r>
      <w:r w:rsidRPr="00BB6085">
        <w:rPr>
          <w:lang w:val="fr-FR"/>
        </w:rPr>
        <w:t xml:space="preserve"> précaire. Plusieurs études démontre</w:t>
      </w:r>
      <w:r>
        <w:rPr>
          <w:lang w:val="fr-FR"/>
        </w:rPr>
        <w:t>nt que le</w:t>
      </w:r>
      <w:r w:rsidRPr="00BB6085">
        <w:rPr>
          <w:lang w:val="fr-FR"/>
        </w:rPr>
        <w:t xml:space="preserve"> développement </w:t>
      </w:r>
      <w:r>
        <w:rPr>
          <w:lang w:val="fr-FR"/>
        </w:rPr>
        <w:t>osseux varie</w:t>
      </w:r>
      <w:r w:rsidRPr="00BB6085">
        <w:rPr>
          <w:lang w:val="fr-FR"/>
        </w:rPr>
        <w:t xml:space="preserve"> en fonction de l</w:t>
      </w:r>
      <w:r w:rsidR="00607BE5">
        <w:rPr>
          <w:lang w:val="fr-FR"/>
        </w:rPr>
        <w:t>’</w:t>
      </w:r>
      <w:r w:rsidRPr="00BB6085">
        <w:rPr>
          <w:lang w:val="fr-FR"/>
        </w:rPr>
        <w:t>origine ethnique et de la situation socioéconomique de</w:t>
      </w:r>
      <w:r>
        <w:rPr>
          <w:lang w:val="fr-FR"/>
        </w:rPr>
        <w:t xml:space="preserve"> l</w:t>
      </w:r>
      <w:r w:rsidR="00607BE5">
        <w:rPr>
          <w:lang w:val="fr-FR"/>
        </w:rPr>
        <w:t>’</w:t>
      </w:r>
      <w:r>
        <w:rPr>
          <w:lang w:val="fr-FR"/>
        </w:rPr>
        <w:t xml:space="preserve">individu, </w:t>
      </w:r>
      <w:r>
        <w:t>raison pour laquelle la</w:t>
      </w:r>
      <w:r w:rsidRPr="00BB6085">
        <w:rPr>
          <w:lang w:val="fr-FR"/>
        </w:rPr>
        <w:t xml:space="preserve"> méthode n</w:t>
      </w:r>
      <w:r w:rsidR="00607BE5">
        <w:rPr>
          <w:lang w:val="fr-FR"/>
        </w:rPr>
        <w:t>’</w:t>
      </w:r>
      <w:r w:rsidRPr="00BB6085">
        <w:rPr>
          <w:lang w:val="fr-FR"/>
        </w:rPr>
        <w:t xml:space="preserve">est pas </w:t>
      </w:r>
      <w:r>
        <w:rPr>
          <w:lang w:val="fr-FR"/>
        </w:rPr>
        <w:t>adéquate</w:t>
      </w:r>
      <w:r w:rsidRPr="00BB6085">
        <w:rPr>
          <w:lang w:val="fr-FR"/>
        </w:rPr>
        <w:t xml:space="preserve"> pour déterminer l</w:t>
      </w:r>
      <w:r w:rsidR="00607BE5">
        <w:rPr>
          <w:lang w:val="fr-FR"/>
        </w:rPr>
        <w:t>’</w:t>
      </w:r>
      <w:r w:rsidRPr="00BB6085">
        <w:rPr>
          <w:lang w:val="fr-FR"/>
        </w:rPr>
        <w:t xml:space="preserve">âge </w:t>
      </w:r>
      <w:r>
        <w:rPr>
          <w:lang w:val="fr-FR"/>
        </w:rPr>
        <w:t>de</w:t>
      </w:r>
      <w:r w:rsidRPr="00BB6085">
        <w:rPr>
          <w:lang w:val="fr-FR"/>
        </w:rPr>
        <w:t xml:space="preserve"> personne</w:t>
      </w:r>
      <w:r>
        <w:rPr>
          <w:lang w:val="fr-FR"/>
        </w:rPr>
        <w:t>s</w:t>
      </w:r>
      <w:r w:rsidRPr="00BB6085">
        <w:rPr>
          <w:lang w:val="fr-FR"/>
        </w:rPr>
        <w:t xml:space="preserve"> non européenne</w:t>
      </w:r>
      <w:r>
        <w:rPr>
          <w:lang w:val="fr-FR"/>
        </w:rPr>
        <w:t>s</w:t>
      </w:r>
      <w:r w:rsidRPr="00607BE5">
        <w:rPr>
          <w:rStyle w:val="Appelnotedebasdep"/>
        </w:rPr>
        <w:footnoteReference w:id="13"/>
      </w:r>
      <w:r w:rsidRPr="00BB6085">
        <w:rPr>
          <w:lang w:val="fr-FR"/>
        </w:rPr>
        <w:t xml:space="preserve">. </w:t>
      </w:r>
      <w:r>
        <w:rPr>
          <w:lang w:val="fr-FR"/>
        </w:rPr>
        <w:t>C</w:t>
      </w:r>
      <w:r w:rsidRPr="00BB6085">
        <w:rPr>
          <w:lang w:val="fr-FR"/>
        </w:rPr>
        <w:t xml:space="preserve">ette méthode présente </w:t>
      </w:r>
      <w:r>
        <w:rPr>
          <w:lang w:val="fr-FR"/>
        </w:rPr>
        <w:t>d</w:t>
      </w:r>
      <w:r w:rsidR="00607BE5">
        <w:rPr>
          <w:lang w:val="fr-FR"/>
        </w:rPr>
        <w:t>’</w:t>
      </w:r>
      <w:r>
        <w:rPr>
          <w:lang w:val="fr-FR"/>
        </w:rPr>
        <w:t xml:space="preserve">importantes </w:t>
      </w:r>
      <w:r w:rsidRPr="00BB6085">
        <w:rPr>
          <w:lang w:val="fr-FR"/>
        </w:rPr>
        <w:t>marge</w:t>
      </w:r>
      <w:r>
        <w:rPr>
          <w:lang w:val="fr-FR"/>
        </w:rPr>
        <w:t>s</w:t>
      </w:r>
      <w:r w:rsidRPr="00BB6085">
        <w:rPr>
          <w:lang w:val="fr-FR"/>
        </w:rPr>
        <w:t xml:space="preserve"> d</w:t>
      </w:r>
      <w:r w:rsidR="00607BE5">
        <w:rPr>
          <w:lang w:val="fr-FR"/>
        </w:rPr>
        <w:t>’</w:t>
      </w:r>
      <w:r w:rsidRPr="00BB6085">
        <w:rPr>
          <w:lang w:val="fr-FR"/>
        </w:rPr>
        <w:t>erreur</w:t>
      </w:r>
      <w:r>
        <w:rPr>
          <w:lang w:val="fr-FR"/>
        </w:rPr>
        <w:t>,</w:t>
      </w:r>
      <w:r w:rsidRPr="00BB6085">
        <w:rPr>
          <w:lang w:val="fr-FR"/>
        </w:rPr>
        <w:t xml:space="preserve"> en particulier </w:t>
      </w:r>
      <w:r>
        <w:rPr>
          <w:lang w:val="fr-FR"/>
        </w:rPr>
        <w:t>chez</w:t>
      </w:r>
      <w:r w:rsidRPr="00BB6085">
        <w:rPr>
          <w:lang w:val="fr-FR"/>
        </w:rPr>
        <w:t xml:space="preserve"> les </w:t>
      </w:r>
      <w:r>
        <w:rPr>
          <w:lang w:val="fr-FR"/>
        </w:rPr>
        <w:t>individus</w:t>
      </w:r>
      <w:r w:rsidRPr="00BB6085">
        <w:rPr>
          <w:lang w:val="fr-FR"/>
        </w:rPr>
        <w:t xml:space="preserve"> âgés de 15 à 18 ans</w:t>
      </w:r>
      <w:r w:rsidRPr="00607BE5">
        <w:rPr>
          <w:rStyle w:val="Appelnotedebasdep"/>
        </w:rPr>
        <w:footnoteReference w:id="14"/>
      </w:r>
      <w:r w:rsidRPr="00BB6085">
        <w:rPr>
          <w:lang w:val="fr-FR"/>
        </w:rPr>
        <w:t>. Selon le Commissaire aux droits de l</w:t>
      </w:r>
      <w:r w:rsidR="00607BE5">
        <w:rPr>
          <w:lang w:val="fr-FR"/>
        </w:rPr>
        <w:t>’</w:t>
      </w:r>
      <w:r w:rsidRPr="00BB6085">
        <w:rPr>
          <w:lang w:val="fr-FR"/>
        </w:rPr>
        <w:t>homme du Conseil de l</w:t>
      </w:r>
      <w:r w:rsidR="00607BE5">
        <w:rPr>
          <w:lang w:val="fr-FR"/>
        </w:rPr>
        <w:t>’</w:t>
      </w:r>
      <w:r w:rsidRPr="00BB6085">
        <w:rPr>
          <w:lang w:val="fr-FR"/>
        </w:rPr>
        <w:t>Europe, les associations</w:t>
      </w:r>
      <w:r>
        <w:rPr>
          <w:lang w:val="fr-FR"/>
        </w:rPr>
        <w:t xml:space="preserve"> européennes </w:t>
      </w:r>
      <w:r w:rsidRPr="00BB6085">
        <w:rPr>
          <w:lang w:val="fr-FR"/>
        </w:rPr>
        <w:t xml:space="preserve">de pédiatres sont catégoriques sur </w:t>
      </w:r>
      <w:r>
        <w:rPr>
          <w:lang w:val="fr-FR"/>
        </w:rPr>
        <w:t xml:space="preserve">un point : </w:t>
      </w:r>
      <w:r>
        <w:t>la maturité de la dentition</w:t>
      </w:r>
      <w:r w:rsidRPr="00392A4D">
        <w:rPr>
          <w:lang w:val="fr-FR"/>
        </w:rPr>
        <w:t xml:space="preserve"> </w:t>
      </w:r>
      <w:r w:rsidRPr="00BB6085">
        <w:rPr>
          <w:lang w:val="fr-FR"/>
        </w:rPr>
        <w:t>et du squelette ne permet pas de déterminer l</w:t>
      </w:r>
      <w:r w:rsidR="00607BE5">
        <w:rPr>
          <w:lang w:val="fr-FR"/>
        </w:rPr>
        <w:t>’</w:t>
      </w:r>
      <w:r w:rsidRPr="00BB6085">
        <w:rPr>
          <w:lang w:val="fr-FR"/>
        </w:rPr>
        <w:t>âge exact d</w:t>
      </w:r>
      <w:r w:rsidR="00607BE5">
        <w:rPr>
          <w:lang w:val="fr-FR"/>
        </w:rPr>
        <w:t>’</w:t>
      </w:r>
      <w:r w:rsidRPr="00BB6085">
        <w:rPr>
          <w:lang w:val="fr-FR"/>
        </w:rPr>
        <w:t>un enfant</w:t>
      </w:r>
      <w:r>
        <w:rPr>
          <w:lang w:val="fr-FR"/>
        </w:rPr>
        <w:t>,</w:t>
      </w:r>
      <w:r w:rsidRPr="00BB6085">
        <w:rPr>
          <w:lang w:val="fr-FR"/>
        </w:rPr>
        <w:t xml:space="preserve"> mais uniquement </w:t>
      </w:r>
      <w:r>
        <w:rPr>
          <w:lang w:val="fr-FR"/>
        </w:rPr>
        <w:t>d</w:t>
      </w:r>
      <w:r w:rsidR="00607BE5">
        <w:rPr>
          <w:lang w:val="fr-FR"/>
        </w:rPr>
        <w:t>’</w:t>
      </w:r>
      <w:r>
        <w:rPr>
          <w:lang w:val="fr-FR"/>
        </w:rPr>
        <w:t>en donner une</w:t>
      </w:r>
      <w:r w:rsidRPr="00BB6085">
        <w:rPr>
          <w:lang w:val="fr-FR"/>
        </w:rPr>
        <w:t xml:space="preserve"> estimation, avec une marge d</w:t>
      </w:r>
      <w:r w:rsidR="00607BE5">
        <w:rPr>
          <w:lang w:val="fr-FR"/>
        </w:rPr>
        <w:t>’</w:t>
      </w:r>
      <w:r w:rsidRPr="00BB6085">
        <w:rPr>
          <w:lang w:val="fr-FR"/>
        </w:rPr>
        <w:t xml:space="preserve">erreur importante de deux à trois ans. </w:t>
      </w:r>
      <w:r>
        <w:rPr>
          <w:lang w:val="fr-FR"/>
        </w:rPr>
        <w:t>L</w:t>
      </w:r>
      <w:r w:rsidR="00607BE5">
        <w:rPr>
          <w:lang w:val="fr-FR"/>
        </w:rPr>
        <w:t>’</w:t>
      </w:r>
      <w:r w:rsidRPr="00BB6085">
        <w:rPr>
          <w:lang w:val="fr-FR"/>
        </w:rPr>
        <w:t xml:space="preserve">interprétation des données peut </w:t>
      </w:r>
      <w:r>
        <w:rPr>
          <w:lang w:val="fr-FR"/>
        </w:rPr>
        <w:t xml:space="preserve">en outre </w:t>
      </w:r>
      <w:r w:rsidRPr="00BB6085">
        <w:rPr>
          <w:lang w:val="fr-FR"/>
        </w:rPr>
        <w:t>varier d</w:t>
      </w:r>
      <w:r w:rsidR="00607BE5">
        <w:rPr>
          <w:lang w:val="fr-FR"/>
        </w:rPr>
        <w:t>’</w:t>
      </w:r>
      <w:r w:rsidRPr="00BB6085">
        <w:rPr>
          <w:lang w:val="fr-FR"/>
        </w:rPr>
        <w:t>un pays à l</w:t>
      </w:r>
      <w:r w:rsidR="00607BE5">
        <w:rPr>
          <w:lang w:val="fr-FR"/>
        </w:rPr>
        <w:t>’</w:t>
      </w:r>
      <w:r w:rsidRPr="00BB6085">
        <w:rPr>
          <w:lang w:val="fr-FR"/>
        </w:rPr>
        <w:t>autre, voire d</w:t>
      </w:r>
      <w:r w:rsidR="00607BE5">
        <w:rPr>
          <w:lang w:val="fr-FR"/>
        </w:rPr>
        <w:t>’</w:t>
      </w:r>
      <w:r w:rsidRPr="00BB6085">
        <w:rPr>
          <w:lang w:val="fr-FR"/>
        </w:rPr>
        <w:t>un spécialiste à l</w:t>
      </w:r>
      <w:r w:rsidR="00607BE5">
        <w:rPr>
          <w:lang w:val="fr-FR"/>
        </w:rPr>
        <w:t>’</w:t>
      </w:r>
      <w:r w:rsidRPr="00BB6085">
        <w:rPr>
          <w:lang w:val="fr-FR"/>
        </w:rPr>
        <w:t>autre</w:t>
      </w:r>
      <w:r w:rsidRPr="00607BE5">
        <w:rPr>
          <w:rStyle w:val="Appelnotedebasdep"/>
        </w:rPr>
        <w:footnoteReference w:id="15"/>
      </w:r>
      <w:r w:rsidRPr="00BB6085">
        <w:rPr>
          <w:lang w:val="fr-FR"/>
        </w:rPr>
        <w:t xml:space="preserve">. Le Comité a </w:t>
      </w:r>
      <w:r>
        <w:rPr>
          <w:lang w:val="fr-FR"/>
        </w:rPr>
        <w:t xml:space="preserve">également engagé </w:t>
      </w:r>
      <w:r w:rsidRPr="00BB6085">
        <w:rPr>
          <w:lang w:val="fr-FR"/>
        </w:rPr>
        <w:t>les États à ne pa</w:t>
      </w:r>
      <w:r>
        <w:rPr>
          <w:lang w:val="fr-FR"/>
        </w:rPr>
        <w:t>s</w:t>
      </w:r>
      <w:r w:rsidRPr="00BB6085">
        <w:rPr>
          <w:lang w:val="fr-FR"/>
        </w:rPr>
        <w:t xml:space="preserve"> </w:t>
      </w:r>
      <w:r>
        <w:rPr>
          <w:lang w:val="fr-FR"/>
        </w:rPr>
        <w:t>utiliser les</w:t>
      </w:r>
      <w:r w:rsidRPr="00BB6085">
        <w:rPr>
          <w:lang w:val="fr-FR"/>
        </w:rPr>
        <w:t xml:space="preserve"> méthodes de détermination de l</w:t>
      </w:r>
      <w:r w:rsidR="00607BE5">
        <w:rPr>
          <w:lang w:val="fr-FR"/>
        </w:rPr>
        <w:t>’</w:t>
      </w:r>
      <w:r w:rsidRPr="00BB6085">
        <w:rPr>
          <w:lang w:val="fr-FR"/>
        </w:rPr>
        <w:t>âge osseux</w:t>
      </w:r>
      <w:r w:rsidRPr="00607BE5">
        <w:rPr>
          <w:rStyle w:val="Appelnotedebasdep"/>
        </w:rPr>
        <w:footnoteReference w:id="16"/>
      </w:r>
      <w:r>
        <w:rPr>
          <w:lang w:val="fr-FR"/>
        </w:rPr>
        <w:t>.</w:t>
      </w:r>
    </w:p>
    <w:p w:rsidR="00EE3191" w:rsidRPr="00BB6085" w:rsidRDefault="00EE3191" w:rsidP="00EE3191">
      <w:pPr>
        <w:pStyle w:val="SingleTxtG"/>
        <w:rPr>
          <w:lang w:val="fr-FR"/>
        </w:rPr>
      </w:pPr>
      <w:r w:rsidRPr="00BB6085">
        <w:rPr>
          <w:lang w:val="fr-FR"/>
        </w:rPr>
        <w:t>8.5</w:t>
      </w:r>
      <w:r w:rsidRPr="00BB6085">
        <w:rPr>
          <w:lang w:val="fr-FR"/>
        </w:rPr>
        <w:tab/>
      </w:r>
      <w:r>
        <w:rPr>
          <w:lang w:val="fr-FR"/>
        </w:rPr>
        <w:t>Le</w:t>
      </w:r>
      <w:r w:rsidRPr="00BB6085">
        <w:rPr>
          <w:lang w:val="fr-FR"/>
        </w:rPr>
        <w:t xml:space="preserve"> Défenseur des droits recommande</w:t>
      </w:r>
      <w:r>
        <w:rPr>
          <w:lang w:val="fr-FR"/>
        </w:rPr>
        <w:t xml:space="preserve"> par conséquent : a) </w:t>
      </w:r>
      <w:r w:rsidRPr="00BB6085">
        <w:rPr>
          <w:lang w:val="fr-FR"/>
        </w:rPr>
        <w:t>que la détermination de l</w:t>
      </w:r>
      <w:r w:rsidR="00607BE5">
        <w:rPr>
          <w:lang w:val="fr-FR"/>
        </w:rPr>
        <w:t>’</w:t>
      </w:r>
      <w:r w:rsidRPr="00BB6085">
        <w:rPr>
          <w:lang w:val="fr-FR"/>
        </w:rPr>
        <w:t xml:space="preserve">âge </w:t>
      </w:r>
      <w:r>
        <w:rPr>
          <w:lang w:val="fr-FR"/>
        </w:rPr>
        <w:t>s</w:t>
      </w:r>
      <w:r w:rsidR="00607BE5">
        <w:rPr>
          <w:lang w:val="fr-FR"/>
        </w:rPr>
        <w:t>’</w:t>
      </w:r>
      <w:r>
        <w:rPr>
          <w:lang w:val="fr-FR"/>
        </w:rPr>
        <w:t>inscrive dans une approche pluridisciplinaire</w:t>
      </w:r>
      <w:r w:rsidRPr="00BB6085">
        <w:rPr>
          <w:lang w:val="fr-FR"/>
        </w:rPr>
        <w:t xml:space="preserve"> et </w:t>
      </w:r>
      <w:r>
        <w:rPr>
          <w:lang w:val="fr-FR"/>
        </w:rPr>
        <w:t>qu</w:t>
      </w:r>
      <w:r w:rsidR="00607BE5">
        <w:rPr>
          <w:lang w:val="fr-FR"/>
        </w:rPr>
        <w:t>’</w:t>
      </w:r>
      <w:r>
        <w:rPr>
          <w:lang w:val="fr-FR"/>
        </w:rPr>
        <w:t>il ne soit procédé à des</w:t>
      </w:r>
      <w:r w:rsidRPr="00BB6085">
        <w:rPr>
          <w:lang w:val="fr-FR"/>
        </w:rPr>
        <w:t xml:space="preserve"> examens médicaux </w:t>
      </w:r>
      <w:r>
        <w:rPr>
          <w:lang w:val="fr-FR"/>
        </w:rPr>
        <w:t>qu</w:t>
      </w:r>
      <w:r w:rsidR="00607BE5">
        <w:rPr>
          <w:lang w:val="fr-FR"/>
        </w:rPr>
        <w:t>’</w:t>
      </w:r>
      <w:r w:rsidRPr="00BB6085">
        <w:rPr>
          <w:lang w:val="fr-FR"/>
        </w:rPr>
        <w:t xml:space="preserve">en dernier </w:t>
      </w:r>
      <w:r>
        <w:rPr>
          <w:lang w:val="fr-FR"/>
        </w:rPr>
        <w:t>ressort,</w:t>
      </w:r>
      <w:r w:rsidRPr="00BB6085">
        <w:rPr>
          <w:lang w:val="fr-FR"/>
        </w:rPr>
        <w:t xml:space="preserve"> </w:t>
      </w:r>
      <w:r>
        <w:rPr>
          <w:lang w:val="fr-FR"/>
        </w:rPr>
        <w:t>lorsqu</w:t>
      </w:r>
      <w:r w:rsidR="00607BE5">
        <w:rPr>
          <w:lang w:val="fr-FR"/>
        </w:rPr>
        <w:t>’</w:t>
      </w:r>
      <w:r w:rsidRPr="00BB6085">
        <w:rPr>
          <w:lang w:val="fr-FR"/>
        </w:rPr>
        <w:t>il existe des motifs sérieux de douter de l</w:t>
      </w:r>
      <w:r w:rsidR="00607BE5">
        <w:rPr>
          <w:lang w:val="fr-FR"/>
        </w:rPr>
        <w:t>’</w:t>
      </w:r>
      <w:r w:rsidRPr="00BB6085">
        <w:rPr>
          <w:lang w:val="fr-FR"/>
        </w:rPr>
        <w:t>âge d</w:t>
      </w:r>
      <w:r w:rsidR="00607BE5">
        <w:rPr>
          <w:lang w:val="fr-FR"/>
        </w:rPr>
        <w:t>’</w:t>
      </w:r>
      <w:r w:rsidRPr="00BB6085">
        <w:rPr>
          <w:lang w:val="fr-FR"/>
        </w:rPr>
        <w:t>un</w:t>
      </w:r>
      <w:r>
        <w:rPr>
          <w:lang w:val="fr-FR"/>
        </w:rPr>
        <w:t>e</w:t>
      </w:r>
      <w:r w:rsidRPr="00BB6085">
        <w:rPr>
          <w:lang w:val="fr-FR"/>
        </w:rPr>
        <w:t xml:space="preserve"> </w:t>
      </w:r>
      <w:r>
        <w:rPr>
          <w:lang w:val="fr-FR"/>
        </w:rPr>
        <w:t>personne</w:t>
      </w:r>
      <w:r w:rsidRPr="00BB6085">
        <w:rPr>
          <w:lang w:val="fr-FR"/>
        </w:rPr>
        <w:t> </w:t>
      </w:r>
      <w:r>
        <w:rPr>
          <w:lang w:val="fr-FR"/>
        </w:rPr>
        <w:t>; b) </w:t>
      </w:r>
      <w:r w:rsidRPr="00BB6085">
        <w:rPr>
          <w:lang w:val="fr-FR"/>
        </w:rPr>
        <w:t>que l</w:t>
      </w:r>
      <w:r w:rsidR="00607BE5">
        <w:rPr>
          <w:lang w:val="fr-FR"/>
        </w:rPr>
        <w:t>’</w:t>
      </w:r>
      <w:r w:rsidRPr="00BB6085">
        <w:rPr>
          <w:lang w:val="fr-FR"/>
        </w:rPr>
        <w:t>enfant soit informé et</w:t>
      </w:r>
      <w:r>
        <w:rPr>
          <w:lang w:val="fr-FR"/>
        </w:rPr>
        <w:t xml:space="preserve"> qu</w:t>
      </w:r>
      <w:r w:rsidR="00607BE5">
        <w:rPr>
          <w:lang w:val="fr-FR"/>
        </w:rPr>
        <w:t>’</w:t>
      </w:r>
      <w:r>
        <w:rPr>
          <w:lang w:val="fr-FR"/>
        </w:rPr>
        <w:t>il</w:t>
      </w:r>
      <w:r w:rsidRPr="00BB6085">
        <w:rPr>
          <w:lang w:val="fr-FR"/>
        </w:rPr>
        <w:t xml:space="preserve"> ait la possibilité de donner </w:t>
      </w:r>
      <w:r>
        <w:rPr>
          <w:lang w:val="fr-FR"/>
        </w:rPr>
        <w:t>son consentement préalable ; c) </w:t>
      </w:r>
      <w:r w:rsidRPr="00BB6085">
        <w:rPr>
          <w:lang w:val="fr-FR"/>
        </w:rPr>
        <w:t xml:space="preserve">que </w:t>
      </w:r>
      <w:r>
        <w:rPr>
          <w:lang w:val="fr-FR"/>
        </w:rPr>
        <w:t>l</w:t>
      </w:r>
      <w:r w:rsidR="00607BE5">
        <w:rPr>
          <w:lang w:val="fr-FR"/>
        </w:rPr>
        <w:t>’</w:t>
      </w:r>
      <w:r>
        <w:rPr>
          <w:lang w:val="fr-FR"/>
        </w:rPr>
        <w:t>intéressé</w:t>
      </w:r>
      <w:r w:rsidRPr="00BB6085">
        <w:rPr>
          <w:lang w:val="fr-FR"/>
        </w:rPr>
        <w:t xml:space="preserve"> soit présumé mineur </w:t>
      </w:r>
      <w:r>
        <w:rPr>
          <w:lang w:val="fr-FR"/>
        </w:rPr>
        <w:t>pendant</w:t>
      </w:r>
      <w:r w:rsidRPr="00BB6085">
        <w:rPr>
          <w:lang w:val="fr-FR"/>
        </w:rPr>
        <w:t xml:space="preserve"> la procédure de détermination de </w:t>
      </w:r>
      <w:r w:rsidRPr="00BB6085">
        <w:rPr>
          <w:lang w:val="fr-FR"/>
        </w:rPr>
        <w:lastRenderedPageBreak/>
        <w:t>l</w:t>
      </w:r>
      <w:r w:rsidR="00607BE5">
        <w:rPr>
          <w:lang w:val="fr-FR"/>
        </w:rPr>
        <w:t>’</w:t>
      </w:r>
      <w:r w:rsidRPr="00BB6085">
        <w:rPr>
          <w:lang w:val="fr-FR"/>
        </w:rPr>
        <w:t>âge</w:t>
      </w:r>
      <w:r>
        <w:rPr>
          <w:lang w:val="fr-FR"/>
        </w:rPr>
        <w:t xml:space="preserve"> </w:t>
      </w:r>
      <w:r w:rsidRPr="00BB6085">
        <w:rPr>
          <w:lang w:val="fr-FR"/>
        </w:rPr>
        <w:t>et que des mesures de protection soient prises, par exemple la désignation d</w:t>
      </w:r>
      <w:r w:rsidR="00607BE5">
        <w:rPr>
          <w:lang w:val="fr-FR"/>
        </w:rPr>
        <w:t>’</w:t>
      </w:r>
      <w:r w:rsidRPr="00BB6085">
        <w:rPr>
          <w:lang w:val="fr-FR"/>
        </w:rPr>
        <w:t>un</w:t>
      </w:r>
      <w:r w:rsidR="004F09B9">
        <w:rPr>
          <w:lang w:val="fr-FR"/>
        </w:rPr>
        <w:t> </w:t>
      </w:r>
      <w:r w:rsidRPr="00BB6085">
        <w:rPr>
          <w:lang w:val="fr-FR"/>
        </w:rPr>
        <w:t xml:space="preserve">représentant légal chargé </w:t>
      </w:r>
      <w:r>
        <w:rPr>
          <w:lang w:val="fr-FR"/>
        </w:rPr>
        <w:t>de l</w:t>
      </w:r>
      <w:r w:rsidR="00607BE5">
        <w:rPr>
          <w:lang w:val="fr-FR"/>
        </w:rPr>
        <w:t>’</w:t>
      </w:r>
      <w:r>
        <w:rPr>
          <w:lang w:val="fr-FR"/>
        </w:rPr>
        <w:t>assister tout au long de</w:t>
      </w:r>
      <w:r w:rsidRPr="00BB6085">
        <w:rPr>
          <w:lang w:val="fr-FR"/>
        </w:rPr>
        <w:t xml:space="preserve"> </w:t>
      </w:r>
      <w:r>
        <w:rPr>
          <w:lang w:val="fr-FR"/>
        </w:rPr>
        <w:t>la procédure ; d) </w:t>
      </w:r>
      <w:r w:rsidRPr="00BB6085">
        <w:rPr>
          <w:lang w:val="fr-FR"/>
        </w:rPr>
        <w:t xml:space="preserve">que </w:t>
      </w:r>
      <w:r>
        <w:rPr>
          <w:lang w:val="fr-FR"/>
        </w:rPr>
        <w:t>tout</w:t>
      </w:r>
      <w:r w:rsidRPr="00BB6085">
        <w:rPr>
          <w:lang w:val="fr-FR"/>
        </w:rPr>
        <w:t xml:space="preserve"> examen soit </w:t>
      </w:r>
      <w:r>
        <w:rPr>
          <w:lang w:val="fr-FR"/>
        </w:rPr>
        <w:t>effectué</w:t>
      </w:r>
      <w:r w:rsidRPr="00BB6085">
        <w:rPr>
          <w:lang w:val="fr-FR"/>
        </w:rPr>
        <w:t xml:space="preserve"> dans le strict respect des droits de l</w:t>
      </w:r>
      <w:r w:rsidR="00607BE5">
        <w:rPr>
          <w:lang w:val="fr-FR"/>
        </w:rPr>
        <w:t>’</w:t>
      </w:r>
      <w:r w:rsidRPr="00BB6085">
        <w:rPr>
          <w:lang w:val="fr-FR"/>
        </w:rPr>
        <w:t xml:space="preserve">enfant, </w:t>
      </w:r>
      <w:r>
        <w:rPr>
          <w:lang w:val="fr-FR"/>
        </w:rPr>
        <w:t>notamment de</w:t>
      </w:r>
      <w:r w:rsidRPr="00BB6085">
        <w:rPr>
          <w:lang w:val="fr-FR"/>
        </w:rPr>
        <w:t xml:space="preserve"> </w:t>
      </w:r>
      <w:r>
        <w:rPr>
          <w:lang w:val="fr-FR"/>
        </w:rPr>
        <w:t>sa</w:t>
      </w:r>
      <w:r w:rsidRPr="00BB6085">
        <w:rPr>
          <w:lang w:val="fr-FR"/>
        </w:rPr>
        <w:t xml:space="preserve"> dignité et </w:t>
      </w:r>
      <w:r>
        <w:rPr>
          <w:lang w:val="fr-FR"/>
        </w:rPr>
        <w:t>de son i</w:t>
      </w:r>
      <w:r w:rsidRPr="00BB6085">
        <w:rPr>
          <w:lang w:val="fr-FR"/>
        </w:rPr>
        <w:t>ntégrité physique ; e)</w:t>
      </w:r>
      <w:r w:rsidR="004F09B9">
        <w:rPr>
          <w:lang w:val="fr-FR"/>
        </w:rPr>
        <w:t> </w:t>
      </w:r>
      <w:r w:rsidRPr="00BB6085">
        <w:rPr>
          <w:lang w:val="fr-FR"/>
        </w:rPr>
        <w:t>que le droit de l</w:t>
      </w:r>
      <w:r w:rsidR="00607BE5">
        <w:rPr>
          <w:lang w:val="fr-FR"/>
        </w:rPr>
        <w:t>’</w:t>
      </w:r>
      <w:r w:rsidRPr="00BB6085">
        <w:rPr>
          <w:lang w:val="fr-FR"/>
        </w:rPr>
        <w:t xml:space="preserve">enfant </w:t>
      </w:r>
      <w:r>
        <w:rPr>
          <w:lang w:val="fr-FR"/>
        </w:rPr>
        <w:t xml:space="preserve">à </w:t>
      </w:r>
      <w:r w:rsidRPr="00BB6085">
        <w:rPr>
          <w:lang w:val="fr-FR"/>
        </w:rPr>
        <w:t>être entendu </w:t>
      </w:r>
      <w:r w:rsidRPr="00D32D46">
        <w:rPr>
          <w:lang w:val="fr-FR"/>
        </w:rPr>
        <w:t>soit respecté</w:t>
      </w:r>
      <w:r>
        <w:rPr>
          <w:lang w:val="fr-FR"/>
        </w:rPr>
        <w:t> </w:t>
      </w:r>
      <w:r w:rsidRPr="00BB6085">
        <w:rPr>
          <w:lang w:val="fr-FR"/>
        </w:rPr>
        <w:t>; f)</w:t>
      </w:r>
      <w:r w:rsidR="004F09B9">
        <w:rPr>
          <w:lang w:val="fr-FR"/>
        </w:rPr>
        <w:t> </w:t>
      </w:r>
      <w:r w:rsidRPr="00BB6085">
        <w:rPr>
          <w:lang w:val="fr-FR"/>
        </w:rPr>
        <w:t>que</w:t>
      </w:r>
      <w:r>
        <w:rPr>
          <w:lang w:val="fr-FR"/>
        </w:rPr>
        <w:t>,</w:t>
      </w:r>
      <w:r w:rsidRPr="00BB6085">
        <w:rPr>
          <w:lang w:val="fr-FR"/>
        </w:rPr>
        <w:t xml:space="preserve"> </w:t>
      </w:r>
      <w:r>
        <w:rPr>
          <w:lang w:val="fr-FR"/>
        </w:rPr>
        <w:t>si le</w:t>
      </w:r>
      <w:r w:rsidRPr="00BB6085">
        <w:rPr>
          <w:lang w:val="fr-FR"/>
        </w:rPr>
        <w:t xml:space="preserve"> doute </w:t>
      </w:r>
      <w:r>
        <w:rPr>
          <w:lang w:val="fr-FR"/>
        </w:rPr>
        <w:t>persiste à l</w:t>
      </w:r>
      <w:r w:rsidR="00607BE5">
        <w:rPr>
          <w:lang w:val="fr-FR"/>
        </w:rPr>
        <w:t>’</w:t>
      </w:r>
      <w:r>
        <w:rPr>
          <w:lang w:val="fr-FR"/>
        </w:rPr>
        <w:t>issue de la procédure, il bénéficie à l</w:t>
      </w:r>
      <w:r w:rsidR="00607BE5">
        <w:rPr>
          <w:lang w:val="fr-FR"/>
        </w:rPr>
        <w:t>’</w:t>
      </w:r>
      <w:r>
        <w:rPr>
          <w:lang w:val="fr-FR"/>
        </w:rPr>
        <w:t>intéressé ; g) qu</w:t>
      </w:r>
      <w:r w:rsidR="00607BE5">
        <w:rPr>
          <w:lang w:val="fr-FR"/>
        </w:rPr>
        <w:t>’</w:t>
      </w:r>
      <w:r>
        <w:rPr>
          <w:lang w:val="fr-FR"/>
        </w:rPr>
        <w:t>une</w:t>
      </w:r>
      <w:r w:rsidRPr="00BB6085">
        <w:rPr>
          <w:lang w:val="fr-FR"/>
        </w:rPr>
        <w:t xml:space="preserve"> demande de protection ne </w:t>
      </w:r>
      <w:r>
        <w:rPr>
          <w:lang w:val="fr-FR"/>
        </w:rPr>
        <w:t>puisse</w:t>
      </w:r>
      <w:r w:rsidRPr="00BB6085">
        <w:rPr>
          <w:lang w:val="fr-FR"/>
        </w:rPr>
        <w:t xml:space="preserve"> pas </w:t>
      </w:r>
      <w:r>
        <w:rPr>
          <w:lang w:val="fr-FR"/>
        </w:rPr>
        <w:t xml:space="preserve">être </w:t>
      </w:r>
      <w:r w:rsidRPr="00BB6085">
        <w:rPr>
          <w:lang w:val="fr-FR"/>
        </w:rPr>
        <w:t xml:space="preserve">rejetée au </w:t>
      </w:r>
      <w:r>
        <w:rPr>
          <w:lang w:val="fr-FR"/>
        </w:rPr>
        <w:t xml:space="preserve">seul </w:t>
      </w:r>
      <w:r w:rsidRPr="00BB6085">
        <w:rPr>
          <w:lang w:val="fr-FR"/>
        </w:rPr>
        <w:t xml:space="preserve">motif que </w:t>
      </w:r>
      <w:r>
        <w:rPr>
          <w:lang w:val="fr-FR"/>
        </w:rPr>
        <w:t>l</w:t>
      </w:r>
      <w:r w:rsidR="00607BE5">
        <w:rPr>
          <w:lang w:val="fr-FR"/>
        </w:rPr>
        <w:t>’</w:t>
      </w:r>
      <w:r>
        <w:rPr>
          <w:lang w:val="fr-FR"/>
        </w:rPr>
        <w:t>intéressé refuse</w:t>
      </w:r>
      <w:r w:rsidRPr="00BB6085">
        <w:rPr>
          <w:lang w:val="fr-FR"/>
        </w:rPr>
        <w:t xml:space="preserve"> de se soumettre à des examens médicaux ; h)</w:t>
      </w:r>
      <w:r>
        <w:rPr>
          <w:lang w:val="fr-FR"/>
        </w:rPr>
        <w:t> </w:t>
      </w:r>
      <w:r w:rsidRPr="00BB6085">
        <w:rPr>
          <w:lang w:val="fr-FR"/>
        </w:rPr>
        <w:t>qu</w:t>
      </w:r>
      <w:r w:rsidR="00607BE5">
        <w:rPr>
          <w:lang w:val="fr-FR"/>
        </w:rPr>
        <w:t>’</w:t>
      </w:r>
      <w:r w:rsidRPr="00BB6085">
        <w:rPr>
          <w:lang w:val="fr-FR"/>
        </w:rPr>
        <w:t xml:space="preserve">il existe un recours utile </w:t>
      </w:r>
      <w:r>
        <w:rPr>
          <w:lang w:val="fr-FR"/>
        </w:rPr>
        <w:t xml:space="preserve">permettant de </w:t>
      </w:r>
      <w:r w:rsidRPr="00BB6085">
        <w:rPr>
          <w:lang w:val="fr-FR"/>
        </w:rPr>
        <w:t xml:space="preserve">contester </w:t>
      </w:r>
      <w:r>
        <w:rPr>
          <w:lang w:val="fr-FR"/>
        </w:rPr>
        <w:t>les</w:t>
      </w:r>
      <w:r w:rsidRPr="00BB6085">
        <w:rPr>
          <w:lang w:val="fr-FR"/>
        </w:rPr>
        <w:t xml:space="preserve"> décision</w:t>
      </w:r>
      <w:r>
        <w:rPr>
          <w:lang w:val="fr-FR"/>
        </w:rPr>
        <w:t>s</w:t>
      </w:r>
      <w:r w:rsidRPr="00BB6085">
        <w:rPr>
          <w:lang w:val="fr-FR"/>
        </w:rPr>
        <w:t xml:space="preserve"> fondée</w:t>
      </w:r>
      <w:r>
        <w:rPr>
          <w:lang w:val="fr-FR"/>
        </w:rPr>
        <w:t>s</w:t>
      </w:r>
      <w:r w:rsidRPr="00BB6085">
        <w:rPr>
          <w:lang w:val="fr-FR"/>
        </w:rPr>
        <w:t xml:space="preserve"> sur une procédure de détermination de l</w:t>
      </w:r>
      <w:r w:rsidR="00607BE5">
        <w:rPr>
          <w:lang w:val="fr-FR"/>
        </w:rPr>
        <w:t>’</w:t>
      </w:r>
      <w:r>
        <w:rPr>
          <w:lang w:val="fr-FR"/>
        </w:rPr>
        <w:t>âge.</w:t>
      </w:r>
    </w:p>
    <w:p w:rsidR="00EE3191" w:rsidRPr="00BB6085" w:rsidRDefault="00EE3191" w:rsidP="00EE3191">
      <w:pPr>
        <w:pStyle w:val="SingleTxtG"/>
        <w:rPr>
          <w:lang w:val="fr-FR"/>
        </w:rPr>
      </w:pPr>
      <w:r w:rsidRPr="00BB6085">
        <w:rPr>
          <w:lang w:val="fr-FR"/>
        </w:rPr>
        <w:t>8.6</w:t>
      </w:r>
      <w:r w:rsidRPr="00BB6085">
        <w:rPr>
          <w:lang w:val="fr-FR"/>
        </w:rPr>
        <w:tab/>
        <w:t>Le Défenseur des droits rappelle que la détention d</w:t>
      </w:r>
      <w:r w:rsidR="00607BE5">
        <w:rPr>
          <w:lang w:val="fr-FR"/>
        </w:rPr>
        <w:t>’</w:t>
      </w:r>
      <w:r w:rsidRPr="00BB6085">
        <w:rPr>
          <w:lang w:val="fr-FR"/>
        </w:rPr>
        <w:t xml:space="preserve">enfants migrants, même </w:t>
      </w:r>
      <w:r>
        <w:rPr>
          <w:lang w:val="fr-FR"/>
        </w:rPr>
        <w:t>de</w:t>
      </w:r>
      <w:r w:rsidRPr="00BB6085">
        <w:rPr>
          <w:lang w:val="fr-FR"/>
        </w:rPr>
        <w:t xml:space="preserve"> courte </w:t>
      </w:r>
      <w:r>
        <w:rPr>
          <w:lang w:val="fr-FR"/>
        </w:rPr>
        <w:t>durée</w:t>
      </w:r>
      <w:r w:rsidRPr="00BB6085">
        <w:rPr>
          <w:lang w:val="fr-FR"/>
        </w:rPr>
        <w:t xml:space="preserve"> et à des fins de détermination de l</w:t>
      </w:r>
      <w:r w:rsidR="00607BE5">
        <w:rPr>
          <w:lang w:val="fr-FR"/>
        </w:rPr>
        <w:t>’</w:t>
      </w:r>
      <w:r w:rsidRPr="00BB6085">
        <w:rPr>
          <w:lang w:val="fr-FR"/>
        </w:rPr>
        <w:t xml:space="preserve">âge, est interdite par le droit international et que les États </w:t>
      </w:r>
      <w:r>
        <w:rPr>
          <w:lang w:val="fr-FR"/>
        </w:rPr>
        <w:t>devraient appliquer des mesures autres que la détention</w:t>
      </w:r>
      <w:r w:rsidRPr="00BB6085">
        <w:rPr>
          <w:lang w:val="fr-FR"/>
        </w:rPr>
        <w:t xml:space="preserve">. Les États devraient interdire la privation de liberté des enfants ou leur </w:t>
      </w:r>
      <w:r>
        <w:rPr>
          <w:lang w:val="fr-FR"/>
        </w:rPr>
        <w:t xml:space="preserve">placement en </w:t>
      </w:r>
      <w:r w:rsidRPr="00BB6085">
        <w:rPr>
          <w:lang w:val="fr-FR"/>
        </w:rPr>
        <w:t>détention dans des établissements pour adultes</w:t>
      </w:r>
      <w:r w:rsidRPr="00607BE5">
        <w:rPr>
          <w:rStyle w:val="Appelnotedebasdep"/>
        </w:rPr>
        <w:footnoteReference w:id="17"/>
      </w:r>
      <w:r w:rsidRPr="00BB6085">
        <w:rPr>
          <w:lang w:val="fr-FR"/>
        </w:rPr>
        <w:t>. Les services de protection</w:t>
      </w:r>
      <w:r>
        <w:rPr>
          <w:lang w:val="fr-FR"/>
        </w:rPr>
        <w:t xml:space="preserve"> </w:t>
      </w:r>
      <w:r w:rsidRPr="00BB6085">
        <w:rPr>
          <w:lang w:val="fr-FR"/>
        </w:rPr>
        <w:t>de l</w:t>
      </w:r>
      <w:r w:rsidR="00607BE5">
        <w:rPr>
          <w:lang w:val="fr-FR"/>
        </w:rPr>
        <w:t>’</w:t>
      </w:r>
      <w:r w:rsidRPr="00BB6085">
        <w:rPr>
          <w:lang w:val="fr-FR"/>
        </w:rPr>
        <w:t xml:space="preserve">enfance devraient être immédiatement </w:t>
      </w:r>
      <w:r>
        <w:rPr>
          <w:lang w:val="fr-FR"/>
        </w:rPr>
        <w:t>avisés</w:t>
      </w:r>
      <w:r w:rsidRPr="00BB6085">
        <w:rPr>
          <w:lang w:val="fr-FR"/>
        </w:rPr>
        <w:t xml:space="preserve"> afin qu</w:t>
      </w:r>
      <w:r w:rsidR="00607BE5">
        <w:rPr>
          <w:lang w:val="fr-FR"/>
        </w:rPr>
        <w:t>’</w:t>
      </w:r>
      <w:r w:rsidRPr="00BB6085">
        <w:rPr>
          <w:lang w:val="fr-FR"/>
        </w:rPr>
        <w:t>ils puissent évaluer le</w:t>
      </w:r>
      <w:r>
        <w:rPr>
          <w:lang w:val="fr-FR"/>
        </w:rPr>
        <w:t>s</w:t>
      </w:r>
      <w:r w:rsidRPr="00BB6085">
        <w:rPr>
          <w:lang w:val="fr-FR"/>
        </w:rPr>
        <w:t xml:space="preserve"> besoin</w:t>
      </w:r>
      <w:r>
        <w:rPr>
          <w:lang w:val="fr-FR"/>
        </w:rPr>
        <w:t>s</w:t>
      </w:r>
      <w:r w:rsidRPr="00BB6085">
        <w:rPr>
          <w:lang w:val="fr-FR"/>
        </w:rPr>
        <w:t xml:space="preserve"> de protection de l</w:t>
      </w:r>
      <w:r w:rsidR="00607BE5">
        <w:rPr>
          <w:lang w:val="fr-FR"/>
        </w:rPr>
        <w:t>’</w:t>
      </w:r>
      <w:r w:rsidRPr="00BB6085">
        <w:rPr>
          <w:lang w:val="fr-FR"/>
        </w:rPr>
        <w:t>enfant</w:t>
      </w:r>
      <w:r w:rsidRPr="00607BE5">
        <w:rPr>
          <w:rStyle w:val="Appelnotedebasdep"/>
        </w:rPr>
        <w:footnoteReference w:id="18"/>
      </w:r>
      <w:r>
        <w:rPr>
          <w:lang w:val="fr-FR"/>
        </w:rPr>
        <w:t>.</w:t>
      </w:r>
    </w:p>
    <w:p w:rsidR="00EE3191" w:rsidRPr="00BB6085" w:rsidRDefault="00EE3191" w:rsidP="00EE3191">
      <w:pPr>
        <w:pStyle w:val="H23G"/>
        <w:rPr>
          <w:lang w:val="fr-FR"/>
        </w:rPr>
      </w:pPr>
      <w:r w:rsidRPr="00BB6085">
        <w:rPr>
          <w:lang w:val="fr-FR"/>
        </w:rPr>
        <w:tab/>
      </w:r>
      <w:r w:rsidRPr="00BB6085">
        <w:rPr>
          <w:lang w:val="fr-FR"/>
        </w:rPr>
        <w:tab/>
        <w:t>Observations complémentaires des parties</w:t>
      </w:r>
    </w:p>
    <w:p w:rsidR="00EE3191" w:rsidRDefault="00EE3191" w:rsidP="00EE3191">
      <w:pPr>
        <w:pStyle w:val="SingleTxtG"/>
        <w:rPr>
          <w:lang w:val="fr-FR"/>
        </w:rPr>
      </w:pPr>
      <w:r w:rsidRPr="00BB6085">
        <w:rPr>
          <w:lang w:val="fr-FR"/>
        </w:rPr>
        <w:t>9.1</w:t>
      </w:r>
      <w:r w:rsidRPr="00BB6085">
        <w:rPr>
          <w:lang w:val="fr-FR"/>
        </w:rPr>
        <w:tab/>
        <w:t>Dans ses observations du 3</w:t>
      </w:r>
      <w:r>
        <w:rPr>
          <w:lang w:val="fr-FR"/>
        </w:rPr>
        <w:t> </w:t>
      </w:r>
      <w:r w:rsidRPr="00BB6085">
        <w:rPr>
          <w:lang w:val="fr-FR"/>
        </w:rPr>
        <w:t>août</w:t>
      </w:r>
      <w:r>
        <w:rPr>
          <w:lang w:val="fr-FR"/>
        </w:rPr>
        <w:t xml:space="preserve"> </w:t>
      </w:r>
      <w:r w:rsidRPr="00BB6085">
        <w:rPr>
          <w:lang w:val="fr-FR"/>
        </w:rPr>
        <w:t>2018, l</w:t>
      </w:r>
      <w:r w:rsidR="00607BE5">
        <w:rPr>
          <w:lang w:val="fr-FR"/>
        </w:rPr>
        <w:t>’</w:t>
      </w:r>
      <w:r w:rsidRPr="00BB6085">
        <w:rPr>
          <w:lang w:val="fr-FR"/>
        </w:rPr>
        <w:t>État partie signale que le passeport dont l</w:t>
      </w:r>
      <w:r w:rsidR="00607BE5">
        <w:rPr>
          <w:lang w:val="fr-FR"/>
        </w:rPr>
        <w:t>’</w:t>
      </w:r>
      <w:r w:rsidRPr="00BB6085">
        <w:rPr>
          <w:lang w:val="fr-FR"/>
        </w:rPr>
        <w:t xml:space="preserve">auteur a </w:t>
      </w:r>
      <w:r>
        <w:rPr>
          <w:lang w:val="fr-FR"/>
        </w:rPr>
        <w:t>joint</w:t>
      </w:r>
      <w:r w:rsidRPr="00BB6085">
        <w:rPr>
          <w:lang w:val="fr-FR"/>
        </w:rPr>
        <w:t xml:space="preserve"> une copie n</w:t>
      </w:r>
      <w:r w:rsidR="00607BE5">
        <w:rPr>
          <w:lang w:val="fr-FR"/>
        </w:rPr>
        <w:t>’</w:t>
      </w:r>
      <w:r w:rsidRPr="00BB6085">
        <w:rPr>
          <w:lang w:val="fr-FR"/>
        </w:rPr>
        <w:t>a jamais été présenté aux autorités espagnoles, alors qu</w:t>
      </w:r>
      <w:r w:rsidR="00607BE5">
        <w:rPr>
          <w:lang w:val="fr-FR"/>
        </w:rPr>
        <w:t>’</w:t>
      </w:r>
      <w:r w:rsidRPr="00BB6085">
        <w:rPr>
          <w:lang w:val="fr-FR"/>
        </w:rPr>
        <w:t>il a été délivré le 20 juin</w:t>
      </w:r>
      <w:r>
        <w:rPr>
          <w:lang w:val="fr-FR"/>
        </w:rPr>
        <w:t xml:space="preserve"> </w:t>
      </w:r>
      <w:r w:rsidRPr="00BB6085">
        <w:rPr>
          <w:lang w:val="fr-FR"/>
        </w:rPr>
        <w:t xml:space="preserve">2017, et que la copie a </w:t>
      </w:r>
      <w:r>
        <w:rPr>
          <w:lang w:val="fr-FR"/>
        </w:rPr>
        <w:t xml:space="preserve">été adressée </w:t>
      </w:r>
      <w:r w:rsidRPr="00BB6085">
        <w:rPr>
          <w:lang w:val="fr-FR"/>
        </w:rPr>
        <w:t>au Comité le 28 mars</w:t>
      </w:r>
      <w:r>
        <w:rPr>
          <w:lang w:val="fr-FR"/>
        </w:rPr>
        <w:t xml:space="preserve"> </w:t>
      </w:r>
      <w:r w:rsidRPr="00BB6085">
        <w:rPr>
          <w:lang w:val="fr-FR"/>
        </w:rPr>
        <w:t>2018</w:t>
      </w:r>
      <w:r>
        <w:rPr>
          <w:lang w:val="fr-FR"/>
        </w:rPr>
        <w:t xml:space="preserve"> seulement</w:t>
      </w:r>
      <w:r w:rsidRPr="00BB6085">
        <w:rPr>
          <w:lang w:val="fr-FR"/>
        </w:rPr>
        <w:t>, ce qui démontre la mauvaise foi de l</w:t>
      </w:r>
      <w:r w:rsidR="00607BE5">
        <w:rPr>
          <w:lang w:val="fr-FR"/>
        </w:rPr>
        <w:t>’</w:t>
      </w:r>
      <w:r w:rsidRPr="00BB6085">
        <w:rPr>
          <w:lang w:val="fr-FR"/>
        </w:rPr>
        <w:t>auteur. Il ressort du paragraphe</w:t>
      </w:r>
      <w:r w:rsidR="004F09B9">
        <w:rPr>
          <w:lang w:val="fr-FR"/>
        </w:rPr>
        <w:t> </w:t>
      </w:r>
      <w:r w:rsidRPr="00BB6085">
        <w:rPr>
          <w:lang w:val="fr-FR"/>
        </w:rPr>
        <w:t>1</w:t>
      </w:r>
      <w:r w:rsidR="004F09B9">
        <w:rPr>
          <w:lang w:val="fr-FR"/>
        </w:rPr>
        <w:t> </w:t>
      </w:r>
      <w:r w:rsidRPr="00BB6085">
        <w:rPr>
          <w:lang w:val="fr-FR"/>
        </w:rPr>
        <w:t>a) de l</w:t>
      </w:r>
      <w:r w:rsidR="00607BE5">
        <w:rPr>
          <w:lang w:val="fr-FR"/>
        </w:rPr>
        <w:t>’</w:t>
      </w:r>
      <w:r w:rsidRPr="00BB6085">
        <w:rPr>
          <w:lang w:val="fr-FR"/>
        </w:rPr>
        <w:t>article</w:t>
      </w:r>
      <w:r>
        <w:rPr>
          <w:lang w:val="fr-FR"/>
        </w:rPr>
        <w:t> </w:t>
      </w:r>
      <w:r w:rsidRPr="00BB6085">
        <w:rPr>
          <w:lang w:val="fr-FR"/>
        </w:rPr>
        <w:t xml:space="preserve">15 du </w:t>
      </w:r>
      <w:r>
        <w:rPr>
          <w:lang w:val="fr-FR"/>
        </w:rPr>
        <w:t>r</w:t>
      </w:r>
      <w:r w:rsidRPr="00BB6085">
        <w:rPr>
          <w:lang w:val="fr-FR"/>
        </w:rPr>
        <w:t>èglement intérieur du Comité</w:t>
      </w:r>
      <w:r w:rsidRPr="00607BE5">
        <w:rPr>
          <w:rStyle w:val="Appelnotedebasdep"/>
        </w:rPr>
        <w:footnoteReference w:id="19"/>
      </w:r>
      <w:r w:rsidRPr="00BB6085">
        <w:rPr>
          <w:lang w:val="fr-FR"/>
        </w:rPr>
        <w:t xml:space="preserve"> que les parties sont tenues de porter immédiatement à la connaissance du Comité tous les renseignements et documents utiles permettant de prouver l</w:t>
      </w:r>
      <w:r w:rsidR="00607BE5">
        <w:rPr>
          <w:lang w:val="fr-FR"/>
        </w:rPr>
        <w:t>’</w:t>
      </w:r>
      <w:r w:rsidRPr="00BB6085">
        <w:rPr>
          <w:lang w:val="fr-FR"/>
        </w:rPr>
        <w:t>identité et l</w:t>
      </w:r>
      <w:r w:rsidR="00607BE5">
        <w:rPr>
          <w:lang w:val="fr-FR"/>
        </w:rPr>
        <w:t>’</w:t>
      </w:r>
      <w:r w:rsidRPr="00BB6085">
        <w:rPr>
          <w:lang w:val="fr-FR"/>
        </w:rPr>
        <w:t>âge du l</w:t>
      </w:r>
      <w:r w:rsidR="00607BE5">
        <w:rPr>
          <w:lang w:val="fr-FR"/>
        </w:rPr>
        <w:t>’</w:t>
      </w:r>
      <w:r w:rsidRPr="00BB6085">
        <w:rPr>
          <w:lang w:val="fr-FR"/>
        </w:rPr>
        <w:t xml:space="preserve">auteur. </w:t>
      </w:r>
      <w:r>
        <w:rPr>
          <w:lang w:val="fr-FR"/>
        </w:rPr>
        <w:t>Or</w:t>
      </w:r>
      <w:r w:rsidRPr="00BB6085">
        <w:rPr>
          <w:lang w:val="fr-FR"/>
        </w:rPr>
        <w:t>, l</w:t>
      </w:r>
      <w:r w:rsidR="00607BE5">
        <w:rPr>
          <w:lang w:val="fr-FR"/>
        </w:rPr>
        <w:t>’</w:t>
      </w:r>
      <w:r w:rsidRPr="00BB6085">
        <w:rPr>
          <w:lang w:val="fr-FR"/>
        </w:rPr>
        <w:t xml:space="preserve">auteur </w:t>
      </w:r>
      <w:r>
        <w:rPr>
          <w:lang w:val="fr-FR"/>
        </w:rPr>
        <w:t>n</w:t>
      </w:r>
      <w:r w:rsidR="00607BE5">
        <w:rPr>
          <w:lang w:val="fr-FR"/>
        </w:rPr>
        <w:t>’</w:t>
      </w:r>
      <w:r>
        <w:rPr>
          <w:lang w:val="fr-FR"/>
        </w:rPr>
        <w:t>a</w:t>
      </w:r>
      <w:r w:rsidRPr="00BB6085">
        <w:rPr>
          <w:lang w:val="fr-FR"/>
        </w:rPr>
        <w:t xml:space="preserve"> </w:t>
      </w:r>
      <w:r>
        <w:rPr>
          <w:lang w:val="fr-FR"/>
        </w:rPr>
        <w:t>produit ce qu</w:t>
      </w:r>
      <w:r w:rsidR="00607BE5">
        <w:rPr>
          <w:lang w:val="fr-FR"/>
        </w:rPr>
        <w:t>’</w:t>
      </w:r>
      <w:r>
        <w:rPr>
          <w:lang w:val="fr-FR"/>
        </w:rPr>
        <w:t xml:space="preserve">il considérait comme une </w:t>
      </w:r>
      <w:r w:rsidRPr="00BB6085">
        <w:rPr>
          <w:lang w:val="fr-FR"/>
        </w:rPr>
        <w:t>preuve qu</w:t>
      </w:r>
      <w:r w:rsidR="00607BE5">
        <w:rPr>
          <w:lang w:val="fr-FR"/>
        </w:rPr>
        <w:t>’</w:t>
      </w:r>
      <w:r w:rsidRPr="00BB6085">
        <w:rPr>
          <w:lang w:val="fr-FR"/>
        </w:rPr>
        <w:t>une fois que l</w:t>
      </w:r>
      <w:r w:rsidR="00607BE5">
        <w:rPr>
          <w:lang w:val="fr-FR"/>
        </w:rPr>
        <w:t>’</w:t>
      </w:r>
      <w:r w:rsidRPr="00BB6085">
        <w:rPr>
          <w:lang w:val="fr-FR"/>
        </w:rPr>
        <w:t xml:space="preserve">État partie avait formulé ses observations. En conséquence, </w:t>
      </w:r>
      <w:r>
        <w:rPr>
          <w:lang w:val="fr-FR"/>
        </w:rPr>
        <w:t xml:space="preserve">celui-ci ne pouvait pas prendre </w:t>
      </w:r>
      <w:r w:rsidRPr="00BB6085">
        <w:rPr>
          <w:lang w:val="fr-FR"/>
        </w:rPr>
        <w:t xml:space="preserve">le passeport </w:t>
      </w:r>
      <w:r>
        <w:rPr>
          <w:lang w:val="fr-FR"/>
        </w:rPr>
        <w:t>en considération</w:t>
      </w:r>
      <w:r w:rsidRPr="00BB6085">
        <w:rPr>
          <w:lang w:val="fr-FR"/>
        </w:rPr>
        <w:t>. Compte tenu de la nécessité d</w:t>
      </w:r>
      <w:r w:rsidR="00607BE5">
        <w:rPr>
          <w:lang w:val="fr-FR"/>
        </w:rPr>
        <w:t>’</w:t>
      </w:r>
      <w:r w:rsidRPr="00BB6085">
        <w:rPr>
          <w:lang w:val="fr-FR"/>
        </w:rPr>
        <w:t>épuiser les recours internes avant de saisir le Comité, le passeport original aurait dû être présenté aux autorités espagnoles compétentes</w:t>
      </w:r>
      <w:r w:rsidRPr="00607BE5">
        <w:rPr>
          <w:rStyle w:val="Appelnotedebasdep"/>
        </w:rPr>
        <w:footnoteReference w:id="20"/>
      </w:r>
      <w:r w:rsidRPr="00BB6085">
        <w:rPr>
          <w:lang w:val="fr-FR"/>
        </w:rPr>
        <w:t xml:space="preserve"> </w:t>
      </w:r>
      <w:r>
        <w:rPr>
          <w:lang w:val="fr-FR"/>
        </w:rPr>
        <w:t>dès qu</w:t>
      </w:r>
      <w:r w:rsidR="00607BE5">
        <w:rPr>
          <w:lang w:val="fr-FR"/>
        </w:rPr>
        <w:t>’</w:t>
      </w:r>
      <w:r>
        <w:rPr>
          <w:lang w:val="fr-FR"/>
        </w:rPr>
        <w:t>il a été délivré.</w:t>
      </w:r>
    </w:p>
    <w:p w:rsidR="00EE3191" w:rsidRPr="00127957" w:rsidRDefault="00EE3191" w:rsidP="00EE3191">
      <w:pPr>
        <w:pStyle w:val="SingleTxtG"/>
        <w:rPr>
          <w:lang w:val="fr-FR"/>
        </w:rPr>
      </w:pPr>
      <w:r w:rsidRPr="00BB6085">
        <w:rPr>
          <w:lang w:val="fr-FR"/>
        </w:rPr>
        <w:t>9.2</w:t>
      </w:r>
      <w:r w:rsidRPr="00BB6085">
        <w:rPr>
          <w:lang w:val="fr-FR"/>
        </w:rPr>
        <w:tab/>
        <w:t>L</w:t>
      </w:r>
      <w:r w:rsidR="00607BE5">
        <w:rPr>
          <w:lang w:val="fr-FR"/>
        </w:rPr>
        <w:t>’</w:t>
      </w:r>
      <w:r w:rsidRPr="00BB6085">
        <w:rPr>
          <w:lang w:val="fr-FR"/>
        </w:rPr>
        <w:t xml:space="preserve">État partie souligne le manque de cohérence entre les </w:t>
      </w:r>
      <w:r>
        <w:rPr>
          <w:lang w:val="fr-FR"/>
        </w:rPr>
        <w:t>formes</w:t>
      </w:r>
      <w:r w:rsidRPr="00BB6085">
        <w:rPr>
          <w:lang w:val="fr-FR"/>
        </w:rPr>
        <w:t xml:space="preserve"> de réparation </w:t>
      </w:r>
      <w:r>
        <w:rPr>
          <w:lang w:val="fr-FR"/>
        </w:rPr>
        <w:t>demand</w:t>
      </w:r>
      <w:r w:rsidRPr="00BB6085">
        <w:rPr>
          <w:lang w:val="fr-FR"/>
        </w:rPr>
        <w:t>ées par l</w:t>
      </w:r>
      <w:r w:rsidR="00607BE5">
        <w:rPr>
          <w:lang w:val="fr-FR"/>
        </w:rPr>
        <w:t>’</w:t>
      </w:r>
      <w:r w:rsidRPr="00BB6085">
        <w:rPr>
          <w:lang w:val="fr-FR"/>
        </w:rPr>
        <w:t>auteur dans sa communication initiale et dans ses commentaires du 28 mars</w:t>
      </w:r>
      <w:r>
        <w:rPr>
          <w:lang w:val="fr-FR"/>
        </w:rPr>
        <w:t xml:space="preserve"> 2018.</w:t>
      </w:r>
    </w:p>
    <w:p w:rsidR="00EE3191" w:rsidRPr="00BB6085" w:rsidRDefault="00EE3191" w:rsidP="00EE3191">
      <w:pPr>
        <w:pStyle w:val="SingleTxtG"/>
        <w:rPr>
          <w:lang w:val="fr-FR"/>
        </w:rPr>
      </w:pPr>
      <w:r w:rsidRPr="00BB6085">
        <w:rPr>
          <w:lang w:val="fr-FR"/>
        </w:rPr>
        <w:t>9.3</w:t>
      </w:r>
      <w:r w:rsidRPr="00BB6085">
        <w:rPr>
          <w:lang w:val="fr-FR"/>
        </w:rPr>
        <w:tab/>
        <w:t>L</w:t>
      </w:r>
      <w:r w:rsidR="00607BE5">
        <w:rPr>
          <w:lang w:val="fr-FR"/>
        </w:rPr>
        <w:t>’</w:t>
      </w:r>
      <w:r w:rsidRPr="00BB6085">
        <w:rPr>
          <w:lang w:val="fr-FR"/>
        </w:rPr>
        <w:t xml:space="preserve">État partie insiste sur le fait que cinq examens médicaux objectifs </w:t>
      </w:r>
      <w:r>
        <w:rPr>
          <w:lang w:val="fr-FR"/>
        </w:rPr>
        <w:t xml:space="preserve">démontrent </w:t>
      </w:r>
      <w:r w:rsidRPr="00BB6085">
        <w:rPr>
          <w:lang w:val="fr-FR"/>
        </w:rPr>
        <w:t>que l</w:t>
      </w:r>
      <w:r w:rsidR="00607BE5">
        <w:rPr>
          <w:lang w:val="fr-FR"/>
        </w:rPr>
        <w:t>’</w:t>
      </w:r>
      <w:r w:rsidRPr="00BB6085">
        <w:rPr>
          <w:lang w:val="fr-FR"/>
        </w:rPr>
        <w:t xml:space="preserve">auteur est </w:t>
      </w:r>
      <w:r>
        <w:rPr>
          <w:lang w:val="fr-FR"/>
        </w:rPr>
        <w:t>adulte</w:t>
      </w:r>
      <w:r w:rsidRPr="00BB6085">
        <w:rPr>
          <w:lang w:val="fr-FR"/>
        </w:rPr>
        <w:t>, et que celui-ci n</w:t>
      </w:r>
      <w:r w:rsidR="00607BE5">
        <w:rPr>
          <w:lang w:val="fr-FR"/>
        </w:rPr>
        <w:t>’</w:t>
      </w:r>
      <w:r w:rsidRPr="00BB6085">
        <w:rPr>
          <w:lang w:val="fr-FR"/>
        </w:rPr>
        <w:t xml:space="preserve">a </w:t>
      </w:r>
      <w:r>
        <w:rPr>
          <w:lang w:val="fr-FR"/>
        </w:rPr>
        <w:t>pas produit de</w:t>
      </w:r>
      <w:r w:rsidRPr="00BB6085">
        <w:rPr>
          <w:lang w:val="fr-FR"/>
        </w:rPr>
        <w:t xml:space="preserve"> passeport </w:t>
      </w:r>
      <w:r>
        <w:rPr>
          <w:lang w:val="fr-FR"/>
        </w:rPr>
        <w:t>ou d</w:t>
      </w:r>
      <w:r w:rsidR="00607BE5">
        <w:rPr>
          <w:lang w:val="fr-FR"/>
        </w:rPr>
        <w:t>’</w:t>
      </w:r>
      <w:r>
        <w:rPr>
          <w:lang w:val="fr-FR"/>
        </w:rPr>
        <w:t>autre</w:t>
      </w:r>
      <w:r w:rsidRPr="00BB6085">
        <w:rPr>
          <w:lang w:val="fr-FR"/>
        </w:rPr>
        <w:t xml:space="preserve"> document d</w:t>
      </w:r>
      <w:r w:rsidR="00607BE5">
        <w:rPr>
          <w:lang w:val="fr-FR"/>
        </w:rPr>
        <w:t>’</w:t>
      </w:r>
      <w:r w:rsidRPr="00BB6085">
        <w:rPr>
          <w:lang w:val="fr-FR"/>
        </w:rPr>
        <w:t>identité qui viendrait infirmer les résultats de</w:t>
      </w:r>
      <w:r>
        <w:rPr>
          <w:lang w:val="fr-FR"/>
        </w:rPr>
        <w:t xml:space="preserve">s </w:t>
      </w:r>
      <w:r w:rsidRPr="00BB6085">
        <w:rPr>
          <w:lang w:val="fr-FR"/>
        </w:rPr>
        <w:t xml:space="preserve">examens. </w:t>
      </w:r>
      <w:r>
        <w:rPr>
          <w:lang w:val="fr-FR"/>
        </w:rPr>
        <w:t>Il</w:t>
      </w:r>
      <w:r w:rsidRPr="00BB6085">
        <w:rPr>
          <w:lang w:val="fr-FR"/>
        </w:rPr>
        <w:t xml:space="preserve"> fait remarquer que, même s</w:t>
      </w:r>
      <w:r w:rsidR="00607BE5">
        <w:rPr>
          <w:lang w:val="fr-FR"/>
        </w:rPr>
        <w:t>’</w:t>
      </w:r>
      <w:r w:rsidRPr="00BB6085">
        <w:rPr>
          <w:lang w:val="fr-FR"/>
        </w:rPr>
        <w:t>il reconnaissait la date de naissance de l</w:t>
      </w:r>
      <w:r w:rsidR="00607BE5">
        <w:rPr>
          <w:lang w:val="fr-FR"/>
        </w:rPr>
        <w:t>’</w:t>
      </w:r>
      <w:r w:rsidRPr="00BB6085">
        <w:rPr>
          <w:lang w:val="fr-FR"/>
        </w:rPr>
        <w:t xml:space="preserve">auteur figurant sur la copie du passeport </w:t>
      </w:r>
      <w:r>
        <w:rPr>
          <w:lang w:val="fr-FR"/>
        </w:rPr>
        <w:t>présentée</w:t>
      </w:r>
      <w:r w:rsidRPr="00BB6085">
        <w:rPr>
          <w:lang w:val="fr-FR"/>
        </w:rPr>
        <w:t xml:space="preserve"> le 28 mars</w:t>
      </w:r>
      <w:r>
        <w:rPr>
          <w:lang w:val="fr-FR"/>
        </w:rPr>
        <w:t xml:space="preserve"> </w:t>
      </w:r>
      <w:r w:rsidRPr="00BB6085">
        <w:rPr>
          <w:lang w:val="fr-FR"/>
        </w:rPr>
        <w:t>2018, l</w:t>
      </w:r>
      <w:r w:rsidR="00607BE5">
        <w:rPr>
          <w:lang w:val="fr-FR"/>
        </w:rPr>
        <w:t>’</w:t>
      </w:r>
      <w:r w:rsidRPr="00BB6085">
        <w:rPr>
          <w:lang w:val="fr-FR"/>
        </w:rPr>
        <w:t xml:space="preserve">auteur serait, en tout état de cause, déjà majeur et ne pourrait donc pas soumettre la communication, </w:t>
      </w:r>
      <w:r>
        <w:rPr>
          <w:lang w:val="fr-FR"/>
        </w:rPr>
        <w:t>car celle-ci serait sans objet.</w:t>
      </w:r>
    </w:p>
    <w:p w:rsidR="00EE3191" w:rsidRPr="00BB6085" w:rsidRDefault="00EE3191" w:rsidP="00EE3191">
      <w:pPr>
        <w:pStyle w:val="SingleTxtG"/>
        <w:rPr>
          <w:lang w:val="fr-FR"/>
        </w:rPr>
      </w:pPr>
      <w:r w:rsidRPr="00BB6085">
        <w:rPr>
          <w:lang w:val="fr-FR"/>
        </w:rPr>
        <w:t>9.4</w:t>
      </w:r>
      <w:r w:rsidRPr="00BB6085">
        <w:rPr>
          <w:lang w:val="fr-FR"/>
        </w:rPr>
        <w:tab/>
        <w:t>L</w:t>
      </w:r>
      <w:r w:rsidR="00607BE5">
        <w:rPr>
          <w:lang w:val="fr-FR"/>
        </w:rPr>
        <w:t>’</w:t>
      </w:r>
      <w:r w:rsidRPr="00BB6085">
        <w:rPr>
          <w:lang w:val="fr-FR"/>
        </w:rPr>
        <w:t>État partie réitère ses observations quant</w:t>
      </w:r>
      <w:r>
        <w:rPr>
          <w:lang w:val="fr-FR"/>
        </w:rPr>
        <w:t xml:space="preserve"> </w:t>
      </w:r>
      <w:r w:rsidRPr="00BB6085">
        <w:rPr>
          <w:lang w:val="fr-FR"/>
        </w:rPr>
        <w:t>au fond de la communication.</w:t>
      </w:r>
    </w:p>
    <w:p w:rsidR="00EE3191" w:rsidRPr="00BB6085" w:rsidRDefault="00EE3191" w:rsidP="00EE3191">
      <w:pPr>
        <w:pStyle w:val="SingleTxtG"/>
        <w:rPr>
          <w:lang w:val="fr-FR"/>
        </w:rPr>
      </w:pPr>
      <w:r w:rsidRPr="00BB6085">
        <w:rPr>
          <w:lang w:val="fr-FR"/>
        </w:rPr>
        <w:t>10.1</w:t>
      </w:r>
      <w:r w:rsidRPr="00BB6085">
        <w:rPr>
          <w:lang w:val="fr-FR"/>
        </w:rPr>
        <w:tab/>
        <w:t xml:space="preserve">Dans ses commentaires </w:t>
      </w:r>
      <w:r>
        <w:rPr>
          <w:lang w:val="fr-FR"/>
        </w:rPr>
        <w:t xml:space="preserve">en date </w:t>
      </w:r>
      <w:r w:rsidRPr="00BB6085">
        <w:rPr>
          <w:lang w:val="fr-FR"/>
        </w:rPr>
        <w:t>du 21 septembre</w:t>
      </w:r>
      <w:r>
        <w:rPr>
          <w:lang w:val="fr-FR"/>
        </w:rPr>
        <w:t xml:space="preserve"> </w:t>
      </w:r>
      <w:r w:rsidRPr="00BB6085">
        <w:rPr>
          <w:lang w:val="fr-FR"/>
        </w:rPr>
        <w:t>2018, l</w:t>
      </w:r>
      <w:r w:rsidR="00607BE5">
        <w:rPr>
          <w:lang w:val="fr-FR"/>
        </w:rPr>
        <w:t>’</w:t>
      </w:r>
      <w:r w:rsidRPr="00BB6085">
        <w:rPr>
          <w:lang w:val="fr-FR"/>
        </w:rPr>
        <w:t>auteur fait remarquer qu</w:t>
      </w:r>
      <w:r w:rsidR="00607BE5">
        <w:rPr>
          <w:lang w:val="fr-FR"/>
        </w:rPr>
        <w:t>’</w:t>
      </w:r>
      <w:r w:rsidRPr="00BB6085">
        <w:rPr>
          <w:lang w:val="fr-FR"/>
        </w:rPr>
        <w:t>il a présenté son passeport aux autorités espagnoles le 9 novembre</w:t>
      </w:r>
      <w:r>
        <w:rPr>
          <w:lang w:val="fr-FR"/>
        </w:rPr>
        <w:t xml:space="preserve"> </w:t>
      </w:r>
      <w:r w:rsidRPr="00BB6085">
        <w:rPr>
          <w:lang w:val="fr-FR"/>
        </w:rPr>
        <w:t>2017 dans</w:t>
      </w:r>
      <w:r>
        <w:rPr>
          <w:lang w:val="fr-FR"/>
        </w:rPr>
        <w:t xml:space="preserve"> </w:t>
      </w:r>
      <w:r w:rsidRPr="00BB6085">
        <w:rPr>
          <w:lang w:val="fr-FR"/>
        </w:rPr>
        <w:t>le cadre d</w:t>
      </w:r>
      <w:r w:rsidR="00607BE5">
        <w:rPr>
          <w:lang w:val="fr-FR"/>
        </w:rPr>
        <w:t>’</w:t>
      </w:r>
      <w:r w:rsidRPr="00BB6085">
        <w:rPr>
          <w:lang w:val="fr-FR"/>
        </w:rPr>
        <w:t>une demande de permis de séjour temporaire</w:t>
      </w:r>
      <w:r w:rsidRPr="00607BE5">
        <w:rPr>
          <w:rStyle w:val="Appelnotedebasdep"/>
        </w:rPr>
        <w:footnoteReference w:id="21"/>
      </w:r>
      <w:r>
        <w:rPr>
          <w:lang w:val="fr-FR"/>
        </w:rPr>
        <w:t>.</w:t>
      </w:r>
    </w:p>
    <w:p w:rsidR="00EE3191" w:rsidRPr="00BB6085" w:rsidRDefault="00EE3191" w:rsidP="00EE3191">
      <w:pPr>
        <w:pStyle w:val="SingleTxtG"/>
        <w:rPr>
          <w:lang w:val="fr-FR"/>
        </w:rPr>
      </w:pPr>
      <w:r w:rsidRPr="00BB6085">
        <w:rPr>
          <w:lang w:val="fr-FR"/>
        </w:rPr>
        <w:lastRenderedPageBreak/>
        <w:t>10.2</w:t>
      </w:r>
      <w:r w:rsidRPr="00BB6085">
        <w:rPr>
          <w:lang w:val="fr-FR"/>
        </w:rPr>
        <w:tab/>
        <w:t>L</w:t>
      </w:r>
      <w:r w:rsidR="00607BE5">
        <w:rPr>
          <w:lang w:val="fr-FR"/>
        </w:rPr>
        <w:t>’</w:t>
      </w:r>
      <w:r w:rsidRPr="00BB6085">
        <w:rPr>
          <w:lang w:val="fr-FR"/>
        </w:rPr>
        <w:t>auteur insiste sur le fait que la communication porte sur le non-respect de son droit d</w:t>
      </w:r>
      <w:r w:rsidR="00607BE5">
        <w:rPr>
          <w:lang w:val="fr-FR"/>
        </w:rPr>
        <w:t>’</w:t>
      </w:r>
      <w:r w:rsidRPr="00BB6085">
        <w:rPr>
          <w:lang w:val="fr-FR"/>
        </w:rPr>
        <w:t>être entendu avant</w:t>
      </w:r>
      <w:r>
        <w:rPr>
          <w:lang w:val="fr-FR"/>
        </w:rPr>
        <w:t xml:space="preserve"> d</w:t>
      </w:r>
      <w:r w:rsidR="00607BE5">
        <w:rPr>
          <w:lang w:val="fr-FR"/>
        </w:rPr>
        <w:t>’</w:t>
      </w:r>
      <w:r>
        <w:rPr>
          <w:lang w:val="fr-FR"/>
        </w:rPr>
        <w:t>être</w:t>
      </w:r>
      <w:r w:rsidRPr="00BB6085">
        <w:rPr>
          <w:lang w:val="fr-FR"/>
        </w:rPr>
        <w:t xml:space="preserve"> présent</w:t>
      </w:r>
      <w:r>
        <w:rPr>
          <w:lang w:val="fr-FR"/>
        </w:rPr>
        <w:t>é au parquet</w:t>
      </w:r>
      <w:r w:rsidRPr="00BB6085">
        <w:rPr>
          <w:lang w:val="fr-FR"/>
        </w:rPr>
        <w:t>, en violation de l</w:t>
      </w:r>
      <w:r w:rsidR="00607BE5">
        <w:rPr>
          <w:lang w:val="fr-FR"/>
        </w:rPr>
        <w:t>’</w:t>
      </w:r>
      <w:r>
        <w:rPr>
          <w:lang w:val="fr-FR"/>
        </w:rPr>
        <w:t>article 12 de la</w:t>
      </w:r>
      <w:r w:rsidR="004F09B9">
        <w:rPr>
          <w:lang w:val="fr-FR"/>
        </w:rPr>
        <w:t> </w:t>
      </w:r>
      <w:r>
        <w:rPr>
          <w:lang w:val="fr-FR"/>
        </w:rPr>
        <w:t>Convention.</w:t>
      </w:r>
    </w:p>
    <w:p w:rsidR="00EE3191" w:rsidRPr="00BB6085" w:rsidRDefault="00EE3191" w:rsidP="004F09B9">
      <w:pPr>
        <w:pStyle w:val="H23G"/>
        <w:rPr>
          <w:lang w:val="fr-FR"/>
        </w:rPr>
      </w:pPr>
      <w:r w:rsidRPr="00BB6085">
        <w:rPr>
          <w:lang w:val="fr-FR"/>
        </w:rPr>
        <w:tab/>
      </w:r>
      <w:r w:rsidRPr="00BB6085">
        <w:rPr>
          <w:lang w:val="fr-FR"/>
        </w:rPr>
        <w:tab/>
        <w:t>Délibérations du Comité</w:t>
      </w:r>
    </w:p>
    <w:p w:rsidR="00EE3191" w:rsidRPr="00BB6085" w:rsidRDefault="00EE3191" w:rsidP="00EE3191">
      <w:pPr>
        <w:pStyle w:val="H4G"/>
        <w:rPr>
          <w:lang w:val="fr-FR"/>
        </w:rPr>
      </w:pPr>
      <w:r w:rsidRPr="00BB6085">
        <w:rPr>
          <w:lang w:val="fr-FR"/>
        </w:rPr>
        <w:tab/>
      </w:r>
      <w:r w:rsidRPr="00BB6085">
        <w:rPr>
          <w:lang w:val="fr-FR"/>
        </w:rPr>
        <w:tab/>
      </w:r>
      <w:r>
        <w:rPr>
          <w:lang w:val="fr-FR"/>
        </w:rPr>
        <w:t>Examen de la recevabilité</w:t>
      </w:r>
    </w:p>
    <w:p w:rsidR="00EE3191" w:rsidRPr="00BB6085" w:rsidRDefault="00EE3191" w:rsidP="00EE3191">
      <w:pPr>
        <w:pStyle w:val="SingleTxtG"/>
        <w:rPr>
          <w:lang w:val="fr-FR"/>
        </w:rPr>
      </w:pPr>
      <w:r w:rsidRPr="00BB6085">
        <w:rPr>
          <w:lang w:val="fr-FR"/>
        </w:rPr>
        <w:t>11.1</w:t>
      </w:r>
      <w:r w:rsidRPr="00BB6085">
        <w:rPr>
          <w:lang w:val="fr-FR"/>
        </w:rPr>
        <w:tab/>
        <w:t>Avant d</w:t>
      </w:r>
      <w:r w:rsidR="00607BE5">
        <w:rPr>
          <w:lang w:val="fr-FR"/>
        </w:rPr>
        <w:t>’</w:t>
      </w:r>
      <w:r w:rsidRPr="00BB6085">
        <w:rPr>
          <w:lang w:val="fr-FR"/>
        </w:rPr>
        <w:t>examiner toute plainte soumise dans une communication, le Comité doit, conformément à l</w:t>
      </w:r>
      <w:r w:rsidR="00607BE5">
        <w:rPr>
          <w:lang w:val="fr-FR"/>
        </w:rPr>
        <w:t>’</w:t>
      </w:r>
      <w:r>
        <w:rPr>
          <w:lang w:val="fr-FR"/>
        </w:rPr>
        <w:t>article </w:t>
      </w:r>
      <w:r w:rsidRPr="00BB6085">
        <w:rPr>
          <w:lang w:val="fr-FR"/>
        </w:rPr>
        <w:t>20 de son règlement intérieur, déterminer si la communication est recevable au regard du Protocole facultatif à la Convention relative aux droits de l</w:t>
      </w:r>
      <w:r w:rsidR="00607BE5">
        <w:rPr>
          <w:lang w:val="fr-FR"/>
        </w:rPr>
        <w:t>’</w:t>
      </w:r>
      <w:r w:rsidRPr="00BB6085">
        <w:rPr>
          <w:lang w:val="fr-FR"/>
        </w:rPr>
        <w:t>enfant établissant une procédure de présentation de communications.</w:t>
      </w:r>
    </w:p>
    <w:p w:rsidR="00EE3191" w:rsidRPr="00BB6085" w:rsidRDefault="00EE3191" w:rsidP="00EE3191">
      <w:pPr>
        <w:pStyle w:val="SingleTxtG"/>
        <w:rPr>
          <w:lang w:val="fr-FR"/>
        </w:rPr>
      </w:pPr>
      <w:r w:rsidRPr="00BB6085">
        <w:rPr>
          <w:lang w:val="fr-FR"/>
        </w:rPr>
        <w:t>11.2</w:t>
      </w:r>
      <w:r w:rsidRPr="00BB6085">
        <w:rPr>
          <w:lang w:val="fr-FR"/>
        </w:rPr>
        <w:tab/>
        <w:t>Le Comité prend note de l</w:t>
      </w:r>
      <w:r w:rsidR="00607BE5">
        <w:rPr>
          <w:lang w:val="fr-FR"/>
        </w:rPr>
        <w:t>’</w:t>
      </w:r>
      <w:r w:rsidRPr="00BB6085">
        <w:rPr>
          <w:lang w:val="fr-FR"/>
        </w:rPr>
        <w:t>argument de l</w:t>
      </w:r>
      <w:r w:rsidR="00607BE5">
        <w:rPr>
          <w:lang w:val="fr-FR"/>
        </w:rPr>
        <w:t>’</w:t>
      </w:r>
      <w:r w:rsidRPr="00BB6085">
        <w:rPr>
          <w:lang w:val="fr-FR"/>
        </w:rPr>
        <w:t xml:space="preserve">État partie </w:t>
      </w:r>
      <w:r>
        <w:rPr>
          <w:lang w:val="fr-FR"/>
        </w:rPr>
        <w:t>qui objecte que</w:t>
      </w:r>
      <w:r w:rsidRPr="00BB6085">
        <w:rPr>
          <w:lang w:val="fr-FR"/>
        </w:rPr>
        <w:t xml:space="preserve"> la communication est irrecevable au regard de l</w:t>
      </w:r>
      <w:r w:rsidR="00607BE5">
        <w:rPr>
          <w:lang w:val="fr-FR"/>
        </w:rPr>
        <w:t>’</w:t>
      </w:r>
      <w:r>
        <w:rPr>
          <w:lang w:val="fr-FR"/>
        </w:rPr>
        <w:t>article 7 </w:t>
      </w:r>
      <w:r w:rsidRPr="00BB6085">
        <w:rPr>
          <w:lang w:val="fr-FR"/>
        </w:rPr>
        <w:t xml:space="preserve">c) du Protocole facultatif </w:t>
      </w:r>
      <w:r>
        <w:rPr>
          <w:lang w:val="fr-FR"/>
        </w:rPr>
        <w:t>parce que</w:t>
      </w:r>
      <w:r w:rsidRPr="00BB6085">
        <w:rPr>
          <w:lang w:val="fr-FR"/>
        </w:rPr>
        <w:t xml:space="preserve"> l</w:t>
      </w:r>
      <w:r w:rsidR="00607BE5">
        <w:rPr>
          <w:lang w:val="fr-FR"/>
        </w:rPr>
        <w:t>’</w:t>
      </w:r>
      <w:r w:rsidRPr="00BB6085">
        <w:rPr>
          <w:lang w:val="fr-FR"/>
        </w:rPr>
        <w:t>auteur n</w:t>
      </w:r>
      <w:r w:rsidR="00607BE5">
        <w:rPr>
          <w:lang w:val="fr-FR"/>
        </w:rPr>
        <w:t>’</w:t>
      </w:r>
      <w:r w:rsidRPr="00BB6085">
        <w:rPr>
          <w:lang w:val="fr-FR"/>
        </w:rPr>
        <w:t xml:space="preserve">a </w:t>
      </w:r>
      <w:r>
        <w:rPr>
          <w:lang w:val="fr-FR"/>
        </w:rPr>
        <w:t xml:space="preserve">apporté aucun </w:t>
      </w:r>
      <w:r w:rsidRPr="00BB6085">
        <w:rPr>
          <w:lang w:val="fr-FR"/>
        </w:rPr>
        <w:t xml:space="preserve">document officiel original ni </w:t>
      </w:r>
      <w:r>
        <w:rPr>
          <w:lang w:val="fr-FR"/>
        </w:rPr>
        <w:t xml:space="preserve">aucune </w:t>
      </w:r>
      <w:r w:rsidRPr="00BB6085">
        <w:rPr>
          <w:lang w:val="fr-FR"/>
        </w:rPr>
        <w:t>preuve médicale attestant sa condition de mineur, alors que les résultats des cinq examens médicaux objectifs établissent qu</w:t>
      </w:r>
      <w:r w:rsidR="00607BE5">
        <w:rPr>
          <w:lang w:val="fr-FR"/>
        </w:rPr>
        <w:t>’</w:t>
      </w:r>
      <w:r w:rsidRPr="00BB6085">
        <w:rPr>
          <w:lang w:val="fr-FR"/>
        </w:rPr>
        <w:t>il est majeur. Il fait toutefois remarquer qu</w:t>
      </w:r>
      <w:r w:rsidR="00607BE5">
        <w:rPr>
          <w:lang w:val="fr-FR"/>
        </w:rPr>
        <w:t>’</w:t>
      </w:r>
      <w:r w:rsidRPr="00BB6085">
        <w:rPr>
          <w:lang w:val="fr-FR"/>
        </w:rPr>
        <w:t>il n</w:t>
      </w:r>
      <w:r w:rsidR="00607BE5">
        <w:rPr>
          <w:lang w:val="fr-FR"/>
        </w:rPr>
        <w:t>’</w:t>
      </w:r>
      <w:r w:rsidRPr="00BB6085">
        <w:rPr>
          <w:lang w:val="fr-FR"/>
        </w:rPr>
        <w:t xml:space="preserve">existe dans le dossier aucun élément </w:t>
      </w:r>
      <w:r>
        <w:rPr>
          <w:lang w:val="fr-FR"/>
        </w:rPr>
        <w:t>montrant</w:t>
      </w:r>
      <w:r w:rsidRPr="00BB6085">
        <w:rPr>
          <w:lang w:val="fr-FR"/>
        </w:rPr>
        <w:t xml:space="preserve"> que l</w:t>
      </w:r>
      <w:r w:rsidR="00607BE5">
        <w:rPr>
          <w:lang w:val="fr-FR"/>
        </w:rPr>
        <w:t>’</w:t>
      </w:r>
      <w:r w:rsidRPr="00BB6085">
        <w:rPr>
          <w:lang w:val="fr-FR"/>
        </w:rPr>
        <w:t xml:space="preserve">auteur, un jeune </w:t>
      </w:r>
      <w:r>
        <w:rPr>
          <w:lang w:val="fr-FR"/>
        </w:rPr>
        <w:t xml:space="preserve">homme </w:t>
      </w:r>
      <w:r w:rsidRPr="00BB6085">
        <w:rPr>
          <w:lang w:val="fr-FR"/>
        </w:rPr>
        <w:t xml:space="preserve">qui </w:t>
      </w:r>
      <w:r>
        <w:rPr>
          <w:lang w:val="fr-FR"/>
        </w:rPr>
        <w:t xml:space="preserve">affirmait </w:t>
      </w:r>
      <w:r>
        <w:t>être</w:t>
      </w:r>
      <w:r w:rsidRPr="00C2728D">
        <w:rPr>
          <w:lang w:val="fr-FR"/>
        </w:rPr>
        <w:t xml:space="preserve"> </w:t>
      </w:r>
      <w:r w:rsidRPr="00BB6085">
        <w:rPr>
          <w:lang w:val="fr-FR"/>
        </w:rPr>
        <w:t>mineur au moment des faits, était en fait adulte à son arrivée en Espagne</w:t>
      </w:r>
      <w:r w:rsidRPr="00607BE5">
        <w:rPr>
          <w:rStyle w:val="Appelnotedebasdep"/>
        </w:rPr>
        <w:footnoteReference w:id="22"/>
      </w:r>
      <w:r w:rsidRPr="00BB6085">
        <w:rPr>
          <w:lang w:val="fr-FR"/>
        </w:rPr>
        <w:t>. Il fait également remarquer que l</w:t>
      </w:r>
      <w:r w:rsidR="00607BE5">
        <w:rPr>
          <w:lang w:val="fr-FR"/>
        </w:rPr>
        <w:t>’</w:t>
      </w:r>
      <w:r w:rsidRPr="00BB6085">
        <w:rPr>
          <w:lang w:val="fr-FR"/>
        </w:rPr>
        <w:t xml:space="preserve">auteur </w:t>
      </w:r>
      <w:r>
        <w:rPr>
          <w:lang w:val="fr-FR"/>
        </w:rPr>
        <w:t>avait en sa possession</w:t>
      </w:r>
      <w:r w:rsidRPr="00BB6085">
        <w:rPr>
          <w:lang w:val="fr-FR"/>
        </w:rPr>
        <w:t xml:space="preserve"> une copie certifiée conforme de son acte de naissance à son arrivée en Espagne et que ce document n</w:t>
      </w:r>
      <w:r w:rsidR="00607BE5">
        <w:rPr>
          <w:lang w:val="fr-FR"/>
        </w:rPr>
        <w:t>’</w:t>
      </w:r>
      <w:r w:rsidRPr="00BB6085">
        <w:rPr>
          <w:lang w:val="fr-FR"/>
        </w:rPr>
        <w:t>a jamais été examiné par l</w:t>
      </w:r>
      <w:r w:rsidR="00607BE5">
        <w:rPr>
          <w:lang w:val="fr-FR"/>
        </w:rPr>
        <w:t>’</w:t>
      </w:r>
      <w:r w:rsidRPr="00BB6085">
        <w:rPr>
          <w:lang w:val="fr-FR"/>
        </w:rPr>
        <w:t>État partie. Dans ce contexte, le Comité estime que l</w:t>
      </w:r>
      <w:r w:rsidR="00607BE5">
        <w:rPr>
          <w:lang w:val="fr-FR"/>
        </w:rPr>
        <w:t>’</w:t>
      </w:r>
      <w:r>
        <w:rPr>
          <w:lang w:val="fr-FR"/>
        </w:rPr>
        <w:t>article 7 </w:t>
      </w:r>
      <w:r w:rsidRPr="00BB6085">
        <w:rPr>
          <w:lang w:val="fr-FR"/>
        </w:rPr>
        <w:t>c) du Protocole facultatif ne fait pas obstacle à la recevabilité de la présente communication</w:t>
      </w:r>
      <w:r w:rsidRPr="00607BE5">
        <w:rPr>
          <w:rStyle w:val="Appelnotedebasdep"/>
        </w:rPr>
        <w:footnoteReference w:id="23"/>
      </w:r>
      <w:r>
        <w:rPr>
          <w:lang w:val="fr-FR"/>
        </w:rPr>
        <w:t>.</w:t>
      </w:r>
    </w:p>
    <w:p w:rsidR="00EE3191" w:rsidRPr="00BB6085" w:rsidRDefault="00EE3191" w:rsidP="00EE3191">
      <w:pPr>
        <w:pStyle w:val="SingleTxtG"/>
        <w:rPr>
          <w:lang w:val="fr-FR"/>
        </w:rPr>
      </w:pPr>
      <w:r w:rsidRPr="00BB6085">
        <w:rPr>
          <w:lang w:val="fr-FR"/>
        </w:rPr>
        <w:t>11.3</w:t>
      </w:r>
      <w:r w:rsidRPr="00BB6085">
        <w:rPr>
          <w:lang w:val="fr-FR"/>
        </w:rPr>
        <w:tab/>
        <w:t>Le Comité prend également note de l</w:t>
      </w:r>
      <w:r w:rsidR="00607BE5">
        <w:rPr>
          <w:lang w:val="fr-FR"/>
        </w:rPr>
        <w:t>’</w:t>
      </w:r>
      <w:r w:rsidRPr="00BB6085">
        <w:rPr>
          <w:lang w:val="fr-FR"/>
        </w:rPr>
        <w:t>argument de l</w:t>
      </w:r>
      <w:r w:rsidR="00607BE5">
        <w:rPr>
          <w:lang w:val="fr-FR"/>
        </w:rPr>
        <w:t>’</w:t>
      </w:r>
      <w:r w:rsidRPr="00BB6085">
        <w:rPr>
          <w:lang w:val="fr-FR"/>
        </w:rPr>
        <w:t xml:space="preserve">État partie </w:t>
      </w:r>
      <w:r>
        <w:rPr>
          <w:lang w:val="fr-FR"/>
        </w:rPr>
        <w:t>qui affirme que</w:t>
      </w:r>
      <w:r w:rsidRPr="00BB6085">
        <w:rPr>
          <w:lang w:val="fr-FR"/>
        </w:rPr>
        <w:t xml:space="preserve"> l</w:t>
      </w:r>
      <w:r w:rsidR="00607BE5">
        <w:rPr>
          <w:lang w:val="fr-FR"/>
        </w:rPr>
        <w:t>’</w:t>
      </w:r>
      <w:r w:rsidRPr="00BB6085">
        <w:rPr>
          <w:lang w:val="fr-FR"/>
        </w:rPr>
        <w:t>auteur n</w:t>
      </w:r>
      <w:r w:rsidR="00607BE5">
        <w:rPr>
          <w:lang w:val="fr-FR"/>
        </w:rPr>
        <w:t>’</w:t>
      </w:r>
      <w:r w:rsidRPr="00BB6085">
        <w:rPr>
          <w:lang w:val="fr-FR"/>
        </w:rPr>
        <w:t>a pas épuisé les recours internes disponibles étant donné</w:t>
      </w:r>
      <w:r>
        <w:rPr>
          <w:lang w:val="fr-FR"/>
        </w:rPr>
        <w:t xml:space="preserve"> </w:t>
      </w:r>
      <w:r w:rsidRPr="00BB6085">
        <w:rPr>
          <w:lang w:val="fr-FR"/>
        </w:rPr>
        <w:t>qu</w:t>
      </w:r>
      <w:r w:rsidR="00607BE5">
        <w:rPr>
          <w:lang w:val="fr-FR"/>
        </w:rPr>
        <w:t>’</w:t>
      </w:r>
      <w:r w:rsidRPr="00BB6085">
        <w:rPr>
          <w:lang w:val="fr-FR"/>
        </w:rPr>
        <w:t>il n</w:t>
      </w:r>
      <w:r w:rsidR="00607BE5">
        <w:rPr>
          <w:lang w:val="fr-FR"/>
        </w:rPr>
        <w:t>’</w:t>
      </w:r>
      <w:r w:rsidRPr="00BB6085">
        <w:rPr>
          <w:lang w:val="fr-FR"/>
        </w:rPr>
        <w:t xml:space="preserve">a pas demandé au </w:t>
      </w:r>
      <w:r>
        <w:rPr>
          <w:lang w:val="fr-FR"/>
        </w:rPr>
        <w:t xml:space="preserve">procureur </w:t>
      </w:r>
      <w:r w:rsidRPr="00BB6085">
        <w:rPr>
          <w:lang w:val="fr-FR"/>
        </w:rPr>
        <w:t>d</w:t>
      </w:r>
      <w:r w:rsidR="00607BE5">
        <w:rPr>
          <w:lang w:val="fr-FR"/>
        </w:rPr>
        <w:t>’</w:t>
      </w:r>
      <w:r w:rsidRPr="00BB6085">
        <w:t>ordonner</w:t>
      </w:r>
      <w:r>
        <w:t xml:space="preserve"> </w:t>
      </w:r>
      <w:r w:rsidRPr="00BB6085">
        <w:t>la révision</w:t>
      </w:r>
      <w:r>
        <w:t xml:space="preserve"> </w:t>
      </w:r>
      <w:r w:rsidRPr="00BB6085">
        <w:t>de</w:t>
      </w:r>
      <w:r>
        <w:t xml:space="preserve"> </w:t>
      </w:r>
      <w:r w:rsidRPr="00BB6085">
        <w:t>la</w:t>
      </w:r>
      <w:r>
        <w:t xml:space="preserve"> </w:t>
      </w:r>
      <w:r w:rsidRPr="00BB6085">
        <w:t>décision relative à</w:t>
      </w:r>
      <w:r>
        <w:t xml:space="preserve"> </w:t>
      </w:r>
      <w:r w:rsidRPr="00BB6085">
        <w:t>la détermination de l</w:t>
      </w:r>
      <w:r w:rsidR="00607BE5">
        <w:t>’</w:t>
      </w:r>
      <w:r w:rsidRPr="00BB6085">
        <w:t>âge</w:t>
      </w:r>
      <w:r w:rsidRPr="00BB6085">
        <w:rPr>
          <w:lang w:val="fr-FR"/>
        </w:rPr>
        <w:t xml:space="preserve">, </w:t>
      </w:r>
      <w:r w:rsidRPr="00BB6085">
        <w:t>qu</w:t>
      </w:r>
      <w:r w:rsidR="00607BE5">
        <w:t>’</w:t>
      </w:r>
      <w:r w:rsidRPr="00BB6085">
        <w:t>il n</w:t>
      </w:r>
      <w:r w:rsidR="00607BE5">
        <w:t>’</w:t>
      </w:r>
      <w:r w:rsidRPr="00BB6085">
        <w:t>a pas demandé la détermination judiciaire de l</w:t>
      </w:r>
      <w:r w:rsidR="00607BE5">
        <w:t>’</w:t>
      </w:r>
      <w:r w:rsidRPr="00BB6085">
        <w:t>âge et qu</w:t>
      </w:r>
      <w:r w:rsidR="00607BE5">
        <w:t>’</w:t>
      </w:r>
      <w:r w:rsidRPr="00BB6085">
        <w:t>il n</w:t>
      </w:r>
      <w:r w:rsidR="00607BE5">
        <w:t>’</w:t>
      </w:r>
      <w:r w:rsidRPr="00BB6085">
        <w:t>a pas contesté l</w:t>
      </w:r>
      <w:r w:rsidR="00607BE5">
        <w:t>’</w:t>
      </w:r>
      <w:r w:rsidRPr="00BB6085">
        <w:t>arrêté d</w:t>
      </w:r>
      <w:r w:rsidR="00607BE5">
        <w:t>’</w:t>
      </w:r>
      <w:r w:rsidRPr="00BB6085">
        <w:t>expulsion devant la juridiction contentieuse administrative. L</w:t>
      </w:r>
      <w:r w:rsidR="00607BE5">
        <w:t>’</w:t>
      </w:r>
      <w:r w:rsidRPr="00BB6085">
        <w:t>État partie a également affirmé que l</w:t>
      </w:r>
      <w:r w:rsidR="00607BE5">
        <w:t>’</w:t>
      </w:r>
      <w:r w:rsidRPr="00BB6085">
        <w:t>auteur n</w:t>
      </w:r>
      <w:r w:rsidR="00607BE5">
        <w:t>’</w:t>
      </w:r>
      <w:r w:rsidRPr="00BB6085">
        <w:t xml:space="preserve">avait pas présenté </w:t>
      </w:r>
      <w:r w:rsidRPr="00CE2690">
        <w:t xml:space="preserve">aux autorités espagnoles compétentes </w:t>
      </w:r>
      <w:r w:rsidRPr="00BB6085">
        <w:t>le passeport délivré le 20 juin</w:t>
      </w:r>
      <w:r>
        <w:t xml:space="preserve"> </w:t>
      </w:r>
      <w:r w:rsidRPr="00BB6085">
        <w:t>2017 par l</w:t>
      </w:r>
      <w:r w:rsidR="00607BE5">
        <w:t>’</w:t>
      </w:r>
      <w:r w:rsidRPr="00BB6085">
        <w:t xml:space="preserve">ambassade </w:t>
      </w:r>
      <w:r>
        <w:t xml:space="preserve">du Ghana </w:t>
      </w:r>
      <w:r w:rsidRPr="00BB6085">
        <w:t>à Madrid afin d</w:t>
      </w:r>
      <w:r w:rsidR="00607BE5">
        <w:t>’</w:t>
      </w:r>
      <w:r w:rsidRPr="00BB6085">
        <w:t>épuiser les recours internes disponibles. L</w:t>
      </w:r>
      <w:r w:rsidR="00607BE5">
        <w:t>’</w:t>
      </w:r>
      <w:r w:rsidRPr="00BB6085">
        <w:t>auteur a déclaré</w:t>
      </w:r>
      <w:r>
        <w:t xml:space="preserve"> qu</w:t>
      </w:r>
      <w:r w:rsidR="00607BE5">
        <w:t>’</w:t>
      </w:r>
      <w:r>
        <w:t>il avait présenté s</w:t>
      </w:r>
      <w:r w:rsidRPr="00BB6085">
        <w:t>on passeport lorsqu</w:t>
      </w:r>
      <w:r w:rsidR="00607BE5">
        <w:t>’</w:t>
      </w:r>
      <w:r w:rsidRPr="00BB6085">
        <w:t xml:space="preserve">il a </w:t>
      </w:r>
      <w:r>
        <w:t>déposé</w:t>
      </w:r>
      <w:r w:rsidRPr="00BB6085">
        <w:t xml:space="preserve"> sa demande de permis de séjour temporaire </w:t>
      </w:r>
      <w:r>
        <w:t>en invoquant des</w:t>
      </w:r>
      <w:r w:rsidRPr="00BB6085">
        <w:t xml:space="preserve"> circonstances exceptionnelles. Toutefois, le Comité constate que</w:t>
      </w:r>
      <w:r>
        <w:t>,</w:t>
      </w:r>
      <w:r w:rsidRPr="00BB6085">
        <w:t xml:space="preserve"> </w:t>
      </w:r>
      <w:r>
        <w:t>par</w:t>
      </w:r>
      <w:r w:rsidRPr="00BB6085">
        <w:t xml:space="preserve"> sa </w:t>
      </w:r>
      <w:r>
        <w:t>décision</w:t>
      </w:r>
      <w:r w:rsidRPr="00BB6085">
        <w:t xml:space="preserve"> du 25 janvier</w:t>
      </w:r>
      <w:r>
        <w:t xml:space="preserve"> </w:t>
      </w:r>
      <w:r w:rsidRPr="00BB6085">
        <w:t xml:space="preserve">2018, le délégué du </w:t>
      </w:r>
      <w:r>
        <w:t>G</w:t>
      </w:r>
      <w:r w:rsidRPr="00BB6085">
        <w:t>ouverne</w:t>
      </w:r>
      <w:r>
        <w:t xml:space="preserve">ment en Catalogne </w:t>
      </w:r>
      <w:r w:rsidRPr="00BB6085">
        <w:t>a rejeté la demande parce qu</w:t>
      </w:r>
      <w:r w:rsidR="00607BE5">
        <w:t>’</w:t>
      </w:r>
      <w:r>
        <w:t xml:space="preserve">elle </w:t>
      </w:r>
      <w:r w:rsidRPr="00BB6085">
        <w:t>n</w:t>
      </w:r>
      <w:r w:rsidR="00607BE5">
        <w:t>’</w:t>
      </w:r>
      <w:r w:rsidRPr="00BB6085">
        <w:t xml:space="preserve">avait pas été présentée </w:t>
      </w:r>
      <w:r>
        <w:t>à</w:t>
      </w:r>
      <w:r w:rsidRPr="00BB6085">
        <w:t xml:space="preserve"> l</w:t>
      </w:r>
      <w:r w:rsidR="00607BE5">
        <w:t>’</w:t>
      </w:r>
      <w:r w:rsidRPr="00BB6085">
        <w:t xml:space="preserve">autorité compétente. Ainsi, il ne ressort pas de cette </w:t>
      </w:r>
      <w:r>
        <w:t>décision</w:t>
      </w:r>
      <w:r w:rsidRPr="00BB6085">
        <w:t xml:space="preserve"> que le passeport délivré au nom de l</w:t>
      </w:r>
      <w:r w:rsidR="00607BE5">
        <w:t>’</w:t>
      </w:r>
      <w:r w:rsidRPr="00BB6085">
        <w:t xml:space="preserve">auteur a été présenté </w:t>
      </w:r>
      <w:r>
        <w:t>avec</w:t>
      </w:r>
      <w:r w:rsidRPr="00BB6085">
        <w:t xml:space="preserve"> la demande de permis de séjour temporaire. L</w:t>
      </w:r>
      <w:r w:rsidR="00607BE5">
        <w:t>’</w:t>
      </w:r>
      <w:r w:rsidRPr="00BB6085">
        <w:t>auteur n</w:t>
      </w:r>
      <w:r w:rsidR="00607BE5">
        <w:t>’</w:t>
      </w:r>
      <w:r w:rsidRPr="00BB6085">
        <w:t xml:space="preserve">a pas non plus </w:t>
      </w:r>
      <w:r>
        <w:t>présenté</w:t>
      </w:r>
      <w:r w:rsidRPr="00BB6085">
        <w:t xml:space="preserve"> une copie de son passeport au</w:t>
      </w:r>
      <w:r>
        <w:t xml:space="preserve"> parquet</w:t>
      </w:r>
      <w:r w:rsidRPr="00BB6085">
        <w:t xml:space="preserve"> pour demander la révision de la décision relative à la détermination de son âge. Enfin, l</w:t>
      </w:r>
      <w:r w:rsidR="00607BE5">
        <w:t>’</w:t>
      </w:r>
      <w:r w:rsidRPr="00BB6085">
        <w:t>auteur n</w:t>
      </w:r>
      <w:r w:rsidR="00607BE5">
        <w:t>’</w:t>
      </w:r>
      <w:r w:rsidRPr="00BB6085">
        <w:t>a informé le Comité de la délivrance du passeport que le 28 mars</w:t>
      </w:r>
      <w:r>
        <w:t xml:space="preserve"> </w:t>
      </w:r>
      <w:r w:rsidRPr="00BB6085">
        <w:t xml:space="preserve">2018, </w:t>
      </w:r>
      <w:r>
        <w:t>soit</w:t>
      </w:r>
      <w:r w:rsidRPr="00BB6085">
        <w:t xml:space="preserve"> neuf mois après son obtention, sans justifier le délai écoulé </w:t>
      </w:r>
      <w:r>
        <w:t xml:space="preserve">avant de produire </w:t>
      </w:r>
      <w:r w:rsidRPr="00BB6085">
        <w:t xml:space="preserve">un document </w:t>
      </w:r>
      <w:r>
        <w:t>d</w:t>
      </w:r>
      <w:r w:rsidR="00607BE5">
        <w:t>’</w:t>
      </w:r>
      <w:r w:rsidRPr="00BB6085">
        <w:t xml:space="preserve">une telle importance pour prouver </w:t>
      </w:r>
      <w:r>
        <w:t>sa condition</w:t>
      </w:r>
      <w:r w:rsidRPr="00BB6085">
        <w:t xml:space="preserve"> de mineur au mo</w:t>
      </w:r>
      <w:r>
        <w:t>ment de son arrivée en Espagne.</w:t>
      </w:r>
    </w:p>
    <w:p w:rsidR="00EE3191" w:rsidRPr="00BB6085" w:rsidRDefault="00EE3191" w:rsidP="00EE3191">
      <w:pPr>
        <w:pStyle w:val="SingleTxtG"/>
        <w:rPr>
          <w:lang w:val="fr-FR"/>
        </w:rPr>
      </w:pPr>
      <w:r w:rsidRPr="00BB6085">
        <w:rPr>
          <w:lang w:val="fr-FR"/>
        </w:rPr>
        <w:t>11.4</w:t>
      </w:r>
      <w:r w:rsidRPr="00BB6085">
        <w:rPr>
          <w:lang w:val="fr-FR"/>
        </w:rPr>
        <w:tab/>
        <w:t xml:space="preserve">Sans préjudice de ce qui précède, le Comité </w:t>
      </w:r>
      <w:r>
        <w:rPr>
          <w:lang w:val="fr-FR"/>
        </w:rPr>
        <w:t>observe</w:t>
      </w:r>
      <w:r w:rsidRPr="00BB6085">
        <w:rPr>
          <w:lang w:val="fr-FR"/>
        </w:rPr>
        <w:t xml:space="preserve"> que </w:t>
      </w:r>
      <w:r>
        <w:rPr>
          <w:lang w:val="fr-FR"/>
        </w:rPr>
        <w:t>les griefs</w:t>
      </w:r>
      <w:r w:rsidRPr="00BB6085">
        <w:rPr>
          <w:lang w:val="fr-FR"/>
        </w:rPr>
        <w:t xml:space="preserve"> de l</w:t>
      </w:r>
      <w:r w:rsidR="00607BE5">
        <w:rPr>
          <w:lang w:val="fr-FR"/>
        </w:rPr>
        <w:t>’</w:t>
      </w:r>
      <w:r w:rsidRPr="00BB6085">
        <w:rPr>
          <w:lang w:val="fr-FR"/>
        </w:rPr>
        <w:t>auteur porte</w:t>
      </w:r>
      <w:r>
        <w:rPr>
          <w:lang w:val="fr-FR"/>
        </w:rPr>
        <w:t>nt</w:t>
      </w:r>
      <w:r w:rsidRPr="00BB6085">
        <w:rPr>
          <w:lang w:val="fr-FR"/>
        </w:rPr>
        <w:t xml:space="preserve"> exclusivement sur la violation de son droit d</w:t>
      </w:r>
      <w:r w:rsidR="00607BE5">
        <w:rPr>
          <w:lang w:val="fr-FR"/>
        </w:rPr>
        <w:t>’</w:t>
      </w:r>
      <w:r w:rsidRPr="00BB6085">
        <w:rPr>
          <w:lang w:val="fr-FR"/>
        </w:rPr>
        <w:t>être entendu</w:t>
      </w:r>
      <w:r>
        <w:rPr>
          <w:lang w:val="fr-FR"/>
        </w:rPr>
        <w:t xml:space="preserve"> pendant</w:t>
      </w:r>
      <w:r w:rsidRPr="00BB6085">
        <w:rPr>
          <w:lang w:val="fr-FR"/>
        </w:rPr>
        <w:t xml:space="preserve"> la procédure de détermination de l</w:t>
      </w:r>
      <w:r w:rsidR="00607BE5">
        <w:rPr>
          <w:lang w:val="fr-FR"/>
        </w:rPr>
        <w:t>’</w:t>
      </w:r>
      <w:r w:rsidRPr="00BB6085">
        <w:rPr>
          <w:lang w:val="fr-FR"/>
        </w:rPr>
        <w:t xml:space="preserve">âge </w:t>
      </w:r>
      <w:r>
        <w:rPr>
          <w:lang w:val="fr-FR"/>
        </w:rPr>
        <w:t>dont il a fait l</w:t>
      </w:r>
      <w:r w:rsidR="00607BE5">
        <w:rPr>
          <w:lang w:val="fr-FR"/>
        </w:rPr>
        <w:t>’</w:t>
      </w:r>
      <w:r>
        <w:rPr>
          <w:lang w:val="fr-FR"/>
        </w:rPr>
        <w:t xml:space="preserve">objet </w:t>
      </w:r>
      <w:r w:rsidRPr="00BB6085">
        <w:rPr>
          <w:lang w:val="fr-FR"/>
        </w:rPr>
        <w:t>et qu</w:t>
      </w:r>
      <w:r w:rsidR="00607BE5">
        <w:rPr>
          <w:lang w:val="fr-FR"/>
        </w:rPr>
        <w:t>’</w:t>
      </w:r>
      <w:r w:rsidRPr="00BB6085">
        <w:rPr>
          <w:lang w:val="fr-FR"/>
        </w:rPr>
        <w:t>à</w:t>
      </w:r>
      <w:r>
        <w:rPr>
          <w:lang w:val="fr-FR"/>
        </w:rPr>
        <w:t xml:space="preserve"> ce sujet</w:t>
      </w:r>
      <w:r w:rsidRPr="00BB6085">
        <w:rPr>
          <w:lang w:val="fr-FR"/>
        </w:rPr>
        <w:t xml:space="preserve"> l</w:t>
      </w:r>
      <w:r w:rsidR="00607BE5">
        <w:rPr>
          <w:lang w:val="fr-FR"/>
        </w:rPr>
        <w:t>’</w:t>
      </w:r>
      <w:r w:rsidRPr="00BB6085">
        <w:rPr>
          <w:lang w:val="fr-FR"/>
        </w:rPr>
        <w:t>État partie n</w:t>
      </w:r>
      <w:r w:rsidR="00607BE5">
        <w:rPr>
          <w:lang w:val="fr-FR"/>
        </w:rPr>
        <w:t>’</w:t>
      </w:r>
      <w:r w:rsidRPr="00BB6085">
        <w:rPr>
          <w:lang w:val="fr-FR"/>
        </w:rPr>
        <w:t>a pas indiqué de quels recours internes utiles l</w:t>
      </w:r>
      <w:r w:rsidR="00607BE5">
        <w:rPr>
          <w:lang w:val="fr-FR"/>
        </w:rPr>
        <w:t>’</w:t>
      </w:r>
      <w:r w:rsidRPr="00BB6085">
        <w:rPr>
          <w:lang w:val="fr-FR"/>
        </w:rPr>
        <w:t xml:space="preserve">auteur aurait pu se prévaloir pour faire respecter </w:t>
      </w:r>
      <w:r>
        <w:rPr>
          <w:lang w:val="fr-FR"/>
        </w:rPr>
        <w:t>ce</w:t>
      </w:r>
      <w:r w:rsidRPr="00BB6085">
        <w:rPr>
          <w:lang w:val="fr-FR"/>
        </w:rPr>
        <w:t xml:space="preserve"> droit</w:t>
      </w:r>
      <w:r>
        <w:rPr>
          <w:lang w:val="fr-FR"/>
        </w:rPr>
        <w:t>. En </w:t>
      </w:r>
      <w:r w:rsidRPr="00BB6085">
        <w:rPr>
          <w:lang w:val="fr-FR"/>
        </w:rPr>
        <w:t>conséquence, le Comité estime que l</w:t>
      </w:r>
      <w:r w:rsidR="00607BE5">
        <w:rPr>
          <w:lang w:val="fr-FR"/>
        </w:rPr>
        <w:t>’</w:t>
      </w:r>
      <w:r>
        <w:rPr>
          <w:lang w:val="fr-FR"/>
        </w:rPr>
        <w:t>article 7 </w:t>
      </w:r>
      <w:r w:rsidRPr="00BB6085">
        <w:rPr>
          <w:lang w:val="fr-FR"/>
        </w:rPr>
        <w:t>e) du Protocole facultatif ne fait pas obstacle à la recevabilité de la présente communication.</w:t>
      </w:r>
    </w:p>
    <w:p w:rsidR="00EE3191" w:rsidRPr="00BB6085" w:rsidRDefault="00EE3191" w:rsidP="00EE3191">
      <w:pPr>
        <w:pStyle w:val="SingleTxtG"/>
        <w:rPr>
          <w:lang w:val="fr-FR"/>
        </w:rPr>
      </w:pPr>
      <w:r w:rsidRPr="00BB6085">
        <w:rPr>
          <w:lang w:val="fr-FR"/>
        </w:rPr>
        <w:t>11.5</w:t>
      </w:r>
      <w:r w:rsidRPr="00BB6085">
        <w:rPr>
          <w:lang w:val="fr-FR"/>
        </w:rPr>
        <w:tab/>
        <w:t>Le Comité prend note des allégations de l</w:t>
      </w:r>
      <w:r w:rsidR="00607BE5">
        <w:rPr>
          <w:lang w:val="fr-FR"/>
        </w:rPr>
        <w:t>’</w:t>
      </w:r>
      <w:r w:rsidRPr="00BB6085">
        <w:rPr>
          <w:lang w:val="fr-FR"/>
        </w:rPr>
        <w:t xml:space="preserve">auteur </w:t>
      </w:r>
      <w:r>
        <w:rPr>
          <w:lang w:val="fr-FR"/>
        </w:rPr>
        <w:t>qui affirme qu</w:t>
      </w:r>
      <w:r w:rsidR="00607BE5">
        <w:rPr>
          <w:lang w:val="fr-FR"/>
        </w:rPr>
        <w:t>’</w:t>
      </w:r>
      <w:r>
        <w:rPr>
          <w:lang w:val="fr-FR"/>
        </w:rPr>
        <w:t>aucun avocat n</w:t>
      </w:r>
      <w:r w:rsidR="00607BE5">
        <w:rPr>
          <w:lang w:val="fr-FR"/>
        </w:rPr>
        <w:t>’</w:t>
      </w:r>
      <w:r>
        <w:rPr>
          <w:lang w:val="fr-FR"/>
        </w:rPr>
        <w:t>a été désigné pour le représenter avant que son affaire soit renvoyée au parquet aux fins de la détermination de son âge et de l</w:t>
      </w:r>
      <w:r w:rsidR="00607BE5">
        <w:rPr>
          <w:lang w:val="fr-FR"/>
        </w:rPr>
        <w:t>’</w:t>
      </w:r>
      <w:r>
        <w:rPr>
          <w:lang w:val="fr-FR"/>
        </w:rPr>
        <w:t>adoption d</w:t>
      </w:r>
      <w:r w:rsidR="00607BE5">
        <w:rPr>
          <w:lang w:val="fr-FR"/>
        </w:rPr>
        <w:t>’</w:t>
      </w:r>
      <w:r>
        <w:rPr>
          <w:lang w:val="fr-FR"/>
        </w:rPr>
        <w:t xml:space="preserve">une décision correspondante. </w:t>
      </w:r>
      <w:r w:rsidRPr="00BB6085">
        <w:rPr>
          <w:lang w:val="fr-FR"/>
        </w:rPr>
        <w:t>Toutefois, le</w:t>
      </w:r>
      <w:r w:rsidR="004F09B9">
        <w:rPr>
          <w:lang w:val="fr-FR"/>
        </w:rPr>
        <w:t> </w:t>
      </w:r>
      <w:r w:rsidRPr="00BB6085">
        <w:rPr>
          <w:lang w:val="fr-FR"/>
        </w:rPr>
        <w:t xml:space="preserve">Comité </w:t>
      </w:r>
      <w:r>
        <w:rPr>
          <w:lang w:val="fr-FR"/>
        </w:rPr>
        <w:t>observe</w:t>
      </w:r>
      <w:r w:rsidRPr="00BB6085">
        <w:rPr>
          <w:lang w:val="fr-FR"/>
        </w:rPr>
        <w:t xml:space="preserve"> que</w:t>
      </w:r>
      <w:r>
        <w:rPr>
          <w:lang w:val="fr-FR"/>
        </w:rPr>
        <w:t>, d</w:t>
      </w:r>
      <w:r w:rsidR="00607BE5">
        <w:rPr>
          <w:lang w:val="fr-FR"/>
        </w:rPr>
        <w:t>’</w:t>
      </w:r>
      <w:r>
        <w:rPr>
          <w:lang w:val="fr-FR"/>
        </w:rPr>
        <w:t>après les propres dires de l</w:t>
      </w:r>
      <w:r w:rsidR="00607BE5">
        <w:rPr>
          <w:lang w:val="fr-FR"/>
        </w:rPr>
        <w:t>’</w:t>
      </w:r>
      <w:r>
        <w:rPr>
          <w:lang w:val="fr-FR"/>
        </w:rPr>
        <w:t>auteur, qui indique qu</w:t>
      </w:r>
      <w:r w:rsidR="00607BE5">
        <w:rPr>
          <w:lang w:val="fr-FR"/>
        </w:rPr>
        <w:t>’</w:t>
      </w:r>
      <w:r>
        <w:rPr>
          <w:lang w:val="fr-FR"/>
        </w:rPr>
        <w:t>un avocat lui a été commis d</w:t>
      </w:r>
      <w:r w:rsidR="00607BE5">
        <w:rPr>
          <w:lang w:val="fr-FR"/>
        </w:rPr>
        <w:t>’</w:t>
      </w:r>
      <w:r>
        <w:rPr>
          <w:lang w:val="fr-FR"/>
        </w:rPr>
        <w:t>office le 12</w:t>
      </w:r>
      <w:r w:rsidR="004F09B9">
        <w:rPr>
          <w:lang w:val="fr-FR"/>
        </w:rPr>
        <w:t> </w:t>
      </w:r>
      <w:r>
        <w:rPr>
          <w:lang w:val="fr-FR"/>
        </w:rPr>
        <w:t xml:space="preserve">décembre 2016, ces allégations sont en contradiction avec les </w:t>
      </w:r>
      <w:r>
        <w:rPr>
          <w:lang w:val="fr-FR"/>
        </w:rPr>
        <w:lastRenderedPageBreak/>
        <w:t>faits établis au moyen d</w:t>
      </w:r>
      <w:r w:rsidR="00607BE5">
        <w:rPr>
          <w:lang w:val="fr-FR"/>
        </w:rPr>
        <w:t>’</w:t>
      </w:r>
      <w:r>
        <w:rPr>
          <w:lang w:val="fr-FR"/>
        </w:rPr>
        <w:t>éléments de preuve objectifs qui montrent que la détermination de son âge et l</w:t>
      </w:r>
      <w:r w:rsidR="00607BE5">
        <w:rPr>
          <w:lang w:val="fr-FR"/>
        </w:rPr>
        <w:t>’</w:t>
      </w:r>
      <w:r>
        <w:rPr>
          <w:lang w:val="fr-FR"/>
        </w:rPr>
        <w:t>adoption de la décision correspondante ont eu lieu après la désignation d</w:t>
      </w:r>
      <w:r w:rsidR="00607BE5">
        <w:rPr>
          <w:lang w:val="fr-FR"/>
        </w:rPr>
        <w:t>’</w:t>
      </w:r>
      <w:r>
        <w:rPr>
          <w:lang w:val="fr-FR"/>
        </w:rPr>
        <w:t>un avocat. D</w:t>
      </w:r>
      <w:r w:rsidR="00607BE5">
        <w:rPr>
          <w:lang w:val="fr-FR"/>
        </w:rPr>
        <w:t>’</w:t>
      </w:r>
      <w:r w:rsidRPr="00BB6085">
        <w:rPr>
          <w:lang w:val="fr-FR"/>
        </w:rPr>
        <w:t xml:space="preserve">après les documents </w:t>
      </w:r>
      <w:r>
        <w:rPr>
          <w:lang w:val="fr-FR"/>
        </w:rPr>
        <w:t xml:space="preserve">officiels </w:t>
      </w:r>
      <w:r w:rsidRPr="00BB6085">
        <w:rPr>
          <w:lang w:val="fr-FR"/>
        </w:rPr>
        <w:t>fournis par l</w:t>
      </w:r>
      <w:r w:rsidR="00607BE5">
        <w:rPr>
          <w:lang w:val="fr-FR"/>
        </w:rPr>
        <w:t>’</w:t>
      </w:r>
      <w:r w:rsidRPr="00BB6085">
        <w:rPr>
          <w:lang w:val="fr-FR"/>
        </w:rPr>
        <w:t>État partie, les examens médicaux de détermination de</w:t>
      </w:r>
      <w:r>
        <w:rPr>
          <w:lang w:val="fr-FR"/>
        </w:rPr>
        <w:t xml:space="preserve"> </w:t>
      </w:r>
      <w:r w:rsidRPr="00BB6085">
        <w:rPr>
          <w:lang w:val="fr-FR"/>
        </w:rPr>
        <w:t>l</w:t>
      </w:r>
      <w:r w:rsidR="00607BE5">
        <w:rPr>
          <w:lang w:val="fr-FR"/>
        </w:rPr>
        <w:t>’</w:t>
      </w:r>
      <w:r w:rsidRPr="00BB6085">
        <w:rPr>
          <w:lang w:val="fr-FR"/>
        </w:rPr>
        <w:t>âge ont été réalisés le 20 décembre 2016</w:t>
      </w:r>
      <w:r>
        <w:rPr>
          <w:lang w:val="fr-FR"/>
        </w:rPr>
        <w:t>, sur ordre du</w:t>
      </w:r>
      <w:r w:rsidRPr="00BB6085">
        <w:rPr>
          <w:lang w:val="fr-FR"/>
        </w:rPr>
        <w:t xml:space="preserve"> </w:t>
      </w:r>
      <w:r>
        <w:rPr>
          <w:lang w:val="fr-FR"/>
        </w:rPr>
        <w:t>parquet</w:t>
      </w:r>
      <w:r w:rsidRPr="00BB6085">
        <w:rPr>
          <w:lang w:val="fr-FR"/>
        </w:rPr>
        <w:t xml:space="preserve"> de la province de Barcelone </w:t>
      </w:r>
      <w:r>
        <w:rPr>
          <w:lang w:val="fr-FR"/>
        </w:rPr>
        <w:t>et du</w:t>
      </w:r>
      <w:r w:rsidRPr="00BB6085">
        <w:rPr>
          <w:lang w:val="fr-FR"/>
        </w:rPr>
        <w:t xml:space="preserve"> </w:t>
      </w:r>
      <w:r>
        <w:rPr>
          <w:lang w:val="fr-FR"/>
        </w:rPr>
        <w:t xml:space="preserve">parquet </w:t>
      </w:r>
      <w:r w:rsidRPr="00BB6085">
        <w:rPr>
          <w:lang w:val="fr-FR"/>
        </w:rPr>
        <w:t>du Tribunal supérieur de justice de Catalogne</w:t>
      </w:r>
      <w:r>
        <w:rPr>
          <w:lang w:val="fr-FR"/>
        </w:rPr>
        <w:t>, et </w:t>
      </w:r>
      <w:r w:rsidRPr="00BB6085">
        <w:rPr>
          <w:lang w:val="fr-FR"/>
        </w:rPr>
        <w:t>l</w:t>
      </w:r>
      <w:r w:rsidR="00607BE5">
        <w:rPr>
          <w:lang w:val="fr-FR"/>
        </w:rPr>
        <w:t>’</w:t>
      </w:r>
      <w:r w:rsidRPr="00BB6085">
        <w:rPr>
          <w:lang w:val="fr-FR"/>
        </w:rPr>
        <w:t xml:space="preserve">auteur a été déclaré majeur par décision du </w:t>
      </w:r>
      <w:r>
        <w:rPr>
          <w:lang w:val="fr-FR"/>
        </w:rPr>
        <w:t>p</w:t>
      </w:r>
      <w:r w:rsidRPr="00BB6085">
        <w:rPr>
          <w:lang w:val="fr-FR"/>
        </w:rPr>
        <w:t>rocureur de la province de Barcelone le 21 décembre</w:t>
      </w:r>
      <w:r>
        <w:rPr>
          <w:lang w:val="fr-FR"/>
        </w:rPr>
        <w:t xml:space="preserve"> </w:t>
      </w:r>
      <w:r w:rsidRPr="00BB6085">
        <w:rPr>
          <w:lang w:val="fr-FR"/>
        </w:rPr>
        <w:t>2016.</w:t>
      </w:r>
      <w:r>
        <w:rPr>
          <w:lang w:val="fr-FR"/>
        </w:rPr>
        <w:t xml:space="preserve"> Le Comité observe également que, d</w:t>
      </w:r>
      <w:r w:rsidR="00607BE5">
        <w:rPr>
          <w:lang w:val="fr-FR"/>
        </w:rPr>
        <w:t>’</w:t>
      </w:r>
      <w:r w:rsidRPr="00BB6085">
        <w:rPr>
          <w:lang w:val="fr-FR"/>
        </w:rPr>
        <w:t xml:space="preserve">après les documents </w:t>
      </w:r>
      <w:r>
        <w:rPr>
          <w:lang w:val="fr-FR"/>
        </w:rPr>
        <w:t xml:space="preserve">officiels </w:t>
      </w:r>
      <w:r w:rsidRPr="00BB6085">
        <w:rPr>
          <w:lang w:val="fr-FR"/>
        </w:rPr>
        <w:t>fournis par l</w:t>
      </w:r>
      <w:r w:rsidR="00607BE5">
        <w:rPr>
          <w:lang w:val="fr-FR"/>
        </w:rPr>
        <w:t>’</w:t>
      </w:r>
      <w:r w:rsidRPr="00BB6085">
        <w:rPr>
          <w:lang w:val="fr-FR"/>
        </w:rPr>
        <w:t>État partie,</w:t>
      </w:r>
      <w:r>
        <w:rPr>
          <w:lang w:val="fr-FR"/>
        </w:rPr>
        <w:t xml:space="preserve"> lorsqu</w:t>
      </w:r>
      <w:r w:rsidR="00607BE5">
        <w:rPr>
          <w:lang w:val="fr-FR"/>
        </w:rPr>
        <w:t>’</w:t>
      </w:r>
      <w:r>
        <w:rPr>
          <w:lang w:val="fr-FR"/>
        </w:rPr>
        <w:t>il a été examiné par le médecin légiste</w:t>
      </w:r>
      <w:r w:rsidRPr="007A47AF">
        <w:rPr>
          <w:lang w:val="fr-FR"/>
        </w:rPr>
        <w:t xml:space="preserve">, </w:t>
      </w:r>
      <w:r>
        <w:rPr>
          <w:lang w:val="fr-FR"/>
        </w:rPr>
        <w:t>l</w:t>
      </w:r>
      <w:r w:rsidR="00607BE5">
        <w:rPr>
          <w:lang w:val="fr-FR"/>
        </w:rPr>
        <w:t>’</w:t>
      </w:r>
      <w:r>
        <w:rPr>
          <w:lang w:val="fr-FR"/>
        </w:rPr>
        <w:t xml:space="preserve">auteur était </w:t>
      </w:r>
      <w:r w:rsidRPr="007A47AF">
        <w:rPr>
          <w:lang w:val="fr-FR"/>
        </w:rPr>
        <w:t>accompagné d</w:t>
      </w:r>
      <w:r w:rsidR="00607BE5">
        <w:rPr>
          <w:lang w:val="fr-FR"/>
        </w:rPr>
        <w:t>’</w:t>
      </w:r>
      <w:r w:rsidRPr="007A47AF">
        <w:rPr>
          <w:lang w:val="fr-FR"/>
        </w:rPr>
        <w:t>un éducateur du centre</w:t>
      </w:r>
      <w:r w:rsidRPr="007A47AF">
        <w:t xml:space="preserve"> </w:t>
      </w:r>
      <w:r w:rsidRPr="007A47AF">
        <w:rPr>
          <w:lang w:val="fr-FR"/>
        </w:rPr>
        <w:t>de protection des mineurs</w:t>
      </w:r>
      <w:r>
        <w:rPr>
          <w:lang w:val="fr-FR"/>
        </w:rPr>
        <w:t xml:space="preserve"> où il était accueilli, et que les résultats de l</w:t>
      </w:r>
      <w:r w:rsidR="00607BE5">
        <w:rPr>
          <w:lang w:val="fr-FR"/>
        </w:rPr>
        <w:t>’</w:t>
      </w:r>
      <w:r>
        <w:rPr>
          <w:lang w:val="fr-FR"/>
        </w:rPr>
        <w:t>examen lui ont été communiqués par le parquet des mineurs en présence d</w:t>
      </w:r>
      <w:r w:rsidR="00607BE5">
        <w:rPr>
          <w:lang w:val="fr-FR"/>
        </w:rPr>
        <w:t>’</w:t>
      </w:r>
      <w:r>
        <w:rPr>
          <w:lang w:val="fr-FR"/>
        </w:rPr>
        <w:t>un interprète.</w:t>
      </w:r>
    </w:p>
    <w:p w:rsidR="00EE3191" w:rsidRPr="00BB6085" w:rsidRDefault="00EE3191" w:rsidP="00EE3191">
      <w:pPr>
        <w:pStyle w:val="SingleTxtG"/>
        <w:rPr>
          <w:lang w:val="fr-FR"/>
        </w:rPr>
      </w:pPr>
      <w:r w:rsidRPr="00BB6085">
        <w:rPr>
          <w:lang w:val="fr-FR"/>
        </w:rPr>
        <w:t>11.6</w:t>
      </w:r>
      <w:r w:rsidRPr="00BB6085">
        <w:rPr>
          <w:lang w:val="fr-FR"/>
        </w:rPr>
        <w:tab/>
        <w:t>À la lumière de ce qui précède, le Comité considère que l</w:t>
      </w:r>
      <w:r w:rsidR="00607BE5">
        <w:rPr>
          <w:lang w:val="fr-FR"/>
        </w:rPr>
        <w:t>’</w:t>
      </w:r>
      <w:r w:rsidRPr="00BB6085">
        <w:rPr>
          <w:lang w:val="fr-FR"/>
        </w:rPr>
        <w:t>auteur n</w:t>
      </w:r>
      <w:r w:rsidR="00607BE5">
        <w:rPr>
          <w:lang w:val="fr-FR"/>
        </w:rPr>
        <w:t>’</w:t>
      </w:r>
      <w:r w:rsidRPr="00BB6085">
        <w:rPr>
          <w:lang w:val="fr-FR"/>
        </w:rPr>
        <w:t>a pas suffisamment étayé</w:t>
      </w:r>
      <w:r>
        <w:rPr>
          <w:lang w:val="fr-FR"/>
        </w:rPr>
        <w:t xml:space="preserve"> son grief de </w:t>
      </w:r>
      <w:r w:rsidRPr="00BB6085">
        <w:rPr>
          <w:lang w:val="fr-FR"/>
        </w:rPr>
        <w:t>violation</w:t>
      </w:r>
      <w:r>
        <w:rPr>
          <w:lang w:val="fr-FR"/>
        </w:rPr>
        <w:t xml:space="preserve"> du</w:t>
      </w:r>
      <w:r w:rsidRPr="00BB6085">
        <w:rPr>
          <w:lang w:val="fr-FR"/>
        </w:rPr>
        <w:t xml:space="preserve"> droit d</w:t>
      </w:r>
      <w:r w:rsidR="00607BE5">
        <w:rPr>
          <w:lang w:val="fr-FR"/>
        </w:rPr>
        <w:t>’</w:t>
      </w:r>
      <w:r w:rsidRPr="00BB6085">
        <w:rPr>
          <w:lang w:val="fr-FR"/>
        </w:rPr>
        <w:t xml:space="preserve">être entendu et, par conséquent, déclare </w:t>
      </w:r>
      <w:r>
        <w:rPr>
          <w:lang w:val="fr-FR"/>
        </w:rPr>
        <w:t xml:space="preserve">la plainte </w:t>
      </w:r>
      <w:r w:rsidRPr="00BB6085">
        <w:rPr>
          <w:lang w:val="fr-FR"/>
        </w:rPr>
        <w:t xml:space="preserve">irrecevable </w:t>
      </w:r>
      <w:r w:rsidRPr="007A47AF">
        <w:rPr>
          <w:lang w:val="fr-FR"/>
        </w:rPr>
        <w:t>au regard de</w:t>
      </w:r>
      <w:r w:rsidRPr="00BB6085">
        <w:rPr>
          <w:lang w:val="fr-FR"/>
        </w:rPr>
        <w:t xml:space="preserve"> l</w:t>
      </w:r>
      <w:r w:rsidR="00607BE5">
        <w:rPr>
          <w:lang w:val="fr-FR"/>
        </w:rPr>
        <w:t>’</w:t>
      </w:r>
      <w:r>
        <w:rPr>
          <w:lang w:val="fr-FR"/>
        </w:rPr>
        <w:t>article 7 </w:t>
      </w:r>
      <w:r w:rsidRPr="00BB6085">
        <w:rPr>
          <w:lang w:val="fr-FR"/>
        </w:rPr>
        <w:t>f) du Protocole facultatif.</w:t>
      </w:r>
    </w:p>
    <w:p w:rsidR="00EE3191" w:rsidRPr="00BB6085" w:rsidRDefault="00EE3191" w:rsidP="004F09B9">
      <w:pPr>
        <w:pStyle w:val="SingleTxtG"/>
        <w:keepNext/>
        <w:keepLines/>
        <w:rPr>
          <w:lang w:val="fr-FR"/>
        </w:rPr>
      </w:pPr>
      <w:r w:rsidRPr="00BB6085">
        <w:rPr>
          <w:lang w:val="fr-FR"/>
        </w:rPr>
        <w:t>12</w:t>
      </w:r>
      <w:r w:rsidRPr="00BB6085">
        <w:rPr>
          <w:lang w:val="fr-FR"/>
        </w:rPr>
        <w:tab/>
        <w:t>En conséquence, le Comité des droits de l</w:t>
      </w:r>
      <w:r w:rsidR="00607BE5">
        <w:rPr>
          <w:lang w:val="fr-FR"/>
        </w:rPr>
        <w:t>’</w:t>
      </w:r>
      <w:r w:rsidRPr="00BB6085">
        <w:rPr>
          <w:lang w:val="fr-FR"/>
        </w:rPr>
        <w:t>enfant décide :</w:t>
      </w:r>
    </w:p>
    <w:p w:rsidR="00EE3191" w:rsidRDefault="00EE3191" w:rsidP="00EE3191">
      <w:pPr>
        <w:pStyle w:val="SingleTxtG"/>
        <w:ind w:firstLine="567"/>
        <w:rPr>
          <w:lang w:val="fr-FR"/>
        </w:rPr>
      </w:pPr>
      <w:r w:rsidRPr="00BB6085">
        <w:rPr>
          <w:lang w:val="fr-FR"/>
        </w:rPr>
        <w:t>a)</w:t>
      </w:r>
      <w:r w:rsidRPr="00BB6085">
        <w:rPr>
          <w:lang w:val="fr-FR"/>
        </w:rPr>
        <w:tab/>
        <w:t>Que la communication est irrecevable au regard de l</w:t>
      </w:r>
      <w:r w:rsidR="00607BE5">
        <w:rPr>
          <w:lang w:val="fr-FR"/>
        </w:rPr>
        <w:t>’</w:t>
      </w:r>
      <w:r w:rsidRPr="00BB6085">
        <w:rPr>
          <w:lang w:val="fr-FR"/>
        </w:rPr>
        <w:t>article</w:t>
      </w:r>
      <w:r>
        <w:rPr>
          <w:lang w:val="fr-FR"/>
        </w:rPr>
        <w:t> </w:t>
      </w:r>
      <w:r w:rsidRPr="00BB6085">
        <w:rPr>
          <w:lang w:val="fr-FR"/>
        </w:rPr>
        <w:t>7</w:t>
      </w:r>
      <w:r>
        <w:rPr>
          <w:lang w:val="fr-FR"/>
        </w:rPr>
        <w:t> </w:t>
      </w:r>
      <w:r w:rsidRPr="00BB6085">
        <w:rPr>
          <w:lang w:val="fr-FR"/>
        </w:rPr>
        <w:t>f) du Protocole facultatif</w:t>
      </w:r>
      <w:r>
        <w:rPr>
          <w:lang w:val="fr-FR"/>
        </w:rPr>
        <w:t> </w:t>
      </w:r>
      <w:r w:rsidRPr="00BB6085">
        <w:rPr>
          <w:lang w:val="fr-FR"/>
        </w:rPr>
        <w:t>;</w:t>
      </w:r>
    </w:p>
    <w:p w:rsidR="00EE3191" w:rsidRDefault="00EE3191" w:rsidP="00EE3191">
      <w:pPr>
        <w:pStyle w:val="SingleTxtG"/>
        <w:ind w:firstLine="567"/>
        <w:rPr>
          <w:lang w:val="fr-FR"/>
        </w:rPr>
      </w:pPr>
      <w:r w:rsidRPr="00BB6085">
        <w:rPr>
          <w:lang w:val="fr-FR"/>
        </w:rPr>
        <w:t>b)</w:t>
      </w:r>
      <w:r w:rsidRPr="00BB6085">
        <w:rPr>
          <w:lang w:val="fr-FR"/>
        </w:rPr>
        <w:tab/>
        <w:t>Que la présente décision sera communiquée à l</w:t>
      </w:r>
      <w:r w:rsidR="00607BE5">
        <w:rPr>
          <w:lang w:val="fr-FR"/>
        </w:rPr>
        <w:t>’</w:t>
      </w:r>
      <w:r w:rsidRPr="00BB6085">
        <w:rPr>
          <w:lang w:val="fr-FR"/>
        </w:rPr>
        <w:t>auteur de la communication et, pour information, à l</w:t>
      </w:r>
      <w:r w:rsidR="00607BE5">
        <w:rPr>
          <w:lang w:val="fr-FR"/>
        </w:rPr>
        <w:t>’</w:t>
      </w:r>
      <w:r w:rsidRPr="00BB6085">
        <w:rPr>
          <w:lang w:val="fr-FR"/>
        </w:rPr>
        <w:t>État partie.</w:t>
      </w:r>
    </w:p>
    <w:p w:rsidR="007341B7" w:rsidRPr="00EE3191" w:rsidRDefault="00EE3191" w:rsidP="00EE3191">
      <w:pPr>
        <w:pStyle w:val="SingleTxtG"/>
        <w:spacing w:before="240" w:after="0"/>
        <w:jc w:val="center"/>
        <w:rPr>
          <w:u w:val="single"/>
        </w:rPr>
      </w:pPr>
      <w:r>
        <w:rPr>
          <w:u w:val="single"/>
        </w:rPr>
        <w:tab/>
      </w:r>
      <w:r>
        <w:rPr>
          <w:u w:val="single"/>
        </w:rPr>
        <w:tab/>
      </w:r>
      <w:r>
        <w:rPr>
          <w:u w:val="single"/>
        </w:rPr>
        <w:tab/>
      </w:r>
    </w:p>
    <w:sectPr w:rsidR="007341B7" w:rsidRPr="00EE3191" w:rsidSect="00EE31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12E" w:rsidRDefault="0033612E" w:rsidP="00F95C08">
      <w:pPr>
        <w:spacing w:line="240" w:lineRule="auto"/>
      </w:pPr>
    </w:p>
  </w:endnote>
  <w:endnote w:type="continuationSeparator" w:id="0">
    <w:p w:rsidR="0033612E" w:rsidRPr="00AC3823" w:rsidRDefault="0033612E" w:rsidP="00AC3823">
      <w:pPr>
        <w:pStyle w:val="Pieddepage"/>
      </w:pPr>
    </w:p>
  </w:endnote>
  <w:endnote w:type="continuationNotice" w:id="1">
    <w:p w:rsidR="0033612E" w:rsidRDefault="003361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2E" w:rsidRPr="00EE3191" w:rsidRDefault="0033612E" w:rsidP="00EE3191">
    <w:pPr>
      <w:pStyle w:val="Pieddepage"/>
      <w:tabs>
        <w:tab w:val="right" w:pos="9638"/>
      </w:tabs>
    </w:pPr>
    <w:r w:rsidRPr="00EE3191">
      <w:rPr>
        <w:b/>
        <w:sz w:val="18"/>
      </w:rPr>
      <w:fldChar w:fldCharType="begin"/>
    </w:r>
    <w:r w:rsidRPr="00EE3191">
      <w:rPr>
        <w:b/>
        <w:sz w:val="18"/>
      </w:rPr>
      <w:instrText xml:space="preserve"> PAGE  \* MERGEFORMAT </w:instrText>
    </w:r>
    <w:r w:rsidRPr="00EE3191">
      <w:rPr>
        <w:b/>
        <w:sz w:val="18"/>
      </w:rPr>
      <w:fldChar w:fldCharType="separate"/>
    </w:r>
    <w:r w:rsidRPr="00EE3191">
      <w:rPr>
        <w:b/>
        <w:noProof/>
        <w:sz w:val="18"/>
      </w:rPr>
      <w:t>2</w:t>
    </w:r>
    <w:r w:rsidRPr="00EE3191">
      <w:rPr>
        <w:b/>
        <w:sz w:val="18"/>
      </w:rPr>
      <w:fldChar w:fldCharType="end"/>
    </w:r>
    <w:r>
      <w:rPr>
        <w:b/>
        <w:sz w:val="18"/>
      </w:rPr>
      <w:tab/>
    </w:r>
    <w:r>
      <w:t>GE.19-11191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2E" w:rsidRPr="00EE3191" w:rsidRDefault="0033612E" w:rsidP="00EE3191">
    <w:pPr>
      <w:pStyle w:val="Pieddepage"/>
      <w:tabs>
        <w:tab w:val="right" w:pos="9638"/>
      </w:tabs>
      <w:rPr>
        <w:b/>
        <w:sz w:val="18"/>
      </w:rPr>
    </w:pPr>
    <w:r>
      <w:t>GE.19-11191</w:t>
    </w:r>
    <w:r>
      <w:tab/>
    </w:r>
    <w:r w:rsidRPr="00EE3191">
      <w:rPr>
        <w:b/>
        <w:sz w:val="18"/>
      </w:rPr>
      <w:fldChar w:fldCharType="begin"/>
    </w:r>
    <w:r w:rsidRPr="00EE3191">
      <w:rPr>
        <w:b/>
        <w:sz w:val="18"/>
      </w:rPr>
      <w:instrText xml:space="preserve"> PAGE  \* MERGEFORMAT </w:instrText>
    </w:r>
    <w:r w:rsidRPr="00EE3191">
      <w:rPr>
        <w:b/>
        <w:sz w:val="18"/>
      </w:rPr>
      <w:fldChar w:fldCharType="separate"/>
    </w:r>
    <w:r w:rsidRPr="00EE3191">
      <w:rPr>
        <w:b/>
        <w:noProof/>
        <w:sz w:val="18"/>
      </w:rPr>
      <w:t>3</w:t>
    </w:r>
    <w:r w:rsidRPr="00EE31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2E" w:rsidRPr="00EE3191" w:rsidRDefault="0033612E" w:rsidP="00EE319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19-11191  (F)    180620    180620</w:t>
    </w:r>
    <w:r>
      <w:rPr>
        <w:sz w:val="20"/>
      </w:rPr>
      <w:br/>
    </w:r>
    <w:r w:rsidRPr="00EE3191">
      <w:rPr>
        <w:rFonts w:ascii="C39T30Lfz" w:hAnsi="C39T30Lfz"/>
        <w:sz w:val="56"/>
      </w:rPr>
      <w:t></w:t>
    </w:r>
    <w:r w:rsidRPr="00EE3191">
      <w:rPr>
        <w:rFonts w:ascii="C39T30Lfz" w:hAnsi="C39T30Lfz"/>
        <w:sz w:val="56"/>
      </w:rPr>
      <w:t></w:t>
    </w:r>
    <w:r w:rsidRPr="00EE3191">
      <w:rPr>
        <w:rFonts w:ascii="C39T30Lfz" w:hAnsi="C39T30Lfz"/>
        <w:sz w:val="56"/>
      </w:rPr>
      <w:t></w:t>
    </w:r>
    <w:r w:rsidRPr="00EE3191">
      <w:rPr>
        <w:rFonts w:ascii="C39T30Lfz" w:hAnsi="C39T30Lfz"/>
        <w:sz w:val="56"/>
      </w:rPr>
      <w:t></w:t>
    </w:r>
    <w:r w:rsidRPr="00EE3191">
      <w:rPr>
        <w:rFonts w:ascii="C39T30Lfz" w:hAnsi="C39T30Lfz"/>
        <w:sz w:val="56"/>
      </w:rPr>
      <w:t></w:t>
    </w:r>
    <w:r w:rsidRPr="00EE3191">
      <w:rPr>
        <w:rFonts w:ascii="C39T30Lfz" w:hAnsi="C39T30Lfz"/>
        <w:sz w:val="56"/>
      </w:rPr>
      <w:t></w:t>
    </w:r>
    <w:r w:rsidRPr="00EE3191">
      <w:rPr>
        <w:rFonts w:ascii="C39T30Lfz" w:hAnsi="C39T30Lfz"/>
        <w:sz w:val="56"/>
      </w:rPr>
      <w:t></w:t>
    </w:r>
    <w:r w:rsidRPr="00EE3191">
      <w:rPr>
        <w:rFonts w:ascii="C39T30Lfz" w:hAnsi="C39T30Lfz"/>
        <w:sz w:val="56"/>
      </w:rPr>
      <w:t></w:t>
    </w:r>
    <w:r w:rsidRPr="00EE319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12E" w:rsidRPr="00AC3823" w:rsidRDefault="0033612E" w:rsidP="00AC3823">
      <w:pPr>
        <w:pStyle w:val="Pieddepage"/>
        <w:tabs>
          <w:tab w:val="right" w:pos="2155"/>
        </w:tabs>
        <w:spacing w:after="80" w:line="240" w:lineRule="atLeast"/>
        <w:ind w:left="680"/>
        <w:rPr>
          <w:u w:val="single"/>
        </w:rPr>
      </w:pPr>
      <w:r>
        <w:rPr>
          <w:u w:val="single"/>
        </w:rPr>
        <w:tab/>
      </w:r>
    </w:p>
  </w:footnote>
  <w:footnote w:type="continuationSeparator" w:id="0">
    <w:p w:rsidR="0033612E" w:rsidRPr="00AC3823" w:rsidRDefault="0033612E" w:rsidP="00AC3823">
      <w:pPr>
        <w:pStyle w:val="Pieddepage"/>
        <w:tabs>
          <w:tab w:val="right" w:pos="2155"/>
        </w:tabs>
        <w:spacing w:after="80" w:line="240" w:lineRule="atLeast"/>
        <w:ind w:left="680"/>
        <w:rPr>
          <w:u w:val="single"/>
        </w:rPr>
      </w:pPr>
      <w:r>
        <w:rPr>
          <w:u w:val="single"/>
        </w:rPr>
        <w:tab/>
      </w:r>
    </w:p>
  </w:footnote>
  <w:footnote w:type="continuationNotice" w:id="1">
    <w:p w:rsidR="0033612E" w:rsidRPr="00AC3823" w:rsidRDefault="0033612E">
      <w:pPr>
        <w:spacing w:line="240" w:lineRule="auto"/>
        <w:rPr>
          <w:sz w:val="2"/>
          <w:szCs w:val="2"/>
        </w:rPr>
      </w:pPr>
    </w:p>
  </w:footnote>
  <w:footnote w:id="2">
    <w:p w:rsidR="0033612E" w:rsidRPr="002A35B9" w:rsidRDefault="0033612E" w:rsidP="00EE3191">
      <w:pPr>
        <w:pStyle w:val="Notedebasdepage"/>
        <w:rPr>
          <w:lang w:val="fr-FR"/>
        </w:rPr>
      </w:pPr>
      <w:r>
        <w:rPr>
          <w:rStyle w:val="Appelnotedebasdep"/>
        </w:rPr>
        <w:tab/>
      </w:r>
      <w:r w:rsidRPr="002A35B9">
        <w:rPr>
          <w:rStyle w:val="Appelnotedebasdep"/>
          <w:sz w:val="20"/>
          <w:vertAlign w:val="baseline"/>
        </w:rPr>
        <w:t>*</w:t>
      </w:r>
      <w:r>
        <w:rPr>
          <w:rStyle w:val="Appelnotedebasdep"/>
          <w:sz w:val="20"/>
          <w:vertAlign w:val="baseline"/>
        </w:rPr>
        <w:tab/>
      </w:r>
      <w:r>
        <w:t>Adoptées par le Comité à sa quatre-vingtième session (14 janvier-1</w:t>
      </w:r>
      <w:r w:rsidRPr="002A35B9">
        <w:rPr>
          <w:vertAlign w:val="superscript"/>
        </w:rPr>
        <w:t>er</w:t>
      </w:r>
      <w:r>
        <w:t> février 2019).</w:t>
      </w:r>
    </w:p>
  </w:footnote>
  <w:footnote w:id="3">
    <w:p w:rsidR="0033612E" w:rsidRPr="00CF46E2" w:rsidRDefault="0033612E" w:rsidP="00EE3191">
      <w:pPr>
        <w:pStyle w:val="Notedebasdepage"/>
        <w:rPr>
          <w:sz w:val="20"/>
        </w:rPr>
      </w:pPr>
      <w:r>
        <w:rPr>
          <w:rStyle w:val="Appelnotedebasdep"/>
        </w:rPr>
        <w:tab/>
      </w:r>
      <w:r w:rsidRPr="002A35B9">
        <w:rPr>
          <w:rStyle w:val="Appelnotedebasdep"/>
          <w:sz w:val="20"/>
          <w:vertAlign w:val="baseline"/>
        </w:rPr>
        <w:t>**</w:t>
      </w:r>
      <w:r>
        <w:rPr>
          <w:rStyle w:val="Appelnotedebasdep"/>
          <w:sz w:val="20"/>
          <w:vertAlign w:val="baseline"/>
        </w:rPr>
        <w:tab/>
      </w:r>
      <w:r>
        <w:t xml:space="preserve">Les membres du Comité dont le nom suit ont participé à l’examen de la communication : </w:t>
      </w:r>
      <w:r w:rsidRPr="002A35B9">
        <w:rPr>
          <w:lang w:val="fr-FR"/>
        </w:rPr>
        <w:t>Amal</w:t>
      </w:r>
      <w:r>
        <w:rPr>
          <w:lang w:val="fr-FR"/>
        </w:rPr>
        <w:t> </w:t>
      </w:r>
      <w:r w:rsidRPr="002A35B9">
        <w:rPr>
          <w:lang w:val="fr-FR"/>
        </w:rPr>
        <w:t>Salman Aldoseri, Suzanne Aho Assouma, Hynd Ayoubi Idrissi, Bernard Gastaud, Olga A.</w:t>
      </w:r>
      <w:r>
        <w:rPr>
          <w:lang w:val="fr-FR"/>
        </w:rPr>
        <w:t> </w:t>
      </w:r>
      <w:r w:rsidRPr="002A35B9">
        <w:rPr>
          <w:lang w:val="fr-FR"/>
        </w:rPr>
        <w:t xml:space="preserve">Khazova, Hatem Kotrane, Gehad Madi, Benyam Dawit Mezmur, Clarence Nelson, Mikiko Otani, Luis Ernesto Pedernera Reyna, José Ángel Rodríguez Reyes, Kirsten Sandberg, Ann Marie Skelton, Velina Todorova </w:t>
      </w:r>
      <w:r>
        <w:rPr>
          <w:lang w:val="fr-FR"/>
        </w:rPr>
        <w:t>et</w:t>
      </w:r>
      <w:r w:rsidRPr="002A35B9">
        <w:rPr>
          <w:lang w:val="fr-FR"/>
        </w:rPr>
        <w:t xml:space="preserve"> Renate Winter.</w:t>
      </w:r>
    </w:p>
  </w:footnote>
  <w:footnote w:id="4">
    <w:p w:rsidR="0033612E" w:rsidRPr="00FD1C50" w:rsidRDefault="0033612E" w:rsidP="00EE3191">
      <w:pPr>
        <w:pStyle w:val="Notedebasdepage"/>
        <w:rPr>
          <w:lang w:val="fr-FR"/>
        </w:rPr>
      </w:pPr>
      <w:r w:rsidRPr="00C27AA0">
        <w:rPr>
          <w:lang w:val="fr-FR"/>
        </w:rPr>
        <w:tab/>
      </w:r>
      <w:r w:rsidRPr="00607BE5">
        <w:rPr>
          <w:rStyle w:val="Appelnotedebasdep"/>
        </w:rPr>
        <w:footnoteRef/>
      </w:r>
      <w:r w:rsidRPr="0045454F">
        <w:rPr>
          <w:lang w:val="fr-FR"/>
        </w:rPr>
        <w:tab/>
        <w:t xml:space="preserve">Une copie </w:t>
      </w:r>
      <w:r>
        <w:rPr>
          <w:lang w:val="fr-FR"/>
        </w:rPr>
        <w:t>certifiée conforme de l’acte de naissance de l’auteur, datée du 20 octobre 2016, a été versée au dossier.</w:t>
      </w:r>
    </w:p>
  </w:footnote>
  <w:footnote w:id="5">
    <w:p w:rsidR="0033612E" w:rsidRPr="00386CE7" w:rsidRDefault="0033612E" w:rsidP="00EE3191">
      <w:pPr>
        <w:pStyle w:val="Notedebasdepage"/>
        <w:rPr>
          <w:spacing w:val="-1"/>
          <w:lang w:val="fr-FR"/>
        </w:rPr>
      </w:pPr>
      <w:r w:rsidRPr="00386CE7">
        <w:rPr>
          <w:spacing w:val="-1"/>
          <w:lang w:val="fr-FR"/>
        </w:rPr>
        <w:tab/>
      </w:r>
      <w:r w:rsidRPr="00607BE5">
        <w:rPr>
          <w:rStyle w:val="Appelnotedebasdep"/>
        </w:rPr>
        <w:footnoteRef/>
      </w:r>
      <w:r w:rsidRPr="00386CE7">
        <w:rPr>
          <w:spacing w:val="-1"/>
          <w:lang w:val="fr-FR"/>
        </w:rPr>
        <w:tab/>
        <w:t>L’auteur fait observer que, conformément à la loi organique n</w:t>
      </w:r>
      <w:r w:rsidRPr="00386CE7">
        <w:rPr>
          <w:spacing w:val="-1"/>
          <w:vertAlign w:val="superscript"/>
          <w:lang w:val="fr-FR"/>
        </w:rPr>
        <w:t>o</w:t>
      </w:r>
      <w:r w:rsidRPr="00386CE7">
        <w:rPr>
          <w:spacing w:val="-1"/>
          <w:lang w:val="fr-FR"/>
        </w:rPr>
        <w:t> 4/2000 du 11 janvier 2000 relative aux</w:t>
      </w:r>
      <w:r>
        <w:rPr>
          <w:spacing w:val="-1"/>
          <w:lang w:val="fr-FR"/>
        </w:rPr>
        <w:t> </w:t>
      </w:r>
      <w:r w:rsidRPr="00386CE7">
        <w:rPr>
          <w:spacing w:val="-1"/>
          <w:lang w:val="fr-FR"/>
        </w:rPr>
        <w:t>droits et aux libertés des étrangers en Espagne et à leur intégration sociale, le juge qui instruit une procédure d’expulsion peut prendre des mesures de sûreté, par exemple le placement en détention de la</w:t>
      </w:r>
      <w:r>
        <w:rPr>
          <w:spacing w:val="-1"/>
          <w:lang w:val="fr-FR"/>
        </w:rPr>
        <w:t> </w:t>
      </w:r>
      <w:r w:rsidRPr="00386CE7">
        <w:rPr>
          <w:spacing w:val="-1"/>
          <w:lang w:val="fr-FR"/>
        </w:rPr>
        <w:t>personne concernée. Toutefois, dans le cas présent, l’auteur n’a pas fait l’objet de mesures de ce type.</w:t>
      </w:r>
    </w:p>
  </w:footnote>
  <w:footnote w:id="6">
    <w:p w:rsidR="0033612E" w:rsidRPr="003E5A91" w:rsidRDefault="0033612E" w:rsidP="00EE3191">
      <w:pPr>
        <w:pStyle w:val="Notedebasdepage"/>
        <w:rPr>
          <w:lang w:val="fr-FR"/>
        </w:rPr>
      </w:pPr>
      <w:r w:rsidRPr="005D590C">
        <w:rPr>
          <w:lang w:val="fr-FR"/>
        </w:rPr>
        <w:tab/>
      </w:r>
      <w:r w:rsidRPr="00607BE5">
        <w:rPr>
          <w:rStyle w:val="Appelnotedebasdep"/>
        </w:rPr>
        <w:footnoteRef/>
      </w:r>
      <w:r w:rsidRPr="00472326">
        <w:rPr>
          <w:lang w:val="fr-FR"/>
        </w:rPr>
        <w:tab/>
        <w:t xml:space="preserve">Il était précisé dans </w:t>
      </w:r>
      <w:r>
        <w:rPr>
          <w:lang w:val="fr-FR"/>
        </w:rPr>
        <w:t xml:space="preserve">la décision </w:t>
      </w:r>
      <w:r w:rsidRPr="00472326">
        <w:rPr>
          <w:lang w:val="fr-FR"/>
        </w:rPr>
        <w:t>que l</w:t>
      </w:r>
      <w:r>
        <w:rPr>
          <w:lang w:val="fr-FR"/>
        </w:rPr>
        <w:t>’</w:t>
      </w:r>
      <w:r w:rsidRPr="00472326">
        <w:rPr>
          <w:lang w:val="fr-FR"/>
        </w:rPr>
        <w:t>acte de naissance fourni ne pouvait</w:t>
      </w:r>
      <w:r>
        <w:rPr>
          <w:lang w:val="fr-FR"/>
        </w:rPr>
        <w:t xml:space="preserve"> pas être considéré comme valide car son authenticité était douteuse et aucun accord n’avait été conclu avec le pays d’origine.</w:t>
      </w:r>
    </w:p>
  </w:footnote>
  <w:footnote w:id="7">
    <w:p w:rsidR="0033612E" w:rsidRPr="00330895" w:rsidRDefault="0033612E" w:rsidP="00EE3191">
      <w:pPr>
        <w:pStyle w:val="Notedebasdepage"/>
        <w:rPr>
          <w:lang w:val="fr-FR"/>
        </w:rPr>
      </w:pPr>
      <w:r w:rsidRPr="003E5A91">
        <w:rPr>
          <w:lang w:val="fr-FR"/>
        </w:rPr>
        <w:tab/>
      </w:r>
      <w:r w:rsidRPr="00607BE5">
        <w:rPr>
          <w:rStyle w:val="Appelnotedebasdep"/>
        </w:rPr>
        <w:footnoteRef/>
      </w:r>
      <w:r w:rsidRPr="00330895">
        <w:rPr>
          <w:lang w:val="fr-FR"/>
        </w:rPr>
        <w:tab/>
        <w:t>CRC/C/75/D/9/2017, décision de classement de la communication.</w:t>
      </w:r>
    </w:p>
  </w:footnote>
  <w:footnote w:id="8">
    <w:p w:rsidR="0033612E" w:rsidRPr="00635252" w:rsidRDefault="0033612E" w:rsidP="00EE3191">
      <w:pPr>
        <w:pStyle w:val="Notedebasdepage"/>
        <w:rPr>
          <w:lang w:val="fr-FR"/>
        </w:rPr>
      </w:pPr>
      <w:r w:rsidRPr="00330895">
        <w:rPr>
          <w:lang w:val="fr-FR"/>
        </w:rPr>
        <w:tab/>
      </w:r>
      <w:r w:rsidRPr="00607BE5">
        <w:rPr>
          <w:rStyle w:val="Appelnotedebasdep"/>
        </w:rPr>
        <w:footnoteRef/>
      </w:r>
      <w:r w:rsidRPr="00635252">
        <w:rPr>
          <w:lang w:val="fr-FR"/>
        </w:rPr>
        <w:tab/>
      </w:r>
      <w:r w:rsidRPr="00635252">
        <w:t>Accord entre le Ministère de la justice, le Ministère de l</w:t>
      </w:r>
      <w:r>
        <w:t>’</w:t>
      </w:r>
      <w:r w:rsidRPr="00635252">
        <w:t>intérieur, le Ministère de l</w:t>
      </w:r>
      <w:r>
        <w:t>’</w:t>
      </w:r>
      <w:r w:rsidRPr="00635252">
        <w:t>emploi et de la sécurité sociale, le Ministère de la santé, des services sociaux et de l</w:t>
      </w:r>
      <w:r>
        <w:t>’</w:t>
      </w:r>
      <w:r w:rsidRPr="00635252">
        <w:t xml:space="preserve">égalité, le </w:t>
      </w:r>
      <w:r>
        <w:t>parquet</w:t>
      </w:r>
      <w:r w:rsidRPr="00635252">
        <w:t xml:space="preserve"> général et le Ministère des affaires étrangères et de la coopération, pour l</w:t>
      </w:r>
      <w:r>
        <w:t>’</w:t>
      </w:r>
      <w:r w:rsidRPr="00635252">
        <w:t xml:space="preserve">adoption du protocole-cadre concernant les procédures applicables aux mineurs étrangers non accompagnés, </w:t>
      </w:r>
      <w:r w:rsidRPr="002A35B9">
        <w:rPr>
          <w:i/>
        </w:rPr>
        <w:t>Boletín Oficial del Estado</w:t>
      </w:r>
      <w:r w:rsidRPr="003607AB">
        <w:t xml:space="preserve"> </w:t>
      </w:r>
      <w:r>
        <w:t>(</w:t>
      </w:r>
      <w:r w:rsidRPr="00635252">
        <w:t>Journal officiel</w:t>
      </w:r>
      <w:r>
        <w:t>) n</w:t>
      </w:r>
      <w:r w:rsidRPr="002A35B9">
        <w:rPr>
          <w:vertAlign w:val="superscript"/>
        </w:rPr>
        <w:t>o</w:t>
      </w:r>
      <w:r>
        <w:t xml:space="preserve"> 251, </w:t>
      </w:r>
      <w:r w:rsidRPr="00635252">
        <w:t>16 octobre 2014</w:t>
      </w:r>
      <w:r w:rsidRPr="00635252">
        <w:rPr>
          <w:lang w:val="fr-FR"/>
        </w:rPr>
        <w:t>.</w:t>
      </w:r>
    </w:p>
  </w:footnote>
  <w:footnote w:id="9">
    <w:p w:rsidR="0033612E" w:rsidRPr="00411377" w:rsidRDefault="0033612E" w:rsidP="00EE3191">
      <w:pPr>
        <w:pStyle w:val="Notedebasdepage"/>
        <w:rPr>
          <w:lang w:val="fr-FR"/>
        </w:rPr>
      </w:pPr>
      <w:r w:rsidRPr="00635252">
        <w:rPr>
          <w:lang w:val="fr-FR"/>
        </w:rPr>
        <w:tab/>
      </w:r>
      <w:r w:rsidRPr="00607BE5">
        <w:rPr>
          <w:rStyle w:val="Appelnotedebasdep"/>
        </w:rPr>
        <w:footnoteRef/>
      </w:r>
      <w:r w:rsidRPr="00411377">
        <w:rPr>
          <w:lang w:val="fr-FR"/>
        </w:rPr>
        <w:tab/>
      </w:r>
      <w:r w:rsidRPr="002A35B9">
        <w:rPr>
          <w:lang w:val="fr-FR"/>
        </w:rPr>
        <w:t>Requête n</w:t>
      </w:r>
      <w:r w:rsidRPr="002A35B9">
        <w:rPr>
          <w:vertAlign w:val="superscript"/>
          <w:lang w:val="fr-FR"/>
        </w:rPr>
        <w:t>o</w:t>
      </w:r>
      <w:r>
        <w:rPr>
          <w:i/>
          <w:lang w:val="fr-FR"/>
        </w:rPr>
        <w:t> </w:t>
      </w:r>
      <w:r w:rsidRPr="00411377">
        <w:rPr>
          <w:lang w:val="fr-FR"/>
        </w:rPr>
        <w:t>50520/09, par.</w:t>
      </w:r>
      <w:r>
        <w:rPr>
          <w:lang w:val="fr-FR"/>
        </w:rPr>
        <w:t> </w:t>
      </w:r>
      <w:r w:rsidRPr="00411377">
        <w:rPr>
          <w:lang w:val="fr-FR"/>
        </w:rPr>
        <w:t>77 et 78.</w:t>
      </w:r>
    </w:p>
  </w:footnote>
  <w:footnote w:id="10">
    <w:p w:rsidR="0033612E" w:rsidRPr="00973C1E" w:rsidRDefault="0033612E" w:rsidP="00EE3191">
      <w:pPr>
        <w:pStyle w:val="Notedebasdepage"/>
        <w:rPr>
          <w:lang w:val="fr-FR"/>
        </w:rPr>
      </w:pPr>
      <w:r w:rsidRPr="00A37262">
        <w:rPr>
          <w:lang w:val="fr-FR"/>
        </w:rPr>
        <w:tab/>
      </w:r>
      <w:r w:rsidRPr="00607BE5">
        <w:rPr>
          <w:rStyle w:val="Appelnotedebasdep"/>
        </w:rPr>
        <w:footnoteRef/>
      </w:r>
      <w:r w:rsidRPr="00973C1E">
        <w:rPr>
          <w:lang w:val="fr-FR"/>
        </w:rPr>
        <w:tab/>
        <w:t xml:space="preserve">Cette intervention </w:t>
      </w:r>
      <w:r>
        <w:rPr>
          <w:lang w:val="fr-FR"/>
        </w:rPr>
        <w:t>concerne</w:t>
      </w:r>
      <w:r w:rsidRPr="00973C1E">
        <w:rPr>
          <w:lang w:val="fr-FR"/>
        </w:rPr>
        <w:t xml:space="preserve"> les communications</w:t>
      </w:r>
      <w:r>
        <w:rPr>
          <w:lang w:val="fr-FR"/>
        </w:rPr>
        <w:t xml:space="preserve"> </w:t>
      </w:r>
      <w:r w:rsidRPr="00973C1E">
        <w:rPr>
          <w:lang w:val="fr-FR"/>
        </w:rPr>
        <w:t>n</w:t>
      </w:r>
      <w:r w:rsidRPr="00973C1E">
        <w:rPr>
          <w:vertAlign w:val="superscript"/>
          <w:lang w:val="fr-FR"/>
        </w:rPr>
        <w:t>o</w:t>
      </w:r>
      <w:r>
        <w:rPr>
          <w:vertAlign w:val="superscript"/>
          <w:lang w:val="fr-FR"/>
        </w:rPr>
        <w:t>s</w:t>
      </w:r>
      <w:r w:rsidRPr="00973C1E">
        <w:rPr>
          <w:lang w:val="fr-FR"/>
        </w:rPr>
        <w:t xml:space="preserve"> 11/2017, 14/2017, 15/2017, 16/2017, 20/2017, 22/2017, 24/2017, 25/2017, 26/2017, 28/2017, 29/2017, 37/2017, 38/2017, 40/2018, 41/2018, 42/2018 </w:t>
      </w:r>
      <w:r>
        <w:rPr>
          <w:lang w:val="fr-FR"/>
        </w:rPr>
        <w:t>et</w:t>
      </w:r>
      <w:r w:rsidRPr="00973C1E">
        <w:rPr>
          <w:lang w:val="fr-FR"/>
        </w:rPr>
        <w:t xml:space="preserve"> 44/2018</w:t>
      </w:r>
      <w:r>
        <w:rPr>
          <w:lang w:val="fr-FR"/>
        </w:rPr>
        <w:t>,</w:t>
      </w:r>
      <w:r w:rsidRPr="00694F64">
        <w:rPr>
          <w:lang w:val="fr-FR"/>
        </w:rPr>
        <w:t xml:space="preserve"> </w:t>
      </w:r>
      <w:r>
        <w:rPr>
          <w:lang w:val="fr-FR"/>
        </w:rPr>
        <w:t>qui ont été soumises au Comité.</w:t>
      </w:r>
    </w:p>
  </w:footnote>
  <w:footnote w:id="11">
    <w:p w:rsidR="0033612E" w:rsidRPr="006C70C7" w:rsidRDefault="0033612E" w:rsidP="00EE3191">
      <w:pPr>
        <w:pStyle w:val="Notedebasdepage"/>
        <w:rPr>
          <w:lang w:val="fr-FR"/>
        </w:rPr>
      </w:pPr>
      <w:r w:rsidRPr="00973C1E">
        <w:rPr>
          <w:lang w:val="fr-FR"/>
        </w:rPr>
        <w:tab/>
      </w:r>
      <w:r w:rsidRPr="00607BE5">
        <w:rPr>
          <w:rStyle w:val="Appelnotedebasdep"/>
        </w:rPr>
        <w:footnoteRef/>
      </w:r>
      <w:r w:rsidRPr="006C70C7">
        <w:rPr>
          <w:lang w:val="fr-FR"/>
        </w:rPr>
        <w:tab/>
      </w:r>
      <w:r w:rsidRPr="003607AB">
        <w:rPr>
          <w:lang w:val="fr-FR"/>
        </w:rPr>
        <w:t xml:space="preserve">Daja Wenke, </w:t>
      </w:r>
      <w:r w:rsidRPr="004A7A66">
        <w:rPr>
          <w:i/>
          <w:lang w:val="fr-FR"/>
        </w:rPr>
        <w:t>Détermination de l’âge : politiques, procédures et pratiques des États membres du Conseil de l’Europe respectueuses des droits de l’enfant</w:t>
      </w:r>
      <w:r w:rsidRPr="006C70C7">
        <w:rPr>
          <w:lang w:val="fr-FR"/>
        </w:rPr>
        <w:t>, Conseil de l</w:t>
      </w:r>
      <w:r>
        <w:rPr>
          <w:lang w:val="fr-FR"/>
        </w:rPr>
        <w:t>’</w:t>
      </w:r>
      <w:r w:rsidRPr="006C70C7">
        <w:rPr>
          <w:lang w:val="fr-FR"/>
        </w:rPr>
        <w:t>Europe, 2017.</w:t>
      </w:r>
    </w:p>
  </w:footnote>
  <w:footnote w:id="12">
    <w:p w:rsidR="0033612E" w:rsidRPr="00482436" w:rsidRDefault="0033612E" w:rsidP="00EE3191">
      <w:pPr>
        <w:pStyle w:val="Notedebasdepage"/>
        <w:rPr>
          <w:lang w:val="fr-FR"/>
        </w:rPr>
      </w:pPr>
      <w:r w:rsidRPr="00A716D2">
        <w:rPr>
          <w:spacing w:val="-2"/>
          <w:lang w:val="fr-FR"/>
        </w:rPr>
        <w:tab/>
      </w:r>
      <w:r w:rsidRPr="00607BE5">
        <w:rPr>
          <w:rStyle w:val="Appelnotedebasdep"/>
        </w:rPr>
        <w:footnoteRef/>
      </w:r>
      <w:r w:rsidRPr="00A716D2">
        <w:rPr>
          <w:spacing w:val="-2"/>
          <w:lang w:val="fr-FR"/>
        </w:rPr>
        <w:tab/>
        <w:t>Résolution du Parlement européen du 12 septembre 2013 sur la situation des mineurs non accompagnés</w:t>
      </w:r>
      <w:r w:rsidRPr="00482436">
        <w:rPr>
          <w:lang w:val="fr-FR"/>
        </w:rPr>
        <w:t xml:space="preserve"> dans l</w:t>
      </w:r>
      <w:r>
        <w:rPr>
          <w:lang w:val="fr-FR"/>
        </w:rPr>
        <w:t>’Union européenne</w:t>
      </w:r>
      <w:r w:rsidRPr="00482436">
        <w:rPr>
          <w:lang w:val="fr-FR"/>
        </w:rPr>
        <w:t>.</w:t>
      </w:r>
    </w:p>
  </w:footnote>
  <w:footnote w:id="13">
    <w:p w:rsidR="0033612E" w:rsidRPr="002A35B9" w:rsidRDefault="0033612E" w:rsidP="00EE3191">
      <w:pPr>
        <w:pStyle w:val="Notedebasdepage"/>
        <w:rPr>
          <w:lang w:val="en-US"/>
        </w:rPr>
      </w:pPr>
      <w:r w:rsidRPr="00A716D2">
        <w:rPr>
          <w:spacing w:val="-2"/>
          <w:lang w:val="fr-FR"/>
        </w:rPr>
        <w:tab/>
      </w:r>
      <w:r w:rsidRPr="00607BE5">
        <w:rPr>
          <w:rStyle w:val="Appelnotedebasdep"/>
        </w:rPr>
        <w:footnoteRef/>
      </w:r>
      <w:r w:rsidRPr="002A35B9">
        <w:rPr>
          <w:spacing w:val="-2"/>
          <w:lang w:val="en-US"/>
        </w:rPr>
        <w:tab/>
      </w:r>
      <w:r w:rsidRPr="00DF2F73">
        <w:rPr>
          <w:lang w:val="en-US"/>
        </w:rPr>
        <w:t xml:space="preserve">Fiona M. Bright </w:t>
      </w:r>
      <w:r w:rsidRPr="002A35B9">
        <w:rPr>
          <w:i/>
          <w:lang w:val="en-US"/>
        </w:rPr>
        <w:t>et al.</w:t>
      </w:r>
      <w:r w:rsidRPr="00DF2F73">
        <w:rPr>
          <w:lang w:val="en-US"/>
        </w:rPr>
        <w:t xml:space="preserve">, </w:t>
      </w:r>
      <w:r w:rsidRPr="002A35B9">
        <w:rPr>
          <w:i/>
          <w:spacing w:val="-2"/>
          <w:lang w:val="en-US"/>
        </w:rPr>
        <w:t>Journal of Forensic and Legal Medicine</w:t>
      </w:r>
      <w:r w:rsidRPr="002A35B9">
        <w:rPr>
          <w:spacing w:val="-2"/>
          <w:lang w:val="en-US"/>
        </w:rPr>
        <w:t>, « The applicability of Greulich and Pyle atlas to assess skeletal</w:t>
      </w:r>
      <w:r w:rsidRPr="002A35B9">
        <w:rPr>
          <w:lang w:val="en-US"/>
        </w:rPr>
        <w:t xml:space="preserve"> age for four ethnic groups », </w:t>
      </w:r>
      <w:r w:rsidRPr="00BD63A8">
        <w:rPr>
          <w:lang w:val="en-US"/>
        </w:rPr>
        <w:t>vol.</w:t>
      </w:r>
      <w:r>
        <w:rPr>
          <w:lang w:val="en-US"/>
        </w:rPr>
        <w:t> </w:t>
      </w:r>
      <w:r w:rsidRPr="00BD63A8">
        <w:rPr>
          <w:lang w:val="en-US"/>
        </w:rPr>
        <w:t xml:space="preserve">22 </w:t>
      </w:r>
      <w:r>
        <w:rPr>
          <w:lang w:val="en-US"/>
        </w:rPr>
        <w:t>(</w:t>
      </w:r>
      <w:r w:rsidRPr="002A35B9">
        <w:rPr>
          <w:lang w:val="en-US"/>
        </w:rPr>
        <w:t>2014</w:t>
      </w:r>
      <w:r w:rsidRPr="00BD63A8">
        <w:rPr>
          <w:lang w:val="en-US"/>
        </w:rPr>
        <w:t>), p.</w:t>
      </w:r>
      <w:r>
        <w:rPr>
          <w:lang w:val="en-US"/>
        </w:rPr>
        <w:t> </w:t>
      </w:r>
      <w:r w:rsidRPr="00BD63A8">
        <w:rPr>
          <w:lang w:val="en-US"/>
        </w:rPr>
        <w:t xml:space="preserve">26 </w:t>
      </w:r>
      <w:r>
        <w:rPr>
          <w:lang w:val="en-US"/>
        </w:rPr>
        <w:t>à</w:t>
      </w:r>
      <w:r w:rsidRPr="00BD63A8">
        <w:rPr>
          <w:lang w:val="en-US"/>
        </w:rPr>
        <w:t xml:space="preserve"> 29.</w:t>
      </w:r>
    </w:p>
  </w:footnote>
  <w:footnote w:id="14">
    <w:p w:rsidR="0033612E" w:rsidRPr="008B2DF0" w:rsidRDefault="0033612E" w:rsidP="00EE3191">
      <w:pPr>
        <w:pStyle w:val="Notedebasdepage"/>
        <w:rPr>
          <w:lang w:val="fr-FR"/>
        </w:rPr>
      </w:pPr>
      <w:r w:rsidRPr="005B413B">
        <w:rPr>
          <w:lang w:val="en-US"/>
        </w:rPr>
        <w:tab/>
      </w:r>
      <w:r w:rsidRPr="00607BE5">
        <w:rPr>
          <w:rStyle w:val="Appelnotedebasdep"/>
        </w:rPr>
        <w:footnoteRef/>
      </w:r>
      <w:r w:rsidRPr="00C8182B">
        <w:rPr>
          <w:lang w:val="fr-FR"/>
        </w:rPr>
        <w:tab/>
        <w:t>Le Défenseur des droi</w:t>
      </w:r>
      <w:r>
        <w:rPr>
          <w:lang w:val="fr-FR"/>
        </w:rPr>
        <w:t>ts cite, entre autres sources :</w:t>
      </w:r>
      <w:r w:rsidRPr="00BD63A8">
        <w:rPr>
          <w:lang w:val="fr-FR"/>
        </w:rPr>
        <w:t xml:space="preserve"> Terry Smith </w:t>
      </w:r>
      <w:r>
        <w:rPr>
          <w:lang w:val="fr-FR"/>
        </w:rPr>
        <w:t>et</w:t>
      </w:r>
      <w:r w:rsidRPr="00BD63A8">
        <w:rPr>
          <w:lang w:val="fr-FR"/>
        </w:rPr>
        <w:t xml:space="preserve"> Laura Brownless</w:t>
      </w:r>
      <w:r w:rsidRPr="004C649F">
        <w:rPr>
          <w:lang w:val="fr-FR"/>
        </w:rPr>
        <w:t>,</w:t>
      </w:r>
      <w:r w:rsidRPr="004C649F">
        <w:t xml:space="preserve"> </w:t>
      </w:r>
      <w:r w:rsidRPr="00251C6D">
        <w:rPr>
          <w:i/>
          <w:lang w:val="fr-FR"/>
        </w:rPr>
        <w:t>Age assessment practices: a literature review and annotated bibliography</w:t>
      </w:r>
      <w:r>
        <w:rPr>
          <w:lang w:val="fr-FR"/>
        </w:rPr>
        <w:t xml:space="preserve">, </w:t>
      </w:r>
      <w:r w:rsidRPr="00BD63A8">
        <w:rPr>
          <w:lang w:val="fr-FR"/>
        </w:rPr>
        <w:t>Fonds des Nations Unies pour l</w:t>
      </w:r>
      <w:r w:rsidR="00022EB6">
        <w:rPr>
          <w:lang w:val="fr-FR"/>
        </w:rPr>
        <w:t>’</w:t>
      </w:r>
      <w:r w:rsidRPr="00BD63A8">
        <w:rPr>
          <w:lang w:val="fr-FR"/>
        </w:rPr>
        <w:t xml:space="preserve">enfance </w:t>
      </w:r>
      <w:r>
        <w:rPr>
          <w:lang w:val="fr-FR"/>
        </w:rPr>
        <w:t>(</w:t>
      </w:r>
      <w:r w:rsidRPr="008B77CD">
        <w:rPr>
          <w:lang w:val="fr-FR"/>
        </w:rPr>
        <w:t>UNICEF</w:t>
      </w:r>
      <w:r>
        <w:rPr>
          <w:lang w:val="fr-FR"/>
        </w:rPr>
        <w:t>),</w:t>
      </w:r>
      <w:r w:rsidRPr="008B77CD">
        <w:rPr>
          <w:lang w:val="fr-FR"/>
        </w:rPr>
        <w:t xml:space="preserve"> </w:t>
      </w:r>
      <w:r>
        <w:rPr>
          <w:lang w:val="fr-FR"/>
        </w:rPr>
        <w:t xml:space="preserve">2011 ; Académie nationale de médecine (France), </w:t>
      </w:r>
      <w:r w:rsidRPr="002A35B9">
        <w:rPr>
          <w:i/>
          <w:lang w:val="fr-FR"/>
        </w:rPr>
        <w:t>Rapport sur la fiabilité des examens médicaux visant à déterminer l’âge à des fins judiciaires et la possibilité d’amélioration en la matière pour les mineurs étrangers isolés</w:t>
      </w:r>
      <w:r>
        <w:rPr>
          <w:i/>
          <w:lang w:val="fr-FR"/>
        </w:rPr>
        <w:t xml:space="preserve">, </w:t>
      </w:r>
      <w:r>
        <w:rPr>
          <w:lang w:val="fr-FR"/>
        </w:rPr>
        <w:t xml:space="preserve">2007 ; </w:t>
      </w:r>
      <w:r w:rsidRPr="00856E9E">
        <w:rPr>
          <w:lang w:val="fr-FR"/>
        </w:rPr>
        <w:t>S.</w:t>
      </w:r>
      <w:r>
        <w:rPr>
          <w:lang w:val="fr-FR"/>
        </w:rPr>
        <w:t> </w:t>
      </w:r>
      <w:r w:rsidRPr="00856E9E">
        <w:rPr>
          <w:lang w:val="fr-FR"/>
        </w:rPr>
        <w:t xml:space="preserve">Depallens </w:t>
      </w:r>
      <w:r w:rsidRPr="00251C6D">
        <w:rPr>
          <w:i/>
          <w:lang w:val="fr-FR"/>
        </w:rPr>
        <w:t>et al</w:t>
      </w:r>
      <w:r>
        <w:rPr>
          <w:lang w:val="fr-FR"/>
        </w:rPr>
        <w:t>.</w:t>
      </w:r>
      <w:r w:rsidRPr="00856E9E">
        <w:rPr>
          <w:lang w:val="fr-FR"/>
        </w:rPr>
        <w:t xml:space="preserve">, </w:t>
      </w:r>
      <w:r>
        <w:rPr>
          <w:lang w:val="fr-FR"/>
        </w:rPr>
        <w:t>« </w:t>
      </w:r>
      <w:r w:rsidRPr="00856E9E">
        <w:rPr>
          <w:lang w:val="fr-FR"/>
        </w:rPr>
        <w:t>Détermination de l’âge des jeunes migrants. Position de la Société Suisse de Pédiatrie</w:t>
      </w:r>
      <w:r>
        <w:rPr>
          <w:lang w:val="fr-FR"/>
        </w:rPr>
        <w:t> »</w:t>
      </w:r>
      <w:r w:rsidRPr="00856E9E">
        <w:rPr>
          <w:lang w:val="fr-FR"/>
        </w:rPr>
        <w:t xml:space="preserve">, </w:t>
      </w:r>
      <w:r w:rsidRPr="00251C6D">
        <w:rPr>
          <w:i/>
          <w:lang w:val="fr-FR"/>
        </w:rPr>
        <w:t>Paediatrica</w:t>
      </w:r>
      <w:r w:rsidRPr="00856E9E">
        <w:rPr>
          <w:lang w:val="fr-FR"/>
        </w:rPr>
        <w:t>, vol.</w:t>
      </w:r>
      <w:r>
        <w:rPr>
          <w:lang w:val="fr-FR"/>
        </w:rPr>
        <w:t> </w:t>
      </w:r>
      <w:r w:rsidRPr="00856E9E">
        <w:rPr>
          <w:lang w:val="fr-FR"/>
        </w:rPr>
        <w:t xml:space="preserve">28, </w:t>
      </w:r>
      <w:r>
        <w:rPr>
          <w:lang w:val="fr-FR"/>
        </w:rPr>
        <w:t>n</w:t>
      </w:r>
      <w:r w:rsidRPr="00D37237">
        <w:rPr>
          <w:vertAlign w:val="superscript"/>
          <w:lang w:val="fr-FR"/>
        </w:rPr>
        <w:t>o</w:t>
      </w:r>
      <w:r w:rsidRPr="00856E9E">
        <w:rPr>
          <w:lang w:val="fr-FR"/>
        </w:rPr>
        <w:t xml:space="preserve"> 2 (2017), p.</w:t>
      </w:r>
      <w:r>
        <w:rPr>
          <w:lang w:val="fr-FR"/>
        </w:rPr>
        <w:t> </w:t>
      </w:r>
      <w:r w:rsidRPr="00856E9E">
        <w:rPr>
          <w:lang w:val="fr-FR"/>
        </w:rPr>
        <w:t>3</w:t>
      </w:r>
      <w:r>
        <w:rPr>
          <w:lang w:val="fr-FR"/>
        </w:rPr>
        <w:t>.</w:t>
      </w:r>
    </w:p>
  </w:footnote>
  <w:footnote w:id="15">
    <w:p w:rsidR="0033612E" w:rsidRPr="008B2DF0" w:rsidRDefault="0033612E" w:rsidP="00EE3191">
      <w:pPr>
        <w:pStyle w:val="Notedebasdepage"/>
        <w:rPr>
          <w:lang w:val="fr-FR"/>
        </w:rPr>
      </w:pPr>
      <w:r w:rsidRPr="008B2DF0">
        <w:rPr>
          <w:lang w:val="fr-FR"/>
        </w:rPr>
        <w:tab/>
      </w:r>
      <w:r w:rsidRPr="00607BE5">
        <w:rPr>
          <w:rStyle w:val="Appelnotedebasdep"/>
        </w:rPr>
        <w:footnoteRef/>
      </w:r>
      <w:r w:rsidRPr="008B2DF0">
        <w:rPr>
          <w:lang w:val="fr-FR"/>
        </w:rPr>
        <w:tab/>
        <w:t>Commissaire aux droits de l</w:t>
      </w:r>
      <w:r>
        <w:rPr>
          <w:lang w:val="fr-FR"/>
        </w:rPr>
        <w:t>’</w:t>
      </w:r>
      <w:r w:rsidRPr="008B2DF0">
        <w:rPr>
          <w:lang w:val="fr-FR"/>
        </w:rPr>
        <w:t>homme du Conseil de l</w:t>
      </w:r>
      <w:r>
        <w:rPr>
          <w:lang w:val="fr-FR"/>
        </w:rPr>
        <w:t>’</w:t>
      </w:r>
      <w:r w:rsidRPr="008B2DF0">
        <w:rPr>
          <w:lang w:val="fr-FR"/>
        </w:rPr>
        <w:t xml:space="preserve">Europe, </w:t>
      </w:r>
      <w:r>
        <w:rPr>
          <w:i/>
          <w:lang w:val="fr-FR"/>
        </w:rPr>
        <w:t>Les méthodes d’évaluation de l’âge des enfants migrants doivent être améliorées</w:t>
      </w:r>
      <w:r>
        <w:rPr>
          <w:lang w:val="fr-FR"/>
        </w:rPr>
        <w:t>, 2011.</w:t>
      </w:r>
    </w:p>
  </w:footnote>
  <w:footnote w:id="16">
    <w:p w:rsidR="0033612E" w:rsidRPr="008B2DF0" w:rsidRDefault="0033612E" w:rsidP="00EE3191">
      <w:pPr>
        <w:pStyle w:val="Notedebasdepage"/>
        <w:rPr>
          <w:lang w:val="fr-FR"/>
        </w:rPr>
      </w:pPr>
      <w:r w:rsidRPr="008B2DF0">
        <w:rPr>
          <w:lang w:val="fr-FR"/>
        </w:rPr>
        <w:tab/>
      </w:r>
      <w:r w:rsidRPr="00607BE5">
        <w:rPr>
          <w:rStyle w:val="Appelnotedebasdep"/>
        </w:rPr>
        <w:footnoteRef/>
      </w:r>
      <w:r w:rsidRPr="008B2DF0">
        <w:rPr>
          <w:lang w:val="fr-FR"/>
        </w:rPr>
        <w:tab/>
        <w:t>Observation générale n</w:t>
      </w:r>
      <w:r w:rsidRPr="008B2DF0">
        <w:rPr>
          <w:vertAlign w:val="superscript"/>
          <w:lang w:val="fr-FR"/>
        </w:rPr>
        <w:t>o</w:t>
      </w:r>
      <w:r w:rsidRPr="008B2DF0">
        <w:rPr>
          <w:lang w:val="fr-FR"/>
        </w:rPr>
        <w:t xml:space="preserve"> 6 et </w:t>
      </w:r>
      <w:r w:rsidRPr="00736CA2">
        <w:rPr>
          <w:lang w:val="fr-FR"/>
        </w:rPr>
        <w:t>observation générale conjointe n</w:t>
      </w:r>
      <w:r w:rsidRPr="002A35B9">
        <w:rPr>
          <w:vertAlign w:val="superscript"/>
          <w:lang w:val="fr-FR"/>
        </w:rPr>
        <w:t>o</w:t>
      </w:r>
      <w:r>
        <w:rPr>
          <w:lang w:val="fr-FR"/>
        </w:rPr>
        <w:t> </w:t>
      </w:r>
      <w:r w:rsidRPr="00736CA2">
        <w:rPr>
          <w:lang w:val="fr-FR"/>
        </w:rPr>
        <w:t>3 du Comité pour la protection des droits de tous les travailleurs migrants et des membres de leur famille et n</w:t>
      </w:r>
      <w:r w:rsidRPr="002A35B9">
        <w:rPr>
          <w:vertAlign w:val="superscript"/>
          <w:lang w:val="fr-FR"/>
        </w:rPr>
        <w:t>o</w:t>
      </w:r>
      <w:r>
        <w:rPr>
          <w:lang w:val="fr-FR"/>
        </w:rPr>
        <w:t> </w:t>
      </w:r>
      <w:r w:rsidRPr="00736CA2">
        <w:rPr>
          <w:lang w:val="fr-FR"/>
        </w:rPr>
        <w:t>22 du Comité des droits de l’enfant (2017) sur les principes généraux relatifs aux droits de l’homme des enfants dans le contexte des migrations internationales</w:t>
      </w:r>
      <w:r w:rsidRPr="008B2DF0">
        <w:rPr>
          <w:lang w:val="fr-FR"/>
        </w:rPr>
        <w:t>.</w:t>
      </w:r>
    </w:p>
  </w:footnote>
  <w:footnote w:id="17">
    <w:p w:rsidR="0033612E" w:rsidRPr="00DE2C19" w:rsidRDefault="0033612E" w:rsidP="00EE3191">
      <w:pPr>
        <w:pStyle w:val="Notedebasdepage"/>
        <w:rPr>
          <w:lang w:val="fr-FR"/>
        </w:rPr>
      </w:pPr>
      <w:r w:rsidRPr="008B2DF0">
        <w:rPr>
          <w:lang w:val="fr-FR"/>
        </w:rPr>
        <w:tab/>
      </w:r>
      <w:r w:rsidRPr="00607BE5">
        <w:rPr>
          <w:rStyle w:val="Appelnotedebasdep"/>
        </w:rPr>
        <w:footnoteRef/>
      </w:r>
      <w:r w:rsidRPr="00DE2C19">
        <w:rPr>
          <w:lang w:val="fr-FR"/>
        </w:rPr>
        <w:tab/>
      </w:r>
      <w:r>
        <w:rPr>
          <w:lang w:val="fr-FR"/>
        </w:rPr>
        <w:t xml:space="preserve">Cour européenne des droits de l’homme, </w:t>
      </w:r>
      <w:r w:rsidRPr="00DE2C19">
        <w:rPr>
          <w:i/>
          <w:lang w:val="fr-FR"/>
        </w:rPr>
        <w:t xml:space="preserve">Tarakhel </w:t>
      </w:r>
      <w:r w:rsidRPr="002A35B9">
        <w:rPr>
          <w:i/>
        </w:rPr>
        <w:t>c.</w:t>
      </w:r>
      <w:r>
        <w:t> </w:t>
      </w:r>
      <w:r w:rsidRPr="00DE2C19">
        <w:rPr>
          <w:i/>
          <w:lang w:val="fr-FR"/>
        </w:rPr>
        <w:t>Suisse</w:t>
      </w:r>
      <w:r w:rsidRPr="00DE2C19">
        <w:rPr>
          <w:lang w:val="fr-FR"/>
        </w:rPr>
        <w:t xml:space="preserve"> (requête n</w:t>
      </w:r>
      <w:r w:rsidRPr="00DE2C19">
        <w:rPr>
          <w:vertAlign w:val="superscript"/>
          <w:lang w:val="fr-FR"/>
        </w:rPr>
        <w:t>o</w:t>
      </w:r>
      <w:r w:rsidRPr="00DE2C19">
        <w:rPr>
          <w:lang w:val="fr-FR"/>
        </w:rPr>
        <w:t> </w:t>
      </w:r>
      <w:r>
        <w:rPr>
          <w:lang w:val="fr-FR"/>
        </w:rPr>
        <w:t>29217/</w:t>
      </w:r>
      <w:r w:rsidRPr="00DE2C19">
        <w:rPr>
          <w:lang w:val="fr-FR"/>
        </w:rPr>
        <w:t>12).</w:t>
      </w:r>
    </w:p>
  </w:footnote>
  <w:footnote w:id="18">
    <w:p w:rsidR="0033612E" w:rsidRPr="00DE2C19" w:rsidRDefault="0033612E" w:rsidP="00EE3191">
      <w:pPr>
        <w:pStyle w:val="Notedebasdepage"/>
        <w:rPr>
          <w:lang w:val="fr-FR"/>
        </w:rPr>
      </w:pPr>
      <w:r w:rsidRPr="00DE2C19">
        <w:rPr>
          <w:lang w:val="fr-FR"/>
        </w:rPr>
        <w:tab/>
      </w:r>
      <w:r w:rsidRPr="00607BE5">
        <w:rPr>
          <w:rStyle w:val="Appelnotedebasdep"/>
        </w:rPr>
        <w:footnoteRef/>
      </w:r>
      <w:r w:rsidRPr="00DE2C19">
        <w:rPr>
          <w:lang w:val="fr-FR"/>
        </w:rPr>
        <w:tab/>
      </w:r>
      <w:r>
        <w:rPr>
          <w:lang w:val="fr-FR"/>
        </w:rPr>
        <w:t>Cour européenne des droits de l’homme</w:t>
      </w:r>
      <w:r w:rsidRPr="00DE2C19">
        <w:rPr>
          <w:lang w:val="fr-FR"/>
        </w:rPr>
        <w:t xml:space="preserve">, </w:t>
      </w:r>
      <w:r w:rsidRPr="00DE2C19">
        <w:rPr>
          <w:i/>
          <w:lang w:val="fr-FR"/>
        </w:rPr>
        <w:t xml:space="preserve">Abdullahi Elmi </w:t>
      </w:r>
      <w:r>
        <w:rPr>
          <w:i/>
          <w:lang w:val="fr-FR"/>
        </w:rPr>
        <w:t>and</w:t>
      </w:r>
      <w:r w:rsidRPr="00DE2C19">
        <w:rPr>
          <w:i/>
          <w:lang w:val="fr-FR"/>
        </w:rPr>
        <w:t xml:space="preserve"> Aweys Abubakar</w:t>
      </w:r>
      <w:r>
        <w:rPr>
          <w:i/>
          <w:lang w:val="fr-FR"/>
        </w:rPr>
        <w:t xml:space="preserve"> </w:t>
      </w:r>
      <w:r w:rsidRPr="002A35B9">
        <w:rPr>
          <w:i/>
          <w:lang w:val="fr-FR"/>
        </w:rPr>
        <w:t>v</w:t>
      </w:r>
      <w:r>
        <w:rPr>
          <w:i/>
          <w:lang w:val="fr-FR"/>
        </w:rPr>
        <w:t>. </w:t>
      </w:r>
      <w:r w:rsidRPr="00DE2C19">
        <w:rPr>
          <w:i/>
          <w:lang w:val="fr-FR"/>
        </w:rPr>
        <w:t>Malt</w:t>
      </w:r>
      <w:r>
        <w:rPr>
          <w:i/>
          <w:lang w:val="fr-FR"/>
        </w:rPr>
        <w:t>a</w:t>
      </w:r>
      <w:r w:rsidRPr="00DE2C19">
        <w:rPr>
          <w:lang w:val="fr-FR"/>
        </w:rPr>
        <w:t xml:space="preserve"> (</w:t>
      </w:r>
      <w:r>
        <w:rPr>
          <w:lang w:val="fr-FR"/>
        </w:rPr>
        <w:t>requête</w:t>
      </w:r>
      <w:r w:rsidRPr="00DE2C19">
        <w:rPr>
          <w:lang w:val="fr-FR"/>
        </w:rPr>
        <w:t xml:space="preserve">s </w:t>
      </w:r>
      <w:r>
        <w:rPr>
          <w:lang w:val="fr-FR"/>
        </w:rPr>
        <w:t>n</w:t>
      </w:r>
      <w:r w:rsidRPr="00DE2C19">
        <w:rPr>
          <w:vertAlign w:val="superscript"/>
          <w:lang w:val="fr-FR"/>
        </w:rPr>
        <w:t>o</w:t>
      </w:r>
      <w:r>
        <w:rPr>
          <w:vertAlign w:val="superscript"/>
          <w:lang w:val="fr-FR"/>
        </w:rPr>
        <w:t>s</w:t>
      </w:r>
      <w:r>
        <w:rPr>
          <w:lang w:val="fr-FR"/>
        </w:rPr>
        <w:t> 25794/</w:t>
      </w:r>
      <w:r w:rsidRPr="00DE2C19">
        <w:rPr>
          <w:lang w:val="fr-FR"/>
        </w:rPr>
        <w:t xml:space="preserve">13 </w:t>
      </w:r>
      <w:r>
        <w:rPr>
          <w:lang w:val="fr-FR"/>
        </w:rPr>
        <w:t>et 28151/</w:t>
      </w:r>
      <w:r w:rsidRPr="00DE2C19">
        <w:rPr>
          <w:lang w:val="fr-FR"/>
        </w:rPr>
        <w:t>13).</w:t>
      </w:r>
    </w:p>
  </w:footnote>
  <w:footnote w:id="19">
    <w:p w:rsidR="0033612E" w:rsidRPr="00A716D2" w:rsidRDefault="0033612E" w:rsidP="00EE3191">
      <w:pPr>
        <w:pStyle w:val="Notedebasdepage"/>
        <w:rPr>
          <w:spacing w:val="-2"/>
          <w:lang w:val="fr-FR"/>
        </w:rPr>
      </w:pPr>
      <w:r w:rsidRPr="00A716D2">
        <w:rPr>
          <w:spacing w:val="-2"/>
          <w:lang w:val="fr-FR"/>
        </w:rPr>
        <w:tab/>
      </w:r>
      <w:r w:rsidRPr="00607BE5">
        <w:rPr>
          <w:rStyle w:val="Appelnotedebasdep"/>
        </w:rPr>
        <w:footnoteRef/>
      </w:r>
      <w:r w:rsidRPr="00A716D2">
        <w:rPr>
          <w:spacing w:val="-2"/>
          <w:lang w:val="fr-FR"/>
        </w:rPr>
        <w:tab/>
        <w:t xml:space="preserve">Le paragraphe 1 de l’article 15 du règlement intérieur au titre du Protocole facultatif à la Convention relative aux droits de l’enfant établissant une procédure de présentation de communications </w:t>
      </w:r>
      <w:r>
        <w:rPr>
          <w:spacing w:val="-2"/>
          <w:lang w:val="fr-FR"/>
        </w:rPr>
        <w:t>dispose ce </w:t>
      </w:r>
      <w:r w:rsidRPr="00A716D2">
        <w:rPr>
          <w:spacing w:val="-2"/>
          <w:lang w:val="fr-FR"/>
        </w:rPr>
        <w:t>qui suit : « Le Secrétaire général peut demander, si nécessaire, à l’auteur ou aux auteurs d’une communication et/ou à la victime présumée ou aux victimes présumées d’apporter des éclaircissements, notamment : a) d’indiquer le nom, l’adresse et la date de naissance de l’auteur et/ou de la victime présumée, en présentant des justificatifs de l’identité de l’auteur et/ou de la victime présumée</w:t>
      </w:r>
      <w:r>
        <w:rPr>
          <w:spacing w:val="-2"/>
          <w:lang w:val="fr-FR"/>
        </w:rPr>
        <w:t>.</w:t>
      </w:r>
      <w:r w:rsidRPr="00A716D2">
        <w:rPr>
          <w:spacing w:val="-2"/>
          <w:lang w:val="fr-FR"/>
        </w:rPr>
        <w:t> »</w:t>
      </w:r>
    </w:p>
  </w:footnote>
  <w:footnote w:id="20">
    <w:p w:rsidR="0033612E" w:rsidRPr="00AE7D88" w:rsidRDefault="0033612E" w:rsidP="00EE3191">
      <w:pPr>
        <w:pStyle w:val="Notedebasdepage"/>
        <w:rPr>
          <w:lang w:val="fr-FR"/>
        </w:rPr>
      </w:pPr>
      <w:r w:rsidRPr="008A232D">
        <w:rPr>
          <w:lang w:val="fr-FR"/>
        </w:rPr>
        <w:tab/>
      </w:r>
      <w:r w:rsidRPr="00607BE5">
        <w:rPr>
          <w:rStyle w:val="Appelnotedebasdep"/>
        </w:rPr>
        <w:footnoteRef/>
      </w:r>
      <w:r w:rsidRPr="00AE7D88">
        <w:rPr>
          <w:lang w:val="fr-FR"/>
        </w:rPr>
        <w:tab/>
        <w:t>L</w:t>
      </w:r>
      <w:r>
        <w:rPr>
          <w:lang w:val="fr-FR"/>
        </w:rPr>
        <w:t>’</w:t>
      </w:r>
      <w:r w:rsidRPr="00AE7D88">
        <w:rPr>
          <w:lang w:val="fr-FR"/>
        </w:rPr>
        <w:t>État partie cite</w:t>
      </w:r>
      <w:r>
        <w:rPr>
          <w:lang w:val="fr-FR"/>
        </w:rPr>
        <w:t xml:space="preserve"> comme autorités compétentes le parquet</w:t>
      </w:r>
      <w:r w:rsidRPr="00AE7D88">
        <w:rPr>
          <w:lang w:val="fr-FR"/>
        </w:rPr>
        <w:t xml:space="preserve">, la </w:t>
      </w:r>
      <w:r>
        <w:rPr>
          <w:lang w:val="fr-FR"/>
        </w:rPr>
        <w:t>Communauté autonome de Madrid et le Ministère de l’intérieur.</w:t>
      </w:r>
      <w:r w:rsidRPr="00AE7D88">
        <w:rPr>
          <w:lang w:val="fr-FR"/>
        </w:rPr>
        <w:t xml:space="preserve"> </w:t>
      </w:r>
    </w:p>
  </w:footnote>
  <w:footnote w:id="21">
    <w:p w:rsidR="0033612E" w:rsidRPr="00EC0577" w:rsidRDefault="0033612E" w:rsidP="00EE3191">
      <w:pPr>
        <w:pStyle w:val="Notedebasdepage"/>
        <w:rPr>
          <w:lang w:val="fr-FR"/>
        </w:rPr>
      </w:pPr>
      <w:r w:rsidRPr="00AE7D88">
        <w:rPr>
          <w:lang w:val="fr-FR"/>
        </w:rPr>
        <w:tab/>
      </w:r>
      <w:r w:rsidRPr="00607BE5">
        <w:rPr>
          <w:rStyle w:val="Appelnotedebasdep"/>
        </w:rPr>
        <w:footnoteRef/>
      </w:r>
      <w:r w:rsidRPr="00EC0577">
        <w:rPr>
          <w:lang w:val="fr-FR"/>
        </w:rPr>
        <w:tab/>
        <w:t>L</w:t>
      </w:r>
      <w:r>
        <w:rPr>
          <w:lang w:val="fr-FR"/>
        </w:rPr>
        <w:t>’</w:t>
      </w:r>
      <w:r w:rsidRPr="00EC0577">
        <w:rPr>
          <w:lang w:val="fr-FR"/>
        </w:rPr>
        <w:t xml:space="preserve">auteur </w:t>
      </w:r>
      <w:r>
        <w:rPr>
          <w:lang w:val="fr-FR"/>
        </w:rPr>
        <w:t>joint</w:t>
      </w:r>
      <w:r w:rsidRPr="00EC0577">
        <w:rPr>
          <w:lang w:val="fr-FR"/>
        </w:rPr>
        <w:t xml:space="preserve"> une copie de la </w:t>
      </w:r>
      <w:r>
        <w:rPr>
          <w:lang w:val="fr-FR"/>
        </w:rPr>
        <w:t>décision de la Délégation du Gouvernement en Catalogne, datée du 25 janvier 2018, qui déclare irrecevable la demande de permis de séjour temporaire de l’auteur au motif que celle-ci n’a pas été présentée personnellement devant le Bureau des étrangers de Barcelone, qui est l’organe compétent pour la traiter. Il n’est pas mentionné dans cette décision que l’auteur a présenté son passeport.</w:t>
      </w:r>
    </w:p>
  </w:footnote>
  <w:footnote w:id="22">
    <w:p w:rsidR="0033612E" w:rsidRPr="003E17DF" w:rsidRDefault="0033612E" w:rsidP="00EE3191">
      <w:pPr>
        <w:pStyle w:val="Notedebasdepage"/>
        <w:rPr>
          <w:spacing w:val="-1"/>
          <w:lang w:val="fr-FR"/>
        </w:rPr>
      </w:pPr>
      <w:r w:rsidRPr="003E17DF">
        <w:rPr>
          <w:spacing w:val="-1"/>
          <w:lang w:val="fr-FR"/>
        </w:rPr>
        <w:tab/>
      </w:r>
      <w:r w:rsidRPr="00607BE5">
        <w:rPr>
          <w:rStyle w:val="Appelnotedebasdep"/>
        </w:rPr>
        <w:footnoteRef/>
      </w:r>
      <w:r w:rsidRPr="003E17DF">
        <w:rPr>
          <w:spacing w:val="-1"/>
          <w:lang w:val="fr-FR"/>
        </w:rPr>
        <w:tab/>
        <w:t xml:space="preserve">Voir, à ce sujet, </w:t>
      </w:r>
      <w:r w:rsidRPr="003E17DF">
        <w:rPr>
          <w:i/>
          <w:spacing w:val="-1"/>
          <w:lang w:val="fr-FR"/>
        </w:rPr>
        <w:t>N. B. F</w:t>
      </w:r>
      <w:r w:rsidRPr="003E17DF">
        <w:rPr>
          <w:spacing w:val="-1"/>
          <w:lang w:val="fr-FR"/>
        </w:rPr>
        <w:t xml:space="preserve">. </w:t>
      </w:r>
      <w:r w:rsidRPr="002A35B9">
        <w:rPr>
          <w:i/>
          <w:spacing w:val="-1"/>
          <w:lang w:val="fr-FR"/>
        </w:rPr>
        <w:t>c.</w:t>
      </w:r>
      <w:r w:rsidRPr="003E17DF">
        <w:rPr>
          <w:spacing w:val="-1"/>
          <w:lang w:val="fr-FR"/>
        </w:rPr>
        <w:t> </w:t>
      </w:r>
      <w:r w:rsidRPr="003E17DF">
        <w:rPr>
          <w:i/>
          <w:spacing w:val="-1"/>
          <w:lang w:val="fr-FR"/>
        </w:rPr>
        <w:t>Espagne</w:t>
      </w:r>
      <w:r w:rsidRPr="003E17DF">
        <w:rPr>
          <w:spacing w:val="-1"/>
          <w:lang w:val="fr-FR"/>
        </w:rPr>
        <w:t xml:space="preserve"> (CRC/C/79/D/11/2017), par. 11.2.</w:t>
      </w:r>
    </w:p>
  </w:footnote>
  <w:footnote w:id="23">
    <w:p w:rsidR="0033612E" w:rsidRPr="003E17DF" w:rsidRDefault="0033612E" w:rsidP="00EE3191">
      <w:pPr>
        <w:pStyle w:val="Notedebasdepage"/>
        <w:rPr>
          <w:spacing w:val="-1"/>
          <w:lang w:val="fr-FR"/>
        </w:rPr>
      </w:pPr>
      <w:r w:rsidRPr="003E17DF">
        <w:rPr>
          <w:spacing w:val="-1"/>
          <w:lang w:val="fr-FR"/>
        </w:rPr>
        <w:tab/>
      </w:r>
      <w:r w:rsidRPr="00607BE5">
        <w:rPr>
          <w:rStyle w:val="Appelnotedebasdep"/>
        </w:rPr>
        <w:footnoteRef/>
      </w:r>
      <w:r w:rsidRPr="003E17DF">
        <w:rPr>
          <w:spacing w:val="-1"/>
          <w:lang w:val="fr-FR"/>
        </w:rPr>
        <w:tab/>
      </w:r>
      <w:r>
        <w:rPr>
          <w:spacing w:val="-1"/>
          <w:lang w:val="fr-FR"/>
        </w:rPr>
        <w:t>Ibid</w:t>
      </w:r>
      <w:r w:rsidRPr="003E17DF">
        <w:rPr>
          <w:spacing w:val="-1"/>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2E" w:rsidRPr="00EE3191" w:rsidRDefault="0033612E">
    <w:pPr>
      <w:pStyle w:val="En-tte"/>
    </w:pPr>
    <w:fldSimple w:instr=" TITLE  \* MERGEFORMAT ">
      <w:r>
        <w:t>CRC/C/80/D/15/2017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2E" w:rsidRPr="00EE3191" w:rsidRDefault="0033612E" w:rsidP="00EE3191">
    <w:pPr>
      <w:pStyle w:val="En-tte"/>
      <w:jc w:val="right"/>
    </w:pPr>
    <w:fldSimple w:instr=" TITLE  \* MERGEFORMAT ">
      <w:r>
        <w:t>CRC/C/80/D/15/2017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5173"/>
    <w:rsid w:val="00017F94"/>
    <w:rsid w:val="00022EB6"/>
    <w:rsid w:val="00023842"/>
    <w:rsid w:val="000334F9"/>
    <w:rsid w:val="000354E9"/>
    <w:rsid w:val="0007796D"/>
    <w:rsid w:val="000B7790"/>
    <w:rsid w:val="00111F2F"/>
    <w:rsid w:val="0014365E"/>
    <w:rsid w:val="00176178"/>
    <w:rsid w:val="001F525A"/>
    <w:rsid w:val="00223272"/>
    <w:rsid w:val="0024779E"/>
    <w:rsid w:val="002D14A3"/>
    <w:rsid w:val="00311E81"/>
    <w:rsid w:val="0033612E"/>
    <w:rsid w:val="00340ED0"/>
    <w:rsid w:val="00446FE5"/>
    <w:rsid w:val="00452396"/>
    <w:rsid w:val="00485B35"/>
    <w:rsid w:val="00495173"/>
    <w:rsid w:val="004D7A2C"/>
    <w:rsid w:val="004F09B9"/>
    <w:rsid w:val="005071D1"/>
    <w:rsid w:val="005505B7"/>
    <w:rsid w:val="00573BE5"/>
    <w:rsid w:val="00586ED3"/>
    <w:rsid w:val="00596AA9"/>
    <w:rsid w:val="00607BE5"/>
    <w:rsid w:val="0071601D"/>
    <w:rsid w:val="007341B7"/>
    <w:rsid w:val="00760CBC"/>
    <w:rsid w:val="007A62E6"/>
    <w:rsid w:val="0080684C"/>
    <w:rsid w:val="00840413"/>
    <w:rsid w:val="00871C75"/>
    <w:rsid w:val="008776DC"/>
    <w:rsid w:val="008C54BD"/>
    <w:rsid w:val="008F3CA0"/>
    <w:rsid w:val="009705C8"/>
    <w:rsid w:val="00A30353"/>
    <w:rsid w:val="00AC3823"/>
    <w:rsid w:val="00AE323C"/>
    <w:rsid w:val="00B00181"/>
    <w:rsid w:val="00B24A9B"/>
    <w:rsid w:val="00B765F7"/>
    <w:rsid w:val="00BA0CA9"/>
    <w:rsid w:val="00C02897"/>
    <w:rsid w:val="00CF1183"/>
    <w:rsid w:val="00CF46E2"/>
    <w:rsid w:val="00D3439C"/>
    <w:rsid w:val="00DB1831"/>
    <w:rsid w:val="00DD3BFD"/>
    <w:rsid w:val="00DF6678"/>
    <w:rsid w:val="00EE3191"/>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8960B9"/>
  <w15:docId w15:val="{5167FBE4-7ABC-4FED-B587-8BDED7CA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EE3191"/>
    <w:rPr>
      <w:rFonts w:ascii="Times New Roman" w:eastAsiaTheme="minorHAnsi" w:hAnsi="Times New Roman" w:cs="Times New Roman"/>
      <w:sz w:val="20"/>
      <w:szCs w:val="20"/>
      <w:lang w:eastAsia="en-US"/>
    </w:rPr>
  </w:style>
  <w:style w:type="paragraph" w:styleId="Rvision">
    <w:name w:val="Revision"/>
    <w:hidden/>
    <w:uiPriority w:val="99"/>
    <w:semiHidden/>
    <w:rsid w:val="00EE3191"/>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9</Pages>
  <Words>4434</Words>
  <Characters>23235</Characters>
  <Application>Microsoft Office Word</Application>
  <DocSecurity>0</DocSecurity>
  <Lines>374</Lines>
  <Paragraphs>106</Paragraphs>
  <ScaleCrop>false</ScaleCrop>
  <HeadingPairs>
    <vt:vector size="2" baseType="variant">
      <vt:variant>
        <vt:lpstr>Titre</vt:lpstr>
      </vt:variant>
      <vt:variant>
        <vt:i4>1</vt:i4>
      </vt:variant>
    </vt:vector>
  </HeadingPairs>
  <TitlesOfParts>
    <vt:vector size="1" baseType="lpstr">
      <vt:lpstr>CRC/C/80/D/15/2017</vt:lpstr>
    </vt:vector>
  </TitlesOfParts>
  <Company>DCM</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CRC/C/80/D/15/2017</dc:title>
  <dc:subject/>
  <dc:creator>Edith BOURION</dc:creator>
  <cp:keywords/>
  <cp:lastModifiedBy>Edith Bourion</cp:lastModifiedBy>
  <cp:revision>2</cp:revision>
  <cp:lastPrinted>2020-06-18T13:04:00Z</cp:lastPrinted>
  <dcterms:created xsi:type="dcterms:W3CDTF">2020-06-18T13:44:00Z</dcterms:created>
  <dcterms:modified xsi:type="dcterms:W3CDTF">2020-06-18T13:44:00Z</dcterms:modified>
</cp:coreProperties>
</file>