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A7C7BF3" w14:textId="77777777" w:rsidTr="005B51C4">
        <w:trPr>
          <w:trHeight w:hRule="exact" w:val="851"/>
        </w:trPr>
        <w:tc>
          <w:tcPr>
            <w:tcW w:w="1274" w:type="dxa"/>
            <w:tcBorders>
              <w:bottom w:val="single" w:sz="4" w:space="0" w:color="auto"/>
            </w:tcBorders>
            <w:shd w:val="clear" w:color="auto" w:fill="auto"/>
          </w:tcPr>
          <w:p w14:paraId="5F1F01DD" w14:textId="77777777" w:rsidR="006B3E27" w:rsidRPr="00C175A6" w:rsidRDefault="006B3E27" w:rsidP="006A5C2F">
            <w:pPr>
              <w:kinsoku w:val="0"/>
              <w:overflowPunct w:val="0"/>
              <w:autoSpaceDE w:val="0"/>
              <w:autoSpaceDN w:val="0"/>
              <w:adjustRightInd w:val="0"/>
              <w:snapToGrid w:val="0"/>
              <w:jc w:val="center"/>
              <w:rPr>
                <w:sz w:val="56"/>
                <w:szCs w:val="56"/>
                <w:rtl/>
              </w:rPr>
            </w:pPr>
          </w:p>
        </w:tc>
        <w:tc>
          <w:tcPr>
            <w:tcW w:w="4537" w:type="dxa"/>
            <w:tcBorders>
              <w:bottom w:val="single" w:sz="4" w:space="0" w:color="auto"/>
            </w:tcBorders>
            <w:shd w:val="clear" w:color="auto" w:fill="auto"/>
            <w:vAlign w:val="bottom"/>
          </w:tcPr>
          <w:p w14:paraId="43976A67"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22D9D992" w14:textId="0EA9597D" w:rsidR="006B3E27" w:rsidRPr="003B1B8A" w:rsidRDefault="003B1B8A" w:rsidP="003B1B8A">
            <w:pPr>
              <w:bidi w:val="0"/>
              <w:rPr>
                <w:szCs w:val="20"/>
              </w:rPr>
            </w:pPr>
            <w:r w:rsidRPr="00264BEB">
              <w:rPr>
                <w:sz w:val="40"/>
                <w:szCs w:val="20"/>
              </w:rPr>
              <w:t>CCPR</w:t>
            </w:r>
            <w:r w:rsidRPr="00264BEB">
              <w:rPr>
                <w:szCs w:val="20"/>
              </w:rPr>
              <w:t>/C/134/D/2849/2016</w:t>
            </w:r>
          </w:p>
        </w:tc>
      </w:tr>
      <w:tr w:rsidR="006B3E27" w:rsidRPr="00C175A6" w14:paraId="7F69843C" w14:textId="77777777" w:rsidTr="005B51C4">
        <w:trPr>
          <w:trHeight w:hRule="exact" w:val="2835"/>
        </w:trPr>
        <w:tc>
          <w:tcPr>
            <w:tcW w:w="1274" w:type="dxa"/>
            <w:tcBorders>
              <w:top w:val="single" w:sz="4" w:space="0" w:color="auto"/>
              <w:bottom w:val="single" w:sz="12" w:space="0" w:color="auto"/>
            </w:tcBorders>
            <w:shd w:val="clear" w:color="auto" w:fill="auto"/>
          </w:tcPr>
          <w:p w14:paraId="34ABDED0"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F393C23" wp14:editId="71C4BC51">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08F9A9E" w14:textId="77777777" w:rsidR="006B3E27" w:rsidRPr="00264BEB" w:rsidRDefault="00ED7442" w:rsidP="00730446">
            <w:pPr>
              <w:spacing w:before="120" w:after="40" w:line="640" w:lineRule="exact"/>
              <w:ind w:left="57"/>
              <w:rPr>
                <w:b/>
                <w:bCs/>
                <w:sz w:val="46"/>
                <w:szCs w:val="46"/>
              </w:rPr>
            </w:pPr>
            <w:r w:rsidRPr="00264BEB">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C707C41" w14:textId="26AF1A59" w:rsidR="006B3E27" w:rsidRDefault="003B1B8A" w:rsidP="004B27E0">
            <w:pPr>
              <w:bidi w:val="0"/>
              <w:spacing w:before="240"/>
              <w:rPr>
                <w:szCs w:val="20"/>
              </w:rPr>
            </w:pPr>
            <w:r>
              <w:rPr>
                <w:szCs w:val="20"/>
              </w:rPr>
              <w:t>Dist</w:t>
            </w:r>
            <w:r w:rsidR="00264BEB" w:rsidRPr="00264BEB">
              <w:rPr>
                <w:szCs w:val="20"/>
              </w:rPr>
              <w:t>r.:</w:t>
            </w:r>
            <w:r>
              <w:rPr>
                <w:szCs w:val="20"/>
              </w:rPr>
              <w:t xml:space="preserve"> General</w:t>
            </w:r>
          </w:p>
          <w:p w14:paraId="33F116A2" w14:textId="63AEAB9C" w:rsidR="003B1B8A" w:rsidRDefault="008A6C3A" w:rsidP="003B1B8A">
            <w:pPr>
              <w:bidi w:val="0"/>
              <w:spacing w:line="240" w:lineRule="exact"/>
              <w:jc w:val="left"/>
              <w:rPr>
                <w:szCs w:val="20"/>
              </w:rPr>
            </w:pPr>
            <w:r w:rsidRPr="00264BEB">
              <w:rPr>
                <w:szCs w:val="20"/>
              </w:rPr>
              <w:t xml:space="preserve">23 August </w:t>
            </w:r>
            <w:r w:rsidR="003B1B8A" w:rsidRPr="00264BEB">
              <w:rPr>
                <w:szCs w:val="20"/>
              </w:rPr>
              <w:t>2022</w:t>
            </w:r>
          </w:p>
          <w:p w14:paraId="735576FA" w14:textId="77777777" w:rsidR="003B1B8A" w:rsidRDefault="003B1B8A" w:rsidP="003B1B8A">
            <w:pPr>
              <w:bidi w:val="0"/>
              <w:spacing w:line="240" w:lineRule="exact"/>
              <w:jc w:val="left"/>
              <w:rPr>
                <w:szCs w:val="20"/>
              </w:rPr>
            </w:pPr>
            <w:r>
              <w:rPr>
                <w:szCs w:val="20"/>
              </w:rPr>
              <w:t>Arabic</w:t>
            </w:r>
          </w:p>
          <w:p w14:paraId="602B7D0F" w14:textId="049EAA05" w:rsidR="003B1B8A" w:rsidRPr="003B1B8A" w:rsidRDefault="003B1B8A" w:rsidP="003B1B8A">
            <w:pPr>
              <w:bidi w:val="0"/>
              <w:spacing w:line="240" w:lineRule="exact"/>
              <w:jc w:val="left"/>
              <w:rPr>
                <w:szCs w:val="20"/>
              </w:rPr>
            </w:pPr>
            <w:r>
              <w:rPr>
                <w:szCs w:val="20"/>
              </w:rPr>
              <w:t>Origina</w:t>
            </w:r>
            <w:r w:rsidR="00264BEB" w:rsidRPr="00264BEB">
              <w:rPr>
                <w:szCs w:val="20"/>
              </w:rPr>
              <w:t xml:space="preserve">l: </w:t>
            </w:r>
            <w:r>
              <w:rPr>
                <w:szCs w:val="20"/>
              </w:rPr>
              <w:t>English</w:t>
            </w:r>
          </w:p>
        </w:tc>
      </w:tr>
    </w:tbl>
    <w:p w14:paraId="39E1BCC7" w14:textId="77777777" w:rsidR="008A6C3A" w:rsidRPr="00264BEB" w:rsidRDefault="008A6C3A" w:rsidP="008A6C3A">
      <w:pPr>
        <w:spacing w:before="120" w:line="360" w:lineRule="auto"/>
        <w:textDirection w:val="tbRlV"/>
        <w:rPr>
          <w:rFonts w:ascii="Simplified Arabic" w:hAnsi="Simplified Arabic"/>
          <w:b/>
          <w:sz w:val="26"/>
          <w:szCs w:val="26"/>
          <w:lang w:val="ar-SA" w:eastAsia="zh-TW" w:bidi="en-GB"/>
        </w:rPr>
      </w:pPr>
      <w:r w:rsidRPr="00264BEB">
        <w:rPr>
          <w:rFonts w:ascii="Simplified Arabic" w:hAnsi="Simplified Arabic"/>
          <w:b/>
          <w:bCs/>
          <w:sz w:val="26"/>
          <w:szCs w:val="26"/>
          <w:rtl/>
        </w:rPr>
        <w:t>اللجنة المعنية بحقوق الإنسان</w:t>
      </w:r>
    </w:p>
    <w:p w14:paraId="241403E6" w14:textId="5BED6701" w:rsidR="008A6C3A" w:rsidRPr="00264BEB" w:rsidRDefault="008A6C3A" w:rsidP="008A6C3A">
      <w:pPr>
        <w:pStyle w:val="HChGA"/>
        <w:rPr>
          <w:sz w:val="34"/>
          <w:szCs w:val="34"/>
          <w:lang w:eastAsia="zh-TW"/>
        </w:rPr>
      </w:pPr>
      <w:r w:rsidRPr="00264BEB">
        <w:rPr>
          <w:rtl/>
        </w:rPr>
        <w:tab/>
      </w:r>
      <w:r w:rsidRPr="00264BEB">
        <w:rPr>
          <w:rtl/>
        </w:rPr>
        <w:tab/>
        <w:t>قرار اعتمدته اللجنة بموجب المادة 5(</w:t>
      </w:r>
      <w:r w:rsidR="00264BEB" w:rsidRPr="00264BEB">
        <w:rPr>
          <w:rtl/>
        </w:rPr>
        <w:t xml:space="preserve">4) </w:t>
      </w:r>
      <w:r w:rsidRPr="00264BEB">
        <w:rPr>
          <w:rtl/>
        </w:rPr>
        <w:t>من البروتوكول الاختياري، بشأن البلاغ رقم 2849/2016</w:t>
      </w:r>
      <w:r w:rsidRPr="00264BEB">
        <w:rPr>
          <w:rStyle w:val="FootnoteReference"/>
          <w:sz w:val="26"/>
          <w:szCs w:val="26"/>
          <w:vertAlign w:val="baseline"/>
          <w:rtl/>
          <w:lang w:eastAsia="zh-TW"/>
        </w:rPr>
        <w:footnoteReference w:customMarkFollows="1" w:id="1"/>
        <w:t>*</w:t>
      </w:r>
      <w:r w:rsidRPr="00264BEB">
        <w:rPr>
          <w:rFonts w:hint="cs"/>
          <w:sz w:val="34"/>
          <w:szCs w:val="34"/>
          <w:rtl/>
          <w:lang w:eastAsia="zh-TW"/>
        </w:rPr>
        <w:t xml:space="preserve"> </w:t>
      </w:r>
      <w:r w:rsidRPr="00264BEB">
        <w:rPr>
          <w:rStyle w:val="FootnoteReference"/>
          <w:sz w:val="26"/>
          <w:szCs w:val="26"/>
          <w:vertAlign w:val="baseline"/>
          <w:rtl/>
          <w:lang w:eastAsia="zh-TW"/>
        </w:rPr>
        <w:footnoteReference w:customMarkFollows="1" w:id="2"/>
        <w:t>**</w:t>
      </w:r>
    </w:p>
    <w:p w14:paraId="2EE64DB8" w14:textId="18F477A6" w:rsidR="008A6C3A" w:rsidRPr="008A6C3A" w:rsidRDefault="008A6C3A" w:rsidP="008A6C3A">
      <w:pPr>
        <w:pStyle w:val="SingleTxtGA"/>
        <w:tabs>
          <w:tab w:val="clear" w:pos="1928"/>
          <w:tab w:val="clear" w:pos="2608"/>
          <w:tab w:val="clear" w:pos="3289"/>
          <w:tab w:val="clear" w:pos="3969"/>
          <w:tab w:val="clear" w:pos="4649"/>
          <w:tab w:val="clear" w:pos="5330"/>
        </w:tabs>
        <w:ind w:left="4649" w:hanging="2721"/>
      </w:pPr>
      <w:r w:rsidRPr="00264BEB">
        <w:rPr>
          <w:i/>
          <w:iCs/>
          <w:rtl/>
        </w:rPr>
        <w:t>بلاغ مقدم من:</w:t>
      </w:r>
      <w:r>
        <w:rPr>
          <w:rtl/>
        </w:rPr>
        <w:tab/>
      </w:r>
      <w:r w:rsidRPr="008A6C3A">
        <w:rPr>
          <w:rtl/>
        </w:rPr>
        <w:t>ز. ي. (لا يمثلها محام)</w:t>
      </w:r>
    </w:p>
    <w:p w14:paraId="54406A67" w14:textId="003DC93E" w:rsidR="008A6C3A" w:rsidRPr="008A6C3A" w:rsidRDefault="008A6C3A" w:rsidP="008A6C3A">
      <w:pPr>
        <w:pStyle w:val="SingleTxtGA"/>
        <w:tabs>
          <w:tab w:val="clear" w:pos="1928"/>
          <w:tab w:val="clear" w:pos="2608"/>
          <w:tab w:val="clear" w:pos="3289"/>
          <w:tab w:val="clear" w:pos="3969"/>
          <w:tab w:val="clear" w:pos="4649"/>
          <w:tab w:val="clear" w:pos="5330"/>
        </w:tabs>
        <w:ind w:left="4649" w:hanging="2721"/>
      </w:pPr>
      <w:r w:rsidRPr="00264BEB">
        <w:rPr>
          <w:i/>
          <w:iCs/>
          <w:rtl/>
        </w:rPr>
        <w:t>الشخص المدعى أنه ضحية:</w:t>
      </w:r>
      <w:r>
        <w:rPr>
          <w:rtl/>
        </w:rPr>
        <w:tab/>
      </w:r>
      <w:r w:rsidRPr="008A6C3A">
        <w:rPr>
          <w:rtl/>
        </w:rPr>
        <w:t>صاحبة البلاغ</w:t>
      </w:r>
    </w:p>
    <w:p w14:paraId="463ED419" w14:textId="426BC2D4" w:rsidR="008A6C3A" w:rsidRPr="008A6C3A" w:rsidRDefault="008A6C3A" w:rsidP="008A6C3A">
      <w:pPr>
        <w:pStyle w:val="SingleTxtGA"/>
        <w:tabs>
          <w:tab w:val="clear" w:pos="1928"/>
          <w:tab w:val="clear" w:pos="2608"/>
          <w:tab w:val="clear" w:pos="3289"/>
          <w:tab w:val="clear" w:pos="3969"/>
          <w:tab w:val="clear" w:pos="4649"/>
          <w:tab w:val="clear" w:pos="5330"/>
        </w:tabs>
        <w:ind w:left="4649" w:hanging="2721"/>
      </w:pPr>
      <w:r w:rsidRPr="00264BEB">
        <w:rPr>
          <w:i/>
          <w:iCs/>
          <w:rtl/>
        </w:rPr>
        <w:t>الدولة الطرف:</w:t>
      </w:r>
      <w:r>
        <w:rPr>
          <w:rtl/>
        </w:rPr>
        <w:tab/>
      </w:r>
      <w:r w:rsidRPr="008A6C3A">
        <w:rPr>
          <w:rtl/>
        </w:rPr>
        <w:t>كازاخستان</w:t>
      </w:r>
    </w:p>
    <w:p w14:paraId="735BA563" w14:textId="113781E5" w:rsidR="008A6C3A" w:rsidRPr="008A6C3A" w:rsidRDefault="008A6C3A" w:rsidP="008A6C3A">
      <w:pPr>
        <w:pStyle w:val="SingleTxtGA"/>
        <w:tabs>
          <w:tab w:val="clear" w:pos="1928"/>
          <w:tab w:val="clear" w:pos="2608"/>
          <w:tab w:val="clear" w:pos="3289"/>
          <w:tab w:val="clear" w:pos="3969"/>
          <w:tab w:val="clear" w:pos="4649"/>
          <w:tab w:val="clear" w:pos="5330"/>
        </w:tabs>
        <w:ind w:left="4649" w:hanging="2721"/>
      </w:pPr>
      <w:r w:rsidRPr="00264BEB">
        <w:rPr>
          <w:i/>
          <w:iCs/>
          <w:rtl/>
        </w:rPr>
        <w:t>تاريخ تقديم البلاغ:</w:t>
      </w:r>
      <w:r>
        <w:rPr>
          <w:rtl/>
        </w:rPr>
        <w:tab/>
      </w:r>
      <w:r w:rsidRPr="00264BEB">
        <w:rPr>
          <w:rtl/>
        </w:rPr>
        <w:t>7</w:t>
      </w:r>
      <w:r w:rsidRPr="008A6C3A">
        <w:rPr>
          <w:rtl/>
        </w:rPr>
        <w:t xml:space="preserve"> تموز/يوليه </w:t>
      </w:r>
      <w:r w:rsidRPr="00264BEB">
        <w:rPr>
          <w:rtl/>
        </w:rPr>
        <w:t>2016</w:t>
      </w:r>
      <w:r w:rsidRPr="008A6C3A">
        <w:rPr>
          <w:rtl/>
        </w:rPr>
        <w:t xml:space="preserve"> (تاريخ الرسالة الأولى)</w:t>
      </w:r>
    </w:p>
    <w:p w14:paraId="1DE4ACCB" w14:textId="0448173D" w:rsidR="008A6C3A" w:rsidRPr="008A6C3A" w:rsidRDefault="008A6C3A" w:rsidP="008A6C3A">
      <w:pPr>
        <w:pStyle w:val="SingleTxtGA"/>
        <w:tabs>
          <w:tab w:val="clear" w:pos="1928"/>
          <w:tab w:val="clear" w:pos="2608"/>
          <w:tab w:val="clear" w:pos="3289"/>
          <w:tab w:val="clear" w:pos="3969"/>
          <w:tab w:val="clear" w:pos="4649"/>
          <w:tab w:val="clear" w:pos="5330"/>
        </w:tabs>
        <w:ind w:left="4649" w:hanging="2721"/>
      </w:pPr>
      <w:r w:rsidRPr="00264BEB">
        <w:rPr>
          <w:i/>
          <w:iCs/>
          <w:rtl/>
        </w:rPr>
        <w:t>الوثائق المرجعية:</w:t>
      </w:r>
      <w:r>
        <w:rPr>
          <w:rtl/>
        </w:rPr>
        <w:tab/>
      </w:r>
      <w:r w:rsidRPr="008A6C3A">
        <w:rPr>
          <w:rtl/>
        </w:rPr>
        <w:t xml:space="preserve">القرار المتخذ بموجب المادة </w:t>
      </w:r>
      <w:r w:rsidRPr="00264BEB">
        <w:rPr>
          <w:rtl/>
        </w:rPr>
        <w:t>92</w:t>
      </w:r>
      <w:r w:rsidRPr="008A6C3A">
        <w:rPr>
          <w:rtl/>
        </w:rPr>
        <w:t xml:space="preserve"> من نظام اللجنة الداخلي والمحال إلى الدولة الطرف في </w:t>
      </w:r>
      <w:r w:rsidRPr="00264BEB">
        <w:rPr>
          <w:rtl/>
        </w:rPr>
        <w:t>16</w:t>
      </w:r>
      <w:r w:rsidRPr="008A6C3A">
        <w:rPr>
          <w:rtl/>
        </w:rPr>
        <w:t xml:space="preserve"> تشرين الثاني/نوفمبر </w:t>
      </w:r>
      <w:r w:rsidRPr="00264BEB">
        <w:rPr>
          <w:rtl/>
        </w:rPr>
        <w:t>2016</w:t>
      </w:r>
      <w:r w:rsidRPr="008A6C3A">
        <w:rPr>
          <w:rtl/>
        </w:rPr>
        <w:t xml:space="preserve"> </w:t>
      </w:r>
    </w:p>
    <w:p w14:paraId="68C5BBE3" w14:textId="31BD10E5" w:rsidR="008A6C3A" w:rsidRPr="008A6C3A" w:rsidRDefault="008A6C3A" w:rsidP="008A6C3A">
      <w:pPr>
        <w:pStyle w:val="SingleTxtGA"/>
        <w:tabs>
          <w:tab w:val="clear" w:pos="1928"/>
          <w:tab w:val="clear" w:pos="2608"/>
          <w:tab w:val="clear" w:pos="3289"/>
          <w:tab w:val="clear" w:pos="3969"/>
          <w:tab w:val="clear" w:pos="4649"/>
          <w:tab w:val="clear" w:pos="5330"/>
        </w:tabs>
        <w:ind w:left="4649" w:hanging="2721"/>
      </w:pPr>
      <w:r w:rsidRPr="00264BEB">
        <w:rPr>
          <w:i/>
          <w:iCs/>
          <w:rtl/>
        </w:rPr>
        <w:t>تاريخ اعتماد القرار:</w:t>
      </w:r>
      <w:r>
        <w:rPr>
          <w:rtl/>
        </w:rPr>
        <w:tab/>
      </w:r>
      <w:r w:rsidRPr="00264BEB">
        <w:rPr>
          <w:rtl/>
        </w:rPr>
        <w:t>24</w:t>
      </w:r>
      <w:r w:rsidRPr="008A6C3A">
        <w:rPr>
          <w:rtl/>
        </w:rPr>
        <w:t xml:space="preserve"> آذار/مارس </w:t>
      </w:r>
      <w:r w:rsidRPr="00264BEB">
        <w:rPr>
          <w:rtl/>
        </w:rPr>
        <w:t>2022</w:t>
      </w:r>
    </w:p>
    <w:p w14:paraId="04C5F2FF" w14:textId="005888AF" w:rsidR="008A6C3A" w:rsidRPr="008A6C3A" w:rsidRDefault="008A6C3A" w:rsidP="008A6C3A">
      <w:pPr>
        <w:pStyle w:val="SingleTxtGA"/>
        <w:tabs>
          <w:tab w:val="clear" w:pos="1928"/>
          <w:tab w:val="clear" w:pos="2608"/>
          <w:tab w:val="clear" w:pos="3289"/>
          <w:tab w:val="clear" w:pos="3969"/>
          <w:tab w:val="clear" w:pos="4649"/>
          <w:tab w:val="clear" w:pos="5330"/>
        </w:tabs>
        <w:ind w:left="4649" w:hanging="2721"/>
      </w:pPr>
      <w:r w:rsidRPr="00264BEB">
        <w:rPr>
          <w:i/>
          <w:iCs/>
          <w:rtl/>
        </w:rPr>
        <w:t>الموضوع:</w:t>
      </w:r>
      <w:r>
        <w:rPr>
          <w:rtl/>
        </w:rPr>
        <w:tab/>
      </w:r>
      <w:r w:rsidRPr="008A6C3A">
        <w:rPr>
          <w:rtl/>
        </w:rPr>
        <w:t>سوء المعاملة على أيدي أفراد من الشرطة، وعدم إجراء تحقيق فعال</w:t>
      </w:r>
    </w:p>
    <w:p w14:paraId="3907D9F5" w14:textId="1FAB0D6B" w:rsidR="008A6C3A" w:rsidRPr="008A6C3A" w:rsidRDefault="008A6C3A" w:rsidP="008A6C3A">
      <w:pPr>
        <w:pStyle w:val="SingleTxtGA"/>
        <w:tabs>
          <w:tab w:val="clear" w:pos="1928"/>
          <w:tab w:val="clear" w:pos="2608"/>
          <w:tab w:val="clear" w:pos="3289"/>
          <w:tab w:val="clear" w:pos="3969"/>
          <w:tab w:val="clear" w:pos="4649"/>
          <w:tab w:val="clear" w:pos="5330"/>
        </w:tabs>
        <w:ind w:left="4649" w:hanging="2721"/>
      </w:pPr>
      <w:r w:rsidRPr="00264BEB">
        <w:rPr>
          <w:i/>
          <w:iCs/>
          <w:rtl/>
        </w:rPr>
        <w:t>المسائل الإجرائية:</w:t>
      </w:r>
      <w:r>
        <w:rPr>
          <w:rtl/>
        </w:rPr>
        <w:tab/>
      </w:r>
      <w:r w:rsidRPr="008A6C3A">
        <w:rPr>
          <w:rtl/>
        </w:rPr>
        <w:t>استنفاد سبل الانتصاف المحلية</w:t>
      </w:r>
    </w:p>
    <w:p w14:paraId="7D41641E" w14:textId="53355932" w:rsidR="008A6C3A" w:rsidRPr="008A6C3A" w:rsidRDefault="008A6C3A" w:rsidP="008A6C3A">
      <w:pPr>
        <w:pStyle w:val="SingleTxtGA"/>
        <w:tabs>
          <w:tab w:val="clear" w:pos="1928"/>
          <w:tab w:val="clear" w:pos="2608"/>
          <w:tab w:val="clear" w:pos="3289"/>
          <w:tab w:val="clear" w:pos="3969"/>
          <w:tab w:val="clear" w:pos="4649"/>
          <w:tab w:val="clear" w:pos="5330"/>
        </w:tabs>
        <w:ind w:left="4649" w:hanging="2721"/>
      </w:pPr>
      <w:r w:rsidRPr="00264BEB">
        <w:rPr>
          <w:i/>
          <w:iCs/>
          <w:rtl/>
        </w:rPr>
        <w:t>المسائل الموضوعية:</w:t>
      </w:r>
      <w:r>
        <w:rPr>
          <w:rtl/>
        </w:rPr>
        <w:tab/>
      </w:r>
      <w:r w:rsidRPr="008A6C3A">
        <w:rPr>
          <w:rtl/>
        </w:rPr>
        <w:t>سوء المعاملة؛ وسبيل انتصاف فعال</w:t>
      </w:r>
    </w:p>
    <w:p w14:paraId="50AAC41D" w14:textId="485A4E60" w:rsidR="008A6C3A" w:rsidRPr="008A6C3A" w:rsidRDefault="008A6C3A" w:rsidP="008A6C3A">
      <w:pPr>
        <w:pStyle w:val="SingleTxtGA"/>
        <w:tabs>
          <w:tab w:val="clear" w:pos="1928"/>
          <w:tab w:val="clear" w:pos="2608"/>
          <w:tab w:val="clear" w:pos="3289"/>
          <w:tab w:val="clear" w:pos="3969"/>
          <w:tab w:val="clear" w:pos="4649"/>
          <w:tab w:val="clear" w:pos="5330"/>
        </w:tabs>
        <w:ind w:left="4649" w:hanging="2721"/>
      </w:pPr>
      <w:r w:rsidRPr="00264BEB">
        <w:rPr>
          <w:i/>
          <w:iCs/>
          <w:rtl/>
        </w:rPr>
        <w:t>مواد العهد:</w:t>
      </w:r>
      <w:r>
        <w:rPr>
          <w:rtl/>
        </w:rPr>
        <w:tab/>
      </w:r>
      <w:r w:rsidRPr="00264BEB">
        <w:rPr>
          <w:rtl/>
        </w:rPr>
        <w:t>2</w:t>
      </w:r>
      <w:r w:rsidRPr="008A6C3A">
        <w:rPr>
          <w:rtl/>
        </w:rPr>
        <w:t xml:space="preserve"> و</w:t>
      </w:r>
      <w:r w:rsidRPr="00264BEB">
        <w:rPr>
          <w:rtl/>
        </w:rPr>
        <w:t>7</w:t>
      </w:r>
    </w:p>
    <w:p w14:paraId="4232780F" w14:textId="5CEF5BE8" w:rsidR="008A6C3A" w:rsidRPr="008A6C3A" w:rsidRDefault="008A6C3A" w:rsidP="008A6C3A">
      <w:pPr>
        <w:pStyle w:val="SingleTxtGA"/>
        <w:tabs>
          <w:tab w:val="clear" w:pos="1928"/>
          <w:tab w:val="clear" w:pos="2608"/>
          <w:tab w:val="clear" w:pos="3289"/>
          <w:tab w:val="clear" w:pos="3969"/>
          <w:tab w:val="clear" w:pos="4649"/>
          <w:tab w:val="clear" w:pos="5330"/>
        </w:tabs>
        <w:ind w:left="4649" w:hanging="2721"/>
      </w:pPr>
      <w:r w:rsidRPr="00264BEB">
        <w:rPr>
          <w:i/>
          <w:iCs/>
          <w:rtl/>
        </w:rPr>
        <w:t>مواد البروتوكول الاختياري:</w:t>
      </w:r>
      <w:r>
        <w:rPr>
          <w:rtl/>
        </w:rPr>
        <w:tab/>
      </w:r>
      <w:r w:rsidRPr="00264BEB">
        <w:rPr>
          <w:rtl/>
        </w:rPr>
        <w:t>2</w:t>
      </w:r>
      <w:r w:rsidRPr="008A6C3A">
        <w:rPr>
          <w:rtl/>
        </w:rPr>
        <w:t xml:space="preserve"> و</w:t>
      </w:r>
      <w:r w:rsidRPr="00264BEB">
        <w:rPr>
          <w:rtl/>
        </w:rPr>
        <w:t>5</w:t>
      </w:r>
      <w:r w:rsidRPr="008A6C3A">
        <w:rPr>
          <w:rtl/>
        </w:rPr>
        <w:t>(</w:t>
      </w:r>
      <w:r w:rsidRPr="00264BEB">
        <w:rPr>
          <w:rtl/>
        </w:rPr>
        <w:t>2</w:t>
      </w:r>
      <w:r w:rsidRPr="008A6C3A">
        <w:rPr>
          <w:rtl/>
        </w:rPr>
        <w:t>)(ب)</w:t>
      </w:r>
    </w:p>
    <w:p w14:paraId="2534A407" w14:textId="41011A16" w:rsidR="008A6C3A" w:rsidRPr="008A6C3A" w:rsidRDefault="008A6C3A" w:rsidP="008A6C3A">
      <w:pPr>
        <w:pStyle w:val="SingleTxtGA"/>
        <w:rPr>
          <w:rFonts w:eastAsiaTheme="minorEastAsia"/>
          <w:lang w:val="ar-SA" w:eastAsia="zh-TW" w:bidi="en-GB"/>
        </w:rPr>
      </w:pPr>
      <w:r w:rsidRPr="00264BEB">
        <w:rPr>
          <w:rFonts w:eastAsiaTheme="minorEastAsia"/>
          <w:rtl/>
        </w:rPr>
        <w:lastRenderedPageBreak/>
        <w:t>1</w:t>
      </w:r>
      <w:r w:rsidRPr="008A6C3A">
        <w:rPr>
          <w:rFonts w:eastAsiaTheme="minorEastAsia"/>
          <w:rtl/>
        </w:rPr>
        <w:t>-</w:t>
      </w:r>
      <w:r w:rsidRPr="00264BEB">
        <w:rPr>
          <w:rFonts w:eastAsiaTheme="minorEastAsia"/>
          <w:rtl/>
        </w:rPr>
        <w:t>1</w:t>
      </w:r>
      <w:r w:rsidRPr="008A6C3A">
        <w:rPr>
          <w:rFonts w:eastAsiaTheme="minorEastAsia"/>
          <w:rtl/>
        </w:rPr>
        <w:tab/>
        <w:t xml:space="preserve">صاحبة البلاغ هي ز. ي.، مواطنة من كازاخستان، مولودة في عام </w:t>
      </w:r>
      <w:r w:rsidRPr="00264BEB">
        <w:rPr>
          <w:rFonts w:eastAsiaTheme="minorEastAsia"/>
          <w:rtl/>
        </w:rPr>
        <w:t>194</w:t>
      </w:r>
      <w:r w:rsidR="00264BEB" w:rsidRPr="00264BEB">
        <w:rPr>
          <w:rFonts w:eastAsiaTheme="minorEastAsia"/>
          <w:rtl/>
        </w:rPr>
        <w:t xml:space="preserve">7. </w:t>
      </w:r>
      <w:r w:rsidRPr="008A6C3A">
        <w:rPr>
          <w:rFonts w:eastAsiaTheme="minorEastAsia"/>
          <w:rtl/>
        </w:rPr>
        <w:t xml:space="preserve">وتدعي أنها ضحية انتهاك كازاخستان حقوقها المنصوص عليها في المادتين </w:t>
      </w:r>
      <w:r w:rsidRPr="00264BEB">
        <w:rPr>
          <w:rFonts w:eastAsiaTheme="minorEastAsia"/>
          <w:rtl/>
        </w:rPr>
        <w:t>2</w:t>
      </w:r>
      <w:r w:rsidRPr="008A6C3A">
        <w:rPr>
          <w:rFonts w:eastAsiaTheme="minorEastAsia"/>
          <w:rtl/>
        </w:rPr>
        <w:t xml:space="preserve"> و</w:t>
      </w:r>
      <w:r w:rsidRPr="00264BEB">
        <w:rPr>
          <w:rFonts w:eastAsiaTheme="minorEastAsia"/>
          <w:rtl/>
        </w:rPr>
        <w:t>7</w:t>
      </w:r>
      <w:r w:rsidRPr="008A6C3A">
        <w:rPr>
          <w:rFonts w:eastAsiaTheme="minorEastAsia"/>
          <w:rtl/>
        </w:rPr>
        <w:t xml:space="preserve"> من العهد. وقد دخل البروتوكول الاختياري حيز النفاذ بالنسبة لكازاخستان في </w:t>
      </w:r>
      <w:r w:rsidRPr="00264BEB">
        <w:rPr>
          <w:rFonts w:eastAsiaTheme="minorEastAsia"/>
          <w:rtl/>
        </w:rPr>
        <w:t>30</w:t>
      </w:r>
      <w:r w:rsidRPr="008A6C3A">
        <w:rPr>
          <w:rFonts w:eastAsiaTheme="minorEastAsia"/>
          <w:rtl/>
        </w:rPr>
        <w:t xml:space="preserve"> حزيران/يونيه </w:t>
      </w:r>
      <w:r w:rsidRPr="00264BEB">
        <w:rPr>
          <w:rFonts w:eastAsiaTheme="minorEastAsia"/>
          <w:rtl/>
        </w:rPr>
        <w:t>200</w:t>
      </w:r>
      <w:r w:rsidR="00264BEB" w:rsidRPr="00264BEB">
        <w:rPr>
          <w:rFonts w:eastAsiaTheme="minorEastAsia"/>
          <w:rtl/>
        </w:rPr>
        <w:t xml:space="preserve">9. </w:t>
      </w:r>
      <w:r w:rsidRPr="008A6C3A">
        <w:rPr>
          <w:rFonts w:eastAsiaTheme="minorEastAsia"/>
          <w:rtl/>
        </w:rPr>
        <w:t xml:space="preserve">ولا يمثل صاحبةَ البلاغ محامٍ. </w:t>
      </w:r>
    </w:p>
    <w:p w14:paraId="6F856C71" w14:textId="686B7EE7" w:rsidR="008A6C3A" w:rsidRPr="00264BEB" w:rsidRDefault="008A6C3A" w:rsidP="008A6C3A">
      <w:pPr>
        <w:pStyle w:val="SingleTxtGA"/>
        <w:rPr>
          <w:rFonts w:eastAsiaTheme="minorEastAsia"/>
          <w:b/>
          <w:lang w:val="ar-SA" w:eastAsia="zh-TW" w:bidi="en-GB"/>
        </w:rPr>
      </w:pPr>
      <w:r w:rsidRPr="00264BEB">
        <w:rPr>
          <w:rFonts w:eastAsiaTheme="minorEastAsia"/>
          <w:b/>
          <w:rtl/>
        </w:rPr>
        <w:t>1-2</w:t>
      </w:r>
      <w:r w:rsidRPr="00264BEB">
        <w:rPr>
          <w:rFonts w:eastAsiaTheme="minorEastAsia"/>
          <w:b/>
          <w:rtl/>
        </w:rPr>
        <w:tab/>
        <w:t>وفي 26 نيسان/أبريل 2017، رفضت اللجنة، بواسطة مقررها الخاص المعني بالبلاغات الجديدة، طلب</w:t>
      </w:r>
      <w:r w:rsidR="002F7F11" w:rsidRPr="00264BEB">
        <w:rPr>
          <w:rFonts w:eastAsiaTheme="minorEastAsia"/>
          <w:b/>
          <w:rtl/>
        </w:rPr>
        <w:t xml:space="preserve">اً </w:t>
      </w:r>
      <w:r w:rsidRPr="00264BEB">
        <w:rPr>
          <w:rFonts w:eastAsiaTheme="minorEastAsia"/>
          <w:b/>
          <w:rtl/>
        </w:rPr>
        <w:t>قدمته الدولة الطرف يدعو إلى النظر في مقبولية البلاغ بمعزل عن أسسه الموضوعية.</w:t>
      </w:r>
    </w:p>
    <w:p w14:paraId="6C9E2B53" w14:textId="77777777" w:rsidR="008A6C3A" w:rsidRPr="008A6C3A" w:rsidRDefault="008A6C3A" w:rsidP="008A6C3A">
      <w:pPr>
        <w:pStyle w:val="H23GA"/>
        <w:rPr>
          <w:lang w:eastAsia="zh-TW" w:bidi="en-GB"/>
        </w:rPr>
      </w:pPr>
      <w:r w:rsidRPr="008A6C3A">
        <w:rPr>
          <w:rtl/>
        </w:rPr>
        <w:tab/>
      </w:r>
      <w:r w:rsidRPr="008A6C3A">
        <w:rPr>
          <w:rtl/>
        </w:rPr>
        <w:tab/>
      </w:r>
      <w:r w:rsidRPr="00264BEB">
        <w:rPr>
          <w:rtl/>
        </w:rPr>
        <w:t>معلومات أساسية</w:t>
      </w:r>
    </w:p>
    <w:p w14:paraId="0AF10E29" w14:textId="658E9E55" w:rsidR="008A6C3A" w:rsidRPr="00264BEB" w:rsidRDefault="008A6C3A" w:rsidP="008A6C3A">
      <w:pPr>
        <w:pStyle w:val="SingleTxtGA"/>
        <w:rPr>
          <w:rFonts w:eastAsiaTheme="minorEastAsia"/>
          <w:i/>
          <w:lang w:eastAsia="zh-TW" w:bidi="en-GB"/>
        </w:rPr>
      </w:pPr>
      <w:r w:rsidRPr="00264BEB">
        <w:rPr>
          <w:rFonts w:eastAsiaTheme="minorEastAsia"/>
          <w:rtl/>
        </w:rPr>
        <w:t>2</w:t>
      </w:r>
      <w:r w:rsidRPr="008A6C3A">
        <w:rPr>
          <w:rFonts w:eastAsiaTheme="minorEastAsia"/>
          <w:rtl/>
        </w:rPr>
        <w:t>-</w:t>
      </w:r>
      <w:r w:rsidRPr="00264BEB">
        <w:rPr>
          <w:rFonts w:eastAsiaTheme="minorEastAsia"/>
          <w:rtl/>
        </w:rPr>
        <w:t>1</w:t>
      </w:r>
      <w:r w:rsidRPr="008A6C3A">
        <w:rPr>
          <w:rFonts w:eastAsiaTheme="minorEastAsia"/>
          <w:rtl/>
        </w:rPr>
        <w:tab/>
        <w:t xml:space="preserve">تدفع صاحبة البلاغ بأنها انتخبت في خريف عام </w:t>
      </w:r>
      <w:r w:rsidRPr="00264BEB">
        <w:rPr>
          <w:rFonts w:eastAsiaTheme="minorEastAsia"/>
          <w:rtl/>
        </w:rPr>
        <w:t>2013</w:t>
      </w:r>
      <w:r w:rsidRPr="008A6C3A">
        <w:rPr>
          <w:rFonts w:eastAsiaTheme="minorEastAsia"/>
          <w:rtl/>
        </w:rPr>
        <w:t xml:space="preserve"> من المقيمين في المبنى السكني رقم</w:t>
      </w:r>
      <w:r w:rsidR="00193217">
        <w:rPr>
          <w:rFonts w:eastAsiaTheme="minorEastAsia" w:hint="cs"/>
          <w:rtl/>
        </w:rPr>
        <w:t> </w:t>
      </w:r>
      <w:r w:rsidRPr="00264BEB">
        <w:rPr>
          <w:rFonts w:eastAsiaTheme="minorEastAsia"/>
          <w:rtl/>
        </w:rPr>
        <w:t>26</w:t>
      </w:r>
      <w:r w:rsidRPr="008A6C3A">
        <w:rPr>
          <w:rFonts w:eastAsiaTheme="minorEastAsia"/>
          <w:rtl/>
        </w:rPr>
        <w:t xml:space="preserve">، شارع تسيلينا، بقرية </w:t>
      </w:r>
      <w:proofErr w:type="spellStart"/>
      <w:r w:rsidRPr="008A6C3A">
        <w:rPr>
          <w:rFonts w:eastAsiaTheme="minorEastAsia"/>
          <w:rtl/>
        </w:rPr>
        <w:t>أمانجيلدي</w:t>
      </w:r>
      <w:proofErr w:type="spellEnd"/>
      <w:r w:rsidRPr="008A6C3A">
        <w:rPr>
          <w:rFonts w:eastAsiaTheme="minorEastAsia"/>
          <w:rtl/>
        </w:rPr>
        <w:t xml:space="preserve">، بمقاطعة </w:t>
      </w:r>
      <w:proofErr w:type="spellStart"/>
      <w:r w:rsidRPr="008A6C3A">
        <w:rPr>
          <w:rFonts w:eastAsiaTheme="minorEastAsia"/>
          <w:rtl/>
        </w:rPr>
        <w:t>كوستَناي</w:t>
      </w:r>
      <w:proofErr w:type="spellEnd"/>
      <w:r w:rsidRPr="008A6C3A">
        <w:rPr>
          <w:rFonts w:eastAsiaTheme="minorEastAsia"/>
          <w:rtl/>
        </w:rPr>
        <w:t xml:space="preserve">، حيث كانت تقيم، لتمثيلهم وحماية مصالحهم المشتركة. وفي </w:t>
      </w:r>
      <w:r w:rsidRPr="00264BEB">
        <w:rPr>
          <w:rFonts w:eastAsiaTheme="minorEastAsia"/>
          <w:rtl/>
        </w:rPr>
        <w:t>17</w:t>
      </w:r>
      <w:r w:rsidRPr="008A6C3A">
        <w:rPr>
          <w:rFonts w:eastAsiaTheme="minorEastAsia"/>
          <w:rtl/>
        </w:rPr>
        <w:t xml:space="preserve"> تشرين الأول/أكتوبر </w:t>
      </w:r>
      <w:r w:rsidRPr="00264BEB">
        <w:rPr>
          <w:rFonts w:eastAsiaTheme="minorEastAsia"/>
          <w:rtl/>
        </w:rPr>
        <w:t>2013</w:t>
      </w:r>
      <w:r w:rsidRPr="008A6C3A">
        <w:rPr>
          <w:rFonts w:eastAsiaTheme="minorEastAsia"/>
          <w:rtl/>
        </w:rPr>
        <w:t xml:space="preserve">، حاول المقيمون في المبنى السكني المجاور رقم </w:t>
      </w:r>
      <w:r w:rsidRPr="00264BEB">
        <w:rPr>
          <w:rFonts w:eastAsiaTheme="minorEastAsia"/>
        </w:rPr>
        <w:t>8</w:t>
      </w:r>
      <w:r w:rsidRPr="008A6C3A">
        <w:rPr>
          <w:rFonts w:eastAsiaTheme="minorEastAsia"/>
        </w:rPr>
        <w:t>a</w:t>
      </w:r>
      <w:r w:rsidRPr="008A6C3A">
        <w:rPr>
          <w:rFonts w:eastAsiaTheme="minorEastAsia"/>
          <w:rtl/>
        </w:rPr>
        <w:t xml:space="preserve"> تركيب أنبوب للصرف الصحي عبر فناء منزل صاحبة البلاغ. وعندما حاولت منع أعمال غير مرخّص بها في منشأة للصرف الصحي، تصدّت لها أربع نساء من المبنى المجاور جسدي</w:t>
      </w:r>
      <w:r w:rsidR="002F7F11">
        <w:rPr>
          <w:rFonts w:eastAsiaTheme="minorEastAsia"/>
          <w:rtl/>
        </w:rPr>
        <w:t>اً،</w:t>
      </w:r>
      <w:r w:rsidRPr="008A6C3A">
        <w:rPr>
          <w:rFonts w:eastAsiaTheme="minorEastAsia"/>
          <w:rtl/>
        </w:rPr>
        <w:t xml:space="preserve"> وركلنها ودفعنها بعيد</w:t>
      </w:r>
      <w:r w:rsidR="002F7F11">
        <w:rPr>
          <w:rFonts w:eastAsiaTheme="minorEastAsia"/>
          <w:rtl/>
        </w:rPr>
        <w:t xml:space="preserve">اً </w:t>
      </w:r>
      <w:r w:rsidRPr="008A6C3A">
        <w:rPr>
          <w:rFonts w:eastAsiaTheme="minorEastAsia"/>
          <w:rtl/>
        </w:rPr>
        <w:t xml:space="preserve">عن الحفارة التي كانت تشتغل. وتمكنت من وضع نفسها في الحفرة التي حفرتها الحفارة، الأمر الذي منع المزيد من أعمال البناء. وفي اليوم التالي، أي في </w:t>
      </w:r>
      <w:r w:rsidRPr="00264BEB">
        <w:rPr>
          <w:rFonts w:eastAsiaTheme="minorEastAsia"/>
          <w:rtl/>
        </w:rPr>
        <w:t>18</w:t>
      </w:r>
      <w:r w:rsidRPr="008A6C3A">
        <w:rPr>
          <w:rFonts w:eastAsiaTheme="minorEastAsia"/>
          <w:rtl/>
        </w:rPr>
        <w:t xml:space="preserve"> تشرين الأول/أكتوبر </w:t>
      </w:r>
      <w:r w:rsidRPr="00264BEB">
        <w:rPr>
          <w:rFonts w:eastAsiaTheme="minorEastAsia"/>
          <w:rtl/>
        </w:rPr>
        <w:t>2013</w:t>
      </w:r>
      <w:r w:rsidRPr="008A6C3A">
        <w:rPr>
          <w:rFonts w:eastAsiaTheme="minorEastAsia"/>
          <w:rtl/>
        </w:rPr>
        <w:t>، رفعت أربع نساء شكوى تدعين فيها أن صاحبة البلاغ اعتدت جسدي</w:t>
      </w:r>
      <w:r w:rsidR="002F7F11">
        <w:rPr>
          <w:rFonts w:eastAsiaTheme="minorEastAsia"/>
          <w:rtl/>
        </w:rPr>
        <w:t xml:space="preserve">اً </w:t>
      </w:r>
      <w:r w:rsidRPr="008A6C3A">
        <w:rPr>
          <w:rFonts w:eastAsiaTheme="minorEastAsia"/>
          <w:rtl/>
        </w:rPr>
        <w:t xml:space="preserve">على اثنتين منهن. </w:t>
      </w:r>
    </w:p>
    <w:p w14:paraId="5CB8E9E0" w14:textId="438558AF" w:rsidR="008A6C3A" w:rsidRPr="008A7E21" w:rsidRDefault="008A6C3A" w:rsidP="008A6C3A">
      <w:pPr>
        <w:pStyle w:val="SingleTxtGA"/>
        <w:rPr>
          <w:rFonts w:eastAsiaTheme="minorEastAsia"/>
          <w:i/>
          <w:lang w:val="en-US" w:eastAsia="zh-TW"/>
        </w:rPr>
      </w:pPr>
      <w:r w:rsidRPr="00264BEB">
        <w:rPr>
          <w:rFonts w:eastAsiaTheme="minorEastAsia"/>
          <w:rtl/>
        </w:rPr>
        <w:t>2</w:t>
      </w:r>
      <w:r w:rsidRPr="008A6C3A">
        <w:rPr>
          <w:rFonts w:eastAsiaTheme="minorEastAsia"/>
          <w:rtl/>
        </w:rPr>
        <w:t>-</w:t>
      </w:r>
      <w:r w:rsidRPr="00264BEB">
        <w:rPr>
          <w:rFonts w:eastAsiaTheme="minorEastAsia"/>
          <w:rtl/>
        </w:rPr>
        <w:t>2</w:t>
      </w:r>
      <w:r w:rsidRPr="008A6C3A">
        <w:rPr>
          <w:rFonts w:eastAsiaTheme="minorEastAsia"/>
          <w:rtl/>
        </w:rPr>
        <w:tab/>
        <w:t xml:space="preserve">وفي </w:t>
      </w:r>
      <w:r w:rsidRPr="00264BEB">
        <w:rPr>
          <w:rFonts w:eastAsiaTheme="minorEastAsia"/>
          <w:rtl/>
        </w:rPr>
        <w:t>13</w:t>
      </w:r>
      <w:r w:rsidRPr="008A6C3A">
        <w:rPr>
          <w:rFonts w:eastAsiaTheme="minorEastAsia"/>
          <w:rtl/>
        </w:rPr>
        <w:t xml:space="preserve"> كانون الأول/ديسمبر </w:t>
      </w:r>
      <w:r w:rsidRPr="00264BEB">
        <w:rPr>
          <w:rFonts w:eastAsiaTheme="minorEastAsia"/>
          <w:rtl/>
        </w:rPr>
        <w:t>2013</w:t>
      </w:r>
      <w:r w:rsidRPr="008A6C3A">
        <w:rPr>
          <w:rFonts w:eastAsiaTheme="minorEastAsia"/>
          <w:rtl/>
        </w:rPr>
        <w:t xml:space="preserve">، في حوالي الساعة </w:t>
      </w:r>
      <w:r w:rsidRPr="00264BEB">
        <w:rPr>
          <w:rFonts w:eastAsiaTheme="minorEastAsia"/>
          <w:rtl/>
        </w:rPr>
        <w:t>10</w:t>
      </w:r>
      <w:r w:rsidRPr="008A6C3A">
        <w:rPr>
          <w:rFonts w:eastAsiaTheme="minorEastAsia"/>
          <w:rtl/>
        </w:rPr>
        <w:t xml:space="preserve"> صباحا</w:t>
      </w:r>
      <w:r w:rsidR="00193217">
        <w:rPr>
          <w:rFonts w:eastAsiaTheme="minorEastAsia" w:hint="cs"/>
          <w:rtl/>
        </w:rPr>
        <w:t>ً</w:t>
      </w:r>
      <w:r w:rsidRPr="008A6C3A">
        <w:rPr>
          <w:rFonts w:eastAsiaTheme="minorEastAsia"/>
          <w:rtl/>
        </w:rPr>
        <w:t xml:space="preserve">، ألقي القبض على صاحبة البلاغ أثناء دخولها مبناها السكني على أيدي ثلاثة أفراد من الشرطة جرجروها إلى سيارة للشرطة. وأثناء وجودها في السيارة، أمسكها أفراد الشرطة بخشونة من ذراعيها، ودفعوها إلى المقعد ومنعوها من الحركة. وبعد نحو نصف ساعة، وصلت سيارة الشرطة إلى المحكمة الإدارية المتخصصة في مدينة </w:t>
      </w:r>
      <w:proofErr w:type="spellStart"/>
      <w:r w:rsidRPr="008A6C3A">
        <w:rPr>
          <w:rFonts w:eastAsiaTheme="minorEastAsia"/>
          <w:rtl/>
        </w:rPr>
        <w:t>كوستناي</w:t>
      </w:r>
      <w:proofErr w:type="spellEnd"/>
      <w:r w:rsidRPr="008A6C3A">
        <w:rPr>
          <w:rFonts w:eastAsiaTheme="minorEastAsia"/>
          <w:rtl/>
        </w:rPr>
        <w:t xml:space="preserve">. وجرجرها أفراد الشرطة إلى قاعة المحكمة. وفي اليوم نفسه، أدانتها المحكمة بارتكاب جريمة إدارية بموجب المادة </w:t>
      </w:r>
      <w:r w:rsidRPr="00264BEB">
        <w:rPr>
          <w:rFonts w:eastAsiaTheme="minorEastAsia"/>
          <w:rtl/>
        </w:rPr>
        <w:t>79</w:t>
      </w:r>
      <w:r w:rsidRPr="008A6C3A">
        <w:rPr>
          <w:rFonts w:eastAsiaTheme="minorEastAsia"/>
          <w:rtl/>
        </w:rPr>
        <w:t>(</w:t>
      </w:r>
      <w:r w:rsidRPr="00264BEB">
        <w:rPr>
          <w:rFonts w:eastAsiaTheme="minorEastAsia"/>
          <w:rtl/>
        </w:rPr>
        <w:t>3</w:t>
      </w:r>
      <w:r w:rsidRPr="008A6C3A">
        <w:rPr>
          <w:rFonts w:eastAsiaTheme="minorEastAsia"/>
          <w:rtl/>
        </w:rPr>
        <w:t>)(</w:t>
      </w:r>
      <w:r w:rsidR="00264BEB" w:rsidRPr="00264BEB">
        <w:rPr>
          <w:rFonts w:eastAsiaTheme="minorEastAsia"/>
          <w:rtl/>
        </w:rPr>
        <w:t xml:space="preserve">2) </w:t>
      </w:r>
      <w:r w:rsidRPr="008A6C3A">
        <w:rPr>
          <w:rFonts w:eastAsiaTheme="minorEastAsia"/>
          <w:rtl/>
        </w:rPr>
        <w:t>من قانون الجرائم الإدارية</w:t>
      </w:r>
      <w:r w:rsidR="00264BEB">
        <w:rPr>
          <w:rStyle w:val="FootnoteReference"/>
          <w:rFonts w:eastAsiaTheme="minorEastAsia"/>
          <w:sz w:val="22"/>
          <w:rtl/>
          <w:lang w:val="en-US"/>
        </w:rPr>
        <w:t>(</w:t>
      </w:r>
      <w:r w:rsidR="00264BEB" w:rsidRPr="00264BEB">
        <w:rPr>
          <w:rStyle w:val="FootnoteReference"/>
          <w:rFonts w:eastAsiaTheme="minorEastAsia"/>
          <w:sz w:val="22"/>
          <w:rtl/>
          <w:lang w:val="en-US"/>
        </w:rPr>
        <w:footnoteReference w:id="3"/>
      </w:r>
      <w:r w:rsidRPr="00264BEB">
        <w:rPr>
          <w:rStyle w:val="FootnoteReference"/>
          <w:rFonts w:eastAsiaTheme="minorEastAsia"/>
          <w:sz w:val="22"/>
          <w:rtl/>
        </w:rPr>
        <w:t>)</w:t>
      </w:r>
      <w:r w:rsidRPr="008A6C3A">
        <w:rPr>
          <w:rFonts w:eastAsiaTheme="minorEastAsia"/>
          <w:rtl/>
        </w:rPr>
        <w:t xml:space="preserve"> وغرمتها </w:t>
      </w:r>
      <w:r w:rsidRPr="00264BEB">
        <w:rPr>
          <w:rFonts w:eastAsiaTheme="minorEastAsia"/>
          <w:rtl/>
        </w:rPr>
        <w:t>000</w:t>
      </w:r>
      <w:r w:rsidRPr="008A6C3A">
        <w:rPr>
          <w:rFonts w:eastAsiaTheme="minorEastAsia"/>
          <w:rtl/>
        </w:rPr>
        <w:t xml:space="preserve"> </w:t>
      </w:r>
      <w:r w:rsidRPr="00264BEB">
        <w:rPr>
          <w:rFonts w:eastAsiaTheme="minorEastAsia"/>
          <w:rtl/>
        </w:rPr>
        <w:t>173</w:t>
      </w:r>
      <w:r w:rsidRPr="008A6C3A">
        <w:rPr>
          <w:rFonts w:eastAsiaTheme="minorEastAsia"/>
          <w:rtl/>
        </w:rPr>
        <w:t xml:space="preserve"> تنغي</w:t>
      </w:r>
      <w:r w:rsidR="00264BEB">
        <w:rPr>
          <w:rStyle w:val="FootnoteReference"/>
          <w:rFonts w:eastAsiaTheme="minorEastAsia"/>
          <w:sz w:val="22"/>
          <w:rtl/>
          <w:lang w:val="en-US"/>
        </w:rPr>
        <w:t>(</w:t>
      </w:r>
      <w:r w:rsidR="00264BEB" w:rsidRPr="00264BEB">
        <w:rPr>
          <w:rStyle w:val="FootnoteReference"/>
          <w:rFonts w:eastAsiaTheme="minorEastAsia"/>
          <w:sz w:val="22"/>
          <w:rtl/>
          <w:lang w:val="en-US"/>
        </w:rPr>
        <w:footnoteReference w:id="4"/>
      </w:r>
      <w:r w:rsidRPr="00264BEB">
        <w:rPr>
          <w:rStyle w:val="FootnoteReference"/>
          <w:rFonts w:eastAsiaTheme="minorEastAsia"/>
          <w:sz w:val="22"/>
          <w:rtl/>
        </w:rPr>
        <w:t>)</w:t>
      </w:r>
      <w:r w:rsidR="008A7E21">
        <w:rPr>
          <w:rFonts w:eastAsiaTheme="minorEastAsia" w:hint="cs"/>
          <w:rtl/>
        </w:rPr>
        <w:t>.</w:t>
      </w:r>
    </w:p>
    <w:p w14:paraId="7FDEEEB2" w14:textId="2D7220F4" w:rsidR="00264BEB" w:rsidRPr="00264BEB" w:rsidRDefault="008A6C3A" w:rsidP="008A6C3A">
      <w:pPr>
        <w:pStyle w:val="SingleTxtGA"/>
        <w:rPr>
          <w:rFonts w:eastAsiaTheme="minorEastAsia"/>
          <w:i/>
          <w:lang w:val="en-US" w:eastAsia="zh-TW" w:bidi="en-GB"/>
        </w:rPr>
      </w:pPr>
      <w:r w:rsidRPr="00264BEB">
        <w:rPr>
          <w:rFonts w:eastAsiaTheme="minorEastAsia"/>
          <w:rtl/>
        </w:rPr>
        <w:t>2</w:t>
      </w:r>
      <w:r w:rsidRPr="008A6C3A">
        <w:rPr>
          <w:rFonts w:eastAsiaTheme="minorEastAsia"/>
          <w:rtl/>
        </w:rPr>
        <w:t>-</w:t>
      </w:r>
      <w:r w:rsidRPr="00264BEB">
        <w:rPr>
          <w:rFonts w:eastAsiaTheme="minorEastAsia"/>
          <w:rtl/>
        </w:rPr>
        <w:t>3</w:t>
      </w:r>
      <w:r w:rsidRPr="008A6C3A">
        <w:rPr>
          <w:rFonts w:eastAsiaTheme="minorEastAsia"/>
          <w:rtl/>
        </w:rPr>
        <w:tab/>
        <w:t xml:space="preserve">وفي </w:t>
      </w:r>
      <w:r w:rsidRPr="00264BEB">
        <w:rPr>
          <w:rFonts w:eastAsiaTheme="minorEastAsia"/>
          <w:rtl/>
        </w:rPr>
        <w:t>14</w:t>
      </w:r>
      <w:r w:rsidRPr="008A6C3A">
        <w:rPr>
          <w:rFonts w:eastAsiaTheme="minorEastAsia"/>
          <w:rtl/>
        </w:rPr>
        <w:t xml:space="preserve"> كانون الأول/ديسمبر </w:t>
      </w:r>
      <w:r w:rsidRPr="00264BEB">
        <w:rPr>
          <w:rFonts w:eastAsiaTheme="minorEastAsia"/>
          <w:rtl/>
        </w:rPr>
        <w:t>2013</w:t>
      </w:r>
      <w:r w:rsidRPr="008A6C3A">
        <w:rPr>
          <w:rFonts w:eastAsiaTheme="minorEastAsia"/>
          <w:rtl/>
        </w:rPr>
        <w:t xml:space="preserve">، خضعت صاحبة البلاغ لفحص طبي في مشفى مدينة </w:t>
      </w:r>
      <w:proofErr w:type="spellStart"/>
      <w:r w:rsidRPr="008A6C3A">
        <w:rPr>
          <w:rFonts w:eastAsiaTheme="minorEastAsia"/>
          <w:rtl/>
        </w:rPr>
        <w:t>كوستناي</w:t>
      </w:r>
      <w:proofErr w:type="spellEnd"/>
      <w:r w:rsidRPr="008A6C3A">
        <w:rPr>
          <w:rFonts w:eastAsiaTheme="minorEastAsia"/>
          <w:rtl/>
        </w:rPr>
        <w:t xml:space="preserve"> كشف عن وجود كدمات على كتفها اليمنى. وفي </w:t>
      </w:r>
      <w:r w:rsidRPr="00264BEB">
        <w:rPr>
          <w:rFonts w:eastAsiaTheme="minorEastAsia"/>
          <w:rtl/>
        </w:rPr>
        <w:t>15</w:t>
      </w:r>
      <w:r w:rsidRPr="008A6C3A">
        <w:rPr>
          <w:rFonts w:eastAsiaTheme="minorEastAsia"/>
          <w:rtl/>
        </w:rPr>
        <w:t xml:space="preserve"> كانون الأول/ديسمبر </w:t>
      </w:r>
      <w:r w:rsidRPr="00264BEB">
        <w:rPr>
          <w:rFonts w:eastAsiaTheme="minorEastAsia"/>
          <w:rtl/>
        </w:rPr>
        <w:t>2013</w:t>
      </w:r>
      <w:r w:rsidRPr="008A6C3A">
        <w:rPr>
          <w:rFonts w:eastAsiaTheme="minorEastAsia"/>
          <w:rtl/>
        </w:rPr>
        <w:t>، التقت صاحبة البلاغ بضابط إدارة السلامة الشخصية التابعة لشرطة المقاطعة، حيث أدلت بشهادتها بشأن سوء معاملة الشرطة</w:t>
      </w:r>
      <w:r w:rsidR="001A16E7">
        <w:rPr>
          <w:rFonts w:eastAsiaTheme="minorEastAsia"/>
          <w:rtl/>
        </w:rPr>
        <w:t xml:space="preserve">، </w:t>
      </w:r>
      <w:r w:rsidRPr="008A6C3A">
        <w:rPr>
          <w:rFonts w:eastAsiaTheme="minorEastAsia"/>
          <w:rtl/>
        </w:rPr>
        <w:t xml:space="preserve">ورفعت شكوى في هذا الصدد. وفي اليوم نفسه، أحال ضابط الشرطة الذي أجرى المقابلة صاحبة البلاغ إلى قسم فحص الأدلة الجنائية. وفي </w:t>
      </w:r>
      <w:r w:rsidRPr="00264BEB">
        <w:rPr>
          <w:rFonts w:eastAsiaTheme="minorEastAsia"/>
          <w:rtl/>
        </w:rPr>
        <w:t>18</w:t>
      </w:r>
      <w:r w:rsidRPr="008A6C3A">
        <w:rPr>
          <w:rFonts w:eastAsiaTheme="minorEastAsia"/>
          <w:rtl/>
        </w:rPr>
        <w:t xml:space="preserve"> كانون الأول/ديسمبر </w:t>
      </w:r>
      <w:r w:rsidRPr="00264BEB">
        <w:rPr>
          <w:rFonts w:eastAsiaTheme="minorEastAsia"/>
          <w:rtl/>
        </w:rPr>
        <w:t>2013</w:t>
      </w:r>
      <w:r w:rsidRPr="008A6C3A">
        <w:rPr>
          <w:rFonts w:eastAsiaTheme="minorEastAsia"/>
          <w:rtl/>
        </w:rPr>
        <w:t xml:space="preserve">، فحص صاحبةَ البلاغ خبير أدلة جنائية في فرع </w:t>
      </w:r>
      <w:proofErr w:type="spellStart"/>
      <w:r w:rsidRPr="008A6C3A">
        <w:rPr>
          <w:rFonts w:eastAsiaTheme="minorEastAsia"/>
          <w:rtl/>
        </w:rPr>
        <w:t>كوستناي</w:t>
      </w:r>
      <w:proofErr w:type="spellEnd"/>
      <w:r w:rsidRPr="008A6C3A">
        <w:rPr>
          <w:rFonts w:eastAsiaTheme="minorEastAsia"/>
          <w:rtl/>
        </w:rPr>
        <w:t xml:space="preserve"> التابع لمركز فحص الأدلة الجنائية؛ وأكد الفحص أن لديها كدمات على كتفيها</w:t>
      </w:r>
      <w:r w:rsidR="00264BEB">
        <w:rPr>
          <w:rStyle w:val="FootnoteReference"/>
          <w:rFonts w:eastAsiaTheme="minorEastAsia"/>
          <w:sz w:val="22"/>
          <w:rtl/>
          <w:lang w:val="en-US"/>
        </w:rPr>
        <w:t>(</w:t>
      </w:r>
      <w:r w:rsidR="00264BEB" w:rsidRPr="00264BEB">
        <w:rPr>
          <w:rStyle w:val="FootnoteReference"/>
          <w:rFonts w:eastAsiaTheme="minorEastAsia"/>
          <w:sz w:val="22"/>
          <w:rtl/>
          <w:lang w:val="en-US"/>
        </w:rPr>
        <w:footnoteReference w:id="5"/>
      </w:r>
      <w:r w:rsidR="00264BEB" w:rsidRPr="00264BEB">
        <w:rPr>
          <w:rStyle w:val="FootnoteReference"/>
          <w:rFonts w:eastAsiaTheme="minorEastAsia"/>
          <w:sz w:val="22"/>
          <w:rtl/>
        </w:rPr>
        <w:t>)</w:t>
      </w:r>
      <w:r w:rsidR="00264BEB" w:rsidRPr="00264BEB">
        <w:rPr>
          <w:rFonts w:eastAsiaTheme="minorEastAsia"/>
          <w:rtl/>
        </w:rPr>
        <w:t>.</w:t>
      </w:r>
    </w:p>
    <w:p w14:paraId="06640707" w14:textId="267827E3" w:rsidR="008A6C3A" w:rsidRPr="00264BEB" w:rsidRDefault="008A6C3A" w:rsidP="008A6C3A">
      <w:pPr>
        <w:pStyle w:val="SingleTxtGA"/>
        <w:rPr>
          <w:rFonts w:eastAsiaTheme="minorEastAsia"/>
          <w:i/>
          <w:lang w:eastAsia="zh-TW" w:bidi="en-GB"/>
        </w:rPr>
      </w:pPr>
      <w:r w:rsidRPr="00264BEB">
        <w:rPr>
          <w:rFonts w:eastAsiaTheme="minorEastAsia"/>
          <w:rtl/>
        </w:rPr>
        <w:t>2</w:t>
      </w:r>
      <w:r w:rsidRPr="008A6C3A">
        <w:rPr>
          <w:rFonts w:eastAsiaTheme="minorEastAsia"/>
          <w:rtl/>
        </w:rPr>
        <w:t>-</w:t>
      </w:r>
      <w:r w:rsidRPr="00264BEB">
        <w:rPr>
          <w:rFonts w:eastAsiaTheme="minorEastAsia"/>
          <w:rtl/>
        </w:rPr>
        <w:t>4</w:t>
      </w:r>
      <w:r w:rsidRPr="008A6C3A">
        <w:rPr>
          <w:rFonts w:eastAsiaTheme="minorEastAsia"/>
          <w:rtl/>
        </w:rPr>
        <w:tab/>
        <w:t xml:space="preserve">وبما أن صاحبة البلاغ لم تتلق أي رد من إدارة السلامة الشخصية التابعة للشرطة، فقد رفعت شكاوى إلى مؤسسات حكومية شتى، من بينها مكتب المدعي العام، وديوان الرئيس، وإدارة مكافحة الجرائم الاقتصادية وجرائم الفساد في مقاطعة </w:t>
      </w:r>
      <w:proofErr w:type="spellStart"/>
      <w:r w:rsidRPr="008A6C3A">
        <w:rPr>
          <w:rFonts w:eastAsiaTheme="minorEastAsia"/>
          <w:rtl/>
        </w:rPr>
        <w:t>كوستناي</w:t>
      </w:r>
      <w:proofErr w:type="spellEnd"/>
      <w:r w:rsidRPr="008A6C3A">
        <w:rPr>
          <w:rFonts w:eastAsiaTheme="minorEastAsia"/>
          <w:rtl/>
        </w:rPr>
        <w:t xml:space="preserve"> التابعة لوكالة مكافحة الجريمة الاقتصادية وجرائم الفساد في كازاخستان. وفي </w:t>
      </w:r>
      <w:r w:rsidRPr="00264BEB">
        <w:rPr>
          <w:rFonts w:eastAsiaTheme="minorEastAsia"/>
          <w:rtl/>
        </w:rPr>
        <w:t>13</w:t>
      </w:r>
      <w:r w:rsidRPr="008A6C3A">
        <w:rPr>
          <w:rFonts w:eastAsiaTheme="minorEastAsia"/>
          <w:rtl/>
        </w:rPr>
        <w:t xml:space="preserve"> أيار/مايو </w:t>
      </w:r>
      <w:r w:rsidRPr="00264BEB">
        <w:rPr>
          <w:rFonts w:eastAsiaTheme="minorEastAsia"/>
          <w:rtl/>
        </w:rPr>
        <w:t>2014</w:t>
      </w:r>
      <w:r w:rsidRPr="008A6C3A">
        <w:rPr>
          <w:rFonts w:eastAsiaTheme="minorEastAsia"/>
          <w:rtl/>
        </w:rPr>
        <w:t>، تلقت صاحبة البلاغ رد</w:t>
      </w:r>
      <w:r w:rsidR="002F7F11">
        <w:rPr>
          <w:rFonts w:eastAsiaTheme="minorEastAsia"/>
          <w:rtl/>
        </w:rPr>
        <w:t xml:space="preserve">اً </w:t>
      </w:r>
      <w:r w:rsidRPr="008A6C3A">
        <w:rPr>
          <w:rFonts w:eastAsiaTheme="minorEastAsia"/>
          <w:rtl/>
        </w:rPr>
        <w:t xml:space="preserve">من الإدارة يفيد بأنه عقب تحقيقها </w:t>
      </w:r>
      <w:r w:rsidRPr="008A6C3A">
        <w:rPr>
          <w:rFonts w:eastAsiaTheme="minorEastAsia"/>
          <w:rtl/>
        </w:rPr>
        <w:lastRenderedPageBreak/>
        <w:t>الأولي، اتخذ قرار إجرائي بعدم فتح تحقيق جنائي في ادعاءاتها تَعرّضها لسوء المعاملة على أيدي ثلاثة أفراد من</w:t>
      </w:r>
      <w:r w:rsidR="001A16E7">
        <w:rPr>
          <w:rFonts w:eastAsiaTheme="minorEastAsia"/>
          <w:rtl/>
        </w:rPr>
        <w:t xml:space="preserve"> </w:t>
      </w:r>
      <w:r w:rsidRPr="008A6C3A">
        <w:rPr>
          <w:rFonts w:eastAsiaTheme="minorEastAsia"/>
          <w:rtl/>
        </w:rPr>
        <w:t xml:space="preserve">الشرطة. </w:t>
      </w:r>
    </w:p>
    <w:p w14:paraId="466E4F4A" w14:textId="5CCA5FA8" w:rsidR="008A6C3A" w:rsidRPr="008A6C3A" w:rsidRDefault="008A6C3A" w:rsidP="008A6C3A">
      <w:pPr>
        <w:pStyle w:val="SingleTxtGA"/>
        <w:rPr>
          <w:rFonts w:eastAsiaTheme="minorEastAsia"/>
          <w:lang w:eastAsia="zh-TW" w:bidi="en-GB"/>
        </w:rPr>
      </w:pPr>
      <w:r w:rsidRPr="00264BEB">
        <w:rPr>
          <w:rFonts w:eastAsiaTheme="minorEastAsia"/>
          <w:rtl/>
        </w:rPr>
        <w:t>2</w:t>
      </w:r>
      <w:r w:rsidRPr="008A6C3A">
        <w:rPr>
          <w:rFonts w:eastAsiaTheme="minorEastAsia"/>
          <w:rtl/>
        </w:rPr>
        <w:t>-</w:t>
      </w:r>
      <w:r w:rsidRPr="00264BEB">
        <w:rPr>
          <w:rFonts w:eastAsiaTheme="minorEastAsia"/>
          <w:rtl/>
        </w:rPr>
        <w:t>5</w:t>
      </w:r>
      <w:r w:rsidRPr="008A6C3A">
        <w:rPr>
          <w:rFonts w:eastAsiaTheme="minorEastAsia"/>
          <w:rtl/>
        </w:rPr>
        <w:tab/>
        <w:t xml:space="preserve">وفي </w:t>
      </w:r>
      <w:r w:rsidRPr="00264BEB">
        <w:rPr>
          <w:rFonts w:eastAsiaTheme="minorEastAsia"/>
          <w:rtl/>
        </w:rPr>
        <w:t>22</w:t>
      </w:r>
      <w:r w:rsidRPr="008A6C3A">
        <w:rPr>
          <w:rFonts w:eastAsiaTheme="minorEastAsia"/>
          <w:rtl/>
        </w:rPr>
        <w:t xml:space="preserve"> أيار/مايو </w:t>
      </w:r>
      <w:r w:rsidRPr="00264BEB">
        <w:rPr>
          <w:rFonts w:eastAsiaTheme="minorEastAsia"/>
          <w:rtl/>
        </w:rPr>
        <w:t>2014</w:t>
      </w:r>
      <w:r w:rsidRPr="008A6C3A">
        <w:rPr>
          <w:rFonts w:eastAsiaTheme="minorEastAsia"/>
          <w:rtl/>
        </w:rPr>
        <w:t xml:space="preserve">، استأنفت صاحبة البلاغ قرار إدارة مكافحة الجرائم الاقتصادية وجرائم الفساد في مقاطعة </w:t>
      </w:r>
      <w:proofErr w:type="spellStart"/>
      <w:r w:rsidRPr="008A6C3A">
        <w:rPr>
          <w:rFonts w:eastAsiaTheme="minorEastAsia"/>
          <w:rtl/>
        </w:rPr>
        <w:t>كوستناي</w:t>
      </w:r>
      <w:proofErr w:type="spellEnd"/>
      <w:r w:rsidRPr="008A6C3A">
        <w:rPr>
          <w:rFonts w:eastAsiaTheme="minorEastAsia"/>
          <w:rtl/>
        </w:rPr>
        <w:t xml:space="preserve"> أمام محكمة مدينة </w:t>
      </w:r>
      <w:proofErr w:type="spellStart"/>
      <w:r w:rsidRPr="008A6C3A">
        <w:rPr>
          <w:rFonts w:eastAsiaTheme="minorEastAsia"/>
          <w:rtl/>
        </w:rPr>
        <w:t>كوستناي</w:t>
      </w:r>
      <w:proofErr w:type="spellEnd"/>
      <w:r w:rsidRPr="008A6C3A">
        <w:rPr>
          <w:rFonts w:eastAsiaTheme="minorEastAsia"/>
          <w:rtl/>
        </w:rPr>
        <w:t xml:space="preserve"> رقم </w:t>
      </w:r>
      <w:r w:rsidRPr="00264BEB">
        <w:rPr>
          <w:rFonts w:eastAsiaTheme="minorEastAsia"/>
          <w:rtl/>
        </w:rPr>
        <w:t>2</w:t>
      </w:r>
      <w:r w:rsidRPr="008A6C3A">
        <w:rPr>
          <w:rFonts w:eastAsiaTheme="minorEastAsia"/>
          <w:rtl/>
        </w:rPr>
        <w:t>، مدعية أن الوكالة الحكومية، عند إجرائها التحقيق الأولي، لم تقابل الشهود الرئيسيين ولم توفر لها سبل انتصاف فعالة عند التحقيق في ادعاءات سوء معاملة أفراد الشرطة</w:t>
      </w:r>
      <w:r w:rsidR="00193217">
        <w:rPr>
          <w:rFonts w:eastAsiaTheme="minorEastAsia"/>
          <w:rtl/>
        </w:rPr>
        <w:t xml:space="preserve">. </w:t>
      </w:r>
      <w:r w:rsidRPr="008A6C3A">
        <w:rPr>
          <w:rFonts w:eastAsiaTheme="minorEastAsia"/>
          <w:rtl/>
        </w:rPr>
        <w:t xml:space="preserve">وفي </w:t>
      </w:r>
      <w:r w:rsidRPr="00264BEB">
        <w:rPr>
          <w:rFonts w:eastAsiaTheme="minorEastAsia"/>
          <w:rtl/>
        </w:rPr>
        <w:t>2</w:t>
      </w:r>
      <w:r w:rsidRPr="008A6C3A">
        <w:rPr>
          <w:rFonts w:eastAsiaTheme="minorEastAsia"/>
          <w:rtl/>
        </w:rPr>
        <w:t xml:space="preserve"> حزيران/يونيه </w:t>
      </w:r>
      <w:r w:rsidRPr="00264BEB">
        <w:rPr>
          <w:rFonts w:eastAsiaTheme="minorEastAsia"/>
          <w:rtl/>
        </w:rPr>
        <w:t>2014</w:t>
      </w:r>
      <w:r w:rsidRPr="008A6C3A">
        <w:rPr>
          <w:rFonts w:eastAsiaTheme="minorEastAsia"/>
          <w:rtl/>
        </w:rPr>
        <w:t>، لاحظت المحكمة عدم وجود مواد معينة في الملف ووجود عدة تناقضات</w:t>
      </w:r>
      <w:r w:rsidR="001A16E7">
        <w:rPr>
          <w:rFonts w:eastAsiaTheme="minorEastAsia"/>
          <w:rtl/>
        </w:rPr>
        <w:t xml:space="preserve"> </w:t>
      </w:r>
      <w:r w:rsidRPr="008A6C3A">
        <w:rPr>
          <w:rFonts w:eastAsiaTheme="minorEastAsia"/>
          <w:rtl/>
        </w:rPr>
        <w:t xml:space="preserve">إجرائية، وأيدت شكوى صاحبة البلاغ وقضت بضرورة إجراء مزيد من التحقيقات. واستأنف المدعي العام القرار. وفي </w:t>
      </w:r>
      <w:r w:rsidRPr="00264BEB">
        <w:rPr>
          <w:rFonts w:eastAsiaTheme="minorEastAsia"/>
          <w:rtl/>
        </w:rPr>
        <w:t>16</w:t>
      </w:r>
      <w:r w:rsidRPr="008A6C3A">
        <w:rPr>
          <w:rFonts w:eastAsiaTheme="minorEastAsia"/>
          <w:rtl/>
        </w:rPr>
        <w:t xml:space="preserve"> حزيران/يونيه </w:t>
      </w:r>
      <w:r w:rsidRPr="00264BEB">
        <w:rPr>
          <w:rFonts w:eastAsiaTheme="minorEastAsia"/>
          <w:rtl/>
        </w:rPr>
        <w:t>2014</w:t>
      </w:r>
      <w:r w:rsidRPr="008A6C3A">
        <w:rPr>
          <w:rFonts w:eastAsiaTheme="minorEastAsia"/>
          <w:rtl/>
        </w:rPr>
        <w:t xml:space="preserve">، رفضت محكمة </w:t>
      </w:r>
      <w:proofErr w:type="spellStart"/>
      <w:r w:rsidRPr="008A6C3A">
        <w:rPr>
          <w:rFonts w:eastAsiaTheme="minorEastAsia"/>
          <w:rtl/>
        </w:rPr>
        <w:t>كوستناي</w:t>
      </w:r>
      <w:proofErr w:type="spellEnd"/>
      <w:r w:rsidRPr="008A6C3A">
        <w:rPr>
          <w:rFonts w:eastAsiaTheme="minorEastAsia"/>
          <w:rtl/>
        </w:rPr>
        <w:t xml:space="preserve"> الإقليمية، بوصفها محكمة استئناف، استئناف المدعي العام بشأن قانونية حكم المحكمة الابتدائية.</w:t>
      </w:r>
    </w:p>
    <w:p w14:paraId="10E4A91F" w14:textId="0200C0B9" w:rsidR="008A6C3A" w:rsidRPr="008A6C3A" w:rsidRDefault="008A6C3A" w:rsidP="001A16E7">
      <w:pPr>
        <w:pStyle w:val="SingleTxtGA"/>
        <w:rPr>
          <w:lang w:eastAsia="zh-TW" w:bidi="en-GB"/>
        </w:rPr>
      </w:pPr>
      <w:r w:rsidRPr="00264BEB">
        <w:rPr>
          <w:rtl/>
        </w:rPr>
        <w:t>2</w:t>
      </w:r>
      <w:r w:rsidRPr="008A6C3A">
        <w:rPr>
          <w:rtl/>
        </w:rPr>
        <w:t>-</w:t>
      </w:r>
      <w:r w:rsidRPr="00264BEB">
        <w:rPr>
          <w:rtl/>
        </w:rPr>
        <w:t>6</w:t>
      </w:r>
      <w:r w:rsidRPr="008A6C3A">
        <w:rPr>
          <w:rtl/>
        </w:rPr>
        <w:tab/>
        <w:t xml:space="preserve">وفي </w:t>
      </w:r>
      <w:r w:rsidRPr="00264BEB">
        <w:rPr>
          <w:rtl/>
        </w:rPr>
        <w:t>25</w:t>
      </w:r>
      <w:r w:rsidRPr="008A6C3A">
        <w:rPr>
          <w:rtl/>
        </w:rPr>
        <w:t xml:space="preserve"> تموز/يوليه </w:t>
      </w:r>
      <w:r w:rsidRPr="00264BEB">
        <w:rPr>
          <w:rtl/>
        </w:rPr>
        <w:t>2014</w:t>
      </w:r>
      <w:r w:rsidRPr="008A6C3A">
        <w:rPr>
          <w:rtl/>
        </w:rPr>
        <w:t xml:space="preserve">، لم تجد إدارة مكافحة الجرائم الاقتصادية وجرائم الفساد في مقاطعة </w:t>
      </w:r>
      <w:proofErr w:type="spellStart"/>
      <w:r w:rsidRPr="008A6C3A">
        <w:rPr>
          <w:rtl/>
        </w:rPr>
        <w:t>كوستناي</w:t>
      </w:r>
      <w:proofErr w:type="spellEnd"/>
      <w:r w:rsidRPr="008A6C3A">
        <w:rPr>
          <w:rtl/>
        </w:rPr>
        <w:t>، بعدما درست شهادات الشهود الرئيسيين واستجوبت خبراء الأدلة الجنائية، أي عناصر إجرامية في أعمال الشرطة وأيدت قرارها السابق، وهو عدم فتح تحقيق جنائي في سوء المعاملة الذي زُعم تعرّض صاحبة البلاغ له. وأشار قرار الإدارة أيض</w:t>
      </w:r>
      <w:r w:rsidR="002F7F11">
        <w:rPr>
          <w:rtl/>
        </w:rPr>
        <w:t xml:space="preserve">اً </w:t>
      </w:r>
      <w:r w:rsidRPr="008A6C3A">
        <w:rPr>
          <w:rtl/>
        </w:rPr>
        <w:t>إلى أن صاحبة البلاغ لم تحضر جلسة المحكمة بشأن التهم</w:t>
      </w:r>
      <w:r w:rsidR="00193217">
        <w:rPr>
          <w:rFonts w:hint="cs"/>
          <w:rtl/>
        </w:rPr>
        <w:t> </w:t>
      </w:r>
      <w:r w:rsidRPr="008A6C3A">
        <w:rPr>
          <w:rtl/>
        </w:rPr>
        <w:t xml:space="preserve">الإدارية الموجهة إليها، التي كان من المقرر عقدها في الساعة </w:t>
      </w:r>
      <w:r w:rsidRPr="00264BEB">
        <w:rPr>
          <w:rtl/>
        </w:rPr>
        <w:t>9</w:t>
      </w:r>
      <w:r w:rsidRPr="008A6C3A">
        <w:rPr>
          <w:rtl/>
        </w:rPr>
        <w:t xml:space="preserve"> صباحا</w:t>
      </w:r>
      <w:r w:rsidR="00193217">
        <w:rPr>
          <w:rFonts w:hint="cs"/>
          <w:rtl/>
        </w:rPr>
        <w:t>ً</w:t>
      </w:r>
      <w:r w:rsidRPr="008A6C3A">
        <w:rPr>
          <w:rtl/>
        </w:rPr>
        <w:t xml:space="preserve"> من يوم </w:t>
      </w:r>
      <w:r w:rsidRPr="00264BEB">
        <w:rPr>
          <w:rtl/>
        </w:rPr>
        <w:t>13</w:t>
      </w:r>
      <w:r w:rsidRPr="008A6C3A">
        <w:rPr>
          <w:rtl/>
        </w:rPr>
        <w:t xml:space="preserve"> كانون الأول/</w:t>
      </w:r>
      <w:r w:rsidR="00193217">
        <w:rPr>
          <w:rFonts w:hint="cs"/>
          <w:rtl/>
        </w:rPr>
        <w:t xml:space="preserve"> </w:t>
      </w:r>
      <w:r w:rsidRPr="008A6C3A">
        <w:rPr>
          <w:rtl/>
        </w:rPr>
        <w:t xml:space="preserve">ديسمبر </w:t>
      </w:r>
      <w:r w:rsidRPr="00264BEB">
        <w:rPr>
          <w:rtl/>
        </w:rPr>
        <w:t>201</w:t>
      </w:r>
      <w:r w:rsidR="00264BEB" w:rsidRPr="00264BEB">
        <w:rPr>
          <w:rtl/>
        </w:rPr>
        <w:t xml:space="preserve">3. </w:t>
      </w:r>
      <w:r w:rsidRPr="008A6C3A">
        <w:rPr>
          <w:rtl/>
        </w:rPr>
        <w:t>وأمرت المحكمة الشرطة بأن تضمن</w:t>
      </w:r>
      <w:r w:rsidR="001A16E7">
        <w:rPr>
          <w:rtl/>
        </w:rPr>
        <w:t xml:space="preserve"> </w:t>
      </w:r>
      <w:r w:rsidRPr="008A6C3A">
        <w:rPr>
          <w:rtl/>
        </w:rPr>
        <w:t>مشاركة صاحبة</w:t>
      </w:r>
      <w:r w:rsidR="001A16E7">
        <w:rPr>
          <w:rtl/>
        </w:rPr>
        <w:t xml:space="preserve"> </w:t>
      </w:r>
      <w:r w:rsidRPr="008A6C3A">
        <w:rPr>
          <w:rtl/>
        </w:rPr>
        <w:t>البلاغ</w:t>
      </w:r>
      <w:r w:rsidR="001A16E7">
        <w:rPr>
          <w:rtl/>
        </w:rPr>
        <w:t xml:space="preserve"> </w:t>
      </w:r>
      <w:r w:rsidRPr="008A6C3A">
        <w:rPr>
          <w:rtl/>
        </w:rPr>
        <w:t xml:space="preserve">في الإجراءات التي أعيد تحديد موعدها في الساعة </w:t>
      </w:r>
      <w:r w:rsidRPr="00264BEB">
        <w:rPr>
          <w:rtl/>
        </w:rPr>
        <w:t>11</w:t>
      </w:r>
      <w:r w:rsidRPr="008A6C3A">
        <w:rPr>
          <w:rtl/>
        </w:rPr>
        <w:t xml:space="preserve"> صباح</w:t>
      </w:r>
      <w:r w:rsidR="00835C9F">
        <w:rPr>
          <w:rtl/>
        </w:rPr>
        <w:t xml:space="preserve">اً، </w:t>
      </w:r>
      <w:r w:rsidRPr="008A6C3A">
        <w:rPr>
          <w:rtl/>
        </w:rPr>
        <w:t>ولاحظت الإدارة المذكورة آنف</w:t>
      </w:r>
      <w:r w:rsidR="002F7F11">
        <w:rPr>
          <w:rtl/>
        </w:rPr>
        <w:t xml:space="preserve">اً </w:t>
      </w:r>
      <w:r w:rsidRPr="008A6C3A">
        <w:rPr>
          <w:rtl/>
        </w:rPr>
        <w:t>أيض</w:t>
      </w:r>
      <w:r w:rsidR="002F7F11">
        <w:rPr>
          <w:rtl/>
        </w:rPr>
        <w:t xml:space="preserve">اً </w:t>
      </w:r>
      <w:r w:rsidRPr="008A6C3A">
        <w:rPr>
          <w:rtl/>
        </w:rPr>
        <w:t xml:space="preserve">أن أفراد الشرطة قاموا فقط بتنفيذ حكم المحكمة عندما قبضوا على صاحبة البلاغ وحاولوا مرافقتها إلى قاعة المحكمة لأنها كانت تبدي مقاومة بدنية لتطبيق الحكم. وخلص التحقيق الأولي الذي أجرته الإدارة إلى أن الشرطة لم تتجاوز سلطتها وتصرفت في إطار القانون؛ لذا لم تكن هناك أسباب حقيقية لفتح تحقيق جنائي. </w:t>
      </w:r>
    </w:p>
    <w:p w14:paraId="2F38B892" w14:textId="77777777" w:rsidR="008A6C3A" w:rsidRPr="00264BEB" w:rsidRDefault="008A6C3A" w:rsidP="008A6C3A">
      <w:pPr>
        <w:pStyle w:val="SingleTxtGA"/>
        <w:rPr>
          <w:rFonts w:eastAsiaTheme="minorEastAsia"/>
          <w:i/>
          <w:lang w:eastAsia="zh-TW" w:bidi="en-GB"/>
        </w:rPr>
      </w:pPr>
      <w:r w:rsidRPr="00264BEB">
        <w:rPr>
          <w:rFonts w:eastAsiaTheme="minorEastAsia"/>
          <w:rtl/>
        </w:rPr>
        <w:t>2</w:t>
      </w:r>
      <w:r w:rsidRPr="008A6C3A">
        <w:rPr>
          <w:rFonts w:eastAsiaTheme="minorEastAsia"/>
          <w:rtl/>
        </w:rPr>
        <w:t>-</w:t>
      </w:r>
      <w:r w:rsidRPr="00264BEB">
        <w:rPr>
          <w:rFonts w:eastAsiaTheme="minorEastAsia"/>
          <w:rtl/>
        </w:rPr>
        <w:t>7</w:t>
      </w:r>
      <w:r w:rsidRPr="008A6C3A">
        <w:rPr>
          <w:rFonts w:eastAsiaTheme="minorEastAsia"/>
          <w:rtl/>
        </w:rPr>
        <w:tab/>
        <w:t xml:space="preserve">وفي </w:t>
      </w:r>
      <w:r w:rsidRPr="00264BEB">
        <w:rPr>
          <w:rFonts w:eastAsiaTheme="minorEastAsia"/>
          <w:rtl/>
        </w:rPr>
        <w:t>13</w:t>
      </w:r>
      <w:r w:rsidRPr="008A6C3A">
        <w:rPr>
          <w:rFonts w:eastAsiaTheme="minorEastAsia"/>
          <w:rtl/>
        </w:rPr>
        <w:t xml:space="preserve"> أيلول/سبتمبر و</w:t>
      </w:r>
      <w:r w:rsidRPr="00264BEB">
        <w:rPr>
          <w:rFonts w:eastAsiaTheme="minorEastAsia"/>
          <w:rtl/>
        </w:rPr>
        <w:t>3</w:t>
      </w:r>
      <w:r w:rsidRPr="008A6C3A">
        <w:rPr>
          <w:rFonts w:eastAsiaTheme="minorEastAsia"/>
          <w:rtl/>
        </w:rPr>
        <w:t xml:space="preserve"> تشرين الثاني/نوفمبر </w:t>
      </w:r>
      <w:r w:rsidRPr="00264BEB">
        <w:rPr>
          <w:rFonts w:eastAsiaTheme="minorEastAsia"/>
          <w:rtl/>
        </w:rPr>
        <w:t>2014</w:t>
      </w:r>
      <w:r w:rsidRPr="008A6C3A">
        <w:rPr>
          <w:rFonts w:eastAsiaTheme="minorEastAsia"/>
          <w:rtl/>
        </w:rPr>
        <w:t xml:space="preserve">، أيد مكتب المدعي العام لمقاطعة </w:t>
      </w:r>
      <w:proofErr w:type="spellStart"/>
      <w:r w:rsidRPr="008A6C3A">
        <w:rPr>
          <w:rFonts w:eastAsiaTheme="minorEastAsia"/>
          <w:rtl/>
        </w:rPr>
        <w:t>كوستناي</w:t>
      </w:r>
      <w:proofErr w:type="spellEnd"/>
      <w:r w:rsidRPr="008A6C3A">
        <w:rPr>
          <w:rFonts w:eastAsiaTheme="minorEastAsia"/>
          <w:rtl/>
        </w:rPr>
        <w:t xml:space="preserve"> والنيابة العامة، بناء على استئنافات صاحبة البلاغ، قرار إدارة مكافحة الجرائم الاقتصادية وجرائم الفساد في مقاطعة </w:t>
      </w:r>
      <w:proofErr w:type="spellStart"/>
      <w:r w:rsidRPr="008A6C3A">
        <w:rPr>
          <w:rFonts w:eastAsiaTheme="minorEastAsia"/>
          <w:rtl/>
        </w:rPr>
        <w:t>كوستناي</w:t>
      </w:r>
      <w:proofErr w:type="spellEnd"/>
      <w:r w:rsidRPr="008A6C3A">
        <w:rPr>
          <w:rFonts w:eastAsiaTheme="minorEastAsia"/>
          <w:rtl/>
        </w:rPr>
        <w:t xml:space="preserve">. </w:t>
      </w:r>
    </w:p>
    <w:p w14:paraId="2E0D7642" w14:textId="77777777" w:rsidR="008A6C3A" w:rsidRPr="008A6C3A" w:rsidRDefault="008A6C3A" w:rsidP="001A16E7">
      <w:pPr>
        <w:pStyle w:val="H23GA"/>
        <w:rPr>
          <w:lang w:eastAsia="zh-TW" w:bidi="en-GB"/>
        </w:rPr>
      </w:pPr>
      <w:r w:rsidRPr="008A6C3A">
        <w:rPr>
          <w:rtl/>
        </w:rPr>
        <w:tab/>
      </w:r>
      <w:r w:rsidRPr="008A6C3A">
        <w:rPr>
          <w:rtl/>
        </w:rPr>
        <w:tab/>
      </w:r>
      <w:r w:rsidRPr="00264BEB">
        <w:rPr>
          <w:rtl/>
        </w:rPr>
        <w:t>الشكوى</w:t>
      </w:r>
    </w:p>
    <w:p w14:paraId="557E84D0" w14:textId="5E4E5A93" w:rsidR="008A6C3A" w:rsidRPr="00264BEB" w:rsidRDefault="008A6C3A" w:rsidP="008A6C3A">
      <w:pPr>
        <w:pStyle w:val="SingleTxtGA"/>
        <w:rPr>
          <w:rFonts w:eastAsiaTheme="minorEastAsia"/>
          <w:i/>
          <w:lang w:val="en-US" w:eastAsia="zh-TW"/>
        </w:rPr>
      </w:pPr>
      <w:r w:rsidRPr="00264BEB">
        <w:rPr>
          <w:rFonts w:eastAsiaTheme="minorEastAsia"/>
          <w:rtl/>
        </w:rPr>
        <w:t>3</w:t>
      </w:r>
      <w:r w:rsidRPr="008A6C3A">
        <w:rPr>
          <w:rFonts w:eastAsiaTheme="minorEastAsia"/>
          <w:rtl/>
        </w:rPr>
        <w:t>-</w:t>
      </w:r>
      <w:r w:rsidRPr="00264BEB">
        <w:rPr>
          <w:rFonts w:eastAsiaTheme="minorEastAsia"/>
          <w:rtl/>
        </w:rPr>
        <w:t>1</w:t>
      </w:r>
      <w:r w:rsidRPr="008A6C3A">
        <w:rPr>
          <w:rFonts w:eastAsiaTheme="minorEastAsia"/>
          <w:rtl/>
        </w:rPr>
        <w:tab/>
        <w:t xml:space="preserve">تدعي صاحبة البلاغ حدوث انتهاك للمادة </w:t>
      </w:r>
      <w:r w:rsidRPr="00264BEB">
        <w:rPr>
          <w:rFonts w:eastAsiaTheme="minorEastAsia"/>
          <w:rtl/>
        </w:rPr>
        <w:t>7</w:t>
      </w:r>
      <w:r w:rsidRPr="008A6C3A">
        <w:rPr>
          <w:rFonts w:eastAsiaTheme="minorEastAsia"/>
          <w:rtl/>
        </w:rPr>
        <w:t xml:space="preserve"> من العهد، مقروءة بالاقتران مع المادة </w:t>
      </w:r>
      <w:r w:rsidRPr="00264BEB">
        <w:rPr>
          <w:rFonts w:eastAsiaTheme="minorEastAsia"/>
          <w:rtl/>
        </w:rPr>
        <w:t>2</w:t>
      </w:r>
      <w:r w:rsidRPr="008A6C3A">
        <w:rPr>
          <w:rFonts w:eastAsiaTheme="minorEastAsia"/>
          <w:rtl/>
        </w:rPr>
        <w:t xml:space="preserve"> منه، مجادلةً بالقول إن الشرطة أفرطت في استخدام القوة وإن الدولة الطرف لم تجر تحقيق</w:t>
      </w:r>
      <w:r w:rsidR="002F7F11">
        <w:rPr>
          <w:rFonts w:eastAsiaTheme="minorEastAsia"/>
          <w:rtl/>
        </w:rPr>
        <w:t xml:space="preserve">اً </w:t>
      </w:r>
      <w:r w:rsidRPr="008A6C3A">
        <w:rPr>
          <w:rFonts w:eastAsiaTheme="minorEastAsia"/>
          <w:rtl/>
        </w:rPr>
        <w:t>فعال</w:t>
      </w:r>
      <w:r w:rsidR="002F7F11">
        <w:rPr>
          <w:rFonts w:eastAsiaTheme="minorEastAsia"/>
          <w:rtl/>
        </w:rPr>
        <w:t xml:space="preserve">اً </w:t>
      </w:r>
      <w:r w:rsidRPr="008A6C3A">
        <w:rPr>
          <w:rFonts w:eastAsiaTheme="minorEastAsia"/>
          <w:rtl/>
        </w:rPr>
        <w:t xml:space="preserve">في مزاعم سوء معاملة الشرطة. </w:t>
      </w:r>
    </w:p>
    <w:p w14:paraId="71B9FA4C" w14:textId="29ED69CB" w:rsidR="008A6C3A" w:rsidRPr="00264BEB" w:rsidRDefault="008A6C3A" w:rsidP="008A6C3A">
      <w:pPr>
        <w:pStyle w:val="SingleTxtGA"/>
        <w:rPr>
          <w:rFonts w:eastAsiaTheme="minorEastAsia"/>
          <w:i/>
          <w:lang w:eastAsia="zh-TW" w:bidi="en-GB"/>
        </w:rPr>
      </w:pPr>
      <w:r w:rsidRPr="00264BEB">
        <w:rPr>
          <w:rFonts w:eastAsiaTheme="minorEastAsia"/>
          <w:rtl/>
        </w:rPr>
        <w:t>3</w:t>
      </w:r>
      <w:r w:rsidRPr="008A6C3A">
        <w:rPr>
          <w:rFonts w:eastAsiaTheme="minorEastAsia"/>
          <w:rtl/>
        </w:rPr>
        <w:t>-</w:t>
      </w:r>
      <w:r w:rsidRPr="00264BEB">
        <w:rPr>
          <w:rFonts w:eastAsiaTheme="minorEastAsia"/>
          <w:rtl/>
        </w:rPr>
        <w:t>2</w:t>
      </w:r>
      <w:r w:rsidRPr="008A6C3A">
        <w:rPr>
          <w:rFonts w:eastAsiaTheme="minorEastAsia"/>
          <w:rtl/>
        </w:rPr>
        <w:tab/>
        <w:t>وتطلب صاحبة البلاغ إلى اللجنة إجراء تحقيق فعال في سوء معاملة الشرطة لها، وفرض عقوبات مناسبة على الموظفين المسؤولين عن ذلك، وجبر ما أصابها من ضرر معنوي جبر</w:t>
      </w:r>
      <w:r w:rsidR="002F7F11">
        <w:rPr>
          <w:rFonts w:eastAsiaTheme="minorEastAsia"/>
          <w:rtl/>
        </w:rPr>
        <w:t xml:space="preserve">اً </w:t>
      </w:r>
      <w:r w:rsidRPr="008A6C3A">
        <w:rPr>
          <w:rFonts w:eastAsiaTheme="minorEastAsia"/>
          <w:rtl/>
        </w:rPr>
        <w:t>تام</w:t>
      </w:r>
      <w:r w:rsidR="002F7F11">
        <w:rPr>
          <w:rFonts w:eastAsiaTheme="minorEastAsia"/>
          <w:rtl/>
        </w:rPr>
        <w:t xml:space="preserve">اً </w:t>
      </w:r>
      <w:r w:rsidRPr="008A6C3A">
        <w:rPr>
          <w:rFonts w:eastAsiaTheme="minorEastAsia"/>
          <w:rtl/>
        </w:rPr>
        <w:t>وكافي</w:t>
      </w:r>
      <w:r w:rsidR="002F7F11">
        <w:rPr>
          <w:rFonts w:eastAsiaTheme="minorEastAsia"/>
          <w:rtl/>
        </w:rPr>
        <w:t>اً،</w:t>
      </w:r>
      <w:r w:rsidRPr="008A6C3A">
        <w:rPr>
          <w:rFonts w:eastAsiaTheme="minorEastAsia"/>
          <w:rtl/>
        </w:rPr>
        <w:t xml:space="preserve"> بما في ذلك إعادة التأهيل</w:t>
      </w:r>
      <w:r w:rsidR="001A16E7">
        <w:rPr>
          <w:rFonts w:eastAsiaTheme="minorEastAsia"/>
          <w:rtl/>
        </w:rPr>
        <w:t xml:space="preserve"> </w:t>
      </w:r>
      <w:r w:rsidRPr="008A6C3A">
        <w:rPr>
          <w:rFonts w:eastAsiaTheme="minorEastAsia"/>
          <w:rtl/>
        </w:rPr>
        <w:t>والتعويض.</w:t>
      </w:r>
    </w:p>
    <w:p w14:paraId="06C4348B" w14:textId="22406BCB" w:rsidR="008A6C3A" w:rsidRPr="008A6C3A" w:rsidRDefault="008A6C3A" w:rsidP="001A16E7">
      <w:pPr>
        <w:pStyle w:val="H23GA"/>
        <w:rPr>
          <w:lang w:val="ar-SA" w:eastAsia="zh-TW" w:bidi="en-GB"/>
        </w:rPr>
      </w:pPr>
      <w:r w:rsidRPr="008A6C3A">
        <w:rPr>
          <w:rtl/>
        </w:rPr>
        <w:tab/>
      </w:r>
      <w:r w:rsidRPr="008A6C3A">
        <w:rPr>
          <w:rtl/>
        </w:rPr>
        <w:tab/>
      </w:r>
      <w:r w:rsidRPr="00264BEB">
        <w:rPr>
          <w:rtl/>
        </w:rPr>
        <w:t>ملاحظات الدولة الطرف بشأن المقبولية</w:t>
      </w:r>
      <w:r w:rsidRPr="008A6C3A">
        <w:rPr>
          <w:rtl/>
        </w:rPr>
        <w:t xml:space="preserve"> </w:t>
      </w:r>
    </w:p>
    <w:p w14:paraId="30206096" w14:textId="1A9D38E2" w:rsidR="008A6C3A" w:rsidRPr="008A6C3A" w:rsidRDefault="008A6C3A" w:rsidP="008A6C3A">
      <w:pPr>
        <w:pStyle w:val="SingleTxtGA"/>
        <w:rPr>
          <w:rFonts w:eastAsiaTheme="minorEastAsia"/>
          <w:lang w:eastAsia="zh-TW" w:bidi="en-GB"/>
        </w:rPr>
      </w:pPr>
      <w:r w:rsidRPr="00264BEB">
        <w:rPr>
          <w:rFonts w:eastAsiaTheme="minorEastAsia"/>
          <w:rtl/>
        </w:rPr>
        <w:t>4</w:t>
      </w:r>
      <w:r w:rsidRPr="008A6C3A">
        <w:rPr>
          <w:rFonts w:eastAsiaTheme="minorEastAsia"/>
          <w:rtl/>
        </w:rPr>
        <w:t>-</w:t>
      </w:r>
      <w:r w:rsidRPr="00264BEB">
        <w:rPr>
          <w:rFonts w:eastAsiaTheme="minorEastAsia"/>
          <w:rtl/>
        </w:rPr>
        <w:t>1</w:t>
      </w:r>
      <w:r w:rsidRPr="008A6C3A">
        <w:rPr>
          <w:rFonts w:eastAsiaTheme="minorEastAsia"/>
          <w:rtl/>
        </w:rPr>
        <w:tab/>
        <w:t xml:space="preserve">في مذكرة شفوية مؤرخة </w:t>
      </w:r>
      <w:r w:rsidRPr="00264BEB">
        <w:rPr>
          <w:rFonts w:eastAsiaTheme="minorEastAsia"/>
          <w:rtl/>
        </w:rPr>
        <w:t>3</w:t>
      </w:r>
      <w:r w:rsidRPr="008A6C3A">
        <w:rPr>
          <w:rFonts w:eastAsiaTheme="minorEastAsia"/>
          <w:rtl/>
        </w:rPr>
        <w:t xml:space="preserve"> شباط/فبراير </w:t>
      </w:r>
      <w:r w:rsidRPr="00264BEB">
        <w:rPr>
          <w:rFonts w:eastAsiaTheme="minorEastAsia"/>
          <w:rtl/>
        </w:rPr>
        <w:t>2017</w:t>
      </w:r>
      <w:r w:rsidRPr="008A6C3A">
        <w:rPr>
          <w:rFonts w:eastAsiaTheme="minorEastAsia"/>
          <w:rtl/>
        </w:rPr>
        <w:t xml:space="preserve">، تدفع الدولة الطرف بأنه ينبغي إعلان عدم مقبولية البلاغ بمقتضى المادتين </w:t>
      </w:r>
      <w:r w:rsidRPr="00264BEB">
        <w:rPr>
          <w:rFonts w:eastAsiaTheme="minorEastAsia"/>
          <w:rtl/>
        </w:rPr>
        <w:t>2</w:t>
      </w:r>
      <w:r w:rsidRPr="008A6C3A">
        <w:rPr>
          <w:rFonts w:eastAsiaTheme="minorEastAsia"/>
          <w:rtl/>
        </w:rPr>
        <w:t xml:space="preserve"> و</w:t>
      </w:r>
      <w:r w:rsidRPr="00264BEB">
        <w:rPr>
          <w:rFonts w:eastAsiaTheme="minorEastAsia"/>
          <w:rtl/>
        </w:rPr>
        <w:t>5</w:t>
      </w:r>
      <w:r w:rsidRPr="008A6C3A">
        <w:rPr>
          <w:rFonts w:eastAsiaTheme="minorEastAsia"/>
          <w:rtl/>
        </w:rPr>
        <w:t xml:space="preserve"> من البروتوكول الاختياري بسبب عدم استنفاد سبل الانتصاف المحلية المتاحة، مشيرة إلى أن صاحبة البلاغ لم تستأنف قرار الرفض الثاني لفتح</w:t>
      </w:r>
      <w:r w:rsidR="001A16E7">
        <w:rPr>
          <w:rFonts w:eastAsiaTheme="minorEastAsia"/>
          <w:rtl/>
        </w:rPr>
        <w:t xml:space="preserve"> </w:t>
      </w:r>
      <w:r w:rsidRPr="008A6C3A">
        <w:rPr>
          <w:rFonts w:eastAsiaTheme="minorEastAsia"/>
          <w:rtl/>
        </w:rPr>
        <w:t xml:space="preserve">تحقيق جنائي. </w:t>
      </w:r>
    </w:p>
    <w:p w14:paraId="652614C9" w14:textId="1FCB5C03" w:rsidR="008A6C3A" w:rsidRPr="008A6C3A" w:rsidRDefault="008A6C3A" w:rsidP="008A6C3A">
      <w:pPr>
        <w:pStyle w:val="SingleTxtGA"/>
        <w:rPr>
          <w:rFonts w:eastAsiaTheme="minorEastAsia"/>
          <w:lang w:eastAsia="zh-TW" w:bidi="en-GB"/>
        </w:rPr>
      </w:pPr>
      <w:r w:rsidRPr="00264BEB">
        <w:rPr>
          <w:rFonts w:eastAsiaTheme="minorEastAsia"/>
          <w:rtl/>
        </w:rPr>
        <w:t>4</w:t>
      </w:r>
      <w:r w:rsidRPr="008A6C3A">
        <w:rPr>
          <w:rFonts w:eastAsiaTheme="minorEastAsia"/>
          <w:rtl/>
        </w:rPr>
        <w:t>-</w:t>
      </w:r>
      <w:r w:rsidRPr="00264BEB">
        <w:rPr>
          <w:rFonts w:eastAsiaTheme="minorEastAsia"/>
          <w:rtl/>
        </w:rPr>
        <w:t>2</w:t>
      </w:r>
      <w:r w:rsidRPr="008A6C3A">
        <w:rPr>
          <w:rFonts w:eastAsiaTheme="minorEastAsia"/>
          <w:rtl/>
        </w:rPr>
        <w:tab/>
        <w:t xml:space="preserve">وتلاحظ الدولة الطرف أن مكتب المدعي العام لمقاطعة </w:t>
      </w:r>
      <w:proofErr w:type="spellStart"/>
      <w:r w:rsidRPr="008A6C3A">
        <w:rPr>
          <w:rFonts w:eastAsiaTheme="minorEastAsia"/>
          <w:rtl/>
        </w:rPr>
        <w:t>كوستناي</w:t>
      </w:r>
      <w:proofErr w:type="spellEnd"/>
      <w:r w:rsidRPr="008A6C3A">
        <w:rPr>
          <w:rFonts w:eastAsiaTheme="minorEastAsia"/>
          <w:rtl/>
        </w:rPr>
        <w:t xml:space="preserve"> تلقى في </w:t>
      </w:r>
      <w:r w:rsidRPr="00264BEB">
        <w:rPr>
          <w:rFonts w:eastAsiaTheme="minorEastAsia"/>
          <w:rtl/>
        </w:rPr>
        <w:t>17</w:t>
      </w:r>
      <w:r w:rsidRPr="008A6C3A">
        <w:rPr>
          <w:rFonts w:eastAsiaTheme="minorEastAsia"/>
          <w:rtl/>
        </w:rPr>
        <w:t xml:space="preserve"> نيسان/</w:t>
      </w:r>
      <w:r w:rsidR="001A16E7">
        <w:rPr>
          <w:rFonts w:eastAsiaTheme="minorEastAsia" w:hint="cs"/>
          <w:rtl/>
        </w:rPr>
        <w:t xml:space="preserve">        </w:t>
      </w:r>
      <w:r w:rsidRPr="008A6C3A">
        <w:rPr>
          <w:rFonts w:eastAsiaTheme="minorEastAsia"/>
          <w:rtl/>
        </w:rPr>
        <w:t xml:space="preserve">أبريل </w:t>
      </w:r>
      <w:r w:rsidRPr="00264BEB">
        <w:rPr>
          <w:rFonts w:eastAsiaTheme="minorEastAsia"/>
          <w:rtl/>
        </w:rPr>
        <w:t>2014</w:t>
      </w:r>
      <w:r w:rsidRPr="008A6C3A">
        <w:rPr>
          <w:rFonts w:eastAsiaTheme="minorEastAsia"/>
          <w:rtl/>
        </w:rPr>
        <w:t xml:space="preserve"> شكوى صاحبة البلاغ من سوء المعاملة الذي مارسته الشرطة. وفي </w:t>
      </w:r>
      <w:r w:rsidRPr="00264BEB">
        <w:rPr>
          <w:rFonts w:eastAsiaTheme="minorEastAsia"/>
          <w:rtl/>
        </w:rPr>
        <w:t>21</w:t>
      </w:r>
      <w:r w:rsidRPr="008A6C3A">
        <w:rPr>
          <w:rFonts w:eastAsiaTheme="minorEastAsia"/>
          <w:rtl/>
        </w:rPr>
        <w:t xml:space="preserve"> نيسان/أبريل </w:t>
      </w:r>
      <w:r w:rsidRPr="00264BEB">
        <w:rPr>
          <w:rFonts w:eastAsiaTheme="minorEastAsia"/>
          <w:rtl/>
        </w:rPr>
        <w:t>2014</w:t>
      </w:r>
      <w:r w:rsidRPr="008A6C3A">
        <w:rPr>
          <w:rFonts w:eastAsiaTheme="minorEastAsia"/>
          <w:rtl/>
        </w:rPr>
        <w:t xml:space="preserve">، </w:t>
      </w:r>
      <w:r w:rsidRPr="008A6C3A">
        <w:rPr>
          <w:rFonts w:eastAsiaTheme="minorEastAsia"/>
          <w:rtl/>
        </w:rPr>
        <w:lastRenderedPageBreak/>
        <w:t xml:space="preserve">أحال مكتب المدعي العام الشكوى إلى إدارة مكافحة الجرائم الاقتصادية وجرائم الفساد في مقاطعة </w:t>
      </w:r>
      <w:proofErr w:type="spellStart"/>
      <w:r w:rsidRPr="008A6C3A">
        <w:rPr>
          <w:rFonts w:eastAsiaTheme="minorEastAsia"/>
          <w:rtl/>
        </w:rPr>
        <w:t>كوستناي</w:t>
      </w:r>
      <w:proofErr w:type="spellEnd"/>
      <w:r w:rsidRPr="008A6C3A">
        <w:rPr>
          <w:rFonts w:eastAsiaTheme="minorEastAsia"/>
          <w:rtl/>
        </w:rPr>
        <w:t xml:space="preserve"> مع تعليمات بإجراء تَحرّ سابق للتحقيق.</w:t>
      </w:r>
    </w:p>
    <w:p w14:paraId="00F84900" w14:textId="20D7AFF5" w:rsidR="008A6C3A" w:rsidRPr="008A6C3A" w:rsidRDefault="008A6C3A" w:rsidP="008A6C3A">
      <w:pPr>
        <w:pStyle w:val="SingleTxtGA"/>
        <w:rPr>
          <w:rFonts w:eastAsiaTheme="minorEastAsia"/>
          <w:lang w:eastAsia="zh-TW" w:bidi="en-GB"/>
        </w:rPr>
      </w:pPr>
      <w:r w:rsidRPr="00264BEB">
        <w:rPr>
          <w:rFonts w:eastAsiaTheme="minorEastAsia"/>
          <w:rtl/>
        </w:rPr>
        <w:t>4</w:t>
      </w:r>
      <w:r w:rsidRPr="008A6C3A">
        <w:rPr>
          <w:rFonts w:eastAsiaTheme="minorEastAsia"/>
          <w:rtl/>
        </w:rPr>
        <w:t>-</w:t>
      </w:r>
      <w:r w:rsidRPr="00264BEB">
        <w:rPr>
          <w:rFonts w:eastAsiaTheme="minorEastAsia"/>
          <w:rtl/>
        </w:rPr>
        <w:t>3</w:t>
      </w:r>
      <w:r w:rsidRPr="008A6C3A">
        <w:rPr>
          <w:rFonts w:eastAsiaTheme="minorEastAsia"/>
          <w:rtl/>
        </w:rPr>
        <w:tab/>
        <w:t xml:space="preserve">وفي </w:t>
      </w:r>
      <w:r w:rsidRPr="00264BEB">
        <w:rPr>
          <w:rFonts w:eastAsiaTheme="minorEastAsia"/>
          <w:rtl/>
        </w:rPr>
        <w:t>30</w:t>
      </w:r>
      <w:r w:rsidRPr="008A6C3A">
        <w:rPr>
          <w:rFonts w:eastAsiaTheme="minorEastAsia"/>
          <w:rtl/>
        </w:rPr>
        <w:t xml:space="preserve"> نيسان/أبريل </w:t>
      </w:r>
      <w:r w:rsidRPr="00264BEB">
        <w:rPr>
          <w:rFonts w:eastAsiaTheme="minorEastAsia"/>
          <w:rtl/>
        </w:rPr>
        <w:t>2014</w:t>
      </w:r>
      <w:r w:rsidRPr="008A6C3A">
        <w:rPr>
          <w:rFonts w:eastAsiaTheme="minorEastAsia"/>
          <w:rtl/>
        </w:rPr>
        <w:t xml:space="preserve">، اتخذت إدارة مكافحة الجرائم الاقتصادية وجرائم الفساد في مقاطعة </w:t>
      </w:r>
      <w:proofErr w:type="spellStart"/>
      <w:r w:rsidRPr="008A6C3A">
        <w:rPr>
          <w:rFonts w:eastAsiaTheme="minorEastAsia"/>
          <w:rtl/>
        </w:rPr>
        <w:t>كوستناي</w:t>
      </w:r>
      <w:proofErr w:type="spellEnd"/>
      <w:r w:rsidRPr="008A6C3A">
        <w:rPr>
          <w:rFonts w:eastAsiaTheme="minorEastAsia"/>
          <w:rtl/>
        </w:rPr>
        <w:t>، استناد</w:t>
      </w:r>
      <w:r w:rsidR="002F7F11">
        <w:rPr>
          <w:rFonts w:eastAsiaTheme="minorEastAsia"/>
          <w:rtl/>
        </w:rPr>
        <w:t xml:space="preserve">اً </w:t>
      </w:r>
      <w:r w:rsidRPr="008A6C3A">
        <w:rPr>
          <w:rFonts w:eastAsiaTheme="minorEastAsia"/>
          <w:rtl/>
        </w:rPr>
        <w:t>إلى التحرّي السابق للتحقيق، قرار</w:t>
      </w:r>
      <w:r w:rsidR="002F7F11">
        <w:rPr>
          <w:rFonts w:eastAsiaTheme="minorEastAsia"/>
          <w:rtl/>
        </w:rPr>
        <w:t xml:space="preserve">اً </w:t>
      </w:r>
      <w:r w:rsidRPr="008A6C3A">
        <w:rPr>
          <w:rFonts w:eastAsiaTheme="minorEastAsia"/>
          <w:rtl/>
        </w:rPr>
        <w:t>إجرائي</w:t>
      </w:r>
      <w:r w:rsidR="002F7F11">
        <w:rPr>
          <w:rFonts w:eastAsiaTheme="minorEastAsia"/>
          <w:rtl/>
        </w:rPr>
        <w:t xml:space="preserve">اً </w:t>
      </w:r>
      <w:r w:rsidRPr="008A6C3A">
        <w:rPr>
          <w:rFonts w:eastAsiaTheme="minorEastAsia"/>
          <w:rtl/>
        </w:rPr>
        <w:t>بعدم فتح تحقيق جنائي في حق أفراد الشرطة الثلاثة نظر</w:t>
      </w:r>
      <w:r w:rsidR="002F7F11">
        <w:rPr>
          <w:rFonts w:eastAsiaTheme="minorEastAsia"/>
          <w:rtl/>
        </w:rPr>
        <w:t xml:space="preserve">اً </w:t>
      </w:r>
      <w:r w:rsidRPr="008A6C3A">
        <w:rPr>
          <w:rFonts w:eastAsiaTheme="minorEastAsia"/>
          <w:rtl/>
        </w:rPr>
        <w:t>إلى عدم وجود سلوك جنائي في أفعالهم، وأعلمت صاحبة البلاغ بذلك.</w:t>
      </w:r>
    </w:p>
    <w:p w14:paraId="501540A4" w14:textId="6DA81587" w:rsidR="008A6C3A" w:rsidRPr="008A6C3A" w:rsidRDefault="008A6C3A" w:rsidP="008A6C3A">
      <w:pPr>
        <w:pStyle w:val="SingleTxtGA"/>
        <w:rPr>
          <w:rFonts w:eastAsiaTheme="minorEastAsia"/>
          <w:lang w:eastAsia="zh-TW" w:bidi="en-GB"/>
        </w:rPr>
      </w:pPr>
      <w:r w:rsidRPr="00264BEB">
        <w:rPr>
          <w:rFonts w:eastAsiaTheme="minorEastAsia"/>
          <w:rtl/>
        </w:rPr>
        <w:t>4</w:t>
      </w:r>
      <w:r w:rsidRPr="008A6C3A">
        <w:rPr>
          <w:rFonts w:eastAsiaTheme="minorEastAsia"/>
          <w:rtl/>
        </w:rPr>
        <w:t>-</w:t>
      </w:r>
      <w:r w:rsidRPr="00264BEB">
        <w:rPr>
          <w:rFonts w:eastAsiaTheme="minorEastAsia"/>
          <w:rtl/>
        </w:rPr>
        <w:t>4</w:t>
      </w:r>
      <w:r w:rsidRPr="008A6C3A">
        <w:rPr>
          <w:rFonts w:eastAsiaTheme="minorEastAsia"/>
          <w:rtl/>
        </w:rPr>
        <w:tab/>
        <w:t xml:space="preserve">وفي </w:t>
      </w:r>
      <w:r w:rsidRPr="00264BEB">
        <w:rPr>
          <w:rFonts w:eastAsiaTheme="minorEastAsia"/>
          <w:rtl/>
        </w:rPr>
        <w:t>2</w:t>
      </w:r>
      <w:r w:rsidRPr="008A6C3A">
        <w:rPr>
          <w:rFonts w:eastAsiaTheme="minorEastAsia"/>
          <w:rtl/>
        </w:rPr>
        <w:t xml:space="preserve"> حزيران/يونيه </w:t>
      </w:r>
      <w:r w:rsidRPr="00264BEB">
        <w:rPr>
          <w:rFonts w:eastAsiaTheme="minorEastAsia"/>
          <w:rtl/>
        </w:rPr>
        <w:t>2014</w:t>
      </w:r>
      <w:r w:rsidRPr="008A6C3A">
        <w:rPr>
          <w:rFonts w:eastAsiaTheme="minorEastAsia"/>
          <w:rtl/>
        </w:rPr>
        <w:t xml:space="preserve">، أيدت محكمة مدينة </w:t>
      </w:r>
      <w:proofErr w:type="spellStart"/>
      <w:r w:rsidRPr="008A6C3A">
        <w:rPr>
          <w:rFonts w:eastAsiaTheme="minorEastAsia"/>
          <w:rtl/>
        </w:rPr>
        <w:t>كوستناي</w:t>
      </w:r>
      <w:proofErr w:type="spellEnd"/>
      <w:r w:rsidRPr="008A6C3A">
        <w:rPr>
          <w:rFonts w:eastAsiaTheme="minorEastAsia"/>
          <w:rtl/>
        </w:rPr>
        <w:t xml:space="preserve"> رقم </w:t>
      </w:r>
      <w:r w:rsidRPr="00264BEB">
        <w:rPr>
          <w:rFonts w:eastAsiaTheme="minorEastAsia"/>
          <w:rtl/>
        </w:rPr>
        <w:t>2</w:t>
      </w:r>
      <w:r w:rsidRPr="008A6C3A">
        <w:rPr>
          <w:rFonts w:eastAsiaTheme="minorEastAsia"/>
          <w:rtl/>
        </w:rPr>
        <w:t xml:space="preserve"> استئناف صاحبة البلاغ وأمرت إدارة مكافحة الجرائم الاقتصادية وجرائم الفساد في مقاطعة </w:t>
      </w:r>
      <w:proofErr w:type="spellStart"/>
      <w:r w:rsidRPr="008A6C3A">
        <w:rPr>
          <w:rFonts w:eastAsiaTheme="minorEastAsia"/>
          <w:rtl/>
        </w:rPr>
        <w:t>كوستناي</w:t>
      </w:r>
      <w:proofErr w:type="spellEnd"/>
      <w:r w:rsidRPr="008A6C3A">
        <w:rPr>
          <w:rFonts w:eastAsiaTheme="minorEastAsia"/>
          <w:rtl/>
        </w:rPr>
        <w:t xml:space="preserve"> بإعادة النظر في القضية واتخاذ قرار إجرائي جديد. ووجدت المحكمة أن حجج صاحبة البلاغ مدعومة بالأدلة،</w:t>
      </w:r>
      <w:r w:rsidR="001A16E7">
        <w:rPr>
          <w:rFonts w:eastAsiaTheme="minorEastAsia"/>
          <w:rtl/>
        </w:rPr>
        <w:t xml:space="preserve"> </w:t>
      </w:r>
      <w:r w:rsidRPr="008A6C3A">
        <w:rPr>
          <w:rFonts w:eastAsiaTheme="minorEastAsia"/>
          <w:rtl/>
        </w:rPr>
        <w:t>ولاحظت أن السلطات لم تجر تحقيق</w:t>
      </w:r>
      <w:r w:rsidR="002F7F11">
        <w:rPr>
          <w:rFonts w:eastAsiaTheme="minorEastAsia"/>
          <w:rtl/>
        </w:rPr>
        <w:t xml:space="preserve">اً </w:t>
      </w:r>
      <w:r w:rsidRPr="008A6C3A">
        <w:rPr>
          <w:rFonts w:eastAsiaTheme="minorEastAsia"/>
          <w:rtl/>
        </w:rPr>
        <w:t>كامل</w:t>
      </w:r>
      <w:r w:rsidR="002F7F11">
        <w:rPr>
          <w:rFonts w:eastAsiaTheme="minorEastAsia"/>
          <w:rtl/>
        </w:rPr>
        <w:t xml:space="preserve">اً </w:t>
      </w:r>
      <w:r w:rsidRPr="008A6C3A">
        <w:rPr>
          <w:rFonts w:eastAsiaTheme="minorEastAsia"/>
          <w:rtl/>
        </w:rPr>
        <w:t>وشاملا</w:t>
      </w:r>
      <w:r w:rsidR="008A7E21">
        <w:rPr>
          <w:rFonts w:eastAsiaTheme="minorEastAsia" w:hint="cs"/>
          <w:rtl/>
        </w:rPr>
        <w:t>ً</w:t>
      </w:r>
      <w:r w:rsidRPr="008A6C3A">
        <w:rPr>
          <w:rFonts w:eastAsiaTheme="minorEastAsia"/>
          <w:rtl/>
        </w:rPr>
        <w:t>.</w:t>
      </w:r>
    </w:p>
    <w:p w14:paraId="5A5DC3E5" w14:textId="4AACB26A" w:rsidR="008A6C3A" w:rsidRPr="008A6C3A" w:rsidRDefault="008A6C3A" w:rsidP="008A6C3A">
      <w:pPr>
        <w:pStyle w:val="SingleTxtGA"/>
        <w:rPr>
          <w:rFonts w:eastAsiaTheme="minorEastAsia"/>
          <w:lang w:eastAsia="zh-TW" w:bidi="en-GB"/>
        </w:rPr>
      </w:pPr>
      <w:r w:rsidRPr="00264BEB">
        <w:rPr>
          <w:rFonts w:eastAsiaTheme="minorEastAsia"/>
          <w:rtl/>
        </w:rPr>
        <w:t>4</w:t>
      </w:r>
      <w:r w:rsidRPr="008A6C3A">
        <w:rPr>
          <w:rFonts w:eastAsiaTheme="minorEastAsia"/>
          <w:rtl/>
        </w:rPr>
        <w:t>-</w:t>
      </w:r>
      <w:r w:rsidRPr="00264BEB">
        <w:rPr>
          <w:rFonts w:eastAsiaTheme="minorEastAsia"/>
          <w:rtl/>
        </w:rPr>
        <w:t>5</w:t>
      </w:r>
      <w:r w:rsidRPr="008A6C3A">
        <w:rPr>
          <w:rFonts w:eastAsiaTheme="minorEastAsia"/>
          <w:rtl/>
        </w:rPr>
        <w:tab/>
        <w:t xml:space="preserve">وفي </w:t>
      </w:r>
      <w:r w:rsidRPr="00264BEB">
        <w:rPr>
          <w:rFonts w:eastAsiaTheme="minorEastAsia"/>
          <w:rtl/>
        </w:rPr>
        <w:t>25</w:t>
      </w:r>
      <w:r w:rsidRPr="008A6C3A">
        <w:rPr>
          <w:rFonts w:eastAsiaTheme="minorEastAsia"/>
          <w:rtl/>
        </w:rPr>
        <w:t xml:space="preserve"> تموز/يوليه </w:t>
      </w:r>
      <w:r w:rsidRPr="00264BEB">
        <w:rPr>
          <w:rFonts w:eastAsiaTheme="minorEastAsia"/>
          <w:rtl/>
        </w:rPr>
        <w:t>2014</w:t>
      </w:r>
      <w:r w:rsidRPr="008A6C3A">
        <w:rPr>
          <w:rFonts w:eastAsiaTheme="minorEastAsia"/>
          <w:rtl/>
        </w:rPr>
        <w:t xml:space="preserve">، اتخذت إدارة مكافحة الجرائم الاقتصادية وجرائم الفساد في مقاطعة </w:t>
      </w:r>
      <w:proofErr w:type="spellStart"/>
      <w:r w:rsidRPr="008A6C3A">
        <w:rPr>
          <w:rFonts w:eastAsiaTheme="minorEastAsia"/>
          <w:rtl/>
        </w:rPr>
        <w:t>كوستناي</w:t>
      </w:r>
      <w:proofErr w:type="spellEnd"/>
      <w:r w:rsidRPr="008A6C3A">
        <w:rPr>
          <w:rFonts w:eastAsiaTheme="minorEastAsia"/>
          <w:rtl/>
        </w:rPr>
        <w:t>، مرةً أخرى، استناد</w:t>
      </w:r>
      <w:r w:rsidR="002F7F11">
        <w:rPr>
          <w:rFonts w:eastAsiaTheme="minorEastAsia"/>
          <w:rtl/>
        </w:rPr>
        <w:t xml:space="preserve">اً </w:t>
      </w:r>
      <w:r w:rsidRPr="008A6C3A">
        <w:rPr>
          <w:rFonts w:eastAsiaTheme="minorEastAsia"/>
          <w:rtl/>
        </w:rPr>
        <w:t>إلى تحرّ إضافي سابق للتحقيق، قرار</w:t>
      </w:r>
      <w:r w:rsidR="002F7F11">
        <w:rPr>
          <w:rFonts w:eastAsiaTheme="minorEastAsia"/>
          <w:rtl/>
        </w:rPr>
        <w:t xml:space="preserve">اً </w:t>
      </w:r>
      <w:r w:rsidRPr="008A6C3A">
        <w:rPr>
          <w:rFonts w:eastAsiaTheme="minorEastAsia"/>
          <w:rtl/>
        </w:rPr>
        <w:t>إجرائي</w:t>
      </w:r>
      <w:r w:rsidR="002F7F11">
        <w:rPr>
          <w:rFonts w:eastAsiaTheme="minorEastAsia"/>
          <w:rtl/>
        </w:rPr>
        <w:t xml:space="preserve">اً </w:t>
      </w:r>
      <w:r w:rsidRPr="008A6C3A">
        <w:rPr>
          <w:rFonts w:eastAsiaTheme="minorEastAsia"/>
          <w:rtl/>
        </w:rPr>
        <w:t xml:space="preserve">بعدم فتح تحقيق جنائي بسبب عدم وجود سلوك جنائي في أفعال أفراد الشرطة. </w:t>
      </w:r>
    </w:p>
    <w:p w14:paraId="331C46E5" w14:textId="583B3A46" w:rsidR="00264BEB" w:rsidRPr="00264BEB" w:rsidRDefault="008A6C3A" w:rsidP="008A6C3A">
      <w:pPr>
        <w:pStyle w:val="SingleTxtGA"/>
        <w:rPr>
          <w:rFonts w:eastAsiaTheme="minorEastAsia"/>
          <w:lang w:eastAsia="zh-TW" w:bidi="en-GB"/>
        </w:rPr>
      </w:pPr>
      <w:r w:rsidRPr="00264BEB">
        <w:rPr>
          <w:rFonts w:eastAsiaTheme="minorEastAsia"/>
          <w:rtl/>
        </w:rPr>
        <w:t>4</w:t>
      </w:r>
      <w:r w:rsidRPr="008A6C3A">
        <w:rPr>
          <w:rFonts w:eastAsiaTheme="minorEastAsia"/>
          <w:rtl/>
        </w:rPr>
        <w:t>-</w:t>
      </w:r>
      <w:r w:rsidRPr="00264BEB">
        <w:rPr>
          <w:rFonts w:eastAsiaTheme="minorEastAsia"/>
          <w:rtl/>
        </w:rPr>
        <w:t>6</w:t>
      </w:r>
      <w:r w:rsidRPr="008A6C3A">
        <w:rPr>
          <w:rFonts w:eastAsiaTheme="minorEastAsia"/>
          <w:rtl/>
        </w:rPr>
        <w:tab/>
        <w:t xml:space="preserve">وتلاحظ الدولة الطرف أن صاحبة البلاغ لم تستأنف القرار الإجرائي الصادر في </w:t>
      </w:r>
      <w:r w:rsidRPr="00264BEB">
        <w:rPr>
          <w:rFonts w:eastAsiaTheme="minorEastAsia"/>
          <w:rtl/>
        </w:rPr>
        <w:t>25</w:t>
      </w:r>
      <w:r w:rsidRPr="008A6C3A">
        <w:rPr>
          <w:rFonts w:eastAsiaTheme="minorEastAsia"/>
          <w:rtl/>
        </w:rPr>
        <w:t xml:space="preserve"> تموز/يوليه، على النحو المتوخى في المادة </w:t>
      </w:r>
      <w:r w:rsidRPr="00264BEB">
        <w:rPr>
          <w:rFonts w:eastAsiaTheme="minorEastAsia"/>
          <w:rtl/>
        </w:rPr>
        <w:t>109</w:t>
      </w:r>
      <w:r w:rsidRPr="008A6C3A">
        <w:rPr>
          <w:rFonts w:eastAsiaTheme="minorEastAsia"/>
          <w:rtl/>
        </w:rPr>
        <w:t xml:space="preserve"> من قانون كازاخستان الجنائي</w:t>
      </w:r>
      <w:r w:rsidR="00264BEB">
        <w:rPr>
          <w:rStyle w:val="FootnoteReference"/>
          <w:rFonts w:eastAsiaTheme="minorEastAsia"/>
          <w:sz w:val="22"/>
          <w:rtl/>
          <w:lang w:val="en-US"/>
        </w:rPr>
        <w:t>(</w:t>
      </w:r>
      <w:r w:rsidR="00264BEB" w:rsidRPr="00264BEB">
        <w:rPr>
          <w:rStyle w:val="FootnoteReference"/>
          <w:rFonts w:eastAsiaTheme="minorEastAsia"/>
          <w:sz w:val="22"/>
          <w:rtl/>
          <w:lang w:val="en-US"/>
        </w:rPr>
        <w:footnoteReference w:id="6"/>
      </w:r>
      <w:r w:rsidR="00264BEB" w:rsidRPr="00264BEB">
        <w:rPr>
          <w:rStyle w:val="FootnoteReference"/>
          <w:rFonts w:eastAsiaTheme="minorEastAsia"/>
          <w:sz w:val="22"/>
          <w:rtl/>
        </w:rPr>
        <w:t>)</w:t>
      </w:r>
      <w:r w:rsidR="00264BEB" w:rsidRPr="00264BEB">
        <w:rPr>
          <w:rFonts w:eastAsiaTheme="minorEastAsia"/>
          <w:rtl/>
        </w:rPr>
        <w:t xml:space="preserve">، </w:t>
      </w:r>
      <w:r w:rsidRPr="008A6C3A">
        <w:rPr>
          <w:rFonts w:eastAsiaTheme="minorEastAsia"/>
          <w:rtl/>
        </w:rPr>
        <w:t>وتجادل من ثم بأن صاحبة البلاغ لم تستنفد جميع سبل الانتصاف المحلية المتاحة، خلاف</w:t>
      </w:r>
      <w:r w:rsidR="002F7F11">
        <w:rPr>
          <w:rFonts w:eastAsiaTheme="minorEastAsia"/>
          <w:rtl/>
        </w:rPr>
        <w:t xml:space="preserve">اً </w:t>
      </w:r>
      <w:r w:rsidRPr="008A6C3A">
        <w:rPr>
          <w:rFonts w:eastAsiaTheme="minorEastAsia"/>
          <w:rtl/>
        </w:rPr>
        <w:t xml:space="preserve">لما تنص عليه المادتان </w:t>
      </w:r>
      <w:r w:rsidRPr="00264BEB">
        <w:rPr>
          <w:rFonts w:eastAsiaTheme="minorEastAsia"/>
          <w:rtl/>
        </w:rPr>
        <w:t>2</w:t>
      </w:r>
      <w:r w:rsidRPr="008A6C3A">
        <w:rPr>
          <w:rFonts w:eastAsiaTheme="minorEastAsia"/>
          <w:rtl/>
        </w:rPr>
        <w:t xml:space="preserve"> و</w:t>
      </w:r>
      <w:r w:rsidRPr="00264BEB">
        <w:rPr>
          <w:rFonts w:eastAsiaTheme="minorEastAsia"/>
          <w:rtl/>
        </w:rPr>
        <w:t>5</w:t>
      </w:r>
      <w:r w:rsidRPr="008A6C3A">
        <w:rPr>
          <w:rFonts w:eastAsiaTheme="minorEastAsia"/>
          <w:rtl/>
        </w:rPr>
        <w:t xml:space="preserve">(ب) من البروتوكول الاختياري والمادة </w:t>
      </w:r>
      <w:r w:rsidRPr="00264BEB">
        <w:rPr>
          <w:rFonts w:eastAsiaTheme="minorEastAsia"/>
          <w:rtl/>
        </w:rPr>
        <w:t>96</w:t>
      </w:r>
      <w:r w:rsidRPr="008A6C3A">
        <w:rPr>
          <w:rFonts w:eastAsiaTheme="minorEastAsia"/>
          <w:rtl/>
        </w:rPr>
        <w:t>(و) من نظام اللجنة الداخلي</w:t>
      </w:r>
      <w:r w:rsidR="00264BEB">
        <w:rPr>
          <w:rStyle w:val="FootnoteReference"/>
          <w:rFonts w:eastAsiaTheme="minorEastAsia"/>
          <w:sz w:val="22"/>
          <w:rtl/>
          <w:lang w:val="en-US"/>
        </w:rPr>
        <w:t>(</w:t>
      </w:r>
      <w:r w:rsidR="00264BEB" w:rsidRPr="00264BEB">
        <w:rPr>
          <w:rStyle w:val="FootnoteReference"/>
          <w:rFonts w:eastAsiaTheme="minorEastAsia"/>
          <w:sz w:val="22"/>
          <w:rtl/>
          <w:lang w:val="en-US"/>
        </w:rPr>
        <w:footnoteReference w:id="7"/>
      </w:r>
      <w:r w:rsidR="00264BEB" w:rsidRPr="00264BEB">
        <w:rPr>
          <w:rStyle w:val="FootnoteReference"/>
          <w:rFonts w:eastAsiaTheme="minorEastAsia"/>
          <w:sz w:val="22"/>
          <w:rtl/>
        </w:rPr>
        <w:t>)</w:t>
      </w:r>
      <w:r w:rsidR="00264BEB" w:rsidRPr="00264BEB">
        <w:rPr>
          <w:rFonts w:eastAsiaTheme="minorEastAsia"/>
          <w:rtl/>
        </w:rPr>
        <w:t>.</w:t>
      </w:r>
    </w:p>
    <w:p w14:paraId="287A984D" w14:textId="5ED895BB" w:rsidR="008A6C3A" w:rsidRPr="008A6C3A" w:rsidRDefault="008A6C3A" w:rsidP="008A6C3A">
      <w:pPr>
        <w:pStyle w:val="SingleTxtGA"/>
        <w:rPr>
          <w:rFonts w:eastAsiaTheme="minorEastAsia"/>
          <w:lang w:val="ar-SA" w:eastAsia="zh-TW" w:bidi="en-GB"/>
        </w:rPr>
      </w:pPr>
      <w:r w:rsidRPr="00264BEB">
        <w:rPr>
          <w:rFonts w:eastAsiaTheme="minorEastAsia"/>
          <w:rtl/>
        </w:rPr>
        <w:t>4</w:t>
      </w:r>
      <w:r w:rsidRPr="008A6C3A">
        <w:rPr>
          <w:rFonts w:eastAsiaTheme="minorEastAsia"/>
          <w:rtl/>
        </w:rPr>
        <w:t>-</w:t>
      </w:r>
      <w:r w:rsidRPr="00264BEB">
        <w:rPr>
          <w:rFonts w:eastAsiaTheme="minorEastAsia"/>
          <w:rtl/>
        </w:rPr>
        <w:t>7</w:t>
      </w:r>
      <w:r w:rsidRPr="008A6C3A">
        <w:rPr>
          <w:rFonts w:eastAsiaTheme="minorEastAsia"/>
          <w:rtl/>
        </w:rPr>
        <w:tab/>
        <w:t>وبناء على ذلك، تخلص الدولة الطرف إلى أنه ينبغي أن تعلن اللجنة عدم مقبولية البلاغ.</w:t>
      </w:r>
    </w:p>
    <w:p w14:paraId="02317CCC" w14:textId="77777777" w:rsidR="008A6C3A" w:rsidRPr="008A6C3A" w:rsidRDefault="008A6C3A" w:rsidP="001A16E7">
      <w:pPr>
        <w:pStyle w:val="H23GA"/>
        <w:rPr>
          <w:lang w:eastAsia="zh-TW" w:bidi="en-GB"/>
        </w:rPr>
      </w:pPr>
      <w:r w:rsidRPr="008A6C3A">
        <w:rPr>
          <w:rtl/>
        </w:rPr>
        <w:tab/>
      </w:r>
      <w:r w:rsidRPr="008A6C3A">
        <w:rPr>
          <w:rtl/>
        </w:rPr>
        <w:tab/>
      </w:r>
      <w:r w:rsidRPr="00264BEB">
        <w:rPr>
          <w:rtl/>
        </w:rPr>
        <w:t>تعليقات صاحبة البلاغ على ملاحظات الدولة الطرف بشأن المقبولية</w:t>
      </w:r>
      <w:r w:rsidRPr="008A6C3A">
        <w:rPr>
          <w:rtl/>
        </w:rPr>
        <w:t xml:space="preserve"> </w:t>
      </w:r>
    </w:p>
    <w:p w14:paraId="3F8D41C7" w14:textId="48A51347" w:rsidR="008A6C3A" w:rsidRPr="00264BEB" w:rsidRDefault="008A6C3A" w:rsidP="008A6C3A">
      <w:pPr>
        <w:pStyle w:val="SingleTxtGA"/>
        <w:rPr>
          <w:rFonts w:eastAsiaTheme="minorEastAsia"/>
          <w:lang w:val="en-US" w:eastAsia="zh-TW" w:bidi="en-GB"/>
        </w:rPr>
      </w:pPr>
      <w:r w:rsidRPr="00264BEB">
        <w:rPr>
          <w:rFonts w:eastAsiaTheme="minorEastAsia"/>
          <w:rtl/>
        </w:rPr>
        <w:t>5</w:t>
      </w:r>
      <w:r w:rsidRPr="008A6C3A">
        <w:rPr>
          <w:rFonts w:eastAsiaTheme="minorEastAsia"/>
          <w:rtl/>
        </w:rPr>
        <w:t>-</w:t>
      </w:r>
      <w:r w:rsidRPr="00264BEB">
        <w:rPr>
          <w:rFonts w:eastAsiaTheme="minorEastAsia"/>
          <w:rtl/>
        </w:rPr>
        <w:t>1</w:t>
      </w:r>
      <w:r w:rsidRPr="008A6C3A">
        <w:rPr>
          <w:rFonts w:eastAsiaTheme="minorEastAsia"/>
          <w:rtl/>
        </w:rPr>
        <w:tab/>
        <w:t xml:space="preserve">في رد مؤرخ </w:t>
      </w:r>
      <w:r w:rsidRPr="00264BEB">
        <w:rPr>
          <w:rFonts w:eastAsiaTheme="minorEastAsia"/>
          <w:rtl/>
        </w:rPr>
        <w:t>16</w:t>
      </w:r>
      <w:r w:rsidRPr="008A6C3A">
        <w:rPr>
          <w:rFonts w:eastAsiaTheme="minorEastAsia"/>
          <w:rtl/>
        </w:rPr>
        <w:t xml:space="preserve"> آذار/مارس </w:t>
      </w:r>
      <w:r w:rsidRPr="00264BEB">
        <w:rPr>
          <w:rFonts w:eastAsiaTheme="minorEastAsia"/>
          <w:rtl/>
        </w:rPr>
        <w:t>2016</w:t>
      </w:r>
      <w:r w:rsidRPr="008A6C3A">
        <w:rPr>
          <w:rFonts w:eastAsiaTheme="minorEastAsia"/>
          <w:rtl/>
        </w:rPr>
        <w:t>، أعربت صاحبة البلاغ عن عدم موافقتها على حجج الدولة</w:t>
      </w:r>
      <w:r w:rsidR="00193217">
        <w:rPr>
          <w:rFonts w:eastAsiaTheme="minorEastAsia" w:hint="cs"/>
          <w:rtl/>
        </w:rPr>
        <w:t> </w:t>
      </w:r>
      <w:r w:rsidRPr="008A6C3A">
        <w:rPr>
          <w:rFonts w:eastAsiaTheme="minorEastAsia"/>
          <w:rtl/>
        </w:rPr>
        <w:t xml:space="preserve">الطرف بشأن عدم مقبولية بلاغها. وكررت أن محكمة مدينة </w:t>
      </w:r>
      <w:proofErr w:type="spellStart"/>
      <w:r w:rsidRPr="008A6C3A">
        <w:rPr>
          <w:rFonts w:eastAsiaTheme="minorEastAsia"/>
          <w:rtl/>
        </w:rPr>
        <w:t>كوستناي</w:t>
      </w:r>
      <w:proofErr w:type="spellEnd"/>
      <w:r w:rsidRPr="008A6C3A">
        <w:rPr>
          <w:rFonts w:eastAsiaTheme="minorEastAsia"/>
          <w:rtl/>
        </w:rPr>
        <w:t xml:space="preserve"> رقم </w:t>
      </w:r>
      <w:r w:rsidRPr="00264BEB">
        <w:rPr>
          <w:rFonts w:eastAsiaTheme="minorEastAsia"/>
          <w:rtl/>
        </w:rPr>
        <w:t>2</w:t>
      </w:r>
      <w:r w:rsidRPr="008A6C3A">
        <w:rPr>
          <w:rFonts w:eastAsiaTheme="minorEastAsia"/>
          <w:rtl/>
        </w:rPr>
        <w:t xml:space="preserve"> أيدت في </w:t>
      </w:r>
      <w:r w:rsidRPr="00264BEB">
        <w:rPr>
          <w:rFonts w:eastAsiaTheme="minorEastAsia"/>
          <w:rtl/>
        </w:rPr>
        <w:t>2</w:t>
      </w:r>
      <w:r w:rsidRPr="008A6C3A">
        <w:rPr>
          <w:rFonts w:eastAsiaTheme="minorEastAsia"/>
          <w:rtl/>
        </w:rPr>
        <w:t xml:space="preserve"> حزيران/</w:t>
      </w:r>
      <w:r w:rsidR="00193217">
        <w:rPr>
          <w:rFonts w:eastAsiaTheme="minorEastAsia" w:hint="cs"/>
          <w:rtl/>
        </w:rPr>
        <w:t xml:space="preserve"> </w:t>
      </w:r>
      <w:r w:rsidRPr="008A6C3A">
        <w:rPr>
          <w:rFonts w:eastAsiaTheme="minorEastAsia"/>
          <w:rtl/>
        </w:rPr>
        <w:t xml:space="preserve">يونيه </w:t>
      </w:r>
      <w:r w:rsidRPr="00264BEB">
        <w:rPr>
          <w:rFonts w:eastAsiaTheme="minorEastAsia"/>
          <w:rtl/>
        </w:rPr>
        <w:t>2014</w:t>
      </w:r>
      <w:r w:rsidRPr="008A6C3A">
        <w:rPr>
          <w:rFonts w:eastAsiaTheme="minorEastAsia"/>
          <w:rtl/>
        </w:rPr>
        <w:t xml:space="preserve"> شكواها وأمرت إدارة مكافحة الجرائم الاقتصادية وجرائم الفساد في مقاطعة </w:t>
      </w:r>
      <w:proofErr w:type="spellStart"/>
      <w:r w:rsidRPr="008A6C3A">
        <w:rPr>
          <w:rFonts w:eastAsiaTheme="minorEastAsia"/>
          <w:rtl/>
        </w:rPr>
        <w:t>كوستناي</w:t>
      </w:r>
      <w:proofErr w:type="spellEnd"/>
      <w:r w:rsidRPr="008A6C3A">
        <w:rPr>
          <w:rFonts w:eastAsiaTheme="minorEastAsia"/>
          <w:rtl/>
        </w:rPr>
        <w:t xml:space="preserve"> بتمحيص النظر في القضية واتخاذ قرار إجرائي جديد. وفي </w:t>
      </w:r>
      <w:r w:rsidRPr="00264BEB">
        <w:rPr>
          <w:rFonts w:eastAsiaTheme="minorEastAsia"/>
          <w:rtl/>
        </w:rPr>
        <w:t>16</w:t>
      </w:r>
      <w:r w:rsidRPr="008A6C3A">
        <w:rPr>
          <w:rFonts w:eastAsiaTheme="minorEastAsia"/>
          <w:rtl/>
        </w:rPr>
        <w:t xml:space="preserve"> حزيران/يونيه </w:t>
      </w:r>
      <w:r w:rsidRPr="00264BEB">
        <w:rPr>
          <w:rFonts w:eastAsiaTheme="minorEastAsia"/>
          <w:rtl/>
        </w:rPr>
        <w:t>2014</w:t>
      </w:r>
      <w:r w:rsidRPr="008A6C3A">
        <w:rPr>
          <w:rFonts w:eastAsiaTheme="minorEastAsia"/>
          <w:rtl/>
        </w:rPr>
        <w:t xml:space="preserve">، رفضت محكمة </w:t>
      </w:r>
      <w:proofErr w:type="spellStart"/>
      <w:r w:rsidRPr="008A6C3A">
        <w:rPr>
          <w:rFonts w:eastAsiaTheme="minorEastAsia"/>
          <w:rtl/>
        </w:rPr>
        <w:t>كوستناي</w:t>
      </w:r>
      <w:proofErr w:type="spellEnd"/>
      <w:r w:rsidRPr="008A6C3A">
        <w:rPr>
          <w:rFonts w:eastAsiaTheme="minorEastAsia"/>
          <w:rtl/>
        </w:rPr>
        <w:t xml:space="preserve"> الإقليمية استئناف مكتب المدعي العام الإقليمي وأكدت قرار المحكمة الابتدائية. وتدفع صاحبة البلاغ بأنه على الرغم من تنفيذ حكم المحكمة واستجواب الشهود، قررت الإدارة عدم فتح تحقيق جنائي. وفي أعقاب هذا القرار، رفعت صاحبة البلاغ شكاوى إلى مكتب المدعي العام لمقاطعة </w:t>
      </w:r>
      <w:proofErr w:type="spellStart"/>
      <w:r w:rsidRPr="008A6C3A">
        <w:rPr>
          <w:rFonts w:eastAsiaTheme="minorEastAsia"/>
          <w:rtl/>
        </w:rPr>
        <w:t>كوستناي</w:t>
      </w:r>
      <w:proofErr w:type="spellEnd"/>
      <w:r w:rsidRPr="008A6C3A">
        <w:rPr>
          <w:rFonts w:eastAsiaTheme="minorEastAsia"/>
          <w:rtl/>
        </w:rPr>
        <w:t xml:space="preserve"> والنيابة العامة، غير أن شكاواها رفضت.</w:t>
      </w:r>
    </w:p>
    <w:p w14:paraId="29213475" w14:textId="77777777" w:rsidR="008A6C3A" w:rsidRPr="008A6C3A" w:rsidRDefault="008A6C3A" w:rsidP="008A6C3A">
      <w:pPr>
        <w:pStyle w:val="SingleTxtGA"/>
        <w:rPr>
          <w:rFonts w:eastAsiaTheme="minorEastAsia"/>
          <w:lang w:eastAsia="zh-TW" w:bidi="en-GB"/>
        </w:rPr>
      </w:pPr>
      <w:r w:rsidRPr="00264BEB">
        <w:rPr>
          <w:rFonts w:eastAsiaTheme="minorEastAsia"/>
          <w:rtl/>
        </w:rPr>
        <w:t>5</w:t>
      </w:r>
      <w:r w:rsidRPr="008A6C3A">
        <w:rPr>
          <w:rFonts w:eastAsiaTheme="minorEastAsia"/>
          <w:rtl/>
        </w:rPr>
        <w:t>-</w:t>
      </w:r>
      <w:r w:rsidRPr="00264BEB">
        <w:rPr>
          <w:rFonts w:eastAsiaTheme="minorEastAsia"/>
          <w:rtl/>
        </w:rPr>
        <w:t>2</w:t>
      </w:r>
      <w:r w:rsidRPr="008A6C3A">
        <w:rPr>
          <w:rFonts w:eastAsiaTheme="minorEastAsia"/>
          <w:rtl/>
        </w:rPr>
        <w:tab/>
        <w:t xml:space="preserve">وتدعي صاحبة البلاغ أنها استنفدت جميع سبل الانتصاف القانونية المحلية المتاحة، وتطلب إلى اللجنة أن تنظر في البلاغ من حيث أسسه الموضوعية. </w:t>
      </w:r>
    </w:p>
    <w:p w14:paraId="79E629B8" w14:textId="77777777" w:rsidR="008A6C3A" w:rsidRPr="008A6C3A" w:rsidRDefault="008A6C3A" w:rsidP="001A16E7">
      <w:pPr>
        <w:pStyle w:val="H23GA"/>
        <w:rPr>
          <w:lang w:val="ar-SA" w:eastAsia="zh-TW" w:bidi="en-GB"/>
        </w:rPr>
      </w:pPr>
      <w:r w:rsidRPr="008A6C3A">
        <w:rPr>
          <w:rtl/>
        </w:rPr>
        <w:tab/>
      </w:r>
      <w:r w:rsidRPr="008A6C3A">
        <w:rPr>
          <w:rtl/>
        </w:rPr>
        <w:tab/>
      </w:r>
      <w:r w:rsidRPr="00264BEB">
        <w:rPr>
          <w:rtl/>
        </w:rPr>
        <w:t>ملاحظات إضافية من الدولة الطرف بشأن المقبولية</w:t>
      </w:r>
    </w:p>
    <w:p w14:paraId="0DDB610C" w14:textId="77777777" w:rsidR="008A6C3A" w:rsidRPr="008A6C3A" w:rsidRDefault="008A6C3A" w:rsidP="008A6C3A">
      <w:pPr>
        <w:pStyle w:val="SingleTxtGA"/>
        <w:rPr>
          <w:rFonts w:eastAsiaTheme="minorEastAsia"/>
          <w:lang w:eastAsia="zh-TW" w:bidi="en-GB"/>
        </w:rPr>
      </w:pPr>
      <w:r w:rsidRPr="00264BEB">
        <w:rPr>
          <w:rFonts w:eastAsiaTheme="minorEastAsia"/>
          <w:rtl/>
        </w:rPr>
        <w:t>6</w:t>
      </w:r>
      <w:r w:rsidRPr="008A6C3A">
        <w:rPr>
          <w:rFonts w:eastAsiaTheme="minorEastAsia"/>
          <w:rtl/>
        </w:rPr>
        <w:t>-</w:t>
      </w:r>
      <w:r w:rsidRPr="00264BEB">
        <w:rPr>
          <w:rFonts w:eastAsiaTheme="minorEastAsia"/>
          <w:rtl/>
        </w:rPr>
        <w:t>1</w:t>
      </w:r>
      <w:r w:rsidRPr="008A6C3A">
        <w:rPr>
          <w:rFonts w:eastAsiaTheme="minorEastAsia"/>
          <w:rtl/>
        </w:rPr>
        <w:tab/>
        <w:t xml:space="preserve">في مذكرة شفوية مؤرخة </w:t>
      </w:r>
      <w:r w:rsidRPr="00264BEB">
        <w:rPr>
          <w:rFonts w:eastAsiaTheme="minorEastAsia"/>
          <w:rtl/>
        </w:rPr>
        <w:t>2</w:t>
      </w:r>
      <w:r w:rsidRPr="008A6C3A">
        <w:rPr>
          <w:rFonts w:eastAsiaTheme="minorEastAsia"/>
          <w:rtl/>
        </w:rPr>
        <w:t xml:space="preserve"> تشرين الأول/أكتوبر </w:t>
      </w:r>
      <w:r w:rsidRPr="00264BEB">
        <w:rPr>
          <w:rFonts w:eastAsiaTheme="minorEastAsia"/>
          <w:rtl/>
        </w:rPr>
        <w:t>2017</w:t>
      </w:r>
      <w:r w:rsidRPr="008A6C3A">
        <w:rPr>
          <w:rFonts w:eastAsiaTheme="minorEastAsia"/>
          <w:rtl/>
        </w:rPr>
        <w:t>، كررت الدولة الطرف حججها قائلةً إنه ينبغي إعلان عدم مقبولية البلاغ لأن صاحبته لم تستنفد جميع سبل الانتصاف المحلية المتاحة والفعالة.</w:t>
      </w:r>
    </w:p>
    <w:p w14:paraId="3426BDBC" w14:textId="30DAE7C8" w:rsidR="008A6C3A" w:rsidRPr="008A6C3A" w:rsidRDefault="008A6C3A" w:rsidP="008A6C3A">
      <w:pPr>
        <w:pStyle w:val="SingleTxtGA"/>
        <w:rPr>
          <w:rFonts w:eastAsiaTheme="minorEastAsia"/>
          <w:lang w:eastAsia="zh-TW" w:bidi="en-GB"/>
        </w:rPr>
      </w:pPr>
      <w:r w:rsidRPr="00264BEB">
        <w:rPr>
          <w:rFonts w:eastAsiaTheme="minorEastAsia"/>
          <w:rtl/>
        </w:rPr>
        <w:lastRenderedPageBreak/>
        <w:t>6</w:t>
      </w:r>
      <w:r w:rsidRPr="008A6C3A">
        <w:rPr>
          <w:rFonts w:eastAsiaTheme="minorEastAsia"/>
          <w:rtl/>
        </w:rPr>
        <w:t>-</w:t>
      </w:r>
      <w:r w:rsidRPr="00264BEB">
        <w:rPr>
          <w:rFonts w:eastAsiaTheme="minorEastAsia"/>
          <w:rtl/>
        </w:rPr>
        <w:t>2</w:t>
      </w:r>
      <w:r w:rsidRPr="008A6C3A">
        <w:rPr>
          <w:rFonts w:eastAsiaTheme="minorEastAsia"/>
          <w:rtl/>
        </w:rPr>
        <w:tab/>
        <w:t>وتلاحظ الدولة الطرف أيض</w:t>
      </w:r>
      <w:r w:rsidR="002F7F11">
        <w:rPr>
          <w:rFonts w:eastAsiaTheme="minorEastAsia"/>
          <w:rtl/>
        </w:rPr>
        <w:t xml:space="preserve">اً </w:t>
      </w:r>
      <w:r w:rsidRPr="008A6C3A">
        <w:rPr>
          <w:rFonts w:eastAsiaTheme="minorEastAsia"/>
          <w:rtl/>
        </w:rPr>
        <w:t>أنه جاء في المعلومات الواردة من محكمة كازاخستان العليا أن</w:t>
      </w:r>
      <w:r w:rsidR="001A16E7">
        <w:rPr>
          <w:rFonts w:eastAsiaTheme="minorEastAsia" w:hint="cs"/>
          <w:rtl/>
        </w:rPr>
        <w:t> </w:t>
      </w:r>
      <w:r w:rsidRPr="008A6C3A">
        <w:rPr>
          <w:rFonts w:eastAsiaTheme="minorEastAsia"/>
          <w:rtl/>
        </w:rPr>
        <w:t>صاحبة البلاغ لم تطعن، من خلال إجراءات قضائية، لا في قرارات سلطات التحقيق الجنائي المؤرخة</w:t>
      </w:r>
      <w:r w:rsidR="001A16E7">
        <w:rPr>
          <w:rFonts w:eastAsiaTheme="minorEastAsia" w:hint="cs"/>
          <w:rtl/>
        </w:rPr>
        <w:t> </w:t>
      </w:r>
      <w:r w:rsidRPr="00264BEB">
        <w:rPr>
          <w:rFonts w:eastAsiaTheme="minorEastAsia"/>
          <w:rtl/>
        </w:rPr>
        <w:t>25</w:t>
      </w:r>
      <w:r w:rsidRPr="008A6C3A">
        <w:rPr>
          <w:rFonts w:eastAsiaTheme="minorEastAsia"/>
          <w:rtl/>
        </w:rPr>
        <w:t xml:space="preserve"> تموز/يوليه </w:t>
      </w:r>
      <w:r w:rsidRPr="00264BEB">
        <w:rPr>
          <w:rFonts w:eastAsiaTheme="minorEastAsia"/>
          <w:rtl/>
        </w:rPr>
        <w:t>2014</w:t>
      </w:r>
      <w:r w:rsidRPr="008A6C3A">
        <w:rPr>
          <w:rFonts w:eastAsiaTheme="minorEastAsia"/>
          <w:rtl/>
        </w:rPr>
        <w:t xml:space="preserve"> ولا في ردود هيئات الادعاء على النحو المتوخى في المادة </w:t>
      </w:r>
      <w:r w:rsidRPr="00264BEB">
        <w:rPr>
          <w:rFonts w:eastAsiaTheme="minorEastAsia"/>
          <w:rtl/>
        </w:rPr>
        <w:t>109</w:t>
      </w:r>
      <w:r w:rsidRPr="008A6C3A">
        <w:rPr>
          <w:rFonts w:eastAsiaTheme="minorEastAsia"/>
          <w:rtl/>
        </w:rPr>
        <w:t xml:space="preserve"> من قانون كازاخستان الجنائي. </w:t>
      </w:r>
    </w:p>
    <w:p w14:paraId="1927BEB3" w14:textId="2CF9FEE3" w:rsidR="00264BEB" w:rsidRPr="00264BEB" w:rsidRDefault="008A6C3A" w:rsidP="008A6C3A">
      <w:pPr>
        <w:pStyle w:val="SingleTxtGA"/>
        <w:rPr>
          <w:rFonts w:eastAsiaTheme="minorEastAsia"/>
          <w:lang w:eastAsia="zh-TW" w:bidi="en-GB"/>
        </w:rPr>
      </w:pPr>
      <w:r w:rsidRPr="00264BEB">
        <w:rPr>
          <w:rFonts w:eastAsiaTheme="minorEastAsia"/>
          <w:rtl/>
        </w:rPr>
        <w:t>6</w:t>
      </w:r>
      <w:r w:rsidRPr="008A6C3A">
        <w:rPr>
          <w:rFonts w:eastAsiaTheme="minorEastAsia"/>
          <w:rtl/>
        </w:rPr>
        <w:t>-</w:t>
      </w:r>
      <w:r w:rsidRPr="00264BEB">
        <w:rPr>
          <w:rFonts w:eastAsiaTheme="minorEastAsia"/>
          <w:rtl/>
        </w:rPr>
        <w:t>3</w:t>
      </w:r>
      <w:r w:rsidRPr="008A6C3A">
        <w:rPr>
          <w:rFonts w:eastAsiaTheme="minorEastAsia"/>
          <w:rtl/>
        </w:rPr>
        <w:tab/>
        <w:t>وتلاحظ الدولة الطرف، إضافة إلى ذلك، أن صاحبة البلاغ لم تقدم حجج</w:t>
      </w:r>
      <w:r w:rsidR="002F7F11">
        <w:rPr>
          <w:rFonts w:eastAsiaTheme="minorEastAsia"/>
          <w:rtl/>
        </w:rPr>
        <w:t xml:space="preserve">اً </w:t>
      </w:r>
      <w:r w:rsidRPr="008A6C3A">
        <w:rPr>
          <w:rFonts w:eastAsiaTheme="minorEastAsia"/>
          <w:rtl/>
        </w:rPr>
        <w:t xml:space="preserve">قانونية مدعومة بأدلة بشأن سبب عدم ممارستها حقَّها في الاستئناف، على النحو المتوخى في قانون الإجراءات الجنائية. وتوجه الدولة الطرف في هذا السياق نظر اللجنة إلى أن صاحبة البلاغ استخدمت في وقت سابق حقها في الاستئناف عندما طعنت في قرار سلطة التحقيق الجنائي المؤرخ </w:t>
      </w:r>
      <w:r w:rsidRPr="00264BEB">
        <w:rPr>
          <w:rFonts w:eastAsiaTheme="minorEastAsia"/>
          <w:rtl/>
        </w:rPr>
        <w:t>30</w:t>
      </w:r>
      <w:r w:rsidRPr="008A6C3A">
        <w:rPr>
          <w:rFonts w:eastAsiaTheme="minorEastAsia"/>
          <w:rtl/>
        </w:rPr>
        <w:t xml:space="preserve"> نيسان/أبريل </w:t>
      </w:r>
      <w:r w:rsidRPr="00264BEB">
        <w:rPr>
          <w:rFonts w:eastAsiaTheme="minorEastAsia"/>
          <w:rtl/>
        </w:rPr>
        <w:t>201</w:t>
      </w:r>
      <w:r w:rsidR="00264BEB" w:rsidRPr="00264BEB">
        <w:rPr>
          <w:rFonts w:eastAsiaTheme="minorEastAsia"/>
          <w:rtl/>
        </w:rPr>
        <w:t>4.</w:t>
      </w:r>
    </w:p>
    <w:p w14:paraId="1E9FC596" w14:textId="24CBA455" w:rsidR="008A6C3A" w:rsidRPr="008A6C3A" w:rsidRDefault="008A6C3A" w:rsidP="008A6C3A">
      <w:pPr>
        <w:pStyle w:val="SingleTxtGA"/>
        <w:rPr>
          <w:rFonts w:eastAsiaTheme="minorEastAsia"/>
          <w:lang w:eastAsia="zh-TW" w:bidi="en-GB"/>
        </w:rPr>
      </w:pPr>
      <w:r w:rsidRPr="00264BEB">
        <w:rPr>
          <w:rFonts w:eastAsiaTheme="minorEastAsia"/>
          <w:rtl/>
        </w:rPr>
        <w:t>6</w:t>
      </w:r>
      <w:r w:rsidRPr="008A6C3A">
        <w:rPr>
          <w:rFonts w:eastAsiaTheme="minorEastAsia"/>
          <w:rtl/>
        </w:rPr>
        <w:t>-</w:t>
      </w:r>
      <w:r w:rsidRPr="00264BEB">
        <w:rPr>
          <w:rFonts w:eastAsiaTheme="minorEastAsia"/>
          <w:rtl/>
        </w:rPr>
        <w:t>4</w:t>
      </w:r>
      <w:r w:rsidRPr="008A6C3A">
        <w:rPr>
          <w:rFonts w:eastAsiaTheme="minorEastAsia"/>
          <w:rtl/>
        </w:rPr>
        <w:tab/>
        <w:t xml:space="preserve">وتخلص الدولة الطرف إلى أن صاحبة البلاغ لم تستنفد جميع سبل الانتصاف المحلية المتاحة، ولذلك ينبغي إعلان عدم مقبولية البلاغ بموجب المادتين </w:t>
      </w:r>
      <w:r w:rsidRPr="00264BEB">
        <w:rPr>
          <w:rFonts w:eastAsiaTheme="minorEastAsia"/>
          <w:rtl/>
        </w:rPr>
        <w:t>2</w:t>
      </w:r>
      <w:r w:rsidRPr="008A6C3A">
        <w:rPr>
          <w:rFonts w:eastAsiaTheme="minorEastAsia"/>
          <w:rtl/>
        </w:rPr>
        <w:t xml:space="preserve"> و</w:t>
      </w:r>
      <w:r w:rsidRPr="00264BEB">
        <w:rPr>
          <w:rFonts w:eastAsiaTheme="minorEastAsia"/>
          <w:rtl/>
        </w:rPr>
        <w:t>5</w:t>
      </w:r>
      <w:r w:rsidRPr="008A6C3A">
        <w:rPr>
          <w:rFonts w:eastAsiaTheme="minorEastAsia"/>
          <w:rtl/>
        </w:rPr>
        <w:t xml:space="preserve">(ب) من البروتوكول الاختياري وعملاً بالمادة </w:t>
      </w:r>
      <w:r w:rsidRPr="00264BEB">
        <w:rPr>
          <w:rFonts w:eastAsiaTheme="minorEastAsia"/>
          <w:rtl/>
        </w:rPr>
        <w:t>96</w:t>
      </w:r>
      <w:r w:rsidRPr="008A6C3A">
        <w:rPr>
          <w:rFonts w:eastAsiaTheme="minorEastAsia"/>
          <w:rtl/>
        </w:rPr>
        <w:t>(و) من نظام اللجنة الداخلي.</w:t>
      </w:r>
    </w:p>
    <w:p w14:paraId="726BDE36" w14:textId="77777777" w:rsidR="008A6C3A" w:rsidRPr="008A6C3A" w:rsidRDefault="008A6C3A" w:rsidP="001A16E7">
      <w:pPr>
        <w:pStyle w:val="H23GA"/>
        <w:rPr>
          <w:lang w:val="ar-SA" w:eastAsia="zh-TW" w:bidi="en-GB"/>
        </w:rPr>
      </w:pPr>
      <w:r w:rsidRPr="008A6C3A">
        <w:rPr>
          <w:rtl/>
        </w:rPr>
        <w:tab/>
      </w:r>
      <w:r w:rsidRPr="008A6C3A">
        <w:rPr>
          <w:rtl/>
        </w:rPr>
        <w:tab/>
      </w:r>
      <w:r w:rsidRPr="00264BEB">
        <w:rPr>
          <w:rtl/>
        </w:rPr>
        <w:t>تعليقات صاحبة البلاغ على ملاحظات الدولة الطرف بشأن المقبولية</w:t>
      </w:r>
      <w:r w:rsidRPr="008A6C3A">
        <w:rPr>
          <w:rtl/>
        </w:rPr>
        <w:t xml:space="preserve"> </w:t>
      </w:r>
    </w:p>
    <w:p w14:paraId="2F38ABD7" w14:textId="75009F65" w:rsidR="008A6C3A" w:rsidRPr="008A6C3A" w:rsidRDefault="008A6C3A" w:rsidP="008A6C3A">
      <w:pPr>
        <w:pStyle w:val="SingleTxtGA"/>
        <w:rPr>
          <w:rFonts w:eastAsiaTheme="minorEastAsia"/>
          <w:lang w:eastAsia="zh-TW" w:bidi="en-GB"/>
        </w:rPr>
      </w:pPr>
      <w:r w:rsidRPr="00264BEB">
        <w:rPr>
          <w:rFonts w:eastAsiaTheme="minorEastAsia"/>
          <w:rtl/>
        </w:rPr>
        <w:t>7</w:t>
      </w:r>
      <w:r w:rsidRPr="008A6C3A">
        <w:rPr>
          <w:rFonts w:eastAsiaTheme="minorEastAsia"/>
          <w:rtl/>
        </w:rPr>
        <w:t>-</w:t>
      </w:r>
      <w:r w:rsidRPr="008A6C3A">
        <w:rPr>
          <w:rFonts w:eastAsiaTheme="minorEastAsia"/>
          <w:rtl/>
        </w:rPr>
        <w:tab/>
        <w:t xml:space="preserve">في </w:t>
      </w:r>
      <w:r w:rsidRPr="00264BEB">
        <w:rPr>
          <w:rFonts w:eastAsiaTheme="minorEastAsia"/>
          <w:rtl/>
        </w:rPr>
        <w:t>5</w:t>
      </w:r>
      <w:r w:rsidRPr="008A6C3A">
        <w:rPr>
          <w:rFonts w:eastAsiaTheme="minorEastAsia"/>
          <w:rtl/>
        </w:rPr>
        <w:t xml:space="preserve"> نيسان/أبريل </w:t>
      </w:r>
      <w:r w:rsidRPr="00264BEB">
        <w:rPr>
          <w:rFonts w:eastAsiaTheme="minorEastAsia"/>
          <w:rtl/>
        </w:rPr>
        <w:t>2018</w:t>
      </w:r>
      <w:r w:rsidRPr="008A6C3A">
        <w:rPr>
          <w:rFonts w:eastAsiaTheme="minorEastAsia"/>
          <w:rtl/>
        </w:rPr>
        <w:t>، كررت صاحبة البلاغ حججها قائلة إنها استنفدت جميع سبل الانتصاف المحلية المتاحة.</w:t>
      </w:r>
      <w:r w:rsidR="001A16E7">
        <w:rPr>
          <w:rFonts w:eastAsiaTheme="minorEastAsia"/>
          <w:rtl/>
        </w:rPr>
        <w:t xml:space="preserve"> </w:t>
      </w:r>
    </w:p>
    <w:p w14:paraId="2C251213" w14:textId="77777777" w:rsidR="008A6C3A" w:rsidRPr="00264BEB" w:rsidRDefault="008A6C3A" w:rsidP="001A16E7">
      <w:pPr>
        <w:pStyle w:val="H23GA"/>
        <w:rPr>
          <w:i/>
          <w:lang w:val="ar-SA" w:eastAsia="zh-TW" w:bidi="en-GB"/>
        </w:rPr>
      </w:pPr>
      <w:r w:rsidRPr="008A6C3A">
        <w:rPr>
          <w:rtl/>
        </w:rPr>
        <w:tab/>
      </w:r>
      <w:r w:rsidRPr="008A6C3A">
        <w:rPr>
          <w:rtl/>
        </w:rPr>
        <w:tab/>
      </w:r>
      <w:r w:rsidRPr="00264BEB">
        <w:rPr>
          <w:rtl/>
        </w:rPr>
        <w:t>المسائل والإجراءات المعروضة على اللجنة</w:t>
      </w:r>
    </w:p>
    <w:p w14:paraId="25333ADF" w14:textId="77777777" w:rsidR="008A6C3A" w:rsidRPr="00264BEB" w:rsidRDefault="008A6C3A" w:rsidP="001A16E7">
      <w:pPr>
        <w:pStyle w:val="H4GA"/>
        <w:rPr>
          <w:lang w:val="ar-SA" w:eastAsia="zh-TW" w:bidi="en-GB"/>
        </w:rPr>
      </w:pPr>
      <w:r w:rsidRPr="008A6C3A">
        <w:rPr>
          <w:rtl/>
        </w:rPr>
        <w:tab/>
      </w:r>
      <w:r w:rsidRPr="008A6C3A">
        <w:rPr>
          <w:rtl/>
        </w:rPr>
        <w:tab/>
      </w:r>
      <w:r w:rsidRPr="00264BEB">
        <w:rPr>
          <w:rtl/>
        </w:rPr>
        <w:t>النظر في المقبولية</w:t>
      </w:r>
    </w:p>
    <w:p w14:paraId="396639EE" w14:textId="77777777" w:rsidR="008A6C3A" w:rsidRPr="008A6C3A" w:rsidRDefault="008A6C3A" w:rsidP="008A6C3A">
      <w:pPr>
        <w:pStyle w:val="SingleTxtGA"/>
        <w:rPr>
          <w:rFonts w:eastAsiaTheme="minorEastAsia"/>
          <w:lang w:eastAsia="zh-TW" w:bidi="en-GB"/>
        </w:rPr>
      </w:pPr>
      <w:r w:rsidRPr="00264BEB">
        <w:rPr>
          <w:rFonts w:eastAsiaTheme="minorEastAsia"/>
          <w:rtl/>
        </w:rPr>
        <w:t>8</w:t>
      </w:r>
      <w:r w:rsidRPr="008A6C3A">
        <w:rPr>
          <w:rFonts w:eastAsiaTheme="minorEastAsia"/>
          <w:rtl/>
        </w:rPr>
        <w:t>-</w:t>
      </w:r>
      <w:r w:rsidRPr="00264BEB">
        <w:rPr>
          <w:rFonts w:eastAsiaTheme="minorEastAsia"/>
          <w:rtl/>
        </w:rPr>
        <w:t>1</w:t>
      </w:r>
      <w:r w:rsidRPr="008A6C3A">
        <w:rPr>
          <w:rFonts w:eastAsiaTheme="minorEastAsia"/>
          <w:rtl/>
        </w:rPr>
        <w:tab/>
        <w:t xml:space="preserve">قبل النظر في أي ادعاء يرد في بلاغ ما، يجب على اللجنة، وفقاً للمادة </w:t>
      </w:r>
      <w:r w:rsidRPr="00264BEB">
        <w:rPr>
          <w:rFonts w:eastAsiaTheme="minorEastAsia"/>
          <w:rtl/>
        </w:rPr>
        <w:t>97</w:t>
      </w:r>
      <w:r w:rsidRPr="008A6C3A">
        <w:rPr>
          <w:rFonts w:eastAsiaTheme="minorEastAsia"/>
          <w:rtl/>
        </w:rPr>
        <w:t xml:space="preserve"> من نظامها الداخلي، أن تحدد ما إن كان البلاغ مقبولاً أم لا بموجب البروتوكول الاختياري.</w:t>
      </w:r>
    </w:p>
    <w:p w14:paraId="21C92CCA" w14:textId="77777777" w:rsidR="008A6C3A" w:rsidRPr="008A6C3A" w:rsidRDefault="008A6C3A" w:rsidP="008A6C3A">
      <w:pPr>
        <w:pStyle w:val="SingleTxtGA"/>
        <w:rPr>
          <w:rFonts w:eastAsiaTheme="minorEastAsia"/>
          <w:lang w:eastAsia="zh-TW" w:bidi="en-GB"/>
        </w:rPr>
      </w:pPr>
      <w:r w:rsidRPr="00264BEB">
        <w:rPr>
          <w:rFonts w:eastAsiaTheme="minorEastAsia"/>
          <w:rtl/>
        </w:rPr>
        <w:t>8</w:t>
      </w:r>
      <w:r w:rsidRPr="008A6C3A">
        <w:rPr>
          <w:rFonts w:eastAsiaTheme="minorEastAsia"/>
          <w:rtl/>
        </w:rPr>
        <w:t>-</w:t>
      </w:r>
      <w:r w:rsidRPr="00264BEB">
        <w:rPr>
          <w:rFonts w:eastAsiaTheme="minorEastAsia"/>
          <w:rtl/>
        </w:rPr>
        <w:t>2</w:t>
      </w:r>
      <w:r w:rsidRPr="008A6C3A">
        <w:rPr>
          <w:rFonts w:eastAsiaTheme="minorEastAsia"/>
          <w:rtl/>
        </w:rPr>
        <w:tab/>
        <w:t xml:space="preserve">وقد استيقنت اللجنة، بمقتضى المادة </w:t>
      </w:r>
      <w:r w:rsidRPr="00264BEB">
        <w:rPr>
          <w:rFonts w:eastAsiaTheme="minorEastAsia"/>
          <w:rtl/>
        </w:rPr>
        <w:t>5</w:t>
      </w:r>
      <w:r w:rsidRPr="008A6C3A">
        <w:rPr>
          <w:rFonts w:eastAsiaTheme="minorEastAsia"/>
          <w:rtl/>
        </w:rPr>
        <w:t>(</w:t>
      </w:r>
      <w:r w:rsidRPr="00264BEB">
        <w:rPr>
          <w:rFonts w:eastAsiaTheme="minorEastAsia"/>
          <w:rtl/>
        </w:rPr>
        <w:t>2</w:t>
      </w:r>
      <w:r w:rsidRPr="008A6C3A">
        <w:rPr>
          <w:rFonts w:eastAsiaTheme="minorEastAsia"/>
          <w:rtl/>
        </w:rPr>
        <w:t>)(أ) من البروتوكول الاختياري، من أن المسألة نفسها ليست قيد البحث بموجب إجراء آخر من إجراءات التحقيق الدولي أو التسوية الدولية.</w:t>
      </w:r>
    </w:p>
    <w:p w14:paraId="24E77362" w14:textId="64767A23" w:rsidR="00264BEB" w:rsidRPr="00264BEB" w:rsidRDefault="008A6C3A" w:rsidP="008A6C3A">
      <w:pPr>
        <w:pStyle w:val="SingleTxtGA"/>
        <w:rPr>
          <w:rFonts w:eastAsiaTheme="minorEastAsia"/>
          <w:lang w:eastAsia="zh-TW" w:bidi="en-GB"/>
        </w:rPr>
      </w:pPr>
      <w:r w:rsidRPr="00264BEB">
        <w:rPr>
          <w:rFonts w:eastAsiaTheme="minorEastAsia"/>
          <w:rtl/>
        </w:rPr>
        <w:t>8</w:t>
      </w:r>
      <w:r w:rsidRPr="008A6C3A">
        <w:rPr>
          <w:rFonts w:eastAsiaTheme="minorEastAsia"/>
          <w:rtl/>
        </w:rPr>
        <w:t>-</w:t>
      </w:r>
      <w:r w:rsidRPr="00264BEB">
        <w:rPr>
          <w:rFonts w:eastAsiaTheme="minorEastAsia"/>
          <w:rtl/>
        </w:rPr>
        <w:t>3</w:t>
      </w:r>
      <w:r w:rsidRPr="008A6C3A">
        <w:rPr>
          <w:rFonts w:eastAsiaTheme="minorEastAsia"/>
          <w:rtl/>
        </w:rPr>
        <w:tab/>
        <w:t xml:space="preserve">وفيما يتعلق بالشرط المنصوص عليه في الفقرة </w:t>
      </w:r>
      <w:r w:rsidRPr="00264BEB">
        <w:rPr>
          <w:rFonts w:eastAsiaTheme="minorEastAsia"/>
          <w:rtl/>
        </w:rPr>
        <w:t>2</w:t>
      </w:r>
      <w:r w:rsidRPr="008A6C3A">
        <w:rPr>
          <w:rFonts w:eastAsiaTheme="minorEastAsia"/>
          <w:rtl/>
        </w:rPr>
        <w:t xml:space="preserve">(ب) من المادة </w:t>
      </w:r>
      <w:r w:rsidRPr="00264BEB">
        <w:rPr>
          <w:rFonts w:eastAsiaTheme="minorEastAsia"/>
          <w:rtl/>
        </w:rPr>
        <w:t>5</w:t>
      </w:r>
      <w:r w:rsidRPr="008A6C3A">
        <w:rPr>
          <w:rFonts w:eastAsiaTheme="minorEastAsia"/>
          <w:rtl/>
        </w:rPr>
        <w:t xml:space="preserve"> من البروتوكول الاختياري، تحيط اللجنة علم</w:t>
      </w:r>
      <w:r w:rsidR="00835C9F">
        <w:rPr>
          <w:rFonts w:eastAsiaTheme="minorEastAsia"/>
          <w:rtl/>
        </w:rPr>
        <w:t xml:space="preserve">اً </w:t>
      </w:r>
      <w:r w:rsidRPr="008A6C3A">
        <w:rPr>
          <w:rFonts w:eastAsiaTheme="minorEastAsia"/>
          <w:rtl/>
        </w:rPr>
        <w:t xml:space="preserve">بحجة الدولة الطرف أن صاحبة البلاغ لم تستنفد سبل الانتصاف المحلية المتاحة على النحو المتوخى من المادة </w:t>
      </w:r>
      <w:r w:rsidRPr="00264BEB">
        <w:rPr>
          <w:rFonts w:eastAsiaTheme="minorEastAsia"/>
          <w:rtl/>
        </w:rPr>
        <w:t>109</w:t>
      </w:r>
      <w:r w:rsidRPr="008A6C3A">
        <w:rPr>
          <w:rFonts w:eastAsiaTheme="minorEastAsia"/>
          <w:rtl/>
        </w:rPr>
        <w:t xml:space="preserve"> من قانون كازاخستان الجنائي التي تنظم الإجراء القضائي للنظر في الشكاوى المتصلة بإجراءات (أو غياب إجراءات) المدعين العامين وسلطات التحقيق وهيئات التحري وقرارات هذه الجهات. ولم تعترض صاحبة البلاغ على القرار الثاني المؤرخ </w:t>
      </w:r>
      <w:r w:rsidRPr="00264BEB">
        <w:rPr>
          <w:rFonts w:eastAsiaTheme="minorEastAsia"/>
          <w:rtl/>
        </w:rPr>
        <w:t>25</w:t>
      </w:r>
      <w:r w:rsidRPr="008A6C3A">
        <w:rPr>
          <w:rFonts w:eastAsiaTheme="minorEastAsia"/>
          <w:rtl/>
        </w:rPr>
        <w:t xml:space="preserve"> تموز/يوليه </w:t>
      </w:r>
      <w:r w:rsidRPr="00264BEB">
        <w:rPr>
          <w:rFonts w:eastAsiaTheme="minorEastAsia"/>
          <w:rtl/>
        </w:rPr>
        <w:t>2014</w:t>
      </w:r>
      <w:r w:rsidRPr="008A6C3A">
        <w:rPr>
          <w:rFonts w:eastAsiaTheme="minorEastAsia"/>
          <w:rtl/>
        </w:rPr>
        <w:t xml:space="preserve"> الذي اتخذته سلطات التحقيق الجنائي بعدم فتح تحقيق جنائي في ادعاء صاحبة البلاغ إساءة أفراد الشرطة معاملتها (انظر الفقرتين </w:t>
      </w:r>
      <w:r w:rsidRPr="00264BEB">
        <w:rPr>
          <w:rFonts w:eastAsiaTheme="minorEastAsia"/>
          <w:rtl/>
        </w:rPr>
        <w:t>4</w:t>
      </w:r>
      <w:r w:rsidRPr="008A6C3A">
        <w:rPr>
          <w:rFonts w:eastAsiaTheme="minorEastAsia"/>
          <w:rtl/>
        </w:rPr>
        <w:t>-</w:t>
      </w:r>
      <w:r w:rsidRPr="00264BEB">
        <w:rPr>
          <w:rFonts w:eastAsiaTheme="minorEastAsia"/>
          <w:rtl/>
        </w:rPr>
        <w:t>5</w:t>
      </w:r>
      <w:r w:rsidRPr="008A6C3A">
        <w:rPr>
          <w:rFonts w:eastAsiaTheme="minorEastAsia"/>
          <w:rtl/>
        </w:rPr>
        <w:t xml:space="preserve"> و</w:t>
      </w:r>
      <w:r w:rsidRPr="00264BEB">
        <w:rPr>
          <w:rFonts w:eastAsiaTheme="minorEastAsia"/>
          <w:rtl/>
        </w:rPr>
        <w:t>4</w:t>
      </w:r>
      <w:r w:rsidRPr="008A6C3A">
        <w:rPr>
          <w:rFonts w:eastAsiaTheme="minorEastAsia"/>
          <w:rtl/>
        </w:rPr>
        <w:t>-</w:t>
      </w:r>
      <w:r w:rsidRPr="00264BEB">
        <w:rPr>
          <w:rFonts w:eastAsiaTheme="minorEastAsia"/>
          <w:rtl/>
        </w:rPr>
        <w:t>6</w:t>
      </w:r>
      <w:r w:rsidRPr="008A6C3A">
        <w:rPr>
          <w:rFonts w:eastAsiaTheme="minorEastAsia"/>
          <w:rtl/>
        </w:rPr>
        <w:t xml:space="preserve"> أعلاه</w:t>
      </w:r>
      <w:r w:rsidR="00264BEB" w:rsidRPr="00264BEB">
        <w:rPr>
          <w:rFonts w:eastAsiaTheme="minorEastAsia"/>
          <w:rtl/>
        </w:rPr>
        <w:t>).</w:t>
      </w:r>
    </w:p>
    <w:p w14:paraId="3DA44F97" w14:textId="6CA671CA" w:rsidR="008A6C3A" w:rsidRPr="00264BEB" w:rsidRDefault="008A6C3A" w:rsidP="008A6C3A">
      <w:pPr>
        <w:pStyle w:val="SingleTxtGA"/>
        <w:rPr>
          <w:rFonts w:eastAsiaTheme="minorEastAsia"/>
          <w:lang w:val="en-US" w:eastAsia="zh-TW" w:bidi="en-GB"/>
        </w:rPr>
      </w:pPr>
      <w:r w:rsidRPr="00264BEB">
        <w:rPr>
          <w:rFonts w:eastAsiaTheme="minorEastAsia"/>
          <w:rtl/>
        </w:rPr>
        <w:t>8</w:t>
      </w:r>
      <w:r w:rsidRPr="008A6C3A">
        <w:rPr>
          <w:rFonts w:eastAsiaTheme="minorEastAsia"/>
          <w:rtl/>
        </w:rPr>
        <w:t>-</w:t>
      </w:r>
      <w:r w:rsidRPr="00264BEB">
        <w:rPr>
          <w:rFonts w:eastAsiaTheme="minorEastAsia"/>
          <w:rtl/>
        </w:rPr>
        <w:t>4</w:t>
      </w:r>
      <w:r w:rsidRPr="008A6C3A">
        <w:rPr>
          <w:rFonts w:eastAsiaTheme="minorEastAsia"/>
          <w:rtl/>
        </w:rPr>
        <w:tab/>
        <w:t xml:space="preserve">وتلاحظ اللجنة في هذا الصدد أن محكمة مدينة </w:t>
      </w:r>
      <w:proofErr w:type="spellStart"/>
      <w:r w:rsidRPr="008A6C3A">
        <w:rPr>
          <w:rFonts w:eastAsiaTheme="minorEastAsia"/>
          <w:rtl/>
        </w:rPr>
        <w:t>كوستناي</w:t>
      </w:r>
      <w:proofErr w:type="spellEnd"/>
      <w:r w:rsidRPr="008A6C3A">
        <w:rPr>
          <w:rFonts w:eastAsiaTheme="minorEastAsia"/>
          <w:rtl/>
        </w:rPr>
        <w:t xml:space="preserve"> رقم </w:t>
      </w:r>
      <w:r w:rsidRPr="00264BEB">
        <w:rPr>
          <w:rFonts w:eastAsiaTheme="minorEastAsia"/>
          <w:rtl/>
        </w:rPr>
        <w:t>2</w:t>
      </w:r>
      <w:r w:rsidRPr="008A6C3A">
        <w:rPr>
          <w:rFonts w:eastAsiaTheme="minorEastAsia"/>
          <w:rtl/>
        </w:rPr>
        <w:t xml:space="preserve"> أيدت في </w:t>
      </w:r>
      <w:r w:rsidRPr="00264BEB">
        <w:rPr>
          <w:rFonts w:eastAsiaTheme="minorEastAsia"/>
          <w:rtl/>
        </w:rPr>
        <w:t>2</w:t>
      </w:r>
      <w:r w:rsidRPr="008A6C3A">
        <w:rPr>
          <w:rFonts w:eastAsiaTheme="minorEastAsia"/>
          <w:rtl/>
        </w:rPr>
        <w:t xml:space="preserve"> حزيران/</w:t>
      </w:r>
      <w:r w:rsidR="00835C9F">
        <w:rPr>
          <w:rFonts w:eastAsiaTheme="minorEastAsia" w:hint="cs"/>
          <w:rtl/>
        </w:rPr>
        <w:t xml:space="preserve">        </w:t>
      </w:r>
      <w:r w:rsidRPr="008A6C3A">
        <w:rPr>
          <w:rFonts w:eastAsiaTheme="minorEastAsia"/>
          <w:rtl/>
        </w:rPr>
        <w:t xml:space="preserve">يونيه </w:t>
      </w:r>
      <w:r w:rsidRPr="00264BEB">
        <w:rPr>
          <w:rFonts w:eastAsiaTheme="minorEastAsia"/>
          <w:rtl/>
        </w:rPr>
        <w:t>2014</w:t>
      </w:r>
      <w:r w:rsidRPr="008A6C3A">
        <w:rPr>
          <w:rFonts w:eastAsiaTheme="minorEastAsia"/>
          <w:rtl/>
        </w:rPr>
        <w:t xml:space="preserve"> استئناف صاحبة البلاغ وأمرت إدارة مكافحة الجرائم الاقتصادية وجرائم الفساد في مقاطعة </w:t>
      </w:r>
      <w:proofErr w:type="spellStart"/>
      <w:r w:rsidRPr="008A6C3A">
        <w:rPr>
          <w:rFonts w:eastAsiaTheme="minorEastAsia"/>
          <w:rtl/>
        </w:rPr>
        <w:t>كوستناي</w:t>
      </w:r>
      <w:proofErr w:type="spellEnd"/>
      <w:r w:rsidRPr="008A6C3A">
        <w:rPr>
          <w:rFonts w:eastAsiaTheme="minorEastAsia"/>
          <w:rtl/>
        </w:rPr>
        <w:t xml:space="preserve"> بإعادة النظر في القضية واتخاذ قرار إجرائي جديد (انظر الفقرة </w:t>
      </w:r>
      <w:r w:rsidRPr="00264BEB">
        <w:rPr>
          <w:rFonts w:eastAsiaTheme="minorEastAsia"/>
          <w:rtl/>
        </w:rPr>
        <w:t>4</w:t>
      </w:r>
      <w:r w:rsidRPr="008A6C3A">
        <w:rPr>
          <w:rFonts w:eastAsiaTheme="minorEastAsia"/>
          <w:rtl/>
        </w:rPr>
        <w:t>-</w:t>
      </w:r>
      <w:r w:rsidRPr="00264BEB">
        <w:rPr>
          <w:rFonts w:eastAsiaTheme="minorEastAsia"/>
          <w:rtl/>
        </w:rPr>
        <w:t>4</w:t>
      </w:r>
      <w:r w:rsidRPr="008A6C3A">
        <w:rPr>
          <w:rFonts w:eastAsiaTheme="minorEastAsia"/>
          <w:rtl/>
        </w:rPr>
        <w:t xml:space="preserve"> أعلاه</w:t>
      </w:r>
      <w:r w:rsidR="00264BEB" w:rsidRPr="00264BEB">
        <w:rPr>
          <w:rFonts w:eastAsiaTheme="minorEastAsia"/>
          <w:rtl/>
        </w:rPr>
        <w:t xml:space="preserve">). </w:t>
      </w:r>
      <w:r w:rsidRPr="008A6C3A">
        <w:rPr>
          <w:rFonts w:eastAsiaTheme="minorEastAsia"/>
          <w:rtl/>
        </w:rPr>
        <w:t>وتلاحظ أيض</w:t>
      </w:r>
      <w:r w:rsidR="00835C9F">
        <w:rPr>
          <w:rFonts w:eastAsiaTheme="minorEastAsia"/>
          <w:rtl/>
        </w:rPr>
        <w:t xml:space="preserve">اً </w:t>
      </w:r>
      <w:r w:rsidRPr="008A6C3A">
        <w:rPr>
          <w:rFonts w:eastAsiaTheme="minorEastAsia"/>
          <w:rtl/>
        </w:rPr>
        <w:t xml:space="preserve">أن صاحبة البلاغ تقر بأن حكم المحكمة هذا قد نفذ وأجريت مقابلات مع شهود رئيسيين (انظر الفقرة </w:t>
      </w:r>
      <w:r w:rsidRPr="00264BEB">
        <w:rPr>
          <w:rFonts w:eastAsiaTheme="minorEastAsia"/>
          <w:rtl/>
        </w:rPr>
        <w:t>5</w:t>
      </w:r>
      <w:r w:rsidRPr="008A6C3A">
        <w:rPr>
          <w:rFonts w:eastAsiaTheme="minorEastAsia"/>
          <w:rtl/>
        </w:rPr>
        <w:t>-</w:t>
      </w:r>
      <w:r w:rsidRPr="00264BEB">
        <w:rPr>
          <w:rFonts w:eastAsiaTheme="minorEastAsia"/>
          <w:rtl/>
        </w:rPr>
        <w:t>1</w:t>
      </w:r>
      <w:r w:rsidRPr="008A6C3A">
        <w:rPr>
          <w:rFonts w:eastAsiaTheme="minorEastAsia"/>
          <w:rtl/>
        </w:rPr>
        <w:t xml:space="preserve"> أعلاه) لكن صاحبة البلاغ لا توافق على قرار عدم فتح تحقيق جنائي الذي اتخذته السلطات في وقت لاحق. وتلاحظ أن صاحبة البلاغ، باستثناء شكواها المقدمة إلى المحكمة الابتدائية عقب القرار الأول الذي اتخذته الإدارة في </w:t>
      </w:r>
      <w:r w:rsidRPr="00264BEB">
        <w:rPr>
          <w:rFonts w:eastAsiaTheme="minorEastAsia"/>
          <w:rtl/>
        </w:rPr>
        <w:t>30</w:t>
      </w:r>
      <w:r w:rsidRPr="008A6C3A">
        <w:rPr>
          <w:rFonts w:eastAsiaTheme="minorEastAsia"/>
          <w:rtl/>
        </w:rPr>
        <w:t xml:space="preserve"> نيسان/أبريل </w:t>
      </w:r>
      <w:r w:rsidRPr="00264BEB">
        <w:rPr>
          <w:rFonts w:eastAsiaTheme="minorEastAsia"/>
          <w:rtl/>
        </w:rPr>
        <w:t>2014</w:t>
      </w:r>
      <w:r w:rsidRPr="008A6C3A">
        <w:rPr>
          <w:rFonts w:eastAsiaTheme="minorEastAsia"/>
          <w:rtl/>
        </w:rPr>
        <w:t xml:space="preserve">، لم تقم بأي محاولة قضائية أخرى، بعد القرار الثاني الذي اتخذته الإدارة في </w:t>
      </w:r>
      <w:r w:rsidRPr="00264BEB">
        <w:rPr>
          <w:rFonts w:eastAsiaTheme="minorEastAsia"/>
          <w:rtl/>
        </w:rPr>
        <w:t>25</w:t>
      </w:r>
      <w:r w:rsidRPr="008A6C3A">
        <w:rPr>
          <w:rFonts w:eastAsiaTheme="minorEastAsia"/>
          <w:rtl/>
        </w:rPr>
        <w:t xml:space="preserve"> تموز/يوليه </w:t>
      </w:r>
      <w:r w:rsidRPr="00264BEB">
        <w:rPr>
          <w:rFonts w:eastAsiaTheme="minorEastAsia"/>
          <w:rtl/>
        </w:rPr>
        <w:t>2014</w:t>
      </w:r>
      <w:r w:rsidRPr="008A6C3A">
        <w:rPr>
          <w:rFonts w:eastAsiaTheme="minorEastAsia"/>
          <w:rtl/>
        </w:rPr>
        <w:t xml:space="preserve">، للطعن في عدم فعالية سلطات التحقيق المزعومة، ما عدا رفع </w:t>
      </w:r>
      <w:r w:rsidRPr="008A6C3A">
        <w:rPr>
          <w:rFonts w:eastAsiaTheme="minorEastAsia"/>
          <w:rtl/>
        </w:rPr>
        <w:lastRenderedPageBreak/>
        <w:t xml:space="preserve">شكاوى إلى مكتب المدعي العام لمقاطعة </w:t>
      </w:r>
      <w:proofErr w:type="spellStart"/>
      <w:r w:rsidRPr="008A6C3A">
        <w:rPr>
          <w:rFonts w:eastAsiaTheme="minorEastAsia"/>
          <w:rtl/>
        </w:rPr>
        <w:t>كوستناي</w:t>
      </w:r>
      <w:proofErr w:type="spellEnd"/>
      <w:r w:rsidRPr="008A6C3A">
        <w:rPr>
          <w:rFonts w:eastAsiaTheme="minorEastAsia"/>
          <w:rtl/>
        </w:rPr>
        <w:t xml:space="preserve"> والنيابة العامة. وتلاحظ اللجنة أيض</w:t>
      </w:r>
      <w:r w:rsidR="002F7F11">
        <w:rPr>
          <w:rFonts w:eastAsiaTheme="minorEastAsia"/>
          <w:rtl/>
        </w:rPr>
        <w:t xml:space="preserve">اً </w:t>
      </w:r>
      <w:r w:rsidRPr="008A6C3A">
        <w:rPr>
          <w:rFonts w:eastAsiaTheme="minorEastAsia"/>
          <w:rtl/>
        </w:rPr>
        <w:t>أن صاحبة البلاغ في القضية محل النظر، وإن كانت لا توافق على القرار الإجرائي الثاني الصادر عن هيئة التحقيق بعدم فتح دعوى جنائية في حق أفراد الشرطة المزعوم تورطهم في إساءة معاملتها، فإنها لم تستكشف أي سبيل قضائي للطعن في هذا القرار. وفي القضية موضع النظر، لم تجادل صاحبة البلاغ بأن سبل الانتصاف</w:t>
      </w:r>
      <w:r w:rsidR="00C53978">
        <w:rPr>
          <w:rFonts w:eastAsiaTheme="minorEastAsia" w:hint="cs"/>
          <w:rtl/>
        </w:rPr>
        <w:t> </w:t>
      </w:r>
      <w:r w:rsidRPr="008A6C3A">
        <w:rPr>
          <w:rFonts w:eastAsiaTheme="minorEastAsia"/>
          <w:rtl/>
        </w:rPr>
        <w:t>المحلية المتاحة لها غير فعالة، ولا بأنها كانت معفاة بأي شكل آخر من الاستفادة من سبل الانتصاف هذه.</w:t>
      </w:r>
      <w:r w:rsidR="001A16E7">
        <w:rPr>
          <w:rFonts w:eastAsiaTheme="minorEastAsia"/>
          <w:rtl/>
        </w:rPr>
        <w:t xml:space="preserve"> و</w:t>
      </w:r>
      <w:r w:rsidRPr="008A6C3A">
        <w:rPr>
          <w:rFonts w:eastAsiaTheme="minorEastAsia"/>
          <w:rtl/>
        </w:rPr>
        <w:t xml:space="preserve">لهذا، تخلص اللجنة إلى أن البلاغ غير مقبول بمقتضى الفقرة </w:t>
      </w:r>
      <w:r w:rsidRPr="00264BEB">
        <w:rPr>
          <w:rFonts w:eastAsiaTheme="minorEastAsia"/>
          <w:rtl/>
        </w:rPr>
        <w:t>2</w:t>
      </w:r>
      <w:r w:rsidRPr="008A6C3A">
        <w:rPr>
          <w:rFonts w:eastAsiaTheme="minorEastAsia"/>
          <w:rtl/>
        </w:rPr>
        <w:t xml:space="preserve">(ب) من المادة </w:t>
      </w:r>
      <w:r w:rsidRPr="00264BEB">
        <w:rPr>
          <w:rFonts w:eastAsiaTheme="minorEastAsia"/>
          <w:rtl/>
        </w:rPr>
        <w:t>5</w:t>
      </w:r>
      <w:r w:rsidRPr="008A6C3A">
        <w:rPr>
          <w:rFonts w:eastAsiaTheme="minorEastAsia"/>
          <w:rtl/>
        </w:rPr>
        <w:t xml:space="preserve"> من البروتوكول</w:t>
      </w:r>
      <w:r w:rsidR="00C53978">
        <w:rPr>
          <w:rFonts w:eastAsiaTheme="minorEastAsia" w:hint="cs"/>
          <w:rtl/>
        </w:rPr>
        <w:t> </w:t>
      </w:r>
      <w:r w:rsidRPr="008A6C3A">
        <w:rPr>
          <w:rFonts w:eastAsiaTheme="minorEastAsia"/>
          <w:rtl/>
        </w:rPr>
        <w:t>الاختياري.</w:t>
      </w:r>
    </w:p>
    <w:p w14:paraId="638E303D" w14:textId="77777777" w:rsidR="008A6C3A" w:rsidRPr="008A6C3A" w:rsidRDefault="008A6C3A" w:rsidP="008A6C3A">
      <w:pPr>
        <w:pStyle w:val="SingleTxtGA"/>
        <w:rPr>
          <w:rFonts w:eastAsiaTheme="minorEastAsia"/>
          <w:lang w:eastAsia="zh-TW" w:bidi="en-GB"/>
        </w:rPr>
      </w:pPr>
      <w:r w:rsidRPr="00264BEB">
        <w:rPr>
          <w:rFonts w:eastAsiaTheme="minorEastAsia"/>
          <w:rtl/>
        </w:rPr>
        <w:t>9</w:t>
      </w:r>
      <w:r w:rsidRPr="008A6C3A">
        <w:rPr>
          <w:rFonts w:eastAsiaTheme="minorEastAsia"/>
          <w:rtl/>
        </w:rPr>
        <w:t>-</w:t>
      </w:r>
      <w:r w:rsidRPr="008A6C3A">
        <w:rPr>
          <w:rFonts w:eastAsiaTheme="minorEastAsia"/>
          <w:rtl/>
        </w:rPr>
        <w:tab/>
        <w:t>وبناءً عليه، تقرر اللجنة ما يلي:</w:t>
      </w:r>
    </w:p>
    <w:p w14:paraId="60DD92F0" w14:textId="77777777" w:rsidR="008A6C3A" w:rsidRPr="008A6C3A" w:rsidRDefault="008A6C3A" w:rsidP="008A6C3A">
      <w:pPr>
        <w:pStyle w:val="SingleTxtGA"/>
        <w:rPr>
          <w:rFonts w:eastAsiaTheme="minorEastAsia"/>
          <w:lang w:val="ar-SA" w:eastAsia="zh-TW" w:bidi="en-GB"/>
        </w:rPr>
      </w:pPr>
      <w:r w:rsidRPr="008A6C3A">
        <w:rPr>
          <w:rFonts w:eastAsiaTheme="minorEastAsia"/>
          <w:rtl/>
        </w:rPr>
        <w:tab/>
        <w:t>(أ)</w:t>
      </w:r>
      <w:r w:rsidRPr="008A6C3A">
        <w:rPr>
          <w:rFonts w:eastAsiaTheme="minorEastAsia"/>
          <w:rtl/>
        </w:rPr>
        <w:tab/>
        <w:t xml:space="preserve">أن البلاغ غير مقبول بموجب المادة </w:t>
      </w:r>
      <w:r w:rsidRPr="00264BEB">
        <w:rPr>
          <w:rFonts w:eastAsiaTheme="minorEastAsia"/>
          <w:rtl/>
        </w:rPr>
        <w:t>2</w:t>
      </w:r>
      <w:r w:rsidRPr="008A6C3A">
        <w:rPr>
          <w:rFonts w:eastAsiaTheme="minorEastAsia"/>
          <w:rtl/>
        </w:rPr>
        <w:t xml:space="preserve"> من البروتوكول الاختياري؛</w:t>
      </w:r>
    </w:p>
    <w:p w14:paraId="2F5AE7EA" w14:textId="77777777" w:rsidR="008A6C3A" w:rsidRPr="008A6C3A" w:rsidRDefault="008A6C3A" w:rsidP="008A6C3A">
      <w:pPr>
        <w:pStyle w:val="SingleTxtGA"/>
        <w:rPr>
          <w:rFonts w:eastAsiaTheme="minorEastAsia"/>
          <w:szCs w:val="20"/>
          <w:lang w:val="ar-SA" w:eastAsia="zh-TW" w:bidi="en-GB"/>
        </w:rPr>
      </w:pPr>
      <w:r w:rsidRPr="008A6C3A">
        <w:rPr>
          <w:rFonts w:eastAsiaTheme="minorEastAsia"/>
          <w:rtl/>
        </w:rPr>
        <w:tab/>
        <w:t>(ب)</w:t>
      </w:r>
      <w:r w:rsidRPr="008A6C3A">
        <w:rPr>
          <w:rFonts w:eastAsiaTheme="minorEastAsia"/>
          <w:rtl/>
        </w:rPr>
        <w:tab/>
        <w:t>إحالة هذا القرار إلى الدولة الطرف وإلى صاحبة البلاغ.</w:t>
      </w:r>
    </w:p>
    <w:p w14:paraId="3EF81B1E" w14:textId="4F3511DC" w:rsidR="008A6C3A" w:rsidRPr="008A6C3A" w:rsidRDefault="008A6C3A" w:rsidP="008A6C3A">
      <w:pPr>
        <w:pStyle w:val="SingleTxtGA"/>
        <w:jc w:val="center"/>
        <w:rPr>
          <w:u w:val="single"/>
          <w:rtl/>
        </w:rPr>
      </w:pPr>
      <w:r>
        <w:rPr>
          <w:u w:val="single"/>
          <w:rtl/>
        </w:rPr>
        <w:tab/>
      </w:r>
      <w:r>
        <w:rPr>
          <w:u w:val="single"/>
          <w:rtl/>
        </w:rPr>
        <w:tab/>
      </w:r>
      <w:r>
        <w:rPr>
          <w:u w:val="single"/>
          <w:rtl/>
        </w:rPr>
        <w:tab/>
      </w:r>
    </w:p>
    <w:sectPr w:rsidR="008A6C3A" w:rsidRPr="008A6C3A" w:rsidSect="003B1B8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DA5F" w14:textId="77777777" w:rsidR="00B97D49" w:rsidRPr="002901D9" w:rsidRDefault="00B97D49" w:rsidP="00DC4D4B">
      <w:pPr>
        <w:spacing w:after="60" w:line="240" w:lineRule="auto"/>
        <w:ind w:left="57"/>
        <w:rPr>
          <w:i/>
          <w:iCs/>
        </w:rPr>
      </w:pPr>
      <w:r>
        <w:rPr>
          <w:rFonts w:hint="cs"/>
          <w:i/>
          <w:iCs/>
          <w:rtl/>
        </w:rPr>
        <w:t>الحواشي</w:t>
      </w:r>
    </w:p>
  </w:endnote>
  <w:endnote w:type="continuationSeparator" w:id="0">
    <w:p w14:paraId="6E391B26" w14:textId="77777777" w:rsidR="00B97D49" w:rsidRDefault="00B97D4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0164" w14:textId="285B307C" w:rsidR="006A5C2F" w:rsidRPr="006A5C2F" w:rsidRDefault="006A5C2F" w:rsidP="006A5C2F">
    <w:pPr>
      <w:pStyle w:val="Footer"/>
      <w:tabs>
        <w:tab w:val="right" w:pos="9638"/>
      </w:tabs>
      <w:rPr>
        <w:b/>
        <w:sz w:val="18"/>
        <w:lang w:val="en-US"/>
      </w:rPr>
    </w:pPr>
    <w:r>
      <w:rPr>
        <w:lang w:val="en-US"/>
      </w:rPr>
      <w:t>GE.22-13070</w:t>
    </w:r>
    <w:r>
      <w:rPr>
        <w:lang w:val="en-US"/>
      </w:rPr>
      <w:tab/>
    </w:r>
    <w:r w:rsidRPr="006A5C2F">
      <w:rPr>
        <w:b/>
        <w:sz w:val="18"/>
        <w:lang w:val="en-US"/>
      </w:rPr>
      <w:fldChar w:fldCharType="begin"/>
    </w:r>
    <w:r w:rsidRPr="006A5C2F">
      <w:rPr>
        <w:b/>
        <w:sz w:val="18"/>
        <w:lang w:val="en-US"/>
      </w:rPr>
      <w:instrText xml:space="preserve"> PAGE  \* MERGEFORMAT </w:instrText>
    </w:r>
    <w:r w:rsidRPr="006A5C2F">
      <w:rPr>
        <w:b/>
        <w:sz w:val="18"/>
        <w:lang w:val="en-US"/>
      </w:rPr>
      <w:fldChar w:fldCharType="separate"/>
    </w:r>
    <w:r w:rsidRPr="006A5C2F">
      <w:rPr>
        <w:b/>
        <w:noProof/>
        <w:sz w:val="18"/>
        <w:lang w:val="en-US"/>
      </w:rPr>
      <w:t>2</w:t>
    </w:r>
    <w:r w:rsidRPr="006A5C2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74F0" w14:textId="61BE27CB" w:rsidR="006959B0" w:rsidRPr="006A5C2F" w:rsidRDefault="006A5C2F" w:rsidP="006A5C2F">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GE.22-13070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C31D" w14:textId="47E77FD9" w:rsidR="00DE50B1" w:rsidRPr="006A5C2F" w:rsidRDefault="006A5C2F" w:rsidP="006A5C2F">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36D47DB1" wp14:editId="739668D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22-13070 (A)</w:t>
    </w:r>
    <w:r>
      <w:rPr>
        <w:noProof/>
        <w:sz w:val="20"/>
        <w:lang w:val="en-US"/>
      </w:rPr>
      <w:drawing>
        <wp:anchor distT="0" distB="0" distL="114300" distR="114300" simplePos="0" relativeHeight="251659264" behindDoc="0" locked="0" layoutInCell="1" allowOverlap="1" wp14:anchorId="4C65AE6B" wp14:editId="2522751C">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52B5" w14:textId="77777777" w:rsidR="00B97D49" w:rsidRPr="008A49D2" w:rsidRDefault="00B97D49"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F8D455B" w14:textId="77777777" w:rsidR="00B97D49" w:rsidRDefault="00B97D49" w:rsidP="00656392">
      <w:pPr>
        <w:spacing w:line="240" w:lineRule="auto"/>
      </w:pPr>
      <w:r>
        <w:continuationSeparator/>
      </w:r>
    </w:p>
  </w:footnote>
  <w:footnote w:id="1">
    <w:p w14:paraId="56C886B3" w14:textId="5C98685B" w:rsidR="008A6C3A" w:rsidRPr="001A16E7" w:rsidRDefault="008A6C3A" w:rsidP="008A6C3A">
      <w:pPr>
        <w:pStyle w:val="FootnoteText1"/>
        <w:rPr>
          <w:rtl/>
        </w:rPr>
      </w:pPr>
      <w:r w:rsidRPr="008A7E21">
        <w:rPr>
          <w:sz w:val="20"/>
          <w:szCs w:val="20"/>
          <w:rtl/>
        </w:rPr>
        <w:t>*</w:t>
      </w:r>
      <w:r w:rsidRPr="001A16E7">
        <w:rPr>
          <w:rtl/>
        </w:rPr>
        <w:tab/>
      </w:r>
      <w:r w:rsidRPr="001A16E7">
        <w:rPr>
          <w:rFonts w:ascii="Simplified Arabic" w:hAnsi="Simplified Arabic"/>
          <w:rtl/>
        </w:rPr>
        <w:t xml:space="preserve">اعتمدته اللجنة في دورتها </w:t>
      </w:r>
      <w:r w:rsidRPr="00264BEB">
        <w:rPr>
          <w:rFonts w:ascii="Simplified Arabic" w:hAnsi="Simplified Arabic"/>
          <w:rtl/>
        </w:rPr>
        <w:t>134</w:t>
      </w:r>
      <w:r w:rsidRPr="001A16E7">
        <w:rPr>
          <w:rFonts w:ascii="Simplified Arabic" w:hAnsi="Simplified Arabic"/>
          <w:rtl/>
        </w:rPr>
        <w:t xml:space="preserve"> (</w:t>
      </w:r>
      <w:r w:rsidRPr="00264BEB">
        <w:rPr>
          <w:rFonts w:ascii="Simplified Arabic" w:hAnsi="Simplified Arabic"/>
          <w:rtl/>
        </w:rPr>
        <w:t>28</w:t>
      </w:r>
      <w:r w:rsidRPr="001A16E7">
        <w:rPr>
          <w:rFonts w:ascii="Simplified Arabic" w:hAnsi="Simplified Arabic"/>
          <w:rtl/>
        </w:rPr>
        <w:t xml:space="preserve"> شباط/فبراير -</w:t>
      </w:r>
      <w:r w:rsidR="00264BEB" w:rsidRPr="00264BEB">
        <w:rPr>
          <w:rFonts w:ascii="Simplified Arabic" w:hAnsi="Simplified Arabic" w:hint="cs"/>
          <w:rtl/>
        </w:rPr>
        <w:t xml:space="preserve"> </w:t>
      </w:r>
      <w:r w:rsidRPr="00264BEB">
        <w:rPr>
          <w:rFonts w:ascii="Simplified Arabic" w:hAnsi="Simplified Arabic"/>
          <w:rtl/>
        </w:rPr>
        <w:t>25</w:t>
      </w:r>
      <w:r w:rsidRPr="001A16E7">
        <w:rPr>
          <w:rFonts w:ascii="Simplified Arabic" w:hAnsi="Simplified Arabic"/>
          <w:rtl/>
        </w:rPr>
        <w:t xml:space="preserve"> آذار/مارس </w:t>
      </w:r>
      <w:r w:rsidRPr="00264BEB">
        <w:rPr>
          <w:rFonts w:ascii="Simplified Arabic" w:hAnsi="Simplified Arabic"/>
          <w:rtl/>
        </w:rPr>
        <w:t>2022</w:t>
      </w:r>
      <w:r w:rsidR="00264BEB" w:rsidRPr="00264BEB">
        <w:rPr>
          <w:rFonts w:ascii="Simplified Arabic" w:hAnsi="Simplified Arabic"/>
          <w:rtl/>
        </w:rPr>
        <w:t xml:space="preserve">). </w:t>
      </w:r>
    </w:p>
  </w:footnote>
  <w:footnote w:id="2">
    <w:p w14:paraId="2DFC3482" w14:textId="58FC8A11" w:rsidR="008A6C3A" w:rsidRPr="001A16E7" w:rsidRDefault="008A6C3A" w:rsidP="008A6C3A">
      <w:pPr>
        <w:pStyle w:val="FootnoteText1"/>
        <w:rPr>
          <w:rtl/>
        </w:rPr>
      </w:pPr>
      <w:r w:rsidRPr="008A7E21">
        <w:rPr>
          <w:sz w:val="20"/>
          <w:szCs w:val="20"/>
          <w:rtl/>
        </w:rPr>
        <w:t>**</w:t>
      </w:r>
      <w:r w:rsidRPr="001A16E7">
        <w:rPr>
          <w:rtl/>
        </w:rPr>
        <w:tab/>
      </w:r>
      <w:r w:rsidRPr="001A16E7">
        <w:rPr>
          <w:rFonts w:ascii="Simplified Arabic" w:hAnsi="Simplified Arabic"/>
          <w:rtl/>
        </w:rPr>
        <w:t xml:space="preserve">شارك في دراسة هذا البلاغ أعضاء اللجنة التالية أسماؤهم: تانيا ماريا عبدو </w:t>
      </w:r>
      <w:proofErr w:type="spellStart"/>
      <w:r w:rsidRPr="001A16E7">
        <w:rPr>
          <w:rFonts w:ascii="Simplified Arabic" w:hAnsi="Simplified Arabic"/>
          <w:rtl/>
        </w:rPr>
        <w:t>روشول</w:t>
      </w:r>
      <w:proofErr w:type="spellEnd"/>
      <w:r w:rsidRPr="001A16E7">
        <w:rPr>
          <w:rFonts w:ascii="Simplified Arabic" w:hAnsi="Simplified Arabic"/>
          <w:rtl/>
        </w:rPr>
        <w:t xml:space="preserve">، ووفاء أشرف محرم بسيم، وعياض بن عاشور، وعارف بلقان، ومحجوب الهيبة، </w:t>
      </w:r>
      <w:proofErr w:type="spellStart"/>
      <w:r w:rsidRPr="001A16E7">
        <w:rPr>
          <w:rFonts w:ascii="Simplified Arabic" w:hAnsi="Simplified Arabic"/>
          <w:rtl/>
        </w:rPr>
        <w:t>وفورويا</w:t>
      </w:r>
      <w:proofErr w:type="spellEnd"/>
      <w:r w:rsidRPr="001A16E7">
        <w:rPr>
          <w:rFonts w:ascii="Simplified Arabic" w:hAnsi="Simplified Arabic"/>
          <w:rtl/>
        </w:rPr>
        <w:t xml:space="preserve"> </w:t>
      </w:r>
      <w:proofErr w:type="spellStart"/>
      <w:r w:rsidRPr="001A16E7">
        <w:rPr>
          <w:rFonts w:ascii="Simplified Arabic" w:hAnsi="Simplified Arabic"/>
          <w:rtl/>
        </w:rPr>
        <w:t>شويتشي</w:t>
      </w:r>
      <w:proofErr w:type="spellEnd"/>
      <w:r w:rsidRPr="001A16E7">
        <w:rPr>
          <w:rFonts w:ascii="Simplified Arabic" w:hAnsi="Simplified Arabic"/>
          <w:rtl/>
        </w:rPr>
        <w:t xml:space="preserve">، وكارلوس غوميز مارتينيز، </w:t>
      </w:r>
      <w:proofErr w:type="spellStart"/>
      <w:r w:rsidRPr="001A16E7">
        <w:rPr>
          <w:rFonts w:ascii="Simplified Arabic" w:hAnsi="Simplified Arabic"/>
          <w:rtl/>
        </w:rPr>
        <w:t>ومارسيا</w:t>
      </w:r>
      <w:proofErr w:type="spellEnd"/>
      <w:r w:rsidRPr="001A16E7">
        <w:rPr>
          <w:rFonts w:ascii="Simplified Arabic" w:hAnsi="Simplified Arabic"/>
          <w:rtl/>
        </w:rPr>
        <w:t xml:space="preserve"> ف. ج. كران، </w:t>
      </w:r>
      <w:proofErr w:type="spellStart"/>
      <w:r w:rsidRPr="001A16E7">
        <w:rPr>
          <w:rFonts w:ascii="Simplified Arabic" w:hAnsi="Simplified Arabic"/>
          <w:rtl/>
        </w:rPr>
        <w:t>ودنكان</w:t>
      </w:r>
      <w:proofErr w:type="spellEnd"/>
      <w:r w:rsidRPr="001A16E7">
        <w:rPr>
          <w:rFonts w:ascii="Simplified Arabic" w:hAnsi="Simplified Arabic"/>
          <w:rtl/>
        </w:rPr>
        <w:t xml:space="preserve"> </w:t>
      </w:r>
      <w:proofErr w:type="spellStart"/>
      <w:r w:rsidRPr="001A16E7">
        <w:rPr>
          <w:rFonts w:ascii="Simplified Arabic" w:hAnsi="Simplified Arabic"/>
          <w:rtl/>
        </w:rPr>
        <w:t>لاكي</w:t>
      </w:r>
      <w:proofErr w:type="spellEnd"/>
      <w:r w:rsidRPr="001A16E7">
        <w:rPr>
          <w:rFonts w:ascii="Simplified Arabic" w:hAnsi="Simplified Arabic"/>
          <w:rtl/>
        </w:rPr>
        <w:t xml:space="preserve"> </w:t>
      </w:r>
      <w:proofErr w:type="spellStart"/>
      <w:r w:rsidRPr="001A16E7">
        <w:rPr>
          <w:rFonts w:ascii="Simplified Arabic" w:hAnsi="Simplified Arabic"/>
          <w:rtl/>
        </w:rPr>
        <w:t>موهوموزا</w:t>
      </w:r>
      <w:proofErr w:type="spellEnd"/>
      <w:r w:rsidRPr="001A16E7">
        <w:rPr>
          <w:rFonts w:ascii="Simplified Arabic" w:hAnsi="Simplified Arabic"/>
          <w:rtl/>
        </w:rPr>
        <w:t xml:space="preserve">، وفوتيني </w:t>
      </w:r>
      <w:proofErr w:type="spellStart"/>
      <w:r w:rsidRPr="001A16E7">
        <w:rPr>
          <w:rFonts w:ascii="Simplified Arabic" w:hAnsi="Simplified Arabic"/>
          <w:rtl/>
        </w:rPr>
        <w:t>بزارتزيس</w:t>
      </w:r>
      <w:proofErr w:type="spellEnd"/>
      <w:r w:rsidRPr="001A16E7">
        <w:rPr>
          <w:rFonts w:ascii="Simplified Arabic" w:hAnsi="Simplified Arabic"/>
          <w:rtl/>
        </w:rPr>
        <w:t xml:space="preserve">، </w:t>
      </w:r>
      <w:proofErr w:type="spellStart"/>
      <w:r w:rsidRPr="001A16E7">
        <w:rPr>
          <w:rFonts w:ascii="Simplified Arabic" w:hAnsi="Simplified Arabic"/>
          <w:rtl/>
        </w:rPr>
        <w:t>وهيرنان</w:t>
      </w:r>
      <w:proofErr w:type="spellEnd"/>
      <w:r w:rsidRPr="001A16E7">
        <w:rPr>
          <w:rFonts w:ascii="Simplified Arabic" w:hAnsi="Simplified Arabic"/>
          <w:rtl/>
        </w:rPr>
        <w:t xml:space="preserve"> </w:t>
      </w:r>
      <w:proofErr w:type="spellStart"/>
      <w:r w:rsidRPr="001A16E7">
        <w:rPr>
          <w:rFonts w:ascii="Simplified Arabic" w:hAnsi="Simplified Arabic"/>
          <w:rtl/>
        </w:rPr>
        <w:t>كيسادا</w:t>
      </w:r>
      <w:proofErr w:type="spellEnd"/>
      <w:r w:rsidRPr="001A16E7">
        <w:rPr>
          <w:rFonts w:ascii="Simplified Arabic" w:hAnsi="Simplified Arabic"/>
          <w:rtl/>
        </w:rPr>
        <w:t xml:space="preserve"> </w:t>
      </w:r>
      <w:proofErr w:type="spellStart"/>
      <w:r w:rsidRPr="001A16E7">
        <w:rPr>
          <w:rFonts w:ascii="Simplified Arabic" w:hAnsi="Simplified Arabic"/>
          <w:rtl/>
        </w:rPr>
        <w:t>كابريرا</w:t>
      </w:r>
      <w:proofErr w:type="spellEnd"/>
      <w:r w:rsidRPr="001A16E7">
        <w:rPr>
          <w:rFonts w:ascii="Simplified Arabic" w:hAnsi="Simplified Arabic"/>
          <w:rtl/>
        </w:rPr>
        <w:t xml:space="preserve">، </w:t>
      </w:r>
      <w:proofErr w:type="spellStart"/>
      <w:r w:rsidRPr="001A16E7">
        <w:rPr>
          <w:rFonts w:ascii="Simplified Arabic" w:hAnsi="Simplified Arabic"/>
          <w:rtl/>
        </w:rPr>
        <w:t>وفاسيلكا</w:t>
      </w:r>
      <w:proofErr w:type="spellEnd"/>
      <w:r w:rsidRPr="001A16E7">
        <w:rPr>
          <w:rFonts w:ascii="Simplified Arabic" w:hAnsi="Simplified Arabic"/>
          <w:rtl/>
        </w:rPr>
        <w:t xml:space="preserve"> </w:t>
      </w:r>
      <w:proofErr w:type="spellStart"/>
      <w:r w:rsidRPr="001A16E7">
        <w:rPr>
          <w:rFonts w:ascii="Simplified Arabic" w:hAnsi="Simplified Arabic"/>
          <w:rtl/>
        </w:rPr>
        <w:t>سانسين</w:t>
      </w:r>
      <w:proofErr w:type="spellEnd"/>
      <w:r w:rsidRPr="001A16E7">
        <w:rPr>
          <w:rFonts w:ascii="Simplified Arabic" w:hAnsi="Simplified Arabic"/>
          <w:rtl/>
        </w:rPr>
        <w:t xml:space="preserve">، وخوسيه مانويل سانتوس بيس، </w:t>
      </w:r>
      <w:proofErr w:type="spellStart"/>
      <w:r w:rsidRPr="001A16E7">
        <w:rPr>
          <w:rFonts w:ascii="Simplified Arabic" w:hAnsi="Simplified Arabic"/>
          <w:rtl/>
        </w:rPr>
        <w:t>وسوه</w:t>
      </w:r>
      <w:proofErr w:type="spellEnd"/>
      <w:r w:rsidRPr="001A16E7">
        <w:rPr>
          <w:rFonts w:ascii="Simplified Arabic" w:hAnsi="Simplified Arabic"/>
          <w:rtl/>
        </w:rPr>
        <w:t xml:space="preserve"> </w:t>
      </w:r>
      <w:proofErr w:type="spellStart"/>
      <w:r w:rsidRPr="001A16E7">
        <w:rPr>
          <w:rFonts w:ascii="Simplified Arabic" w:hAnsi="Simplified Arabic"/>
          <w:rtl/>
        </w:rPr>
        <w:t>تشانغروك</w:t>
      </w:r>
      <w:proofErr w:type="spellEnd"/>
      <w:r w:rsidRPr="001A16E7">
        <w:rPr>
          <w:rFonts w:ascii="Simplified Arabic" w:hAnsi="Simplified Arabic"/>
          <w:rtl/>
        </w:rPr>
        <w:t xml:space="preserve">، </w:t>
      </w:r>
      <w:proofErr w:type="spellStart"/>
      <w:r w:rsidRPr="001A16E7">
        <w:rPr>
          <w:rFonts w:ascii="Simplified Arabic" w:hAnsi="Simplified Arabic"/>
          <w:rtl/>
        </w:rPr>
        <w:t>وكوباوياه</w:t>
      </w:r>
      <w:proofErr w:type="spellEnd"/>
      <w:r w:rsidRPr="001A16E7">
        <w:rPr>
          <w:rFonts w:ascii="Simplified Arabic" w:hAnsi="Simplified Arabic"/>
          <w:rtl/>
        </w:rPr>
        <w:t xml:space="preserve"> </w:t>
      </w:r>
      <w:proofErr w:type="spellStart"/>
      <w:r w:rsidRPr="001A16E7">
        <w:rPr>
          <w:rFonts w:ascii="Simplified Arabic" w:hAnsi="Simplified Arabic"/>
          <w:rtl/>
        </w:rPr>
        <w:t>تشامدجا</w:t>
      </w:r>
      <w:proofErr w:type="spellEnd"/>
      <w:r w:rsidRPr="001A16E7">
        <w:rPr>
          <w:rFonts w:ascii="Simplified Arabic" w:hAnsi="Simplified Arabic"/>
          <w:rtl/>
        </w:rPr>
        <w:t xml:space="preserve"> </w:t>
      </w:r>
      <w:proofErr w:type="spellStart"/>
      <w:r w:rsidRPr="001A16E7">
        <w:rPr>
          <w:rFonts w:ascii="Simplified Arabic" w:hAnsi="Simplified Arabic"/>
          <w:rtl/>
        </w:rPr>
        <w:t>كباتشا</w:t>
      </w:r>
      <w:proofErr w:type="spellEnd"/>
      <w:r w:rsidRPr="001A16E7">
        <w:rPr>
          <w:rFonts w:ascii="Simplified Arabic" w:hAnsi="Simplified Arabic"/>
          <w:rtl/>
        </w:rPr>
        <w:t xml:space="preserve">، وإيلين </w:t>
      </w:r>
      <w:proofErr w:type="spellStart"/>
      <w:r w:rsidRPr="001A16E7">
        <w:rPr>
          <w:rFonts w:ascii="Simplified Arabic" w:hAnsi="Simplified Arabic"/>
          <w:rtl/>
        </w:rPr>
        <w:t>تيغرودجا</w:t>
      </w:r>
      <w:proofErr w:type="spellEnd"/>
      <w:r w:rsidRPr="001A16E7">
        <w:rPr>
          <w:rFonts w:ascii="Simplified Arabic" w:hAnsi="Simplified Arabic"/>
          <w:rtl/>
        </w:rPr>
        <w:t xml:space="preserve">، </w:t>
      </w:r>
      <w:proofErr w:type="spellStart"/>
      <w:r w:rsidRPr="001A16E7">
        <w:rPr>
          <w:rFonts w:ascii="Simplified Arabic" w:hAnsi="Simplified Arabic"/>
          <w:rtl/>
        </w:rPr>
        <w:t>وإيميرو</w:t>
      </w:r>
      <w:proofErr w:type="spellEnd"/>
      <w:r w:rsidRPr="001A16E7">
        <w:rPr>
          <w:rFonts w:ascii="Simplified Arabic" w:hAnsi="Simplified Arabic"/>
          <w:rtl/>
        </w:rPr>
        <w:t xml:space="preserve"> </w:t>
      </w:r>
      <w:proofErr w:type="spellStart"/>
      <w:r w:rsidRPr="001A16E7">
        <w:rPr>
          <w:rFonts w:ascii="Simplified Arabic" w:hAnsi="Simplified Arabic"/>
          <w:rtl/>
        </w:rPr>
        <w:t>تاميرات</w:t>
      </w:r>
      <w:proofErr w:type="spellEnd"/>
      <w:r w:rsidRPr="001A16E7">
        <w:rPr>
          <w:rFonts w:ascii="Simplified Arabic" w:hAnsi="Simplified Arabic"/>
          <w:rtl/>
        </w:rPr>
        <w:t xml:space="preserve"> </w:t>
      </w:r>
      <w:proofErr w:type="spellStart"/>
      <w:r w:rsidRPr="001A16E7">
        <w:rPr>
          <w:rFonts w:ascii="Simplified Arabic" w:hAnsi="Simplified Arabic"/>
          <w:rtl/>
        </w:rPr>
        <w:t>إغيزو</w:t>
      </w:r>
      <w:proofErr w:type="spellEnd"/>
      <w:r w:rsidRPr="001A16E7">
        <w:rPr>
          <w:rFonts w:ascii="Simplified Arabic" w:hAnsi="Simplified Arabic"/>
          <w:rtl/>
        </w:rPr>
        <w:t xml:space="preserve">، </w:t>
      </w:r>
      <w:proofErr w:type="spellStart"/>
      <w:r w:rsidRPr="001A16E7">
        <w:rPr>
          <w:rFonts w:ascii="Simplified Arabic" w:hAnsi="Simplified Arabic"/>
          <w:rtl/>
        </w:rPr>
        <w:t>وجينتيان</w:t>
      </w:r>
      <w:proofErr w:type="spellEnd"/>
      <w:r w:rsidRPr="001A16E7">
        <w:rPr>
          <w:rFonts w:ascii="Simplified Arabic" w:hAnsi="Simplified Arabic"/>
          <w:rtl/>
        </w:rPr>
        <w:t xml:space="preserve"> زبيري</w:t>
      </w:r>
      <w:r w:rsidR="00264BEB">
        <w:rPr>
          <w:rFonts w:ascii="Simplified Arabic" w:hAnsi="Simplified Arabic"/>
          <w:rtl/>
        </w:rPr>
        <w:t xml:space="preserve">. </w:t>
      </w:r>
    </w:p>
  </w:footnote>
  <w:footnote w:id="3">
    <w:p w14:paraId="298CDB47" w14:textId="77777777" w:rsidR="00264BEB" w:rsidRPr="001A16E7" w:rsidRDefault="00264BEB" w:rsidP="001A16E7">
      <w:pPr>
        <w:pStyle w:val="FootnoteText1"/>
        <w:textDirection w:val="tbRlV"/>
        <w:rPr>
          <w:rFonts w:ascii="Simplified Arabic" w:hAnsi="Simplified Arabic"/>
          <w:lang w:val="ar-SA" w:eastAsia="zh-TW" w:bidi="en-GB"/>
        </w:rPr>
      </w:pPr>
      <w:r w:rsidRPr="00264BEB">
        <w:rPr>
          <w:rStyle w:val="FootnoteReference"/>
          <w:rFonts w:ascii="Simplified Arabic" w:hAnsi="Simplified Arabic"/>
          <w:vertAlign w:val="baseline"/>
          <w:rtl/>
        </w:rPr>
        <w:t>(</w:t>
      </w:r>
      <w:r w:rsidRPr="00264BEB">
        <w:rPr>
          <w:rStyle w:val="FootnoteReference"/>
          <w:rFonts w:ascii="Simplified Arabic" w:hAnsi="Simplified Arabic"/>
          <w:vertAlign w:val="baseline"/>
        </w:rPr>
        <w:footnoteRef/>
      </w:r>
      <w:r w:rsidRPr="00264BEB">
        <w:rPr>
          <w:rStyle w:val="FootnoteReference"/>
          <w:rFonts w:ascii="Simplified Arabic" w:hAnsi="Simplified Arabic"/>
          <w:vertAlign w:val="baseline"/>
          <w:rtl/>
        </w:rPr>
        <w:t>)</w:t>
      </w:r>
      <w:r w:rsidRPr="001A16E7">
        <w:rPr>
          <w:rFonts w:ascii="Simplified Arabic" w:hAnsi="Simplified Arabic"/>
          <w:rtl/>
        </w:rPr>
        <w:tab/>
      </w:r>
      <w:r w:rsidRPr="001A16E7">
        <w:rPr>
          <w:rtl/>
        </w:rPr>
        <w:t>المسؤولية</w:t>
      </w:r>
      <w:r w:rsidRPr="001A16E7">
        <w:rPr>
          <w:rFonts w:ascii="Simplified Arabic" w:hAnsi="Simplified Arabic"/>
          <w:rtl/>
        </w:rPr>
        <w:t xml:space="preserve"> عن التسبب في إصابات جسدية خفيفة عمداً</w:t>
      </w:r>
      <w:r>
        <w:rPr>
          <w:rFonts w:ascii="Simplified Arabic" w:hAnsi="Simplified Arabic"/>
          <w:rtl/>
        </w:rPr>
        <w:t xml:space="preserve">. </w:t>
      </w:r>
    </w:p>
  </w:footnote>
  <w:footnote w:id="4">
    <w:p w14:paraId="57CD06A0" w14:textId="77777777" w:rsidR="00264BEB" w:rsidRPr="001A16E7" w:rsidRDefault="00264BEB" w:rsidP="001A16E7">
      <w:pPr>
        <w:pStyle w:val="FootnoteText1"/>
        <w:textDirection w:val="tbRlV"/>
        <w:rPr>
          <w:rFonts w:ascii="Simplified Arabic" w:hAnsi="Simplified Arabic"/>
          <w:lang w:val="ar-SA" w:eastAsia="zh-TW" w:bidi="en-GB"/>
        </w:rPr>
      </w:pPr>
      <w:r w:rsidRPr="00264BEB">
        <w:rPr>
          <w:rStyle w:val="FootnoteReference"/>
          <w:rFonts w:ascii="Simplified Arabic" w:hAnsi="Simplified Arabic"/>
          <w:vertAlign w:val="baseline"/>
          <w:rtl/>
        </w:rPr>
        <w:t>(</w:t>
      </w:r>
      <w:r w:rsidRPr="00264BEB">
        <w:rPr>
          <w:rStyle w:val="FootnoteReference"/>
          <w:rFonts w:ascii="Simplified Arabic" w:hAnsi="Simplified Arabic"/>
          <w:vertAlign w:val="baseline"/>
        </w:rPr>
        <w:footnoteRef/>
      </w:r>
      <w:r w:rsidRPr="00264BEB">
        <w:rPr>
          <w:rStyle w:val="FootnoteReference"/>
          <w:rFonts w:ascii="Simplified Arabic" w:hAnsi="Simplified Arabic"/>
          <w:vertAlign w:val="baseline"/>
          <w:rtl/>
        </w:rPr>
        <w:t>)</w:t>
      </w:r>
      <w:r w:rsidRPr="001A16E7">
        <w:rPr>
          <w:rFonts w:ascii="Simplified Arabic" w:hAnsi="Simplified Arabic"/>
          <w:rtl/>
        </w:rPr>
        <w:tab/>
        <w:t xml:space="preserve">كان هذا المبلغ يعادل </w:t>
      </w:r>
      <w:r w:rsidRPr="00264BEB">
        <w:rPr>
          <w:rFonts w:ascii="Simplified Arabic" w:hAnsi="Simplified Arabic"/>
          <w:rtl/>
        </w:rPr>
        <w:t>160</w:t>
      </w:r>
      <w:r w:rsidRPr="001A16E7">
        <w:rPr>
          <w:rFonts w:ascii="Simplified Arabic" w:hAnsi="Simplified Arabic"/>
          <w:rtl/>
        </w:rPr>
        <w:t xml:space="preserve"> </w:t>
      </w:r>
      <w:r w:rsidRPr="00264BEB">
        <w:rPr>
          <w:rFonts w:ascii="Simplified Arabic" w:hAnsi="Simplified Arabic"/>
          <w:rtl/>
        </w:rPr>
        <w:t>1</w:t>
      </w:r>
      <w:r w:rsidRPr="001A16E7">
        <w:rPr>
          <w:rFonts w:ascii="Simplified Arabic" w:hAnsi="Simplified Arabic"/>
          <w:rtl/>
        </w:rPr>
        <w:t xml:space="preserve"> دولاراً تقريباً وقت جلسة الاستماع الإدارية</w:t>
      </w:r>
      <w:r>
        <w:rPr>
          <w:rFonts w:ascii="Simplified Arabic" w:hAnsi="Simplified Arabic"/>
          <w:rtl/>
        </w:rPr>
        <w:t xml:space="preserve">. </w:t>
      </w:r>
    </w:p>
  </w:footnote>
  <w:footnote w:id="5">
    <w:p w14:paraId="0E66F1C2" w14:textId="77777777" w:rsidR="00264BEB" w:rsidRPr="001A16E7" w:rsidRDefault="00264BEB" w:rsidP="001A16E7">
      <w:pPr>
        <w:pStyle w:val="FootnoteText1"/>
        <w:textDirection w:val="tbRlV"/>
        <w:rPr>
          <w:rFonts w:ascii="Simplified Arabic" w:hAnsi="Simplified Arabic"/>
          <w:lang w:eastAsia="zh-TW" w:bidi="en-GB"/>
        </w:rPr>
      </w:pPr>
      <w:r w:rsidRPr="00264BEB">
        <w:rPr>
          <w:rStyle w:val="FootnoteReference"/>
          <w:rFonts w:ascii="Simplified Arabic" w:hAnsi="Simplified Arabic"/>
          <w:vertAlign w:val="baseline"/>
          <w:rtl/>
        </w:rPr>
        <w:t>(</w:t>
      </w:r>
      <w:r w:rsidRPr="00264BEB">
        <w:rPr>
          <w:rStyle w:val="FootnoteReference"/>
          <w:rFonts w:ascii="Simplified Arabic" w:hAnsi="Simplified Arabic"/>
          <w:vertAlign w:val="baseline"/>
        </w:rPr>
        <w:footnoteRef/>
      </w:r>
      <w:r w:rsidRPr="00264BEB">
        <w:rPr>
          <w:rStyle w:val="FootnoteReference"/>
          <w:rFonts w:ascii="Simplified Arabic" w:hAnsi="Simplified Arabic"/>
          <w:vertAlign w:val="baseline"/>
          <w:rtl/>
        </w:rPr>
        <w:t>)</w:t>
      </w:r>
      <w:r w:rsidRPr="001A16E7">
        <w:rPr>
          <w:rFonts w:ascii="Simplified Arabic" w:hAnsi="Simplified Arabic"/>
          <w:rtl/>
        </w:rPr>
        <w:tab/>
      </w:r>
      <w:r w:rsidRPr="001A16E7">
        <w:rPr>
          <w:rtl/>
        </w:rPr>
        <w:t>قدمت</w:t>
      </w:r>
      <w:r w:rsidRPr="001A16E7">
        <w:rPr>
          <w:rFonts w:ascii="Simplified Arabic" w:hAnsi="Simplified Arabic"/>
          <w:rtl/>
        </w:rPr>
        <w:t xml:space="preserve"> صاحبة البلاغ تقرير طبيب شرعي. ورغم فحص صاحبة البلاغ في </w:t>
      </w:r>
      <w:r w:rsidRPr="00264BEB">
        <w:rPr>
          <w:rFonts w:ascii="Simplified Arabic" w:hAnsi="Simplified Arabic"/>
          <w:rtl/>
        </w:rPr>
        <w:t>18</w:t>
      </w:r>
      <w:r w:rsidRPr="001A16E7">
        <w:rPr>
          <w:rFonts w:ascii="Simplified Arabic" w:hAnsi="Simplified Arabic"/>
          <w:rtl/>
        </w:rPr>
        <w:t xml:space="preserve"> كانون الأول/ديسمبر </w:t>
      </w:r>
      <w:r w:rsidRPr="00264BEB">
        <w:rPr>
          <w:rFonts w:ascii="Simplified Arabic" w:hAnsi="Simplified Arabic"/>
          <w:rtl/>
        </w:rPr>
        <w:t>2013</w:t>
      </w:r>
      <w:r w:rsidRPr="001A16E7">
        <w:rPr>
          <w:rFonts w:ascii="Simplified Arabic" w:hAnsi="Simplified Arabic"/>
          <w:rtl/>
        </w:rPr>
        <w:t xml:space="preserve">، فقد صدر التقرير بعد يومين في </w:t>
      </w:r>
      <w:r w:rsidRPr="00264BEB">
        <w:rPr>
          <w:rFonts w:ascii="Simplified Arabic" w:hAnsi="Simplified Arabic"/>
          <w:rtl/>
        </w:rPr>
        <w:t>20</w:t>
      </w:r>
      <w:r w:rsidRPr="001A16E7">
        <w:rPr>
          <w:rFonts w:ascii="Simplified Arabic" w:hAnsi="Simplified Arabic"/>
          <w:rtl/>
        </w:rPr>
        <w:t xml:space="preserve"> كانون الأول/ديسمبر </w:t>
      </w:r>
      <w:r w:rsidRPr="00264BEB">
        <w:rPr>
          <w:rFonts w:ascii="Simplified Arabic" w:hAnsi="Simplified Arabic"/>
          <w:rtl/>
        </w:rPr>
        <w:t xml:space="preserve">2013. </w:t>
      </w:r>
    </w:p>
  </w:footnote>
  <w:footnote w:id="6">
    <w:p w14:paraId="02EB15E0" w14:textId="77777777" w:rsidR="00264BEB" w:rsidRPr="001A16E7" w:rsidRDefault="00264BEB" w:rsidP="008A6C3A">
      <w:pPr>
        <w:pStyle w:val="FootnoteText1"/>
        <w:textDirection w:val="tbRlV"/>
        <w:rPr>
          <w:rFonts w:ascii="Simplified Arabic" w:hAnsi="Simplified Arabic"/>
          <w:rtl/>
          <w:lang w:eastAsia="zh-TW"/>
        </w:rPr>
      </w:pPr>
      <w:r w:rsidRPr="00264BEB">
        <w:rPr>
          <w:rStyle w:val="FootnoteReference"/>
          <w:rFonts w:ascii="Simplified Arabic" w:hAnsi="Simplified Arabic"/>
          <w:vertAlign w:val="baseline"/>
          <w:rtl/>
        </w:rPr>
        <w:t>(</w:t>
      </w:r>
      <w:r w:rsidRPr="00264BEB">
        <w:rPr>
          <w:rStyle w:val="FootnoteReference"/>
          <w:rFonts w:ascii="Simplified Arabic" w:hAnsi="Simplified Arabic"/>
          <w:vertAlign w:val="baseline"/>
        </w:rPr>
        <w:footnoteRef/>
      </w:r>
      <w:r w:rsidRPr="00264BEB">
        <w:rPr>
          <w:rStyle w:val="FootnoteReference"/>
          <w:rFonts w:ascii="Simplified Arabic" w:hAnsi="Simplified Arabic"/>
          <w:vertAlign w:val="baseline"/>
          <w:rtl/>
        </w:rPr>
        <w:t>)</w:t>
      </w:r>
      <w:r w:rsidRPr="001A16E7">
        <w:rPr>
          <w:rFonts w:ascii="Simplified Arabic" w:hAnsi="Simplified Arabic"/>
          <w:rtl/>
        </w:rPr>
        <w:tab/>
        <w:t xml:space="preserve">تحيل الدولة الطرف إلى المادة </w:t>
      </w:r>
      <w:r w:rsidRPr="00264BEB">
        <w:rPr>
          <w:rFonts w:ascii="Simplified Arabic" w:hAnsi="Simplified Arabic"/>
          <w:rtl/>
        </w:rPr>
        <w:t>109</w:t>
      </w:r>
      <w:r w:rsidRPr="001A16E7">
        <w:rPr>
          <w:rFonts w:ascii="Simplified Arabic" w:hAnsi="Simplified Arabic"/>
          <w:rtl/>
        </w:rPr>
        <w:t xml:space="preserve"> (المادة </w:t>
      </w:r>
      <w:r w:rsidRPr="00264BEB">
        <w:rPr>
          <w:rFonts w:ascii="Simplified Arabic" w:hAnsi="Simplified Arabic"/>
          <w:rtl/>
        </w:rPr>
        <w:t>106</w:t>
      </w:r>
      <w:r w:rsidRPr="001A16E7">
        <w:rPr>
          <w:rFonts w:ascii="Simplified Arabic" w:hAnsi="Simplified Arabic"/>
          <w:rtl/>
        </w:rPr>
        <w:t xml:space="preserve"> في الصيغة المعدلة) بشأن الإجراء القضائي للنظر في الشكاوى المتعلقة بإجراءات (أو غياب إجراءات) المدعي العام وسلطات التحقيق وهيئات التحري وقرارات هذه الجهات</w:t>
      </w:r>
      <w:r>
        <w:rPr>
          <w:rFonts w:ascii="Simplified Arabic" w:hAnsi="Simplified Arabic"/>
          <w:rtl/>
        </w:rPr>
        <w:t xml:space="preserve">. </w:t>
      </w:r>
    </w:p>
  </w:footnote>
  <w:footnote w:id="7">
    <w:p w14:paraId="73376A64" w14:textId="77777777" w:rsidR="00264BEB" w:rsidRPr="001A16E7" w:rsidRDefault="00264BEB" w:rsidP="00264BEB">
      <w:pPr>
        <w:pStyle w:val="FootnoteText1"/>
        <w:textDirection w:val="tbRlV"/>
        <w:rPr>
          <w:szCs w:val="20"/>
          <w:lang w:eastAsia="zh-TW" w:bidi="en-GB"/>
        </w:rPr>
      </w:pPr>
      <w:r w:rsidRPr="00264BEB">
        <w:rPr>
          <w:rStyle w:val="FootnoteReference"/>
          <w:rFonts w:ascii="Simplified Arabic" w:hAnsi="Simplified Arabic"/>
          <w:vertAlign w:val="baseline"/>
          <w:rtl/>
        </w:rPr>
        <w:t>(</w:t>
      </w:r>
      <w:r w:rsidRPr="00264BEB">
        <w:rPr>
          <w:rStyle w:val="FootnoteReference"/>
          <w:rFonts w:ascii="Simplified Arabic" w:hAnsi="Simplified Arabic"/>
          <w:vertAlign w:val="baseline"/>
        </w:rPr>
        <w:footnoteRef/>
      </w:r>
      <w:r w:rsidRPr="00264BEB">
        <w:rPr>
          <w:rStyle w:val="FootnoteReference"/>
          <w:rFonts w:ascii="Simplified Arabic" w:hAnsi="Simplified Arabic"/>
          <w:vertAlign w:val="baseline"/>
          <w:rtl/>
        </w:rPr>
        <w:t>)</w:t>
      </w:r>
      <w:r w:rsidRPr="001A16E7">
        <w:rPr>
          <w:rFonts w:ascii="Simplified Arabic" w:hAnsi="Simplified Arabic"/>
          <w:rtl/>
        </w:rPr>
        <w:tab/>
      </w:r>
      <w:hyperlink r:id="rId1" w:history="1">
        <w:r w:rsidRPr="00264BEB">
          <w:rPr>
            <w:rStyle w:val="Hyperlink"/>
          </w:rPr>
          <w:t>CCPR/C/3/Rev.10</w:t>
        </w:r>
      </w:hyperlink>
      <w:r w:rsidRPr="001A16E7">
        <w:rPr>
          <w:rFonts w:ascii="Simplified Arabic" w:hAnsi="Simplified Arabic"/>
          <w:rtl/>
        </w:rPr>
        <w:t xml:space="preserve"> (منسوخة الآن</w:t>
      </w:r>
      <w:r w:rsidRPr="00264BEB">
        <w:rPr>
          <w:rFonts w:ascii="Simplified Arabic" w:hAnsi="Simplified Arabic"/>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2A70" w14:textId="6C136997" w:rsidR="006A5C2F" w:rsidRPr="006A5C2F" w:rsidRDefault="006A5C2F" w:rsidP="006A5C2F">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CCPR/C/134/D/2849/2016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84B4" w14:textId="47262FF5" w:rsidR="006A5C2F" w:rsidRPr="006A5C2F" w:rsidRDefault="006A5C2F" w:rsidP="006A5C2F">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CCPR/C/134/D/2849/2016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49"/>
    <w:rsid w:val="000076D5"/>
    <w:rsid w:val="00043663"/>
    <w:rsid w:val="000437B8"/>
    <w:rsid w:val="000505CF"/>
    <w:rsid w:val="000D701C"/>
    <w:rsid w:val="000E2A71"/>
    <w:rsid w:val="00145577"/>
    <w:rsid w:val="00156C2B"/>
    <w:rsid w:val="00160263"/>
    <w:rsid w:val="00181F96"/>
    <w:rsid w:val="001872B1"/>
    <w:rsid w:val="00193217"/>
    <w:rsid w:val="001A1371"/>
    <w:rsid w:val="001A16E7"/>
    <w:rsid w:val="001B043F"/>
    <w:rsid w:val="001B346A"/>
    <w:rsid w:val="001E1CAD"/>
    <w:rsid w:val="001E290D"/>
    <w:rsid w:val="002144FA"/>
    <w:rsid w:val="0023469A"/>
    <w:rsid w:val="00243C8A"/>
    <w:rsid w:val="00264BEB"/>
    <w:rsid w:val="00267A0E"/>
    <w:rsid w:val="00275B74"/>
    <w:rsid w:val="002901D9"/>
    <w:rsid w:val="002976C2"/>
    <w:rsid w:val="002F7F11"/>
    <w:rsid w:val="003068BC"/>
    <w:rsid w:val="003260FF"/>
    <w:rsid w:val="00343D95"/>
    <w:rsid w:val="00363A18"/>
    <w:rsid w:val="00374341"/>
    <w:rsid w:val="003B1B8A"/>
    <w:rsid w:val="003B4237"/>
    <w:rsid w:val="003D1062"/>
    <w:rsid w:val="00402051"/>
    <w:rsid w:val="00420D7B"/>
    <w:rsid w:val="00450B21"/>
    <w:rsid w:val="00453B63"/>
    <w:rsid w:val="00455780"/>
    <w:rsid w:val="0046323F"/>
    <w:rsid w:val="004B0A1C"/>
    <w:rsid w:val="004B27E0"/>
    <w:rsid w:val="004D298E"/>
    <w:rsid w:val="005044B3"/>
    <w:rsid w:val="00517BC9"/>
    <w:rsid w:val="0054472E"/>
    <w:rsid w:val="00556FA0"/>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2383C"/>
    <w:rsid w:val="00652221"/>
    <w:rsid w:val="00656392"/>
    <w:rsid w:val="006645EC"/>
    <w:rsid w:val="0068781D"/>
    <w:rsid w:val="006959B0"/>
    <w:rsid w:val="006A5C2F"/>
    <w:rsid w:val="006B3E27"/>
    <w:rsid w:val="006B6507"/>
    <w:rsid w:val="006C104C"/>
    <w:rsid w:val="006C632E"/>
    <w:rsid w:val="00717FB3"/>
    <w:rsid w:val="00730446"/>
    <w:rsid w:val="00733704"/>
    <w:rsid w:val="0078071A"/>
    <w:rsid w:val="00787022"/>
    <w:rsid w:val="00787E1E"/>
    <w:rsid w:val="00835C9F"/>
    <w:rsid w:val="00852A9A"/>
    <w:rsid w:val="008A49D2"/>
    <w:rsid w:val="008A6C3A"/>
    <w:rsid w:val="008A7E21"/>
    <w:rsid w:val="008F49E1"/>
    <w:rsid w:val="0090370F"/>
    <w:rsid w:val="009077C3"/>
    <w:rsid w:val="009269D2"/>
    <w:rsid w:val="00942135"/>
    <w:rsid w:val="009521B0"/>
    <w:rsid w:val="00957437"/>
    <w:rsid w:val="00982139"/>
    <w:rsid w:val="009867A8"/>
    <w:rsid w:val="00987932"/>
    <w:rsid w:val="00991F44"/>
    <w:rsid w:val="00996849"/>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97D49"/>
    <w:rsid w:val="00BB09A0"/>
    <w:rsid w:val="00C175A6"/>
    <w:rsid w:val="00C41DCF"/>
    <w:rsid w:val="00C42AF7"/>
    <w:rsid w:val="00C438D7"/>
    <w:rsid w:val="00C53978"/>
    <w:rsid w:val="00C62C20"/>
    <w:rsid w:val="00C80139"/>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A3EB3B"/>
  <w15:docId w15:val="{8BD1E9A9-C6B0-4A90-889D-43B608C8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customStyle="1" w:styleId="HChG">
    <w:name w:val="_ H _Ch_G"/>
    <w:basedOn w:val="Normal"/>
    <w:next w:val="Normal"/>
    <w:rsid w:val="008A6C3A"/>
    <w:pPr>
      <w:keepNext/>
      <w:keepLines/>
      <w:tabs>
        <w:tab w:val="right" w:pos="851"/>
      </w:tabs>
      <w:suppressAutoHyphens/>
      <w:bidi w:val="0"/>
      <w:spacing w:before="360" w:after="240" w:line="300" w:lineRule="exact"/>
      <w:ind w:left="1134" w:right="1134" w:hanging="1134"/>
      <w:jc w:val="left"/>
      <w:outlineLvl w:val="1"/>
    </w:pPr>
    <w:rPr>
      <w:rFonts w:eastAsia="SimSun" w:hAnsiTheme="minorHAnsi" w:cs="Traditional Arabic" w:hint="cs"/>
      <w:b/>
      <w:sz w:val="28"/>
      <w:szCs w:val="30"/>
      <w:lang w:val="en-GB" w:eastAsia="zh-CN"/>
    </w:rPr>
  </w:style>
  <w:style w:type="paragraph" w:customStyle="1" w:styleId="H23G">
    <w:name w:val="_ H_2/3_G"/>
    <w:basedOn w:val="Normal"/>
    <w:next w:val="Normal"/>
    <w:qFormat/>
    <w:rsid w:val="008A6C3A"/>
    <w:pPr>
      <w:keepNext/>
      <w:keepLines/>
      <w:tabs>
        <w:tab w:val="right" w:pos="851"/>
      </w:tabs>
      <w:bidi w:val="0"/>
      <w:spacing w:before="240" w:after="120" w:line="240" w:lineRule="exact"/>
      <w:ind w:left="1134" w:right="1134" w:hanging="1134"/>
      <w:jc w:val="left"/>
      <w:outlineLvl w:val="3"/>
    </w:pPr>
    <w:rPr>
      <w:rFonts w:eastAsia="SimSun" w:hAnsiTheme="minorHAnsi" w:cs="Traditional Arabic" w:hint="cs"/>
      <w:b/>
      <w:szCs w:val="30"/>
      <w:lang w:val="en-GB" w:eastAsia="zh-CN"/>
    </w:rPr>
  </w:style>
  <w:style w:type="paragraph" w:customStyle="1" w:styleId="H4G">
    <w:name w:val="_ H_4_G"/>
    <w:basedOn w:val="Normal"/>
    <w:next w:val="Normal"/>
    <w:rsid w:val="008A6C3A"/>
    <w:pPr>
      <w:keepNext/>
      <w:keepLines/>
      <w:tabs>
        <w:tab w:val="right" w:pos="851"/>
      </w:tabs>
      <w:suppressAutoHyphens/>
      <w:bidi w:val="0"/>
      <w:spacing w:before="240" w:after="120" w:line="240" w:lineRule="exact"/>
      <w:ind w:left="1134" w:right="1134" w:hanging="1134"/>
      <w:jc w:val="left"/>
      <w:outlineLvl w:val="4"/>
    </w:pPr>
    <w:rPr>
      <w:rFonts w:eastAsia="SimSun" w:hAnsiTheme="minorHAnsi" w:cs="Traditional Arabic" w:hint="cs"/>
      <w:i/>
      <w:szCs w:val="30"/>
      <w:lang w:val="en-GB" w:eastAsia="zh-CN"/>
    </w:rPr>
  </w:style>
  <w:style w:type="paragraph" w:customStyle="1" w:styleId="SingleTxtG">
    <w:name w:val="_ Single Txt_G"/>
    <w:basedOn w:val="Normal"/>
    <w:link w:val="SingleTxtGChar"/>
    <w:rsid w:val="008A6C3A"/>
    <w:pPr>
      <w:tabs>
        <w:tab w:val="left" w:pos="1701"/>
        <w:tab w:val="left" w:pos="2268"/>
      </w:tabs>
      <w:suppressAutoHyphens/>
      <w:bidi w:val="0"/>
      <w:spacing w:after="120"/>
      <w:ind w:left="1134" w:right="1134"/>
      <w:jc w:val="both"/>
    </w:pPr>
    <w:rPr>
      <w:rFonts w:eastAsia="SimSun" w:hAnsiTheme="minorHAnsi" w:cs="Traditional Arabic"/>
      <w:szCs w:val="30"/>
      <w:lang w:val="en-GB" w:eastAsia="zh-CN"/>
    </w:rPr>
  </w:style>
  <w:style w:type="paragraph" w:styleId="FootnoteText">
    <w:name w:val="footnote text"/>
    <w:aliases w:val="5_G"/>
    <w:basedOn w:val="Normal"/>
    <w:link w:val="FootnoteTextChar"/>
    <w:rsid w:val="008A6C3A"/>
    <w:pPr>
      <w:tabs>
        <w:tab w:val="right" w:pos="1021"/>
      </w:tabs>
      <w:suppressAutoHyphens/>
      <w:bidi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
    <w:basedOn w:val="DefaultParagraphFont"/>
    <w:link w:val="FootnoteText"/>
    <w:rsid w:val="008A6C3A"/>
    <w:rPr>
      <w:rFonts w:ascii="Times New Roman" w:eastAsia="SimSun" w:hAnsiTheme="minorHAnsi" w:cs="Traditional Arabic"/>
      <w:sz w:val="18"/>
      <w:szCs w:val="30"/>
      <w:lang w:val="en-GB" w:eastAsia="zh-CN"/>
    </w:rPr>
  </w:style>
  <w:style w:type="character" w:styleId="FootnoteReference">
    <w:name w:val="footnote reference"/>
    <w:aliases w:val="4_G"/>
    <w:rsid w:val="008A6C3A"/>
    <w:rPr>
      <w:rFonts w:ascii="Times New Roman" w:hAnsi="Times New Roman"/>
      <w:sz w:val="18"/>
      <w:vertAlign w:val="superscript"/>
    </w:rPr>
  </w:style>
  <w:style w:type="character" w:customStyle="1" w:styleId="SingleTxtGChar">
    <w:name w:val="_ Single Txt_G Char"/>
    <w:link w:val="SingleTxtG"/>
    <w:locked/>
    <w:rsid w:val="008A6C3A"/>
    <w:rPr>
      <w:rFonts w:ascii="Times New Roman" w:eastAsia="SimSun" w:hAnsiTheme="minorHAnsi" w:cs="Traditional Arabic"/>
      <w:szCs w:val="30"/>
      <w:lang w:val="en-GB" w:eastAsia="zh-CN"/>
    </w:rPr>
  </w:style>
  <w:style w:type="character" w:styleId="UnresolvedMention">
    <w:name w:val="Unresolved Mention"/>
    <w:basedOn w:val="DefaultParagraphFont"/>
    <w:uiPriority w:val="99"/>
    <w:semiHidden/>
    <w:unhideWhenUsed/>
    <w:rsid w:val="00264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ar/CCPR/C/3/Rev.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CCPR/C/134/D/2849/2016</vt:lpstr>
    </vt:vector>
  </TitlesOfParts>
  <Company>DCM</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CCPR/C/134/D/2849/2016</dc:title>
  <dc:subject>GE.2213070(A)</dc:subject>
  <dc:creator>Muntaha BUHNAM - </dc:creator>
  <cp:keywords>GE. 2246728(A)</cp:keywords>
  <dc:description>Distr.: General
23 August 2022
Arabic
Original: English</dc:description>
  <cp:lastModifiedBy>Jamal Alkahlout</cp:lastModifiedBy>
  <cp:revision>2</cp:revision>
  <dcterms:created xsi:type="dcterms:W3CDTF">2023-01-10T16:41:00Z</dcterms:created>
  <dcterms:modified xsi:type="dcterms:W3CDTF">2023-01-10T16:41:00Z</dcterms:modified>
  <cp:category>Finale</cp:category>
</cp:coreProperties>
</file>