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5CC8A35" w14:textId="77777777" w:rsidTr="00CA1AEA">
        <w:trPr>
          <w:cantSplit/>
          <w:trHeight w:hRule="exact" w:val="851"/>
        </w:trPr>
        <w:tc>
          <w:tcPr>
            <w:tcW w:w="1276" w:type="dxa"/>
            <w:tcBorders>
              <w:bottom w:val="single" w:sz="4" w:space="0" w:color="auto"/>
            </w:tcBorders>
            <w:vAlign w:val="bottom"/>
          </w:tcPr>
          <w:p w14:paraId="00358D07" w14:textId="77777777" w:rsidR="00165C15" w:rsidRDefault="00165C15" w:rsidP="00CA1AEA">
            <w:pPr>
              <w:spacing w:after="80"/>
            </w:pPr>
          </w:p>
        </w:tc>
        <w:tc>
          <w:tcPr>
            <w:tcW w:w="2268" w:type="dxa"/>
            <w:tcBorders>
              <w:bottom w:val="single" w:sz="4" w:space="0" w:color="auto"/>
            </w:tcBorders>
            <w:vAlign w:val="bottom"/>
          </w:tcPr>
          <w:p w14:paraId="216FF9B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CAE553" w14:textId="6A59B99F" w:rsidR="00165C15" w:rsidRPr="00D47EEA" w:rsidRDefault="008E612A" w:rsidP="008E612A">
            <w:pPr>
              <w:suppressAutoHyphens w:val="0"/>
              <w:spacing w:after="20"/>
              <w:jc w:val="right"/>
            </w:pPr>
            <w:r w:rsidRPr="008E612A">
              <w:rPr>
                <w:sz w:val="40"/>
              </w:rPr>
              <w:t>CCPR</w:t>
            </w:r>
            <w:r>
              <w:t>/C/133/3/Add.1</w:t>
            </w:r>
            <w:r w:rsidR="008E4A1E" w:rsidRPr="005D41DB">
              <w:rPr>
                <w:rStyle w:val="FootnoteReference"/>
                <w:sz w:val="20"/>
                <w:vertAlign w:val="baseline"/>
              </w:rPr>
              <w:footnoteReference w:customMarkFollows="1" w:id="1"/>
              <w:t>*</w:t>
            </w:r>
          </w:p>
        </w:tc>
      </w:tr>
      <w:tr w:rsidR="00165C15" w14:paraId="2018C5A2" w14:textId="77777777" w:rsidTr="00CA1AEA">
        <w:trPr>
          <w:cantSplit/>
          <w:trHeight w:hRule="exact" w:val="2835"/>
        </w:trPr>
        <w:tc>
          <w:tcPr>
            <w:tcW w:w="1276" w:type="dxa"/>
            <w:tcBorders>
              <w:top w:val="single" w:sz="4" w:space="0" w:color="auto"/>
              <w:bottom w:val="single" w:sz="12" w:space="0" w:color="auto"/>
            </w:tcBorders>
          </w:tcPr>
          <w:p w14:paraId="12DEB9B2" w14:textId="77777777" w:rsidR="00165C15" w:rsidRDefault="00165C15" w:rsidP="00CA1AEA">
            <w:pPr>
              <w:spacing w:before="120"/>
            </w:pPr>
            <w:r>
              <w:rPr>
                <w:noProof/>
                <w:lang w:eastAsia="en-GB"/>
              </w:rPr>
              <w:drawing>
                <wp:inline distT="0" distB="0" distL="0" distR="0" wp14:anchorId="55B841EF" wp14:editId="18C6522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869C1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81FABBA" w14:textId="77777777" w:rsidR="00165C15" w:rsidRDefault="008E612A" w:rsidP="008E612A">
            <w:pPr>
              <w:suppressAutoHyphens w:val="0"/>
              <w:spacing w:before="240"/>
            </w:pPr>
            <w:r>
              <w:t>Distr.: General</w:t>
            </w:r>
          </w:p>
          <w:p w14:paraId="120BB1F9" w14:textId="0DD7AA73" w:rsidR="008E612A" w:rsidRDefault="00C90B5D" w:rsidP="008E612A">
            <w:pPr>
              <w:suppressAutoHyphens w:val="0"/>
            </w:pPr>
            <w:r>
              <w:t>17</w:t>
            </w:r>
            <w:r w:rsidR="008E612A">
              <w:t xml:space="preserve"> December 2021</w:t>
            </w:r>
          </w:p>
          <w:p w14:paraId="65B76829" w14:textId="77777777" w:rsidR="008E612A" w:rsidRDefault="008E612A" w:rsidP="008E612A">
            <w:pPr>
              <w:suppressAutoHyphens w:val="0"/>
            </w:pPr>
          </w:p>
          <w:p w14:paraId="4823CA68" w14:textId="77777777" w:rsidR="008E612A" w:rsidRDefault="008E612A" w:rsidP="008E612A">
            <w:pPr>
              <w:suppressAutoHyphens w:val="0"/>
            </w:pPr>
            <w:r>
              <w:t>Original: English</w:t>
            </w:r>
          </w:p>
        </w:tc>
      </w:tr>
    </w:tbl>
    <w:p w14:paraId="1F104308" w14:textId="77777777" w:rsidR="008E612A" w:rsidRPr="00BA0DFF" w:rsidRDefault="008E612A" w:rsidP="008E612A">
      <w:pPr>
        <w:spacing w:before="120"/>
        <w:jc w:val="both"/>
      </w:pPr>
      <w:r w:rsidRPr="00352EEA">
        <w:rPr>
          <w:b/>
          <w:bCs/>
          <w:sz w:val="24"/>
          <w:szCs w:val="24"/>
        </w:rPr>
        <w:t>Human Rights Committee</w:t>
      </w:r>
    </w:p>
    <w:p w14:paraId="4DE84805" w14:textId="218516C7" w:rsidR="008E612A" w:rsidRPr="00BA0DFF" w:rsidRDefault="008E612A" w:rsidP="008E612A">
      <w:pPr>
        <w:pStyle w:val="HChG"/>
      </w:pPr>
      <w:r w:rsidRPr="00352EEA">
        <w:tab/>
      </w:r>
      <w:r w:rsidRPr="00352EEA">
        <w:tab/>
      </w:r>
      <w:bookmarkStart w:id="0" w:name="_Toc506807534"/>
      <w:r w:rsidRPr="00352EEA">
        <w:t>Report on follow-up to the concluding observations of the Human Rights Committee</w:t>
      </w:r>
      <w:bookmarkEnd w:id="0"/>
      <w:r w:rsidR="000C3E12" w:rsidRPr="005D41DB">
        <w:rPr>
          <w:rStyle w:val="FootnoteReference"/>
          <w:b w:val="0"/>
          <w:bCs/>
          <w:sz w:val="20"/>
          <w:vertAlign w:val="baseline"/>
        </w:rPr>
        <w:footnoteReference w:customMarkFollows="1" w:id="2"/>
        <w:t>**</w:t>
      </w:r>
    </w:p>
    <w:p w14:paraId="631FD7E8" w14:textId="77777777" w:rsidR="008E612A" w:rsidRPr="00352EEA" w:rsidRDefault="008E612A" w:rsidP="008E612A">
      <w:pPr>
        <w:pStyle w:val="H23G"/>
        <w:rPr>
          <w:rFonts w:eastAsia="SimSun"/>
          <w:lang w:eastAsia="zh-CN"/>
        </w:rPr>
      </w:pPr>
      <w:r w:rsidRPr="00352EEA">
        <w:tab/>
      </w:r>
      <w:r w:rsidRPr="00352EEA">
        <w:tab/>
      </w:r>
      <w:r w:rsidRPr="00352EEA">
        <w:rPr>
          <w:rFonts w:eastAsia="SimSun"/>
          <w:lang w:eastAsia="zh-CN"/>
        </w:rPr>
        <w:t>Addendum</w:t>
      </w:r>
    </w:p>
    <w:p w14:paraId="57AAD54B" w14:textId="5DBA5921" w:rsidR="008E612A" w:rsidRPr="00F92686" w:rsidRDefault="008E612A" w:rsidP="008E612A">
      <w:pPr>
        <w:pStyle w:val="H1G"/>
      </w:pPr>
      <w:r w:rsidRPr="00352EEA">
        <w:rPr>
          <w:rFonts w:eastAsia="SimSun"/>
          <w:lang w:eastAsia="zh-CN"/>
        </w:rPr>
        <w:tab/>
      </w:r>
      <w:r w:rsidRPr="00352EEA">
        <w:rPr>
          <w:rFonts w:eastAsia="SimSun"/>
          <w:lang w:eastAsia="zh-CN"/>
        </w:rPr>
        <w:tab/>
      </w:r>
      <w:r w:rsidRPr="00F92686">
        <w:t xml:space="preserve">Evaluation of the information on follow-up to the concluding observations on </w:t>
      </w:r>
      <w:r w:rsidR="000C3E12">
        <w:t xml:space="preserve">the </w:t>
      </w:r>
      <w:r w:rsidRPr="00F92686">
        <w:t>Dominican Republic</w:t>
      </w:r>
    </w:p>
    <w:p w14:paraId="4FC57B4E" w14:textId="35116655" w:rsidR="008E612A" w:rsidRPr="00E0037D" w:rsidRDefault="008E612A" w:rsidP="008E612A">
      <w:pPr>
        <w:pStyle w:val="SingleTxtG"/>
        <w:ind w:left="4820" w:hanging="3686"/>
      </w:pPr>
      <w:r w:rsidRPr="00E0037D">
        <w:rPr>
          <w:rFonts w:eastAsiaTheme="minorEastAsia"/>
          <w:i/>
          <w:iCs/>
        </w:rPr>
        <w:t>Concluding observations (121</w:t>
      </w:r>
      <w:r w:rsidRPr="00F92686">
        <w:rPr>
          <w:rFonts w:eastAsiaTheme="minorEastAsia"/>
          <w:i/>
          <w:iCs/>
        </w:rPr>
        <w:t>st</w:t>
      </w:r>
      <w:r w:rsidRPr="00E0037D">
        <w:rPr>
          <w:rFonts w:eastAsiaTheme="minorEastAsia"/>
          <w:i/>
          <w:iCs/>
        </w:rPr>
        <w:t xml:space="preserve"> session):</w:t>
      </w:r>
      <w:r w:rsidRPr="00E0037D">
        <w:rPr>
          <w:rFonts w:eastAsiaTheme="minorEastAsia"/>
          <w:i/>
        </w:rPr>
        <w:tab/>
      </w:r>
      <w:bookmarkStart w:id="1" w:name="_Hlk90546837"/>
      <w:r w:rsidR="00874947">
        <w:rPr>
          <w:color w:val="0000FF" w:themeColor="hyperlink"/>
        </w:rPr>
        <w:fldChar w:fldCharType="begin"/>
      </w:r>
      <w:r w:rsidR="00874947">
        <w:rPr>
          <w:color w:val="0000FF" w:themeColor="hyperlink"/>
        </w:rPr>
        <w:instrText xml:space="preserve"> HYPERLINK "https://undocs.org/en/CCPR/C/DOM/CO/6" </w:instrText>
      </w:r>
      <w:r w:rsidR="00874947">
        <w:rPr>
          <w:color w:val="0000FF" w:themeColor="hyperlink"/>
        </w:rPr>
        <w:fldChar w:fldCharType="separate"/>
      </w:r>
      <w:r w:rsidRPr="00874947">
        <w:rPr>
          <w:rStyle w:val="Hyperlink"/>
        </w:rPr>
        <w:t>CCPR/C/DOM/CO/6</w:t>
      </w:r>
      <w:r w:rsidR="00874947">
        <w:rPr>
          <w:color w:val="0000FF" w:themeColor="hyperlink"/>
        </w:rPr>
        <w:fldChar w:fldCharType="end"/>
      </w:r>
      <w:r w:rsidRPr="00E0037D">
        <w:t>,</w:t>
      </w:r>
      <w:r w:rsidRPr="00E0037D">
        <w:rPr>
          <w:i/>
        </w:rPr>
        <w:t xml:space="preserve"> </w:t>
      </w:r>
      <w:r>
        <w:t>3</w:t>
      </w:r>
      <w:r w:rsidRPr="00E0037D">
        <w:t xml:space="preserve"> November 2017</w:t>
      </w:r>
    </w:p>
    <w:p w14:paraId="6618501A" w14:textId="77777777" w:rsidR="008E612A" w:rsidRPr="007D0634" w:rsidRDefault="008E612A" w:rsidP="008E612A">
      <w:pPr>
        <w:pStyle w:val="SingleTxtG"/>
        <w:ind w:left="4820" w:hanging="3686"/>
      </w:pPr>
      <w:r w:rsidRPr="00E0037D">
        <w:rPr>
          <w:rFonts w:eastAsiaTheme="minorEastAsia"/>
          <w:i/>
          <w:iCs/>
        </w:rPr>
        <w:t>Follow-up paragraphs:</w:t>
      </w:r>
      <w:r w:rsidRPr="00E0037D">
        <w:rPr>
          <w:rFonts w:eastAsiaTheme="minorEastAsia"/>
          <w:i/>
          <w:iCs/>
        </w:rPr>
        <w:tab/>
      </w:r>
      <w:r w:rsidRPr="00E0037D">
        <w:t>10, 16 and 26</w:t>
      </w:r>
    </w:p>
    <w:p w14:paraId="4DC5DD72" w14:textId="598DFD86" w:rsidR="008E612A" w:rsidRPr="007D0634" w:rsidRDefault="008E612A" w:rsidP="008E612A">
      <w:pPr>
        <w:pStyle w:val="SingleTxtG"/>
        <w:ind w:left="4820" w:hanging="3686"/>
      </w:pPr>
      <w:r w:rsidRPr="001E4654">
        <w:rPr>
          <w:i/>
          <w:iCs/>
        </w:rPr>
        <w:t xml:space="preserve">Information </w:t>
      </w:r>
      <w:r w:rsidRPr="00E136AD">
        <w:rPr>
          <w:i/>
          <w:iCs/>
        </w:rPr>
        <w:t>received from State party:</w:t>
      </w:r>
      <w:r w:rsidRPr="007D0634">
        <w:tab/>
      </w:r>
      <w:hyperlink r:id="rId9" w:history="1">
        <w:r w:rsidRPr="00874947">
          <w:rPr>
            <w:rStyle w:val="Hyperlink"/>
          </w:rPr>
          <w:t>CCPR/C/DOM/FCO/6</w:t>
        </w:r>
      </w:hyperlink>
      <w:r w:rsidRPr="007D0634">
        <w:t>,</w:t>
      </w:r>
      <w:r w:rsidRPr="00E0037D">
        <w:t xml:space="preserve"> </w:t>
      </w:r>
      <w:r>
        <w:t>16</w:t>
      </w:r>
      <w:r w:rsidRPr="00E0037D">
        <w:t xml:space="preserve"> Ju</w:t>
      </w:r>
      <w:r>
        <w:t>ne</w:t>
      </w:r>
      <w:r w:rsidRPr="00E0037D">
        <w:t xml:space="preserve"> 20</w:t>
      </w:r>
      <w:r>
        <w:t>2</w:t>
      </w:r>
      <w:r w:rsidRPr="00E0037D">
        <w:t>1</w:t>
      </w:r>
    </w:p>
    <w:p w14:paraId="3ACD3CC0" w14:textId="73D4A503" w:rsidR="008E612A" w:rsidRDefault="008E612A" w:rsidP="008E612A">
      <w:pPr>
        <w:pStyle w:val="SingleTxtG"/>
        <w:ind w:left="4820" w:hanging="3686"/>
      </w:pPr>
      <w:r w:rsidRPr="003E34F1">
        <w:rPr>
          <w:i/>
          <w:iCs/>
        </w:rPr>
        <w:t>Committee</w:t>
      </w:r>
      <w:r w:rsidR="00874947">
        <w:rPr>
          <w:i/>
          <w:iCs/>
        </w:rPr>
        <w:t>’</w:t>
      </w:r>
      <w:r w:rsidRPr="003E34F1">
        <w:rPr>
          <w:i/>
          <w:iCs/>
        </w:rPr>
        <w:t>s evaluation:</w:t>
      </w:r>
      <w:r w:rsidRPr="007D0634">
        <w:t xml:space="preserve"> </w:t>
      </w:r>
      <w:r w:rsidRPr="007D0634">
        <w:tab/>
      </w:r>
      <w:r w:rsidRPr="00E0037D">
        <w:t>Additional information required on paragraphs 10</w:t>
      </w:r>
      <w:r w:rsidRPr="00F92686">
        <w:t>[</w:t>
      </w:r>
      <w:r w:rsidRPr="007D0634">
        <w:rPr>
          <w:b/>
          <w:bCs/>
        </w:rPr>
        <w:t>C</w:t>
      </w:r>
      <w:r w:rsidRPr="00E0037D">
        <w:t>], 16</w:t>
      </w:r>
      <w:r w:rsidRPr="00F92686">
        <w:t>[</w:t>
      </w:r>
      <w:r w:rsidRPr="007D0634">
        <w:rPr>
          <w:b/>
          <w:bCs/>
        </w:rPr>
        <w:t>C</w:t>
      </w:r>
      <w:r w:rsidRPr="00F92686">
        <w:t>][</w:t>
      </w:r>
      <w:r w:rsidRPr="007D0634">
        <w:rPr>
          <w:b/>
          <w:bCs/>
        </w:rPr>
        <w:t>B</w:t>
      </w:r>
      <w:r w:rsidRPr="00F92686">
        <w:t>]</w:t>
      </w:r>
      <w:r w:rsidRPr="00E0037D">
        <w:t>and 26</w:t>
      </w:r>
      <w:r w:rsidRPr="00F92686">
        <w:t>[</w:t>
      </w:r>
      <w:r w:rsidRPr="007D0634">
        <w:rPr>
          <w:b/>
          <w:bCs/>
        </w:rPr>
        <w:t>B</w:t>
      </w:r>
      <w:r w:rsidRPr="00F92686">
        <w:t>][</w:t>
      </w:r>
      <w:r w:rsidRPr="007D0634">
        <w:rPr>
          <w:b/>
          <w:bCs/>
        </w:rPr>
        <w:t>C</w:t>
      </w:r>
      <w:r w:rsidRPr="00F92686">
        <w:t>]</w:t>
      </w:r>
    </w:p>
    <w:bookmarkEnd w:id="1"/>
    <w:p w14:paraId="6EA05F86" w14:textId="77777777" w:rsidR="008E612A" w:rsidRPr="00E0037D" w:rsidRDefault="008E612A" w:rsidP="008E612A">
      <w:pPr>
        <w:pStyle w:val="H23G"/>
      </w:pPr>
      <w:r>
        <w:tab/>
      </w:r>
      <w:r>
        <w:tab/>
      </w:r>
      <w:r w:rsidRPr="00E0037D">
        <w:t>Paragraph 10: Non-discrimination</w:t>
      </w:r>
    </w:p>
    <w:p w14:paraId="197D865A" w14:textId="77777777" w:rsidR="008E612A" w:rsidRPr="008E612A" w:rsidRDefault="008E612A" w:rsidP="008E612A">
      <w:pPr>
        <w:pStyle w:val="SingleTxtG"/>
        <w:rPr>
          <w:b/>
          <w:bCs/>
        </w:rPr>
      </w:pPr>
      <w:r w:rsidRPr="008E612A">
        <w:rPr>
          <w:b/>
          <w:bCs/>
        </w:rPr>
        <w:tab/>
        <w:t>The State party should take the necessary steps to ensure full protection against discrimination and to eradicate, in law and in practice, stereotypes and discrimination against persons of Haitian descent, including Haitian migrants, persons with disabilities and LGBTI persons, by inter alia increasing the number of training programmes for law enforcement personnel and awareness-raising campaigns promoting tolerance and respect for diversity. In addition, it should adopt laws to prohibit discrimination and hate crimes on grounds of sexual orientation or gender identity and fully recognize the equality of same-sex couples and the legal identity of transgender persons. It should also ensure that cases of discrimination and violence committed by individuals or State officials are systematically investigated, that those held to be responsible are punished with appropriate penalties and that victims have access to comprehensive reparation.</w:t>
      </w:r>
    </w:p>
    <w:p w14:paraId="7F97E91B" w14:textId="2EE86E00" w:rsidR="008E612A" w:rsidRPr="00E0037D" w:rsidRDefault="008E612A" w:rsidP="008E612A">
      <w:pPr>
        <w:pStyle w:val="H23G"/>
        <w:rPr>
          <w:rFonts w:eastAsia="SimSun"/>
          <w:lang w:eastAsia="zh-CN"/>
        </w:rPr>
      </w:pPr>
      <w:r>
        <w:rPr>
          <w:rFonts w:eastAsia="SimSun"/>
          <w:lang w:eastAsia="zh-CN"/>
        </w:rPr>
        <w:tab/>
      </w:r>
      <w:r>
        <w:rPr>
          <w:rFonts w:eastAsia="SimSun"/>
          <w:lang w:eastAsia="zh-CN"/>
        </w:rPr>
        <w:tab/>
      </w:r>
      <w:r w:rsidRPr="00E0037D">
        <w:rPr>
          <w:rFonts w:eastAsia="SimSun"/>
          <w:lang w:eastAsia="zh-CN"/>
        </w:rPr>
        <w:t>Summary of the State party</w:t>
      </w:r>
      <w:r w:rsidR="00874947">
        <w:rPr>
          <w:rFonts w:eastAsia="SimSun"/>
          <w:lang w:eastAsia="zh-CN"/>
        </w:rPr>
        <w:t>’</w:t>
      </w:r>
      <w:r w:rsidRPr="00E0037D">
        <w:rPr>
          <w:rFonts w:eastAsia="SimSun"/>
          <w:lang w:eastAsia="zh-CN"/>
        </w:rPr>
        <w:t>s reply</w:t>
      </w:r>
    </w:p>
    <w:p w14:paraId="01D6BCC7" w14:textId="663EDD69" w:rsidR="008E612A" w:rsidRPr="00E0037D" w:rsidRDefault="008E612A" w:rsidP="008E612A">
      <w:pPr>
        <w:pStyle w:val="SingleTxtG"/>
      </w:pPr>
      <w:r>
        <w:t>Under</w:t>
      </w:r>
      <w:r w:rsidRPr="00E0037D">
        <w:t xml:space="preserve"> Decree </w:t>
      </w:r>
      <w:r>
        <w:t xml:space="preserve">No. </w:t>
      </w:r>
      <w:r w:rsidRPr="00E0037D">
        <w:t xml:space="preserve">134-14, </w:t>
      </w:r>
      <w:r w:rsidRPr="00861036">
        <w:t>the Attorney General</w:t>
      </w:r>
      <w:r w:rsidR="00874947">
        <w:t>’</w:t>
      </w:r>
      <w:r w:rsidRPr="00861036">
        <w:t>s Office, together with other public entities, is responsible for monitoring</w:t>
      </w:r>
      <w:r w:rsidRPr="00E0037D">
        <w:t xml:space="preserve"> compliance with the various cross-cutting </w:t>
      </w:r>
      <w:r>
        <w:t>State</w:t>
      </w:r>
      <w:r w:rsidRPr="00E0037D">
        <w:t xml:space="preserve"> policies.</w:t>
      </w:r>
      <w:r>
        <w:t xml:space="preserve"> </w:t>
      </w:r>
      <w:r w:rsidRPr="00E0037D">
        <w:t xml:space="preserve">The </w:t>
      </w:r>
      <w:r>
        <w:t>Office</w:t>
      </w:r>
      <w:r w:rsidR="00874947">
        <w:t>’</w:t>
      </w:r>
      <w:r>
        <w:t>s h</w:t>
      </w:r>
      <w:r w:rsidRPr="00E0037D">
        <w:t xml:space="preserve">uman </w:t>
      </w:r>
      <w:r>
        <w:t>r</w:t>
      </w:r>
      <w:r w:rsidRPr="00E0037D">
        <w:t xml:space="preserve">ights </w:t>
      </w:r>
      <w:r>
        <w:t>u</w:t>
      </w:r>
      <w:r w:rsidRPr="00E0037D">
        <w:t>nit is in charge of protectin</w:t>
      </w:r>
      <w:r>
        <w:t>g</w:t>
      </w:r>
      <w:r w:rsidRPr="00E0037D">
        <w:t xml:space="preserve"> and defen</w:t>
      </w:r>
      <w:r>
        <w:t>ding</w:t>
      </w:r>
      <w:r w:rsidRPr="00E0037D">
        <w:t xml:space="preserve"> </w:t>
      </w:r>
      <w:r>
        <w:t>human</w:t>
      </w:r>
      <w:r w:rsidRPr="00E0037D">
        <w:t xml:space="preserve"> rights in the criminal </w:t>
      </w:r>
      <w:r>
        <w:t>justice system</w:t>
      </w:r>
      <w:r w:rsidRPr="00E0037D">
        <w:t xml:space="preserve">. In addition, in cooperation with other agencies, it </w:t>
      </w:r>
      <w:r>
        <w:t xml:space="preserve">is responsible for </w:t>
      </w:r>
      <w:r w:rsidRPr="00E0037D">
        <w:t>ensur</w:t>
      </w:r>
      <w:r>
        <w:t>ing</w:t>
      </w:r>
      <w:r w:rsidRPr="00E0037D">
        <w:t xml:space="preserve"> respect for these rights nation</w:t>
      </w:r>
      <w:r>
        <w:t>wide</w:t>
      </w:r>
      <w:r w:rsidRPr="00E0037D">
        <w:t xml:space="preserve">, </w:t>
      </w:r>
      <w:r>
        <w:t>the</w:t>
      </w:r>
      <w:r w:rsidRPr="00E0037D">
        <w:t xml:space="preserve"> effective administration of justice</w:t>
      </w:r>
      <w:r>
        <w:t xml:space="preserve"> and</w:t>
      </w:r>
      <w:r w:rsidRPr="00E0037D">
        <w:t xml:space="preserve"> respect for </w:t>
      </w:r>
      <w:r>
        <w:t xml:space="preserve">legal safeguards </w:t>
      </w:r>
      <w:r w:rsidRPr="00E0037D">
        <w:t xml:space="preserve">and due process </w:t>
      </w:r>
      <w:r>
        <w:t xml:space="preserve">in </w:t>
      </w:r>
      <w:r w:rsidRPr="00E0037D">
        <w:t xml:space="preserve">judicial </w:t>
      </w:r>
      <w:r>
        <w:t>proceedings</w:t>
      </w:r>
      <w:r w:rsidRPr="00E0037D">
        <w:t>.</w:t>
      </w:r>
      <w:r>
        <w:t xml:space="preserve"> Particular areas of focus are</w:t>
      </w:r>
      <w:r w:rsidRPr="00E0037D">
        <w:t xml:space="preserve">: </w:t>
      </w:r>
      <w:r>
        <w:t>(a</w:t>
      </w:r>
      <w:r w:rsidRPr="00E0037D">
        <w:t xml:space="preserve">) follow-up of registered cases in which there </w:t>
      </w:r>
      <w:r>
        <w:t>wa</w:t>
      </w:r>
      <w:r w:rsidRPr="00E0037D">
        <w:t xml:space="preserve">s a clear violation of these rights; </w:t>
      </w:r>
      <w:r>
        <w:t>(b</w:t>
      </w:r>
      <w:r w:rsidRPr="00E0037D">
        <w:t xml:space="preserve">) </w:t>
      </w:r>
      <w:r>
        <w:t>monitoring</w:t>
      </w:r>
      <w:r w:rsidRPr="00E0037D">
        <w:t xml:space="preserve"> and promotin</w:t>
      </w:r>
      <w:r>
        <w:t>g</w:t>
      </w:r>
      <w:r w:rsidRPr="00E0037D">
        <w:t xml:space="preserve"> </w:t>
      </w:r>
      <w:r>
        <w:t xml:space="preserve">the </w:t>
      </w:r>
      <w:r w:rsidRPr="00E0037D">
        <w:t xml:space="preserve">human rights of all inmates </w:t>
      </w:r>
      <w:r>
        <w:t>held</w:t>
      </w:r>
      <w:r w:rsidRPr="00E0037D">
        <w:t xml:space="preserve"> </w:t>
      </w:r>
      <w:r>
        <w:t>at</w:t>
      </w:r>
      <w:r w:rsidRPr="00E0037D">
        <w:t xml:space="preserve"> any of the </w:t>
      </w:r>
      <w:r>
        <w:t>national c</w:t>
      </w:r>
      <w:r w:rsidRPr="00E0037D">
        <w:t>orrection</w:t>
      </w:r>
      <w:r>
        <w:t>al</w:t>
      </w:r>
      <w:r w:rsidRPr="00E0037D">
        <w:t xml:space="preserve"> and </w:t>
      </w:r>
      <w:r>
        <w:t>r</w:t>
      </w:r>
      <w:r w:rsidRPr="00E0037D">
        <w:t xml:space="preserve">ehabilitation </w:t>
      </w:r>
      <w:r>
        <w:t>c</w:t>
      </w:r>
      <w:r w:rsidRPr="00E0037D">
        <w:t>entr</w:t>
      </w:r>
      <w:r>
        <w:t>e</w:t>
      </w:r>
      <w:r w:rsidRPr="00E0037D">
        <w:t xml:space="preserve">s; </w:t>
      </w:r>
      <w:r>
        <w:t>and (c</w:t>
      </w:r>
      <w:r w:rsidRPr="00E0037D">
        <w:t xml:space="preserve">) </w:t>
      </w:r>
      <w:r>
        <w:t>referral</w:t>
      </w:r>
      <w:r w:rsidRPr="00E0037D">
        <w:t xml:space="preserve"> of cases </w:t>
      </w:r>
      <w:r>
        <w:t>filed</w:t>
      </w:r>
      <w:r w:rsidRPr="00E0037D">
        <w:t xml:space="preserve"> </w:t>
      </w:r>
      <w:r>
        <w:t>with</w:t>
      </w:r>
      <w:r w:rsidRPr="00E0037D">
        <w:t xml:space="preserve"> the Inter-</w:t>
      </w:r>
      <w:r>
        <w:t>Agency</w:t>
      </w:r>
      <w:r w:rsidRPr="00E0037D">
        <w:t xml:space="preserve"> </w:t>
      </w:r>
      <w:r w:rsidRPr="00E0037D">
        <w:lastRenderedPageBreak/>
        <w:t xml:space="preserve">Commission on Human Rights or the Ministry of Foreign Affairs to the </w:t>
      </w:r>
      <w:r>
        <w:t>i</w:t>
      </w:r>
      <w:r w:rsidRPr="00E0037D">
        <w:t xml:space="preserve">nter-American </w:t>
      </w:r>
      <w:r>
        <w:t>h</w:t>
      </w:r>
      <w:r w:rsidRPr="00E0037D">
        <w:t xml:space="preserve">uman </w:t>
      </w:r>
      <w:r>
        <w:t>r</w:t>
      </w:r>
      <w:r w:rsidRPr="00E0037D">
        <w:t xml:space="preserve">ights </w:t>
      </w:r>
      <w:r>
        <w:t>s</w:t>
      </w:r>
      <w:r w:rsidRPr="00E0037D">
        <w:t xml:space="preserve">ystem </w:t>
      </w:r>
      <w:r>
        <w:t>or</w:t>
      </w:r>
      <w:r w:rsidRPr="00E0037D">
        <w:t xml:space="preserve"> other </w:t>
      </w:r>
      <w:r>
        <w:t xml:space="preserve">relevant </w:t>
      </w:r>
      <w:r w:rsidRPr="00E0037D">
        <w:t>international organizations.</w:t>
      </w:r>
      <w:r>
        <w:t xml:space="preserve"> </w:t>
      </w:r>
      <w:r w:rsidRPr="00E0037D">
        <w:t>The Attorney General</w:t>
      </w:r>
      <w:r w:rsidR="00874947">
        <w:t>’</w:t>
      </w:r>
      <w:r>
        <w:t>s</w:t>
      </w:r>
      <w:r w:rsidRPr="00E0037D">
        <w:t xml:space="preserve"> Office handles complaints of discrimination and human rights</w:t>
      </w:r>
      <w:r w:rsidRPr="004C6DBB">
        <w:t xml:space="preserve"> </w:t>
      </w:r>
      <w:r w:rsidRPr="00E0037D">
        <w:t>violations in accordance with the Constitution and the applicable legal framework. Likewise, it also ensures compliance with the public policies on human rights and support</w:t>
      </w:r>
      <w:r>
        <w:t>s</w:t>
      </w:r>
      <w:r w:rsidRPr="00E0037D">
        <w:t xml:space="preserve"> legislative initiatives aimed at preventin</w:t>
      </w:r>
      <w:r>
        <w:t>g</w:t>
      </w:r>
      <w:r w:rsidRPr="00E0037D">
        <w:t xml:space="preserve"> and punish</w:t>
      </w:r>
      <w:r>
        <w:t>ing</w:t>
      </w:r>
      <w:r w:rsidRPr="00E0037D">
        <w:t xml:space="preserve"> discriminatory practices against vulnerable groups.</w:t>
      </w:r>
      <w:r>
        <w:t xml:space="preserve"> </w:t>
      </w:r>
      <w:r w:rsidRPr="00710A64">
        <w:rPr>
          <w:color w:val="000000"/>
        </w:rPr>
        <w:t xml:space="preserve">The State party provided statistics on </w:t>
      </w:r>
      <w:r w:rsidRPr="00710A64">
        <w:rPr>
          <w:color w:val="000000" w:themeColor="text1"/>
        </w:rPr>
        <w:t xml:space="preserve">registered cases </w:t>
      </w:r>
      <w:r>
        <w:rPr>
          <w:color w:val="000000" w:themeColor="text1"/>
        </w:rPr>
        <w:t>of</w:t>
      </w:r>
      <w:r w:rsidRPr="00710A64">
        <w:rPr>
          <w:color w:val="000000" w:themeColor="text1"/>
        </w:rPr>
        <w:t xml:space="preserve"> acts of discrimination</w:t>
      </w:r>
      <w:r w:rsidRPr="00710A64">
        <w:rPr>
          <w:color w:val="000000"/>
        </w:rPr>
        <w:t xml:space="preserve"> and </w:t>
      </w:r>
      <w:r>
        <w:rPr>
          <w:color w:val="000000"/>
        </w:rPr>
        <w:t xml:space="preserve">the </w:t>
      </w:r>
      <w:r w:rsidRPr="00710A64">
        <w:rPr>
          <w:color w:val="000000"/>
        </w:rPr>
        <w:t xml:space="preserve">sanctions imposed in the </w:t>
      </w:r>
      <w:r>
        <w:rPr>
          <w:color w:val="000000"/>
        </w:rPr>
        <w:t>p</w:t>
      </w:r>
      <w:r w:rsidRPr="00710A64">
        <w:rPr>
          <w:color w:val="000000"/>
        </w:rPr>
        <w:t xml:space="preserve">ast </w:t>
      </w:r>
      <w:r>
        <w:rPr>
          <w:color w:val="000000"/>
        </w:rPr>
        <w:t>four</w:t>
      </w:r>
      <w:r w:rsidRPr="00710A64">
        <w:rPr>
          <w:color w:val="000000"/>
        </w:rPr>
        <w:t xml:space="preserve"> years.</w:t>
      </w:r>
    </w:p>
    <w:p w14:paraId="2614DD76" w14:textId="4B759ED3" w:rsidR="008E612A" w:rsidRPr="00E0037D" w:rsidRDefault="008E612A" w:rsidP="00874947">
      <w:pPr>
        <w:pStyle w:val="H23G"/>
        <w:rPr>
          <w:rFonts w:eastAsia="SimSun"/>
        </w:rPr>
      </w:pPr>
      <w:r>
        <w:rPr>
          <w:rFonts w:eastAsia="SimSun"/>
        </w:rPr>
        <w:tab/>
      </w:r>
      <w:r>
        <w:rPr>
          <w:rFonts w:eastAsia="SimSun"/>
        </w:rPr>
        <w:tab/>
      </w:r>
      <w:r w:rsidRPr="00E0037D">
        <w:rPr>
          <w:rFonts w:eastAsia="SimSun"/>
        </w:rPr>
        <w:t>Committee</w:t>
      </w:r>
      <w:r w:rsidR="00874947">
        <w:rPr>
          <w:rFonts w:eastAsia="SimSun"/>
        </w:rPr>
        <w:t>’</w:t>
      </w:r>
      <w:r w:rsidRPr="00E0037D">
        <w:rPr>
          <w:rFonts w:eastAsia="SimSun"/>
        </w:rPr>
        <w:t>s evaluation</w:t>
      </w:r>
    </w:p>
    <w:p w14:paraId="0980B012" w14:textId="5D76FF5E" w:rsidR="008E612A" w:rsidRPr="00E0037D" w:rsidRDefault="008E612A" w:rsidP="008E612A">
      <w:pPr>
        <w:pStyle w:val="SingleTxtG"/>
      </w:pPr>
      <w:r w:rsidRPr="00E0037D">
        <w:rPr>
          <w:bCs/>
        </w:rPr>
        <w:t>[</w:t>
      </w:r>
      <w:r w:rsidRPr="00E0037D">
        <w:rPr>
          <w:b/>
        </w:rPr>
        <w:t>C</w:t>
      </w:r>
      <w:r w:rsidRPr="00E0037D">
        <w:rPr>
          <w:bCs/>
        </w:rPr>
        <w:t>]</w:t>
      </w:r>
      <w:r w:rsidRPr="00E0037D">
        <w:t xml:space="preserve">: </w:t>
      </w:r>
      <w:r>
        <w:t xml:space="preserve">While </w:t>
      </w:r>
      <w:r w:rsidRPr="00E0037D">
        <w:t>not</w:t>
      </w:r>
      <w:r>
        <w:t>ing</w:t>
      </w:r>
      <w:r w:rsidRPr="00E0037D">
        <w:t xml:space="preserve"> the information provided on the functions of the Attorney General</w:t>
      </w:r>
      <w:r w:rsidR="00874947">
        <w:t>’</w:t>
      </w:r>
      <w:r>
        <w:t>s</w:t>
      </w:r>
      <w:r w:rsidRPr="00AE2E45">
        <w:t xml:space="preserve"> </w:t>
      </w:r>
      <w:r w:rsidRPr="00E0037D">
        <w:t xml:space="preserve">Office, </w:t>
      </w:r>
      <w:r>
        <w:t>t</w:t>
      </w:r>
      <w:r w:rsidRPr="00E0037D">
        <w:t>he Committee regrets that the State party has not provided information on concrete measures taken to implement the Committee</w:t>
      </w:r>
      <w:r w:rsidR="00874947">
        <w:t>’</w:t>
      </w:r>
      <w:r w:rsidRPr="00E0037D">
        <w:t xml:space="preserve">s recommendation. In particular, the Committee notes with concern that the State party has not referred to any measures taken to ensure protection for </w:t>
      </w:r>
      <w:r w:rsidRPr="00C42F56">
        <w:t>persons of</w:t>
      </w:r>
      <w:r w:rsidRPr="00E0037D">
        <w:t xml:space="preserve"> Haitian descent, including Haitian migrants, </w:t>
      </w:r>
      <w:r>
        <w:t xml:space="preserve">for </w:t>
      </w:r>
      <w:r w:rsidRPr="00E0037D">
        <w:t xml:space="preserve">persons with disabilities and </w:t>
      </w:r>
      <w:r>
        <w:t xml:space="preserve">for </w:t>
      </w:r>
      <w:r w:rsidRPr="00E176A8">
        <w:t xml:space="preserve">lesbian, gay, bisexual, transgender and intersex </w:t>
      </w:r>
      <w:r w:rsidRPr="00E0037D">
        <w:t>persons</w:t>
      </w:r>
      <w:r w:rsidRPr="00E0037D">
        <w:rPr>
          <w:color w:val="000000" w:themeColor="text1"/>
        </w:rPr>
        <w:t xml:space="preserve">. The Committee welcomes the statistics provided by the State party, </w:t>
      </w:r>
      <w:r>
        <w:rPr>
          <w:color w:val="000000" w:themeColor="text1"/>
        </w:rPr>
        <w:t xml:space="preserve">while </w:t>
      </w:r>
      <w:r w:rsidRPr="00E0037D">
        <w:rPr>
          <w:color w:val="000000" w:themeColor="text1"/>
        </w:rPr>
        <w:t>nevertheless not</w:t>
      </w:r>
      <w:r>
        <w:rPr>
          <w:color w:val="000000" w:themeColor="text1"/>
        </w:rPr>
        <w:t>ing</w:t>
      </w:r>
      <w:r w:rsidRPr="00E0037D">
        <w:rPr>
          <w:color w:val="000000" w:themeColor="text1"/>
        </w:rPr>
        <w:t xml:space="preserve"> with concern the low number of registered cases of discrimination and of </w:t>
      </w:r>
      <w:r>
        <w:rPr>
          <w:color w:val="000000" w:themeColor="text1"/>
        </w:rPr>
        <w:t xml:space="preserve">criminal </w:t>
      </w:r>
      <w:r w:rsidRPr="00E0037D">
        <w:rPr>
          <w:color w:val="000000" w:themeColor="text1"/>
        </w:rPr>
        <w:t>sanctions imposed. It</w:t>
      </w:r>
      <w:r w:rsidRPr="00E0037D">
        <w:t xml:space="preserve"> therefore requests information on </w:t>
      </w:r>
      <w:r>
        <w:t>specific</w:t>
      </w:r>
      <w:r w:rsidRPr="00E0037D">
        <w:t xml:space="preserve"> measures taken</w:t>
      </w:r>
      <w:r>
        <w:t xml:space="preserve"> to fully implement the Committee</w:t>
      </w:r>
      <w:r w:rsidR="00874947">
        <w:t>’</w:t>
      </w:r>
      <w:r>
        <w:t>s recommendation.</w:t>
      </w:r>
    </w:p>
    <w:p w14:paraId="28EF4F7F" w14:textId="77777777" w:rsidR="008E612A" w:rsidRPr="00D02192" w:rsidRDefault="008E612A" w:rsidP="00874947">
      <w:pPr>
        <w:pStyle w:val="H23G"/>
      </w:pPr>
      <w:r w:rsidRPr="00E0037D">
        <w:tab/>
      </w:r>
      <w:r w:rsidRPr="00E0037D">
        <w:tab/>
      </w:r>
      <w:r w:rsidRPr="00D02192">
        <w:t>Paragraph 16: Voluntary termination of pregnancy and reproductive rights</w:t>
      </w:r>
    </w:p>
    <w:p w14:paraId="7FC9945F" w14:textId="77777777" w:rsidR="008E612A" w:rsidRDefault="008E612A" w:rsidP="008E612A">
      <w:pPr>
        <w:pStyle w:val="SingleTxtG"/>
        <w:rPr>
          <w:b/>
          <w:bCs/>
        </w:rPr>
      </w:pPr>
      <w:r w:rsidRPr="00D02192">
        <w:rPr>
          <w:b/>
          <w:bCs/>
        </w:rPr>
        <w:tab/>
        <w:t>The State party should amend its legislation to guarantee safe, legal and effective access to voluntary termination of pregnancy where the life or health of the pregnant woman or girl</w:t>
      </w:r>
      <w:r w:rsidRPr="00D02192" w:rsidDel="000E0AB8">
        <w:rPr>
          <w:b/>
          <w:bCs/>
        </w:rPr>
        <w:t xml:space="preserve"> </w:t>
      </w:r>
      <w:r w:rsidRPr="00D02192">
        <w:rPr>
          <w:b/>
          <w:bCs/>
        </w:rPr>
        <w:t>is in danger or where carrying the pregnancy to term could cause the pregnant woman or girl substantial harm or suffering, especially in cases where the pregnancy is the result of rape or incest or when it is non-viable. Furthermore, the State party may not regulate any pregnancy or abortion in a manner that runs contrary to its obligation to ensure that women and girls need not resort to unsafe abortions; it will have to amend its legislation accordingly. The State party should not impose criminal sanctions on women and girls who undergo an abortion or on medical service providers who provide abortion assistance, as such measures force women and girls to resort to unsafe abortions. Furthermore, it should ensure unimpeded access to sexual and reproductive health services and education for men, women and adolescents nationwide. It should also ensure that all procedures to obtain the full and informed consent of persons with disabilities are followed with regard to sterilization. For this purpose, the State party should offer special training to health personnel to better acquaint them with these consent procedures and with the harmful effects and consequences of forced sterilization.</w:t>
      </w:r>
    </w:p>
    <w:p w14:paraId="734E0D86" w14:textId="74E11AA5" w:rsidR="008E612A" w:rsidRPr="00E0037D" w:rsidRDefault="008E612A" w:rsidP="00874947">
      <w:pPr>
        <w:pStyle w:val="H23G"/>
      </w:pPr>
      <w:r>
        <w:tab/>
      </w:r>
      <w:r>
        <w:tab/>
      </w:r>
      <w:r w:rsidRPr="00E0037D">
        <w:t>Summary of the State party</w:t>
      </w:r>
      <w:r w:rsidR="00874947">
        <w:t>’</w:t>
      </w:r>
      <w:r w:rsidRPr="00E0037D">
        <w:t>s reply</w:t>
      </w:r>
    </w:p>
    <w:p w14:paraId="1469C831" w14:textId="627F5F83" w:rsidR="008E612A" w:rsidRPr="00E0037D" w:rsidRDefault="008E612A" w:rsidP="008E612A">
      <w:pPr>
        <w:pStyle w:val="SingleTxtG"/>
      </w:pPr>
      <w:r>
        <w:t>Curr</w:t>
      </w:r>
      <w:r w:rsidRPr="00E0037D">
        <w:t xml:space="preserve">ently, there is </w:t>
      </w:r>
      <w:r>
        <w:t>considerable</w:t>
      </w:r>
      <w:r w:rsidRPr="00E0037D">
        <w:t xml:space="preserve"> debate on possible legislative changes to guarantee legal, safe and effective access to voluntary </w:t>
      </w:r>
      <w:r>
        <w:t>termina</w:t>
      </w:r>
      <w:r w:rsidRPr="00E0037D">
        <w:t xml:space="preserve">tion of pregnancy. In November 2020, the Council of Ministers adopted the </w:t>
      </w:r>
      <w:r>
        <w:t>s</w:t>
      </w:r>
      <w:r w:rsidRPr="00E0037D">
        <w:t xml:space="preserve">trategic </w:t>
      </w:r>
      <w:r>
        <w:t>p</w:t>
      </w:r>
      <w:r w:rsidRPr="00E0037D">
        <w:t xml:space="preserve">lan for a </w:t>
      </w:r>
      <w:r>
        <w:t>l</w:t>
      </w:r>
      <w:r w:rsidRPr="00E0037D">
        <w:t xml:space="preserve">ife </w:t>
      </w:r>
      <w:r>
        <w:t>f</w:t>
      </w:r>
      <w:r w:rsidRPr="00E0037D">
        <w:t xml:space="preserve">ree </w:t>
      </w:r>
      <w:r>
        <w:t>from</w:t>
      </w:r>
      <w:r w:rsidRPr="00E0037D">
        <w:t xml:space="preserve"> </w:t>
      </w:r>
      <w:r>
        <w:t>v</w:t>
      </w:r>
      <w:r w:rsidRPr="00E0037D">
        <w:t xml:space="preserve">iolence for </w:t>
      </w:r>
      <w:r>
        <w:t>w</w:t>
      </w:r>
      <w:r w:rsidRPr="00E0037D">
        <w:t>omen</w:t>
      </w:r>
      <w:r>
        <w:t>.</w:t>
      </w:r>
      <w:r w:rsidRPr="00E0037D">
        <w:t xml:space="preserve"> </w:t>
      </w:r>
      <w:r>
        <w:t>The fifth area of focus of the plan</w:t>
      </w:r>
      <w:r w:rsidRPr="00E0037D">
        <w:t xml:space="preserve"> </w:t>
      </w:r>
      <w:r>
        <w:t>involves promoting the adoption and</w:t>
      </w:r>
      <w:r w:rsidRPr="00E0037D">
        <w:t xml:space="preserve"> implementation of a legal framework th</w:t>
      </w:r>
      <w:r>
        <w:t>at</w:t>
      </w:r>
      <w:r w:rsidRPr="00E0037D">
        <w:t xml:space="preserve"> guarantee</w:t>
      </w:r>
      <w:r>
        <w:t>s</w:t>
      </w:r>
      <w:r w:rsidRPr="00E0037D">
        <w:t xml:space="preserve"> </w:t>
      </w:r>
      <w:r>
        <w:t>the</w:t>
      </w:r>
      <w:r w:rsidRPr="00E0037D">
        <w:t xml:space="preserve"> full exercise of sexual and reproductive rights, including </w:t>
      </w:r>
      <w:r>
        <w:t xml:space="preserve">through </w:t>
      </w:r>
      <w:r w:rsidRPr="00E0037D">
        <w:t>the decriminalization of therapeutic abortion on the three grounds, a</w:t>
      </w:r>
      <w:r>
        <w:t>nd</w:t>
      </w:r>
      <w:r w:rsidRPr="00E0037D">
        <w:t xml:space="preserve"> the</w:t>
      </w:r>
      <w:r>
        <w:t xml:space="preserve"> definition and</w:t>
      </w:r>
      <w:r w:rsidRPr="00E0037D">
        <w:t xml:space="preserve"> </w:t>
      </w:r>
      <w:r>
        <w:t>punishment</w:t>
      </w:r>
      <w:r w:rsidRPr="00E0037D">
        <w:t xml:space="preserve"> </w:t>
      </w:r>
      <w:r>
        <w:t>of</w:t>
      </w:r>
      <w:r w:rsidRPr="00E0037D">
        <w:t xml:space="preserve"> sexual crimes. </w:t>
      </w:r>
      <w:r w:rsidRPr="002C4946">
        <w:t xml:space="preserve">Congress is currently working on amendments to the Criminal Code and a special bill </w:t>
      </w:r>
      <w:r>
        <w:t>establishing</w:t>
      </w:r>
      <w:r w:rsidRPr="002C4946">
        <w:t xml:space="preserve"> the terms and conditions for voluntary termination of pregnancy in </w:t>
      </w:r>
      <w:r>
        <w:t xml:space="preserve">those </w:t>
      </w:r>
      <w:r w:rsidRPr="002C4946">
        <w:t xml:space="preserve">exceptional cases. In April 2021, the Chamber of Deputies carried out its first reading of the revised legislation on termination of pregnancy contained in the Criminal Code. Currently, article 109 of the draft </w:t>
      </w:r>
      <w:r>
        <w:t>c</w:t>
      </w:r>
      <w:r w:rsidRPr="002C4946">
        <w:t xml:space="preserve">riminal </w:t>
      </w:r>
      <w:r>
        <w:t>c</w:t>
      </w:r>
      <w:r w:rsidRPr="002C4946">
        <w:t>ode provides that anyone who, by any means, causes</w:t>
      </w:r>
      <w:r w:rsidRPr="00E0037D">
        <w:t xml:space="preserve"> </w:t>
      </w:r>
      <w:r>
        <w:t xml:space="preserve">or contributes to </w:t>
      </w:r>
      <w:r w:rsidRPr="00E0037D">
        <w:t xml:space="preserve">the </w:t>
      </w:r>
      <w:r>
        <w:t>termination</w:t>
      </w:r>
      <w:r w:rsidRPr="00E0037D">
        <w:t xml:space="preserve"> of </w:t>
      </w:r>
      <w:r>
        <w:t>a woman</w:t>
      </w:r>
      <w:r w:rsidR="00874947">
        <w:t>’</w:t>
      </w:r>
      <w:r>
        <w:t>s</w:t>
      </w:r>
      <w:r w:rsidRPr="00E0037D">
        <w:t xml:space="preserve"> pregnancy, even </w:t>
      </w:r>
      <w:r>
        <w:t>with a woman</w:t>
      </w:r>
      <w:r w:rsidR="00874947">
        <w:t>’</w:t>
      </w:r>
      <w:r>
        <w:t>s</w:t>
      </w:r>
      <w:r w:rsidRPr="00E0037D">
        <w:t xml:space="preserve"> consent</w:t>
      </w:r>
      <w:r>
        <w:t>, is liable to one to three years</w:t>
      </w:r>
      <w:r w:rsidR="00874947">
        <w:t>’</w:t>
      </w:r>
      <w:r>
        <w:t xml:space="preserve"> ordinary imprisonment</w:t>
      </w:r>
      <w:r w:rsidRPr="00E0037D">
        <w:t xml:space="preserve">. </w:t>
      </w:r>
      <w:r>
        <w:t>A</w:t>
      </w:r>
      <w:r w:rsidRPr="00E0037D">
        <w:t xml:space="preserve">rticle 109 </w:t>
      </w:r>
      <w:r>
        <w:t xml:space="preserve">(1) </w:t>
      </w:r>
      <w:r w:rsidRPr="00E0037D">
        <w:t xml:space="preserve">provides </w:t>
      </w:r>
      <w:r>
        <w:t>that</w:t>
      </w:r>
      <w:r w:rsidRPr="00E0037D">
        <w:t xml:space="preserve"> </w:t>
      </w:r>
      <w:r>
        <w:t>a</w:t>
      </w:r>
      <w:r w:rsidRPr="00E0037D">
        <w:t xml:space="preserve"> woman who causes </w:t>
      </w:r>
      <w:r>
        <w:t>the termination of her pregnancy or</w:t>
      </w:r>
      <w:r w:rsidRPr="00E0037D">
        <w:t xml:space="preserve"> </w:t>
      </w:r>
      <w:r>
        <w:t>who</w:t>
      </w:r>
      <w:r w:rsidRPr="00E0037D">
        <w:t xml:space="preserve"> consents to </w:t>
      </w:r>
      <w:r>
        <w:t>an abortion is liable to one to two years</w:t>
      </w:r>
      <w:r w:rsidR="00874947">
        <w:t>’</w:t>
      </w:r>
      <w:r>
        <w:t xml:space="preserve"> ordinary imprisonment if termination is achieved</w:t>
      </w:r>
      <w:r w:rsidRPr="00E0037D">
        <w:t xml:space="preserve">. </w:t>
      </w:r>
      <w:r>
        <w:t>A</w:t>
      </w:r>
      <w:r w:rsidRPr="00E0037D">
        <w:t xml:space="preserve">rticle 109 </w:t>
      </w:r>
      <w:r>
        <w:t xml:space="preserve">(2) </w:t>
      </w:r>
      <w:r w:rsidRPr="00E0037D">
        <w:t xml:space="preserve">provides </w:t>
      </w:r>
      <w:r>
        <w:t>that</w:t>
      </w:r>
      <w:r w:rsidRPr="00E0037D">
        <w:t xml:space="preserve"> </w:t>
      </w:r>
      <w:r w:rsidRPr="00F310B9">
        <w:t xml:space="preserve">if termination is not achieved but the attempt at termination causes injury to the fetus or a condition that seriously undermines its normal development or causes a serious physical or mental defect in the child who is born, the perpetrator is liable to </w:t>
      </w:r>
      <w:r>
        <w:lastRenderedPageBreak/>
        <w:t>one</w:t>
      </w:r>
      <w:r w:rsidRPr="00F310B9">
        <w:t xml:space="preserve"> to </w:t>
      </w:r>
      <w:r>
        <w:t>two</w:t>
      </w:r>
      <w:r w:rsidRPr="00F310B9">
        <w:t xml:space="preserve"> years</w:t>
      </w:r>
      <w:r w:rsidR="00874947">
        <w:t>’</w:t>
      </w:r>
      <w:r w:rsidRPr="00F310B9">
        <w:t xml:space="preserve"> ordinary imprisonment</w:t>
      </w:r>
      <w:r w:rsidRPr="00E0037D">
        <w:t xml:space="preserve">. Article 110 provides </w:t>
      </w:r>
      <w:r>
        <w:t>that</w:t>
      </w:r>
      <w:r w:rsidRPr="00E0037D">
        <w:t xml:space="preserve"> </w:t>
      </w:r>
      <w:r>
        <w:t>health-care</w:t>
      </w:r>
      <w:r w:rsidRPr="00E0037D">
        <w:t xml:space="preserve"> professionals </w:t>
      </w:r>
      <w:r>
        <w:t>and</w:t>
      </w:r>
      <w:r w:rsidRPr="00E0037D">
        <w:t xml:space="preserve"> midwives who, </w:t>
      </w:r>
      <w:r>
        <w:t xml:space="preserve">by </w:t>
      </w:r>
      <w:r w:rsidRPr="00E0037D">
        <w:t xml:space="preserve">abusing their profession or office, </w:t>
      </w:r>
      <w:r>
        <w:t>perform</w:t>
      </w:r>
      <w:r w:rsidRPr="00E0037D">
        <w:t xml:space="preserve"> or help to </w:t>
      </w:r>
      <w:r>
        <w:t>perform</w:t>
      </w:r>
      <w:r w:rsidRPr="00E0037D">
        <w:t xml:space="preserve"> an abortion</w:t>
      </w:r>
      <w:r w:rsidRPr="00133DCF">
        <w:t xml:space="preserve"> </w:t>
      </w:r>
      <w:r>
        <w:t>are liable to two to three years</w:t>
      </w:r>
      <w:r w:rsidR="00874947">
        <w:t>’</w:t>
      </w:r>
      <w:r>
        <w:t xml:space="preserve"> ordinary imprisonment</w:t>
      </w:r>
      <w:r w:rsidRPr="00E0037D">
        <w:t xml:space="preserve">. </w:t>
      </w:r>
      <w:r>
        <w:t>Under a</w:t>
      </w:r>
      <w:r w:rsidRPr="00E0037D">
        <w:t>rticle 112</w:t>
      </w:r>
      <w:r>
        <w:t>,</w:t>
      </w:r>
      <w:r w:rsidRPr="00E0037D">
        <w:t xml:space="preserve"> </w:t>
      </w:r>
      <w:r>
        <w:t>on exceptions, termina</w:t>
      </w:r>
      <w:r w:rsidRPr="00E0037D">
        <w:t>tion</w:t>
      </w:r>
      <w:r>
        <w:t>s</w:t>
      </w:r>
      <w:r w:rsidRPr="00E0037D">
        <w:t xml:space="preserve"> of pregnancy p</w:t>
      </w:r>
      <w:r>
        <w:t>erformed</w:t>
      </w:r>
      <w:r w:rsidRPr="00E0037D">
        <w:t xml:space="preserve"> by specialized medical pro</w:t>
      </w:r>
      <w:r>
        <w:t>fessionals</w:t>
      </w:r>
      <w:r w:rsidRPr="00E0037D">
        <w:t xml:space="preserve"> in </w:t>
      </w:r>
      <w:r>
        <w:t xml:space="preserve">a </w:t>
      </w:r>
      <w:r w:rsidRPr="00E0037D">
        <w:t>public or private health</w:t>
      </w:r>
      <w:r>
        <w:t xml:space="preserve">-care </w:t>
      </w:r>
      <w:r w:rsidRPr="00E0037D">
        <w:t xml:space="preserve">establishment </w:t>
      </w:r>
      <w:r>
        <w:t xml:space="preserve">are </w:t>
      </w:r>
      <w:r w:rsidRPr="00E0037D">
        <w:t xml:space="preserve">not punishable if </w:t>
      </w:r>
      <w:r>
        <w:t>the</w:t>
      </w:r>
      <w:r w:rsidRPr="00E0037D">
        <w:t xml:space="preserve"> inten</w:t>
      </w:r>
      <w:r>
        <w:t>tion is</w:t>
      </w:r>
      <w:r w:rsidRPr="00E0037D">
        <w:t xml:space="preserve"> to save the lives of the mother and the fetus.</w:t>
      </w:r>
    </w:p>
    <w:p w14:paraId="3931B2AE" w14:textId="0CF3BE3A" w:rsidR="008E612A" w:rsidRPr="00E0037D" w:rsidRDefault="008E612A" w:rsidP="008E612A">
      <w:pPr>
        <w:pStyle w:val="SingleTxtG"/>
      </w:pPr>
      <w:r w:rsidRPr="00E0037D">
        <w:t xml:space="preserve">The </w:t>
      </w:r>
      <w:r>
        <w:t>Office</w:t>
      </w:r>
      <w:r w:rsidRPr="00E0037D">
        <w:t xml:space="preserve"> for Childhood and Adolescence </w:t>
      </w:r>
      <w:r>
        <w:t>launched</w:t>
      </w:r>
      <w:r w:rsidRPr="00E0037D">
        <w:t xml:space="preserve"> a consultati</w:t>
      </w:r>
      <w:r>
        <w:t>ve</w:t>
      </w:r>
      <w:r w:rsidRPr="00E0037D">
        <w:t xml:space="preserve"> process </w:t>
      </w:r>
      <w:r>
        <w:t>in</w:t>
      </w:r>
      <w:r w:rsidRPr="00E0037D">
        <w:t xml:space="preserve"> January 2021, </w:t>
      </w:r>
      <w:r>
        <w:t>which began with the establishment of</w:t>
      </w:r>
      <w:r w:rsidRPr="00E0037D">
        <w:t xml:space="preserve"> two </w:t>
      </w:r>
      <w:r>
        <w:t>expert</w:t>
      </w:r>
      <w:r w:rsidRPr="00E0037D">
        <w:t xml:space="preserve"> round</w:t>
      </w:r>
      <w:r>
        <w:t xml:space="preserve"> </w:t>
      </w:r>
      <w:r w:rsidRPr="00E0037D">
        <w:t xml:space="preserve">tables, one </w:t>
      </w:r>
      <w:r>
        <w:t>on</w:t>
      </w:r>
      <w:r w:rsidRPr="00E0037D">
        <w:t xml:space="preserve"> the prevention of teenage pregnancy and the other </w:t>
      </w:r>
      <w:r>
        <w:t>on</w:t>
      </w:r>
      <w:r w:rsidRPr="00E0037D">
        <w:t xml:space="preserve"> early </w:t>
      </w:r>
      <w:r>
        <w:t>marriage</w:t>
      </w:r>
      <w:r w:rsidRPr="00E0037D">
        <w:t xml:space="preserve">. The </w:t>
      </w:r>
      <w:r>
        <w:t>outcome</w:t>
      </w:r>
      <w:r w:rsidRPr="00E0037D">
        <w:t xml:space="preserve"> was </w:t>
      </w:r>
      <w:r>
        <w:t>an</w:t>
      </w:r>
      <w:r w:rsidRPr="00E0037D">
        <w:t xml:space="preserve"> </w:t>
      </w:r>
      <w:r>
        <w:t>a</w:t>
      </w:r>
      <w:r w:rsidRPr="00E0037D">
        <w:t xml:space="preserve">ction </w:t>
      </w:r>
      <w:r>
        <w:t>p</w:t>
      </w:r>
      <w:r w:rsidRPr="00E0037D">
        <w:t xml:space="preserve">lan to </w:t>
      </w:r>
      <w:r>
        <w:t>a</w:t>
      </w:r>
      <w:r w:rsidRPr="00E0037D">
        <w:t xml:space="preserve">ccelerate the </w:t>
      </w:r>
      <w:r>
        <w:t>p</w:t>
      </w:r>
      <w:r w:rsidRPr="00E0037D">
        <w:t xml:space="preserve">revention and </w:t>
      </w:r>
      <w:r>
        <w:t>r</w:t>
      </w:r>
      <w:r w:rsidRPr="00E0037D">
        <w:t xml:space="preserve">eduction of teenage pregnancy in the Dominican Republic. The </w:t>
      </w:r>
      <w:r>
        <w:t xml:space="preserve">action </w:t>
      </w:r>
      <w:r w:rsidRPr="00E0037D">
        <w:t xml:space="preserve">plan is expected to be </w:t>
      </w:r>
      <w:r>
        <w:t>launched</w:t>
      </w:r>
      <w:r w:rsidRPr="00E0037D">
        <w:t xml:space="preserve"> by the end of June 2021. </w:t>
      </w:r>
      <w:r>
        <w:t>Another key step has been the prioritization of</w:t>
      </w:r>
      <w:r w:rsidRPr="00E0037D">
        <w:t xml:space="preserve"> 20 </w:t>
      </w:r>
      <w:r>
        <w:t>towns</w:t>
      </w:r>
      <w:r w:rsidRPr="00E0037D">
        <w:t xml:space="preserve"> </w:t>
      </w:r>
      <w:r>
        <w:t>with</w:t>
      </w:r>
      <w:r w:rsidRPr="00E0037D">
        <w:t xml:space="preserve"> the high</w:t>
      </w:r>
      <w:r>
        <w:t>est rates</w:t>
      </w:r>
      <w:r w:rsidRPr="00E0037D">
        <w:t xml:space="preserve"> of teenage pregnancy and child marriage. The </w:t>
      </w:r>
      <w:r>
        <w:t>action plan</w:t>
      </w:r>
      <w:r w:rsidRPr="00E0037D">
        <w:t xml:space="preserve"> </w:t>
      </w:r>
      <w:r>
        <w:t xml:space="preserve">also </w:t>
      </w:r>
      <w:r w:rsidRPr="00E0037D">
        <w:t xml:space="preserve">addresses sex education and violence against </w:t>
      </w:r>
      <w:r>
        <w:t xml:space="preserve">young and adolescent </w:t>
      </w:r>
      <w:r w:rsidRPr="00E0037D">
        <w:t xml:space="preserve">girls, including during </w:t>
      </w:r>
      <w:r>
        <w:t>the coronavirus disease (</w:t>
      </w:r>
      <w:r w:rsidRPr="00E0037D">
        <w:t>COVID-19</w:t>
      </w:r>
      <w:r>
        <w:t>) pandemic</w:t>
      </w:r>
      <w:r w:rsidRPr="00E0037D">
        <w:t>. Another policy measure led by the Ministry of Women</w:t>
      </w:r>
      <w:r w:rsidR="00874947">
        <w:t>’</w:t>
      </w:r>
      <w:r>
        <w:t>s Affairs</w:t>
      </w:r>
      <w:r w:rsidRPr="00E0037D">
        <w:t xml:space="preserve"> is the </w:t>
      </w:r>
      <w:r>
        <w:t xml:space="preserve">establishment of the </w:t>
      </w:r>
      <w:r w:rsidRPr="00E0037D">
        <w:t>Centr</w:t>
      </w:r>
      <w:r>
        <w:t>e</w:t>
      </w:r>
      <w:r w:rsidRPr="00E0037D">
        <w:t xml:space="preserve"> for the Promotion of Comprehensive Adolescent Health, whose mission is to educate adolescents on sexual and reproductive health. </w:t>
      </w:r>
      <w:r>
        <w:t>In January 2021, t</w:t>
      </w:r>
      <w:r w:rsidRPr="00E0037D">
        <w:t xml:space="preserve">he State party </w:t>
      </w:r>
      <w:r>
        <w:t xml:space="preserve">promulgated legislation </w:t>
      </w:r>
      <w:r w:rsidRPr="00E0037D">
        <w:t>pro</w:t>
      </w:r>
      <w:r>
        <w:t xml:space="preserve">hibiting </w:t>
      </w:r>
      <w:r w:rsidRPr="00E0037D">
        <w:t>child marriage.</w:t>
      </w:r>
    </w:p>
    <w:p w14:paraId="42A07D80" w14:textId="6B741925" w:rsidR="008E612A" w:rsidRPr="00E0037D" w:rsidRDefault="008E612A" w:rsidP="008E612A">
      <w:pPr>
        <w:pStyle w:val="SingleTxtG"/>
      </w:pPr>
      <w:r w:rsidRPr="00E0037D">
        <w:t>On forced sterilization, the Chamber of Deputies</w:t>
      </w:r>
      <w:r w:rsidR="00874947">
        <w:t>’</w:t>
      </w:r>
      <w:r>
        <w:t xml:space="preserve"> standing</w:t>
      </w:r>
      <w:r w:rsidRPr="00E0037D">
        <w:t xml:space="preserve"> </w:t>
      </w:r>
      <w:r>
        <w:t>c</w:t>
      </w:r>
      <w:r w:rsidRPr="00E0037D">
        <w:t>ommission o</w:t>
      </w:r>
      <w:r>
        <w:t>n justice</w:t>
      </w:r>
      <w:r w:rsidRPr="00E0037D">
        <w:t xml:space="preserve"> accepted the </w:t>
      </w:r>
      <w:r>
        <w:t>proposal</w:t>
      </w:r>
      <w:r w:rsidRPr="00E0037D">
        <w:t xml:space="preserve"> of the Ministry of Women</w:t>
      </w:r>
      <w:r w:rsidR="00874947">
        <w:t>’</w:t>
      </w:r>
      <w:r>
        <w:t>s Affairs</w:t>
      </w:r>
      <w:r w:rsidRPr="00E0037D">
        <w:t xml:space="preserve"> to consider abortion and forced sterilization as </w:t>
      </w:r>
      <w:r>
        <w:t>offences</w:t>
      </w:r>
      <w:r w:rsidRPr="00E0037D">
        <w:t xml:space="preserve"> against humanity </w:t>
      </w:r>
      <w:r>
        <w:t>that carry terms of imprisonment of</w:t>
      </w:r>
      <w:r w:rsidRPr="00E0037D">
        <w:t xml:space="preserve"> 30 or 40 years.</w:t>
      </w:r>
      <w:r w:rsidRPr="00784A53">
        <w:t xml:space="preserve"> </w:t>
      </w:r>
      <w:r>
        <w:t>I</w:t>
      </w:r>
      <w:r w:rsidRPr="00852036">
        <w:t>nformation on the measures taken to realize the rights enshrined in the Covenant and on the progress made in implementing these rights was provided by the various institutions that shape public policy and make up the Inter-Agency Commission on Human Rights</w:t>
      </w:r>
      <w:r w:rsidRPr="00E0037D">
        <w:t>.</w:t>
      </w:r>
    </w:p>
    <w:p w14:paraId="21FB6B7F" w14:textId="69D0B1C3" w:rsidR="008E612A" w:rsidRPr="00E0037D" w:rsidRDefault="008E612A" w:rsidP="00874947">
      <w:pPr>
        <w:pStyle w:val="H23G"/>
      </w:pPr>
      <w:r>
        <w:tab/>
      </w:r>
      <w:r>
        <w:tab/>
      </w:r>
      <w:r w:rsidRPr="00E0037D">
        <w:t>Committee</w:t>
      </w:r>
      <w:r w:rsidR="00874947">
        <w:t>’</w:t>
      </w:r>
      <w:r w:rsidRPr="00E0037D">
        <w:t>s evaluation</w:t>
      </w:r>
    </w:p>
    <w:p w14:paraId="4557B25D" w14:textId="7288DB01" w:rsidR="008E612A" w:rsidRPr="00E0037D" w:rsidRDefault="008E612A" w:rsidP="008E612A">
      <w:pPr>
        <w:pStyle w:val="SingleTxtG"/>
        <w:rPr>
          <w:color w:val="000000" w:themeColor="text1"/>
        </w:rPr>
      </w:pPr>
      <w:bookmarkStart w:id="2" w:name="_Hlk33449160"/>
      <w:r w:rsidRPr="00E0037D">
        <w:rPr>
          <w:bCs/>
        </w:rPr>
        <w:t>[</w:t>
      </w:r>
      <w:r w:rsidRPr="00E0037D">
        <w:rPr>
          <w:b/>
        </w:rPr>
        <w:t>C</w:t>
      </w:r>
      <w:r w:rsidRPr="00E0037D">
        <w:rPr>
          <w:bCs/>
        </w:rPr>
        <w:t>]</w:t>
      </w:r>
      <w:r w:rsidRPr="00E0037D">
        <w:t xml:space="preserve">: The Committee notes the information provided on measures taken to amend the </w:t>
      </w:r>
      <w:r>
        <w:t>Crimi</w:t>
      </w:r>
      <w:r w:rsidRPr="00E0037D">
        <w:t xml:space="preserve">nal Code and to adopt a law establishing the </w:t>
      </w:r>
      <w:r>
        <w:t xml:space="preserve">terms and </w:t>
      </w:r>
      <w:r w:rsidRPr="00E0037D">
        <w:t xml:space="preserve">conditions for the voluntary </w:t>
      </w:r>
      <w:r>
        <w:t>termina</w:t>
      </w:r>
      <w:r w:rsidRPr="00E0037D">
        <w:t xml:space="preserve">tion of pregnancy. </w:t>
      </w:r>
      <w:r>
        <w:t>W</w:t>
      </w:r>
      <w:r w:rsidRPr="00E0037D">
        <w:t xml:space="preserve">hile it notes that the </w:t>
      </w:r>
      <w:r>
        <w:t>draft crimi</w:t>
      </w:r>
      <w:r w:rsidRPr="00E0037D">
        <w:t xml:space="preserve">nal </w:t>
      </w:r>
      <w:r>
        <w:t>c</w:t>
      </w:r>
      <w:r w:rsidRPr="00E0037D">
        <w:t>ode provides for an exception when abortion is p</w:t>
      </w:r>
      <w:r>
        <w:t>erformed</w:t>
      </w:r>
      <w:r w:rsidRPr="00E0037D">
        <w:t xml:space="preserve"> to save the lives of the mother</w:t>
      </w:r>
      <w:r>
        <w:t xml:space="preserve"> and the fetus</w:t>
      </w:r>
      <w:r w:rsidRPr="00E0037D">
        <w:t>, t</w:t>
      </w:r>
      <w:r>
        <w:t>he Committee</w:t>
      </w:r>
      <w:r w:rsidRPr="00E0037D">
        <w:t xml:space="preserve"> regrets that it </w:t>
      </w:r>
      <w:r w:rsidRPr="00E0037D">
        <w:rPr>
          <w:color w:val="000000" w:themeColor="text1"/>
        </w:rPr>
        <w:t xml:space="preserve">does not contemplate abortion where </w:t>
      </w:r>
      <w:r>
        <w:rPr>
          <w:color w:val="000000" w:themeColor="text1"/>
        </w:rPr>
        <w:t xml:space="preserve">the life and health of the pregnant woman or girl is at risk, </w:t>
      </w:r>
      <w:r w:rsidRPr="00E0037D">
        <w:rPr>
          <w:color w:val="000000" w:themeColor="text1"/>
        </w:rPr>
        <w:t>the pregnancy is the result of rape or incest or whe</w:t>
      </w:r>
      <w:r>
        <w:rPr>
          <w:color w:val="000000" w:themeColor="text1"/>
        </w:rPr>
        <w:t>n</w:t>
      </w:r>
      <w:r w:rsidRPr="00E0037D">
        <w:rPr>
          <w:color w:val="000000" w:themeColor="text1"/>
        </w:rPr>
        <w:t xml:space="preserve"> </w:t>
      </w:r>
      <w:r>
        <w:rPr>
          <w:color w:val="000000" w:themeColor="text1"/>
        </w:rPr>
        <w:t>the pregnancy</w:t>
      </w:r>
      <w:r w:rsidRPr="00E0037D">
        <w:rPr>
          <w:color w:val="000000" w:themeColor="text1"/>
        </w:rPr>
        <w:t xml:space="preserve"> is no</w:t>
      </w:r>
      <w:r>
        <w:rPr>
          <w:color w:val="000000" w:themeColor="text1"/>
        </w:rPr>
        <w:t>n-</w:t>
      </w:r>
      <w:r w:rsidRPr="00E0037D">
        <w:rPr>
          <w:color w:val="000000" w:themeColor="text1"/>
        </w:rPr>
        <w:t xml:space="preserve">viable. </w:t>
      </w:r>
      <w:r>
        <w:rPr>
          <w:color w:val="000000" w:themeColor="text1"/>
        </w:rPr>
        <w:t>F</w:t>
      </w:r>
      <w:r w:rsidRPr="00E0037D">
        <w:rPr>
          <w:color w:val="000000" w:themeColor="text1"/>
        </w:rPr>
        <w:t>urthermore</w:t>
      </w:r>
      <w:r>
        <w:rPr>
          <w:color w:val="000000" w:themeColor="text1"/>
        </w:rPr>
        <w:t>, i</w:t>
      </w:r>
      <w:r w:rsidRPr="00E0037D">
        <w:rPr>
          <w:color w:val="000000" w:themeColor="text1"/>
        </w:rPr>
        <w:t xml:space="preserve">t is concerned that the </w:t>
      </w:r>
      <w:r>
        <w:rPr>
          <w:color w:val="000000" w:themeColor="text1"/>
        </w:rPr>
        <w:t xml:space="preserve">draft criminal code </w:t>
      </w:r>
      <w:r w:rsidRPr="00E0037D">
        <w:rPr>
          <w:color w:val="000000" w:themeColor="text1"/>
        </w:rPr>
        <w:t xml:space="preserve">provides for criminal sanctions for </w:t>
      </w:r>
      <w:r>
        <w:rPr>
          <w:color w:val="000000" w:themeColor="text1"/>
        </w:rPr>
        <w:t>a</w:t>
      </w:r>
      <w:r w:rsidRPr="00E0037D">
        <w:rPr>
          <w:color w:val="000000" w:themeColor="text1"/>
        </w:rPr>
        <w:t xml:space="preserve"> woman </w:t>
      </w:r>
      <w:r>
        <w:rPr>
          <w:color w:val="000000" w:themeColor="text1"/>
        </w:rPr>
        <w:t xml:space="preserve">who causes </w:t>
      </w:r>
      <w:r w:rsidRPr="00E0037D">
        <w:rPr>
          <w:color w:val="000000" w:themeColor="text1"/>
        </w:rPr>
        <w:t>or consent</w:t>
      </w:r>
      <w:r>
        <w:rPr>
          <w:color w:val="000000" w:themeColor="text1"/>
        </w:rPr>
        <w:t>s</w:t>
      </w:r>
      <w:r w:rsidRPr="00E0037D">
        <w:rPr>
          <w:color w:val="000000" w:themeColor="text1"/>
        </w:rPr>
        <w:t xml:space="preserve"> to abortion a</w:t>
      </w:r>
      <w:r>
        <w:rPr>
          <w:color w:val="000000" w:themeColor="text1"/>
        </w:rPr>
        <w:t>nd</w:t>
      </w:r>
      <w:r w:rsidRPr="00E0037D">
        <w:rPr>
          <w:color w:val="000000" w:themeColor="text1"/>
        </w:rPr>
        <w:t xml:space="preserve"> for the </w:t>
      </w:r>
      <w:r>
        <w:rPr>
          <w:color w:val="000000" w:themeColor="text1"/>
        </w:rPr>
        <w:t>health-care</w:t>
      </w:r>
      <w:r w:rsidRPr="00E0037D">
        <w:rPr>
          <w:color w:val="000000" w:themeColor="text1"/>
        </w:rPr>
        <w:t xml:space="preserve"> professionals involved in the procedure, contrary to the Committee</w:t>
      </w:r>
      <w:r w:rsidR="00874947">
        <w:rPr>
          <w:color w:val="000000" w:themeColor="text1"/>
        </w:rPr>
        <w:t>’</w:t>
      </w:r>
      <w:r w:rsidRPr="00E0037D">
        <w:rPr>
          <w:color w:val="000000" w:themeColor="text1"/>
        </w:rPr>
        <w:t>s recommendations. It requests information on</w:t>
      </w:r>
      <w:r>
        <w:rPr>
          <w:color w:val="000000" w:themeColor="text1"/>
        </w:rPr>
        <w:t>:</w:t>
      </w:r>
      <w:r w:rsidRPr="00E0037D">
        <w:rPr>
          <w:color w:val="000000" w:themeColor="text1"/>
        </w:rPr>
        <w:t xml:space="preserve"> (</w:t>
      </w:r>
      <w:r>
        <w:rPr>
          <w:color w:val="000000" w:themeColor="text1"/>
        </w:rPr>
        <w:t>a</w:t>
      </w:r>
      <w:r w:rsidRPr="00E0037D">
        <w:rPr>
          <w:color w:val="000000" w:themeColor="text1"/>
        </w:rPr>
        <w:t xml:space="preserve">) progress in the adoption of the revised </w:t>
      </w:r>
      <w:r>
        <w:t>Crimi</w:t>
      </w:r>
      <w:r w:rsidRPr="00E0037D">
        <w:rPr>
          <w:color w:val="000000" w:themeColor="text1"/>
        </w:rPr>
        <w:t>nal Code; (</w:t>
      </w:r>
      <w:r>
        <w:rPr>
          <w:color w:val="000000" w:themeColor="text1"/>
        </w:rPr>
        <w:t>b</w:t>
      </w:r>
      <w:r w:rsidRPr="00E0037D">
        <w:rPr>
          <w:color w:val="000000" w:themeColor="text1"/>
        </w:rPr>
        <w:t xml:space="preserve">) whether </w:t>
      </w:r>
      <w:r w:rsidRPr="00E0037D">
        <w:t xml:space="preserve">the State party intends to amend the </w:t>
      </w:r>
      <w:r>
        <w:t>draft crimi</w:t>
      </w:r>
      <w:r w:rsidRPr="00E0037D">
        <w:t xml:space="preserve">nal </w:t>
      </w:r>
      <w:r>
        <w:t>c</w:t>
      </w:r>
      <w:r w:rsidRPr="00E0037D">
        <w:t>ode to guarantee safe, legal and effective access to voluntary termination of pregnancy in cases where the pregnancy is the result of rape or incest or when it is non-viable</w:t>
      </w:r>
      <w:r>
        <w:t>,</w:t>
      </w:r>
      <w:r w:rsidRPr="00E0037D">
        <w:t xml:space="preserve"> and t</w:t>
      </w:r>
      <w:r>
        <w:t>o ensure t</w:t>
      </w:r>
      <w:r w:rsidRPr="00E0037D">
        <w:t xml:space="preserve">hat no criminal sanctions </w:t>
      </w:r>
      <w:r>
        <w:t>are</w:t>
      </w:r>
      <w:r w:rsidRPr="00E0037D">
        <w:t xml:space="preserve"> imposed on women and girls who undergo an abortion or on </w:t>
      </w:r>
      <w:r>
        <w:t>health-care</w:t>
      </w:r>
      <w:r w:rsidRPr="00E0037D">
        <w:t xml:space="preserve"> pro</w:t>
      </w:r>
      <w:r>
        <w:t>fessionals</w:t>
      </w:r>
      <w:r w:rsidRPr="00E0037D">
        <w:t xml:space="preserve"> who provide abortion assistance; and (</w:t>
      </w:r>
      <w:r>
        <w:t>c</w:t>
      </w:r>
      <w:r w:rsidRPr="00E0037D">
        <w:t>)</w:t>
      </w:r>
      <w:r w:rsidRPr="00E0037D">
        <w:rPr>
          <w:color w:val="000000" w:themeColor="text1"/>
        </w:rPr>
        <w:t xml:space="preserve"> the bill establishing the </w:t>
      </w:r>
      <w:r>
        <w:rPr>
          <w:color w:val="000000" w:themeColor="text1"/>
        </w:rPr>
        <w:t xml:space="preserve">terms and </w:t>
      </w:r>
      <w:r w:rsidRPr="00E0037D">
        <w:rPr>
          <w:color w:val="000000" w:themeColor="text1"/>
        </w:rPr>
        <w:t xml:space="preserve">conditions for the voluntary </w:t>
      </w:r>
      <w:r>
        <w:rPr>
          <w:color w:val="000000" w:themeColor="text1"/>
        </w:rPr>
        <w:t>termina</w:t>
      </w:r>
      <w:r w:rsidRPr="00E0037D">
        <w:rPr>
          <w:color w:val="000000" w:themeColor="text1"/>
        </w:rPr>
        <w:t xml:space="preserve">tion of pregnancy and progress </w:t>
      </w:r>
      <w:r>
        <w:rPr>
          <w:color w:val="000000" w:themeColor="text1"/>
        </w:rPr>
        <w:t>in</w:t>
      </w:r>
      <w:r w:rsidRPr="00E0037D">
        <w:rPr>
          <w:color w:val="000000" w:themeColor="text1"/>
        </w:rPr>
        <w:t xml:space="preserve"> its adoption.</w:t>
      </w:r>
    </w:p>
    <w:p w14:paraId="506281B6" w14:textId="77777777" w:rsidR="008E612A" w:rsidRPr="007E1F7C" w:rsidRDefault="008E612A" w:rsidP="008E612A">
      <w:pPr>
        <w:pStyle w:val="SingleTxtG"/>
      </w:pPr>
      <w:r w:rsidRPr="00F92686">
        <w:t>[</w:t>
      </w:r>
      <w:r w:rsidRPr="00E0037D">
        <w:rPr>
          <w:b/>
          <w:bCs/>
        </w:rPr>
        <w:t>B</w:t>
      </w:r>
      <w:r w:rsidRPr="00F92686">
        <w:t>]:</w:t>
      </w:r>
      <w:r>
        <w:t xml:space="preserve"> </w:t>
      </w:r>
      <w:r w:rsidRPr="00E0037D">
        <w:t xml:space="preserve">The Committee welcomes the measures taken to ensure access to sexual and reproductive health services and education for men, women and adolescents in the State party. It requires information on the impact of the </w:t>
      </w:r>
      <w:r w:rsidRPr="00E0037D">
        <w:rPr>
          <w:color w:val="000000" w:themeColor="text1"/>
        </w:rPr>
        <w:t xml:space="preserve">actions taken in the 20 </w:t>
      </w:r>
      <w:r>
        <w:rPr>
          <w:color w:val="000000" w:themeColor="text1"/>
        </w:rPr>
        <w:t>towns</w:t>
      </w:r>
      <w:r w:rsidRPr="00E0037D">
        <w:t xml:space="preserve"> which were prioritized </w:t>
      </w:r>
      <w:r>
        <w:t>as they had</w:t>
      </w:r>
      <w:r w:rsidRPr="00E0037D">
        <w:t xml:space="preserve"> the high</w:t>
      </w:r>
      <w:r>
        <w:t>est rates</w:t>
      </w:r>
      <w:r w:rsidRPr="00E0037D">
        <w:t xml:space="preserve"> of teenage pregnancy and child marriage.</w:t>
      </w:r>
      <w:r>
        <w:t xml:space="preserve"> </w:t>
      </w:r>
      <w:r w:rsidRPr="00E0037D">
        <w:t xml:space="preserve">The </w:t>
      </w:r>
      <w:r w:rsidRPr="00E0037D">
        <w:rPr>
          <w:color w:val="000000" w:themeColor="text1"/>
        </w:rPr>
        <w:t xml:space="preserve">Committee </w:t>
      </w:r>
      <w:r>
        <w:rPr>
          <w:color w:val="000000" w:themeColor="text1"/>
        </w:rPr>
        <w:t xml:space="preserve">also </w:t>
      </w:r>
      <w:r w:rsidRPr="00E0037D">
        <w:rPr>
          <w:color w:val="000000" w:themeColor="text1"/>
        </w:rPr>
        <w:t xml:space="preserve">welcomes the information that the State party is planning to conduct training </w:t>
      </w:r>
      <w:r w:rsidRPr="00E0037D">
        <w:t>for health</w:t>
      </w:r>
      <w:r>
        <w:t>-care</w:t>
      </w:r>
      <w:r w:rsidRPr="00E0037D">
        <w:t xml:space="preserve"> personnel on the harmful effects and consequences of forced sterilization.</w:t>
      </w:r>
      <w:r w:rsidRPr="00E0037D">
        <w:rPr>
          <w:bCs/>
        </w:rPr>
        <w:t xml:space="preserve"> It requests further information on the </w:t>
      </w:r>
      <w:r>
        <w:rPr>
          <w:bCs/>
        </w:rPr>
        <w:t>planned</w:t>
      </w:r>
      <w:r w:rsidRPr="00E0037D">
        <w:rPr>
          <w:bCs/>
        </w:rPr>
        <w:t xml:space="preserve"> training sessions, including the number and nature of training activities, when they will take place and the number of participants</w:t>
      </w:r>
      <w:r w:rsidRPr="00E0037D">
        <w:t>.</w:t>
      </w:r>
    </w:p>
    <w:bookmarkEnd w:id="2"/>
    <w:p w14:paraId="6E16FA7B" w14:textId="77777777" w:rsidR="008E612A" w:rsidRPr="00E0037D" w:rsidRDefault="008E612A" w:rsidP="00874947">
      <w:pPr>
        <w:pStyle w:val="H23G"/>
      </w:pPr>
      <w:r>
        <w:tab/>
      </w:r>
      <w:r>
        <w:tab/>
      </w:r>
      <w:r w:rsidRPr="00E0037D">
        <w:t>Paragraph 26: Statelessness</w:t>
      </w:r>
    </w:p>
    <w:p w14:paraId="029438F3" w14:textId="77777777" w:rsidR="008E612A" w:rsidRPr="00E0037D" w:rsidRDefault="008E612A" w:rsidP="008E612A">
      <w:pPr>
        <w:pStyle w:val="SingleTxtG"/>
        <w:rPr>
          <w:b/>
          <w:bCs/>
        </w:rPr>
      </w:pPr>
      <w:r>
        <w:rPr>
          <w:b/>
          <w:bCs/>
        </w:rPr>
        <w:tab/>
      </w:r>
      <w:r w:rsidRPr="00E0037D">
        <w:rPr>
          <w:b/>
          <w:bCs/>
        </w:rPr>
        <w:t>The State party should, as a matter of urgency, take specific steps to:</w:t>
      </w:r>
    </w:p>
    <w:p w14:paraId="0B5963EC" w14:textId="77777777" w:rsidR="008E612A" w:rsidRPr="00E0037D" w:rsidRDefault="008E612A" w:rsidP="008E612A">
      <w:pPr>
        <w:pStyle w:val="SingleTxtG"/>
        <w:rPr>
          <w:b/>
          <w:bCs/>
        </w:rPr>
      </w:pPr>
      <w:r>
        <w:tab/>
      </w:r>
      <w:r w:rsidRPr="00E0037D">
        <w:t>(a)</w:t>
      </w:r>
      <w:r w:rsidRPr="00E0037D">
        <w:tab/>
      </w:r>
      <w:r w:rsidRPr="00E0037D">
        <w:rPr>
          <w:b/>
          <w:bCs/>
        </w:rPr>
        <w:t xml:space="preserve">Restore the Dominican nationality of all persons affected by decision No. TC/0168/13 in accordance with the Covenant and other relevant international instruments, including by enforcing the judgment of the Inter-American Court of </w:t>
      </w:r>
      <w:r w:rsidRPr="00E0037D">
        <w:rPr>
          <w:b/>
          <w:bCs/>
        </w:rPr>
        <w:lastRenderedPageBreak/>
        <w:t>Human Rights of August 2014. Specifically, the State party should ensure that all persons in group A receive their nationality documents, thereby restoring their Dominican nationality, and that all those who meet the requirements under group B promptly recover their Dominican nationality, including through the adoption of special measures for group B individuals who were unable to register during the special registration process. In addition, it should restore the Dominican nationality of those persons born between 18 April 2007 and 26 January 2010. It should also periodically publish updated information on all persons who have benefited from Act No. 169/14 and on those who have received identity documents;</w:t>
      </w:r>
    </w:p>
    <w:p w14:paraId="7F5B1D90" w14:textId="77777777" w:rsidR="008E612A" w:rsidRPr="00874947" w:rsidRDefault="008E612A" w:rsidP="008E612A">
      <w:pPr>
        <w:pStyle w:val="SingleTxtG"/>
        <w:rPr>
          <w:rStyle w:val="FootnoteReference"/>
        </w:rPr>
      </w:pPr>
      <w:r>
        <w:tab/>
      </w:r>
      <w:r w:rsidRPr="00E0037D">
        <w:t>(b)</w:t>
      </w:r>
      <w:r w:rsidRPr="00E0037D">
        <w:tab/>
      </w:r>
      <w:r w:rsidRPr="00E0037D">
        <w:rPr>
          <w:b/>
          <w:bCs/>
        </w:rPr>
        <w:t>Adopt all necessary legal and practical measures to prevent and reduce cases of statelessness, including by considering accession to the 1954 Convention relating to the Status of Stateless Persons and the 1961 Convention on the Reduction of Statelessness, as previously recommended by the Committee.</w:t>
      </w:r>
      <w:r w:rsidRPr="00874947">
        <w:rPr>
          <w:rStyle w:val="FootnoteReference"/>
        </w:rPr>
        <w:footnoteReference w:id="3"/>
      </w:r>
    </w:p>
    <w:p w14:paraId="658A236C" w14:textId="011BE4FF" w:rsidR="008E612A" w:rsidRPr="00E0037D" w:rsidRDefault="008E612A" w:rsidP="00874947">
      <w:pPr>
        <w:pStyle w:val="H23G"/>
      </w:pPr>
      <w:r>
        <w:tab/>
      </w:r>
      <w:r>
        <w:tab/>
      </w:r>
      <w:r w:rsidRPr="00E0037D">
        <w:t>Summary of the State party</w:t>
      </w:r>
      <w:r w:rsidR="00874947">
        <w:t>’</w:t>
      </w:r>
      <w:r w:rsidRPr="00E0037D">
        <w:t>s reply</w:t>
      </w:r>
    </w:p>
    <w:p w14:paraId="7F7DDC8B" w14:textId="1D49D2ED" w:rsidR="008E612A" w:rsidRPr="00E0037D" w:rsidRDefault="008E612A" w:rsidP="008E612A">
      <w:pPr>
        <w:pStyle w:val="SingleTxtG"/>
        <w:rPr>
          <w:b/>
        </w:rPr>
      </w:pPr>
      <w:r>
        <w:tab/>
        <w:t>(</w:t>
      </w:r>
      <w:r w:rsidRPr="00E0037D">
        <w:t>a)</w:t>
      </w:r>
      <w:r w:rsidRPr="00E0037D">
        <w:tab/>
      </w:r>
      <w:r>
        <w:t>Act</w:t>
      </w:r>
      <w:r w:rsidRPr="00E0037D">
        <w:t xml:space="preserve"> No. 169</w:t>
      </w:r>
      <w:r>
        <w:t>/</w:t>
      </w:r>
      <w:r w:rsidRPr="00E0037D">
        <w:t xml:space="preserve">14 establishes a special regime for persons born in the </w:t>
      </w:r>
      <w:r>
        <w:t>Dominican Republic</w:t>
      </w:r>
      <w:r w:rsidRPr="00E0037D">
        <w:t xml:space="preserve"> </w:t>
      </w:r>
      <w:r>
        <w:t>without proper</w:t>
      </w:r>
      <w:r w:rsidRPr="00E0037D">
        <w:t xml:space="preserve"> registr</w:t>
      </w:r>
      <w:r>
        <w:t>ation</w:t>
      </w:r>
      <w:r w:rsidRPr="00E0037D">
        <w:t xml:space="preserve"> in the Dominican </w:t>
      </w:r>
      <w:r>
        <w:t>c</w:t>
      </w:r>
      <w:r w:rsidRPr="00E0037D">
        <w:t xml:space="preserve">ivil </w:t>
      </w:r>
      <w:r>
        <w:t>r</w:t>
      </w:r>
      <w:r w:rsidRPr="00E0037D">
        <w:t>egist</w:t>
      </w:r>
      <w:r>
        <w:t>e</w:t>
      </w:r>
      <w:r w:rsidRPr="00E0037D">
        <w:t xml:space="preserve">r. It distinguishes </w:t>
      </w:r>
      <w:r>
        <w:t xml:space="preserve">between </w:t>
      </w:r>
      <w:r w:rsidRPr="00E0037D">
        <w:t>two groups within the category of descendants of foreign</w:t>
      </w:r>
      <w:r>
        <w:t xml:space="preserve"> national</w:t>
      </w:r>
      <w:r w:rsidRPr="00E0037D">
        <w:t xml:space="preserve">s in </w:t>
      </w:r>
      <w:r>
        <w:t xml:space="preserve">an </w:t>
      </w:r>
      <w:r w:rsidRPr="00E0037D">
        <w:t xml:space="preserve">irregular migratory </w:t>
      </w:r>
      <w:r>
        <w:t>situa</w:t>
      </w:r>
      <w:r w:rsidRPr="00E0037D">
        <w:t>tion. Group A co</w:t>
      </w:r>
      <w:r>
        <w:t>mprises</w:t>
      </w:r>
      <w:r w:rsidRPr="00E0037D">
        <w:t xml:space="preserve"> descendants of foreigners in </w:t>
      </w:r>
      <w:r>
        <w:t xml:space="preserve">an </w:t>
      </w:r>
      <w:r w:rsidRPr="00E0037D">
        <w:t xml:space="preserve">irregular migratory </w:t>
      </w:r>
      <w:r>
        <w:t>situa</w:t>
      </w:r>
      <w:r w:rsidRPr="00E0037D">
        <w:t xml:space="preserve">tion who were registered in the Dominican </w:t>
      </w:r>
      <w:r>
        <w:t>c</w:t>
      </w:r>
      <w:r w:rsidRPr="00E0037D">
        <w:t xml:space="preserve">ivil </w:t>
      </w:r>
      <w:r>
        <w:t>r</w:t>
      </w:r>
      <w:r w:rsidRPr="00E0037D">
        <w:t>egist</w:t>
      </w:r>
      <w:r>
        <w:t>e</w:t>
      </w:r>
      <w:r w:rsidRPr="00E0037D">
        <w:t xml:space="preserve">r </w:t>
      </w:r>
      <w:r>
        <w:t>even though, in accordance with the retroactive interpretation of decision No. TC/0168/13,</w:t>
      </w:r>
      <w:r w:rsidRPr="00E0037D">
        <w:t xml:space="preserve"> they </w:t>
      </w:r>
      <w:r>
        <w:t>should</w:t>
      </w:r>
      <w:r w:rsidRPr="00E0037D">
        <w:t xml:space="preserve"> not </w:t>
      </w:r>
      <w:r>
        <w:t>have been</w:t>
      </w:r>
      <w:r w:rsidRPr="00E0037D">
        <w:t>.</w:t>
      </w:r>
      <w:r>
        <w:t xml:space="preserve"> Pursuant to Act</w:t>
      </w:r>
      <w:r w:rsidRPr="00E0037D">
        <w:t xml:space="preserve"> 169</w:t>
      </w:r>
      <w:r>
        <w:t>/</w:t>
      </w:r>
      <w:r w:rsidRPr="00E0037D">
        <w:t xml:space="preserve">14, </w:t>
      </w:r>
      <w:r>
        <w:t xml:space="preserve">persons in </w:t>
      </w:r>
      <w:r w:rsidRPr="00E0037D">
        <w:t>Group A had their Dominican</w:t>
      </w:r>
      <w:r>
        <w:t xml:space="preserve"> </w:t>
      </w:r>
      <w:r w:rsidRPr="00E0037D">
        <w:t>nationality recognized</w:t>
      </w:r>
      <w:r>
        <w:t>,</w:t>
      </w:r>
      <w:r w:rsidRPr="00E0037D">
        <w:t xml:space="preserve"> and the Central Electoral Board </w:t>
      </w:r>
      <w:r>
        <w:t>h</w:t>
      </w:r>
      <w:r w:rsidRPr="00E0037D">
        <w:t xml:space="preserve">as </w:t>
      </w:r>
      <w:r>
        <w:t xml:space="preserve">been </w:t>
      </w:r>
      <w:r w:rsidRPr="00E0037D">
        <w:t xml:space="preserve">ordered to return or </w:t>
      </w:r>
      <w:r>
        <w:t xml:space="preserve">issue </w:t>
      </w:r>
      <w:r w:rsidRPr="00E0037D">
        <w:t>their identi</w:t>
      </w:r>
      <w:r>
        <w:t>fication</w:t>
      </w:r>
      <w:r w:rsidRPr="00E0037D">
        <w:t xml:space="preserve"> documents, </w:t>
      </w:r>
      <w:r>
        <w:t xml:space="preserve">depending on </w:t>
      </w:r>
      <w:r w:rsidRPr="00E0037D">
        <w:t>the case. A</w:t>
      </w:r>
      <w:r>
        <w:t>n audit</w:t>
      </w:r>
      <w:r w:rsidRPr="00E0037D">
        <w:t xml:space="preserve"> was c</w:t>
      </w:r>
      <w:r>
        <w:t xml:space="preserve">onducted at all </w:t>
      </w:r>
      <w:r w:rsidRPr="00E0037D">
        <w:t>the country</w:t>
      </w:r>
      <w:r w:rsidR="00874947">
        <w:t>’</w:t>
      </w:r>
      <w:r>
        <w:t>s</w:t>
      </w:r>
      <w:r w:rsidRPr="00E0037D">
        <w:t xml:space="preserve"> </w:t>
      </w:r>
      <w:r>
        <w:t xml:space="preserve">civil registry offices, </w:t>
      </w:r>
      <w:r w:rsidRPr="00E0037D">
        <w:t>consist</w:t>
      </w:r>
      <w:r>
        <w:t>ing</w:t>
      </w:r>
      <w:r w:rsidRPr="00E0037D">
        <w:t xml:space="preserve"> of a </w:t>
      </w:r>
      <w:r>
        <w:t xml:space="preserve">careful inspection </w:t>
      </w:r>
      <w:r w:rsidRPr="00E0037D">
        <w:t xml:space="preserve">of </w:t>
      </w:r>
      <w:r>
        <w:t xml:space="preserve">civil </w:t>
      </w:r>
      <w:r w:rsidRPr="00E0037D">
        <w:t>regist</w:t>
      </w:r>
      <w:r>
        <w:t>e</w:t>
      </w:r>
      <w:r w:rsidRPr="00E0037D">
        <w:t>r</w:t>
      </w:r>
      <w:r>
        <w:t xml:space="preserve">s </w:t>
      </w:r>
      <w:r w:rsidRPr="00891412">
        <w:t>spanning the period</w:t>
      </w:r>
      <w:r w:rsidRPr="00E0037D">
        <w:t xml:space="preserve"> from 1929 to 2007, which </w:t>
      </w:r>
      <w:r>
        <w:t>identified</w:t>
      </w:r>
      <w:r w:rsidRPr="00E0037D">
        <w:t xml:space="preserve"> </w:t>
      </w:r>
      <w:r>
        <w:t>the files</w:t>
      </w:r>
      <w:r w:rsidRPr="00E0037D">
        <w:t xml:space="preserve"> of </w:t>
      </w:r>
      <w:r>
        <w:t>some</w:t>
      </w:r>
      <w:r w:rsidRPr="00E0037D">
        <w:t xml:space="preserve"> 55,000 foreigners </w:t>
      </w:r>
      <w:r>
        <w:t>representing</w:t>
      </w:r>
      <w:r w:rsidRPr="00E0037D">
        <w:t xml:space="preserve"> 103 nationalities.</w:t>
      </w:r>
      <w:r>
        <w:t xml:space="preserve"> After</w:t>
      </w:r>
      <w:r w:rsidRPr="00E0037D">
        <w:t xml:space="preserve"> the audit, the Commission of Central Electoral Board Offic</w:t>
      </w:r>
      <w:r>
        <w:t>e</w:t>
      </w:r>
      <w:r w:rsidRPr="00E0037D">
        <w:t>s deci</w:t>
      </w:r>
      <w:r>
        <w:t>ded</w:t>
      </w:r>
      <w:r w:rsidRPr="00E0037D">
        <w:t xml:space="preserve"> </w:t>
      </w:r>
      <w:r>
        <w:t xml:space="preserve">that </w:t>
      </w:r>
      <w:r w:rsidRPr="00E0037D">
        <w:t xml:space="preserve">24,892 </w:t>
      </w:r>
      <w:r>
        <w:t xml:space="preserve">cases could be </w:t>
      </w:r>
      <w:r w:rsidRPr="00E0037D">
        <w:t>authorized</w:t>
      </w:r>
      <w:r>
        <w:t xml:space="preserve"> and that</w:t>
      </w:r>
      <w:r w:rsidRPr="00E0037D">
        <w:t xml:space="preserve"> 27,863 </w:t>
      </w:r>
      <w:r>
        <w:t xml:space="preserve">others needed </w:t>
      </w:r>
      <w:r w:rsidRPr="00E0037D">
        <w:t>to be transcribed</w:t>
      </w:r>
      <w:r>
        <w:t>. A further</w:t>
      </w:r>
      <w:r w:rsidRPr="00E0037D">
        <w:t xml:space="preserve"> 3,599 cases</w:t>
      </w:r>
      <w:r>
        <w:t xml:space="preserve"> were left pending owing to their </w:t>
      </w:r>
      <w:r w:rsidRPr="00E0037D">
        <w:t>complex</w:t>
      </w:r>
      <w:r>
        <w:t xml:space="preserve">ity, as they concerned either individuals who could not be </w:t>
      </w:r>
      <w:r w:rsidRPr="00E0037D">
        <w:t xml:space="preserve">located to obtain the necessary information or </w:t>
      </w:r>
      <w:r>
        <w:t xml:space="preserve">they had been entered in an individual register that had been </w:t>
      </w:r>
      <w:r w:rsidRPr="00E0037D">
        <w:t xml:space="preserve">partially </w:t>
      </w:r>
      <w:r>
        <w:t xml:space="preserve">or completely </w:t>
      </w:r>
      <w:r w:rsidRPr="00E0037D">
        <w:t>destroyed.</w:t>
      </w:r>
      <w:r>
        <w:t xml:space="preserve"> In</w:t>
      </w:r>
      <w:r w:rsidRPr="00E0037D">
        <w:t xml:space="preserve"> 28,059 </w:t>
      </w:r>
      <w:r>
        <w:t>of the cases</w:t>
      </w:r>
      <w:r w:rsidRPr="00E0037D">
        <w:t xml:space="preserve"> that were regularized</w:t>
      </w:r>
      <w:r>
        <w:t>, the associated documentation is available for issuance, but has not been claimed by the persons concerned at any branch of the Central Electoral Board</w:t>
      </w:r>
      <w:r w:rsidRPr="00E0037D">
        <w:t xml:space="preserve">. Regarding the 3,599 </w:t>
      </w:r>
      <w:r>
        <w:t>o</w:t>
      </w:r>
      <w:r w:rsidRPr="00E0037D">
        <w:t xml:space="preserve">pen cases, 882 were transcribed </w:t>
      </w:r>
      <w:r>
        <w:t>because they met the requirements and</w:t>
      </w:r>
      <w:r w:rsidRPr="00E0037D">
        <w:t xml:space="preserve"> 2,717 </w:t>
      </w:r>
      <w:r>
        <w:t xml:space="preserve">were </w:t>
      </w:r>
      <w:r w:rsidRPr="00E0037D">
        <w:t>authorized.</w:t>
      </w:r>
    </w:p>
    <w:p w14:paraId="1A82B96F" w14:textId="77777777" w:rsidR="008E612A" w:rsidRPr="00E0037D" w:rsidRDefault="008E612A" w:rsidP="008E612A">
      <w:pPr>
        <w:pStyle w:val="SingleTxtG"/>
      </w:pPr>
      <w:r>
        <w:tab/>
      </w:r>
      <w:r w:rsidRPr="00E0037D">
        <w:t xml:space="preserve">Group B </w:t>
      </w:r>
      <w:r>
        <w:t>comprises</w:t>
      </w:r>
      <w:r w:rsidRPr="00E0037D">
        <w:t xml:space="preserve"> descendants of foreign</w:t>
      </w:r>
      <w:r>
        <w:t xml:space="preserve"> national</w:t>
      </w:r>
      <w:r w:rsidRPr="00E0037D">
        <w:t xml:space="preserve">s in </w:t>
      </w:r>
      <w:r>
        <w:t xml:space="preserve">an </w:t>
      </w:r>
      <w:r w:rsidRPr="00E0037D">
        <w:t xml:space="preserve">irregular migratory </w:t>
      </w:r>
      <w:r>
        <w:t>situa</w:t>
      </w:r>
      <w:r w:rsidRPr="00E0037D">
        <w:t xml:space="preserve">tion who were born in the Dominican Republic </w:t>
      </w:r>
      <w:r>
        <w:t>but</w:t>
      </w:r>
      <w:r w:rsidRPr="00E0037D">
        <w:t xml:space="preserve"> were not registered </w:t>
      </w:r>
      <w:r>
        <w:t>with</w:t>
      </w:r>
      <w:r w:rsidRPr="00E0037D">
        <w:t xml:space="preserve"> the </w:t>
      </w:r>
      <w:r>
        <w:t>c</w:t>
      </w:r>
      <w:r w:rsidRPr="00E0037D">
        <w:t xml:space="preserve">ivil </w:t>
      </w:r>
      <w:r>
        <w:t>r</w:t>
      </w:r>
      <w:r w:rsidRPr="00E0037D">
        <w:t xml:space="preserve">egistry </w:t>
      </w:r>
      <w:r>
        <w:t>and</w:t>
      </w:r>
      <w:r w:rsidRPr="00E0037D">
        <w:t xml:space="preserve"> have </w:t>
      </w:r>
      <w:r>
        <w:t>lived</w:t>
      </w:r>
      <w:r w:rsidRPr="00E0037D">
        <w:t xml:space="preserve"> their </w:t>
      </w:r>
      <w:r>
        <w:t xml:space="preserve">entire </w:t>
      </w:r>
      <w:r w:rsidRPr="00E0037D">
        <w:t xml:space="preserve">lives in the country. The Ministry of </w:t>
      </w:r>
      <w:r>
        <w:t xml:space="preserve">the </w:t>
      </w:r>
      <w:r w:rsidRPr="00E0037D">
        <w:t>Interior and Police is responsible for receiving</w:t>
      </w:r>
      <w:r>
        <w:t>,</w:t>
      </w:r>
      <w:r w:rsidRPr="004C7164">
        <w:t xml:space="preserve"> </w:t>
      </w:r>
      <w:r>
        <w:t>assessing and deciding whether to accept or reject</w:t>
      </w:r>
      <w:r w:rsidRPr="00E0037D">
        <w:t xml:space="preserve"> the documentation</w:t>
      </w:r>
      <w:r w:rsidRPr="00E45C49">
        <w:t xml:space="preserve"> </w:t>
      </w:r>
      <w:r>
        <w:t xml:space="preserve">on the basis of </w:t>
      </w:r>
      <w:r w:rsidRPr="00E0037D">
        <w:t xml:space="preserve">the criteria </w:t>
      </w:r>
      <w:r>
        <w:t xml:space="preserve">enumerated in Act </w:t>
      </w:r>
      <w:r w:rsidRPr="00E0037D">
        <w:t>No. 169</w:t>
      </w:r>
      <w:r>
        <w:t>/</w:t>
      </w:r>
      <w:r w:rsidRPr="00E0037D">
        <w:t xml:space="preserve">14. </w:t>
      </w:r>
      <w:r>
        <w:t xml:space="preserve">A total of </w:t>
      </w:r>
      <w:r w:rsidRPr="00E0037D">
        <w:t xml:space="preserve">6,535 </w:t>
      </w:r>
      <w:r>
        <w:t xml:space="preserve">assessed </w:t>
      </w:r>
      <w:r w:rsidRPr="00E0037D">
        <w:t xml:space="preserve">files were </w:t>
      </w:r>
      <w:r>
        <w:t>transmitted</w:t>
      </w:r>
      <w:r w:rsidRPr="00E0037D">
        <w:t xml:space="preserve"> to the Central Electoral Board</w:t>
      </w:r>
      <w:r w:rsidRPr="0038605B">
        <w:t xml:space="preserve"> </w:t>
      </w:r>
      <w:r>
        <w:t>over the course of the process and entered in the register of foreign nationals</w:t>
      </w:r>
      <w:r w:rsidRPr="00E0037D">
        <w:t xml:space="preserve">. </w:t>
      </w:r>
      <w:r>
        <w:t>As at</w:t>
      </w:r>
      <w:r w:rsidRPr="00E0037D">
        <w:t xml:space="preserve"> </w:t>
      </w:r>
      <w:r>
        <w:t xml:space="preserve">5 </w:t>
      </w:r>
      <w:r w:rsidRPr="00E0037D">
        <w:t xml:space="preserve">May 2021, </w:t>
      </w:r>
      <w:r>
        <w:t xml:space="preserve">of the </w:t>
      </w:r>
      <w:r w:rsidRPr="00E0037D">
        <w:t xml:space="preserve">4,566 </w:t>
      </w:r>
      <w:r>
        <w:t>cases</w:t>
      </w:r>
      <w:r w:rsidRPr="00E0037D">
        <w:t xml:space="preserve"> </w:t>
      </w:r>
      <w:r>
        <w:t xml:space="preserve">that </w:t>
      </w:r>
      <w:r w:rsidRPr="00E0037D">
        <w:t xml:space="preserve">the Central Electoral Board </w:t>
      </w:r>
      <w:r>
        <w:t xml:space="preserve">had </w:t>
      </w:r>
      <w:r w:rsidRPr="00E0037D">
        <w:t xml:space="preserve">decided </w:t>
      </w:r>
      <w:r>
        <w:t>met</w:t>
      </w:r>
      <w:r w:rsidRPr="00E0037D">
        <w:t xml:space="preserve"> the requirements for </w:t>
      </w:r>
      <w:r>
        <w:t xml:space="preserve">identification card </w:t>
      </w:r>
      <w:r w:rsidRPr="00E0037D">
        <w:t>issuance</w:t>
      </w:r>
      <w:r>
        <w:t>,</w:t>
      </w:r>
      <w:r w:rsidRPr="00E0037D">
        <w:t xml:space="preserve"> </w:t>
      </w:r>
      <w:r>
        <w:t xml:space="preserve">the documentation has been retrieved in only </w:t>
      </w:r>
      <w:r w:rsidRPr="00E0037D">
        <w:t>1,96</w:t>
      </w:r>
      <w:r>
        <w:t>6</w:t>
      </w:r>
      <w:r w:rsidRPr="00E0037D">
        <w:t xml:space="preserve">. </w:t>
      </w:r>
      <w:r>
        <w:t>T</w:t>
      </w:r>
      <w:r w:rsidRPr="00E0037D">
        <w:t xml:space="preserve">he </w:t>
      </w:r>
      <w:r>
        <w:t xml:space="preserve">remaining </w:t>
      </w:r>
      <w:r w:rsidRPr="00E0037D">
        <w:t>1,969</w:t>
      </w:r>
      <w:r>
        <w:t xml:space="preserve"> cases</w:t>
      </w:r>
      <w:r w:rsidRPr="009667D5">
        <w:t xml:space="preserve"> correspond to a group whose files pose difficulties due to, for instance, inconsistencies, missing documents or information requiring correction</w:t>
      </w:r>
      <w:r>
        <w:t>,</w:t>
      </w:r>
      <w:r w:rsidRPr="009667D5">
        <w:t xml:space="preserve"> which need to be resolved by the person concerned and the Ministry of the Interior and Police. Of these cases</w:t>
      </w:r>
      <w:r w:rsidRPr="00E0037D">
        <w:t xml:space="preserve">, 93 </w:t>
      </w:r>
      <w:r>
        <w:t>have been</w:t>
      </w:r>
      <w:r w:rsidRPr="00E0037D">
        <w:t xml:space="preserve"> referred to the </w:t>
      </w:r>
      <w:r>
        <w:t xml:space="preserve">Department of </w:t>
      </w:r>
      <w:r w:rsidRPr="00E0037D">
        <w:t>Inspect</w:t>
      </w:r>
      <w:r>
        <w:t>i</w:t>
      </w:r>
      <w:r w:rsidRPr="00E0037D">
        <w:t>o</w:t>
      </w:r>
      <w:r>
        <w:t>ns</w:t>
      </w:r>
      <w:r w:rsidRPr="00E0037D">
        <w:t xml:space="preserve"> </w:t>
      </w:r>
      <w:r>
        <w:t>to be</w:t>
      </w:r>
      <w:r w:rsidRPr="00E0037D">
        <w:t xml:space="preserve"> verifi</w:t>
      </w:r>
      <w:r>
        <w:t>ed</w:t>
      </w:r>
      <w:r w:rsidRPr="00B00157">
        <w:t xml:space="preserve"> before an identification card can be issued</w:t>
      </w:r>
      <w:r w:rsidRPr="00E0037D">
        <w:t>.</w:t>
      </w:r>
    </w:p>
    <w:p w14:paraId="24109165" w14:textId="53F1420E" w:rsidR="008E612A" w:rsidRPr="00E0037D" w:rsidRDefault="008E612A" w:rsidP="008E612A">
      <w:pPr>
        <w:pStyle w:val="SingleTxtG"/>
      </w:pPr>
      <w:r>
        <w:tab/>
        <w:t>Furthermore, t</w:t>
      </w:r>
      <w:r w:rsidRPr="00E0037D">
        <w:t xml:space="preserve">he State party </w:t>
      </w:r>
      <w:r>
        <w:t>drew the Committee</w:t>
      </w:r>
      <w:r w:rsidR="00874947">
        <w:t>’</w:t>
      </w:r>
      <w:r>
        <w:t>s attention</w:t>
      </w:r>
      <w:r w:rsidRPr="00E0037D">
        <w:t xml:space="preserve"> to a September 2020 statement in which </w:t>
      </w:r>
      <w:r>
        <w:t>a member of the O</w:t>
      </w:r>
      <w:r w:rsidRPr="009E7D0D">
        <w:t xml:space="preserve">ffice of the United Nations High Commissioner for Refugees </w:t>
      </w:r>
      <w:r>
        <w:t>(UNHCR),</w:t>
      </w:r>
      <w:r w:rsidRPr="00BC4958">
        <w:t xml:space="preserve"> </w:t>
      </w:r>
      <w:r>
        <w:t xml:space="preserve">speaking as a representative of the international community, </w:t>
      </w:r>
      <w:r w:rsidRPr="00E0037D">
        <w:t>co</w:t>
      </w:r>
      <w:r>
        <w:t>ngratulated</w:t>
      </w:r>
      <w:r w:rsidRPr="00E0037D">
        <w:t xml:space="preserve"> the Government of the Dominican Republic </w:t>
      </w:r>
      <w:r>
        <w:t>on</w:t>
      </w:r>
      <w:r w:rsidRPr="00E0037D">
        <w:t xml:space="preserve"> the Presidential Decree of 16 July 2020, which eased </w:t>
      </w:r>
      <w:r>
        <w:t xml:space="preserve">the </w:t>
      </w:r>
      <w:r w:rsidRPr="00E0037D">
        <w:t xml:space="preserve">restrictions imposed by Constitutional Court </w:t>
      </w:r>
      <w:r>
        <w:t>decision No.</w:t>
      </w:r>
      <w:r w:rsidRPr="00E0037D">
        <w:t xml:space="preserve"> </w:t>
      </w:r>
      <w:r>
        <w:t>TC/0</w:t>
      </w:r>
      <w:r w:rsidRPr="00E0037D">
        <w:t>168</w:t>
      </w:r>
      <w:r>
        <w:t>/</w:t>
      </w:r>
      <w:r w:rsidRPr="00E0037D">
        <w:t xml:space="preserve">13. </w:t>
      </w:r>
      <w:r>
        <w:t xml:space="preserve">He </w:t>
      </w:r>
      <w:r w:rsidRPr="00E0037D">
        <w:t>co</w:t>
      </w:r>
      <w:r>
        <w:t>mmend</w:t>
      </w:r>
      <w:r w:rsidRPr="00E0037D">
        <w:t>e</w:t>
      </w:r>
      <w:r>
        <w:t>d</w:t>
      </w:r>
      <w:r w:rsidRPr="00E0037D">
        <w:t xml:space="preserve"> the </w:t>
      </w:r>
      <w:r>
        <w:t>G</w:t>
      </w:r>
      <w:r w:rsidRPr="00E0037D">
        <w:t xml:space="preserve">overnment for taking such an important step towards </w:t>
      </w:r>
      <w:r>
        <w:t>re</w:t>
      </w:r>
      <w:r w:rsidRPr="00E0037D">
        <w:t>sol</w:t>
      </w:r>
      <w:r>
        <w:t>ving</w:t>
      </w:r>
      <w:r w:rsidRPr="00E0037D">
        <w:t xml:space="preserve"> </w:t>
      </w:r>
      <w:r>
        <w:t>the issue of the</w:t>
      </w:r>
      <w:r w:rsidRPr="00E0037D">
        <w:t xml:space="preserve"> nationality </w:t>
      </w:r>
      <w:r>
        <w:t>of</w:t>
      </w:r>
      <w:r w:rsidRPr="00E0037D">
        <w:t xml:space="preserve"> persons born and raised in the country.</w:t>
      </w:r>
    </w:p>
    <w:p w14:paraId="2AA6A0C4" w14:textId="6EF9DBE7" w:rsidR="008E612A" w:rsidRPr="00E0037D" w:rsidRDefault="008E612A" w:rsidP="008E612A">
      <w:pPr>
        <w:pStyle w:val="SingleTxtG"/>
      </w:pPr>
      <w:r>
        <w:lastRenderedPageBreak/>
        <w:tab/>
        <w:t>(</w:t>
      </w:r>
      <w:r w:rsidRPr="00E0037D">
        <w:t>b)</w:t>
      </w:r>
      <w:r w:rsidRPr="00E0037D">
        <w:tab/>
        <w:t>The</w:t>
      </w:r>
      <w:r>
        <w:t xml:space="preserve"> State party reaffirmed that the</w:t>
      </w:r>
      <w:r w:rsidRPr="00E0037D">
        <w:t xml:space="preserve">re is no statelessness in the </w:t>
      </w:r>
      <w:r>
        <w:t>country</w:t>
      </w:r>
      <w:r w:rsidRPr="00E0037D">
        <w:t>.</w:t>
      </w:r>
      <w:r>
        <w:t xml:space="preserve"> Moreover, it</w:t>
      </w:r>
      <w:r w:rsidRPr="00E0037D">
        <w:t xml:space="preserve"> </w:t>
      </w:r>
      <w:r>
        <w:t>not</w:t>
      </w:r>
      <w:r w:rsidRPr="00E0037D">
        <w:t xml:space="preserve">ed </w:t>
      </w:r>
      <w:r>
        <w:t>that</w:t>
      </w:r>
      <w:r w:rsidRPr="00E0037D">
        <w:t xml:space="preserve"> article 11 of the Constitution of Haiti establishes that </w:t>
      </w:r>
      <w:r>
        <w:t>a</w:t>
      </w:r>
      <w:r w:rsidRPr="00E0037D">
        <w:t xml:space="preserve">ny </w:t>
      </w:r>
      <w:r>
        <w:t>child</w:t>
      </w:r>
      <w:r w:rsidRPr="00E0037D">
        <w:t xml:space="preserve"> born </w:t>
      </w:r>
      <w:r>
        <w:t>to</w:t>
      </w:r>
      <w:r w:rsidRPr="00E0037D">
        <w:t xml:space="preserve"> a father or mother who </w:t>
      </w:r>
      <w:r>
        <w:t>was</w:t>
      </w:r>
      <w:r w:rsidRPr="00E0037D">
        <w:t xml:space="preserve"> Haitian</w:t>
      </w:r>
      <w:r>
        <w:t xml:space="preserve"> by birth</w:t>
      </w:r>
      <w:r w:rsidRPr="00E0037D">
        <w:t xml:space="preserve"> and ha</w:t>
      </w:r>
      <w:r>
        <w:t>d</w:t>
      </w:r>
      <w:r w:rsidRPr="00E0037D">
        <w:t xml:space="preserve"> n</w:t>
      </w:r>
      <w:r>
        <w:t>ot</w:t>
      </w:r>
      <w:r w:rsidRPr="00E0037D">
        <w:t xml:space="preserve"> renounced </w:t>
      </w:r>
      <w:r>
        <w:t>his or her</w:t>
      </w:r>
      <w:r w:rsidRPr="00E0037D">
        <w:t xml:space="preserve"> nationality </w:t>
      </w:r>
      <w:r>
        <w:t>at the time of the child</w:t>
      </w:r>
      <w:r w:rsidR="00874947">
        <w:t>’</w:t>
      </w:r>
      <w:r>
        <w:t>s birth, holds</w:t>
      </w:r>
      <w:r w:rsidRPr="00E0037D">
        <w:t xml:space="preserve"> Haitian nationality.</w:t>
      </w:r>
    </w:p>
    <w:p w14:paraId="55724735" w14:textId="07AB72AC" w:rsidR="008E612A" w:rsidRPr="00E0037D" w:rsidRDefault="008E612A" w:rsidP="00874947">
      <w:pPr>
        <w:pStyle w:val="H23G"/>
      </w:pPr>
      <w:r>
        <w:tab/>
      </w:r>
      <w:r>
        <w:tab/>
      </w:r>
      <w:r w:rsidRPr="00E0037D">
        <w:t>Committee</w:t>
      </w:r>
      <w:r w:rsidR="00874947">
        <w:t>’</w:t>
      </w:r>
      <w:r w:rsidRPr="00E0037D">
        <w:t>s evaluation</w:t>
      </w:r>
    </w:p>
    <w:p w14:paraId="1C22AB73" w14:textId="77777777" w:rsidR="008E612A" w:rsidRPr="00E0037D" w:rsidRDefault="008E612A" w:rsidP="008E612A">
      <w:pPr>
        <w:pStyle w:val="SingleTxtG"/>
      </w:pPr>
      <w:r w:rsidRPr="00E0037D">
        <w:t>[</w:t>
      </w:r>
      <w:r w:rsidRPr="00E0037D">
        <w:rPr>
          <w:b/>
        </w:rPr>
        <w:t>B</w:t>
      </w:r>
      <w:r w:rsidRPr="00E0037D">
        <w:t>]: (a)</w:t>
      </w:r>
    </w:p>
    <w:p w14:paraId="79182388" w14:textId="77777777" w:rsidR="008E612A" w:rsidRPr="00E0037D" w:rsidRDefault="008E612A" w:rsidP="008E612A">
      <w:pPr>
        <w:pStyle w:val="SingleTxtG"/>
        <w:rPr>
          <w:color w:val="222222"/>
          <w:shd w:val="clear" w:color="auto" w:fill="FFFFFF"/>
          <w:lang w:val="en-US"/>
        </w:rPr>
      </w:pPr>
      <w:r w:rsidRPr="00E0037D">
        <w:t xml:space="preserve">The Committee welcomes the adoption of Decree </w:t>
      </w:r>
      <w:r>
        <w:t xml:space="preserve">No. </w:t>
      </w:r>
      <w:r w:rsidRPr="00E0037D">
        <w:t xml:space="preserve">262-20 of 16 July 2020, which allowed the naturalization of 750 </w:t>
      </w:r>
      <w:r>
        <w:t>individuals who had been</w:t>
      </w:r>
      <w:r w:rsidRPr="00E0037D">
        <w:t xml:space="preserve"> born and raised in the country</w:t>
      </w:r>
      <w:r>
        <w:t>, and who had</w:t>
      </w:r>
      <w:r w:rsidRPr="00E0037D">
        <w:t xml:space="preserve"> previously </w:t>
      </w:r>
      <w:r>
        <w:t xml:space="preserve">been </w:t>
      </w:r>
      <w:r w:rsidRPr="00E0037D">
        <w:t>affected by decision No. TC/0168/13</w:t>
      </w:r>
      <w:r w:rsidRPr="00E0037D">
        <w:rPr>
          <w:color w:val="222222"/>
          <w:shd w:val="clear" w:color="auto" w:fill="FFFFFF"/>
          <w:lang w:val="en-US"/>
        </w:rPr>
        <w:t xml:space="preserve"> o</w:t>
      </w:r>
      <w:r>
        <w:rPr>
          <w:color w:val="222222"/>
          <w:shd w:val="clear" w:color="auto" w:fill="FFFFFF"/>
          <w:lang w:val="en-US"/>
        </w:rPr>
        <w:t>f</w:t>
      </w:r>
      <w:r w:rsidRPr="00E0037D">
        <w:rPr>
          <w:color w:val="222222"/>
          <w:shd w:val="clear" w:color="auto" w:fill="FFFFFF"/>
          <w:lang w:val="en-US"/>
        </w:rPr>
        <w:t xml:space="preserve"> 23 September 2013. The Committee </w:t>
      </w:r>
      <w:r>
        <w:rPr>
          <w:color w:val="222222"/>
          <w:shd w:val="clear" w:color="auto" w:fill="FFFFFF"/>
          <w:lang w:val="en-US"/>
        </w:rPr>
        <w:t xml:space="preserve">takes </w:t>
      </w:r>
      <w:r w:rsidRPr="00E0037D">
        <w:rPr>
          <w:color w:val="222222"/>
          <w:shd w:val="clear" w:color="auto" w:fill="FFFFFF"/>
          <w:lang w:val="en-US"/>
        </w:rPr>
        <w:t xml:space="preserve">note </w:t>
      </w:r>
      <w:r>
        <w:rPr>
          <w:color w:val="222222"/>
          <w:shd w:val="clear" w:color="auto" w:fill="FFFFFF"/>
          <w:lang w:val="en-US"/>
        </w:rPr>
        <w:t xml:space="preserve">of </w:t>
      </w:r>
      <w:r w:rsidRPr="00E0037D">
        <w:rPr>
          <w:color w:val="222222"/>
          <w:shd w:val="clear" w:color="auto" w:fill="FFFFFF"/>
          <w:lang w:val="en-US"/>
        </w:rPr>
        <w:t>the statistics provided by the State party and requests information on measures taken after the adoption of the concluding observations</w:t>
      </w:r>
      <w:r>
        <w:rPr>
          <w:color w:val="222222"/>
          <w:shd w:val="clear" w:color="auto" w:fill="FFFFFF"/>
          <w:lang w:val="en-US"/>
        </w:rPr>
        <w:t>:</w:t>
      </w:r>
      <w:r w:rsidRPr="00E0037D">
        <w:rPr>
          <w:color w:val="222222"/>
          <w:shd w:val="clear" w:color="auto" w:fill="FFFFFF"/>
          <w:lang w:val="en-US"/>
        </w:rPr>
        <w:t xml:space="preserve"> (</w:t>
      </w:r>
      <w:r>
        <w:rPr>
          <w:color w:val="222222"/>
          <w:shd w:val="clear" w:color="auto" w:fill="FFFFFF"/>
          <w:lang w:val="en-US"/>
        </w:rPr>
        <w:t>a</w:t>
      </w:r>
      <w:r w:rsidRPr="00E0037D">
        <w:rPr>
          <w:color w:val="222222"/>
          <w:shd w:val="clear" w:color="auto" w:fill="FFFFFF"/>
          <w:lang w:val="en-US"/>
        </w:rPr>
        <w:t xml:space="preserve">) to ensure that all persons in group A receive their nationality documents, including the remaining 3,599 cases which have not yet been </w:t>
      </w:r>
      <w:r>
        <w:rPr>
          <w:color w:val="222222"/>
          <w:shd w:val="clear" w:color="auto" w:fill="FFFFFF"/>
          <w:lang w:val="en-US"/>
        </w:rPr>
        <w:t>re</w:t>
      </w:r>
      <w:r w:rsidRPr="00E0037D">
        <w:rPr>
          <w:color w:val="222222"/>
          <w:shd w:val="clear" w:color="auto" w:fill="FFFFFF"/>
          <w:lang w:val="en-US"/>
        </w:rPr>
        <w:t>solved; (</w:t>
      </w:r>
      <w:r>
        <w:rPr>
          <w:color w:val="222222"/>
          <w:shd w:val="clear" w:color="auto" w:fill="FFFFFF"/>
          <w:lang w:val="en-US"/>
        </w:rPr>
        <w:t>b</w:t>
      </w:r>
      <w:r w:rsidRPr="00E0037D">
        <w:rPr>
          <w:color w:val="222222"/>
          <w:shd w:val="clear" w:color="auto" w:fill="FFFFFF"/>
          <w:lang w:val="en-US"/>
        </w:rPr>
        <w:t xml:space="preserve">) </w:t>
      </w:r>
      <w:r>
        <w:rPr>
          <w:color w:val="222222"/>
          <w:shd w:val="clear" w:color="auto" w:fill="FFFFFF"/>
          <w:lang w:val="en-US"/>
        </w:rPr>
        <w:t xml:space="preserve">to resolve </w:t>
      </w:r>
      <w:r w:rsidRPr="00E0037D">
        <w:rPr>
          <w:color w:val="222222"/>
          <w:shd w:val="clear" w:color="auto" w:fill="FFFFFF"/>
          <w:lang w:val="en-US"/>
        </w:rPr>
        <w:t xml:space="preserve">the remaining 1,969 cases </w:t>
      </w:r>
      <w:r>
        <w:rPr>
          <w:color w:val="222222"/>
          <w:shd w:val="clear" w:color="auto" w:fill="FFFFFF"/>
          <w:lang w:val="en-US"/>
        </w:rPr>
        <w:t>in</w:t>
      </w:r>
      <w:r w:rsidRPr="00E0037D">
        <w:rPr>
          <w:color w:val="222222"/>
          <w:shd w:val="clear" w:color="auto" w:fill="FFFFFF"/>
          <w:lang w:val="en-US"/>
        </w:rPr>
        <w:t xml:space="preserve"> group B that lacked the necessary information to recover Dominican nationality, in particular the 93 cases that were referred to the</w:t>
      </w:r>
      <w:r>
        <w:rPr>
          <w:color w:val="222222"/>
          <w:shd w:val="clear" w:color="auto" w:fill="FFFFFF"/>
          <w:lang w:val="en-US"/>
        </w:rPr>
        <w:t xml:space="preserve"> Department of</w:t>
      </w:r>
      <w:r w:rsidRPr="00E0037D">
        <w:rPr>
          <w:color w:val="222222"/>
          <w:shd w:val="clear" w:color="auto" w:fill="FFFFFF"/>
          <w:lang w:val="en-US"/>
        </w:rPr>
        <w:t xml:space="preserve"> Inspect</w:t>
      </w:r>
      <w:r>
        <w:rPr>
          <w:color w:val="222222"/>
          <w:shd w:val="clear" w:color="auto" w:fill="FFFFFF"/>
          <w:lang w:val="en-US"/>
        </w:rPr>
        <w:t>i</w:t>
      </w:r>
      <w:r w:rsidRPr="00E0037D">
        <w:rPr>
          <w:color w:val="222222"/>
          <w:shd w:val="clear" w:color="auto" w:fill="FFFFFF"/>
          <w:lang w:val="en-US"/>
        </w:rPr>
        <w:t>o</w:t>
      </w:r>
      <w:r>
        <w:rPr>
          <w:color w:val="222222"/>
          <w:shd w:val="clear" w:color="auto" w:fill="FFFFFF"/>
          <w:lang w:val="en-US"/>
        </w:rPr>
        <w:t>ns</w:t>
      </w:r>
      <w:r w:rsidRPr="00957A98">
        <w:rPr>
          <w:color w:val="222222"/>
          <w:shd w:val="clear" w:color="auto" w:fill="FFFFFF"/>
          <w:lang w:val="en-US"/>
        </w:rPr>
        <w:t xml:space="preserve"> </w:t>
      </w:r>
      <w:r w:rsidRPr="00E0037D">
        <w:rPr>
          <w:color w:val="222222"/>
          <w:shd w:val="clear" w:color="auto" w:fill="FFFFFF"/>
          <w:lang w:val="en-US"/>
        </w:rPr>
        <w:t>for verification; and (</w:t>
      </w:r>
      <w:r>
        <w:rPr>
          <w:color w:val="222222"/>
          <w:shd w:val="clear" w:color="auto" w:fill="FFFFFF"/>
          <w:lang w:val="en-US"/>
        </w:rPr>
        <w:t>c</w:t>
      </w:r>
      <w:r w:rsidRPr="00E0037D">
        <w:rPr>
          <w:color w:val="222222"/>
          <w:shd w:val="clear" w:color="auto" w:fill="FFFFFF"/>
          <w:lang w:val="en-US"/>
        </w:rPr>
        <w:t xml:space="preserve">) to </w:t>
      </w:r>
      <w:r w:rsidRPr="00E0037D">
        <w:t>restore the Dominican nationality of those persons born between 18 April 2007 and 26 January 2010.</w:t>
      </w:r>
    </w:p>
    <w:p w14:paraId="2E18008F" w14:textId="77777777" w:rsidR="008E612A" w:rsidRPr="00E0037D" w:rsidRDefault="008E612A" w:rsidP="008E612A">
      <w:pPr>
        <w:pStyle w:val="SingleTxtG"/>
      </w:pPr>
      <w:r w:rsidRPr="008B492C">
        <w:t>[</w:t>
      </w:r>
      <w:r w:rsidRPr="00E0037D">
        <w:rPr>
          <w:b/>
          <w:bCs/>
        </w:rPr>
        <w:t>C</w:t>
      </w:r>
      <w:r w:rsidRPr="008B492C">
        <w:t>]</w:t>
      </w:r>
      <w:r w:rsidRPr="00BA0DFF">
        <w:t>:</w:t>
      </w:r>
      <w:r w:rsidRPr="00E0037D">
        <w:t xml:space="preserve"> (b)</w:t>
      </w:r>
    </w:p>
    <w:p w14:paraId="69DA3401" w14:textId="77777777" w:rsidR="008E612A" w:rsidRPr="00E0037D" w:rsidRDefault="008E612A" w:rsidP="008E612A">
      <w:pPr>
        <w:pStyle w:val="SingleTxtG"/>
      </w:pPr>
      <w:r w:rsidRPr="00E0037D">
        <w:t xml:space="preserve">The Committee notes with disappointment that the State party </w:t>
      </w:r>
      <w:r>
        <w:t>continues to</w:t>
      </w:r>
      <w:r w:rsidRPr="00E0037D">
        <w:t xml:space="preserve"> deny th</w:t>
      </w:r>
      <w:r>
        <w:t>at</w:t>
      </w:r>
      <w:r w:rsidRPr="00E0037D">
        <w:t xml:space="preserve"> cases of statelessness exist</w:t>
      </w:r>
      <w:r>
        <w:t xml:space="preserve"> </w:t>
      </w:r>
      <w:r w:rsidRPr="00E0037D">
        <w:t xml:space="preserve">in </w:t>
      </w:r>
      <w:r>
        <w:t>the country.</w:t>
      </w:r>
      <w:r w:rsidRPr="00E0037D">
        <w:t xml:space="preserve"> It regrets the lack of measures taken to address cases of statelessness, including by considering accession to the Convention relating to the Status of Stateless Persons and the Convention on the Reduction of Statelessness, as previously recommended by the Committee</w:t>
      </w:r>
      <w:r>
        <w:t>.</w:t>
      </w:r>
    </w:p>
    <w:p w14:paraId="730A0432" w14:textId="54ABDFBF" w:rsidR="008E612A" w:rsidRPr="00E0037D" w:rsidRDefault="008E612A" w:rsidP="008E612A">
      <w:pPr>
        <w:pStyle w:val="SingleTxtG"/>
      </w:pPr>
      <w:r w:rsidRPr="00E0037D">
        <w:rPr>
          <w:b/>
          <w:bCs/>
        </w:rPr>
        <w:t>Recommended action</w:t>
      </w:r>
      <w:r w:rsidRPr="00E0037D">
        <w:t>: A letter should be sent informing the State party of the discontinuation of the follow-up procedure. The information requested should be included in the State party</w:t>
      </w:r>
      <w:r w:rsidR="00874947">
        <w:t>’</w:t>
      </w:r>
      <w:r w:rsidRPr="00E0037D">
        <w:t>s next periodic report.</w:t>
      </w:r>
    </w:p>
    <w:p w14:paraId="624FD957" w14:textId="7AA9263E" w:rsidR="008E612A" w:rsidRDefault="008E612A" w:rsidP="0011596F">
      <w:pPr>
        <w:pStyle w:val="SingleTxtG"/>
        <w:jc w:val="left"/>
      </w:pPr>
      <w:r w:rsidRPr="00E0037D">
        <w:rPr>
          <w:b/>
          <w:bCs/>
        </w:rPr>
        <w:t>Next periodic report</w:t>
      </w:r>
      <w:r>
        <w:rPr>
          <w:b/>
          <w:bCs/>
        </w:rPr>
        <w:t xml:space="preserve"> due</w:t>
      </w:r>
      <w:r w:rsidRPr="00E0037D">
        <w:t>: 202</w:t>
      </w:r>
      <w:r>
        <w:t>5</w:t>
      </w:r>
      <w:r w:rsidRPr="00E0037D">
        <w:t xml:space="preserve"> (country review in 202</w:t>
      </w:r>
      <w:r>
        <w:t>6</w:t>
      </w:r>
      <w:r w:rsidRPr="00E0037D">
        <w:t xml:space="preserve">, in accordance with the predictable review cycle. See </w:t>
      </w:r>
      <w:hyperlink r:id="rId10" w:history="1">
        <w:r w:rsidRPr="00874947">
          <w:rPr>
            <w:rStyle w:val="Hyperlink"/>
          </w:rPr>
          <w:t>www.ohchr.org/EN/HRBodies/CCPR/Pages/Predictable ReviewCycle.aspx</w:t>
        </w:r>
      </w:hyperlink>
      <w:r w:rsidRPr="0011596F">
        <w:rPr>
          <w:rStyle w:val="Hyperlink"/>
          <w:color w:val="000000" w:themeColor="text1"/>
        </w:rPr>
        <w:t>)</w:t>
      </w:r>
      <w:r>
        <w:t>.</w:t>
      </w:r>
    </w:p>
    <w:p w14:paraId="462D0791" w14:textId="4578465D" w:rsidR="00874947" w:rsidRPr="00C90B5D" w:rsidRDefault="00874947" w:rsidP="00874947">
      <w:pPr>
        <w:spacing w:before="240"/>
        <w:jc w:val="center"/>
        <w:rPr>
          <w:u w:val="single"/>
        </w:rPr>
      </w:pPr>
      <w:r w:rsidRPr="00C90B5D">
        <w:rPr>
          <w:u w:val="single"/>
        </w:rPr>
        <w:tab/>
      </w:r>
      <w:r w:rsidRPr="00C90B5D">
        <w:rPr>
          <w:u w:val="single"/>
        </w:rPr>
        <w:tab/>
      </w:r>
      <w:r w:rsidRPr="00C90B5D">
        <w:rPr>
          <w:u w:val="single"/>
        </w:rPr>
        <w:tab/>
      </w:r>
    </w:p>
    <w:sectPr w:rsidR="00874947" w:rsidRPr="00C90B5D"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305F3" w14:textId="77777777" w:rsidR="001725A1" w:rsidRPr="00B903E5" w:rsidRDefault="001725A1" w:rsidP="00B903E5">
      <w:pPr>
        <w:pStyle w:val="Footer"/>
      </w:pPr>
    </w:p>
  </w:endnote>
  <w:endnote w:type="continuationSeparator" w:id="0">
    <w:p w14:paraId="319FB02A" w14:textId="77777777" w:rsidR="001725A1" w:rsidRPr="00B903E5" w:rsidRDefault="001725A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A5FA" w14:textId="25675A83" w:rsidR="008E612A" w:rsidRDefault="008E612A" w:rsidP="008E612A">
    <w:pPr>
      <w:pStyle w:val="Footer"/>
      <w:tabs>
        <w:tab w:val="right" w:pos="9638"/>
      </w:tabs>
    </w:pPr>
    <w:r w:rsidRPr="008E612A">
      <w:rPr>
        <w:b/>
        <w:bCs/>
        <w:sz w:val="18"/>
      </w:rPr>
      <w:fldChar w:fldCharType="begin"/>
    </w:r>
    <w:r w:rsidRPr="008E612A">
      <w:rPr>
        <w:b/>
        <w:bCs/>
        <w:sz w:val="18"/>
      </w:rPr>
      <w:instrText xml:space="preserve"> PAGE  \* MERGEFORMAT </w:instrText>
    </w:r>
    <w:r w:rsidRPr="008E612A">
      <w:rPr>
        <w:b/>
        <w:bCs/>
        <w:sz w:val="18"/>
      </w:rPr>
      <w:fldChar w:fldCharType="separate"/>
    </w:r>
    <w:r w:rsidR="00C90B5D">
      <w:rPr>
        <w:b/>
        <w:bCs/>
        <w:noProof/>
        <w:sz w:val="18"/>
      </w:rPr>
      <w:t>4</w:t>
    </w:r>
    <w:r w:rsidRPr="008E612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B598" w14:textId="1725E4C5" w:rsidR="008E612A" w:rsidRDefault="008E612A" w:rsidP="008E612A">
    <w:pPr>
      <w:pStyle w:val="Footer"/>
      <w:tabs>
        <w:tab w:val="right" w:pos="9638"/>
      </w:tabs>
    </w:pPr>
    <w:r>
      <w:tab/>
    </w:r>
    <w:r w:rsidRPr="008E612A">
      <w:rPr>
        <w:b/>
        <w:bCs/>
        <w:sz w:val="18"/>
      </w:rPr>
      <w:fldChar w:fldCharType="begin"/>
    </w:r>
    <w:r w:rsidRPr="008E612A">
      <w:rPr>
        <w:b/>
        <w:bCs/>
        <w:sz w:val="18"/>
      </w:rPr>
      <w:instrText xml:space="preserve"> PAGE  \* MERGEFORMAT </w:instrText>
    </w:r>
    <w:r w:rsidRPr="008E612A">
      <w:rPr>
        <w:b/>
        <w:bCs/>
        <w:sz w:val="18"/>
      </w:rPr>
      <w:fldChar w:fldCharType="separate"/>
    </w:r>
    <w:r w:rsidR="00C90B5D">
      <w:rPr>
        <w:b/>
        <w:bCs/>
        <w:noProof/>
        <w:sz w:val="18"/>
      </w:rPr>
      <w:t>5</w:t>
    </w:r>
    <w:r w:rsidRPr="008E61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A002" w14:textId="66AF80E9" w:rsidR="00593065" w:rsidRDefault="00593065" w:rsidP="00593065">
    <w:pPr>
      <w:pStyle w:val="Footer"/>
    </w:pPr>
    <w:bookmarkStart w:id="3" w:name="_GoBack"/>
    <w:bookmarkEnd w:id="3"/>
    <w:r>
      <w:rPr>
        <w:noProof/>
        <w:lang w:val="en-US"/>
      </w:rPr>
      <w:drawing>
        <wp:anchor distT="0" distB="0" distL="114300" distR="114300" simplePos="0" relativeHeight="251659264" behindDoc="1" locked="1" layoutInCell="1" allowOverlap="1" wp14:anchorId="66886D9C" wp14:editId="1AE1E23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F1684C" w14:textId="589A7C28" w:rsidR="00593065" w:rsidRPr="00593065" w:rsidRDefault="00593065" w:rsidP="00593065">
    <w:pPr>
      <w:pStyle w:val="Footer"/>
      <w:ind w:right="1134"/>
      <w:rPr>
        <w:sz w:val="20"/>
      </w:rPr>
    </w:pPr>
    <w:r>
      <w:rPr>
        <w:sz w:val="20"/>
      </w:rPr>
      <w:t>GE.21-19074(E)</w:t>
    </w:r>
    <w:r>
      <w:rPr>
        <w:noProof/>
        <w:sz w:val="20"/>
      </w:rPr>
      <w:drawing>
        <wp:anchor distT="0" distB="0" distL="114300" distR="114300" simplePos="0" relativeHeight="251660288" behindDoc="0" locked="0" layoutInCell="1" allowOverlap="1" wp14:anchorId="6365202C" wp14:editId="703FBA3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CC518" w14:textId="77777777" w:rsidR="001725A1" w:rsidRPr="00B903E5" w:rsidRDefault="001725A1" w:rsidP="00B903E5">
      <w:pPr>
        <w:tabs>
          <w:tab w:val="right" w:pos="2155"/>
        </w:tabs>
        <w:spacing w:after="80" w:line="240" w:lineRule="auto"/>
        <w:ind w:left="680"/>
      </w:pPr>
      <w:r>
        <w:rPr>
          <w:u w:val="single"/>
        </w:rPr>
        <w:tab/>
      </w:r>
    </w:p>
  </w:footnote>
  <w:footnote w:type="continuationSeparator" w:id="0">
    <w:p w14:paraId="3FBAD61B" w14:textId="77777777" w:rsidR="001725A1" w:rsidRPr="00B903E5" w:rsidRDefault="001725A1" w:rsidP="00B903E5">
      <w:pPr>
        <w:tabs>
          <w:tab w:val="right" w:pos="2155"/>
        </w:tabs>
        <w:spacing w:after="80" w:line="240" w:lineRule="auto"/>
        <w:ind w:left="680"/>
      </w:pPr>
      <w:r>
        <w:rPr>
          <w:u w:val="single"/>
        </w:rPr>
        <w:tab/>
      </w:r>
    </w:p>
  </w:footnote>
  <w:footnote w:id="1">
    <w:p w14:paraId="0F330598" w14:textId="43304EC6" w:rsidR="008E4A1E" w:rsidRPr="005D41DB" w:rsidRDefault="008E4A1E">
      <w:pPr>
        <w:pStyle w:val="FootnoteText"/>
        <w:rPr>
          <w:lang w:val="en-US"/>
        </w:rPr>
      </w:pPr>
      <w:r>
        <w:rPr>
          <w:rStyle w:val="FootnoteReference"/>
        </w:rPr>
        <w:tab/>
      </w:r>
      <w:r w:rsidRPr="005D41DB">
        <w:rPr>
          <w:rStyle w:val="FootnoteReference"/>
          <w:sz w:val="20"/>
          <w:vertAlign w:val="baseline"/>
        </w:rPr>
        <w:t>*</w:t>
      </w:r>
      <w:r>
        <w:rPr>
          <w:rStyle w:val="FootnoteReference"/>
          <w:sz w:val="20"/>
          <w:vertAlign w:val="baseline"/>
        </w:rPr>
        <w:tab/>
      </w:r>
      <w:r w:rsidR="000C3E12">
        <w:rPr>
          <w:lang w:val="en-US"/>
        </w:rPr>
        <w:t>Reissued for technical reasons on 20 December 2021.</w:t>
      </w:r>
    </w:p>
  </w:footnote>
  <w:footnote w:id="2">
    <w:p w14:paraId="67D85F83" w14:textId="77777777" w:rsidR="000C3E12" w:rsidRPr="008E612A" w:rsidRDefault="000C3E12" w:rsidP="000C3E12">
      <w:pPr>
        <w:pStyle w:val="FootnoteText"/>
        <w:rPr>
          <w:lang w:val="en-US"/>
        </w:rPr>
      </w:pPr>
      <w:r>
        <w:rPr>
          <w:rStyle w:val="FootnoteReference"/>
        </w:rPr>
        <w:tab/>
      </w:r>
      <w:r w:rsidRPr="005D41DB">
        <w:rPr>
          <w:rStyle w:val="FootnoteReference"/>
          <w:sz w:val="20"/>
          <w:vertAlign w:val="baseline"/>
        </w:rPr>
        <w:t>**</w:t>
      </w:r>
      <w:r>
        <w:rPr>
          <w:rStyle w:val="FootnoteReference"/>
          <w:sz w:val="20"/>
          <w:vertAlign w:val="baseline"/>
        </w:rPr>
        <w:tab/>
      </w:r>
      <w:r>
        <w:t>Adopted by the Committee at its 133</w:t>
      </w:r>
      <w:r w:rsidRPr="008B492C">
        <w:t>rd</w:t>
      </w:r>
      <w:r>
        <w:t xml:space="preserve"> session (11 October–5 November 2021).</w:t>
      </w:r>
    </w:p>
    <w:p w14:paraId="67E26251" w14:textId="72D52491" w:rsidR="000C3E12" w:rsidRPr="005D41DB" w:rsidRDefault="000C3E12">
      <w:pPr>
        <w:pStyle w:val="FootnoteText"/>
        <w:rPr>
          <w:lang w:val="en-US"/>
        </w:rPr>
      </w:pPr>
    </w:p>
  </w:footnote>
  <w:footnote w:id="3">
    <w:p w14:paraId="03462D9B" w14:textId="0FC86216" w:rsidR="008E612A" w:rsidRPr="00F92686" w:rsidRDefault="008E612A" w:rsidP="00874947">
      <w:pPr>
        <w:pStyle w:val="FootnoteText"/>
        <w:rPr>
          <w:lang w:val="en-US"/>
        </w:rPr>
      </w:pPr>
      <w:r>
        <w:tab/>
      </w:r>
      <w:r w:rsidRPr="00874947">
        <w:rPr>
          <w:rStyle w:val="FootnoteReference"/>
        </w:rPr>
        <w:footnoteRef/>
      </w:r>
      <w:r w:rsidRPr="005D41DB">
        <w:rPr>
          <w:rStyle w:val="FootnoteReference"/>
          <w:lang w:val="pt-PT"/>
        </w:rPr>
        <w:tab/>
      </w:r>
      <w:hyperlink r:id="rId1" w:history="1">
        <w:r w:rsidRPr="00874947">
          <w:rPr>
            <w:rStyle w:val="Hyperlink"/>
            <w:lang w:val="pt-PT"/>
          </w:rPr>
          <w:t>CCPR/C/DOM/CO/5</w:t>
        </w:r>
      </w:hyperlink>
      <w:r w:rsidRPr="00F92686">
        <w:rPr>
          <w:lang w:val="pt-PT"/>
        </w:rPr>
        <w:t xml:space="preserve">, para. </w:t>
      </w:r>
      <w:r w:rsidRPr="00F92686">
        <w:rPr>
          <w:lang w:val="en-US"/>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730B" w14:textId="77777777" w:rsidR="008E612A" w:rsidRDefault="008E612A" w:rsidP="008E612A">
    <w:pPr>
      <w:pStyle w:val="Header"/>
    </w:pPr>
    <w:r>
      <w:t>CCPR/C/133/3/Add.1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0B23" w14:textId="77777777" w:rsidR="008E612A" w:rsidRDefault="008E612A" w:rsidP="008E612A">
    <w:pPr>
      <w:pStyle w:val="Header"/>
      <w:jc w:val="right"/>
    </w:pPr>
    <w:r>
      <w:t>CCPR/C/133/3/Add.1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A86F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204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68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80F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20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DE2A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ABC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0B3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C411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89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A1"/>
    <w:rsid w:val="00046E92"/>
    <w:rsid w:val="0006523D"/>
    <w:rsid w:val="000820E8"/>
    <w:rsid w:val="000C3E12"/>
    <w:rsid w:val="0011596F"/>
    <w:rsid w:val="00131D7A"/>
    <w:rsid w:val="00165C15"/>
    <w:rsid w:val="001725A1"/>
    <w:rsid w:val="00203518"/>
    <w:rsid w:val="00247E2C"/>
    <w:rsid w:val="002D6C53"/>
    <w:rsid w:val="002F5595"/>
    <w:rsid w:val="00334F6A"/>
    <w:rsid w:val="00342AC8"/>
    <w:rsid w:val="003B4550"/>
    <w:rsid w:val="00461253"/>
    <w:rsid w:val="00472FED"/>
    <w:rsid w:val="005042C2"/>
    <w:rsid w:val="00541ADB"/>
    <w:rsid w:val="00593065"/>
    <w:rsid w:val="005D41DB"/>
    <w:rsid w:val="005D65FD"/>
    <w:rsid w:val="00671529"/>
    <w:rsid w:val="007268F9"/>
    <w:rsid w:val="007327A0"/>
    <w:rsid w:val="00762D73"/>
    <w:rsid w:val="007C52B0"/>
    <w:rsid w:val="00817E57"/>
    <w:rsid w:val="00874947"/>
    <w:rsid w:val="00892361"/>
    <w:rsid w:val="008D3450"/>
    <w:rsid w:val="008E4A1E"/>
    <w:rsid w:val="008E612A"/>
    <w:rsid w:val="0092433D"/>
    <w:rsid w:val="009411B4"/>
    <w:rsid w:val="0094192C"/>
    <w:rsid w:val="009D0139"/>
    <w:rsid w:val="009F5CDC"/>
    <w:rsid w:val="00A23459"/>
    <w:rsid w:val="00A775CF"/>
    <w:rsid w:val="00B06045"/>
    <w:rsid w:val="00B53AA5"/>
    <w:rsid w:val="00B903E5"/>
    <w:rsid w:val="00C35A27"/>
    <w:rsid w:val="00C90B5D"/>
    <w:rsid w:val="00CA1AEA"/>
    <w:rsid w:val="00D327D6"/>
    <w:rsid w:val="00DA012D"/>
    <w:rsid w:val="00DB065A"/>
    <w:rsid w:val="00DB0BD5"/>
    <w:rsid w:val="00DE6B97"/>
    <w:rsid w:val="00E02C2B"/>
    <w:rsid w:val="00E05879"/>
    <w:rsid w:val="00ED6C48"/>
    <w:rsid w:val="00EE09CD"/>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F461845"/>
  <w15:docId w15:val="{B47F1441-EB07-4D33-8486-81684827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2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8E612A"/>
    <w:rPr>
      <w:color w:val="0000FF" w:themeColor="hyperlink"/>
      <w:u w:val="none"/>
    </w:rPr>
  </w:style>
  <w:style w:type="character" w:customStyle="1" w:styleId="UnresolvedMention1">
    <w:name w:val="Unresolved Mention1"/>
    <w:basedOn w:val="DefaultParagraphFont"/>
    <w:uiPriority w:val="99"/>
    <w:semiHidden/>
    <w:unhideWhenUsed/>
    <w:rsid w:val="00874947"/>
    <w:rPr>
      <w:color w:val="605E5C"/>
      <w:shd w:val="clear" w:color="auto" w:fill="E1DFDD"/>
    </w:rPr>
  </w:style>
  <w:style w:type="character" w:styleId="FollowedHyperlink">
    <w:name w:val="FollowedHyperlink"/>
    <w:basedOn w:val="DefaultParagraphFont"/>
    <w:uiPriority w:val="99"/>
    <w:semiHidden/>
    <w:unhideWhenUsed/>
    <w:rsid w:val="0087494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hchr.org/EN/HRBodies/CCPR/Pages/Predictable%20ReviewCycle.aspx" TargetMode="External"/><Relationship Id="rId4" Type="http://schemas.openxmlformats.org/officeDocument/2006/relationships/settings" Target="settings.xml"/><Relationship Id="rId9" Type="http://schemas.openxmlformats.org/officeDocument/2006/relationships/hyperlink" Target="https://undocs.org/en/CCPR/C/DOM/FCO/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CPR/C/DOM/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5A96-AE3B-452A-9AF0-EDF11349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2771</Words>
  <Characters>15441</Characters>
  <Application>Microsoft Office Word</Application>
  <DocSecurity>0</DocSecurity>
  <Lines>234</Lines>
  <Paragraphs>45</Paragraphs>
  <ScaleCrop>false</ScaleCrop>
  <HeadingPairs>
    <vt:vector size="2" baseType="variant">
      <vt:variant>
        <vt:lpstr>Title</vt:lpstr>
      </vt:variant>
      <vt:variant>
        <vt:i4>1</vt:i4>
      </vt:variant>
    </vt:vector>
  </HeadingPairs>
  <TitlesOfParts>
    <vt:vector size="1" baseType="lpstr">
      <vt:lpstr>CCPR/C/133/3/Add.1</vt:lpstr>
    </vt:vector>
  </TitlesOfParts>
  <Company>DCM</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CCPR/C/133/3/Add.1</dc:title>
  <dc:subject>2119074</dc:subject>
  <dc:creator>Brigoli</dc:creator>
  <cp:keywords/>
  <dc:description/>
  <cp:lastModifiedBy>Maria Rosario Corazon Gatmaytan</cp:lastModifiedBy>
  <cp:revision>2</cp:revision>
  <dcterms:created xsi:type="dcterms:W3CDTF">2021-12-20T15:17:00Z</dcterms:created>
  <dcterms:modified xsi:type="dcterms:W3CDTF">2021-12-20T15:17:00Z</dcterms:modified>
</cp:coreProperties>
</file>