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2A1C1DAE" w14:textId="77777777" w:rsidTr="005B51C4">
        <w:trPr>
          <w:trHeight w:hRule="exact" w:val="851"/>
        </w:trPr>
        <w:tc>
          <w:tcPr>
            <w:tcW w:w="1274" w:type="dxa"/>
            <w:tcBorders>
              <w:bottom w:val="single" w:sz="4" w:space="0" w:color="auto"/>
            </w:tcBorders>
            <w:shd w:val="clear" w:color="auto" w:fill="auto"/>
          </w:tcPr>
          <w:p w14:paraId="4455779D" w14:textId="77777777" w:rsidR="006B3E27" w:rsidRPr="00C175A6" w:rsidRDefault="006B3E27" w:rsidP="00700599">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1DDAA6E4"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68413F09" w14:textId="0E58CAFB" w:rsidR="006B3E27" w:rsidRPr="009B20C3" w:rsidRDefault="009B20C3" w:rsidP="009B20C3">
            <w:pPr>
              <w:bidi w:val="0"/>
              <w:rPr>
                <w:szCs w:val="20"/>
              </w:rPr>
            </w:pPr>
            <w:r w:rsidRPr="009B20C3">
              <w:rPr>
                <w:sz w:val="40"/>
                <w:szCs w:val="20"/>
              </w:rPr>
              <w:t>CCPR</w:t>
            </w:r>
            <w:r>
              <w:rPr>
                <w:szCs w:val="20"/>
              </w:rPr>
              <w:t>/C/</w:t>
            </w:r>
            <w:r w:rsidRPr="000D0834">
              <w:rPr>
                <w:szCs w:val="20"/>
              </w:rPr>
              <w:t>133</w:t>
            </w:r>
            <w:r>
              <w:rPr>
                <w:szCs w:val="20"/>
              </w:rPr>
              <w:t>/</w:t>
            </w:r>
            <w:r w:rsidRPr="000D0834">
              <w:rPr>
                <w:szCs w:val="20"/>
              </w:rPr>
              <w:t>3</w:t>
            </w:r>
            <w:r>
              <w:rPr>
                <w:szCs w:val="20"/>
              </w:rPr>
              <w:t>/Add.</w:t>
            </w:r>
            <w:r w:rsidRPr="000D0834">
              <w:rPr>
                <w:szCs w:val="20"/>
              </w:rPr>
              <w:t>4</w:t>
            </w:r>
          </w:p>
        </w:tc>
      </w:tr>
      <w:tr w:rsidR="006B3E27" w:rsidRPr="00C175A6" w14:paraId="5D1C97D3" w14:textId="77777777" w:rsidTr="005B51C4">
        <w:trPr>
          <w:trHeight w:hRule="exact" w:val="2835"/>
        </w:trPr>
        <w:tc>
          <w:tcPr>
            <w:tcW w:w="1274" w:type="dxa"/>
            <w:tcBorders>
              <w:top w:val="single" w:sz="4" w:space="0" w:color="auto"/>
              <w:bottom w:val="single" w:sz="12" w:space="0" w:color="auto"/>
            </w:tcBorders>
            <w:shd w:val="clear" w:color="auto" w:fill="auto"/>
          </w:tcPr>
          <w:p w14:paraId="13AB54C9"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7643C094" wp14:editId="203FDAF0">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2EE05BD1" w14:textId="77777777" w:rsidR="006B3E27" w:rsidRPr="000D0834" w:rsidRDefault="00ED7442" w:rsidP="00730446">
            <w:pPr>
              <w:spacing w:before="120" w:after="40" w:line="640" w:lineRule="exact"/>
              <w:ind w:left="57"/>
              <w:rPr>
                <w:b/>
                <w:bCs/>
                <w:sz w:val="46"/>
                <w:szCs w:val="46"/>
              </w:rPr>
            </w:pPr>
            <w:r w:rsidRPr="000D0834">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300D53BB" w14:textId="77777777" w:rsidR="00886372" w:rsidRPr="00886372" w:rsidRDefault="00886372" w:rsidP="00886372">
            <w:pPr>
              <w:bidi w:val="0"/>
              <w:spacing w:before="240"/>
              <w:jc w:val="left"/>
              <w:rPr>
                <w:rFonts w:eastAsia="Times New Roman" w:cs="Times New Roman"/>
                <w:szCs w:val="20"/>
                <w:lang w:val="en-GB"/>
              </w:rPr>
            </w:pPr>
            <w:r w:rsidRPr="00886372">
              <w:rPr>
                <w:rFonts w:eastAsia="Times New Roman" w:cs="Times New Roman"/>
                <w:szCs w:val="20"/>
                <w:lang w:val="en-GB"/>
              </w:rPr>
              <w:t>Distr.: General</w:t>
            </w:r>
          </w:p>
          <w:p w14:paraId="0A52026E" w14:textId="77777777" w:rsidR="00886372" w:rsidRPr="00886372" w:rsidRDefault="00886372" w:rsidP="00886372">
            <w:pPr>
              <w:bidi w:val="0"/>
              <w:jc w:val="left"/>
              <w:rPr>
                <w:rFonts w:eastAsia="Times New Roman" w:cs="Times New Roman"/>
                <w:szCs w:val="20"/>
                <w:lang w:val="en-GB"/>
              </w:rPr>
            </w:pPr>
            <w:r w:rsidRPr="00886372">
              <w:rPr>
                <w:rFonts w:eastAsia="Times New Roman" w:cs="Times New Roman"/>
                <w:szCs w:val="20"/>
                <w:lang w:val="en-GB"/>
              </w:rPr>
              <w:t>17 December 2021</w:t>
            </w:r>
          </w:p>
          <w:p w14:paraId="0733F31B" w14:textId="18CD5A27" w:rsidR="00886372" w:rsidRPr="00886372" w:rsidRDefault="00886372" w:rsidP="00886372">
            <w:pPr>
              <w:bidi w:val="0"/>
              <w:jc w:val="left"/>
              <w:rPr>
                <w:rFonts w:eastAsia="Times New Roman" w:cs="Times New Roman"/>
                <w:szCs w:val="20"/>
                <w:lang w:val="en-GB"/>
              </w:rPr>
            </w:pPr>
            <w:r>
              <w:rPr>
                <w:rFonts w:eastAsia="Times New Roman" w:cs="Times New Roman"/>
                <w:szCs w:val="20"/>
                <w:lang w:val="en-GB"/>
              </w:rPr>
              <w:t>Arabic</w:t>
            </w:r>
          </w:p>
          <w:p w14:paraId="702F2EA0" w14:textId="6F020EAC" w:rsidR="009B20C3" w:rsidRPr="00886372" w:rsidRDefault="00886372" w:rsidP="00886372">
            <w:pPr>
              <w:bidi w:val="0"/>
              <w:spacing w:line="240" w:lineRule="exact"/>
              <w:jc w:val="left"/>
              <w:rPr>
                <w:szCs w:val="20"/>
                <w:lang w:val="en-GB"/>
              </w:rPr>
            </w:pPr>
            <w:r w:rsidRPr="00886372">
              <w:rPr>
                <w:rFonts w:eastAsia="Times New Roman" w:cs="Times New Roman"/>
                <w:szCs w:val="20"/>
                <w:lang w:val="en-GB"/>
              </w:rPr>
              <w:t>Original: English</w:t>
            </w:r>
          </w:p>
        </w:tc>
      </w:tr>
    </w:tbl>
    <w:p w14:paraId="699D9F2E" w14:textId="77777777" w:rsidR="00EE5E41" w:rsidRPr="000D0834" w:rsidRDefault="00EE5E41" w:rsidP="00EE5E41">
      <w:pPr>
        <w:pStyle w:val="SingleTxtGA"/>
        <w:spacing w:before="120" w:after="0"/>
        <w:ind w:left="0"/>
        <w:rPr>
          <w:b/>
          <w:bCs/>
          <w:sz w:val="26"/>
          <w:szCs w:val="26"/>
        </w:rPr>
      </w:pPr>
      <w:r w:rsidRPr="000D0834">
        <w:rPr>
          <w:b/>
          <w:bCs/>
          <w:sz w:val="26"/>
          <w:szCs w:val="26"/>
          <w:rtl/>
        </w:rPr>
        <w:t>اللجنة المعنية بحقوق الإنسان</w:t>
      </w:r>
    </w:p>
    <w:p w14:paraId="5EF09BA0" w14:textId="77777777" w:rsidR="00EE5E41" w:rsidRPr="000D0834" w:rsidRDefault="00EE5E41" w:rsidP="00FE3A84">
      <w:pPr>
        <w:pStyle w:val="HChGA"/>
        <w:spacing w:before="300"/>
      </w:pPr>
      <w:r w:rsidRPr="000D0834">
        <w:rPr>
          <w:rtl/>
        </w:rPr>
        <w:tab/>
      </w:r>
      <w:r w:rsidRPr="000D0834">
        <w:rPr>
          <w:rtl/>
        </w:rPr>
        <w:tab/>
        <w:t>تقرير متابعة الملاحظات الختامية للجنة المعنية بحقوق الإنسان</w:t>
      </w:r>
      <w:r w:rsidRPr="000D0834">
        <w:rPr>
          <w:rStyle w:val="FootnoteReference"/>
          <w:sz w:val="22"/>
          <w:szCs w:val="22"/>
          <w:vertAlign w:val="baseline"/>
          <w:rtl/>
        </w:rPr>
        <w:footnoteReference w:customMarkFollows="1" w:id="1"/>
        <w:t>*</w:t>
      </w:r>
    </w:p>
    <w:p w14:paraId="4F8F22E3" w14:textId="77777777" w:rsidR="00EE5E41" w:rsidRPr="000D0834" w:rsidRDefault="00EE5E41" w:rsidP="00EE5E41">
      <w:pPr>
        <w:pStyle w:val="H23GA"/>
      </w:pPr>
      <w:r w:rsidRPr="000D0834">
        <w:rPr>
          <w:rtl/>
        </w:rPr>
        <w:tab/>
      </w:r>
      <w:r w:rsidRPr="000D0834">
        <w:rPr>
          <w:rtl/>
        </w:rPr>
        <w:tab/>
        <w:t>إضافة</w:t>
      </w:r>
    </w:p>
    <w:p w14:paraId="413A4F88" w14:textId="77777777" w:rsidR="00EE5E41" w:rsidRPr="000D0834" w:rsidRDefault="00EE5E41" w:rsidP="00FE3A84">
      <w:pPr>
        <w:pStyle w:val="H1GA"/>
        <w:spacing w:before="200" w:after="200"/>
      </w:pPr>
      <w:r w:rsidRPr="000D0834">
        <w:rPr>
          <w:rtl/>
        </w:rPr>
        <w:tab/>
      </w:r>
      <w:r w:rsidRPr="000D0834">
        <w:rPr>
          <w:rtl/>
        </w:rPr>
        <w:tab/>
        <w:t>تقييم المعلومات المتعلقة بمتابعة الملاحظات الختامية بشأن موريشيوس</w:t>
      </w:r>
    </w:p>
    <w:p w14:paraId="7509F1EA" w14:textId="46C51CCE" w:rsidR="00EE5E41" w:rsidRPr="00326462" w:rsidRDefault="00EE5E41" w:rsidP="00FE3A84">
      <w:pPr>
        <w:pStyle w:val="SingleTxtGA"/>
        <w:tabs>
          <w:tab w:val="clear" w:pos="1928"/>
          <w:tab w:val="clear" w:pos="2608"/>
          <w:tab w:val="clear" w:pos="3289"/>
          <w:tab w:val="clear" w:pos="3969"/>
          <w:tab w:val="clear" w:pos="4649"/>
          <w:tab w:val="clear" w:pos="5330"/>
        </w:tabs>
        <w:spacing w:line="340" w:lineRule="exact"/>
        <w:ind w:left="3856" w:hanging="2722"/>
      </w:pPr>
      <w:r w:rsidRPr="00326462">
        <w:rPr>
          <w:rtl/>
        </w:rPr>
        <w:t xml:space="preserve">الملاحظات الختامية (الدورة </w:t>
      </w:r>
      <w:r w:rsidRPr="000D0834">
        <w:rPr>
          <w:rtl/>
        </w:rPr>
        <w:t>121</w:t>
      </w:r>
      <w:r w:rsidRPr="00326462">
        <w:rPr>
          <w:rtl/>
        </w:rPr>
        <w:t>):</w:t>
      </w:r>
      <w:r>
        <w:rPr>
          <w:rtl/>
        </w:rPr>
        <w:tab/>
      </w:r>
      <w:hyperlink r:id="rId9" w:history="1">
        <w:r w:rsidRPr="002245B2">
          <w:rPr>
            <w:rStyle w:val="Hyperlink"/>
          </w:rPr>
          <w:t>CCPR/C/MUS/CO/</w:t>
        </w:r>
        <w:r w:rsidRPr="000D0834">
          <w:rPr>
            <w:rStyle w:val="Hyperlink"/>
          </w:rPr>
          <w:t>5</w:t>
        </w:r>
      </w:hyperlink>
      <w:r>
        <w:rPr>
          <w:rFonts w:hint="cs"/>
          <w:rtl/>
        </w:rPr>
        <w:t>،</w:t>
      </w:r>
      <w:r w:rsidRPr="00326462">
        <w:rPr>
          <w:rtl/>
        </w:rPr>
        <w:t xml:space="preserve"> </w:t>
      </w:r>
      <w:r w:rsidRPr="000D0834">
        <w:rPr>
          <w:rtl/>
        </w:rPr>
        <w:t>6</w:t>
      </w:r>
      <w:r w:rsidRPr="00326462">
        <w:rPr>
          <w:rtl/>
        </w:rPr>
        <w:t xml:space="preserve"> تشرين الثاني/نوفمبر </w:t>
      </w:r>
      <w:r w:rsidRPr="000D0834">
        <w:rPr>
          <w:rtl/>
        </w:rPr>
        <w:t>2017</w:t>
      </w:r>
    </w:p>
    <w:p w14:paraId="19929239" w14:textId="77777777" w:rsidR="00EE5E41" w:rsidRPr="00326462" w:rsidRDefault="00EE5E41" w:rsidP="00FE3A84">
      <w:pPr>
        <w:pStyle w:val="SingleTxtGA"/>
        <w:tabs>
          <w:tab w:val="clear" w:pos="1928"/>
          <w:tab w:val="clear" w:pos="2608"/>
          <w:tab w:val="clear" w:pos="3289"/>
          <w:tab w:val="clear" w:pos="3969"/>
          <w:tab w:val="clear" w:pos="4649"/>
          <w:tab w:val="clear" w:pos="5330"/>
        </w:tabs>
        <w:spacing w:line="340" w:lineRule="exact"/>
        <w:ind w:left="3856" w:hanging="2722"/>
      </w:pPr>
      <w:r w:rsidRPr="000D0834">
        <w:rPr>
          <w:i/>
          <w:iCs/>
          <w:rtl/>
        </w:rPr>
        <w:t>الفقرات المشمولة بالمتابعة:</w:t>
      </w:r>
      <w:r>
        <w:rPr>
          <w:rtl/>
        </w:rPr>
        <w:tab/>
      </w:r>
      <w:r w:rsidRPr="000D0834">
        <w:rPr>
          <w:rtl/>
        </w:rPr>
        <w:t>8</w:t>
      </w:r>
      <w:r w:rsidRPr="00326462">
        <w:rPr>
          <w:rtl/>
        </w:rPr>
        <w:t xml:space="preserve"> و</w:t>
      </w:r>
      <w:r w:rsidRPr="000D0834">
        <w:rPr>
          <w:rtl/>
        </w:rPr>
        <w:t>38</w:t>
      </w:r>
      <w:r w:rsidRPr="00326462">
        <w:rPr>
          <w:rtl/>
        </w:rPr>
        <w:t xml:space="preserve"> و</w:t>
      </w:r>
      <w:r w:rsidRPr="000D0834">
        <w:rPr>
          <w:rtl/>
        </w:rPr>
        <w:t>40</w:t>
      </w:r>
    </w:p>
    <w:p w14:paraId="2700640F" w14:textId="77777777" w:rsidR="00EE5E41" w:rsidRPr="00FE3A84" w:rsidRDefault="00EE5E41" w:rsidP="00FE3A84">
      <w:pPr>
        <w:pStyle w:val="SingleTxtGA"/>
        <w:tabs>
          <w:tab w:val="clear" w:pos="1928"/>
          <w:tab w:val="clear" w:pos="2608"/>
          <w:tab w:val="clear" w:pos="3289"/>
          <w:tab w:val="clear" w:pos="3969"/>
          <w:tab w:val="clear" w:pos="4649"/>
          <w:tab w:val="clear" w:pos="5330"/>
        </w:tabs>
        <w:spacing w:line="340" w:lineRule="exact"/>
        <w:ind w:left="3856" w:hanging="2722"/>
        <w:rPr>
          <w:spacing w:val="-4"/>
        </w:rPr>
      </w:pPr>
      <w:r w:rsidRPr="000D0834">
        <w:rPr>
          <w:i/>
          <w:iCs/>
          <w:spacing w:val="-4"/>
          <w:rtl/>
        </w:rPr>
        <w:t>المعلومات الواردة من الدولة الطرف:</w:t>
      </w:r>
      <w:r w:rsidRPr="00FE3A84">
        <w:rPr>
          <w:spacing w:val="-4"/>
          <w:rtl/>
        </w:rPr>
        <w:tab/>
      </w:r>
      <w:hyperlink r:id="rId10" w:history="1">
        <w:r w:rsidRPr="00FE3A84">
          <w:rPr>
            <w:rStyle w:val="Hyperlink"/>
            <w:spacing w:val="-4"/>
            <w:shd w:val="clear" w:color="auto" w:fill="FFFFFF"/>
          </w:rPr>
          <w:t>CCPR/C/MUS/CO/</w:t>
        </w:r>
        <w:r w:rsidRPr="000D0834">
          <w:rPr>
            <w:rStyle w:val="Hyperlink"/>
            <w:spacing w:val="-4"/>
            <w:shd w:val="clear" w:color="auto" w:fill="FFFFFF"/>
          </w:rPr>
          <w:t>5</w:t>
        </w:r>
        <w:r w:rsidRPr="00FE3A84">
          <w:rPr>
            <w:rStyle w:val="Hyperlink"/>
            <w:spacing w:val="-4"/>
            <w:shd w:val="clear" w:color="auto" w:fill="FFFFFF"/>
          </w:rPr>
          <w:t>/Add.</w:t>
        </w:r>
        <w:r w:rsidRPr="000D0834">
          <w:rPr>
            <w:rStyle w:val="Hyperlink"/>
            <w:spacing w:val="-4"/>
            <w:shd w:val="clear" w:color="auto" w:fill="FFFFFF"/>
          </w:rPr>
          <w:t>1</w:t>
        </w:r>
      </w:hyperlink>
      <w:r w:rsidRPr="00FE3A84">
        <w:rPr>
          <w:spacing w:val="-4"/>
          <w:rtl/>
        </w:rPr>
        <w:t xml:space="preserve">، </w:t>
      </w:r>
      <w:r w:rsidRPr="000D0834">
        <w:rPr>
          <w:spacing w:val="-4"/>
          <w:rtl/>
        </w:rPr>
        <w:t>8</w:t>
      </w:r>
      <w:r w:rsidRPr="00FE3A84">
        <w:rPr>
          <w:spacing w:val="-4"/>
          <w:rtl/>
        </w:rPr>
        <w:t xml:space="preserve"> تشرين الثاني/</w:t>
      </w:r>
      <w:r w:rsidRPr="00FE3A84">
        <w:rPr>
          <w:rFonts w:hint="cs"/>
          <w:spacing w:val="-4"/>
          <w:rtl/>
        </w:rPr>
        <w:t xml:space="preserve"> </w:t>
      </w:r>
      <w:r w:rsidRPr="00FE3A84">
        <w:rPr>
          <w:spacing w:val="-4"/>
          <w:rtl/>
        </w:rPr>
        <w:t xml:space="preserve">نوفمبر </w:t>
      </w:r>
      <w:r w:rsidRPr="000D0834">
        <w:rPr>
          <w:spacing w:val="-4"/>
          <w:rtl/>
        </w:rPr>
        <w:t>2019</w:t>
      </w:r>
    </w:p>
    <w:p w14:paraId="550B54A3" w14:textId="77777777" w:rsidR="00EE5E41" w:rsidRPr="00326462" w:rsidRDefault="00EE5E41" w:rsidP="00FE3A84">
      <w:pPr>
        <w:pStyle w:val="SingleTxtGA"/>
        <w:tabs>
          <w:tab w:val="clear" w:pos="1928"/>
          <w:tab w:val="clear" w:pos="2608"/>
          <w:tab w:val="clear" w:pos="3289"/>
          <w:tab w:val="clear" w:pos="3969"/>
          <w:tab w:val="clear" w:pos="4649"/>
          <w:tab w:val="clear" w:pos="5330"/>
        </w:tabs>
        <w:spacing w:line="340" w:lineRule="exact"/>
        <w:ind w:left="3856" w:hanging="2722"/>
      </w:pPr>
      <w:r w:rsidRPr="000D0834">
        <w:rPr>
          <w:i/>
          <w:iCs/>
          <w:rtl/>
        </w:rPr>
        <w:t>تقييم اللجنة:</w:t>
      </w:r>
      <w:r>
        <w:rPr>
          <w:rtl/>
        </w:rPr>
        <w:tab/>
      </w:r>
      <w:r w:rsidRPr="00616CD6">
        <w:rPr>
          <w:spacing w:val="-2"/>
          <w:rtl/>
        </w:rPr>
        <w:t>يلزم تقديم معلومات إضافية بشأن الفقرات 8[جيم] [باء]، و38 [جيم]</w:t>
      </w:r>
      <w:r w:rsidRPr="00326462">
        <w:rPr>
          <w:rtl/>
        </w:rPr>
        <w:t xml:space="preserve"> [ألف]، و</w:t>
      </w:r>
      <w:r w:rsidRPr="000D0834">
        <w:rPr>
          <w:rtl/>
        </w:rPr>
        <w:t>40</w:t>
      </w:r>
      <w:r w:rsidRPr="00326462">
        <w:rPr>
          <w:rtl/>
        </w:rPr>
        <w:t xml:space="preserve"> [جيم] [ألف]</w:t>
      </w:r>
    </w:p>
    <w:p w14:paraId="2EBACC1B" w14:textId="77777777" w:rsidR="00EE5E41" w:rsidRPr="000D0834" w:rsidRDefault="00EE5E41" w:rsidP="00FE3A84">
      <w:pPr>
        <w:pStyle w:val="H23GA"/>
        <w:spacing w:line="340" w:lineRule="exact"/>
      </w:pPr>
      <w:r w:rsidRPr="000D0834">
        <w:rPr>
          <w:rtl/>
        </w:rPr>
        <w:tab/>
      </w:r>
      <w:r w:rsidRPr="000D0834">
        <w:rPr>
          <w:rtl/>
        </w:rPr>
        <w:tab/>
        <w:t>الفقرة 8: اللجنة الوطنية لحقوق الإنسان</w:t>
      </w:r>
    </w:p>
    <w:p w14:paraId="4F34E7F2" w14:textId="77777777" w:rsidR="00EE5E41" w:rsidRPr="000D0834" w:rsidRDefault="00EE5E41" w:rsidP="00FE3A84">
      <w:pPr>
        <w:pStyle w:val="SingleTxtGA"/>
        <w:spacing w:line="340" w:lineRule="exact"/>
        <w:rPr>
          <w:b/>
          <w:bCs/>
          <w:lang w:val="en-US"/>
        </w:rPr>
      </w:pPr>
      <w:r w:rsidRPr="000D0834">
        <w:rPr>
          <w:b/>
          <w:bCs/>
          <w:rtl/>
          <w:lang w:val="en-US"/>
        </w:rPr>
        <w:tab/>
        <w:t>ينبغي أن تقوم الدولة الطرف بما يلي: (أ) تكفل إجراء عملية تتسم بقدر أكبر من الشفافية والمشاركة لاختيار وتعيين أعضاء اللجنة وفروعها، ضماناً لاستقلاليتهم؛ و(ب) تكفل بقاء الأعضاء في مناصبهم مدة ولايتهم؛ و(ج) تتخذ تدابير لمنع حدوث تضارب في المصالح فيما يتعلق بمهام الأعضاء؛ و(د) توضِّح مهام كل فرع من فروع اللجنة؛ و(ه) تزود اللجنة بما يكفي من الموظفين المدرَّبين المتمتعين بالاستقرار ليتسنى لها الاضطلاع بولايتها على النحو الواجب وبما ينسجم انسجاماً كاملاً مع المبادئ المتعلقة بمركز المؤسسات الوطنية المعنية بتعزيز وحماية حقوق الإنسان (مبادئ باريس).</w:t>
      </w:r>
    </w:p>
    <w:p w14:paraId="3BB31B56" w14:textId="77777777" w:rsidR="00EE5E41" w:rsidRPr="000D0834" w:rsidRDefault="00EE5E41" w:rsidP="00FE3A84">
      <w:pPr>
        <w:pStyle w:val="H23GA"/>
        <w:spacing w:line="340" w:lineRule="exact"/>
      </w:pPr>
      <w:r w:rsidRPr="000D0834">
        <w:rPr>
          <w:rtl/>
        </w:rPr>
        <w:tab/>
      </w:r>
      <w:r w:rsidRPr="000D0834">
        <w:rPr>
          <w:rtl/>
        </w:rPr>
        <w:tab/>
        <w:t>ملخص ردّ الدولة الطرف</w:t>
      </w:r>
    </w:p>
    <w:p w14:paraId="612C85B6" w14:textId="196F2539" w:rsidR="00EE5E41" w:rsidRPr="00326462" w:rsidRDefault="00EE5E41" w:rsidP="00FE3A84">
      <w:pPr>
        <w:pStyle w:val="SingleTxtGA"/>
        <w:spacing w:line="340" w:lineRule="exact"/>
        <w:rPr>
          <w:lang w:val="en-US"/>
        </w:rPr>
      </w:pPr>
      <w:r w:rsidRPr="00326462">
        <w:rPr>
          <w:rtl/>
          <w:lang w:val="en-US"/>
        </w:rPr>
        <w:t>(أ)</w:t>
      </w:r>
      <w:r w:rsidRPr="00326462">
        <w:rPr>
          <w:rtl/>
          <w:lang w:val="en-US"/>
        </w:rPr>
        <w:tab/>
        <w:t xml:space="preserve">تنص المادة </w:t>
      </w:r>
      <w:r w:rsidRPr="000D0834">
        <w:rPr>
          <w:rtl/>
          <w:lang w:val="en-US"/>
        </w:rPr>
        <w:t>3</w:t>
      </w:r>
      <w:r w:rsidRPr="00326462">
        <w:rPr>
          <w:rtl/>
          <w:lang w:val="en-US"/>
        </w:rPr>
        <w:t>(</w:t>
      </w:r>
      <w:r w:rsidRPr="000D0834">
        <w:rPr>
          <w:rtl/>
          <w:lang w:val="en-US"/>
        </w:rPr>
        <w:t>8</w:t>
      </w:r>
      <w:r w:rsidRPr="00326462">
        <w:rPr>
          <w:rtl/>
          <w:lang w:val="en-US"/>
        </w:rPr>
        <w:t xml:space="preserve">) من قانون حماية حقوق الإنسان على أن رئيس الدولة هو من يعيّن رئيس اللجنة ونائب الرئيس وأعضاء كل فرع من فروعها. وتنص المادة </w:t>
      </w:r>
      <w:r w:rsidRPr="000D0834">
        <w:rPr>
          <w:rtl/>
          <w:lang w:val="en-US"/>
        </w:rPr>
        <w:t>3</w:t>
      </w:r>
      <w:r w:rsidRPr="00326462">
        <w:rPr>
          <w:rtl/>
          <w:lang w:val="en-US"/>
        </w:rPr>
        <w:t>(</w:t>
      </w:r>
      <w:r w:rsidRPr="000D0834">
        <w:rPr>
          <w:rtl/>
          <w:lang w:val="en-US"/>
        </w:rPr>
        <w:t>2</w:t>
      </w:r>
      <w:r w:rsidRPr="00326462">
        <w:rPr>
          <w:rtl/>
          <w:lang w:val="en-US"/>
        </w:rPr>
        <w:t>) على أن اللجنة لا تخضع لتوجيه أو رقابة أي شخص آخر أو سلطة أخرى في ممارسة مهامها.</w:t>
      </w:r>
    </w:p>
    <w:p w14:paraId="04127E4C" w14:textId="77777777" w:rsidR="00EE5E41" w:rsidRPr="00326462" w:rsidRDefault="00EE5E41" w:rsidP="00FE3A84">
      <w:pPr>
        <w:pStyle w:val="SingleTxtGA"/>
        <w:spacing w:line="340" w:lineRule="exact"/>
        <w:rPr>
          <w:lang w:val="en-US"/>
        </w:rPr>
      </w:pPr>
      <w:r w:rsidRPr="00326462">
        <w:rPr>
          <w:rtl/>
          <w:lang w:val="en-US"/>
        </w:rPr>
        <w:t>(ب)</w:t>
      </w:r>
      <w:r w:rsidRPr="00326462">
        <w:rPr>
          <w:rtl/>
          <w:lang w:val="en-US"/>
        </w:rPr>
        <w:tab/>
        <w:t xml:space="preserve">وتتضمن المادة </w:t>
      </w:r>
      <w:r w:rsidRPr="000D0834">
        <w:rPr>
          <w:rtl/>
          <w:lang w:val="en-US"/>
        </w:rPr>
        <w:t>3</w:t>
      </w:r>
      <w:r w:rsidRPr="00326462">
        <w:rPr>
          <w:rtl/>
          <w:lang w:val="en-US"/>
        </w:rPr>
        <w:t>(</w:t>
      </w:r>
      <w:r w:rsidRPr="000D0834">
        <w:rPr>
          <w:rtl/>
          <w:lang w:val="en-US"/>
        </w:rPr>
        <w:t>10</w:t>
      </w:r>
      <w:r w:rsidRPr="00326462">
        <w:rPr>
          <w:rtl/>
          <w:lang w:val="en-US"/>
        </w:rPr>
        <w:t>) من القانون حكماً محدداً يقضي بعزل أي عضو في اللجنة من منصبه لا يستطيع أداء مهامه، سواء أكان ذلك نتيجة مرض بدني أو عقلي أم بسبب سوء سلوك. وبالإضافة إلى ذلك، ينص دستور موريشيوس أيضاً على إنهاء التعيين الذي يقوم به رئيس الوزراء أو الذي يتم بناءً على مشورة رئيس الوزراء في أي وقت بعد الانتخابات العامة التي تلي التعيين.</w:t>
      </w:r>
    </w:p>
    <w:p w14:paraId="5483E1A8" w14:textId="77777777" w:rsidR="00EE5E41" w:rsidRPr="00326462" w:rsidRDefault="00EE5E41" w:rsidP="00FE3A84">
      <w:pPr>
        <w:pStyle w:val="SingleTxtGA"/>
        <w:spacing w:line="350" w:lineRule="exact"/>
        <w:rPr>
          <w:lang w:val="en-US"/>
        </w:rPr>
      </w:pPr>
      <w:r w:rsidRPr="00326462">
        <w:rPr>
          <w:rtl/>
          <w:lang w:val="en-US"/>
        </w:rPr>
        <w:lastRenderedPageBreak/>
        <w:t>(ج)</w:t>
      </w:r>
      <w:r w:rsidRPr="00326462">
        <w:rPr>
          <w:rtl/>
          <w:lang w:val="en-US"/>
        </w:rPr>
        <w:tab/>
        <w:t>لا يوجد تضارب في المصالح فيما يتعلق بمهام الأعضاء.</w:t>
      </w:r>
    </w:p>
    <w:p w14:paraId="6274BEC6" w14:textId="77777777" w:rsidR="00EE5E41" w:rsidRPr="00326462" w:rsidRDefault="00EE5E41" w:rsidP="00FE3A84">
      <w:pPr>
        <w:pStyle w:val="SingleTxtGA"/>
        <w:spacing w:line="350" w:lineRule="exact"/>
        <w:rPr>
          <w:lang w:val="en-US"/>
        </w:rPr>
      </w:pPr>
      <w:r w:rsidRPr="00326462">
        <w:rPr>
          <w:rtl/>
          <w:lang w:val="en-US"/>
        </w:rPr>
        <w:t>(د)</w:t>
      </w:r>
      <w:r w:rsidRPr="00326462">
        <w:rPr>
          <w:rtl/>
          <w:lang w:val="en-US"/>
        </w:rPr>
        <w:tab/>
        <w:t>يحدد القانون بوضوح مهمة كل فرع.</w:t>
      </w:r>
    </w:p>
    <w:p w14:paraId="33C79C7B" w14:textId="77777777" w:rsidR="00EE5E41" w:rsidRPr="00326462" w:rsidRDefault="00EE5E41" w:rsidP="00FE3A84">
      <w:pPr>
        <w:pStyle w:val="SingleTxtGA"/>
        <w:spacing w:line="350" w:lineRule="exact"/>
        <w:rPr>
          <w:lang w:val="en-US"/>
        </w:rPr>
      </w:pPr>
      <w:r w:rsidRPr="00326462">
        <w:rPr>
          <w:rtl/>
          <w:lang w:val="en-US"/>
        </w:rPr>
        <w:t>(هـ)</w:t>
      </w:r>
      <w:r w:rsidRPr="00326462">
        <w:rPr>
          <w:rtl/>
          <w:lang w:val="en-US"/>
        </w:rPr>
        <w:tab/>
        <w:t xml:space="preserve">تؤدي اللجنة الوطنية لحقوق الإنسان وظائفها وفقاً لمبادئ باريس. وأكدت اللجنة أن ديوان رئيس </w:t>
      </w:r>
      <w:r w:rsidRPr="00DB0B35">
        <w:rPr>
          <w:spacing w:val="-2"/>
          <w:rtl/>
          <w:lang w:val="en-US"/>
        </w:rPr>
        <w:t>الوزراء يزودها بما يكفي من الموظفين، وأنه من المقرر تخصيص اعتماد إضافي للجنة في الميزانية المقبلة</w:t>
      </w:r>
      <w:r w:rsidRPr="00326462">
        <w:rPr>
          <w:rtl/>
          <w:lang w:val="en-US"/>
        </w:rPr>
        <w:t xml:space="preserve"> من أجل تعيين محققين إضافيين. وأفادت اللجنة أيضاً بأنها ماضية في طلب تعديل القانون بحيث تصبح مؤهلة لتعيين أمينها الخاص.</w:t>
      </w:r>
    </w:p>
    <w:p w14:paraId="0BCAD967" w14:textId="77777777" w:rsidR="00EE5E41" w:rsidRPr="000D0834" w:rsidRDefault="00EE5E41" w:rsidP="00FE3A84">
      <w:pPr>
        <w:pStyle w:val="H23GA"/>
        <w:spacing w:line="350" w:lineRule="exact"/>
      </w:pPr>
      <w:r w:rsidRPr="000D0834">
        <w:rPr>
          <w:rtl/>
        </w:rPr>
        <w:tab/>
      </w:r>
      <w:r w:rsidRPr="000D0834">
        <w:rPr>
          <w:rtl/>
        </w:rPr>
        <w:tab/>
        <w:t>تقييم اللجنة:</w:t>
      </w:r>
    </w:p>
    <w:p w14:paraId="0002F92C" w14:textId="77777777" w:rsidR="00EE5E41" w:rsidRPr="00326462" w:rsidRDefault="00EE5E41" w:rsidP="00FE3A84">
      <w:pPr>
        <w:pStyle w:val="SingleTxtGA"/>
        <w:spacing w:line="350" w:lineRule="exact"/>
        <w:rPr>
          <w:lang w:val="en-US"/>
        </w:rPr>
      </w:pPr>
      <w:r w:rsidRPr="00326462">
        <w:rPr>
          <w:rtl/>
          <w:lang w:val="en-US"/>
        </w:rPr>
        <w:t>[</w:t>
      </w:r>
      <w:r w:rsidRPr="000D0834">
        <w:rPr>
          <w:b/>
          <w:bCs/>
          <w:rtl/>
          <w:lang w:val="en-US"/>
        </w:rPr>
        <w:t>جيم</w:t>
      </w:r>
      <w:r w:rsidRPr="00326462">
        <w:rPr>
          <w:rtl/>
          <w:lang w:val="en-US"/>
        </w:rPr>
        <w:t>]: (أ) و(ب) و(ج) و(د)</w:t>
      </w:r>
    </w:p>
    <w:p w14:paraId="0D1DBBAB" w14:textId="6E84B9D7" w:rsidR="00EE5E41" w:rsidRPr="00326462" w:rsidRDefault="00EE5E41" w:rsidP="00FE3A84">
      <w:pPr>
        <w:pStyle w:val="SingleTxtGA"/>
        <w:spacing w:line="350" w:lineRule="exact"/>
        <w:rPr>
          <w:lang w:val="en-US"/>
        </w:rPr>
      </w:pPr>
      <w:r w:rsidRPr="00326462">
        <w:rPr>
          <w:rtl/>
          <w:lang w:val="en-US"/>
        </w:rPr>
        <w:t>بينما تحيط اللجنة علم</w:t>
      </w:r>
      <w:r w:rsidR="00886372">
        <w:rPr>
          <w:rtl/>
          <w:lang w:val="en-US"/>
        </w:rPr>
        <w:t xml:space="preserve">اً </w:t>
      </w:r>
      <w:r w:rsidRPr="00326462">
        <w:rPr>
          <w:rtl/>
          <w:lang w:val="en-US"/>
        </w:rPr>
        <w:t xml:space="preserve">بالمعلومات المقدمة بشأن المادتين </w:t>
      </w:r>
      <w:r w:rsidRPr="000D0834">
        <w:rPr>
          <w:rtl/>
          <w:lang w:val="en-US"/>
        </w:rPr>
        <w:t>3</w:t>
      </w:r>
      <w:r w:rsidRPr="00326462">
        <w:rPr>
          <w:rtl/>
          <w:lang w:val="en-US"/>
        </w:rPr>
        <w:t>(</w:t>
      </w:r>
      <w:r w:rsidRPr="000D0834">
        <w:rPr>
          <w:rtl/>
          <w:lang w:val="en-US"/>
        </w:rPr>
        <w:t>2</w:t>
      </w:r>
      <w:r w:rsidRPr="00326462">
        <w:rPr>
          <w:rtl/>
          <w:lang w:val="en-US"/>
        </w:rPr>
        <w:t>) و(</w:t>
      </w:r>
      <w:r w:rsidRPr="000D0834">
        <w:rPr>
          <w:rtl/>
          <w:lang w:val="en-US"/>
        </w:rPr>
        <w:t>8</w:t>
      </w:r>
      <w:r w:rsidRPr="00326462">
        <w:rPr>
          <w:rtl/>
          <w:lang w:val="en-US"/>
        </w:rPr>
        <w:t>) من القانون، فإنها تعرب عن الأسف لعدم تزويدها بمعلومات عن التدابير المتخذة بعد اعتماد الملاحظات الختامية للجنة بغية كفالة عملية تتسم بقدر أكبر من الشفافية والمشاركة لاختيار وتعيين أعضاء اللجنة وفروعها، ضماناً لاستقلالهم.</w:t>
      </w:r>
    </w:p>
    <w:p w14:paraId="48B548D1" w14:textId="793331CB" w:rsidR="00EE5E41" w:rsidRPr="00326462" w:rsidRDefault="00EE5E41" w:rsidP="00FE3A84">
      <w:pPr>
        <w:pStyle w:val="SingleTxtGA"/>
        <w:spacing w:line="350" w:lineRule="exact"/>
        <w:rPr>
          <w:lang w:val="en-US"/>
        </w:rPr>
      </w:pPr>
      <w:r w:rsidRPr="00326462">
        <w:rPr>
          <w:rtl/>
          <w:lang w:val="en-US"/>
        </w:rPr>
        <w:t>وتحيط اللجنة علم</w:t>
      </w:r>
      <w:r w:rsidR="00886372">
        <w:rPr>
          <w:rtl/>
          <w:lang w:val="en-US"/>
        </w:rPr>
        <w:t xml:space="preserve">اً </w:t>
      </w:r>
      <w:r w:rsidRPr="00326462">
        <w:rPr>
          <w:rtl/>
          <w:lang w:val="en-US"/>
        </w:rPr>
        <w:t xml:space="preserve">أيضاً بالمعلومات المقدمة بشأن المادة </w:t>
      </w:r>
      <w:r w:rsidRPr="000D0834">
        <w:rPr>
          <w:rtl/>
          <w:lang w:val="en-US"/>
        </w:rPr>
        <w:t>3</w:t>
      </w:r>
      <w:r w:rsidRPr="00326462">
        <w:rPr>
          <w:rtl/>
          <w:lang w:val="en-US"/>
        </w:rPr>
        <w:t>(</w:t>
      </w:r>
      <w:r w:rsidRPr="000D0834">
        <w:rPr>
          <w:rtl/>
          <w:lang w:val="en-US"/>
        </w:rPr>
        <w:t>10</w:t>
      </w:r>
      <w:r w:rsidRPr="00326462">
        <w:rPr>
          <w:rtl/>
          <w:lang w:val="en-US"/>
        </w:rPr>
        <w:t>) من القانون وبشأن الدستور. بيد أنها تأسف لعدم مدها بأي معلومات عن التدابير المتخذة لتنفيذ توصيتها.</w:t>
      </w:r>
    </w:p>
    <w:p w14:paraId="6DB75C5A" w14:textId="6D1B2C56" w:rsidR="00EE5E41" w:rsidRPr="00326462" w:rsidRDefault="00EE5E41" w:rsidP="00FE3A84">
      <w:pPr>
        <w:pStyle w:val="SingleTxtGA"/>
        <w:spacing w:line="350" w:lineRule="exact"/>
        <w:rPr>
          <w:lang w:val="en-US"/>
        </w:rPr>
      </w:pPr>
      <w:r w:rsidRPr="00886372">
        <w:rPr>
          <w:spacing w:val="-4"/>
          <w:rtl/>
          <w:lang w:val="en-US"/>
        </w:rPr>
        <w:t>وتلاحظ اللجنة بقلق عدم تزويدها بمعلومات عن التدابير المتخذة لمنع حدوث تضارب في المصالح فيما</w:t>
      </w:r>
      <w:r w:rsidR="00886372" w:rsidRPr="00886372">
        <w:rPr>
          <w:rFonts w:hint="cs"/>
          <w:spacing w:val="-4"/>
          <w:rtl/>
          <w:lang w:val="en-US"/>
        </w:rPr>
        <w:t> </w:t>
      </w:r>
      <w:r w:rsidRPr="00886372">
        <w:rPr>
          <w:spacing w:val="-4"/>
          <w:rtl/>
          <w:lang w:val="en-US"/>
        </w:rPr>
        <w:t>يتعلق</w:t>
      </w:r>
      <w:r w:rsidRPr="00326462">
        <w:rPr>
          <w:rtl/>
          <w:lang w:val="en-US"/>
        </w:rPr>
        <w:t xml:space="preserve"> بمهام الأعضاء.</w:t>
      </w:r>
    </w:p>
    <w:p w14:paraId="2E5ED50B" w14:textId="77777777" w:rsidR="00EE5E41" w:rsidRPr="00326462" w:rsidRDefault="00EE5E41" w:rsidP="00FE3A84">
      <w:pPr>
        <w:pStyle w:val="SingleTxtGA"/>
        <w:spacing w:line="350" w:lineRule="exact"/>
        <w:rPr>
          <w:lang w:val="en-US"/>
        </w:rPr>
      </w:pPr>
      <w:r w:rsidRPr="00326462">
        <w:rPr>
          <w:rtl/>
          <w:lang w:val="en-US"/>
        </w:rPr>
        <w:t>كما تشعر اللجنة بالقلق لعدم وجود معلومات عن التدابير المتخذة بعد اعتماد الملاحظات الختامية لتوضيح المهام التي يتولاها كل فرع من فروع اللجنة.</w:t>
      </w:r>
    </w:p>
    <w:p w14:paraId="071FD3A7" w14:textId="77777777" w:rsidR="00EE5E41" w:rsidRPr="00326462" w:rsidRDefault="00EE5E41" w:rsidP="00FE3A84">
      <w:pPr>
        <w:pStyle w:val="SingleTxtGA"/>
        <w:spacing w:line="350" w:lineRule="exact"/>
        <w:rPr>
          <w:lang w:val="en-US"/>
        </w:rPr>
      </w:pPr>
      <w:r w:rsidRPr="00326462">
        <w:rPr>
          <w:rtl/>
          <w:lang w:val="en-US"/>
        </w:rPr>
        <w:t>[</w:t>
      </w:r>
      <w:r w:rsidRPr="000D0834">
        <w:rPr>
          <w:b/>
          <w:bCs/>
          <w:rtl/>
          <w:lang w:val="en-US"/>
        </w:rPr>
        <w:t>باء</w:t>
      </w:r>
      <w:r w:rsidRPr="00326462">
        <w:rPr>
          <w:rtl/>
          <w:lang w:val="en-US"/>
        </w:rPr>
        <w:t>]: (ه) ترحّب اللجنة بالمعلومات التي قدمتها الدولة الطرف. وتطلب الحصول عن مزيد من المعلومات عن الآتي: '</w:t>
      </w:r>
      <w:r w:rsidRPr="000D0834">
        <w:rPr>
          <w:rtl/>
          <w:lang w:val="en-US"/>
        </w:rPr>
        <w:t>1</w:t>
      </w:r>
      <w:r w:rsidRPr="00326462">
        <w:rPr>
          <w:rtl/>
          <w:lang w:val="en-US"/>
        </w:rPr>
        <w:t>' ما إذا كان قد تم تعيين محققين إضافيين عقب اتخاذ القرار ذي الصلة، بما في ذلك معلومات عن عددهم وتاريخ تعيينهم؛ و'</w:t>
      </w:r>
      <w:r w:rsidRPr="000D0834">
        <w:rPr>
          <w:rtl/>
          <w:lang w:val="en-US"/>
        </w:rPr>
        <w:t>2</w:t>
      </w:r>
      <w:r w:rsidRPr="00326462">
        <w:rPr>
          <w:rtl/>
          <w:lang w:val="en-US"/>
        </w:rPr>
        <w:t>' التقدم المحرز في تعديل القانون بحيث تكون اللجنة مؤهلة لتعين أمينها الخاص.</w:t>
      </w:r>
    </w:p>
    <w:p w14:paraId="6B075A2C" w14:textId="77777777" w:rsidR="00EE5E41" w:rsidRPr="000D0834" w:rsidRDefault="00EE5E41" w:rsidP="00FE3A84">
      <w:pPr>
        <w:pStyle w:val="H23GA"/>
        <w:spacing w:line="350" w:lineRule="exact"/>
      </w:pPr>
      <w:r w:rsidRPr="000D0834">
        <w:rPr>
          <w:rtl/>
        </w:rPr>
        <w:tab/>
      </w:r>
      <w:r w:rsidRPr="000D0834">
        <w:rPr>
          <w:rtl/>
        </w:rPr>
        <w:tab/>
        <w:t>الفقرة 38: اللاجئون وملتمسو اللجوء وعديمو الجنسية</w:t>
      </w:r>
    </w:p>
    <w:p w14:paraId="141B4625" w14:textId="77777777" w:rsidR="00EE5E41" w:rsidRPr="000D0834" w:rsidRDefault="00EE5E41" w:rsidP="00FE3A84">
      <w:pPr>
        <w:pStyle w:val="SingleTxtGA"/>
        <w:spacing w:line="350" w:lineRule="exact"/>
        <w:rPr>
          <w:b/>
          <w:bCs/>
          <w:lang w:val="en-US"/>
        </w:rPr>
      </w:pPr>
      <w:r w:rsidRPr="000D0834">
        <w:rPr>
          <w:b/>
          <w:bCs/>
          <w:rtl/>
          <w:lang w:val="en-US"/>
        </w:rPr>
        <w:tab/>
        <w:t xml:space="preserve">ينبغي للدولة الطرف أن تنظر في إمكانية وضع إطار وطني بشأن اللجوء، بما في ذلك آلية لتقييم وتحديد صفة اللاجئ، بحيث يتسنى أيضاً كفالة احترام مبدأ عدم الإعادة القسرية. وينبغي لها اتخاذ التدابير اللازمة للحيلولة دون وقوع حالات انعدام الجنسية، وتجميع ونشر معلومات عن عدد ملتمسي اللجوء واللاجئين والأشخاص </w:t>
      </w:r>
      <w:proofErr w:type="spellStart"/>
      <w:r w:rsidRPr="000D0834">
        <w:rPr>
          <w:b/>
          <w:bCs/>
          <w:rtl/>
          <w:lang w:val="en-US"/>
        </w:rPr>
        <w:t>العديمي</w:t>
      </w:r>
      <w:proofErr w:type="spellEnd"/>
      <w:r w:rsidRPr="000D0834">
        <w:rPr>
          <w:b/>
          <w:bCs/>
          <w:rtl/>
          <w:lang w:val="en-US"/>
        </w:rPr>
        <w:t xml:space="preserve"> الجنسية المقيمين في إقليمها.</w:t>
      </w:r>
    </w:p>
    <w:p w14:paraId="755EAC2A" w14:textId="77777777" w:rsidR="00EE5E41" w:rsidRPr="000D0834" w:rsidRDefault="00EE5E41" w:rsidP="00FE3A84">
      <w:pPr>
        <w:pStyle w:val="H23GA"/>
        <w:spacing w:line="350" w:lineRule="exact"/>
        <w:rPr>
          <w:spacing w:val="-6"/>
        </w:rPr>
      </w:pPr>
      <w:r w:rsidRPr="000D0834">
        <w:rPr>
          <w:rtl/>
        </w:rPr>
        <w:tab/>
      </w:r>
      <w:r w:rsidRPr="000D0834">
        <w:rPr>
          <w:spacing w:val="-6"/>
          <w:rtl/>
        </w:rPr>
        <w:tab/>
        <w:t>ملخص ردّ الدولة الطرف</w:t>
      </w:r>
    </w:p>
    <w:p w14:paraId="4BFFC656" w14:textId="0FE399AB" w:rsidR="00EE5E41" w:rsidRPr="00326462" w:rsidRDefault="00EE5E41" w:rsidP="00FE3A84">
      <w:pPr>
        <w:pStyle w:val="SingleTxtGA"/>
        <w:spacing w:line="350" w:lineRule="exact"/>
        <w:rPr>
          <w:lang w:val="en-US"/>
        </w:rPr>
      </w:pPr>
      <w:r w:rsidRPr="00886372">
        <w:rPr>
          <w:spacing w:val="-6"/>
          <w:rtl/>
          <w:lang w:val="en-US"/>
        </w:rPr>
        <w:t>تسعى الدولة الطرف جاهدة إلى معالجة طلبات الحصول على صفة لاجئ أو اللجوء السياسي على أساس إنساني وعلى أساس كل حالة على حدة عن طريق تيسير توطين مقدمي الطلبات في بلد صديق يرغب في استقبالهم.</w:t>
      </w:r>
      <w:r w:rsidRPr="00326462">
        <w:rPr>
          <w:rtl/>
          <w:lang w:val="en-US"/>
        </w:rPr>
        <w:t xml:space="preserve"> ولما كانت الدولة الطرف بلد</w:t>
      </w:r>
      <w:r w:rsidR="00886372">
        <w:rPr>
          <w:rtl/>
          <w:lang w:val="en-US"/>
        </w:rPr>
        <w:t xml:space="preserve">اً </w:t>
      </w:r>
      <w:r w:rsidRPr="00326462">
        <w:rPr>
          <w:rtl/>
          <w:lang w:val="en-US"/>
        </w:rPr>
        <w:t>صغير</w:t>
      </w:r>
      <w:r w:rsidR="00886372">
        <w:rPr>
          <w:rtl/>
          <w:lang w:val="en-US"/>
        </w:rPr>
        <w:t xml:space="preserve">اً </w:t>
      </w:r>
      <w:r w:rsidRPr="00326462">
        <w:rPr>
          <w:rtl/>
          <w:lang w:val="en-US"/>
        </w:rPr>
        <w:t>مكتظ</w:t>
      </w:r>
      <w:r w:rsidR="00886372">
        <w:rPr>
          <w:rtl/>
          <w:lang w:val="en-US"/>
        </w:rPr>
        <w:t xml:space="preserve">اً </w:t>
      </w:r>
      <w:r w:rsidRPr="00326462">
        <w:rPr>
          <w:rtl/>
          <w:lang w:val="en-US"/>
        </w:rPr>
        <w:t>بالسكان، وذا موارد محدودة، فإنها لم تعتمد بعدُ سياسة أو</w:t>
      </w:r>
      <w:r w:rsidR="00855398">
        <w:rPr>
          <w:rFonts w:hint="cs"/>
          <w:rtl/>
          <w:lang w:val="en-US"/>
        </w:rPr>
        <w:t> </w:t>
      </w:r>
      <w:r w:rsidRPr="00326462">
        <w:rPr>
          <w:rtl/>
          <w:lang w:val="en-US"/>
        </w:rPr>
        <w:t xml:space="preserve">قوانين لمنح أجانب صفةَ لاجئ. وهي تعمل بالتعاون الوثيق مع مفوضية الأمم المتحدة السامية لشؤون اللاجئين لوضع آلية للتعامل بشكل أفضل مع طلبات اللجوء وتقديم المساعدة لطالبي اللجوء واللاجئين. وفي هذا الصدد، عُقدت حلقة عمل في موريشيوس في أيار/مايو </w:t>
      </w:r>
      <w:r w:rsidRPr="000D0834">
        <w:rPr>
          <w:rtl/>
          <w:lang w:val="en-US"/>
        </w:rPr>
        <w:t>2019</w:t>
      </w:r>
      <w:r w:rsidRPr="00326462">
        <w:rPr>
          <w:rtl/>
          <w:lang w:val="en-US"/>
        </w:rPr>
        <w:t>، حيث طُلب من أصحاب المصلحة وضع إجراءات تشغيل موحدة، تم إعدادها فعلاً من أجل توجيه المسؤولين بشكل أفضل حول العملية التي سيتم اتباعها.</w:t>
      </w:r>
    </w:p>
    <w:p w14:paraId="2E68AD7B" w14:textId="5FFF89D5" w:rsidR="00EE5E41" w:rsidRPr="00FE3A84" w:rsidRDefault="00EE5E41" w:rsidP="00EE5E41">
      <w:pPr>
        <w:pStyle w:val="SingleTxtGA"/>
        <w:rPr>
          <w:spacing w:val="2"/>
          <w:lang w:val="en-US"/>
        </w:rPr>
      </w:pPr>
      <w:r w:rsidRPr="00FE3A84">
        <w:rPr>
          <w:spacing w:val="2"/>
          <w:rtl/>
          <w:lang w:val="en-US"/>
        </w:rPr>
        <w:lastRenderedPageBreak/>
        <w:t xml:space="preserve">وتحترم الدولة الطرف مبدأ عدم الإعادة القسرية. فقانون تسليم المجرمين لعام </w:t>
      </w:r>
      <w:r w:rsidRPr="000D0834">
        <w:rPr>
          <w:spacing w:val="2"/>
          <w:rtl/>
          <w:lang w:val="en-US"/>
        </w:rPr>
        <w:t>2017</w:t>
      </w:r>
      <w:r w:rsidRPr="00FE3A84">
        <w:rPr>
          <w:spacing w:val="2"/>
          <w:rtl/>
          <w:lang w:val="en-US"/>
        </w:rPr>
        <w:t xml:space="preserve"> (المادة </w:t>
      </w:r>
      <w:r w:rsidRPr="000D0834">
        <w:rPr>
          <w:spacing w:val="2"/>
          <w:rtl/>
          <w:lang w:val="en-US"/>
        </w:rPr>
        <w:t>8</w:t>
      </w:r>
      <w:r w:rsidRPr="00FE3A84">
        <w:rPr>
          <w:spacing w:val="2"/>
          <w:rtl/>
          <w:lang w:val="en-US"/>
        </w:rPr>
        <w:t xml:space="preserve">) ينص </w:t>
      </w:r>
      <w:r w:rsidRPr="00FE3A84">
        <w:rPr>
          <w:rtl/>
          <w:lang w:val="en-US"/>
        </w:rPr>
        <w:t>على أنه لا يجوز الاستجابة لطلب دولة أجنبية تسليمَ شخص ما إذا رأى المدعي العام/رأت المدعية العامة أن هناك أسباب</w:t>
      </w:r>
      <w:r w:rsidR="00886372" w:rsidRPr="00FE3A84">
        <w:rPr>
          <w:rtl/>
          <w:lang w:val="en-US"/>
        </w:rPr>
        <w:t xml:space="preserve">اً </w:t>
      </w:r>
      <w:r w:rsidRPr="00FE3A84">
        <w:rPr>
          <w:rtl/>
          <w:lang w:val="en-US"/>
        </w:rPr>
        <w:t>حقيقية تدعو للاعتقاد بأن الشخص المطلوب: (أ) من المحتمل أن يحاكَم أو يعاقَب في تلك الدولة بسبب عرقه</w:t>
      </w:r>
      <w:r w:rsidR="00886372" w:rsidRPr="00FE3A84">
        <w:rPr>
          <w:rtl/>
          <w:lang w:val="en-US"/>
        </w:rPr>
        <w:t xml:space="preserve"> </w:t>
      </w:r>
      <w:r w:rsidRPr="00FE3A84">
        <w:rPr>
          <w:rtl/>
          <w:lang w:val="en-US"/>
        </w:rPr>
        <w:t>أو دينه أو جنسيته أو أصله الإثني أو آرائه السياسية؛ أو (ب) من المحتمل أن يخضع في تلك الدولة للتعذيب أو المعاملة أو العقوبة القاسية أو اللاإنسانية أو المهينة؛ أو (ج) من غير المرجح أن يحصل على الحد الأدنى من ضمانات المحاكمة العادلة في إطار الإجراءات الجنائية</w:t>
      </w:r>
      <w:r w:rsidRPr="00FE3A84">
        <w:rPr>
          <w:spacing w:val="2"/>
          <w:rtl/>
          <w:lang w:val="en-US"/>
        </w:rPr>
        <w:t xml:space="preserve"> في تلك</w:t>
      </w:r>
      <w:r w:rsidR="00FE3A84">
        <w:rPr>
          <w:rFonts w:hint="cs"/>
          <w:spacing w:val="2"/>
          <w:rtl/>
          <w:lang w:val="en-US"/>
        </w:rPr>
        <w:t> </w:t>
      </w:r>
      <w:r w:rsidRPr="00FE3A84">
        <w:rPr>
          <w:spacing w:val="2"/>
          <w:rtl/>
          <w:lang w:val="en-US"/>
        </w:rPr>
        <w:t>الدولة.</w:t>
      </w:r>
    </w:p>
    <w:p w14:paraId="00D4122B" w14:textId="77777777" w:rsidR="00EE5E41" w:rsidRPr="00326462" w:rsidRDefault="00EE5E41" w:rsidP="00EE5E41">
      <w:pPr>
        <w:pStyle w:val="SingleTxtGA"/>
        <w:rPr>
          <w:lang w:val="en-US"/>
        </w:rPr>
      </w:pPr>
      <w:r w:rsidRPr="00886372">
        <w:rPr>
          <w:spacing w:val="-2"/>
          <w:rtl/>
          <w:lang w:val="en-US"/>
        </w:rPr>
        <w:t>ولا يوجد لاجئون أو عديمو جنسية يقيمون في موريشيوس. وقدمت الدولة الطرف معلومات عن عدد</w:t>
      </w:r>
      <w:r w:rsidRPr="00326462">
        <w:rPr>
          <w:rtl/>
          <w:lang w:val="en-US"/>
        </w:rPr>
        <w:t xml:space="preserve"> طالبي اللجوء واللاجئين الذين وصلوا إلى موريشيوس في </w:t>
      </w:r>
      <w:r w:rsidRPr="000D0834">
        <w:rPr>
          <w:rtl/>
          <w:lang w:val="en-US"/>
        </w:rPr>
        <w:t>2017</w:t>
      </w:r>
      <w:r w:rsidRPr="00326462">
        <w:rPr>
          <w:rtl/>
          <w:lang w:val="en-US"/>
        </w:rPr>
        <w:t xml:space="preserve"> و</w:t>
      </w:r>
      <w:r w:rsidRPr="000D0834">
        <w:rPr>
          <w:rtl/>
          <w:lang w:val="en-US"/>
        </w:rPr>
        <w:t>2018</w:t>
      </w:r>
      <w:r w:rsidRPr="00326462">
        <w:rPr>
          <w:rtl/>
          <w:lang w:val="en-US"/>
        </w:rPr>
        <w:t xml:space="preserve"> و</w:t>
      </w:r>
      <w:r w:rsidRPr="000D0834">
        <w:rPr>
          <w:rtl/>
          <w:lang w:val="en-US"/>
        </w:rPr>
        <w:t>2019</w:t>
      </w:r>
      <w:r w:rsidRPr="00326462">
        <w:rPr>
          <w:rtl/>
          <w:lang w:val="en-US"/>
        </w:rPr>
        <w:t xml:space="preserve"> وعن وضعهم الحالي.</w:t>
      </w:r>
    </w:p>
    <w:p w14:paraId="62C99DDD" w14:textId="77777777" w:rsidR="00EE5E41" w:rsidRPr="000D0834" w:rsidRDefault="00EE5E41" w:rsidP="00EE5E41">
      <w:pPr>
        <w:pStyle w:val="H23GA"/>
      </w:pPr>
      <w:r w:rsidRPr="000D0834">
        <w:rPr>
          <w:rtl/>
        </w:rPr>
        <w:tab/>
      </w:r>
      <w:r w:rsidRPr="000D0834">
        <w:rPr>
          <w:rtl/>
        </w:rPr>
        <w:tab/>
        <w:t>تقييم اللجنة:</w:t>
      </w:r>
    </w:p>
    <w:p w14:paraId="6BBA017F" w14:textId="33162270" w:rsidR="00EE5E41" w:rsidRPr="00886372" w:rsidRDefault="00EE5E41" w:rsidP="00EE5E41">
      <w:pPr>
        <w:pStyle w:val="SingleTxtGA"/>
        <w:rPr>
          <w:spacing w:val="-2"/>
          <w:lang w:val="en-US"/>
        </w:rPr>
      </w:pPr>
      <w:r w:rsidRPr="00326462">
        <w:rPr>
          <w:rtl/>
          <w:lang w:val="en-US"/>
        </w:rPr>
        <w:t>[</w:t>
      </w:r>
      <w:r w:rsidRPr="000D0834">
        <w:rPr>
          <w:b/>
          <w:bCs/>
          <w:rtl/>
          <w:lang w:val="en-US"/>
        </w:rPr>
        <w:t>جيم</w:t>
      </w:r>
      <w:r w:rsidRPr="00326462">
        <w:rPr>
          <w:rtl/>
          <w:lang w:val="en-US"/>
        </w:rPr>
        <w:t>]: تحيط اللجنة علم</w:t>
      </w:r>
      <w:r w:rsidR="00886372">
        <w:rPr>
          <w:rtl/>
          <w:lang w:val="en-US"/>
        </w:rPr>
        <w:t xml:space="preserve">اً </w:t>
      </w:r>
      <w:r w:rsidRPr="00326462">
        <w:rPr>
          <w:rtl/>
          <w:lang w:val="en-US"/>
        </w:rPr>
        <w:t xml:space="preserve">بالمعلومات التي قدمتها الدولة الطرف، بما في ذلك المعلومات المتعلقة بقانون </w:t>
      </w:r>
      <w:r w:rsidRPr="00855398">
        <w:rPr>
          <w:spacing w:val="-4"/>
          <w:rtl/>
          <w:lang w:val="en-US"/>
        </w:rPr>
        <w:t xml:space="preserve">تسليم المجرمين لعام </w:t>
      </w:r>
      <w:r w:rsidRPr="000D0834">
        <w:rPr>
          <w:spacing w:val="-4"/>
          <w:rtl/>
          <w:lang w:val="en-US"/>
        </w:rPr>
        <w:t>2017</w:t>
      </w:r>
      <w:r w:rsidRPr="00855398">
        <w:rPr>
          <w:spacing w:val="-4"/>
          <w:rtl/>
          <w:lang w:val="en-US"/>
        </w:rPr>
        <w:t>. بيد أنها تعرب عن القلق لأن الدولة الطرف ما</w:t>
      </w:r>
      <w:r w:rsidR="00886372" w:rsidRPr="00855398">
        <w:rPr>
          <w:rFonts w:hint="cs"/>
          <w:spacing w:val="-4"/>
          <w:rtl/>
          <w:lang w:val="en-US"/>
        </w:rPr>
        <w:t> </w:t>
      </w:r>
      <w:r w:rsidRPr="00855398">
        <w:rPr>
          <w:spacing w:val="-4"/>
          <w:rtl/>
          <w:lang w:val="en-US"/>
        </w:rPr>
        <w:t>زالت تفتقر إلى إطار وطني ينظم</w:t>
      </w:r>
      <w:r w:rsidRPr="00886372">
        <w:rPr>
          <w:spacing w:val="-2"/>
          <w:rtl/>
          <w:lang w:val="en-US"/>
        </w:rPr>
        <w:t xml:space="preserve"> اللجوء، وإلى آلية لتقييم وتحديد صفة اللاجئ، بحيث يتسنى أيضاً كفالة احترام مبدأ عدم الإعادة القسرية.</w:t>
      </w:r>
    </w:p>
    <w:p w14:paraId="59D8651D" w14:textId="77777777" w:rsidR="00EE5E41" w:rsidRPr="00326462" w:rsidRDefault="00EE5E41" w:rsidP="00EE5E41">
      <w:pPr>
        <w:pStyle w:val="SingleTxtGA"/>
        <w:rPr>
          <w:lang w:val="en-US"/>
        </w:rPr>
      </w:pPr>
      <w:r w:rsidRPr="00326462">
        <w:rPr>
          <w:rtl/>
          <w:lang w:val="en-US"/>
        </w:rPr>
        <w:t>[</w:t>
      </w:r>
      <w:r w:rsidRPr="000D0834">
        <w:rPr>
          <w:b/>
          <w:bCs/>
          <w:rtl/>
          <w:lang w:val="en-US"/>
        </w:rPr>
        <w:t>ألف</w:t>
      </w:r>
      <w:r w:rsidRPr="00326462">
        <w:rPr>
          <w:rtl/>
          <w:lang w:val="en-US"/>
        </w:rPr>
        <w:t>]: ترحب اللجنة بالإحصاءات التي قدمتها الدولة الطرف بشأن عدد طالبي اللجوء واللاجئين وعديمي الجنسية المقيمين في أراضيها.</w:t>
      </w:r>
    </w:p>
    <w:p w14:paraId="5DABECAA" w14:textId="77777777" w:rsidR="00EE5E41" w:rsidRPr="000D0834" w:rsidRDefault="00EE5E41" w:rsidP="00EE5E41">
      <w:pPr>
        <w:pStyle w:val="H23GA"/>
      </w:pPr>
      <w:r w:rsidRPr="000D0834">
        <w:rPr>
          <w:rtl/>
        </w:rPr>
        <w:tab/>
      </w:r>
      <w:r w:rsidRPr="000D0834">
        <w:rPr>
          <w:rtl/>
        </w:rPr>
        <w:tab/>
        <w:t>الفقرة 40: قضاء الأحداث</w:t>
      </w:r>
    </w:p>
    <w:p w14:paraId="27A31B83" w14:textId="77777777" w:rsidR="00EE5E41" w:rsidRPr="000D0834" w:rsidRDefault="00EE5E41" w:rsidP="00EE5E41">
      <w:pPr>
        <w:pStyle w:val="SingleTxtGA"/>
        <w:rPr>
          <w:b/>
          <w:bCs/>
          <w:lang w:val="en-US"/>
        </w:rPr>
      </w:pPr>
      <w:r w:rsidRPr="000D0834">
        <w:rPr>
          <w:b/>
          <w:bCs/>
          <w:rtl/>
          <w:lang w:val="en-US"/>
        </w:rPr>
        <w:tab/>
        <w:t xml:space="preserve">ينبغي للدولة الطرف أن تقوم بما يلي: (أ) إقرار حد أدنى لسن المسؤولية الجنائية في تشريعها وفقاً للمعايير الدولية؛ و(ب) الانتهاء من إقامة محاكم لقضاء الأحداث وضبط الإجراءات ذات الصلة وتزويدها بالموارد البشرية والتقنية والمالية المناسبة، ولا سيما تعيين قضاة متخصصين ومدرَّبين؛ و(ج) تدريب أفراد الشرطة على التعامل مع الحالات المتصلة بقضاء الأحداث؛ و(د) التأكد من حصول الأطفال الجانحين في كل الأحوال على مساعدة من مستشار قانوني أو محامي وأن يكون حضورهم للمحاكمة برفقة ممثليهم القانونيين. </w:t>
      </w:r>
    </w:p>
    <w:p w14:paraId="37633DB1" w14:textId="77777777" w:rsidR="00EE5E41" w:rsidRPr="000D0834" w:rsidRDefault="00EE5E41" w:rsidP="00EE5E41">
      <w:pPr>
        <w:pStyle w:val="H23GA"/>
      </w:pPr>
      <w:r w:rsidRPr="000D0834">
        <w:rPr>
          <w:rtl/>
        </w:rPr>
        <w:tab/>
      </w:r>
      <w:r w:rsidRPr="000D0834">
        <w:rPr>
          <w:rtl/>
        </w:rPr>
        <w:tab/>
        <w:t>ملخص ردّ الدولة الطرف</w:t>
      </w:r>
    </w:p>
    <w:p w14:paraId="7542859E" w14:textId="77777777" w:rsidR="00EE5E41" w:rsidRPr="00326462" w:rsidRDefault="00EE5E41" w:rsidP="00EE5E41">
      <w:pPr>
        <w:pStyle w:val="SingleTxtGA"/>
        <w:rPr>
          <w:lang w:val="en-US"/>
        </w:rPr>
      </w:pPr>
      <w:r w:rsidRPr="00326462">
        <w:rPr>
          <w:rtl/>
          <w:lang w:val="en-US"/>
        </w:rPr>
        <w:t>(أ)</w:t>
      </w:r>
      <w:r w:rsidRPr="00326462">
        <w:rPr>
          <w:rtl/>
          <w:lang w:val="en-US"/>
        </w:rPr>
        <w:tab/>
      </w:r>
      <w:r w:rsidRPr="00EA348C">
        <w:rPr>
          <w:spacing w:val="-2"/>
          <w:rtl/>
          <w:lang w:val="en-US"/>
        </w:rPr>
        <w:t xml:space="preserve">أُدرجت توصيات اللجنة في مشروع قانون الأطفال لعام </w:t>
      </w:r>
      <w:r w:rsidRPr="000D0834">
        <w:rPr>
          <w:spacing w:val="-2"/>
          <w:rtl/>
          <w:lang w:val="en-US"/>
        </w:rPr>
        <w:t>2019</w:t>
      </w:r>
      <w:r w:rsidRPr="00EA348C">
        <w:rPr>
          <w:spacing w:val="-2"/>
          <w:rtl/>
          <w:lang w:val="en-US"/>
        </w:rPr>
        <w:t>، الذي عُرض على المجلس الوطني</w:t>
      </w:r>
      <w:r w:rsidRPr="00326462">
        <w:rPr>
          <w:rtl/>
          <w:lang w:val="en-US"/>
        </w:rPr>
        <w:t xml:space="preserve"> </w:t>
      </w:r>
      <w:r w:rsidRPr="00EA348C">
        <w:rPr>
          <w:spacing w:val="-3"/>
          <w:rtl/>
          <w:lang w:val="en-US"/>
        </w:rPr>
        <w:t xml:space="preserve">في أيلول/سبتمبر </w:t>
      </w:r>
      <w:r w:rsidRPr="000D0834">
        <w:rPr>
          <w:spacing w:val="-3"/>
          <w:rtl/>
          <w:lang w:val="en-US"/>
        </w:rPr>
        <w:t>2019</w:t>
      </w:r>
      <w:r w:rsidRPr="00EA348C">
        <w:rPr>
          <w:spacing w:val="-3"/>
          <w:rtl/>
          <w:lang w:val="en-US"/>
        </w:rPr>
        <w:t>. وكان الهدف الرئيسي من مشروع القانون هو إلغاء قانون حماية الطفل والاستعاضة</w:t>
      </w:r>
      <w:r w:rsidRPr="00326462">
        <w:rPr>
          <w:rtl/>
          <w:lang w:val="en-US"/>
        </w:rPr>
        <w:t xml:space="preserve"> عنه بإطار تشريعي أنسب وأشمل وأحدث. وينص مشروع القانون على أن الأطفال دون سن الثانية عشرة لا يتحملون أي مسؤولية جنائية. ومع ذلك، حُلَّ المجلس الوطني في </w:t>
      </w:r>
      <w:r w:rsidRPr="000D0834">
        <w:rPr>
          <w:rtl/>
          <w:lang w:val="en-US"/>
        </w:rPr>
        <w:t>6</w:t>
      </w:r>
      <w:r w:rsidRPr="00326462">
        <w:rPr>
          <w:rtl/>
          <w:lang w:val="en-US"/>
        </w:rPr>
        <w:t xml:space="preserve"> تشرين الأول/أكتوبر </w:t>
      </w:r>
      <w:r w:rsidRPr="000D0834">
        <w:rPr>
          <w:rtl/>
          <w:lang w:val="en-US"/>
        </w:rPr>
        <w:t>2019</w:t>
      </w:r>
      <w:r w:rsidRPr="00326462">
        <w:rPr>
          <w:rtl/>
          <w:lang w:val="en-US"/>
        </w:rPr>
        <w:t xml:space="preserve"> قبل طرح مشروع قانون الأطفال للتصويت. </w:t>
      </w:r>
    </w:p>
    <w:p w14:paraId="140CE1D5" w14:textId="77777777" w:rsidR="00EE5E41" w:rsidRPr="00326462" w:rsidRDefault="00EE5E41" w:rsidP="00EE5E41">
      <w:pPr>
        <w:pStyle w:val="SingleTxtGA"/>
        <w:rPr>
          <w:lang w:val="en-US"/>
        </w:rPr>
      </w:pPr>
      <w:r w:rsidRPr="00326462">
        <w:rPr>
          <w:rtl/>
          <w:lang w:val="en-US"/>
        </w:rPr>
        <w:t>(ب)</w:t>
      </w:r>
      <w:r w:rsidRPr="00326462">
        <w:rPr>
          <w:rtl/>
          <w:lang w:val="en-US"/>
        </w:rPr>
        <w:tab/>
        <w:t>ينص مشروع قانون الأطفال على إنشاء محكمة للأحداث تُعرف باسم محكمة الأطفال.</w:t>
      </w:r>
    </w:p>
    <w:p w14:paraId="4D405D5A" w14:textId="77777777" w:rsidR="00EE5E41" w:rsidRPr="00326462" w:rsidRDefault="00EE5E41" w:rsidP="00EE5E41">
      <w:pPr>
        <w:pStyle w:val="SingleTxtGA"/>
        <w:rPr>
          <w:lang w:val="en-US"/>
        </w:rPr>
      </w:pPr>
      <w:r w:rsidRPr="00326462">
        <w:rPr>
          <w:rtl/>
          <w:lang w:val="en-US"/>
        </w:rPr>
        <w:t>(ج)</w:t>
      </w:r>
      <w:r w:rsidRPr="00326462">
        <w:rPr>
          <w:rtl/>
          <w:lang w:val="en-US"/>
        </w:rPr>
        <w:tab/>
        <w:t xml:space="preserve">خلال الفترة </w:t>
      </w:r>
      <w:r w:rsidRPr="000D0834">
        <w:rPr>
          <w:rtl/>
          <w:lang w:val="en-US"/>
        </w:rPr>
        <w:t>2015</w:t>
      </w:r>
      <w:r w:rsidRPr="00326462">
        <w:rPr>
          <w:rtl/>
          <w:lang w:val="en-US"/>
        </w:rPr>
        <w:t>-</w:t>
      </w:r>
      <w:r w:rsidRPr="000D0834">
        <w:rPr>
          <w:rtl/>
          <w:lang w:val="en-US"/>
        </w:rPr>
        <w:t>2018</w:t>
      </w:r>
      <w:r w:rsidRPr="00326462">
        <w:rPr>
          <w:rtl/>
          <w:lang w:val="en-US"/>
        </w:rPr>
        <w:t xml:space="preserve">، تلقى نحو </w:t>
      </w:r>
      <w:r w:rsidRPr="000D0834">
        <w:rPr>
          <w:rtl/>
          <w:lang w:val="en-US"/>
        </w:rPr>
        <w:t>958</w:t>
      </w:r>
      <w:r w:rsidRPr="00326462">
        <w:rPr>
          <w:rtl/>
          <w:lang w:val="en-US"/>
        </w:rPr>
        <w:t xml:space="preserve"> </w:t>
      </w:r>
      <w:r w:rsidRPr="000D0834">
        <w:rPr>
          <w:rtl/>
          <w:lang w:val="en-US"/>
        </w:rPr>
        <w:t>1</w:t>
      </w:r>
      <w:r w:rsidRPr="00326462">
        <w:rPr>
          <w:rtl/>
          <w:lang w:val="en-US"/>
        </w:rPr>
        <w:t xml:space="preserve"> من ضباط الشرطة تدريباً في مدرسة تدريب </w:t>
      </w:r>
      <w:r w:rsidRPr="00EA348C">
        <w:rPr>
          <w:spacing w:val="-3"/>
          <w:rtl/>
          <w:lang w:val="en-US"/>
        </w:rPr>
        <w:t>الشرطة على النُّهج المتكاملة للكشف عن الجرائم المتعلقة بالأطفال والتحقيق فيها وملاحقة مرتكبيها قضائياً</w:t>
      </w:r>
      <w:r w:rsidRPr="00326462">
        <w:rPr>
          <w:rtl/>
          <w:lang w:val="en-US"/>
        </w:rPr>
        <w:t xml:space="preserve">. وعلاوة على ذلك، في عام </w:t>
      </w:r>
      <w:r w:rsidRPr="000D0834">
        <w:rPr>
          <w:rtl/>
          <w:lang w:val="en-US"/>
        </w:rPr>
        <w:t>2018</w:t>
      </w:r>
      <w:r w:rsidRPr="00326462">
        <w:rPr>
          <w:rtl/>
          <w:lang w:val="en-US"/>
        </w:rPr>
        <w:t xml:space="preserve">، عقد علماء النفس من وزارة المساواة بين الجنسين وتنمية الطفل ورعاية الأسرة </w:t>
      </w:r>
      <w:r w:rsidRPr="000D0834">
        <w:rPr>
          <w:rtl/>
          <w:lang w:val="en-US"/>
        </w:rPr>
        <w:t>16</w:t>
      </w:r>
      <w:r w:rsidRPr="00326462">
        <w:rPr>
          <w:rtl/>
          <w:lang w:val="en-US"/>
        </w:rPr>
        <w:t xml:space="preserve"> دورة تدريبية حضرها ضباط الشرطة في مدرسة تدريب الشرطة.</w:t>
      </w:r>
    </w:p>
    <w:p w14:paraId="394A2FA5" w14:textId="0B07B604" w:rsidR="00EE5E41" w:rsidRPr="00855398" w:rsidRDefault="00EE5E41" w:rsidP="00EE5E41">
      <w:pPr>
        <w:pStyle w:val="SingleTxtGA"/>
        <w:rPr>
          <w:spacing w:val="-2"/>
          <w:lang w:val="en-US"/>
        </w:rPr>
      </w:pPr>
      <w:r w:rsidRPr="00326462">
        <w:rPr>
          <w:rtl/>
          <w:lang w:val="en-US"/>
        </w:rPr>
        <w:lastRenderedPageBreak/>
        <w:t>(د)</w:t>
      </w:r>
      <w:r w:rsidRPr="00326462">
        <w:rPr>
          <w:rtl/>
          <w:lang w:val="en-US"/>
        </w:rPr>
        <w:tab/>
      </w:r>
      <w:r w:rsidRPr="00EA348C">
        <w:rPr>
          <w:spacing w:val="-3"/>
          <w:rtl/>
          <w:lang w:val="en-US"/>
        </w:rPr>
        <w:t>وفق</w:t>
      </w:r>
      <w:r w:rsidR="00886372">
        <w:rPr>
          <w:spacing w:val="-3"/>
          <w:rtl/>
          <w:lang w:val="en-US"/>
        </w:rPr>
        <w:t xml:space="preserve">اً </w:t>
      </w:r>
      <w:r w:rsidRPr="00EA348C">
        <w:rPr>
          <w:spacing w:val="-3"/>
          <w:rtl/>
          <w:lang w:val="en-US"/>
        </w:rPr>
        <w:t xml:space="preserve">لقانون المعونة القانونية والمساعدة القضائية، يحق للأشخاص الذين يقل دخلهم عن </w:t>
      </w:r>
      <w:r w:rsidRPr="000D0834">
        <w:rPr>
          <w:spacing w:val="-3"/>
          <w:rtl/>
          <w:lang w:val="en-US"/>
        </w:rPr>
        <w:t>000</w:t>
      </w:r>
      <w:r w:rsidRPr="00EA348C">
        <w:rPr>
          <w:spacing w:val="-3"/>
          <w:rtl/>
          <w:lang w:val="en-US"/>
        </w:rPr>
        <w:t xml:space="preserve"> </w:t>
      </w:r>
      <w:r w:rsidRPr="000D0834">
        <w:rPr>
          <w:spacing w:val="-3"/>
          <w:rtl/>
          <w:lang w:val="en-US"/>
        </w:rPr>
        <w:t>15</w:t>
      </w:r>
      <w:r w:rsidRPr="00EA348C">
        <w:rPr>
          <w:spacing w:val="-3"/>
          <w:rtl/>
          <w:lang w:val="en-US"/>
        </w:rPr>
        <w:t xml:space="preserve"> روبية ويقل مبلغ ثروتهم الصافي عن </w:t>
      </w:r>
      <w:r w:rsidRPr="000D0834">
        <w:rPr>
          <w:spacing w:val="-3"/>
          <w:rtl/>
          <w:lang w:val="en-US"/>
        </w:rPr>
        <w:t>000</w:t>
      </w:r>
      <w:r w:rsidRPr="00EA348C">
        <w:rPr>
          <w:spacing w:val="-3"/>
          <w:rtl/>
          <w:lang w:val="en-US"/>
        </w:rPr>
        <w:t xml:space="preserve"> </w:t>
      </w:r>
      <w:r w:rsidRPr="000D0834">
        <w:rPr>
          <w:spacing w:val="-3"/>
          <w:rtl/>
          <w:lang w:val="en-US"/>
        </w:rPr>
        <w:t>500</w:t>
      </w:r>
      <w:r w:rsidRPr="00EA348C">
        <w:rPr>
          <w:spacing w:val="-3"/>
          <w:rtl/>
          <w:lang w:val="en-US"/>
        </w:rPr>
        <w:t xml:space="preserve"> روبية الحصول على المعونة القانونية والمساعدة القضائية</w:t>
      </w:r>
      <w:r w:rsidRPr="00326462">
        <w:rPr>
          <w:rtl/>
          <w:lang w:val="en-US"/>
        </w:rPr>
        <w:t>. وحتى إذا لم يكن الشخص مؤهل</w:t>
      </w:r>
      <w:r w:rsidR="00886372">
        <w:rPr>
          <w:rtl/>
          <w:lang w:val="en-US"/>
        </w:rPr>
        <w:t xml:space="preserve">اً </w:t>
      </w:r>
      <w:r w:rsidRPr="00326462">
        <w:rPr>
          <w:rtl/>
          <w:lang w:val="en-US"/>
        </w:rPr>
        <w:t xml:space="preserve">للحصول على المعونة القانونية، يجوز لرئيس مجلس القضاء أو القاضي </w:t>
      </w:r>
      <w:r w:rsidRPr="00855398">
        <w:rPr>
          <w:spacing w:val="-4"/>
          <w:rtl/>
          <w:lang w:val="en-US"/>
        </w:rPr>
        <w:t xml:space="preserve">منح المعونة القانونية إذا استوفيت شروط معينة. ويمكن للقاصر المتهم بارتكاب جريمة أو جنحة أن يستفيد من المعونة القانونية حتى لو لم يستوف العتبات المنصوص عليها في قانون المعونة القانونية والمساعدة القضائية. </w:t>
      </w:r>
      <w:r w:rsidRPr="00855398">
        <w:rPr>
          <w:spacing w:val="-2"/>
          <w:rtl/>
          <w:lang w:val="en-US"/>
        </w:rPr>
        <w:t>وينص مشروع قانون الأطفال على منح المساعدة القضائية للأحداث، وفي غياب الوالد أو الوصي القانوني أو</w:t>
      </w:r>
      <w:r w:rsidR="00855398" w:rsidRPr="00855398">
        <w:rPr>
          <w:rFonts w:hint="cs"/>
          <w:spacing w:val="-2"/>
          <w:rtl/>
          <w:lang w:val="en-US"/>
        </w:rPr>
        <w:t> </w:t>
      </w:r>
      <w:r w:rsidRPr="00855398">
        <w:rPr>
          <w:spacing w:val="-2"/>
          <w:rtl/>
          <w:lang w:val="en-US"/>
        </w:rPr>
        <w:t xml:space="preserve">في حال رَفَض الوالد أو الوصي القانوني تقديم طلب للحصول على المساعدة القانونية نيابةً عن الحدث، يُقدَّم الحدث، في غضون </w:t>
      </w:r>
      <w:r w:rsidRPr="000D0834">
        <w:rPr>
          <w:spacing w:val="-2"/>
          <w:rtl/>
          <w:lang w:val="en-US"/>
        </w:rPr>
        <w:t>24</w:t>
      </w:r>
      <w:r w:rsidRPr="00855398">
        <w:rPr>
          <w:spacing w:val="-2"/>
          <w:rtl/>
          <w:lang w:val="en-US"/>
        </w:rPr>
        <w:t xml:space="preserve"> ساعة من وقت القبض عليه، إلى قاض يقرر منحَه المساعدة القضائية.</w:t>
      </w:r>
    </w:p>
    <w:p w14:paraId="6E12A0A2" w14:textId="77777777" w:rsidR="00EE5E41" w:rsidRPr="000D0834" w:rsidRDefault="00EE5E41" w:rsidP="00EE5E41">
      <w:pPr>
        <w:pStyle w:val="H23GA"/>
      </w:pPr>
      <w:r w:rsidRPr="000D0834">
        <w:rPr>
          <w:rtl/>
        </w:rPr>
        <w:tab/>
      </w:r>
      <w:r w:rsidRPr="000D0834">
        <w:rPr>
          <w:rtl/>
        </w:rPr>
        <w:tab/>
        <w:t>تقييم اللجنة:</w:t>
      </w:r>
    </w:p>
    <w:p w14:paraId="5BA962EE" w14:textId="77777777" w:rsidR="00EE5E41" w:rsidRPr="00326462" w:rsidRDefault="00EE5E41" w:rsidP="00EE5E41">
      <w:pPr>
        <w:pStyle w:val="SingleTxtGA"/>
        <w:rPr>
          <w:lang w:val="en-US"/>
        </w:rPr>
      </w:pPr>
      <w:r w:rsidRPr="00326462">
        <w:rPr>
          <w:rtl/>
          <w:lang w:val="en-US"/>
        </w:rPr>
        <w:t>[</w:t>
      </w:r>
      <w:r w:rsidRPr="000D0834">
        <w:rPr>
          <w:b/>
          <w:bCs/>
          <w:rtl/>
          <w:lang w:val="en-US"/>
        </w:rPr>
        <w:t>جيم</w:t>
      </w:r>
      <w:r w:rsidRPr="00326462">
        <w:rPr>
          <w:rtl/>
          <w:lang w:val="en-US"/>
        </w:rPr>
        <w:t>]: (أ) و(ب) و(د)</w:t>
      </w:r>
    </w:p>
    <w:p w14:paraId="0C453CE0" w14:textId="07D3E77B" w:rsidR="00EE5E41" w:rsidRPr="00326462" w:rsidRDefault="00EE5E41" w:rsidP="00EE5E41">
      <w:pPr>
        <w:pStyle w:val="SingleTxtGA"/>
        <w:rPr>
          <w:lang w:val="en-US"/>
        </w:rPr>
      </w:pPr>
      <w:r w:rsidRPr="00326462">
        <w:rPr>
          <w:rtl/>
          <w:lang w:val="en-US"/>
        </w:rPr>
        <w:t xml:space="preserve">تحيط اللجنة علماً بأن مشروع قانون الأطفال حدد السن الدنيا للمسؤولية الجنائية في </w:t>
      </w:r>
      <w:r w:rsidRPr="000D0834">
        <w:rPr>
          <w:rtl/>
          <w:lang w:val="en-US"/>
        </w:rPr>
        <w:t>12</w:t>
      </w:r>
      <w:r w:rsidRPr="00326462">
        <w:rPr>
          <w:rtl/>
          <w:lang w:val="en-US"/>
        </w:rPr>
        <w:t xml:space="preserve"> سنة. وتأسف لأن هذا الإصلاح القانوني لم ينفَّذ بعدُ نظر</w:t>
      </w:r>
      <w:r w:rsidR="00886372">
        <w:rPr>
          <w:rtl/>
          <w:lang w:val="en-US"/>
        </w:rPr>
        <w:t xml:space="preserve">اً </w:t>
      </w:r>
      <w:r w:rsidRPr="00326462">
        <w:rPr>
          <w:rtl/>
          <w:lang w:val="en-US"/>
        </w:rPr>
        <w:t>لأن مشروع القانون لم يُسن ليصبح قانون</w:t>
      </w:r>
      <w:r w:rsidR="00886372">
        <w:rPr>
          <w:rtl/>
          <w:lang w:val="en-US"/>
        </w:rPr>
        <w:t>اً.</w:t>
      </w:r>
    </w:p>
    <w:p w14:paraId="573D0CE1" w14:textId="77777777" w:rsidR="00EE5E41" w:rsidRPr="00326462" w:rsidRDefault="00EE5E41" w:rsidP="00EE5E41">
      <w:pPr>
        <w:pStyle w:val="SingleTxtGA"/>
        <w:rPr>
          <w:lang w:val="en-US"/>
        </w:rPr>
      </w:pPr>
      <w:r w:rsidRPr="00EA348C">
        <w:rPr>
          <w:spacing w:val="-3"/>
          <w:rtl/>
          <w:lang w:val="en-US"/>
        </w:rPr>
        <w:t>وفي حين تحيط اللجنة علماً بالحكم الوارد في مشروع قانون الأطفال الذي ينص على إنشاء محكمة أحداث،</w:t>
      </w:r>
      <w:r w:rsidRPr="00326462">
        <w:rPr>
          <w:rtl/>
          <w:lang w:val="en-US"/>
        </w:rPr>
        <w:t xml:space="preserve"> فإنها تلاحظ بقلق أن مشروع قانون الأطفال لم يُعتمد. وتكرر اللجنة توصيتها. </w:t>
      </w:r>
    </w:p>
    <w:p w14:paraId="5C23F3B8" w14:textId="0141AFC6" w:rsidR="00EE5E41" w:rsidRPr="00EA348C" w:rsidRDefault="00EE5E41" w:rsidP="00EE5E41">
      <w:pPr>
        <w:pStyle w:val="SingleTxtGA"/>
        <w:rPr>
          <w:spacing w:val="-3"/>
          <w:lang w:val="en-US"/>
        </w:rPr>
      </w:pPr>
      <w:r w:rsidRPr="00326462">
        <w:rPr>
          <w:rtl/>
          <w:lang w:val="en-US"/>
        </w:rPr>
        <w:t>وتحيط اللجنة علم</w:t>
      </w:r>
      <w:r w:rsidR="00886372">
        <w:rPr>
          <w:rtl/>
          <w:lang w:val="en-US"/>
        </w:rPr>
        <w:t xml:space="preserve">اً </w:t>
      </w:r>
      <w:r w:rsidRPr="00326462">
        <w:rPr>
          <w:rtl/>
          <w:lang w:val="en-US"/>
        </w:rPr>
        <w:t xml:space="preserve">بالمعلومات التي قدمتها الدولة الطرف بشأن المعونة القانونية، بما في ذلك المعلومات المتعلقة بقانون المعونة القانونية والمساعدة القضائية. وفي حين تلاحظ اللجنة أن مشروع قانون الأطفال </w:t>
      </w:r>
      <w:r w:rsidRPr="00EA348C">
        <w:rPr>
          <w:spacing w:val="-3"/>
          <w:rtl/>
          <w:lang w:val="en-US"/>
        </w:rPr>
        <w:t>ينص على تقديم المساعدة القضائية للأحداث، فإنها تأسف لعدم اعتماد هذا القانون. وتكرر اللجنة توصيتها.</w:t>
      </w:r>
    </w:p>
    <w:p w14:paraId="6A49CDD5" w14:textId="77777777" w:rsidR="00EE5E41" w:rsidRPr="00326462" w:rsidRDefault="00EE5E41" w:rsidP="00EE5E41">
      <w:pPr>
        <w:pStyle w:val="SingleTxtGA"/>
        <w:rPr>
          <w:lang w:val="en-US"/>
        </w:rPr>
      </w:pPr>
      <w:r w:rsidRPr="00326462">
        <w:rPr>
          <w:rtl/>
          <w:lang w:val="en-US"/>
        </w:rPr>
        <w:t>[</w:t>
      </w:r>
      <w:r w:rsidRPr="000D0834">
        <w:rPr>
          <w:b/>
          <w:bCs/>
          <w:rtl/>
          <w:lang w:val="en-US"/>
        </w:rPr>
        <w:t>ألف</w:t>
      </w:r>
      <w:r w:rsidRPr="00326462">
        <w:rPr>
          <w:rtl/>
          <w:lang w:val="en-US"/>
        </w:rPr>
        <w:t>]: (ج)</w:t>
      </w:r>
    </w:p>
    <w:p w14:paraId="2C6A451D" w14:textId="4EB0F958" w:rsidR="00EE5E41" w:rsidRPr="00326462" w:rsidRDefault="00EE5E41" w:rsidP="00EE5E41">
      <w:pPr>
        <w:pStyle w:val="SingleTxtGA"/>
        <w:rPr>
          <w:lang w:val="en-US"/>
        </w:rPr>
      </w:pPr>
      <w:r w:rsidRPr="00326462">
        <w:rPr>
          <w:rtl/>
          <w:lang w:val="en-US"/>
        </w:rPr>
        <w:t>ترحب اللجنة بالمعلومات المقدمة عن التدابير المتخذة لتدريب ضباط الشرطة على معالجة القضايا المتعلقة بقضاء الأحداث. وتطلب مزيد</w:t>
      </w:r>
      <w:r w:rsidR="00886372">
        <w:rPr>
          <w:rtl/>
          <w:lang w:val="en-US"/>
        </w:rPr>
        <w:t xml:space="preserve">اً </w:t>
      </w:r>
      <w:r w:rsidRPr="00326462">
        <w:rPr>
          <w:rtl/>
          <w:lang w:val="en-US"/>
        </w:rPr>
        <w:t xml:space="preserve">من المعلومات عن الدورات التدريبية التي ذكرتها الدولة الطرف، بما في ذلك عدد وطبيعة جميع هذه الأنشطة التدريبية، وتواريخ تنظيمها، وعدد المشاركين في الدورات التدريبية الـ </w:t>
      </w:r>
      <w:r w:rsidRPr="000D0834">
        <w:rPr>
          <w:rtl/>
          <w:lang w:val="en-US"/>
        </w:rPr>
        <w:t>16</w:t>
      </w:r>
      <w:r w:rsidRPr="00326462">
        <w:rPr>
          <w:rtl/>
          <w:lang w:val="en-US"/>
        </w:rPr>
        <w:t xml:space="preserve"> المذكورة وأثرها الموضوعي.</w:t>
      </w:r>
    </w:p>
    <w:p w14:paraId="03EA301F" w14:textId="77777777" w:rsidR="00EE5E41" w:rsidRPr="00326462" w:rsidRDefault="00EE5E41" w:rsidP="00EE5E41">
      <w:pPr>
        <w:pStyle w:val="SingleTxtGA"/>
        <w:rPr>
          <w:lang w:val="en-US"/>
        </w:rPr>
      </w:pPr>
      <w:r w:rsidRPr="000D0834">
        <w:rPr>
          <w:b/>
          <w:bCs/>
          <w:rtl/>
          <w:lang w:val="en-US"/>
        </w:rPr>
        <w:t xml:space="preserve">الإجراء </w:t>
      </w:r>
      <w:proofErr w:type="spellStart"/>
      <w:r w:rsidRPr="000D0834">
        <w:rPr>
          <w:b/>
          <w:bCs/>
          <w:rtl/>
          <w:lang w:val="en-US"/>
        </w:rPr>
        <w:t>الموصى</w:t>
      </w:r>
      <w:proofErr w:type="spellEnd"/>
      <w:r w:rsidRPr="000D0834">
        <w:rPr>
          <w:b/>
          <w:bCs/>
          <w:rtl/>
          <w:lang w:val="en-US"/>
        </w:rPr>
        <w:t xml:space="preserve"> به</w:t>
      </w:r>
      <w:r w:rsidRPr="00326462">
        <w:rPr>
          <w:rtl/>
          <w:lang w:val="en-US"/>
        </w:rPr>
        <w:t xml:space="preserve">: ينبغي توجيه رسالة إلى الدولة الطرف لإبلاغها بوقف إجراء المتابعة. وينبغي إدراج المعلومات المطلوبة في التقرير الدوري المقبل للدولة الطرف. </w:t>
      </w:r>
    </w:p>
    <w:p w14:paraId="4A44CCC9" w14:textId="17483364" w:rsidR="00EE5E41" w:rsidRPr="00326462" w:rsidRDefault="00EE5E41" w:rsidP="00DB0B35">
      <w:pPr>
        <w:pStyle w:val="SingleTxtGA"/>
        <w:jc w:val="left"/>
        <w:rPr>
          <w:lang w:val="en-US"/>
        </w:rPr>
      </w:pPr>
      <w:r w:rsidRPr="000D0834">
        <w:rPr>
          <w:b/>
          <w:bCs/>
          <w:rtl/>
          <w:lang w:val="en-US"/>
        </w:rPr>
        <w:t>التاريخ المقرر لتقديم التقرير الدوري المقبل</w:t>
      </w:r>
      <w:r w:rsidRPr="00326462">
        <w:rPr>
          <w:rtl/>
          <w:lang w:val="en-US"/>
        </w:rPr>
        <w:t xml:space="preserve">: </w:t>
      </w:r>
      <w:r w:rsidRPr="000D0834">
        <w:rPr>
          <w:rtl/>
          <w:lang w:val="en-US"/>
        </w:rPr>
        <w:t>2025</w:t>
      </w:r>
      <w:r w:rsidRPr="00326462">
        <w:rPr>
          <w:rtl/>
          <w:lang w:val="en-US"/>
        </w:rPr>
        <w:t xml:space="preserve"> (سيجرى استعراض الحالة في البلد في عام </w:t>
      </w:r>
      <w:r w:rsidRPr="000D0834">
        <w:rPr>
          <w:rtl/>
          <w:lang w:val="en-US"/>
        </w:rPr>
        <w:t>2026</w:t>
      </w:r>
      <w:r w:rsidRPr="00326462">
        <w:rPr>
          <w:rtl/>
          <w:lang w:val="en-US"/>
        </w:rPr>
        <w:t>، وفقاً لجولة الاستعراض المتوقعة. انظر</w:t>
      </w:r>
      <w:r w:rsidR="00DB0B35">
        <w:rPr>
          <w:rtl/>
          <w:lang w:val="en-US"/>
        </w:rPr>
        <w:br/>
      </w:r>
      <w:r w:rsidRPr="00326462">
        <w:rPr>
          <w:rtl/>
          <w:lang w:val="en-US"/>
        </w:rPr>
        <w:t xml:space="preserve"> </w:t>
      </w:r>
      <w:hyperlink r:id="rId11" w:history="1">
        <w:r w:rsidR="00DB0B35" w:rsidRPr="00133EE5">
          <w:rPr>
            <w:rStyle w:val="Hyperlink"/>
          </w:rPr>
          <w:t>www.ohchr.org/EN/HRBodies/CCPR/Pages/Predictable ReviewCycle.aspx</w:t>
        </w:r>
      </w:hyperlink>
      <w:r w:rsidRPr="00326462">
        <w:rPr>
          <w:rtl/>
          <w:lang w:val="en-US"/>
        </w:rPr>
        <w:t>).</w:t>
      </w:r>
    </w:p>
    <w:p w14:paraId="4C710559" w14:textId="77777777" w:rsidR="00EE5E41" w:rsidRPr="00326462" w:rsidRDefault="00EE5E41" w:rsidP="00EE5E41">
      <w:pPr>
        <w:pStyle w:val="SingleTxtGA"/>
        <w:jc w:val="center"/>
        <w:rPr>
          <w:u w:val="single"/>
          <w:rtl/>
        </w:rPr>
      </w:pPr>
      <w:r>
        <w:rPr>
          <w:u w:val="single"/>
          <w:rtl/>
        </w:rPr>
        <w:tab/>
      </w:r>
      <w:r>
        <w:rPr>
          <w:u w:val="single"/>
          <w:rtl/>
        </w:rPr>
        <w:tab/>
      </w:r>
      <w:r>
        <w:rPr>
          <w:u w:val="single"/>
          <w:rtl/>
        </w:rPr>
        <w:tab/>
      </w:r>
    </w:p>
    <w:sectPr w:rsidR="00EE5E41" w:rsidRPr="00326462" w:rsidSect="009B20C3">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7D8BC" w14:textId="77777777" w:rsidR="00CD39A9" w:rsidRPr="002901D9" w:rsidRDefault="00CD39A9" w:rsidP="00DC4D4B">
      <w:pPr>
        <w:spacing w:after="60" w:line="240" w:lineRule="auto"/>
        <w:ind w:left="57"/>
        <w:rPr>
          <w:i/>
          <w:iCs/>
        </w:rPr>
      </w:pPr>
      <w:r>
        <w:rPr>
          <w:rFonts w:hint="cs"/>
          <w:i/>
          <w:iCs/>
          <w:rtl/>
        </w:rPr>
        <w:t>الحواشي</w:t>
      </w:r>
    </w:p>
  </w:endnote>
  <w:endnote w:type="continuationSeparator" w:id="0">
    <w:p w14:paraId="6F25686F" w14:textId="77777777" w:rsidR="00CD39A9" w:rsidRDefault="00CD39A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54ED1" w14:textId="2F08FB23" w:rsidR="00700599" w:rsidRPr="00700599" w:rsidRDefault="00700599" w:rsidP="00700599">
    <w:pPr>
      <w:pStyle w:val="Footer"/>
      <w:tabs>
        <w:tab w:val="right" w:pos="9638"/>
      </w:tabs>
      <w:rPr>
        <w:b/>
        <w:sz w:val="18"/>
        <w:lang w:val="en-US"/>
      </w:rPr>
    </w:pPr>
    <w:r>
      <w:rPr>
        <w:lang w:val="en-US"/>
      </w:rPr>
      <w:t>GE.21-19077</w:t>
    </w:r>
    <w:r>
      <w:rPr>
        <w:lang w:val="en-US"/>
      </w:rPr>
      <w:tab/>
    </w:r>
    <w:r w:rsidRPr="00700599">
      <w:rPr>
        <w:b/>
        <w:sz w:val="18"/>
        <w:lang w:val="en-US"/>
      </w:rPr>
      <w:fldChar w:fldCharType="begin"/>
    </w:r>
    <w:r w:rsidRPr="00700599">
      <w:rPr>
        <w:b/>
        <w:sz w:val="18"/>
        <w:lang w:val="en-US"/>
      </w:rPr>
      <w:instrText xml:space="preserve"> PAGE  \* MERGEFORMAT </w:instrText>
    </w:r>
    <w:r w:rsidRPr="00700599">
      <w:rPr>
        <w:b/>
        <w:sz w:val="18"/>
        <w:lang w:val="en-US"/>
      </w:rPr>
      <w:fldChar w:fldCharType="separate"/>
    </w:r>
    <w:r w:rsidRPr="00700599">
      <w:rPr>
        <w:b/>
        <w:noProof/>
        <w:sz w:val="18"/>
        <w:lang w:val="en-US"/>
      </w:rPr>
      <w:t>2</w:t>
    </w:r>
    <w:r w:rsidRPr="00700599">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0CBF6" w14:textId="014D7885" w:rsidR="006959B0" w:rsidRPr="00700599" w:rsidRDefault="00700599" w:rsidP="00700599">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GE.21-19077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1E66" w14:textId="79A73D4E" w:rsidR="00DE50B1" w:rsidRPr="00700599" w:rsidRDefault="00700599" w:rsidP="00700599">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76A1C27C" wp14:editId="69569AF7">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21-19077 (A)</w:t>
    </w:r>
    <w:r>
      <w:rPr>
        <w:noProof/>
        <w:sz w:val="20"/>
        <w:lang w:val="en-US"/>
      </w:rPr>
      <w:drawing>
        <wp:anchor distT="0" distB="0" distL="114300" distR="114300" simplePos="0" relativeHeight="251659264" behindDoc="0" locked="0" layoutInCell="1" allowOverlap="1" wp14:anchorId="43CD67A9" wp14:editId="3389D668">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EF5B0" w14:textId="77777777" w:rsidR="00CD39A9" w:rsidRPr="008A49D2" w:rsidRDefault="00CD39A9"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54D77D5" w14:textId="77777777" w:rsidR="00CD39A9" w:rsidRDefault="00CD39A9" w:rsidP="00656392">
      <w:pPr>
        <w:spacing w:line="240" w:lineRule="auto"/>
      </w:pPr>
      <w:r>
        <w:continuationSeparator/>
      </w:r>
    </w:p>
  </w:footnote>
  <w:footnote w:id="1">
    <w:p w14:paraId="26E7085E" w14:textId="77777777" w:rsidR="00EE5E41" w:rsidRPr="00326462" w:rsidRDefault="00EE5E41" w:rsidP="00FE3A84">
      <w:pPr>
        <w:pStyle w:val="FootnoteText1"/>
        <w:spacing w:line="260" w:lineRule="exact"/>
        <w:rPr>
          <w:rtl/>
        </w:rPr>
      </w:pPr>
      <w:r>
        <w:rPr>
          <w:rtl/>
        </w:rPr>
        <w:t>*</w:t>
      </w:r>
      <w:r>
        <w:rPr>
          <w:rtl/>
        </w:rPr>
        <w:tab/>
      </w:r>
      <w:r w:rsidRPr="00326462">
        <w:rPr>
          <w:rtl/>
        </w:rPr>
        <w:t xml:space="preserve">اعتمدته اللجنة في دورتها </w:t>
      </w:r>
      <w:r w:rsidRPr="000D0834">
        <w:rPr>
          <w:rtl/>
        </w:rPr>
        <w:t>133</w:t>
      </w:r>
      <w:r w:rsidRPr="00326462">
        <w:rPr>
          <w:rtl/>
        </w:rPr>
        <w:t xml:space="preserve"> (</w:t>
      </w:r>
      <w:r w:rsidRPr="000D0834">
        <w:rPr>
          <w:rtl/>
        </w:rPr>
        <w:t>11</w:t>
      </w:r>
      <w:r w:rsidRPr="00326462">
        <w:rPr>
          <w:rtl/>
        </w:rPr>
        <w:t xml:space="preserve"> تشرين الأول/أكتوبر - </w:t>
      </w:r>
      <w:r w:rsidRPr="000D0834">
        <w:rPr>
          <w:rtl/>
        </w:rPr>
        <w:t>5</w:t>
      </w:r>
      <w:r w:rsidRPr="00326462">
        <w:rPr>
          <w:rtl/>
        </w:rPr>
        <w:t xml:space="preserve"> تشرين الثاني/نوفمبر </w:t>
      </w:r>
      <w:r w:rsidRPr="000D0834">
        <w:rPr>
          <w:rtl/>
        </w:rPr>
        <w:t>2021</w:t>
      </w:r>
      <w:r w:rsidRPr="00326462">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DCA03" w14:textId="6B6AD317" w:rsidR="00700599" w:rsidRPr="00700599" w:rsidRDefault="00700599" w:rsidP="00700599">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616CD6">
      <w:t>CCPR/C/133/3/Add.4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A0BC1" w14:textId="7F5E5AC5" w:rsidR="00700599" w:rsidRPr="00700599" w:rsidRDefault="00700599" w:rsidP="00700599">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616CD6">
      <w:t>CCPR/C/133/3/Add.4</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A9"/>
    <w:rsid w:val="000076D5"/>
    <w:rsid w:val="00043663"/>
    <w:rsid w:val="000437B8"/>
    <w:rsid w:val="000505CF"/>
    <w:rsid w:val="000D0834"/>
    <w:rsid w:val="000D701C"/>
    <w:rsid w:val="000E2A71"/>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76C2"/>
    <w:rsid w:val="003068BC"/>
    <w:rsid w:val="00312BBB"/>
    <w:rsid w:val="003260FF"/>
    <w:rsid w:val="00343D95"/>
    <w:rsid w:val="00363A18"/>
    <w:rsid w:val="00374341"/>
    <w:rsid w:val="003D1062"/>
    <w:rsid w:val="00402051"/>
    <w:rsid w:val="00420D7B"/>
    <w:rsid w:val="00450B21"/>
    <w:rsid w:val="00453B63"/>
    <w:rsid w:val="00455780"/>
    <w:rsid w:val="0046323F"/>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6CD6"/>
    <w:rsid w:val="00617024"/>
    <w:rsid w:val="00621120"/>
    <w:rsid w:val="00652221"/>
    <w:rsid w:val="00656392"/>
    <w:rsid w:val="006645EC"/>
    <w:rsid w:val="0068781D"/>
    <w:rsid w:val="006959B0"/>
    <w:rsid w:val="006B3E27"/>
    <w:rsid w:val="006B6507"/>
    <w:rsid w:val="006C104C"/>
    <w:rsid w:val="006C632E"/>
    <w:rsid w:val="00700599"/>
    <w:rsid w:val="00717FB3"/>
    <w:rsid w:val="00730446"/>
    <w:rsid w:val="00733704"/>
    <w:rsid w:val="0078071A"/>
    <w:rsid w:val="00787022"/>
    <w:rsid w:val="00787E1E"/>
    <w:rsid w:val="00852A9A"/>
    <w:rsid w:val="00855398"/>
    <w:rsid w:val="00886372"/>
    <w:rsid w:val="008A49D2"/>
    <w:rsid w:val="008F49E1"/>
    <w:rsid w:val="0090370F"/>
    <w:rsid w:val="009269D2"/>
    <w:rsid w:val="00942135"/>
    <w:rsid w:val="009521B0"/>
    <w:rsid w:val="00957437"/>
    <w:rsid w:val="00982139"/>
    <w:rsid w:val="009867A8"/>
    <w:rsid w:val="00991F44"/>
    <w:rsid w:val="00996849"/>
    <w:rsid w:val="009A0CFB"/>
    <w:rsid w:val="009A7E9F"/>
    <w:rsid w:val="009B20C3"/>
    <w:rsid w:val="009C17EC"/>
    <w:rsid w:val="009E5018"/>
    <w:rsid w:val="00A03700"/>
    <w:rsid w:val="00A053F2"/>
    <w:rsid w:val="00A12B37"/>
    <w:rsid w:val="00A54828"/>
    <w:rsid w:val="00A97E1F"/>
    <w:rsid w:val="00AB512E"/>
    <w:rsid w:val="00AB6758"/>
    <w:rsid w:val="00AB727F"/>
    <w:rsid w:val="00B13763"/>
    <w:rsid w:val="00B477A4"/>
    <w:rsid w:val="00B54045"/>
    <w:rsid w:val="00B63ADD"/>
    <w:rsid w:val="00BB09A0"/>
    <w:rsid w:val="00C175A6"/>
    <w:rsid w:val="00C41DCF"/>
    <w:rsid w:val="00C42AF7"/>
    <w:rsid w:val="00C438D7"/>
    <w:rsid w:val="00C62C20"/>
    <w:rsid w:val="00C81B50"/>
    <w:rsid w:val="00C902EF"/>
    <w:rsid w:val="00CB0011"/>
    <w:rsid w:val="00CB6622"/>
    <w:rsid w:val="00CD1801"/>
    <w:rsid w:val="00CD39A9"/>
    <w:rsid w:val="00CF56F9"/>
    <w:rsid w:val="00CF65C6"/>
    <w:rsid w:val="00D00A89"/>
    <w:rsid w:val="00D10EF1"/>
    <w:rsid w:val="00D42810"/>
    <w:rsid w:val="00D60DD5"/>
    <w:rsid w:val="00D914A7"/>
    <w:rsid w:val="00DB0B35"/>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E5E41"/>
    <w:rsid w:val="00EF1EE5"/>
    <w:rsid w:val="00EF5C43"/>
    <w:rsid w:val="00F10DAB"/>
    <w:rsid w:val="00F46D42"/>
    <w:rsid w:val="00F763B4"/>
    <w:rsid w:val="00F900C3"/>
    <w:rsid w:val="00FC6EDD"/>
    <w:rsid w:val="00FD46E2"/>
    <w:rsid w:val="00FE3A84"/>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C17517"/>
  <w15:docId w15:val="{9588DBB1-701D-4CBD-AFF8-83E5E445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Ref,de nota al pie,Appel note de bas de page,number,Footnote text,Footnote symbol,SUPERS"/>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HRBodies/CCPR/Pages/Predictable%20ReviewCycl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ar/CCPR/C/MUS/CO/5/Add.1" TargetMode="External"/><Relationship Id="rId4" Type="http://schemas.openxmlformats.org/officeDocument/2006/relationships/settings" Target="settings.xml"/><Relationship Id="rId9" Type="http://schemas.openxmlformats.org/officeDocument/2006/relationships/hyperlink" Target="https://undocs.org/ar/CCPR/C/MUS/CO/5"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4</Pages>
  <Words>1070</Words>
  <Characters>8116</Characters>
  <Application>Microsoft Office Word</Application>
  <DocSecurity>0</DocSecurity>
  <Lines>901</Lines>
  <Paragraphs>574</Paragraphs>
  <ScaleCrop>false</ScaleCrop>
  <HeadingPairs>
    <vt:vector size="2" baseType="variant">
      <vt:variant>
        <vt:lpstr>Title</vt:lpstr>
      </vt:variant>
      <vt:variant>
        <vt:i4>1</vt:i4>
      </vt:variant>
    </vt:vector>
  </HeadingPairs>
  <TitlesOfParts>
    <vt:vector size="1" baseType="lpstr">
      <vt:lpstr>CCPR/C/133/3/Add.4</vt:lpstr>
    </vt:vector>
  </TitlesOfParts>
  <Company>DCM</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CCPR/C/133/3/Add.4</dc:title>
  <dc:subject>GE.2119077(A)</dc:subject>
  <dc:creator>Gamal MAHMOUD - MBOU21</dc:creator>
  <cp:keywords>GE.2137920(A)</cp:keywords>
  <dc:description>Distr.: General_x000d_
17 December 2021_x000d_
Original: English</dc:description>
  <cp:lastModifiedBy>Gamal MAHMOUD</cp:lastModifiedBy>
  <cp:revision>3</cp:revision>
  <cp:lastPrinted>2021-12-28T15:44:00Z</cp:lastPrinted>
  <dcterms:created xsi:type="dcterms:W3CDTF">2021-12-28T15:44:00Z</dcterms:created>
  <dcterms:modified xsi:type="dcterms:W3CDTF">2021-12-28T15:44:00Z</dcterms:modified>
  <cp:category>Finale</cp:category>
</cp:coreProperties>
</file>