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1EA69A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180820" w14:textId="77777777" w:rsidR="002D5AAC" w:rsidRDefault="002D5AAC" w:rsidP="002A4C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0FCA7C4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7BCD2A9" w14:textId="05A63D20" w:rsidR="002D5AAC" w:rsidRDefault="002A4C8D" w:rsidP="002A4C8D">
            <w:pPr>
              <w:jc w:val="right"/>
            </w:pPr>
            <w:r w:rsidRPr="002A4C8D">
              <w:rPr>
                <w:sz w:val="40"/>
              </w:rPr>
              <w:t>CCPR</w:t>
            </w:r>
            <w:r w:rsidRPr="002A4C8D">
              <w:t>/C/133/3/Add.4</w:t>
            </w:r>
          </w:p>
        </w:tc>
      </w:tr>
      <w:tr w:rsidR="002D5AAC" w:rsidRPr="006F50C9" w14:paraId="5C8084F8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E4C1E0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5FFB09" wp14:editId="682E86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EE98C5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8A45BB" w14:textId="77777777" w:rsidR="002D5AAC" w:rsidRPr="006F50C9" w:rsidRDefault="002A4C8D" w:rsidP="00BC3629">
            <w:pPr>
              <w:spacing w:before="240"/>
              <w:rPr>
                <w:lang w:val="en-US"/>
              </w:rPr>
            </w:pPr>
            <w:r w:rsidRPr="006F50C9">
              <w:rPr>
                <w:lang w:val="en-US"/>
              </w:rPr>
              <w:t>Distr.: General</w:t>
            </w:r>
          </w:p>
          <w:p w14:paraId="0A51A810" w14:textId="7E4FD792" w:rsidR="002A4C8D" w:rsidRPr="006F50C9" w:rsidRDefault="002A4C8D" w:rsidP="002A4C8D">
            <w:pPr>
              <w:spacing w:line="240" w:lineRule="exact"/>
              <w:rPr>
                <w:lang w:val="en-US"/>
              </w:rPr>
            </w:pPr>
            <w:r w:rsidRPr="006F50C9">
              <w:rPr>
                <w:lang w:val="en-US"/>
              </w:rPr>
              <w:t>1</w:t>
            </w:r>
            <w:r w:rsidR="006E66A3">
              <w:rPr>
                <w:lang w:val="en-US"/>
              </w:rPr>
              <w:t>7</w:t>
            </w:r>
            <w:r w:rsidRPr="006F50C9">
              <w:rPr>
                <w:lang w:val="en-US"/>
              </w:rPr>
              <w:t xml:space="preserve"> December 2021</w:t>
            </w:r>
          </w:p>
          <w:p w14:paraId="2539D597" w14:textId="77777777" w:rsidR="002A4C8D" w:rsidRPr="006F50C9" w:rsidRDefault="002A4C8D" w:rsidP="002A4C8D">
            <w:pPr>
              <w:spacing w:line="240" w:lineRule="exact"/>
              <w:rPr>
                <w:lang w:val="en-US"/>
              </w:rPr>
            </w:pPr>
            <w:r w:rsidRPr="006F50C9">
              <w:rPr>
                <w:lang w:val="en-US"/>
              </w:rPr>
              <w:t>Russian</w:t>
            </w:r>
          </w:p>
          <w:p w14:paraId="2E67BB13" w14:textId="128DF050" w:rsidR="002A4C8D" w:rsidRPr="006F50C9" w:rsidRDefault="002A4C8D" w:rsidP="002A4C8D">
            <w:pPr>
              <w:spacing w:line="240" w:lineRule="exact"/>
              <w:rPr>
                <w:lang w:val="en-US"/>
              </w:rPr>
            </w:pPr>
            <w:r w:rsidRPr="006F50C9">
              <w:rPr>
                <w:lang w:val="en-US"/>
              </w:rPr>
              <w:t>Original: English</w:t>
            </w:r>
          </w:p>
        </w:tc>
      </w:tr>
    </w:tbl>
    <w:p w14:paraId="4979F95B" w14:textId="00931FF9" w:rsidR="002A4C8D" w:rsidRDefault="002A4C8D" w:rsidP="002A4C8D">
      <w:pPr>
        <w:spacing w:before="120"/>
        <w:rPr>
          <w:b/>
          <w:bCs/>
          <w:sz w:val="24"/>
          <w:szCs w:val="28"/>
        </w:rPr>
      </w:pPr>
      <w:r w:rsidRPr="002A4C8D">
        <w:rPr>
          <w:b/>
          <w:bCs/>
          <w:sz w:val="24"/>
          <w:szCs w:val="28"/>
        </w:rPr>
        <w:t>Комитет по правам человека</w:t>
      </w:r>
    </w:p>
    <w:p w14:paraId="5172F228" w14:textId="10CBB6BF" w:rsidR="002A4C8D" w:rsidRPr="002A4C8D" w:rsidRDefault="002A4C8D" w:rsidP="002A4C8D">
      <w:pPr>
        <w:pStyle w:val="HChG"/>
      </w:pPr>
      <w:r w:rsidRPr="002A4C8D">
        <w:tab/>
      </w:r>
      <w:r w:rsidRPr="002A4C8D">
        <w:tab/>
        <w:t>Доклад о последующей деятельности в связи с</w:t>
      </w:r>
      <w:r>
        <w:rPr>
          <w:lang w:val="en-US"/>
        </w:rPr>
        <w:t> </w:t>
      </w:r>
      <w:r w:rsidRPr="002A4C8D">
        <w:t>заключительными замечаниями Комитета по правам человека</w:t>
      </w:r>
      <w:r w:rsidRPr="002A4C8D">
        <w:rPr>
          <w:b w:val="0"/>
          <w:bCs/>
          <w:sz w:val="20"/>
        </w:rPr>
        <w:footnoteReference w:customMarkFollows="1" w:id="1"/>
        <w:t>*</w:t>
      </w:r>
      <w:bookmarkStart w:id="0" w:name="_Toc506807534"/>
      <w:bookmarkEnd w:id="0"/>
    </w:p>
    <w:p w14:paraId="41C0C12C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Добавление</w:t>
      </w:r>
    </w:p>
    <w:p w14:paraId="273E3E2B" w14:textId="1DE1C767" w:rsidR="002A4C8D" w:rsidRDefault="002A4C8D" w:rsidP="006F50C9">
      <w:pPr>
        <w:pStyle w:val="HChG"/>
      </w:pPr>
      <w:r w:rsidRPr="002A4C8D">
        <w:tab/>
      </w:r>
      <w:r w:rsidRPr="002A4C8D">
        <w:tab/>
        <w:t>Оценка информации о последующей деятельности в</w:t>
      </w:r>
      <w:r w:rsidR="006F50C9">
        <w:rPr>
          <w:lang w:val="en-US"/>
        </w:rPr>
        <w:t> </w:t>
      </w:r>
      <w:r w:rsidRPr="002A4C8D">
        <w:t>связи с</w:t>
      </w:r>
      <w:r>
        <w:rPr>
          <w:lang w:val="en-US"/>
        </w:rPr>
        <w:t> </w:t>
      </w:r>
      <w:r w:rsidRPr="002A4C8D">
        <w:t>заключительными замечаниями по Маврикию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3874"/>
      </w:tblGrid>
      <w:tr w:rsidR="002A4C8D" w:rsidRPr="0064331C" w14:paraId="216C5F28" w14:textId="77777777" w:rsidTr="002A4C8D">
        <w:tc>
          <w:tcPr>
            <w:tcW w:w="3503" w:type="dxa"/>
            <w:hideMark/>
          </w:tcPr>
          <w:p w14:paraId="6B5E9BDE" w14:textId="723447E3" w:rsidR="002A4C8D" w:rsidRPr="0064331C" w:rsidRDefault="002A4C8D" w:rsidP="00825BC0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2A4C8D"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</w:r>
            <w:r w:rsidRPr="002A4C8D">
              <w:rPr>
                <w:i/>
                <w:iCs/>
              </w:rPr>
              <w:t>(121-я сессия):</w:t>
            </w:r>
          </w:p>
        </w:tc>
        <w:tc>
          <w:tcPr>
            <w:tcW w:w="3874" w:type="dxa"/>
          </w:tcPr>
          <w:p w14:paraId="278E840B" w14:textId="5070F2FF" w:rsidR="002A4C8D" w:rsidRPr="0064331C" w:rsidRDefault="002A4C8D" w:rsidP="00825BC0">
            <w:pPr>
              <w:spacing w:after="120"/>
            </w:pPr>
            <w:hyperlink r:id="rId8" w:history="1">
              <w:r w:rsidRPr="002A4C8D">
                <w:rPr>
                  <w:rStyle w:val="af1"/>
                </w:rPr>
                <w:t>CCPR/C/MUS/CO/5</w:t>
              </w:r>
            </w:hyperlink>
            <w:r w:rsidRPr="002A4C8D">
              <w:t>, 6 ноября 2017 года</w:t>
            </w:r>
          </w:p>
        </w:tc>
      </w:tr>
      <w:tr w:rsidR="002A4C8D" w:rsidRPr="0064331C" w14:paraId="2AE636D1" w14:textId="77777777" w:rsidTr="002A4C8D">
        <w:tc>
          <w:tcPr>
            <w:tcW w:w="3503" w:type="dxa"/>
            <w:hideMark/>
          </w:tcPr>
          <w:p w14:paraId="558B4E1B" w14:textId="7E9CD0C3" w:rsidR="002A4C8D" w:rsidRPr="0064331C" w:rsidRDefault="002A4C8D" w:rsidP="00825BC0">
            <w:pPr>
              <w:spacing w:after="120"/>
              <w:ind w:left="35"/>
              <w:rPr>
                <w:i/>
              </w:rPr>
            </w:pPr>
            <w:r w:rsidRPr="002A4C8D">
              <w:rPr>
                <w:i/>
              </w:rPr>
              <w:t>Пункты, предусматривающие последующую деятельность:</w:t>
            </w:r>
          </w:p>
        </w:tc>
        <w:tc>
          <w:tcPr>
            <w:tcW w:w="3874" w:type="dxa"/>
          </w:tcPr>
          <w:p w14:paraId="5C405413" w14:textId="49827BCF" w:rsidR="002A4C8D" w:rsidRPr="0064331C" w:rsidRDefault="002A4C8D" w:rsidP="00825BC0">
            <w:pPr>
              <w:spacing w:after="120"/>
            </w:pPr>
            <w:r w:rsidRPr="002A4C8D">
              <w:t>8, 38 и 40</w:t>
            </w:r>
          </w:p>
        </w:tc>
      </w:tr>
      <w:tr w:rsidR="002A4C8D" w:rsidRPr="002A4C8D" w14:paraId="11570D84" w14:textId="77777777" w:rsidTr="002A4C8D">
        <w:tc>
          <w:tcPr>
            <w:tcW w:w="3503" w:type="dxa"/>
            <w:hideMark/>
          </w:tcPr>
          <w:p w14:paraId="5CD1C891" w14:textId="44880489" w:rsidR="002A4C8D" w:rsidRPr="0064331C" w:rsidRDefault="002A4C8D" w:rsidP="00825BC0">
            <w:pPr>
              <w:spacing w:after="120"/>
              <w:ind w:left="35"/>
              <w:rPr>
                <w:i/>
              </w:rPr>
            </w:pPr>
            <w:r w:rsidRPr="002A4C8D">
              <w:rPr>
                <w:i/>
              </w:rPr>
              <w:t>Информация, полученная от</w:t>
            </w:r>
            <w:r>
              <w:rPr>
                <w:i/>
                <w:lang w:val="en-US"/>
              </w:rPr>
              <w:t> </w:t>
            </w:r>
            <w:r w:rsidRPr="002A4C8D">
              <w:rPr>
                <w:i/>
              </w:rPr>
              <w:t>государства-участника:</w:t>
            </w:r>
          </w:p>
        </w:tc>
        <w:tc>
          <w:tcPr>
            <w:tcW w:w="3874" w:type="dxa"/>
          </w:tcPr>
          <w:p w14:paraId="770837F1" w14:textId="5B7BED71" w:rsidR="002A4C8D" w:rsidRPr="002A4C8D" w:rsidRDefault="002A4C8D" w:rsidP="00825BC0">
            <w:pPr>
              <w:spacing w:after="120"/>
              <w:rPr>
                <w:lang w:val="en-US"/>
              </w:rPr>
            </w:pPr>
            <w:hyperlink r:id="rId9" w:history="1">
              <w:r w:rsidRPr="002A4C8D">
                <w:rPr>
                  <w:rStyle w:val="af1"/>
                  <w:lang w:val="en-US"/>
                </w:rPr>
                <w:t>CCPR/C/MUS/CO/5/Add.1</w:t>
              </w:r>
            </w:hyperlink>
            <w:r w:rsidRPr="002A4C8D">
              <w:rPr>
                <w:lang w:val="en-US"/>
              </w:rPr>
              <w:t xml:space="preserve">, 8 </w:t>
            </w:r>
            <w:r w:rsidRPr="002A4C8D">
              <w:t>ноября</w:t>
            </w:r>
            <w:r w:rsidRPr="002A4C8D">
              <w:rPr>
                <w:lang w:val="en-US"/>
              </w:rPr>
              <w:t xml:space="preserve"> 2019</w:t>
            </w:r>
            <w:r>
              <w:rPr>
                <w:lang w:val="en-US"/>
              </w:rPr>
              <w:t> </w:t>
            </w:r>
            <w:r w:rsidRPr="002A4C8D">
              <w:t>года</w:t>
            </w:r>
          </w:p>
        </w:tc>
      </w:tr>
      <w:tr w:rsidR="002A4C8D" w:rsidRPr="0064331C" w14:paraId="2AD9EAD9" w14:textId="77777777" w:rsidTr="002A4C8D">
        <w:tc>
          <w:tcPr>
            <w:tcW w:w="3503" w:type="dxa"/>
            <w:hideMark/>
          </w:tcPr>
          <w:p w14:paraId="53AE4942" w14:textId="6DAAB53F" w:rsidR="002A4C8D" w:rsidRPr="0064331C" w:rsidRDefault="002A4C8D" w:rsidP="00825BC0">
            <w:pPr>
              <w:spacing w:after="120"/>
              <w:ind w:left="35"/>
              <w:rPr>
                <w:i/>
              </w:rPr>
            </w:pPr>
            <w:r w:rsidRPr="002A4C8D">
              <w:rPr>
                <w:i/>
              </w:rPr>
              <w:t>Оценка Комитета:</w:t>
            </w:r>
          </w:p>
        </w:tc>
        <w:tc>
          <w:tcPr>
            <w:tcW w:w="3874" w:type="dxa"/>
          </w:tcPr>
          <w:p w14:paraId="603D4DAE" w14:textId="2F1BF5F8" w:rsidR="002A4C8D" w:rsidRPr="0064331C" w:rsidRDefault="002A4C8D" w:rsidP="00825BC0">
            <w:pPr>
              <w:spacing w:after="120"/>
            </w:pPr>
            <w:r w:rsidRPr="002A4C8D">
              <w:t>требуется дополнительная информация по</w:t>
            </w:r>
            <w:r>
              <w:rPr>
                <w:lang w:val="en-US"/>
              </w:rPr>
              <w:t> </w:t>
            </w:r>
            <w:r w:rsidRPr="002A4C8D">
              <w:t>пунктам 8[</w:t>
            </w:r>
            <w:r w:rsidRPr="002A4C8D">
              <w:rPr>
                <w:b/>
                <w:bCs/>
              </w:rPr>
              <w:t>C</w:t>
            </w:r>
            <w:r w:rsidRPr="002A4C8D">
              <w:t>][</w:t>
            </w:r>
            <w:r w:rsidRPr="002A4C8D">
              <w:rPr>
                <w:b/>
                <w:bCs/>
              </w:rPr>
              <w:t>B</w:t>
            </w:r>
            <w:r w:rsidRPr="002A4C8D">
              <w:t>], 38[</w:t>
            </w:r>
            <w:r w:rsidRPr="002A4C8D">
              <w:rPr>
                <w:b/>
                <w:bCs/>
              </w:rPr>
              <w:t>C</w:t>
            </w:r>
            <w:r w:rsidRPr="002A4C8D">
              <w:t>][</w:t>
            </w:r>
            <w:r w:rsidRPr="002A4C8D">
              <w:rPr>
                <w:b/>
                <w:bCs/>
              </w:rPr>
              <w:t>A</w:t>
            </w:r>
            <w:r w:rsidRPr="002A4C8D">
              <w:t>] и 40[</w:t>
            </w:r>
            <w:r w:rsidRPr="002A4C8D">
              <w:rPr>
                <w:b/>
                <w:bCs/>
              </w:rPr>
              <w:t>C</w:t>
            </w:r>
            <w:r w:rsidRPr="002A4C8D">
              <w:t>][</w:t>
            </w:r>
            <w:r w:rsidRPr="002A4C8D">
              <w:rPr>
                <w:b/>
                <w:bCs/>
              </w:rPr>
              <w:t>A</w:t>
            </w:r>
            <w:r w:rsidRPr="002A4C8D">
              <w:t>]</w:t>
            </w:r>
          </w:p>
        </w:tc>
      </w:tr>
    </w:tbl>
    <w:p w14:paraId="133BEE51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Пункт 8: Национальная комиссия по правам человека</w:t>
      </w:r>
    </w:p>
    <w:p w14:paraId="7D326480" w14:textId="4A76F2BD" w:rsidR="002A4C8D" w:rsidRPr="002A4C8D" w:rsidRDefault="002A4C8D" w:rsidP="002A4C8D">
      <w:pPr>
        <w:pStyle w:val="SingleTxtG"/>
        <w:rPr>
          <w:b/>
          <w:bCs/>
        </w:rPr>
      </w:pPr>
      <w:r w:rsidRPr="002A4C8D">
        <w:tab/>
      </w:r>
      <w:r w:rsidRPr="002A4C8D">
        <w:rPr>
          <w:b/>
          <w:bCs/>
        </w:rPr>
        <w:t>Государству-участнику следует: a) обеспечить более транспарентный и основанный на широком участии процесс отбора и назначения членов Комиссии и ее подразделений, с тем чтобы гарантировать их независимость;</w:t>
      </w:r>
      <w:r w:rsidRPr="002A4C8D">
        <w:t xml:space="preserve"> </w:t>
      </w:r>
      <w:r w:rsidRPr="002A4C8D">
        <w:rPr>
          <w:b/>
          <w:bCs/>
        </w:rPr>
        <w:t>b) обеспечить их несменяемость;</w:t>
      </w:r>
      <w:r w:rsidRPr="002A4C8D">
        <w:t xml:space="preserve"> </w:t>
      </w:r>
      <w:r w:rsidRPr="002A4C8D">
        <w:rPr>
          <w:b/>
          <w:bCs/>
        </w:rPr>
        <w:t>с) принять меры по предотвращению конфликтов интересов в связи с обязанностями членов Комиссии;</w:t>
      </w:r>
      <w:r w:rsidRPr="002A4C8D">
        <w:t xml:space="preserve"> </w:t>
      </w:r>
      <w:r w:rsidRPr="002A4C8D">
        <w:rPr>
          <w:b/>
          <w:bCs/>
        </w:rPr>
        <w:t>d) уточнить задачи каждого подразделения Комиссии;</w:t>
      </w:r>
      <w:r w:rsidRPr="002A4C8D">
        <w:t xml:space="preserve"> </w:t>
      </w:r>
      <w:r w:rsidRPr="002A4C8D">
        <w:rPr>
          <w:b/>
          <w:bCs/>
        </w:rPr>
        <w:t>и е) обеспечить наличие достаточного и стабильного числа подготовленных сотрудников, с тем чтобы он</w:t>
      </w:r>
      <w:r w:rsidR="0056074C">
        <w:rPr>
          <w:b/>
          <w:bCs/>
        </w:rPr>
        <w:t>и</w:t>
      </w:r>
      <w:r w:rsidRPr="002A4C8D">
        <w:rPr>
          <w:b/>
          <w:bCs/>
        </w:rPr>
        <w:t xml:space="preserve"> надлежащим образом выполнял</w:t>
      </w:r>
      <w:r w:rsidR="00D51E9B">
        <w:rPr>
          <w:b/>
          <w:bCs/>
        </w:rPr>
        <w:t>и</w:t>
      </w:r>
      <w:r w:rsidRPr="002A4C8D">
        <w:rPr>
          <w:b/>
          <w:bCs/>
        </w:rPr>
        <w:t xml:space="preserve"> свой мандат в полном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14:paraId="114682DB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Резюме ответа государства-участника</w:t>
      </w:r>
    </w:p>
    <w:p w14:paraId="5916C4E1" w14:textId="6F28F7C1" w:rsidR="002A4C8D" w:rsidRPr="002A4C8D" w:rsidRDefault="002A4C8D" w:rsidP="002A4C8D">
      <w:pPr>
        <w:pStyle w:val="SingleTxtG"/>
      </w:pPr>
      <w:r>
        <w:tab/>
      </w:r>
      <w:r w:rsidRPr="002A4C8D">
        <w:t>a)</w:t>
      </w:r>
      <w:r w:rsidRPr="002A4C8D">
        <w:tab/>
        <w:t>Раздел 3 (8) Закона о защите прав человека предусматривает, что председатель, заместитель председателя и члены каждого подразделения назначаются президентом. Раздел 3 (2) устанавливает, что при осуществлении своих функций Комиссия не подчиняется указаниям и не находится под контролем какого-либо другого лица или органа.</w:t>
      </w:r>
    </w:p>
    <w:p w14:paraId="598BC3DA" w14:textId="11B592F0" w:rsidR="002A4C8D" w:rsidRPr="002A4C8D" w:rsidRDefault="002A4C8D" w:rsidP="002A4C8D">
      <w:pPr>
        <w:pStyle w:val="SingleTxtG"/>
        <w:keepNext/>
        <w:keepLines/>
      </w:pPr>
      <w:r>
        <w:lastRenderedPageBreak/>
        <w:tab/>
      </w:r>
      <w:r w:rsidRPr="002A4C8D">
        <w:t>b)</w:t>
      </w:r>
      <w:r w:rsidRPr="002A4C8D">
        <w:tab/>
        <w:t>Раздел 3 (10) Закона содержит конкретное положение о снятии с должности любого члена Комиссии, который не в состоянии выполнять свои функции, будь то в результате физического или психического заболевания или совершения проступка. Кроме того, Конституция Маврикия также предусматривает прекращение действия назначения на должность, произведенного премьер-министром или по рекомендации премьер-министра, в любое время после всеобщих выборов, проведенных после назначения.</w:t>
      </w:r>
    </w:p>
    <w:p w14:paraId="61E57369" w14:textId="7DD2C359" w:rsidR="002A4C8D" w:rsidRPr="002A4C8D" w:rsidRDefault="002A4C8D" w:rsidP="002A4C8D">
      <w:pPr>
        <w:pStyle w:val="SingleTxtG"/>
      </w:pPr>
      <w:r>
        <w:tab/>
      </w:r>
      <w:r w:rsidRPr="002A4C8D">
        <w:t>c)</w:t>
      </w:r>
      <w:r w:rsidRPr="002A4C8D">
        <w:tab/>
        <w:t>Конфликты интересов в связи с обязанностями членов Совета отсутствуют.</w:t>
      </w:r>
    </w:p>
    <w:p w14:paraId="3A896E98" w14:textId="199D1616" w:rsidR="002A4C8D" w:rsidRPr="002A4C8D" w:rsidRDefault="002A4C8D" w:rsidP="002A4C8D">
      <w:pPr>
        <w:pStyle w:val="SingleTxtG"/>
      </w:pPr>
      <w:r>
        <w:tab/>
      </w:r>
      <w:r w:rsidRPr="002A4C8D">
        <w:t>d)</w:t>
      </w:r>
      <w:r w:rsidRPr="002A4C8D">
        <w:tab/>
        <w:t>Задачи каждого подразделения четко определены законом.</w:t>
      </w:r>
    </w:p>
    <w:p w14:paraId="456482D4" w14:textId="3A64FB12" w:rsidR="002A4C8D" w:rsidRPr="002A4C8D" w:rsidRDefault="002A4C8D" w:rsidP="002A4C8D">
      <w:pPr>
        <w:pStyle w:val="SingleTxtG"/>
      </w:pPr>
      <w:r>
        <w:tab/>
      </w:r>
      <w:r w:rsidRPr="002A4C8D">
        <w:t>e)</w:t>
      </w:r>
      <w:r w:rsidRPr="002A4C8D">
        <w:tab/>
        <w:t>Функции Национальной комиссии по правам человека соответствуют Парижским принципам. Комиссия подтвердила, что канцелярия премьер-министра предоставляет ей достаточное количество сотрудников, и в планируемом бюджете будут предусмотрены дополнительные ассигнования для найма большего числа следователей. Комиссия также заявила, что будет ходатайствовать о внесении изменений в закон, чтобы иметь возможность нанять собственного секретаря.</w:t>
      </w:r>
    </w:p>
    <w:p w14:paraId="3BFBCF0A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Оценка Комитета</w:t>
      </w:r>
    </w:p>
    <w:p w14:paraId="46428C2C" w14:textId="77777777" w:rsidR="002A4C8D" w:rsidRPr="002A4C8D" w:rsidRDefault="002A4C8D" w:rsidP="002A4C8D">
      <w:pPr>
        <w:pStyle w:val="SingleTxtG"/>
      </w:pPr>
      <w:r w:rsidRPr="002A4C8D">
        <w:t>[</w:t>
      </w:r>
      <w:r w:rsidRPr="002A4C8D">
        <w:rPr>
          <w:b/>
          <w:bCs/>
        </w:rPr>
        <w:t>C</w:t>
      </w:r>
      <w:r w:rsidRPr="002A4C8D">
        <w:t>]: a), b), c) и d)</w:t>
      </w:r>
    </w:p>
    <w:p w14:paraId="02085026" w14:textId="77777777" w:rsidR="002A4C8D" w:rsidRPr="002A4C8D" w:rsidRDefault="002A4C8D" w:rsidP="002A4C8D">
      <w:pPr>
        <w:pStyle w:val="SingleTxtG"/>
      </w:pPr>
      <w:r w:rsidRPr="002A4C8D">
        <w:tab/>
        <w:t>Принимая к сведению информацию, представленную по разделам 3 (2) и (8) Закона, Комитет сожалеет об отсутствии информации о мерах, принятых после принятия заключительных замечаний Комитета для обеспечения более прозрачного и основанного на участии процесса отбора и назначения членов Комиссии и ее подразделений с целью гарантировать их независимость.</w:t>
      </w:r>
    </w:p>
    <w:p w14:paraId="13F78551" w14:textId="039DC052" w:rsidR="002A4C8D" w:rsidRPr="002A4C8D" w:rsidRDefault="002A4C8D" w:rsidP="002A4C8D">
      <w:pPr>
        <w:pStyle w:val="SingleTxtG"/>
      </w:pPr>
      <w:r w:rsidRPr="002A4C8D">
        <w:tab/>
        <w:t xml:space="preserve">Комитет также принимает к сведению предоставленную информацию о </w:t>
      </w:r>
      <w:r>
        <w:br/>
      </w:r>
      <w:r w:rsidRPr="002A4C8D">
        <w:t>разделе 3 (10) Закона и о Конституции. Тем не менее он сожалеет об отсутствии информации о каких-либо конкретных шагах, предпринятых для выполнения рекомендации Комитета.</w:t>
      </w:r>
    </w:p>
    <w:p w14:paraId="19C24128" w14:textId="77777777" w:rsidR="002A4C8D" w:rsidRPr="002A4C8D" w:rsidRDefault="002A4C8D" w:rsidP="002A4C8D">
      <w:pPr>
        <w:pStyle w:val="SingleTxtG"/>
      </w:pPr>
      <w:r w:rsidRPr="002A4C8D">
        <w:tab/>
        <w:t>Комитет с обеспокоенностью отмечает отсутствие информации о принятых мерах для предотвращения конфликта интересов в связи с исполнением членами Комитета своих обязанностей.</w:t>
      </w:r>
    </w:p>
    <w:p w14:paraId="4C4A6602" w14:textId="77777777" w:rsidR="002A4C8D" w:rsidRPr="002A4C8D" w:rsidRDefault="002A4C8D" w:rsidP="002A4C8D">
      <w:pPr>
        <w:pStyle w:val="SingleTxtG"/>
      </w:pPr>
      <w:r w:rsidRPr="002A4C8D">
        <w:tab/>
        <w:t>Комитет также обеспокоен отсутствием информации о мерах, принятых после принятия заключительных замечаний для уточнения задач каждого подразделения Комиссии.</w:t>
      </w:r>
    </w:p>
    <w:p w14:paraId="5D3849B2" w14:textId="77777777" w:rsidR="002A4C8D" w:rsidRPr="002A4C8D" w:rsidRDefault="002A4C8D" w:rsidP="002A4C8D">
      <w:pPr>
        <w:pStyle w:val="SingleTxtG"/>
      </w:pPr>
      <w:r w:rsidRPr="002A4C8D">
        <w:t>[</w:t>
      </w:r>
      <w:r w:rsidRPr="002A4C8D">
        <w:rPr>
          <w:b/>
          <w:bCs/>
        </w:rPr>
        <w:t>B</w:t>
      </w:r>
      <w:r w:rsidRPr="002A4C8D">
        <w:t>]: e)</w:t>
      </w:r>
    </w:p>
    <w:p w14:paraId="53700BE0" w14:textId="55E7B03A" w:rsidR="002A4C8D" w:rsidRPr="002A4C8D" w:rsidRDefault="002A4C8D" w:rsidP="002A4C8D">
      <w:pPr>
        <w:pStyle w:val="SingleTxtG"/>
      </w:pPr>
      <w:r w:rsidRPr="002A4C8D">
        <w:tab/>
        <w:t xml:space="preserve">Комитет приветствует представленную государством-участником информацию. Он просит предоставить дополнительную информацию по следующим вопросам: i) были ли наняты дополнительные следователи после принятия соответствующего решения, включая информацию об их количестве и дате найма; </w:t>
      </w:r>
      <w:r>
        <w:br/>
      </w:r>
      <w:r w:rsidRPr="002A4C8D">
        <w:t>и ii) какие были достигнуты результаты в изменении закона, позволяющие Комиссии нанимать своего собственного секретаря.</w:t>
      </w:r>
    </w:p>
    <w:p w14:paraId="0C8484E4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Пункт 38: Беженцы, просители убежища и лица без гражданства</w:t>
      </w:r>
    </w:p>
    <w:p w14:paraId="52EAE39D" w14:textId="77777777" w:rsidR="002A4C8D" w:rsidRPr="002A4C8D" w:rsidRDefault="002A4C8D" w:rsidP="002A4C8D">
      <w:pPr>
        <w:pStyle w:val="SingleTxtG"/>
        <w:rPr>
          <w:b/>
          <w:bCs/>
        </w:rPr>
      </w:pPr>
      <w:r w:rsidRPr="002A4C8D">
        <w:tab/>
      </w:r>
      <w:r w:rsidRPr="002A4C8D">
        <w:rPr>
          <w:b/>
          <w:bCs/>
        </w:rPr>
        <w:t>Государству-участнику следует предусмотреть введение национальной системы предоставления убежища, включая механизм для оценки необходимости предоставления и определения статуса беженца, в целях обеспечения соблюдения принципа невозвращения.</w:t>
      </w:r>
      <w:r w:rsidRPr="002A4C8D">
        <w:t xml:space="preserve"> </w:t>
      </w:r>
      <w:r w:rsidRPr="002A4C8D">
        <w:rPr>
          <w:b/>
          <w:bCs/>
        </w:rPr>
        <w:t>Ему следует принять необходимые меры по предупреждению случаев безгражданства, а также по сбору и публикации информации о количестве просителей убежища, беженцев и лиц без гражданства, проживающих на его территории.</w:t>
      </w:r>
    </w:p>
    <w:p w14:paraId="182ACE23" w14:textId="77777777" w:rsidR="002A4C8D" w:rsidRPr="002A4C8D" w:rsidRDefault="002A4C8D" w:rsidP="002A4C8D">
      <w:pPr>
        <w:pStyle w:val="H23G"/>
      </w:pPr>
      <w:r w:rsidRPr="002A4C8D">
        <w:lastRenderedPageBreak/>
        <w:tab/>
      </w:r>
      <w:r w:rsidRPr="002A4C8D">
        <w:tab/>
        <w:t>Резюме ответа государства-участника</w:t>
      </w:r>
    </w:p>
    <w:p w14:paraId="3D32CEDC" w14:textId="77777777" w:rsidR="002A4C8D" w:rsidRPr="002A4C8D" w:rsidRDefault="002A4C8D" w:rsidP="002A4C8D">
      <w:pPr>
        <w:pStyle w:val="SingleTxtG"/>
      </w:pPr>
      <w:r w:rsidRPr="002A4C8D">
        <w:tab/>
        <w:t>Государство-участник стремится рассматривать ходатайства о предоставлении статуса беженца или политического убежища на гуманитарной основе и с учетом конкретных обстоятельств, способствуя поселению заявителей в дружественной стране, готовой их принять. Поскольку государство-участник является небольшой, густонаселенной страной с ограниченными ресурсами, оно еще не приняло политику или законы о предоставлении статуса беженца иностранцам. Страна тесно сотрудничает с Управлением Верховного комиссара Организации Объединенных Наций по делам беженцев (УВКБ ООН) в деле создания механизма для более эффективного рассмотрения заявлений о предоставлении убежища и оказания помощи просителям убежища и беженцам. В связи с этим в мае 2019 года на Маврикии был проведен семинар, на котором заинтересованные стороны должны были разработать стандартный порядок действий, что в настоящее время сделано, с тем чтобы лучше ориентировать должностных лиц в отношении необходимых действий.</w:t>
      </w:r>
    </w:p>
    <w:p w14:paraId="6136A5F6" w14:textId="34A534AF" w:rsidR="002A4C8D" w:rsidRPr="002A4C8D" w:rsidRDefault="002A4C8D" w:rsidP="002A4C8D">
      <w:pPr>
        <w:pStyle w:val="SingleTxtG"/>
      </w:pPr>
      <w:r w:rsidRPr="002A4C8D">
        <w:tab/>
        <w:t xml:space="preserve">Государство-участник соблюдает принцип невыдворения. Закон об экстрадиции 2017 года (раздел 8) предусматривает, что просьба иностранного государства о выдаче лица не может быть положительно рассмотрена, если, по мнению Генерального прокурора, есть серьезные основания полагать, что данное лицо: </w:t>
      </w:r>
      <w:r w:rsidR="00C87FD4">
        <w:br/>
      </w:r>
      <w:r w:rsidRPr="002A4C8D">
        <w:t>a) может быть подвергнуто преследованию или наказанию в этом государстве по причине его расы, религии, гражданства, этнического происхождения или политических взглядов; b) может быть подвергнуто в этом государстве пыткам или жестокому, бесчеловечному или унижающему достоинство обращению или наказанию; или c) не может получить в этом государстве минимальные гарантии справедливого судебного разбирательства в уголовном процессе.</w:t>
      </w:r>
    </w:p>
    <w:p w14:paraId="0889B89F" w14:textId="77777777" w:rsidR="002A4C8D" w:rsidRPr="002A4C8D" w:rsidRDefault="002A4C8D" w:rsidP="002A4C8D">
      <w:pPr>
        <w:pStyle w:val="SingleTxtG"/>
      </w:pPr>
      <w:r w:rsidRPr="002A4C8D">
        <w:tab/>
        <w:t>На Маврикии нет беженцев или лиц без гражданства. Государство-участник представило информацию о количестве просителей убежища и беженцев, прибывших на Маврикий в 2017, 2018 и 2019 годах, и их текущем статусе.</w:t>
      </w:r>
    </w:p>
    <w:p w14:paraId="267C4E9B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Оценка Комитета</w:t>
      </w:r>
    </w:p>
    <w:p w14:paraId="09E0558C" w14:textId="77777777" w:rsidR="002A4C8D" w:rsidRPr="002A4C8D" w:rsidRDefault="002A4C8D" w:rsidP="002A4C8D">
      <w:pPr>
        <w:pStyle w:val="SingleTxtG"/>
      </w:pPr>
      <w:r w:rsidRPr="002A4C8D">
        <w:t>[</w:t>
      </w:r>
      <w:r w:rsidRPr="002A4C8D">
        <w:rPr>
          <w:b/>
          <w:bCs/>
        </w:rPr>
        <w:t>C</w:t>
      </w:r>
      <w:r w:rsidRPr="002A4C8D">
        <w:t>]: Комитет принимает к сведению информацию, представленную государством-участником, в том числе о Законе об экстрадиции 2017 года. Тем не менее он обеспокоен тем, что в государстве-участнике по-прежнему отсутствуют национальная правовая основа для предоставления убежища и механизм оценки и определения статуса беженца, чтобы также обеспечить соблюдение принципа невыдворения.</w:t>
      </w:r>
    </w:p>
    <w:p w14:paraId="7E3E890A" w14:textId="77777777" w:rsidR="002A4C8D" w:rsidRPr="002A4C8D" w:rsidRDefault="002A4C8D" w:rsidP="002A4C8D">
      <w:pPr>
        <w:pStyle w:val="SingleTxtG"/>
      </w:pPr>
      <w:r w:rsidRPr="002A4C8D">
        <w:t>[</w:t>
      </w:r>
      <w:r w:rsidRPr="002A4C8D">
        <w:rPr>
          <w:b/>
          <w:bCs/>
        </w:rPr>
        <w:t>A</w:t>
      </w:r>
      <w:r w:rsidRPr="002A4C8D">
        <w:t>]: Комитет приветствует представленные государством-участником статистические данные о количестве просителей убежища, беженцев и лиц без гражданства, проживающих на его территории.</w:t>
      </w:r>
    </w:p>
    <w:p w14:paraId="401C32C7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</w:r>
      <w:r w:rsidRPr="002A4C8D">
        <w:tab/>
        <w:t>Пункт 40: Ювенальная юстиция</w:t>
      </w:r>
    </w:p>
    <w:p w14:paraId="14D4D6BC" w14:textId="77777777" w:rsidR="002A4C8D" w:rsidRPr="002A4C8D" w:rsidRDefault="002A4C8D" w:rsidP="002A4C8D">
      <w:pPr>
        <w:pStyle w:val="SingleTxtG"/>
        <w:rPr>
          <w:b/>
          <w:bCs/>
        </w:rPr>
      </w:pPr>
      <w:r w:rsidRPr="002A4C8D">
        <w:tab/>
      </w:r>
      <w:r w:rsidRPr="002A4C8D">
        <w:rPr>
          <w:b/>
          <w:bCs/>
        </w:rPr>
        <w:t>Государству-участнику следует: а) установить минимальный возраст уголовной ответственности в своем законодательстве в соответствии с международными стандартами;</w:t>
      </w:r>
      <w:r w:rsidRPr="002A4C8D">
        <w:t xml:space="preserve"> </w:t>
      </w:r>
      <w:r w:rsidRPr="002A4C8D">
        <w:rPr>
          <w:b/>
          <w:bCs/>
        </w:rPr>
        <w:t>b) завершить процесс создания судов ювенальной юстиции и соответствующих процедур и предоставить им надлежащие людские, технические и финансовые ресурсы, включая назначение прошедших специальную подготовку судей;</w:t>
      </w:r>
      <w:r w:rsidRPr="002A4C8D">
        <w:t xml:space="preserve"> </w:t>
      </w:r>
      <w:r w:rsidRPr="002A4C8D">
        <w:rPr>
          <w:b/>
          <w:bCs/>
        </w:rPr>
        <w:t>c) провести подготовку сотрудников полиции по вопросам рассмотрения дел, имеющих отношение к ювенальной юстиции;</w:t>
      </w:r>
      <w:r w:rsidRPr="002A4C8D">
        <w:t xml:space="preserve"> </w:t>
      </w:r>
      <w:r w:rsidRPr="002A4C8D">
        <w:rPr>
          <w:b/>
          <w:bCs/>
        </w:rPr>
        <w:t>и d) обеспечить на систематической основе детям, нарушившим закон, получение помощи адвоката и присутствие в суде их юридических представителей.</w:t>
      </w:r>
      <w:r w:rsidRPr="002A4C8D">
        <w:t xml:space="preserve"> </w:t>
      </w:r>
    </w:p>
    <w:p w14:paraId="443EA6FD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Резюме ответа государства-участника</w:t>
      </w:r>
    </w:p>
    <w:p w14:paraId="329916B2" w14:textId="03071ED4" w:rsidR="002A4C8D" w:rsidRPr="002A4C8D" w:rsidRDefault="002A4C8D" w:rsidP="002A4C8D">
      <w:pPr>
        <w:pStyle w:val="SingleTxtG"/>
      </w:pPr>
      <w:r>
        <w:tab/>
      </w:r>
      <w:r w:rsidRPr="002A4C8D">
        <w:t>a)</w:t>
      </w:r>
      <w:r w:rsidRPr="002A4C8D">
        <w:tab/>
        <w:t>Рекомендации Комитета были включены в законопроект о детях 2019</w:t>
      </w:r>
      <w:r>
        <w:rPr>
          <w:lang w:val="en-US"/>
        </w:rPr>
        <w:t> </w:t>
      </w:r>
      <w:r w:rsidRPr="002A4C8D">
        <w:t>года, который был представлен на рассмотрение Национальной ассамблеи в сентябре 2019</w:t>
      </w:r>
      <w:r>
        <w:rPr>
          <w:lang w:val="en-US"/>
        </w:rPr>
        <w:t> </w:t>
      </w:r>
      <w:r w:rsidRPr="002A4C8D">
        <w:t xml:space="preserve">года. Основная цель законопроекта </w:t>
      </w:r>
      <w:r>
        <w:t>—</w:t>
      </w:r>
      <w:r w:rsidRPr="002A4C8D">
        <w:t xml:space="preserve"> отменить Закон о защите детей и заменить его более подходящим, всеобъемлющим и современным нормативно-правовым документом. Законопроект предусматривает, что дети в возрасте до 12 лет </w:t>
      </w:r>
      <w:r w:rsidRPr="002A4C8D">
        <w:lastRenderedPageBreak/>
        <w:t xml:space="preserve">не должны привлекаться к уголовной ответственности. Тем не менее Национальная ассамблея была распущена 6 октября 2019 года </w:t>
      </w:r>
      <w:r>
        <w:t>—</w:t>
      </w:r>
      <w:r w:rsidRPr="002A4C8D">
        <w:t xml:space="preserve"> до того, как законопроект о детях был поставлен на голосование. </w:t>
      </w:r>
    </w:p>
    <w:p w14:paraId="36087BE3" w14:textId="1A14A415" w:rsidR="002A4C8D" w:rsidRPr="002A4C8D" w:rsidRDefault="002A4C8D" w:rsidP="002A4C8D">
      <w:pPr>
        <w:pStyle w:val="SingleTxtG"/>
      </w:pPr>
      <w:r>
        <w:tab/>
      </w:r>
      <w:r w:rsidRPr="002A4C8D">
        <w:t>b)</w:t>
      </w:r>
      <w:r w:rsidRPr="002A4C8D">
        <w:tab/>
        <w:t>Законопроект о детях предусматривает создание суда по делам несовершеннолетних, который будет называться Судом по делам детей.</w:t>
      </w:r>
    </w:p>
    <w:p w14:paraId="7E858967" w14:textId="3C67E5EB" w:rsidR="002A4C8D" w:rsidRPr="002A4C8D" w:rsidRDefault="002A4C8D" w:rsidP="002A4C8D">
      <w:pPr>
        <w:pStyle w:val="SingleTxtG"/>
      </w:pPr>
      <w:r>
        <w:tab/>
      </w:r>
      <w:r w:rsidRPr="002A4C8D">
        <w:t>c)</w:t>
      </w:r>
      <w:r w:rsidRPr="002A4C8D">
        <w:tab/>
        <w:t xml:space="preserve">В период 2015–2018 годов 1958 сотрудников полиции прошли обучение в Школе подготовки полицейских по комплексным подходам к выявлению, расследованию и преследованию преступлений, связанных с детьми. Кроме того, </w:t>
      </w:r>
      <w:r>
        <w:br/>
      </w:r>
      <w:r w:rsidRPr="002A4C8D">
        <w:t>в 2018 году психологи Министерства гендерного равенства, развития ребенка и благосостояния семьи провели 16 учебных сессий с сотрудниками полиции в Школе подготовки полицейских.</w:t>
      </w:r>
    </w:p>
    <w:p w14:paraId="63F541BB" w14:textId="3CA3CD11" w:rsidR="002A4C8D" w:rsidRPr="002A4C8D" w:rsidRDefault="002A4C8D" w:rsidP="002A4C8D">
      <w:pPr>
        <w:pStyle w:val="SingleTxtG"/>
      </w:pPr>
      <w:r>
        <w:tab/>
      </w:r>
      <w:r w:rsidRPr="002A4C8D">
        <w:t>d)</w:t>
      </w:r>
      <w:r w:rsidRPr="002A4C8D">
        <w:tab/>
        <w:t xml:space="preserve">В соответствии с Законом о правовой и юридической помощи лица, зарабатывающие менее 15 000 рупий и чей чистый капитал составляет менее </w:t>
      </w:r>
      <w:r>
        <w:br/>
      </w:r>
      <w:r w:rsidRPr="002A4C8D">
        <w:t>500 000 рупий, имеют право на получение правовой и юридической помощи. Даже если человек не имеет права на получение правовой помощи, председатель Верховного суда или мировой судья может предоставить правовую помощь при соблюдении определенных условий. Несовершеннолетний, обвиняемый в преступлении или правонарушении, может воспользоваться правовой помощью, даже если он не соответствует пороговым требованиям, установленным в Законе о правовой и юридической помощи. Законопроект о детях предусматривает оказание юридической помощи несовершеннолетним и, если у несовершеннолетнего нет родителя или законного опекуна или его родитель или законный опекун отказывается обращаться за юридической помощью от его имени, доставку несовершеннолетнего в течение 24 часов после ареста к мировому судье, который предоставит несовершеннолетнему юридическую помощь.</w:t>
      </w:r>
    </w:p>
    <w:p w14:paraId="52E792F3" w14:textId="77777777" w:rsidR="002A4C8D" w:rsidRPr="002A4C8D" w:rsidRDefault="002A4C8D" w:rsidP="002A4C8D">
      <w:pPr>
        <w:pStyle w:val="H23G"/>
      </w:pPr>
      <w:r w:rsidRPr="002A4C8D">
        <w:tab/>
      </w:r>
      <w:r w:rsidRPr="002A4C8D">
        <w:tab/>
        <w:t>Оценка Комитета</w:t>
      </w:r>
    </w:p>
    <w:p w14:paraId="18FD6353" w14:textId="77777777" w:rsidR="002A4C8D" w:rsidRPr="002A4C8D" w:rsidRDefault="002A4C8D" w:rsidP="002A4C8D">
      <w:pPr>
        <w:pStyle w:val="SingleTxtG"/>
      </w:pPr>
      <w:r w:rsidRPr="002A4C8D">
        <w:t>[</w:t>
      </w:r>
      <w:r w:rsidRPr="002A4C8D">
        <w:rPr>
          <w:b/>
          <w:bCs/>
        </w:rPr>
        <w:t>C</w:t>
      </w:r>
      <w:r w:rsidRPr="002A4C8D">
        <w:t>]: a), b) и d)</w:t>
      </w:r>
    </w:p>
    <w:p w14:paraId="4BD821F8" w14:textId="77777777" w:rsidR="002A4C8D" w:rsidRPr="002A4C8D" w:rsidRDefault="002A4C8D" w:rsidP="002A4C8D">
      <w:pPr>
        <w:pStyle w:val="SingleTxtG"/>
      </w:pPr>
      <w:r w:rsidRPr="002A4C8D">
        <w:tab/>
        <w:t>Комитет отмечает, что законопроект о детях устанавливает минимальный возраст наступления уголовной ответственности в 12 лет. Он сожалеет, что эта правовая реформа не была осуществлена, поскольку законопроект не был принят в качестве закона.</w:t>
      </w:r>
    </w:p>
    <w:p w14:paraId="3D9C177D" w14:textId="77777777" w:rsidR="002A4C8D" w:rsidRPr="002A4C8D" w:rsidRDefault="002A4C8D" w:rsidP="002A4C8D">
      <w:pPr>
        <w:pStyle w:val="SingleTxtG"/>
      </w:pPr>
      <w:r w:rsidRPr="002A4C8D">
        <w:tab/>
        <w:t xml:space="preserve">Комитет принимает к сведению предусмотренное в законопроекте о детях положение о создании суда по делам несовершеннолетних, но при этом с обеспокоенностью отмечает, что этот законопроект не был принят. Он повторяет свою рекомендацию. </w:t>
      </w:r>
    </w:p>
    <w:p w14:paraId="283DDB92" w14:textId="77777777" w:rsidR="002A4C8D" w:rsidRPr="002A4C8D" w:rsidRDefault="002A4C8D" w:rsidP="002A4C8D">
      <w:pPr>
        <w:pStyle w:val="SingleTxtG"/>
      </w:pPr>
      <w:r w:rsidRPr="002A4C8D">
        <w:tab/>
        <w:t>Комитет принимает к сведению представленную государством-участником информацию о правовой помощи, в том числе о Законе о правовой и юридической помощи. Отмечая, что законопроект о детях предусматривает оказание юридической помощи несовершеннолетним, Комитет сожалеет, что эти положения не были приняты. Комитет повторяет свою рекомендацию.</w:t>
      </w:r>
    </w:p>
    <w:p w14:paraId="681D3C9D" w14:textId="77777777" w:rsidR="002A4C8D" w:rsidRPr="002A4C8D" w:rsidRDefault="002A4C8D" w:rsidP="002A4C8D">
      <w:pPr>
        <w:pStyle w:val="SingleTxtG"/>
      </w:pPr>
      <w:r w:rsidRPr="002A4C8D">
        <w:t>[</w:t>
      </w:r>
      <w:r w:rsidRPr="002A4C8D">
        <w:rPr>
          <w:b/>
          <w:bCs/>
        </w:rPr>
        <w:t>A</w:t>
      </w:r>
      <w:r w:rsidRPr="002A4C8D">
        <w:t>]: (c)</w:t>
      </w:r>
    </w:p>
    <w:p w14:paraId="44AB454D" w14:textId="77777777" w:rsidR="002A4C8D" w:rsidRPr="002A4C8D" w:rsidRDefault="002A4C8D" w:rsidP="002A4C8D">
      <w:pPr>
        <w:pStyle w:val="SingleTxtG"/>
      </w:pPr>
      <w:r w:rsidRPr="002A4C8D">
        <w:tab/>
        <w:t>Комитет приветствует представленную информацию о принятых мерах по подготовке сотрудников полиции по вопросам рассмотрения дел, связанных с правосудием в отношении несовершеннолетних. Он просит предоставить дополнительную информацию об учебных занятиях, упомянутых государством-участником, в том числе о количестве и характере всех таких учебных мероприятий, времени их проведения, количестве участников 16 упомянутых учебных занятий и их существенном воздействии.</w:t>
      </w:r>
    </w:p>
    <w:p w14:paraId="798E74E2" w14:textId="77777777" w:rsidR="002A4C8D" w:rsidRPr="002A4C8D" w:rsidRDefault="002A4C8D" w:rsidP="002A4C8D">
      <w:pPr>
        <w:pStyle w:val="SingleTxtG"/>
      </w:pPr>
      <w:r w:rsidRPr="002A4C8D">
        <w:rPr>
          <w:b/>
          <w:bCs/>
        </w:rPr>
        <w:t>Рекомендуемые действия:</w:t>
      </w:r>
      <w:r w:rsidRPr="002A4C8D">
        <w:t xml:space="preserve"> следует направить письмо, извещающее государство-участник о прекращении процедуры последующей деятельности. Запрашиваемая информация должна быть включена в следующий периодический доклад государства-участника. </w:t>
      </w:r>
    </w:p>
    <w:p w14:paraId="09C9C88B" w14:textId="08F3D776" w:rsidR="002A4C8D" w:rsidRPr="002A4C8D" w:rsidRDefault="002A4C8D" w:rsidP="002A4C8D">
      <w:pPr>
        <w:pStyle w:val="SingleTxtG"/>
        <w:rPr>
          <w:lang w:val="en-US"/>
        </w:rPr>
      </w:pPr>
      <w:r w:rsidRPr="002A4C8D">
        <w:rPr>
          <w:b/>
          <w:bCs/>
        </w:rPr>
        <w:lastRenderedPageBreak/>
        <w:t>Сроки представления следующего периодического доклада:</w:t>
      </w:r>
      <w:r w:rsidRPr="002A4C8D">
        <w:t xml:space="preserve"> 2025 год </w:t>
      </w:r>
      <w:r>
        <w:br/>
      </w:r>
      <w:r w:rsidRPr="002A4C8D">
        <w:t xml:space="preserve">(страновой обзор в 2026 году в соответствии с планируемым циклом обзора. </w:t>
      </w:r>
      <w:r>
        <w:br/>
      </w:r>
      <w:r w:rsidRPr="002A4C8D">
        <w:rPr>
          <w:spacing w:val="-2"/>
        </w:rPr>
        <w:t>См</w:t>
      </w:r>
      <w:r w:rsidRPr="002A4C8D">
        <w:rPr>
          <w:spacing w:val="-2"/>
          <w:lang w:val="en-US"/>
        </w:rPr>
        <w:t>.</w:t>
      </w:r>
      <w:r w:rsidRPr="002A4C8D">
        <w:rPr>
          <w:spacing w:val="-2"/>
          <w:lang w:val="en-US"/>
        </w:rPr>
        <w:t xml:space="preserve"> URL:</w:t>
      </w:r>
      <w:r w:rsidRPr="002A4C8D">
        <w:rPr>
          <w:spacing w:val="-2"/>
          <w:lang w:val="en-US"/>
        </w:rPr>
        <w:t xml:space="preserve"> </w:t>
      </w:r>
      <w:hyperlink r:id="rId10" w:history="1">
        <w:r w:rsidR="0045719F" w:rsidRPr="00244378">
          <w:rPr>
            <w:rStyle w:val="af1"/>
            <w:spacing w:val="-2"/>
            <w:lang w:val="en-US"/>
          </w:rPr>
          <w:t>http://www.ohchr.org/EN/HRBodies/CCPR/Pages/PredictableReviewCycle.aspx</w:t>
        </w:r>
      </w:hyperlink>
      <w:r w:rsidRPr="002A4C8D">
        <w:rPr>
          <w:spacing w:val="-2"/>
          <w:lang w:val="en-US"/>
        </w:rPr>
        <w:t>).</w:t>
      </w:r>
    </w:p>
    <w:p w14:paraId="4E556E17" w14:textId="0A778424" w:rsidR="002A4C8D" w:rsidRPr="002A4C8D" w:rsidRDefault="002A4C8D" w:rsidP="002A4C8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A4C8D" w:rsidRPr="002A4C8D" w:rsidSect="002A4C8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1A8D" w14:textId="77777777" w:rsidR="00940B77" w:rsidRPr="00A312BC" w:rsidRDefault="00940B77" w:rsidP="00A312BC"/>
  </w:endnote>
  <w:endnote w:type="continuationSeparator" w:id="0">
    <w:p w14:paraId="74B77968" w14:textId="77777777" w:rsidR="00940B77" w:rsidRPr="00A312BC" w:rsidRDefault="00940B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A868" w14:textId="47BD4035" w:rsidR="002A4C8D" w:rsidRPr="002A4C8D" w:rsidRDefault="002A4C8D">
    <w:pPr>
      <w:pStyle w:val="a8"/>
    </w:pPr>
    <w:r w:rsidRPr="002A4C8D">
      <w:rPr>
        <w:b/>
        <w:sz w:val="18"/>
      </w:rPr>
      <w:fldChar w:fldCharType="begin"/>
    </w:r>
    <w:r w:rsidRPr="002A4C8D">
      <w:rPr>
        <w:b/>
        <w:sz w:val="18"/>
      </w:rPr>
      <w:instrText xml:space="preserve"> PAGE  \* MERGEFORMAT </w:instrText>
    </w:r>
    <w:r w:rsidRPr="002A4C8D">
      <w:rPr>
        <w:b/>
        <w:sz w:val="18"/>
      </w:rPr>
      <w:fldChar w:fldCharType="separate"/>
    </w:r>
    <w:r w:rsidRPr="002A4C8D">
      <w:rPr>
        <w:b/>
        <w:noProof/>
        <w:sz w:val="18"/>
      </w:rPr>
      <w:t>2</w:t>
    </w:r>
    <w:r w:rsidRPr="002A4C8D">
      <w:rPr>
        <w:b/>
        <w:sz w:val="18"/>
      </w:rPr>
      <w:fldChar w:fldCharType="end"/>
    </w:r>
    <w:r>
      <w:rPr>
        <w:b/>
        <w:sz w:val="18"/>
      </w:rPr>
      <w:tab/>
    </w:r>
    <w:r>
      <w:t>GE.21-19077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99C4" w14:textId="614CC66E" w:rsidR="002A4C8D" w:rsidRPr="002A4C8D" w:rsidRDefault="002A4C8D" w:rsidP="002A4C8D">
    <w:pPr>
      <w:pStyle w:val="a8"/>
      <w:tabs>
        <w:tab w:val="clear" w:pos="9639"/>
        <w:tab w:val="right" w:pos="9638"/>
      </w:tabs>
      <w:rPr>
        <w:b/>
        <w:sz w:val="18"/>
      </w:rPr>
    </w:pPr>
    <w:r>
      <w:t>GE.21-19077</w:t>
    </w:r>
    <w:r>
      <w:tab/>
    </w:r>
    <w:r w:rsidRPr="002A4C8D">
      <w:rPr>
        <w:b/>
        <w:sz w:val="18"/>
      </w:rPr>
      <w:fldChar w:fldCharType="begin"/>
    </w:r>
    <w:r w:rsidRPr="002A4C8D">
      <w:rPr>
        <w:b/>
        <w:sz w:val="18"/>
      </w:rPr>
      <w:instrText xml:space="preserve"> PAGE  \* MERGEFORMAT </w:instrText>
    </w:r>
    <w:r w:rsidRPr="002A4C8D">
      <w:rPr>
        <w:b/>
        <w:sz w:val="18"/>
      </w:rPr>
      <w:fldChar w:fldCharType="separate"/>
    </w:r>
    <w:r w:rsidRPr="002A4C8D">
      <w:rPr>
        <w:b/>
        <w:noProof/>
        <w:sz w:val="18"/>
      </w:rPr>
      <w:t>3</w:t>
    </w:r>
    <w:r w:rsidRPr="002A4C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1EDF" w14:textId="633BB06B" w:rsidR="00042B72" w:rsidRPr="006E66A3" w:rsidRDefault="002A4C8D" w:rsidP="002A4C8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450BB9" wp14:editId="1C9F3C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21-19077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821C85" wp14:editId="136B3D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A3">
      <w:rPr>
        <w:lang w:val="en-US"/>
      </w:rPr>
      <w:t xml:space="preserve">  280122  280122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BF1F" w14:textId="77777777" w:rsidR="00940B77" w:rsidRPr="001075E9" w:rsidRDefault="00940B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62F87E" w14:textId="77777777" w:rsidR="00940B77" w:rsidRDefault="00940B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27AE37" w14:textId="77777777" w:rsidR="002A4C8D" w:rsidRPr="00173802" w:rsidRDefault="002A4C8D" w:rsidP="002A4C8D">
      <w:pPr>
        <w:pStyle w:val="ad"/>
      </w:pPr>
      <w:r>
        <w:tab/>
      </w:r>
      <w:r w:rsidRPr="002A4C8D">
        <w:rPr>
          <w:sz w:val="20"/>
          <w:szCs w:val="22"/>
        </w:rPr>
        <w:t>*</w:t>
      </w:r>
      <w:r>
        <w:t xml:space="preserve"> </w:t>
      </w:r>
      <w:r>
        <w:tab/>
        <w:t>Принят Комитетом на его 133-й сессии (11 октября — 5 ноября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0BA9" w14:textId="6F8AB75E" w:rsidR="002A4C8D" w:rsidRPr="002A4C8D" w:rsidRDefault="002A4C8D">
    <w:pPr>
      <w:pStyle w:val="a5"/>
    </w:pPr>
    <w:fldSimple w:instr=" TITLE  \* MERGEFORMAT ">
      <w:r w:rsidR="0045719F">
        <w:t>CCPR/C/133/3/Add.4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D2B8" w14:textId="7F201CAD" w:rsidR="002A4C8D" w:rsidRPr="002A4C8D" w:rsidRDefault="002A4C8D" w:rsidP="002A4C8D">
    <w:pPr>
      <w:pStyle w:val="a5"/>
      <w:jc w:val="right"/>
    </w:pPr>
    <w:fldSimple w:instr=" TITLE  \* MERGEFORMAT ">
      <w:r w:rsidR="0045719F">
        <w:t>CCPR/C/133/3/Add.4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77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A4C8D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0288"/>
    <w:rsid w:val="00452493"/>
    <w:rsid w:val="00454E07"/>
    <w:rsid w:val="0045719F"/>
    <w:rsid w:val="00472C5C"/>
    <w:rsid w:val="004814ED"/>
    <w:rsid w:val="004969B2"/>
    <w:rsid w:val="0050108D"/>
    <w:rsid w:val="00513081"/>
    <w:rsid w:val="00517901"/>
    <w:rsid w:val="00526683"/>
    <w:rsid w:val="0056074C"/>
    <w:rsid w:val="005709E0"/>
    <w:rsid w:val="00572E19"/>
    <w:rsid w:val="00594988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E66A3"/>
    <w:rsid w:val="006F35EE"/>
    <w:rsid w:val="006F50C9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40B77"/>
    <w:rsid w:val="00951972"/>
    <w:rsid w:val="009608F3"/>
    <w:rsid w:val="009918E2"/>
    <w:rsid w:val="009A24AC"/>
    <w:rsid w:val="009D21FD"/>
    <w:rsid w:val="00A14DA8"/>
    <w:rsid w:val="00A25B50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C5CC7"/>
    <w:rsid w:val="00BD33EE"/>
    <w:rsid w:val="00BF1A04"/>
    <w:rsid w:val="00C0177C"/>
    <w:rsid w:val="00C106D6"/>
    <w:rsid w:val="00C46D5A"/>
    <w:rsid w:val="00C60F0C"/>
    <w:rsid w:val="00C805C9"/>
    <w:rsid w:val="00C8693B"/>
    <w:rsid w:val="00C87FD4"/>
    <w:rsid w:val="00C92939"/>
    <w:rsid w:val="00CA1679"/>
    <w:rsid w:val="00CB151C"/>
    <w:rsid w:val="00CE5A1A"/>
    <w:rsid w:val="00CF55F6"/>
    <w:rsid w:val="00D33D63"/>
    <w:rsid w:val="00D51E9B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6465C3"/>
  <w15:docId w15:val="{E25C9FD9-82A6-445D-8550-75144A0F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2A4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CPR/C/MUS/CO/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ohchr.org/EN/HRBodies/CCPR/Pages/PredictableReviewCyc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docs.org/ru/CCPR/C/MUS/CO/5/Add.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5</Pages>
  <Words>1468</Words>
  <Characters>10614</Characters>
  <Application>Microsoft Office Word</Application>
  <DocSecurity>0</DocSecurity>
  <Lines>1179</Lines>
  <Paragraphs>309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CCPR/C/133/3/Add.4</vt:lpstr>
      <vt:lpstr>A/</vt:lpstr>
      <vt:lpstr>A/</vt:lpstr>
    </vt:vector>
  </TitlesOfParts>
  <Company>DCM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CCPR/C/133/3/Add.4</dc:title>
  <dc:subject/>
  <dc:creator>Anna PETELINA</dc:creator>
  <cp:keywords/>
  <cp:lastModifiedBy>Anna Petelina</cp:lastModifiedBy>
  <cp:revision>3</cp:revision>
  <cp:lastPrinted>2022-01-28T15:36:00Z</cp:lastPrinted>
  <dcterms:created xsi:type="dcterms:W3CDTF">2022-01-28T15:36:00Z</dcterms:created>
  <dcterms:modified xsi:type="dcterms:W3CDTF">2022-01-28T15:38:00Z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