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2C36ED1B" w14:textId="77777777" w:rsidTr="005B51C4">
        <w:trPr>
          <w:trHeight w:hRule="exact" w:val="851"/>
        </w:trPr>
        <w:tc>
          <w:tcPr>
            <w:tcW w:w="1274" w:type="dxa"/>
            <w:tcBorders>
              <w:bottom w:val="single" w:sz="4" w:space="0" w:color="auto"/>
            </w:tcBorders>
            <w:shd w:val="clear" w:color="auto" w:fill="auto"/>
          </w:tcPr>
          <w:p w14:paraId="69F7D0F5" w14:textId="77777777" w:rsidR="006B3E27" w:rsidRPr="00C175A6" w:rsidRDefault="006B3E27" w:rsidP="006451DA">
            <w:pPr>
              <w:kinsoku w:val="0"/>
              <w:overflowPunct w:val="0"/>
              <w:autoSpaceDE w:val="0"/>
              <w:autoSpaceDN w:val="0"/>
              <w:adjustRightInd w:val="0"/>
              <w:snapToGrid w:val="0"/>
              <w:jc w:val="center"/>
              <w:rPr>
                <w:sz w:val="56"/>
                <w:szCs w:val="56"/>
                <w:rtl/>
              </w:rPr>
            </w:pPr>
          </w:p>
        </w:tc>
        <w:tc>
          <w:tcPr>
            <w:tcW w:w="4537" w:type="dxa"/>
            <w:tcBorders>
              <w:bottom w:val="single" w:sz="4" w:space="0" w:color="auto"/>
            </w:tcBorders>
            <w:shd w:val="clear" w:color="auto" w:fill="auto"/>
            <w:vAlign w:val="bottom"/>
          </w:tcPr>
          <w:p w14:paraId="631833CD"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3288266D" w14:textId="17012125" w:rsidR="006B3E27" w:rsidRPr="00B03AEC" w:rsidRDefault="00B03AEC" w:rsidP="00B03AEC">
            <w:pPr>
              <w:bidi w:val="0"/>
              <w:rPr>
                <w:szCs w:val="20"/>
              </w:rPr>
            </w:pPr>
            <w:r w:rsidRPr="00B03AEC">
              <w:rPr>
                <w:sz w:val="40"/>
                <w:szCs w:val="20"/>
              </w:rPr>
              <w:t>CCPR</w:t>
            </w:r>
            <w:r>
              <w:rPr>
                <w:szCs w:val="20"/>
              </w:rPr>
              <w:t>/C/</w:t>
            </w:r>
            <w:r w:rsidRPr="00383CD5">
              <w:rPr>
                <w:szCs w:val="20"/>
              </w:rPr>
              <w:t>130</w:t>
            </w:r>
            <w:r>
              <w:rPr>
                <w:szCs w:val="20"/>
              </w:rPr>
              <w:t>/D/</w:t>
            </w:r>
            <w:r w:rsidRPr="00383CD5">
              <w:rPr>
                <w:szCs w:val="20"/>
              </w:rPr>
              <w:t>2727</w:t>
            </w:r>
            <w:r>
              <w:rPr>
                <w:szCs w:val="20"/>
              </w:rPr>
              <w:t>/</w:t>
            </w:r>
            <w:r w:rsidRPr="00383CD5">
              <w:rPr>
                <w:szCs w:val="20"/>
              </w:rPr>
              <w:t>2016</w:t>
            </w:r>
          </w:p>
        </w:tc>
      </w:tr>
      <w:tr w:rsidR="006B3E27" w:rsidRPr="00C175A6" w14:paraId="1A39E0B2" w14:textId="77777777" w:rsidTr="005B51C4">
        <w:trPr>
          <w:trHeight w:hRule="exact" w:val="2835"/>
        </w:trPr>
        <w:tc>
          <w:tcPr>
            <w:tcW w:w="1274" w:type="dxa"/>
            <w:tcBorders>
              <w:top w:val="single" w:sz="4" w:space="0" w:color="auto"/>
              <w:bottom w:val="single" w:sz="12" w:space="0" w:color="auto"/>
            </w:tcBorders>
            <w:shd w:val="clear" w:color="auto" w:fill="auto"/>
          </w:tcPr>
          <w:p w14:paraId="5232DF8D"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46A40662" wp14:editId="1D95B040">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04B70DA7" w14:textId="77777777" w:rsidR="006B3E27" w:rsidRPr="00383CD5" w:rsidRDefault="00ED7442" w:rsidP="00730446">
            <w:pPr>
              <w:spacing w:before="120" w:after="40" w:line="640" w:lineRule="exact"/>
              <w:ind w:left="57"/>
              <w:rPr>
                <w:b/>
                <w:bCs/>
                <w:sz w:val="46"/>
                <w:szCs w:val="46"/>
              </w:rPr>
            </w:pPr>
            <w:r w:rsidRPr="00383CD5">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92856B6" w14:textId="77777777" w:rsidR="006B3E27" w:rsidRDefault="00B03AEC" w:rsidP="004B27E0">
            <w:pPr>
              <w:bidi w:val="0"/>
              <w:spacing w:before="240"/>
              <w:rPr>
                <w:szCs w:val="20"/>
              </w:rPr>
            </w:pPr>
            <w:r>
              <w:rPr>
                <w:szCs w:val="20"/>
              </w:rPr>
              <w:t>Distr.: General</w:t>
            </w:r>
          </w:p>
          <w:p w14:paraId="5F7152B5" w14:textId="11D23E43" w:rsidR="00B03AEC" w:rsidRDefault="005C2BAA" w:rsidP="00B03AEC">
            <w:pPr>
              <w:bidi w:val="0"/>
              <w:spacing w:line="240" w:lineRule="exact"/>
              <w:jc w:val="left"/>
              <w:rPr>
                <w:szCs w:val="20"/>
              </w:rPr>
            </w:pPr>
            <w:r w:rsidRPr="00383CD5">
              <w:rPr>
                <w:szCs w:val="20"/>
              </w:rPr>
              <w:t>22</w:t>
            </w:r>
            <w:r>
              <w:rPr>
                <w:szCs w:val="20"/>
              </w:rPr>
              <w:t xml:space="preserve"> April </w:t>
            </w:r>
            <w:r w:rsidRPr="00383CD5">
              <w:rPr>
                <w:szCs w:val="20"/>
              </w:rPr>
              <w:t>2021</w:t>
            </w:r>
          </w:p>
          <w:p w14:paraId="2717AF8C" w14:textId="77777777" w:rsidR="00B03AEC" w:rsidRDefault="00B03AEC" w:rsidP="00B03AEC">
            <w:pPr>
              <w:bidi w:val="0"/>
              <w:spacing w:line="240" w:lineRule="exact"/>
              <w:jc w:val="left"/>
              <w:rPr>
                <w:szCs w:val="20"/>
              </w:rPr>
            </w:pPr>
            <w:r>
              <w:rPr>
                <w:szCs w:val="20"/>
              </w:rPr>
              <w:t>Arabic</w:t>
            </w:r>
          </w:p>
          <w:p w14:paraId="7D936295" w14:textId="3A72F2AD" w:rsidR="00B03AEC" w:rsidRPr="00B03AEC" w:rsidRDefault="00B03AEC" w:rsidP="00B03AEC">
            <w:pPr>
              <w:bidi w:val="0"/>
              <w:spacing w:line="240" w:lineRule="exact"/>
              <w:jc w:val="left"/>
              <w:rPr>
                <w:szCs w:val="20"/>
              </w:rPr>
            </w:pPr>
            <w:r>
              <w:rPr>
                <w:szCs w:val="20"/>
              </w:rPr>
              <w:t>Original: English</w:t>
            </w:r>
          </w:p>
        </w:tc>
      </w:tr>
    </w:tbl>
    <w:p w14:paraId="0BBEE0EF" w14:textId="77777777" w:rsidR="00714C00" w:rsidRPr="00383CD5" w:rsidRDefault="00714C00" w:rsidP="00714C00">
      <w:pPr>
        <w:spacing w:before="120" w:after="120" w:line="360" w:lineRule="exact"/>
        <w:rPr>
          <w:b/>
          <w:bCs/>
          <w:sz w:val="24"/>
          <w:szCs w:val="26"/>
        </w:rPr>
      </w:pPr>
      <w:r w:rsidRPr="00383CD5">
        <w:rPr>
          <w:b/>
          <w:bCs/>
          <w:sz w:val="24"/>
          <w:szCs w:val="26"/>
          <w:rtl/>
        </w:rPr>
        <w:t>اللجنة المعنية بحقوق الإنسان</w:t>
      </w:r>
    </w:p>
    <w:p w14:paraId="34C7DC6F" w14:textId="447B8ECD" w:rsidR="00714C00" w:rsidRPr="00383CD5" w:rsidRDefault="00714C00" w:rsidP="00714C00">
      <w:pPr>
        <w:pStyle w:val="HChGA"/>
      </w:pPr>
      <w:r w:rsidRPr="00383CD5">
        <w:rPr>
          <w:rtl/>
        </w:rPr>
        <w:tab/>
      </w:r>
      <w:r w:rsidRPr="00383CD5">
        <w:rPr>
          <w:rtl/>
        </w:rPr>
        <w:tab/>
        <w:t>الآراء التي اعتمدتها اللجنة بموجب المادة 5(4) من البروتوكول الاختياري، بشأن البلاغ رقم 2727</w:t>
      </w:r>
      <w:r w:rsidR="00A40D09" w:rsidRPr="00383CD5">
        <w:rPr>
          <w:rFonts w:hint="cs"/>
          <w:rtl/>
        </w:rPr>
        <w:t>/</w:t>
      </w:r>
      <w:r w:rsidR="00A40D09" w:rsidRPr="00383CD5">
        <w:rPr>
          <w:rtl/>
        </w:rPr>
        <w:t>2016</w:t>
      </w:r>
      <w:r w:rsidR="00E668E7" w:rsidRPr="00383CD5">
        <w:rPr>
          <w:rStyle w:val="FootnoteReference"/>
          <w:sz w:val="22"/>
          <w:szCs w:val="22"/>
          <w:vertAlign w:val="baseline"/>
          <w:rtl/>
        </w:rPr>
        <w:footnoteReference w:customMarkFollows="1" w:id="1"/>
        <w:t>*</w:t>
      </w:r>
      <w:r w:rsidR="00E668E7" w:rsidRPr="00383CD5">
        <w:rPr>
          <w:rFonts w:hint="cs"/>
          <w:rtl/>
        </w:rPr>
        <w:t xml:space="preserve"> </w:t>
      </w:r>
      <w:r w:rsidR="00E668E7" w:rsidRPr="00383CD5">
        <w:rPr>
          <w:rStyle w:val="FootnoteReference"/>
          <w:sz w:val="22"/>
          <w:szCs w:val="22"/>
          <w:vertAlign w:val="baseline"/>
          <w:rtl/>
        </w:rPr>
        <w:footnoteReference w:customMarkFollows="1" w:id="2"/>
        <w:t>**</w:t>
      </w:r>
      <w:r w:rsidR="00E668E7" w:rsidRPr="00383CD5">
        <w:rPr>
          <w:rFonts w:hint="cs"/>
          <w:rtl/>
        </w:rPr>
        <w:t xml:space="preserve"> </w:t>
      </w:r>
      <w:r w:rsidR="0048006B" w:rsidRPr="0048006B">
        <w:rPr>
          <w:rStyle w:val="FootnoteReference"/>
          <w:sz w:val="22"/>
          <w:szCs w:val="22"/>
          <w:vertAlign w:val="baseline"/>
          <w:rtl/>
        </w:rPr>
        <w:footnoteReference w:customMarkFollows="1" w:id="3"/>
        <w:t>***</w:t>
      </w:r>
    </w:p>
    <w:p w14:paraId="72605D39" w14:textId="77777777" w:rsidR="00714C00" w:rsidRPr="00020593" w:rsidRDefault="00714C00" w:rsidP="00714C00">
      <w:pPr>
        <w:pStyle w:val="SingleTxtGA"/>
        <w:tabs>
          <w:tab w:val="clear" w:pos="2608"/>
          <w:tab w:val="clear" w:pos="3289"/>
          <w:tab w:val="clear" w:pos="3969"/>
          <w:tab w:val="left" w:pos="4110"/>
        </w:tabs>
        <w:ind w:left="4110" w:hanging="2182"/>
        <w:rPr>
          <w:szCs w:val="20"/>
          <w:lang w:val="ar-SA" w:eastAsia="zh-TW" w:bidi="en-GB"/>
        </w:rPr>
      </w:pPr>
      <w:r w:rsidRPr="00383CD5">
        <w:rPr>
          <w:i/>
          <w:iCs/>
          <w:rtl/>
        </w:rPr>
        <w:t>بلاغ مقدم من</w:t>
      </w:r>
      <w:r w:rsidRPr="00714C00">
        <w:rPr>
          <w:rtl/>
        </w:rPr>
        <w:t>:</w:t>
      </w:r>
      <w:r w:rsidRPr="00020593">
        <w:rPr>
          <w:rtl/>
        </w:rPr>
        <w:tab/>
        <w:t xml:space="preserve">نيكولاي </w:t>
      </w:r>
      <w:proofErr w:type="spellStart"/>
      <w:r w:rsidRPr="00020593">
        <w:rPr>
          <w:rtl/>
        </w:rPr>
        <w:t>أليكسييف</w:t>
      </w:r>
      <w:proofErr w:type="spellEnd"/>
    </w:p>
    <w:p w14:paraId="75E537CF" w14:textId="77777777" w:rsidR="00714C00" w:rsidRPr="00020593" w:rsidRDefault="00714C00" w:rsidP="00714C00">
      <w:pPr>
        <w:pStyle w:val="SingleTxtGA"/>
        <w:tabs>
          <w:tab w:val="clear" w:pos="2608"/>
          <w:tab w:val="clear" w:pos="3289"/>
          <w:tab w:val="clear" w:pos="3969"/>
          <w:tab w:val="left" w:pos="4110"/>
        </w:tabs>
        <w:ind w:left="4110" w:hanging="2182"/>
        <w:rPr>
          <w:szCs w:val="20"/>
          <w:lang w:val="ar-SA" w:eastAsia="zh-TW" w:bidi="en-GB"/>
        </w:rPr>
      </w:pPr>
      <w:r w:rsidRPr="00383CD5">
        <w:rPr>
          <w:i/>
          <w:iCs/>
          <w:rtl/>
        </w:rPr>
        <w:t>الشخص المدعى أنه ضحية</w:t>
      </w:r>
      <w:r w:rsidRPr="00020593">
        <w:rPr>
          <w:rtl/>
        </w:rPr>
        <w:t>:</w:t>
      </w:r>
      <w:r w:rsidRPr="00020593">
        <w:rPr>
          <w:rtl/>
        </w:rPr>
        <w:tab/>
        <w:t>صاحب البلاغ</w:t>
      </w:r>
    </w:p>
    <w:p w14:paraId="759AF3D0" w14:textId="77777777" w:rsidR="00714C00" w:rsidRPr="00020593" w:rsidRDefault="00714C00" w:rsidP="00714C00">
      <w:pPr>
        <w:pStyle w:val="SingleTxtGA"/>
        <w:tabs>
          <w:tab w:val="clear" w:pos="2608"/>
          <w:tab w:val="clear" w:pos="3289"/>
          <w:tab w:val="clear" w:pos="3969"/>
          <w:tab w:val="left" w:pos="4110"/>
        </w:tabs>
        <w:ind w:left="4110" w:hanging="2182"/>
        <w:rPr>
          <w:szCs w:val="20"/>
          <w:lang w:val="ar-SA" w:eastAsia="zh-TW" w:bidi="en-GB"/>
        </w:rPr>
      </w:pPr>
      <w:r w:rsidRPr="00383CD5">
        <w:rPr>
          <w:i/>
          <w:iCs/>
          <w:rtl/>
        </w:rPr>
        <w:t>الدولة الطرف</w:t>
      </w:r>
      <w:r w:rsidRPr="00714C00">
        <w:rPr>
          <w:rtl/>
        </w:rPr>
        <w:t>:</w:t>
      </w:r>
      <w:r w:rsidRPr="00020593">
        <w:rPr>
          <w:rtl/>
        </w:rPr>
        <w:tab/>
        <w:t>الاتحاد الروسي</w:t>
      </w:r>
    </w:p>
    <w:p w14:paraId="548856E4" w14:textId="4D65D6EF" w:rsidR="00714C00" w:rsidRPr="00020593" w:rsidRDefault="00714C00" w:rsidP="00714C00">
      <w:pPr>
        <w:pStyle w:val="SingleTxtGA"/>
        <w:tabs>
          <w:tab w:val="clear" w:pos="2608"/>
          <w:tab w:val="clear" w:pos="3289"/>
          <w:tab w:val="clear" w:pos="3969"/>
          <w:tab w:val="left" w:pos="4110"/>
        </w:tabs>
        <w:ind w:left="4110" w:hanging="2182"/>
        <w:rPr>
          <w:szCs w:val="20"/>
          <w:lang w:val="ar-SA" w:eastAsia="zh-TW" w:bidi="en-GB"/>
        </w:rPr>
      </w:pPr>
      <w:r w:rsidRPr="00383CD5">
        <w:rPr>
          <w:i/>
          <w:iCs/>
          <w:rtl/>
        </w:rPr>
        <w:t>تاريخ تقديم البلاغ</w:t>
      </w:r>
      <w:r w:rsidRPr="00714C00">
        <w:rPr>
          <w:rtl/>
        </w:rPr>
        <w:t>:</w:t>
      </w:r>
      <w:r w:rsidRPr="00020593">
        <w:rPr>
          <w:rtl/>
        </w:rPr>
        <w:tab/>
      </w:r>
      <w:r w:rsidRPr="00383CD5">
        <w:rPr>
          <w:szCs w:val="20"/>
          <w:rtl/>
        </w:rPr>
        <w:t>24</w:t>
      </w:r>
      <w:r w:rsidRPr="00020593">
        <w:rPr>
          <w:rtl/>
        </w:rPr>
        <w:t xml:space="preserve"> تشرين الثاني/نوفمبر </w:t>
      </w:r>
      <w:r w:rsidRPr="00383CD5">
        <w:rPr>
          <w:szCs w:val="20"/>
          <w:rtl/>
        </w:rPr>
        <w:t>2014</w:t>
      </w:r>
      <w:r w:rsidR="00491DBE" w:rsidRPr="00491DBE">
        <w:rPr>
          <w:rFonts w:hint="cs"/>
          <w:rtl/>
        </w:rPr>
        <w:t xml:space="preserve"> </w:t>
      </w:r>
      <w:r w:rsidRPr="00020593">
        <w:rPr>
          <w:szCs w:val="20"/>
          <w:rtl/>
        </w:rPr>
        <w:t>(</w:t>
      </w:r>
      <w:r w:rsidRPr="00020593">
        <w:rPr>
          <w:rtl/>
        </w:rPr>
        <w:t>الرسالة الأولى</w:t>
      </w:r>
      <w:r w:rsidRPr="00020593">
        <w:rPr>
          <w:szCs w:val="20"/>
          <w:rtl/>
        </w:rPr>
        <w:t>)</w:t>
      </w:r>
    </w:p>
    <w:p w14:paraId="0D7A4B10" w14:textId="69DDDDE2" w:rsidR="00714C00" w:rsidRPr="00020593" w:rsidRDefault="00714C00" w:rsidP="00714C00">
      <w:pPr>
        <w:pStyle w:val="SingleTxtGA"/>
        <w:tabs>
          <w:tab w:val="clear" w:pos="2608"/>
          <w:tab w:val="clear" w:pos="3289"/>
          <w:tab w:val="clear" w:pos="3969"/>
          <w:tab w:val="left" w:pos="4110"/>
        </w:tabs>
        <w:ind w:left="4110" w:hanging="2182"/>
        <w:rPr>
          <w:szCs w:val="20"/>
          <w:lang w:val="ar-SA" w:eastAsia="zh-TW" w:bidi="en-GB"/>
        </w:rPr>
      </w:pPr>
      <w:r w:rsidRPr="00383CD5">
        <w:rPr>
          <w:i/>
          <w:iCs/>
          <w:rtl/>
        </w:rPr>
        <w:t>الوثائق المرجعية</w:t>
      </w:r>
      <w:r w:rsidRPr="00714C00">
        <w:rPr>
          <w:rtl/>
        </w:rPr>
        <w:t>:</w:t>
      </w:r>
      <w:r w:rsidRPr="00020593">
        <w:rPr>
          <w:rtl/>
        </w:rPr>
        <w:tab/>
        <w:t xml:space="preserve">القرار المتخذ عملاً بالمادة </w:t>
      </w:r>
      <w:r w:rsidRPr="00383CD5">
        <w:rPr>
          <w:szCs w:val="20"/>
          <w:rtl/>
        </w:rPr>
        <w:t>92</w:t>
      </w:r>
      <w:r w:rsidRPr="00020593">
        <w:rPr>
          <w:rtl/>
        </w:rPr>
        <w:t xml:space="preserve"> من النظام الداخلي للجنة، والمحال إلى الدولة الطرف في </w:t>
      </w:r>
      <w:r w:rsidRPr="00383CD5">
        <w:rPr>
          <w:szCs w:val="20"/>
          <w:rtl/>
        </w:rPr>
        <w:t>15</w:t>
      </w:r>
      <w:r w:rsidRPr="00020593">
        <w:rPr>
          <w:rtl/>
        </w:rPr>
        <w:t xml:space="preserve"> شباط/فبراير </w:t>
      </w:r>
      <w:r w:rsidRPr="00383CD5">
        <w:rPr>
          <w:szCs w:val="20"/>
          <w:rtl/>
        </w:rPr>
        <w:t>2016</w:t>
      </w:r>
      <w:r w:rsidRPr="00020593">
        <w:rPr>
          <w:szCs w:val="20"/>
          <w:rtl/>
        </w:rPr>
        <w:t xml:space="preserve"> (</w:t>
      </w:r>
      <w:r w:rsidRPr="00020593">
        <w:rPr>
          <w:rtl/>
        </w:rPr>
        <w:t>لم</w:t>
      </w:r>
      <w:r w:rsidR="005C2BAA">
        <w:rPr>
          <w:rFonts w:hint="cs"/>
          <w:rtl/>
        </w:rPr>
        <w:t> </w:t>
      </w:r>
      <w:r w:rsidRPr="00020593">
        <w:rPr>
          <w:rtl/>
        </w:rPr>
        <w:t>يصدر في شكل وثيقة</w:t>
      </w:r>
      <w:r w:rsidRPr="00020593">
        <w:rPr>
          <w:szCs w:val="20"/>
          <w:rtl/>
        </w:rPr>
        <w:t>)</w:t>
      </w:r>
    </w:p>
    <w:p w14:paraId="279E5D4F" w14:textId="77777777" w:rsidR="00714C00" w:rsidRPr="00020593" w:rsidRDefault="00714C00" w:rsidP="00714C00">
      <w:pPr>
        <w:pStyle w:val="SingleTxtGA"/>
        <w:tabs>
          <w:tab w:val="clear" w:pos="2608"/>
          <w:tab w:val="clear" w:pos="3289"/>
          <w:tab w:val="clear" w:pos="3969"/>
          <w:tab w:val="left" w:pos="4110"/>
        </w:tabs>
        <w:ind w:left="4110" w:hanging="2182"/>
        <w:rPr>
          <w:szCs w:val="20"/>
          <w:lang w:val="ar-SA" w:eastAsia="zh-TW" w:bidi="en-GB"/>
        </w:rPr>
      </w:pPr>
      <w:r w:rsidRPr="00383CD5">
        <w:rPr>
          <w:i/>
          <w:iCs/>
          <w:rtl/>
        </w:rPr>
        <w:t>تاريخ اعتماد الآراء</w:t>
      </w:r>
      <w:r w:rsidRPr="00714C00">
        <w:rPr>
          <w:rtl/>
        </w:rPr>
        <w:t>:</w:t>
      </w:r>
      <w:r w:rsidRPr="00020593">
        <w:rPr>
          <w:rtl/>
        </w:rPr>
        <w:tab/>
      </w:r>
      <w:r w:rsidRPr="00383CD5">
        <w:rPr>
          <w:szCs w:val="20"/>
          <w:rtl/>
        </w:rPr>
        <w:t>16</w:t>
      </w:r>
      <w:r w:rsidRPr="00020593">
        <w:rPr>
          <w:rtl/>
        </w:rPr>
        <w:t xml:space="preserve"> تشرين الأول/أكتوبر </w:t>
      </w:r>
      <w:r w:rsidRPr="00383CD5">
        <w:rPr>
          <w:szCs w:val="20"/>
          <w:rtl/>
        </w:rPr>
        <w:t>2020</w:t>
      </w:r>
    </w:p>
    <w:p w14:paraId="016E77E5" w14:textId="2971E34A" w:rsidR="00714C00" w:rsidRPr="00020593" w:rsidRDefault="00714C00" w:rsidP="00714C00">
      <w:pPr>
        <w:pStyle w:val="SingleTxtGA"/>
        <w:tabs>
          <w:tab w:val="clear" w:pos="2608"/>
          <w:tab w:val="clear" w:pos="3289"/>
          <w:tab w:val="clear" w:pos="3969"/>
          <w:tab w:val="left" w:pos="4110"/>
        </w:tabs>
        <w:ind w:left="4110" w:hanging="2182"/>
        <w:rPr>
          <w:szCs w:val="20"/>
          <w:lang w:val="ar-SA" w:eastAsia="zh-TW" w:bidi="en-GB"/>
        </w:rPr>
      </w:pPr>
      <w:r w:rsidRPr="00383CD5">
        <w:rPr>
          <w:i/>
          <w:iCs/>
          <w:rtl/>
        </w:rPr>
        <w:t>الموضوع</w:t>
      </w:r>
      <w:r w:rsidRPr="00714C00">
        <w:rPr>
          <w:rtl/>
        </w:rPr>
        <w:t>:</w:t>
      </w:r>
      <w:r w:rsidRPr="00383CD5">
        <w:rPr>
          <w:i/>
          <w:iCs/>
          <w:rtl/>
        </w:rPr>
        <w:tab/>
      </w:r>
      <w:r w:rsidRPr="00020593">
        <w:rPr>
          <w:rtl/>
        </w:rPr>
        <w:t>الحق في التجمع السلمي؛ وعدم التمييز</w:t>
      </w:r>
    </w:p>
    <w:p w14:paraId="05FA37A7" w14:textId="77777777" w:rsidR="00714C00" w:rsidRPr="00020593" w:rsidRDefault="00714C00" w:rsidP="00714C00">
      <w:pPr>
        <w:pStyle w:val="SingleTxtGA"/>
        <w:tabs>
          <w:tab w:val="clear" w:pos="2608"/>
          <w:tab w:val="clear" w:pos="3289"/>
          <w:tab w:val="clear" w:pos="3969"/>
          <w:tab w:val="left" w:pos="4110"/>
        </w:tabs>
        <w:ind w:left="4110" w:hanging="2182"/>
        <w:rPr>
          <w:szCs w:val="20"/>
          <w:lang w:val="ar-SA" w:eastAsia="zh-TW" w:bidi="en-GB"/>
        </w:rPr>
      </w:pPr>
      <w:r w:rsidRPr="00383CD5">
        <w:rPr>
          <w:i/>
          <w:iCs/>
          <w:rtl/>
        </w:rPr>
        <w:t>المسألة الإجرائية</w:t>
      </w:r>
      <w:r w:rsidRPr="00020593">
        <w:rPr>
          <w:rtl/>
        </w:rPr>
        <w:t>:</w:t>
      </w:r>
      <w:r w:rsidRPr="00020593">
        <w:rPr>
          <w:rtl/>
        </w:rPr>
        <w:tab/>
        <w:t>عدم كفاية الأدلة</w:t>
      </w:r>
    </w:p>
    <w:p w14:paraId="6B35C2A1" w14:textId="77777777" w:rsidR="00714C00" w:rsidRPr="005C2BAA" w:rsidRDefault="00714C00" w:rsidP="00714C00">
      <w:pPr>
        <w:pStyle w:val="SingleTxtGA"/>
        <w:tabs>
          <w:tab w:val="clear" w:pos="2608"/>
          <w:tab w:val="clear" w:pos="3289"/>
          <w:tab w:val="clear" w:pos="3969"/>
          <w:tab w:val="left" w:pos="4110"/>
        </w:tabs>
        <w:ind w:left="4110" w:hanging="2182"/>
        <w:rPr>
          <w:spacing w:val="-4"/>
          <w:szCs w:val="20"/>
          <w:lang w:val="ar-SA" w:eastAsia="zh-TW" w:bidi="en-GB"/>
        </w:rPr>
      </w:pPr>
      <w:r w:rsidRPr="00383CD5">
        <w:rPr>
          <w:i/>
          <w:iCs/>
          <w:spacing w:val="-4"/>
          <w:rtl/>
        </w:rPr>
        <w:t>المسائل الموضوعية</w:t>
      </w:r>
      <w:r w:rsidRPr="005C2BAA">
        <w:rPr>
          <w:spacing w:val="-4"/>
          <w:rtl/>
        </w:rPr>
        <w:t>:</w:t>
      </w:r>
      <w:r w:rsidRPr="005C2BAA">
        <w:rPr>
          <w:spacing w:val="-4"/>
          <w:rtl/>
        </w:rPr>
        <w:tab/>
        <w:t>تقييد الحق في التجمع السلمي دون مبرر؛ التمييز في حق المثليات والمثليين ومزدوجي الميل الجنسي ومغايري الهوية الجنسانية</w:t>
      </w:r>
    </w:p>
    <w:p w14:paraId="08789256" w14:textId="112957B1" w:rsidR="00714C00" w:rsidRPr="00020593" w:rsidRDefault="00714C00" w:rsidP="00714C00">
      <w:pPr>
        <w:pStyle w:val="SingleTxtGA"/>
        <w:tabs>
          <w:tab w:val="clear" w:pos="2608"/>
          <w:tab w:val="clear" w:pos="3289"/>
          <w:tab w:val="clear" w:pos="3969"/>
          <w:tab w:val="left" w:pos="4110"/>
        </w:tabs>
        <w:ind w:left="4110" w:hanging="2182"/>
        <w:rPr>
          <w:szCs w:val="20"/>
          <w:lang w:val="ar-SA" w:eastAsia="zh-TW" w:bidi="en-GB"/>
        </w:rPr>
      </w:pPr>
      <w:r w:rsidRPr="00383CD5">
        <w:rPr>
          <w:i/>
          <w:iCs/>
          <w:rtl/>
        </w:rPr>
        <w:t>مواد العهد</w:t>
      </w:r>
      <w:r w:rsidRPr="00020593">
        <w:rPr>
          <w:rtl/>
        </w:rPr>
        <w:t>:</w:t>
      </w:r>
      <w:r w:rsidRPr="00020593">
        <w:rPr>
          <w:rtl/>
        </w:rPr>
        <w:tab/>
      </w:r>
      <w:r w:rsidRPr="00383CD5">
        <w:rPr>
          <w:szCs w:val="20"/>
          <w:rtl/>
        </w:rPr>
        <w:t>21</w:t>
      </w:r>
      <w:r w:rsidRPr="00020593">
        <w:rPr>
          <w:rtl/>
        </w:rPr>
        <w:t xml:space="preserve"> و</w:t>
      </w:r>
      <w:r w:rsidRPr="00383CD5">
        <w:rPr>
          <w:szCs w:val="20"/>
          <w:rtl/>
        </w:rPr>
        <w:t>26</w:t>
      </w:r>
    </w:p>
    <w:p w14:paraId="14929A6D" w14:textId="77777777" w:rsidR="00714C00" w:rsidRPr="00B823BB" w:rsidRDefault="00714C00" w:rsidP="00714C00">
      <w:pPr>
        <w:pStyle w:val="SingleTxtGA"/>
        <w:tabs>
          <w:tab w:val="clear" w:pos="2608"/>
          <w:tab w:val="clear" w:pos="3289"/>
          <w:tab w:val="clear" w:pos="3969"/>
          <w:tab w:val="left" w:pos="4110"/>
        </w:tabs>
        <w:ind w:left="1928"/>
        <w:rPr>
          <w:szCs w:val="20"/>
          <w:lang w:val="en-US" w:eastAsia="zh-TW" w:bidi="en-GB"/>
        </w:rPr>
      </w:pPr>
      <w:r w:rsidRPr="00383CD5">
        <w:rPr>
          <w:i/>
          <w:iCs/>
          <w:rtl/>
        </w:rPr>
        <w:t>مواد البروتوكول الاختياري</w:t>
      </w:r>
      <w:r w:rsidRPr="00020593">
        <w:rPr>
          <w:rtl/>
        </w:rPr>
        <w:t>:</w:t>
      </w:r>
      <w:r w:rsidRPr="00020593">
        <w:rPr>
          <w:rtl/>
        </w:rPr>
        <w:tab/>
      </w:r>
      <w:r w:rsidRPr="00383CD5">
        <w:rPr>
          <w:szCs w:val="20"/>
          <w:rtl/>
        </w:rPr>
        <w:t>2</w:t>
      </w:r>
      <w:r w:rsidRPr="00020593">
        <w:rPr>
          <w:rtl/>
        </w:rPr>
        <w:t xml:space="preserve"> و</w:t>
      </w:r>
      <w:r w:rsidRPr="00383CD5">
        <w:rPr>
          <w:szCs w:val="20"/>
          <w:rtl/>
        </w:rPr>
        <w:t>5</w:t>
      </w:r>
    </w:p>
    <w:p w14:paraId="0FC9D688" w14:textId="2E14ABB8" w:rsidR="00714C00" w:rsidRPr="005C2BAA" w:rsidRDefault="005C2BAA" w:rsidP="00714C00">
      <w:pPr>
        <w:pStyle w:val="SingleTxtGA"/>
        <w:rPr>
          <w:spacing w:val="-2"/>
        </w:rPr>
      </w:pPr>
      <w:r w:rsidRPr="00383CD5">
        <w:rPr>
          <w:rFonts w:hint="cs"/>
          <w:spacing w:val="-2"/>
          <w:rtl/>
          <w:lang w:bidi="ar-YE"/>
        </w:rPr>
        <w:t>1</w:t>
      </w:r>
      <w:r>
        <w:rPr>
          <w:rFonts w:hint="cs"/>
          <w:spacing w:val="-2"/>
          <w:rtl/>
          <w:lang w:bidi="ar-YE"/>
        </w:rPr>
        <w:t>-</w:t>
      </w:r>
      <w:r>
        <w:rPr>
          <w:spacing w:val="-2"/>
          <w:rtl/>
          <w:lang w:bidi="ar-YE"/>
        </w:rPr>
        <w:tab/>
      </w:r>
      <w:r w:rsidR="00714C00" w:rsidRPr="005C2BAA">
        <w:rPr>
          <w:spacing w:val="-2"/>
          <w:rtl/>
          <w:lang w:bidi="ar-YE"/>
        </w:rPr>
        <w:t xml:space="preserve">صاحب البلاغ هو نيكولاي </w:t>
      </w:r>
      <w:proofErr w:type="spellStart"/>
      <w:r w:rsidR="00714C00" w:rsidRPr="005C2BAA">
        <w:rPr>
          <w:spacing w:val="-2"/>
          <w:rtl/>
          <w:lang w:bidi="ar-YE"/>
        </w:rPr>
        <w:t>أليكسييف</w:t>
      </w:r>
      <w:proofErr w:type="spellEnd"/>
      <w:r w:rsidR="00714C00" w:rsidRPr="005C2BAA">
        <w:rPr>
          <w:spacing w:val="-2"/>
          <w:rtl/>
          <w:lang w:bidi="ar-YE"/>
        </w:rPr>
        <w:t xml:space="preserve">، من مواطني الاتحاد الروسي ومواليد عام </w:t>
      </w:r>
      <w:r w:rsidR="00714C00" w:rsidRPr="00383CD5">
        <w:rPr>
          <w:spacing w:val="-2"/>
          <w:rtl/>
          <w:lang w:bidi="ar-YE"/>
        </w:rPr>
        <w:t>1977</w:t>
      </w:r>
      <w:r w:rsidR="00714C00" w:rsidRPr="005C2BAA">
        <w:rPr>
          <w:spacing w:val="-2"/>
          <w:rtl/>
          <w:lang w:bidi="ar-YE"/>
        </w:rPr>
        <w:t xml:space="preserve">. وهو يدّعي أن الدولة الطرف قد انتهكت حقوقه بموجب المادتين </w:t>
      </w:r>
      <w:r w:rsidR="00714C00" w:rsidRPr="00383CD5">
        <w:rPr>
          <w:spacing w:val="-2"/>
          <w:rtl/>
          <w:lang w:bidi="ar-YE"/>
        </w:rPr>
        <w:t>21</w:t>
      </w:r>
      <w:r w:rsidR="00714C00" w:rsidRPr="005C2BAA">
        <w:rPr>
          <w:spacing w:val="-2"/>
          <w:rtl/>
          <w:lang w:bidi="ar-YE"/>
        </w:rPr>
        <w:t xml:space="preserve"> و</w:t>
      </w:r>
      <w:r w:rsidR="00714C00" w:rsidRPr="00383CD5">
        <w:rPr>
          <w:spacing w:val="-2"/>
          <w:rtl/>
          <w:lang w:bidi="ar-YE"/>
        </w:rPr>
        <w:t>26</w:t>
      </w:r>
      <w:r w:rsidR="00714C00" w:rsidRPr="005C2BAA">
        <w:rPr>
          <w:spacing w:val="-2"/>
          <w:rtl/>
          <w:lang w:bidi="ar-YE"/>
        </w:rPr>
        <w:t xml:space="preserve"> من العهد. وقد دخل البروتوكول الاختياري حيز النفاذ بالنسبة للدولة الطرف في </w:t>
      </w:r>
      <w:r w:rsidR="00714C00" w:rsidRPr="00383CD5">
        <w:rPr>
          <w:spacing w:val="-2"/>
          <w:rtl/>
          <w:lang w:bidi="ar-YE"/>
        </w:rPr>
        <w:t>1</w:t>
      </w:r>
      <w:r w:rsidR="00714C00" w:rsidRPr="005C2BAA">
        <w:rPr>
          <w:spacing w:val="-2"/>
          <w:rtl/>
          <w:lang w:bidi="ar-YE"/>
        </w:rPr>
        <w:t xml:space="preserve"> كانون الثاني/يناير </w:t>
      </w:r>
      <w:r w:rsidR="00714C00" w:rsidRPr="00383CD5">
        <w:rPr>
          <w:spacing w:val="-2"/>
          <w:rtl/>
          <w:lang w:bidi="ar-YE"/>
        </w:rPr>
        <w:t>1992</w:t>
      </w:r>
      <w:r w:rsidR="00714C00" w:rsidRPr="005C2BAA">
        <w:rPr>
          <w:spacing w:val="-2"/>
          <w:rtl/>
          <w:lang w:bidi="ar-YE"/>
        </w:rPr>
        <w:t>. ولا يمثل صاحب البلاغ محام.</w:t>
      </w:r>
    </w:p>
    <w:p w14:paraId="4D37CE29" w14:textId="14BFC60C" w:rsidR="00714C00" w:rsidRPr="00383CD5" w:rsidRDefault="00714C00" w:rsidP="00714C00">
      <w:pPr>
        <w:pStyle w:val="H23GA"/>
        <w:rPr>
          <w:rtl/>
        </w:rPr>
      </w:pPr>
      <w:r w:rsidRPr="00383CD5">
        <w:rPr>
          <w:rtl/>
        </w:rPr>
        <w:lastRenderedPageBreak/>
        <w:tab/>
      </w:r>
      <w:r w:rsidRPr="00383CD5">
        <w:rPr>
          <w:rtl/>
        </w:rPr>
        <w:tab/>
        <w:t>الوقائع كما عرضها صاحب البلاغ</w:t>
      </w:r>
    </w:p>
    <w:p w14:paraId="70ECE1EB" w14:textId="58995D9D" w:rsidR="00714C00" w:rsidRDefault="00714C00" w:rsidP="00714C00">
      <w:pPr>
        <w:pStyle w:val="SingleTxtGA"/>
        <w:rPr>
          <w:rtl/>
        </w:rPr>
      </w:pPr>
      <w:r w:rsidRPr="00383CD5">
        <w:rPr>
          <w:rFonts w:hint="cs"/>
          <w:rtl/>
        </w:rPr>
        <w:t>2</w:t>
      </w:r>
      <w:r>
        <w:rPr>
          <w:rFonts w:hint="cs"/>
          <w:rtl/>
        </w:rPr>
        <w:t>-</w:t>
      </w:r>
      <w:r w:rsidRPr="00383CD5">
        <w:rPr>
          <w:rFonts w:hint="cs"/>
          <w:rtl/>
        </w:rPr>
        <w:t>1</w:t>
      </w:r>
      <w:r>
        <w:rPr>
          <w:rtl/>
        </w:rPr>
        <w:tab/>
      </w:r>
      <w:r>
        <w:rPr>
          <w:rFonts w:hint="cs"/>
          <w:rtl/>
        </w:rPr>
        <w:t xml:space="preserve">يقول صاحب البلاغ إنه ناشط يدافع عن حقوق المثليات والمثليين ومزدوجي الميل الجنسي ومغايري الهوية الجنسانية وإنه رئيس مشروع حقوق الإنسان </w:t>
      </w:r>
      <w:proofErr w:type="spellStart"/>
      <w:r>
        <w:rPr>
          <w:rFonts w:hint="cs"/>
          <w:rtl/>
        </w:rPr>
        <w:t>للمثليات</w:t>
      </w:r>
      <w:proofErr w:type="spellEnd"/>
      <w:r>
        <w:rPr>
          <w:rFonts w:hint="cs"/>
          <w:rtl/>
        </w:rPr>
        <w:t xml:space="preserve"> والمثليين ومزدوجي الميل الجنسي ومغايري الهوية الجنسانية في الاتحاد الروسي (</w:t>
      </w:r>
      <w:r w:rsidRPr="0009051C">
        <w:t>GayRussia.ru</w:t>
      </w:r>
      <w:r>
        <w:rPr>
          <w:rFonts w:hint="cs"/>
          <w:rtl/>
        </w:rPr>
        <w:t xml:space="preserve">). ومنذ أيار/مايو </w:t>
      </w:r>
      <w:r w:rsidRPr="00383CD5">
        <w:rPr>
          <w:rFonts w:hint="cs"/>
          <w:rtl/>
        </w:rPr>
        <w:t>2006</w:t>
      </w:r>
      <w:r>
        <w:rPr>
          <w:rFonts w:hint="cs"/>
          <w:rtl/>
        </w:rPr>
        <w:t>، حاول ولا</w:t>
      </w:r>
      <w:r w:rsidR="005C2BAA">
        <w:rPr>
          <w:rFonts w:hint="eastAsia"/>
          <w:rtl/>
        </w:rPr>
        <w:t> </w:t>
      </w:r>
      <w:r>
        <w:rPr>
          <w:rFonts w:hint="cs"/>
          <w:rtl/>
        </w:rPr>
        <w:t>يزال، مع نشطاء آخرون، تنظيم احتجاجات سلمية (مسيرات فخر المثليين) في موسكو، ولكن السلطات المحلية حظرت المظاهرات التي كان مخططا</w:t>
      </w:r>
      <w:r w:rsidR="00E4012E">
        <w:rPr>
          <w:rFonts w:hint="cs"/>
          <w:rtl/>
        </w:rPr>
        <w:t>ً</w:t>
      </w:r>
      <w:r>
        <w:rPr>
          <w:rFonts w:hint="cs"/>
          <w:rtl/>
        </w:rPr>
        <w:t xml:space="preserve"> لها.</w:t>
      </w:r>
    </w:p>
    <w:p w14:paraId="4AA3EB35" w14:textId="77777777" w:rsidR="00714C00" w:rsidRDefault="00714C00" w:rsidP="00714C00">
      <w:pPr>
        <w:pStyle w:val="SingleTxtGA"/>
        <w:rPr>
          <w:rtl/>
        </w:rPr>
      </w:pPr>
      <w:r w:rsidRPr="00383CD5">
        <w:rPr>
          <w:rFonts w:hint="cs"/>
          <w:rtl/>
        </w:rPr>
        <w:t>2</w:t>
      </w:r>
      <w:r>
        <w:rPr>
          <w:rFonts w:hint="cs"/>
          <w:rtl/>
        </w:rPr>
        <w:t>-</w:t>
      </w:r>
      <w:r w:rsidRPr="00383CD5">
        <w:rPr>
          <w:rFonts w:hint="cs"/>
          <w:rtl/>
        </w:rPr>
        <w:t>2</w:t>
      </w:r>
      <w:r>
        <w:rPr>
          <w:rtl/>
        </w:rPr>
        <w:tab/>
      </w:r>
      <w:r>
        <w:rPr>
          <w:rFonts w:hint="cs"/>
          <w:rtl/>
        </w:rPr>
        <w:t xml:space="preserve">وفي </w:t>
      </w:r>
      <w:r w:rsidRPr="00383CD5">
        <w:rPr>
          <w:rFonts w:hint="cs"/>
          <w:rtl/>
        </w:rPr>
        <w:t>9</w:t>
      </w:r>
      <w:r>
        <w:rPr>
          <w:rFonts w:hint="cs"/>
          <w:rtl/>
        </w:rPr>
        <w:t xml:space="preserve"> نيسان/أبريل </w:t>
      </w:r>
      <w:r w:rsidRPr="00383CD5">
        <w:rPr>
          <w:rFonts w:hint="cs"/>
          <w:rtl/>
        </w:rPr>
        <w:t>2014</w:t>
      </w:r>
      <w:r>
        <w:rPr>
          <w:rFonts w:hint="cs"/>
          <w:rtl/>
        </w:rPr>
        <w:t xml:space="preserve">، تقدم صاحب البلاغ، ومعه نشطاء آخرون، بإشعار إلى رئيس إدارة مدينة </w:t>
      </w:r>
      <w:proofErr w:type="spellStart"/>
      <w:r>
        <w:rPr>
          <w:rFonts w:hint="cs"/>
          <w:rtl/>
        </w:rPr>
        <w:t>سيمفيروبول</w:t>
      </w:r>
      <w:proofErr w:type="spellEnd"/>
      <w:r>
        <w:rPr>
          <w:rFonts w:hint="cs"/>
          <w:rtl/>
        </w:rPr>
        <w:t xml:space="preserve"> بشأن اعتزامه عقد وتنظيم مسيرة فخر المثليين دعماً لحقوق وحريات المثليات والمثليين في الاتحاد الروسي واحتجاجاً على التمييز في حقهم. وأخبر الإشعار السلطات بوقت الاحتجاج المخطط له وتاريخه ومكانه</w:t>
      </w:r>
      <w:r w:rsidRPr="00845BD3">
        <w:rPr>
          <w:vertAlign w:val="superscript"/>
          <w:rtl/>
        </w:rPr>
        <w:t>(</w:t>
      </w:r>
      <w:r w:rsidRPr="00383CD5">
        <w:rPr>
          <w:rStyle w:val="FootnoteReference"/>
          <w:lang w:val="en-US"/>
        </w:rPr>
        <w:footnoteReference w:id="4"/>
      </w:r>
      <w:r w:rsidRPr="00845BD3">
        <w:rPr>
          <w:vertAlign w:val="superscript"/>
          <w:rtl/>
        </w:rPr>
        <w:t>)</w:t>
      </w:r>
      <w:r>
        <w:rPr>
          <w:rFonts w:hint="cs"/>
          <w:rtl/>
        </w:rPr>
        <w:t xml:space="preserve">. وتضمن الإشعار ضمانات بأن يحترم المشاركون النظام العام وأن يتلزموا بقواعد الآداب العامة. وأخبر صاحب البلاغ السلطات أيضاً باستعداد المنظمين لتغيير المسار المقترح للموكب عند الاقتضاء. وفي </w:t>
      </w:r>
      <w:r w:rsidRPr="00383CD5">
        <w:rPr>
          <w:rFonts w:hint="cs"/>
          <w:rtl/>
        </w:rPr>
        <w:t>11</w:t>
      </w:r>
      <w:r>
        <w:rPr>
          <w:rFonts w:hint="cs"/>
          <w:rtl/>
        </w:rPr>
        <w:t xml:space="preserve"> نيسان/أبريل </w:t>
      </w:r>
      <w:r w:rsidRPr="00383CD5">
        <w:rPr>
          <w:rFonts w:hint="cs"/>
          <w:rtl/>
        </w:rPr>
        <w:t>2014</w:t>
      </w:r>
      <w:r>
        <w:rPr>
          <w:rFonts w:hint="cs"/>
          <w:rtl/>
        </w:rPr>
        <w:t xml:space="preserve">، أخبرت إدارة مدينة </w:t>
      </w:r>
      <w:proofErr w:type="spellStart"/>
      <w:r>
        <w:rPr>
          <w:rFonts w:hint="cs"/>
          <w:rtl/>
        </w:rPr>
        <w:t>سيمفيروبول</w:t>
      </w:r>
      <w:proofErr w:type="spellEnd"/>
      <w:r>
        <w:rPr>
          <w:rFonts w:hint="cs"/>
          <w:rtl/>
        </w:rPr>
        <w:t xml:space="preserve"> المنظمين بأن ليس في مقدورها الترخيص للحدث وبأن صاحب البلاغ سيعتبر مسؤولاً قانونياً، في واصل ذلك التنظيم، لأن المسيرة تنتهك تشريعاً يحظر الترويج للعلاقات الجنسية غير التقليدية في صفوف القاصرين، ولأنها "ستتسبب في رد فعل سلبي من المجتمع" وأن مثل تلك الأحداث تنتهك النظام العام</w:t>
      </w:r>
      <w:r w:rsidRPr="00845BD3">
        <w:rPr>
          <w:vertAlign w:val="superscript"/>
          <w:rtl/>
        </w:rPr>
        <w:t>(</w:t>
      </w:r>
      <w:r w:rsidRPr="00383CD5">
        <w:rPr>
          <w:rStyle w:val="FootnoteReference"/>
          <w:lang w:val="en-US"/>
        </w:rPr>
        <w:footnoteReference w:id="5"/>
      </w:r>
      <w:r w:rsidRPr="00845BD3">
        <w:rPr>
          <w:vertAlign w:val="superscript"/>
          <w:rtl/>
        </w:rPr>
        <w:t>)</w:t>
      </w:r>
      <w:r>
        <w:rPr>
          <w:rFonts w:hint="cs"/>
          <w:rtl/>
        </w:rPr>
        <w:t>. فقرر صاحب البلاغ عدم تنظيم المسيرة.</w:t>
      </w:r>
    </w:p>
    <w:p w14:paraId="0D832D65" w14:textId="7F73DA20" w:rsidR="00714C00" w:rsidRDefault="00714C00" w:rsidP="00714C00">
      <w:pPr>
        <w:pStyle w:val="SingleTxtGA"/>
        <w:rPr>
          <w:rtl/>
        </w:rPr>
      </w:pPr>
      <w:r w:rsidRPr="00383CD5">
        <w:rPr>
          <w:rFonts w:hint="cs"/>
          <w:rtl/>
        </w:rPr>
        <w:t>2</w:t>
      </w:r>
      <w:r>
        <w:rPr>
          <w:rFonts w:hint="cs"/>
          <w:rtl/>
        </w:rPr>
        <w:t>-</w:t>
      </w:r>
      <w:r w:rsidRPr="00383CD5">
        <w:rPr>
          <w:rFonts w:hint="cs"/>
          <w:rtl/>
        </w:rPr>
        <w:t>3</w:t>
      </w:r>
      <w:r>
        <w:rPr>
          <w:rtl/>
        </w:rPr>
        <w:tab/>
      </w:r>
      <w:r>
        <w:rPr>
          <w:rFonts w:hint="cs"/>
          <w:rtl/>
        </w:rPr>
        <w:t xml:space="preserve">وعليه، ألغى صاحب البلاغ الموكب الذي كان مخططاً له وتقدم، في </w:t>
      </w:r>
      <w:r w:rsidRPr="00383CD5">
        <w:rPr>
          <w:rFonts w:hint="cs"/>
          <w:rtl/>
        </w:rPr>
        <w:t>5</w:t>
      </w:r>
      <w:r>
        <w:rPr>
          <w:rFonts w:hint="cs"/>
          <w:rtl/>
        </w:rPr>
        <w:t xml:space="preserve"> أيار/مايو </w:t>
      </w:r>
      <w:r w:rsidRPr="00383CD5">
        <w:rPr>
          <w:rFonts w:hint="cs"/>
          <w:rtl/>
        </w:rPr>
        <w:t>2014</w:t>
      </w:r>
      <w:r>
        <w:rPr>
          <w:rFonts w:hint="cs"/>
          <w:rtl/>
        </w:rPr>
        <w:t xml:space="preserve">، بشكوى إلى محكمة مقاطعة </w:t>
      </w:r>
      <w:proofErr w:type="spellStart"/>
      <w:r>
        <w:rPr>
          <w:rFonts w:hint="cs"/>
          <w:rtl/>
        </w:rPr>
        <w:t>بريوبرانجسكي</w:t>
      </w:r>
      <w:proofErr w:type="spellEnd"/>
      <w:r>
        <w:rPr>
          <w:rFonts w:hint="cs"/>
          <w:rtl/>
        </w:rPr>
        <w:t xml:space="preserve"> في موسكو. واحتج صاحب البلاغ في شكواه بأن القوانين والأنظمة في الاتحاد الروسي لا تنص على حظر المسيرات إذا كان الغرض من التجمع وطريقة سيره لا</w:t>
      </w:r>
      <w:r w:rsidR="005C2BAA">
        <w:rPr>
          <w:rFonts w:hint="eastAsia"/>
          <w:rtl/>
        </w:rPr>
        <w:t> </w:t>
      </w:r>
      <w:r>
        <w:rPr>
          <w:rFonts w:hint="cs"/>
          <w:rtl/>
        </w:rPr>
        <w:t xml:space="preserve">تخرق القانون. وفي </w:t>
      </w:r>
      <w:r w:rsidRPr="00383CD5">
        <w:rPr>
          <w:rFonts w:hint="cs"/>
          <w:rtl/>
        </w:rPr>
        <w:t>3</w:t>
      </w:r>
      <w:r>
        <w:rPr>
          <w:rFonts w:hint="cs"/>
          <w:rtl/>
        </w:rPr>
        <w:t xml:space="preserve"> حزيران/يونيه </w:t>
      </w:r>
      <w:r w:rsidRPr="00383CD5">
        <w:rPr>
          <w:rFonts w:hint="cs"/>
          <w:rtl/>
        </w:rPr>
        <w:t>2014</w:t>
      </w:r>
      <w:r>
        <w:rPr>
          <w:rFonts w:hint="cs"/>
          <w:rtl/>
        </w:rPr>
        <w:t xml:space="preserve">، رفضت المحكمة الشكوى. </w:t>
      </w:r>
    </w:p>
    <w:p w14:paraId="7C7126B2" w14:textId="77777777" w:rsidR="00714C00" w:rsidRDefault="00714C00" w:rsidP="00714C00">
      <w:pPr>
        <w:pStyle w:val="SingleTxtGA"/>
        <w:rPr>
          <w:rtl/>
        </w:rPr>
      </w:pPr>
      <w:r w:rsidRPr="00383CD5">
        <w:rPr>
          <w:rFonts w:hint="cs"/>
          <w:rtl/>
        </w:rPr>
        <w:t>2</w:t>
      </w:r>
      <w:r>
        <w:rPr>
          <w:rFonts w:hint="cs"/>
          <w:rtl/>
        </w:rPr>
        <w:t>-</w:t>
      </w:r>
      <w:r w:rsidRPr="00383CD5">
        <w:rPr>
          <w:rFonts w:hint="cs"/>
          <w:rtl/>
        </w:rPr>
        <w:t>4</w:t>
      </w:r>
      <w:r>
        <w:rPr>
          <w:rtl/>
        </w:rPr>
        <w:tab/>
      </w:r>
      <w:r>
        <w:rPr>
          <w:rFonts w:hint="cs"/>
          <w:rtl/>
        </w:rPr>
        <w:t xml:space="preserve">وتقدم صاحب البلاغ بشكوى أخرى إلى محكمة مدينة موسكو، التي أيدت قرار المحكمة الأدنى درجة في </w:t>
      </w:r>
      <w:r w:rsidRPr="00383CD5">
        <w:rPr>
          <w:rFonts w:hint="cs"/>
          <w:rtl/>
        </w:rPr>
        <w:t>12</w:t>
      </w:r>
      <w:r>
        <w:rPr>
          <w:rFonts w:hint="cs"/>
          <w:rtl/>
        </w:rPr>
        <w:t xml:space="preserve"> آب/أغسطس </w:t>
      </w:r>
      <w:r w:rsidRPr="00383CD5">
        <w:rPr>
          <w:rFonts w:hint="cs"/>
          <w:rtl/>
        </w:rPr>
        <w:t>2014</w:t>
      </w:r>
      <w:r>
        <w:rPr>
          <w:rFonts w:hint="cs"/>
          <w:rtl/>
        </w:rPr>
        <w:t xml:space="preserve">. وباء طعنه بالنقض أمام هيئة قضاة محكمة مدينة موسكو بالفشل أيضاً فرُفض في </w:t>
      </w:r>
      <w:r w:rsidRPr="00383CD5">
        <w:rPr>
          <w:rFonts w:hint="cs"/>
          <w:rtl/>
        </w:rPr>
        <w:t>23</w:t>
      </w:r>
      <w:r>
        <w:rPr>
          <w:rFonts w:hint="cs"/>
          <w:rtl/>
        </w:rPr>
        <w:t xml:space="preserve"> أيلول/سبتمبر </w:t>
      </w:r>
      <w:r w:rsidRPr="00383CD5">
        <w:rPr>
          <w:rFonts w:hint="cs"/>
          <w:rtl/>
        </w:rPr>
        <w:t>2014</w:t>
      </w:r>
      <w:r>
        <w:rPr>
          <w:rFonts w:hint="cs"/>
          <w:rtl/>
        </w:rPr>
        <w:t xml:space="preserve">. </w:t>
      </w:r>
    </w:p>
    <w:p w14:paraId="1BE684E9" w14:textId="77777777" w:rsidR="00714C00" w:rsidRDefault="00714C00" w:rsidP="00714C00">
      <w:pPr>
        <w:pStyle w:val="SingleTxtGA"/>
        <w:rPr>
          <w:rtl/>
        </w:rPr>
      </w:pPr>
      <w:r w:rsidRPr="00383CD5">
        <w:rPr>
          <w:rFonts w:hint="cs"/>
          <w:rtl/>
        </w:rPr>
        <w:t>2</w:t>
      </w:r>
      <w:r>
        <w:rPr>
          <w:rFonts w:hint="cs"/>
          <w:rtl/>
        </w:rPr>
        <w:t>-</w:t>
      </w:r>
      <w:r w:rsidRPr="00383CD5">
        <w:rPr>
          <w:rFonts w:hint="cs"/>
          <w:rtl/>
        </w:rPr>
        <w:t>5</w:t>
      </w:r>
      <w:r>
        <w:rPr>
          <w:rtl/>
        </w:rPr>
        <w:tab/>
      </w:r>
      <w:r w:rsidRPr="00044F67">
        <w:rPr>
          <w:rFonts w:hint="cs"/>
          <w:spacing w:val="-2"/>
          <w:rtl/>
        </w:rPr>
        <w:t xml:space="preserve">وفي 13 كانون الثاني/يناير 2016، أضاف صاحب البلاغ أنه، في 5 أيار/مايو 2014، تقدم بشكوى إلى محكمة مقاطعة </w:t>
      </w:r>
      <w:proofErr w:type="spellStart"/>
      <w:r w:rsidRPr="00044F67">
        <w:rPr>
          <w:rFonts w:hint="cs"/>
          <w:spacing w:val="-2"/>
          <w:rtl/>
        </w:rPr>
        <w:t>زيليزنودوروجني</w:t>
      </w:r>
      <w:proofErr w:type="spellEnd"/>
      <w:r w:rsidRPr="00044F67">
        <w:rPr>
          <w:rFonts w:hint="cs"/>
          <w:spacing w:val="-2"/>
          <w:rtl/>
        </w:rPr>
        <w:t xml:space="preserve"> في </w:t>
      </w:r>
      <w:proofErr w:type="spellStart"/>
      <w:r w:rsidRPr="00044F67">
        <w:rPr>
          <w:rFonts w:hint="cs"/>
          <w:spacing w:val="-2"/>
          <w:rtl/>
        </w:rPr>
        <w:t>سيمفيروبول</w:t>
      </w:r>
      <w:proofErr w:type="spellEnd"/>
      <w:r w:rsidRPr="00044F67">
        <w:rPr>
          <w:rFonts w:hint="cs"/>
          <w:spacing w:val="-2"/>
          <w:rtl/>
        </w:rPr>
        <w:t>، واحتج بالقول إن القوانين والأنظمة في الاتحاد الروسي لا تنص على حظر المسيرات إذا كان الغرض منها وطريقة تسييرها لا تخرق القانون. وفي 2 تموز/يوليه 2014، رفضت المحكمة الشكوى. وفي 22 تموز/يوليه 2014، استأنف صاحب البلاغ ذلك القرار أمام محكمة استئناف جمهورية القرم</w:t>
      </w:r>
      <w:r w:rsidRPr="00044F67">
        <w:rPr>
          <w:spacing w:val="-2"/>
          <w:vertAlign w:val="superscript"/>
          <w:rtl/>
        </w:rPr>
        <w:t>(</w:t>
      </w:r>
      <w:r w:rsidRPr="00044F67">
        <w:rPr>
          <w:rStyle w:val="FootnoteReference"/>
          <w:spacing w:val="-2"/>
          <w:lang w:val="en-US"/>
        </w:rPr>
        <w:footnoteReference w:id="6"/>
      </w:r>
      <w:r w:rsidRPr="00044F67">
        <w:rPr>
          <w:spacing w:val="-2"/>
          <w:vertAlign w:val="superscript"/>
          <w:rtl/>
        </w:rPr>
        <w:t>)</w:t>
      </w:r>
      <w:r w:rsidRPr="00044F67">
        <w:rPr>
          <w:rFonts w:hint="cs"/>
          <w:spacing w:val="-2"/>
          <w:rtl/>
        </w:rPr>
        <w:t>. وفي 3 كانون الأول/ديسمبر 2014، أبطلت المحكمة القرار الصادر في 2 تموز/يوليه 2014، رغم أنها رفضت المطالبات الموضوعية التي تقدم بها صاحب البلاغ.</w:t>
      </w:r>
      <w:r>
        <w:rPr>
          <w:rFonts w:hint="cs"/>
          <w:rtl/>
        </w:rPr>
        <w:t xml:space="preserve"> </w:t>
      </w:r>
    </w:p>
    <w:p w14:paraId="75859710" w14:textId="3C98D263" w:rsidR="00714C00" w:rsidRDefault="00714C00" w:rsidP="00714C00">
      <w:pPr>
        <w:pStyle w:val="SingleTxtGA"/>
        <w:rPr>
          <w:rtl/>
        </w:rPr>
      </w:pPr>
      <w:r w:rsidRPr="00383CD5">
        <w:rPr>
          <w:rFonts w:hint="cs"/>
          <w:rtl/>
        </w:rPr>
        <w:t>2</w:t>
      </w:r>
      <w:r>
        <w:rPr>
          <w:rFonts w:hint="cs"/>
          <w:rtl/>
        </w:rPr>
        <w:t>-</w:t>
      </w:r>
      <w:r w:rsidRPr="00383CD5">
        <w:rPr>
          <w:rFonts w:hint="cs"/>
          <w:rtl/>
        </w:rPr>
        <w:t>6</w:t>
      </w:r>
      <w:r>
        <w:rPr>
          <w:rtl/>
        </w:rPr>
        <w:tab/>
      </w:r>
      <w:r>
        <w:rPr>
          <w:rFonts w:hint="cs"/>
          <w:rtl/>
        </w:rPr>
        <w:t>واشتكى صاحب البلاغ كذلك إلى المحكمة العليا في جمهورية القرم، التي رفضت استئنافه في</w:t>
      </w:r>
      <w:r w:rsidR="005C2BAA">
        <w:rPr>
          <w:rFonts w:hint="eastAsia"/>
          <w:rtl/>
        </w:rPr>
        <w:t> </w:t>
      </w:r>
      <w:r w:rsidRPr="00383CD5">
        <w:rPr>
          <w:rFonts w:hint="cs"/>
          <w:rtl/>
        </w:rPr>
        <w:t>29</w:t>
      </w:r>
      <w:r>
        <w:rPr>
          <w:rFonts w:hint="cs"/>
          <w:rtl/>
        </w:rPr>
        <w:t xml:space="preserve"> حزيران/يونيه </w:t>
      </w:r>
      <w:r w:rsidRPr="00383CD5">
        <w:rPr>
          <w:rFonts w:hint="cs"/>
          <w:rtl/>
        </w:rPr>
        <w:t>2015</w:t>
      </w:r>
      <w:r>
        <w:rPr>
          <w:rFonts w:hint="cs"/>
          <w:rtl/>
        </w:rPr>
        <w:t xml:space="preserve">. ورُفض طعن صاحب البلاغ بالنقض لدى المحكمة العليا في الاتحاد الروسي في </w:t>
      </w:r>
      <w:r w:rsidRPr="00383CD5">
        <w:rPr>
          <w:rFonts w:hint="cs"/>
          <w:rtl/>
        </w:rPr>
        <w:t>14</w:t>
      </w:r>
      <w:r>
        <w:rPr>
          <w:rFonts w:hint="cs"/>
          <w:rtl/>
        </w:rPr>
        <w:t xml:space="preserve"> آب/أغسطس </w:t>
      </w:r>
      <w:r w:rsidRPr="00383CD5">
        <w:rPr>
          <w:rFonts w:hint="cs"/>
          <w:rtl/>
        </w:rPr>
        <w:t>2015</w:t>
      </w:r>
      <w:r>
        <w:rPr>
          <w:rFonts w:hint="cs"/>
          <w:rtl/>
        </w:rPr>
        <w:t>.</w:t>
      </w:r>
    </w:p>
    <w:p w14:paraId="21013866" w14:textId="308436FC" w:rsidR="00714C00" w:rsidRPr="00383CD5" w:rsidRDefault="00714C00" w:rsidP="00714C00">
      <w:pPr>
        <w:pStyle w:val="H23GA"/>
        <w:rPr>
          <w:rtl/>
        </w:rPr>
      </w:pPr>
      <w:r w:rsidRPr="00383CD5">
        <w:rPr>
          <w:rtl/>
        </w:rPr>
        <w:lastRenderedPageBreak/>
        <w:tab/>
      </w:r>
      <w:r w:rsidRPr="00383CD5">
        <w:rPr>
          <w:rtl/>
        </w:rPr>
        <w:tab/>
      </w:r>
      <w:r w:rsidRPr="00383CD5">
        <w:rPr>
          <w:rFonts w:hint="cs"/>
          <w:rtl/>
        </w:rPr>
        <w:t>الشكوى</w:t>
      </w:r>
    </w:p>
    <w:p w14:paraId="46DD76FF" w14:textId="77777777" w:rsidR="00714C00" w:rsidRPr="005C2BAA" w:rsidRDefault="00714C00" w:rsidP="00714C00">
      <w:pPr>
        <w:pStyle w:val="SingleTxtGA"/>
        <w:rPr>
          <w:spacing w:val="-2"/>
          <w:rtl/>
        </w:rPr>
      </w:pPr>
      <w:r w:rsidRPr="00383CD5">
        <w:rPr>
          <w:rFonts w:hint="cs"/>
          <w:spacing w:val="-2"/>
          <w:rtl/>
        </w:rPr>
        <w:t>3</w:t>
      </w:r>
      <w:r w:rsidRPr="005C2BAA">
        <w:rPr>
          <w:rFonts w:hint="cs"/>
          <w:spacing w:val="-2"/>
          <w:rtl/>
        </w:rPr>
        <w:t>-</w:t>
      </w:r>
      <w:r w:rsidRPr="00383CD5">
        <w:rPr>
          <w:rFonts w:hint="cs"/>
          <w:spacing w:val="-2"/>
          <w:rtl/>
        </w:rPr>
        <w:t>1</w:t>
      </w:r>
      <w:r w:rsidRPr="005C2BAA">
        <w:rPr>
          <w:spacing w:val="-2"/>
          <w:rtl/>
        </w:rPr>
        <w:tab/>
      </w:r>
      <w:r w:rsidRPr="005C2BAA">
        <w:rPr>
          <w:rFonts w:hint="cs"/>
          <w:spacing w:val="-2"/>
          <w:rtl/>
        </w:rPr>
        <w:t xml:space="preserve">يدعي صاحب البالغ أن الدولة الطرف، بحرمانه وناشطين آخرين من فرصة تنظيم مسيرة، قد انتهكت حقوقه بموجب المادتين </w:t>
      </w:r>
      <w:r w:rsidRPr="00383CD5">
        <w:rPr>
          <w:rFonts w:hint="cs"/>
          <w:spacing w:val="-2"/>
          <w:rtl/>
        </w:rPr>
        <w:t>21</w:t>
      </w:r>
      <w:r w:rsidRPr="005C2BAA">
        <w:rPr>
          <w:rFonts w:hint="cs"/>
          <w:spacing w:val="-2"/>
          <w:rtl/>
        </w:rPr>
        <w:t xml:space="preserve"> و</w:t>
      </w:r>
      <w:r w:rsidRPr="00383CD5">
        <w:rPr>
          <w:rFonts w:hint="cs"/>
          <w:spacing w:val="-2"/>
          <w:rtl/>
        </w:rPr>
        <w:t>26</w:t>
      </w:r>
      <w:r w:rsidRPr="005C2BAA">
        <w:rPr>
          <w:rFonts w:hint="cs"/>
          <w:spacing w:val="-2"/>
          <w:rtl/>
        </w:rPr>
        <w:t xml:space="preserve"> من العهد. ويقول إنه تم التمييز في حقه على أساس ميله الجنسي. </w:t>
      </w:r>
    </w:p>
    <w:p w14:paraId="392AFB97" w14:textId="28B2401E" w:rsidR="00714C00" w:rsidRDefault="00714C00" w:rsidP="00714C00">
      <w:pPr>
        <w:pStyle w:val="SingleTxtGA"/>
        <w:rPr>
          <w:rtl/>
        </w:rPr>
      </w:pPr>
      <w:r w:rsidRPr="00383CD5">
        <w:rPr>
          <w:rFonts w:hint="cs"/>
          <w:rtl/>
        </w:rPr>
        <w:t>3</w:t>
      </w:r>
      <w:r>
        <w:rPr>
          <w:rFonts w:hint="cs"/>
          <w:rtl/>
        </w:rPr>
        <w:t>-</w:t>
      </w:r>
      <w:r w:rsidRPr="00383CD5">
        <w:rPr>
          <w:rFonts w:hint="cs"/>
          <w:rtl/>
        </w:rPr>
        <w:t>2</w:t>
      </w:r>
      <w:r>
        <w:rPr>
          <w:rtl/>
        </w:rPr>
        <w:tab/>
      </w:r>
      <w:r>
        <w:rPr>
          <w:rFonts w:hint="cs"/>
          <w:rtl/>
        </w:rPr>
        <w:t xml:space="preserve">ويدّعي صاحب البلاغ أن الدولة الطرف قد انتهكت حقه في التجمع السلمي المحمي بموجب المادة </w:t>
      </w:r>
      <w:r w:rsidRPr="00383CD5">
        <w:rPr>
          <w:rFonts w:hint="cs"/>
          <w:rtl/>
        </w:rPr>
        <w:t>21</w:t>
      </w:r>
      <w:r>
        <w:rPr>
          <w:rFonts w:hint="cs"/>
          <w:rtl/>
        </w:rPr>
        <w:t xml:space="preserve"> من العهد، لأنها فرضت حظراً شاملاً على المسيرة التي كان يعتزم تنظيمها. ورفضُ السلطات طلبَه لم يُفرض "وفقاً للقانون" ولم يكن "ضرورياً في مجتمع ديمقراطي". وعلى وجه الخصوص، لا يحظر القانون الوطني تجمعاً تكون الأغراض المتوخاة منه وأشكاله قانونية ومسالمة. وعلاوة على ذلك، لم يكن القيد المفروض "ضرورياً في مجتمع ديمقراطي" ولم يتوخَّ تحقيق أي غايات مشروعة مذكورة في المادة </w:t>
      </w:r>
      <w:r w:rsidRPr="00383CD5">
        <w:rPr>
          <w:rFonts w:hint="cs"/>
          <w:rtl/>
        </w:rPr>
        <w:t>21</w:t>
      </w:r>
      <w:r>
        <w:rPr>
          <w:rFonts w:hint="cs"/>
          <w:rtl/>
        </w:rPr>
        <w:t xml:space="preserve"> من العهد. وبرهن رفض السلطات اقتراح مكان بديل لتنظيم الحدث العام المعني وتأكيدُها أن مثل تلك المسيرة ستمس بسلامة أخلاق القاصرين، لأنها ستنظَّم في مكان عام حيث تكون الاحتفالات بعيد الفصح، وبالقرب من مرافق تربوية للأطفال، على أن الغاية الحقيقية للسلطات هي منع أقلية المثليين والمثليات في الاتحاد الروسي من أن يكونوا ظاهرين للعيان على الملإ ومن جذب اهتمام عامة الناس بشواغلهم</w:t>
      </w:r>
      <w:r w:rsidR="005B3E07">
        <w:rPr>
          <w:rFonts w:hint="cs"/>
          <w:rtl/>
        </w:rPr>
        <w:t>.</w:t>
      </w:r>
      <w:r>
        <w:rPr>
          <w:rFonts w:hint="cs"/>
          <w:rtl/>
        </w:rPr>
        <w:t xml:space="preserve"> </w:t>
      </w:r>
    </w:p>
    <w:p w14:paraId="4102995C" w14:textId="7A76B94B" w:rsidR="00714C00" w:rsidRPr="00383CD5" w:rsidRDefault="00714C00" w:rsidP="00714C00">
      <w:pPr>
        <w:pStyle w:val="H23GA"/>
      </w:pPr>
      <w:r w:rsidRPr="00383CD5">
        <w:rPr>
          <w:rtl/>
        </w:rPr>
        <w:tab/>
      </w:r>
      <w:r w:rsidRPr="00383CD5">
        <w:rPr>
          <w:rtl/>
        </w:rPr>
        <w:tab/>
        <w:t xml:space="preserve">ملاحظات الدولة الطرف على </w:t>
      </w:r>
      <w:r w:rsidRPr="00383CD5">
        <w:rPr>
          <w:rFonts w:hint="cs"/>
          <w:rtl/>
        </w:rPr>
        <w:t>ال</w:t>
      </w:r>
      <w:r w:rsidRPr="00383CD5">
        <w:rPr>
          <w:rtl/>
        </w:rPr>
        <w:t>مقبولية و</w:t>
      </w:r>
      <w:r w:rsidRPr="00383CD5">
        <w:rPr>
          <w:rFonts w:hint="cs"/>
          <w:rtl/>
        </w:rPr>
        <w:t>ال</w:t>
      </w:r>
      <w:r w:rsidRPr="00383CD5">
        <w:rPr>
          <w:rtl/>
        </w:rPr>
        <w:t>أسس الموضوعية</w:t>
      </w:r>
    </w:p>
    <w:p w14:paraId="1BC23F88" w14:textId="77777777" w:rsidR="00714C00" w:rsidRDefault="00714C00" w:rsidP="00714C00">
      <w:pPr>
        <w:pStyle w:val="SingleTxtGA"/>
        <w:rPr>
          <w:rtl/>
        </w:rPr>
      </w:pPr>
      <w:r w:rsidRPr="00383CD5">
        <w:rPr>
          <w:rtl/>
        </w:rPr>
        <w:t>4</w:t>
      </w:r>
      <w:r>
        <w:rPr>
          <w:rtl/>
        </w:rPr>
        <w:t>-</w:t>
      </w:r>
      <w:r w:rsidRPr="00383CD5">
        <w:rPr>
          <w:rtl/>
        </w:rPr>
        <w:t>1</w:t>
      </w:r>
      <w:r>
        <w:rPr>
          <w:rtl/>
        </w:rPr>
        <w:tab/>
        <w:t xml:space="preserve">في </w:t>
      </w:r>
      <w:r w:rsidRPr="00383CD5">
        <w:rPr>
          <w:rtl/>
        </w:rPr>
        <w:t>25</w:t>
      </w:r>
      <w:r>
        <w:rPr>
          <w:rtl/>
        </w:rPr>
        <w:t xml:space="preserve"> تموز/يوليه </w:t>
      </w:r>
      <w:r w:rsidRPr="00383CD5">
        <w:rPr>
          <w:rtl/>
        </w:rPr>
        <w:t>2016</w:t>
      </w:r>
      <w:r>
        <w:rPr>
          <w:rtl/>
        </w:rPr>
        <w:t xml:space="preserve">، قدمت الدولة الطرف ملاحظاتها على المقبولية والأسس الموضوعية وطلبت اعتبار البلاغ غير مقبول لأنه لا يستند على أساس. </w:t>
      </w:r>
    </w:p>
    <w:p w14:paraId="060C0779" w14:textId="77777777" w:rsidR="00714C00" w:rsidRDefault="00714C00" w:rsidP="00714C00">
      <w:pPr>
        <w:pStyle w:val="SingleTxtGA"/>
        <w:rPr>
          <w:rtl/>
        </w:rPr>
      </w:pPr>
      <w:r w:rsidRPr="00383CD5">
        <w:rPr>
          <w:rtl/>
        </w:rPr>
        <w:t>4</w:t>
      </w:r>
      <w:r>
        <w:rPr>
          <w:rtl/>
        </w:rPr>
        <w:t>-</w:t>
      </w:r>
      <w:r w:rsidRPr="00383CD5">
        <w:rPr>
          <w:rtl/>
        </w:rPr>
        <w:t>2</w:t>
      </w:r>
      <w:r>
        <w:rPr>
          <w:rtl/>
        </w:rPr>
        <w:tab/>
        <w:t xml:space="preserve">وتقول الدولة الطرف إن قرارات محكمة مقاطعة </w:t>
      </w:r>
      <w:proofErr w:type="spellStart"/>
      <w:r>
        <w:rPr>
          <w:rFonts w:hint="cs"/>
          <w:rtl/>
        </w:rPr>
        <w:t>ز</w:t>
      </w:r>
      <w:r>
        <w:rPr>
          <w:rtl/>
        </w:rPr>
        <w:t>يليزنودوروجني</w:t>
      </w:r>
      <w:proofErr w:type="spellEnd"/>
      <w:r>
        <w:rPr>
          <w:rtl/>
        </w:rPr>
        <w:t xml:space="preserve"> ومحكمة الاستئناف في جمهورية القرم </w:t>
      </w:r>
      <w:r>
        <w:rPr>
          <w:rFonts w:hint="cs"/>
          <w:rtl/>
        </w:rPr>
        <w:t xml:space="preserve">قد </w:t>
      </w:r>
      <w:r>
        <w:rPr>
          <w:rtl/>
        </w:rPr>
        <w:t>استندت إلى تطبيق دستور الاتحاد الروسي</w:t>
      </w:r>
      <w:r>
        <w:rPr>
          <w:vertAlign w:val="superscript"/>
          <w:rtl/>
        </w:rPr>
        <w:t>(</w:t>
      </w:r>
      <w:r w:rsidRPr="00383CD5">
        <w:rPr>
          <w:rStyle w:val="FootnoteReference"/>
          <w:lang w:val="en-US"/>
        </w:rPr>
        <w:footnoteReference w:id="7"/>
      </w:r>
      <w:r>
        <w:rPr>
          <w:vertAlign w:val="superscript"/>
          <w:rtl/>
        </w:rPr>
        <w:t>)</w:t>
      </w:r>
      <w:r>
        <w:rPr>
          <w:rtl/>
        </w:rPr>
        <w:t xml:space="preserve">. </w:t>
      </w:r>
    </w:p>
    <w:p w14:paraId="16874FE0" w14:textId="77777777" w:rsidR="00714C00" w:rsidRDefault="00714C00" w:rsidP="00714C00">
      <w:pPr>
        <w:pStyle w:val="SingleTxtGA"/>
        <w:rPr>
          <w:rtl/>
        </w:rPr>
      </w:pPr>
      <w:r w:rsidRPr="00383CD5">
        <w:rPr>
          <w:rtl/>
        </w:rPr>
        <w:t>4</w:t>
      </w:r>
      <w:r>
        <w:rPr>
          <w:rtl/>
        </w:rPr>
        <w:t>-</w:t>
      </w:r>
      <w:r w:rsidRPr="00383CD5">
        <w:rPr>
          <w:rtl/>
        </w:rPr>
        <w:t>3</w:t>
      </w:r>
      <w:r>
        <w:rPr>
          <w:rtl/>
        </w:rPr>
        <w:tab/>
        <w:t xml:space="preserve">ولاحظت الدولة الطرف </w:t>
      </w:r>
      <w:r>
        <w:rPr>
          <w:rFonts w:hint="cs"/>
          <w:rtl/>
        </w:rPr>
        <w:t>جواز خضوع</w:t>
      </w:r>
      <w:r>
        <w:rPr>
          <w:rtl/>
        </w:rPr>
        <w:t xml:space="preserve"> حرية التجمع وحرية التعبير لقيود. وينبغي أن تكون تلك القيود مستندة إلى القانون وأن يكون لها غرض مجد</w:t>
      </w:r>
      <w:r>
        <w:rPr>
          <w:rFonts w:hint="cs"/>
          <w:rtl/>
        </w:rPr>
        <w:t>ٍ</w:t>
      </w:r>
      <w:r>
        <w:rPr>
          <w:rtl/>
        </w:rPr>
        <w:t xml:space="preserve"> اجتماعياً وأن تكون متناسبة. </w:t>
      </w:r>
    </w:p>
    <w:p w14:paraId="60101093" w14:textId="77777777" w:rsidR="00714C00" w:rsidRDefault="00714C00" w:rsidP="00714C00">
      <w:pPr>
        <w:pStyle w:val="SingleTxtGA"/>
        <w:rPr>
          <w:rtl/>
        </w:rPr>
      </w:pPr>
      <w:r w:rsidRPr="00383CD5">
        <w:rPr>
          <w:rtl/>
        </w:rPr>
        <w:t>4</w:t>
      </w:r>
      <w:r>
        <w:rPr>
          <w:rtl/>
        </w:rPr>
        <w:t>-</w:t>
      </w:r>
      <w:r w:rsidRPr="00383CD5">
        <w:rPr>
          <w:rtl/>
        </w:rPr>
        <w:t>4</w:t>
      </w:r>
      <w:r>
        <w:rPr>
          <w:rtl/>
        </w:rPr>
        <w:tab/>
        <w:t>وتحاج الدولة الطرف بالقول إن محكمة الاستئناف</w:t>
      </w:r>
      <w:r>
        <w:rPr>
          <w:rFonts w:hint="cs"/>
          <w:rtl/>
        </w:rPr>
        <w:t xml:space="preserve"> </w:t>
      </w:r>
      <w:r>
        <w:rPr>
          <w:rtl/>
        </w:rPr>
        <w:t xml:space="preserve">قد اعتدت، في هذه القضية، بالقانون الاتحادي لحماية الأطفال من المعلومات التي تؤذي صحتهم ونموهم (المادتان </w:t>
      </w:r>
      <w:r w:rsidRPr="00383CD5">
        <w:rPr>
          <w:rtl/>
        </w:rPr>
        <w:t>5</w:t>
      </w:r>
      <w:r>
        <w:rPr>
          <w:rtl/>
        </w:rPr>
        <w:t>(</w:t>
      </w:r>
      <w:r w:rsidRPr="00383CD5">
        <w:rPr>
          <w:rtl/>
        </w:rPr>
        <w:t>2</w:t>
      </w:r>
      <w:r>
        <w:rPr>
          <w:rtl/>
        </w:rPr>
        <w:t>)(</w:t>
      </w:r>
      <w:r w:rsidRPr="00383CD5">
        <w:rPr>
          <w:rtl/>
        </w:rPr>
        <w:t>4</w:t>
      </w:r>
      <w:r>
        <w:rPr>
          <w:rtl/>
        </w:rPr>
        <w:t>) و</w:t>
      </w:r>
      <w:r w:rsidRPr="00383CD5">
        <w:rPr>
          <w:rtl/>
        </w:rPr>
        <w:t>16</w:t>
      </w:r>
      <w:r>
        <w:rPr>
          <w:rtl/>
        </w:rPr>
        <w:t>(</w:t>
      </w:r>
      <w:r w:rsidRPr="00383CD5">
        <w:rPr>
          <w:rtl/>
        </w:rPr>
        <w:t>3</w:t>
      </w:r>
      <w:r>
        <w:rPr>
          <w:rtl/>
        </w:rPr>
        <w:t xml:space="preserve">)) والقانون الاتحادي المتعلق بالضمانات الأساسية لحقوق الطفل في الاتحاد الروسي (المادة </w:t>
      </w:r>
      <w:r w:rsidRPr="00383CD5">
        <w:rPr>
          <w:rtl/>
        </w:rPr>
        <w:t>14</w:t>
      </w:r>
      <w:r>
        <w:rPr>
          <w:rtl/>
        </w:rPr>
        <w:t>(</w:t>
      </w:r>
      <w:r w:rsidRPr="00383CD5">
        <w:rPr>
          <w:rtl/>
        </w:rPr>
        <w:t>1</w:t>
      </w:r>
      <w:r>
        <w:rPr>
          <w:rtl/>
        </w:rPr>
        <w:t>)</w:t>
      </w:r>
      <w:r>
        <w:rPr>
          <w:rFonts w:hint="cs"/>
          <w:rtl/>
        </w:rPr>
        <w:t>)</w:t>
      </w:r>
      <w:r>
        <w:rPr>
          <w:rtl/>
        </w:rPr>
        <w:t xml:space="preserve">، الراميين إلى منع نشر معلومات على نطاق واسع </w:t>
      </w:r>
      <w:r>
        <w:rPr>
          <w:rFonts w:hint="cs"/>
          <w:rtl/>
        </w:rPr>
        <w:t>من شأنها أن تعطي</w:t>
      </w:r>
      <w:r>
        <w:rPr>
          <w:rtl/>
        </w:rPr>
        <w:t xml:space="preserve"> نظرة مشوهة عن علاقات الزواج والت</w:t>
      </w:r>
      <w:r>
        <w:rPr>
          <w:rFonts w:hint="cs"/>
          <w:rtl/>
        </w:rPr>
        <w:t>ناظر</w:t>
      </w:r>
      <w:r>
        <w:rPr>
          <w:rtl/>
        </w:rPr>
        <w:t xml:space="preserve"> الاجتماعي</w:t>
      </w:r>
      <w:r>
        <w:rPr>
          <w:rFonts w:hint="cs"/>
          <w:rtl/>
        </w:rPr>
        <w:t xml:space="preserve"> بين ا</w:t>
      </w:r>
      <w:r>
        <w:rPr>
          <w:rtl/>
        </w:rPr>
        <w:t xml:space="preserve">لزواج التقليدي وغير التقليدي </w:t>
      </w:r>
      <w:r>
        <w:rPr>
          <w:rFonts w:hint="cs"/>
          <w:rtl/>
        </w:rPr>
        <w:t xml:space="preserve">في صفوف </w:t>
      </w:r>
      <w:r>
        <w:rPr>
          <w:rtl/>
        </w:rPr>
        <w:t>أشخاص غير قادرين على تقييم تلك المعلومات بحس نقدي و</w:t>
      </w:r>
      <w:r>
        <w:rPr>
          <w:rFonts w:hint="cs"/>
          <w:rtl/>
        </w:rPr>
        <w:t>ب</w:t>
      </w:r>
      <w:r>
        <w:rPr>
          <w:rtl/>
        </w:rPr>
        <w:t xml:space="preserve">استقلال. وفي القرار الذي أصدرته المحكمة، قالت إن </w:t>
      </w:r>
      <w:r>
        <w:rPr>
          <w:rFonts w:hint="cs"/>
          <w:rtl/>
        </w:rPr>
        <w:t xml:space="preserve">جنبات </w:t>
      </w:r>
      <w:r>
        <w:rPr>
          <w:rtl/>
        </w:rPr>
        <w:t xml:space="preserve">حديقة </w:t>
      </w:r>
      <w:r>
        <w:rPr>
          <w:rFonts w:hint="cs"/>
          <w:rtl/>
        </w:rPr>
        <w:t>غ</w:t>
      </w:r>
      <w:r>
        <w:rPr>
          <w:rtl/>
        </w:rPr>
        <w:t>ا</w:t>
      </w:r>
      <w:r>
        <w:rPr>
          <w:rFonts w:hint="cs"/>
          <w:rtl/>
        </w:rPr>
        <w:t>غ</w:t>
      </w:r>
      <w:r>
        <w:rPr>
          <w:rtl/>
        </w:rPr>
        <w:t xml:space="preserve">ارين، حيث كان يفترض أن </w:t>
      </w:r>
      <w:r>
        <w:rPr>
          <w:rFonts w:hint="cs"/>
          <w:rtl/>
        </w:rPr>
        <w:t>ت</w:t>
      </w:r>
      <w:r>
        <w:rPr>
          <w:rtl/>
        </w:rPr>
        <w:t>توقف الم</w:t>
      </w:r>
      <w:r>
        <w:rPr>
          <w:rFonts w:hint="cs"/>
          <w:rtl/>
        </w:rPr>
        <w:t>سيرة،</w:t>
      </w:r>
      <w:r>
        <w:rPr>
          <w:rtl/>
        </w:rPr>
        <w:t xml:space="preserve"> مكان عام حيث ي</w:t>
      </w:r>
      <w:r>
        <w:rPr>
          <w:rFonts w:hint="cs"/>
          <w:rtl/>
        </w:rPr>
        <w:t>ت</w:t>
      </w:r>
      <w:r>
        <w:rPr>
          <w:rtl/>
        </w:rPr>
        <w:t>جمع عدد كبير من الأشخاص بمن ف</w:t>
      </w:r>
      <w:r>
        <w:rPr>
          <w:rFonts w:hint="cs"/>
          <w:rtl/>
        </w:rPr>
        <w:t>ي</w:t>
      </w:r>
      <w:r>
        <w:rPr>
          <w:rtl/>
        </w:rPr>
        <w:t>هم أطفال. وت</w:t>
      </w:r>
      <w:r>
        <w:rPr>
          <w:rFonts w:hint="cs"/>
          <w:rtl/>
        </w:rPr>
        <w:t xml:space="preserve">وجد </w:t>
      </w:r>
      <w:r>
        <w:rPr>
          <w:rtl/>
        </w:rPr>
        <w:t>أيضاً</w:t>
      </w:r>
      <w:r>
        <w:rPr>
          <w:rFonts w:hint="cs"/>
          <w:rtl/>
        </w:rPr>
        <w:t xml:space="preserve"> على طريق المسيرة</w:t>
      </w:r>
      <w:r>
        <w:rPr>
          <w:rtl/>
        </w:rPr>
        <w:t xml:space="preserve"> مدرسة ومرفق للرياضات والترفيه. </w:t>
      </w:r>
    </w:p>
    <w:p w14:paraId="6358CD30" w14:textId="77777777" w:rsidR="00714C00" w:rsidRDefault="00714C00" w:rsidP="00714C00">
      <w:pPr>
        <w:pStyle w:val="SingleTxtGA"/>
        <w:rPr>
          <w:rtl/>
        </w:rPr>
      </w:pPr>
      <w:r w:rsidRPr="00383CD5">
        <w:rPr>
          <w:rtl/>
        </w:rPr>
        <w:t>4</w:t>
      </w:r>
      <w:r>
        <w:rPr>
          <w:rtl/>
        </w:rPr>
        <w:t>-</w:t>
      </w:r>
      <w:r w:rsidRPr="00383CD5">
        <w:rPr>
          <w:rtl/>
        </w:rPr>
        <w:t>5</w:t>
      </w:r>
      <w:r>
        <w:rPr>
          <w:rtl/>
        </w:rPr>
        <w:tab/>
        <w:t xml:space="preserve">وتقول الدولة الطرف إنه، وفقاً للقانون الاتحادي </w:t>
      </w:r>
      <w:r>
        <w:rPr>
          <w:rFonts w:hint="cs"/>
          <w:rtl/>
        </w:rPr>
        <w:t xml:space="preserve">المتعلق </w:t>
      </w:r>
      <w:r>
        <w:rPr>
          <w:rtl/>
        </w:rPr>
        <w:t>بالتجمعات والاجتماعات والمظاهرات والمسيرات والاعتصامات، في الحالات التي تسمح فيها المعلومات المقدمة في رسالة الإ</w:t>
      </w:r>
      <w:r>
        <w:rPr>
          <w:rFonts w:hint="cs"/>
          <w:rtl/>
        </w:rPr>
        <w:t>شع</w:t>
      </w:r>
      <w:r>
        <w:rPr>
          <w:rtl/>
        </w:rPr>
        <w:t>ار بالخلوص إلى أن الغرض من الحدث العام المقترح تنظيمه أو تسيير ذلك الحدث لا يتماشى مع الدستور أو قوانين أخرى، يتعين على السلطات أن تخبر منظمي الحدث، إذا ما ن</w:t>
      </w:r>
      <w:r>
        <w:rPr>
          <w:rFonts w:hint="cs"/>
          <w:rtl/>
        </w:rPr>
        <w:t>ُ</w:t>
      </w:r>
      <w:r>
        <w:rPr>
          <w:rtl/>
        </w:rPr>
        <w:t xml:space="preserve">ظم، بأنهم </w:t>
      </w:r>
      <w:r>
        <w:rPr>
          <w:rFonts w:hint="cs"/>
          <w:rtl/>
        </w:rPr>
        <w:t>سيحمَّلون ال</w:t>
      </w:r>
      <w:r>
        <w:rPr>
          <w:rtl/>
        </w:rPr>
        <w:t>مسؤول</w:t>
      </w:r>
      <w:r>
        <w:rPr>
          <w:rFonts w:hint="cs"/>
          <w:rtl/>
        </w:rPr>
        <w:t xml:space="preserve">ية </w:t>
      </w:r>
      <w:r>
        <w:rPr>
          <w:rtl/>
        </w:rPr>
        <w:t>عنه. ووجدت المحكمة أن هذه الأحكام ألزمت السلطات بعد</w:t>
      </w:r>
      <w:r>
        <w:rPr>
          <w:rFonts w:hint="cs"/>
          <w:rtl/>
        </w:rPr>
        <w:t>م</w:t>
      </w:r>
      <w:r>
        <w:rPr>
          <w:rtl/>
        </w:rPr>
        <w:t xml:space="preserve"> الترخيص لحدث عام حتى يغير المنظمون </w:t>
      </w:r>
      <w:r>
        <w:rPr>
          <w:rFonts w:hint="cs"/>
          <w:rtl/>
        </w:rPr>
        <w:t xml:space="preserve">تلك </w:t>
      </w:r>
      <w:r>
        <w:rPr>
          <w:rtl/>
        </w:rPr>
        <w:t>الجوانب غير الممتثلة للقانون</w:t>
      </w:r>
      <w:r>
        <w:rPr>
          <w:rFonts w:hint="cs"/>
          <w:rtl/>
        </w:rPr>
        <w:t xml:space="preserve"> منه</w:t>
      </w:r>
      <w:r>
        <w:rPr>
          <w:rtl/>
        </w:rPr>
        <w:t xml:space="preserve">. </w:t>
      </w:r>
    </w:p>
    <w:p w14:paraId="60C498F4" w14:textId="0EA92E99" w:rsidR="00714C00" w:rsidRDefault="00714C00" w:rsidP="00714C00">
      <w:pPr>
        <w:pStyle w:val="SingleTxtGA"/>
        <w:rPr>
          <w:rtl/>
        </w:rPr>
      </w:pPr>
      <w:r w:rsidRPr="00383CD5">
        <w:rPr>
          <w:rtl/>
        </w:rPr>
        <w:lastRenderedPageBreak/>
        <w:t>4</w:t>
      </w:r>
      <w:r>
        <w:rPr>
          <w:rtl/>
        </w:rPr>
        <w:t>-</w:t>
      </w:r>
      <w:r w:rsidRPr="00383CD5">
        <w:rPr>
          <w:rtl/>
        </w:rPr>
        <w:t>6</w:t>
      </w:r>
      <w:r>
        <w:rPr>
          <w:rtl/>
        </w:rPr>
        <w:tab/>
        <w:t xml:space="preserve">وتلاحظ الدولة الطرف أن </w:t>
      </w:r>
      <w:r>
        <w:rPr>
          <w:rFonts w:hint="cs"/>
          <w:rtl/>
        </w:rPr>
        <w:t>ال</w:t>
      </w:r>
      <w:r>
        <w:rPr>
          <w:rtl/>
        </w:rPr>
        <w:t xml:space="preserve">غرض </w:t>
      </w:r>
      <w:r>
        <w:rPr>
          <w:rFonts w:hint="cs"/>
          <w:rtl/>
        </w:rPr>
        <w:t xml:space="preserve">من </w:t>
      </w:r>
      <w:r>
        <w:rPr>
          <w:rtl/>
        </w:rPr>
        <w:t>التجمع، في هذه القضية، كان دعم حقوق وحريات الأشخاص المثليين في الاتحاد الروسي والاحتجاج على التمييز في حقهم. وخلصت المحكمة إلى أن هذه المحاولة للمناداة بالتسامح فيما يتعلق بوجود المثليات والمثليين ومزدوجي الميل الجنسي ومغايري الهوي</w:t>
      </w:r>
      <w:r>
        <w:rPr>
          <w:rFonts w:hint="cs"/>
          <w:rtl/>
          <w:lang w:bidi="ar-YE"/>
        </w:rPr>
        <w:t>ة</w:t>
      </w:r>
      <w:r>
        <w:rPr>
          <w:rtl/>
        </w:rPr>
        <w:t xml:space="preserve"> الجنسانية في أماكن</w:t>
      </w:r>
      <w:r>
        <w:rPr>
          <w:rFonts w:hint="cs"/>
          <w:rtl/>
        </w:rPr>
        <w:t xml:space="preserve"> ترفيه</w:t>
      </w:r>
      <w:r>
        <w:rPr>
          <w:rtl/>
        </w:rPr>
        <w:t xml:space="preserve"> مخصصة تقليديا</w:t>
      </w:r>
      <w:r w:rsidR="00E4012E">
        <w:rPr>
          <w:rFonts w:hint="cs"/>
          <w:rtl/>
        </w:rPr>
        <w:t>ً</w:t>
      </w:r>
      <w:r>
        <w:rPr>
          <w:rtl/>
        </w:rPr>
        <w:t xml:space="preserve"> للراشدين والأطفال وبالقرب من منشآت تعليمية خاصة بالأطفال، تشكل خطراً على </w:t>
      </w:r>
      <w:r>
        <w:rPr>
          <w:rFonts w:hint="cs"/>
          <w:rtl/>
        </w:rPr>
        <w:t>نشأة الأطفال</w:t>
      </w:r>
      <w:r>
        <w:rPr>
          <w:rtl/>
        </w:rPr>
        <w:t xml:space="preserve"> الأخلاقي</w:t>
      </w:r>
      <w:r>
        <w:rPr>
          <w:rFonts w:hint="cs"/>
          <w:rtl/>
        </w:rPr>
        <w:t>ة</w:t>
      </w:r>
      <w:r>
        <w:rPr>
          <w:rtl/>
        </w:rPr>
        <w:t xml:space="preserve"> والروحي</w:t>
      </w:r>
      <w:r>
        <w:rPr>
          <w:rFonts w:hint="cs"/>
          <w:rtl/>
        </w:rPr>
        <w:t>ة</w:t>
      </w:r>
      <w:r>
        <w:rPr>
          <w:rtl/>
        </w:rPr>
        <w:t>. وعليه، أكدت المحكمة أن القيود التي فرضت على التجمع الذي كان سيعقده صاحب البلاغ تتفق مع القانون. والغاية من القيود هو حماية الأطفال من المعلومات والدعاية والحملات التي من شأنها أن تلحق الأذى بن</w:t>
      </w:r>
      <w:r>
        <w:rPr>
          <w:rFonts w:hint="cs"/>
          <w:rtl/>
        </w:rPr>
        <w:t>شأتهم وسلامتهم</w:t>
      </w:r>
      <w:r>
        <w:rPr>
          <w:rtl/>
        </w:rPr>
        <w:t xml:space="preserve"> الأخلاقي</w:t>
      </w:r>
      <w:r>
        <w:rPr>
          <w:rFonts w:hint="cs"/>
          <w:rtl/>
        </w:rPr>
        <w:t>تين</w:t>
      </w:r>
      <w:r>
        <w:rPr>
          <w:rtl/>
        </w:rPr>
        <w:t xml:space="preserve"> والروحي</w:t>
      </w:r>
      <w:r>
        <w:rPr>
          <w:rFonts w:hint="cs"/>
          <w:rtl/>
        </w:rPr>
        <w:t>تين</w:t>
      </w:r>
      <w:r>
        <w:rPr>
          <w:rtl/>
        </w:rPr>
        <w:t>. و</w:t>
      </w:r>
      <w:r>
        <w:rPr>
          <w:rFonts w:hint="cs"/>
          <w:rtl/>
        </w:rPr>
        <w:t>قد</w:t>
      </w:r>
      <w:r w:rsidRPr="00DE45ED">
        <w:rPr>
          <w:rtl/>
        </w:rPr>
        <w:t xml:space="preserve"> </w:t>
      </w:r>
      <w:r>
        <w:rPr>
          <w:rtl/>
        </w:rPr>
        <w:t>تم إقرار هذه الغاية في أحكام الاتفاقيات الدولية التي صد</w:t>
      </w:r>
      <w:r>
        <w:rPr>
          <w:rFonts w:hint="cs"/>
          <w:rtl/>
        </w:rPr>
        <w:t>ّ</w:t>
      </w:r>
      <w:r>
        <w:rPr>
          <w:rtl/>
        </w:rPr>
        <w:t>ق عليها الاتحاد الروسي.</w:t>
      </w:r>
    </w:p>
    <w:p w14:paraId="712CC5C5" w14:textId="77777777" w:rsidR="00714C00" w:rsidRPr="00FF2A2E" w:rsidRDefault="00714C00" w:rsidP="00714C00">
      <w:pPr>
        <w:pStyle w:val="SingleTxtGA"/>
        <w:rPr>
          <w:spacing w:val="3"/>
          <w:rtl/>
        </w:rPr>
      </w:pPr>
      <w:r w:rsidRPr="00FF2A2E">
        <w:rPr>
          <w:spacing w:val="3"/>
          <w:rtl/>
        </w:rPr>
        <w:t>4-7</w:t>
      </w:r>
      <w:r w:rsidRPr="00FF2A2E">
        <w:rPr>
          <w:spacing w:val="3"/>
          <w:rtl/>
        </w:rPr>
        <w:tab/>
        <w:t>وتلاحظ الدولة الطرف أن محكمتي الاستئناف والنقض قد اتخذتا قراريهما على أساس الأحكام والمتطل</w:t>
      </w:r>
      <w:r w:rsidRPr="00FF2A2E">
        <w:rPr>
          <w:rFonts w:hint="cs"/>
          <w:spacing w:val="3"/>
          <w:rtl/>
        </w:rPr>
        <w:t>َّ</w:t>
      </w:r>
      <w:r w:rsidRPr="00FF2A2E">
        <w:rPr>
          <w:spacing w:val="3"/>
          <w:rtl/>
        </w:rPr>
        <w:t>بات المضمنة في قانون الأسرة (المواد 1 و12 و47) وقانون الضمانات الأساسية لحقوق الطفل في الاتحاد الروسي (المادة 14)، التي تنص على أن</w:t>
      </w:r>
      <w:r w:rsidRPr="00FF2A2E">
        <w:rPr>
          <w:rFonts w:hint="cs"/>
          <w:spacing w:val="3"/>
          <w:rtl/>
        </w:rPr>
        <w:t xml:space="preserve"> من واجب</w:t>
      </w:r>
      <w:r w:rsidRPr="00FF2A2E">
        <w:rPr>
          <w:spacing w:val="3"/>
          <w:rtl/>
        </w:rPr>
        <w:t xml:space="preserve"> سلطات الدولة اتخاذ تدابير لحماية الأطفال من المعلومات المؤذية بما فيها الدعاية للعلاقات الجنسية غير التقليدية. وتنبثق الحاجة إلى مثل هذه الحماية أيضاً عن القرارات السابقة التي صدرت عن هيئات المعاهدات</w:t>
      </w:r>
      <w:r w:rsidRPr="00FF2A2E">
        <w:rPr>
          <w:spacing w:val="3"/>
          <w:vertAlign w:val="superscript"/>
          <w:rtl/>
        </w:rPr>
        <w:t>(</w:t>
      </w:r>
      <w:r w:rsidRPr="00FF2A2E">
        <w:rPr>
          <w:rStyle w:val="FootnoteReference"/>
          <w:spacing w:val="3"/>
          <w:lang w:val="en-US"/>
        </w:rPr>
        <w:footnoteReference w:id="8"/>
      </w:r>
      <w:r w:rsidRPr="00FF2A2E">
        <w:rPr>
          <w:spacing w:val="3"/>
          <w:vertAlign w:val="superscript"/>
          <w:rtl/>
        </w:rPr>
        <w:t>)</w:t>
      </w:r>
      <w:r w:rsidRPr="00FF2A2E">
        <w:rPr>
          <w:spacing w:val="3"/>
          <w:rtl/>
        </w:rPr>
        <w:t xml:space="preserve"> ومعاهدات حقوق الإنسان</w:t>
      </w:r>
      <w:r w:rsidRPr="00FF2A2E">
        <w:rPr>
          <w:spacing w:val="3"/>
          <w:vertAlign w:val="superscript"/>
          <w:rtl/>
        </w:rPr>
        <w:t>(</w:t>
      </w:r>
      <w:r w:rsidRPr="00FF2A2E">
        <w:rPr>
          <w:rStyle w:val="FootnoteReference"/>
          <w:spacing w:val="3"/>
          <w:lang w:val="en-US"/>
        </w:rPr>
        <w:footnoteReference w:id="9"/>
      </w:r>
      <w:r w:rsidRPr="00FF2A2E">
        <w:rPr>
          <w:spacing w:val="3"/>
          <w:vertAlign w:val="superscript"/>
          <w:rtl/>
        </w:rPr>
        <w:t>)</w:t>
      </w:r>
      <w:r w:rsidRPr="00FF2A2E">
        <w:rPr>
          <w:spacing w:val="3"/>
          <w:rtl/>
        </w:rPr>
        <w:t xml:space="preserve">. </w:t>
      </w:r>
    </w:p>
    <w:p w14:paraId="5DABFD71" w14:textId="77777777" w:rsidR="00714C00" w:rsidRPr="005C2BAA" w:rsidRDefault="00714C00" w:rsidP="00714C00">
      <w:pPr>
        <w:pStyle w:val="SingleTxtGA"/>
        <w:rPr>
          <w:spacing w:val="-2"/>
          <w:rtl/>
        </w:rPr>
      </w:pPr>
      <w:r w:rsidRPr="00383CD5">
        <w:rPr>
          <w:spacing w:val="-2"/>
          <w:rtl/>
        </w:rPr>
        <w:t>4</w:t>
      </w:r>
      <w:r w:rsidRPr="005C2BAA">
        <w:rPr>
          <w:spacing w:val="-2"/>
          <w:rtl/>
        </w:rPr>
        <w:t>-</w:t>
      </w:r>
      <w:r w:rsidRPr="00383CD5">
        <w:rPr>
          <w:spacing w:val="-2"/>
          <w:rtl/>
        </w:rPr>
        <w:t>8</w:t>
      </w:r>
      <w:r w:rsidRPr="005C2BAA">
        <w:rPr>
          <w:spacing w:val="-2"/>
          <w:rtl/>
        </w:rPr>
        <w:tab/>
        <w:t xml:space="preserve">وتقول الدولة الطرف أيضاً إن اليوم الذي كان محدداً للتجمع المخطط له صادف يوم الاحتفال بعيد الفصح. وعليه، فإن المحاكم، إذ تضع نصب عينيها </w:t>
      </w:r>
      <w:r w:rsidRPr="005C2BAA">
        <w:rPr>
          <w:rFonts w:hint="cs"/>
          <w:spacing w:val="-2"/>
          <w:rtl/>
        </w:rPr>
        <w:t>الحاج</w:t>
      </w:r>
      <w:r w:rsidRPr="005C2BAA">
        <w:rPr>
          <w:spacing w:val="-2"/>
          <w:rtl/>
        </w:rPr>
        <w:t>ة</w:t>
      </w:r>
      <w:r w:rsidRPr="005C2BAA">
        <w:rPr>
          <w:rFonts w:hint="cs"/>
          <w:spacing w:val="-2"/>
          <w:rtl/>
        </w:rPr>
        <w:t xml:space="preserve"> إلى</w:t>
      </w:r>
      <w:r w:rsidRPr="005C2BAA">
        <w:rPr>
          <w:spacing w:val="-2"/>
          <w:rtl/>
        </w:rPr>
        <w:t xml:space="preserve"> حماية الأطفال من المعلومات التي من شأنها أن تلحق الأذى بن</w:t>
      </w:r>
      <w:r w:rsidRPr="005C2BAA">
        <w:rPr>
          <w:rFonts w:hint="cs"/>
          <w:spacing w:val="-2"/>
          <w:rtl/>
        </w:rPr>
        <w:t>شأتهم</w:t>
      </w:r>
      <w:r w:rsidRPr="005C2BAA">
        <w:rPr>
          <w:spacing w:val="-2"/>
          <w:rtl/>
        </w:rPr>
        <w:t xml:space="preserve"> و</w:t>
      </w:r>
      <w:r w:rsidRPr="005C2BAA">
        <w:rPr>
          <w:rFonts w:hint="cs"/>
          <w:spacing w:val="-2"/>
          <w:rtl/>
        </w:rPr>
        <w:t>سلام</w:t>
      </w:r>
      <w:r w:rsidRPr="005C2BAA">
        <w:rPr>
          <w:spacing w:val="-2"/>
          <w:rtl/>
        </w:rPr>
        <w:t>تهم الأخلاقي</w:t>
      </w:r>
      <w:r w:rsidRPr="005C2BAA">
        <w:rPr>
          <w:rFonts w:hint="cs"/>
          <w:spacing w:val="-2"/>
          <w:rtl/>
        </w:rPr>
        <w:t>ت</w:t>
      </w:r>
      <w:r w:rsidRPr="005C2BAA">
        <w:rPr>
          <w:spacing w:val="-2"/>
          <w:rtl/>
        </w:rPr>
        <w:t>ين والروحي</w:t>
      </w:r>
      <w:r w:rsidRPr="005C2BAA">
        <w:rPr>
          <w:rFonts w:hint="cs"/>
          <w:spacing w:val="-2"/>
          <w:rtl/>
        </w:rPr>
        <w:t>ت</w:t>
      </w:r>
      <w:r w:rsidRPr="005C2BAA">
        <w:rPr>
          <w:spacing w:val="-2"/>
          <w:rtl/>
        </w:rPr>
        <w:t>ين، وهو هدف لا يمكن تحقيقه إلا بفرض قيد على حقوق المنظ</w:t>
      </w:r>
      <w:r w:rsidRPr="005C2BAA">
        <w:rPr>
          <w:rFonts w:hint="cs"/>
          <w:spacing w:val="-2"/>
          <w:rtl/>
        </w:rPr>
        <w:t>ِّ</w:t>
      </w:r>
      <w:r w:rsidRPr="005C2BAA">
        <w:rPr>
          <w:spacing w:val="-2"/>
          <w:rtl/>
        </w:rPr>
        <w:t>م، قد استنتجت وفقاً للقانون أنه لا ي</w:t>
      </w:r>
      <w:r w:rsidRPr="005C2BAA">
        <w:rPr>
          <w:rFonts w:hint="cs"/>
          <w:spacing w:val="-2"/>
          <w:rtl/>
        </w:rPr>
        <w:t>جوز</w:t>
      </w:r>
      <w:r w:rsidRPr="005C2BAA">
        <w:rPr>
          <w:spacing w:val="-2"/>
          <w:rtl/>
        </w:rPr>
        <w:t xml:space="preserve"> السماح بعقد التجمع في التاريخ المقترح. </w:t>
      </w:r>
    </w:p>
    <w:p w14:paraId="2A26C107" w14:textId="77777777" w:rsidR="00714C00" w:rsidRPr="005C2BAA" w:rsidRDefault="00714C00" w:rsidP="00714C00">
      <w:pPr>
        <w:pStyle w:val="SingleTxtGA"/>
        <w:rPr>
          <w:spacing w:val="-2"/>
          <w:rtl/>
        </w:rPr>
      </w:pPr>
      <w:r w:rsidRPr="00383CD5">
        <w:rPr>
          <w:spacing w:val="-2"/>
          <w:rtl/>
        </w:rPr>
        <w:t>4</w:t>
      </w:r>
      <w:r w:rsidRPr="005C2BAA">
        <w:rPr>
          <w:spacing w:val="-2"/>
          <w:rtl/>
        </w:rPr>
        <w:t>-</w:t>
      </w:r>
      <w:r w:rsidRPr="00383CD5">
        <w:rPr>
          <w:spacing w:val="-2"/>
          <w:rtl/>
        </w:rPr>
        <w:t>9</w:t>
      </w:r>
      <w:r w:rsidRPr="005C2BAA">
        <w:rPr>
          <w:spacing w:val="-2"/>
          <w:rtl/>
        </w:rPr>
        <w:tab/>
        <w:t>وتقول الدولة الطرف إن سبب رفض تنظيم الم</w:t>
      </w:r>
      <w:r w:rsidRPr="005C2BAA">
        <w:rPr>
          <w:rFonts w:hint="cs"/>
          <w:spacing w:val="-2"/>
          <w:rtl/>
        </w:rPr>
        <w:t>سيرة</w:t>
      </w:r>
      <w:r w:rsidRPr="005C2BAA">
        <w:rPr>
          <w:spacing w:val="-2"/>
          <w:rtl/>
        </w:rPr>
        <w:t xml:space="preserve"> لم يتضمن أي شكل من أشكال عدم التسامح تجاه الأشخاص ذوي الميول الجنسية غير التقليدية، </w:t>
      </w:r>
      <w:r w:rsidRPr="005C2BAA">
        <w:rPr>
          <w:rFonts w:hint="cs"/>
          <w:spacing w:val="-2"/>
          <w:rtl/>
        </w:rPr>
        <w:t>وتم تقريره</w:t>
      </w:r>
      <w:r w:rsidRPr="005C2BAA">
        <w:rPr>
          <w:spacing w:val="-2"/>
          <w:rtl/>
        </w:rPr>
        <w:t xml:space="preserve"> حصراً على الحاجة إلى حماية حقوق الطفل.</w:t>
      </w:r>
    </w:p>
    <w:p w14:paraId="2BC7EF61" w14:textId="0B6D5FE7" w:rsidR="00714C00" w:rsidRDefault="00714C00" w:rsidP="00714C00">
      <w:pPr>
        <w:pStyle w:val="SingleTxtGA"/>
        <w:rPr>
          <w:rtl/>
        </w:rPr>
      </w:pPr>
      <w:r w:rsidRPr="00383CD5">
        <w:rPr>
          <w:rtl/>
        </w:rPr>
        <w:t>4</w:t>
      </w:r>
      <w:r>
        <w:rPr>
          <w:rtl/>
        </w:rPr>
        <w:t>-</w:t>
      </w:r>
      <w:r w:rsidRPr="00383CD5">
        <w:rPr>
          <w:rtl/>
        </w:rPr>
        <w:t>10</w:t>
      </w:r>
      <w:r>
        <w:rPr>
          <w:rtl/>
        </w:rPr>
        <w:tab/>
        <w:t xml:space="preserve">وتلاحظ الدولة الطرف أن المحاكم </w:t>
      </w:r>
      <w:r>
        <w:rPr>
          <w:rFonts w:hint="cs"/>
          <w:rtl/>
        </w:rPr>
        <w:t xml:space="preserve">قد </w:t>
      </w:r>
      <w:r>
        <w:rPr>
          <w:rtl/>
        </w:rPr>
        <w:t>استنتجت وفقاً للقانون أن</w:t>
      </w:r>
      <w:r>
        <w:rPr>
          <w:rFonts w:hint="cs"/>
          <w:rtl/>
        </w:rPr>
        <w:t>ه ليس لزاما</w:t>
      </w:r>
      <w:r w:rsidR="00E4012E">
        <w:rPr>
          <w:rFonts w:hint="cs"/>
          <w:rtl/>
        </w:rPr>
        <w:t>ً</w:t>
      </w:r>
      <w:r>
        <w:rPr>
          <w:rFonts w:hint="cs"/>
          <w:rtl/>
        </w:rPr>
        <w:t xml:space="preserve"> على</w:t>
      </w:r>
      <w:r>
        <w:rPr>
          <w:rtl/>
        </w:rPr>
        <w:t xml:space="preserve"> السلطات المحلية اقتراح تاريخ ومكان آخر لتنظيم الم</w:t>
      </w:r>
      <w:r>
        <w:rPr>
          <w:rFonts w:hint="cs"/>
          <w:rtl/>
        </w:rPr>
        <w:t>سيرة</w:t>
      </w:r>
      <w:r>
        <w:rPr>
          <w:rtl/>
        </w:rPr>
        <w:t xml:space="preserve">، لأن الأغراض المتوخاة من الحدث تنتهك أحكام القانون، حيث إن الغرض منها هو الترويج للمتعة الجنسية وانتهاك حقوق الطفل. </w:t>
      </w:r>
    </w:p>
    <w:p w14:paraId="30371ACE" w14:textId="5F7EC644" w:rsidR="00714C00" w:rsidRPr="00383CD5" w:rsidRDefault="00714C00" w:rsidP="00714C00">
      <w:pPr>
        <w:pStyle w:val="H23GA"/>
        <w:rPr>
          <w:rtl/>
        </w:rPr>
      </w:pPr>
      <w:r w:rsidRPr="00383CD5">
        <w:rPr>
          <w:rtl/>
        </w:rPr>
        <w:tab/>
      </w:r>
      <w:r w:rsidRPr="00383CD5">
        <w:rPr>
          <w:rtl/>
        </w:rPr>
        <w:tab/>
        <w:t>تعليقات صاحب البلاغ على ملاحظة الدولة الطرف بشأن المقبولية والأسس الموضوعية</w:t>
      </w:r>
    </w:p>
    <w:p w14:paraId="4D0C1E03" w14:textId="4F1D6492" w:rsidR="00714C00" w:rsidRDefault="00714C00" w:rsidP="00714C00">
      <w:pPr>
        <w:pStyle w:val="SingleTxtGA"/>
        <w:rPr>
          <w:rtl/>
        </w:rPr>
      </w:pPr>
      <w:r w:rsidRPr="00383CD5">
        <w:rPr>
          <w:rtl/>
        </w:rPr>
        <w:t>5</w:t>
      </w:r>
      <w:r>
        <w:rPr>
          <w:rtl/>
        </w:rPr>
        <w:t>-</w:t>
      </w:r>
      <w:r w:rsidRPr="00383CD5">
        <w:rPr>
          <w:rtl/>
        </w:rPr>
        <w:t>1</w:t>
      </w:r>
      <w:r>
        <w:rPr>
          <w:rtl/>
        </w:rPr>
        <w:tab/>
        <w:t xml:space="preserve">في </w:t>
      </w:r>
      <w:r w:rsidRPr="00383CD5">
        <w:rPr>
          <w:rtl/>
        </w:rPr>
        <w:t>15</w:t>
      </w:r>
      <w:r>
        <w:rPr>
          <w:rtl/>
        </w:rPr>
        <w:t xml:space="preserve"> أيلول/سبتمبر </w:t>
      </w:r>
      <w:r w:rsidRPr="00383CD5">
        <w:rPr>
          <w:rtl/>
        </w:rPr>
        <w:t>2015</w:t>
      </w:r>
      <w:r>
        <w:rPr>
          <w:rtl/>
        </w:rPr>
        <w:t xml:space="preserve">، قدم صاحب البلاغ تعليقاته على ملاحظات الدولة الطرف. فقال إن المحكمة الأوروبية لحقوق الإنسان، في قرارها المؤرخ </w:t>
      </w:r>
      <w:r w:rsidRPr="00383CD5">
        <w:rPr>
          <w:rtl/>
        </w:rPr>
        <w:t>21</w:t>
      </w:r>
      <w:r>
        <w:rPr>
          <w:rtl/>
        </w:rPr>
        <w:t xml:space="preserve"> تشرين الأول/أكتوبر </w:t>
      </w:r>
      <w:r w:rsidRPr="00383CD5">
        <w:rPr>
          <w:rtl/>
        </w:rPr>
        <w:t>2010</w:t>
      </w:r>
      <w:r>
        <w:rPr>
          <w:rtl/>
        </w:rPr>
        <w:t xml:space="preserve">، في قضية </w:t>
      </w:r>
      <w:proofErr w:type="spellStart"/>
      <w:r w:rsidRPr="00383CD5">
        <w:rPr>
          <w:i/>
          <w:iCs/>
          <w:rtl/>
        </w:rPr>
        <w:t>ألكسييف</w:t>
      </w:r>
      <w:proofErr w:type="spellEnd"/>
      <w:r w:rsidRPr="00383CD5">
        <w:rPr>
          <w:i/>
          <w:iCs/>
          <w:rtl/>
        </w:rPr>
        <w:t xml:space="preserve"> ضد روسيا</w:t>
      </w:r>
      <w:r>
        <w:rPr>
          <w:vertAlign w:val="superscript"/>
          <w:rtl/>
        </w:rPr>
        <w:t>(</w:t>
      </w:r>
      <w:r w:rsidRPr="00383CD5">
        <w:rPr>
          <w:rStyle w:val="FootnoteReference"/>
          <w:lang w:val="en-US"/>
        </w:rPr>
        <w:footnoteReference w:id="10"/>
      </w:r>
      <w:r>
        <w:rPr>
          <w:vertAlign w:val="superscript"/>
          <w:rtl/>
        </w:rPr>
        <w:t>)</w:t>
      </w:r>
      <w:r>
        <w:rPr>
          <w:rtl/>
        </w:rPr>
        <w:t>، وجدت أن رفض السماح بتنظيم م</w:t>
      </w:r>
      <w:r>
        <w:rPr>
          <w:rFonts w:hint="cs"/>
          <w:rtl/>
        </w:rPr>
        <w:t>سيرات</w:t>
      </w:r>
      <w:r>
        <w:rPr>
          <w:rtl/>
        </w:rPr>
        <w:t xml:space="preserve"> فخر </w:t>
      </w:r>
      <w:r>
        <w:rPr>
          <w:rFonts w:hint="cs"/>
          <w:rtl/>
        </w:rPr>
        <w:t xml:space="preserve">المثليات </w:t>
      </w:r>
      <w:r>
        <w:rPr>
          <w:rtl/>
        </w:rPr>
        <w:t xml:space="preserve">المثليين التي كانت مقررة في أعوام </w:t>
      </w:r>
      <w:r w:rsidRPr="00383CD5">
        <w:rPr>
          <w:rtl/>
        </w:rPr>
        <w:t>2006</w:t>
      </w:r>
      <w:r>
        <w:rPr>
          <w:rtl/>
        </w:rPr>
        <w:t xml:space="preserve"> و</w:t>
      </w:r>
      <w:r w:rsidRPr="00383CD5">
        <w:rPr>
          <w:rtl/>
        </w:rPr>
        <w:t>2007</w:t>
      </w:r>
      <w:r>
        <w:rPr>
          <w:rtl/>
        </w:rPr>
        <w:t xml:space="preserve"> و</w:t>
      </w:r>
      <w:r w:rsidRPr="00383CD5">
        <w:rPr>
          <w:rtl/>
        </w:rPr>
        <w:t>2008</w:t>
      </w:r>
      <w:r>
        <w:rPr>
          <w:rtl/>
        </w:rPr>
        <w:t xml:space="preserve"> يكشف عن انتهاك </w:t>
      </w:r>
      <w:r>
        <w:rPr>
          <w:rFonts w:hint="cs"/>
          <w:rtl/>
        </w:rPr>
        <w:t>ا</w:t>
      </w:r>
      <w:r>
        <w:rPr>
          <w:rtl/>
        </w:rPr>
        <w:t xml:space="preserve">لمادتين </w:t>
      </w:r>
      <w:r w:rsidRPr="00383CD5">
        <w:rPr>
          <w:rtl/>
        </w:rPr>
        <w:t>11</w:t>
      </w:r>
      <w:r>
        <w:rPr>
          <w:rtl/>
        </w:rPr>
        <w:t xml:space="preserve"> و</w:t>
      </w:r>
      <w:r w:rsidRPr="00383CD5">
        <w:rPr>
          <w:rtl/>
        </w:rPr>
        <w:t>14</w:t>
      </w:r>
      <w:r>
        <w:rPr>
          <w:rtl/>
        </w:rPr>
        <w:t xml:space="preserve"> من الاتفاقية الأوروبية لحماية حقوق الإنسان والحريات الأساسية (الاتفاقية الأوروبية بشأن حقوق الإنسان)</w:t>
      </w:r>
      <w:r>
        <w:rPr>
          <w:vertAlign w:val="superscript"/>
          <w:rtl/>
        </w:rPr>
        <w:t>(</w:t>
      </w:r>
      <w:r w:rsidRPr="00383CD5">
        <w:rPr>
          <w:rStyle w:val="FootnoteReference"/>
          <w:lang w:val="en-US"/>
        </w:rPr>
        <w:footnoteReference w:id="11"/>
      </w:r>
      <w:r>
        <w:rPr>
          <w:vertAlign w:val="superscript"/>
          <w:rtl/>
        </w:rPr>
        <w:t>)</w:t>
      </w:r>
      <w:r w:rsidR="00A40D09">
        <w:rPr>
          <w:rFonts w:hint="cs"/>
          <w:rtl/>
        </w:rPr>
        <w:t>.</w:t>
      </w:r>
      <w:r>
        <w:rPr>
          <w:rtl/>
        </w:rPr>
        <w:t xml:space="preserve"> </w:t>
      </w:r>
    </w:p>
    <w:p w14:paraId="64E83660" w14:textId="77777777" w:rsidR="00714C00" w:rsidRDefault="00714C00" w:rsidP="00714C00">
      <w:pPr>
        <w:pStyle w:val="SingleTxtGA"/>
      </w:pPr>
      <w:r w:rsidRPr="00383CD5">
        <w:rPr>
          <w:rtl/>
        </w:rPr>
        <w:lastRenderedPageBreak/>
        <w:t>5</w:t>
      </w:r>
      <w:r>
        <w:rPr>
          <w:rtl/>
        </w:rPr>
        <w:t>-</w:t>
      </w:r>
      <w:r w:rsidRPr="00383CD5">
        <w:rPr>
          <w:rtl/>
        </w:rPr>
        <w:t>2</w:t>
      </w:r>
      <w:r>
        <w:rPr>
          <w:rtl/>
        </w:rPr>
        <w:tab/>
        <w:t xml:space="preserve">ويقول صاحب البلاغ إن اللجنة الأوروبية للديمقراطية من خلال القانون (لجنة البندقية)، </w:t>
      </w:r>
      <w:r>
        <w:rPr>
          <w:rFonts w:hint="cs"/>
          <w:rtl/>
        </w:rPr>
        <w:t xml:space="preserve">قد </w:t>
      </w:r>
      <w:r>
        <w:rPr>
          <w:rtl/>
        </w:rPr>
        <w:t>استنتجت،</w:t>
      </w:r>
      <w:r>
        <w:rPr>
          <w:rFonts w:hint="cs"/>
          <w:rtl/>
        </w:rPr>
        <w:t xml:space="preserve"> في</w:t>
      </w:r>
      <w:r>
        <w:rPr>
          <w:rtl/>
        </w:rPr>
        <w:t xml:space="preserve"> رأيها بشأن مسألة حظر ما يسمى "الدعاية للمثلية الجنسية" في ضوء تشريعات كانت قد اعت</w:t>
      </w:r>
      <w:r>
        <w:rPr>
          <w:rFonts w:hint="cs"/>
          <w:rtl/>
        </w:rPr>
        <w:t>ُ</w:t>
      </w:r>
      <w:r>
        <w:rPr>
          <w:rtl/>
        </w:rPr>
        <w:t>مدت منذ وقت قريب في بعض الدول الأعضاء في مجلس أوروبا (</w:t>
      </w:r>
      <w:r>
        <w:rPr>
          <w:rFonts w:hint="cs"/>
          <w:rtl/>
        </w:rPr>
        <w:t>ال</w:t>
      </w:r>
      <w:r>
        <w:rPr>
          <w:rtl/>
        </w:rPr>
        <w:t xml:space="preserve">رأي </w:t>
      </w:r>
      <w:r w:rsidRPr="00383CD5">
        <w:rPr>
          <w:rtl/>
        </w:rPr>
        <w:t>707</w:t>
      </w:r>
      <w:r>
        <w:rPr>
          <w:rtl/>
        </w:rPr>
        <w:t>/</w:t>
      </w:r>
      <w:r w:rsidRPr="00383CD5">
        <w:rPr>
          <w:rtl/>
        </w:rPr>
        <w:t>2012</w:t>
      </w:r>
      <w:r>
        <w:rPr>
          <w:rtl/>
        </w:rPr>
        <w:t>)</w:t>
      </w:r>
      <w:r>
        <w:rPr>
          <w:rFonts w:hint="cs"/>
          <w:rtl/>
        </w:rPr>
        <w:t>،</w:t>
      </w:r>
      <w:r>
        <w:rPr>
          <w:rtl/>
        </w:rPr>
        <w:t xml:space="preserve"> أن الأحكام القانونية التي تحظر "الدعاية للمثلية الجنسية" تتنافى وأحكام الاتفاقية الأوروبية بشأن حقوق الإنسان والمعايير الدولية لحقوق الإنسان، وأوصت من ثم بإلغائها. </w:t>
      </w:r>
    </w:p>
    <w:p w14:paraId="3B7AE02F" w14:textId="77777777" w:rsidR="00714C00" w:rsidRPr="00383CD5" w:rsidRDefault="00714C00" w:rsidP="00714C00">
      <w:pPr>
        <w:pStyle w:val="H23GA"/>
        <w:rPr>
          <w:rtl/>
        </w:rPr>
      </w:pPr>
      <w:r w:rsidRPr="00383CD5">
        <w:rPr>
          <w:rtl/>
        </w:rPr>
        <w:tab/>
      </w:r>
      <w:r w:rsidRPr="00383CD5">
        <w:rPr>
          <w:rtl/>
        </w:rPr>
        <w:tab/>
      </w:r>
      <w:r w:rsidRPr="00383CD5">
        <w:rPr>
          <w:rFonts w:hint="cs"/>
          <w:rtl/>
        </w:rPr>
        <w:t>المسائل والإجراءات المعروضة على اللجنة</w:t>
      </w:r>
    </w:p>
    <w:p w14:paraId="73F746B5" w14:textId="77777777" w:rsidR="00714C00" w:rsidRPr="00383CD5" w:rsidRDefault="00714C00" w:rsidP="00714C00">
      <w:pPr>
        <w:pStyle w:val="H4GA"/>
        <w:rPr>
          <w:rtl/>
          <w:lang w:eastAsia="ar-SA"/>
        </w:rPr>
      </w:pPr>
      <w:r w:rsidRPr="00383CD5">
        <w:rPr>
          <w:rtl/>
          <w:lang w:eastAsia="ar-SA"/>
        </w:rPr>
        <w:tab/>
      </w:r>
      <w:r w:rsidRPr="00383CD5">
        <w:rPr>
          <w:rtl/>
          <w:lang w:eastAsia="ar-SA"/>
        </w:rPr>
        <w:tab/>
      </w:r>
      <w:r w:rsidRPr="00383CD5">
        <w:rPr>
          <w:rFonts w:hint="cs"/>
          <w:rtl/>
          <w:lang w:eastAsia="ar-SA"/>
        </w:rPr>
        <w:t>النظر في المقبولية</w:t>
      </w:r>
    </w:p>
    <w:p w14:paraId="70609393" w14:textId="77777777" w:rsidR="00714C00" w:rsidRPr="003675BF" w:rsidRDefault="00714C00" w:rsidP="00714C00">
      <w:pPr>
        <w:pStyle w:val="SingleTxtGA"/>
        <w:rPr>
          <w:lang w:val="ar-SA" w:eastAsia="zh-TW" w:bidi="en-GB"/>
        </w:rPr>
      </w:pPr>
      <w:r w:rsidRPr="00383CD5">
        <w:rPr>
          <w:rtl/>
          <w:lang w:eastAsia="ar-SA"/>
        </w:rPr>
        <w:t>6</w:t>
      </w:r>
      <w:r w:rsidRPr="00BA216E">
        <w:rPr>
          <w:rtl/>
          <w:lang w:eastAsia="ar-SA"/>
        </w:rPr>
        <w:t>-</w:t>
      </w:r>
      <w:r w:rsidRPr="00383CD5">
        <w:rPr>
          <w:rtl/>
          <w:lang w:eastAsia="ar-SA"/>
        </w:rPr>
        <w:t>1</w:t>
      </w:r>
      <w:r w:rsidRPr="003675BF">
        <w:rPr>
          <w:rtl/>
        </w:rPr>
        <w:tab/>
        <w:t xml:space="preserve">قبل النظر في أي ادعاء يرد في بلاغ ما، يجب على اللجنة أن تقرر، </w:t>
      </w:r>
      <w:r>
        <w:rPr>
          <w:rtl/>
        </w:rPr>
        <w:t>عمل</w:t>
      </w:r>
      <w:r w:rsidRPr="003675BF">
        <w:rPr>
          <w:rtl/>
        </w:rPr>
        <w:t xml:space="preserve">اً </w:t>
      </w:r>
      <w:r>
        <w:rPr>
          <w:rtl/>
        </w:rPr>
        <w:t>با</w:t>
      </w:r>
      <w:r w:rsidRPr="003675BF">
        <w:rPr>
          <w:rtl/>
        </w:rPr>
        <w:t xml:space="preserve">لمادة </w:t>
      </w:r>
      <w:r w:rsidRPr="00383CD5">
        <w:rPr>
          <w:rtl/>
        </w:rPr>
        <w:t>97</w:t>
      </w:r>
      <w:r w:rsidRPr="003675BF">
        <w:rPr>
          <w:rtl/>
        </w:rPr>
        <w:t xml:space="preserve"> من نظامها الداخلي، ما إذا كان البلاغ مقبولاً أم لا بموجب البروتوكول الاختياري.</w:t>
      </w:r>
    </w:p>
    <w:p w14:paraId="440A5820" w14:textId="77777777" w:rsidR="00714C00" w:rsidRPr="003675BF" w:rsidRDefault="00714C00" w:rsidP="00714C00">
      <w:pPr>
        <w:pStyle w:val="SingleTxtGA"/>
        <w:rPr>
          <w:lang w:val="ar-SA" w:eastAsia="zh-TW" w:bidi="en-GB"/>
        </w:rPr>
      </w:pPr>
      <w:r w:rsidRPr="00383CD5">
        <w:rPr>
          <w:rtl/>
        </w:rPr>
        <w:t>6</w:t>
      </w:r>
      <w:r w:rsidRPr="003675BF">
        <w:t>-</w:t>
      </w:r>
      <w:r w:rsidRPr="00383CD5">
        <w:rPr>
          <w:rtl/>
        </w:rPr>
        <w:t>2</w:t>
      </w:r>
      <w:r w:rsidRPr="003675BF">
        <w:rPr>
          <w:rtl/>
        </w:rPr>
        <w:tab/>
        <w:t xml:space="preserve">وقد تأكدت اللجنة، وفقاً لما تنص عليه المادة </w:t>
      </w:r>
      <w:r w:rsidRPr="00383CD5">
        <w:rPr>
          <w:rtl/>
        </w:rPr>
        <w:t>5</w:t>
      </w:r>
      <w:r w:rsidRPr="003675BF">
        <w:rPr>
          <w:rtl/>
        </w:rPr>
        <w:t>(</w:t>
      </w:r>
      <w:r w:rsidRPr="00383CD5">
        <w:rPr>
          <w:rtl/>
        </w:rPr>
        <w:t>2</w:t>
      </w:r>
      <w:r w:rsidRPr="003675BF">
        <w:rPr>
          <w:rtl/>
        </w:rPr>
        <w:t>)(أ) من البروتوكول الاختياري، من أن المسألة نفسها ليست قيد النظر في إطار إجراء آخر من إجراءات التحقيق الدولي أو التسوية الدولية.</w:t>
      </w:r>
    </w:p>
    <w:p w14:paraId="5BE3A8DA" w14:textId="77777777" w:rsidR="00714C00" w:rsidRDefault="00714C00" w:rsidP="00714C00">
      <w:pPr>
        <w:pStyle w:val="SingleTxtGA"/>
        <w:rPr>
          <w:rtl/>
        </w:rPr>
      </w:pPr>
      <w:r w:rsidRPr="00383CD5">
        <w:rPr>
          <w:rtl/>
        </w:rPr>
        <w:t>6</w:t>
      </w:r>
      <w:r>
        <w:rPr>
          <w:rtl/>
        </w:rPr>
        <w:t>-</w:t>
      </w:r>
      <w:r w:rsidRPr="00383CD5">
        <w:rPr>
          <w:rtl/>
        </w:rPr>
        <w:t>3</w:t>
      </w:r>
      <w:r>
        <w:rPr>
          <w:rtl/>
        </w:rPr>
        <w:tab/>
        <w:t xml:space="preserve">تحيط اللجنة علماً بادعاء صاحب البلاغ أن جميع وسائل الانتصاف المحلية المتاحة قد استنفدت. وتلاحظ أيضاً، في هذه القضية، أن الدولة الطرف لم تقدم أي طعن </w:t>
      </w:r>
      <w:r>
        <w:rPr>
          <w:rFonts w:hint="cs"/>
          <w:rtl/>
        </w:rPr>
        <w:t xml:space="preserve">بشأن </w:t>
      </w:r>
      <w:r>
        <w:rPr>
          <w:rtl/>
        </w:rPr>
        <w:t>استنفاد جميع سبل الانتصاف المحلية. وعليه، ترى اللجنة أن ليس ثمة ما يمنعها من النظر في هذا البلاغ بموجب المادة </w:t>
      </w:r>
      <w:r w:rsidRPr="00383CD5">
        <w:rPr>
          <w:rtl/>
        </w:rPr>
        <w:t>5</w:t>
      </w:r>
      <w:r>
        <w:rPr>
          <w:rtl/>
        </w:rPr>
        <w:t>(</w:t>
      </w:r>
      <w:r w:rsidRPr="00383CD5">
        <w:rPr>
          <w:rtl/>
        </w:rPr>
        <w:t>2</w:t>
      </w:r>
      <w:r>
        <w:rPr>
          <w:rtl/>
        </w:rPr>
        <w:t xml:space="preserve">)(ب) من البروتوكول الاختياري. </w:t>
      </w:r>
    </w:p>
    <w:p w14:paraId="47D19C3F" w14:textId="77777777" w:rsidR="00714C00" w:rsidRDefault="00714C00" w:rsidP="00714C00">
      <w:pPr>
        <w:pStyle w:val="SingleTxtGA"/>
        <w:rPr>
          <w:rtl/>
        </w:rPr>
      </w:pPr>
      <w:r w:rsidRPr="00383CD5">
        <w:rPr>
          <w:rtl/>
        </w:rPr>
        <w:t>6</w:t>
      </w:r>
      <w:r>
        <w:rPr>
          <w:rtl/>
        </w:rPr>
        <w:t>-</w:t>
      </w:r>
      <w:r w:rsidRPr="00383CD5">
        <w:rPr>
          <w:rtl/>
        </w:rPr>
        <w:t>4</w:t>
      </w:r>
      <w:r>
        <w:rPr>
          <w:rtl/>
        </w:rPr>
        <w:tab/>
        <w:t xml:space="preserve">وتحيط اللجنة علماً أيضاً بادعاء صاحب البلاغ أن حقوقه بموجب المادتين </w:t>
      </w:r>
      <w:r w:rsidRPr="00383CD5">
        <w:rPr>
          <w:rtl/>
        </w:rPr>
        <w:t>21</w:t>
      </w:r>
      <w:r>
        <w:rPr>
          <w:rtl/>
        </w:rPr>
        <w:t xml:space="preserve"> و</w:t>
      </w:r>
      <w:r w:rsidRPr="00383CD5">
        <w:rPr>
          <w:rtl/>
        </w:rPr>
        <w:t>26</w:t>
      </w:r>
      <w:r>
        <w:rPr>
          <w:rtl/>
        </w:rPr>
        <w:t xml:space="preserve"> قد انت</w:t>
      </w:r>
      <w:r>
        <w:rPr>
          <w:rFonts w:hint="cs"/>
          <w:rtl/>
        </w:rPr>
        <w:t>ُ</w:t>
      </w:r>
      <w:r>
        <w:rPr>
          <w:rtl/>
        </w:rPr>
        <w:t>هكت لأنه حُرم من فرصة تنظيم م</w:t>
      </w:r>
      <w:r>
        <w:rPr>
          <w:rFonts w:hint="cs"/>
          <w:rtl/>
        </w:rPr>
        <w:t>سيرة</w:t>
      </w:r>
      <w:r>
        <w:rPr>
          <w:rtl/>
        </w:rPr>
        <w:t xml:space="preserve"> فخر </w:t>
      </w:r>
      <w:r>
        <w:rPr>
          <w:rFonts w:hint="cs"/>
          <w:rtl/>
        </w:rPr>
        <w:t>المثليات و</w:t>
      </w:r>
      <w:r>
        <w:rPr>
          <w:rtl/>
        </w:rPr>
        <w:t>المثليين وأنه تم التمييز في حقه على أساس ميله الجنسي. وترى اللجنة أن هذه الادعاءات قد دُعمت بالقدر الكافي لأغراض المقبولية</w:t>
      </w:r>
      <w:r>
        <w:rPr>
          <w:rFonts w:hint="cs"/>
          <w:rtl/>
        </w:rPr>
        <w:t>،</w:t>
      </w:r>
      <w:r>
        <w:rPr>
          <w:rtl/>
        </w:rPr>
        <w:t xml:space="preserve"> وهي من ثم تعلن البلاغ مقبولاً وتشرع في النظر في </w:t>
      </w:r>
      <w:r>
        <w:rPr>
          <w:rFonts w:hint="cs"/>
          <w:rtl/>
        </w:rPr>
        <w:t>ال</w:t>
      </w:r>
      <w:r>
        <w:rPr>
          <w:rtl/>
        </w:rPr>
        <w:t>أسس الموضوعية.</w:t>
      </w:r>
    </w:p>
    <w:p w14:paraId="4F63E9B0" w14:textId="77777777" w:rsidR="00714C00" w:rsidRPr="00383CD5" w:rsidRDefault="00714C00" w:rsidP="002F38CD">
      <w:pPr>
        <w:pStyle w:val="H4GA"/>
        <w:rPr>
          <w:rtl/>
        </w:rPr>
      </w:pPr>
      <w:r w:rsidRPr="00383CD5">
        <w:rPr>
          <w:rtl/>
        </w:rPr>
        <w:tab/>
      </w:r>
      <w:r w:rsidRPr="00383CD5">
        <w:rPr>
          <w:rtl/>
        </w:rPr>
        <w:tab/>
        <w:t>النظر في الأسس الموضوعية</w:t>
      </w:r>
    </w:p>
    <w:p w14:paraId="4708E5BF" w14:textId="77777777" w:rsidR="00714C00" w:rsidRDefault="00714C00" w:rsidP="00714C00">
      <w:pPr>
        <w:pStyle w:val="SingleTxtGA"/>
        <w:rPr>
          <w:rtl/>
          <w:lang w:eastAsia="ar-SA"/>
        </w:rPr>
      </w:pPr>
      <w:r w:rsidRPr="00383CD5">
        <w:rPr>
          <w:rtl/>
          <w:lang w:eastAsia="ar-SA"/>
        </w:rPr>
        <w:t>7</w:t>
      </w:r>
      <w:r>
        <w:rPr>
          <w:rtl/>
          <w:lang w:eastAsia="ar-SA"/>
        </w:rPr>
        <w:t>-</w:t>
      </w:r>
      <w:r w:rsidRPr="00383CD5">
        <w:rPr>
          <w:rtl/>
          <w:lang w:eastAsia="ar-SA"/>
        </w:rPr>
        <w:t>1</w:t>
      </w:r>
      <w:r>
        <w:rPr>
          <w:rtl/>
          <w:lang w:eastAsia="ar-SA"/>
        </w:rPr>
        <w:tab/>
        <w:t xml:space="preserve">نظرت اللجنة في البلاغ في ضوء جميع المعلومات التي قدمها الطرفان، وفقاً للمادة </w:t>
      </w:r>
      <w:r w:rsidRPr="00383CD5">
        <w:rPr>
          <w:rtl/>
          <w:lang w:eastAsia="ar-SA"/>
        </w:rPr>
        <w:t>5</w:t>
      </w:r>
      <w:r>
        <w:rPr>
          <w:rtl/>
          <w:lang w:eastAsia="ar-SA"/>
        </w:rPr>
        <w:t>(</w:t>
      </w:r>
      <w:r w:rsidRPr="00383CD5">
        <w:rPr>
          <w:rtl/>
          <w:lang w:eastAsia="ar-SA"/>
        </w:rPr>
        <w:t>1</w:t>
      </w:r>
      <w:r>
        <w:rPr>
          <w:rtl/>
          <w:lang w:eastAsia="ar-SA"/>
        </w:rPr>
        <w:t>) من البروتوكول الاختياري.</w:t>
      </w:r>
    </w:p>
    <w:p w14:paraId="3B629DF0" w14:textId="77777777" w:rsidR="00714C00" w:rsidRDefault="00714C00" w:rsidP="00714C00">
      <w:pPr>
        <w:pStyle w:val="SingleTxtGA"/>
        <w:rPr>
          <w:rtl/>
          <w:lang w:eastAsia="ar-SA"/>
        </w:rPr>
      </w:pPr>
      <w:r w:rsidRPr="00383CD5">
        <w:rPr>
          <w:rtl/>
          <w:lang w:eastAsia="ar-SA"/>
        </w:rPr>
        <w:t>7</w:t>
      </w:r>
      <w:r>
        <w:rPr>
          <w:rtl/>
          <w:lang w:eastAsia="ar-SA"/>
        </w:rPr>
        <w:t>-</w:t>
      </w:r>
      <w:r w:rsidRPr="00383CD5">
        <w:rPr>
          <w:rtl/>
          <w:lang w:eastAsia="ar-SA"/>
        </w:rPr>
        <w:t>2</w:t>
      </w:r>
      <w:r>
        <w:rPr>
          <w:rtl/>
          <w:lang w:eastAsia="ar-SA"/>
        </w:rPr>
        <w:tab/>
        <w:t xml:space="preserve">وأحاطت اللجنة علماً بادعاء صاحب البلاغ بانتهاك حقوقه بموجب المادتين </w:t>
      </w:r>
      <w:r w:rsidRPr="00383CD5">
        <w:rPr>
          <w:rtl/>
          <w:lang w:eastAsia="ar-SA"/>
        </w:rPr>
        <w:t>21</w:t>
      </w:r>
      <w:r>
        <w:rPr>
          <w:rtl/>
          <w:lang w:eastAsia="ar-SA"/>
        </w:rPr>
        <w:t xml:space="preserve"> و</w:t>
      </w:r>
      <w:r w:rsidRPr="00383CD5">
        <w:rPr>
          <w:rtl/>
          <w:lang w:eastAsia="ar-SA"/>
        </w:rPr>
        <w:t>26</w:t>
      </w:r>
      <w:r>
        <w:rPr>
          <w:rtl/>
          <w:lang w:eastAsia="ar-SA"/>
        </w:rPr>
        <w:t xml:space="preserve"> من العهد. وتذكر اللجنة بتعليقها العام رقم </w:t>
      </w:r>
      <w:r w:rsidRPr="00383CD5">
        <w:rPr>
          <w:rtl/>
          <w:lang w:eastAsia="ar-SA"/>
        </w:rPr>
        <w:t>37</w:t>
      </w:r>
      <w:r>
        <w:rPr>
          <w:rtl/>
          <w:lang w:eastAsia="ar-SA"/>
        </w:rPr>
        <w:t>(</w:t>
      </w:r>
      <w:r w:rsidRPr="00383CD5">
        <w:rPr>
          <w:rtl/>
          <w:lang w:eastAsia="ar-SA"/>
        </w:rPr>
        <w:t>2020</w:t>
      </w:r>
      <w:r>
        <w:rPr>
          <w:rtl/>
          <w:lang w:eastAsia="ar-SA"/>
        </w:rPr>
        <w:t>)، الذي لاحظت فيه أن الحق في التجمع السلمي يحمي قدرة الأشخاص على ممارسة استقلالهم الذاتي ف</w:t>
      </w:r>
      <w:r>
        <w:rPr>
          <w:rFonts w:hint="cs"/>
          <w:rtl/>
          <w:lang w:eastAsia="ar-SA"/>
        </w:rPr>
        <w:t xml:space="preserve">ي </w:t>
      </w:r>
      <w:r>
        <w:rPr>
          <w:rtl/>
          <w:lang w:eastAsia="ar-SA"/>
        </w:rPr>
        <w:t>تضامن</w:t>
      </w:r>
      <w:r>
        <w:rPr>
          <w:rFonts w:hint="cs"/>
          <w:rtl/>
          <w:lang w:eastAsia="ar-SA"/>
        </w:rPr>
        <w:t>ٍ</w:t>
      </w:r>
      <w:r>
        <w:rPr>
          <w:rtl/>
          <w:lang w:eastAsia="ar-SA"/>
        </w:rPr>
        <w:t xml:space="preserve"> مع غيرهم. وهو، مقروناً بحقوق أخرى ذات الصلة، يشكّل أيضاً الأساس الذي يقوم عليه نظام الحكم التشاركي القائم على الديمقراطية وحقوق الإنسان وسيادة القانون والتعددية (الفقرة </w:t>
      </w:r>
      <w:r w:rsidRPr="00383CD5">
        <w:rPr>
          <w:rtl/>
          <w:lang w:eastAsia="ar-SA"/>
        </w:rPr>
        <w:t>1</w:t>
      </w:r>
      <w:r>
        <w:rPr>
          <w:rtl/>
          <w:lang w:eastAsia="ar-SA"/>
        </w:rPr>
        <w:t xml:space="preserve">). وعلاوة على ذلك يجب على الدول أن تكفل ألا </w:t>
      </w:r>
      <w:r>
        <w:rPr>
          <w:rFonts w:hint="cs"/>
          <w:rtl/>
          <w:lang w:eastAsia="ar-SA"/>
        </w:rPr>
        <w:t>ي</w:t>
      </w:r>
      <w:r>
        <w:rPr>
          <w:rtl/>
          <w:lang w:eastAsia="ar-SA"/>
        </w:rPr>
        <w:t xml:space="preserve">نجم عن القوانين وتفسيرها وتطبيقها تمييز في التمتع بالحق في التجمع السلمي، مثلاً على أساس الميل الجنسي أو الهوية الجنسانية (الفقرة </w:t>
      </w:r>
      <w:r w:rsidRPr="00383CD5">
        <w:rPr>
          <w:rtl/>
          <w:lang w:eastAsia="ar-SA"/>
        </w:rPr>
        <w:t>25</w:t>
      </w:r>
      <w:r>
        <w:rPr>
          <w:rtl/>
          <w:lang w:eastAsia="ar-SA"/>
        </w:rPr>
        <w:t>).</w:t>
      </w:r>
    </w:p>
    <w:p w14:paraId="5151D9F3" w14:textId="605708F4" w:rsidR="00714C00" w:rsidRDefault="00714C00" w:rsidP="00714C00">
      <w:pPr>
        <w:pStyle w:val="SingleTxtGA"/>
        <w:rPr>
          <w:rtl/>
          <w:lang w:val="en-US" w:eastAsia="ar-SA"/>
        </w:rPr>
      </w:pPr>
      <w:r w:rsidRPr="00383CD5">
        <w:rPr>
          <w:rtl/>
          <w:lang w:eastAsia="ar-SA"/>
        </w:rPr>
        <w:t>7</w:t>
      </w:r>
      <w:r>
        <w:rPr>
          <w:rtl/>
          <w:lang w:eastAsia="ar-SA"/>
        </w:rPr>
        <w:t>-</w:t>
      </w:r>
      <w:r w:rsidRPr="00383CD5">
        <w:rPr>
          <w:rtl/>
          <w:lang w:eastAsia="ar-SA"/>
        </w:rPr>
        <w:t>3</w:t>
      </w:r>
      <w:r>
        <w:rPr>
          <w:rtl/>
          <w:lang w:eastAsia="ar-SA"/>
        </w:rPr>
        <w:tab/>
        <w:t xml:space="preserve">وتشير اللجنة كذلك في التعليق العام نفسه أن المادة </w:t>
      </w:r>
      <w:r w:rsidRPr="00383CD5">
        <w:rPr>
          <w:rtl/>
          <w:lang w:eastAsia="ar-SA"/>
        </w:rPr>
        <w:t>21</w:t>
      </w:r>
      <w:r>
        <w:rPr>
          <w:rtl/>
          <w:lang w:eastAsia="ar-SA"/>
        </w:rPr>
        <w:t xml:space="preserve"> من العهد تحمي التجمعات السلمية أي</w:t>
      </w:r>
      <w:r>
        <w:rPr>
          <w:rFonts w:hint="cs"/>
          <w:rtl/>
          <w:lang w:eastAsia="ar-SA"/>
        </w:rPr>
        <w:t>اً</w:t>
      </w:r>
      <w:r>
        <w:rPr>
          <w:rtl/>
          <w:lang w:eastAsia="ar-SA"/>
        </w:rPr>
        <w:t xml:space="preserve"> كان مكان انعقادها: في العراء وداخل المباني وعلى الإنترنت وفي الفضاءات العامة والخاصة (المادة </w:t>
      </w:r>
      <w:r w:rsidRPr="00383CD5">
        <w:rPr>
          <w:rtl/>
          <w:lang w:eastAsia="ar-SA"/>
        </w:rPr>
        <w:t>6</w:t>
      </w:r>
      <w:r>
        <w:rPr>
          <w:rtl/>
          <w:lang w:eastAsia="ar-SA"/>
        </w:rPr>
        <w:t>). ولا ي</w:t>
      </w:r>
      <w:r>
        <w:rPr>
          <w:rFonts w:hint="cs"/>
          <w:rtl/>
          <w:lang w:eastAsia="ar-SA"/>
        </w:rPr>
        <w:t>جوز</w:t>
      </w:r>
      <w:r>
        <w:rPr>
          <w:rtl/>
          <w:lang w:eastAsia="ar-SA"/>
        </w:rPr>
        <w:t xml:space="preserve"> أي تقييد </w:t>
      </w:r>
      <w:r>
        <w:rPr>
          <w:rFonts w:hint="cs"/>
          <w:rtl/>
          <w:lang w:eastAsia="ar-SA"/>
        </w:rPr>
        <w:t>ل</w:t>
      </w:r>
      <w:r>
        <w:rPr>
          <w:rtl/>
          <w:lang w:eastAsia="ar-SA"/>
        </w:rPr>
        <w:t>لحق في التجمع في السلمي: (أ) ما لم يُفرض وفقاً للقانون؛ (ب) ما لم يكن ضرورياً في مجتمع ديمقراطي لمصلحة الأمن القومي أو السلامة العامة أو النظام العام أو حماية الصحة أو</w:t>
      </w:r>
      <w:r w:rsidR="005C2BAA">
        <w:rPr>
          <w:rFonts w:hint="cs"/>
          <w:rtl/>
          <w:lang w:eastAsia="ar-SA"/>
        </w:rPr>
        <w:t> </w:t>
      </w:r>
      <w:r>
        <w:rPr>
          <w:rtl/>
          <w:lang w:eastAsia="ar-SA"/>
        </w:rPr>
        <w:t>الآداب العامة أو حماية حقوق وحريات ال</w:t>
      </w:r>
      <w:r>
        <w:rPr>
          <w:rFonts w:hint="cs"/>
          <w:rtl/>
          <w:lang w:eastAsia="ar-SA"/>
        </w:rPr>
        <w:t>آ</w:t>
      </w:r>
      <w:r>
        <w:rPr>
          <w:rtl/>
          <w:lang w:eastAsia="ar-SA"/>
        </w:rPr>
        <w:t>خرين. ويقع عبء تبرير القيود على الدول الأطراف فيما</w:t>
      </w:r>
      <w:r w:rsidR="005C2BAA">
        <w:rPr>
          <w:rFonts w:hint="cs"/>
          <w:rtl/>
          <w:lang w:eastAsia="ar-SA"/>
        </w:rPr>
        <w:t> </w:t>
      </w:r>
      <w:r>
        <w:rPr>
          <w:rtl/>
          <w:lang w:eastAsia="ar-SA"/>
        </w:rPr>
        <w:t xml:space="preserve">يتعلق بتقييد الحق المحمي بموجب المادة </w:t>
      </w:r>
      <w:r w:rsidRPr="00383CD5">
        <w:rPr>
          <w:rtl/>
          <w:lang w:eastAsia="ar-SA"/>
        </w:rPr>
        <w:t>21</w:t>
      </w:r>
      <w:r>
        <w:rPr>
          <w:rtl/>
          <w:lang w:eastAsia="ar-SA"/>
        </w:rPr>
        <w:t xml:space="preserve"> من العهد والبرهنة على أن تلك القيود ليست عقبة غير </w:t>
      </w:r>
      <w:r>
        <w:rPr>
          <w:rtl/>
          <w:lang w:eastAsia="ar-SA"/>
        </w:rPr>
        <w:lastRenderedPageBreak/>
        <w:t xml:space="preserve">متناسبة أمام ممارسة ذلك الحق (الفقرة </w:t>
      </w:r>
      <w:r w:rsidRPr="00383CD5">
        <w:rPr>
          <w:rtl/>
          <w:lang w:eastAsia="ar-SA"/>
        </w:rPr>
        <w:t>36</w:t>
      </w:r>
      <w:r>
        <w:rPr>
          <w:rtl/>
          <w:lang w:eastAsia="ar-SA"/>
        </w:rPr>
        <w:t>)</w:t>
      </w:r>
      <w:r>
        <w:rPr>
          <w:vertAlign w:val="superscript"/>
          <w:rtl/>
          <w:lang w:eastAsia="ar-SA"/>
        </w:rPr>
        <w:t>(</w:t>
      </w:r>
      <w:r w:rsidRPr="00383CD5">
        <w:rPr>
          <w:rStyle w:val="FootnoteReference"/>
          <w:lang w:val="en-US" w:eastAsia="ar-SA"/>
        </w:rPr>
        <w:footnoteReference w:id="12"/>
      </w:r>
      <w:r>
        <w:rPr>
          <w:vertAlign w:val="superscript"/>
          <w:rtl/>
          <w:lang w:eastAsia="ar-SA"/>
        </w:rPr>
        <w:t>)</w:t>
      </w:r>
      <w:r w:rsidR="005C2BAA">
        <w:rPr>
          <w:rFonts w:hint="cs"/>
          <w:rtl/>
          <w:lang w:eastAsia="ar-SA"/>
        </w:rPr>
        <w:t>.</w:t>
      </w:r>
      <w:r>
        <w:rPr>
          <w:rtl/>
          <w:lang w:eastAsia="ar-SA"/>
        </w:rPr>
        <w:t xml:space="preserve"> ويجب على السلطات أن تكون قادرة على إثبات أن أي</w:t>
      </w:r>
      <w:r w:rsidR="005C2BAA">
        <w:rPr>
          <w:rFonts w:hint="cs"/>
          <w:rtl/>
          <w:lang w:eastAsia="ar-SA"/>
        </w:rPr>
        <w:t> </w:t>
      </w:r>
      <w:r>
        <w:rPr>
          <w:rtl/>
          <w:lang w:eastAsia="ar-SA"/>
        </w:rPr>
        <w:t xml:space="preserve">قيد تفرضه يلبي شرط الشرعية، وأنه في الوقت نفسه ضروري ومتناسب </w:t>
      </w:r>
      <w:r>
        <w:rPr>
          <w:rFonts w:hint="cs"/>
          <w:rtl/>
          <w:lang w:eastAsia="ar-SA"/>
        </w:rPr>
        <w:t>مع</w:t>
      </w:r>
      <w:r>
        <w:rPr>
          <w:rtl/>
          <w:lang w:eastAsia="ar-SA"/>
        </w:rPr>
        <w:t xml:space="preserve"> سبب واحد جائز على الأقل من أسباب القيود المذكورة في المادة </w:t>
      </w:r>
      <w:r w:rsidRPr="00383CD5">
        <w:rPr>
          <w:rtl/>
          <w:lang w:eastAsia="ar-SA"/>
        </w:rPr>
        <w:t>21</w:t>
      </w:r>
      <w:r>
        <w:rPr>
          <w:rtl/>
          <w:lang w:eastAsia="ar-SA"/>
        </w:rPr>
        <w:t xml:space="preserve">. ويجب ألا تكون القيود </w:t>
      </w:r>
      <w:r>
        <w:rPr>
          <w:rtl/>
          <w:lang w:val="en-US" w:eastAsia="ar-SA"/>
        </w:rPr>
        <w:t xml:space="preserve">تمييزية وألا تشكل مساساً بجوهر الحق أو ترمي إلى الثني عن المشاركة في التجمعات أو التسبب في التراجع عنها. وعندما لا تقوم الدولة بهذا العبء، تُنتهك المادة </w:t>
      </w:r>
      <w:r w:rsidRPr="00383CD5">
        <w:rPr>
          <w:rtl/>
          <w:lang w:val="en-US" w:eastAsia="ar-SA"/>
        </w:rPr>
        <w:t>21</w:t>
      </w:r>
      <w:r>
        <w:rPr>
          <w:rtl/>
          <w:lang w:val="en-US" w:eastAsia="ar-SA"/>
        </w:rPr>
        <w:t xml:space="preserve"> (المرجع نفسه)</w:t>
      </w:r>
      <w:r>
        <w:rPr>
          <w:vertAlign w:val="superscript"/>
          <w:rtl/>
          <w:lang w:eastAsia="ar-SA"/>
        </w:rPr>
        <w:t>(</w:t>
      </w:r>
      <w:r w:rsidRPr="00383CD5">
        <w:rPr>
          <w:rStyle w:val="FootnoteReference"/>
          <w:lang w:val="en-US" w:eastAsia="ar-SA"/>
        </w:rPr>
        <w:footnoteReference w:id="13"/>
      </w:r>
      <w:r>
        <w:rPr>
          <w:vertAlign w:val="superscript"/>
          <w:rtl/>
          <w:lang w:eastAsia="ar-SA"/>
        </w:rPr>
        <w:t>)</w:t>
      </w:r>
      <w:r>
        <w:rPr>
          <w:rtl/>
          <w:lang w:val="en-US" w:eastAsia="ar-SA"/>
        </w:rPr>
        <w:t xml:space="preserve">. </w:t>
      </w:r>
    </w:p>
    <w:p w14:paraId="4C233058" w14:textId="3122B24D" w:rsidR="00714C00" w:rsidRDefault="00714C00" w:rsidP="00714C00">
      <w:pPr>
        <w:pStyle w:val="SingleTxtGA"/>
        <w:rPr>
          <w:rtl/>
          <w:lang w:eastAsia="ar-SA"/>
        </w:rPr>
      </w:pPr>
      <w:r w:rsidRPr="00383CD5">
        <w:rPr>
          <w:rtl/>
          <w:lang w:eastAsia="ar-SA"/>
        </w:rPr>
        <w:t>7</w:t>
      </w:r>
      <w:r>
        <w:rPr>
          <w:rtl/>
          <w:lang w:eastAsia="ar-SA"/>
        </w:rPr>
        <w:t>-</w:t>
      </w:r>
      <w:r w:rsidRPr="00383CD5">
        <w:rPr>
          <w:rtl/>
          <w:lang w:eastAsia="ar-SA"/>
        </w:rPr>
        <w:t>4</w:t>
      </w:r>
      <w:r>
        <w:rPr>
          <w:rtl/>
          <w:lang w:eastAsia="ar-SA"/>
        </w:rPr>
        <w:tab/>
        <w:t>وتلاحظ اللجنة، زيادة على ذلك</w:t>
      </w:r>
      <w:r>
        <w:rPr>
          <w:rFonts w:hint="cs"/>
          <w:rtl/>
          <w:lang w:eastAsia="ar-SA"/>
        </w:rPr>
        <w:t>،</w:t>
      </w:r>
      <w:r>
        <w:rPr>
          <w:rtl/>
          <w:lang w:eastAsia="ar-SA"/>
        </w:rPr>
        <w:t xml:space="preserve"> أن</w:t>
      </w:r>
      <w:r>
        <w:rPr>
          <w:rFonts w:hint="cs"/>
          <w:rtl/>
          <w:lang w:eastAsia="ar-SA"/>
        </w:rPr>
        <w:t xml:space="preserve"> على</w:t>
      </w:r>
      <w:r>
        <w:rPr>
          <w:rtl/>
          <w:lang w:eastAsia="ar-SA"/>
        </w:rPr>
        <w:t xml:space="preserve"> الدول الأطراف بعض الواجبات ال</w:t>
      </w:r>
      <w:r>
        <w:rPr>
          <w:rFonts w:hint="cs"/>
          <w:rtl/>
          <w:lang w:eastAsia="ar-SA"/>
        </w:rPr>
        <w:t>أ</w:t>
      </w:r>
      <w:r>
        <w:rPr>
          <w:rtl/>
          <w:lang w:eastAsia="ar-SA"/>
        </w:rPr>
        <w:t>ك</w:t>
      </w:r>
      <w:r>
        <w:rPr>
          <w:rFonts w:hint="cs"/>
          <w:rtl/>
          <w:lang w:eastAsia="ar-SA"/>
        </w:rPr>
        <w:t>ي</w:t>
      </w:r>
      <w:r>
        <w:rPr>
          <w:rtl/>
          <w:lang w:eastAsia="ar-SA"/>
        </w:rPr>
        <w:t>دة في تيسير التجمعات السلمية وفي تمكين المشاركين من تحقيق أغراضهم منها</w:t>
      </w:r>
      <w:r>
        <w:rPr>
          <w:vertAlign w:val="superscript"/>
          <w:rtl/>
          <w:lang w:eastAsia="ar-SA"/>
        </w:rPr>
        <w:t>(</w:t>
      </w:r>
      <w:r w:rsidRPr="00383CD5">
        <w:rPr>
          <w:rStyle w:val="FootnoteReference"/>
          <w:lang w:val="en-US" w:eastAsia="ar-SA"/>
        </w:rPr>
        <w:footnoteReference w:id="14"/>
      </w:r>
      <w:r>
        <w:rPr>
          <w:vertAlign w:val="superscript"/>
          <w:rtl/>
          <w:lang w:eastAsia="ar-SA"/>
        </w:rPr>
        <w:t>)</w:t>
      </w:r>
      <w:r>
        <w:rPr>
          <w:rtl/>
          <w:lang w:eastAsia="ar-SA"/>
        </w:rPr>
        <w:t>. و</w:t>
      </w:r>
      <w:r>
        <w:rPr>
          <w:rFonts w:hint="cs"/>
          <w:rtl/>
          <w:lang w:eastAsia="ar-SA"/>
        </w:rPr>
        <w:t xml:space="preserve">من ثم، </w:t>
      </w:r>
      <w:r>
        <w:rPr>
          <w:rtl/>
          <w:lang w:eastAsia="ar-SA"/>
        </w:rPr>
        <w:t>يتعين على الدول أن تعزز بيئة تمكينية لممارسة الحق في التجمع السلمي دون تمييز، وأن تضع إطار عمل قانوني ومؤسسي يمكن أن يمار</w:t>
      </w:r>
      <w:r>
        <w:rPr>
          <w:rFonts w:hint="cs"/>
          <w:rtl/>
          <w:lang w:eastAsia="ar-SA"/>
        </w:rPr>
        <w:t>َ</w:t>
      </w:r>
      <w:r>
        <w:rPr>
          <w:rtl/>
          <w:lang w:eastAsia="ar-SA"/>
        </w:rPr>
        <w:t>س ضمنه ذلك الحق فعلياً. وقد ي</w:t>
      </w:r>
      <w:r>
        <w:rPr>
          <w:rFonts w:hint="cs"/>
          <w:rtl/>
          <w:lang w:eastAsia="ar-SA"/>
        </w:rPr>
        <w:t>ست</w:t>
      </w:r>
      <w:r>
        <w:rPr>
          <w:rtl/>
          <w:lang w:eastAsia="ar-SA"/>
        </w:rPr>
        <w:t>لزم الأمر</w:t>
      </w:r>
      <w:r>
        <w:rPr>
          <w:rFonts w:hint="cs"/>
          <w:rtl/>
          <w:lang w:eastAsia="ar-SA"/>
        </w:rPr>
        <w:t>،</w:t>
      </w:r>
      <w:r>
        <w:rPr>
          <w:rtl/>
          <w:lang w:eastAsia="ar-SA"/>
        </w:rPr>
        <w:t xml:space="preserve"> في بعض الأحيان</w:t>
      </w:r>
      <w:r>
        <w:rPr>
          <w:rFonts w:hint="cs"/>
          <w:rtl/>
          <w:lang w:eastAsia="ar-SA"/>
        </w:rPr>
        <w:t>،</w:t>
      </w:r>
      <w:r>
        <w:rPr>
          <w:rtl/>
          <w:lang w:eastAsia="ar-SA"/>
        </w:rPr>
        <w:t xml:space="preserve"> اتخاذ السلطات تدابير محددة. فعلى سبيل المثال، ربما تحتاج السلطات إلى منع الوصول إلى الشوارع أو إعادة توجيه السير أو</w:t>
      </w:r>
      <w:r w:rsidR="005C2BAA">
        <w:rPr>
          <w:rFonts w:hint="eastAsia"/>
          <w:rtl/>
          <w:lang w:eastAsia="ar-SA"/>
        </w:rPr>
        <w:t> </w:t>
      </w:r>
      <w:r>
        <w:rPr>
          <w:rFonts w:hint="cs"/>
          <w:rtl/>
          <w:lang w:eastAsia="ar-SA"/>
        </w:rPr>
        <w:t>إلى</w:t>
      </w:r>
      <w:r>
        <w:rPr>
          <w:rtl/>
          <w:lang w:eastAsia="ar-SA"/>
        </w:rPr>
        <w:t xml:space="preserve"> تغيير اتجاه السير أو الإمداد بالخدمات الأمنية. ويتعين على الدول، عند الاقتضاء، كذلك حماية المشاركين من أي اعتداء </w:t>
      </w:r>
      <w:r>
        <w:rPr>
          <w:rFonts w:hint="cs"/>
          <w:rtl/>
          <w:lang w:eastAsia="ar-SA"/>
        </w:rPr>
        <w:t>ي</w:t>
      </w:r>
      <w:r>
        <w:rPr>
          <w:rtl/>
          <w:lang w:eastAsia="ar-SA"/>
        </w:rPr>
        <w:t>مكن</w:t>
      </w:r>
      <w:r>
        <w:rPr>
          <w:rFonts w:hint="cs"/>
          <w:rtl/>
          <w:lang w:eastAsia="ar-SA"/>
        </w:rPr>
        <w:t xml:space="preserve"> أن</w:t>
      </w:r>
      <w:r>
        <w:rPr>
          <w:rtl/>
          <w:lang w:eastAsia="ar-SA"/>
        </w:rPr>
        <w:t xml:space="preserve"> </w:t>
      </w:r>
      <w:r>
        <w:rPr>
          <w:rFonts w:hint="cs"/>
          <w:rtl/>
          <w:lang w:eastAsia="ar-SA"/>
        </w:rPr>
        <w:t>ت</w:t>
      </w:r>
      <w:r>
        <w:rPr>
          <w:rtl/>
          <w:lang w:eastAsia="ar-SA"/>
        </w:rPr>
        <w:t xml:space="preserve">قدم عليه </w:t>
      </w:r>
      <w:r>
        <w:rPr>
          <w:rFonts w:hint="cs"/>
          <w:rtl/>
          <w:lang w:eastAsia="ar-SA"/>
        </w:rPr>
        <w:t xml:space="preserve">جهات </w:t>
      </w:r>
      <w:r>
        <w:rPr>
          <w:rtl/>
          <w:lang w:eastAsia="ar-SA"/>
        </w:rPr>
        <w:t>فاعل</w:t>
      </w:r>
      <w:r>
        <w:rPr>
          <w:rFonts w:hint="cs"/>
          <w:rtl/>
          <w:lang w:eastAsia="ar-SA"/>
        </w:rPr>
        <w:t>ة</w:t>
      </w:r>
      <w:r>
        <w:rPr>
          <w:rtl/>
          <w:lang w:eastAsia="ar-SA"/>
        </w:rPr>
        <w:t xml:space="preserve"> غير الدولة، من قبيل التدخل أو العنف على يد أفراد من عامة الناس</w:t>
      </w:r>
      <w:r>
        <w:rPr>
          <w:vertAlign w:val="superscript"/>
          <w:rtl/>
          <w:lang w:eastAsia="ar-SA"/>
        </w:rPr>
        <w:t>(</w:t>
      </w:r>
      <w:r w:rsidRPr="00383CD5">
        <w:rPr>
          <w:rStyle w:val="FootnoteReference"/>
          <w:lang w:val="en-US" w:eastAsia="ar-SA"/>
        </w:rPr>
        <w:footnoteReference w:id="15"/>
      </w:r>
      <w:r>
        <w:rPr>
          <w:vertAlign w:val="superscript"/>
          <w:rtl/>
          <w:lang w:eastAsia="ar-SA"/>
        </w:rPr>
        <w:t>)</w:t>
      </w:r>
      <w:r>
        <w:rPr>
          <w:rtl/>
          <w:lang w:eastAsia="ar-SA"/>
        </w:rPr>
        <w:t xml:space="preserve"> ومن قبل المتظاهرين المضادين ومقدمي الخدمات الأمنية الخاصة</w:t>
      </w:r>
      <w:r>
        <w:rPr>
          <w:vertAlign w:val="superscript"/>
          <w:rtl/>
          <w:lang w:eastAsia="ar-SA"/>
        </w:rPr>
        <w:t>(</w:t>
      </w:r>
      <w:r w:rsidRPr="00383CD5">
        <w:rPr>
          <w:rStyle w:val="FootnoteReference"/>
          <w:lang w:val="en-US" w:eastAsia="ar-SA"/>
        </w:rPr>
        <w:footnoteReference w:id="16"/>
      </w:r>
      <w:r>
        <w:rPr>
          <w:vertAlign w:val="superscript"/>
          <w:rtl/>
          <w:lang w:eastAsia="ar-SA"/>
        </w:rPr>
        <w:t>)</w:t>
      </w:r>
      <w:r>
        <w:rPr>
          <w:rtl/>
          <w:lang w:eastAsia="ar-SA"/>
        </w:rPr>
        <w:t>.</w:t>
      </w:r>
    </w:p>
    <w:p w14:paraId="7D027D7A" w14:textId="77777777" w:rsidR="00714C00" w:rsidRDefault="00714C00" w:rsidP="00714C00">
      <w:pPr>
        <w:pStyle w:val="SingleTxtGA"/>
      </w:pPr>
      <w:r w:rsidRPr="00383CD5">
        <w:rPr>
          <w:rtl/>
        </w:rPr>
        <w:t>7</w:t>
      </w:r>
      <w:r>
        <w:rPr>
          <w:rtl/>
        </w:rPr>
        <w:t>-</w:t>
      </w:r>
      <w:r w:rsidRPr="00383CD5">
        <w:rPr>
          <w:rtl/>
        </w:rPr>
        <w:t>5</w:t>
      </w:r>
      <w:r>
        <w:rPr>
          <w:rtl/>
        </w:rPr>
        <w:tab/>
        <w:t>وفي هذه القضية، تلاحظ اللجنة أن كل</w:t>
      </w:r>
      <w:r>
        <w:rPr>
          <w:rFonts w:hint="cs"/>
          <w:rtl/>
        </w:rPr>
        <w:t>اًّ</w:t>
      </w:r>
      <w:r>
        <w:rPr>
          <w:rtl/>
        </w:rPr>
        <w:t xml:space="preserve"> من الدولة الطرف وصاحب البلاغ يتفقان على أن رفض منح الإذن بتنظيم موكب فخر </w:t>
      </w:r>
      <w:r>
        <w:rPr>
          <w:rFonts w:hint="cs"/>
          <w:rtl/>
        </w:rPr>
        <w:t>المثليات و</w:t>
      </w:r>
      <w:r>
        <w:rPr>
          <w:rtl/>
        </w:rPr>
        <w:t xml:space="preserve">المثليين في مركز مدينة </w:t>
      </w:r>
      <w:proofErr w:type="spellStart"/>
      <w:r>
        <w:rPr>
          <w:rtl/>
        </w:rPr>
        <w:t>سيمفيروبول</w:t>
      </w:r>
      <w:proofErr w:type="spellEnd"/>
      <w:r>
        <w:rPr>
          <w:rtl/>
        </w:rPr>
        <w:t xml:space="preserve"> من</w:t>
      </w:r>
      <w:r>
        <w:rPr>
          <w:rFonts w:hint="cs"/>
          <w:rtl/>
        </w:rPr>
        <w:t xml:space="preserve"> الساعة</w:t>
      </w:r>
      <w:r>
        <w:rPr>
          <w:rtl/>
        </w:rPr>
        <w:t xml:space="preserve"> </w:t>
      </w:r>
      <w:r w:rsidRPr="00383CD5">
        <w:rPr>
          <w:rtl/>
        </w:rPr>
        <w:t>11</w:t>
      </w:r>
      <w:r>
        <w:rPr>
          <w:rtl/>
        </w:rPr>
        <w:t xml:space="preserve"> صباحاً إلى </w:t>
      </w:r>
      <w:r>
        <w:rPr>
          <w:rFonts w:hint="cs"/>
          <w:rtl/>
        </w:rPr>
        <w:t>الواحدة</w:t>
      </w:r>
      <w:r>
        <w:rPr>
          <w:rtl/>
        </w:rPr>
        <w:t xml:space="preserve"> بعد الظهر</w:t>
      </w:r>
      <w:r>
        <w:rPr>
          <w:rFonts w:hint="cs"/>
          <w:rtl/>
        </w:rPr>
        <w:t xml:space="preserve"> من</w:t>
      </w:r>
      <w:r>
        <w:rPr>
          <w:rtl/>
        </w:rPr>
        <w:t xml:space="preserve"> يوم </w:t>
      </w:r>
      <w:r w:rsidRPr="00383CD5">
        <w:rPr>
          <w:rtl/>
        </w:rPr>
        <w:t>21</w:t>
      </w:r>
      <w:r>
        <w:rPr>
          <w:rtl/>
        </w:rPr>
        <w:t xml:space="preserve"> نيسان/أبريل </w:t>
      </w:r>
      <w:r w:rsidRPr="00383CD5">
        <w:rPr>
          <w:rtl/>
        </w:rPr>
        <w:t>2014</w:t>
      </w:r>
      <w:r>
        <w:rPr>
          <w:rtl/>
        </w:rPr>
        <w:t xml:space="preserve"> كان تدخلاً في حق صاحب البلاغ في التجمع، لكن الطرفين يختلفان بشأن ما إذا كان التقييد </w:t>
      </w:r>
      <w:r>
        <w:rPr>
          <w:rFonts w:hint="cs"/>
          <w:rtl/>
        </w:rPr>
        <w:t>المعني</w:t>
      </w:r>
      <w:r>
        <w:rPr>
          <w:rtl/>
        </w:rPr>
        <w:t xml:space="preserve"> جائزاً أم لا.</w:t>
      </w:r>
    </w:p>
    <w:p w14:paraId="6394A588" w14:textId="77777777" w:rsidR="00714C00" w:rsidRDefault="00714C00" w:rsidP="00714C00">
      <w:pPr>
        <w:pStyle w:val="SingleTxtGA"/>
        <w:rPr>
          <w:rtl/>
        </w:rPr>
      </w:pPr>
      <w:r w:rsidRPr="00383CD5">
        <w:rPr>
          <w:rtl/>
        </w:rPr>
        <w:t>7</w:t>
      </w:r>
      <w:r>
        <w:rPr>
          <w:rtl/>
        </w:rPr>
        <w:t>-</w:t>
      </w:r>
      <w:r w:rsidRPr="00383CD5">
        <w:rPr>
          <w:rtl/>
        </w:rPr>
        <w:t>6</w:t>
      </w:r>
      <w:r>
        <w:rPr>
          <w:rtl/>
        </w:rPr>
        <w:tab/>
        <w:t>وتحيط اللجنة علماً بأن حجة الدولة الطرف المتمثلة في أن قرارها بعدم ا</w:t>
      </w:r>
      <w:r>
        <w:rPr>
          <w:rFonts w:hint="cs"/>
          <w:rtl/>
        </w:rPr>
        <w:t>لترخيص</w:t>
      </w:r>
      <w:r>
        <w:rPr>
          <w:rtl/>
        </w:rPr>
        <w:t xml:space="preserve"> </w:t>
      </w:r>
      <w:r>
        <w:rPr>
          <w:rFonts w:hint="cs"/>
          <w:rtl/>
        </w:rPr>
        <w:t>ل</w:t>
      </w:r>
      <w:r>
        <w:rPr>
          <w:rtl/>
        </w:rPr>
        <w:t>لم</w:t>
      </w:r>
      <w:r>
        <w:rPr>
          <w:rFonts w:hint="cs"/>
          <w:rtl/>
        </w:rPr>
        <w:t>سيرة</w:t>
      </w:r>
      <w:r>
        <w:rPr>
          <w:rtl/>
        </w:rPr>
        <w:t xml:space="preserve"> بالهدف المعلن - الترويج لحقوق وحريات الأقليات الجنسية - كان ضرورياً ومتناسباً وكان التدبير الوحيد الممكن في مجتمع ديمقراطي بالنظر إلى الغاية الاجتماعية المتمثلة في حماية القاصرين من معلومات ليست في مصلحة ن</w:t>
      </w:r>
      <w:r>
        <w:rPr>
          <w:rFonts w:hint="cs"/>
          <w:rtl/>
        </w:rPr>
        <w:t>شأت</w:t>
      </w:r>
      <w:r>
        <w:rPr>
          <w:rtl/>
        </w:rPr>
        <w:t>هم و</w:t>
      </w:r>
      <w:r>
        <w:rPr>
          <w:rFonts w:hint="cs"/>
          <w:rtl/>
        </w:rPr>
        <w:t>سلامت</w:t>
      </w:r>
      <w:r>
        <w:rPr>
          <w:rtl/>
        </w:rPr>
        <w:t>هم الأخلاقي</w:t>
      </w:r>
      <w:r>
        <w:rPr>
          <w:rFonts w:hint="cs"/>
          <w:rtl/>
        </w:rPr>
        <w:t>تين</w:t>
      </w:r>
      <w:r>
        <w:rPr>
          <w:rtl/>
        </w:rPr>
        <w:t xml:space="preserve"> والروحي</w:t>
      </w:r>
      <w:r>
        <w:rPr>
          <w:rFonts w:hint="cs"/>
          <w:rtl/>
        </w:rPr>
        <w:t>تين</w:t>
      </w:r>
      <w:r>
        <w:rPr>
          <w:rtl/>
        </w:rPr>
        <w:t>. وتحيط اللجنة علماً أيضاً بادعاءات الدولة الطرف أن من شأن الم</w:t>
      </w:r>
      <w:r>
        <w:rPr>
          <w:rFonts w:hint="cs"/>
          <w:rtl/>
        </w:rPr>
        <w:t>سيرة</w:t>
      </w:r>
      <w:r>
        <w:rPr>
          <w:rtl/>
        </w:rPr>
        <w:t xml:space="preserve"> أن </w:t>
      </w:r>
      <w:r>
        <w:rPr>
          <w:rFonts w:hint="cs"/>
          <w:rtl/>
        </w:rPr>
        <w:t>تستفز</w:t>
      </w:r>
      <w:r>
        <w:rPr>
          <w:rtl/>
        </w:rPr>
        <w:t xml:space="preserve"> المشاعر الدينية أو الأخلاقية لل</w:t>
      </w:r>
      <w:r>
        <w:rPr>
          <w:rFonts w:hint="cs"/>
          <w:rtl/>
        </w:rPr>
        <w:t>آ</w:t>
      </w:r>
      <w:r>
        <w:rPr>
          <w:rtl/>
        </w:rPr>
        <w:t>خرين، وأنه</w:t>
      </w:r>
      <w:r>
        <w:rPr>
          <w:rFonts w:hint="cs"/>
          <w:rtl/>
        </w:rPr>
        <w:t>ا</w:t>
      </w:r>
      <w:r>
        <w:rPr>
          <w:rtl/>
        </w:rPr>
        <w:t xml:space="preserve"> س</w:t>
      </w:r>
      <w:r>
        <w:rPr>
          <w:rFonts w:hint="cs"/>
          <w:rtl/>
        </w:rPr>
        <w:t>ت</w:t>
      </w:r>
      <w:r>
        <w:rPr>
          <w:rtl/>
        </w:rPr>
        <w:t>تسبب في رد فعلي سلبي من المجتمع وفي ق</w:t>
      </w:r>
      <w:r>
        <w:rPr>
          <w:rFonts w:hint="cs"/>
          <w:rtl/>
        </w:rPr>
        <w:t>يام</w:t>
      </w:r>
      <w:r>
        <w:rPr>
          <w:rtl/>
        </w:rPr>
        <w:t xml:space="preserve"> شريحة من السكان لا تتفق مع موقف صاحب البلاغ</w:t>
      </w:r>
      <w:r>
        <w:rPr>
          <w:rFonts w:hint="cs"/>
          <w:rtl/>
        </w:rPr>
        <w:t xml:space="preserve"> ب</w:t>
      </w:r>
      <w:r>
        <w:rPr>
          <w:rtl/>
        </w:rPr>
        <w:t>فعل غير قانوني، وأن ذلك من شأنه أن يعرقل السير. وتحيط اللجنة علماً أيضاً بالمعلومات التي قدمها صاحب البلاغ والتي مفادها أن</w:t>
      </w:r>
      <w:r>
        <w:rPr>
          <w:rFonts w:hint="cs"/>
          <w:rtl/>
        </w:rPr>
        <w:t>ه</w:t>
      </w:r>
      <w:r>
        <w:rPr>
          <w:rtl/>
        </w:rPr>
        <w:t xml:space="preserve"> أبدى رغبة في كفالة </w:t>
      </w:r>
      <w:r>
        <w:rPr>
          <w:rFonts w:hint="cs"/>
          <w:rtl/>
        </w:rPr>
        <w:t>ا</w:t>
      </w:r>
      <w:r>
        <w:rPr>
          <w:rtl/>
        </w:rPr>
        <w:t>حتر</w:t>
      </w:r>
      <w:r>
        <w:rPr>
          <w:rFonts w:hint="cs"/>
          <w:rtl/>
        </w:rPr>
        <w:t>ا</w:t>
      </w:r>
      <w:r>
        <w:rPr>
          <w:rtl/>
        </w:rPr>
        <w:t xml:space="preserve">م النظام العام وقواعد الآداب العامة أثناء إعمال حقه في التجمع السلمي بالهدف المعلن، وأنه كان قد أخبر السلطات باستعداده لتغيير </w:t>
      </w:r>
      <w:r>
        <w:rPr>
          <w:rFonts w:hint="cs"/>
          <w:rtl/>
        </w:rPr>
        <w:t>الطريق الذي كانت ستسلكه</w:t>
      </w:r>
      <w:r>
        <w:rPr>
          <w:rtl/>
        </w:rPr>
        <w:t xml:space="preserve"> الم</w:t>
      </w:r>
      <w:r>
        <w:rPr>
          <w:rFonts w:hint="cs"/>
          <w:rtl/>
        </w:rPr>
        <w:t>سيرة</w:t>
      </w:r>
      <w:r>
        <w:rPr>
          <w:rtl/>
        </w:rPr>
        <w:t>.</w:t>
      </w:r>
    </w:p>
    <w:p w14:paraId="589F481E" w14:textId="77777777" w:rsidR="00714C00" w:rsidRDefault="00714C00" w:rsidP="00714C00">
      <w:pPr>
        <w:pStyle w:val="SingleTxtGA"/>
        <w:rPr>
          <w:rtl/>
        </w:rPr>
      </w:pPr>
      <w:r w:rsidRPr="00383CD5">
        <w:rPr>
          <w:rtl/>
        </w:rPr>
        <w:t>7</w:t>
      </w:r>
      <w:r>
        <w:rPr>
          <w:rtl/>
        </w:rPr>
        <w:t>-</w:t>
      </w:r>
      <w:r w:rsidRPr="00383CD5">
        <w:rPr>
          <w:rtl/>
        </w:rPr>
        <w:t>7</w:t>
      </w:r>
      <w:r>
        <w:rPr>
          <w:rtl/>
        </w:rPr>
        <w:tab/>
        <w:t xml:space="preserve">ولاحظت اللجنة، في تعليقها العام رقم </w:t>
      </w:r>
      <w:r w:rsidRPr="00383CD5">
        <w:rPr>
          <w:rtl/>
        </w:rPr>
        <w:t>37</w:t>
      </w:r>
      <w:r>
        <w:rPr>
          <w:rtl/>
        </w:rPr>
        <w:t>(</w:t>
      </w:r>
      <w:r w:rsidRPr="00383CD5">
        <w:rPr>
          <w:rtl/>
        </w:rPr>
        <w:t>2020</w:t>
      </w:r>
      <w:r>
        <w:rPr>
          <w:rtl/>
        </w:rPr>
        <w:t>)، أن</w:t>
      </w:r>
      <w:r>
        <w:rPr>
          <w:rFonts w:hint="cs"/>
          <w:rtl/>
        </w:rPr>
        <w:t xml:space="preserve">ه لا </w:t>
      </w:r>
      <w:r>
        <w:rPr>
          <w:rtl/>
        </w:rPr>
        <w:t xml:space="preserve">ينبغي فرض القيود على التجمعات السلمية </w:t>
      </w:r>
      <w:r>
        <w:rPr>
          <w:rFonts w:hint="cs"/>
          <w:rtl/>
        </w:rPr>
        <w:t>إلا في</w:t>
      </w:r>
      <w:r>
        <w:rPr>
          <w:rtl/>
        </w:rPr>
        <w:t xml:space="preserve"> حالات استثنائية لأجل حماية "الآداب". وإذا ما است</w:t>
      </w:r>
      <w:r>
        <w:rPr>
          <w:rFonts w:hint="cs"/>
          <w:rtl/>
        </w:rPr>
        <w:t>ُ</w:t>
      </w:r>
      <w:r>
        <w:rPr>
          <w:rtl/>
        </w:rPr>
        <w:t>ند إلى هذا السبب، ينبغي أن يكون ذلك لأجل حماية فهم</w:t>
      </w:r>
      <w:r>
        <w:rPr>
          <w:rFonts w:hint="cs"/>
          <w:rtl/>
        </w:rPr>
        <w:t>ٍ</w:t>
      </w:r>
      <w:r>
        <w:rPr>
          <w:rtl/>
        </w:rPr>
        <w:t xml:space="preserve"> للأخلاق مستمد</w:t>
      </w:r>
      <w:r>
        <w:rPr>
          <w:rFonts w:hint="cs"/>
          <w:rtl/>
        </w:rPr>
        <w:t>ٍّ</w:t>
      </w:r>
      <w:r>
        <w:rPr>
          <w:rtl/>
        </w:rPr>
        <w:t xml:space="preserve"> حصراً من تقليد اجتماعي أو فلسفي أو ديني وحيد، وأن</w:t>
      </w:r>
      <w:r>
        <w:rPr>
          <w:rFonts w:hint="cs"/>
          <w:rtl/>
        </w:rPr>
        <w:t xml:space="preserve">ه </w:t>
      </w:r>
      <w:r>
        <w:rPr>
          <w:rtl/>
        </w:rPr>
        <w:t xml:space="preserve">يجب فهم تلك </w:t>
      </w:r>
      <w:r>
        <w:rPr>
          <w:rtl/>
        </w:rPr>
        <w:lastRenderedPageBreak/>
        <w:t xml:space="preserve">التقييدات في ضوء عالمية حقوق الإنسان والتعددية ومبدأ عدم التمييز. فلا يجوز، مثلاً، فرض قيود بناء على هذا السبب نظراً إلى </w:t>
      </w:r>
      <w:r>
        <w:rPr>
          <w:rFonts w:hint="cs"/>
          <w:rtl/>
        </w:rPr>
        <w:t>الاعتراض على</w:t>
      </w:r>
      <w:r>
        <w:rPr>
          <w:rtl/>
        </w:rPr>
        <w:t xml:space="preserve"> التعبيرات عن الميل الجنسي أو الهوية الجنسانية (الفقرة </w:t>
      </w:r>
      <w:r w:rsidRPr="00383CD5">
        <w:rPr>
          <w:rtl/>
        </w:rPr>
        <w:t>46</w:t>
      </w:r>
      <w:r>
        <w:rPr>
          <w:rtl/>
        </w:rPr>
        <w:t>).</w:t>
      </w:r>
    </w:p>
    <w:p w14:paraId="719E8E72" w14:textId="77777777" w:rsidR="00714C00" w:rsidRDefault="00714C00" w:rsidP="00714C00">
      <w:pPr>
        <w:pStyle w:val="SingleTxtGA"/>
        <w:rPr>
          <w:rtl/>
          <w:lang w:eastAsia="ar-SA"/>
        </w:rPr>
      </w:pPr>
      <w:r w:rsidRPr="00383CD5">
        <w:rPr>
          <w:rtl/>
        </w:rPr>
        <w:t>7</w:t>
      </w:r>
      <w:r>
        <w:rPr>
          <w:rtl/>
        </w:rPr>
        <w:t>-</w:t>
      </w:r>
      <w:r w:rsidRPr="00383CD5">
        <w:rPr>
          <w:rtl/>
        </w:rPr>
        <w:t>8</w:t>
      </w:r>
      <w:r>
        <w:rPr>
          <w:rtl/>
        </w:rPr>
        <w:tab/>
        <w:t>وقد تتعلق القيود المفروضة على حماية "حقوق وحريات ال</w:t>
      </w:r>
      <w:r>
        <w:rPr>
          <w:rFonts w:hint="cs"/>
          <w:rtl/>
        </w:rPr>
        <w:t>آ</w:t>
      </w:r>
      <w:r>
        <w:rPr>
          <w:rtl/>
        </w:rPr>
        <w:t>خرين" بحماية العهد أو حقوق الإنسان الأخرى للناس غير المشاركين في التجمع. وفي هذه القضية، تعتمد اللجنة نهجاً م</w:t>
      </w:r>
      <w:r>
        <w:rPr>
          <w:rFonts w:hint="cs"/>
          <w:rtl/>
        </w:rPr>
        <w:t>وحد</w:t>
      </w:r>
      <w:r>
        <w:rPr>
          <w:rtl/>
        </w:rPr>
        <w:t xml:space="preserve">اً مع اللجنة الأوروبية لحقوق الإنسان وترى أن ليس ثمة أساس يُستند إليه </w:t>
      </w:r>
      <w:r>
        <w:rPr>
          <w:rFonts w:hint="cs"/>
          <w:rtl/>
        </w:rPr>
        <w:t>ل</w:t>
      </w:r>
      <w:r>
        <w:rPr>
          <w:rtl/>
        </w:rPr>
        <w:t>افتراض أن "مجرد ذ</w:t>
      </w:r>
      <w:r>
        <w:rPr>
          <w:rFonts w:hint="cs"/>
          <w:rtl/>
        </w:rPr>
        <w:t>ِ</w:t>
      </w:r>
      <w:r>
        <w:rPr>
          <w:rtl/>
        </w:rPr>
        <w:t xml:space="preserve">كر </w:t>
      </w:r>
      <w:r>
        <w:rPr>
          <w:rFonts w:hint="cs"/>
          <w:rtl/>
        </w:rPr>
        <w:t>المثلية</w:t>
      </w:r>
      <w:r>
        <w:rPr>
          <w:rtl/>
        </w:rPr>
        <w:t xml:space="preserve"> الجنسية"</w:t>
      </w:r>
      <w:r>
        <w:rPr>
          <w:vertAlign w:val="superscript"/>
          <w:rtl/>
          <w:lang w:eastAsia="ar-SA"/>
        </w:rPr>
        <w:t>(</w:t>
      </w:r>
      <w:r w:rsidRPr="00383CD5">
        <w:rPr>
          <w:rStyle w:val="FootnoteReference"/>
          <w:lang w:val="en-US" w:eastAsia="ar-SA"/>
        </w:rPr>
        <w:footnoteReference w:id="17"/>
      </w:r>
      <w:r>
        <w:rPr>
          <w:vertAlign w:val="superscript"/>
          <w:rtl/>
          <w:lang w:eastAsia="ar-SA"/>
        </w:rPr>
        <w:t>)</w:t>
      </w:r>
      <w:r>
        <w:rPr>
          <w:rtl/>
          <w:lang w:eastAsia="ar-SA"/>
        </w:rPr>
        <w:t xml:space="preserve"> والتعبير العلني عن الهوية المثلية أو إطلاق نداء باحترام حقوق المثليين الجنسيين قد يكون له أثر سلبي على حقوق القاصرين وحرياتهم.</w:t>
      </w:r>
    </w:p>
    <w:p w14:paraId="6ACBACAA" w14:textId="5225905B" w:rsidR="00714C00" w:rsidRPr="005C2BAA" w:rsidRDefault="00714C00" w:rsidP="00714C00">
      <w:pPr>
        <w:pStyle w:val="SingleTxtGA"/>
        <w:rPr>
          <w:spacing w:val="-2"/>
          <w:rtl/>
          <w:lang w:val="en-US"/>
        </w:rPr>
      </w:pPr>
      <w:r w:rsidRPr="00383CD5">
        <w:rPr>
          <w:spacing w:val="-2"/>
          <w:rtl/>
          <w:lang w:eastAsia="ar-SA"/>
        </w:rPr>
        <w:t>7</w:t>
      </w:r>
      <w:r w:rsidRPr="005C2BAA">
        <w:rPr>
          <w:spacing w:val="-2"/>
          <w:rtl/>
          <w:lang w:eastAsia="ar-SA"/>
        </w:rPr>
        <w:t>-</w:t>
      </w:r>
      <w:r w:rsidRPr="00383CD5">
        <w:rPr>
          <w:spacing w:val="-2"/>
          <w:rtl/>
          <w:lang w:eastAsia="ar-SA"/>
        </w:rPr>
        <w:t>9</w:t>
      </w:r>
      <w:r w:rsidRPr="005C2BAA">
        <w:rPr>
          <w:spacing w:val="-2"/>
          <w:rtl/>
          <w:lang w:eastAsia="ar-SA"/>
        </w:rPr>
        <w:tab/>
        <w:t>وأشارت اللجنة</w:t>
      </w:r>
      <w:r w:rsidRPr="005C2BAA">
        <w:rPr>
          <w:rFonts w:hint="cs"/>
          <w:spacing w:val="-2"/>
          <w:rtl/>
          <w:lang w:eastAsia="ar-SA"/>
        </w:rPr>
        <w:t xml:space="preserve"> أيضا</w:t>
      </w:r>
      <w:r w:rsidR="00E4012E">
        <w:rPr>
          <w:rFonts w:hint="cs"/>
          <w:spacing w:val="-2"/>
          <w:rtl/>
          <w:lang w:eastAsia="ar-SA"/>
        </w:rPr>
        <w:t>ً</w:t>
      </w:r>
      <w:r w:rsidRPr="005C2BAA">
        <w:rPr>
          <w:spacing w:val="-2"/>
          <w:rtl/>
          <w:lang w:eastAsia="ar-SA"/>
        </w:rPr>
        <w:t xml:space="preserve">، في تعليقها العام رقم </w:t>
      </w:r>
      <w:r w:rsidRPr="00383CD5">
        <w:rPr>
          <w:spacing w:val="-2"/>
          <w:rtl/>
          <w:lang w:eastAsia="ar-SA"/>
        </w:rPr>
        <w:t>37</w:t>
      </w:r>
      <w:r w:rsidRPr="005C2BAA">
        <w:rPr>
          <w:spacing w:val="-2"/>
          <w:rtl/>
          <w:lang w:eastAsia="ar-SA"/>
        </w:rPr>
        <w:t>(</w:t>
      </w:r>
      <w:r w:rsidRPr="00383CD5">
        <w:rPr>
          <w:spacing w:val="-2"/>
          <w:rtl/>
          <w:lang w:eastAsia="ar-SA"/>
        </w:rPr>
        <w:t>2020</w:t>
      </w:r>
      <w:r w:rsidRPr="005C2BAA">
        <w:rPr>
          <w:spacing w:val="-2"/>
          <w:rtl/>
          <w:lang w:eastAsia="ar-SA"/>
        </w:rPr>
        <w:t xml:space="preserve">)، إلى أنه يتعين على الدول أن تترك الأمر للمشاركين لتقرير الهدف من أي تجمع سلمي بحرية لأجل طرح أفكار وأهداف يطمحون إليها في الميدان العام أو في </w:t>
      </w:r>
      <w:r w:rsidRPr="005C2BAA">
        <w:rPr>
          <w:rFonts w:hint="cs"/>
          <w:spacing w:val="-2"/>
          <w:rtl/>
          <w:lang w:eastAsia="ar-SA"/>
        </w:rPr>
        <w:t>الوقوف على</w:t>
      </w:r>
      <w:r w:rsidRPr="005C2BAA">
        <w:rPr>
          <w:spacing w:val="-2"/>
          <w:rtl/>
          <w:lang w:eastAsia="ar-SA"/>
        </w:rPr>
        <w:t xml:space="preserve"> نطاق الدعم أو المعارضة لتلك الأفكار والأهداف. </w:t>
      </w:r>
      <w:r w:rsidRPr="005C2BAA">
        <w:rPr>
          <w:spacing w:val="-2"/>
          <w:rtl/>
          <w:lang w:val="en-US"/>
        </w:rPr>
        <w:t>والشرط المتمثل في أن أي تقييد يجب</w:t>
      </w:r>
      <w:r w:rsidRPr="005C2BAA">
        <w:rPr>
          <w:rFonts w:hint="cs"/>
          <w:spacing w:val="-2"/>
          <w:rtl/>
          <w:lang w:val="en-US"/>
        </w:rPr>
        <w:t xml:space="preserve">، </w:t>
      </w:r>
      <w:r w:rsidRPr="005C2BAA">
        <w:rPr>
          <w:spacing w:val="-2"/>
          <w:rtl/>
          <w:lang w:val="en-US"/>
        </w:rPr>
        <w:t>من حيث المبدأ</w:t>
      </w:r>
      <w:r w:rsidRPr="005C2BAA">
        <w:rPr>
          <w:rFonts w:hint="cs"/>
          <w:spacing w:val="-2"/>
          <w:rtl/>
          <w:lang w:val="en-US"/>
        </w:rPr>
        <w:t>،</w:t>
      </w:r>
      <w:r w:rsidRPr="005C2BAA">
        <w:rPr>
          <w:spacing w:val="-2"/>
          <w:rtl/>
          <w:lang w:val="en-US"/>
        </w:rPr>
        <w:t xml:space="preserve"> أن يكون غير متعلق بالمحتوى، أمر محوري بالنسبة للحق في التجمع السلمي، ومن ثم غير مرتبط بالرسالة التي يوجهها التجمع (الفقرة </w:t>
      </w:r>
      <w:r w:rsidRPr="00383CD5">
        <w:rPr>
          <w:spacing w:val="-2"/>
          <w:rtl/>
          <w:lang w:val="en-US"/>
        </w:rPr>
        <w:t>22</w:t>
      </w:r>
      <w:r w:rsidRPr="005C2BAA">
        <w:rPr>
          <w:spacing w:val="-2"/>
          <w:rtl/>
          <w:lang w:val="en-US"/>
        </w:rPr>
        <w:t>)</w:t>
      </w:r>
      <w:r w:rsidRPr="005C2BAA">
        <w:rPr>
          <w:spacing w:val="-2"/>
          <w:vertAlign w:val="superscript"/>
          <w:rtl/>
          <w:lang w:eastAsia="ar-SA"/>
        </w:rPr>
        <w:t>(</w:t>
      </w:r>
      <w:r w:rsidRPr="00383CD5">
        <w:rPr>
          <w:rStyle w:val="FootnoteReference"/>
          <w:spacing w:val="-2"/>
          <w:lang w:val="en-US" w:eastAsia="ar-SA"/>
        </w:rPr>
        <w:footnoteReference w:id="18"/>
      </w:r>
      <w:r w:rsidRPr="005C2BAA">
        <w:rPr>
          <w:spacing w:val="-2"/>
          <w:vertAlign w:val="superscript"/>
          <w:rtl/>
          <w:lang w:eastAsia="ar-SA"/>
        </w:rPr>
        <w:t>)</w:t>
      </w:r>
      <w:r w:rsidRPr="005C2BAA">
        <w:rPr>
          <w:spacing w:val="-2"/>
          <w:rtl/>
          <w:lang w:val="en-US"/>
        </w:rPr>
        <w:t xml:space="preserve">. فاعتماد نهج معارض </w:t>
      </w:r>
      <w:r w:rsidRPr="005C2BAA">
        <w:rPr>
          <w:rFonts w:hint="cs"/>
          <w:spacing w:val="-2"/>
          <w:rtl/>
          <w:lang w:val="en-US"/>
        </w:rPr>
        <w:t>لا يخدم</w:t>
      </w:r>
      <w:r w:rsidRPr="005C2BAA">
        <w:rPr>
          <w:spacing w:val="-2"/>
          <w:rtl/>
          <w:lang w:val="en-US"/>
        </w:rPr>
        <w:t xml:space="preserve"> الهدف</w:t>
      </w:r>
      <w:r w:rsidRPr="005C2BAA">
        <w:rPr>
          <w:rFonts w:hint="cs"/>
          <w:spacing w:val="-2"/>
          <w:rtl/>
          <w:lang w:val="en-US"/>
        </w:rPr>
        <w:t xml:space="preserve"> ذاته</w:t>
      </w:r>
      <w:r w:rsidRPr="005C2BAA">
        <w:rPr>
          <w:spacing w:val="-2"/>
          <w:rtl/>
          <w:lang w:val="en-US"/>
        </w:rPr>
        <w:t xml:space="preserve"> من التجمعات السلمية باعتبارها أداة للمشاركة السياسية والاجتماعية (الفقرة </w:t>
      </w:r>
      <w:r w:rsidRPr="00383CD5">
        <w:rPr>
          <w:spacing w:val="-2"/>
          <w:rtl/>
          <w:lang w:val="en-US"/>
        </w:rPr>
        <w:t>48</w:t>
      </w:r>
      <w:r w:rsidRPr="005C2BAA">
        <w:rPr>
          <w:spacing w:val="-2"/>
          <w:rtl/>
          <w:lang w:val="en-US"/>
        </w:rPr>
        <w:t>). وعليه، ترى اللجنة أن القيود التي فرضتها الدولة الطرف، في هذه القضية، على حق صاحب البلاغ في التجمع مرتبطة ارتباطاً مباشراً بالهدف ال</w:t>
      </w:r>
      <w:r w:rsidRPr="005C2BAA">
        <w:rPr>
          <w:rFonts w:hint="cs"/>
          <w:spacing w:val="-2"/>
          <w:rtl/>
          <w:lang w:val="en-US"/>
        </w:rPr>
        <w:t>ذي اختير ل</w:t>
      </w:r>
      <w:r w:rsidRPr="005C2BAA">
        <w:rPr>
          <w:spacing w:val="-2"/>
          <w:rtl/>
          <w:lang w:val="en-US"/>
        </w:rPr>
        <w:t>لتجمع وبمحتو</w:t>
      </w:r>
      <w:r w:rsidRPr="005C2BAA">
        <w:rPr>
          <w:rFonts w:hint="cs"/>
          <w:spacing w:val="-2"/>
          <w:rtl/>
          <w:lang w:val="en-US"/>
        </w:rPr>
        <w:t>اه</w:t>
      </w:r>
      <w:r w:rsidRPr="005C2BAA">
        <w:rPr>
          <w:spacing w:val="-2"/>
          <w:rtl/>
          <w:lang w:val="en-US"/>
        </w:rPr>
        <w:t>، وهو تأكيد المثلية الجنسية وحقوق الأشخاص المثليين.</w:t>
      </w:r>
    </w:p>
    <w:p w14:paraId="22ABDC56" w14:textId="7E04DCDB" w:rsidR="00714C00" w:rsidRDefault="00714C00" w:rsidP="00714C00">
      <w:pPr>
        <w:pStyle w:val="SingleTxtGA"/>
        <w:rPr>
          <w:rtl/>
        </w:rPr>
      </w:pPr>
      <w:r w:rsidRPr="00383CD5">
        <w:rPr>
          <w:rtl/>
        </w:rPr>
        <w:t>7</w:t>
      </w:r>
      <w:r>
        <w:rPr>
          <w:rtl/>
        </w:rPr>
        <w:t>-</w:t>
      </w:r>
      <w:r w:rsidRPr="00383CD5">
        <w:rPr>
          <w:rtl/>
        </w:rPr>
        <w:t>10</w:t>
      </w:r>
      <w:r>
        <w:rPr>
          <w:rtl/>
        </w:rPr>
        <w:tab/>
        <w:t xml:space="preserve">وتحيط اللجنة علماً بادعاء صاحب البلاغ أن السلطات، برفضها الترخيص </w:t>
      </w:r>
      <w:r>
        <w:rPr>
          <w:rFonts w:hint="cs"/>
          <w:rtl/>
        </w:rPr>
        <w:t>ل</w:t>
      </w:r>
      <w:r>
        <w:rPr>
          <w:rtl/>
        </w:rPr>
        <w:t>م</w:t>
      </w:r>
      <w:r>
        <w:rPr>
          <w:rFonts w:hint="cs"/>
          <w:rtl/>
        </w:rPr>
        <w:t>سيرة</w:t>
      </w:r>
      <w:r>
        <w:rPr>
          <w:rtl/>
        </w:rPr>
        <w:t xml:space="preserve"> فخر المثليين ال</w:t>
      </w:r>
      <w:r>
        <w:rPr>
          <w:rFonts w:hint="cs"/>
          <w:rtl/>
        </w:rPr>
        <w:t xml:space="preserve">تي كان </w:t>
      </w:r>
      <w:r>
        <w:rPr>
          <w:rtl/>
        </w:rPr>
        <w:t>مخطط</w:t>
      </w:r>
      <w:r>
        <w:rPr>
          <w:rFonts w:hint="cs"/>
          <w:rtl/>
        </w:rPr>
        <w:t>ا</w:t>
      </w:r>
      <w:r w:rsidR="00E4012E">
        <w:rPr>
          <w:rFonts w:hint="cs"/>
          <w:rtl/>
        </w:rPr>
        <w:t>ً</w:t>
      </w:r>
      <w:r>
        <w:rPr>
          <w:rtl/>
        </w:rPr>
        <w:t xml:space="preserve"> له</w:t>
      </w:r>
      <w:r>
        <w:rPr>
          <w:rFonts w:hint="cs"/>
          <w:rtl/>
        </w:rPr>
        <w:t>ا</w:t>
      </w:r>
      <w:r>
        <w:rPr>
          <w:rtl/>
        </w:rPr>
        <w:t xml:space="preserve">، قد أخضعته للتمييز على أساس الميل الجنسي. وتحيط اللجنة علماً كذلك بادعاء الدولة الطرف أن السبب وراء رفض الترخيص </w:t>
      </w:r>
      <w:r>
        <w:rPr>
          <w:rFonts w:hint="cs"/>
          <w:rtl/>
        </w:rPr>
        <w:t>ل</w:t>
      </w:r>
      <w:r>
        <w:rPr>
          <w:rtl/>
        </w:rPr>
        <w:t>لم</w:t>
      </w:r>
      <w:r>
        <w:rPr>
          <w:rFonts w:hint="cs"/>
          <w:rtl/>
        </w:rPr>
        <w:t>سيرة</w:t>
      </w:r>
      <w:r>
        <w:rPr>
          <w:rtl/>
        </w:rPr>
        <w:t xml:space="preserve"> لا يتضمن أي تعبير عن عدم التسامح تجاه الأشخاص ذوي الميل الجنسي غير التقليدي وإنما تمليه الحاجة إلى حماية حقوق القاصرين فقط لا غير.</w:t>
      </w:r>
    </w:p>
    <w:p w14:paraId="36309C58" w14:textId="1B99C9C1" w:rsidR="00714C00" w:rsidRDefault="00714C00" w:rsidP="00714C00">
      <w:pPr>
        <w:pStyle w:val="SingleTxtGA"/>
        <w:rPr>
          <w:rtl/>
        </w:rPr>
      </w:pPr>
      <w:r w:rsidRPr="00383CD5">
        <w:rPr>
          <w:rtl/>
        </w:rPr>
        <w:t>7</w:t>
      </w:r>
      <w:r>
        <w:rPr>
          <w:rtl/>
        </w:rPr>
        <w:t>-</w:t>
      </w:r>
      <w:r w:rsidRPr="00383CD5">
        <w:rPr>
          <w:rtl/>
        </w:rPr>
        <w:t>11</w:t>
      </w:r>
      <w:r>
        <w:rPr>
          <w:rtl/>
        </w:rPr>
        <w:tab/>
        <w:t>وت</w:t>
      </w:r>
      <w:r>
        <w:rPr>
          <w:rFonts w:hint="cs"/>
          <w:rtl/>
        </w:rPr>
        <w:t>قول</w:t>
      </w:r>
      <w:r>
        <w:rPr>
          <w:rtl/>
        </w:rPr>
        <w:t xml:space="preserve"> اللجنة إنها أشارت، في تعليقها العام رقم </w:t>
      </w:r>
      <w:r w:rsidRPr="00383CD5">
        <w:rPr>
          <w:rtl/>
        </w:rPr>
        <w:t>37</w:t>
      </w:r>
      <w:r>
        <w:rPr>
          <w:rtl/>
        </w:rPr>
        <w:t>(</w:t>
      </w:r>
      <w:r w:rsidRPr="00383CD5">
        <w:rPr>
          <w:rtl/>
        </w:rPr>
        <w:t>2020</w:t>
      </w:r>
      <w:r>
        <w:rPr>
          <w:rtl/>
        </w:rPr>
        <w:t xml:space="preserve">)، إلى أنه يجب على الدول ألا تعامل التجمعات معاملة تمييزية، </w:t>
      </w:r>
      <w:r>
        <w:rPr>
          <w:rFonts w:hint="cs"/>
          <w:rtl/>
        </w:rPr>
        <w:t>كأن تستند مثلا</w:t>
      </w:r>
      <w:r w:rsidR="00E4012E">
        <w:rPr>
          <w:rFonts w:hint="cs"/>
          <w:rtl/>
        </w:rPr>
        <w:t>ً</w:t>
      </w:r>
      <w:r>
        <w:rPr>
          <w:rtl/>
        </w:rPr>
        <w:t xml:space="preserve"> إلى الميل الجنسي أو الهوية الجنسانية. ويتعين بذل جهود خاصة لضمان تيسير وحماية الحق في التجمع السلمي على قدم المساواة وبصورة فعالة للأشخاص الذين هم أعضاء في جماعات معرضة للتمييز أو كانت معرضة ل</w:t>
      </w:r>
      <w:r>
        <w:rPr>
          <w:rFonts w:hint="cs"/>
          <w:rtl/>
        </w:rPr>
        <w:t>ه</w:t>
      </w:r>
      <w:r>
        <w:rPr>
          <w:rtl/>
        </w:rPr>
        <w:t xml:space="preserve"> (الفقرة </w:t>
      </w:r>
      <w:r w:rsidRPr="00383CD5">
        <w:rPr>
          <w:rtl/>
        </w:rPr>
        <w:t>25</w:t>
      </w:r>
      <w:r>
        <w:rPr>
          <w:rtl/>
        </w:rPr>
        <w:t>).</w:t>
      </w:r>
    </w:p>
    <w:p w14:paraId="01EAB24A" w14:textId="77777777" w:rsidR="00714C00" w:rsidRDefault="00714C00" w:rsidP="00714C00">
      <w:pPr>
        <w:pStyle w:val="SingleTxtGA"/>
        <w:rPr>
          <w:rtl/>
        </w:rPr>
      </w:pPr>
      <w:r w:rsidRPr="00383CD5">
        <w:rPr>
          <w:rtl/>
        </w:rPr>
        <w:t>7</w:t>
      </w:r>
      <w:r>
        <w:rPr>
          <w:rtl/>
        </w:rPr>
        <w:t>-</w:t>
      </w:r>
      <w:r w:rsidRPr="00383CD5">
        <w:rPr>
          <w:rtl/>
        </w:rPr>
        <w:t>12</w:t>
      </w:r>
      <w:r>
        <w:rPr>
          <w:rtl/>
        </w:rPr>
        <w:tab/>
        <w:t xml:space="preserve">وتشير اللجنة، في الفقرة الأولى من تعليقها العام رقم </w:t>
      </w:r>
      <w:r w:rsidRPr="00383CD5">
        <w:rPr>
          <w:rtl/>
        </w:rPr>
        <w:t>18</w:t>
      </w:r>
      <w:r>
        <w:rPr>
          <w:rtl/>
        </w:rPr>
        <w:t>(</w:t>
      </w:r>
      <w:r w:rsidRPr="00383CD5">
        <w:rPr>
          <w:rtl/>
        </w:rPr>
        <w:t>1989</w:t>
      </w:r>
      <w:r>
        <w:rPr>
          <w:rtl/>
        </w:rPr>
        <w:t xml:space="preserve">) بشأن عدم التمييز، إلى أنها لاحظت أن المادة </w:t>
      </w:r>
      <w:r w:rsidRPr="00383CD5">
        <w:rPr>
          <w:rtl/>
        </w:rPr>
        <w:t>26</w:t>
      </w:r>
      <w:r>
        <w:rPr>
          <w:rtl/>
        </w:rPr>
        <w:t xml:space="preserve"> من العهد تخول لجميع الأشخاص المساواة أمام القانون والمساواة في حماية القانون، وتحظر أي</w:t>
      </w:r>
      <w:r>
        <w:rPr>
          <w:rFonts w:hint="cs"/>
          <w:rtl/>
        </w:rPr>
        <w:t>َّ</w:t>
      </w:r>
      <w:r>
        <w:rPr>
          <w:rtl/>
        </w:rPr>
        <w:t xml:space="preserve"> شكل من أشكال التمييز بموجب القانون</w:t>
      </w:r>
      <w:r>
        <w:rPr>
          <w:rFonts w:hint="cs"/>
          <w:rtl/>
        </w:rPr>
        <w:t>،</w:t>
      </w:r>
      <w:r>
        <w:rPr>
          <w:rtl/>
        </w:rPr>
        <w:t xml:space="preserve"> وتضمن لجميع الأشخاص الحماية المتساوية والفعالة من التمييز على أي أساس كان</w:t>
      </w:r>
      <w:r>
        <w:rPr>
          <w:rFonts w:hint="cs"/>
          <w:rtl/>
        </w:rPr>
        <w:t>،</w:t>
      </w:r>
      <w:r>
        <w:rPr>
          <w:rtl/>
        </w:rPr>
        <w:t xml:space="preserve"> سواء على أساس العرق أو اللون أو نوع الجنس أو اللغة أو الدين أو الرأي السياسي أو غيره أو الأصل القومي أو الاجتماعي أو الملكية أو المولد أو أي مركز أخر. وفي إحالة إلى قرارات سابقة</w:t>
      </w:r>
      <w:r>
        <w:rPr>
          <w:vertAlign w:val="superscript"/>
          <w:rtl/>
          <w:lang w:eastAsia="ar-SA"/>
        </w:rPr>
        <w:t>(</w:t>
      </w:r>
      <w:r w:rsidRPr="00383CD5">
        <w:rPr>
          <w:rStyle w:val="FootnoteReference"/>
          <w:lang w:val="en-US" w:eastAsia="ar-SA"/>
        </w:rPr>
        <w:footnoteReference w:id="19"/>
      </w:r>
      <w:r>
        <w:rPr>
          <w:vertAlign w:val="superscript"/>
          <w:rtl/>
          <w:lang w:eastAsia="ar-SA"/>
        </w:rPr>
        <w:t>)</w:t>
      </w:r>
      <w:r>
        <w:rPr>
          <w:rtl/>
        </w:rPr>
        <w:t>،</w:t>
      </w:r>
      <w:r>
        <w:rPr>
          <w:rFonts w:hint="cs"/>
          <w:rtl/>
        </w:rPr>
        <w:t xml:space="preserve"> </w:t>
      </w:r>
      <w:r>
        <w:rPr>
          <w:rtl/>
        </w:rPr>
        <w:t xml:space="preserve">تشير اللجنة إلى أن حظر التمييز بموجب المادة </w:t>
      </w:r>
      <w:r w:rsidRPr="00383CD5">
        <w:rPr>
          <w:rtl/>
        </w:rPr>
        <w:t>26</w:t>
      </w:r>
      <w:r>
        <w:rPr>
          <w:rtl/>
        </w:rPr>
        <w:t xml:space="preserve"> يشمل أيضاً التمييز على أساس الميل الجنسي والهوية الجنسانية</w:t>
      </w:r>
      <w:r>
        <w:rPr>
          <w:vertAlign w:val="superscript"/>
          <w:rtl/>
          <w:lang w:eastAsia="ar-SA"/>
        </w:rPr>
        <w:t>(</w:t>
      </w:r>
      <w:r w:rsidRPr="00383CD5">
        <w:rPr>
          <w:rStyle w:val="FootnoteReference"/>
          <w:lang w:val="en-US" w:eastAsia="ar-SA"/>
        </w:rPr>
        <w:footnoteReference w:id="20"/>
      </w:r>
      <w:r>
        <w:rPr>
          <w:vertAlign w:val="superscript"/>
          <w:rtl/>
          <w:lang w:eastAsia="ar-SA"/>
        </w:rPr>
        <w:t>)</w:t>
      </w:r>
      <w:r>
        <w:rPr>
          <w:rtl/>
        </w:rPr>
        <w:t xml:space="preserve">. </w:t>
      </w:r>
    </w:p>
    <w:p w14:paraId="23C67DF4" w14:textId="77777777" w:rsidR="00714C00" w:rsidRDefault="00714C00" w:rsidP="00714C00">
      <w:pPr>
        <w:pStyle w:val="SingleTxtGA"/>
        <w:rPr>
          <w:rtl/>
        </w:rPr>
      </w:pPr>
      <w:r w:rsidRPr="00383CD5">
        <w:rPr>
          <w:rFonts w:hint="cs"/>
          <w:rtl/>
        </w:rPr>
        <w:lastRenderedPageBreak/>
        <w:t>7</w:t>
      </w:r>
      <w:r>
        <w:rPr>
          <w:rFonts w:hint="cs"/>
          <w:rtl/>
        </w:rPr>
        <w:t>-</w:t>
      </w:r>
      <w:r w:rsidRPr="00383CD5">
        <w:rPr>
          <w:rFonts w:hint="cs"/>
          <w:rtl/>
        </w:rPr>
        <w:t>13</w:t>
      </w:r>
      <w:r>
        <w:rPr>
          <w:rtl/>
        </w:rPr>
        <w:tab/>
      </w:r>
      <w:r>
        <w:rPr>
          <w:rFonts w:hint="cs"/>
          <w:rtl/>
        </w:rPr>
        <w:t xml:space="preserve">وتحيط اللجنة علماً بادعاءات الدولة الطرف أن قرار السلطات لم يتضمن أي تعبير عن عدم التسامح تجاه الأشخاص ذوي الميل الجنسي غير التقليدي؛ وبأن سياسة الدولة تحمي القاصرين من عوامل تؤثر سلباً على نشأتهم الروحية والأخلاقية. وترى اللجنة، مع ذلك، أن السلطات اختلفت مع محتوى المسيرة المقترح المتعلق بالمثلية الجنسية، ففرقت بشكل صريح بناءً على الميل الجنسي والهوية الجنسانية، وأن القرار يشكل بذلك تفريقاً لأسباب تحظرها المادة </w:t>
      </w:r>
      <w:r w:rsidRPr="00383CD5">
        <w:rPr>
          <w:rFonts w:hint="cs"/>
          <w:rtl/>
        </w:rPr>
        <w:t>26</w:t>
      </w:r>
      <w:r>
        <w:rPr>
          <w:rFonts w:hint="cs"/>
          <w:rtl/>
        </w:rPr>
        <w:t>.</w:t>
      </w:r>
    </w:p>
    <w:p w14:paraId="10DAAE8C" w14:textId="77777777" w:rsidR="00714C00" w:rsidRDefault="00714C00" w:rsidP="00714C00">
      <w:pPr>
        <w:pStyle w:val="SingleTxtGA"/>
        <w:rPr>
          <w:rtl/>
        </w:rPr>
      </w:pPr>
      <w:r w:rsidRPr="00383CD5">
        <w:rPr>
          <w:rFonts w:hint="cs"/>
          <w:rtl/>
        </w:rPr>
        <w:t>7</w:t>
      </w:r>
      <w:r>
        <w:rPr>
          <w:rFonts w:hint="cs"/>
          <w:rtl/>
        </w:rPr>
        <w:t>-</w:t>
      </w:r>
      <w:r w:rsidRPr="00383CD5">
        <w:rPr>
          <w:rFonts w:hint="cs"/>
          <w:rtl/>
        </w:rPr>
        <w:t>14</w:t>
      </w:r>
      <w:r>
        <w:rPr>
          <w:rtl/>
        </w:rPr>
        <w:tab/>
      </w:r>
      <w:r>
        <w:rPr>
          <w:rFonts w:hint="cs"/>
          <w:rtl/>
        </w:rPr>
        <w:t>وتشير اللجنة كذلك إلى قراراتها السابقة بأن كل تفريق بالاستناد إلى الأسباب المذكورة في المادة</w:t>
      </w:r>
      <w:r>
        <w:rPr>
          <w:rFonts w:hint="eastAsia"/>
          <w:rtl/>
        </w:rPr>
        <w:t> </w:t>
      </w:r>
      <w:r w:rsidRPr="00383CD5">
        <w:rPr>
          <w:rFonts w:hint="cs"/>
          <w:rtl/>
        </w:rPr>
        <w:t>26</w:t>
      </w:r>
      <w:r>
        <w:rPr>
          <w:rFonts w:hint="cs"/>
          <w:rtl/>
        </w:rPr>
        <w:t xml:space="preserve"> من العهد لا يعادل تمييزاً ما دام يقوم على معايير معقولة وموضوعية ويتوخى غاية مشروعة بموجب العهد. وتقر اللجنة بدور سلطات الدولة الطرف في حماية رفاه القاصرين، غير أنها تلاحظ أن الدولة الطرف لم تبرهن على أن تقييد التجمع السلمي يستند إلى معايير معقولة وموضوعية. وعلاوة على ذلك، لم تقدم أي دليل يشير إلى وجود عوامل قد تبرر ذلك التقييم. </w:t>
      </w:r>
    </w:p>
    <w:p w14:paraId="3066DE1E" w14:textId="39F9711E" w:rsidR="00714C00" w:rsidRDefault="00714C00" w:rsidP="00714C00">
      <w:pPr>
        <w:pStyle w:val="SingleTxtGA"/>
        <w:rPr>
          <w:rtl/>
        </w:rPr>
      </w:pPr>
      <w:r w:rsidRPr="00383CD5">
        <w:rPr>
          <w:rFonts w:hint="cs"/>
          <w:rtl/>
        </w:rPr>
        <w:t>7</w:t>
      </w:r>
      <w:r>
        <w:rPr>
          <w:rFonts w:hint="cs"/>
          <w:rtl/>
        </w:rPr>
        <w:t>-</w:t>
      </w:r>
      <w:r w:rsidRPr="00383CD5">
        <w:rPr>
          <w:rFonts w:hint="cs"/>
          <w:rtl/>
        </w:rPr>
        <w:t>15</w:t>
      </w:r>
      <w:r>
        <w:rPr>
          <w:rtl/>
        </w:rPr>
        <w:tab/>
      </w:r>
      <w:r>
        <w:rPr>
          <w:rFonts w:hint="cs"/>
          <w:rtl/>
        </w:rPr>
        <w:t>وفي هذه الظروف، يتمثل واجب الدولة الطرف في حماية ممارسة صاحب البلاغ حقوقَه بموجب العهد وفي عدم الإسهام في قمع تلك الحقوق</w:t>
      </w:r>
      <w:r w:rsidRPr="00921A30">
        <w:rPr>
          <w:vertAlign w:val="superscript"/>
          <w:rtl/>
        </w:rPr>
        <w:t>(</w:t>
      </w:r>
      <w:r w:rsidRPr="00383CD5">
        <w:rPr>
          <w:rStyle w:val="FootnoteReference"/>
          <w:lang w:val="en-US"/>
        </w:rPr>
        <w:footnoteReference w:id="21"/>
      </w:r>
      <w:r w:rsidRPr="00921A30">
        <w:rPr>
          <w:vertAlign w:val="superscript"/>
          <w:rtl/>
        </w:rPr>
        <w:t>)</w:t>
      </w:r>
      <w:r>
        <w:rPr>
          <w:rFonts w:hint="cs"/>
          <w:rtl/>
        </w:rPr>
        <w:t>. وتحيط اللجنة علماً كذلك بأنها كانت قد استنتجت في السابق أن القوانين التي تحظر "الترويج للعلاقات الجنسية غير التقليدية في صفوف القاصرين" في الدولة الطرف تفاقِم الأفكار النمطية السلبية عن الأشخاص بسبب الميل الجنسي والهوية الجنسانية وتشكل تقييداً غير متناسب لحقوقهم بموجب العهد. وطلبت إلغاء تلك القوانين</w:t>
      </w:r>
      <w:r w:rsidR="008D2FA2" w:rsidRPr="00921A30">
        <w:rPr>
          <w:vertAlign w:val="superscript"/>
          <w:rtl/>
        </w:rPr>
        <w:t>(</w:t>
      </w:r>
      <w:r w:rsidR="008D2FA2" w:rsidRPr="00383CD5">
        <w:rPr>
          <w:rStyle w:val="FootnoteReference"/>
          <w:lang w:val="en-US"/>
        </w:rPr>
        <w:footnoteReference w:id="22"/>
      </w:r>
      <w:r w:rsidR="008D2FA2" w:rsidRPr="00921A30">
        <w:rPr>
          <w:vertAlign w:val="superscript"/>
          <w:rtl/>
        </w:rPr>
        <w:t>)</w:t>
      </w:r>
      <w:r>
        <w:rPr>
          <w:rFonts w:hint="cs"/>
          <w:rtl/>
        </w:rPr>
        <w:t xml:space="preserve">. وبناءً عليه، ترى اللجنة أن الدولة الطرف لم تثبت أن القيد المفروض على حق صاحب البلاغ في التجمع السلمي كان يستند إلى معايير معقولة وموضوعية، ويتوخى غاية مشروعة بموجب العهد. وأن الحظر لتلك الأسباب يعادل انتهاكاً لحقوق صاحب البلاغ بموجب المادتين </w:t>
      </w:r>
      <w:r w:rsidRPr="00383CD5">
        <w:rPr>
          <w:rFonts w:hint="cs"/>
          <w:rtl/>
        </w:rPr>
        <w:t>21</w:t>
      </w:r>
      <w:r>
        <w:rPr>
          <w:rFonts w:hint="cs"/>
          <w:rtl/>
        </w:rPr>
        <w:t xml:space="preserve"> و</w:t>
      </w:r>
      <w:r w:rsidRPr="00383CD5">
        <w:rPr>
          <w:rFonts w:hint="cs"/>
          <w:rtl/>
        </w:rPr>
        <w:t>26</w:t>
      </w:r>
      <w:r>
        <w:rPr>
          <w:rFonts w:hint="cs"/>
          <w:rtl/>
        </w:rPr>
        <w:t xml:space="preserve"> من العهد.</w:t>
      </w:r>
    </w:p>
    <w:p w14:paraId="7563F3A5" w14:textId="77777777" w:rsidR="00714C00" w:rsidRDefault="00714C00" w:rsidP="00714C00">
      <w:pPr>
        <w:pStyle w:val="SingleTxtGA"/>
        <w:rPr>
          <w:rtl/>
        </w:rPr>
      </w:pPr>
      <w:r w:rsidRPr="00383CD5">
        <w:rPr>
          <w:rFonts w:hint="cs"/>
          <w:rtl/>
        </w:rPr>
        <w:t>8</w:t>
      </w:r>
      <w:r>
        <w:rPr>
          <w:rFonts w:hint="cs"/>
          <w:rtl/>
        </w:rPr>
        <w:t>-</w:t>
      </w:r>
      <w:r>
        <w:rPr>
          <w:rtl/>
        </w:rPr>
        <w:tab/>
      </w:r>
      <w:r>
        <w:rPr>
          <w:rFonts w:hint="cs"/>
          <w:rtl/>
        </w:rPr>
        <w:t xml:space="preserve">واللجنة، إذ تتصرف بموجب المادة </w:t>
      </w:r>
      <w:r w:rsidRPr="00383CD5">
        <w:rPr>
          <w:rFonts w:hint="cs"/>
          <w:rtl/>
        </w:rPr>
        <w:t>5</w:t>
      </w:r>
      <w:r>
        <w:rPr>
          <w:rFonts w:hint="cs"/>
          <w:rtl/>
        </w:rPr>
        <w:t>(</w:t>
      </w:r>
      <w:r w:rsidRPr="00383CD5">
        <w:rPr>
          <w:rFonts w:hint="cs"/>
          <w:rtl/>
        </w:rPr>
        <w:t>4</w:t>
      </w:r>
      <w:r>
        <w:rPr>
          <w:rFonts w:hint="cs"/>
          <w:rtl/>
        </w:rPr>
        <w:t xml:space="preserve">) من البروتوكول الاختياري، ترى أن الوقائع المعروضة عليها تكشف عن انتهاك الدولة الطرف للمادتين </w:t>
      </w:r>
      <w:r w:rsidRPr="00383CD5">
        <w:rPr>
          <w:rFonts w:hint="cs"/>
          <w:rtl/>
        </w:rPr>
        <w:t>21</w:t>
      </w:r>
      <w:r>
        <w:rPr>
          <w:rFonts w:hint="cs"/>
          <w:rtl/>
        </w:rPr>
        <w:t xml:space="preserve"> و</w:t>
      </w:r>
      <w:r w:rsidRPr="00383CD5">
        <w:rPr>
          <w:rFonts w:hint="cs"/>
          <w:rtl/>
        </w:rPr>
        <w:t>26</w:t>
      </w:r>
      <w:r>
        <w:rPr>
          <w:rFonts w:hint="cs"/>
          <w:rtl/>
        </w:rPr>
        <w:t xml:space="preserve"> من العهد.</w:t>
      </w:r>
    </w:p>
    <w:p w14:paraId="1686FD7A" w14:textId="77777777" w:rsidR="00714C00" w:rsidRDefault="00714C00" w:rsidP="00714C00">
      <w:pPr>
        <w:pStyle w:val="SingleTxtGA"/>
        <w:rPr>
          <w:rtl/>
        </w:rPr>
      </w:pPr>
      <w:r w:rsidRPr="00383CD5">
        <w:rPr>
          <w:rFonts w:hint="cs"/>
          <w:rtl/>
        </w:rPr>
        <w:t>9</w:t>
      </w:r>
      <w:r>
        <w:rPr>
          <w:rFonts w:hint="cs"/>
          <w:rtl/>
        </w:rPr>
        <w:t>-</w:t>
      </w:r>
      <w:r>
        <w:rPr>
          <w:rtl/>
        </w:rPr>
        <w:tab/>
      </w:r>
      <w:r>
        <w:rPr>
          <w:rFonts w:hint="cs"/>
          <w:rtl/>
        </w:rPr>
        <w:t xml:space="preserve">وطبقاً للمادة </w:t>
      </w:r>
      <w:r w:rsidRPr="00383CD5">
        <w:rPr>
          <w:rFonts w:hint="cs"/>
          <w:rtl/>
        </w:rPr>
        <w:t>2</w:t>
      </w:r>
      <w:r>
        <w:rPr>
          <w:rFonts w:hint="cs"/>
          <w:rtl/>
        </w:rPr>
        <w:t>(</w:t>
      </w:r>
      <w:r w:rsidRPr="00383CD5">
        <w:rPr>
          <w:rFonts w:hint="cs"/>
          <w:rtl/>
        </w:rPr>
        <w:t>3</w:t>
      </w:r>
      <w:r>
        <w:rPr>
          <w:rFonts w:hint="cs"/>
          <w:rtl/>
        </w:rPr>
        <w:t xml:space="preserve">)(أ) من العهد، يقع على الدولة الطرف التزام بإتاحة سبيل انتصاف فعال لصاحب البلاغ. وهذا يستلزم تقديم جبر كامل للأفراد الذين تكون حقوقهم بموجب العهد قد انتهكت. وبناءً عليه، فإن الدولة الطرف ملزمة بأمور منها اتخاذ خطوات مناسبة لدفع تعويض كافٍ لصاحب البلاغ. ومن واجل الدولة الطرف أيضاً اتخاذ جميع الخطوات الضرورية لمنع وقوع انتهاكات مشابهة في المستقبل. وفي هذا الشأن، تكرر اللجنة قولها إن الدولة الطرف، عملاً بالتزاماتها بموجب المادة </w:t>
      </w:r>
      <w:r w:rsidRPr="00383CD5">
        <w:rPr>
          <w:rFonts w:hint="cs"/>
          <w:rtl/>
        </w:rPr>
        <w:t>2</w:t>
      </w:r>
      <w:r>
        <w:rPr>
          <w:rFonts w:hint="cs"/>
          <w:rtl/>
        </w:rPr>
        <w:t>(</w:t>
      </w:r>
      <w:r w:rsidRPr="00383CD5">
        <w:rPr>
          <w:rFonts w:hint="cs"/>
          <w:rtl/>
        </w:rPr>
        <w:t>2</w:t>
      </w:r>
      <w:r>
        <w:rPr>
          <w:rFonts w:hint="cs"/>
          <w:rtl/>
        </w:rPr>
        <w:t xml:space="preserve">) من العهد، ينبغي أن تراجع تشريعاتها بهدف كفالة تمكين التمتع التام بالحقوق الناشئة عن المادتين </w:t>
      </w:r>
      <w:r w:rsidRPr="00383CD5">
        <w:rPr>
          <w:rFonts w:hint="cs"/>
          <w:rtl/>
        </w:rPr>
        <w:t>21</w:t>
      </w:r>
      <w:r>
        <w:rPr>
          <w:rFonts w:hint="cs"/>
          <w:rtl/>
        </w:rPr>
        <w:t xml:space="preserve"> و</w:t>
      </w:r>
      <w:r w:rsidRPr="00383CD5">
        <w:rPr>
          <w:rFonts w:hint="cs"/>
          <w:rtl/>
        </w:rPr>
        <w:t>26</w:t>
      </w:r>
      <w:r>
        <w:rPr>
          <w:rFonts w:hint="cs"/>
          <w:rtl/>
        </w:rPr>
        <w:t xml:space="preserve"> من العهد تمتعاً تاماً في الدولة الطرف. </w:t>
      </w:r>
    </w:p>
    <w:p w14:paraId="590644ED" w14:textId="28B30700" w:rsidR="00800FB2" w:rsidRDefault="00714C00" w:rsidP="00283D47">
      <w:pPr>
        <w:pStyle w:val="SingleTxtGA"/>
        <w:rPr>
          <w:rtl/>
        </w:rPr>
        <w:sectPr w:rsidR="00800FB2" w:rsidSect="00E4012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r w:rsidRPr="00383CD5">
        <w:rPr>
          <w:rFonts w:hint="cs"/>
          <w:rtl/>
        </w:rPr>
        <w:t>10</w:t>
      </w:r>
      <w:r>
        <w:rPr>
          <w:rFonts w:hint="cs"/>
          <w:rtl/>
        </w:rPr>
        <w:t>-</w:t>
      </w:r>
      <w:r>
        <w:rPr>
          <w:rtl/>
        </w:rPr>
        <w:tab/>
      </w:r>
      <w:r>
        <w:rPr>
          <w:rFonts w:hint="cs"/>
          <w:rtl/>
        </w:rPr>
        <w:t>وإذ تضع اللجنة نصب عينيها أن الدولة الطرف، بانضمامها إلى البروتوكول الاختياري، قد اعترفت باختصاص اللجنة في تقرير ما إذا كان هناك انتهاك للعهد أم لا، وأن الدولة الطرف، طبقاً للمادة</w:t>
      </w:r>
      <w:r w:rsidR="00A11B29">
        <w:rPr>
          <w:rFonts w:hint="eastAsia"/>
          <w:rtl/>
        </w:rPr>
        <w:t> </w:t>
      </w:r>
      <w:r w:rsidRPr="00383CD5">
        <w:rPr>
          <w:rFonts w:hint="cs"/>
          <w:rtl/>
        </w:rPr>
        <w:t>2</w:t>
      </w:r>
      <w:r>
        <w:rPr>
          <w:rFonts w:hint="cs"/>
          <w:rtl/>
        </w:rPr>
        <w:t xml:space="preserve"> من العهد، قد تعهدت بكفالة الحقوق المعترف بها في العهد لجميع الأفراد داخل إقليمها والخاضعين لولايتها القضائية وبتوفير سبيل انتصاف فعال عندما يثبت أن انتهاكاً قد حدث، فإن اللجنة ترغب في أن تتسلم من الدولة الطرف، في غضون </w:t>
      </w:r>
      <w:r w:rsidRPr="00383CD5">
        <w:rPr>
          <w:rFonts w:hint="cs"/>
          <w:rtl/>
        </w:rPr>
        <w:t>180</w:t>
      </w:r>
      <w:r>
        <w:rPr>
          <w:rFonts w:hint="cs"/>
          <w:rtl/>
        </w:rPr>
        <w:t xml:space="preserve"> يوماً، معلومات عن التدابير التي تكون قد اتخذتها لإنفاذ آراء اللجنة. وتطلب إلى الدولة الطرف أيضاً أن تنشر هذه الآراء وتوزعها على نطاق واسع باللغة الرسمية للدولة الطرف. </w:t>
      </w:r>
    </w:p>
    <w:p w14:paraId="2825A32C" w14:textId="5BF27D1A" w:rsidR="00714C00" w:rsidRPr="00383CD5" w:rsidRDefault="00714C00" w:rsidP="005C2BAA">
      <w:pPr>
        <w:pStyle w:val="HChGA"/>
        <w:pageBreakBefore/>
        <w:spacing w:before="120"/>
        <w:rPr>
          <w:rtl/>
        </w:rPr>
      </w:pPr>
      <w:r w:rsidRPr="00383CD5">
        <w:rPr>
          <w:rFonts w:hint="cs"/>
          <w:rtl/>
        </w:rPr>
        <w:lastRenderedPageBreak/>
        <w:t>المرفق</w:t>
      </w:r>
    </w:p>
    <w:p w14:paraId="46F1883B" w14:textId="77777777" w:rsidR="00714C00" w:rsidRPr="00383CD5" w:rsidRDefault="00714C00" w:rsidP="00714C00">
      <w:pPr>
        <w:pStyle w:val="HChGA"/>
        <w:rPr>
          <w:rtl/>
        </w:rPr>
      </w:pPr>
      <w:r w:rsidRPr="00383CD5">
        <w:rPr>
          <w:rtl/>
        </w:rPr>
        <w:tab/>
      </w:r>
      <w:r w:rsidRPr="00383CD5">
        <w:rPr>
          <w:rtl/>
        </w:rPr>
        <w:tab/>
      </w:r>
      <w:r w:rsidRPr="00383CD5">
        <w:rPr>
          <w:rFonts w:hint="cs"/>
          <w:rtl/>
        </w:rPr>
        <w:t xml:space="preserve">رأي فردي لعضو اللجنة </w:t>
      </w:r>
      <w:proofErr w:type="spellStart"/>
      <w:r w:rsidRPr="00383CD5">
        <w:rPr>
          <w:rFonts w:hint="cs"/>
          <w:rtl/>
        </w:rPr>
        <w:t>جنتيان</w:t>
      </w:r>
      <w:proofErr w:type="spellEnd"/>
      <w:r w:rsidRPr="00383CD5">
        <w:rPr>
          <w:rFonts w:hint="cs"/>
          <w:rtl/>
        </w:rPr>
        <w:t xml:space="preserve"> </w:t>
      </w:r>
      <w:proofErr w:type="spellStart"/>
      <w:r w:rsidRPr="00383CD5">
        <w:rPr>
          <w:rFonts w:hint="cs"/>
          <w:rtl/>
        </w:rPr>
        <w:t>زيبيري</w:t>
      </w:r>
      <w:proofErr w:type="spellEnd"/>
      <w:r w:rsidRPr="00383CD5">
        <w:rPr>
          <w:rFonts w:hint="cs"/>
          <w:rtl/>
        </w:rPr>
        <w:t xml:space="preserve"> (متفق)</w:t>
      </w:r>
    </w:p>
    <w:p w14:paraId="3B041095" w14:textId="061FD2E5" w:rsidR="00714C00" w:rsidRDefault="00714C00" w:rsidP="00714C00">
      <w:pPr>
        <w:pStyle w:val="SingleTxtGA"/>
        <w:rPr>
          <w:rtl/>
        </w:rPr>
      </w:pPr>
      <w:r w:rsidRPr="00383CD5">
        <w:rPr>
          <w:rFonts w:hint="cs"/>
          <w:rtl/>
        </w:rPr>
        <w:t>1</w:t>
      </w:r>
      <w:r>
        <w:rPr>
          <w:rFonts w:hint="cs"/>
          <w:rtl/>
        </w:rPr>
        <w:t>-</w:t>
      </w:r>
      <w:r>
        <w:rPr>
          <w:rtl/>
        </w:rPr>
        <w:tab/>
      </w:r>
      <w:r>
        <w:rPr>
          <w:rFonts w:hint="cs"/>
          <w:rtl/>
        </w:rPr>
        <w:t xml:space="preserve">أتفق مع قرار اللجنة بشأن الأسس الموضوعية، وأجد أن الوقائع المعروضة عليها تكشف عن انتهاك الدولة الطرف للمادتين </w:t>
      </w:r>
      <w:r w:rsidRPr="00383CD5">
        <w:rPr>
          <w:rFonts w:hint="cs"/>
          <w:rtl/>
        </w:rPr>
        <w:t>21</w:t>
      </w:r>
      <w:r>
        <w:rPr>
          <w:rFonts w:hint="cs"/>
          <w:rtl/>
        </w:rPr>
        <w:t xml:space="preserve"> و</w:t>
      </w:r>
      <w:r w:rsidRPr="00383CD5">
        <w:rPr>
          <w:rFonts w:hint="cs"/>
          <w:rtl/>
        </w:rPr>
        <w:t>26</w:t>
      </w:r>
      <w:r>
        <w:rPr>
          <w:rFonts w:hint="cs"/>
          <w:rtl/>
        </w:rPr>
        <w:t xml:space="preserve"> من العهد. ورأيي الفردي هذا يتناول مسائل تتعلق بالمقبولية والإحالة، ما دام الانتهاك قد وقع في </w:t>
      </w:r>
      <w:proofErr w:type="spellStart"/>
      <w:r>
        <w:rPr>
          <w:rFonts w:hint="cs"/>
          <w:rtl/>
        </w:rPr>
        <w:t>سيمفيروبول</w:t>
      </w:r>
      <w:proofErr w:type="spellEnd"/>
      <w:r>
        <w:rPr>
          <w:rFonts w:hint="cs"/>
          <w:rtl/>
        </w:rPr>
        <w:t>، وهي عاصمة جمهورية القرم المستقلة ذاتيا</w:t>
      </w:r>
      <w:r w:rsidR="00E4012E">
        <w:rPr>
          <w:rFonts w:hint="cs"/>
          <w:rtl/>
        </w:rPr>
        <w:t>ً</w:t>
      </w:r>
      <w:r>
        <w:rPr>
          <w:rFonts w:hint="cs"/>
          <w:rtl/>
        </w:rPr>
        <w:t>، والتي لا</w:t>
      </w:r>
      <w:r w:rsidR="005C2BAA">
        <w:rPr>
          <w:rFonts w:hint="eastAsia"/>
          <w:rtl/>
        </w:rPr>
        <w:t> </w:t>
      </w:r>
      <w:r>
        <w:rPr>
          <w:rFonts w:hint="cs"/>
          <w:rtl/>
        </w:rPr>
        <w:t xml:space="preserve">يزال إلحاقها العسكري بالاتحاد الروسي في عام </w:t>
      </w:r>
      <w:r w:rsidRPr="00383CD5">
        <w:rPr>
          <w:rFonts w:hint="cs"/>
          <w:rtl/>
        </w:rPr>
        <w:t>2014</w:t>
      </w:r>
      <w:r>
        <w:rPr>
          <w:rFonts w:hint="cs"/>
          <w:rtl/>
        </w:rPr>
        <w:t xml:space="preserve"> مسألة خلافية تثير قلقا</w:t>
      </w:r>
      <w:r w:rsidR="00E4012E">
        <w:rPr>
          <w:rFonts w:hint="cs"/>
          <w:rtl/>
        </w:rPr>
        <w:t>ً</w:t>
      </w:r>
      <w:r>
        <w:rPr>
          <w:rFonts w:hint="cs"/>
          <w:rtl/>
        </w:rPr>
        <w:t xml:space="preserve"> دولياً. وقُدمت هذه الشكوى ضد الاتحاد الروسي نظراً إلى أنه يمارس بحكم الواقع سيطرته على الإقليم. وما يحرك اللجنة هو شاغلها الأساسي المتمثل في ضمان احترام الحقوق المدنية والسياسية المنصوص عليها في العهد في جميع الأوقات وفي جميع الأماكن، بما في ذلك في الإقليم المحتل، غير أن هذه المسألة تحتاج بعض النظر. وهو أمر يستند أيضاً إلى قرارات الجمعية العامة بشأن حالة حقوق الإنسان في القرم والقانون الدولي العام. </w:t>
      </w:r>
    </w:p>
    <w:p w14:paraId="25FCF31B" w14:textId="77777777" w:rsidR="00714C00" w:rsidRPr="00383CD5" w:rsidRDefault="00714C00" w:rsidP="00714C00">
      <w:pPr>
        <w:pStyle w:val="H23GA"/>
        <w:rPr>
          <w:rFonts w:ascii="Times New Roman Bold" w:hAnsi="Times New Roman Bold" w:hint="eastAsia"/>
          <w:spacing w:val="-6"/>
          <w:rtl/>
        </w:rPr>
      </w:pPr>
      <w:r w:rsidRPr="00383CD5">
        <w:rPr>
          <w:rFonts w:ascii="Times New Roman Bold" w:hAnsi="Times New Roman Bold"/>
          <w:spacing w:val="-6"/>
          <w:rtl/>
        </w:rPr>
        <w:tab/>
      </w:r>
      <w:r w:rsidRPr="00383CD5">
        <w:rPr>
          <w:rFonts w:ascii="Times New Roman Bold" w:hAnsi="Times New Roman Bold"/>
          <w:spacing w:val="-6"/>
          <w:rtl/>
        </w:rPr>
        <w:tab/>
      </w:r>
      <w:r w:rsidRPr="00383CD5">
        <w:rPr>
          <w:rFonts w:ascii="Times New Roman Bold" w:hAnsi="Times New Roman Bold" w:hint="cs"/>
          <w:spacing w:val="-6"/>
          <w:rtl/>
        </w:rPr>
        <w:t>قرارات الجمعية العامة بشأن حقوق الإنسان بشأن جمهورية القرم المستقلة ذاتياً ومدينة سيفاستوبول، أوكرانيا</w:t>
      </w:r>
    </w:p>
    <w:p w14:paraId="74071784" w14:textId="2A1B21F8" w:rsidR="00714C00" w:rsidRDefault="00714C00" w:rsidP="00714C00">
      <w:pPr>
        <w:pStyle w:val="SingleTxtGA"/>
        <w:rPr>
          <w:rtl/>
        </w:rPr>
      </w:pPr>
      <w:r w:rsidRPr="00383CD5">
        <w:rPr>
          <w:rFonts w:hint="cs"/>
          <w:rtl/>
        </w:rPr>
        <w:t>2</w:t>
      </w:r>
      <w:r>
        <w:rPr>
          <w:rFonts w:hint="cs"/>
          <w:rtl/>
        </w:rPr>
        <w:t>-</w:t>
      </w:r>
      <w:r>
        <w:rPr>
          <w:rtl/>
        </w:rPr>
        <w:tab/>
      </w:r>
      <w:r>
        <w:rPr>
          <w:rFonts w:hint="cs"/>
          <w:rtl/>
        </w:rPr>
        <w:t xml:space="preserve">تناولت الجمعية العامة للأمم المتحدة الحالة في جمهورية القرم المستقلة ذاتياً في عدة قرارات صدرت في الفترة ما بين آذار/مارس </w:t>
      </w:r>
      <w:r w:rsidRPr="00383CD5">
        <w:rPr>
          <w:rFonts w:hint="cs"/>
          <w:rtl/>
        </w:rPr>
        <w:t>2014</w:t>
      </w:r>
      <w:r>
        <w:rPr>
          <w:rFonts w:hint="cs"/>
          <w:rtl/>
        </w:rPr>
        <w:t xml:space="preserve"> وكانون الأول/ديسمبر </w:t>
      </w:r>
      <w:r w:rsidRPr="00383CD5">
        <w:rPr>
          <w:rFonts w:hint="cs"/>
          <w:rtl/>
        </w:rPr>
        <w:t>2019</w:t>
      </w:r>
      <w:r>
        <w:rPr>
          <w:rFonts w:hint="cs"/>
          <w:rtl/>
        </w:rPr>
        <w:t>، أكدت فيها التزامها بسيادة أوكرانيا وباستقلالها السياسي ووحدتها وسلامة أراضيها ضمن الحدود المعترف بها دولياً</w:t>
      </w:r>
      <w:r w:rsidR="008D2FA2" w:rsidRPr="00921A30">
        <w:rPr>
          <w:vertAlign w:val="superscript"/>
          <w:rtl/>
        </w:rPr>
        <w:t>(</w:t>
      </w:r>
      <w:r w:rsidR="008D2FA2" w:rsidRPr="00383CD5">
        <w:rPr>
          <w:rStyle w:val="FootnoteReference"/>
          <w:lang w:val="en-US"/>
        </w:rPr>
        <w:footnoteReference w:id="23"/>
      </w:r>
      <w:r w:rsidR="008D2FA2" w:rsidRPr="00921A30">
        <w:rPr>
          <w:vertAlign w:val="superscript"/>
          <w:rtl/>
        </w:rPr>
        <w:t>)</w:t>
      </w:r>
      <w:r>
        <w:rPr>
          <w:rFonts w:hint="cs"/>
          <w:rtl/>
        </w:rPr>
        <w:t xml:space="preserve">. فالجمعية العامة، في قرارها </w:t>
      </w:r>
      <w:r w:rsidRPr="00383CD5">
        <w:rPr>
          <w:rFonts w:hint="cs"/>
          <w:rtl/>
        </w:rPr>
        <w:t>68</w:t>
      </w:r>
      <w:r>
        <w:rPr>
          <w:rFonts w:hint="cs"/>
          <w:rtl/>
        </w:rPr>
        <w:t>/</w:t>
      </w:r>
      <w:r w:rsidRPr="00383CD5">
        <w:rPr>
          <w:rFonts w:hint="cs"/>
          <w:rtl/>
        </w:rPr>
        <w:t>262</w:t>
      </w:r>
      <w:r>
        <w:rPr>
          <w:rFonts w:hint="cs"/>
          <w:rtl/>
        </w:rPr>
        <w:t xml:space="preserve"> المؤرخ آذار/مارس </w:t>
      </w:r>
      <w:r w:rsidRPr="00383CD5">
        <w:rPr>
          <w:rFonts w:hint="cs"/>
          <w:rtl/>
        </w:rPr>
        <w:t>2014</w:t>
      </w:r>
      <w:r>
        <w:rPr>
          <w:rFonts w:hint="cs"/>
          <w:rtl/>
        </w:rPr>
        <w:t xml:space="preserve">، شددت على أن الاستفتاء الذي نُظم في جمهورية القرم المستقلة ذاتياً وفي مدينة سيفاستوبول في </w:t>
      </w:r>
      <w:r w:rsidRPr="00383CD5">
        <w:rPr>
          <w:rFonts w:hint="cs"/>
          <w:rtl/>
        </w:rPr>
        <w:t>16</w:t>
      </w:r>
      <w:r>
        <w:rPr>
          <w:rFonts w:hint="cs"/>
          <w:rtl/>
        </w:rPr>
        <w:t xml:space="preserve"> آذار/مارس </w:t>
      </w:r>
      <w:r w:rsidRPr="00383CD5">
        <w:rPr>
          <w:rFonts w:hint="cs"/>
          <w:rtl/>
        </w:rPr>
        <w:t>2014</w:t>
      </w:r>
      <w:r>
        <w:rPr>
          <w:rFonts w:hint="cs"/>
          <w:rtl/>
        </w:rPr>
        <w:t>، غير صحيح ولا يجوز أن يشكل الأساس لإدخال أي تغيير على مركز جمهورية القرم المستقلة ذاتياً ولا مركز مدينة</w:t>
      </w:r>
      <w:r w:rsidRPr="00CD5CE7">
        <w:rPr>
          <w:rFonts w:hint="cs"/>
          <w:rtl/>
        </w:rPr>
        <w:t xml:space="preserve"> </w:t>
      </w:r>
      <w:r>
        <w:rPr>
          <w:rFonts w:hint="cs"/>
          <w:rtl/>
        </w:rPr>
        <w:t>سيفاستوبول. وزيادة على ذلك، دعت جميع الدول والمنظمات الدولة والوكالات المتخصصة إلى الامتناع عن أي تصرف أو</w:t>
      </w:r>
      <w:r w:rsidR="00FB693E">
        <w:rPr>
          <w:rFonts w:hint="eastAsia"/>
          <w:rtl/>
        </w:rPr>
        <w:t> </w:t>
      </w:r>
      <w:r>
        <w:rPr>
          <w:rFonts w:hint="cs"/>
          <w:rtl/>
        </w:rPr>
        <w:t xml:space="preserve">معاملة يمكن تفسيرها على أنها تعترف بتغيير مركزها. </w:t>
      </w:r>
    </w:p>
    <w:p w14:paraId="4F1E1272" w14:textId="66ECBC07" w:rsidR="00714C00" w:rsidRDefault="00714C00" w:rsidP="00714C00">
      <w:pPr>
        <w:pStyle w:val="SingleTxtGA"/>
        <w:rPr>
          <w:rtl/>
        </w:rPr>
      </w:pPr>
      <w:r w:rsidRPr="00383CD5">
        <w:rPr>
          <w:rFonts w:hint="cs"/>
          <w:rtl/>
        </w:rPr>
        <w:t>3</w:t>
      </w:r>
      <w:r>
        <w:rPr>
          <w:rFonts w:hint="cs"/>
          <w:rtl/>
        </w:rPr>
        <w:t>-</w:t>
      </w:r>
      <w:r>
        <w:rPr>
          <w:rtl/>
        </w:rPr>
        <w:tab/>
      </w:r>
      <w:r>
        <w:rPr>
          <w:rFonts w:hint="cs"/>
          <w:rtl/>
        </w:rPr>
        <w:t>وقد كررت الجمعية العامة</w:t>
      </w:r>
      <w:r w:rsidR="008D2FA2" w:rsidRPr="00921A30">
        <w:rPr>
          <w:vertAlign w:val="superscript"/>
          <w:rtl/>
        </w:rPr>
        <w:t>(</w:t>
      </w:r>
      <w:r w:rsidR="008D2FA2" w:rsidRPr="00383CD5">
        <w:rPr>
          <w:rStyle w:val="FootnoteReference"/>
          <w:lang w:val="en-US"/>
        </w:rPr>
        <w:footnoteReference w:id="24"/>
      </w:r>
      <w:r w:rsidR="008D2FA2" w:rsidRPr="00921A30">
        <w:rPr>
          <w:vertAlign w:val="superscript"/>
          <w:rtl/>
        </w:rPr>
        <w:t>)</w:t>
      </w:r>
      <w:r>
        <w:rPr>
          <w:rFonts w:hint="cs"/>
          <w:rtl/>
        </w:rPr>
        <w:t xml:space="preserve"> على مدى سنوات ذكرَ الصعوبات التي تكتنف حماية حقوق الإنسان في جمهورية القرم المستقلة ذاتياً. ففي قرارها </w:t>
      </w:r>
      <w:r w:rsidRPr="00383CD5">
        <w:rPr>
          <w:rFonts w:hint="cs"/>
          <w:rtl/>
        </w:rPr>
        <w:t>72</w:t>
      </w:r>
      <w:r>
        <w:rPr>
          <w:rFonts w:hint="cs"/>
          <w:rtl/>
        </w:rPr>
        <w:t>/</w:t>
      </w:r>
      <w:r w:rsidRPr="00383CD5">
        <w:rPr>
          <w:rFonts w:hint="cs"/>
          <w:rtl/>
        </w:rPr>
        <w:t>190</w:t>
      </w:r>
      <w:r>
        <w:rPr>
          <w:rFonts w:hint="cs"/>
          <w:rtl/>
        </w:rPr>
        <w:t xml:space="preserve">، الصادر في كانون الأول/ديسمبر </w:t>
      </w:r>
      <w:r w:rsidRPr="00383CD5">
        <w:rPr>
          <w:rFonts w:hint="cs"/>
          <w:rtl/>
        </w:rPr>
        <w:t>2017</w:t>
      </w:r>
      <w:r>
        <w:rPr>
          <w:rFonts w:hint="cs"/>
          <w:rtl/>
        </w:rPr>
        <w:t xml:space="preserve">، طلبت الجمعية العامة إلى الاتحاد الروسي احترام التزاماته بموجب القانون الدولي فيما يتعلق باحترام القوانين السارية في القُرم قبل احتلالها. ومنذ وقت أقرب، أي في كانون الأول/ديسمبر </w:t>
      </w:r>
      <w:r w:rsidRPr="00383CD5">
        <w:rPr>
          <w:rFonts w:hint="cs"/>
          <w:rtl/>
        </w:rPr>
        <w:t>2019</w:t>
      </w:r>
      <w:r>
        <w:rPr>
          <w:rFonts w:hint="cs"/>
          <w:rtl/>
        </w:rPr>
        <w:t xml:space="preserve">، دعت الجمعية العامة، في قرارها </w:t>
      </w:r>
      <w:r w:rsidRPr="00383CD5">
        <w:rPr>
          <w:rFonts w:hint="cs"/>
          <w:rtl/>
        </w:rPr>
        <w:t>74</w:t>
      </w:r>
      <w:r>
        <w:rPr>
          <w:rFonts w:hint="cs"/>
          <w:rtl/>
        </w:rPr>
        <w:t>/</w:t>
      </w:r>
      <w:r w:rsidRPr="00383CD5">
        <w:rPr>
          <w:rFonts w:hint="cs"/>
          <w:rtl/>
        </w:rPr>
        <w:t>168</w:t>
      </w:r>
      <w:r>
        <w:rPr>
          <w:rFonts w:hint="cs"/>
          <w:rtl/>
        </w:rPr>
        <w:t xml:space="preserve">، جميع المنظمات الدولية والوكالات المتخصصة في منظومة الأمم المتحدة، إلى الإشارة إلى "جمهورية القرم المستقلة ذاتياً ومدينة سيفاستوبول، أوكرانيا، المحتلة مؤقتاً من قبل الاتحاد الروسي" عندما تشير إلى القُرم في وثائقها ومراسلاتها ومنشوراتها الرسمية، حتى في البيانات الإحصائية المتعلقة بالاتحاد الروسي، وشجعت جميع الدول والمنظمات الدولية الأخرى على أن تفعل الشيء نفسه. </w:t>
      </w:r>
    </w:p>
    <w:p w14:paraId="0F194D45" w14:textId="77777777" w:rsidR="00800FB2" w:rsidRDefault="00714C00" w:rsidP="00800FB2">
      <w:pPr>
        <w:pStyle w:val="SingleTxtGA"/>
        <w:rPr>
          <w:rtl/>
        </w:rPr>
      </w:pPr>
      <w:r w:rsidRPr="00383CD5">
        <w:rPr>
          <w:rFonts w:hint="cs"/>
          <w:rtl/>
        </w:rPr>
        <w:t>4</w:t>
      </w:r>
      <w:r>
        <w:rPr>
          <w:rFonts w:hint="cs"/>
          <w:rtl/>
        </w:rPr>
        <w:t>-</w:t>
      </w:r>
      <w:r>
        <w:rPr>
          <w:rtl/>
        </w:rPr>
        <w:tab/>
      </w:r>
      <w:r>
        <w:rPr>
          <w:rFonts w:hint="cs"/>
          <w:rtl/>
        </w:rPr>
        <w:t xml:space="preserve">وبالنظر إلى أن اللجنة المعنية بحقوق الإنسان تشكل جزءاً من منظومة الأمم المتحدة، تقدم تقارير سنوية إلى الجمعية العامة بشأن أنشطتها، فيتعين عليها أخذ هذه القرارات الصادرة عن الجمعية العامة بعين الاعتبار أثناء قيامها بعملها. وعليه، يتلخص اقتراحي المتواضع في إدراج شرح قصير تحت </w:t>
      </w:r>
      <w:r>
        <w:rPr>
          <w:rFonts w:hint="cs"/>
          <w:rtl/>
        </w:rPr>
        <w:lastRenderedPageBreak/>
        <w:t xml:space="preserve">عنوان "النظر في المقبولية" يقال فيه إن القضية تتعلق "بجمهورية القرم المستقلة ذاتياً ومدينة سيفاستوبول، أوكرانيا، المحتلة مؤقتاً من قبل الاتحاد الروسي"، كلما نظرت اللجنة في شكاوى فردية من جمهورية القُرم. </w:t>
      </w:r>
    </w:p>
    <w:p w14:paraId="27F471AA" w14:textId="5463AE0F" w:rsidR="00714C00" w:rsidRDefault="00714C00" w:rsidP="00800FB2">
      <w:pPr>
        <w:pStyle w:val="SingleTxtGA"/>
      </w:pPr>
      <w:r w:rsidRPr="00383CD5">
        <w:rPr>
          <w:rFonts w:hint="cs"/>
          <w:rtl/>
        </w:rPr>
        <w:t>5</w:t>
      </w:r>
      <w:r>
        <w:rPr>
          <w:rFonts w:hint="cs"/>
          <w:rtl/>
        </w:rPr>
        <w:t>-</w:t>
      </w:r>
      <w:r>
        <w:rPr>
          <w:rtl/>
        </w:rPr>
        <w:tab/>
      </w:r>
      <w:r>
        <w:rPr>
          <w:rFonts w:hint="cs"/>
          <w:rtl/>
        </w:rPr>
        <w:t xml:space="preserve">وبهذا الشكل، تتّبع اللجنة المعنية بحقوق الإنسان توصيات الجمعية العامة كما وردت في قراريها الصادرين في عامي </w:t>
      </w:r>
      <w:r w:rsidRPr="00383CD5">
        <w:rPr>
          <w:rFonts w:hint="cs"/>
          <w:rtl/>
        </w:rPr>
        <w:t>2014</w:t>
      </w:r>
      <w:r>
        <w:rPr>
          <w:rFonts w:hint="cs"/>
          <w:rtl/>
        </w:rPr>
        <w:t xml:space="preserve"> و</w:t>
      </w:r>
      <w:r w:rsidRPr="00383CD5">
        <w:rPr>
          <w:rFonts w:hint="cs"/>
          <w:rtl/>
        </w:rPr>
        <w:t>2019</w:t>
      </w:r>
      <w:r>
        <w:rPr>
          <w:rFonts w:hint="cs"/>
          <w:rtl/>
        </w:rPr>
        <w:t xml:space="preserve">، إلى جانب مطالب القانون الدولي العام المتعلقة بعدم الاعتراف بوضع مخالف للقانون. </w:t>
      </w:r>
    </w:p>
    <w:p w14:paraId="15828EC8" w14:textId="29E08005" w:rsidR="00714C00" w:rsidRDefault="00714C00" w:rsidP="00714C00">
      <w:pPr>
        <w:pStyle w:val="SingleTxtGA"/>
        <w:jc w:val="center"/>
        <w:rPr>
          <w:u w:val="single"/>
          <w:rtl/>
        </w:rPr>
      </w:pPr>
      <w:r>
        <w:rPr>
          <w:u w:val="single"/>
          <w:rtl/>
        </w:rPr>
        <w:tab/>
      </w:r>
      <w:r>
        <w:rPr>
          <w:u w:val="single"/>
          <w:rtl/>
        </w:rPr>
        <w:tab/>
      </w:r>
      <w:r>
        <w:rPr>
          <w:u w:val="single"/>
          <w:rtl/>
        </w:rPr>
        <w:tab/>
      </w:r>
    </w:p>
    <w:sectPr w:rsidR="00714C00" w:rsidSect="00800FB2">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2AD99" w14:textId="77777777" w:rsidR="00A40D09" w:rsidRPr="002901D9" w:rsidRDefault="00A40D09" w:rsidP="00DC4D4B">
      <w:pPr>
        <w:spacing w:after="60" w:line="240" w:lineRule="auto"/>
        <w:ind w:left="57"/>
        <w:rPr>
          <w:i/>
          <w:iCs/>
        </w:rPr>
      </w:pPr>
      <w:r>
        <w:rPr>
          <w:rFonts w:hint="cs"/>
          <w:i/>
          <w:iCs/>
          <w:rtl/>
        </w:rPr>
        <w:t>الحواشي</w:t>
      </w:r>
    </w:p>
  </w:endnote>
  <w:endnote w:type="continuationSeparator" w:id="0">
    <w:p w14:paraId="26734022" w14:textId="77777777" w:rsidR="00A40D09" w:rsidRDefault="00A40D0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BBC1C" w14:textId="359CA7C3" w:rsidR="00A40D09" w:rsidRPr="006451DA" w:rsidRDefault="00A40D09" w:rsidP="006451DA">
    <w:pPr>
      <w:pStyle w:val="Footer"/>
      <w:tabs>
        <w:tab w:val="right" w:pos="9638"/>
      </w:tabs>
      <w:rPr>
        <w:b/>
        <w:sz w:val="18"/>
        <w:lang w:val="en-US"/>
      </w:rPr>
    </w:pPr>
    <w:r>
      <w:rPr>
        <w:lang w:val="en-US"/>
      </w:rPr>
      <w:t>GE.21-05351</w:t>
    </w:r>
    <w:r>
      <w:rPr>
        <w:lang w:val="en-US"/>
      </w:rPr>
      <w:tab/>
    </w:r>
    <w:r w:rsidRPr="006451DA">
      <w:rPr>
        <w:b/>
        <w:sz w:val="18"/>
        <w:lang w:val="en-US"/>
      </w:rPr>
      <w:fldChar w:fldCharType="begin"/>
    </w:r>
    <w:r w:rsidRPr="006451DA">
      <w:rPr>
        <w:b/>
        <w:sz w:val="18"/>
        <w:lang w:val="en-US"/>
      </w:rPr>
      <w:instrText xml:space="preserve"> PAGE  \* MERGEFORMAT </w:instrText>
    </w:r>
    <w:r w:rsidRPr="006451DA">
      <w:rPr>
        <w:b/>
        <w:sz w:val="18"/>
        <w:lang w:val="en-US"/>
      </w:rPr>
      <w:fldChar w:fldCharType="separate"/>
    </w:r>
    <w:r w:rsidRPr="006451DA">
      <w:rPr>
        <w:b/>
        <w:noProof/>
        <w:sz w:val="18"/>
        <w:lang w:val="en-US"/>
      </w:rPr>
      <w:t>2</w:t>
    </w:r>
    <w:r w:rsidRPr="006451DA">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8BB1B" w14:textId="441ACBD4" w:rsidR="00A40D09" w:rsidRPr="006451DA" w:rsidRDefault="00A40D09" w:rsidP="006451DA">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GE.21-05351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0298" w14:textId="2CAB139E" w:rsidR="00A40D09" w:rsidRPr="006451DA" w:rsidRDefault="00A40D09" w:rsidP="006451DA">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1F3C75EC" wp14:editId="692DEB2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21-05351 (A)</w:t>
    </w:r>
    <w:r>
      <w:rPr>
        <w:noProof/>
        <w:sz w:val="20"/>
        <w:lang w:val="en-US"/>
      </w:rPr>
      <w:drawing>
        <wp:anchor distT="0" distB="0" distL="114300" distR="114300" simplePos="0" relativeHeight="251659264" behindDoc="0" locked="0" layoutInCell="1" allowOverlap="1" wp14:anchorId="6BF28C0C" wp14:editId="25B6DFDB">
          <wp:simplePos x="0" y="0"/>
          <wp:positionH relativeFrom="margin">
            <wp:posOffset>0</wp:posOffset>
          </wp:positionH>
          <wp:positionV relativeFrom="margin">
            <wp:posOffset>8891905</wp:posOffset>
          </wp:positionV>
          <wp:extent cx="638175" cy="638175"/>
          <wp:effectExtent l="0" t="0" r="9525" b="9525"/>
          <wp:wrapNone/>
          <wp:docPr id="3" name="Picture 1" descr="ÇãÓÍ ÇáÑãÒ áÊÕÝÍ ÇáæËíÞÉ Ãæ ÊÍãíá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ÇãÓÍ ÇáÑãÒ áÊÕÝÍ ÇáæËíÞÉ Ãæ ÊÍãíáå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74824" w14:textId="77777777" w:rsidR="00A40D09" w:rsidRPr="000437B8" w:rsidRDefault="00A40D09" w:rsidP="00F10DAB">
      <w:pPr>
        <w:pStyle w:val="Footer"/>
        <w:bidi/>
        <w:spacing w:after="80" w:line="200" w:lineRule="exact"/>
        <w:ind w:left="680"/>
      </w:pPr>
      <w:r>
        <w:rPr>
          <w:rtl/>
        </w:rPr>
        <w:t>__________</w:t>
      </w:r>
    </w:p>
  </w:footnote>
  <w:footnote w:type="continuationSeparator" w:id="0">
    <w:p w14:paraId="22EF0558" w14:textId="77777777" w:rsidR="00A40D09" w:rsidRDefault="00A40D09" w:rsidP="00656392">
      <w:pPr>
        <w:spacing w:line="240" w:lineRule="auto"/>
      </w:pPr>
      <w:r>
        <w:continuationSeparator/>
      </w:r>
    </w:p>
  </w:footnote>
  <w:footnote w:id="1">
    <w:p w14:paraId="7067F11B" w14:textId="15CC9052" w:rsidR="00A40D09" w:rsidRPr="00E668E7" w:rsidRDefault="00A40D09" w:rsidP="00E668E7">
      <w:pPr>
        <w:pStyle w:val="FootnoteText1"/>
        <w:rPr>
          <w:rtl/>
        </w:rPr>
      </w:pPr>
      <w:r>
        <w:rPr>
          <w:rtl/>
        </w:rPr>
        <w:t>*</w:t>
      </w:r>
      <w:r>
        <w:rPr>
          <w:rtl/>
        </w:rPr>
        <w:tab/>
      </w:r>
      <w:r w:rsidRPr="00E668E7">
        <w:rPr>
          <w:rtl/>
        </w:rPr>
        <w:t xml:space="preserve">اعتمدتها اللجنة في دورتها </w:t>
      </w:r>
      <w:r w:rsidRPr="00383CD5">
        <w:rPr>
          <w:rtl/>
        </w:rPr>
        <w:t>130</w:t>
      </w:r>
      <w:r w:rsidRPr="00E668E7">
        <w:rPr>
          <w:rtl/>
        </w:rPr>
        <w:t xml:space="preserve"> (</w:t>
      </w:r>
      <w:r w:rsidRPr="00383CD5">
        <w:rPr>
          <w:rtl/>
        </w:rPr>
        <w:t>12</w:t>
      </w:r>
      <w:r w:rsidRPr="00E668E7">
        <w:rPr>
          <w:rtl/>
        </w:rPr>
        <w:t xml:space="preserve"> تشرين الأول/أكتوبر -</w:t>
      </w:r>
      <w:r>
        <w:rPr>
          <w:rFonts w:hint="cs"/>
          <w:rtl/>
        </w:rPr>
        <w:t xml:space="preserve"> </w:t>
      </w:r>
      <w:r w:rsidRPr="00383CD5">
        <w:rPr>
          <w:rtl/>
        </w:rPr>
        <w:t>6</w:t>
      </w:r>
      <w:r w:rsidRPr="00E668E7">
        <w:rPr>
          <w:rtl/>
        </w:rPr>
        <w:t xml:space="preserve"> تشرين الثاني/نوفمبر </w:t>
      </w:r>
      <w:r w:rsidRPr="00383CD5">
        <w:rPr>
          <w:rtl/>
        </w:rPr>
        <w:t>2020</w:t>
      </w:r>
      <w:r w:rsidRPr="00E668E7">
        <w:rPr>
          <w:rtl/>
        </w:rPr>
        <w:t>).</w:t>
      </w:r>
    </w:p>
  </w:footnote>
  <w:footnote w:id="2">
    <w:p w14:paraId="39EFF2E6" w14:textId="68EF2E76" w:rsidR="00A40D09" w:rsidRPr="00E668E7" w:rsidRDefault="00A40D09" w:rsidP="00E668E7">
      <w:pPr>
        <w:pStyle w:val="FootnoteText1"/>
        <w:rPr>
          <w:rtl/>
        </w:rPr>
      </w:pPr>
      <w:r>
        <w:rPr>
          <w:rtl/>
        </w:rPr>
        <w:t>**</w:t>
      </w:r>
      <w:r>
        <w:rPr>
          <w:rtl/>
        </w:rPr>
        <w:tab/>
      </w:r>
      <w:r w:rsidRPr="00E668E7">
        <w:rPr>
          <w:rtl/>
        </w:rPr>
        <w:t xml:space="preserve">شارك في دراسة هذا البلاغ أعضاء اللجنة التالية أسماؤهم: عياض بن عاشور، وعارف بلقان، وأحمد أمين فتح الله، </w:t>
      </w:r>
      <w:proofErr w:type="spellStart"/>
      <w:r w:rsidRPr="00E668E7">
        <w:rPr>
          <w:rtl/>
        </w:rPr>
        <w:t>وفورويا</w:t>
      </w:r>
      <w:proofErr w:type="spellEnd"/>
      <w:r w:rsidRPr="00E668E7">
        <w:rPr>
          <w:rtl/>
        </w:rPr>
        <w:t xml:space="preserve"> </w:t>
      </w:r>
      <w:proofErr w:type="spellStart"/>
      <w:r w:rsidRPr="00E668E7">
        <w:rPr>
          <w:rtl/>
        </w:rPr>
        <w:t>شويتشي</w:t>
      </w:r>
      <w:proofErr w:type="spellEnd"/>
      <w:r w:rsidRPr="00E668E7">
        <w:rPr>
          <w:rtl/>
        </w:rPr>
        <w:t xml:space="preserve">، وكريستوف </w:t>
      </w:r>
      <w:proofErr w:type="spellStart"/>
      <w:r w:rsidRPr="00E668E7">
        <w:rPr>
          <w:rtl/>
        </w:rPr>
        <w:t>هينز</w:t>
      </w:r>
      <w:proofErr w:type="spellEnd"/>
      <w:r w:rsidRPr="00E668E7">
        <w:rPr>
          <w:rtl/>
        </w:rPr>
        <w:t xml:space="preserve">، وديفيد ه. مور، </w:t>
      </w:r>
      <w:proofErr w:type="spellStart"/>
      <w:r w:rsidRPr="00E668E7">
        <w:rPr>
          <w:rtl/>
        </w:rPr>
        <w:t>ودنكان</w:t>
      </w:r>
      <w:proofErr w:type="spellEnd"/>
      <w:r w:rsidRPr="00E668E7">
        <w:rPr>
          <w:rtl/>
        </w:rPr>
        <w:t xml:space="preserve"> </w:t>
      </w:r>
      <w:proofErr w:type="spellStart"/>
      <w:r w:rsidRPr="00E668E7">
        <w:rPr>
          <w:rtl/>
        </w:rPr>
        <w:t>لاكي</w:t>
      </w:r>
      <w:proofErr w:type="spellEnd"/>
      <w:r w:rsidRPr="00E668E7">
        <w:rPr>
          <w:rtl/>
        </w:rPr>
        <w:t xml:space="preserve"> </w:t>
      </w:r>
      <w:proofErr w:type="spellStart"/>
      <w:r w:rsidRPr="00E668E7">
        <w:rPr>
          <w:rtl/>
        </w:rPr>
        <w:t>موهوموزا</w:t>
      </w:r>
      <w:proofErr w:type="spellEnd"/>
      <w:r w:rsidRPr="00E668E7">
        <w:rPr>
          <w:rtl/>
        </w:rPr>
        <w:t xml:space="preserve">، </w:t>
      </w:r>
      <w:proofErr w:type="spellStart"/>
      <w:r w:rsidRPr="00E668E7">
        <w:rPr>
          <w:rtl/>
        </w:rPr>
        <w:t>وهيرنان</w:t>
      </w:r>
      <w:proofErr w:type="spellEnd"/>
      <w:r w:rsidRPr="00E668E7">
        <w:rPr>
          <w:rtl/>
        </w:rPr>
        <w:t xml:space="preserve"> </w:t>
      </w:r>
      <w:proofErr w:type="spellStart"/>
      <w:r w:rsidRPr="00E668E7">
        <w:rPr>
          <w:rtl/>
        </w:rPr>
        <w:t>كيسادا</w:t>
      </w:r>
      <w:proofErr w:type="spellEnd"/>
      <w:r w:rsidRPr="00E668E7">
        <w:rPr>
          <w:rtl/>
        </w:rPr>
        <w:t xml:space="preserve"> </w:t>
      </w:r>
      <w:proofErr w:type="spellStart"/>
      <w:r w:rsidRPr="00E668E7">
        <w:rPr>
          <w:rtl/>
        </w:rPr>
        <w:t>كابريرا</w:t>
      </w:r>
      <w:proofErr w:type="spellEnd"/>
      <w:r w:rsidRPr="00E668E7">
        <w:rPr>
          <w:rtl/>
        </w:rPr>
        <w:t xml:space="preserve">، </w:t>
      </w:r>
      <w:proofErr w:type="spellStart"/>
      <w:r w:rsidRPr="00E668E7">
        <w:rPr>
          <w:rtl/>
        </w:rPr>
        <w:t>وفاسيلكا</w:t>
      </w:r>
      <w:proofErr w:type="spellEnd"/>
      <w:r w:rsidRPr="00E668E7">
        <w:rPr>
          <w:rtl/>
        </w:rPr>
        <w:t xml:space="preserve"> </w:t>
      </w:r>
      <w:proofErr w:type="spellStart"/>
      <w:r w:rsidRPr="00E668E7">
        <w:rPr>
          <w:rtl/>
        </w:rPr>
        <w:t>سانسين</w:t>
      </w:r>
      <w:proofErr w:type="spellEnd"/>
      <w:r w:rsidRPr="00E668E7">
        <w:rPr>
          <w:rtl/>
        </w:rPr>
        <w:t xml:space="preserve">، وخوسيه مانويل سانتوس </w:t>
      </w:r>
      <w:proofErr w:type="spellStart"/>
      <w:r w:rsidRPr="00E668E7">
        <w:rPr>
          <w:rtl/>
        </w:rPr>
        <w:t>بايس</w:t>
      </w:r>
      <w:proofErr w:type="spellEnd"/>
      <w:r w:rsidRPr="00E668E7">
        <w:rPr>
          <w:rtl/>
        </w:rPr>
        <w:t xml:space="preserve">، ويوفال </w:t>
      </w:r>
      <w:proofErr w:type="spellStart"/>
      <w:r w:rsidRPr="00E668E7">
        <w:rPr>
          <w:rtl/>
        </w:rPr>
        <w:t>شاني</w:t>
      </w:r>
      <w:proofErr w:type="spellEnd"/>
      <w:r w:rsidRPr="00E668E7">
        <w:rPr>
          <w:rtl/>
        </w:rPr>
        <w:t xml:space="preserve">، وهيلين </w:t>
      </w:r>
      <w:proofErr w:type="spellStart"/>
      <w:r w:rsidRPr="00E668E7">
        <w:rPr>
          <w:rtl/>
        </w:rPr>
        <w:t>تيغرودجا</w:t>
      </w:r>
      <w:proofErr w:type="spellEnd"/>
      <w:r w:rsidRPr="00E668E7">
        <w:rPr>
          <w:rtl/>
        </w:rPr>
        <w:t xml:space="preserve">، وأندرياس </w:t>
      </w:r>
      <w:proofErr w:type="spellStart"/>
      <w:r w:rsidRPr="00E668E7">
        <w:rPr>
          <w:rtl/>
        </w:rPr>
        <w:t>زيمرمان</w:t>
      </w:r>
      <w:proofErr w:type="spellEnd"/>
      <w:r w:rsidRPr="00E668E7">
        <w:rPr>
          <w:rtl/>
        </w:rPr>
        <w:t xml:space="preserve">، </w:t>
      </w:r>
      <w:proofErr w:type="spellStart"/>
      <w:r w:rsidRPr="00E668E7">
        <w:rPr>
          <w:rtl/>
        </w:rPr>
        <w:t>وجنتيان</w:t>
      </w:r>
      <w:proofErr w:type="spellEnd"/>
      <w:r w:rsidRPr="00E668E7">
        <w:rPr>
          <w:rtl/>
        </w:rPr>
        <w:t xml:space="preserve"> </w:t>
      </w:r>
      <w:proofErr w:type="spellStart"/>
      <w:r w:rsidRPr="00E668E7">
        <w:rPr>
          <w:rtl/>
        </w:rPr>
        <w:t>زيبيري</w:t>
      </w:r>
      <w:proofErr w:type="spellEnd"/>
      <w:r w:rsidRPr="00E668E7">
        <w:rPr>
          <w:rtl/>
        </w:rPr>
        <w:t>.</w:t>
      </w:r>
    </w:p>
  </w:footnote>
  <w:footnote w:id="3">
    <w:p w14:paraId="53221AAD" w14:textId="02D7D127" w:rsidR="0048006B" w:rsidRPr="00B823BB" w:rsidRDefault="0048006B" w:rsidP="0048006B">
      <w:pPr>
        <w:pStyle w:val="FootnoteText1"/>
        <w:rPr>
          <w:rtl/>
        </w:rPr>
      </w:pPr>
      <w:r>
        <w:rPr>
          <w:rtl/>
        </w:rPr>
        <w:t>***</w:t>
      </w:r>
      <w:r w:rsidR="00B823BB">
        <w:rPr>
          <w:rtl/>
        </w:rPr>
        <w:tab/>
      </w:r>
      <w:r w:rsidR="00B823BB" w:rsidRPr="00B823BB">
        <w:rPr>
          <w:rtl/>
        </w:rPr>
        <w:t xml:space="preserve">رأي فردي لعضو اللجنة </w:t>
      </w:r>
      <w:proofErr w:type="spellStart"/>
      <w:r w:rsidR="00B823BB" w:rsidRPr="00B823BB">
        <w:rPr>
          <w:rtl/>
        </w:rPr>
        <w:t>جنتيان</w:t>
      </w:r>
      <w:proofErr w:type="spellEnd"/>
      <w:r w:rsidR="00B823BB" w:rsidRPr="00B823BB">
        <w:rPr>
          <w:rtl/>
        </w:rPr>
        <w:t xml:space="preserve"> </w:t>
      </w:r>
      <w:proofErr w:type="spellStart"/>
      <w:r w:rsidR="00B823BB" w:rsidRPr="00B823BB">
        <w:rPr>
          <w:rtl/>
        </w:rPr>
        <w:t>زيبيري</w:t>
      </w:r>
      <w:proofErr w:type="spellEnd"/>
      <w:r w:rsidR="00B823BB" w:rsidRPr="00B823BB">
        <w:rPr>
          <w:rtl/>
        </w:rPr>
        <w:t xml:space="preserve"> (</w:t>
      </w:r>
      <w:r w:rsidR="00E1655C">
        <w:rPr>
          <w:rFonts w:hint="cs"/>
          <w:rtl/>
        </w:rPr>
        <w:t>متفق</w:t>
      </w:r>
      <w:r w:rsidR="00B823BB" w:rsidRPr="00B823BB">
        <w:rPr>
          <w:rtl/>
        </w:rPr>
        <w:t>) مرفَق بهذه الآراء.</w:t>
      </w:r>
    </w:p>
  </w:footnote>
  <w:footnote w:id="4">
    <w:p w14:paraId="6155EC73" w14:textId="2BC53595" w:rsidR="00A40D09" w:rsidRPr="00E668E7" w:rsidRDefault="00A40D09" w:rsidP="00714C00">
      <w:pPr>
        <w:pStyle w:val="FootnoteText1"/>
        <w:rPr>
          <w:spacing w:val="-2"/>
          <w:rtl/>
        </w:rPr>
      </w:pPr>
      <w:r w:rsidRPr="00E668E7">
        <w:rPr>
          <w:spacing w:val="-2"/>
          <w:rtl/>
        </w:rPr>
        <w:t>(</w:t>
      </w:r>
      <w:r w:rsidRPr="00383CD5">
        <w:rPr>
          <w:rStyle w:val="FootnoteReference"/>
          <w:spacing w:val="-2"/>
          <w:vertAlign w:val="baseline"/>
        </w:rPr>
        <w:footnoteRef/>
      </w:r>
      <w:r w:rsidRPr="00E668E7">
        <w:rPr>
          <w:spacing w:val="-2"/>
          <w:rtl/>
        </w:rPr>
        <w:t>)</w:t>
      </w:r>
      <w:r w:rsidRPr="00E668E7">
        <w:rPr>
          <w:spacing w:val="-2"/>
        </w:rPr>
        <w:tab/>
      </w:r>
      <w:r w:rsidRPr="00E668E7">
        <w:rPr>
          <w:spacing w:val="-2"/>
          <w:rtl/>
        </w:rPr>
        <w:t xml:space="preserve">كان من المقرر أن يقام هذا الحدث في وسط </w:t>
      </w:r>
      <w:proofErr w:type="spellStart"/>
      <w:r w:rsidRPr="00E668E7">
        <w:rPr>
          <w:spacing w:val="-2"/>
          <w:rtl/>
        </w:rPr>
        <w:t>سيمفيروبول</w:t>
      </w:r>
      <w:proofErr w:type="spellEnd"/>
      <w:r w:rsidRPr="00E668E7">
        <w:rPr>
          <w:spacing w:val="-2"/>
          <w:rtl/>
        </w:rPr>
        <w:t xml:space="preserve"> ما بين الساعة </w:t>
      </w:r>
      <w:r w:rsidRPr="00383CD5">
        <w:rPr>
          <w:spacing w:val="-2"/>
          <w:rtl/>
        </w:rPr>
        <w:t>00</w:t>
      </w:r>
      <w:r w:rsidRPr="00E668E7">
        <w:rPr>
          <w:spacing w:val="-2"/>
          <w:rtl/>
        </w:rPr>
        <w:t>/</w:t>
      </w:r>
      <w:r w:rsidRPr="00383CD5">
        <w:rPr>
          <w:spacing w:val="-2"/>
          <w:rtl/>
        </w:rPr>
        <w:t>11</w:t>
      </w:r>
      <w:r w:rsidRPr="00E668E7">
        <w:rPr>
          <w:spacing w:val="-2"/>
          <w:rtl/>
        </w:rPr>
        <w:t xml:space="preserve"> والساعة </w:t>
      </w:r>
      <w:r w:rsidRPr="00383CD5">
        <w:rPr>
          <w:spacing w:val="-2"/>
          <w:rtl/>
        </w:rPr>
        <w:t>00</w:t>
      </w:r>
      <w:r w:rsidRPr="00E668E7">
        <w:rPr>
          <w:spacing w:val="-2"/>
          <w:rtl/>
        </w:rPr>
        <w:t>/</w:t>
      </w:r>
      <w:r w:rsidRPr="00383CD5">
        <w:rPr>
          <w:spacing w:val="-2"/>
          <w:rtl/>
        </w:rPr>
        <w:t>13</w:t>
      </w:r>
      <w:r w:rsidRPr="00E668E7">
        <w:rPr>
          <w:spacing w:val="-2"/>
          <w:rtl/>
        </w:rPr>
        <w:t xml:space="preserve"> بتاريخ </w:t>
      </w:r>
      <w:r w:rsidRPr="00383CD5">
        <w:rPr>
          <w:spacing w:val="-2"/>
          <w:rtl/>
        </w:rPr>
        <w:t>21</w:t>
      </w:r>
      <w:r w:rsidRPr="00E668E7">
        <w:rPr>
          <w:spacing w:val="-2"/>
          <w:rtl/>
        </w:rPr>
        <w:t xml:space="preserve"> نيسان/أبريل </w:t>
      </w:r>
      <w:r w:rsidRPr="00383CD5">
        <w:rPr>
          <w:spacing w:val="-2"/>
          <w:rtl/>
        </w:rPr>
        <w:t>2014</w:t>
      </w:r>
      <w:r w:rsidRPr="00E668E7">
        <w:rPr>
          <w:spacing w:val="-2"/>
          <w:rtl/>
        </w:rPr>
        <w:t>.</w:t>
      </w:r>
    </w:p>
  </w:footnote>
  <w:footnote w:id="5">
    <w:p w14:paraId="385CED57" w14:textId="4DED3B80" w:rsidR="00A40D09" w:rsidRPr="00E668E7" w:rsidRDefault="00A40D09" w:rsidP="00714C00">
      <w:pPr>
        <w:pStyle w:val="FootnoteText1"/>
        <w:rPr>
          <w:rtl/>
        </w:rPr>
      </w:pPr>
      <w:r w:rsidRPr="00E668E7">
        <w:rPr>
          <w:rtl/>
        </w:rPr>
        <w:t>(</w:t>
      </w:r>
      <w:r w:rsidRPr="00383CD5">
        <w:footnoteRef/>
      </w:r>
      <w:r w:rsidRPr="00E668E7">
        <w:rPr>
          <w:rtl/>
        </w:rPr>
        <w:t>)</w:t>
      </w:r>
      <w:r w:rsidRPr="00E668E7">
        <w:tab/>
      </w:r>
      <w:r w:rsidRPr="00E668E7">
        <w:rPr>
          <w:rtl/>
        </w:rPr>
        <w:t xml:space="preserve">لا تذكر الوثيقة الأولية الصادرة عن إدارة المدينة، المؤرخة </w:t>
      </w:r>
      <w:r w:rsidRPr="00383CD5">
        <w:rPr>
          <w:rtl/>
        </w:rPr>
        <w:t>11</w:t>
      </w:r>
      <w:r w:rsidRPr="00E668E7">
        <w:rPr>
          <w:rtl/>
        </w:rPr>
        <w:t xml:space="preserve"> نيسان/أبريل </w:t>
      </w:r>
      <w:r w:rsidRPr="00383CD5">
        <w:rPr>
          <w:rtl/>
        </w:rPr>
        <w:t>2014</w:t>
      </w:r>
      <w:r w:rsidRPr="00E668E7">
        <w:rPr>
          <w:rtl/>
        </w:rPr>
        <w:t>، هذه الأسباب.</w:t>
      </w:r>
    </w:p>
  </w:footnote>
  <w:footnote w:id="6">
    <w:p w14:paraId="6009FC38" w14:textId="243CB6C5" w:rsidR="00A40D09" w:rsidRPr="00E668E7" w:rsidRDefault="00A40D09" w:rsidP="00714C00">
      <w:pPr>
        <w:pStyle w:val="FootnoteText1"/>
        <w:rPr>
          <w:rtl/>
        </w:rPr>
      </w:pPr>
      <w:r w:rsidRPr="00E668E7">
        <w:rPr>
          <w:rtl/>
        </w:rPr>
        <w:t>(</w:t>
      </w:r>
      <w:r w:rsidRPr="00383CD5">
        <w:footnoteRef/>
      </w:r>
      <w:r w:rsidRPr="00E668E7">
        <w:rPr>
          <w:rtl/>
        </w:rPr>
        <w:t>)</w:t>
      </w:r>
      <w:r w:rsidRPr="00E668E7">
        <w:tab/>
      </w:r>
      <w:r w:rsidRPr="00E668E7">
        <w:rPr>
          <w:rtl/>
        </w:rPr>
        <w:t xml:space="preserve">انظر قرار الجمعية العامة </w:t>
      </w:r>
      <w:r w:rsidRPr="00383CD5">
        <w:rPr>
          <w:rtl/>
        </w:rPr>
        <w:t>68</w:t>
      </w:r>
      <w:r>
        <w:rPr>
          <w:rFonts w:hint="cs"/>
          <w:rtl/>
        </w:rPr>
        <w:t>/</w:t>
      </w:r>
      <w:r w:rsidRPr="00383CD5">
        <w:rPr>
          <w:rtl/>
        </w:rPr>
        <w:t>262</w:t>
      </w:r>
      <w:r w:rsidRPr="00E668E7">
        <w:rPr>
          <w:rtl/>
        </w:rPr>
        <w:t xml:space="preserve"> بشأن السلامة الإقليمية لأوكرانيا.</w:t>
      </w:r>
    </w:p>
  </w:footnote>
  <w:footnote w:id="7">
    <w:p w14:paraId="7A1DD378" w14:textId="1EB64372" w:rsidR="00A40D09" w:rsidRPr="00E668E7" w:rsidRDefault="00A40D09" w:rsidP="00714C00">
      <w:pPr>
        <w:pStyle w:val="FootnoteText1"/>
      </w:pPr>
      <w:r w:rsidRPr="00E668E7">
        <w:rPr>
          <w:rtl/>
        </w:rPr>
        <w:t>(</w:t>
      </w:r>
      <w:r w:rsidRPr="00383CD5">
        <w:footnoteRef/>
      </w:r>
      <w:r w:rsidRPr="00E668E7">
        <w:rPr>
          <w:rtl/>
        </w:rPr>
        <w:t>)</w:t>
      </w:r>
      <w:r w:rsidRPr="00E668E7">
        <w:tab/>
      </w:r>
      <w:r w:rsidRPr="00E668E7">
        <w:rPr>
          <w:rtl/>
        </w:rPr>
        <w:t xml:space="preserve">دستور الاتحاد الروسي، المادة </w:t>
      </w:r>
      <w:r w:rsidRPr="00383CD5">
        <w:rPr>
          <w:rtl/>
        </w:rPr>
        <w:t>17</w:t>
      </w:r>
      <w:r w:rsidRPr="00E668E7">
        <w:rPr>
          <w:rtl/>
        </w:rPr>
        <w:t>(</w:t>
      </w:r>
      <w:r w:rsidRPr="00383CD5">
        <w:rPr>
          <w:rtl/>
        </w:rPr>
        <w:t>3</w:t>
      </w:r>
      <w:r w:rsidRPr="00E668E7">
        <w:rPr>
          <w:rtl/>
        </w:rPr>
        <w:t>): "لا تنتهك ممارسة حقوق وحريات الإنسان والمواطن حقوق وحريات الآخرين"؛ والمادة</w:t>
      </w:r>
      <w:r w:rsidRPr="00E668E7">
        <w:rPr>
          <w:rFonts w:hint="cs"/>
          <w:rtl/>
        </w:rPr>
        <w:t> </w:t>
      </w:r>
      <w:r w:rsidRPr="00383CD5">
        <w:rPr>
          <w:rtl/>
        </w:rPr>
        <w:t>38</w:t>
      </w:r>
      <w:r w:rsidRPr="00E668E7">
        <w:rPr>
          <w:rtl/>
        </w:rPr>
        <w:t>(</w:t>
      </w:r>
      <w:r w:rsidRPr="00383CD5">
        <w:rPr>
          <w:rtl/>
        </w:rPr>
        <w:t>1</w:t>
      </w:r>
      <w:r w:rsidRPr="00E668E7">
        <w:rPr>
          <w:rtl/>
        </w:rPr>
        <w:t>): "الأمومة والطفولة والأسرة تحميها الدولة".</w:t>
      </w:r>
    </w:p>
  </w:footnote>
  <w:footnote w:id="8">
    <w:p w14:paraId="6546AEB5" w14:textId="54B1FE01" w:rsidR="00A40D09" w:rsidRPr="00E668E7" w:rsidRDefault="00A40D09" w:rsidP="00714C00">
      <w:pPr>
        <w:pStyle w:val="FootnoteText1"/>
        <w:rPr>
          <w:rtl/>
        </w:rPr>
      </w:pPr>
      <w:r w:rsidRPr="00E668E7">
        <w:rPr>
          <w:rtl/>
        </w:rPr>
        <w:t>(</w:t>
      </w:r>
      <w:r w:rsidRPr="00383CD5">
        <w:footnoteRef/>
      </w:r>
      <w:r w:rsidRPr="00E668E7">
        <w:rPr>
          <w:rtl/>
        </w:rPr>
        <w:t>)</w:t>
      </w:r>
      <w:r w:rsidRPr="00E668E7">
        <w:tab/>
      </w:r>
      <w:r w:rsidRPr="00E668E7">
        <w:rPr>
          <w:rtl/>
        </w:rPr>
        <w:t xml:space="preserve">لجنة حقوق الطفل، التعليق العام رقم </w:t>
      </w:r>
      <w:r w:rsidRPr="00383CD5">
        <w:rPr>
          <w:rtl/>
        </w:rPr>
        <w:t>4</w:t>
      </w:r>
      <w:r w:rsidRPr="00E668E7">
        <w:rPr>
          <w:rtl/>
        </w:rPr>
        <w:t>(</w:t>
      </w:r>
      <w:r w:rsidRPr="00383CD5">
        <w:rPr>
          <w:rtl/>
        </w:rPr>
        <w:t>2003</w:t>
      </w:r>
      <w:r w:rsidRPr="00E668E7">
        <w:rPr>
          <w:rtl/>
        </w:rPr>
        <w:t>).</w:t>
      </w:r>
    </w:p>
  </w:footnote>
  <w:footnote w:id="9">
    <w:p w14:paraId="63A9495E" w14:textId="77A62853" w:rsidR="00A40D09" w:rsidRPr="00E668E7" w:rsidRDefault="00A40D09" w:rsidP="00714C00">
      <w:pPr>
        <w:pStyle w:val="FootnoteText1"/>
        <w:rPr>
          <w:rtl/>
        </w:rPr>
      </w:pPr>
      <w:r w:rsidRPr="00E668E7">
        <w:rPr>
          <w:rtl/>
        </w:rPr>
        <w:t>(</w:t>
      </w:r>
      <w:r w:rsidRPr="00383CD5">
        <w:footnoteRef/>
      </w:r>
      <w:r w:rsidRPr="00E668E7">
        <w:rPr>
          <w:rtl/>
        </w:rPr>
        <w:t>)</w:t>
      </w:r>
      <w:r w:rsidRPr="00E668E7">
        <w:tab/>
      </w:r>
      <w:r w:rsidRPr="00E668E7">
        <w:rPr>
          <w:rtl/>
        </w:rPr>
        <w:t>انظر اتفاقية حقوق الطفل وإعلان حقوق الطفل.</w:t>
      </w:r>
    </w:p>
  </w:footnote>
  <w:footnote w:id="10">
    <w:p w14:paraId="70707F66" w14:textId="243E8BD5" w:rsidR="00A40D09" w:rsidRPr="00E668E7" w:rsidRDefault="00A40D09" w:rsidP="00714C00">
      <w:pPr>
        <w:pStyle w:val="FootnoteText1"/>
        <w:rPr>
          <w:rtl/>
        </w:rPr>
      </w:pPr>
      <w:r w:rsidRPr="00E668E7">
        <w:rPr>
          <w:rtl/>
        </w:rPr>
        <w:t>(</w:t>
      </w:r>
      <w:r w:rsidRPr="00383CD5">
        <w:footnoteRef/>
      </w:r>
      <w:r w:rsidRPr="00E668E7">
        <w:rPr>
          <w:rtl/>
        </w:rPr>
        <w:t>)</w:t>
      </w:r>
      <w:r w:rsidRPr="00E668E7">
        <w:tab/>
      </w:r>
      <w:r w:rsidRPr="00E668E7">
        <w:rPr>
          <w:rtl/>
        </w:rPr>
        <w:t xml:space="preserve">المحكمة الأوروبية لحقوق الإنسان، </w:t>
      </w:r>
      <w:proofErr w:type="spellStart"/>
      <w:r w:rsidRPr="00383CD5">
        <w:rPr>
          <w:i/>
          <w:iCs/>
          <w:rtl/>
        </w:rPr>
        <w:t>أليكسييف</w:t>
      </w:r>
      <w:proofErr w:type="spellEnd"/>
      <w:r w:rsidRPr="00383CD5">
        <w:rPr>
          <w:i/>
          <w:iCs/>
          <w:rtl/>
        </w:rPr>
        <w:t xml:space="preserve"> ضد روسيا</w:t>
      </w:r>
      <w:r w:rsidRPr="00E668E7">
        <w:rPr>
          <w:rtl/>
        </w:rPr>
        <w:t xml:space="preserve">، الطلبات رقم </w:t>
      </w:r>
      <w:r w:rsidRPr="00383CD5">
        <w:rPr>
          <w:rtl/>
        </w:rPr>
        <w:t>4916</w:t>
      </w:r>
      <w:r>
        <w:rPr>
          <w:rFonts w:hint="cs"/>
          <w:rtl/>
        </w:rPr>
        <w:t>/</w:t>
      </w:r>
      <w:r w:rsidRPr="00383CD5">
        <w:rPr>
          <w:rtl/>
        </w:rPr>
        <w:t>07</w:t>
      </w:r>
      <w:r w:rsidRPr="00E668E7">
        <w:rPr>
          <w:rtl/>
        </w:rPr>
        <w:t>، و</w:t>
      </w:r>
      <w:r w:rsidRPr="00383CD5">
        <w:rPr>
          <w:rtl/>
        </w:rPr>
        <w:t>25924</w:t>
      </w:r>
      <w:r>
        <w:rPr>
          <w:rFonts w:hint="cs"/>
          <w:rtl/>
        </w:rPr>
        <w:t>/</w:t>
      </w:r>
      <w:r w:rsidRPr="00383CD5">
        <w:rPr>
          <w:rtl/>
        </w:rPr>
        <w:t>08</w:t>
      </w:r>
      <w:r w:rsidRPr="00E668E7">
        <w:rPr>
          <w:rtl/>
        </w:rPr>
        <w:t xml:space="preserve"> و</w:t>
      </w:r>
      <w:r w:rsidRPr="00383CD5">
        <w:rPr>
          <w:rtl/>
        </w:rPr>
        <w:t>14599</w:t>
      </w:r>
      <w:r>
        <w:rPr>
          <w:rFonts w:hint="cs"/>
          <w:rtl/>
        </w:rPr>
        <w:t>/</w:t>
      </w:r>
      <w:r w:rsidRPr="00383CD5">
        <w:rPr>
          <w:rtl/>
        </w:rPr>
        <w:t>09</w:t>
      </w:r>
      <w:r w:rsidRPr="00E668E7">
        <w:rPr>
          <w:rtl/>
        </w:rPr>
        <w:t>، الحكم الصادر في</w:t>
      </w:r>
      <w:r>
        <w:rPr>
          <w:rFonts w:hint="cs"/>
          <w:rtl/>
        </w:rPr>
        <w:t> </w:t>
      </w:r>
      <w:r w:rsidRPr="00383CD5">
        <w:rPr>
          <w:rtl/>
        </w:rPr>
        <w:t>21</w:t>
      </w:r>
      <w:r w:rsidRPr="00E668E7">
        <w:rPr>
          <w:rtl/>
        </w:rPr>
        <w:t xml:space="preserve"> أكتوبر/تشرين الأول </w:t>
      </w:r>
      <w:r w:rsidRPr="00383CD5">
        <w:rPr>
          <w:rtl/>
        </w:rPr>
        <w:t>2010</w:t>
      </w:r>
      <w:r w:rsidRPr="00E668E7">
        <w:rPr>
          <w:rtl/>
        </w:rPr>
        <w:t>.</w:t>
      </w:r>
    </w:p>
  </w:footnote>
  <w:footnote w:id="11">
    <w:p w14:paraId="26D46D9C" w14:textId="1A83FBF5" w:rsidR="00A40D09" w:rsidRPr="00E668E7" w:rsidRDefault="00A40D09" w:rsidP="00714C00">
      <w:pPr>
        <w:pStyle w:val="FootnoteText1"/>
        <w:rPr>
          <w:rtl/>
        </w:rPr>
      </w:pPr>
      <w:r w:rsidRPr="00E668E7">
        <w:rPr>
          <w:rtl/>
        </w:rPr>
        <w:t>(</w:t>
      </w:r>
      <w:r w:rsidRPr="00383CD5">
        <w:footnoteRef/>
      </w:r>
      <w:r w:rsidRPr="00E668E7">
        <w:rPr>
          <w:rtl/>
        </w:rPr>
        <w:t>)</w:t>
      </w:r>
      <w:r w:rsidRPr="00E668E7">
        <w:tab/>
      </w:r>
      <w:r w:rsidRPr="00E668E7">
        <w:rPr>
          <w:rtl/>
        </w:rPr>
        <w:t>يستشهد صاحب البلاغ أيضا</w:t>
      </w:r>
      <w:r>
        <w:rPr>
          <w:rFonts w:hint="cs"/>
          <w:rtl/>
        </w:rPr>
        <w:t>ً</w:t>
      </w:r>
      <w:r w:rsidRPr="00E668E7">
        <w:rPr>
          <w:rtl/>
        </w:rPr>
        <w:t xml:space="preserve"> بالنتائج التي توصلت إليها اللجنة في قضية </w:t>
      </w:r>
      <w:proofErr w:type="spellStart"/>
      <w:r w:rsidRPr="00383CD5">
        <w:rPr>
          <w:i/>
          <w:iCs/>
          <w:rtl/>
        </w:rPr>
        <w:t>فيدوتوفا</w:t>
      </w:r>
      <w:proofErr w:type="spellEnd"/>
      <w:r w:rsidRPr="00383CD5">
        <w:rPr>
          <w:i/>
          <w:iCs/>
          <w:rtl/>
        </w:rPr>
        <w:t xml:space="preserve"> ضد الاتحاد الروسي</w:t>
      </w:r>
      <w:r w:rsidRPr="00E668E7">
        <w:rPr>
          <w:rtl/>
        </w:rPr>
        <w:t xml:space="preserve"> (</w:t>
      </w:r>
      <w:r w:rsidRPr="00E668E7">
        <w:t>CCPR/C/</w:t>
      </w:r>
      <w:r w:rsidRPr="00383CD5">
        <w:t>106</w:t>
      </w:r>
      <w:r w:rsidRPr="00E668E7">
        <w:t>/D/</w:t>
      </w:r>
      <w:r w:rsidRPr="00383CD5">
        <w:t>1932</w:t>
      </w:r>
      <w:r w:rsidRPr="00E668E7">
        <w:t>/</w:t>
      </w:r>
      <w:r w:rsidRPr="00383CD5">
        <w:t>2010</w:t>
      </w:r>
      <w:r w:rsidRPr="00E668E7">
        <w:rPr>
          <w:rtl/>
        </w:rPr>
        <w:t xml:space="preserve">) </w:t>
      </w:r>
      <w:proofErr w:type="spellStart"/>
      <w:r w:rsidRPr="00383CD5">
        <w:rPr>
          <w:i/>
          <w:iCs/>
          <w:rtl/>
        </w:rPr>
        <w:t>وألكسييف</w:t>
      </w:r>
      <w:proofErr w:type="spellEnd"/>
      <w:r w:rsidRPr="00383CD5">
        <w:rPr>
          <w:i/>
          <w:iCs/>
          <w:rtl/>
        </w:rPr>
        <w:t xml:space="preserve"> ضد الاتحاد الروسي</w:t>
      </w:r>
      <w:r w:rsidRPr="00E668E7">
        <w:rPr>
          <w:rtl/>
        </w:rPr>
        <w:t xml:space="preserve"> (</w:t>
      </w:r>
      <w:r w:rsidRPr="00E668E7">
        <w:t>CCPR/C/</w:t>
      </w:r>
      <w:r w:rsidRPr="00383CD5">
        <w:t>109</w:t>
      </w:r>
      <w:r w:rsidRPr="00E668E7">
        <w:t>/D/</w:t>
      </w:r>
      <w:r w:rsidRPr="00383CD5">
        <w:t>1873</w:t>
      </w:r>
      <w:r w:rsidRPr="00E668E7">
        <w:t>/</w:t>
      </w:r>
      <w:r w:rsidRPr="00383CD5">
        <w:t>2009</w:t>
      </w:r>
      <w:r w:rsidRPr="00E668E7">
        <w:rPr>
          <w:rtl/>
        </w:rPr>
        <w:t>).</w:t>
      </w:r>
    </w:p>
  </w:footnote>
  <w:footnote w:id="12">
    <w:p w14:paraId="3E7DAF65" w14:textId="7E58E284" w:rsidR="00A40D09" w:rsidRPr="00E668E7" w:rsidRDefault="00A40D09" w:rsidP="00714C00">
      <w:pPr>
        <w:pStyle w:val="FootnoteText1"/>
        <w:rPr>
          <w:rtl/>
        </w:rPr>
      </w:pPr>
      <w:r w:rsidRPr="00E668E7">
        <w:rPr>
          <w:rtl/>
        </w:rPr>
        <w:t>(</w:t>
      </w:r>
      <w:r w:rsidRPr="00383CD5">
        <w:footnoteRef/>
      </w:r>
      <w:r w:rsidRPr="00E668E7">
        <w:rPr>
          <w:rtl/>
        </w:rPr>
        <w:t>)</w:t>
      </w:r>
      <w:r>
        <w:rPr>
          <w:rtl/>
        </w:rPr>
        <w:tab/>
      </w:r>
      <w:proofErr w:type="spellStart"/>
      <w:r w:rsidRPr="00383CD5">
        <w:rPr>
          <w:i/>
          <w:iCs/>
          <w:rtl/>
        </w:rPr>
        <w:t>بوبلافني</w:t>
      </w:r>
      <w:proofErr w:type="spellEnd"/>
      <w:r w:rsidRPr="00383CD5">
        <w:rPr>
          <w:i/>
          <w:iCs/>
          <w:rtl/>
        </w:rPr>
        <w:t xml:space="preserve"> ضد بيلاروس</w:t>
      </w:r>
      <w:r w:rsidRPr="00E668E7">
        <w:rPr>
          <w:rtl/>
        </w:rPr>
        <w:t xml:space="preserve"> (</w:t>
      </w:r>
      <w:r w:rsidRPr="00E668E7">
        <w:t>CCPR/C/</w:t>
      </w:r>
      <w:r w:rsidRPr="00383CD5">
        <w:t>115</w:t>
      </w:r>
      <w:r w:rsidRPr="00E668E7">
        <w:t>/D/</w:t>
      </w:r>
      <w:r w:rsidRPr="00383CD5">
        <w:t>2019</w:t>
      </w:r>
      <w:r w:rsidRPr="00E668E7">
        <w:t>/</w:t>
      </w:r>
      <w:r w:rsidRPr="00383CD5">
        <w:t>2010</w:t>
      </w:r>
      <w:r w:rsidRPr="00E668E7">
        <w:rPr>
          <w:rtl/>
        </w:rPr>
        <w:t xml:space="preserve">)، الفقرة </w:t>
      </w:r>
      <w:r w:rsidRPr="00383CD5">
        <w:rPr>
          <w:rtl/>
        </w:rPr>
        <w:t>8</w:t>
      </w:r>
      <w:r w:rsidRPr="00E668E7">
        <w:rPr>
          <w:rtl/>
        </w:rPr>
        <w:t>-</w:t>
      </w:r>
      <w:r w:rsidRPr="00383CD5">
        <w:rPr>
          <w:rtl/>
        </w:rPr>
        <w:t>4</w:t>
      </w:r>
      <w:r w:rsidRPr="00E668E7">
        <w:rPr>
          <w:rtl/>
        </w:rPr>
        <w:t>.</w:t>
      </w:r>
    </w:p>
  </w:footnote>
  <w:footnote w:id="13">
    <w:p w14:paraId="76BE9898" w14:textId="4351F5A9" w:rsidR="00A40D09" w:rsidRPr="00E668E7" w:rsidRDefault="00A40D09" w:rsidP="00714C00">
      <w:pPr>
        <w:pStyle w:val="FootnoteText1"/>
        <w:rPr>
          <w:rtl/>
        </w:rPr>
      </w:pPr>
      <w:r w:rsidRPr="00E668E7">
        <w:rPr>
          <w:rtl/>
        </w:rPr>
        <w:t>(</w:t>
      </w:r>
      <w:r w:rsidRPr="00383CD5">
        <w:footnoteRef/>
      </w:r>
      <w:r w:rsidRPr="00E668E7">
        <w:rPr>
          <w:rtl/>
        </w:rPr>
        <w:t>)</w:t>
      </w:r>
      <w:r>
        <w:rPr>
          <w:rtl/>
        </w:rPr>
        <w:tab/>
      </w:r>
      <w:proofErr w:type="spellStart"/>
      <w:r w:rsidRPr="00383CD5">
        <w:rPr>
          <w:i/>
          <w:iCs/>
          <w:rtl/>
        </w:rPr>
        <w:t>تشيبوتاريفا</w:t>
      </w:r>
      <w:proofErr w:type="spellEnd"/>
      <w:r w:rsidRPr="00383CD5">
        <w:rPr>
          <w:i/>
          <w:iCs/>
          <w:rtl/>
        </w:rPr>
        <w:t xml:space="preserve"> ضد الاتحاد الروسي</w:t>
      </w:r>
      <w:r w:rsidRPr="00E668E7">
        <w:rPr>
          <w:rtl/>
        </w:rPr>
        <w:t xml:space="preserve"> (</w:t>
      </w:r>
      <w:r w:rsidRPr="00E668E7">
        <w:t>CCPR/C/</w:t>
      </w:r>
      <w:r w:rsidRPr="00383CD5">
        <w:t>104</w:t>
      </w:r>
      <w:r w:rsidRPr="00E668E7">
        <w:t>/D/</w:t>
      </w:r>
      <w:r w:rsidRPr="00383CD5">
        <w:t>1866</w:t>
      </w:r>
      <w:r w:rsidRPr="00E668E7">
        <w:t>/</w:t>
      </w:r>
      <w:r w:rsidRPr="00383CD5">
        <w:t>2009</w:t>
      </w:r>
      <w:r w:rsidRPr="00E668E7">
        <w:rPr>
          <w:rtl/>
        </w:rPr>
        <w:t xml:space="preserve">)، الفقرة </w:t>
      </w:r>
      <w:r w:rsidRPr="00383CD5">
        <w:rPr>
          <w:rtl/>
        </w:rPr>
        <w:t>9</w:t>
      </w:r>
      <w:r w:rsidRPr="00E668E7">
        <w:rPr>
          <w:rtl/>
        </w:rPr>
        <w:t>-</w:t>
      </w:r>
      <w:r w:rsidRPr="00383CD5">
        <w:rPr>
          <w:rtl/>
        </w:rPr>
        <w:t>3</w:t>
      </w:r>
      <w:r w:rsidRPr="00E668E7">
        <w:rPr>
          <w:rtl/>
        </w:rPr>
        <w:t>.</w:t>
      </w:r>
    </w:p>
  </w:footnote>
  <w:footnote w:id="14">
    <w:p w14:paraId="08F0F66F" w14:textId="1F1A1989" w:rsidR="00A40D09" w:rsidRPr="00E668E7" w:rsidRDefault="00A40D09" w:rsidP="00714C00">
      <w:pPr>
        <w:pStyle w:val="FootnoteText1"/>
        <w:rPr>
          <w:rtl/>
        </w:rPr>
      </w:pPr>
      <w:r w:rsidRPr="00E668E7">
        <w:rPr>
          <w:rtl/>
        </w:rPr>
        <w:t>(</w:t>
      </w:r>
      <w:r w:rsidRPr="00383CD5">
        <w:footnoteRef/>
      </w:r>
      <w:r w:rsidRPr="00E668E7">
        <w:rPr>
          <w:rtl/>
        </w:rPr>
        <w:t>)</w:t>
      </w:r>
      <w:r>
        <w:rPr>
          <w:rtl/>
        </w:rPr>
        <w:tab/>
      </w:r>
      <w:r w:rsidRPr="00E668E7">
        <w:rPr>
          <w:rtl/>
        </w:rPr>
        <w:t xml:space="preserve">منذ إصدار اللجنة آراءها في قضية </w:t>
      </w:r>
      <w:proofErr w:type="spellStart"/>
      <w:r w:rsidRPr="00383CD5">
        <w:rPr>
          <w:i/>
          <w:iCs/>
          <w:rtl/>
        </w:rPr>
        <w:t>تورشينياك</w:t>
      </w:r>
      <w:proofErr w:type="spellEnd"/>
      <w:r w:rsidRPr="00383CD5">
        <w:rPr>
          <w:i/>
          <w:iCs/>
          <w:rtl/>
        </w:rPr>
        <w:t xml:space="preserve"> ضد بيلاروس</w:t>
      </w:r>
      <w:r w:rsidRPr="00E668E7">
        <w:rPr>
          <w:rtl/>
        </w:rPr>
        <w:t xml:space="preserve"> (</w:t>
      </w:r>
      <w:r w:rsidRPr="00E668E7">
        <w:t>CCPR/C/</w:t>
      </w:r>
      <w:r w:rsidRPr="00383CD5">
        <w:t>108</w:t>
      </w:r>
      <w:r w:rsidRPr="00E668E7">
        <w:t>/D/</w:t>
      </w:r>
      <w:r w:rsidRPr="00383CD5">
        <w:t>1948</w:t>
      </w:r>
      <w:r w:rsidRPr="00E668E7">
        <w:t>/</w:t>
      </w:r>
      <w:r w:rsidRPr="00383CD5">
        <w:t>2010</w:t>
      </w:r>
      <w:r w:rsidRPr="00E668E7">
        <w:rPr>
          <w:rtl/>
        </w:rPr>
        <w:t xml:space="preserve"> و</w:t>
      </w:r>
      <w:r w:rsidRPr="00E668E7">
        <w:t>Corr.</w:t>
      </w:r>
      <w:r w:rsidRPr="00383CD5">
        <w:t>1</w:t>
      </w:r>
      <w:r w:rsidRPr="00E668E7">
        <w:rPr>
          <w:rtl/>
        </w:rPr>
        <w:t>)، أشارت كثيرا</w:t>
      </w:r>
      <w:r>
        <w:rPr>
          <w:rFonts w:hint="cs"/>
          <w:rtl/>
        </w:rPr>
        <w:t>ً</w:t>
      </w:r>
      <w:r w:rsidRPr="00E668E7">
        <w:rPr>
          <w:rtl/>
        </w:rPr>
        <w:t xml:space="preserve"> ومرارا</w:t>
      </w:r>
      <w:r>
        <w:rPr>
          <w:rFonts w:hint="cs"/>
          <w:rtl/>
        </w:rPr>
        <w:t>ً</w:t>
      </w:r>
      <w:r w:rsidRPr="00E668E7">
        <w:rPr>
          <w:rtl/>
        </w:rPr>
        <w:t xml:space="preserve"> إلى أن الخطوات التي تتّخذها الدول ردّاً على تجمع ما "ينبغي أن تسترشد بالهدف من التجمع لأجل تيسير الحق" (الفقرة</w:t>
      </w:r>
      <w:r>
        <w:rPr>
          <w:rFonts w:hint="cs"/>
          <w:rtl/>
        </w:rPr>
        <w:t> </w:t>
      </w:r>
      <w:r w:rsidRPr="00383CD5">
        <w:rPr>
          <w:rtl/>
        </w:rPr>
        <w:t>7</w:t>
      </w:r>
      <w:r w:rsidRPr="00E668E7">
        <w:rPr>
          <w:rtl/>
        </w:rPr>
        <w:t>-</w:t>
      </w:r>
      <w:r w:rsidRPr="00383CD5">
        <w:rPr>
          <w:rtl/>
        </w:rPr>
        <w:t>4</w:t>
      </w:r>
      <w:r w:rsidRPr="00E668E7">
        <w:rPr>
          <w:rtl/>
        </w:rPr>
        <w:t xml:space="preserve">). وانظر أيضاً الوثيقة </w:t>
      </w:r>
      <w:r w:rsidRPr="00E668E7">
        <w:t>CCPR/C/BEN/CO/</w:t>
      </w:r>
      <w:r w:rsidRPr="00383CD5">
        <w:t>2</w:t>
      </w:r>
      <w:r w:rsidRPr="00E668E7">
        <w:rPr>
          <w:rtl/>
        </w:rPr>
        <w:t xml:space="preserve">، الفقرة </w:t>
      </w:r>
      <w:r w:rsidRPr="00383CD5">
        <w:rPr>
          <w:rtl/>
        </w:rPr>
        <w:t>33</w:t>
      </w:r>
      <w:r w:rsidRPr="00E668E7">
        <w:rPr>
          <w:rtl/>
        </w:rPr>
        <w:t xml:space="preserve">؛ والوثيقة </w:t>
      </w:r>
      <w:r w:rsidRPr="00E668E7">
        <w:t>A/HRC/</w:t>
      </w:r>
      <w:r w:rsidRPr="00383CD5">
        <w:t>20</w:t>
      </w:r>
      <w:r w:rsidRPr="00E668E7">
        <w:t>/</w:t>
      </w:r>
      <w:r w:rsidRPr="00383CD5">
        <w:t>27</w:t>
      </w:r>
      <w:r w:rsidRPr="00E668E7">
        <w:rPr>
          <w:rtl/>
        </w:rPr>
        <w:t xml:space="preserve">، الفقرة </w:t>
      </w:r>
      <w:r w:rsidRPr="00383CD5">
        <w:rPr>
          <w:rtl/>
        </w:rPr>
        <w:t>33</w:t>
      </w:r>
      <w:r w:rsidRPr="00E668E7">
        <w:rPr>
          <w:rtl/>
        </w:rPr>
        <w:t xml:space="preserve">؛ وقرار مجلس حقوق الإنسان </w:t>
      </w:r>
      <w:r w:rsidRPr="00383CD5">
        <w:rPr>
          <w:rtl/>
        </w:rPr>
        <w:t>38</w:t>
      </w:r>
      <w:r w:rsidR="00D07F49">
        <w:rPr>
          <w:rFonts w:hint="cs"/>
          <w:rtl/>
        </w:rPr>
        <w:t>/</w:t>
      </w:r>
      <w:r w:rsidR="00D07F49" w:rsidRPr="00383CD5">
        <w:rPr>
          <w:rtl/>
        </w:rPr>
        <w:t>11</w:t>
      </w:r>
      <w:r w:rsidRPr="00E668E7">
        <w:rPr>
          <w:rtl/>
        </w:rPr>
        <w:t xml:space="preserve">، الفقرة </w:t>
      </w:r>
      <w:r w:rsidRPr="00383CD5">
        <w:rPr>
          <w:rtl/>
        </w:rPr>
        <w:t>4</w:t>
      </w:r>
      <w:r w:rsidRPr="00E668E7">
        <w:rPr>
          <w:rtl/>
        </w:rPr>
        <w:t xml:space="preserve"> من منطوق القرار.</w:t>
      </w:r>
    </w:p>
  </w:footnote>
  <w:footnote w:id="15">
    <w:p w14:paraId="1F2AB381" w14:textId="29791E2C" w:rsidR="00A40D09" w:rsidRPr="00E668E7" w:rsidRDefault="00A40D09" w:rsidP="00714C00">
      <w:pPr>
        <w:pStyle w:val="FootnoteText1"/>
        <w:rPr>
          <w:rtl/>
        </w:rPr>
      </w:pPr>
      <w:r w:rsidRPr="00E668E7">
        <w:rPr>
          <w:rtl/>
        </w:rPr>
        <w:t>(</w:t>
      </w:r>
      <w:r w:rsidRPr="00383CD5">
        <w:footnoteRef/>
      </w:r>
      <w:r w:rsidRPr="00E668E7">
        <w:rPr>
          <w:rtl/>
        </w:rPr>
        <w:t>)</w:t>
      </w:r>
      <w:r>
        <w:rPr>
          <w:rtl/>
        </w:rPr>
        <w:tab/>
      </w:r>
      <w:r w:rsidRPr="00E668E7">
        <w:rPr>
          <w:rtl/>
        </w:rPr>
        <w:t xml:space="preserve">قضية </w:t>
      </w:r>
      <w:proofErr w:type="spellStart"/>
      <w:r w:rsidRPr="00383CD5">
        <w:rPr>
          <w:i/>
          <w:iCs/>
          <w:rtl/>
        </w:rPr>
        <w:t>أليكسييف</w:t>
      </w:r>
      <w:proofErr w:type="spellEnd"/>
      <w:r w:rsidRPr="00383CD5">
        <w:rPr>
          <w:i/>
          <w:iCs/>
          <w:rtl/>
        </w:rPr>
        <w:t xml:space="preserve"> ضد الاتحاد الروسي</w:t>
      </w:r>
      <w:r w:rsidRPr="00E668E7">
        <w:rPr>
          <w:rtl/>
        </w:rPr>
        <w:t xml:space="preserve">، الفقرة </w:t>
      </w:r>
      <w:r w:rsidRPr="00383CD5">
        <w:rPr>
          <w:rtl/>
        </w:rPr>
        <w:t>9</w:t>
      </w:r>
      <w:r w:rsidRPr="00E668E7">
        <w:rPr>
          <w:rtl/>
        </w:rPr>
        <w:t>-</w:t>
      </w:r>
      <w:r w:rsidRPr="00383CD5">
        <w:rPr>
          <w:rtl/>
        </w:rPr>
        <w:t>6</w:t>
      </w:r>
      <w:r w:rsidRPr="00E668E7">
        <w:rPr>
          <w:rtl/>
        </w:rPr>
        <w:t>.</w:t>
      </w:r>
    </w:p>
  </w:footnote>
  <w:footnote w:id="16">
    <w:p w14:paraId="443511A9" w14:textId="2CA96038" w:rsidR="00A40D09" w:rsidRPr="00E668E7" w:rsidRDefault="00A40D09" w:rsidP="00714C00">
      <w:pPr>
        <w:pStyle w:val="FootnoteText1"/>
        <w:rPr>
          <w:rtl/>
        </w:rPr>
      </w:pPr>
      <w:r w:rsidRPr="00E668E7">
        <w:rPr>
          <w:rtl/>
        </w:rPr>
        <w:t>(</w:t>
      </w:r>
      <w:r w:rsidRPr="00383CD5">
        <w:footnoteRef/>
      </w:r>
      <w:r w:rsidRPr="00E668E7">
        <w:rPr>
          <w:rtl/>
        </w:rPr>
        <w:t>)</w:t>
      </w:r>
      <w:r>
        <w:rPr>
          <w:rtl/>
        </w:rPr>
        <w:tab/>
      </w:r>
      <w:r w:rsidRPr="00E668E7">
        <w:rPr>
          <w:rtl/>
        </w:rPr>
        <w:t xml:space="preserve">التعليق العام رقم </w:t>
      </w:r>
      <w:r w:rsidRPr="00383CD5">
        <w:rPr>
          <w:rtl/>
        </w:rPr>
        <w:t>37</w:t>
      </w:r>
      <w:r w:rsidRPr="00E668E7">
        <w:rPr>
          <w:rtl/>
        </w:rPr>
        <w:t>(</w:t>
      </w:r>
      <w:r w:rsidRPr="00383CD5">
        <w:rPr>
          <w:rtl/>
        </w:rPr>
        <w:t>2020</w:t>
      </w:r>
      <w:r w:rsidRPr="00E668E7">
        <w:rPr>
          <w:rtl/>
        </w:rPr>
        <w:t xml:space="preserve">)، الفقرة </w:t>
      </w:r>
      <w:r w:rsidRPr="00383CD5">
        <w:rPr>
          <w:rtl/>
        </w:rPr>
        <w:t>24</w:t>
      </w:r>
      <w:r w:rsidRPr="00E668E7">
        <w:rPr>
          <w:rtl/>
        </w:rPr>
        <w:t>.</w:t>
      </w:r>
    </w:p>
  </w:footnote>
  <w:footnote w:id="17">
    <w:p w14:paraId="42F36A45" w14:textId="65D3ABF1" w:rsidR="00A40D09" w:rsidRPr="00E668E7" w:rsidRDefault="00A40D09" w:rsidP="00714C00">
      <w:pPr>
        <w:pStyle w:val="FootnoteText1"/>
      </w:pPr>
      <w:r w:rsidRPr="00E668E7">
        <w:rPr>
          <w:rtl/>
        </w:rPr>
        <w:t>(</w:t>
      </w:r>
      <w:r w:rsidRPr="00383CD5">
        <w:footnoteRef/>
      </w:r>
      <w:r w:rsidRPr="00E668E7">
        <w:rPr>
          <w:rtl/>
        </w:rPr>
        <w:t>)</w:t>
      </w:r>
      <w:r>
        <w:rPr>
          <w:rtl/>
        </w:rPr>
        <w:tab/>
      </w:r>
      <w:r w:rsidRPr="00E668E7">
        <w:rPr>
          <w:rtl/>
        </w:rPr>
        <w:t xml:space="preserve">المحكمة الأوروبية لحقوق الإنسان، </w:t>
      </w:r>
      <w:proofErr w:type="spellStart"/>
      <w:r w:rsidRPr="00383CD5">
        <w:rPr>
          <w:i/>
          <w:iCs/>
          <w:rtl/>
        </w:rPr>
        <w:t>أليكسييف</w:t>
      </w:r>
      <w:proofErr w:type="spellEnd"/>
      <w:r w:rsidRPr="00383CD5">
        <w:rPr>
          <w:i/>
          <w:iCs/>
          <w:rtl/>
        </w:rPr>
        <w:t xml:space="preserve"> ضد روسيا</w:t>
      </w:r>
      <w:r w:rsidRPr="00E668E7">
        <w:rPr>
          <w:rtl/>
        </w:rPr>
        <w:t xml:space="preserve">، الفقرة </w:t>
      </w:r>
      <w:r w:rsidRPr="00383CD5">
        <w:rPr>
          <w:rtl/>
        </w:rPr>
        <w:t>86</w:t>
      </w:r>
      <w:r w:rsidRPr="00E668E7">
        <w:rPr>
          <w:rtl/>
        </w:rPr>
        <w:t xml:space="preserve">؛ </w:t>
      </w:r>
      <w:proofErr w:type="spellStart"/>
      <w:r w:rsidRPr="00383CD5">
        <w:rPr>
          <w:i/>
          <w:iCs/>
          <w:rtl/>
        </w:rPr>
        <w:t>وغدانوف</w:t>
      </w:r>
      <w:proofErr w:type="spellEnd"/>
      <w:r w:rsidRPr="00383CD5">
        <w:rPr>
          <w:i/>
          <w:iCs/>
          <w:rtl/>
        </w:rPr>
        <w:t xml:space="preserve"> وآخرون ضد روسيا</w:t>
      </w:r>
      <w:r w:rsidRPr="00E668E7">
        <w:rPr>
          <w:rtl/>
        </w:rPr>
        <w:t xml:space="preserve">، الطلبات رقم </w:t>
      </w:r>
      <w:r w:rsidRPr="00383CD5">
        <w:rPr>
          <w:rtl/>
        </w:rPr>
        <w:t>12200</w:t>
      </w:r>
      <w:r>
        <w:rPr>
          <w:rFonts w:hint="cs"/>
          <w:rtl/>
        </w:rPr>
        <w:t>/</w:t>
      </w:r>
      <w:r w:rsidRPr="00383CD5">
        <w:rPr>
          <w:rtl/>
        </w:rPr>
        <w:t>08</w:t>
      </w:r>
      <w:r w:rsidRPr="00E668E7">
        <w:rPr>
          <w:rtl/>
        </w:rPr>
        <w:t xml:space="preserve"> و</w:t>
      </w:r>
      <w:r w:rsidRPr="00383CD5">
        <w:rPr>
          <w:rtl/>
        </w:rPr>
        <w:t>35949</w:t>
      </w:r>
      <w:r>
        <w:rPr>
          <w:rFonts w:hint="cs"/>
          <w:rtl/>
        </w:rPr>
        <w:t>/</w:t>
      </w:r>
      <w:r w:rsidRPr="00383CD5">
        <w:rPr>
          <w:rtl/>
        </w:rPr>
        <w:t>11</w:t>
      </w:r>
      <w:r w:rsidRPr="00E668E7">
        <w:rPr>
          <w:rtl/>
        </w:rPr>
        <w:t xml:space="preserve"> و</w:t>
      </w:r>
      <w:r w:rsidRPr="00383CD5">
        <w:rPr>
          <w:rtl/>
        </w:rPr>
        <w:t>58282</w:t>
      </w:r>
      <w:r>
        <w:rPr>
          <w:rFonts w:hint="cs"/>
          <w:rtl/>
        </w:rPr>
        <w:t>/</w:t>
      </w:r>
      <w:r w:rsidRPr="00383CD5">
        <w:rPr>
          <w:rtl/>
        </w:rPr>
        <w:t>12</w:t>
      </w:r>
      <w:r w:rsidRPr="00E668E7">
        <w:rPr>
          <w:rtl/>
        </w:rPr>
        <w:t xml:space="preserve">، القرار المؤرخ </w:t>
      </w:r>
      <w:r w:rsidRPr="00383CD5">
        <w:rPr>
          <w:rtl/>
        </w:rPr>
        <w:t>16</w:t>
      </w:r>
      <w:r w:rsidRPr="00E668E7">
        <w:rPr>
          <w:rtl/>
        </w:rPr>
        <w:t xml:space="preserve"> تشرين الأول/أكتوبر </w:t>
      </w:r>
      <w:r w:rsidRPr="00383CD5">
        <w:rPr>
          <w:rtl/>
        </w:rPr>
        <w:t>2019</w:t>
      </w:r>
      <w:r w:rsidRPr="00E668E7">
        <w:rPr>
          <w:rtl/>
        </w:rPr>
        <w:t xml:space="preserve">؛ </w:t>
      </w:r>
      <w:proofErr w:type="spellStart"/>
      <w:r w:rsidRPr="00383CD5">
        <w:rPr>
          <w:i/>
          <w:iCs/>
          <w:rtl/>
        </w:rPr>
        <w:t>وأليكسييف</w:t>
      </w:r>
      <w:proofErr w:type="spellEnd"/>
      <w:r w:rsidRPr="00383CD5">
        <w:rPr>
          <w:i/>
          <w:iCs/>
          <w:rtl/>
        </w:rPr>
        <w:t xml:space="preserve"> وآخرون ضد روسيا</w:t>
      </w:r>
      <w:r w:rsidRPr="00E668E7">
        <w:rPr>
          <w:rtl/>
        </w:rPr>
        <w:t>، الطلب رقم</w:t>
      </w:r>
      <w:r>
        <w:rPr>
          <w:rFonts w:hint="cs"/>
          <w:rtl/>
        </w:rPr>
        <w:t> </w:t>
      </w:r>
      <w:r w:rsidRPr="00383CD5">
        <w:rPr>
          <w:rtl/>
        </w:rPr>
        <w:t>14988</w:t>
      </w:r>
      <w:r>
        <w:rPr>
          <w:rFonts w:hint="cs"/>
          <w:rtl/>
        </w:rPr>
        <w:t>/</w:t>
      </w:r>
      <w:r w:rsidRPr="00383CD5">
        <w:rPr>
          <w:rtl/>
        </w:rPr>
        <w:t>09</w:t>
      </w:r>
      <w:r w:rsidRPr="00E668E7">
        <w:rPr>
          <w:rtl/>
        </w:rPr>
        <w:t xml:space="preserve"> و</w:t>
      </w:r>
      <w:r w:rsidRPr="00383CD5">
        <w:rPr>
          <w:rtl/>
        </w:rPr>
        <w:t>50</w:t>
      </w:r>
      <w:r w:rsidRPr="00E668E7">
        <w:rPr>
          <w:rtl/>
        </w:rPr>
        <w:t xml:space="preserve"> طلبا</w:t>
      </w:r>
      <w:r>
        <w:rPr>
          <w:rFonts w:hint="cs"/>
          <w:rtl/>
        </w:rPr>
        <w:t>ً</w:t>
      </w:r>
      <w:r w:rsidRPr="00E668E7">
        <w:rPr>
          <w:rtl/>
        </w:rPr>
        <w:t xml:space="preserve"> آخر، القرار المؤرخ </w:t>
      </w:r>
      <w:r w:rsidRPr="00383CD5">
        <w:rPr>
          <w:rtl/>
        </w:rPr>
        <w:t>6</w:t>
      </w:r>
      <w:r w:rsidRPr="00E668E7">
        <w:rPr>
          <w:rtl/>
        </w:rPr>
        <w:t xml:space="preserve"> أيار/مايو </w:t>
      </w:r>
      <w:r w:rsidRPr="00383CD5">
        <w:rPr>
          <w:rtl/>
        </w:rPr>
        <w:t>2019</w:t>
      </w:r>
      <w:r w:rsidRPr="00E668E7">
        <w:rPr>
          <w:rtl/>
        </w:rPr>
        <w:t>.</w:t>
      </w:r>
    </w:p>
  </w:footnote>
  <w:footnote w:id="18">
    <w:p w14:paraId="0F40A5CC" w14:textId="0AD3BC2F" w:rsidR="00A40D09" w:rsidRPr="00E668E7" w:rsidRDefault="00A40D09" w:rsidP="00714C00">
      <w:pPr>
        <w:pStyle w:val="FootnoteText1"/>
        <w:rPr>
          <w:rtl/>
        </w:rPr>
      </w:pPr>
      <w:r w:rsidRPr="00E668E7">
        <w:rPr>
          <w:rtl/>
        </w:rPr>
        <w:t>(</w:t>
      </w:r>
      <w:r w:rsidRPr="00383CD5">
        <w:footnoteRef/>
      </w:r>
      <w:r w:rsidRPr="00E668E7">
        <w:rPr>
          <w:rtl/>
        </w:rPr>
        <w:t>)</w:t>
      </w:r>
      <w:r>
        <w:rPr>
          <w:rtl/>
        </w:rPr>
        <w:tab/>
      </w:r>
      <w:r w:rsidRPr="00E668E7">
        <w:rPr>
          <w:rtl/>
        </w:rPr>
        <w:t xml:space="preserve">قضية </w:t>
      </w:r>
      <w:proofErr w:type="spellStart"/>
      <w:r w:rsidRPr="00383CD5">
        <w:rPr>
          <w:i/>
          <w:iCs/>
          <w:rtl/>
        </w:rPr>
        <w:t>أليكسييف</w:t>
      </w:r>
      <w:proofErr w:type="spellEnd"/>
      <w:r w:rsidRPr="00383CD5">
        <w:rPr>
          <w:i/>
          <w:iCs/>
          <w:rtl/>
        </w:rPr>
        <w:t xml:space="preserve"> ضد الاتحاد الروسي</w:t>
      </w:r>
      <w:r w:rsidRPr="00E668E7">
        <w:rPr>
          <w:rtl/>
        </w:rPr>
        <w:t xml:space="preserve">، الفقرة </w:t>
      </w:r>
      <w:r w:rsidRPr="00383CD5">
        <w:rPr>
          <w:rtl/>
        </w:rPr>
        <w:t>9</w:t>
      </w:r>
      <w:r w:rsidRPr="00E668E7">
        <w:rPr>
          <w:rtl/>
        </w:rPr>
        <w:t>-</w:t>
      </w:r>
      <w:r w:rsidRPr="00383CD5">
        <w:rPr>
          <w:rtl/>
        </w:rPr>
        <w:t>6</w:t>
      </w:r>
      <w:r w:rsidRPr="00E668E7">
        <w:rPr>
          <w:rtl/>
        </w:rPr>
        <w:t>.</w:t>
      </w:r>
    </w:p>
  </w:footnote>
  <w:footnote w:id="19">
    <w:p w14:paraId="3E253696" w14:textId="77707F9D" w:rsidR="00A40D09" w:rsidRPr="00E668E7" w:rsidRDefault="00A40D09" w:rsidP="00714C00">
      <w:pPr>
        <w:pStyle w:val="FootnoteText1"/>
        <w:rPr>
          <w:rtl/>
        </w:rPr>
      </w:pPr>
      <w:r w:rsidRPr="00E668E7">
        <w:rPr>
          <w:rtl/>
        </w:rPr>
        <w:t>(</w:t>
      </w:r>
      <w:r w:rsidRPr="00383CD5">
        <w:footnoteRef/>
      </w:r>
      <w:r w:rsidRPr="00E668E7">
        <w:rPr>
          <w:rtl/>
        </w:rPr>
        <w:t>)</w:t>
      </w:r>
      <w:r>
        <w:rPr>
          <w:rtl/>
        </w:rPr>
        <w:tab/>
      </w:r>
      <w:r w:rsidRPr="00383CD5">
        <w:rPr>
          <w:i/>
          <w:iCs/>
          <w:rtl/>
        </w:rPr>
        <w:t>تونين ضد أستراليا</w:t>
      </w:r>
      <w:r w:rsidRPr="00E668E7">
        <w:rPr>
          <w:rtl/>
        </w:rPr>
        <w:t xml:space="preserve"> (</w:t>
      </w:r>
      <w:r w:rsidRPr="00E668E7">
        <w:t>CCPR/C/</w:t>
      </w:r>
      <w:r w:rsidRPr="00383CD5">
        <w:t>50</w:t>
      </w:r>
      <w:r w:rsidRPr="00E668E7">
        <w:t>/D/</w:t>
      </w:r>
      <w:r w:rsidRPr="00383CD5">
        <w:t>488</w:t>
      </w:r>
      <w:r w:rsidRPr="00E668E7">
        <w:t>/</w:t>
      </w:r>
      <w:r w:rsidRPr="00383CD5">
        <w:t>1992</w:t>
      </w:r>
      <w:r w:rsidRPr="00E668E7">
        <w:rPr>
          <w:rtl/>
        </w:rPr>
        <w:t xml:space="preserve">)، الفقرة </w:t>
      </w:r>
      <w:r w:rsidRPr="00383CD5">
        <w:rPr>
          <w:rtl/>
        </w:rPr>
        <w:t>8</w:t>
      </w:r>
      <w:r w:rsidRPr="00E668E7">
        <w:rPr>
          <w:rtl/>
        </w:rPr>
        <w:t>-</w:t>
      </w:r>
      <w:r w:rsidRPr="00383CD5">
        <w:rPr>
          <w:rtl/>
        </w:rPr>
        <w:t>7</w:t>
      </w:r>
      <w:r w:rsidRPr="00E668E7">
        <w:rPr>
          <w:rtl/>
        </w:rPr>
        <w:t xml:space="preserve">؛ </w:t>
      </w:r>
      <w:proofErr w:type="spellStart"/>
      <w:r w:rsidRPr="00383CD5">
        <w:rPr>
          <w:i/>
          <w:iCs/>
          <w:rtl/>
        </w:rPr>
        <w:t>وويونغ</w:t>
      </w:r>
      <w:proofErr w:type="spellEnd"/>
      <w:r w:rsidRPr="00383CD5">
        <w:rPr>
          <w:i/>
          <w:iCs/>
          <w:rtl/>
        </w:rPr>
        <w:t xml:space="preserve"> ضد أستراليا</w:t>
      </w:r>
      <w:r w:rsidRPr="00E668E7">
        <w:rPr>
          <w:rtl/>
        </w:rPr>
        <w:t xml:space="preserve"> (</w:t>
      </w:r>
      <w:r w:rsidRPr="00E668E7">
        <w:t>CCPR/C/</w:t>
      </w:r>
      <w:r w:rsidRPr="00383CD5">
        <w:t>78</w:t>
      </w:r>
      <w:r w:rsidRPr="00E668E7">
        <w:t>/D/</w:t>
      </w:r>
      <w:r w:rsidRPr="00383CD5">
        <w:t>941</w:t>
      </w:r>
      <w:r w:rsidRPr="00E668E7">
        <w:t>/</w:t>
      </w:r>
      <w:r w:rsidRPr="00383CD5">
        <w:t>2000</w:t>
      </w:r>
      <w:r w:rsidRPr="00E668E7">
        <w:rPr>
          <w:rtl/>
        </w:rPr>
        <w:t>)، الفقرة</w:t>
      </w:r>
      <w:r>
        <w:rPr>
          <w:rFonts w:hint="cs"/>
          <w:rtl/>
        </w:rPr>
        <w:t> </w:t>
      </w:r>
      <w:r w:rsidRPr="00383CD5">
        <w:rPr>
          <w:rtl/>
        </w:rPr>
        <w:t>10</w:t>
      </w:r>
      <w:r w:rsidRPr="00E668E7">
        <w:rPr>
          <w:rtl/>
        </w:rPr>
        <w:t>-</w:t>
      </w:r>
      <w:r w:rsidRPr="00383CD5">
        <w:rPr>
          <w:rtl/>
        </w:rPr>
        <w:t>4</w:t>
      </w:r>
      <w:r w:rsidRPr="00E668E7">
        <w:rPr>
          <w:rtl/>
        </w:rPr>
        <w:t xml:space="preserve">؛ </w:t>
      </w:r>
      <w:proofErr w:type="spellStart"/>
      <w:r w:rsidRPr="00383CD5">
        <w:rPr>
          <w:i/>
          <w:iCs/>
          <w:rtl/>
        </w:rPr>
        <w:t>وس</w:t>
      </w:r>
      <w:proofErr w:type="spellEnd"/>
      <w:r w:rsidRPr="00383CD5">
        <w:rPr>
          <w:i/>
          <w:iCs/>
          <w:rtl/>
        </w:rPr>
        <w:t>. ضد كولومبيا</w:t>
      </w:r>
      <w:r w:rsidRPr="00E668E7">
        <w:rPr>
          <w:rtl/>
        </w:rPr>
        <w:t xml:space="preserve"> (</w:t>
      </w:r>
      <w:r w:rsidRPr="00E668E7">
        <w:t>CCPR/C/</w:t>
      </w:r>
      <w:r w:rsidRPr="00383CD5">
        <w:t>89</w:t>
      </w:r>
      <w:r w:rsidRPr="00E668E7">
        <w:t>/D/</w:t>
      </w:r>
      <w:r w:rsidRPr="00383CD5">
        <w:t>1361</w:t>
      </w:r>
      <w:r w:rsidRPr="00E668E7">
        <w:t>/</w:t>
      </w:r>
      <w:r w:rsidRPr="00383CD5">
        <w:t>2005</w:t>
      </w:r>
      <w:r w:rsidRPr="00E668E7">
        <w:rPr>
          <w:rtl/>
        </w:rPr>
        <w:t xml:space="preserve">)، الفقرة </w:t>
      </w:r>
      <w:r w:rsidRPr="00383CD5">
        <w:rPr>
          <w:rtl/>
        </w:rPr>
        <w:t>7</w:t>
      </w:r>
      <w:r w:rsidRPr="00E668E7">
        <w:rPr>
          <w:rtl/>
        </w:rPr>
        <w:t>-</w:t>
      </w:r>
      <w:r w:rsidRPr="00383CD5">
        <w:rPr>
          <w:rtl/>
        </w:rPr>
        <w:t>2</w:t>
      </w:r>
      <w:r w:rsidRPr="00E668E7">
        <w:rPr>
          <w:rtl/>
        </w:rPr>
        <w:t>.</w:t>
      </w:r>
    </w:p>
  </w:footnote>
  <w:footnote w:id="20">
    <w:p w14:paraId="34ABEA2A" w14:textId="7A590DDF" w:rsidR="00A40D09" w:rsidRPr="00E668E7" w:rsidRDefault="00A40D09" w:rsidP="00714C00">
      <w:pPr>
        <w:pStyle w:val="FootnoteText1"/>
        <w:rPr>
          <w:rtl/>
        </w:rPr>
      </w:pPr>
      <w:r w:rsidRPr="00E668E7">
        <w:rPr>
          <w:rtl/>
        </w:rPr>
        <w:t>(</w:t>
      </w:r>
      <w:r w:rsidRPr="00383CD5">
        <w:footnoteRef/>
      </w:r>
      <w:r w:rsidRPr="00E668E7">
        <w:rPr>
          <w:rtl/>
        </w:rPr>
        <w:t>)</w:t>
      </w:r>
      <w:r w:rsidRPr="00D07F49">
        <w:rPr>
          <w:rtl/>
        </w:rPr>
        <w:tab/>
      </w:r>
      <w:proofErr w:type="spellStart"/>
      <w:r w:rsidRPr="00383CD5">
        <w:rPr>
          <w:i/>
          <w:iCs/>
          <w:rtl/>
        </w:rPr>
        <w:t>نيبومنياشي</w:t>
      </w:r>
      <w:proofErr w:type="spellEnd"/>
      <w:r w:rsidRPr="00383CD5">
        <w:rPr>
          <w:i/>
          <w:iCs/>
          <w:rtl/>
        </w:rPr>
        <w:t xml:space="preserve"> ضد الاتحاد الروسي</w:t>
      </w:r>
      <w:r w:rsidRPr="00E668E7">
        <w:rPr>
          <w:rtl/>
        </w:rPr>
        <w:t xml:space="preserve"> (</w:t>
      </w:r>
      <w:r w:rsidRPr="00E668E7">
        <w:t>CCPR/C/</w:t>
      </w:r>
      <w:r w:rsidRPr="00383CD5">
        <w:t>123</w:t>
      </w:r>
      <w:r w:rsidRPr="00E668E7">
        <w:t>/D/</w:t>
      </w:r>
      <w:r w:rsidRPr="00383CD5">
        <w:t>2318</w:t>
      </w:r>
      <w:r w:rsidRPr="00E668E7">
        <w:t>/</w:t>
      </w:r>
      <w:r w:rsidRPr="00383CD5">
        <w:t>2013</w:t>
      </w:r>
      <w:r w:rsidRPr="00E668E7">
        <w:rPr>
          <w:rtl/>
        </w:rPr>
        <w:t xml:space="preserve">)، الفقرة </w:t>
      </w:r>
      <w:r w:rsidRPr="00383CD5">
        <w:rPr>
          <w:rtl/>
        </w:rPr>
        <w:t>7</w:t>
      </w:r>
      <w:r w:rsidRPr="00E668E7">
        <w:rPr>
          <w:rtl/>
        </w:rPr>
        <w:t>-</w:t>
      </w:r>
      <w:r w:rsidRPr="00383CD5">
        <w:rPr>
          <w:rtl/>
        </w:rPr>
        <w:t>3</w:t>
      </w:r>
      <w:r w:rsidRPr="00E668E7">
        <w:rPr>
          <w:rtl/>
        </w:rPr>
        <w:t>.</w:t>
      </w:r>
    </w:p>
  </w:footnote>
  <w:footnote w:id="21">
    <w:p w14:paraId="424326A6" w14:textId="5EB7568E" w:rsidR="00A40D09" w:rsidRPr="00E668E7" w:rsidRDefault="00A40D09" w:rsidP="00714C00">
      <w:pPr>
        <w:pStyle w:val="FootnoteText1"/>
        <w:rPr>
          <w:rtl/>
        </w:rPr>
      </w:pPr>
      <w:r w:rsidRPr="00E668E7">
        <w:rPr>
          <w:rtl/>
        </w:rPr>
        <w:t>(</w:t>
      </w:r>
      <w:r w:rsidRPr="00383CD5">
        <w:footnoteRef/>
      </w:r>
      <w:r w:rsidRPr="00E668E7">
        <w:rPr>
          <w:rtl/>
        </w:rPr>
        <w:t>)</w:t>
      </w:r>
      <w:r>
        <w:rPr>
          <w:rtl/>
        </w:rPr>
        <w:tab/>
      </w:r>
      <w:r w:rsidRPr="00E668E7">
        <w:rPr>
          <w:rtl/>
        </w:rPr>
        <w:t xml:space="preserve">قضية </w:t>
      </w:r>
      <w:proofErr w:type="spellStart"/>
      <w:r w:rsidRPr="00383CD5">
        <w:rPr>
          <w:i/>
          <w:iCs/>
          <w:rtl/>
        </w:rPr>
        <w:t>أليكسييف</w:t>
      </w:r>
      <w:proofErr w:type="spellEnd"/>
      <w:r w:rsidRPr="00383CD5">
        <w:rPr>
          <w:i/>
          <w:iCs/>
          <w:rtl/>
        </w:rPr>
        <w:t xml:space="preserve"> ضد الاتحاد الروسي</w:t>
      </w:r>
      <w:r w:rsidRPr="00E668E7">
        <w:rPr>
          <w:rtl/>
        </w:rPr>
        <w:t xml:space="preserve">، الفقرة </w:t>
      </w:r>
      <w:r w:rsidRPr="00383CD5">
        <w:rPr>
          <w:rtl/>
        </w:rPr>
        <w:t>9</w:t>
      </w:r>
      <w:r w:rsidRPr="00E668E7">
        <w:rPr>
          <w:rtl/>
        </w:rPr>
        <w:t>-</w:t>
      </w:r>
      <w:r w:rsidRPr="00383CD5">
        <w:rPr>
          <w:rtl/>
        </w:rPr>
        <w:t>6</w:t>
      </w:r>
      <w:r w:rsidRPr="00E668E7">
        <w:rPr>
          <w:rtl/>
        </w:rPr>
        <w:t>.</w:t>
      </w:r>
    </w:p>
  </w:footnote>
  <w:footnote w:id="22">
    <w:p w14:paraId="31755840" w14:textId="1B91E814" w:rsidR="00A40D09" w:rsidRPr="00E668E7" w:rsidRDefault="00A40D09" w:rsidP="008D2FA2">
      <w:pPr>
        <w:pStyle w:val="FootnoteText1"/>
        <w:rPr>
          <w:rtl/>
        </w:rPr>
      </w:pPr>
      <w:r w:rsidRPr="00E668E7">
        <w:rPr>
          <w:rtl/>
        </w:rPr>
        <w:t>(</w:t>
      </w:r>
      <w:r w:rsidRPr="00383CD5">
        <w:footnoteRef/>
      </w:r>
      <w:r w:rsidRPr="00E668E7">
        <w:rPr>
          <w:rtl/>
        </w:rPr>
        <w:t>)</w:t>
      </w:r>
      <w:r w:rsidRPr="00E668E7">
        <w:tab/>
        <w:t>CCPR/C/RUS/CO/</w:t>
      </w:r>
      <w:r w:rsidRPr="00383CD5">
        <w:t>7</w:t>
      </w:r>
      <w:r w:rsidRPr="00E668E7">
        <w:rPr>
          <w:rFonts w:hint="cs"/>
          <w:rtl/>
        </w:rPr>
        <w:t xml:space="preserve">، الفقرة </w:t>
      </w:r>
      <w:r w:rsidRPr="00383CD5">
        <w:rPr>
          <w:rFonts w:hint="cs"/>
          <w:rtl/>
        </w:rPr>
        <w:t>10</w:t>
      </w:r>
      <w:r w:rsidRPr="00E668E7">
        <w:rPr>
          <w:rFonts w:hint="cs"/>
          <w:rtl/>
        </w:rPr>
        <w:t xml:space="preserve">. انظر أيضاً </w:t>
      </w:r>
      <w:r w:rsidRPr="00E668E7">
        <w:t>CRC/C/RUS/CO/</w:t>
      </w:r>
      <w:r w:rsidRPr="00383CD5">
        <w:t>4</w:t>
      </w:r>
      <w:r w:rsidRPr="00E668E7">
        <w:t>-</w:t>
      </w:r>
      <w:r w:rsidRPr="00383CD5">
        <w:t>5</w:t>
      </w:r>
      <w:r w:rsidRPr="00E668E7">
        <w:rPr>
          <w:rFonts w:hint="cs"/>
          <w:rtl/>
        </w:rPr>
        <w:t xml:space="preserve">، </w:t>
      </w:r>
      <w:r w:rsidR="00D07F49">
        <w:rPr>
          <w:rFonts w:hint="cs"/>
          <w:rtl/>
        </w:rPr>
        <w:t>الفقرتان</w:t>
      </w:r>
      <w:r w:rsidRPr="00E668E7">
        <w:rPr>
          <w:rFonts w:hint="cs"/>
          <w:rtl/>
        </w:rPr>
        <w:t xml:space="preserve"> </w:t>
      </w:r>
      <w:r w:rsidRPr="00383CD5">
        <w:rPr>
          <w:rFonts w:hint="cs"/>
          <w:rtl/>
        </w:rPr>
        <w:t>24</w:t>
      </w:r>
      <w:r w:rsidRPr="00E668E7">
        <w:rPr>
          <w:rFonts w:hint="cs"/>
          <w:rtl/>
        </w:rPr>
        <w:t>-</w:t>
      </w:r>
      <w:r w:rsidRPr="00383CD5">
        <w:rPr>
          <w:rFonts w:hint="cs"/>
          <w:rtl/>
        </w:rPr>
        <w:t>25</w:t>
      </w:r>
      <w:r w:rsidRPr="00E668E7">
        <w:rPr>
          <w:rtl/>
        </w:rPr>
        <w:t>.</w:t>
      </w:r>
    </w:p>
  </w:footnote>
  <w:footnote w:id="23">
    <w:p w14:paraId="6F272968" w14:textId="45EE2446" w:rsidR="00A40D09" w:rsidRPr="00E668E7" w:rsidRDefault="00A40D09" w:rsidP="008D2FA2">
      <w:pPr>
        <w:pStyle w:val="FootnoteText1"/>
        <w:rPr>
          <w:rtl/>
        </w:rPr>
      </w:pPr>
      <w:r w:rsidRPr="00E668E7">
        <w:rPr>
          <w:rtl/>
        </w:rPr>
        <w:t>(</w:t>
      </w:r>
      <w:r w:rsidRPr="00383CD5">
        <w:footnoteRef/>
      </w:r>
      <w:r w:rsidRPr="00E668E7">
        <w:rPr>
          <w:rtl/>
        </w:rPr>
        <w:t>)</w:t>
      </w:r>
      <w:r w:rsidRPr="00E668E7">
        <w:rPr>
          <w:rtl/>
        </w:rPr>
        <w:tab/>
        <w:t xml:space="preserve">قرارات الجمعية العامة </w:t>
      </w:r>
      <w:r w:rsidRPr="00383CD5">
        <w:rPr>
          <w:rtl/>
        </w:rPr>
        <w:t>68</w:t>
      </w:r>
      <w:r>
        <w:rPr>
          <w:rFonts w:hint="cs"/>
          <w:rtl/>
        </w:rPr>
        <w:t>/</w:t>
      </w:r>
      <w:r w:rsidRPr="00383CD5">
        <w:rPr>
          <w:rtl/>
        </w:rPr>
        <w:t>262</w:t>
      </w:r>
      <w:r w:rsidRPr="00E668E7">
        <w:rPr>
          <w:rtl/>
        </w:rPr>
        <w:t>، و</w:t>
      </w:r>
      <w:r w:rsidRPr="00383CD5">
        <w:rPr>
          <w:rtl/>
        </w:rPr>
        <w:t>71</w:t>
      </w:r>
      <w:r>
        <w:rPr>
          <w:rFonts w:hint="cs"/>
          <w:rtl/>
        </w:rPr>
        <w:t>/</w:t>
      </w:r>
      <w:r w:rsidRPr="00383CD5">
        <w:rPr>
          <w:rtl/>
        </w:rPr>
        <w:t>205</w:t>
      </w:r>
      <w:r w:rsidRPr="00E668E7">
        <w:rPr>
          <w:rtl/>
        </w:rPr>
        <w:t>، و</w:t>
      </w:r>
      <w:r w:rsidRPr="00383CD5">
        <w:rPr>
          <w:rtl/>
        </w:rPr>
        <w:t>72</w:t>
      </w:r>
      <w:r>
        <w:rPr>
          <w:rFonts w:hint="cs"/>
          <w:rtl/>
        </w:rPr>
        <w:t>/</w:t>
      </w:r>
      <w:r w:rsidRPr="00383CD5">
        <w:rPr>
          <w:rtl/>
        </w:rPr>
        <w:t>190</w:t>
      </w:r>
      <w:r w:rsidRPr="00E668E7">
        <w:rPr>
          <w:rtl/>
        </w:rPr>
        <w:t>، و</w:t>
      </w:r>
      <w:r w:rsidRPr="00383CD5">
        <w:rPr>
          <w:rtl/>
        </w:rPr>
        <w:t>73</w:t>
      </w:r>
      <w:r>
        <w:rPr>
          <w:rFonts w:hint="cs"/>
          <w:rtl/>
        </w:rPr>
        <w:t>/</w:t>
      </w:r>
      <w:r w:rsidRPr="00383CD5">
        <w:rPr>
          <w:rtl/>
        </w:rPr>
        <w:t>263</w:t>
      </w:r>
      <w:r w:rsidRPr="00E668E7">
        <w:rPr>
          <w:rtl/>
        </w:rPr>
        <w:t>، و</w:t>
      </w:r>
      <w:r w:rsidRPr="00383CD5">
        <w:rPr>
          <w:rtl/>
        </w:rPr>
        <w:t>74</w:t>
      </w:r>
      <w:r>
        <w:rPr>
          <w:rFonts w:hint="cs"/>
          <w:rtl/>
        </w:rPr>
        <w:t>/</w:t>
      </w:r>
      <w:r w:rsidRPr="00383CD5">
        <w:rPr>
          <w:rtl/>
        </w:rPr>
        <w:t>168</w:t>
      </w:r>
      <w:r w:rsidRPr="00E668E7">
        <w:rPr>
          <w:rtl/>
        </w:rPr>
        <w:t>.</w:t>
      </w:r>
    </w:p>
  </w:footnote>
  <w:footnote w:id="24">
    <w:p w14:paraId="22F64591" w14:textId="638DA531" w:rsidR="00A40D09" w:rsidRPr="00921A30" w:rsidRDefault="00A40D09" w:rsidP="008D2FA2">
      <w:pPr>
        <w:pStyle w:val="FootnoteText1"/>
        <w:rPr>
          <w:rtl/>
        </w:rPr>
      </w:pPr>
      <w:r w:rsidRPr="00921A30">
        <w:rPr>
          <w:rtl/>
        </w:rPr>
        <w:t>(</w:t>
      </w:r>
      <w:r w:rsidRPr="00383CD5">
        <w:rPr>
          <w:rStyle w:val="FootnoteReference"/>
          <w:vertAlign w:val="baseline"/>
        </w:rPr>
        <w:footnoteRef/>
      </w:r>
      <w:r w:rsidRPr="00921A30">
        <w:rPr>
          <w:rtl/>
        </w:rPr>
        <w:t>)</w:t>
      </w:r>
      <w:r>
        <w:tab/>
      </w:r>
      <w:r w:rsidRPr="008D2FA2">
        <w:rPr>
          <w:rtl/>
        </w:rPr>
        <w:t>المرجع نفسه.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3678" w14:textId="492C2889" w:rsidR="00A40D09" w:rsidRPr="006451DA" w:rsidRDefault="00A40D09" w:rsidP="006451DA">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B6A9F">
      <w:t>CCPR/C/130/D/2727/2016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DF2B" w14:textId="4F2E7F3B" w:rsidR="00A40D09" w:rsidRPr="006451DA" w:rsidRDefault="00A40D09" w:rsidP="006451DA">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B6A9F">
      <w:t>CCPR/C/130/D/2727/2016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1A8A6311"/>
    <w:multiLevelType w:val="hybridMultilevel"/>
    <w:tmpl w:val="55005D04"/>
    <w:lvl w:ilvl="0" w:tplc="9F143040">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6F2CAE"/>
    <w:multiLevelType w:val="hybridMultilevel"/>
    <w:tmpl w:val="4810EE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6"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51FB2"/>
    <w:multiLevelType w:val="hybridMultilevel"/>
    <w:tmpl w:val="1584E2C0"/>
    <w:lvl w:ilvl="0" w:tplc="C67AAACE">
      <w:start w:val="1"/>
      <w:numFmt w:val="decimal"/>
      <w:lvlText w:val="%1-"/>
      <w:lvlJc w:val="left"/>
      <w:pPr>
        <w:ind w:left="576" w:hanging="360"/>
      </w:pPr>
      <w:rPr>
        <w:rFonts w:ascii="Times New Roman" w:hAnsiTheme="minorHAnsi" w:cs="Traditional Arabic"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0"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7"/>
  </w:num>
  <w:num w:numId="2">
    <w:abstractNumId w:val="14"/>
  </w:num>
  <w:num w:numId="3">
    <w:abstractNumId w:val="2"/>
  </w:num>
  <w:num w:numId="4">
    <w:abstractNumId w:val="13"/>
  </w:num>
  <w:num w:numId="5">
    <w:abstractNumId w:val="9"/>
  </w:num>
  <w:num w:numId="6">
    <w:abstractNumId w:val="6"/>
  </w:num>
  <w:num w:numId="7">
    <w:abstractNumId w:val="20"/>
  </w:num>
  <w:num w:numId="8">
    <w:abstractNumId w:val="2"/>
  </w:num>
  <w:num w:numId="9">
    <w:abstractNumId w:val="13"/>
  </w:num>
  <w:num w:numId="10">
    <w:abstractNumId w:val="6"/>
  </w:num>
  <w:num w:numId="11">
    <w:abstractNumId w:val="20"/>
  </w:num>
  <w:num w:numId="12">
    <w:abstractNumId w:val="2"/>
  </w:num>
  <w:num w:numId="13">
    <w:abstractNumId w:val="13"/>
  </w:num>
  <w:num w:numId="14">
    <w:abstractNumId w:val="9"/>
  </w:num>
  <w:num w:numId="15">
    <w:abstractNumId w:val="6"/>
  </w:num>
  <w:num w:numId="16">
    <w:abstractNumId w:val="20"/>
  </w:num>
  <w:num w:numId="17">
    <w:abstractNumId w:val="4"/>
  </w:num>
  <w:num w:numId="18">
    <w:abstractNumId w:val="3"/>
  </w:num>
  <w:num w:numId="19">
    <w:abstractNumId w:val="18"/>
  </w:num>
  <w:num w:numId="20">
    <w:abstractNumId w:val="15"/>
  </w:num>
  <w:num w:numId="21">
    <w:abstractNumId w:val="1"/>
  </w:num>
  <w:num w:numId="22">
    <w:abstractNumId w:val="16"/>
  </w:num>
  <w:num w:numId="23">
    <w:abstractNumId w:val="0"/>
  </w:num>
  <w:num w:numId="24">
    <w:abstractNumId w:val="10"/>
  </w:num>
  <w:num w:numId="25">
    <w:abstractNumId w:val="16"/>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8"/>
  </w:num>
  <w:num w:numId="31">
    <w:abstractNumId w:val="7"/>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7"/>
  </w:num>
  <w:num w:numId="33">
    <w:abstractNumId w:val="12"/>
    <w:lvlOverride w:ilvl="0">
      <w:lvl w:ilvl="0" w:tplc="0409000F">
        <w:start w:val="1"/>
        <w:numFmt w:val="decimal"/>
        <w:lvlText w:val="%1."/>
        <w:lvlJc w:val="left"/>
        <w:pPr>
          <w:ind w:left="1080" w:hanging="360"/>
        </w:pPr>
      </w:lvl>
    </w:lvlOverride>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06"/>
    <w:rsid w:val="000076D5"/>
    <w:rsid w:val="00043663"/>
    <w:rsid w:val="000437B8"/>
    <w:rsid w:val="00043C54"/>
    <w:rsid w:val="00044F67"/>
    <w:rsid w:val="000505CF"/>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7627F"/>
    <w:rsid w:val="00283D47"/>
    <w:rsid w:val="002901D9"/>
    <w:rsid w:val="002976C2"/>
    <w:rsid w:val="002F38CD"/>
    <w:rsid w:val="003068BC"/>
    <w:rsid w:val="003260FF"/>
    <w:rsid w:val="00343D95"/>
    <w:rsid w:val="00363A18"/>
    <w:rsid w:val="00374341"/>
    <w:rsid w:val="00383CD5"/>
    <w:rsid w:val="003B3D2F"/>
    <w:rsid w:val="003D1062"/>
    <w:rsid w:val="00402051"/>
    <w:rsid w:val="00403F20"/>
    <w:rsid w:val="00420D7B"/>
    <w:rsid w:val="00450B21"/>
    <w:rsid w:val="00453B63"/>
    <w:rsid w:val="00455780"/>
    <w:rsid w:val="0048006B"/>
    <w:rsid w:val="00491DBE"/>
    <w:rsid w:val="004B0A1C"/>
    <w:rsid w:val="004B27E0"/>
    <w:rsid w:val="004D298E"/>
    <w:rsid w:val="005044B3"/>
    <w:rsid w:val="00517BC9"/>
    <w:rsid w:val="0054472E"/>
    <w:rsid w:val="005662A9"/>
    <w:rsid w:val="005827D4"/>
    <w:rsid w:val="0058508B"/>
    <w:rsid w:val="0059622A"/>
    <w:rsid w:val="005B3E07"/>
    <w:rsid w:val="005B51C4"/>
    <w:rsid w:val="005B6A9F"/>
    <w:rsid w:val="005C0061"/>
    <w:rsid w:val="005C2BAA"/>
    <w:rsid w:val="005C5878"/>
    <w:rsid w:val="005C7CEA"/>
    <w:rsid w:val="005D3C0B"/>
    <w:rsid w:val="005E5217"/>
    <w:rsid w:val="005F0FA4"/>
    <w:rsid w:val="005F30EE"/>
    <w:rsid w:val="005F5271"/>
    <w:rsid w:val="0060473A"/>
    <w:rsid w:val="00617024"/>
    <w:rsid w:val="006451DA"/>
    <w:rsid w:val="00652221"/>
    <w:rsid w:val="0065224F"/>
    <w:rsid w:val="00656392"/>
    <w:rsid w:val="006645EC"/>
    <w:rsid w:val="0068781D"/>
    <w:rsid w:val="006959B0"/>
    <w:rsid w:val="006B3E27"/>
    <w:rsid w:val="006B6507"/>
    <w:rsid w:val="006C104C"/>
    <w:rsid w:val="006C632E"/>
    <w:rsid w:val="00714C00"/>
    <w:rsid w:val="00717FB3"/>
    <w:rsid w:val="00730446"/>
    <w:rsid w:val="00733704"/>
    <w:rsid w:val="0078071A"/>
    <w:rsid w:val="00787022"/>
    <w:rsid w:val="00787E1E"/>
    <w:rsid w:val="00800FB2"/>
    <w:rsid w:val="00852A9A"/>
    <w:rsid w:val="008D2FA2"/>
    <w:rsid w:val="008F49E1"/>
    <w:rsid w:val="0090370F"/>
    <w:rsid w:val="009269D2"/>
    <w:rsid w:val="00942135"/>
    <w:rsid w:val="009521B0"/>
    <w:rsid w:val="00957437"/>
    <w:rsid w:val="00982139"/>
    <w:rsid w:val="009867A8"/>
    <w:rsid w:val="00991F44"/>
    <w:rsid w:val="009A0CFB"/>
    <w:rsid w:val="009A7E9F"/>
    <w:rsid w:val="009C17EC"/>
    <w:rsid w:val="009D2F31"/>
    <w:rsid w:val="009E5018"/>
    <w:rsid w:val="00A03700"/>
    <w:rsid w:val="00A053F2"/>
    <w:rsid w:val="00A11B29"/>
    <w:rsid w:val="00A12B37"/>
    <w:rsid w:val="00A40D09"/>
    <w:rsid w:val="00A54828"/>
    <w:rsid w:val="00A97E1F"/>
    <w:rsid w:val="00AB512E"/>
    <w:rsid w:val="00AB6758"/>
    <w:rsid w:val="00AB727F"/>
    <w:rsid w:val="00B03AEC"/>
    <w:rsid w:val="00B13763"/>
    <w:rsid w:val="00B477A4"/>
    <w:rsid w:val="00B54045"/>
    <w:rsid w:val="00B63ADD"/>
    <w:rsid w:val="00B823BB"/>
    <w:rsid w:val="00BB09A0"/>
    <w:rsid w:val="00C175A6"/>
    <w:rsid w:val="00C41DCF"/>
    <w:rsid w:val="00C42AF7"/>
    <w:rsid w:val="00C438D7"/>
    <w:rsid w:val="00C62C20"/>
    <w:rsid w:val="00C81B50"/>
    <w:rsid w:val="00C902EF"/>
    <w:rsid w:val="00CB0011"/>
    <w:rsid w:val="00CB6622"/>
    <w:rsid w:val="00CC4669"/>
    <w:rsid w:val="00CD1801"/>
    <w:rsid w:val="00CF56F9"/>
    <w:rsid w:val="00CF65C6"/>
    <w:rsid w:val="00D00A89"/>
    <w:rsid w:val="00D07F49"/>
    <w:rsid w:val="00D10EF1"/>
    <w:rsid w:val="00D42810"/>
    <w:rsid w:val="00D57306"/>
    <w:rsid w:val="00D60DD5"/>
    <w:rsid w:val="00D914A7"/>
    <w:rsid w:val="00DC4D4B"/>
    <w:rsid w:val="00DD13C3"/>
    <w:rsid w:val="00DD596E"/>
    <w:rsid w:val="00DD621E"/>
    <w:rsid w:val="00DE50B1"/>
    <w:rsid w:val="00DF0138"/>
    <w:rsid w:val="00DF0575"/>
    <w:rsid w:val="00E0617F"/>
    <w:rsid w:val="00E1655C"/>
    <w:rsid w:val="00E2228E"/>
    <w:rsid w:val="00E4012E"/>
    <w:rsid w:val="00E668E7"/>
    <w:rsid w:val="00E70E04"/>
    <w:rsid w:val="00E77E6C"/>
    <w:rsid w:val="00E83ED5"/>
    <w:rsid w:val="00EC05A7"/>
    <w:rsid w:val="00EC4B6B"/>
    <w:rsid w:val="00EC68A5"/>
    <w:rsid w:val="00ED7442"/>
    <w:rsid w:val="00EF1EE5"/>
    <w:rsid w:val="00EF5C43"/>
    <w:rsid w:val="00F0515A"/>
    <w:rsid w:val="00F10DAB"/>
    <w:rsid w:val="00F46D42"/>
    <w:rsid w:val="00F51C5B"/>
    <w:rsid w:val="00F675E6"/>
    <w:rsid w:val="00F763B4"/>
    <w:rsid w:val="00F81912"/>
    <w:rsid w:val="00F900C3"/>
    <w:rsid w:val="00FB693E"/>
    <w:rsid w:val="00FC6EDD"/>
    <w:rsid w:val="00FD46E2"/>
    <w:rsid w:val="00FE502A"/>
    <w:rsid w:val="00FF2A2E"/>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AE6CE8D"/>
  <w15:docId w15:val="{762E7586-8F89-474D-A1D0-F90EC2EA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qFormat/>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468097">
      <w:bodyDiv w:val="1"/>
      <w:marLeft w:val="0"/>
      <w:marRight w:val="0"/>
      <w:marTop w:val="0"/>
      <w:marBottom w:val="0"/>
      <w:divBdr>
        <w:top w:val="none" w:sz="0" w:space="0" w:color="auto"/>
        <w:left w:val="none" w:sz="0" w:space="0" w:color="auto"/>
        <w:bottom w:val="none" w:sz="0" w:space="0" w:color="auto"/>
        <w:right w:val="none" w:sz="0" w:space="0" w:color="auto"/>
      </w:divBdr>
      <w:divsChild>
        <w:div w:id="542056401">
          <w:marLeft w:val="0"/>
          <w:marRight w:val="0"/>
          <w:marTop w:val="0"/>
          <w:marBottom w:val="0"/>
          <w:divBdr>
            <w:top w:val="none" w:sz="0" w:space="0" w:color="auto"/>
            <w:left w:val="none" w:sz="0" w:space="0" w:color="auto"/>
            <w:bottom w:val="none" w:sz="0" w:space="0" w:color="auto"/>
            <w:right w:val="none" w:sz="0" w:space="0" w:color="auto"/>
          </w:divBdr>
        </w:div>
      </w:divsChild>
    </w:div>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10</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CCPR/C/130/D/2727/2016</vt:lpstr>
    </vt:vector>
  </TitlesOfParts>
  <Company>DCM</Company>
  <LinksUpToDate>false</LinksUpToDate>
  <CharactersWithSpaces>22769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CCPR/C/130/D/2727/2016</dc:title>
  <dc:subject>GE.2105351(A)</dc:subject>
  <dc:creator>bah - NAB</dc:creator>
  <cp:keywords>GE.2109387(A)</cp:keywords>
  <dc:description>General_x000d_
_x000d_
Arabic_x000d_
English</dc:description>
  <cp:lastModifiedBy>Jamal Alkahlout</cp:lastModifiedBy>
  <cp:revision>4</cp:revision>
  <cp:lastPrinted>2021-05-10T10:23:00Z</cp:lastPrinted>
  <dcterms:created xsi:type="dcterms:W3CDTF">2021-05-10T10:42:00Z</dcterms:created>
  <dcterms:modified xsi:type="dcterms:W3CDTF">2021-05-10T12:11:00Z</dcterms:modified>
  <cp:category>Finale</cp:category>
</cp:coreProperties>
</file>