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3AD0BD0D" w14:textId="77777777" w:rsidTr="005B51C4">
        <w:trPr>
          <w:trHeight w:hRule="exact" w:val="851"/>
        </w:trPr>
        <w:tc>
          <w:tcPr>
            <w:tcW w:w="1274" w:type="dxa"/>
            <w:tcBorders>
              <w:bottom w:val="single" w:sz="4" w:space="0" w:color="auto"/>
            </w:tcBorders>
            <w:shd w:val="clear" w:color="auto" w:fill="auto"/>
          </w:tcPr>
          <w:p w14:paraId="0BF450BE" w14:textId="77777777" w:rsidR="006B3E27" w:rsidRPr="00C175A6" w:rsidRDefault="006B3E27" w:rsidP="00DB1E69">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36CA4651" w14:textId="77777777" w:rsidR="006B3E27" w:rsidRPr="00C175A6" w:rsidRDefault="006B3E27" w:rsidP="00C175A6">
            <w:pPr>
              <w:spacing w:after="80" w:line="480" w:lineRule="exact"/>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08F85B3C" w14:textId="77777777" w:rsidR="006B3E27" w:rsidRPr="006B21A5" w:rsidRDefault="006B21A5" w:rsidP="006B21A5">
            <w:pPr>
              <w:bidi w:val="0"/>
              <w:rPr>
                <w:szCs w:val="20"/>
              </w:rPr>
            </w:pPr>
            <w:r w:rsidRPr="006B21A5">
              <w:rPr>
                <w:sz w:val="40"/>
                <w:szCs w:val="20"/>
              </w:rPr>
              <w:t>CCPR</w:t>
            </w:r>
            <w:r>
              <w:rPr>
                <w:szCs w:val="20"/>
              </w:rPr>
              <w:t>/C/</w:t>
            </w:r>
            <w:r w:rsidRPr="00D212A8">
              <w:t>130</w:t>
            </w:r>
            <w:r>
              <w:rPr>
                <w:szCs w:val="20"/>
              </w:rPr>
              <w:t>/D/</w:t>
            </w:r>
            <w:r w:rsidRPr="00D212A8">
              <w:t>2918</w:t>
            </w:r>
            <w:r>
              <w:rPr>
                <w:szCs w:val="20"/>
              </w:rPr>
              <w:t>/</w:t>
            </w:r>
            <w:r w:rsidRPr="00D212A8">
              <w:t>2016</w:t>
            </w:r>
          </w:p>
        </w:tc>
      </w:tr>
      <w:tr w:rsidR="006B3E27" w:rsidRPr="00C175A6" w14:paraId="66518065" w14:textId="77777777" w:rsidTr="005B51C4">
        <w:trPr>
          <w:trHeight w:hRule="exact" w:val="2835"/>
        </w:trPr>
        <w:tc>
          <w:tcPr>
            <w:tcW w:w="1274" w:type="dxa"/>
            <w:tcBorders>
              <w:top w:val="single" w:sz="4" w:space="0" w:color="auto"/>
              <w:bottom w:val="single" w:sz="12" w:space="0" w:color="auto"/>
            </w:tcBorders>
            <w:shd w:val="clear" w:color="auto" w:fill="auto"/>
          </w:tcPr>
          <w:p w14:paraId="74F174A9"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51E8C049" wp14:editId="69257F58">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E156889" w14:textId="77777777" w:rsidR="006B3E27" w:rsidRPr="00C175A6" w:rsidRDefault="00ED7442" w:rsidP="00C175A6">
            <w:pPr>
              <w:spacing w:before="120" w:after="40" w:line="640" w:lineRule="exact"/>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46583466" w14:textId="77777777" w:rsidR="006B3E27" w:rsidRDefault="006B21A5" w:rsidP="004B27E0">
            <w:pPr>
              <w:bidi w:val="0"/>
              <w:spacing w:before="240"/>
              <w:rPr>
                <w:szCs w:val="20"/>
              </w:rPr>
            </w:pPr>
            <w:r>
              <w:rPr>
                <w:szCs w:val="20"/>
              </w:rPr>
              <w:t>Distr.: General</w:t>
            </w:r>
          </w:p>
          <w:p w14:paraId="40DF04CC" w14:textId="495F79BD" w:rsidR="006B21A5" w:rsidRDefault="00DF56F1" w:rsidP="006B21A5">
            <w:pPr>
              <w:bidi w:val="0"/>
              <w:spacing w:line="240" w:lineRule="exact"/>
              <w:jc w:val="left"/>
              <w:rPr>
                <w:szCs w:val="20"/>
              </w:rPr>
            </w:pPr>
            <w:r w:rsidRPr="000B0B96">
              <w:t>20 January 2021</w:t>
            </w:r>
          </w:p>
          <w:p w14:paraId="46C7D47C" w14:textId="77777777" w:rsidR="006B21A5" w:rsidRDefault="006B21A5" w:rsidP="006B21A5">
            <w:pPr>
              <w:bidi w:val="0"/>
              <w:spacing w:line="240" w:lineRule="exact"/>
              <w:jc w:val="left"/>
              <w:rPr>
                <w:szCs w:val="20"/>
              </w:rPr>
            </w:pPr>
            <w:r>
              <w:rPr>
                <w:szCs w:val="20"/>
              </w:rPr>
              <w:t>Arabic</w:t>
            </w:r>
          </w:p>
          <w:p w14:paraId="7B2F72BC" w14:textId="77777777" w:rsidR="006B21A5" w:rsidRPr="006B21A5" w:rsidRDefault="006B21A5" w:rsidP="006B21A5">
            <w:pPr>
              <w:bidi w:val="0"/>
              <w:spacing w:line="240" w:lineRule="exact"/>
              <w:jc w:val="left"/>
              <w:rPr>
                <w:szCs w:val="20"/>
              </w:rPr>
            </w:pPr>
            <w:r>
              <w:rPr>
                <w:szCs w:val="20"/>
              </w:rPr>
              <w:t>Original: English</w:t>
            </w:r>
          </w:p>
        </w:tc>
      </w:tr>
    </w:tbl>
    <w:p w14:paraId="7C474CD9" w14:textId="77777777" w:rsidR="004F2A82" w:rsidRPr="00DF56F1" w:rsidRDefault="004F2A82" w:rsidP="00DF56F1">
      <w:pPr>
        <w:spacing w:before="120" w:line="360" w:lineRule="exact"/>
        <w:textDirection w:val="tbRlV"/>
        <w:rPr>
          <w:b/>
          <w:sz w:val="28"/>
          <w:szCs w:val="28"/>
          <w:lang w:val="ar-SA" w:eastAsia="zh-TW" w:bidi="en-GB"/>
        </w:rPr>
      </w:pPr>
      <w:r w:rsidRPr="00DF56F1">
        <w:rPr>
          <w:b/>
          <w:bCs/>
          <w:sz w:val="28"/>
          <w:szCs w:val="28"/>
          <w:rtl/>
        </w:rPr>
        <w:t>اللجنة المعنية بحقوق الإنسان</w:t>
      </w:r>
    </w:p>
    <w:p w14:paraId="23F3F00E" w14:textId="6A4BFCE0" w:rsidR="004F2A82" w:rsidRPr="00DF56F1" w:rsidRDefault="004F2A82" w:rsidP="00D212A8">
      <w:pPr>
        <w:pStyle w:val="HChGA"/>
        <w:rPr>
          <w:lang w:val="en-US" w:eastAsia="zh-TW" w:bidi="en-GB"/>
        </w:rPr>
      </w:pPr>
      <w:r w:rsidRPr="00B06476">
        <w:rPr>
          <w:rtl/>
        </w:rPr>
        <w:tab/>
      </w:r>
      <w:r w:rsidRPr="00B06476">
        <w:rPr>
          <w:rtl/>
        </w:rPr>
        <w:tab/>
        <w:t xml:space="preserve">الآراء التي اعتمدتها اللجنة بموجب المادة </w:t>
      </w:r>
      <w:r w:rsidRPr="00D212A8">
        <w:rPr>
          <w:rtl/>
        </w:rPr>
        <w:t>5(4)</w:t>
      </w:r>
      <w:r w:rsidRPr="00B06476">
        <w:rPr>
          <w:rtl/>
        </w:rPr>
        <w:t xml:space="preserve"> من البروتوكول الاختياري، بشأن البلاغ رقم </w:t>
      </w:r>
      <w:r w:rsidRPr="00D212A8">
        <w:rPr>
          <w:rtl/>
        </w:rPr>
        <w:t>2918</w:t>
      </w:r>
      <w:r w:rsidRPr="00B06476">
        <w:rPr>
          <w:rFonts w:ascii="Traditional Arabic"/>
          <w:sz w:val="32"/>
          <w:szCs w:val="32"/>
          <w:rtl/>
        </w:rPr>
        <w:t>/</w:t>
      </w:r>
      <w:r w:rsidRPr="00D212A8">
        <w:rPr>
          <w:rtl/>
        </w:rPr>
        <w:t>2016</w:t>
      </w:r>
      <w:r w:rsidRPr="00230D11">
        <w:rPr>
          <w:rStyle w:val="FootnoteReference"/>
          <w:rFonts w:ascii="Traditional Arabic"/>
          <w:b w:val="0"/>
          <w:sz w:val="24"/>
          <w:szCs w:val="24"/>
          <w:vertAlign w:val="baseline"/>
          <w:rtl/>
        </w:rPr>
        <w:footnoteReference w:customMarkFollows="1" w:id="1"/>
        <w:t>*</w:t>
      </w:r>
      <w:r w:rsidR="00DF56F1" w:rsidRPr="00230D11">
        <w:rPr>
          <w:rStyle w:val="FootnoteReference"/>
          <w:rFonts w:ascii="Traditional Arabic"/>
          <w:b w:val="0"/>
          <w:sz w:val="24"/>
          <w:szCs w:val="24"/>
          <w:vertAlign w:val="baseline"/>
          <w:rtl/>
          <w:lang w:val="en-US"/>
        </w:rPr>
        <w:t xml:space="preserve"> </w:t>
      </w:r>
      <w:r w:rsidRPr="00230D11">
        <w:rPr>
          <w:rStyle w:val="FootnoteReference"/>
          <w:rFonts w:ascii="Traditional Arabic"/>
          <w:b w:val="0"/>
          <w:sz w:val="24"/>
          <w:szCs w:val="24"/>
          <w:vertAlign w:val="baseline"/>
          <w:rtl/>
        </w:rPr>
        <w:footnoteReference w:customMarkFollows="1" w:id="2"/>
        <w:t>**</w:t>
      </w:r>
      <w:r w:rsidR="00DF56F1" w:rsidRPr="00230D11">
        <w:rPr>
          <w:rStyle w:val="FootnoteReference"/>
          <w:rFonts w:ascii="Traditional Arabic"/>
          <w:b w:val="0"/>
          <w:sz w:val="24"/>
          <w:szCs w:val="24"/>
          <w:vertAlign w:val="baseline"/>
          <w:rtl/>
        </w:rPr>
        <w:t xml:space="preserve"> </w:t>
      </w:r>
      <w:r w:rsidRPr="00230D11">
        <w:rPr>
          <w:rStyle w:val="FootnoteReference"/>
          <w:rFonts w:ascii="Traditional Arabic"/>
          <w:b w:val="0"/>
          <w:sz w:val="24"/>
          <w:szCs w:val="24"/>
          <w:vertAlign w:val="baseline"/>
          <w:rtl/>
        </w:rPr>
        <w:footnoteReference w:customMarkFollows="1" w:id="3"/>
        <w:t>***</w:t>
      </w:r>
      <w:r w:rsidRPr="00230D11">
        <w:rPr>
          <w:sz w:val="24"/>
          <w:szCs w:val="24"/>
          <w:rtl/>
        </w:rPr>
        <w:t xml:space="preserve"> </w:t>
      </w:r>
    </w:p>
    <w:p w14:paraId="604D1177" w14:textId="77777777" w:rsidR="004F2A82" w:rsidRPr="00B06476" w:rsidRDefault="004F2A82" w:rsidP="00D212A8">
      <w:pPr>
        <w:pStyle w:val="SingleTxtGA"/>
        <w:tabs>
          <w:tab w:val="clear" w:pos="1928"/>
          <w:tab w:val="clear" w:pos="2608"/>
          <w:tab w:val="clear" w:pos="3289"/>
          <w:tab w:val="clear" w:pos="3969"/>
        </w:tabs>
        <w:ind w:left="4252" w:hanging="2324"/>
        <w:rPr>
          <w:szCs w:val="20"/>
          <w:lang w:val="ar-SA" w:eastAsia="zh-TW" w:bidi="en-GB"/>
        </w:rPr>
      </w:pPr>
      <w:r w:rsidRPr="00B06476">
        <w:rPr>
          <w:i/>
          <w:iCs/>
          <w:rtl/>
        </w:rPr>
        <w:t>بلاغ مقدم من:</w:t>
      </w:r>
      <w:r w:rsidRPr="00B06476">
        <w:rPr>
          <w:rtl/>
        </w:rPr>
        <w:tab/>
        <w:t xml:space="preserve">د. ز. </w:t>
      </w:r>
      <w:r w:rsidRPr="00D212A8">
        <w:rPr>
          <w:rtl/>
        </w:rPr>
        <w:t>(</w:t>
      </w:r>
      <w:r w:rsidRPr="00B06476">
        <w:rPr>
          <w:rtl/>
        </w:rPr>
        <w:t xml:space="preserve">يمثله المحامي جيمس أ. </w:t>
      </w:r>
      <w:proofErr w:type="spellStart"/>
      <w:r w:rsidRPr="00B06476">
        <w:rPr>
          <w:rtl/>
        </w:rPr>
        <w:t>غولدستون</w:t>
      </w:r>
      <w:proofErr w:type="spellEnd"/>
      <w:r w:rsidRPr="00B06476">
        <w:rPr>
          <w:rtl/>
        </w:rPr>
        <w:t xml:space="preserve"> من مبادرة العدالة في المجتمع المفتوح، ووالدته</w:t>
      </w:r>
      <w:r w:rsidRPr="00D212A8">
        <w:rPr>
          <w:rtl/>
        </w:rPr>
        <w:t>)</w:t>
      </w:r>
    </w:p>
    <w:p w14:paraId="07A3EDE8" w14:textId="77777777" w:rsidR="004F2A82" w:rsidRPr="00B06476" w:rsidRDefault="004F2A82" w:rsidP="00D212A8">
      <w:pPr>
        <w:pStyle w:val="SingleTxtGA"/>
        <w:tabs>
          <w:tab w:val="clear" w:pos="1928"/>
          <w:tab w:val="clear" w:pos="2608"/>
          <w:tab w:val="clear" w:pos="3289"/>
          <w:tab w:val="clear" w:pos="3969"/>
        </w:tabs>
        <w:ind w:left="4252" w:hanging="2324"/>
        <w:rPr>
          <w:szCs w:val="20"/>
          <w:lang w:val="ar-SA" w:eastAsia="zh-TW" w:bidi="en-GB"/>
        </w:rPr>
      </w:pPr>
      <w:r w:rsidRPr="00D212A8">
        <w:rPr>
          <w:i/>
          <w:iCs/>
          <w:rtl/>
        </w:rPr>
        <w:t>الشخص المدعى أنه ضحية:</w:t>
      </w:r>
      <w:r w:rsidRPr="00B06476">
        <w:rPr>
          <w:rtl/>
        </w:rPr>
        <w:tab/>
        <w:t xml:space="preserve">صاحب البلاغ </w:t>
      </w:r>
    </w:p>
    <w:p w14:paraId="36EA916F" w14:textId="31C094DE" w:rsidR="004F2A82" w:rsidRPr="00B06476" w:rsidRDefault="004F2A82" w:rsidP="00D212A8">
      <w:pPr>
        <w:pStyle w:val="SingleTxtGA"/>
        <w:tabs>
          <w:tab w:val="clear" w:pos="1928"/>
          <w:tab w:val="clear" w:pos="2608"/>
          <w:tab w:val="clear" w:pos="3289"/>
          <w:tab w:val="clear" w:pos="3969"/>
        </w:tabs>
        <w:ind w:left="4252" w:hanging="2324"/>
        <w:rPr>
          <w:szCs w:val="20"/>
          <w:lang w:val="ar-SA" w:eastAsia="zh-TW" w:bidi="en-GB"/>
        </w:rPr>
      </w:pPr>
      <w:r w:rsidRPr="00D212A8">
        <w:rPr>
          <w:i/>
          <w:iCs/>
          <w:rtl/>
        </w:rPr>
        <w:t>الدولة الطرف:</w:t>
      </w:r>
      <w:r w:rsidRPr="00B06476">
        <w:rPr>
          <w:rtl/>
        </w:rPr>
        <w:tab/>
        <w:t>هولندا</w:t>
      </w:r>
    </w:p>
    <w:p w14:paraId="5FDA12FC" w14:textId="77777777" w:rsidR="004F2A82" w:rsidRPr="00B06476" w:rsidRDefault="004F2A82" w:rsidP="00D212A8">
      <w:pPr>
        <w:pStyle w:val="SingleTxtGA"/>
        <w:tabs>
          <w:tab w:val="clear" w:pos="1928"/>
          <w:tab w:val="clear" w:pos="2608"/>
          <w:tab w:val="clear" w:pos="3289"/>
          <w:tab w:val="clear" w:pos="3969"/>
        </w:tabs>
        <w:ind w:left="4252" w:hanging="2324"/>
        <w:rPr>
          <w:szCs w:val="20"/>
          <w:lang w:val="ar-SA" w:eastAsia="zh-TW" w:bidi="en-GB"/>
        </w:rPr>
      </w:pPr>
      <w:r w:rsidRPr="00B06476">
        <w:rPr>
          <w:i/>
          <w:iCs/>
          <w:rtl/>
        </w:rPr>
        <w:t>تاريخ تقديم البلاغ:</w:t>
      </w:r>
      <w:r w:rsidRPr="00B06476">
        <w:rPr>
          <w:rtl/>
        </w:rPr>
        <w:tab/>
      </w:r>
      <w:r w:rsidRPr="00D212A8">
        <w:rPr>
          <w:rtl/>
        </w:rPr>
        <w:t>23</w:t>
      </w:r>
      <w:r w:rsidRPr="00B06476">
        <w:rPr>
          <w:rtl/>
        </w:rPr>
        <w:t xml:space="preserve"> تشرين الثاني/نوفمبر </w:t>
      </w:r>
      <w:r w:rsidRPr="00D212A8">
        <w:rPr>
          <w:rtl/>
        </w:rPr>
        <w:t>2016</w:t>
      </w:r>
      <w:r w:rsidRPr="00B06476">
        <w:rPr>
          <w:rFonts w:ascii="Traditional Arabic"/>
          <w:szCs w:val="20"/>
          <w:rtl/>
        </w:rPr>
        <w:t xml:space="preserve"> </w:t>
      </w:r>
      <w:r w:rsidRPr="00D212A8">
        <w:rPr>
          <w:rtl/>
        </w:rPr>
        <w:t>(</w:t>
      </w:r>
      <w:r w:rsidRPr="00B06476">
        <w:rPr>
          <w:rtl/>
        </w:rPr>
        <w:t>تاريخ الرسالة الأولى</w:t>
      </w:r>
      <w:r w:rsidRPr="00D212A8">
        <w:rPr>
          <w:rtl/>
        </w:rPr>
        <w:t>)</w:t>
      </w:r>
    </w:p>
    <w:p w14:paraId="4C172836" w14:textId="77777777" w:rsidR="004F2A82" w:rsidRPr="00B06476" w:rsidRDefault="004F2A82" w:rsidP="00D212A8">
      <w:pPr>
        <w:pStyle w:val="SingleTxtGA"/>
        <w:tabs>
          <w:tab w:val="clear" w:pos="1928"/>
          <w:tab w:val="clear" w:pos="2608"/>
          <w:tab w:val="clear" w:pos="3289"/>
          <w:tab w:val="clear" w:pos="3969"/>
        </w:tabs>
        <w:ind w:left="4252" w:hanging="2324"/>
        <w:rPr>
          <w:szCs w:val="20"/>
          <w:lang w:val="ar-SA" w:eastAsia="zh-TW" w:bidi="en-GB"/>
        </w:rPr>
      </w:pPr>
      <w:r w:rsidRPr="00B06476">
        <w:rPr>
          <w:i/>
          <w:iCs/>
          <w:rtl/>
        </w:rPr>
        <w:t>الوثائق المرجعية:</w:t>
      </w:r>
      <w:r w:rsidRPr="00B06476">
        <w:rPr>
          <w:rtl/>
        </w:rPr>
        <w:tab/>
        <w:t xml:space="preserve">القرار المتخذ عملاً بالمادة </w:t>
      </w:r>
      <w:r w:rsidRPr="00D212A8">
        <w:rPr>
          <w:rtl/>
        </w:rPr>
        <w:t>92</w:t>
      </w:r>
      <w:r w:rsidRPr="00B06476">
        <w:rPr>
          <w:rtl/>
        </w:rPr>
        <w:t xml:space="preserve"> من النظام الداخلي للجنة، والمحال إلى الدولة الطرف في </w:t>
      </w:r>
      <w:r w:rsidRPr="00D212A8">
        <w:rPr>
          <w:rtl/>
        </w:rPr>
        <w:t>28</w:t>
      </w:r>
      <w:r w:rsidRPr="00B06476">
        <w:rPr>
          <w:rtl/>
        </w:rPr>
        <w:t xml:space="preserve"> كانون الأول/ديسمبر </w:t>
      </w:r>
      <w:r w:rsidRPr="00D212A8">
        <w:rPr>
          <w:rtl/>
        </w:rPr>
        <w:t>2016</w:t>
      </w:r>
      <w:r w:rsidRPr="00B06476">
        <w:rPr>
          <w:rFonts w:ascii="Traditional Arabic"/>
          <w:szCs w:val="20"/>
          <w:rtl/>
        </w:rPr>
        <w:t xml:space="preserve"> </w:t>
      </w:r>
      <w:r w:rsidRPr="00D212A8">
        <w:rPr>
          <w:rtl/>
        </w:rPr>
        <w:t>(</w:t>
      </w:r>
      <w:r w:rsidRPr="00B06476">
        <w:rPr>
          <w:rtl/>
        </w:rPr>
        <w:t>لم يصدر في شكل وثيقة</w:t>
      </w:r>
      <w:r w:rsidRPr="00D212A8">
        <w:rPr>
          <w:rtl/>
        </w:rPr>
        <w:t>)</w:t>
      </w:r>
    </w:p>
    <w:p w14:paraId="2F6E7137" w14:textId="77777777" w:rsidR="004F2A82" w:rsidRPr="00B06476" w:rsidRDefault="004F2A82" w:rsidP="00D212A8">
      <w:pPr>
        <w:pStyle w:val="SingleTxtGA"/>
        <w:tabs>
          <w:tab w:val="clear" w:pos="1928"/>
          <w:tab w:val="clear" w:pos="2608"/>
          <w:tab w:val="clear" w:pos="3289"/>
          <w:tab w:val="clear" w:pos="3969"/>
        </w:tabs>
        <w:ind w:left="4252" w:hanging="2324"/>
        <w:rPr>
          <w:szCs w:val="20"/>
          <w:lang w:val="ar-SA" w:eastAsia="zh-TW" w:bidi="en-GB"/>
        </w:rPr>
      </w:pPr>
      <w:r w:rsidRPr="00B06476">
        <w:rPr>
          <w:i/>
          <w:iCs/>
          <w:rtl/>
        </w:rPr>
        <w:t>تاريخ اعتماد الآراء:</w:t>
      </w:r>
      <w:r w:rsidRPr="00B06476">
        <w:rPr>
          <w:rtl/>
        </w:rPr>
        <w:tab/>
      </w:r>
      <w:r w:rsidRPr="00D212A8">
        <w:rPr>
          <w:rtl/>
        </w:rPr>
        <w:t>19</w:t>
      </w:r>
      <w:r w:rsidRPr="00B06476">
        <w:rPr>
          <w:rtl/>
        </w:rPr>
        <w:t xml:space="preserve"> تشرين الأول/أكتوبر </w:t>
      </w:r>
      <w:r w:rsidRPr="00D212A8">
        <w:rPr>
          <w:rtl/>
        </w:rPr>
        <w:t>2020</w:t>
      </w:r>
    </w:p>
    <w:p w14:paraId="3AFA1D67" w14:textId="256957D9" w:rsidR="004F2A82" w:rsidRPr="00B06476" w:rsidRDefault="004F2A82" w:rsidP="00D212A8">
      <w:pPr>
        <w:pStyle w:val="SingleTxtGA"/>
        <w:tabs>
          <w:tab w:val="clear" w:pos="1928"/>
          <w:tab w:val="clear" w:pos="2608"/>
          <w:tab w:val="clear" w:pos="3289"/>
          <w:tab w:val="clear" w:pos="3969"/>
        </w:tabs>
        <w:ind w:left="4252" w:hanging="2324"/>
        <w:rPr>
          <w:iCs/>
          <w:szCs w:val="20"/>
          <w:lang w:val="ar-SA" w:eastAsia="zh-TW" w:bidi="en-GB"/>
        </w:rPr>
      </w:pPr>
      <w:r w:rsidRPr="00B06476">
        <w:rPr>
          <w:i/>
          <w:iCs/>
          <w:rtl/>
        </w:rPr>
        <w:t>الموضوع</w:t>
      </w:r>
      <w:r w:rsidR="00D212A8">
        <w:rPr>
          <w:rFonts w:hint="cs"/>
          <w:i/>
          <w:iCs/>
          <w:rtl/>
        </w:rPr>
        <w:t>:</w:t>
      </w:r>
      <w:r w:rsidRPr="00B06476">
        <w:rPr>
          <w:rtl/>
        </w:rPr>
        <w:tab/>
        <w:t>الحق في اكتساب الجنسية</w:t>
      </w:r>
    </w:p>
    <w:p w14:paraId="2846CAC4" w14:textId="424A55C7" w:rsidR="004F2A82" w:rsidRPr="00B06476" w:rsidRDefault="004F2A82" w:rsidP="00D212A8">
      <w:pPr>
        <w:pStyle w:val="SingleTxtGA"/>
        <w:tabs>
          <w:tab w:val="clear" w:pos="1928"/>
          <w:tab w:val="clear" w:pos="2608"/>
          <w:tab w:val="clear" w:pos="3289"/>
          <w:tab w:val="clear" w:pos="3969"/>
        </w:tabs>
        <w:ind w:left="4252" w:hanging="2324"/>
        <w:rPr>
          <w:iCs/>
          <w:szCs w:val="20"/>
          <w:lang w:val="ar-SA" w:eastAsia="zh-TW" w:bidi="en-GB"/>
        </w:rPr>
      </w:pPr>
      <w:r w:rsidRPr="00D212A8">
        <w:rPr>
          <w:i/>
          <w:iCs/>
          <w:rtl/>
        </w:rPr>
        <w:t>المسائل الإجرائية</w:t>
      </w:r>
      <w:r w:rsidR="00D212A8">
        <w:rPr>
          <w:rFonts w:hint="cs"/>
          <w:i/>
          <w:iCs/>
          <w:rtl/>
        </w:rPr>
        <w:t>:</w:t>
      </w:r>
      <w:r w:rsidRPr="00B06476">
        <w:rPr>
          <w:rtl/>
        </w:rPr>
        <w:tab/>
        <w:t>لا توجد</w:t>
      </w:r>
    </w:p>
    <w:p w14:paraId="3EDD8C95" w14:textId="77777777" w:rsidR="004F2A82" w:rsidRPr="00B06476" w:rsidRDefault="004F2A82" w:rsidP="00D212A8">
      <w:pPr>
        <w:pStyle w:val="SingleTxtGA"/>
        <w:tabs>
          <w:tab w:val="clear" w:pos="1928"/>
          <w:tab w:val="clear" w:pos="2608"/>
          <w:tab w:val="clear" w:pos="3289"/>
          <w:tab w:val="clear" w:pos="3969"/>
        </w:tabs>
        <w:ind w:left="4252" w:hanging="2324"/>
        <w:rPr>
          <w:szCs w:val="20"/>
          <w:lang w:val="ar-SA" w:eastAsia="zh-TW" w:bidi="en-GB"/>
        </w:rPr>
      </w:pPr>
      <w:r w:rsidRPr="00B06476">
        <w:rPr>
          <w:i/>
          <w:iCs/>
          <w:rtl/>
        </w:rPr>
        <w:t>المسائل الموضوعية:</w:t>
      </w:r>
      <w:r w:rsidRPr="00B06476">
        <w:rPr>
          <w:rtl/>
        </w:rPr>
        <w:tab/>
        <w:t>حق الطفل في اكتساب الجنسية؛ الحق في الحصول على سبيل انتصاف فعال</w:t>
      </w:r>
    </w:p>
    <w:p w14:paraId="5466FFA0" w14:textId="78ADB68B" w:rsidR="004F2A82" w:rsidRPr="0068608F" w:rsidRDefault="004F2A82" w:rsidP="00D212A8">
      <w:pPr>
        <w:pStyle w:val="SingleTxtGA"/>
        <w:tabs>
          <w:tab w:val="clear" w:pos="1928"/>
          <w:tab w:val="clear" w:pos="2608"/>
          <w:tab w:val="clear" w:pos="3289"/>
          <w:tab w:val="clear" w:pos="3969"/>
        </w:tabs>
        <w:ind w:left="4252" w:hanging="2324"/>
        <w:rPr>
          <w:iCs/>
          <w:szCs w:val="30"/>
          <w:lang w:val="ar-SA" w:eastAsia="zh-TW" w:bidi="en-GB"/>
        </w:rPr>
      </w:pPr>
      <w:r w:rsidRPr="00B06476">
        <w:rPr>
          <w:i/>
          <w:iCs/>
          <w:rtl/>
        </w:rPr>
        <w:t>مواد العهد:</w:t>
      </w:r>
      <w:r w:rsidRPr="00B06476">
        <w:rPr>
          <w:rtl/>
        </w:rPr>
        <w:tab/>
      </w:r>
      <w:r w:rsidRPr="00D212A8">
        <w:rPr>
          <w:rtl/>
        </w:rPr>
        <w:t>2(2)</w:t>
      </w:r>
      <w:r w:rsidRPr="0068608F">
        <w:rPr>
          <w:rtl/>
        </w:rPr>
        <w:t xml:space="preserve"> و</w:t>
      </w:r>
      <w:r w:rsidRPr="00D212A8">
        <w:rPr>
          <w:rtl/>
        </w:rPr>
        <w:t>(3)</w:t>
      </w:r>
      <w:r>
        <w:rPr>
          <w:rtl/>
        </w:rPr>
        <w:t>،</w:t>
      </w:r>
      <w:r w:rsidRPr="0068608F">
        <w:rPr>
          <w:rtl/>
        </w:rPr>
        <w:t xml:space="preserve"> و</w:t>
      </w:r>
      <w:r w:rsidRPr="00D212A8">
        <w:rPr>
          <w:rtl/>
        </w:rPr>
        <w:t>24</w:t>
      </w:r>
    </w:p>
    <w:p w14:paraId="0E69929E" w14:textId="77777777" w:rsidR="004F2A82" w:rsidRPr="0068608F" w:rsidRDefault="004F2A82" w:rsidP="00D212A8">
      <w:pPr>
        <w:pStyle w:val="SingleTxtGA"/>
        <w:tabs>
          <w:tab w:val="clear" w:pos="1928"/>
          <w:tab w:val="clear" w:pos="2608"/>
          <w:tab w:val="clear" w:pos="3289"/>
          <w:tab w:val="clear" w:pos="3969"/>
        </w:tabs>
        <w:ind w:left="4252" w:hanging="2324"/>
        <w:rPr>
          <w:sz w:val="30"/>
          <w:szCs w:val="30"/>
          <w:lang w:val="ar-SA" w:eastAsia="zh-TW" w:bidi="en-GB"/>
        </w:rPr>
      </w:pPr>
      <w:r w:rsidRPr="00D212A8">
        <w:rPr>
          <w:i/>
          <w:iCs/>
          <w:rtl/>
        </w:rPr>
        <w:t>مادة البروتوكول الاختياري:</w:t>
      </w:r>
      <w:r w:rsidRPr="00B06476">
        <w:rPr>
          <w:rtl/>
        </w:rPr>
        <w:tab/>
      </w:r>
      <w:r w:rsidRPr="00D212A8">
        <w:rPr>
          <w:rtl/>
        </w:rPr>
        <w:t>3</w:t>
      </w:r>
    </w:p>
    <w:p w14:paraId="032A63AF" w14:textId="032A7E94" w:rsidR="004F2A82" w:rsidRPr="0068608F" w:rsidRDefault="004F2A82" w:rsidP="00DF56F1">
      <w:pPr>
        <w:pStyle w:val="SingleTxtGA"/>
        <w:keepNext/>
        <w:keepLines/>
        <w:rPr>
          <w:szCs w:val="20"/>
          <w:lang w:val="fr-FR" w:eastAsia="zh-TW" w:bidi="en-GB"/>
        </w:rPr>
      </w:pPr>
      <w:r w:rsidRPr="00D212A8">
        <w:rPr>
          <w:rtl/>
        </w:rPr>
        <w:lastRenderedPageBreak/>
        <w:t>1</w:t>
      </w:r>
      <w:r w:rsidRPr="00FC769F">
        <w:rPr>
          <w:rtl/>
        </w:rPr>
        <w:t>-</w:t>
      </w:r>
      <w:r w:rsidR="00C47086">
        <w:rPr>
          <w:b/>
          <w:rtl/>
          <w:lang w:eastAsia="en-GB"/>
        </w:rPr>
        <w:tab/>
      </w:r>
      <w:r w:rsidRPr="00B06476">
        <w:rPr>
          <w:rtl/>
          <w:lang w:eastAsia="en-GB"/>
        </w:rPr>
        <w:t xml:space="preserve">صاحب البلاغ هو د. ز.، وهو مولود في </w:t>
      </w:r>
      <w:r w:rsidRPr="00D212A8">
        <w:rPr>
          <w:rtl/>
        </w:rPr>
        <w:t>18</w:t>
      </w:r>
      <w:r w:rsidRPr="00B06476">
        <w:rPr>
          <w:rtl/>
          <w:lang w:eastAsia="en-GB"/>
        </w:rPr>
        <w:t xml:space="preserve"> شباط/فبراير </w:t>
      </w:r>
      <w:r w:rsidRPr="00D212A8">
        <w:rPr>
          <w:rtl/>
        </w:rPr>
        <w:t>2010</w:t>
      </w:r>
      <w:r w:rsidRPr="00B06476">
        <w:rPr>
          <w:rtl/>
          <w:lang w:eastAsia="en-GB"/>
        </w:rPr>
        <w:t xml:space="preserve"> ولا يحمل جنسية معترف</w:t>
      </w:r>
      <w:r>
        <w:rPr>
          <w:rtl/>
          <w:lang w:eastAsia="en-GB"/>
        </w:rPr>
        <w:t>اً</w:t>
      </w:r>
      <w:r w:rsidRPr="00B06476">
        <w:rPr>
          <w:rtl/>
          <w:lang w:eastAsia="en-GB"/>
        </w:rPr>
        <w:t xml:space="preserve"> بها. و</w:t>
      </w:r>
      <w:r>
        <w:rPr>
          <w:rtl/>
          <w:lang w:eastAsia="en-GB"/>
        </w:rPr>
        <w:t xml:space="preserve">هو </w:t>
      </w:r>
      <w:r w:rsidRPr="00B06476">
        <w:rPr>
          <w:rtl/>
          <w:lang w:eastAsia="en-GB"/>
        </w:rPr>
        <w:t xml:space="preserve">يدعي أن الدولة الطرف، بتسجيل جنسيته في خانة "غير معروفة" لدى سلطاتها منذ ولادته، وحرمانه أي أمل في اكتساب جنسية، قد انتهكت حقوقه المنصوص عليها في </w:t>
      </w:r>
      <w:r w:rsidRPr="0068608F">
        <w:rPr>
          <w:sz w:val="30"/>
          <w:rtl/>
          <w:lang w:eastAsia="en-GB"/>
        </w:rPr>
        <w:t xml:space="preserve">المادة </w:t>
      </w:r>
      <w:r w:rsidRPr="00D212A8">
        <w:rPr>
          <w:rtl/>
        </w:rPr>
        <w:t>24</w:t>
      </w:r>
      <w:r w:rsidRPr="00B06476">
        <w:rPr>
          <w:rtl/>
          <w:lang w:eastAsia="en-GB"/>
        </w:rPr>
        <w:t xml:space="preserve">، مقروءة لوحدها وبالاقتران مع </w:t>
      </w:r>
      <w:r w:rsidRPr="0068608F">
        <w:rPr>
          <w:sz w:val="30"/>
          <w:rtl/>
          <w:lang w:eastAsia="en-GB"/>
        </w:rPr>
        <w:t xml:space="preserve">المادة </w:t>
      </w:r>
      <w:r w:rsidRPr="00D212A8">
        <w:rPr>
          <w:rtl/>
        </w:rPr>
        <w:t>2(2)</w:t>
      </w:r>
      <w:r w:rsidRPr="0068608F">
        <w:rPr>
          <w:sz w:val="30"/>
          <w:rtl/>
          <w:lang w:eastAsia="en-GB"/>
        </w:rPr>
        <w:t xml:space="preserve"> و</w:t>
      </w:r>
      <w:r w:rsidRPr="00D212A8">
        <w:rPr>
          <w:rtl/>
        </w:rPr>
        <w:t>(3)</w:t>
      </w:r>
      <w:r w:rsidRPr="00B06476">
        <w:rPr>
          <w:rtl/>
          <w:lang w:eastAsia="en-GB"/>
        </w:rPr>
        <w:t xml:space="preserve"> من العهد. ودخل البروتوكول الاختياري حيز النفاذ بالنسبة </w:t>
      </w:r>
      <w:r>
        <w:rPr>
          <w:rtl/>
          <w:lang w:eastAsia="en-GB"/>
        </w:rPr>
        <w:t>إلى ا</w:t>
      </w:r>
      <w:r w:rsidRPr="00B06476">
        <w:rPr>
          <w:rtl/>
          <w:lang w:eastAsia="en-GB"/>
        </w:rPr>
        <w:t>لدولة الطرف في</w:t>
      </w:r>
      <w:r w:rsidR="00C17A63">
        <w:rPr>
          <w:rFonts w:hint="cs"/>
          <w:rtl/>
          <w:lang w:eastAsia="en-GB"/>
        </w:rPr>
        <w:t> </w:t>
      </w:r>
      <w:r w:rsidRPr="00D212A8">
        <w:rPr>
          <w:rtl/>
        </w:rPr>
        <w:t>11</w:t>
      </w:r>
      <w:r w:rsidRPr="00B06476">
        <w:rPr>
          <w:rtl/>
          <w:lang w:eastAsia="en-GB"/>
        </w:rPr>
        <w:t xml:space="preserve"> آذار/مارس </w:t>
      </w:r>
      <w:r w:rsidRPr="00D212A8">
        <w:rPr>
          <w:rtl/>
        </w:rPr>
        <w:t>1979</w:t>
      </w:r>
      <w:r w:rsidRPr="00B06476">
        <w:rPr>
          <w:rFonts w:ascii="Traditional Arabic"/>
          <w:szCs w:val="20"/>
          <w:rtl/>
          <w:lang w:eastAsia="en-GB"/>
        </w:rPr>
        <w:t>.</w:t>
      </w:r>
      <w:r w:rsidRPr="00B06476">
        <w:rPr>
          <w:rtl/>
          <w:lang w:eastAsia="en-GB"/>
        </w:rPr>
        <w:t xml:space="preserve"> ويمثّل محام صاحبَ البلاغ ووالدته.</w:t>
      </w:r>
    </w:p>
    <w:p w14:paraId="0C3EF177" w14:textId="77777777" w:rsidR="004F2A82" w:rsidRPr="00B06476" w:rsidRDefault="004F2A82" w:rsidP="00C47086">
      <w:pPr>
        <w:pStyle w:val="H23GA"/>
        <w:rPr>
          <w:szCs w:val="20"/>
          <w:lang w:val="ar-SA" w:eastAsia="zh-TW" w:bidi="en-GB"/>
        </w:rPr>
      </w:pPr>
      <w:r w:rsidRPr="00B06476">
        <w:rPr>
          <w:rtl/>
        </w:rPr>
        <w:tab/>
      </w:r>
      <w:r w:rsidRPr="00B06476">
        <w:rPr>
          <w:rtl/>
        </w:rPr>
        <w:tab/>
        <w:t>الوقائع كما عرضها صاحب البلاغ</w:t>
      </w:r>
    </w:p>
    <w:p w14:paraId="65C2213F" w14:textId="299D9E03" w:rsidR="004F2A82" w:rsidRPr="00B06476" w:rsidRDefault="004F2A82" w:rsidP="00C47086">
      <w:pPr>
        <w:pStyle w:val="SingleTxtGA"/>
        <w:rPr>
          <w:szCs w:val="20"/>
          <w:lang w:val="ar-SA" w:eastAsia="zh-TW" w:bidi="en-GB"/>
        </w:rPr>
      </w:pPr>
      <w:r w:rsidRPr="00D212A8">
        <w:rPr>
          <w:rtl/>
        </w:rPr>
        <w:t>2</w:t>
      </w:r>
      <w:r w:rsidRPr="00FC769F">
        <w:rPr>
          <w:rtl/>
        </w:rPr>
        <w:t>-</w:t>
      </w:r>
      <w:r w:rsidRPr="00D212A8">
        <w:rPr>
          <w:rtl/>
        </w:rPr>
        <w:t>1</w:t>
      </w:r>
      <w:r w:rsidRPr="00B06476">
        <w:rPr>
          <w:rtl/>
          <w:lang w:eastAsia="en-GB"/>
        </w:rPr>
        <w:tab/>
        <w:t xml:space="preserve">وُلدت والدة صاحب البلاغ في الصين في عام </w:t>
      </w:r>
      <w:r w:rsidRPr="00D212A8">
        <w:rPr>
          <w:rtl/>
        </w:rPr>
        <w:t>1989</w:t>
      </w:r>
      <w:r w:rsidRPr="00B06476">
        <w:rPr>
          <w:rtl/>
          <w:lang w:eastAsia="en-GB"/>
        </w:rPr>
        <w:t xml:space="preserve">، لكن ولادتها لم تُسجل في سجلات </w:t>
      </w:r>
      <w:r>
        <w:rPr>
          <w:rtl/>
          <w:lang w:eastAsia="en-GB"/>
        </w:rPr>
        <w:t>الأحوال</w:t>
      </w:r>
      <w:r w:rsidRPr="00B06476">
        <w:rPr>
          <w:rtl/>
          <w:lang w:eastAsia="en-GB"/>
        </w:rPr>
        <w:t xml:space="preserve"> المدنية في ذلك البلد. </w:t>
      </w:r>
      <w:r>
        <w:rPr>
          <w:rtl/>
          <w:lang w:eastAsia="en-GB"/>
        </w:rPr>
        <w:t>ويُنفَّذ هذا</w:t>
      </w:r>
      <w:r w:rsidRPr="00B06476">
        <w:rPr>
          <w:rtl/>
          <w:lang w:eastAsia="en-GB"/>
        </w:rPr>
        <w:t xml:space="preserve"> التسجيل وتُنشأ الحالة المدنية للمولود بإدراجه في سجل الأسر المعيشية. و</w:t>
      </w:r>
      <w:r>
        <w:rPr>
          <w:rtl/>
          <w:lang w:eastAsia="en-GB"/>
        </w:rPr>
        <w:t xml:space="preserve">يشكل </w:t>
      </w:r>
      <w:r w:rsidRPr="00B06476">
        <w:rPr>
          <w:rtl/>
          <w:lang w:eastAsia="en-GB"/>
        </w:rPr>
        <w:t xml:space="preserve">تسجيل الأسر المعيشية </w:t>
      </w:r>
      <w:r w:rsidRPr="00D212A8">
        <w:rPr>
          <w:rtl/>
        </w:rPr>
        <w:t>(</w:t>
      </w:r>
      <w:proofErr w:type="spellStart"/>
      <w:r w:rsidRPr="00B06476">
        <w:rPr>
          <w:i/>
          <w:iCs/>
          <w:rtl/>
          <w:lang w:eastAsia="en-GB"/>
        </w:rPr>
        <w:t>هوكو</w:t>
      </w:r>
      <w:proofErr w:type="spellEnd"/>
      <w:r>
        <w:rPr>
          <w:rtl/>
          <w:lang w:eastAsia="en-GB"/>
        </w:rPr>
        <w:t xml:space="preserve">: </w:t>
      </w:r>
      <w:r w:rsidRPr="000B0B96">
        <w:rPr>
          <w:i/>
          <w:iCs/>
        </w:rPr>
        <w:t>hukou</w:t>
      </w:r>
      <w:r w:rsidRPr="00D212A8">
        <w:rPr>
          <w:rtl/>
        </w:rPr>
        <w:t>)</w:t>
      </w:r>
      <w:r w:rsidRPr="00B06476">
        <w:rPr>
          <w:rtl/>
          <w:lang w:eastAsia="en-GB"/>
        </w:rPr>
        <w:t xml:space="preserve"> شرط</w:t>
      </w:r>
      <w:r>
        <w:rPr>
          <w:rtl/>
          <w:lang w:eastAsia="en-GB"/>
        </w:rPr>
        <w:t>اً</w:t>
      </w:r>
      <w:r w:rsidRPr="00B06476">
        <w:rPr>
          <w:rtl/>
          <w:lang w:eastAsia="en-GB"/>
        </w:rPr>
        <w:t xml:space="preserve"> أساس</w:t>
      </w:r>
      <w:r>
        <w:rPr>
          <w:rtl/>
          <w:lang w:eastAsia="en-GB"/>
        </w:rPr>
        <w:t>ياً</w:t>
      </w:r>
      <w:r w:rsidRPr="00B06476">
        <w:rPr>
          <w:rtl/>
          <w:lang w:eastAsia="en-GB"/>
        </w:rPr>
        <w:t xml:space="preserve"> للحصول على الخدمات العامة</w:t>
      </w:r>
      <w:r w:rsidR="00831949">
        <w:rPr>
          <w:b/>
          <w:sz w:val="18"/>
          <w:vertAlign w:val="superscript"/>
          <w:rtl/>
          <w:lang w:eastAsia="en-GB"/>
        </w:rPr>
        <w:t>(</w:t>
      </w:r>
      <w:r w:rsidR="00831949" w:rsidRPr="001105AE">
        <w:rPr>
          <w:b/>
          <w:sz w:val="18"/>
          <w:vertAlign w:val="superscript"/>
          <w:rtl/>
          <w:lang w:eastAsia="en-GB"/>
        </w:rPr>
        <w:footnoteReference w:id="4"/>
      </w:r>
      <w:r w:rsidR="00831949">
        <w:rPr>
          <w:b/>
          <w:sz w:val="18"/>
          <w:vertAlign w:val="superscript"/>
          <w:rtl/>
          <w:lang w:eastAsia="en-GB"/>
        </w:rPr>
        <w:t>)</w:t>
      </w:r>
      <w:r w:rsidR="001105AE">
        <w:rPr>
          <w:rFonts w:hint="cs"/>
          <w:rtl/>
          <w:lang w:eastAsia="en-GB"/>
        </w:rPr>
        <w:t>.</w:t>
      </w:r>
      <w:r w:rsidRPr="00B06476">
        <w:rPr>
          <w:rtl/>
          <w:lang w:eastAsia="en-GB"/>
        </w:rPr>
        <w:t xml:space="preserve"> وبعد ولادة شقيقها بعد بضع سنوات</w:t>
      </w:r>
      <w:r>
        <w:rPr>
          <w:rtl/>
          <w:lang w:eastAsia="en-GB"/>
        </w:rPr>
        <w:t xml:space="preserve"> من ذلك</w:t>
      </w:r>
      <w:r w:rsidRPr="00B06476">
        <w:rPr>
          <w:rtl/>
          <w:lang w:eastAsia="en-GB"/>
        </w:rPr>
        <w:t>، تخلى والداها عنها.</w:t>
      </w:r>
    </w:p>
    <w:p w14:paraId="63825580" w14:textId="3B94F5D6" w:rsidR="004F2A82" w:rsidRPr="0068608F" w:rsidRDefault="004F2A82" w:rsidP="004F2A82">
      <w:pPr>
        <w:pStyle w:val="SingleTxtGA"/>
        <w:rPr>
          <w:szCs w:val="20"/>
          <w:lang w:val="fr-FR" w:eastAsia="zh-TW" w:bidi="en-GB"/>
        </w:rPr>
      </w:pPr>
      <w:r w:rsidRPr="00D212A8">
        <w:rPr>
          <w:rtl/>
        </w:rPr>
        <w:t>2</w:t>
      </w:r>
      <w:r w:rsidRPr="00FC769F">
        <w:rPr>
          <w:rtl/>
        </w:rPr>
        <w:t>-</w:t>
      </w:r>
      <w:r w:rsidRPr="00D212A8">
        <w:rPr>
          <w:rtl/>
        </w:rPr>
        <w:t>2</w:t>
      </w:r>
      <w:r w:rsidRPr="00B06476">
        <w:rPr>
          <w:rtl/>
          <w:lang w:eastAsia="en-GB"/>
        </w:rPr>
        <w:tab/>
        <w:t>و</w:t>
      </w:r>
      <w:r>
        <w:rPr>
          <w:rtl/>
          <w:lang w:eastAsia="en-GB"/>
        </w:rPr>
        <w:t xml:space="preserve">نظراً إلى كون </w:t>
      </w:r>
      <w:r w:rsidRPr="00B06476">
        <w:rPr>
          <w:rtl/>
          <w:lang w:eastAsia="en-GB"/>
        </w:rPr>
        <w:t xml:space="preserve">والدة صاحب البلاغ غير مسجلة في سجل </w:t>
      </w:r>
      <w:r>
        <w:rPr>
          <w:rtl/>
          <w:lang w:eastAsia="en-GB"/>
        </w:rPr>
        <w:t>الأحوال</w:t>
      </w:r>
      <w:r w:rsidRPr="00B06476">
        <w:rPr>
          <w:rtl/>
          <w:lang w:eastAsia="en-GB"/>
        </w:rPr>
        <w:t xml:space="preserve"> المدنية في الصين، </w:t>
      </w:r>
      <w:r>
        <w:rPr>
          <w:rtl/>
          <w:lang w:eastAsia="en-GB"/>
        </w:rPr>
        <w:t xml:space="preserve">فإنها </w:t>
      </w:r>
      <w:r w:rsidRPr="00B06476">
        <w:rPr>
          <w:rtl/>
          <w:lang w:eastAsia="en-GB"/>
        </w:rPr>
        <w:t>لم</w:t>
      </w:r>
      <w:r w:rsidR="00C17A63">
        <w:rPr>
          <w:rFonts w:hint="cs"/>
          <w:rtl/>
          <w:lang w:eastAsia="en-GB"/>
        </w:rPr>
        <w:t> </w:t>
      </w:r>
      <w:r w:rsidRPr="00B06476">
        <w:rPr>
          <w:rtl/>
          <w:lang w:eastAsia="en-GB"/>
        </w:rPr>
        <w:t>تتمكن من الحصول على</w:t>
      </w:r>
      <w:r>
        <w:rPr>
          <w:rtl/>
          <w:lang w:eastAsia="en-GB"/>
        </w:rPr>
        <w:t xml:space="preserve"> ما يثبت </w:t>
      </w:r>
      <w:r w:rsidRPr="00B06476">
        <w:rPr>
          <w:rtl/>
          <w:lang w:eastAsia="en-GB"/>
        </w:rPr>
        <w:t>جنسيتها الصينية</w:t>
      </w:r>
      <w:r>
        <w:rPr>
          <w:rtl/>
          <w:lang w:eastAsia="en-GB"/>
        </w:rPr>
        <w:t xml:space="preserve">. فهي </w:t>
      </w:r>
      <w:r w:rsidRPr="00B06476">
        <w:rPr>
          <w:rtl/>
          <w:lang w:eastAsia="en-GB"/>
        </w:rPr>
        <w:t>لا تحمل أي وثائق تثبت هويتها. وفي عام</w:t>
      </w:r>
      <w:r w:rsidR="00C17A63">
        <w:rPr>
          <w:rFonts w:hint="cs"/>
          <w:rtl/>
          <w:lang w:eastAsia="en-GB"/>
        </w:rPr>
        <w:t> </w:t>
      </w:r>
      <w:r w:rsidRPr="00D212A8">
        <w:rPr>
          <w:rtl/>
        </w:rPr>
        <w:t>2004</w:t>
      </w:r>
      <w:r w:rsidRPr="00B06476">
        <w:rPr>
          <w:rtl/>
          <w:lang w:eastAsia="en-GB"/>
        </w:rPr>
        <w:t xml:space="preserve">، وقعت ضحية للمتاجرين بالأشخاص وهي في سن الخامسة عشرة حين </w:t>
      </w:r>
      <w:r>
        <w:rPr>
          <w:rtl/>
          <w:lang w:eastAsia="en-GB"/>
        </w:rPr>
        <w:t>هُرّبت</w:t>
      </w:r>
      <w:r w:rsidRPr="00B06476">
        <w:rPr>
          <w:rtl/>
          <w:lang w:eastAsia="en-GB"/>
        </w:rPr>
        <w:t xml:space="preserve"> إلى هولندا، لكنها تمكنت من الفرار عندما وصلت إلى مطار </w:t>
      </w:r>
      <w:proofErr w:type="spellStart"/>
      <w:r w:rsidRPr="00B06476">
        <w:rPr>
          <w:rtl/>
          <w:lang w:eastAsia="en-GB"/>
        </w:rPr>
        <w:t>سخيبهول</w:t>
      </w:r>
      <w:proofErr w:type="spellEnd"/>
      <w:r w:rsidRPr="00B06476">
        <w:rPr>
          <w:rtl/>
          <w:lang w:eastAsia="en-GB"/>
        </w:rPr>
        <w:t xml:space="preserve"> في أمستردام. </w:t>
      </w:r>
      <w:r>
        <w:rPr>
          <w:rtl/>
          <w:lang w:eastAsia="en-GB"/>
        </w:rPr>
        <w:t>و</w:t>
      </w:r>
      <w:r w:rsidRPr="00B06476">
        <w:rPr>
          <w:rtl/>
          <w:lang w:eastAsia="en-GB"/>
        </w:rPr>
        <w:t xml:space="preserve">في </w:t>
      </w:r>
      <w:r w:rsidRPr="00D212A8">
        <w:rPr>
          <w:rtl/>
        </w:rPr>
        <w:t>8</w:t>
      </w:r>
      <w:r w:rsidRPr="00B06476">
        <w:rPr>
          <w:rtl/>
          <w:lang w:eastAsia="en-GB"/>
        </w:rPr>
        <w:t xml:space="preserve"> آب/أغسطس </w:t>
      </w:r>
      <w:r w:rsidRPr="00D212A8">
        <w:rPr>
          <w:rtl/>
        </w:rPr>
        <w:t>2004</w:t>
      </w:r>
      <w:r>
        <w:rPr>
          <w:rtl/>
          <w:lang w:eastAsia="en-GB"/>
        </w:rPr>
        <w:t xml:space="preserve">، </w:t>
      </w:r>
      <w:r w:rsidRPr="00B06476">
        <w:rPr>
          <w:rtl/>
          <w:lang w:eastAsia="en-GB"/>
        </w:rPr>
        <w:t xml:space="preserve">قدمت طلباً للجوء لكنه رُفض في </w:t>
      </w:r>
      <w:r w:rsidRPr="00D212A8">
        <w:rPr>
          <w:rtl/>
        </w:rPr>
        <w:t>25</w:t>
      </w:r>
      <w:r w:rsidRPr="00B06476">
        <w:rPr>
          <w:rtl/>
          <w:lang w:eastAsia="en-GB"/>
        </w:rPr>
        <w:t xml:space="preserve"> آب/أغسطس </w:t>
      </w:r>
      <w:r w:rsidRPr="00D212A8">
        <w:rPr>
          <w:rtl/>
        </w:rPr>
        <w:t>2004</w:t>
      </w:r>
      <w:r>
        <w:rPr>
          <w:rtl/>
          <w:lang w:eastAsia="en-GB"/>
        </w:rPr>
        <w:t xml:space="preserve">. </w:t>
      </w:r>
      <w:r w:rsidRPr="00B06476">
        <w:rPr>
          <w:rtl/>
          <w:lang w:eastAsia="en-GB"/>
        </w:rPr>
        <w:t>وأيّدت محكمة الاستئناف هذا القر</w:t>
      </w:r>
      <w:r w:rsidRPr="0068608F">
        <w:rPr>
          <w:sz w:val="30"/>
          <w:rtl/>
          <w:lang w:eastAsia="en-GB"/>
        </w:rPr>
        <w:t>ار. وفي عام</w:t>
      </w:r>
      <w:r w:rsidR="002B31D1">
        <w:rPr>
          <w:rFonts w:hint="cs"/>
          <w:sz w:val="30"/>
          <w:rtl/>
          <w:lang w:eastAsia="en-GB"/>
        </w:rPr>
        <w:t> </w:t>
      </w:r>
      <w:r w:rsidRPr="00D212A8">
        <w:rPr>
          <w:rtl/>
        </w:rPr>
        <w:t>2006</w:t>
      </w:r>
      <w:r w:rsidRPr="00B06476">
        <w:rPr>
          <w:rtl/>
          <w:lang w:eastAsia="en-GB"/>
        </w:rPr>
        <w:t xml:space="preserve">، أُجبرت على ممارسة البغاء. وتمكنت في نهاية المطاف من الفرار؛ وفي </w:t>
      </w:r>
      <w:r w:rsidRPr="00D212A8">
        <w:rPr>
          <w:rtl/>
        </w:rPr>
        <w:t>20</w:t>
      </w:r>
      <w:r w:rsidRPr="00B06476">
        <w:rPr>
          <w:rtl/>
          <w:lang w:eastAsia="en-GB"/>
        </w:rPr>
        <w:t xml:space="preserve"> آذار/</w:t>
      </w:r>
      <w:r w:rsidR="002B31D1">
        <w:rPr>
          <w:rFonts w:hint="cs"/>
          <w:rtl/>
          <w:lang w:eastAsia="en-GB"/>
        </w:rPr>
        <w:t xml:space="preserve"> </w:t>
      </w:r>
      <w:r w:rsidRPr="00B06476">
        <w:rPr>
          <w:rtl/>
          <w:lang w:eastAsia="en-GB"/>
        </w:rPr>
        <w:t>مارس</w:t>
      </w:r>
      <w:r w:rsidR="002B31D1">
        <w:rPr>
          <w:rFonts w:hint="cs"/>
          <w:rtl/>
          <w:lang w:eastAsia="en-GB"/>
        </w:rPr>
        <w:t> </w:t>
      </w:r>
      <w:r w:rsidRPr="00D212A8">
        <w:rPr>
          <w:rtl/>
        </w:rPr>
        <w:t>2008</w:t>
      </w:r>
      <w:r w:rsidRPr="00B06476">
        <w:rPr>
          <w:rtl/>
          <w:lang w:eastAsia="en-GB"/>
        </w:rPr>
        <w:t xml:space="preserve"> أبلغت الشرطة الهولندية بأنها كانت ضحية </w:t>
      </w:r>
      <w:r>
        <w:rPr>
          <w:rtl/>
          <w:lang w:eastAsia="en-GB"/>
        </w:rPr>
        <w:t>ل</w:t>
      </w:r>
      <w:r w:rsidRPr="00B06476">
        <w:rPr>
          <w:rtl/>
          <w:lang w:eastAsia="en-GB"/>
        </w:rPr>
        <w:t>لاتجار بالبشر. واستمر التحقيق في بغائها القسري لأكثر من عام،</w:t>
      </w:r>
      <w:r w:rsidR="00D212A8">
        <w:rPr>
          <w:rtl/>
          <w:lang w:eastAsia="en-GB"/>
        </w:rPr>
        <w:t xml:space="preserve"> </w:t>
      </w:r>
      <w:r w:rsidRPr="00B06476">
        <w:rPr>
          <w:rtl/>
          <w:lang w:eastAsia="en-GB"/>
        </w:rPr>
        <w:t xml:space="preserve">لكن التحقيق أُغلق في </w:t>
      </w:r>
      <w:r w:rsidRPr="00D212A8">
        <w:rPr>
          <w:rtl/>
        </w:rPr>
        <w:t>28</w:t>
      </w:r>
      <w:r w:rsidRPr="00B06476">
        <w:rPr>
          <w:rtl/>
          <w:lang w:eastAsia="en-GB"/>
        </w:rPr>
        <w:t xml:space="preserve"> أيار/مايو </w:t>
      </w:r>
      <w:r w:rsidRPr="00D212A8">
        <w:rPr>
          <w:rtl/>
        </w:rPr>
        <w:t>2009</w:t>
      </w:r>
      <w:r w:rsidRPr="00B06476">
        <w:rPr>
          <w:rtl/>
          <w:lang w:eastAsia="en-GB"/>
        </w:rPr>
        <w:t xml:space="preserve"> </w:t>
      </w:r>
      <w:r>
        <w:rPr>
          <w:rtl/>
          <w:lang w:eastAsia="en-GB"/>
        </w:rPr>
        <w:t xml:space="preserve">بعدما لم تتمكن </w:t>
      </w:r>
      <w:r w:rsidRPr="00B06476">
        <w:rPr>
          <w:rtl/>
          <w:lang w:eastAsia="en-GB"/>
        </w:rPr>
        <w:t xml:space="preserve">الشرطة من تحديد هوية </w:t>
      </w:r>
      <w:r>
        <w:rPr>
          <w:rtl/>
          <w:lang w:eastAsia="en-GB"/>
        </w:rPr>
        <w:t xml:space="preserve">مهرّبيها </w:t>
      </w:r>
      <w:r w:rsidRPr="00B06476">
        <w:rPr>
          <w:rtl/>
          <w:lang w:eastAsia="en-GB"/>
        </w:rPr>
        <w:t xml:space="preserve">المتاجرين </w:t>
      </w:r>
      <w:r>
        <w:rPr>
          <w:rtl/>
          <w:lang w:eastAsia="en-GB"/>
        </w:rPr>
        <w:t xml:space="preserve">بها </w:t>
      </w:r>
      <w:r w:rsidRPr="00B06476">
        <w:rPr>
          <w:rtl/>
          <w:lang w:eastAsia="en-GB"/>
        </w:rPr>
        <w:t xml:space="preserve">أو تحديد مكانهم. ومُنحت </w:t>
      </w:r>
      <w:r>
        <w:rPr>
          <w:rtl/>
          <w:lang w:eastAsia="en-GB"/>
        </w:rPr>
        <w:t xml:space="preserve">والدة صاحب البلاغ </w:t>
      </w:r>
      <w:r w:rsidRPr="00B06476">
        <w:rPr>
          <w:rtl/>
          <w:lang w:eastAsia="en-GB"/>
        </w:rPr>
        <w:t>في بداية الأمر تصريحاً خاصاً بالإقامة المؤقتة أثناء تحقيق الشرطة، لكنه أُلغي بعد إ</w:t>
      </w:r>
      <w:r>
        <w:rPr>
          <w:rtl/>
          <w:lang w:eastAsia="en-GB"/>
        </w:rPr>
        <w:t>غلاق</w:t>
      </w:r>
      <w:r w:rsidRPr="00B06476">
        <w:rPr>
          <w:rtl/>
          <w:lang w:eastAsia="en-GB"/>
        </w:rPr>
        <w:t xml:space="preserve"> التحقيق. ورُفضت جميع طلباتها وطعونها، وهي مصنفة حالياً "أجنبية غير شرعية"، </w:t>
      </w:r>
      <w:r>
        <w:rPr>
          <w:rtl/>
          <w:lang w:eastAsia="en-GB"/>
        </w:rPr>
        <w:t xml:space="preserve">والأمر كذلك </w:t>
      </w:r>
      <w:r w:rsidRPr="00B06476">
        <w:rPr>
          <w:rtl/>
          <w:lang w:eastAsia="en-GB"/>
        </w:rPr>
        <w:t xml:space="preserve">بالنسبة </w:t>
      </w:r>
      <w:r>
        <w:rPr>
          <w:rtl/>
          <w:lang w:eastAsia="en-GB"/>
        </w:rPr>
        <w:t xml:space="preserve">إلى </w:t>
      </w:r>
      <w:r w:rsidRPr="00B06476">
        <w:rPr>
          <w:rtl/>
          <w:lang w:eastAsia="en-GB"/>
        </w:rPr>
        <w:t xml:space="preserve">صاحب البلاغ. ولا يوجد تواصل </w:t>
      </w:r>
      <w:r>
        <w:rPr>
          <w:rtl/>
          <w:lang w:eastAsia="en-GB"/>
        </w:rPr>
        <w:t>من جانب</w:t>
      </w:r>
      <w:r w:rsidRPr="00B06476">
        <w:rPr>
          <w:rtl/>
          <w:lang w:eastAsia="en-GB"/>
        </w:rPr>
        <w:t xml:space="preserve"> والد صاحب البلاغ</w:t>
      </w:r>
      <w:r>
        <w:rPr>
          <w:rtl/>
          <w:lang w:eastAsia="en-GB"/>
        </w:rPr>
        <w:t xml:space="preserve"> معه أو مع والدته</w:t>
      </w:r>
      <w:r w:rsidRPr="00B06476">
        <w:rPr>
          <w:rtl/>
          <w:lang w:eastAsia="en-GB"/>
        </w:rPr>
        <w:t>، ولم يعترف والده بأبوته.</w:t>
      </w:r>
    </w:p>
    <w:p w14:paraId="1A170870" w14:textId="0465CAAA" w:rsidR="004F2A82" w:rsidRPr="0068608F" w:rsidRDefault="004F2A82" w:rsidP="004F2A82">
      <w:pPr>
        <w:pStyle w:val="SingleTxtGA"/>
        <w:rPr>
          <w:szCs w:val="30"/>
          <w:lang w:eastAsia="en-GB"/>
        </w:rPr>
      </w:pPr>
      <w:r w:rsidRPr="00D212A8">
        <w:rPr>
          <w:rtl/>
        </w:rPr>
        <w:t>2</w:t>
      </w:r>
      <w:r w:rsidRPr="00FC769F">
        <w:rPr>
          <w:rtl/>
        </w:rPr>
        <w:t>-</w:t>
      </w:r>
      <w:r w:rsidRPr="00D212A8">
        <w:rPr>
          <w:rtl/>
        </w:rPr>
        <w:t>3</w:t>
      </w:r>
      <w:r w:rsidRPr="00B06476">
        <w:rPr>
          <w:rtl/>
          <w:lang w:eastAsia="en-GB"/>
        </w:rPr>
        <w:tab/>
        <w:t xml:space="preserve">وُلد صاحب البلاغ في </w:t>
      </w:r>
      <w:r w:rsidRPr="00D212A8">
        <w:rPr>
          <w:rtl/>
        </w:rPr>
        <w:t>18</w:t>
      </w:r>
      <w:r w:rsidRPr="00B06476">
        <w:rPr>
          <w:rtl/>
          <w:lang w:eastAsia="en-GB"/>
        </w:rPr>
        <w:t xml:space="preserve"> شباط/فبراير </w:t>
      </w:r>
      <w:r w:rsidRPr="00D212A8">
        <w:rPr>
          <w:rtl/>
        </w:rPr>
        <w:t>2010</w:t>
      </w:r>
      <w:r w:rsidRPr="00B06476">
        <w:rPr>
          <w:rtl/>
          <w:lang w:eastAsia="en-GB"/>
        </w:rPr>
        <w:t xml:space="preserve"> في </w:t>
      </w:r>
      <w:proofErr w:type="spellStart"/>
      <w:r w:rsidRPr="00B06476">
        <w:rPr>
          <w:rtl/>
          <w:lang w:eastAsia="en-GB"/>
        </w:rPr>
        <w:t>أوتريخت</w:t>
      </w:r>
      <w:proofErr w:type="spellEnd"/>
      <w:r w:rsidRPr="00B06476">
        <w:rPr>
          <w:rtl/>
          <w:lang w:eastAsia="en-GB"/>
        </w:rPr>
        <w:t xml:space="preserve">، وسُجل في </w:t>
      </w:r>
      <w:r>
        <w:rPr>
          <w:rtl/>
          <w:lang w:eastAsia="en-GB"/>
        </w:rPr>
        <w:t>قاعدة بيانات سجلات الأحوال</w:t>
      </w:r>
      <w:r w:rsidRPr="00B06476">
        <w:rPr>
          <w:rtl/>
          <w:lang w:eastAsia="en-GB"/>
        </w:rPr>
        <w:t xml:space="preserve"> المدنية للبلدية في خانة "جنسية غير معروفة"</w:t>
      </w:r>
      <w:r>
        <w:rPr>
          <w:rtl/>
          <w:lang w:eastAsia="en-GB"/>
        </w:rPr>
        <w:t>،</w:t>
      </w:r>
      <w:r w:rsidRPr="00B06476">
        <w:rPr>
          <w:rtl/>
          <w:lang w:eastAsia="en-GB"/>
        </w:rPr>
        <w:t xml:space="preserve"> </w:t>
      </w:r>
      <w:r>
        <w:rPr>
          <w:rtl/>
          <w:lang w:eastAsia="en-GB"/>
        </w:rPr>
        <w:t xml:space="preserve">بالنظر إلى </w:t>
      </w:r>
      <w:r w:rsidRPr="00B06476">
        <w:rPr>
          <w:rtl/>
          <w:lang w:eastAsia="en-GB"/>
        </w:rPr>
        <w:t xml:space="preserve">أن والدته لم تقدم </w:t>
      </w:r>
      <w:r>
        <w:rPr>
          <w:rtl/>
          <w:lang w:eastAsia="en-GB"/>
        </w:rPr>
        <w:t xml:space="preserve">ما يثبت </w:t>
      </w:r>
      <w:r w:rsidRPr="00B06476">
        <w:rPr>
          <w:rtl/>
          <w:lang w:eastAsia="en-GB"/>
        </w:rPr>
        <w:t xml:space="preserve">جنسيته. </w:t>
      </w:r>
      <w:r>
        <w:rPr>
          <w:rtl/>
          <w:lang w:eastAsia="en-GB"/>
        </w:rPr>
        <w:t>و</w:t>
      </w:r>
      <w:r w:rsidRPr="00B06476">
        <w:rPr>
          <w:rtl/>
          <w:lang w:eastAsia="en-GB"/>
        </w:rPr>
        <w:t>قد بذلت والدته العديد من المحاولات للحصول على الجنسية الصينية لابنها أو ما يؤكد ذلك، بما في</w:t>
      </w:r>
      <w:r>
        <w:rPr>
          <w:rtl/>
          <w:lang w:eastAsia="en-GB"/>
        </w:rPr>
        <w:t xml:space="preserve"> هذا</w:t>
      </w:r>
      <w:r w:rsidRPr="00B06476">
        <w:rPr>
          <w:rtl/>
          <w:lang w:eastAsia="en-GB"/>
        </w:rPr>
        <w:t xml:space="preserve"> تقديم طلبات إلى السلطات الصينية لتأكيد ما إذا كانت </w:t>
      </w:r>
      <w:r>
        <w:rPr>
          <w:rtl/>
          <w:lang w:eastAsia="en-GB"/>
        </w:rPr>
        <w:t xml:space="preserve">هذه الأخيرة </w:t>
      </w:r>
      <w:r w:rsidRPr="00B06476">
        <w:rPr>
          <w:rtl/>
          <w:lang w:eastAsia="en-GB"/>
        </w:rPr>
        <w:t xml:space="preserve">تعتبر صاحب البلاغ مواطناً صينياً، وذلك بهدف استيفاء الشروط التي ينص عليها التشريع الهولندي </w:t>
      </w:r>
      <w:r>
        <w:rPr>
          <w:rtl/>
          <w:lang w:eastAsia="en-GB"/>
        </w:rPr>
        <w:t xml:space="preserve">ومفادها </w:t>
      </w:r>
      <w:r w:rsidRPr="00B06476">
        <w:rPr>
          <w:rtl/>
          <w:lang w:eastAsia="en-GB"/>
        </w:rPr>
        <w:t xml:space="preserve">أن الشخص، أنثى كان أو ذكراً، يجب أن يقدم إثباتاً قاطعاً </w:t>
      </w:r>
      <w:r>
        <w:rPr>
          <w:rtl/>
          <w:lang w:eastAsia="en-GB"/>
        </w:rPr>
        <w:t>ل</w:t>
      </w:r>
      <w:r w:rsidRPr="00B06476">
        <w:rPr>
          <w:rtl/>
          <w:lang w:eastAsia="en-GB"/>
        </w:rPr>
        <w:t xml:space="preserve">جنسيته أو انعدام جنسيته، </w:t>
      </w:r>
      <w:r>
        <w:rPr>
          <w:rtl/>
          <w:lang w:eastAsia="en-GB"/>
        </w:rPr>
        <w:t>من أجل</w:t>
      </w:r>
      <w:r w:rsidRPr="00B06476">
        <w:rPr>
          <w:rtl/>
          <w:lang w:eastAsia="en-GB"/>
        </w:rPr>
        <w:t xml:space="preserve"> تغيير</w:t>
      </w:r>
      <w:r>
        <w:rPr>
          <w:rtl/>
          <w:lang w:eastAsia="en-GB"/>
        </w:rPr>
        <w:t xml:space="preserve"> وضعه من حيث الجنسية من</w:t>
      </w:r>
      <w:r w:rsidRPr="00B06476">
        <w:rPr>
          <w:rtl/>
          <w:lang w:eastAsia="en-GB"/>
        </w:rPr>
        <w:t xml:space="preserve"> خانة جنسية "غير معروفة" في سجل </w:t>
      </w:r>
      <w:r>
        <w:rPr>
          <w:rtl/>
          <w:lang w:eastAsia="en-GB"/>
        </w:rPr>
        <w:t>الأحوال</w:t>
      </w:r>
      <w:r w:rsidRPr="00B06476">
        <w:rPr>
          <w:rtl/>
          <w:lang w:eastAsia="en-GB"/>
        </w:rPr>
        <w:t xml:space="preserve"> المدنية. وشملت هذه الجهود </w:t>
      </w:r>
      <w:r>
        <w:rPr>
          <w:rtl/>
          <w:lang w:eastAsia="en-GB"/>
        </w:rPr>
        <w:t xml:space="preserve">إجراء </w:t>
      </w:r>
      <w:r w:rsidRPr="00B06476">
        <w:rPr>
          <w:rtl/>
          <w:lang w:eastAsia="en-GB"/>
        </w:rPr>
        <w:t xml:space="preserve">اتصالات </w:t>
      </w:r>
      <w:r>
        <w:rPr>
          <w:rtl/>
          <w:lang w:eastAsia="en-GB"/>
        </w:rPr>
        <w:t xml:space="preserve">شتى </w:t>
      </w:r>
      <w:r w:rsidRPr="00B06476">
        <w:rPr>
          <w:rtl/>
          <w:lang w:eastAsia="en-GB"/>
        </w:rPr>
        <w:t xml:space="preserve">مع كيانات في الصين. فقد بعثت والدة صاحب البلاغ، في عام </w:t>
      </w:r>
      <w:r w:rsidRPr="00D212A8">
        <w:rPr>
          <w:rtl/>
        </w:rPr>
        <w:t>2010</w:t>
      </w:r>
      <w:r w:rsidRPr="00B06476">
        <w:rPr>
          <w:rtl/>
          <w:lang w:eastAsia="en-GB"/>
        </w:rPr>
        <w:t xml:space="preserve">، </w:t>
      </w:r>
      <w:r>
        <w:rPr>
          <w:rtl/>
          <w:lang w:eastAsia="en-GB"/>
        </w:rPr>
        <w:t>ب</w:t>
      </w:r>
      <w:r w:rsidRPr="00B06476">
        <w:rPr>
          <w:rtl/>
          <w:lang w:eastAsia="en-GB"/>
        </w:rPr>
        <w:t xml:space="preserve">رسائل إلى مدرستها الابتدائية السابقة، وإلى اللجنة الصينية لتنظيم الأسرة والمكتب العام [للجنة المركزية للحزب الشيوعي الصيني]، غير أنها لم تتلق أي رد من هذه الكيانات. وحاولت أيضاً، بمساعدة </w:t>
      </w:r>
      <w:r>
        <w:rPr>
          <w:rtl/>
          <w:lang w:eastAsia="en-GB"/>
        </w:rPr>
        <w:t xml:space="preserve">من </w:t>
      </w:r>
      <w:r w:rsidRPr="00B06476">
        <w:rPr>
          <w:rtl/>
          <w:lang w:eastAsia="en-GB"/>
        </w:rPr>
        <w:t xml:space="preserve">المجلس الهولندي للاجئين، الحصول على وثائق من السلطات الصينية في هولندا. وفي </w:t>
      </w:r>
      <w:r w:rsidRPr="00D212A8">
        <w:rPr>
          <w:rtl/>
        </w:rPr>
        <w:t>10</w:t>
      </w:r>
      <w:r w:rsidRPr="00B06476">
        <w:rPr>
          <w:rtl/>
          <w:lang w:eastAsia="en-GB"/>
        </w:rPr>
        <w:t xml:space="preserve"> نيسان/أبريل </w:t>
      </w:r>
      <w:r w:rsidRPr="00D212A8">
        <w:rPr>
          <w:rtl/>
        </w:rPr>
        <w:t>2009</w:t>
      </w:r>
      <w:r w:rsidRPr="00B06476">
        <w:rPr>
          <w:rtl/>
          <w:lang w:eastAsia="en-GB"/>
        </w:rPr>
        <w:t xml:space="preserve"> </w:t>
      </w:r>
      <w:r w:rsidRPr="0068608F">
        <w:rPr>
          <w:sz w:val="30"/>
          <w:rtl/>
          <w:lang w:eastAsia="en-GB"/>
        </w:rPr>
        <w:t>و</w:t>
      </w:r>
      <w:r w:rsidRPr="00D212A8">
        <w:rPr>
          <w:rtl/>
        </w:rPr>
        <w:t>11</w:t>
      </w:r>
      <w:r w:rsidRPr="00B06476">
        <w:rPr>
          <w:rtl/>
          <w:lang w:eastAsia="en-GB"/>
        </w:rPr>
        <w:t xml:space="preserve"> كانون الثاني/يناير </w:t>
      </w:r>
      <w:r w:rsidRPr="00D212A8">
        <w:rPr>
          <w:rtl/>
        </w:rPr>
        <w:t>2010</w:t>
      </w:r>
      <w:r w:rsidRPr="00B06476">
        <w:rPr>
          <w:rtl/>
          <w:lang w:eastAsia="en-GB"/>
        </w:rPr>
        <w:t xml:space="preserve">، زارت والدة صاحب البلاغ سفارة الصين بصحبة ممثلين عن المجلس الهولندي للاجئين. ومع ذلك، لم تتلق أي رد على طلباتها بتوضيح وضعها. وفي </w:t>
      </w:r>
      <w:r w:rsidRPr="00D212A8">
        <w:rPr>
          <w:rtl/>
        </w:rPr>
        <w:t>29</w:t>
      </w:r>
      <w:r w:rsidRPr="00B06476">
        <w:rPr>
          <w:rtl/>
          <w:lang w:eastAsia="en-GB"/>
        </w:rPr>
        <w:t xml:space="preserve"> حزيران/يونيه </w:t>
      </w:r>
      <w:r w:rsidRPr="00D212A8">
        <w:rPr>
          <w:rtl/>
        </w:rPr>
        <w:t>2010</w:t>
      </w:r>
      <w:r w:rsidRPr="00B06476">
        <w:rPr>
          <w:rtl/>
          <w:lang w:eastAsia="en-GB"/>
        </w:rPr>
        <w:t xml:space="preserve">، </w:t>
      </w:r>
      <w:r w:rsidRPr="0068608F">
        <w:rPr>
          <w:sz w:val="30"/>
          <w:rtl/>
          <w:lang w:eastAsia="en-GB"/>
        </w:rPr>
        <w:t>و</w:t>
      </w:r>
      <w:r w:rsidRPr="00D212A8">
        <w:rPr>
          <w:rtl/>
        </w:rPr>
        <w:t>21</w:t>
      </w:r>
      <w:r w:rsidRPr="00B06476">
        <w:rPr>
          <w:rtl/>
          <w:lang w:eastAsia="en-GB"/>
        </w:rPr>
        <w:t xml:space="preserve"> تشرين الثاني/نوفمبر </w:t>
      </w:r>
      <w:r w:rsidRPr="00D212A8">
        <w:rPr>
          <w:rtl/>
        </w:rPr>
        <w:t>2011</w:t>
      </w:r>
      <w:r w:rsidRPr="00B06476">
        <w:rPr>
          <w:rtl/>
          <w:lang w:eastAsia="en-GB"/>
        </w:rPr>
        <w:t xml:space="preserve">، </w:t>
      </w:r>
      <w:r w:rsidRPr="0068608F">
        <w:rPr>
          <w:sz w:val="30"/>
          <w:rtl/>
          <w:lang w:eastAsia="en-GB"/>
        </w:rPr>
        <w:lastRenderedPageBreak/>
        <w:t>و</w:t>
      </w:r>
      <w:r w:rsidRPr="00D212A8">
        <w:rPr>
          <w:rtl/>
        </w:rPr>
        <w:t>18</w:t>
      </w:r>
      <w:r w:rsidRPr="00B06476">
        <w:rPr>
          <w:rtl/>
          <w:lang w:eastAsia="en-GB"/>
        </w:rPr>
        <w:t xml:space="preserve"> تشرين الأول/أكتوبر </w:t>
      </w:r>
      <w:r w:rsidRPr="00D212A8">
        <w:rPr>
          <w:rtl/>
        </w:rPr>
        <w:t>2012</w:t>
      </w:r>
      <w:r w:rsidRPr="00B06476">
        <w:rPr>
          <w:rtl/>
          <w:lang w:eastAsia="en-GB"/>
        </w:rPr>
        <w:t xml:space="preserve">، زارت سفارة الصين بصحبة موظفين من الصليب الأحمر. وأثناء زيارتها الأخيرة </w:t>
      </w:r>
      <w:r>
        <w:rPr>
          <w:rtl/>
          <w:lang w:eastAsia="en-GB"/>
        </w:rPr>
        <w:t>إلى ا</w:t>
      </w:r>
      <w:r w:rsidRPr="00B06476">
        <w:rPr>
          <w:rtl/>
          <w:lang w:eastAsia="en-GB"/>
        </w:rPr>
        <w:t xml:space="preserve">لسفارة في </w:t>
      </w:r>
      <w:r w:rsidRPr="00D212A8">
        <w:rPr>
          <w:rtl/>
        </w:rPr>
        <w:t>18</w:t>
      </w:r>
      <w:r w:rsidRPr="00B06476">
        <w:rPr>
          <w:rtl/>
          <w:lang w:eastAsia="en-GB"/>
        </w:rPr>
        <w:t xml:space="preserve"> تشرين الأول/أكتوبر </w:t>
      </w:r>
      <w:r w:rsidRPr="00D212A8">
        <w:rPr>
          <w:rtl/>
        </w:rPr>
        <w:t>2012</w:t>
      </w:r>
      <w:r w:rsidRPr="00B06476">
        <w:rPr>
          <w:rtl/>
          <w:lang w:eastAsia="en-GB"/>
        </w:rPr>
        <w:t xml:space="preserve">، طلبت أيضاً بياناً عن جنسية صاحب البلاغ. وأبلغتها سفارة الصين بأنه من غير الممكن إصدار ما يثبت أن صاحب البلاغ يحمل الجنسية الصينية ما لم تكن والدته بنفسها مسجلة </w:t>
      </w:r>
      <w:r>
        <w:rPr>
          <w:rtl/>
          <w:lang w:eastAsia="en-GB"/>
        </w:rPr>
        <w:t xml:space="preserve">بصفة </w:t>
      </w:r>
      <w:r w:rsidRPr="00B06476">
        <w:rPr>
          <w:rtl/>
          <w:lang w:eastAsia="en-GB"/>
        </w:rPr>
        <w:t xml:space="preserve">مواطنة صينية، وهي ليست كذلك. وفي </w:t>
      </w:r>
      <w:r w:rsidRPr="00D212A8">
        <w:rPr>
          <w:rtl/>
        </w:rPr>
        <w:t>19</w:t>
      </w:r>
      <w:r w:rsidRPr="00B06476">
        <w:rPr>
          <w:rtl/>
          <w:lang w:eastAsia="en-GB"/>
        </w:rPr>
        <w:t xml:space="preserve"> كانون الثاني/يناير </w:t>
      </w:r>
      <w:r w:rsidRPr="00D212A8">
        <w:rPr>
          <w:rtl/>
        </w:rPr>
        <w:t>2010</w:t>
      </w:r>
      <w:r w:rsidRPr="00B06476">
        <w:rPr>
          <w:rtl/>
          <w:lang w:eastAsia="en-GB"/>
        </w:rPr>
        <w:t>، و</w:t>
      </w:r>
      <w:r w:rsidRPr="00D212A8">
        <w:rPr>
          <w:rtl/>
        </w:rPr>
        <w:t>30</w:t>
      </w:r>
      <w:r w:rsidRPr="00B06476">
        <w:rPr>
          <w:rtl/>
          <w:lang w:eastAsia="en-GB"/>
        </w:rPr>
        <w:t xml:space="preserve"> أيلول/سبتمبر </w:t>
      </w:r>
      <w:r w:rsidRPr="00D212A8">
        <w:rPr>
          <w:rtl/>
        </w:rPr>
        <w:t>2010</w:t>
      </w:r>
      <w:r w:rsidRPr="00B06476">
        <w:rPr>
          <w:rtl/>
          <w:lang w:eastAsia="en-GB"/>
        </w:rPr>
        <w:t xml:space="preserve">، التمس المجلس الهولندي لشؤون اللاجئين </w:t>
      </w:r>
      <w:r>
        <w:rPr>
          <w:rtl/>
          <w:lang w:eastAsia="en-GB"/>
        </w:rPr>
        <w:t>ال</w:t>
      </w:r>
      <w:r w:rsidRPr="00B06476">
        <w:rPr>
          <w:rtl/>
          <w:lang w:eastAsia="en-GB"/>
        </w:rPr>
        <w:t xml:space="preserve">مساعدة </w:t>
      </w:r>
      <w:r>
        <w:rPr>
          <w:rtl/>
          <w:lang w:eastAsia="en-GB"/>
        </w:rPr>
        <w:t xml:space="preserve">من </w:t>
      </w:r>
      <w:r w:rsidRPr="00B06476">
        <w:rPr>
          <w:rtl/>
          <w:lang w:eastAsia="en-GB"/>
        </w:rPr>
        <w:t xml:space="preserve">المنظمة الدولية للهجرة، إلا أن هذه الجهود لم تسفر عن أي نتيجة ملموسة. وفي </w:t>
      </w:r>
      <w:r w:rsidRPr="00D212A8">
        <w:rPr>
          <w:rtl/>
        </w:rPr>
        <w:t>19</w:t>
      </w:r>
      <w:r w:rsidRPr="00B06476">
        <w:rPr>
          <w:rtl/>
          <w:lang w:eastAsia="en-GB"/>
        </w:rPr>
        <w:t xml:space="preserve"> كانون الثاني/يناير</w:t>
      </w:r>
      <w:r w:rsidR="00057921">
        <w:rPr>
          <w:rFonts w:hint="cs"/>
          <w:rtl/>
          <w:lang w:eastAsia="en-GB"/>
        </w:rPr>
        <w:t> </w:t>
      </w:r>
      <w:r w:rsidRPr="00D212A8">
        <w:rPr>
          <w:rtl/>
        </w:rPr>
        <w:t>2012</w:t>
      </w:r>
      <w:r w:rsidRPr="00B06476">
        <w:rPr>
          <w:rtl/>
          <w:lang w:eastAsia="en-GB"/>
        </w:rPr>
        <w:t xml:space="preserve">، حاولت الوكالة المركزية للبحث عن المفقودين التابعة للصليب الأحمر بدورها الحصول على هذه الوثائق. غير أن </w:t>
      </w:r>
      <w:r>
        <w:rPr>
          <w:rtl/>
          <w:lang w:eastAsia="en-GB"/>
        </w:rPr>
        <w:t xml:space="preserve">هذه الحالة </w:t>
      </w:r>
      <w:r w:rsidRPr="00B06476">
        <w:rPr>
          <w:rtl/>
          <w:lang w:eastAsia="en-GB"/>
        </w:rPr>
        <w:t xml:space="preserve">لم تستوف الحد الأدنى من المعايير اللازمة لتعقب </w:t>
      </w:r>
      <w:r>
        <w:rPr>
          <w:rtl/>
          <w:lang w:eastAsia="en-GB"/>
        </w:rPr>
        <w:t xml:space="preserve">أثر الأشخاص، </w:t>
      </w:r>
      <w:r w:rsidRPr="00B06476">
        <w:rPr>
          <w:rtl/>
          <w:lang w:eastAsia="en-GB"/>
        </w:rPr>
        <w:t>لأن والدة صاحب البلاغ لا تحمل أي وثائق تثبت هويتها.</w:t>
      </w:r>
    </w:p>
    <w:p w14:paraId="00AB6A9C" w14:textId="38C1E816" w:rsidR="004F2A82" w:rsidRPr="00230D11" w:rsidRDefault="004F2A82" w:rsidP="004F2A82">
      <w:pPr>
        <w:pStyle w:val="SingleTxtGA"/>
        <w:rPr>
          <w:lang w:eastAsia="en-GB"/>
        </w:rPr>
      </w:pPr>
      <w:r w:rsidRPr="00230D11">
        <w:rPr>
          <w:rtl/>
        </w:rPr>
        <w:t>2-4</w:t>
      </w:r>
      <w:r w:rsidRPr="00230D11">
        <w:rPr>
          <w:rtl/>
          <w:lang w:eastAsia="en-GB"/>
        </w:rPr>
        <w:tab/>
        <w:t xml:space="preserve">ولهذا السبب، وعلى الرغم من سنوات من الجهود، لم تتمكن والدة صاحب البلاغ من تغيير خانة سجل جنسية صاحب البلاغ في سجل الأحوال المدنية إلى خانة "عديم الجنسية" لكي يتمكن من التمتع بالحماية الدولية الممنوحة للأطفال عديمي الجنسية، بما في ذلك حقه في اكتساب جنسية الدولة التي وُلد فيها وهي هولندا. فتصحيح تسجيل صاحب البلاغ أصبح مستحيلاً بسبب معايير الإثبات الصارمة التي تقتضيها القواعد المحلية المنطبقة على عملية التسجيل، وعدم وجود إجراء مناسب لتحديد وضع عديمي الجنسية. ويشير صاحب البلاغ إلى أن هذا الأمر مشكلة كبيرة في الدولة الطرف. فقد أظهرت دراسة مسحية أجرتها مفوضية الأمم المتحدة السامية لشؤون اللاجئين في عام </w:t>
      </w:r>
      <w:r w:rsidRPr="00230D11">
        <w:rPr>
          <w:rtl/>
        </w:rPr>
        <w:t>2011</w:t>
      </w:r>
      <w:r w:rsidRPr="00230D11">
        <w:rPr>
          <w:rtl/>
          <w:lang w:eastAsia="en-GB"/>
        </w:rPr>
        <w:t xml:space="preserve"> أن </w:t>
      </w:r>
      <w:r w:rsidRPr="00230D11">
        <w:rPr>
          <w:spacing w:val="-4"/>
          <w:rtl/>
          <w:lang w:eastAsia="en-GB"/>
        </w:rPr>
        <w:t>هناك</w:t>
      </w:r>
      <w:r w:rsidR="00230D11" w:rsidRPr="00230D11">
        <w:rPr>
          <w:rFonts w:hint="cs"/>
          <w:spacing w:val="-4"/>
          <w:rtl/>
          <w:lang w:eastAsia="en-GB"/>
        </w:rPr>
        <w:t> </w:t>
      </w:r>
      <w:r w:rsidRPr="00230D11">
        <w:rPr>
          <w:spacing w:val="-4"/>
          <w:rtl/>
        </w:rPr>
        <w:t>000</w:t>
      </w:r>
      <w:r w:rsidRPr="00230D11">
        <w:rPr>
          <w:rFonts w:ascii="Traditional Arabic"/>
          <w:spacing w:val="-4"/>
          <w:szCs w:val="20"/>
          <w:rtl/>
          <w:lang w:eastAsia="en-GB"/>
        </w:rPr>
        <w:t xml:space="preserve"> </w:t>
      </w:r>
      <w:r w:rsidRPr="00230D11">
        <w:rPr>
          <w:spacing w:val="-4"/>
          <w:rtl/>
        </w:rPr>
        <w:t>90</w:t>
      </w:r>
      <w:r w:rsidRPr="00230D11">
        <w:rPr>
          <w:spacing w:val="-4"/>
          <w:rtl/>
          <w:lang w:eastAsia="en-GB"/>
        </w:rPr>
        <w:t xml:space="preserve"> شخص يصنَّفون في سجل الأحوال المدنية على أن جنسيتهم "غير معروفة"، منهم </w:t>
      </w:r>
      <w:r w:rsidRPr="00230D11">
        <w:rPr>
          <w:spacing w:val="-4"/>
          <w:rtl/>
        </w:rPr>
        <w:t>000</w:t>
      </w:r>
      <w:r w:rsidRPr="00230D11">
        <w:rPr>
          <w:rFonts w:ascii="Traditional Arabic"/>
          <w:spacing w:val="-4"/>
          <w:sz w:val="30"/>
          <w:szCs w:val="30"/>
          <w:rtl/>
          <w:lang w:eastAsia="en-GB"/>
        </w:rPr>
        <w:t xml:space="preserve"> </w:t>
      </w:r>
      <w:r w:rsidRPr="00230D11">
        <w:rPr>
          <w:spacing w:val="-4"/>
          <w:rtl/>
        </w:rPr>
        <w:t>13</w:t>
      </w:r>
      <w:r w:rsidRPr="00230D11">
        <w:rPr>
          <w:rtl/>
          <w:lang w:eastAsia="en-GB"/>
        </w:rPr>
        <w:t xml:space="preserve"> طفل، وُلد الكثير منهم في هولندا</w:t>
      </w:r>
      <w:r w:rsidR="00831949" w:rsidRPr="00230D11">
        <w:rPr>
          <w:b/>
          <w:sz w:val="18"/>
          <w:vertAlign w:val="superscript"/>
          <w:rtl/>
          <w:lang w:eastAsia="en-GB"/>
        </w:rPr>
        <w:t>(</w:t>
      </w:r>
      <w:r w:rsidR="00831949" w:rsidRPr="00230D11">
        <w:rPr>
          <w:b/>
          <w:sz w:val="18"/>
          <w:vertAlign w:val="superscript"/>
          <w:rtl/>
          <w:lang w:eastAsia="en-GB"/>
        </w:rPr>
        <w:footnoteReference w:id="5"/>
      </w:r>
      <w:r w:rsidR="00831949" w:rsidRPr="00230D11">
        <w:rPr>
          <w:b/>
          <w:sz w:val="18"/>
          <w:vertAlign w:val="superscript"/>
          <w:rtl/>
          <w:lang w:eastAsia="en-GB"/>
        </w:rPr>
        <w:t>)</w:t>
      </w:r>
      <w:r w:rsidR="001105AE" w:rsidRPr="00230D11">
        <w:rPr>
          <w:rFonts w:hint="cs"/>
          <w:rtl/>
          <w:lang w:eastAsia="en-GB"/>
        </w:rPr>
        <w:t>.</w:t>
      </w:r>
      <w:r w:rsidRPr="00230D11">
        <w:rPr>
          <w:rtl/>
          <w:lang w:eastAsia="en-GB"/>
        </w:rPr>
        <w:t xml:space="preserve"> وفي أيلول/</w:t>
      </w:r>
      <w:r w:rsidRPr="00230D11">
        <w:rPr>
          <w:rFonts w:ascii="Traditional Arabic"/>
          <w:sz w:val="30"/>
          <w:rtl/>
          <w:lang w:eastAsia="en-GB"/>
        </w:rPr>
        <w:t xml:space="preserve">سبتمبر </w:t>
      </w:r>
      <w:r w:rsidRPr="00230D11">
        <w:rPr>
          <w:rtl/>
        </w:rPr>
        <w:t>2016</w:t>
      </w:r>
      <w:r w:rsidRPr="00230D11">
        <w:rPr>
          <w:rFonts w:ascii="Traditional Arabic"/>
          <w:sz w:val="30"/>
          <w:rtl/>
          <w:lang w:eastAsia="en-GB"/>
        </w:rPr>
        <w:t>، بلغ</w:t>
      </w:r>
      <w:r w:rsidRPr="00230D11">
        <w:rPr>
          <w:rtl/>
          <w:lang w:eastAsia="en-GB"/>
        </w:rPr>
        <w:t xml:space="preserve"> العدد الإجمالي للأشخاص المصنفة جنسيتهم على أنها "غير معروفة" </w:t>
      </w:r>
      <w:r w:rsidRPr="00230D11">
        <w:rPr>
          <w:rtl/>
        </w:rPr>
        <w:t>055</w:t>
      </w:r>
      <w:r w:rsidRPr="00230D11">
        <w:rPr>
          <w:sz w:val="30"/>
          <w:rtl/>
          <w:lang w:eastAsia="en-GB"/>
        </w:rPr>
        <w:t xml:space="preserve"> </w:t>
      </w:r>
      <w:r w:rsidRPr="00230D11">
        <w:rPr>
          <w:rtl/>
        </w:rPr>
        <w:t>74</w:t>
      </w:r>
      <w:r w:rsidRPr="00230D11">
        <w:rPr>
          <w:rFonts w:ascii="Traditional Arabic"/>
          <w:szCs w:val="20"/>
          <w:rtl/>
          <w:lang w:eastAsia="en-GB"/>
        </w:rPr>
        <w:t xml:space="preserve"> </w:t>
      </w:r>
      <w:r w:rsidRPr="00230D11">
        <w:rPr>
          <w:rtl/>
          <w:lang w:eastAsia="en-GB"/>
        </w:rPr>
        <w:t xml:space="preserve">شخصاً، بمن فيهم </w:t>
      </w:r>
      <w:r w:rsidRPr="00230D11">
        <w:rPr>
          <w:rtl/>
        </w:rPr>
        <w:t>169</w:t>
      </w:r>
      <w:r w:rsidRPr="00230D11">
        <w:rPr>
          <w:sz w:val="30"/>
          <w:rtl/>
          <w:lang w:eastAsia="en-GB"/>
        </w:rPr>
        <w:t xml:space="preserve"> </w:t>
      </w:r>
      <w:r w:rsidRPr="00230D11">
        <w:rPr>
          <w:rtl/>
        </w:rPr>
        <w:t>13</w:t>
      </w:r>
      <w:r w:rsidRPr="00230D11">
        <w:rPr>
          <w:rFonts w:ascii="Traditional Arabic"/>
          <w:szCs w:val="20"/>
          <w:rtl/>
          <w:lang w:eastAsia="en-GB"/>
        </w:rPr>
        <w:t xml:space="preserve"> </w:t>
      </w:r>
      <w:r w:rsidRPr="00230D11">
        <w:rPr>
          <w:rtl/>
          <w:lang w:eastAsia="en-GB"/>
        </w:rPr>
        <w:t xml:space="preserve">طفلاً دون سن </w:t>
      </w:r>
      <w:r w:rsidRPr="00230D11">
        <w:rPr>
          <w:rtl/>
        </w:rPr>
        <w:t>10</w:t>
      </w:r>
      <w:r w:rsidRPr="00230D11">
        <w:rPr>
          <w:rtl/>
          <w:lang w:eastAsia="en-GB"/>
        </w:rPr>
        <w:t xml:space="preserve"> سنوات</w:t>
      </w:r>
      <w:r w:rsidR="00831949" w:rsidRPr="00230D11">
        <w:rPr>
          <w:b/>
          <w:sz w:val="18"/>
          <w:vertAlign w:val="superscript"/>
          <w:rtl/>
          <w:lang w:eastAsia="en-GB"/>
        </w:rPr>
        <w:t>(</w:t>
      </w:r>
      <w:r w:rsidR="00831949" w:rsidRPr="00230D11">
        <w:rPr>
          <w:b/>
          <w:sz w:val="18"/>
          <w:vertAlign w:val="superscript"/>
          <w:rtl/>
          <w:lang w:eastAsia="en-GB"/>
        </w:rPr>
        <w:footnoteReference w:id="6"/>
      </w:r>
      <w:r w:rsidR="00831949" w:rsidRPr="00230D11">
        <w:rPr>
          <w:b/>
          <w:sz w:val="18"/>
          <w:vertAlign w:val="superscript"/>
          <w:rtl/>
          <w:lang w:eastAsia="en-GB"/>
        </w:rPr>
        <w:t>)</w:t>
      </w:r>
      <w:r w:rsidR="001105AE" w:rsidRPr="00230D11">
        <w:rPr>
          <w:rFonts w:hint="cs"/>
          <w:rtl/>
          <w:lang w:eastAsia="en-GB"/>
        </w:rPr>
        <w:t>.</w:t>
      </w:r>
    </w:p>
    <w:p w14:paraId="4B25A5CF" w14:textId="77777777" w:rsidR="004F2A82" w:rsidRPr="00B06476" w:rsidRDefault="004F2A82" w:rsidP="004F2A82">
      <w:pPr>
        <w:pStyle w:val="SingleTxtGA"/>
        <w:rPr>
          <w:lang w:eastAsia="en-GB"/>
        </w:rPr>
      </w:pPr>
      <w:r w:rsidRPr="00D212A8">
        <w:rPr>
          <w:rtl/>
        </w:rPr>
        <w:t>2</w:t>
      </w:r>
      <w:r w:rsidRPr="00FC769F">
        <w:rPr>
          <w:rtl/>
        </w:rPr>
        <w:t>-</w:t>
      </w:r>
      <w:r w:rsidRPr="00D212A8">
        <w:rPr>
          <w:rtl/>
        </w:rPr>
        <w:t>5</w:t>
      </w:r>
      <w:r w:rsidRPr="0068608F">
        <w:rPr>
          <w:sz w:val="30"/>
          <w:rtl/>
          <w:lang w:eastAsia="en-GB"/>
        </w:rPr>
        <w:tab/>
      </w:r>
      <w:r w:rsidRPr="00B06476">
        <w:rPr>
          <w:rtl/>
          <w:lang w:eastAsia="en-GB"/>
        </w:rPr>
        <w:t xml:space="preserve">وفي </w:t>
      </w:r>
      <w:r w:rsidRPr="00D212A8">
        <w:rPr>
          <w:rtl/>
        </w:rPr>
        <w:t>12</w:t>
      </w:r>
      <w:r w:rsidRPr="00B06476">
        <w:rPr>
          <w:rtl/>
          <w:lang w:eastAsia="en-GB"/>
        </w:rPr>
        <w:t xml:space="preserve"> تموز/يوليه </w:t>
      </w:r>
      <w:r w:rsidRPr="00D212A8">
        <w:rPr>
          <w:rtl/>
        </w:rPr>
        <w:t>2012</w:t>
      </w:r>
      <w:r w:rsidRPr="00B06476">
        <w:rPr>
          <w:rtl/>
          <w:lang w:eastAsia="en-GB"/>
        </w:rPr>
        <w:t xml:space="preserve">، قدمت والدة صاحب البلاغ طلباً إلى إدارة تسجيل </w:t>
      </w:r>
      <w:r>
        <w:rPr>
          <w:rtl/>
          <w:lang w:eastAsia="en-GB"/>
        </w:rPr>
        <w:t>الأحوال</w:t>
      </w:r>
      <w:r w:rsidRPr="00B06476">
        <w:rPr>
          <w:rtl/>
          <w:lang w:eastAsia="en-GB"/>
        </w:rPr>
        <w:t xml:space="preserve"> المدنية في بلدية </w:t>
      </w:r>
      <w:proofErr w:type="spellStart"/>
      <w:r w:rsidRPr="00B06476">
        <w:rPr>
          <w:rtl/>
          <w:lang w:eastAsia="en-GB"/>
        </w:rPr>
        <w:t>أوتريخت</w:t>
      </w:r>
      <w:proofErr w:type="spellEnd"/>
      <w:r w:rsidRPr="00B06476">
        <w:rPr>
          <w:rtl/>
          <w:lang w:eastAsia="en-GB"/>
        </w:rPr>
        <w:t xml:space="preserve"> لتسجيل</w:t>
      </w:r>
      <w:r>
        <w:rPr>
          <w:rtl/>
          <w:lang w:eastAsia="en-GB"/>
        </w:rPr>
        <w:t xml:space="preserve"> صاحب البلاغ</w:t>
      </w:r>
      <w:r w:rsidRPr="00B06476">
        <w:rPr>
          <w:rtl/>
          <w:lang w:eastAsia="en-GB"/>
        </w:rPr>
        <w:t xml:space="preserve"> في </w:t>
      </w:r>
      <w:r>
        <w:rPr>
          <w:rtl/>
          <w:lang w:eastAsia="en-GB"/>
        </w:rPr>
        <w:t>هذا ال</w:t>
      </w:r>
      <w:r w:rsidRPr="00B06476">
        <w:rPr>
          <w:rtl/>
          <w:lang w:eastAsia="en-GB"/>
        </w:rPr>
        <w:t xml:space="preserve">سجل </w:t>
      </w:r>
      <w:r>
        <w:rPr>
          <w:rtl/>
          <w:lang w:eastAsia="en-GB"/>
        </w:rPr>
        <w:t>بصفة</w:t>
      </w:r>
      <w:r w:rsidRPr="00B06476">
        <w:rPr>
          <w:rtl/>
          <w:lang w:eastAsia="en-GB"/>
        </w:rPr>
        <w:t xml:space="preserve"> "عديم الجنسية" وليس </w:t>
      </w:r>
      <w:r>
        <w:rPr>
          <w:rtl/>
          <w:lang w:eastAsia="en-GB"/>
        </w:rPr>
        <w:t xml:space="preserve">بصفة </w:t>
      </w:r>
      <w:r w:rsidRPr="00B06476">
        <w:rPr>
          <w:rtl/>
          <w:lang w:eastAsia="en-GB"/>
        </w:rPr>
        <w:t xml:space="preserve">"جنسية غير معروفة". وفي </w:t>
      </w:r>
      <w:r w:rsidRPr="00D212A8">
        <w:rPr>
          <w:rtl/>
        </w:rPr>
        <w:t>17</w:t>
      </w:r>
      <w:r w:rsidRPr="00B06476">
        <w:rPr>
          <w:rtl/>
          <w:lang w:eastAsia="en-GB"/>
        </w:rPr>
        <w:t xml:space="preserve"> أيلول/سبتمبر </w:t>
      </w:r>
      <w:r w:rsidRPr="00D212A8">
        <w:rPr>
          <w:rtl/>
        </w:rPr>
        <w:t>2012</w:t>
      </w:r>
      <w:r w:rsidRPr="00B06476">
        <w:rPr>
          <w:rtl/>
          <w:lang w:eastAsia="en-GB"/>
        </w:rPr>
        <w:t xml:space="preserve">، رفضت البلدية الطلب على أساس عدم وجود ما يثبت أن صاحب البلاغ لا يحمل جنسية ما. فقد ارتأت البلدية أنه يجب، </w:t>
      </w:r>
      <w:r>
        <w:rPr>
          <w:rtl/>
          <w:lang w:eastAsia="en-GB"/>
        </w:rPr>
        <w:t>بالاستناد إلى</w:t>
      </w:r>
      <w:r w:rsidRPr="00B06476">
        <w:rPr>
          <w:rtl/>
          <w:lang w:eastAsia="en-GB"/>
        </w:rPr>
        <w:t xml:space="preserve"> وثائق قانونية رسمية أو صادرة عن الدولة</w:t>
      </w:r>
      <w:r>
        <w:rPr>
          <w:rtl/>
          <w:lang w:eastAsia="en-GB"/>
        </w:rPr>
        <w:t>،</w:t>
      </w:r>
      <w:r w:rsidRPr="00B06476">
        <w:rPr>
          <w:rtl/>
          <w:lang w:eastAsia="en-GB"/>
        </w:rPr>
        <w:t xml:space="preserve"> </w:t>
      </w:r>
      <w:r>
        <w:rPr>
          <w:rtl/>
          <w:lang w:eastAsia="en-GB"/>
        </w:rPr>
        <w:t xml:space="preserve">إثبات أن </w:t>
      </w:r>
      <w:r w:rsidRPr="00B06476">
        <w:rPr>
          <w:rtl/>
          <w:lang w:eastAsia="en-GB"/>
        </w:rPr>
        <w:t>صاحب البلاغ عديم الجنسية، أي أنه ليس مواطناً صينياً. ولهذا السبب، افترضت البلدية أن صاحب البلاغ مواطن صيني، استناداً إلى قراءتها للقانون الصيني.</w:t>
      </w:r>
    </w:p>
    <w:p w14:paraId="7E56C672" w14:textId="2752B777" w:rsidR="004F2A82" w:rsidRPr="0068608F" w:rsidRDefault="004F2A82" w:rsidP="004F2A82">
      <w:pPr>
        <w:pStyle w:val="SingleTxtGA"/>
        <w:rPr>
          <w:szCs w:val="30"/>
          <w:lang w:eastAsia="en-GB"/>
        </w:rPr>
      </w:pPr>
      <w:r w:rsidRPr="00D212A8">
        <w:rPr>
          <w:rtl/>
        </w:rPr>
        <w:t>2</w:t>
      </w:r>
      <w:r w:rsidRPr="00FC769F">
        <w:rPr>
          <w:rtl/>
        </w:rPr>
        <w:t>-</w:t>
      </w:r>
      <w:r w:rsidRPr="00D212A8">
        <w:rPr>
          <w:rtl/>
        </w:rPr>
        <w:t>6</w:t>
      </w:r>
      <w:r w:rsidRPr="0068608F">
        <w:rPr>
          <w:sz w:val="30"/>
          <w:rtl/>
          <w:lang w:eastAsia="en-GB"/>
        </w:rPr>
        <w:tab/>
      </w:r>
      <w:r w:rsidRPr="00B06476">
        <w:rPr>
          <w:rtl/>
          <w:lang w:eastAsia="en-GB"/>
        </w:rPr>
        <w:t xml:space="preserve">وقدمت والدة صاحب البلاغ طعناً إدارياً في قرار البلدية. وفي </w:t>
      </w:r>
      <w:r w:rsidRPr="00D212A8">
        <w:rPr>
          <w:rtl/>
        </w:rPr>
        <w:t>22</w:t>
      </w:r>
      <w:r w:rsidRPr="00B06476">
        <w:rPr>
          <w:rtl/>
          <w:lang w:eastAsia="en-GB"/>
        </w:rPr>
        <w:t xml:space="preserve"> تشرين الثاني/نوفمبر </w:t>
      </w:r>
      <w:r w:rsidRPr="00D212A8">
        <w:rPr>
          <w:rtl/>
        </w:rPr>
        <w:t>2012</w:t>
      </w:r>
      <w:r w:rsidRPr="00B06476">
        <w:rPr>
          <w:rtl/>
          <w:lang w:eastAsia="en-GB"/>
        </w:rPr>
        <w:t xml:space="preserve">، رُفض طعنها الإداري على أساس عدم وجود ما يثبت أن صاحب البلاغ عديم الجنسية، مثل وثائق رسمية صادرة عن السلطات الصينية تؤكد أنه لا يحمل الجنسية الصينية. وطعنت والدة صاحب البلاغ في </w:t>
      </w:r>
      <w:r>
        <w:rPr>
          <w:rtl/>
          <w:lang w:eastAsia="en-GB"/>
        </w:rPr>
        <w:t>القرار السلبي</w:t>
      </w:r>
      <w:r w:rsidRPr="00B06476">
        <w:rPr>
          <w:rtl/>
          <w:lang w:eastAsia="en-GB"/>
        </w:rPr>
        <w:t xml:space="preserve"> هذا أمام محكمة </w:t>
      </w:r>
      <w:proofErr w:type="spellStart"/>
      <w:r w:rsidRPr="00B06476">
        <w:rPr>
          <w:rtl/>
          <w:lang w:eastAsia="en-GB"/>
        </w:rPr>
        <w:t>ميد</w:t>
      </w:r>
      <w:r>
        <w:rPr>
          <w:rtl/>
          <w:lang w:eastAsia="en-GB"/>
        </w:rPr>
        <w:t>ِ</w:t>
      </w:r>
      <w:r w:rsidRPr="00B06476">
        <w:rPr>
          <w:rtl/>
          <w:lang w:eastAsia="en-GB"/>
        </w:rPr>
        <w:t>ن</w:t>
      </w:r>
      <w:proofErr w:type="spellEnd"/>
      <w:r w:rsidRPr="00B06476">
        <w:rPr>
          <w:rtl/>
          <w:lang w:eastAsia="en-GB"/>
        </w:rPr>
        <w:t xml:space="preserve"> </w:t>
      </w:r>
      <w:r w:rsidRPr="00FC769F">
        <w:rPr>
          <w:rtl/>
        </w:rPr>
        <w:t>-</w:t>
      </w:r>
      <w:r w:rsidRPr="00B06476">
        <w:rPr>
          <w:rtl/>
          <w:lang w:eastAsia="en-GB"/>
        </w:rPr>
        <w:t xml:space="preserve"> </w:t>
      </w:r>
      <w:proofErr w:type="spellStart"/>
      <w:r w:rsidRPr="00B06476">
        <w:rPr>
          <w:rtl/>
          <w:lang w:eastAsia="en-GB"/>
        </w:rPr>
        <w:t>نيد</w:t>
      </w:r>
      <w:r>
        <w:rPr>
          <w:rtl/>
          <w:lang w:eastAsia="en-GB"/>
        </w:rPr>
        <w:t>ي</w:t>
      </w:r>
      <w:r w:rsidRPr="00B06476">
        <w:rPr>
          <w:rtl/>
          <w:lang w:eastAsia="en-GB"/>
        </w:rPr>
        <w:t>رلاند</w:t>
      </w:r>
      <w:proofErr w:type="spellEnd"/>
      <w:r w:rsidRPr="00B06476">
        <w:rPr>
          <w:rtl/>
          <w:lang w:eastAsia="en-GB"/>
        </w:rPr>
        <w:t xml:space="preserve"> المحلية. ورفضت المحكمة الطعن في قرار </w:t>
      </w:r>
      <w:r>
        <w:rPr>
          <w:rtl/>
          <w:lang w:eastAsia="en-GB"/>
        </w:rPr>
        <w:t xml:space="preserve">منها </w:t>
      </w:r>
      <w:r w:rsidRPr="00B06476">
        <w:rPr>
          <w:rtl/>
          <w:lang w:eastAsia="en-GB"/>
        </w:rPr>
        <w:t xml:space="preserve">مؤرخ </w:t>
      </w:r>
      <w:r w:rsidRPr="00D212A8">
        <w:rPr>
          <w:rtl/>
        </w:rPr>
        <w:t>12</w:t>
      </w:r>
      <w:r w:rsidRPr="00B06476">
        <w:rPr>
          <w:rtl/>
          <w:lang w:eastAsia="en-GB"/>
        </w:rPr>
        <w:t xml:space="preserve"> نيسان/أبريل </w:t>
      </w:r>
      <w:r w:rsidRPr="00D212A8">
        <w:rPr>
          <w:rtl/>
        </w:rPr>
        <w:t>2013</w:t>
      </w:r>
      <w:r w:rsidRPr="00B06476">
        <w:rPr>
          <w:rtl/>
          <w:lang w:eastAsia="en-GB"/>
        </w:rPr>
        <w:t xml:space="preserve"> أكدت فيه أن عبء إثبات عدم الجنسية يقع على عاتق صاحب البلاغ، وأن البلدية لا</w:t>
      </w:r>
      <w:r w:rsidR="00230D11">
        <w:rPr>
          <w:rFonts w:hint="cs"/>
          <w:rtl/>
          <w:lang w:eastAsia="en-GB"/>
        </w:rPr>
        <w:t> </w:t>
      </w:r>
      <w:r w:rsidRPr="00B06476">
        <w:rPr>
          <w:rtl/>
          <w:lang w:eastAsia="en-GB"/>
        </w:rPr>
        <w:t xml:space="preserve">تتحمل أي مسؤولية عن التحقيق في هذه المسألة. وطعن صاحب البلاغ في هذا القرار أمام مجلس الدولة. وفي </w:t>
      </w:r>
      <w:r w:rsidRPr="00D212A8">
        <w:rPr>
          <w:rtl/>
        </w:rPr>
        <w:t>21</w:t>
      </w:r>
      <w:r w:rsidRPr="00B06476">
        <w:rPr>
          <w:rtl/>
          <w:lang w:eastAsia="en-GB"/>
        </w:rPr>
        <w:t xml:space="preserve"> أيار/مايو </w:t>
      </w:r>
      <w:r w:rsidRPr="00D212A8">
        <w:rPr>
          <w:rtl/>
        </w:rPr>
        <w:t>2014</w:t>
      </w:r>
      <w:r w:rsidRPr="00B06476">
        <w:rPr>
          <w:rtl/>
          <w:lang w:eastAsia="en-GB"/>
        </w:rPr>
        <w:t>، قضت شعبة القانون الإداري التابعة لمجلس الدولة، وه</w:t>
      </w:r>
      <w:r>
        <w:rPr>
          <w:rtl/>
          <w:lang w:eastAsia="en-GB"/>
        </w:rPr>
        <w:t>و</w:t>
      </w:r>
      <w:r w:rsidRPr="00B06476">
        <w:rPr>
          <w:rtl/>
          <w:lang w:eastAsia="en-GB"/>
        </w:rPr>
        <w:t xml:space="preserve"> أعلى محكمة استئناف في البلد، بأن البلدية </w:t>
      </w:r>
      <w:r>
        <w:rPr>
          <w:rtl/>
          <w:lang w:eastAsia="en-GB"/>
        </w:rPr>
        <w:t xml:space="preserve">لم تجانب الصواب عندما </w:t>
      </w:r>
      <w:r w:rsidRPr="00B06476">
        <w:rPr>
          <w:rtl/>
          <w:lang w:eastAsia="en-GB"/>
        </w:rPr>
        <w:t>قررت أن صاحب البلاغ لم يثبت بما يكفي من الأدلة أنه عديم الجنسية. وخلص مجلس الدولة إلى أن</w:t>
      </w:r>
      <w:r>
        <w:rPr>
          <w:rtl/>
          <w:lang w:eastAsia="en-GB"/>
        </w:rPr>
        <w:t>ه</w:t>
      </w:r>
      <w:r w:rsidRPr="00B06476">
        <w:rPr>
          <w:rtl/>
          <w:lang w:eastAsia="en-GB"/>
        </w:rPr>
        <w:t xml:space="preserve"> لا القانون الوطني ولا القانون الدولي يتضمنان أي قواعد</w:t>
      </w:r>
      <w:r>
        <w:rPr>
          <w:rtl/>
          <w:lang w:eastAsia="en-GB"/>
        </w:rPr>
        <w:t>،</w:t>
      </w:r>
      <w:r w:rsidRPr="00B06476">
        <w:rPr>
          <w:rtl/>
          <w:lang w:eastAsia="en-GB"/>
        </w:rPr>
        <w:t xml:space="preserve"> </w:t>
      </w:r>
      <w:r>
        <w:rPr>
          <w:rtl/>
          <w:lang w:eastAsia="en-GB"/>
        </w:rPr>
        <w:t>بشأن</w:t>
      </w:r>
      <w:r w:rsidRPr="00B06476">
        <w:rPr>
          <w:rtl/>
          <w:lang w:eastAsia="en-GB"/>
        </w:rPr>
        <w:t xml:space="preserve"> إجراءات إثبات انعدام الجنسية</w:t>
      </w:r>
      <w:r>
        <w:rPr>
          <w:rtl/>
          <w:lang w:eastAsia="en-GB"/>
        </w:rPr>
        <w:t>،</w:t>
      </w:r>
      <w:r w:rsidRPr="00B06476">
        <w:rPr>
          <w:rtl/>
          <w:lang w:eastAsia="en-GB"/>
        </w:rPr>
        <w:t xml:space="preserve"> </w:t>
      </w:r>
      <w:r>
        <w:rPr>
          <w:rtl/>
          <w:lang w:eastAsia="en-GB"/>
        </w:rPr>
        <w:t>تكون</w:t>
      </w:r>
      <w:r w:rsidRPr="00B06476">
        <w:rPr>
          <w:rtl/>
          <w:lang w:eastAsia="en-GB"/>
        </w:rPr>
        <w:t xml:space="preserve"> سلطات الدولة الطرف</w:t>
      </w:r>
      <w:r>
        <w:rPr>
          <w:rtl/>
          <w:lang w:eastAsia="en-GB"/>
        </w:rPr>
        <w:t xml:space="preserve"> ملزمة باتباعها</w:t>
      </w:r>
      <w:r w:rsidRPr="00B06476">
        <w:rPr>
          <w:rtl/>
          <w:lang w:eastAsia="en-GB"/>
        </w:rPr>
        <w:t xml:space="preserve">. وخلص المجلس </w:t>
      </w:r>
      <w:r w:rsidRPr="00B06476">
        <w:rPr>
          <w:rtl/>
          <w:lang w:eastAsia="en-GB"/>
        </w:rPr>
        <w:lastRenderedPageBreak/>
        <w:t xml:space="preserve">كذلك إلى أن السلطات غير ملزمة بإجراء تحريات وتحديد </w:t>
      </w:r>
      <w:r>
        <w:rPr>
          <w:rtl/>
          <w:lang w:eastAsia="en-GB"/>
        </w:rPr>
        <w:t>صفة</w:t>
      </w:r>
      <w:r w:rsidRPr="00B06476">
        <w:rPr>
          <w:rtl/>
          <w:lang w:eastAsia="en-GB"/>
        </w:rPr>
        <w:t xml:space="preserve"> انعدام الجنسية. غير أن المجلس أقرَّ بأن عدم وجود إجراء لتحديد </w:t>
      </w:r>
      <w:r>
        <w:rPr>
          <w:rtl/>
          <w:lang w:eastAsia="en-GB"/>
        </w:rPr>
        <w:t>صفة</w:t>
      </w:r>
      <w:r w:rsidRPr="00B06476">
        <w:rPr>
          <w:rtl/>
          <w:lang w:eastAsia="en-GB"/>
        </w:rPr>
        <w:t xml:space="preserve"> </w:t>
      </w:r>
      <w:r>
        <w:rPr>
          <w:rtl/>
          <w:lang w:eastAsia="en-GB"/>
        </w:rPr>
        <w:t>انعدام الجنسية</w:t>
      </w:r>
      <w:r w:rsidRPr="00B06476">
        <w:rPr>
          <w:rtl/>
          <w:lang w:eastAsia="en-GB"/>
        </w:rPr>
        <w:t xml:space="preserve"> يعني أن الأفراد الذين لهم الحق في الحماية، بمن فيهم الأطفال، </w:t>
      </w:r>
      <w:r>
        <w:rPr>
          <w:rtl/>
          <w:lang w:eastAsia="en-GB"/>
        </w:rPr>
        <w:t>يعانون فراغاً تشريعياً في هذا الصدد</w:t>
      </w:r>
      <w:r w:rsidRPr="00B06476">
        <w:rPr>
          <w:rtl/>
          <w:lang w:eastAsia="en-GB"/>
        </w:rPr>
        <w:t xml:space="preserve">. </w:t>
      </w:r>
      <w:r>
        <w:rPr>
          <w:rtl/>
          <w:lang w:eastAsia="en-GB"/>
        </w:rPr>
        <w:t>بيد أن مجلس الدولة</w:t>
      </w:r>
      <w:r w:rsidRPr="00B06476">
        <w:rPr>
          <w:rtl/>
          <w:lang w:eastAsia="en-GB"/>
        </w:rPr>
        <w:t xml:space="preserve"> خلص إلى أن السلطة التشريعية هي </w:t>
      </w:r>
      <w:r>
        <w:rPr>
          <w:rtl/>
          <w:lang w:eastAsia="en-GB"/>
        </w:rPr>
        <w:t>التي عليها</w:t>
      </w:r>
      <w:r w:rsidRPr="00B06476">
        <w:rPr>
          <w:rtl/>
          <w:lang w:eastAsia="en-GB"/>
        </w:rPr>
        <w:t xml:space="preserve"> توفير سبيل انتصاف، مشيراً إلى أنه "ما لم </w:t>
      </w:r>
      <w:r>
        <w:rPr>
          <w:rtl/>
          <w:lang w:eastAsia="en-GB"/>
        </w:rPr>
        <w:t>تُحدَّد صفة انعدام الجنسية</w:t>
      </w:r>
      <w:r w:rsidRPr="00B06476">
        <w:rPr>
          <w:rtl/>
          <w:lang w:eastAsia="en-GB"/>
        </w:rPr>
        <w:t xml:space="preserve"> </w:t>
      </w:r>
      <w:r>
        <w:rPr>
          <w:rtl/>
          <w:lang w:eastAsia="en-GB"/>
        </w:rPr>
        <w:t>ل</w:t>
      </w:r>
      <w:r w:rsidRPr="00B06476">
        <w:rPr>
          <w:rtl/>
          <w:lang w:eastAsia="en-GB"/>
        </w:rPr>
        <w:t xml:space="preserve">لأشخاص الذين لا يحملون جنسية، فلن يتمكنوا من </w:t>
      </w:r>
      <w:r>
        <w:rPr>
          <w:rtl/>
          <w:lang w:eastAsia="en-GB"/>
        </w:rPr>
        <w:t>التذرّع</w:t>
      </w:r>
      <w:r w:rsidRPr="00B06476">
        <w:rPr>
          <w:rtl/>
          <w:lang w:eastAsia="en-GB"/>
        </w:rPr>
        <w:t xml:space="preserve"> </w:t>
      </w:r>
      <w:r>
        <w:rPr>
          <w:rtl/>
          <w:lang w:eastAsia="en-GB"/>
        </w:rPr>
        <w:t>بمبدأ ال</w:t>
      </w:r>
      <w:r w:rsidRPr="00B06476">
        <w:rPr>
          <w:rtl/>
          <w:lang w:eastAsia="en-GB"/>
        </w:rPr>
        <w:t xml:space="preserve">حماية استناداً إلى الاتفاقيتين المتعلقتين بانعدام الجنسية، والتشريعات الهولندية </w:t>
      </w:r>
      <w:r>
        <w:rPr>
          <w:rtl/>
          <w:lang w:eastAsia="en-GB"/>
        </w:rPr>
        <w:t xml:space="preserve">الموضوعة </w:t>
      </w:r>
      <w:r w:rsidRPr="00B06476">
        <w:rPr>
          <w:rtl/>
          <w:lang w:eastAsia="en-GB"/>
        </w:rPr>
        <w:t xml:space="preserve">عملاً بهاتين الاتفاقيتين. بيد أن الأمر يتجاوز مهمة القضاء فيما يتعلق بوضع القوانين لسد هذه الفجوة". </w:t>
      </w:r>
    </w:p>
    <w:p w14:paraId="6207FD52" w14:textId="263CF7F0" w:rsidR="004F2A82" w:rsidRPr="0068608F" w:rsidRDefault="004F2A82" w:rsidP="004F2A82">
      <w:pPr>
        <w:pStyle w:val="SingleTxtGA"/>
        <w:rPr>
          <w:rFonts w:ascii="Traditional Arabic"/>
          <w:sz w:val="30"/>
          <w:szCs w:val="30"/>
          <w:lang w:eastAsia="en-GB"/>
        </w:rPr>
      </w:pPr>
      <w:r w:rsidRPr="00D212A8">
        <w:rPr>
          <w:rtl/>
        </w:rPr>
        <w:t>2</w:t>
      </w:r>
      <w:r w:rsidRPr="00FC769F">
        <w:rPr>
          <w:rtl/>
        </w:rPr>
        <w:t>-</w:t>
      </w:r>
      <w:r w:rsidRPr="00D212A8">
        <w:rPr>
          <w:rtl/>
        </w:rPr>
        <w:t>7</w:t>
      </w:r>
      <w:r w:rsidRPr="00B06476">
        <w:rPr>
          <w:rtl/>
          <w:lang w:eastAsia="en-GB"/>
        </w:rPr>
        <w:tab/>
        <w:t xml:space="preserve">ويشير صاحب البلاغ إلى أنه لا يستطيع اكتساب الجنسية الهولندية ما لم يُسجل </w:t>
      </w:r>
      <w:r>
        <w:rPr>
          <w:rtl/>
          <w:lang w:eastAsia="en-GB"/>
        </w:rPr>
        <w:t xml:space="preserve">بصفة </w:t>
      </w:r>
      <w:r w:rsidRPr="00B06476">
        <w:rPr>
          <w:rtl/>
          <w:lang w:eastAsia="en-GB"/>
        </w:rPr>
        <w:t xml:space="preserve">عديم الجنسية. وعلاوة على ذلك، وحتى لو نجح في </w:t>
      </w:r>
      <w:r>
        <w:rPr>
          <w:rtl/>
          <w:lang w:eastAsia="en-GB"/>
        </w:rPr>
        <w:t>تغيير</w:t>
      </w:r>
      <w:r w:rsidRPr="00B06476">
        <w:rPr>
          <w:rtl/>
          <w:lang w:eastAsia="en-GB"/>
        </w:rPr>
        <w:t xml:space="preserve"> تسجيله من خانة "جنسية غير معروفة" إلى خانة "عديم الجنسية"، </w:t>
      </w:r>
      <w:r>
        <w:rPr>
          <w:rtl/>
          <w:lang w:eastAsia="en-GB"/>
        </w:rPr>
        <w:t>ف</w:t>
      </w:r>
      <w:r w:rsidRPr="00B06476">
        <w:rPr>
          <w:rtl/>
          <w:lang w:eastAsia="en-GB"/>
        </w:rPr>
        <w:t xml:space="preserve">لن تكون لديه </w:t>
      </w:r>
      <w:r>
        <w:rPr>
          <w:rtl/>
          <w:lang w:eastAsia="en-GB"/>
        </w:rPr>
        <w:t xml:space="preserve">مع ذلك </w:t>
      </w:r>
      <w:r w:rsidRPr="00B06476">
        <w:rPr>
          <w:rtl/>
          <w:lang w:eastAsia="en-GB"/>
        </w:rPr>
        <w:t xml:space="preserve">وسائل واضحة </w:t>
      </w:r>
      <w:r>
        <w:rPr>
          <w:rtl/>
          <w:lang w:eastAsia="en-GB"/>
        </w:rPr>
        <w:t>لاكتساب</w:t>
      </w:r>
      <w:r w:rsidRPr="00B06476">
        <w:rPr>
          <w:rtl/>
          <w:lang w:eastAsia="en-GB"/>
        </w:rPr>
        <w:t xml:space="preserve"> الجنسية الهولندية، </w:t>
      </w:r>
      <w:r>
        <w:rPr>
          <w:rtl/>
          <w:lang w:eastAsia="en-GB"/>
        </w:rPr>
        <w:t xml:space="preserve">نظراً إلى </w:t>
      </w:r>
      <w:r w:rsidRPr="00B06476">
        <w:rPr>
          <w:rtl/>
          <w:lang w:eastAsia="en-GB"/>
        </w:rPr>
        <w:t xml:space="preserve">أن الدولة الطرف تشترط أن يكون الأطفال </w:t>
      </w:r>
      <w:proofErr w:type="spellStart"/>
      <w:r w:rsidRPr="00B06476">
        <w:rPr>
          <w:rtl/>
          <w:lang w:eastAsia="en-GB"/>
        </w:rPr>
        <w:t>المولودون</w:t>
      </w:r>
      <w:proofErr w:type="spellEnd"/>
      <w:r w:rsidRPr="00B06476">
        <w:rPr>
          <w:rtl/>
          <w:lang w:eastAsia="en-GB"/>
        </w:rPr>
        <w:t xml:space="preserve"> </w:t>
      </w:r>
      <w:r>
        <w:rPr>
          <w:rtl/>
          <w:lang w:eastAsia="en-GB"/>
        </w:rPr>
        <w:t>بلا جنسية</w:t>
      </w:r>
      <w:r w:rsidRPr="00B06476">
        <w:rPr>
          <w:rtl/>
          <w:lang w:eastAsia="en-GB"/>
        </w:rPr>
        <w:t xml:space="preserve"> في البلد</w:t>
      </w:r>
      <w:r>
        <w:rPr>
          <w:rtl/>
          <w:lang w:eastAsia="en-GB"/>
        </w:rPr>
        <w:t xml:space="preserve"> حائزين</w:t>
      </w:r>
      <w:r w:rsidRPr="00B06476">
        <w:rPr>
          <w:rtl/>
          <w:lang w:eastAsia="en-GB"/>
        </w:rPr>
        <w:t xml:space="preserve"> </w:t>
      </w:r>
      <w:r>
        <w:rPr>
          <w:rtl/>
          <w:lang w:eastAsia="en-GB"/>
        </w:rPr>
        <w:t>ل</w:t>
      </w:r>
      <w:r w:rsidRPr="00B06476">
        <w:rPr>
          <w:rtl/>
          <w:lang w:eastAsia="en-GB"/>
        </w:rPr>
        <w:t>تصريح إقامة قانوني لمدة ثلاث سنوات على الأقل قبل أن يُصبحوا مؤهلين لتقديم طلب الحصول على الجنسية الهولندية</w:t>
      </w:r>
      <w:r w:rsidR="00831949">
        <w:rPr>
          <w:b/>
          <w:sz w:val="18"/>
          <w:vertAlign w:val="superscript"/>
          <w:rtl/>
          <w:lang w:eastAsia="en-GB"/>
        </w:rPr>
        <w:t>(</w:t>
      </w:r>
      <w:r w:rsidR="00831949" w:rsidRPr="001105AE">
        <w:rPr>
          <w:b/>
          <w:sz w:val="18"/>
          <w:vertAlign w:val="superscript"/>
          <w:rtl/>
          <w:lang w:eastAsia="en-GB"/>
        </w:rPr>
        <w:footnoteReference w:id="7"/>
      </w:r>
      <w:r w:rsidR="00831949">
        <w:rPr>
          <w:b/>
          <w:sz w:val="18"/>
          <w:vertAlign w:val="superscript"/>
          <w:rtl/>
          <w:lang w:eastAsia="en-GB"/>
        </w:rPr>
        <w:t>)</w:t>
      </w:r>
      <w:r w:rsidR="001105AE">
        <w:rPr>
          <w:rFonts w:hint="cs"/>
          <w:b/>
          <w:rtl/>
          <w:lang w:eastAsia="en-GB"/>
        </w:rPr>
        <w:t>.</w:t>
      </w:r>
      <w:r w:rsidRPr="00232F49">
        <w:rPr>
          <w:b/>
          <w:rtl/>
          <w:lang w:eastAsia="en-GB"/>
        </w:rPr>
        <w:t xml:space="preserve"> </w:t>
      </w:r>
      <w:r w:rsidRPr="00B06476">
        <w:rPr>
          <w:rtl/>
          <w:lang w:eastAsia="en-GB"/>
        </w:rPr>
        <w:t xml:space="preserve">ويلاحظ صاحب البلاغ أن هذا الموقف يتعارض مع التزامات هولندا بوصفها طرفاً في اتفاقية خفض حالات انعدام الجنسية لعام </w:t>
      </w:r>
      <w:r w:rsidRPr="00D212A8">
        <w:rPr>
          <w:rtl/>
        </w:rPr>
        <w:t>1961</w:t>
      </w:r>
      <w:r w:rsidRPr="00B06476">
        <w:rPr>
          <w:rtl/>
          <w:lang w:eastAsia="en-GB"/>
        </w:rPr>
        <w:t xml:space="preserve">، التي لا </w:t>
      </w:r>
      <w:r>
        <w:rPr>
          <w:rtl/>
          <w:lang w:eastAsia="en-GB"/>
        </w:rPr>
        <w:t>يجوز فيها</w:t>
      </w:r>
      <w:r w:rsidRPr="00B06476">
        <w:rPr>
          <w:rtl/>
          <w:lang w:eastAsia="en-GB"/>
        </w:rPr>
        <w:t xml:space="preserve"> للدول </w:t>
      </w:r>
      <w:r>
        <w:rPr>
          <w:rtl/>
          <w:lang w:eastAsia="en-GB"/>
        </w:rPr>
        <w:t>إلا أن ت</w:t>
      </w:r>
      <w:r w:rsidRPr="00B06476">
        <w:rPr>
          <w:rtl/>
          <w:lang w:eastAsia="en-GB"/>
        </w:rPr>
        <w:t xml:space="preserve">فرض </w:t>
      </w:r>
      <w:r>
        <w:rPr>
          <w:rtl/>
          <w:lang w:eastAsia="en-GB"/>
        </w:rPr>
        <w:t>متطلبات</w:t>
      </w:r>
      <w:r w:rsidRPr="00B06476">
        <w:rPr>
          <w:rtl/>
          <w:lang w:eastAsia="en-GB"/>
        </w:rPr>
        <w:t xml:space="preserve"> مكان الإقامة المعتاد</w:t>
      </w:r>
      <w:r w:rsidR="00831949">
        <w:rPr>
          <w:b/>
          <w:sz w:val="18"/>
          <w:vertAlign w:val="superscript"/>
          <w:rtl/>
          <w:lang w:eastAsia="en-GB"/>
        </w:rPr>
        <w:t>(</w:t>
      </w:r>
      <w:r w:rsidR="00831949" w:rsidRPr="001105AE">
        <w:rPr>
          <w:b/>
          <w:sz w:val="18"/>
          <w:vertAlign w:val="superscript"/>
          <w:rtl/>
          <w:lang w:eastAsia="en-GB"/>
        </w:rPr>
        <w:footnoteReference w:id="8"/>
      </w:r>
      <w:r w:rsidR="00831949">
        <w:rPr>
          <w:b/>
          <w:sz w:val="18"/>
          <w:vertAlign w:val="superscript"/>
          <w:rtl/>
          <w:lang w:eastAsia="en-GB"/>
        </w:rPr>
        <w:t>)</w:t>
      </w:r>
      <w:r w:rsidR="001105AE">
        <w:rPr>
          <w:rFonts w:hint="cs"/>
          <w:b/>
          <w:rtl/>
          <w:lang w:eastAsia="en-GB"/>
        </w:rPr>
        <w:t>.</w:t>
      </w:r>
      <w:r w:rsidRPr="00B06476">
        <w:rPr>
          <w:b/>
          <w:rtl/>
          <w:lang w:eastAsia="en-GB"/>
        </w:rPr>
        <w:t xml:space="preserve"> </w:t>
      </w:r>
      <w:r>
        <w:rPr>
          <w:rtl/>
          <w:lang w:eastAsia="en-GB"/>
        </w:rPr>
        <w:t>وهو يشير إلى</w:t>
      </w:r>
      <w:r w:rsidRPr="00B06476">
        <w:rPr>
          <w:rtl/>
          <w:lang w:eastAsia="en-GB"/>
        </w:rPr>
        <w:t xml:space="preserve"> أن الدولة الطرف أقرت بأن قانونها لا يتماشى مع اتفاقية عام </w:t>
      </w:r>
      <w:r w:rsidRPr="00D212A8">
        <w:rPr>
          <w:rtl/>
        </w:rPr>
        <w:t>1961</w:t>
      </w:r>
      <w:r w:rsidRPr="00B06476">
        <w:rPr>
          <w:rtl/>
          <w:lang w:eastAsia="en-GB"/>
        </w:rPr>
        <w:t>.</w:t>
      </w:r>
    </w:p>
    <w:p w14:paraId="678E2102" w14:textId="77777777" w:rsidR="004F2A82" w:rsidRPr="0068608F" w:rsidRDefault="004F2A82" w:rsidP="004F2A82">
      <w:pPr>
        <w:pStyle w:val="SingleTxtGA"/>
        <w:rPr>
          <w:rFonts w:ascii="Traditional Arabic"/>
          <w:sz w:val="30"/>
          <w:szCs w:val="30"/>
          <w:lang w:eastAsia="en-GB"/>
        </w:rPr>
      </w:pPr>
      <w:r w:rsidRPr="00D212A8">
        <w:rPr>
          <w:rtl/>
        </w:rPr>
        <w:t>2</w:t>
      </w:r>
      <w:r w:rsidRPr="00FC769F">
        <w:rPr>
          <w:rtl/>
        </w:rPr>
        <w:t>-</w:t>
      </w:r>
      <w:r w:rsidRPr="00D212A8">
        <w:rPr>
          <w:rtl/>
        </w:rPr>
        <w:t>8</w:t>
      </w:r>
      <w:r w:rsidRPr="0068608F">
        <w:rPr>
          <w:rFonts w:ascii="Traditional Arabic"/>
          <w:sz w:val="30"/>
          <w:rtl/>
          <w:lang w:eastAsia="en-GB"/>
        </w:rPr>
        <w:tab/>
        <w:t>وفي</w:t>
      </w:r>
      <w:r w:rsidRPr="00B06476">
        <w:rPr>
          <w:rtl/>
          <w:lang w:eastAsia="en-GB"/>
        </w:rPr>
        <w:t xml:space="preserve"> </w:t>
      </w:r>
      <w:r w:rsidRPr="00D212A8">
        <w:rPr>
          <w:rtl/>
        </w:rPr>
        <w:t>26</w:t>
      </w:r>
      <w:r w:rsidRPr="00B06476">
        <w:rPr>
          <w:rtl/>
          <w:lang w:eastAsia="en-GB"/>
        </w:rPr>
        <w:t xml:space="preserve"> آذار/مارس </w:t>
      </w:r>
      <w:r w:rsidRPr="00D212A8">
        <w:rPr>
          <w:rtl/>
        </w:rPr>
        <w:t>2015</w:t>
      </w:r>
      <w:r w:rsidRPr="00B06476">
        <w:rPr>
          <w:rtl/>
          <w:lang w:eastAsia="en-GB"/>
        </w:rPr>
        <w:t xml:space="preserve">، قدم صاحب البلاغ طلباً إلى بلدية كاتفيك للاعتراف به مواطناً هولندياً، بذريعة أنه ينبغي السماح له بالحصول على الجنسية بالرغم من عدم تسجيله </w:t>
      </w:r>
      <w:r>
        <w:rPr>
          <w:rtl/>
          <w:lang w:eastAsia="en-GB"/>
        </w:rPr>
        <w:t>بصفة شخص</w:t>
      </w:r>
      <w:r w:rsidRPr="00B06476">
        <w:rPr>
          <w:rtl/>
          <w:lang w:eastAsia="en-GB"/>
        </w:rPr>
        <w:t xml:space="preserve"> عديم الجنسية، وعدم حصوله على تصريح إقامة في هولندا. واعترف عمدة </w:t>
      </w:r>
      <w:proofErr w:type="spellStart"/>
      <w:r w:rsidRPr="00B06476">
        <w:rPr>
          <w:rtl/>
          <w:lang w:eastAsia="en-GB"/>
        </w:rPr>
        <w:t>كاتويك</w:t>
      </w:r>
      <w:proofErr w:type="spellEnd"/>
      <w:r w:rsidRPr="00B06476">
        <w:rPr>
          <w:rtl/>
          <w:lang w:eastAsia="en-GB"/>
        </w:rPr>
        <w:t xml:space="preserve">، عند رفضه هذا الطلب، بأن الدولة الطرف تفتقر إلى </w:t>
      </w:r>
      <w:r>
        <w:rPr>
          <w:rtl/>
          <w:lang w:eastAsia="en-GB"/>
        </w:rPr>
        <w:t xml:space="preserve">وجود </w:t>
      </w:r>
      <w:r w:rsidRPr="00B06476">
        <w:rPr>
          <w:rtl/>
          <w:lang w:eastAsia="en-GB"/>
        </w:rPr>
        <w:t xml:space="preserve">إجراء لتحديد الوضع، </w:t>
      </w:r>
      <w:r>
        <w:rPr>
          <w:rtl/>
          <w:lang w:eastAsia="en-GB"/>
        </w:rPr>
        <w:t>و</w:t>
      </w:r>
      <w:r w:rsidRPr="00B06476">
        <w:rPr>
          <w:rtl/>
          <w:lang w:eastAsia="en-GB"/>
        </w:rPr>
        <w:t xml:space="preserve">بدونه يستحيل على صاحب البلاغ إثبات أنه عديم الجنسية. وعلى غرار مجلس الدولة، خلص العمدة إلى أن تحديد وضع صاحب البلاغ يتجاوز مسؤولياته بوصفه عمدة. وأيدت لجنة الاستئناف قرار العمدة في </w:t>
      </w:r>
      <w:r w:rsidRPr="00D212A8">
        <w:rPr>
          <w:rtl/>
        </w:rPr>
        <w:t>15</w:t>
      </w:r>
      <w:r w:rsidRPr="00B06476">
        <w:rPr>
          <w:rtl/>
          <w:lang w:eastAsia="en-GB"/>
        </w:rPr>
        <w:t xml:space="preserve"> أيلول/سبتمبر </w:t>
      </w:r>
      <w:r w:rsidRPr="00D212A8">
        <w:rPr>
          <w:rtl/>
        </w:rPr>
        <w:t>2015</w:t>
      </w:r>
      <w:r w:rsidRPr="00B06476">
        <w:rPr>
          <w:rtl/>
          <w:lang w:eastAsia="en-GB"/>
        </w:rPr>
        <w:t xml:space="preserve">، </w:t>
      </w:r>
      <w:r>
        <w:rPr>
          <w:rtl/>
          <w:lang w:eastAsia="en-GB"/>
        </w:rPr>
        <w:t>وذكرت أنه لا يوجد إجراء</w:t>
      </w:r>
      <w:r w:rsidRPr="00B06476">
        <w:rPr>
          <w:rtl/>
          <w:lang w:eastAsia="en-GB"/>
        </w:rPr>
        <w:t xml:space="preserve"> لتحديد حالات انعدام الجنسية، </w:t>
      </w:r>
      <w:r>
        <w:rPr>
          <w:rtl/>
          <w:lang w:eastAsia="en-GB"/>
        </w:rPr>
        <w:t>وأنه ليس من</w:t>
      </w:r>
      <w:r w:rsidRPr="00B06476">
        <w:rPr>
          <w:rtl/>
          <w:lang w:eastAsia="en-GB"/>
        </w:rPr>
        <w:t xml:space="preserve"> مهام العمدة تصحيح هذه "الثغرة القانونية". وطعن صاحب البلاغ في هذا القرار أمام محكمة لاهاي في </w:t>
      </w:r>
      <w:r w:rsidRPr="00D212A8">
        <w:rPr>
          <w:rtl/>
        </w:rPr>
        <w:t>28</w:t>
      </w:r>
      <w:r w:rsidRPr="00B06476">
        <w:rPr>
          <w:rtl/>
          <w:lang w:eastAsia="en-GB"/>
        </w:rPr>
        <w:t xml:space="preserve"> تشرين الأول/أكتوبر </w:t>
      </w:r>
      <w:r w:rsidRPr="00D212A8">
        <w:rPr>
          <w:rtl/>
        </w:rPr>
        <w:t>2015</w:t>
      </w:r>
      <w:r w:rsidRPr="00B06476">
        <w:rPr>
          <w:rFonts w:ascii="Traditional Arabic"/>
          <w:szCs w:val="20"/>
          <w:rtl/>
          <w:lang w:eastAsia="en-GB"/>
        </w:rPr>
        <w:t>.</w:t>
      </w:r>
      <w:r w:rsidRPr="00B06476">
        <w:rPr>
          <w:rtl/>
          <w:lang w:eastAsia="en-GB"/>
        </w:rPr>
        <w:t xml:space="preserve"> ورفضت المحكمة نفسها </w:t>
      </w:r>
      <w:r w:rsidRPr="0068608F">
        <w:rPr>
          <w:rFonts w:ascii="Traditional Arabic"/>
          <w:sz w:val="30"/>
          <w:rtl/>
          <w:lang w:eastAsia="en-GB"/>
        </w:rPr>
        <w:t xml:space="preserve">في </w:t>
      </w:r>
      <w:r w:rsidRPr="00D212A8">
        <w:rPr>
          <w:rtl/>
        </w:rPr>
        <w:t>3</w:t>
      </w:r>
      <w:r w:rsidRPr="00B06476">
        <w:rPr>
          <w:rtl/>
          <w:lang w:eastAsia="en-GB"/>
        </w:rPr>
        <w:t xml:space="preserve"> آذار/مارس </w:t>
      </w:r>
      <w:r w:rsidRPr="00D212A8">
        <w:rPr>
          <w:rtl/>
        </w:rPr>
        <w:t>2016</w:t>
      </w:r>
      <w:r w:rsidRPr="00B06476">
        <w:rPr>
          <w:rtl/>
          <w:lang w:eastAsia="en-GB"/>
        </w:rPr>
        <w:t xml:space="preserve"> هذا الطعن على أساس أن صاحب البلاغ لم يُسجل </w:t>
      </w:r>
      <w:r>
        <w:rPr>
          <w:rtl/>
          <w:lang w:eastAsia="en-GB"/>
        </w:rPr>
        <w:t xml:space="preserve">بصفة </w:t>
      </w:r>
      <w:r w:rsidRPr="00B06476">
        <w:rPr>
          <w:rtl/>
          <w:lang w:eastAsia="en-GB"/>
        </w:rPr>
        <w:t xml:space="preserve">عديم الجنسية. وأيد مجلس الدولة هذا القرار في </w:t>
      </w:r>
      <w:r w:rsidRPr="00D212A8">
        <w:rPr>
          <w:rtl/>
        </w:rPr>
        <w:t>2</w:t>
      </w:r>
      <w:r w:rsidRPr="00B06476">
        <w:rPr>
          <w:rtl/>
          <w:lang w:eastAsia="en-GB"/>
        </w:rPr>
        <w:t xml:space="preserve"> تشرين الثاني/نوفمبر </w:t>
      </w:r>
      <w:r w:rsidRPr="00D212A8">
        <w:rPr>
          <w:rtl/>
        </w:rPr>
        <w:t>2016</w:t>
      </w:r>
      <w:r w:rsidRPr="0068608F">
        <w:rPr>
          <w:rFonts w:ascii="Traditional Arabic"/>
          <w:sz w:val="30"/>
          <w:rtl/>
          <w:lang w:eastAsia="en-GB"/>
        </w:rPr>
        <w:t>.</w:t>
      </w:r>
    </w:p>
    <w:p w14:paraId="52952AFC" w14:textId="612F3E9F" w:rsidR="004F2A82" w:rsidRPr="00B06476" w:rsidRDefault="004F2A82" w:rsidP="004F2A82">
      <w:pPr>
        <w:pStyle w:val="SingleTxtGA"/>
        <w:rPr>
          <w:szCs w:val="20"/>
          <w:lang w:val="ar-SA" w:eastAsia="zh-TW" w:bidi="en-GB"/>
        </w:rPr>
      </w:pPr>
      <w:r w:rsidRPr="00D212A8">
        <w:rPr>
          <w:rtl/>
        </w:rPr>
        <w:t>2</w:t>
      </w:r>
      <w:r w:rsidRPr="00FC769F">
        <w:rPr>
          <w:rtl/>
        </w:rPr>
        <w:t>-</w:t>
      </w:r>
      <w:r w:rsidRPr="00D212A8">
        <w:rPr>
          <w:rtl/>
        </w:rPr>
        <w:t>9</w:t>
      </w:r>
      <w:r w:rsidRPr="0068608F">
        <w:rPr>
          <w:rFonts w:ascii="Traditional Arabic"/>
          <w:sz w:val="30"/>
          <w:rtl/>
          <w:lang w:eastAsia="en-GB"/>
        </w:rPr>
        <w:tab/>
        <w:t xml:space="preserve">ويعيش صاحب البلاغ مع والدته في مركز </w:t>
      </w:r>
      <w:r>
        <w:rPr>
          <w:rFonts w:ascii="Traditional Arabic"/>
          <w:sz w:val="30"/>
          <w:rtl/>
          <w:lang w:eastAsia="en-GB"/>
        </w:rPr>
        <w:t xml:space="preserve">من مراكز </w:t>
      </w:r>
      <w:r w:rsidRPr="0068608F">
        <w:rPr>
          <w:rFonts w:ascii="Traditional Arabic"/>
          <w:sz w:val="30"/>
          <w:rtl/>
          <w:lang w:eastAsia="en-GB"/>
        </w:rPr>
        <w:t>الحرية المقي</w:t>
      </w:r>
      <w:r>
        <w:rPr>
          <w:rFonts w:ascii="Traditional Arabic"/>
          <w:sz w:val="30"/>
          <w:rtl/>
          <w:lang w:eastAsia="en-GB"/>
        </w:rPr>
        <w:t>َّ</w:t>
      </w:r>
      <w:r w:rsidRPr="0068608F">
        <w:rPr>
          <w:rFonts w:ascii="Traditional Arabic"/>
          <w:sz w:val="30"/>
          <w:rtl/>
          <w:lang w:eastAsia="en-GB"/>
        </w:rPr>
        <w:t>دة المخصص</w:t>
      </w:r>
      <w:r>
        <w:rPr>
          <w:rFonts w:ascii="Traditional Arabic"/>
          <w:sz w:val="30"/>
          <w:rtl/>
          <w:lang w:eastAsia="en-GB"/>
        </w:rPr>
        <w:t>ة لملتمسي</w:t>
      </w:r>
      <w:r w:rsidRPr="0068608F">
        <w:rPr>
          <w:rFonts w:ascii="Traditional Arabic"/>
          <w:sz w:val="30"/>
          <w:rtl/>
          <w:lang w:eastAsia="en-GB"/>
        </w:rPr>
        <w:t xml:space="preserve"> اللجوء الذين</w:t>
      </w:r>
      <w:r w:rsidRPr="00B06476">
        <w:rPr>
          <w:rtl/>
          <w:lang w:eastAsia="en-GB"/>
        </w:rPr>
        <w:t xml:space="preserve"> رُفضت طلباتهم ول</w:t>
      </w:r>
      <w:r>
        <w:rPr>
          <w:rtl/>
          <w:lang w:eastAsia="en-GB"/>
        </w:rPr>
        <w:t xml:space="preserve">ديهم </w:t>
      </w:r>
      <w:r w:rsidRPr="00B06476">
        <w:rPr>
          <w:rtl/>
          <w:lang w:eastAsia="en-GB"/>
        </w:rPr>
        <w:t xml:space="preserve">أطفال صغار. وليس </w:t>
      </w:r>
      <w:r>
        <w:rPr>
          <w:rtl/>
          <w:lang w:eastAsia="en-GB"/>
        </w:rPr>
        <w:t>لديه</w:t>
      </w:r>
      <w:r w:rsidRPr="00B06476">
        <w:rPr>
          <w:rtl/>
          <w:lang w:eastAsia="en-GB"/>
        </w:rPr>
        <w:t xml:space="preserve"> أي تفاعل تقريباً مع المجتمع الهولندي، ويعيش تحت تهديد دائم بالترحيل</w:t>
      </w:r>
      <w:r>
        <w:rPr>
          <w:rtl/>
          <w:lang w:eastAsia="en-GB"/>
        </w:rPr>
        <w:t>.</w:t>
      </w:r>
      <w:r w:rsidRPr="00B06476">
        <w:rPr>
          <w:rtl/>
          <w:lang w:eastAsia="en-GB"/>
        </w:rPr>
        <w:t xml:space="preserve"> ووالدته غير مؤهلة للحصول على أي استحقاقات اجتماعية، ما عدا إعانة أسبوعية </w:t>
      </w:r>
      <w:r>
        <w:rPr>
          <w:rtl/>
          <w:lang w:eastAsia="en-GB"/>
        </w:rPr>
        <w:t>صغيرة</w:t>
      </w:r>
      <w:r w:rsidRPr="00B06476">
        <w:rPr>
          <w:rtl/>
          <w:lang w:eastAsia="en-GB"/>
        </w:rPr>
        <w:t>. و</w:t>
      </w:r>
      <w:r>
        <w:rPr>
          <w:rtl/>
          <w:lang w:eastAsia="en-GB"/>
        </w:rPr>
        <w:t xml:space="preserve">القصد من </w:t>
      </w:r>
      <w:r w:rsidRPr="00B06476">
        <w:rPr>
          <w:rtl/>
          <w:lang w:eastAsia="en-GB"/>
        </w:rPr>
        <w:t>مراكز الحرية المقي</w:t>
      </w:r>
      <w:r>
        <w:rPr>
          <w:rtl/>
          <w:lang w:eastAsia="en-GB"/>
        </w:rPr>
        <w:t>َّ</w:t>
      </w:r>
      <w:r w:rsidRPr="00B06476">
        <w:rPr>
          <w:rtl/>
          <w:lang w:eastAsia="en-GB"/>
        </w:rPr>
        <w:t xml:space="preserve">دة في الدولة الطرف </w:t>
      </w:r>
      <w:r>
        <w:rPr>
          <w:rtl/>
          <w:lang w:eastAsia="en-GB"/>
        </w:rPr>
        <w:t xml:space="preserve">هي أن تكون بمثابة </w:t>
      </w:r>
      <w:r w:rsidRPr="00B06476">
        <w:rPr>
          <w:rtl/>
          <w:lang w:eastAsia="en-GB"/>
        </w:rPr>
        <w:t xml:space="preserve">مرافق بسيطة ومؤقتة، لكن صاحب البلاغ </w:t>
      </w:r>
      <w:r>
        <w:rPr>
          <w:rtl/>
          <w:lang w:eastAsia="en-GB"/>
        </w:rPr>
        <w:t>يشير</w:t>
      </w:r>
      <w:r w:rsidRPr="00B06476">
        <w:rPr>
          <w:rtl/>
          <w:lang w:eastAsia="en-GB"/>
        </w:rPr>
        <w:t xml:space="preserve">، </w:t>
      </w:r>
      <w:r>
        <w:rPr>
          <w:rtl/>
          <w:lang w:eastAsia="en-GB"/>
        </w:rPr>
        <w:t>وقت</w:t>
      </w:r>
      <w:r w:rsidRPr="00B06476">
        <w:rPr>
          <w:rtl/>
          <w:lang w:eastAsia="en-GB"/>
        </w:rPr>
        <w:t xml:space="preserve"> تقديم بلاغه إلى اللجنة، </w:t>
      </w:r>
      <w:r>
        <w:rPr>
          <w:rtl/>
          <w:lang w:eastAsia="en-GB"/>
        </w:rPr>
        <w:t xml:space="preserve">إلى </w:t>
      </w:r>
      <w:r w:rsidRPr="00B06476">
        <w:rPr>
          <w:rtl/>
          <w:lang w:eastAsia="en-GB"/>
        </w:rPr>
        <w:t xml:space="preserve">أنه أقام هو ووالدته في هذا المركز </w:t>
      </w:r>
      <w:r>
        <w:rPr>
          <w:rtl/>
          <w:lang w:eastAsia="en-GB"/>
        </w:rPr>
        <w:t>ل</w:t>
      </w:r>
      <w:r w:rsidRPr="00B06476">
        <w:rPr>
          <w:rtl/>
          <w:lang w:eastAsia="en-GB"/>
        </w:rPr>
        <w:t xml:space="preserve">مدة ثلاث سنوات. </w:t>
      </w:r>
      <w:r>
        <w:rPr>
          <w:rtl/>
          <w:lang w:eastAsia="en-GB"/>
        </w:rPr>
        <w:t xml:space="preserve">وهو يشير أيضاً إلى </w:t>
      </w:r>
      <w:r w:rsidRPr="00B06476">
        <w:rPr>
          <w:rtl/>
          <w:lang w:eastAsia="en-GB"/>
        </w:rPr>
        <w:t>أن هذا النظام تعرض لانتقادات شديدة من جانب جماعات حقوق الطفل، باعتبار</w:t>
      </w:r>
      <w:r>
        <w:rPr>
          <w:rtl/>
          <w:lang w:eastAsia="en-GB"/>
        </w:rPr>
        <w:t xml:space="preserve"> هذه المراكز</w:t>
      </w:r>
      <w:r w:rsidRPr="00B06476">
        <w:rPr>
          <w:rtl/>
          <w:lang w:eastAsia="en-GB"/>
        </w:rPr>
        <w:t xml:space="preserve"> ضارة </w:t>
      </w:r>
      <w:r>
        <w:rPr>
          <w:rtl/>
          <w:lang w:eastAsia="en-GB"/>
        </w:rPr>
        <w:t xml:space="preserve">بالأطفال </w:t>
      </w:r>
      <w:r w:rsidRPr="00B06476">
        <w:rPr>
          <w:rtl/>
          <w:lang w:eastAsia="en-GB"/>
        </w:rPr>
        <w:t xml:space="preserve">وصادمة </w:t>
      </w:r>
      <w:r>
        <w:rPr>
          <w:rtl/>
          <w:lang w:eastAsia="en-GB"/>
        </w:rPr>
        <w:t>لهم</w:t>
      </w:r>
      <w:r w:rsidRPr="00B06476">
        <w:rPr>
          <w:rtl/>
          <w:lang w:eastAsia="en-GB"/>
        </w:rPr>
        <w:t xml:space="preserve"> بوجه خاص</w:t>
      </w:r>
      <w:r w:rsidR="00831949">
        <w:rPr>
          <w:b/>
          <w:sz w:val="18"/>
          <w:vertAlign w:val="superscript"/>
          <w:rtl/>
          <w:lang w:eastAsia="en-GB"/>
        </w:rPr>
        <w:t>(</w:t>
      </w:r>
      <w:r w:rsidR="00831949" w:rsidRPr="001105AE">
        <w:rPr>
          <w:b/>
          <w:sz w:val="18"/>
          <w:vertAlign w:val="superscript"/>
          <w:rtl/>
          <w:lang w:eastAsia="en-GB"/>
        </w:rPr>
        <w:footnoteReference w:id="9"/>
      </w:r>
      <w:r w:rsidR="00831949">
        <w:rPr>
          <w:b/>
          <w:sz w:val="18"/>
          <w:vertAlign w:val="superscript"/>
          <w:rtl/>
          <w:lang w:eastAsia="en-GB"/>
        </w:rPr>
        <w:t>)</w:t>
      </w:r>
      <w:r w:rsidR="001105AE">
        <w:rPr>
          <w:rFonts w:hint="cs"/>
          <w:rtl/>
          <w:lang w:eastAsia="en-GB"/>
        </w:rPr>
        <w:t>.</w:t>
      </w:r>
      <w:r w:rsidRPr="00B06476">
        <w:rPr>
          <w:rtl/>
          <w:lang w:eastAsia="en-GB"/>
        </w:rPr>
        <w:t xml:space="preserve"> ولا يُسمح للمقيمين </w:t>
      </w:r>
      <w:r>
        <w:rPr>
          <w:rtl/>
          <w:lang w:eastAsia="en-GB"/>
        </w:rPr>
        <w:t xml:space="preserve">فيها </w:t>
      </w:r>
      <w:r w:rsidRPr="00B06476">
        <w:rPr>
          <w:rtl/>
          <w:lang w:eastAsia="en-GB"/>
        </w:rPr>
        <w:t xml:space="preserve">بمغادرة منطقة البلدية المخصصة لهم، وتُفرض عليهم شروط صارمة بمراجعة الإدارة يومياً، </w:t>
      </w:r>
      <w:r w:rsidRPr="00B06476">
        <w:rPr>
          <w:rtl/>
          <w:lang w:eastAsia="en-GB"/>
        </w:rPr>
        <w:lastRenderedPageBreak/>
        <w:t xml:space="preserve">ما عدا أيام الأحد، </w:t>
      </w:r>
      <w:r>
        <w:rPr>
          <w:rtl/>
          <w:lang w:eastAsia="en-GB"/>
        </w:rPr>
        <w:t>يجري إنفاذها عن طريق التهديد</w:t>
      </w:r>
      <w:r w:rsidRPr="00B06476">
        <w:rPr>
          <w:rtl/>
          <w:lang w:eastAsia="en-GB"/>
        </w:rPr>
        <w:t xml:space="preserve"> بإيداعهم </w:t>
      </w:r>
      <w:r>
        <w:rPr>
          <w:rtl/>
          <w:lang w:eastAsia="en-GB"/>
        </w:rPr>
        <w:t>في</w:t>
      </w:r>
      <w:r w:rsidRPr="00B06476">
        <w:rPr>
          <w:rtl/>
          <w:lang w:eastAsia="en-GB"/>
        </w:rPr>
        <w:t xml:space="preserve"> الاحتجاز الجنائي. ويعاني الأطفال باستمرار من الخوف، والمشاكل الصحية، والتوترات الأسرية، والاستبعاد الاجتماعي بسبب العيش تحت </w:t>
      </w:r>
      <w:r>
        <w:rPr>
          <w:rtl/>
          <w:lang w:eastAsia="en-GB"/>
        </w:rPr>
        <w:t xml:space="preserve">هذه </w:t>
      </w:r>
      <w:r w:rsidRPr="00B06476">
        <w:rPr>
          <w:rtl/>
          <w:lang w:eastAsia="en-GB"/>
        </w:rPr>
        <w:t>القيود في هذه المراكز.</w:t>
      </w:r>
    </w:p>
    <w:p w14:paraId="3F9ED68B" w14:textId="77777777" w:rsidR="004F2A82" w:rsidRPr="0068608F" w:rsidRDefault="004F2A82" w:rsidP="004F2A82">
      <w:pPr>
        <w:pStyle w:val="H23GA"/>
        <w:rPr>
          <w:rFonts w:ascii="Traditional Arabic" w:hint="cs"/>
          <w:sz w:val="30"/>
          <w:szCs w:val="30"/>
          <w:rtl/>
        </w:rPr>
      </w:pPr>
      <w:r w:rsidRPr="00B06476">
        <w:rPr>
          <w:rtl/>
        </w:rPr>
        <w:tab/>
      </w:r>
      <w:r w:rsidRPr="00B06476">
        <w:rPr>
          <w:rtl/>
        </w:rPr>
        <w:tab/>
        <w:t>الشكوى</w:t>
      </w:r>
    </w:p>
    <w:p w14:paraId="4B9979E6" w14:textId="77777777" w:rsidR="004F2A82" w:rsidRPr="00B06476" w:rsidRDefault="004F2A82" w:rsidP="004F2A82">
      <w:pPr>
        <w:pStyle w:val="SingleTxtGA"/>
        <w:rPr>
          <w:szCs w:val="20"/>
          <w:lang w:val="ar-SA" w:eastAsia="zh-TW" w:bidi="en-GB"/>
        </w:rPr>
      </w:pPr>
      <w:r w:rsidRPr="00D212A8">
        <w:rPr>
          <w:rtl/>
        </w:rPr>
        <w:t>3</w:t>
      </w:r>
      <w:r w:rsidRPr="00FC769F">
        <w:rPr>
          <w:rtl/>
        </w:rPr>
        <w:t>-</w:t>
      </w:r>
      <w:r w:rsidRPr="00D212A8">
        <w:rPr>
          <w:rtl/>
        </w:rPr>
        <w:t>1</w:t>
      </w:r>
      <w:r w:rsidRPr="0068608F">
        <w:rPr>
          <w:rFonts w:ascii="Traditional Arabic"/>
          <w:sz w:val="30"/>
          <w:rtl/>
          <w:lang w:eastAsia="en-GB"/>
        </w:rPr>
        <w:tab/>
      </w:r>
      <w:r>
        <w:rPr>
          <w:rFonts w:ascii="Traditional Arabic"/>
          <w:sz w:val="30"/>
          <w:rtl/>
          <w:lang w:eastAsia="en-GB"/>
        </w:rPr>
        <w:t>يذكر</w:t>
      </w:r>
      <w:r w:rsidRPr="0068608F">
        <w:rPr>
          <w:rFonts w:ascii="Traditional Arabic"/>
          <w:sz w:val="30"/>
          <w:rtl/>
          <w:lang w:eastAsia="en-GB"/>
        </w:rPr>
        <w:t xml:space="preserve"> </w:t>
      </w:r>
      <w:r w:rsidRPr="00B06476">
        <w:rPr>
          <w:rtl/>
          <w:lang w:eastAsia="en-GB"/>
        </w:rPr>
        <w:t xml:space="preserve">صاحب البلاغ أن عدم توافر فرصة موثوقة له لاكتساب جنسية في طفولته، وسنوات المتاهة التي عاناها في السابق بسبب </w:t>
      </w:r>
      <w:r>
        <w:rPr>
          <w:rtl/>
          <w:lang w:eastAsia="en-GB"/>
        </w:rPr>
        <w:t>النهْج المتشدد</w:t>
      </w:r>
      <w:r w:rsidRPr="00B06476">
        <w:rPr>
          <w:rtl/>
          <w:lang w:eastAsia="en-GB"/>
        </w:rPr>
        <w:t xml:space="preserve"> للدولة الطرف في معالجة مسألة انعدام الجنسية والقواعد ذات الصلة </w:t>
      </w:r>
      <w:r>
        <w:rPr>
          <w:rtl/>
          <w:lang w:eastAsia="en-GB"/>
        </w:rPr>
        <w:t xml:space="preserve">بشأن </w:t>
      </w:r>
      <w:r w:rsidRPr="00B06476">
        <w:rPr>
          <w:rtl/>
          <w:lang w:eastAsia="en-GB"/>
        </w:rPr>
        <w:t xml:space="preserve">حقوق الإقامة واكتساب الجنسية، </w:t>
      </w:r>
      <w:r>
        <w:rPr>
          <w:rtl/>
          <w:lang w:eastAsia="en-GB"/>
        </w:rPr>
        <w:t xml:space="preserve">هي جميعها </w:t>
      </w:r>
      <w:r w:rsidRPr="00B06476">
        <w:rPr>
          <w:rtl/>
          <w:lang w:eastAsia="en-GB"/>
        </w:rPr>
        <w:t xml:space="preserve">تنتهك حقه في اكتساب جنسية المنصوص عليه في المادة </w:t>
      </w:r>
      <w:r w:rsidRPr="00D212A8">
        <w:rPr>
          <w:rtl/>
        </w:rPr>
        <w:t>24(3)</w:t>
      </w:r>
      <w:r w:rsidRPr="00B06476">
        <w:rPr>
          <w:rtl/>
          <w:lang w:eastAsia="en-GB"/>
        </w:rPr>
        <w:t xml:space="preserve"> من العهد. </w:t>
      </w:r>
      <w:r>
        <w:rPr>
          <w:rtl/>
          <w:lang w:eastAsia="en-GB"/>
        </w:rPr>
        <w:t>ويشير</w:t>
      </w:r>
      <w:r w:rsidRPr="00B06476">
        <w:rPr>
          <w:rtl/>
          <w:lang w:eastAsia="en-GB"/>
        </w:rPr>
        <w:t xml:space="preserve"> صاحب البلاغ </w:t>
      </w:r>
      <w:r>
        <w:rPr>
          <w:rtl/>
          <w:lang w:eastAsia="en-GB"/>
        </w:rPr>
        <w:t xml:space="preserve">إلى </w:t>
      </w:r>
      <w:r w:rsidRPr="00B06476">
        <w:rPr>
          <w:rtl/>
          <w:lang w:eastAsia="en-GB"/>
        </w:rPr>
        <w:t xml:space="preserve">أنه كان، وقت تقديم بلاغه إلى اللجنة، </w:t>
      </w:r>
      <w:r>
        <w:rPr>
          <w:rtl/>
          <w:lang w:eastAsia="en-GB"/>
        </w:rPr>
        <w:t>مسجَّلاً</w:t>
      </w:r>
      <w:r w:rsidRPr="00B06476">
        <w:rPr>
          <w:rtl/>
          <w:lang w:eastAsia="en-GB"/>
        </w:rPr>
        <w:t xml:space="preserve"> في خانة "جنسية غير معروفة" طوال ست سنوات في بلد ولادته، وهو البلد الوحيد الذي عاش فيه في أي وقت من الأوقات، دون أن يكون هناك احتمال </w:t>
      </w:r>
      <w:r>
        <w:rPr>
          <w:rtl/>
          <w:lang w:eastAsia="en-GB"/>
        </w:rPr>
        <w:t xml:space="preserve">لاكتسابه </w:t>
      </w:r>
      <w:r w:rsidRPr="00B06476">
        <w:rPr>
          <w:rtl/>
          <w:lang w:eastAsia="en-GB"/>
        </w:rPr>
        <w:t xml:space="preserve">جنسية، أو حتى </w:t>
      </w:r>
      <w:r>
        <w:rPr>
          <w:rtl/>
          <w:lang w:eastAsia="en-GB"/>
        </w:rPr>
        <w:t>ل</w:t>
      </w:r>
      <w:r w:rsidRPr="00B06476">
        <w:rPr>
          <w:rtl/>
          <w:lang w:eastAsia="en-GB"/>
        </w:rPr>
        <w:t xml:space="preserve">إثبات أنه عديم الجنسية </w:t>
      </w:r>
      <w:r>
        <w:rPr>
          <w:rtl/>
          <w:lang w:eastAsia="en-GB"/>
        </w:rPr>
        <w:t xml:space="preserve">إثباتاً </w:t>
      </w:r>
      <w:r w:rsidRPr="00B06476">
        <w:rPr>
          <w:rtl/>
          <w:lang w:eastAsia="en-GB"/>
        </w:rPr>
        <w:t xml:space="preserve">رسمياً باعتبار ذلك شرطاً مسبقاً </w:t>
      </w:r>
      <w:r>
        <w:rPr>
          <w:rtl/>
          <w:lang w:eastAsia="en-GB"/>
        </w:rPr>
        <w:t>لاكتساب</w:t>
      </w:r>
      <w:r w:rsidRPr="00B06476">
        <w:rPr>
          <w:rtl/>
          <w:lang w:eastAsia="en-GB"/>
        </w:rPr>
        <w:t xml:space="preserve"> الجنسية. ويدفع صاحب البلاغ بأن من المهم، عند النظر في النطاق العام </w:t>
      </w:r>
      <w:r w:rsidRPr="0068608F">
        <w:rPr>
          <w:sz w:val="30"/>
          <w:rtl/>
          <w:lang w:eastAsia="en-GB"/>
        </w:rPr>
        <w:t xml:space="preserve">للمادة </w:t>
      </w:r>
      <w:r w:rsidRPr="00D212A8">
        <w:rPr>
          <w:rtl/>
        </w:rPr>
        <w:t>24(3)</w:t>
      </w:r>
      <w:r w:rsidRPr="0068608F">
        <w:rPr>
          <w:sz w:val="30"/>
          <w:rtl/>
          <w:lang w:eastAsia="en-GB"/>
        </w:rPr>
        <w:t>،</w:t>
      </w:r>
      <w:r w:rsidRPr="00B06476">
        <w:rPr>
          <w:rtl/>
          <w:lang w:eastAsia="en-GB"/>
        </w:rPr>
        <w:t xml:space="preserve"> الاعتراف بالصلات القائمة بين الحق في اكتساب الجنسية والحق في تمتع الفرد ب</w:t>
      </w:r>
      <w:r>
        <w:rPr>
          <w:rtl/>
          <w:lang w:eastAsia="en-GB"/>
        </w:rPr>
        <w:t>ال</w:t>
      </w:r>
      <w:r w:rsidRPr="00B06476">
        <w:rPr>
          <w:rtl/>
          <w:lang w:eastAsia="en-GB"/>
        </w:rPr>
        <w:t xml:space="preserve">شخصية </w:t>
      </w:r>
      <w:r>
        <w:rPr>
          <w:rtl/>
          <w:lang w:eastAsia="en-GB"/>
        </w:rPr>
        <w:t>القانونية</w:t>
      </w:r>
      <w:r w:rsidRPr="00B06476">
        <w:rPr>
          <w:rtl/>
          <w:lang w:eastAsia="en-GB"/>
        </w:rPr>
        <w:t xml:space="preserve"> واحترام كرامته الإنسانية </w:t>
      </w:r>
      <w:r w:rsidRPr="00FC769F">
        <w:rPr>
          <w:rtl/>
        </w:rPr>
        <w:t>-</w:t>
      </w:r>
      <w:r w:rsidRPr="00B06476">
        <w:rPr>
          <w:rtl/>
          <w:lang w:eastAsia="en-GB"/>
        </w:rPr>
        <w:t xml:space="preserve"> والاعتراف بالمسؤولية عن ضمان </w:t>
      </w:r>
      <w:r>
        <w:rPr>
          <w:rtl/>
          <w:lang w:eastAsia="en-GB"/>
        </w:rPr>
        <w:t>النمو</w:t>
      </w:r>
      <w:r w:rsidRPr="00B06476">
        <w:rPr>
          <w:rtl/>
          <w:lang w:eastAsia="en-GB"/>
        </w:rPr>
        <w:t xml:space="preserve"> الشخصي </w:t>
      </w:r>
      <w:r>
        <w:rPr>
          <w:rtl/>
          <w:lang w:eastAsia="en-GB"/>
        </w:rPr>
        <w:t>للطفل</w:t>
      </w:r>
      <w:r w:rsidRPr="00B06476">
        <w:rPr>
          <w:rtl/>
          <w:lang w:eastAsia="en-GB"/>
        </w:rPr>
        <w:t xml:space="preserve"> </w:t>
      </w:r>
      <w:r>
        <w:rPr>
          <w:rtl/>
          <w:lang w:eastAsia="en-GB"/>
        </w:rPr>
        <w:t xml:space="preserve">منذ ولادته </w:t>
      </w:r>
      <w:r w:rsidRPr="00B06476">
        <w:rPr>
          <w:rtl/>
          <w:lang w:eastAsia="en-GB"/>
        </w:rPr>
        <w:t xml:space="preserve">فيما يتعلق بهذه الجوانب الهامة للهوية الفردية. </w:t>
      </w:r>
    </w:p>
    <w:p w14:paraId="59E63981" w14:textId="77777777" w:rsidR="004F2A82" w:rsidRPr="0068608F" w:rsidRDefault="004F2A82" w:rsidP="004F2A82">
      <w:pPr>
        <w:pStyle w:val="SingleTxtGA"/>
        <w:rPr>
          <w:sz w:val="30"/>
          <w:szCs w:val="30"/>
          <w:lang w:eastAsia="en-GB"/>
        </w:rPr>
      </w:pPr>
      <w:r w:rsidRPr="00D212A8">
        <w:rPr>
          <w:rtl/>
        </w:rPr>
        <w:t>3</w:t>
      </w:r>
      <w:r w:rsidRPr="00FC769F">
        <w:rPr>
          <w:rtl/>
        </w:rPr>
        <w:t>-</w:t>
      </w:r>
      <w:r w:rsidRPr="00D212A8">
        <w:rPr>
          <w:rtl/>
        </w:rPr>
        <w:t>2</w:t>
      </w:r>
      <w:r w:rsidRPr="00B06476">
        <w:rPr>
          <w:rtl/>
          <w:lang w:eastAsia="en-GB"/>
        </w:rPr>
        <w:tab/>
        <w:t>ويد</w:t>
      </w:r>
      <w:r>
        <w:rPr>
          <w:rtl/>
          <w:lang w:eastAsia="en-GB"/>
        </w:rPr>
        <w:t>ّ</w:t>
      </w:r>
      <w:r w:rsidRPr="00B06476">
        <w:rPr>
          <w:rtl/>
          <w:lang w:eastAsia="en-GB"/>
        </w:rPr>
        <w:t xml:space="preserve">عي صاحب البلاغ كذلك أن الدولة الطرف لم تف بالتزامها بضمان تمتع كل طفل، بمن فيهم الأطفال عديمو الجنسية والأطفال </w:t>
      </w:r>
      <w:proofErr w:type="spellStart"/>
      <w:r w:rsidRPr="00B06476">
        <w:rPr>
          <w:rtl/>
          <w:lang w:eastAsia="en-GB"/>
        </w:rPr>
        <w:t>المولودون</w:t>
      </w:r>
      <w:proofErr w:type="spellEnd"/>
      <w:r w:rsidRPr="00B06476">
        <w:rPr>
          <w:rtl/>
          <w:lang w:eastAsia="en-GB"/>
        </w:rPr>
        <w:t xml:space="preserve"> لأبوين في وضع مهاجرين غير نظاميين، بجميع الحقوق المنصوص عليها في العهد، وأن في ذلك انتهاكاً لحقوقه المنصوص عليها في المادة </w:t>
      </w:r>
      <w:r w:rsidRPr="00D212A8">
        <w:rPr>
          <w:rtl/>
        </w:rPr>
        <w:t>24</w:t>
      </w:r>
      <w:r w:rsidRPr="00B06476">
        <w:rPr>
          <w:rtl/>
          <w:lang w:eastAsia="en-GB"/>
        </w:rPr>
        <w:t xml:space="preserve">، مقروءة وحدها وبالاقتران مع المادة </w:t>
      </w:r>
      <w:r w:rsidRPr="00D212A8">
        <w:rPr>
          <w:rtl/>
        </w:rPr>
        <w:t>2(2)</w:t>
      </w:r>
      <w:r w:rsidRPr="00B06476">
        <w:rPr>
          <w:rtl/>
          <w:lang w:eastAsia="en-GB"/>
        </w:rPr>
        <w:t xml:space="preserve"> من العهد. ويدفع صاحب البلاغ بأن انتهاك حقه في اكتساب جنسية ليس نتيجة قرار منعزل أو خاص بحالته</w:t>
      </w:r>
      <w:r>
        <w:rPr>
          <w:rtl/>
          <w:lang w:eastAsia="en-GB"/>
        </w:rPr>
        <w:t>.</w:t>
      </w:r>
      <w:r w:rsidRPr="00B06476">
        <w:rPr>
          <w:rtl/>
          <w:lang w:eastAsia="en-GB"/>
        </w:rPr>
        <w:t xml:space="preserve"> بل </w:t>
      </w:r>
      <w:r>
        <w:rPr>
          <w:rtl/>
          <w:lang w:eastAsia="en-GB"/>
        </w:rPr>
        <w:t xml:space="preserve">هذا الانتهاك </w:t>
      </w:r>
      <w:r w:rsidRPr="00B06476">
        <w:rPr>
          <w:rtl/>
          <w:lang w:eastAsia="en-GB"/>
        </w:rPr>
        <w:t>هو نتيجة مباشرة لعدم إعمال سلطات الدولة الطرف</w:t>
      </w:r>
      <w:r>
        <w:rPr>
          <w:rtl/>
          <w:lang w:eastAsia="en-GB"/>
        </w:rPr>
        <w:t>،</w:t>
      </w:r>
      <w:r w:rsidRPr="00B06476">
        <w:rPr>
          <w:rtl/>
          <w:lang w:eastAsia="en-GB"/>
        </w:rPr>
        <w:t xml:space="preserve"> ضمن تشريعاتها الوطنية والقواعد الإدارية التي تحكم التسجيل المدني والجنسية والهجرة</w:t>
      </w:r>
      <w:r>
        <w:rPr>
          <w:rtl/>
          <w:lang w:eastAsia="en-GB"/>
        </w:rPr>
        <w:t>،</w:t>
      </w:r>
      <w:r w:rsidRPr="00133B0F">
        <w:rPr>
          <w:rtl/>
          <w:lang w:eastAsia="en-GB"/>
        </w:rPr>
        <w:t xml:space="preserve"> </w:t>
      </w:r>
      <w:r w:rsidRPr="00B06476">
        <w:rPr>
          <w:rtl/>
          <w:lang w:eastAsia="en-GB"/>
        </w:rPr>
        <w:t xml:space="preserve">للحقوق المنصوص عليها في المادة </w:t>
      </w:r>
      <w:r w:rsidRPr="00D212A8">
        <w:rPr>
          <w:rtl/>
        </w:rPr>
        <w:t>24</w:t>
      </w:r>
      <w:r w:rsidRPr="00B06476">
        <w:rPr>
          <w:rtl/>
          <w:lang w:eastAsia="en-GB"/>
        </w:rPr>
        <w:t xml:space="preserve">. ويدفع صاحب البلاغ بأن الحماية القانونية المحلية من انعدام الجنسية غير كافية: </w:t>
      </w:r>
      <w:r w:rsidRPr="00D212A8">
        <w:rPr>
          <w:rtl/>
        </w:rPr>
        <w:t>(</w:t>
      </w:r>
      <w:r w:rsidRPr="00B06476">
        <w:rPr>
          <w:rtl/>
          <w:lang w:eastAsia="en-GB"/>
        </w:rPr>
        <w:t>أ</w:t>
      </w:r>
      <w:r w:rsidRPr="00D212A8">
        <w:rPr>
          <w:rtl/>
        </w:rPr>
        <w:t>)</w:t>
      </w:r>
      <w:r w:rsidRPr="00B06476">
        <w:rPr>
          <w:rtl/>
          <w:lang w:eastAsia="en-GB"/>
        </w:rPr>
        <w:t xml:space="preserve"> لأن الدولة الطرف لا تزال تفتقر إلى </w:t>
      </w:r>
      <w:r>
        <w:rPr>
          <w:rtl/>
          <w:lang w:eastAsia="en-GB"/>
        </w:rPr>
        <w:t xml:space="preserve">وجود </w:t>
      </w:r>
      <w:r w:rsidRPr="00B06476">
        <w:rPr>
          <w:rtl/>
          <w:lang w:eastAsia="en-GB"/>
        </w:rPr>
        <w:t xml:space="preserve">إجراءات عادلة ومتوازنة لتحديد حالات انعدام الجنسية، بما في ذلك انعدام الجنسية عند الولادة؛ </w:t>
      </w:r>
      <w:r>
        <w:rPr>
          <w:rtl/>
          <w:lang w:eastAsia="en-GB"/>
        </w:rPr>
        <w:t>و</w:t>
      </w:r>
      <w:r w:rsidRPr="00D212A8">
        <w:rPr>
          <w:rtl/>
        </w:rPr>
        <w:t>(</w:t>
      </w:r>
      <w:r w:rsidRPr="00B06476">
        <w:rPr>
          <w:rtl/>
          <w:lang w:eastAsia="en-GB"/>
        </w:rPr>
        <w:t>ب</w:t>
      </w:r>
      <w:r w:rsidRPr="00D212A8">
        <w:rPr>
          <w:rtl/>
        </w:rPr>
        <w:t>)</w:t>
      </w:r>
      <w:r w:rsidRPr="00B06476">
        <w:rPr>
          <w:rtl/>
          <w:lang w:eastAsia="en-GB"/>
        </w:rPr>
        <w:t xml:space="preserve"> </w:t>
      </w:r>
      <w:r>
        <w:rPr>
          <w:rtl/>
          <w:lang w:eastAsia="en-GB"/>
        </w:rPr>
        <w:t xml:space="preserve">لأن </w:t>
      </w:r>
      <w:r w:rsidRPr="00B06476">
        <w:rPr>
          <w:rtl/>
          <w:lang w:eastAsia="en-GB"/>
        </w:rPr>
        <w:t xml:space="preserve">الدولة الطرف لا تنفذ </w:t>
      </w:r>
      <w:r>
        <w:rPr>
          <w:rtl/>
          <w:lang w:eastAsia="en-GB"/>
        </w:rPr>
        <w:t>ال</w:t>
      </w:r>
      <w:r w:rsidRPr="00B06476">
        <w:rPr>
          <w:rtl/>
          <w:lang w:eastAsia="en-GB"/>
        </w:rPr>
        <w:t xml:space="preserve">ضمانات </w:t>
      </w:r>
      <w:r>
        <w:rPr>
          <w:rtl/>
          <w:lang w:eastAsia="en-GB"/>
        </w:rPr>
        <w:t>ال</w:t>
      </w:r>
      <w:r w:rsidRPr="00B06476">
        <w:rPr>
          <w:rtl/>
          <w:lang w:eastAsia="en-GB"/>
        </w:rPr>
        <w:t xml:space="preserve">أخرى ذات </w:t>
      </w:r>
      <w:r>
        <w:rPr>
          <w:rtl/>
          <w:lang w:eastAsia="en-GB"/>
        </w:rPr>
        <w:t>ال</w:t>
      </w:r>
      <w:r w:rsidRPr="00B06476">
        <w:rPr>
          <w:rtl/>
          <w:lang w:eastAsia="en-GB"/>
        </w:rPr>
        <w:t xml:space="preserve">صلة بمنع حالات انعدام الجنسية والحد منها في مرحلة الطفولة، </w:t>
      </w:r>
      <w:r>
        <w:rPr>
          <w:rtl/>
          <w:lang w:eastAsia="en-GB"/>
        </w:rPr>
        <w:t>والتي يكون من شأنها ضمان</w:t>
      </w:r>
      <w:r w:rsidRPr="00B06476">
        <w:rPr>
          <w:rtl/>
          <w:lang w:eastAsia="en-GB"/>
        </w:rPr>
        <w:t xml:space="preserve"> مراعاة مصالحه الفضلى واحترام جميع حقوقه الواردة في العهد على قدم المساواة مع الأطفال الآخرين. </w:t>
      </w:r>
    </w:p>
    <w:p w14:paraId="7038F89B" w14:textId="77777777" w:rsidR="004F2A82" w:rsidRPr="0068608F" w:rsidRDefault="004F2A82" w:rsidP="004F2A82">
      <w:pPr>
        <w:pStyle w:val="SingleTxtGA"/>
        <w:rPr>
          <w:szCs w:val="30"/>
          <w:lang w:eastAsia="en-GB"/>
        </w:rPr>
      </w:pPr>
      <w:r w:rsidRPr="00D212A8">
        <w:rPr>
          <w:rtl/>
        </w:rPr>
        <w:t>3</w:t>
      </w:r>
      <w:r w:rsidRPr="00FC769F">
        <w:rPr>
          <w:rtl/>
        </w:rPr>
        <w:t>-</w:t>
      </w:r>
      <w:r w:rsidRPr="00D212A8">
        <w:rPr>
          <w:rtl/>
        </w:rPr>
        <w:t>3</w:t>
      </w:r>
      <w:r w:rsidRPr="0068608F">
        <w:rPr>
          <w:sz w:val="30"/>
          <w:rtl/>
          <w:lang w:eastAsia="en-GB"/>
        </w:rPr>
        <w:tab/>
      </w:r>
      <w:r w:rsidRPr="00B06476">
        <w:rPr>
          <w:rtl/>
          <w:lang w:eastAsia="en-GB"/>
        </w:rPr>
        <w:t>ويدعي صاحب البلاغ أيضاً أن الدولة الطرف لم توفر له سبيل انتصاف فعالاً</w:t>
      </w:r>
      <w:r>
        <w:rPr>
          <w:rtl/>
          <w:lang w:eastAsia="en-GB"/>
        </w:rPr>
        <w:t>، وهو ما يشكل</w:t>
      </w:r>
      <w:r w:rsidRPr="00B06476">
        <w:rPr>
          <w:rtl/>
          <w:lang w:eastAsia="en-GB"/>
        </w:rPr>
        <w:t xml:space="preserve"> انتهاك</w:t>
      </w:r>
      <w:r>
        <w:rPr>
          <w:rtl/>
          <w:lang w:eastAsia="en-GB"/>
        </w:rPr>
        <w:t>اً</w:t>
      </w:r>
      <w:r w:rsidRPr="00B06476">
        <w:rPr>
          <w:rtl/>
          <w:lang w:eastAsia="en-GB"/>
        </w:rPr>
        <w:t xml:space="preserve"> لحقوقه المنصوص عليها في </w:t>
      </w:r>
      <w:r w:rsidRPr="0068608F">
        <w:rPr>
          <w:sz w:val="30"/>
          <w:rtl/>
          <w:lang w:eastAsia="en-GB"/>
        </w:rPr>
        <w:t xml:space="preserve">المادة </w:t>
      </w:r>
      <w:r w:rsidRPr="00D212A8">
        <w:rPr>
          <w:rtl/>
        </w:rPr>
        <w:t>24</w:t>
      </w:r>
      <w:r w:rsidRPr="0068608F">
        <w:rPr>
          <w:sz w:val="30"/>
          <w:rtl/>
          <w:lang w:eastAsia="en-GB"/>
        </w:rPr>
        <w:t>، مقروءة</w:t>
      </w:r>
      <w:r w:rsidRPr="00B06476">
        <w:rPr>
          <w:rtl/>
          <w:lang w:eastAsia="en-GB"/>
        </w:rPr>
        <w:t xml:space="preserve"> بالاقتران مع </w:t>
      </w:r>
      <w:r w:rsidRPr="0068608F">
        <w:rPr>
          <w:sz w:val="30"/>
          <w:rtl/>
          <w:lang w:eastAsia="en-GB"/>
        </w:rPr>
        <w:t xml:space="preserve">المادة </w:t>
      </w:r>
      <w:r w:rsidRPr="00D212A8">
        <w:rPr>
          <w:rtl/>
        </w:rPr>
        <w:t>2(3)</w:t>
      </w:r>
      <w:r w:rsidRPr="00B06476">
        <w:rPr>
          <w:rtl/>
          <w:lang w:eastAsia="en-GB"/>
        </w:rPr>
        <w:t xml:space="preserve"> من العهد، ويدفع بأن مجلس الدولة أقرَّ بهذا </w:t>
      </w:r>
      <w:r>
        <w:rPr>
          <w:rtl/>
          <w:lang w:eastAsia="en-GB"/>
        </w:rPr>
        <w:t>التقصير</w:t>
      </w:r>
      <w:r w:rsidRPr="00B06476">
        <w:rPr>
          <w:rtl/>
          <w:lang w:eastAsia="en-GB"/>
        </w:rPr>
        <w:t xml:space="preserve"> في قراره </w:t>
      </w:r>
      <w:r>
        <w:rPr>
          <w:rtl/>
          <w:lang w:eastAsia="en-GB"/>
        </w:rPr>
        <w:t>المؤرخ</w:t>
      </w:r>
      <w:r w:rsidRPr="00B06476">
        <w:rPr>
          <w:rtl/>
          <w:lang w:eastAsia="en-GB"/>
        </w:rPr>
        <w:t xml:space="preserve"> </w:t>
      </w:r>
      <w:r w:rsidRPr="00D212A8">
        <w:rPr>
          <w:rtl/>
        </w:rPr>
        <w:t>21</w:t>
      </w:r>
      <w:r w:rsidRPr="00B06476">
        <w:rPr>
          <w:rtl/>
          <w:lang w:eastAsia="en-GB"/>
        </w:rPr>
        <w:t xml:space="preserve"> أيار/مايو </w:t>
      </w:r>
      <w:r w:rsidRPr="00D212A8">
        <w:rPr>
          <w:rtl/>
        </w:rPr>
        <w:t>2014</w:t>
      </w:r>
      <w:r w:rsidRPr="00B06476">
        <w:rPr>
          <w:rtl/>
          <w:lang w:eastAsia="en-GB"/>
        </w:rPr>
        <w:t>.</w:t>
      </w:r>
    </w:p>
    <w:p w14:paraId="54A63DFB" w14:textId="77777777" w:rsidR="004F2A82" w:rsidRPr="00B06476" w:rsidRDefault="004F2A82" w:rsidP="004F2A82">
      <w:pPr>
        <w:pStyle w:val="SingleTxtGA"/>
        <w:rPr>
          <w:szCs w:val="20"/>
          <w:lang w:val="ar-SA" w:eastAsia="zh-TW" w:bidi="en-GB"/>
        </w:rPr>
      </w:pPr>
      <w:r w:rsidRPr="00D212A8">
        <w:rPr>
          <w:rtl/>
        </w:rPr>
        <w:t>3</w:t>
      </w:r>
      <w:r w:rsidRPr="00FC769F">
        <w:rPr>
          <w:rtl/>
        </w:rPr>
        <w:t>-</w:t>
      </w:r>
      <w:r w:rsidRPr="00D212A8">
        <w:rPr>
          <w:rtl/>
        </w:rPr>
        <w:t>4</w:t>
      </w:r>
      <w:r w:rsidRPr="000F0C5D">
        <w:rPr>
          <w:rtl/>
          <w:lang w:eastAsia="en-GB"/>
        </w:rPr>
        <w:tab/>
        <w:t>ويطلب</w:t>
      </w:r>
      <w:r w:rsidRPr="00B06476">
        <w:rPr>
          <w:rtl/>
          <w:lang w:eastAsia="en-GB"/>
        </w:rPr>
        <w:t xml:space="preserve"> صاحب البلاغ إلى اللجنة أن </w:t>
      </w:r>
      <w:r>
        <w:rPr>
          <w:rtl/>
          <w:lang w:eastAsia="en-GB"/>
        </w:rPr>
        <w:t xml:space="preserve">تخلص إلى حدوث </w:t>
      </w:r>
      <w:r w:rsidRPr="00B06476">
        <w:rPr>
          <w:rtl/>
          <w:lang w:eastAsia="en-GB"/>
        </w:rPr>
        <w:t xml:space="preserve">انتهاك </w:t>
      </w:r>
      <w:r>
        <w:rPr>
          <w:rtl/>
          <w:lang w:eastAsia="en-GB"/>
        </w:rPr>
        <w:t>ل</w:t>
      </w:r>
      <w:r w:rsidRPr="00B06476">
        <w:rPr>
          <w:rtl/>
          <w:lang w:eastAsia="en-GB"/>
        </w:rPr>
        <w:t xml:space="preserve">حقوقه التي تكفلها المواد المذكورة أعلاه، وأن توصي الدولة الطرف بما يلي: </w:t>
      </w:r>
      <w:r w:rsidRPr="00D212A8">
        <w:rPr>
          <w:rtl/>
        </w:rPr>
        <w:t>(</w:t>
      </w:r>
      <w:r w:rsidRPr="00B06476">
        <w:rPr>
          <w:rtl/>
          <w:lang w:eastAsia="en-GB"/>
        </w:rPr>
        <w:t>أ</w:t>
      </w:r>
      <w:r w:rsidRPr="00D212A8">
        <w:rPr>
          <w:rtl/>
        </w:rPr>
        <w:t>)</w:t>
      </w:r>
      <w:r w:rsidRPr="00B06476">
        <w:rPr>
          <w:rtl/>
          <w:lang w:eastAsia="en-GB"/>
        </w:rPr>
        <w:t xml:space="preserve"> </w:t>
      </w:r>
      <w:r>
        <w:rPr>
          <w:rtl/>
          <w:lang w:eastAsia="en-GB"/>
        </w:rPr>
        <w:t>أن تغيّر</w:t>
      </w:r>
      <w:r w:rsidRPr="00B06476">
        <w:rPr>
          <w:rtl/>
          <w:lang w:eastAsia="en-GB"/>
        </w:rPr>
        <w:t xml:space="preserve"> سجله في قاعدة بيانات </w:t>
      </w:r>
      <w:r>
        <w:rPr>
          <w:rtl/>
          <w:lang w:eastAsia="en-GB"/>
        </w:rPr>
        <w:t>سجلات الأحوال</w:t>
      </w:r>
      <w:r w:rsidRPr="00B06476">
        <w:rPr>
          <w:rtl/>
          <w:lang w:eastAsia="en-GB"/>
        </w:rPr>
        <w:t xml:space="preserve"> المدنية البلدية من خانة "جنسية غير معروفة" إلى خانة "عديم الجنسية"؛ </w:t>
      </w:r>
      <w:r>
        <w:rPr>
          <w:rtl/>
          <w:lang w:eastAsia="en-GB"/>
        </w:rPr>
        <w:t>و</w:t>
      </w:r>
      <w:r w:rsidRPr="00D212A8">
        <w:rPr>
          <w:rtl/>
        </w:rPr>
        <w:t>(</w:t>
      </w:r>
      <w:r w:rsidRPr="00B06476">
        <w:rPr>
          <w:rtl/>
          <w:lang w:eastAsia="en-GB"/>
        </w:rPr>
        <w:t>ب</w:t>
      </w:r>
      <w:r w:rsidRPr="00D212A8">
        <w:rPr>
          <w:rtl/>
        </w:rPr>
        <w:t>)</w:t>
      </w:r>
      <w:r w:rsidRPr="00B06476">
        <w:rPr>
          <w:rtl/>
          <w:lang w:eastAsia="en-GB"/>
        </w:rPr>
        <w:t xml:space="preserve"> </w:t>
      </w:r>
      <w:r>
        <w:rPr>
          <w:rtl/>
          <w:lang w:eastAsia="en-GB"/>
        </w:rPr>
        <w:t>أن ت</w:t>
      </w:r>
      <w:r w:rsidRPr="00B06476">
        <w:rPr>
          <w:rtl/>
          <w:lang w:eastAsia="en-GB"/>
        </w:rPr>
        <w:t xml:space="preserve">منحه فوراً تصريحاً عادياً بالإقامة في هولندا بأثر رجعي </w:t>
      </w:r>
      <w:r>
        <w:rPr>
          <w:rtl/>
          <w:lang w:eastAsia="en-GB"/>
        </w:rPr>
        <w:t>يرجع إلى</w:t>
      </w:r>
      <w:r w:rsidRPr="00B06476">
        <w:rPr>
          <w:rtl/>
          <w:lang w:eastAsia="en-GB"/>
        </w:rPr>
        <w:t xml:space="preserve"> تاريخ ولادته؛ </w:t>
      </w:r>
      <w:r>
        <w:rPr>
          <w:rtl/>
          <w:lang w:eastAsia="en-GB"/>
        </w:rPr>
        <w:t>و</w:t>
      </w:r>
      <w:r w:rsidRPr="00D212A8">
        <w:rPr>
          <w:rtl/>
        </w:rPr>
        <w:t>(</w:t>
      </w:r>
      <w:r w:rsidRPr="00B06476">
        <w:rPr>
          <w:rtl/>
          <w:lang w:eastAsia="en-GB"/>
        </w:rPr>
        <w:t>ج</w:t>
      </w:r>
      <w:r w:rsidRPr="00D212A8">
        <w:rPr>
          <w:rtl/>
        </w:rPr>
        <w:t>)</w:t>
      </w:r>
      <w:r w:rsidRPr="00B06476">
        <w:rPr>
          <w:rtl/>
          <w:lang w:eastAsia="en-GB"/>
        </w:rPr>
        <w:t xml:space="preserve"> </w:t>
      </w:r>
      <w:r>
        <w:rPr>
          <w:rtl/>
          <w:lang w:eastAsia="en-GB"/>
        </w:rPr>
        <w:t>أن ت</w:t>
      </w:r>
      <w:r w:rsidRPr="00B06476">
        <w:rPr>
          <w:rtl/>
          <w:lang w:eastAsia="en-GB"/>
        </w:rPr>
        <w:t xml:space="preserve">ضع </w:t>
      </w:r>
      <w:r>
        <w:rPr>
          <w:rtl/>
          <w:lang w:eastAsia="en-GB"/>
        </w:rPr>
        <w:t xml:space="preserve">في القانون </w:t>
      </w:r>
      <w:r w:rsidRPr="00B06476">
        <w:rPr>
          <w:rtl/>
          <w:lang w:eastAsia="en-GB"/>
        </w:rPr>
        <w:t xml:space="preserve">إجراء لتحديد حالات انعدام الجنسية </w:t>
      </w:r>
      <w:r>
        <w:rPr>
          <w:rtl/>
          <w:lang w:eastAsia="en-GB"/>
        </w:rPr>
        <w:t>ولنيل</w:t>
      </w:r>
      <w:r w:rsidRPr="00B06476">
        <w:rPr>
          <w:rtl/>
          <w:lang w:eastAsia="en-GB"/>
        </w:rPr>
        <w:t xml:space="preserve"> الحقوق</w:t>
      </w:r>
      <w:r>
        <w:rPr>
          <w:rtl/>
          <w:lang w:eastAsia="en-GB"/>
        </w:rPr>
        <w:t xml:space="preserve"> التي هي من قبيل</w:t>
      </w:r>
      <w:r w:rsidRPr="00B06476">
        <w:rPr>
          <w:rtl/>
          <w:lang w:eastAsia="en-GB"/>
        </w:rPr>
        <w:t xml:space="preserve"> حق الإقامة، </w:t>
      </w:r>
      <w:r>
        <w:rPr>
          <w:rtl/>
          <w:lang w:eastAsia="en-GB"/>
        </w:rPr>
        <w:t>مع إيراد</w:t>
      </w:r>
      <w:r w:rsidRPr="00B06476">
        <w:rPr>
          <w:rtl/>
          <w:lang w:eastAsia="en-GB"/>
        </w:rPr>
        <w:t xml:space="preserve"> ضمانات هيكلية وإجرائية تكفل </w:t>
      </w:r>
      <w:r>
        <w:rPr>
          <w:rtl/>
          <w:lang w:eastAsia="en-GB"/>
        </w:rPr>
        <w:t>نيل هذه الحقوق</w:t>
      </w:r>
      <w:r w:rsidRPr="00B06476">
        <w:rPr>
          <w:rtl/>
          <w:lang w:eastAsia="en-GB"/>
        </w:rPr>
        <w:t xml:space="preserve"> والإنصاف والمرونة في إنفاذ</w:t>
      </w:r>
      <w:r>
        <w:rPr>
          <w:rtl/>
          <w:lang w:eastAsia="en-GB"/>
        </w:rPr>
        <w:t xml:space="preserve"> هذا الإجراء</w:t>
      </w:r>
      <w:r w:rsidRPr="00B06476">
        <w:rPr>
          <w:rtl/>
          <w:lang w:eastAsia="en-GB"/>
        </w:rPr>
        <w:t>، لا سيما فيما يتعلق بالأطفال؛ و</w:t>
      </w:r>
      <w:r w:rsidRPr="00D212A8">
        <w:rPr>
          <w:rtl/>
        </w:rPr>
        <w:t>(</w:t>
      </w:r>
      <w:r w:rsidRPr="00B06476">
        <w:rPr>
          <w:rtl/>
          <w:lang w:eastAsia="en-GB"/>
        </w:rPr>
        <w:t>د</w:t>
      </w:r>
      <w:r w:rsidRPr="00D212A8">
        <w:rPr>
          <w:rtl/>
        </w:rPr>
        <w:t>)</w:t>
      </w:r>
      <w:r w:rsidRPr="00B06476">
        <w:rPr>
          <w:rtl/>
          <w:lang w:eastAsia="en-GB"/>
        </w:rPr>
        <w:t xml:space="preserve"> </w:t>
      </w:r>
      <w:r>
        <w:rPr>
          <w:rtl/>
          <w:lang w:eastAsia="en-GB"/>
        </w:rPr>
        <w:t>أن تعدّل</w:t>
      </w:r>
      <w:r w:rsidRPr="00B06476">
        <w:rPr>
          <w:rtl/>
          <w:lang w:eastAsia="en-GB"/>
        </w:rPr>
        <w:t xml:space="preserve"> </w:t>
      </w:r>
      <w:r w:rsidRPr="0068608F">
        <w:rPr>
          <w:sz w:val="30"/>
          <w:rtl/>
          <w:lang w:eastAsia="en-GB"/>
        </w:rPr>
        <w:t xml:space="preserve">المادة </w:t>
      </w:r>
      <w:r w:rsidRPr="00D212A8">
        <w:rPr>
          <w:rtl/>
        </w:rPr>
        <w:t>6(1)(</w:t>
      </w:r>
      <w:r w:rsidRPr="0068608F">
        <w:rPr>
          <w:sz w:val="30"/>
          <w:rtl/>
          <w:lang w:eastAsia="en-GB"/>
        </w:rPr>
        <w:t>ب</w:t>
      </w:r>
      <w:r w:rsidRPr="00D212A8">
        <w:rPr>
          <w:rtl/>
        </w:rPr>
        <w:t>)</w:t>
      </w:r>
      <w:r w:rsidRPr="0068608F">
        <w:rPr>
          <w:sz w:val="30"/>
          <w:rtl/>
          <w:lang w:eastAsia="en-GB"/>
        </w:rPr>
        <w:t xml:space="preserve"> </w:t>
      </w:r>
      <w:r w:rsidRPr="00B06476">
        <w:rPr>
          <w:rtl/>
          <w:lang w:eastAsia="en-GB"/>
        </w:rPr>
        <w:t xml:space="preserve">من قانون الجنسية </w:t>
      </w:r>
      <w:r>
        <w:rPr>
          <w:rtl/>
          <w:lang w:eastAsia="en-GB"/>
        </w:rPr>
        <w:t>لكي</w:t>
      </w:r>
      <w:r w:rsidRPr="00B06476">
        <w:rPr>
          <w:rtl/>
          <w:lang w:eastAsia="en-GB"/>
        </w:rPr>
        <w:t xml:space="preserve"> تصبح الجنسية الهولندية في متناول الأطفال عديمي الجنسية المولودين في إقليمها الذين لا يحملون تصريحاً بالإقامة. </w:t>
      </w:r>
    </w:p>
    <w:p w14:paraId="08A4A0C7" w14:textId="0CD9A2DC" w:rsidR="004F2A82" w:rsidRPr="00B06476" w:rsidRDefault="004F2A82" w:rsidP="004F2A82">
      <w:pPr>
        <w:pStyle w:val="H23GA"/>
        <w:rPr>
          <w:szCs w:val="20"/>
          <w:lang w:val="ar-SA" w:eastAsia="zh-TW" w:bidi="en-GB"/>
        </w:rPr>
      </w:pPr>
      <w:r w:rsidRPr="00B06476">
        <w:rPr>
          <w:rtl/>
        </w:rPr>
        <w:lastRenderedPageBreak/>
        <w:tab/>
      </w:r>
      <w:r w:rsidRPr="00B06476">
        <w:rPr>
          <w:rtl/>
        </w:rPr>
        <w:tab/>
        <w:t>ملاحظات الدولة الطرف بشأن مقبولية البلاغ وأسسه الموضوعية</w:t>
      </w:r>
    </w:p>
    <w:p w14:paraId="2EB8968F" w14:textId="77777777" w:rsidR="004F2A82" w:rsidRPr="00B06476" w:rsidRDefault="004F2A82" w:rsidP="00EB3015">
      <w:pPr>
        <w:pStyle w:val="SingleTxtGA"/>
        <w:spacing w:line="340" w:lineRule="exact"/>
        <w:rPr>
          <w:bCs/>
          <w:szCs w:val="20"/>
          <w:lang w:val="ar-SA" w:eastAsia="zh-TW" w:bidi="en-GB"/>
        </w:rPr>
      </w:pPr>
      <w:r w:rsidRPr="00D212A8">
        <w:rPr>
          <w:rtl/>
        </w:rPr>
        <w:t>4</w:t>
      </w:r>
      <w:r w:rsidRPr="00FC769F">
        <w:rPr>
          <w:rtl/>
        </w:rPr>
        <w:t>-</w:t>
      </w:r>
      <w:r w:rsidRPr="00D212A8">
        <w:rPr>
          <w:rtl/>
        </w:rPr>
        <w:t>1</w:t>
      </w:r>
      <w:r w:rsidRPr="00B06476">
        <w:rPr>
          <w:rtl/>
          <w:lang w:eastAsia="en-GB"/>
        </w:rPr>
        <w:tab/>
        <w:t xml:space="preserve">في </w:t>
      </w:r>
      <w:r w:rsidRPr="00D212A8">
        <w:rPr>
          <w:rtl/>
        </w:rPr>
        <w:t>28</w:t>
      </w:r>
      <w:r w:rsidRPr="00B06476">
        <w:rPr>
          <w:rtl/>
          <w:lang w:eastAsia="en-GB"/>
        </w:rPr>
        <w:t xml:space="preserve"> حزيران/يونيه </w:t>
      </w:r>
      <w:r w:rsidRPr="00D212A8">
        <w:rPr>
          <w:rtl/>
        </w:rPr>
        <w:t>2017</w:t>
      </w:r>
      <w:r w:rsidRPr="00B06476">
        <w:rPr>
          <w:rtl/>
          <w:lang w:eastAsia="en-GB"/>
        </w:rPr>
        <w:t xml:space="preserve">، أقرت الدولة الطرف بأن صاحب البلاغ غير قادر حالياً على التمتع فعلياً بحقه </w:t>
      </w:r>
      <w:r>
        <w:rPr>
          <w:rtl/>
          <w:lang w:eastAsia="en-GB"/>
        </w:rPr>
        <w:t>كقاصر</w:t>
      </w:r>
      <w:r w:rsidRPr="00B06476">
        <w:rPr>
          <w:rtl/>
          <w:lang w:eastAsia="en-GB"/>
        </w:rPr>
        <w:t xml:space="preserve"> في اكتساب الجنسية. </w:t>
      </w:r>
    </w:p>
    <w:p w14:paraId="7A74C27D" w14:textId="5F040613" w:rsidR="004F2A82" w:rsidRPr="00B06476" w:rsidRDefault="004F2A82" w:rsidP="00EB3015">
      <w:pPr>
        <w:pStyle w:val="SingleTxtGA"/>
        <w:spacing w:line="340" w:lineRule="exact"/>
        <w:rPr>
          <w:szCs w:val="20"/>
          <w:lang w:val="ar-SA" w:eastAsia="zh-TW" w:bidi="en-GB"/>
        </w:rPr>
      </w:pPr>
      <w:r w:rsidRPr="00D212A8">
        <w:rPr>
          <w:rtl/>
        </w:rPr>
        <w:t>4</w:t>
      </w:r>
      <w:r w:rsidRPr="00FC769F">
        <w:rPr>
          <w:rtl/>
        </w:rPr>
        <w:t>-</w:t>
      </w:r>
      <w:r w:rsidRPr="00D212A8">
        <w:rPr>
          <w:rtl/>
        </w:rPr>
        <w:t>2</w:t>
      </w:r>
      <w:r w:rsidRPr="00B06476">
        <w:rPr>
          <w:rtl/>
          <w:lang w:eastAsia="en-GB"/>
        </w:rPr>
        <w:tab/>
        <w:t xml:space="preserve">وتُبلغ الدولة الطرف اللجنة بأنه يجري إعداد مشروعي قانونين </w:t>
      </w:r>
      <w:r>
        <w:rPr>
          <w:rtl/>
          <w:lang w:eastAsia="en-GB"/>
        </w:rPr>
        <w:t>يهدفان</w:t>
      </w:r>
      <w:r w:rsidRPr="00B06476">
        <w:rPr>
          <w:rtl/>
          <w:lang w:eastAsia="en-GB"/>
        </w:rPr>
        <w:t xml:space="preserve"> إلى </w:t>
      </w:r>
      <w:r>
        <w:rPr>
          <w:rtl/>
          <w:lang w:eastAsia="en-GB"/>
        </w:rPr>
        <w:t xml:space="preserve">وضع </w:t>
      </w:r>
      <w:r w:rsidRPr="00B06476">
        <w:rPr>
          <w:rtl/>
          <w:lang w:eastAsia="en-GB"/>
        </w:rPr>
        <w:t>إجراء لتحديد حالات انعدام الجنسية، و</w:t>
      </w:r>
      <w:r>
        <w:rPr>
          <w:rtl/>
          <w:lang w:eastAsia="en-GB"/>
        </w:rPr>
        <w:t xml:space="preserve">إيجاد </w:t>
      </w:r>
      <w:r w:rsidRPr="00B06476">
        <w:rPr>
          <w:rtl/>
          <w:lang w:eastAsia="en-GB"/>
        </w:rPr>
        <w:t>خيار يُت</w:t>
      </w:r>
      <w:r>
        <w:rPr>
          <w:rtl/>
          <w:lang w:eastAsia="en-GB"/>
        </w:rPr>
        <w:t>ي</w:t>
      </w:r>
      <w:r w:rsidRPr="00B06476">
        <w:rPr>
          <w:rtl/>
          <w:lang w:eastAsia="en-GB"/>
        </w:rPr>
        <w:t xml:space="preserve">ح للأطفال عديمي الجنسية المولودين في هولندا، والمقيمين </w:t>
      </w:r>
      <w:r>
        <w:rPr>
          <w:rtl/>
          <w:lang w:eastAsia="en-GB"/>
        </w:rPr>
        <w:t>على نحو غير قانوني</w:t>
      </w:r>
      <w:r w:rsidRPr="00B06476">
        <w:rPr>
          <w:rtl/>
          <w:lang w:eastAsia="en-GB"/>
        </w:rPr>
        <w:t xml:space="preserve"> في الدولة الطرف اكتساب الجنسية الهولندية، شريطة استيفاء </w:t>
      </w:r>
      <w:r>
        <w:rPr>
          <w:rtl/>
          <w:lang w:eastAsia="en-GB"/>
        </w:rPr>
        <w:t>شروط معينة</w:t>
      </w:r>
      <w:r w:rsidRPr="00B06476">
        <w:rPr>
          <w:rtl/>
          <w:lang w:eastAsia="en-GB"/>
        </w:rPr>
        <w:t xml:space="preserve">. وتعرب الدولة الطرف أيضاً عن استعدادها لتقديم تعويض </w:t>
      </w:r>
      <w:r w:rsidRPr="0068608F">
        <w:rPr>
          <w:sz w:val="30"/>
          <w:rtl/>
          <w:lang w:eastAsia="en-GB"/>
        </w:rPr>
        <w:t xml:space="preserve">قدره </w:t>
      </w:r>
      <w:r w:rsidRPr="00D212A8">
        <w:rPr>
          <w:rtl/>
        </w:rPr>
        <w:t>000</w:t>
      </w:r>
      <w:r w:rsidRPr="0068608F">
        <w:rPr>
          <w:rFonts w:ascii="Traditional Arabic"/>
          <w:sz w:val="30"/>
          <w:szCs w:val="30"/>
          <w:rtl/>
          <w:lang w:eastAsia="en-GB"/>
        </w:rPr>
        <w:t xml:space="preserve"> </w:t>
      </w:r>
      <w:r w:rsidRPr="00D212A8">
        <w:rPr>
          <w:rtl/>
        </w:rPr>
        <w:t>3</w:t>
      </w:r>
      <w:r w:rsidRPr="00B06476">
        <w:rPr>
          <w:rtl/>
          <w:lang w:eastAsia="en-GB"/>
        </w:rPr>
        <w:t xml:space="preserve"> يورو </w:t>
      </w:r>
      <w:r>
        <w:rPr>
          <w:rtl/>
          <w:lang w:eastAsia="en-GB"/>
        </w:rPr>
        <w:t xml:space="preserve">إلى </w:t>
      </w:r>
      <w:r w:rsidRPr="00B06476">
        <w:rPr>
          <w:rtl/>
          <w:lang w:eastAsia="en-GB"/>
        </w:rPr>
        <w:t xml:space="preserve">صاحب البلاغ، </w:t>
      </w:r>
      <w:r>
        <w:rPr>
          <w:rtl/>
          <w:lang w:eastAsia="en-GB"/>
        </w:rPr>
        <w:t>وأن تردّ إليه</w:t>
      </w:r>
      <w:r w:rsidRPr="00B06476">
        <w:rPr>
          <w:rtl/>
          <w:lang w:eastAsia="en-GB"/>
        </w:rPr>
        <w:t xml:space="preserve"> أي تكاليف ونفقات تكبدها فيما يتعلق بالإجراءات المعروضة على اللجنة، شريطة أن تكون </w:t>
      </w:r>
      <w:r>
        <w:rPr>
          <w:rtl/>
          <w:lang w:eastAsia="en-GB"/>
        </w:rPr>
        <w:t xml:space="preserve">هذه التكاليف والنفقات </w:t>
      </w:r>
      <w:r w:rsidRPr="00B06476">
        <w:rPr>
          <w:rtl/>
          <w:lang w:eastAsia="en-GB"/>
        </w:rPr>
        <w:t>محددة تحديداً مناسباً ومعقولاً.</w:t>
      </w:r>
      <w:r w:rsidR="00D212A8">
        <w:rPr>
          <w:rtl/>
          <w:lang w:eastAsia="en-GB"/>
        </w:rPr>
        <w:t xml:space="preserve"> </w:t>
      </w:r>
    </w:p>
    <w:p w14:paraId="6C562DBE" w14:textId="77777777" w:rsidR="004F2A82" w:rsidRPr="00B06476" w:rsidRDefault="004F2A82" w:rsidP="004F2A82">
      <w:pPr>
        <w:pStyle w:val="H23GA"/>
        <w:rPr>
          <w:szCs w:val="20"/>
          <w:lang w:val="ar-SA" w:eastAsia="zh-TW" w:bidi="en-GB"/>
        </w:rPr>
      </w:pPr>
      <w:r w:rsidRPr="00B06476">
        <w:rPr>
          <w:rtl/>
        </w:rPr>
        <w:tab/>
      </w:r>
      <w:r w:rsidRPr="00B06476">
        <w:rPr>
          <w:rtl/>
        </w:rPr>
        <w:tab/>
        <w:t>تعليقات صاحب البلاغ على ملاحظات الدولة الطرف</w:t>
      </w:r>
    </w:p>
    <w:p w14:paraId="4125C770" w14:textId="77777777" w:rsidR="004F2A82" w:rsidRPr="0039281E" w:rsidRDefault="004F2A82" w:rsidP="00EB3015">
      <w:pPr>
        <w:pStyle w:val="SingleTxtGA"/>
        <w:spacing w:line="340" w:lineRule="exact"/>
        <w:rPr>
          <w:iCs/>
          <w:spacing w:val="-2"/>
          <w:szCs w:val="20"/>
          <w:lang w:val="ar-SA" w:eastAsia="zh-TW" w:bidi="en-GB"/>
        </w:rPr>
      </w:pPr>
      <w:r w:rsidRPr="0039281E">
        <w:rPr>
          <w:spacing w:val="-2"/>
          <w:rtl/>
        </w:rPr>
        <w:t>5-1</w:t>
      </w:r>
      <w:r w:rsidRPr="0039281E">
        <w:rPr>
          <w:spacing w:val="-2"/>
          <w:sz w:val="30"/>
          <w:rtl/>
          <w:lang w:eastAsia="en-GB"/>
        </w:rPr>
        <w:tab/>
        <w:t xml:space="preserve">في </w:t>
      </w:r>
      <w:r w:rsidRPr="0039281E">
        <w:rPr>
          <w:spacing w:val="-2"/>
          <w:rtl/>
        </w:rPr>
        <w:t>8</w:t>
      </w:r>
      <w:r w:rsidRPr="0039281E">
        <w:rPr>
          <w:spacing w:val="-2"/>
          <w:sz w:val="30"/>
          <w:rtl/>
          <w:lang w:eastAsia="en-GB"/>
        </w:rPr>
        <w:t xml:space="preserve"> أيلول/سبتمبر </w:t>
      </w:r>
      <w:r w:rsidRPr="0039281E">
        <w:rPr>
          <w:spacing w:val="-2"/>
          <w:rtl/>
        </w:rPr>
        <w:t>2017</w:t>
      </w:r>
      <w:r w:rsidRPr="0039281E">
        <w:rPr>
          <w:spacing w:val="-2"/>
          <w:sz w:val="30"/>
          <w:rtl/>
          <w:lang w:eastAsia="en-GB"/>
        </w:rPr>
        <w:t xml:space="preserve">، </w:t>
      </w:r>
      <w:r w:rsidRPr="0039281E">
        <w:rPr>
          <w:spacing w:val="-2"/>
          <w:rtl/>
          <w:lang w:eastAsia="en-GB"/>
        </w:rPr>
        <w:t xml:space="preserve">قدم صاحب البلاغ تعليقاته على بيان الدولة الطرف. ويؤكد صاحب البلاغ مجدداً أنه ينبغي أن تتحمّل الدولة الطرف كامل المسؤولية عن الانتهاكات التي تعرَّض لها، وأن تعترف به مواطناً هولندياً، وأن تعوّضه على النحو المناسب عن الضرر الذي طاله، وأن تضع إجراءً دائماً في القانون للاعتراف بأن مَن هم في وضعه عديمو الجنسية، وأن تمكّنهم من الحصول على الجنسية الهولندية. ويدفع صاحب البلاغ بأنه على الرغم من اعتراف الدولة الطرف بأن حقوقه انتُهكت، لا يفي مضمون ردها المشكِّل قبولاً لمسؤوليتها بالمطلوب من حيث: </w:t>
      </w:r>
      <w:r w:rsidRPr="0039281E">
        <w:rPr>
          <w:spacing w:val="-2"/>
          <w:rtl/>
        </w:rPr>
        <w:t>(</w:t>
      </w:r>
      <w:r w:rsidRPr="0039281E">
        <w:rPr>
          <w:spacing w:val="-2"/>
          <w:rtl/>
          <w:lang w:eastAsia="en-GB"/>
        </w:rPr>
        <w:t>أ</w:t>
      </w:r>
      <w:r w:rsidRPr="0039281E">
        <w:rPr>
          <w:spacing w:val="-2"/>
          <w:rtl/>
        </w:rPr>
        <w:t>)</w:t>
      </w:r>
      <w:r w:rsidRPr="0039281E">
        <w:rPr>
          <w:spacing w:val="-2"/>
          <w:rtl/>
          <w:lang w:eastAsia="en-GB"/>
        </w:rPr>
        <w:t xml:space="preserve"> أنه يجب أن يوجد قبول واضح لا لبس فيه بجميع الانتهاكات وكذلك بمسؤولية الدولة الطرف عن هذه الانتهاكات، بدلاً من إيراد بيان غامض يشير إلى حدوث انتهاك غير محدد؛ و</w:t>
      </w:r>
      <w:r w:rsidRPr="0039281E">
        <w:rPr>
          <w:spacing w:val="-2"/>
          <w:rtl/>
        </w:rPr>
        <w:t>(</w:t>
      </w:r>
      <w:r w:rsidRPr="0039281E">
        <w:rPr>
          <w:spacing w:val="-2"/>
          <w:rtl/>
          <w:lang w:eastAsia="en-GB"/>
        </w:rPr>
        <w:t>ب</w:t>
      </w:r>
      <w:r w:rsidRPr="0039281E">
        <w:rPr>
          <w:spacing w:val="-2"/>
          <w:rtl/>
        </w:rPr>
        <w:t>)</w:t>
      </w:r>
      <w:r w:rsidRPr="0039281E">
        <w:rPr>
          <w:spacing w:val="-2"/>
          <w:rtl/>
          <w:lang w:eastAsia="en-GB"/>
        </w:rPr>
        <w:t xml:space="preserve"> أن سبيل الانتصاف الفردي المقترح لا يكفي لأن الدولة الطرف عرضت تعويضاً قدره </w:t>
      </w:r>
      <w:r w:rsidRPr="0039281E">
        <w:rPr>
          <w:spacing w:val="-2"/>
          <w:rtl/>
        </w:rPr>
        <w:t>000</w:t>
      </w:r>
      <w:r w:rsidRPr="0039281E">
        <w:rPr>
          <w:rFonts w:ascii="Traditional Arabic"/>
          <w:spacing w:val="-2"/>
          <w:sz w:val="30"/>
          <w:szCs w:val="30"/>
          <w:rtl/>
          <w:lang w:eastAsia="en-GB"/>
        </w:rPr>
        <w:t xml:space="preserve"> </w:t>
      </w:r>
      <w:r w:rsidRPr="0039281E">
        <w:rPr>
          <w:spacing w:val="-2"/>
          <w:rtl/>
        </w:rPr>
        <w:t>3</w:t>
      </w:r>
      <w:r w:rsidRPr="0039281E">
        <w:rPr>
          <w:spacing w:val="-2"/>
          <w:sz w:val="30"/>
          <w:rtl/>
          <w:lang w:eastAsia="en-GB"/>
        </w:rPr>
        <w:t xml:space="preserve"> </w:t>
      </w:r>
      <w:r w:rsidRPr="0039281E">
        <w:rPr>
          <w:spacing w:val="-2"/>
          <w:rtl/>
          <w:lang w:eastAsia="en-GB"/>
        </w:rPr>
        <w:t>يورو، ولا شيء آخر، دون ضمان حصول صاحب البلاغ على الجنسية الهولندية، أو حتى تسجيله على أنه عديم الجنسية؛ و</w:t>
      </w:r>
      <w:r w:rsidRPr="0039281E">
        <w:rPr>
          <w:spacing w:val="-2"/>
          <w:rtl/>
        </w:rPr>
        <w:t>(</w:t>
      </w:r>
      <w:r w:rsidRPr="0039281E">
        <w:rPr>
          <w:spacing w:val="-2"/>
          <w:rtl/>
          <w:lang w:eastAsia="en-GB"/>
        </w:rPr>
        <w:t>ج</w:t>
      </w:r>
      <w:r w:rsidRPr="0039281E">
        <w:rPr>
          <w:spacing w:val="-2"/>
          <w:rtl/>
        </w:rPr>
        <w:t>)</w:t>
      </w:r>
      <w:r w:rsidRPr="0039281E">
        <w:rPr>
          <w:spacing w:val="-2"/>
          <w:rtl/>
          <w:lang w:eastAsia="en-GB"/>
        </w:rPr>
        <w:t xml:space="preserve"> أن سبيل الانتصاف العام الذي اقترحته الدولة الطرف لا يوفر أي ضمان بعدم تكرار ذلك. ويدفع صاحب البلاغ بأنه ينبغي للجنة، بناء على ذلك، أن تُجري بحثاً كاملاً لشكواه، ولا سيما بخصوص الالتزامات الإيجابية الواقعة على الدولة الطرف بتوفير ضمانات ضد نشوء حالات انعدام جنسية في مرحلة الطفولة بموجب </w:t>
      </w:r>
      <w:r w:rsidRPr="0039281E">
        <w:rPr>
          <w:spacing w:val="-2"/>
          <w:sz w:val="30"/>
          <w:rtl/>
          <w:lang w:eastAsia="en-GB"/>
        </w:rPr>
        <w:t xml:space="preserve">المادة </w:t>
      </w:r>
      <w:r w:rsidRPr="0039281E">
        <w:rPr>
          <w:spacing w:val="-2"/>
          <w:rtl/>
        </w:rPr>
        <w:t>2(2)</w:t>
      </w:r>
      <w:r w:rsidRPr="0039281E">
        <w:rPr>
          <w:spacing w:val="-2"/>
          <w:rtl/>
          <w:lang w:eastAsia="en-GB"/>
        </w:rPr>
        <w:t xml:space="preserve"> من العهد، وبتوفير سبل انتصاف عند نشوء حالة من حالات انعدام الجنسية، وذلك على النحو الذي تقتضيه </w:t>
      </w:r>
      <w:r w:rsidRPr="0039281E">
        <w:rPr>
          <w:spacing w:val="-2"/>
          <w:sz w:val="30"/>
          <w:rtl/>
          <w:lang w:eastAsia="en-GB"/>
        </w:rPr>
        <w:t xml:space="preserve">المادة </w:t>
      </w:r>
      <w:r w:rsidRPr="0039281E">
        <w:rPr>
          <w:spacing w:val="-2"/>
          <w:rtl/>
        </w:rPr>
        <w:t>2(3)</w:t>
      </w:r>
      <w:r w:rsidRPr="0039281E">
        <w:rPr>
          <w:spacing w:val="-2"/>
          <w:rtl/>
          <w:lang w:eastAsia="en-GB"/>
        </w:rPr>
        <w:t xml:space="preserve"> من العهد.</w:t>
      </w:r>
    </w:p>
    <w:p w14:paraId="6160DF70" w14:textId="53B9E00C" w:rsidR="004F2A82" w:rsidRPr="00B06476" w:rsidRDefault="004F2A82" w:rsidP="00EB3015">
      <w:pPr>
        <w:pStyle w:val="SingleTxtGA"/>
        <w:spacing w:line="340" w:lineRule="exact"/>
        <w:rPr>
          <w:i/>
          <w:iCs/>
          <w:szCs w:val="20"/>
          <w:lang w:val="ar-SA" w:eastAsia="zh-TW" w:bidi="en-GB"/>
        </w:rPr>
      </w:pPr>
      <w:r w:rsidRPr="00D212A8">
        <w:rPr>
          <w:rtl/>
        </w:rPr>
        <w:t>5</w:t>
      </w:r>
      <w:r w:rsidRPr="00FC769F">
        <w:rPr>
          <w:rtl/>
        </w:rPr>
        <w:t>-</w:t>
      </w:r>
      <w:r w:rsidRPr="00D212A8">
        <w:rPr>
          <w:rtl/>
        </w:rPr>
        <w:t>2</w:t>
      </w:r>
      <w:r w:rsidRPr="0068608F">
        <w:rPr>
          <w:sz w:val="30"/>
          <w:rtl/>
          <w:lang w:eastAsia="en-GB"/>
        </w:rPr>
        <w:tab/>
      </w:r>
      <w:r>
        <w:rPr>
          <w:rtl/>
          <w:lang w:eastAsia="en-GB"/>
        </w:rPr>
        <w:t>ويذكر</w:t>
      </w:r>
      <w:r w:rsidRPr="00B06476">
        <w:rPr>
          <w:rtl/>
          <w:lang w:eastAsia="en-GB"/>
        </w:rPr>
        <w:t xml:space="preserve"> صاحب البلاغ أن الأمر يقتضي سبل الانتصاف التالية من أجل استعادة حقوقه فعلياً </w:t>
      </w:r>
      <w:r>
        <w:rPr>
          <w:rtl/>
          <w:lang w:eastAsia="en-GB"/>
        </w:rPr>
        <w:t>طبقاً</w:t>
      </w:r>
      <w:r w:rsidRPr="00B06476">
        <w:rPr>
          <w:rtl/>
          <w:lang w:eastAsia="en-GB"/>
        </w:rPr>
        <w:t xml:space="preserve"> </w:t>
      </w:r>
      <w:r>
        <w:rPr>
          <w:rtl/>
          <w:lang w:eastAsia="en-GB"/>
        </w:rPr>
        <w:t>ل</w:t>
      </w:r>
      <w:r w:rsidRPr="00B06476">
        <w:rPr>
          <w:rtl/>
          <w:lang w:eastAsia="en-GB"/>
        </w:rPr>
        <w:t xml:space="preserve">مبدأ مصالح الطفل الفضلى: </w:t>
      </w:r>
      <w:r w:rsidRPr="00D212A8">
        <w:rPr>
          <w:rtl/>
        </w:rPr>
        <w:t>(</w:t>
      </w:r>
      <w:r w:rsidRPr="00B06476">
        <w:rPr>
          <w:rtl/>
          <w:lang w:eastAsia="en-GB"/>
        </w:rPr>
        <w:t>أ</w:t>
      </w:r>
      <w:r w:rsidRPr="00D212A8">
        <w:rPr>
          <w:rtl/>
        </w:rPr>
        <w:t>)</w:t>
      </w:r>
      <w:r w:rsidRPr="00B06476">
        <w:rPr>
          <w:rtl/>
          <w:lang w:eastAsia="en-GB"/>
        </w:rPr>
        <w:t xml:space="preserve"> الاعتراف </w:t>
      </w:r>
      <w:r>
        <w:rPr>
          <w:rtl/>
          <w:lang w:eastAsia="en-GB"/>
        </w:rPr>
        <w:t xml:space="preserve">به والتعامل معه على أن له </w:t>
      </w:r>
      <w:r w:rsidRPr="00B06476">
        <w:rPr>
          <w:rtl/>
          <w:lang w:eastAsia="en-GB"/>
        </w:rPr>
        <w:t xml:space="preserve">وضع "عديم الجنسية </w:t>
      </w:r>
      <w:r>
        <w:rPr>
          <w:rtl/>
          <w:lang w:eastAsia="en-GB"/>
        </w:rPr>
        <w:t>منذ ال</w:t>
      </w:r>
      <w:r w:rsidRPr="00B06476">
        <w:rPr>
          <w:rtl/>
          <w:lang w:eastAsia="en-GB"/>
        </w:rPr>
        <w:t xml:space="preserve">ولادة </w:t>
      </w:r>
      <w:r>
        <w:rPr>
          <w:rtl/>
          <w:lang w:eastAsia="en-GB"/>
        </w:rPr>
        <w:t>–</w:t>
      </w:r>
      <w:r w:rsidRPr="00B06476">
        <w:rPr>
          <w:rtl/>
          <w:lang w:eastAsia="en-GB"/>
        </w:rPr>
        <w:t xml:space="preserve"> </w:t>
      </w:r>
      <w:r>
        <w:rPr>
          <w:rtl/>
          <w:lang w:eastAsia="en-GB"/>
        </w:rPr>
        <w:t>من وجوه</w:t>
      </w:r>
      <w:r w:rsidRPr="00B06476">
        <w:rPr>
          <w:rtl/>
          <w:lang w:eastAsia="en-GB"/>
        </w:rPr>
        <w:t xml:space="preserve"> أخرى" لأن من شأن ذلك أن يخوله </w:t>
      </w:r>
      <w:r>
        <w:rPr>
          <w:rtl/>
          <w:lang w:eastAsia="en-GB"/>
        </w:rPr>
        <w:t xml:space="preserve">الحق في </w:t>
      </w:r>
      <w:r w:rsidRPr="00B06476">
        <w:rPr>
          <w:rtl/>
          <w:lang w:eastAsia="en-GB"/>
        </w:rPr>
        <w:t>الحصول على تصريح إقامة بأثر رجعي اعتباراً من تاريخ ولادته، و</w:t>
      </w:r>
      <w:r>
        <w:rPr>
          <w:rtl/>
          <w:lang w:eastAsia="en-GB"/>
        </w:rPr>
        <w:t xml:space="preserve">أن </w:t>
      </w:r>
      <w:r w:rsidRPr="00B06476">
        <w:rPr>
          <w:rtl/>
          <w:lang w:eastAsia="en-GB"/>
        </w:rPr>
        <w:t xml:space="preserve">يسمح له بتقديم طلب فوراً للحصول على الجنسية الهولندية </w:t>
      </w:r>
      <w:r>
        <w:rPr>
          <w:rtl/>
          <w:lang w:eastAsia="en-GB"/>
        </w:rPr>
        <w:t>عن طريق استخدام</w:t>
      </w:r>
      <w:r w:rsidRPr="00B06476">
        <w:rPr>
          <w:rtl/>
          <w:lang w:eastAsia="en-GB"/>
        </w:rPr>
        <w:t xml:space="preserve"> استمارة الطلب العاجل؛ </w:t>
      </w:r>
      <w:r>
        <w:rPr>
          <w:rtl/>
          <w:lang w:eastAsia="en-GB"/>
        </w:rPr>
        <w:t>و</w:t>
      </w:r>
      <w:r w:rsidRPr="00D212A8">
        <w:rPr>
          <w:rtl/>
        </w:rPr>
        <w:t>(</w:t>
      </w:r>
      <w:r w:rsidRPr="00B06476">
        <w:rPr>
          <w:rtl/>
          <w:lang w:eastAsia="en-GB"/>
        </w:rPr>
        <w:t>ب</w:t>
      </w:r>
      <w:r w:rsidRPr="00D212A8">
        <w:rPr>
          <w:rtl/>
        </w:rPr>
        <w:t>)</w:t>
      </w:r>
      <w:r w:rsidRPr="00B06476">
        <w:rPr>
          <w:rtl/>
          <w:lang w:eastAsia="en-GB"/>
        </w:rPr>
        <w:t xml:space="preserve"> إخراجه من </w:t>
      </w:r>
      <w:r>
        <w:rPr>
          <w:rtl/>
          <w:lang w:eastAsia="en-GB"/>
        </w:rPr>
        <w:t>مرفق</w:t>
      </w:r>
      <w:r w:rsidRPr="00B06476">
        <w:rPr>
          <w:rtl/>
          <w:lang w:eastAsia="en-GB"/>
        </w:rPr>
        <w:t xml:space="preserve"> الحرية المقي</w:t>
      </w:r>
      <w:r>
        <w:rPr>
          <w:rtl/>
          <w:lang w:eastAsia="en-GB"/>
        </w:rPr>
        <w:t>َّ</w:t>
      </w:r>
      <w:r w:rsidRPr="00B06476">
        <w:rPr>
          <w:rtl/>
          <w:lang w:eastAsia="en-GB"/>
        </w:rPr>
        <w:t xml:space="preserve">دة هو وأسرته؛ </w:t>
      </w:r>
      <w:r>
        <w:rPr>
          <w:rtl/>
          <w:lang w:eastAsia="en-GB"/>
        </w:rPr>
        <w:t>و</w:t>
      </w:r>
      <w:r w:rsidRPr="00D212A8">
        <w:rPr>
          <w:rtl/>
        </w:rPr>
        <w:t>(</w:t>
      </w:r>
      <w:r w:rsidRPr="00B06476">
        <w:rPr>
          <w:rtl/>
          <w:lang w:eastAsia="en-GB"/>
        </w:rPr>
        <w:t>ج</w:t>
      </w:r>
      <w:r w:rsidRPr="00D212A8">
        <w:rPr>
          <w:rtl/>
        </w:rPr>
        <w:t>)</w:t>
      </w:r>
      <w:r w:rsidRPr="00B06476">
        <w:rPr>
          <w:rtl/>
          <w:lang w:eastAsia="en-GB"/>
        </w:rPr>
        <w:t xml:space="preserve"> تعويضه تعويضاً </w:t>
      </w:r>
      <w:r>
        <w:rPr>
          <w:rtl/>
          <w:lang w:eastAsia="en-GB"/>
        </w:rPr>
        <w:t>نقدياً</w:t>
      </w:r>
      <w:r w:rsidRPr="00B06476">
        <w:rPr>
          <w:rtl/>
          <w:lang w:eastAsia="en-GB"/>
        </w:rPr>
        <w:t xml:space="preserve"> كافياً </w:t>
      </w:r>
      <w:r>
        <w:rPr>
          <w:rtl/>
          <w:lang w:eastAsia="en-GB"/>
        </w:rPr>
        <w:t>بم</w:t>
      </w:r>
      <w:r w:rsidRPr="00B06476">
        <w:rPr>
          <w:rtl/>
          <w:lang w:eastAsia="en-GB"/>
        </w:rPr>
        <w:t xml:space="preserve">بلغ </w:t>
      </w:r>
      <w:r w:rsidRPr="00D212A8">
        <w:rPr>
          <w:rtl/>
        </w:rPr>
        <w:t>000</w:t>
      </w:r>
      <w:r w:rsidRPr="00B06476">
        <w:rPr>
          <w:rFonts w:ascii="Traditional Arabic"/>
          <w:szCs w:val="20"/>
          <w:rtl/>
          <w:lang w:eastAsia="en-GB"/>
        </w:rPr>
        <w:t xml:space="preserve"> </w:t>
      </w:r>
      <w:r w:rsidRPr="00D212A8">
        <w:rPr>
          <w:rtl/>
        </w:rPr>
        <w:t>25</w:t>
      </w:r>
      <w:r w:rsidRPr="00B06476">
        <w:rPr>
          <w:rtl/>
          <w:lang w:eastAsia="en-GB"/>
        </w:rPr>
        <w:t xml:space="preserve"> يورو </w:t>
      </w:r>
      <w:r>
        <w:rPr>
          <w:rtl/>
          <w:lang w:eastAsia="en-GB"/>
        </w:rPr>
        <w:t>بما يعكس</w:t>
      </w:r>
      <w:r w:rsidRPr="00B06476">
        <w:rPr>
          <w:rtl/>
          <w:lang w:eastAsia="en-GB"/>
        </w:rPr>
        <w:t xml:space="preserve"> نطاق الضرر الذي طاله</w:t>
      </w:r>
      <w:r w:rsidR="00831949">
        <w:rPr>
          <w:b/>
          <w:sz w:val="18"/>
          <w:vertAlign w:val="superscript"/>
          <w:rtl/>
          <w:lang w:eastAsia="en-GB"/>
        </w:rPr>
        <w:t>(</w:t>
      </w:r>
      <w:r w:rsidR="00831949" w:rsidRPr="001105AE">
        <w:rPr>
          <w:b/>
          <w:sz w:val="18"/>
          <w:vertAlign w:val="superscript"/>
          <w:rtl/>
          <w:lang w:eastAsia="en-GB"/>
        </w:rPr>
        <w:footnoteReference w:id="10"/>
      </w:r>
      <w:r w:rsidR="00831949">
        <w:rPr>
          <w:b/>
          <w:sz w:val="18"/>
          <w:vertAlign w:val="superscript"/>
          <w:rtl/>
          <w:lang w:eastAsia="en-GB"/>
        </w:rPr>
        <w:t>)</w:t>
      </w:r>
      <w:r w:rsidR="001105AE">
        <w:rPr>
          <w:rFonts w:hint="cs"/>
          <w:rtl/>
          <w:lang w:eastAsia="en-GB"/>
        </w:rPr>
        <w:t>؛</w:t>
      </w:r>
      <w:r w:rsidRPr="00B06476">
        <w:rPr>
          <w:rtl/>
          <w:lang w:eastAsia="en-GB"/>
        </w:rPr>
        <w:t xml:space="preserve"> و</w:t>
      </w:r>
      <w:r w:rsidRPr="00D212A8">
        <w:rPr>
          <w:rtl/>
        </w:rPr>
        <w:t>(</w:t>
      </w:r>
      <w:r w:rsidRPr="00B06476">
        <w:rPr>
          <w:rtl/>
          <w:lang w:eastAsia="en-GB"/>
        </w:rPr>
        <w:t>د</w:t>
      </w:r>
      <w:r w:rsidRPr="00D212A8">
        <w:rPr>
          <w:rtl/>
        </w:rPr>
        <w:t>)</w:t>
      </w:r>
      <w:r w:rsidRPr="00B06476">
        <w:rPr>
          <w:rtl/>
          <w:lang w:eastAsia="en-GB"/>
        </w:rPr>
        <w:t xml:space="preserve"> اتخاذ تدابير عامة لتسوية الانتهاكات الحالية </w:t>
      </w:r>
      <w:r>
        <w:rPr>
          <w:rtl/>
          <w:lang w:eastAsia="en-GB"/>
        </w:rPr>
        <w:t>والمستقبلية</w:t>
      </w:r>
      <w:r w:rsidRPr="00B06476">
        <w:rPr>
          <w:rtl/>
          <w:lang w:eastAsia="en-GB"/>
        </w:rPr>
        <w:t xml:space="preserve"> للحق في الجنسية بموجب العهد.</w:t>
      </w:r>
    </w:p>
    <w:p w14:paraId="5C68BE07" w14:textId="1D8F5E68" w:rsidR="004F2A82" w:rsidRPr="0068608F" w:rsidRDefault="004F2A82" w:rsidP="004F2A82">
      <w:pPr>
        <w:pStyle w:val="SingleTxtGA"/>
        <w:rPr>
          <w:szCs w:val="30"/>
          <w:lang w:eastAsia="en-GB"/>
        </w:rPr>
      </w:pPr>
      <w:r w:rsidRPr="00D212A8">
        <w:rPr>
          <w:rtl/>
        </w:rPr>
        <w:lastRenderedPageBreak/>
        <w:t>5</w:t>
      </w:r>
      <w:r w:rsidRPr="00FC769F">
        <w:rPr>
          <w:rtl/>
        </w:rPr>
        <w:t>-</w:t>
      </w:r>
      <w:r w:rsidRPr="00D212A8">
        <w:rPr>
          <w:rtl/>
        </w:rPr>
        <w:t>3</w:t>
      </w:r>
      <w:r w:rsidRPr="0068608F">
        <w:rPr>
          <w:sz w:val="30"/>
          <w:rtl/>
          <w:lang w:eastAsia="en-GB"/>
        </w:rPr>
        <w:tab/>
      </w:r>
      <w:r w:rsidRPr="00B06476">
        <w:rPr>
          <w:rtl/>
          <w:lang w:eastAsia="en-GB"/>
        </w:rPr>
        <w:t xml:space="preserve">ويدفع صاحب البلاغ </w:t>
      </w:r>
      <w:r>
        <w:rPr>
          <w:rtl/>
          <w:lang w:eastAsia="en-GB"/>
        </w:rPr>
        <w:t>بأن الدولة</w:t>
      </w:r>
      <w:r w:rsidRPr="00B06476">
        <w:rPr>
          <w:rtl/>
          <w:lang w:eastAsia="en-GB"/>
        </w:rPr>
        <w:t xml:space="preserve"> الطرف، لكي تفي بالتزاماتها بموجب العهد، </w:t>
      </w:r>
      <w:r>
        <w:rPr>
          <w:rtl/>
          <w:lang w:eastAsia="en-GB"/>
        </w:rPr>
        <w:t xml:space="preserve">ينبغي </w:t>
      </w:r>
      <w:r w:rsidRPr="00B06476">
        <w:rPr>
          <w:rtl/>
          <w:lang w:eastAsia="en-GB"/>
        </w:rPr>
        <w:t xml:space="preserve">أن تضع، بموجب القانون، إطاراً فعالاً </w:t>
      </w:r>
      <w:r>
        <w:rPr>
          <w:rtl/>
          <w:lang w:eastAsia="en-GB"/>
        </w:rPr>
        <w:t>يسهل الوصول إليه</w:t>
      </w:r>
      <w:r w:rsidRPr="00B06476">
        <w:rPr>
          <w:rtl/>
          <w:lang w:eastAsia="en-GB"/>
        </w:rPr>
        <w:t xml:space="preserve"> </w:t>
      </w:r>
      <w:r>
        <w:rPr>
          <w:rtl/>
          <w:lang w:eastAsia="en-GB"/>
        </w:rPr>
        <w:t>من أجل</w:t>
      </w:r>
      <w:r w:rsidRPr="00B06476">
        <w:rPr>
          <w:rtl/>
          <w:lang w:eastAsia="en-GB"/>
        </w:rPr>
        <w:t xml:space="preserve"> تحديد وضع انعدام الجنسية </w:t>
      </w:r>
      <w:r>
        <w:rPr>
          <w:rtl/>
          <w:lang w:eastAsia="en-GB"/>
        </w:rPr>
        <w:t xml:space="preserve">ينبغي أن </w:t>
      </w:r>
      <w:r w:rsidRPr="00B06476">
        <w:rPr>
          <w:rtl/>
          <w:lang w:eastAsia="en-GB"/>
        </w:rPr>
        <w:t xml:space="preserve">يتضمن السمات التالية: </w:t>
      </w:r>
      <w:r w:rsidRPr="00D212A8">
        <w:rPr>
          <w:rtl/>
        </w:rPr>
        <w:t>(</w:t>
      </w:r>
      <w:r w:rsidRPr="00B06476">
        <w:rPr>
          <w:rtl/>
          <w:lang w:eastAsia="en-GB"/>
        </w:rPr>
        <w:t>أ</w:t>
      </w:r>
      <w:r w:rsidRPr="00D212A8">
        <w:rPr>
          <w:rtl/>
        </w:rPr>
        <w:t>)</w:t>
      </w:r>
      <w:r w:rsidRPr="00B06476">
        <w:rPr>
          <w:rtl/>
          <w:lang w:eastAsia="en-GB"/>
        </w:rPr>
        <w:t xml:space="preserve"> ينبغي أن تؤخذ مصالح الطفل الفضلى في</w:t>
      </w:r>
      <w:r>
        <w:rPr>
          <w:rtl/>
          <w:lang w:eastAsia="en-GB"/>
        </w:rPr>
        <w:t xml:space="preserve"> الحسبان بوصفها</w:t>
      </w:r>
      <w:r w:rsidRPr="00B06476">
        <w:rPr>
          <w:rtl/>
          <w:lang w:eastAsia="en-GB"/>
        </w:rPr>
        <w:t xml:space="preserve"> الاعتبار الأول في جميع الإجراءات أو القرارات التي تهمه، لا سيما تنفيذ الضمانات المتعلقة بمنع </w:t>
      </w:r>
      <w:r>
        <w:rPr>
          <w:rtl/>
          <w:lang w:eastAsia="en-GB"/>
        </w:rPr>
        <w:t xml:space="preserve">نشوء حالات </w:t>
      </w:r>
      <w:r w:rsidRPr="00B06476">
        <w:rPr>
          <w:rtl/>
          <w:lang w:eastAsia="en-GB"/>
        </w:rPr>
        <w:t>انعدام الجنسية</w:t>
      </w:r>
      <w:r w:rsidR="00831949">
        <w:rPr>
          <w:b/>
          <w:sz w:val="18"/>
          <w:vertAlign w:val="superscript"/>
          <w:rtl/>
          <w:lang w:eastAsia="en-GB"/>
        </w:rPr>
        <w:t>(</w:t>
      </w:r>
      <w:r w:rsidR="00831949" w:rsidRPr="001105AE">
        <w:rPr>
          <w:b/>
          <w:sz w:val="18"/>
          <w:vertAlign w:val="superscript"/>
          <w:rtl/>
          <w:lang w:eastAsia="en-GB"/>
        </w:rPr>
        <w:footnoteReference w:id="11"/>
      </w:r>
      <w:r w:rsidR="00831949">
        <w:rPr>
          <w:b/>
          <w:sz w:val="18"/>
          <w:vertAlign w:val="superscript"/>
          <w:rtl/>
          <w:lang w:eastAsia="en-GB"/>
        </w:rPr>
        <w:t>)</w:t>
      </w:r>
      <w:r w:rsidR="001105AE">
        <w:rPr>
          <w:rFonts w:hint="cs"/>
          <w:rtl/>
          <w:lang w:eastAsia="en-GB"/>
        </w:rPr>
        <w:t>؛</w:t>
      </w:r>
      <w:r w:rsidRPr="00B06476">
        <w:rPr>
          <w:rtl/>
          <w:lang w:eastAsia="en-GB"/>
        </w:rPr>
        <w:t xml:space="preserve"> </w:t>
      </w:r>
      <w:r>
        <w:rPr>
          <w:rtl/>
          <w:lang w:eastAsia="en-GB"/>
        </w:rPr>
        <w:t>و</w:t>
      </w:r>
      <w:r w:rsidRPr="00D212A8">
        <w:rPr>
          <w:rtl/>
        </w:rPr>
        <w:t>(</w:t>
      </w:r>
      <w:r w:rsidRPr="00B06476">
        <w:rPr>
          <w:rtl/>
          <w:lang w:eastAsia="en-GB"/>
        </w:rPr>
        <w:t>ب</w:t>
      </w:r>
      <w:r w:rsidRPr="00D212A8">
        <w:rPr>
          <w:rtl/>
        </w:rPr>
        <w:t>)</w:t>
      </w:r>
      <w:r w:rsidRPr="00B06476">
        <w:rPr>
          <w:rtl/>
          <w:lang w:eastAsia="en-GB"/>
        </w:rPr>
        <w:t xml:space="preserve"> </w:t>
      </w:r>
      <w:r>
        <w:rPr>
          <w:rtl/>
          <w:lang w:eastAsia="en-GB"/>
        </w:rPr>
        <w:t xml:space="preserve">لا </w:t>
      </w:r>
      <w:r w:rsidRPr="00B06476">
        <w:rPr>
          <w:rtl/>
          <w:lang w:eastAsia="en-GB"/>
        </w:rPr>
        <w:t xml:space="preserve">ينبغي بأي حال من الأحوال </w:t>
      </w:r>
      <w:r>
        <w:rPr>
          <w:rtl/>
          <w:lang w:eastAsia="en-GB"/>
        </w:rPr>
        <w:t>أن</w:t>
      </w:r>
      <w:r w:rsidRPr="00B06476">
        <w:rPr>
          <w:rtl/>
          <w:lang w:eastAsia="en-GB"/>
        </w:rPr>
        <w:t xml:space="preserve"> </w:t>
      </w:r>
      <w:r>
        <w:rPr>
          <w:rtl/>
          <w:lang w:eastAsia="en-GB"/>
        </w:rPr>
        <w:t>تكون استفادة</w:t>
      </w:r>
      <w:r w:rsidRPr="00B06476">
        <w:rPr>
          <w:rtl/>
          <w:lang w:eastAsia="en-GB"/>
        </w:rPr>
        <w:t xml:space="preserve"> الأطفال </w:t>
      </w:r>
      <w:r>
        <w:rPr>
          <w:rtl/>
          <w:lang w:eastAsia="en-GB"/>
        </w:rPr>
        <w:t>من عملية تحديد</w:t>
      </w:r>
      <w:r w:rsidRPr="00B06476">
        <w:rPr>
          <w:rtl/>
          <w:lang w:eastAsia="en-GB"/>
        </w:rPr>
        <w:t xml:space="preserve"> وضع </w:t>
      </w:r>
      <w:r>
        <w:rPr>
          <w:rtl/>
          <w:lang w:eastAsia="en-GB"/>
        </w:rPr>
        <w:t>انعدام</w:t>
      </w:r>
      <w:r w:rsidRPr="00B06476">
        <w:rPr>
          <w:rtl/>
          <w:lang w:eastAsia="en-GB"/>
        </w:rPr>
        <w:t xml:space="preserve"> الجنسية </w:t>
      </w:r>
      <w:r>
        <w:rPr>
          <w:rtl/>
          <w:lang w:eastAsia="en-GB"/>
        </w:rPr>
        <w:t>مشروطة</w:t>
      </w:r>
      <w:r w:rsidRPr="00B06476">
        <w:rPr>
          <w:rtl/>
          <w:lang w:eastAsia="en-GB"/>
        </w:rPr>
        <w:t xml:space="preserve"> بوضع </w:t>
      </w:r>
      <w:r>
        <w:rPr>
          <w:rtl/>
          <w:lang w:eastAsia="en-GB"/>
        </w:rPr>
        <w:t>والديهم من حيث الهجرة</w:t>
      </w:r>
      <w:r w:rsidR="00831949">
        <w:rPr>
          <w:b/>
          <w:sz w:val="18"/>
          <w:vertAlign w:val="superscript"/>
          <w:rtl/>
          <w:lang w:eastAsia="en-GB"/>
        </w:rPr>
        <w:t>(</w:t>
      </w:r>
      <w:r w:rsidR="00831949" w:rsidRPr="001105AE">
        <w:rPr>
          <w:b/>
          <w:sz w:val="18"/>
          <w:vertAlign w:val="superscript"/>
          <w:rtl/>
          <w:lang w:eastAsia="en-GB"/>
        </w:rPr>
        <w:footnoteReference w:id="12"/>
      </w:r>
      <w:r w:rsidR="00831949">
        <w:rPr>
          <w:b/>
          <w:sz w:val="18"/>
          <w:vertAlign w:val="superscript"/>
          <w:rtl/>
          <w:lang w:eastAsia="en-GB"/>
        </w:rPr>
        <w:t>)</w:t>
      </w:r>
      <w:r w:rsidR="001105AE">
        <w:rPr>
          <w:rFonts w:hint="cs"/>
          <w:rtl/>
          <w:lang w:eastAsia="en-GB"/>
        </w:rPr>
        <w:t>؛</w:t>
      </w:r>
      <w:r w:rsidRPr="00B06476">
        <w:rPr>
          <w:rtl/>
          <w:lang w:eastAsia="en-GB"/>
        </w:rPr>
        <w:t xml:space="preserve"> </w:t>
      </w:r>
      <w:r>
        <w:rPr>
          <w:rtl/>
          <w:lang w:eastAsia="en-GB"/>
        </w:rPr>
        <w:t>و</w:t>
      </w:r>
      <w:r w:rsidRPr="00D212A8">
        <w:rPr>
          <w:rtl/>
        </w:rPr>
        <w:t>(</w:t>
      </w:r>
      <w:r w:rsidRPr="00B06476">
        <w:rPr>
          <w:rtl/>
          <w:lang w:eastAsia="en-GB"/>
        </w:rPr>
        <w:t>ج</w:t>
      </w:r>
      <w:r w:rsidRPr="00D212A8">
        <w:rPr>
          <w:rtl/>
        </w:rPr>
        <w:t>)</w:t>
      </w:r>
      <w:r w:rsidRPr="00B06476">
        <w:rPr>
          <w:rtl/>
          <w:lang w:eastAsia="en-GB"/>
        </w:rPr>
        <w:t xml:space="preserve"> ينبغي أن يكون </w:t>
      </w:r>
      <w:r>
        <w:rPr>
          <w:rtl/>
          <w:lang w:eastAsia="en-GB"/>
        </w:rPr>
        <w:t xml:space="preserve">هذا </w:t>
      </w:r>
      <w:r w:rsidRPr="00B06476">
        <w:rPr>
          <w:rtl/>
          <w:lang w:eastAsia="en-GB"/>
        </w:rPr>
        <w:t>الإجراء متاحاً لأي شخص، ذكراً كان أو أنثى، بصرف النظر عن مشروعية إقامته في الدولة الطرف</w:t>
      </w:r>
      <w:r w:rsidR="00831949">
        <w:rPr>
          <w:b/>
          <w:sz w:val="18"/>
          <w:vertAlign w:val="superscript"/>
          <w:rtl/>
          <w:lang w:eastAsia="en-GB"/>
        </w:rPr>
        <w:t>(</w:t>
      </w:r>
      <w:r w:rsidR="00831949" w:rsidRPr="001105AE">
        <w:rPr>
          <w:b/>
          <w:sz w:val="18"/>
          <w:vertAlign w:val="superscript"/>
          <w:rtl/>
          <w:lang w:eastAsia="en-GB"/>
        </w:rPr>
        <w:footnoteReference w:id="13"/>
      </w:r>
      <w:r w:rsidR="00831949">
        <w:rPr>
          <w:b/>
          <w:sz w:val="18"/>
          <w:vertAlign w:val="superscript"/>
          <w:rtl/>
          <w:lang w:eastAsia="en-GB"/>
        </w:rPr>
        <w:t>)</w:t>
      </w:r>
      <w:r w:rsidR="001105AE">
        <w:rPr>
          <w:rFonts w:hint="cs"/>
          <w:rtl/>
          <w:lang w:eastAsia="en-GB"/>
        </w:rPr>
        <w:t>؛</w:t>
      </w:r>
      <w:r w:rsidRPr="00B06476">
        <w:rPr>
          <w:rtl/>
          <w:lang w:eastAsia="en-GB"/>
        </w:rPr>
        <w:t xml:space="preserve"> </w:t>
      </w:r>
      <w:r>
        <w:rPr>
          <w:rtl/>
          <w:lang w:eastAsia="en-GB"/>
        </w:rPr>
        <w:t>و</w:t>
      </w:r>
      <w:r w:rsidRPr="00D212A8">
        <w:rPr>
          <w:rtl/>
        </w:rPr>
        <w:t>(</w:t>
      </w:r>
      <w:r w:rsidRPr="00B06476">
        <w:rPr>
          <w:rtl/>
          <w:lang w:eastAsia="en-GB"/>
        </w:rPr>
        <w:t>د</w:t>
      </w:r>
      <w:r w:rsidRPr="00D212A8">
        <w:rPr>
          <w:rtl/>
        </w:rPr>
        <w:t>)</w:t>
      </w:r>
      <w:r w:rsidRPr="00B06476">
        <w:rPr>
          <w:rtl/>
          <w:lang w:eastAsia="en-GB"/>
        </w:rPr>
        <w:t xml:space="preserve"> ينبغي أن تتلقى السلطات المسؤولة عن تحديد حالات انعدام الجنسية التدريب والدعم، بما في ذلك التدريب المتخصص في قانون الجنسية والقانون الدولي لحقوق الإنسان وانعدام الجنسية</w:t>
      </w:r>
      <w:r w:rsidR="00831949">
        <w:rPr>
          <w:b/>
          <w:sz w:val="18"/>
          <w:vertAlign w:val="superscript"/>
          <w:rtl/>
          <w:lang w:eastAsia="en-GB"/>
        </w:rPr>
        <w:t>(</w:t>
      </w:r>
      <w:r w:rsidR="00831949" w:rsidRPr="001105AE">
        <w:rPr>
          <w:b/>
          <w:sz w:val="18"/>
          <w:vertAlign w:val="superscript"/>
          <w:rtl/>
          <w:lang w:eastAsia="en-GB"/>
        </w:rPr>
        <w:footnoteReference w:id="14"/>
      </w:r>
      <w:r w:rsidR="00831949">
        <w:rPr>
          <w:b/>
          <w:sz w:val="18"/>
          <w:vertAlign w:val="superscript"/>
          <w:rtl/>
          <w:lang w:eastAsia="en-GB"/>
        </w:rPr>
        <w:t>)</w:t>
      </w:r>
      <w:r w:rsidR="001105AE">
        <w:rPr>
          <w:rFonts w:hint="cs"/>
          <w:rtl/>
          <w:lang w:eastAsia="en-GB"/>
        </w:rPr>
        <w:t>؛</w:t>
      </w:r>
      <w:r w:rsidRPr="00B06476">
        <w:rPr>
          <w:rtl/>
          <w:lang w:eastAsia="en-GB"/>
        </w:rPr>
        <w:t xml:space="preserve"> </w:t>
      </w:r>
      <w:r>
        <w:rPr>
          <w:rtl/>
          <w:lang w:eastAsia="en-GB"/>
        </w:rPr>
        <w:t>و</w:t>
      </w:r>
      <w:r w:rsidRPr="00D212A8">
        <w:rPr>
          <w:rtl/>
        </w:rPr>
        <w:t>(</w:t>
      </w:r>
      <w:r w:rsidRPr="00B06476">
        <w:rPr>
          <w:rtl/>
          <w:lang w:eastAsia="en-GB"/>
        </w:rPr>
        <w:t>ه</w:t>
      </w:r>
      <w:r w:rsidRPr="00D212A8">
        <w:rPr>
          <w:rtl/>
        </w:rPr>
        <w:t>)</w:t>
      </w:r>
      <w:r w:rsidRPr="00B06476">
        <w:rPr>
          <w:rtl/>
          <w:lang w:eastAsia="en-GB"/>
        </w:rPr>
        <w:t xml:space="preserve"> ينبغي </w:t>
      </w:r>
      <w:r>
        <w:rPr>
          <w:rtl/>
          <w:lang w:eastAsia="en-GB"/>
        </w:rPr>
        <w:t>في هذا الإجراء</w:t>
      </w:r>
      <w:r w:rsidRPr="00B06476">
        <w:rPr>
          <w:rtl/>
          <w:lang w:eastAsia="en-GB"/>
        </w:rPr>
        <w:t xml:space="preserve">، عند تناول الأدلة، </w:t>
      </w:r>
      <w:r>
        <w:rPr>
          <w:rtl/>
          <w:lang w:eastAsia="en-GB"/>
        </w:rPr>
        <w:t>اتباع نهْج</w:t>
      </w:r>
      <w:r w:rsidRPr="00B06476">
        <w:rPr>
          <w:rtl/>
          <w:lang w:eastAsia="en-GB"/>
        </w:rPr>
        <w:t xml:space="preserve"> </w:t>
      </w:r>
      <w:r>
        <w:rPr>
          <w:rtl/>
          <w:lang w:eastAsia="en-GB"/>
        </w:rPr>
        <w:t>ي</w:t>
      </w:r>
      <w:r w:rsidRPr="00B06476">
        <w:rPr>
          <w:rtl/>
          <w:lang w:eastAsia="en-GB"/>
        </w:rPr>
        <w:t>أخذ في الاعتبار التحديات الكامنة في تحديد ما إذا كان الشخص عديم الجنسية</w:t>
      </w:r>
      <w:r w:rsidR="00831949">
        <w:rPr>
          <w:b/>
          <w:sz w:val="18"/>
          <w:vertAlign w:val="superscript"/>
          <w:rtl/>
          <w:lang w:eastAsia="en-GB"/>
        </w:rPr>
        <w:t>(</w:t>
      </w:r>
      <w:r w:rsidR="00831949" w:rsidRPr="001105AE">
        <w:rPr>
          <w:b/>
          <w:sz w:val="18"/>
          <w:vertAlign w:val="superscript"/>
          <w:rtl/>
          <w:lang w:eastAsia="en-GB"/>
        </w:rPr>
        <w:footnoteReference w:id="15"/>
      </w:r>
      <w:r w:rsidR="00831949">
        <w:rPr>
          <w:b/>
          <w:sz w:val="18"/>
          <w:vertAlign w:val="superscript"/>
          <w:rtl/>
          <w:lang w:eastAsia="en-GB"/>
        </w:rPr>
        <w:t>)</w:t>
      </w:r>
      <w:r w:rsidR="001105AE">
        <w:rPr>
          <w:rFonts w:hint="cs"/>
          <w:rtl/>
          <w:lang w:eastAsia="en-GB"/>
        </w:rPr>
        <w:t>؛</w:t>
      </w:r>
      <w:r w:rsidRPr="00B06476">
        <w:rPr>
          <w:rtl/>
          <w:lang w:eastAsia="en-GB"/>
        </w:rPr>
        <w:t xml:space="preserve"> </w:t>
      </w:r>
      <w:r>
        <w:rPr>
          <w:rtl/>
          <w:lang w:eastAsia="en-GB"/>
        </w:rPr>
        <w:t>و</w:t>
      </w:r>
      <w:r w:rsidRPr="00D212A8">
        <w:rPr>
          <w:rtl/>
        </w:rPr>
        <w:t>(</w:t>
      </w:r>
      <w:r w:rsidRPr="00B06476">
        <w:rPr>
          <w:rtl/>
          <w:lang w:eastAsia="en-GB"/>
        </w:rPr>
        <w:t>و</w:t>
      </w:r>
      <w:r w:rsidRPr="00D212A8">
        <w:rPr>
          <w:rtl/>
        </w:rPr>
        <w:t>)</w:t>
      </w:r>
      <w:r w:rsidRPr="00B06476">
        <w:rPr>
          <w:rtl/>
          <w:lang w:eastAsia="en-GB"/>
        </w:rPr>
        <w:t xml:space="preserve"> ينبغي ألا يُسجل أي طفل على أنه مجهول أو غير محدد الجنسية لمدة تزيد عن خمس سنوات</w:t>
      </w:r>
      <w:r w:rsidR="00831949">
        <w:rPr>
          <w:rStyle w:val="FootnoteReference"/>
          <w:rFonts w:eastAsia="MS Mincho"/>
          <w:b/>
          <w:rtl/>
          <w:lang w:eastAsia="en-GB"/>
        </w:rPr>
        <w:t>(</w:t>
      </w:r>
      <w:r w:rsidR="00831949" w:rsidRPr="001105AE">
        <w:rPr>
          <w:rStyle w:val="FootnoteReference"/>
          <w:rFonts w:eastAsia="MS Mincho"/>
          <w:b/>
          <w:rtl/>
          <w:lang w:eastAsia="en-GB"/>
        </w:rPr>
        <w:footnoteReference w:id="16"/>
      </w:r>
      <w:r w:rsidR="00831949">
        <w:rPr>
          <w:rStyle w:val="FootnoteReference"/>
          <w:rFonts w:eastAsia="MS Mincho"/>
          <w:b/>
          <w:rtl/>
          <w:lang w:eastAsia="en-GB"/>
        </w:rPr>
        <w:t>)</w:t>
      </w:r>
      <w:r w:rsidR="001105AE">
        <w:rPr>
          <w:rFonts w:hint="cs"/>
          <w:rtl/>
          <w:lang w:eastAsia="en-GB"/>
        </w:rPr>
        <w:t>؛</w:t>
      </w:r>
      <w:r w:rsidRPr="00B06476">
        <w:rPr>
          <w:rtl/>
          <w:lang w:eastAsia="en-GB"/>
        </w:rPr>
        <w:t xml:space="preserve"> </w:t>
      </w:r>
      <w:r>
        <w:rPr>
          <w:rtl/>
          <w:lang w:eastAsia="en-GB"/>
        </w:rPr>
        <w:t>و</w:t>
      </w:r>
      <w:r w:rsidRPr="00D212A8">
        <w:rPr>
          <w:rtl/>
        </w:rPr>
        <w:t>(</w:t>
      </w:r>
      <w:r w:rsidRPr="00B06476">
        <w:rPr>
          <w:rtl/>
          <w:lang w:eastAsia="en-GB"/>
        </w:rPr>
        <w:t>ز</w:t>
      </w:r>
      <w:r w:rsidRPr="00D212A8">
        <w:rPr>
          <w:rtl/>
        </w:rPr>
        <w:t>)</w:t>
      </w:r>
      <w:r w:rsidRPr="00B06476">
        <w:rPr>
          <w:rtl/>
          <w:lang w:eastAsia="en-GB"/>
        </w:rPr>
        <w:t xml:space="preserve"> ينبغي منح تدابير الحماية الخاصة للأشخاص ذوي الجنسية غير المحددة، ومعاملة الأطفال المولودين في الإقليم معاملة "عديمي الجنسية" إلى أن تُحد</w:t>
      </w:r>
      <w:r>
        <w:rPr>
          <w:rtl/>
          <w:lang w:eastAsia="en-GB"/>
        </w:rPr>
        <w:t>َّ</w:t>
      </w:r>
      <w:r w:rsidRPr="00B06476">
        <w:rPr>
          <w:rtl/>
          <w:lang w:eastAsia="en-GB"/>
        </w:rPr>
        <w:t xml:space="preserve">د جنسيتهم، وينبغي منح الأشخاص الذين ينتظرون البت فيما إذا كانوا من عديمي الجنسية تصريحاً تلقائياً بالإقامة طوال مدة الإجراءات. </w:t>
      </w:r>
    </w:p>
    <w:p w14:paraId="394EF36D" w14:textId="77777777" w:rsidR="004F2A82" w:rsidRPr="00B06476" w:rsidRDefault="004F2A82" w:rsidP="004F2A82">
      <w:pPr>
        <w:pStyle w:val="H23GA"/>
        <w:rPr>
          <w:szCs w:val="20"/>
          <w:lang w:val="ar-SA" w:eastAsia="zh-TW" w:bidi="en-GB"/>
        </w:rPr>
      </w:pPr>
      <w:r w:rsidRPr="00B06476">
        <w:rPr>
          <w:rtl/>
        </w:rPr>
        <w:tab/>
      </w:r>
      <w:r w:rsidRPr="00B06476">
        <w:rPr>
          <w:rtl/>
        </w:rPr>
        <w:tab/>
        <w:t>معلومات إضافية من الدولة الطرف</w:t>
      </w:r>
    </w:p>
    <w:p w14:paraId="24DD711E" w14:textId="77777777" w:rsidR="004F2A82" w:rsidRPr="00B06476" w:rsidRDefault="004F2A82" w:rsidP="004F2A82">
      <w:pPr>
        <w:pStyle w:val="SingleTxtGA"/>
        <w:rPr>
          <w:szCs w:val="20"/>
          <w:lang w:val="ar-SA" w:eastAsia="zh-TW" w:bidi="en-GB"/>
        </w:rPr>
      </w:pPr>
      <w:r w:rsidRPr="00D212A8">
        <w:rPr>
          <w:rtl/>
        </w:rPr>
        <w:t>6</w:t>
      </w:r>
      <w:r w:rsidRPr="00FC769F">
        <w:rPr>
          <w:rtl/>
        </w:rPr>
        <w:t>-</w:t>
      </w:r>
      <w:r w:rsidRPr="0068608F">
        <w:rPr>
          <w:sz w:val="30"/>
          <w:rtl/>
          <w:lang w:eastAsia="en-GB"/>
        </w:rPr>
        <w:tab/>
      </w:r>
      <w:r w:rsidRPr="00B06476">
        <w:rPr>
          <w:rtl/>
          <w:lang w:eastAsia="en-GB"/>
        </w:rPr>
        <w:t xml:space="preserve">في </w:t>
      </w:r>
      <w:r w:rsidRPr="00D212A8">
        <w:rPr>
          <w:rtl/>
        </w:rPr>
        <w:t>23</w:t>
      </w:r>
      <w:r w:rsidRPr="00B06476">
        <w:rPr>
          <w:rtl/>
          <w:lang w:eastAsia="en-GB"/>
        </w:rPr>
        <w:t xml:space="preserve"> نيسان/أبريل </w:t>
      </w:r>
      <w:r w:rsidRPr="00D212A8">
        <w:rPr>
          <w:rtl/>
        </w:rPr>
        <w:t>2018</w:t>
      </w:r>
      <w:r w:rsidRPr="00B06476">
        <w:rPr>
          <w:rtl/>
          <w:lang w:eastAsia="en-GB"/>
        </w:rPr>
        <w:t xml:space="preserve">، أكدت الدولة الطرف مجدداً موقفها على </w:t>
      </w:r>
      <w:r>
        <w:rPr>
          <w:rtl/>
          <w:lang w:eastAsia="en-GB"/>
        </w:rPr>
        <w:t>النحو</w:t>
      </w:r>
      <w:r w:rsidRPr="00B06476">
        <w:rPr>
          <w:rtl/>
          <w:lang w:eastAsia="en-GB"/>
        </w:rPr>
        <w:t xml:space="preserve"> </w:t>
      </w:r>
      <w:r>
        <w:rPr>
          <w:rtl/>
          <w:lang w:eastAsia="en-GB"/>
        </w:rPr>
        <w:t>ال</w:t>
      </w:r>
      <w:r w:rsidRPr="00B06476">
        <w:rPr>
          <w:rtl/>
          <w:lang w:eastAsia="en-GB"/>
        </w:rPr>
        <w:t xml:space="preserve">مبين في المعلومات التي قدمتها </w:t>
      </w:r>
      <w:r>
        <w:rPr>
          <w:rtl/>
          <w:lang w:eastAsia="en-GB"/>
        </w:rPr>
        <w:t>والمؤرخة</w:t>
      </w:r>
      <w:r w:rsidRPr="00B06476">
        <w:rPr>
          <w:rtl/>
          <w:lang w:eastAsia="en-GB"/>
        </w:rPr>
        <w:t xml:space="preserve"> </w:t>
      </w:r>
      <w:r w:rsidRPr="00D212A8">
        <w:rPr>
          <w:rtl/>
        </w:rPr>
        <w:t>28</w:t>
      </w:r>
      <w:r w:rsidRPr="0068608F">
        <w:rPr>
          <w:sz w:val="30"/>
          <w:rtl/>
          <w:lang w:eastAsia="en-GB"/>
        </w:rPr>
        <w:t xml:space="preserve"> حزيران/يونيه </w:t>
      </w:r>
      <w:r w:rsidRPr="00D212A8">
        <w:rPr>
          <w:rtl/>
        </w:rPr>
        <w:t>2017</w:t>
      </w:r>
      <w:r w:rsidRPr="0068608F">
        <w:rPr>
          <w:rFonts w:ascii="Traditional Arabic"/>
          <w:sz w:val="30"/>
          <w:szCs w:val="30"/>
          <w:rtl/>
          <w:lang w:eastAsia="en-GB"/>
        </w:rPr>
        <w:t>.</w:t>
      </w:r>
      <w:r w:rsidRPr="00B06476">
        <w:rPr>
          <w:rtl/>
          <w:lang w:eastAsia="en-GB"/>
        </w:rPr>
        <w:t xml:space="preserve"> </w:t>
      </w:r>
    </w:p>
    <w:p w14:paraId="5E49618A" w14:textId="77777777" w:rsidR="004F2A82" w:rsidRPr="00B06476" w:rsidRDefault="004F2A82" w:rsidP="004F2A82">
      <w:pPr>
        <w:pStyle w:val="H23GA"/>
        <w:rPr>
          <w:szCs w:val="20"/>
          <w:lang w:val="ar-SA" w:eastAsia="zh-TW" w:bidi="en-GB"/>
        </w:rPr>
      </w:pPr>
      <w:r w:rsidRPr="00B06476">
        <w:rPr>
          <w:rtl/>
        </w:rPr>
        <w:tab/>
      </w:r>
      <w:r w:rsidRPr="00B06476">
        <w:rPr>
          <w:rtl/>
        </w:rPr>
        <w:tab/>
        <w:t>المسائل والإجراءات المعروضة على اللجنة</w:t>
      </w:r>
    </w:p>
    <w:p w14:paraId="402FDC93" w14:textId="77777777" w:rsidR="004F2A82" w:rsidRPr="00B06476" w:rsidRDefault="004F2A82" w:rsidP="004F2A82">
      <w:pPr>
        <w:pStyle w:val="H4GA"/>
        <w:rPr>
          <w:szCs w:val="20"/>
          <w:lang w:val="ar-SA" w:eastAsia="zh-TW" w:bidi="en-GB"/>
        </w:rPr>
      </w:pPr>
      <w:r w:rsidRPr="00B06476">
        <w:rPr>
          <w:rtl/>
          <w:lang w:eastAsia="en-GB"/>
        </w:rPr>
        <w:tab/>
      </w:r>
      <w:r w:rsidRPr="00B06476">
        <w:rPr>
          <w:rtl/>
          <w:lang w:eastAsia="en-GB"/>
        </w:rPr>
        <w:tab/>
        <w:t>النظر في المقبولية</w:t>
      </w:r>
    </w:p>
    <w:p w14:paraId="072DCD65" w14:textId="77777777" w:rsidR="004F2A82" w:rsidRPr="0068608F" w:rsidRDefault="004F2A82" w:rsidP="004F2A82">
      <w:pPr>
        <w:pStyle w:val="SingleTxtGA"/>
        <w:rPr>
          <w:sz w:val="30"/>
          <w:szCs w:val="30"/>
          <w:lang w:val="ar-SA" w:eastAsia="zh-TW" w:bidi="en-GB"/>
        </w:rPr>
      </w:pPr>
      <w:r w:rsidRPr="00D212A8">
        <w:rPr>
          <w:rtl/>
        </w:rPr>
        <w:t>7</w:t>
      </w:r>
      <w:r w:rsidRPr="00FC769F">
        <w:rPr>
          <w:rtl/>
        </w:rPr>
        <w:t>-</w:t>
      </w:r>
      <w:r w:rsidRPr="00D212A8">
        <w:rPr>
          <w:rtl/>
        </w:rPr>
        <w:t>1</w:t>
      </w:r>
      <w:r w:rsidRPr="00B06476">
        <w:rPr>
          <w:rtl/>
          <w:lang w:eastAsia="en-GB"/>
        </w:rPr>
        <w:tab/>
        <w:t xml:space="preserve">قبل النظر في أي ادعاءات ترد في بلاغ ما، يجب على اللجنة، وفقاً للمادة </w:t>
      </w:r>
      <w:r w:rsidRPr="00D212A8">
        <w:rPr>
          <w:rtl/>
        </w:rPr>
        <w:t>97</w:t>
      </w:r>
      <w:r w:rsidRPr="00B06476">
        <w:rPr>
          <w:rtl/>
          <w:lang w:eastAsia="en-GB"/>
        </w:rPr>
        <w:t xml:space="preserve"> من نظامها الداخلي، أن تقرر ما إذا كان البلاغ مقبولاً أم لا بموجب البروتوكول الاختياري.</w:t>
      </w:r>
    </w:p>
    <w:p w14:paraId="032D54F1" w14:textId="77777777" w:rsidR="004F2A82" w:rsidRPr="00B06476" w:rsidRDefault="004F2A82" w:rsidP="004F2A82">
      <w:pPr>
        <w:pStyle w:val="SingleTxtGA"/>
        <w:rPr>
          <w:szCs w:val="20"/>
          <w:lang w:val="ar-SA" w:eastAsia="zh-TW" w:bidi="en-GB"/>
        </w:rPr>
      </w:pPr>
      <w:r w:rsidRPr="00D212A8">
        <w:rPr>
          <w:rtl/>
        </w:rPr>
        <w:t>7</w:t>
      </w:r>
      <w:r w:rsidRPr="00FC769F">
        <w:rPr>
          <w:rtl/>
        </w:rPr>
        <w:t>-</w:t>
      </w:r>
      <w:r w:rsidRPr="00D212A8">
        <w:rPr>
          <w:rtl/>
        </w:rPr>
        <w:t>2</w:t>
      </w:r>
      <w:r w:rsidRPr="00B06476">
        <w:rPr>
          <w:rtl/>
          <w:lang w:eastAsia="en-GB"/>
        </w:rPr>
        <w:tab/>
        <w:t xml:space="preserve">وقد تأكدت اللجنة، وفقاً لما تنص عليه </w:t>
      </w:r>
      <w:r w:rsidRPr="0068608F">
        <w:rPr>
          <w:sz w:val="30"/>
          <w:rtl/>
          <w:lang w:eastAsia="en-GB"/>
        </w:rPr>
        <w:t xml:space="preserve">المادة </w:t>
      </w:r>
      <w:r w:rsidRPr="00D212A8">
        <w:rPr>
          <w:rtl/>
        </w:rPr>
        <w:t>5(2)(</w:t>
      </w:r>
      <w:r w:rsidRPr="0068608F">
        <w:rPr>
          <w:sz w:val="30"/>
          <w:rtl/>
          <w:lang w:eastAsia="en-GB"/>
        </w:rPr>
        <w:t>أ</w:t>
      </w:r>
      <w:r w:rsidRPr="00D212A8">
        <w:rPr>
          <w:rtl/>
        </w:rPr>
        <w:t>)</w:t>
      </w:r>
      <w:r w:rsidRPr="00B06476">
        <w:rPr>
          <w:rtl/>
          <w:lang w:eastAsia="en-GB"/>
        </w:rPr>
        <w:t xml:space="preserve"> من البروتوكول الاختياري، من أن المسألة نفسها ليست قيد البحث في إطار أي إجراء آخر من إجراءات التحقيق الدولي أو التسوية الدولية.</w:t>
      </w:r>
    </w:p>
    <w:p w14:paraId="7D204C55" w14:textId="77777777" w:rsidR="004F2A82" w:rsidRPr="0068608F" w:rsidRDefault="004F2A82" w:rsidP="004F2A82">
      <w:pPr>
        <w:pStyle w:val="SingleTxtGA"/>
        <w:rPr>
          <w:bCs/>
          <w:sz w:val="30"/>
          <w:szCs w:val="30"/>
          <w:lang w:val="ar-SA" w:eastAsia="zh-TW" w:bidi="en-GB"/>
        </w:rPr>
      </w:pPr>
      <w:r w:rsidRPr="00D212A8">
        <w:rPr>
          <w:rtl/>
        </w:rPr>
        <w:t>7</w:t>
      </w:r>
      <w:r w:rsidRPr="00FC769F">
        <w:rPr>
          <w:rtl/>
        </w:rPr>
        <w:t>-</w:t>
      </w:r>
      <w:r w:rsidRPr="00D212A8">
        <w:rPr>
          <w:rtl/>
        </w:rPr>
        <w:t>3</w:t>
      </w:r>
      <w:r w:rsidRPr="0068608F">
        <w:rPr>
          <w:sz w:val="30"/>
          <w:rtl/>
          <w:lang w:eastAsia="en-GB"/>
        </w:rPr>
        <w:tab/>
      </w:r>
      <w:r w:rsidRPr="00B06476">
        <w:rPr>
          <w:rtl/>
          <w:lang w:eastAsia="en-GB"/>
        </w:rPr>
        <w:t xml:space="preserve">وتشير اللجنة إلى ادعاء صاحب البلاغ أنه استنفد جميع سُبُل الانتصاف المحلية الفعالة المتاحة له. </w:t>
      </w:r>
      <w:r>
        <w:rPr>
          <w:rtl/>
          <w:lang w:eastAsia="en-GB"/>
        </w:rPr>
        <w:t>وفي غياب</w:t>
      </w:r>
      <w:r w:rsidRPr="00B06476">
        <w:rPr>
          <w:rtl/>
          <w:lang w:eastAsia="en-GB"/>
        </w:rPr>
        <w:t xml:space="preserve"> أي اعتراض </w:t>
      </w:r>
      <w:r>
        <w:rPr>
          <w:rtl/>
          <w:lang w:eastAsia="en-GB"/>
        </w:rPr>
        <w:t xml:space="preserve">من </w:t>
      </w:r>
      <w:r w:rsidRPr="00B06476">
        <w:rPr>
          <w:rtl/>
          <w:lang w:eastAsia="en-GB"/>
        </w:rPr>
        <w:t xml:space="preserve">الدولة الطرف في هذا الصدد، ترى اللجنة أن مقتضيات المادة </w:t>
      </w:r>
      <w:r w:rsidRPr="00D212A8">
        <w:rPr>
          <w:rtl/>
        </w:rPr>
        <w:t>5(2)(</w:t>
      </w:r>
      <w:r w:rsidRPr="00B06476">
        <w:rPr>
          <w:rtl/>
          <w:lang w:eastAsia="en-GB"/>
        </w:rPr>
        <w:t>ب</w:t>
      </w:r>
      <w:r w:rsidRPr="00D212A8">
        <w:rPr>
          <w:rtl/>
        </w:rPr>
        <w:t>)</w:t>
      </w:r>
      <w:r w:rsidRPr="00B06476">
        <w:rPr>
          <w:rtl/>
          <w:lang w:eastAsia="en-GB"/>
        </w:rPr>
        <w:t xml:space="preserve"> من البروتوكول الاختياري </w:t>
      </w:r>
      <w:r>
        <w:rPr>
          <w:rtl/>
          <w:lang w:eastAsia="en-GB"/>
        </w:rPr>
        <w:t xml:space="preserve">قد </w:t>
      </w:r>
      <w:r w:rsidRPr="00B06476">
        <w:rPr>
          <w:rtl/>
          <w:lang w:eastAsia="en-GB"/>
        </w:rPr>
        <w:t>استوفيت.</w:t>
      </w:r>
    </w:p>
    <w:p w14:paraId="5B1D4E38" w14:textId="1403127A" w:rsidR="004F2A82" w:rsidRPr="0068608F" w:rsidRDefault="004F2A82" w:rsidP="004F2A82">
      <w:pPr>
        <w:pStyle w:val="SingleTxtGA"/>
        <w:rPr>
          <w:bCs/>
          <w:sz w:val="30"/>
          <w:szCs w:val="30"/>
          <w:lang w:val="ar-SA" w:eastAsia="zh-TW" w:bidi="en-GB"/>
        </w:rPr>
      </w:pPr>
      <w:r w:rsidRPr="00D212A8">
        <w:rPr>
          <w:rtl/>
        </w:rPr>
        <w:lastRenderedPageBreak/>
        <w:t>7</w:t>
      </w:r>
      <w:r w:rsidRPr="00FC769F">
        <w:rPr>
          <w:rtl/>
        </w:rPr>
        <w:t>-</w:t>
      </w:r>
      <w:r w:rsidRPr="00D212A8">
        <w:rPr>
          <w:rtl/>
        </w:rPr>
        <w:t>4</w:t>
      </w:r>
      <w:r w:rsidRPr="00B06476">
        <w:rPr>
          <w:rtl/>
          <w:lang w:eastAsia="en-GB"/>
        </w:rPr>
        <w:tab/>
        <w:t xml:space="preserve">وتحيط اللجنة علماً أيضاً بادعاء صاحب البلاغ أن الدولة الطرف أخلّت بالتزاماتها بموجب </w:t>
      </w:r>
      <w:r w:rsidRPr="0068608F">
        <w:rPr>
          <w:sz w:val="30"/>
          <w:rtl/>
          <w:lang w:eastAsia="en-GB"/>
        </w:rPr>
        <w:t xml:space="preserve">المادة </w:t>
      </w:r>
      <w:r w:rsidRPr="00D212A8">
        <w:rPr>
          <w:rtl/>
        </w:rPr>
        <w:t>2(2)</w:t>
      </w:r>
      <w:r w:rsidRPr="0068608F">
        <w:rPr>
          <w:sz w:val="30"/>
          <w:rtl/>
          <w:lang w:eastAsia="en-GB"/>
        </w:rPr>
        <w:t xml:space="preserve"> من</w:t>
      </w:r>
      <w:r w:rsidRPr="00B06476">
        <w:rPr>
          <w:rtl/>
          <w:lang w:eastAsia="en-GB"/>
        </w:rPr>
        <w:t xml:space="preserve"> العهد، مقروءة بالاقتران مع الماد</w:t>
      </w:r>
      <w:r w:rsidRPr="0068608F">
        <w:rPr>
          <w:rFonts w:ascii="Traditional Arabic"/>
          <w:sz w:val="30"/>
          <w:rtl/>
          <w:lang w:eastAsia="en-GB"/>
        </w:rPr>
        <w:t xml:space="preserve">ة </w:t>
      </w:r>
      <w:r w:rsidRPr="00D212A8">
        <w:rPr>
          <w:rtl/>
        </w:rPr>
        <w:t>24</w:t>
      </w:r>
      <w:r w:rsidRPr="0068608F">
        <w:rPr>
          <w:rFonts w:ascii="Traditional Arabic"/>
          <w:sz w:val="30"/>
          <w:rtl/>
          <w:lang w:eastAsia="en-GB"/>
        </w:rPr>
        <w:t>،</w:t>
      </w:r>
      <w:r w:rsidRPr="00B06476">
        <w:rPr>
          <w:rtl/>
          <w:lang w:eastAsia="en-GB"/>
        </w:rPr>
        <w:t xml:space="preserve"> لأنها لم تعتمد ما قد يلزم من القوانين </w:t>
      </w:r>
      <w:r>
        <w:rPr>
          <w:rtl/>
          <w:lang w:eastAsia="en-GB"/>
        </w:rPr>
        <w:t>و</w:t>
      </w:r>
      <w:r w:rsidRPr="00B06476">
        <w:rPr>
          <w:rtl/>
          <w:lang w:eastAsia="en-GB"/>
        </w:rPr>
        <w:t xml:space="preserve">القواعد الإدارية لإعمال الحقوق المنصوص عليها في المادة </w:t>
      </w:r>
      <w:r w:rsidRPr="00D212A8">
        <w:rPr>
          <w:rtl/>
        </w:rPr>
        <w:t>24</w:t>
      </w:r>
      <w:r w:rsidRPr="0068608F">
        <w:rPr>
          <w:sz w:val="30"/>
          <w:rtl/>
          <w:lang w:eastAsia="en-GB"/>
        </w:rPr>
        <w:t xml:space="preserve"> </w:t>
      </w:r>
      <w:r w:rsidRPr="00B06476">
        <w:rPr>
          <w:rtl/>
          <w:lang w:eastAsia="en-GB"/>
        </w:rPr>
        <w:t xml:space="preserve">من العهد. </w:t>
      </w:r>
      <w:bookmarkStart w:id="0" w:name="_Hlk64047656"/>
      <w:r w:rsidRPr="00B06476">
        <w:rPr>
          <w:rtl/>
          <w:lang w:eastAsia="en-GB"/>
        </w:rPr>
        <w:t>وتذكِّر اللجنة باجتهاداتها السابقة</w:t>
      </w:r>
      <w:r w:rsidR="00831949">
        <w:rPr>
          <w:b/>
          <w:sz w:val="18"/>
          <w:vertAlign w:val="superscript"/>
          <w:rtl/>
          <w:lang w:eastAsia="en-GB"/>
        </w:rPr>
        <w:t>(</w:t>
      </w:r>
      <w:r w:rsidR="00831949" w:rsidRPr="001105AE">
        <w:rPr>
          <w:b/>
          <w:sz w:val="18"/>
          <w:vertAlign w:val="superscript"/>
          <w:rtl/>
          <w:lang w:eastAsia="en-GB"/>
        </w:rPr>
        <w:footnoteReference w:id="17"/>
      </w:r>
      <w:r w:rsidR="00831949">
        <w:rPr>
          <w:b/>
          <w:sz w:val="18"/>
          <w:vertAlign w:val="superscript"/>
          <w:rtl/>
          <w:lang w:eastAsia="en-GB"/>
        </w:rPr>
        <w:t>)</w:t>
      </w:r>
      <w:r w:rsidRPr="00B06476">
        <w:rPr>
          <w:rtl/>
          <w:lang w:eastAsia="en-GB"/>
        </w:rPr>
        <w:t xml:space="preserve"> </w:t>
      </w:r>
      <w:r w:rsidRPr="00B06476">
        <w:rPr>
          <w:rFonts w:ascii="Traditional Arabic" w:eastAsiaTheme="minorHAnsi" w:hAnsi="Traditional Arabic"/>
          <w:sz w:val="30"/>
          <w:rtl/>
        </w:rPr>
        <w:t xml:space="preserve">التي </w:t>
      </w:r>
      <w:r>
        <w:rPr>
          <w:rFonts w:ascii="Traditional Arabic" w:eastAsiaTheme="minorHAnsi" w:hAnsi="Traditional Arabic"/>
          <w:sz w:val="30"/>
          <w:rtl/>
        </w:rPr>
        <w:t>تفيد</w:t>
      </w:r>
      <w:r w:rsidRPr="00B06476">
        <w:rPr>
          <w:rFonts w:ascii="Traditional Arabic" w:eastAsiaTheme="minorHAnsi" w:hAnsi="Traditional Arabic"/>
          <w:sz w:val="30"/>
          <w:rtl/>
        </w:rPr>
        <w:t xml:space="preserve"> </w:t>
      </w:r>
      <w:r>
        <w:rPr>
          <w:rFonts w:ascii="Traditional Arabic" w:eastAsiaTheme="minorHAnsi" w:hAnsi="Traditional Arabic"/>
          <w:sz w:val="30"/>
          <w:rtl/>
        </w:rPr>
        <w:t>ب</w:t>
      </w:r>
      <w:r w:rsidRPr="00B06476">
        <w:rPr>
          <w:rFonts w:ascii="Traditional Arabic" w:eastAsiaTheme="minorHAnsi" w:hAnsi="Traditional Arabic"/>
          <w:sz w:val="30"/>
          <w:rtl/>
        </w:rPr>
        <w:t xml:space="preserve">أنه لا يمكن الاحتجاج بأحكام </w:t>
      </w:r>
      <w:r w:rsidRPr="007E164C">
        <w:rPr>
          <w:rFonts w:ascii="Traditional Arabic" w:eastAsiaTheme="minorHAnsi" w:hAnsi="Traditional Arabic"/>
          <w:sz w:val="30"/>
          <w:rtl/>
        </w:rPr>
        <w:t xml:space="preserve">المادة </w:t>
      </w:r>
      <w:r w:rsidRPr="00D212A8">
        <w:rPr>
          <w:rtl/>
        </w:rPr>
        <w:t>2(2)</w:t>
      </w:r>
      <w:r w:rsidRPr="00B06476">
        <w:rPr>
          <w:rFonts w:ascii="Traditional Arabic" w:eastAsiaTheme="minorHAnsi" w:hAnsi="Traditional Arabic"/>
          <w:sz w:val="30"/>
          <w:rtl/>
        </w:rPr>
        <w:t xml:space="preserve"> </w:t>
      </w:r>
      <w:r>
        <w:rPr>
          <w:rFonts w:ascii="Traditional Arabic" w:eastAsiaTheme="minorHAnsi" w:hAnsi="Traditional Arabic"/>
          <w:sz w:val="30"/>
          <w:rtl/>
        </w:rPr>
        <w:t>ك</w:t>
      </w:r>
      <w:r w:rsidRPr="00B06476">
        <w:rPr>
          <w:rFonts w:ascii="Traditional Arabic" w:eastAsiaTheme="minorHAnsi" w:hAnsi="Traditional Arabic"/>
          <w:sz w:val="30"/>
          <w:rtl/>
        </w:rPr>
        <w:t xml:space="preserve">مطالبة في بلاغ </w:t>
      </w:r>
      <w:r>
        <w:rPr>
          <w:rFonts w:ascii="Traditional Arabic" w:eastAsiaTheme="minorHAnsi" w:hAnsi="Traditional Arabic"/>
          <w:sz w:val="30"/>
          <w:rtl/>
        </w:rPr>
        <w:t>مقدَّم بموجب</w:t>
      </w:r>
      <w:r w:rsidRPr="00B06476">
        <w:rPr>
          <w:rFonts w:ascii="Traditional Arabic" w:eastAsiaTheme="minorHAnsi" w:hAnsi="Traditional Arabic"/>
          <w:sz w:val="30"/>
          <w:rtl/>
        </w:rPr>
        <w:t xml:space="preserve"> البروتوكول الاختياري </w:t>
      </w:r>
      <w:r>
        <w:rPr>
          <w:rFonts w:ascii="Traditional Arabic" w:eastAsiaTheme="minorHAnsi" w:hAnsi="Traditional Arabic"/>
          <w:sz w:val="30"/>
          <w:rtl/>
        </w:rPr>
        <w:t xml:space="preserve">بالاقتران مع </w:t>
      </w:r>
      <w:r w:rsidRPr="00B06476">
        <w:rPr>
          <w:rFonts w:ascii="Traditional Arabic" w:eastAsiaTheme="minorHAnsi" w:hAnsi="Traditional Arabic"/>
          <w:sz w:val="30"/>
          <w:rtl/>
        </w:rPr>
        <w:t xml:space="preserve">أحكام أخرى من العهد </w:t>
      </w:r>
      <w:r>
        <w:rPr>
          <w:rFonts w:ascii="Traditional Arabic" w:eastAsiaTheme="minorHAnsi" w:hAnsi="Traditional Arabic"/>
          <w:sz w:val="30"/>
          <w:rtl/>
        </w:rPr>
        <w:t>إلا إذا كان</w:t>
      </w:r>
      <w:r w:rsidRPr="00B06476">
        <w:rPr>
          <w:rFonts w:ascii="Traditional Arabic" w:eastAsiaTheme="minorHAnsi" w:hAnsi="Traditional Arabic"/>
          <w:sz w:val="30"/>
          <w:rtl/>
        </w:rPr>
        <w:t xml:space="preserve"> عدم تقيّد الدولة الطرف بالتزاماتها في إطار المادة </w:t>
      </w:r>
      <w:r w:rsidRPr="00D212A8">
        <w:rPr>
          <w:rtl/>
        </w:rPr>
        <w:t>2</w:t>
      </w:r>
      <w:r w:rsidRPr="0068608F">
        <w:rPr>
          <w:rFonts w:ascii="Traditional Arabic" w:eastAsiaTheme="minorHAnsi" w:hAnsi="Traditional Arabic"/>
          <w:sz w:val="30"/>
          <w:szCs w:val="30"/>
          <w:rtl/>
        </w:rPr>
        <w:t xml:space="preserve"> </w:t>
      </w:r>
      <w:r w:rsidRPr="00B06476">
        <w:rPr>
          <w:rFonts w:ascii="Traditional Arabic" w:eastAsiaTheme="minorHAnsi" w:hAnsi="Traditional Arabic"/>
          <w:sz w:val="30"/>
          <w:rtl/>
        </w:rPr>
        <w:t xml:space="preserve">هو السبب </w:t>
      </w:r>
      <w:r>
        <w:rPr>
          <w:rFonts w:ascii="Traditional Arabic" w:eastAsiaTheme="minorHAnsi" w:hAnsi="Traditional Arabic"/>
          <w:sz w:val="30"/>
          <w:rtl/>
        </w:rPr>
        <w:t>المباشر</w:t>
      </w:r>
      <w:r w:rsidRPr="00B06476">
        <w:rPr>
          <w:rFonts w:ascii="Traditional Arabic" w:eastAsiaTheme="minorHAnsi" w:hAnsi="Traditional Arabic"/>
          <w:sz w:val="30"/>
          <w:rtl/>
        </w:rPr>
        <w:t xml:space="preserve"> لانتهاك منفصل للعهد</w:t>
      </w:r>
      <w:r>
        <w:rPr>
          <w:rFonts w:ascii="Traditional Arabic" w:eastAsiaTheme="minorHAnsi" w:hAnsi="Traditional Arabic"/>
          <w:sz w:val="30"/>
          <w:rtl/>
        </w:rPr>
        <w:t xml:space="preserve"> يؤثّر</w:t>
      </w:r>
      <w:r w:rsidRPr="00B06476">
        <w:rPr>
          <w:rFonts w:ascii="Traditional Arabic" w:eastAsiaTheme="minorHAnsi" w:hAnsi="Traditional Arabic"/>
          <w:sz w:val="30"/>
          <w:rtl/>
        </w:rPr>
        <w:t xml:space="preserve"> مباشرة </w:t>
      </w:r>
      <w:r>
        <w:rPr>
          <w:rFonts w:ascii="Traditional Arabic" w:eastAsiaTheme="minorHAnsi" w:hAnsi="Traditional Arabic"/>
          <w:sz w:val="30"/>
          <w:rtl/>
        </w:rPr>
        <w:t>على</w:t>
      </w:r>
      <w:r w:rsidRPr="00B06476">
        <w:rPr>
          <w:rFonts w:ascii="Traditional Arabic" w:eastAsiaTheme="minorHAnsi" w:hAnsi="Traditional Arabic"/>
          <w:sz w:val="30"/>
          <w:rtl/>
        </w:rPr>
        <w:t xml:space="preserve"> الشخص الذي يد</w:t>
      </w:r>
      <w:r>
        <w:rPr>
          <w:rFonts w:ascii="Traditional Arabic" w:eastAsiaTheme="minorHAnsi" w:hAnsi="Traditional Arabic"/>
          <w:sz w:val="30"/>
          <w:rtl/>
        </w:rPr>
        <w:t>َّ</w:t>
      </w:r>
      <w:r w:rsidRPr="00B06476">
        <w:rPr>
          <w:rFonts w:ascii="Traditional Arabic" w:eastAsiaTheme="minorHAnsi" w:hAnsi="Traditional Arabic"/>
          <w:sz w:val="30"/>
          <w:rtl/>
        </w:rPr>
        <w:t>عي أنه ضحية</w:t>
      </w:r>
      <w:r w:rsidRPr="00B06476">
        <w:t>.</w:t>
      </w:r>
      <w:r w:rsidRPr="00B06476">
        <w:t>‬</w:t>
      </w:r>
      <w:r w:rsidRPr="00B06476">
        <w:rPr>
          <w:rtl/>
          <w:lang w:eastAsia="en-GB"/>
        </w:rPr>
        <w:t xml:space="preserve"> غير أن اللجنة تلاحظ أن صاحب البلاغ سبق أن ادعى وقوع انتهاك لحقوقه المنصوص عليها في المادة</w:t>
      </w:r>
      <w:r w:rsidR="00230D11">
        <w:rPr>
          <w:rFonts w:hint="cs"/>
          <w:rtl/>
          <w:lang w:eastAsia="en-GB"/>
        </w:rPr>
        <w:t> </w:t>
      </w:r>
      <w:r w:rsidRPr="00D212A8">
        <w:rPr>
          <w:rtl/>
        </w:rPr>
        <w:t>24</w:t>
      </w:r>
      <w:r w:rsidRPr="00B06476">
        <w:rPr>
          <w:rtl/>
          <w:lang w:eastAsia="en-GB"/>
        </w:rPr>
        <w:t xml:space="preserve"> </w:t>
      </w:r>
      <w:r>
        <w:rPr>
          <w:rtl/>
          <w:lang w:eastAsia="en-GB"/>
        </w:rPr>
        <w:t>نتيجة ل</w:t>
      </w:r>
      <w:r w:rsidRPr="00B06476">
        <w:rPr>
          <w:rtl/>
          <w:lang w:eastAsia="en-GB"/>
        </w:rPr>
        <w:t xml:space="preserve">تفسير وتطبيق القوانين القائمة في الدولة الطرف، ولا ترى </w:t>
      </w:r>
      <w:r>
        <w:rPr>
          <w:rtl/>
          <w:lang w:eastAsia="en-GB"/>
        </w:rPr>
        <w:t xml:space="preserve">اللجنة </w:t>
      </w:r>
      <w:r w:rsidRPr="00B06476">
        <w:rPr>
          <w:rtl/>
          <w:lang w:eastAsia="en-GB"/>
        </w:rPr>
        <w:t xml:space="preserve">أن النظر فيما إذا كانت الدولة الطرف قد انتهكت أيضاً التزاماتها العامة بموجب المادة </w:t>
      </w:r>
      <w:r w:rsidRPr="00D212A8">
        <w:rPr>
          <w:rtl/>
        </w:rPr>
        <w:t>2(2)</w:t>
      </w:r>
      <w:r w:rsidRPr="00B06476">
        <w:rPr>
          <w:rtl/>
          <w:lang w:eastAsia="en-GB"/>
        </w:rPr>
        <w:t xml:space="preserve"> من العهد، مقروءة بالاقتران مع المادة </w:t>
      </w:r>
      <w:r w:rsidRPr="00D212A8">
        <w:rPr>
          <w:rtl/>
        </w:rPr>
        <w:t>24</w:t>
      </w:r>
      <w:r w:rsidRPr="00B06476">
        <w:rPr>
          <w:rtl/>
          <w:lang w:eastAsia="en-GB"/>
        </w:rPr>
        <w:t xml:space="preserve">، </w:t>
      </w:r>
      <w:r>
        <w:rPr>
          <w:rtl/>
          <w:lang w:eastAsia="en-GB"/>
        </w:rPr>
        <w:t>منفصل</w:t>
      </w:r>
      <w:r w:rsidRPr="00B06476">
        <w:rPr>
          <w:rtl/>
          <w:lang w:eastAsia="en-GB"/>
        </w:rPr>
        <w:t xml:space="preserve"> عن النظر في انتهاك حقوق صاحب البلاغ بموجب المادة </w:t>
      </w:r>
      <w:r w:rsidRPr="00D212A8">
        <w:rPr>
          <w:rtl/>
        </w:rPr>
        <w:t>24</w:t>
      </w:r>
      <w:r w:rsidRPr="00B06476">
        <w:rPr>
          <w:rtl/>
          <w:lang w:eastAsia="en-GB"/>
        </w:rPr>
        <w:t xml:space="preserve"> من العهد</w:t>
      </w:r>
      <w:bookmarkEnd w:id="0"/>
      <w:r w:rsidRPr="00B06476">
        <w:rPr>
          <w:rtl/>
          <w:lang w:eastAsia="en-GB"/>
        </w:rPr>
        <w:t xml:space="preserve">. </w:t>
      </w:r>
      <w:r>
        <w:rPr>
          <w:rtl/>
          <w:lang w:eastAsia="en-GB"/>
        </w:rPr>
        <w:t>ولذلك</w:t>
      </w:r>
      <w:r w:rsidRPr="00B06476">
        <w:rPr>
          <w:rtl/>
          <w:lang w:eastAsia="en-GB"/>
        </w:rPr>
        <w:t xml:space="preserve"> ترى اللجنة أن ادعاءات صاحب البلاغ في هذا الصدد لا تتوافق مع المادة </w:t>
      </w:r>
      <w:r w:rsidRPr="00D212A8">
        <w:rPr>
          <w:rtl/>
        </w:rPr>
        <w:t>2</w:t>
      </w:r>
      <w:r w:rsidRPr="00E96B3D">
        <w:rPr>
          <w:rtl/>
          <w:lang w:eastAsia="en-GB"/>
        </w:rPr>
        <w:t xml:space="preserve"> </w:t>
      </w:r>
      <w:r w:rsidRPr="00B06476">
        <w:rPr>
          <w:rtl/>
          <w:lang w:eastAsia="en-GB"/>
        </w:rPr>
        <w:t xml:space="preserve">من العهد، وهي غير مقبولة بموجب المادة </w:t>
      </w:r>
      <w:r w:rsidRPr="00D212A8">
        <w:rPr>
          <w:rtl/>
        </w:rPr>
        <w:t>3</w:t>
      </w:r>
      <w:r w:rsidRPr="00B06476">
        <w:rPr>
          <w:rtl/>
          <w:lang w:eastAsia="en-GB"/>
        </w:rPr>
        <w:t xml:space="preserve"> من البروتوكول الاختياري.</w:t>
      </w:r>
    </w:p>
    <w:p w14:paraId="0E4E9622" w14:textId="77777777" w:rsidR="004F2A82" w:rsidRPr="0068608F" w:rsidRDefault="004F2A82" w:rsidP="004F2A82">
      <w:pPr>
        <w:pStyle w:val="SingleTxtGA"/>
        <w:rPr>
          <w:szCs w:val="30"/>
          <w:lang w:eastAsia="en-GB"/>
        </w:rPr>
      </w:pPr>
      <w:r w:rsidRPr="00D212A8">
        <w:rPr>
          <w:rtl/>
        </w:rPr>
        <w:t>7</w:t>
      </w:r>
      <w:r w:rsidRPr="00FC769F">
        <w:rPr>
          <w:rtl/>
        </w:rPr>
        <w:t>-</w:t>
      </w:r>
      <w:r w:rsidRPr="00D212A8">
        <w:rPr>
          <w:rtl/>
        </w:rPr>
        <w:t>5</w:t>
      </w:r>
      <w:r w:rsidRPr="00B06476">
        <w:rPr>
          <w:rtl/>
          <w:lang w:eastAsia="en-GB"/>
        </w:rPr>
        <w:tab/>
        <w:t xml:space="preserve">وترى اللجنة أن صاحب البلاغ </w:t>
      </w:r>
      <w:r>
        <w:rPr>
          <w:rtl/>
          <w:lang w:eastAsia="en-GB"/>
        </w:rPr>
        <w:t>قد دعم بما يكفي من الأدلة</w:t>
      </w:r>
      <w:r w:rsidRPr="00B06476">
        <w:rPr>
          <w:rtl/>
          <w:lang w:eastAsia="en-GB"/>
        </w:rPr>
        <w:t xml:space="preserve">، لأغراض المقبولية، ادعاءاته بموجب المادة </w:t>
      </w:r>
      <w:r w:rsidRPr="00D212A8">
        <w:rPr>
          <w:rtl/>
        </w:rPr>
        <w:t>24(3)</w:t>
      </w:r>
      <w:r w:rsidRPr="00B06476">
        <w:rPr>
          <w:rtl/>
          <w:lang w:eastAsia="en-GB"/>
        </w:rPr>
        <w:t xml:space="preserve">، مقروءة لوحدها وبالاقتران مع المادة </w:t>
      </w:r>
      <w:r w:rsidRPr="00D212A8">
        <w:rPr>
          <w:rtl/>
        </w:rPr>
        <w:t>2(3)</w:t>
      </w:r>
      <w:r w:rsidRPr="00B06476">
        <w:rPr>
          <w:rtl/>
          <w:lang w:eastAsia="en-GB"/>
        </w:rPr>
        <w:t xml:space="preserve">، </w:t>
      </w:r>
      <w:r>
        <w:rPr>
          <w:rtl/>
          <w:lang w:eastAsia="en-GB"/>
        </w:rPr>
        <w:t>ومن ثم تباشر</w:t>
      </w:r>
      <w:r w:rsidRPr="00B06476">
        <w:rPr>
          <w:rtl/>
          <w:lang w:eastAsia="en-GB"/>
        </w:rPr>
        <w:t xml:space="preserve"> النظر في الأسس الموضوعية.</w:t>
      </w:r>
    </w:p>
    <w:p w14:paraId="77E25D61" w14:textId="77777777" w:rsidR="004F2A82" w:rsidRPr="00B06476" w:rsidRDefault="004F2A82" w:rsidP="004F2A82">
      <w:pPr>
        <w:pStyle w:val="H4GA"/>
        <w:rPr>
          <w:szCs w:val="20"/>
          <w:lang w:val="ar-SA" w:eastAsia="zh-TW" w:bidi="en-GB"/>
        </w:rPr>
      </w:pPr>
      <w:r w:rsidRPr="00B06476">
        <w:rPr>
          <w:rtl/>
          <w:lang w:eastAsia="en-GB"/>
        </w:rPr>
        <w:tab/>
      </w:r>
      <w:r w:rsidRPr="00B06476">
        <w:rPr>
          <w:rtl/>
          <w:lang w:eastAsia="en-GB"/>
        </w:rPr>
        <w:tab/>
        <w:t>النظر في الأسس الموضوعية</w:t>
      </w:r>
    </w:p>
    <w:p w14:paraId="422559EF" w14:textId="77777777" w:rsidR="004F2A82" w:rsidRPr="0068608F" w:rsidRDefault="004F2A82" w:rsidP="004F2A82">
      <w:pPr>
        <w:pStyle w:val="SingleTxtGA"/>
        <w:rPr>
          <w:szCs w:val="30"/>
          <w:lang w:eastAsia="en-GB"/>
        </w:rPr>
      </w:pPr>
      <w:r w:rsidRPr="00D212A8">
        <w:rPr>
          <w:rtl/>
        </w:rPr>
        <w:t>8</w:t>
      </w:r>
      <w:r w:rsidRPr="00FC769F">
        <w:rPr>
          <w:rtl/>
        </w:rPr>
        <w:t>-</w:t>
      </w:r>
      <w:r w:rsidRPr="00D212A8">
        <w:rPr>
          <w:rtl/>
        </w:rPr>
        <w:t>1</w:t>
      </w:r>
      <w:r w:rsidRPr="00B06476">
        <w:rPr>
          <w:rtl/>
          <w:lang w:eastAsia="en-GB"/>
        </w:rPr>
        <w:tab/>
        <w:t xml:space="preserve">نظرت اللجنة في البلاغ في ضوء جميع المعلومات التي أتاحها لها الطرفان، وفقاً للمادة </w:t>
      </w:r>
      <w:r w:rsidRPr="00D212A8">
        <w:rPr>
          <w:rtl/>
        </w:rPr>
        <w:t>5(1)</w:t>
      </w:r>
      <w:r w:rsidRPr="00B06476">
        <w:rPr>
          <w:rtl/>
          <w:lang w:eastAsia="en-GB"/>
        </w:rPr>
        <w:t xml:space="preserve"> من البروتوكول الاختياري.</w:t>
      </w:r>
    </w:p>
    <w:p w14:paraId="2DF7FDDE" w14:textId="392D2519" w:rsidR="004F2A82" w:rsidRPr="008E5938" w:rsidRDefault="004F2A82" w:rsidP="004F2A82">
      <w:pPr>
        <w:pStyle w:val="SingleTxtGA"/>
        <w:rPr>
          <w:rtl/>
          <w:lang w:val="en-US"/>
        </w:rPr>
      </w:pPr>
      <w:r w:rsidRPr="00D212A8">
        <w:rPr>
          <w:rtl/>
        </w:rPr>
        <w:t>8</w:t>
      </w:r>
      <w:r w:rsidRPr="00FC769F">
        <w:t>-</w:t>
      </w:r>
      <w:r w:rsidRPr="00D212A8">
        <w:rPr>
          <w:rtl/>
        </w:rPr>
        <w:t>2</w:t>
      </w:r>
      <w:r w:rsidRPr="0068608F">
        <w:rPr>
          <w:sz w:val="30"/>
          <w:rtl/>
          <w:lang w:eastAsia="en-GB"/>
        </w:rPr>
        <w:tab/>
      </w:r>
      <w:r w:rsidRPr="00B06476">
        <w:rPr>
          <w:rtl/>
          <w:lang w:eastAsia="en-GB"/>
        </w:rPr>
        <w:t>وتُذكر اللجنة بأن لكل طفل، بموجب المادة</w:t>
      </w:r>
      <w:r w:rsidRPr="0068608F">
        <w:rPr>
          <w:sz w:val="30"/>
          <w:rtl/>
          <w:lang w:eastAsia="en-GB"/>
        </w:rPr>
        <w:t xml:space="preserve"> </w:t>
      </w:r>
      <w:r w:rsidRPr="00D212A8">
        <w:rPr>
          <w:rtl/>
        </w:rPr>
        <w:t>24</w:t>
      </w:r>
      <w:r w:rsidRPr="0068608F">
        <w:rPr>
          <w:sz w:val="30"/>
          <w:rtl/>
          <w:lang w:eastAsia="en-GB"/>
        </w:rPr>
        <w:t>،</w:t>
      </w:r>
      <w:r w:rsidRPr="00B06476">
        <w:rPr>
          <w:rtl/>
          <w:lang w:eastAsia="en-GB"/>
        </w:rPr>
        <w:t xml:space="preserve"> الحق في</w:t>
      </w:r>
      <w:r>
        <w:rPr>
          <w:rtl/>
          <w:lang w:eastAsia="en-GB"/>
        </w:rPr>
        <w:t xml:space="preserve"> أن تُتَّخذ</w:t>
      </w:r>
      <w:r w:rsidRPr="00B06476">
        <w:rPr>
          <w:rtl/>
          <w:lang w:eastAsia="en-GB"/>
        </w:rPr>
        <w:t xml:space="preserve"> تدابير خاصة لحمايته بسبب وضعه كقاصر</w:t>
      </w:r>
      <w:r w:rsidR="00831949">
        <w:rPr>
          <w:b/>
          <w:vertAlign w:val="superscript"/>
          <w:rtl/>
          <w:lang w:eastAsia="en-GB"/>
        </w:rPr>
        <w:t>(</w:t>
      </w:r>
      <w:r w:rsidR="00831949" w:rsidRPr="001105AE">
        <w:rPr>
          <w:b/>
          <w:vertAlign w:val="superscript"/>
          <w:rtl/>
          <w:lang w:eastAsia="en-GB"/>
        </w:rPr>
        <w:footnoteReference w:id="18"/>
      </w:r>
      <w:r w:rsidR="00831949">
        <w:rPr>
          <w:b/>
          <w:vertAlign w:val="superscript"/>
          <w:rtl/>
          <w:lang w:eastAsia="en-GB"/>
        </w:rPr>
        <w:t>)</w:t>
      </w:r>
      <w:r w:rsidR="001105AE">
        <w:rPr>
          <w:rFonts w:hint="cs"/>
          <w:rtl/>
          <w:lang w:eastAsia="en-GB"/>
        </w:rPr>
        <w:t>.</w:t>
      </w:r>
      <w:r w:rsidRPr="00B06476">
        <w:rPr>
          <w:rtl/>
          <w:lang w:eastAsia="en-GB"/>
        </w:rPr>
        <w:t xml:space="preserve"> وتُذك</w:t>
      </w:r>
      <w:r>
        <w:rPr>
          <w:rtl/>
          <w:lang w:eastAsia="en-GB"/>
        </w:rPr>
        <w:t>ّ</w:t>
      </w:r>
      <w:r w:rsidRPr="00B06476">
        <w:rPr>
          <w:rtl/>
          <w:lang w:eastAsia="en-GB"/>
        </w:rPr>
        <w:t>ر اللجنة أيضاً بأن</w:t>
      </w:r>
      <w:r>
        <w:rPr>
          <w:rtl/>
          <w:lang w:eastAsia="en-GB"/>
        </w:rPr>
        <w:t>ه ينبغي أن يكون</w:t>
      </w:r>
      <w:r w:rsidRPr="00B06476">
        <w:rPr>
          <w:rtl/>
          <w:lang w:eastAsia="en-GB"/>
        </w:rPr>
        <w:t xml:space="preserve"> لمبدأ مصالح الطفل الفضلى الاعتبار الأول في جميع القرارات التي تعنيه، وأن هذه المصالح جزء لا يتجزأ من حق كل طفل في تدابير الحماية، وفقاً لما تقتضيه الما</w:t>
      </w:r>
      <w:r w:rsidRPr="0068608F">
        <w:rPr>
          <w:sz w:val="30"/>
          <w:rtl/>
          <w:lang w:eastAsia="en-GB"/>
        </w:rPr>
        <w:t xml:space="preserve">دة </w:t>
      </w:r>
      <w:r w:rsidRPr="00D212A8">
        <w:rPr>
          <w:rtl/>
        </w:rPr>
        <w:t>24(1)</w:t>
      </w:r>
      <w:r w:rsidR="00831949">
        <w:rPr>
          <w:b/>
          <w:vertAlign w:val="superscript"/>
          <w:rtl/>
          <w:lang w:eastAsia="en-GB"/>
        </w:rPr>
        <w:t>(</w:t>
      </w:r>
      <w:r w:rsidR="00831949" w:rsidRPr="001105AE">
        <w:rPr>
          <w:b/>
          <w:vertAlign w:val="superscript"/>
          <w:rtl/>
          <w:lang w:eastAsia="en-GB"/>
        </w:rPr>
        <w:footnoteReference w:id="19"/>
      </w:r>
      <w:r w:rsidR="00831949">
        <w:rPr>
          <w:b/>
          <w:vertAlign w:val="superscript"/>
          <w:rtl/>
          <w:lang w:eastAsia="en-GB"/>
        </w:rPr>
        <w:t>)</w:t>
      </w:r>
      <w:r w:rsidR="001105AE">
        <w:rPr>
          <w:rFonts w:hint="cs"/>
          <w:rtl/>
        </w:rPr>
        <w:t>.</w:t>
      </w:r>
      <w:r w:rsidRPr="00B06476">
        <w:rPr>
          <w:rtl/>
          <w:lang w:eastAsia="en-GB"/>
        </w:rPr>
        <w:t xml:space="preserve"> وتذكّر اللجنة بتعليقها العام </w:t>
      </w:r>
      <w:r w:rsidRPr="0068608F">
        <w:rPr>
          <w:sz w:val="30"/>
          <w:rtl/>
          <w:lang w:eastAsia="en-GB"/>
        </w:rPr>
        <w:t xml:space="preserve">رقم </w:t>
      </w:r>
      <w:r w:rsidRPr="00D212A8">
        <w:rPr>
          <w:rtl/>
        </w:rPr>
        <w:t>17(1989)</w:t>
      </w:r>
      <w:r w:rsidRPr="00B06476">
        <w:rPr>
          <w:rtl/>
          <w:lang w:eastAsia="en-GB"/>
        </w:rPr>
        <w:t xml:space="preserve"> الذي </w:t>
      </w:r>
      <w:r>
        <w:rPr>
          <w:rtl/>
          <w:lang w:eastAsia="en-GB"/>
        </w:rPr>
        <w:t>أشارت</w:t>
      </w:r>
      <w:r w:rsidRPr="00B06476">
        <w:rPr>
          <w:rtl/>
          <w:lang w:eastAsia="en-GB"/>
        </w:rPr>
        <w:t xml:space="preserve"> فيه </w:t>
      </w:r>
      <w:r>
        <w:rPr>
          <w:rtl/>
          <w:lang w:eastAsia="en-GB"/>
        </w:rPr>
        <w:t xml:space="preserve">إلى </w:t>
      </w:r>
      <w:r w:rsidRPr="00B06476">
        <w:rPr>
          <w:rtl/>
          <w:lang w:eastAsia="en-GB"/>
        </w:rPr>
        <w:t xml:space="preserve">أنه </w:t>
      </w:r>
      <w:r>
        <w:rPr>
          <w:rtl/>
          <w:lang w:eastAsia="en-GB"/>
        </w:rPr>
        <w:t>بينما</w:t>
      </w:r>
      <w:r w:rsidRPr="00B06476">
        <w:rPr>
          <w:rtl/>
          <w:lang w:eastAsia="en-GB"/>
        </w:rPr>
        <w:t xml:space="preserve"> </w:t>
      </w:r>
      <w:r>
        <w:rPr>
          <w:rtl/>
          <w:lang w:eastAsia="en-GB"/>
        </w:rPr>
        <w:t>يتمثل</w:t>
      </w:r>
      <w:r w:rsidRPr="00B06476">
        <w:rPr>
          <w:rtl/>
          <w:lang w:eastAsia="en-GB"/>
        </w:rPr>
        <w:t xml:space="preserve"> </w:t>
      </w:r>
      <w:r>
        <w:rPr>
          <w:rtl/>
          <w:lang w:eastAsia="en-GB"/>
        </w:rPr>
        <w:t>الغرض</w:t>
      </w:r>
      <w:r w:rsidRPr="00B06476">
        <w:rPr>
          <w:rtl/>
          <w:lang w:eastAsia="en-GB"/>
        </w:rPr>
        <w:t xml:space="preserve"> من المادة </w:t>
      </w:r>
      <w:r w:rsidRPr="00D212A8">
        <w:rPr>
          <w:rtl/>
        </w:rPr>
        <w:t>24(3)</w:t>
      </w:r>
      <w:r w:rsidRPr="00B06476">
        <w:rPr>
          <w:rtl/>
          <w:lang w:eastAsia="en-GB"/>
        </w:rPr>
        <w:t xml:space="preserve"> </w:t>
      </w:r>
      <w:r>
        <w:rPr>
          <w:rtl/>
          <w:lang w:eastAsia="en-GB"/>
        </w:rPr>
        <w:t xml:space="preserve">من العهد </w:t>
      </w:r>
      <w:r w:rsidRPr="00B06476">
        <w:rPr>
          <w:rtl/>
          <w:lang w:eastAsia="en-GB"/>
        </w:rPr>
        <w:t xml:space="preserve">في تجنب أن يحصل الطفل على قدر أقل من الحماية من جانب المجتمع والدولة نتيجة لوضعه كطفل عديم الجنسية، فإنه لا يفرض بالضرورة على الدول </w:t>
      </w:r>
      <w:r>
        <w:rPr>
          <w:rtl/>
          <w:lang w:eastAsia="en-GB"/>
        </w:rPr>
        <w:t>التزاماً ب</w:t>
      </w:r>
      <w:r w:rsidRPr="00B06476">
        <w:rPr>
          <w:rtl/>
          <w:lang w:eastAsia="en-GB"/>
        </w:rPr>
        <w:t>أن تمنح جنسيتها للأطفال المولودين في أراضيها</w:t>
      </w:r>
      <w:r w:rsidR="00831949">
        <w:rPr>
          <w:b/>
          <w:sz w:val="18"/>
          <w:vertAlign w:val="superscript"/>
          <w:rtl/>
          <w:lang w:eastAsia="en-GB"/>
        </w:rPr>
        <w:t>(</w:t>
      </w:r>
      <w:r w:rsidR="00831949" w:rsidRPr="001105AE">
        <w:rPr>
          <w:b/>
          <w:sz w:val="18"/>
          <w:vertAlign w:val="superscript"/>
          <w:rtl/>
          <w:lang w:eastAsia="en-GB"/>
        </w:rPr>
        <w:footnoteReference w:id="20"/>
      </w:r>
      <w:r w:rsidR="00831949">
        <w:rPr>
          <w:b/>
          <w:sz w:val="18"/>
          <w:vertAlign w:val="superscript"/>
          <w:rtl/>
          <w:lang w:eastAsia="en-GB"/>
        </w:rPr>
        <w:t>)</w:t>
      </w:r>
      <w:r w:rsidR="001105AE">
        <w:rPr>
          <w:rFonts w:hint="cs"/>
          <w:rtl/>
          <w:lang w:eastAsia="en-GB"/>
        </w:rPr>
        <w:t>.</w:t>
      </w:r>
      <w:r w:rsidRPr="00B06476">
        <w:rPr>
          <w:rtl/>
          <w:lang w:eastAsia="en-GB"/>
        </w:rPr>
        <w:t xml:space="preserve"> </w:t>
      </w:r>
      <w:r>
        <w:rPr>
          <w:rtl/>
          <w:lang w:eastAsia="en-GB"/>
        </w:rPr>
        <w:t>بيد أنه يشار في</w:t>
      </w:r>
      <w:r w:rsidRPr="00B06476">
        <w:rPr>
          <w:rtl/>
          <w:lang w:eastAsia="en-GB"/>
        </w:rPr>
        <w:t xml:space="preserve"> التعليق </w:t>
      </w:r>
      <w:r>
        <w:rPr>
          <w:rtl/>
          <w:lang w:eastAsia="en-GB"/>
        </w:rPr>
        <w:t xml:space="preserve">العام نفسه إلى </w:t>
      </w:r>
      <w:r w:rsidRPr="00B06476">
        <w:rPr>
          <w:rtl/>
          <w:lang w:eastAsia="en-GB"/>
        </w:rPr>
        <w:t xml:space="preserve">أن الدول مطالبة باعتماد جميع التدابير المناسبة، داخلياً وبالتعاون مع الدول الأخرى، من أجل ضمان أن يكون لكل طفل جنسية وقت ولادته. وفي هذا السياق، لا </w:t>
      </w:r>
      <w:r>
        <w:rPr>
          <w:rtl/>
          <w:lang w:eastAsia="en-GB"/>
        </w:rPr>
        <w:t>يجوز السماح</w:t>
      </w:r>
      <w:r w:rsidRPr="00B06476">
        <w:rPr>
          <w:rtl/>
          <w:lang w:eastAsia="en-GB"/>
        </w:rPr>
        <w:t xml:space="preserve"> بأي تمييز، في التشريع الداخلي، بالنسبة </w:t>
      </w:r>
      <w:r>
        <w:rPr>
          <w:rtl/>
          <w:lang w:eastAsia="en-GB"/>
        </w:rPr>
        <w:t xml:space="preserve">إلى </w:t>
      </w:r>
      <w:r w:rsidRPr="00B06476">
        <w:rPr>
          <w:rtl/>
          <w:lang w:eastAsia="en-GB"/>
        </w:rPr>
        <w:t xml:space="preserve">اكتساب الجنسية، بين الأطفال الشرعيين والأطفال المولودين خارج إطار الزوجية أو المولودين من آباء عديمي الجنسية أو على أساس </w:t>
      </w:r>
      <w:r>
        <w:rPr>
          <w:rtl/>
          <w:lang w:eastAsia="en-GB"/>
        </w:rPr>
        <w:t>وضع</w:t>
      </w:r>
      <w:r w:rsidRPr="00B06476">
        <w:rPr>
          <w:rtl/>
          <w:lang w:eastAsia="en-GB"/>
        </w:rPr>
        <w:t xml:space="preserve"> أحد الوالدين أو كليهما من حيث الجنسية</w:t>
      </w:r>
      <w:r w:rsidR="00831949">
        <w:rPr>
          <w:b/>
          <w:sz w:val="18"/>
          <w:vertAlign w:val="superscript"/>
          <w:rtl/>
          <w:lang w:eastAsia="en-GB"/>
        </w:rPr>
        <w:t>(</w:t>
      </w:r>
      <w:r w:rsidR="00831949" w:rsidRPr="001105AE">
        <w:rPr>
          <w:b/>
          <w:sz w:val="18"/>
          <w:vertAlign w:val="superscript"/>
          <w:rtl/>
          <w:lang w:eastAsia="en-GB"/>
        </w:rPr>
        <w:footnoteReference w:id="21"/>
      </w:r>
      <w:r w:rsidR="00831949">
        <w:rPr>
          <w:b/>
          <w:sz w:val="18"/>
          <w:vertAlign w:val="superscript"/>
          <w:rtl/>
          <w:lang w:eastAsia="en-GB"/>
        </w:rPr>
        <w:t>)</w:t>
      </w:r>
      <w:r w:rsidR="008E5938">
        <w:rPr>
          <w:rFonts w:hint="cs"/>
          <w:rtl/>
        </w:rPr>
        <w:t>.</w:t>
      </w:r>
    </w:p>
    <w:p w14:paraId="1DD2F189" w14:textId="1A033829" w:rsidR="004F2A82" w:rsidRPr="0068608F" w:rsidRDefault="004F2A82" w:rsidP="004F2A82">
      <w:pPr>
        <w:pStyle w:val="SingleTxtGA"/>
        <w:rPr>
          <w:bCs/>
          <w:sz w:val="30"/>
          <w:szCs w:val="30"/>
          <w:lang w:val="fr-FR" w:eastAsia="zh-TW" w:bidi="en-GB"/>
        </w:rPr>
      </w:pPr>
      <w:r w:rsidRPr="00D212A8">
        <w:rPr>
          <w:rtl/>
        </w:rPr>
        <w:t>8</w:t>
      </w:r>
      <w:r w:rsidRPr="00FC769F">
        <w:rPr>
          <w:rtl/>
        </w:rPr>
        <w:t>-</w:t>
      </w:r>
      <w:r w:rsidRPr="00D212A8">
        <w:rPr>
          <w:rtl/>
        </w:rPr>
        <w:t>3</w:t>
      </w:r>
      <w:r w:rsidRPr="00B06476">
        <w:rPr>
          <w:rtl/>
          <w:lang w:eastAsia="en-GB"/>
        </w:rPr>
        <w:tab/>
        <w:t xml:space="preserve">وتلاحظ اللجنة أن المبادئ التوجيهية لمفوضية شؤون اللاجئين بشأن انعدام الجنسية رقم </w:t>
      </w:r>
      <w:r w:rsidRPr="00D212A8">
        <w:rPr>
          <w:rtl/>
        </w:rPr>
        <w:t>4</w:t>
      </w:r>
      <w:r w:rsidRPr="00B06476">
        <w:rPr>
          <w:rFonts w:ascii="Traditional Arabic"/>
          <w:szCs w:val="20"/>
          <w:rtl/>
          <w:lang w:eastAsia="en-GB"/>
        </w:rPr>
        <w:t xml:space="preserve"> </w:t>
      </w:r>
      <w:r w:rsidRPr="00D212A8">
        <w:rPr>
          <w:rtl/>
        </w:rPr>
        <w:t>(</w:t>
      </w:r>
      <w:r w:rsidRPr="00B06476">
        <w:rPr>
          <w:rFonts w:ascii="Traditional Arabic"/>
          <w:szCs w:val="20"/>
          <w:rtl/>
          <w:lang w:eastAsia="en-GB"/>
        </w:rPr>
        <w:t>"</w:t>
      </w:r>
      <w:r w:rsidRPr="00B06476">
        <w:rPr>
          <w:rtl/>
          <w:lang w:eastAsia="en-GB"/>
        </w:rPr>
        <w:t>ضمان حق كل طفل في اكتساب جنسية استناداً إلى المواد</w:t>
      </w:r>
      <w:r w:rsidRPr="0068608F">
        <w:rPr>
          <w:sz w:val="30"/>
          <w:rtl/>
          <w:lang w:eastAsia="en-GB"/>
        </w:rPr>
        <w:t xml:space="preserve"> </w:t>
      </w:r>
      <w:r w:rsidRPr="00D212A8">
        <w:rPr>
          <w:rtl/>
        </w:rPr>
        <w:t>1</w:t>
      </w:r>
      <w:r w:rsidRPr="00FC769F">
        <w:rPr>
          <w:rtl/>
        </w:rPr>
        <w:t>-</w:t>
      </w:r>
      <w:r w:rsidRPr="00D212A8">
        <w:rPr>
          <w:rtl/>
        </w:rPr>
        <w:t>4</w:t>
      </w:r>
      <w:r w:rsidRPr="00B06476">
        <w:rPr>
          <w:rtl/>
          <w:lang w:eastAsia="en-GB"/>
        </w:rPr>
        <w:t xml:space="preserve"> من اتفاقية خفض حالات انعدام </w:t>
      </w:r>
      <w:r w:rsidRPr="00B06476">
        <w:rPr>
          <w:rtl/>
          <w:lang w:eastAsia="en-GB"/>
        </w:rPr>
        <w:lastRenderedPageBreak/>
        <w:t xml:space="preserve">الجنسية </w:t>
      </w:r>
      <w:r w:rsidRPr="0068608F">
        <w:rPr>
          <w:sz w:val="30"/>
          <w:rtl/>
          <w:lang w:eastAsia="en-GB"/>
        </w:rPr>
        <w:t xml:space="preserve">لعام </w:t>
      </w:r>
      <w:r w:rsidRPr="00D212A8">
        <w:rPr>
          <w:rtl/>
        </w:rPr>
        <w:t>1961</w:t>
      </w:r>
      <w:r w:rsidRPr="0068608F">
        <w:rPr>
          <w:rFonts w:ascii="Traditional Arabic"/>
          <w:sz w:val="30"/>
          <w:szCs w:val="30"/>
          <w:rtl/>
          <w:lang w:eastAsia="en-GB"/>
        </w:rPr>
        <w:t>"</w:t>
      </w:r>
      <w:r w:rsidRPr="00D212A8">
        <w:rPr>
          <w:rtl/>
        </w:rPr>
        <w:t>)</w:t>
      </w:r>
      <w:r w:rsidRPr="00B06476">
        <w:rPr>
          <w:rFonts w:ascii="Traditional Arabic"/>
          <w:szCs w:val="20"/>
          <w:rtl/>
          <w:lang w:eastAsia="en-GB"/>
        </w:rPr>
        <w:t xml:space="preserve"> </w:t>
      </w:r>
      <w:r w:rsidRPr="00FC769F">
        <w:rPr>
          <w:rtl/>
        </w:rPr>
        <w:t>-</w:t>
      </w:r>
      <w:r w:rsidRPr="00B06476">
        <w:rPr>
          <w:rtl/>
          <w:lang w:eastAsia="en-GB"/>
        </w:rPr>
        <w:t xml:space="preserve"> وهي اتفاقية </w:t>
      </w:r>
      <w:r>
        <w:rPr>
          <w:rtl/>
          <w:lang w:eastAsia="en-GB"/>
        </w:rPr>
        <w:t xml:space="preserve">انضمت إليها </w:t>
      </w:r>
      <w:r w:rsidRPr="00B06476">
        <w:rPr>
          <w:rtl/>
          <w:lang w:eastAsia="en-GB"/>
        </w:rPr>
        <w:t xml:space="preserve">هولندا </w:t>
      </w:r>
      <w:r>
        <w:rPr>
          <w:rtl/>
          <w:lang w:eastAsia="en-GB"/>
        </w:rPr>
        <w:t>ك</w:t>
      </w:r>
      <w:r w:rsidRPr="00B06476">
        <w:rPr>
          <w:rtl/>
          <w:lang w:eastAsia="en-GB"/>
        </w:rPr>
        <w:t xml:space="preserve">طرف فيها </w:t>
      </w:r>
      <w:r w:rsidRPr="00FC769F">
        <w:rPr>
          <w:rtl/>
        </w:rPr>
        <w:t>-</w:t>
      </w:r>
      <w:r w:rsidRPr="00B06476">
        <w:rPr>
          <w:rtl/>
          <w:lang w:eastAsia="en-GB"/>
        </w:rPr>
        <w:t xml:space="preserve"> تنص على أنه يجب على الدولة المتعاقدة أن تقبل أن الشخص ليس من </w:t>
      </w:r>
      <w:r>
        <w:rPr>
          <w:rtl/>
          <w:lang w:eastAsia="en-GB"/>
        </w:rPr>
        <w:t>مواطني</w:t>
      </w:r>
      <w:r w:rsidRPr="00B06476">
        <w:rPr>
          <w:rtl/>
          <w:lang w:eastAsia="en-GB"/>
        </w:rPr>
        <w:t xml:space="preserve"> دولة معينة إذا رفضت سلطات </w:t>
      </w:r>
      <w:r>
        <w:rPr>
          <w:rtl/>
          <w:lang w:eastAsia="en-GB"/>
        </w:rPr>
        <w:t xml:space="preserve">تلك </w:t>
      </w:r>
      <w:r w:rsidRPr="00B06476">
        <w:rPr>
          <w:rtl/>
          <w:lang w:eastAsia="en-GB"/>
        </w:rPr>
        <w:t xml:space="preserve">الدولة الاعتراف به </w:t>
      </w:r>
      <w:r>
        <w:rPr>
          <w:rtl/>
          <w:lang w:eastAsia="en-GB"/>
        </w:rPr>
        <w:t>كمواطن</w:t>
      </w:r>
      <w:r w:rsidRPr="00B06476">
        <w:rPr>
          <w:rtl/>
          <w:lang w:eastAsia="en-GB"/>
        </w:rPr>
        <w:t xml:space="preserve">. ويجوز للدولة أن ترفض الاعتراف </w:t>
      </w:r>
      <w:r>
        <w:rPr>
          <w:rtl/>
          <w:lang w:eastAsia="en-GB"/>
        </w:rPr>
        <w:t>بشخص كمواطن</w:t>
      </w:r>
      <w:r w:rsidRPr="00B06476">
        <w:rPr>
          <w:rtl/>
          <w:lang w:eastAsia="en-GB"/>
        </w:rPr>
        <w:t xml:space="preserve"> إما بأن تعلن صراحة أنه ليس من </w:t>
      </w:r>
      <w:r>
        <w:rPr>
          <w:rtl/>
          <w:lang w:eastAsia="en-GB"/>
        </w:rPr>
        <w:t>مواطنيها</w:t>
      </w:r>
      <w:r w:rsidRPr="00B06476">
        <w:rPr>
          <w:rtl/>
          <w:lang w:eastAsia="en-GB"/>
        </w:rPr>
        <w:t xml:space="preserve">، أو بعدم الرد على الاستفسارات التي تسعى إلى تأكيد أن الشخص من </w:t>
      </w:r>
      <w:r>
        <w:rPr>
          <w:rtl/>
          <w:lang w:eastAsia="en-GB"/>
        </w:rPr>
        <w:t>مواطنيها</w:t>
      </w:r>
      <w:r w:rsidR="00831949">
        <w:rPr>
          <w:b/>
          <w:sz w:val="18"/>
          <w:vertAlign w:val="superscript"/>
          <w:rtl/>
          <w:lang w:eastAsia="en-GB"/>
        </w:rPr>
        <w:t>(</w:t>
      </w:r>
      <w:r w:rsidR="00831949" w:rsidRPr="001105AE">
        <w:rPr>
          <w:b/>
          <w:sz w:val="18"/>
          <w:vertAlign w:val="superscript"/>
          <w:rtl/>
          <w:lang w:eastAsia="en-GB"/>
        </w:rPr>
        <w:footnoteReference w:id="22"/>
      </w:r>
      <w:r w:rsidR="00831949">
        <w:rPr>
          <w:b/>
          <w:sz w:val="18"/>
          <w:vertAlign w:val="superscript"/>
          <w:rtl/>
          <w:lang w:eastAsia="en-GB"/>
        </w:rPr>
        <w:t>)</w:t>
      </w:r>
      <w:r w:rsidR="008E5938">
        <w:rPr>
          <w:rFonts w:hint="cs"/>
          <w:rtl/>
          <w:lang w:eastAsia="en-GB"/>
        </w:rPr>
        <w:t>.</w:t>
      </w:r>
      <w:r w:rsidRPr="00B06476">
        <w:rPr>
          <w:rtl/>
          <w:lang w:eastAsia="en-GB"/>
        </w:rPr>
        <w:t xml:space="preserve"> </w:t>
      </w:r>
      <w:r>
        <w:rPr>
          <w:rtl/>
          <w:lang w:eastAsia="en-GB"/>
        </w:rPr>
        <w:t>و</w:t>
      </w:r>
      <w:r w:rsidRPr="00B06476">
        <w:rPr>
          <w:rtl/>
          <w:lang w:eastAsia="en-GB"/>
        </w:rPr>
        <w:t>تلاحظ اللجنة أيضاً أن المبادئ التوجيهية المذكورة أعلاه تشير كذلك</w:t>
      </w:r>
      <w:r>
        <w:rPr>
          <w:rtl/>
          <w:lang w:eastAsia="en-GB"/>
        </w:rPr>
        <w:t>،</w:t>
      </w:r>
      <w:r w:rsidRPr="00B06476">
        <w:rPr>
          <w:rtl/>
          <w:lang w:eastAsia="en-GB"/>
        </w:rPr>
        <w:t xml:space="preserve"> بالنظر إلى الصعوبات التي </w:t>
      </w:r>
      <w:r>
        <w:rPr>
          <w:rtl/>
          <w:lang w:eastAsia="en-GB"/>
        </w:rPr>
        <w:t xml:space="preserve">كثيراً ما </w:t>
      </w:r>
      <w:r w:rsidRPr="00B06476">
        <w:rPr>
          <w:rtl/>
          <w:lang w:eastAsia="en-GB"/>
        </w:rPr>
        <w:t xml:space="preserve">تنشأ عند تحديد ما إذا كان </w:t>
      </w:r>
      <w:r>
        <w:rPr>
          <w:rtl/>
          <w:lang w:eastAsia="en-GB"/>
        </w:rPr>
        <w:t>الفرد</w:t>
      </w:r>
      <w:r w:rsidRPr="00B06476">
        <w:rPr>
          <w:rtl/>
          <w:lang w:eastAsia="en-GB"/>
        </w:rPr>
        <w:t xml:space="preserve"> قد اكتسب جنسية، إلى أنه يجب تقاسم عبء الإثبات بين صاحب الطلب وسلطات الدولة المتعاقدة في الحصول على الأدلة ومعرفة ما إذا كان الفرد سيصبح</w:t>
      </w:r>
      <w:r>
        <w:rPr>
          <w:rtl/>
          <w:lang w:eastAsia="en-GB"/>
        </w:rPr>
        <w:t xml:space="preserve"> </w:t>
      </w:r>
      <w:r w:rsidRPr="00B06476">
        <w:rPr>
          <w:rtl/>
          <w:lang w:eastAsia="en-GB"/>
        </w:rPr>
        <w:t>عديم الجنسية لولا ذلك</w:t>
      </w:r>
      <w:r w:rsidR="00831949">
        <w:rPr>
          <w:b/>
          <w:sz w:val="18"/>
          <w:vertAlign w:val="superscript"/>
          <w:rtl/>
          <w:lang w:eastAsia="en-GB"/>
        </w:rPr>
        <w:t>(</w:t>
      </w:r>
      <w:r w:rsidR="00831949" w:rsidRPr="001105AE">
        <w:rPr>
          <w:b/>
          <w:sz w:val="18"/>
          <w:vertAlign w:val="superscript"/>
          <w:rtl/>
          <w:lang w:eastAsia="en-GB"/>
        </w:rPr>
        <w:footnoteReference w:id="23"/>
      </w:r>
      <w:r w:rsidR="00831949">
        <w:rPr>
          <w:b/>
          <w:sz w:val="18"/>
          <w:vertAlign w:val="superscript"/>
          <w:rtl/>
          <w:lang w:eastAsia="en-GB"/>
        </w:rPr>
        <w:t>)</w:t>
      </w:r>
      <w:r w:rsidR="008E5938">
        <w:rPr>
          <w:rFonts w:hint="cs"/>
          <w:rtl/>
          <w:lang w:eastAsia="en-GB"/>
        </w:rPr>
        <w:t>.</w:t>
      </w:r>
      <w:r w:rsidRPr="00B06476">
        <w:rPr>
          <w:rtl/>
          <w:lang w:eastAsia="en-GB"/>
        </w:rPr>
        <w:t xml:space="preserve"> وتلاحظ اللجنة كذلك أنه فيما يتعلق باستخدام خانة "جنسية غير محددة" </w:t>
      </w:r>
      <w:r>
        <w:rPr>
          <w:rtl/>
          <w:lang w:eastAsia="en-GB"/>
        </w:rPr>
        <w:t>كحالة مدنية</w:t>
      </w:r>
      <w:r w:rsidRPr="00B06476">
        <w:rPr>
          <w:rtl/>
          <w:lang w:eastAsia="en-GB"/>
        </w:rPr>
        <w:t xml:space="preserve">، تشير المبادئ التوجيهية إلى أنه "يتعين على الدول أن تحدد في أقرب وقت ممكن ما إذا كان الطفل سيصبح لولا ذلك عديم الجنسية، حتى لا </w:t>
      </w:r>
      <w:r>
        <w:rPr>
          <w:rtl/>
          <w:lang w:eastAsia="en-GB"/>
        </w:rPr>
        <w:t>ت</w:t>
      </w:r>
      <w:r w:rsidRPr="00B06476">
        <w:rPr>
          <w:rtl/>
          <w:lang w:eastAsia="en-GB"/>
        </w:rPr>
        <w:t xml:space="preserve">طول </w:t>
      </w:r>
      <w:r>
        <w:rPr>
          <w:rtl/>
          <w:lang w:eastAsia="en-GB"/>
        </w:rPr>
        <w:t xml:space="preserve">فترة </w:t>
      </w:r>
      <w:r w:rsidRPr="00B06476">
        <w:rPr>
          <w:rtl/>
          <w:lang w:eastAsia="en-GB"/>
        </w:rPr>
        <w:t xml:space="preserve">وضعه </w:t>
      </w:r>
      <w:r>
        <w:rPr>
          <w:rtl/>
          <w:lang w:eastAsia="en-GB"/>
        </w:rPr>
        <w:t>كشخص</w:t>
      </w:r>
      <w:r w:rsidRPr="00B06476">
        <w:rPr>
          <w:rtl/>
          <w:lang w:eastAsia="en-GB"/>
        </w:rPr>
        <w:t xml:space="preserve"> ذي "جنسية غير محددة". </w:t>
      </w:r>
      <w:r>
        <w:rPr>
          <w:sz w:val="30"/>
          <w:rtl/>
          <w:lang w:eastAsia="en-GB"/>
        </w:rPr>
        <w:t>ومن أجل تطبيق المادتين</w:t>
      </w:r>
      <w:r w:rsidRPr="0068608F">
        <w:rPr>
          <w:sz w:val="30"/>
          <w:rtl/>
          <w:lang w:eastAsia="en-GB"/>
        </w:rPr>
        <w:t xml:space="preserve"> </w:t>
      </w:r>
      <w:r w:rsidRPr="00D212A8">
        <w:rPr>
          <w:rtl/>
        </w:rPr>
        <w:t>1</w:t>
      </w:r>
      <w:r w:rsidRPr="0068608F">
        <w:rPr>
          <w:sz w:val="30"/>
          <w:rtl/>
          <w:lang w:eastAsia="en-GB"/>
        </w:rPr>
        <w:t xml:space="preserve"> و</w:t>
      </w:r>
      <w:r w:rsidRPr="00D212A8">
        <w:rPr>
          <w:rtl/>
        </w:rPr>
        <w:t>4</w:t>
      </w:r>
      <w:r w:rsidRPr="00B06476">
        <w:rPr>
          <w:rtl/>
          <w:lang w:eastAsia="en-GB"/>
        </w:rPr>
        <w:t xml:space="preserve"> من اتفاقية عام </w:t>
      </w:r>
      <w:r w:rsidRPr="00D212A8">
        <w:rPr>
          <w:rtl/>
        </w:rPr>
        <w:t>1961</w:t>
      </w:r>
      <w:r>
        <w:rPr>
          <w:rtl/>
          <w:lang w:eastAsia="en-GB"/>
        </w:rPr>
        <w:t xml:space="preserve">، يكون </w:t>
      </w:r>
      <w:r w:rsidRPr="00B06476">
        <w:rPr>
          <w:rtl/>
          <w:lang w:eastAsia="en-GB"/>
        </w:rPr>
        <w:t xml:space="preserve">من المناسب ألا تتجاوز هذه </w:t>
      </w:r>
      <w:r>
        <w:rPr>
          <w:rtl/>
          <w:lang w:eastAsia="en-GB"/>
        </w:rPr>
        <w:t>الفترة</w:t>
      </w:r>
      <w:r w:rsidRPr="00B06476">
        <w:rPr>
          <w:rtl/>
          <w:lang w:eastAsia="en-GB"/>
        </w:rPr>
        <w:t xml:space="preserve"> خمس سنوات. </w:t>
      </w:r>
      <w:r>
        <w:rPr>
          <w:rtl/>
          <w:lang w:eastAsia="en-GB"/>
        </w:rPr>
        <w:t>ف</w:t>
      </w:r>
      <w:r w:rsidRPr="00B06476">
        <w:rPr>
          <w:rtl/>
          <w:lang w:eastAsia="en-GB"/>
        </w:rPr>
        <w:t>هؤلاء الأطفال</w:t>
      </w:r>
      <w:r>
        <w:rPr>
          <w:rtl/>
          <w:lang w:eastAsia="en-GB"/>
        </w:rPr>
        <w:t>، بينما</w:t>
      </w:r>
      <w:r w:rsidRPr="00B06476">
        <w:rPr>
          <w:rtl/>
          <w:lang w:eastAsia="en-GB"/>
        </w:rPr>
        <w:t xml:space="preserve"> يصن</w:t>
      </w:r>
      <w:r>
        <w:rPr>
          <w:rtl/>
          <w:lang w:eastAsia="en-GB"/>
        </w:rPr>
        <w:t>َّ</w:t>
      </w:r>
      <w:r w:rsidRPr="00B06476">
        <w:rPr>
          <w:rtl/>
          <w:lang w:eastAsia="en-GB"/>
        </w:rPr>
        <w:t xml:space="preserve">فون في خانة "جنسية غير محددة"، </w:t>
      </w:r>
      <w:r>
        <w:rPr>
          <w:rtl/>
          <w:lang w:eastAsia="en-GB"/>
        </w:rPr>
        <w:t>يتعين</w:t>
      </w:r>
      <w:r w:rsidRPr="00B06476">
        <w:rPr>
          <w:rtl/>
          <w:lang w:eastAsia="en-GB"/>
        </w:rPr>
        <w:t xml:space="preserve"> أن يتمتعوا بحقوق الإنسان المكفولة لهم </w:t>
      </w:r>
      <w:r w:rsidRPr="00D212A8">
        <w:rPr>
          <w:rtl/>
        </w:rPr>
        <w:t>(</w:t>
      </w:r>
      <w:r w:rsidRPr="00B06476">
        <w:rPr>
          <w:rtl/>
          <w:lang w:eastAsia="en-GB"/>
        </w:rPr>
        <w:t xml:space="preserve">مثل الصحة </w:t>
      </w:r>
      <w:r w:rsidRPr="0068608F">
        <w:rPr>
          <w:sz w:val="30"/>
          <w:rtl/>
          <w:lang w:eastAsia="en-GB"/>
        </w:rPr>
        <w:t>والتعليم</w:t>
      </w:r>
      <w:r w:rsidRPr="00D212A8">
        <w:rPr>
          <w:rtl/>
        </w:rPr>
        <w:t>)</w:t>
      </w:r>
      <w:r w:rsidRPr="0068608F">
        <w:rPr>
          <w:sz w:val="30"/>
          <w:rtl/>
          <w:lang w:eastAsia="en-GB"/>
        </w:rPr>
        <w:t xml:space="preserve"> على قدم المساواة مع الأطفال </w:t>
      </w:r>
      <w:r>
        <w:rPr>
          <w:sz w:val="30"/>
          <w:rtl/>
          <w:lang w:eastAsia="en-GB"/>
        </w:rPr>
        <w:t>الذين هم مواطنون</w:t>
      </w:r>
      <w:r w:rsidRPr="0068608F">
        <w:rPr>
          <w:sz w:val="30"/>
          <w:rtl/>
          <w:lang w:eastAsia="en-GB"/>
        </w:rPr>
        <w:t>"</w:t>
      </w:r>
      <w:r w:rsidR="00831949">
        <w:rPr>
          <w:b/>
          <w:sz w:val="30"/>
          <w:vertAlign w:val="superscript"/>
          <w:rtl/>
          <w:lang w:eastAsia="en-GB"/>
        </w:rPr>
        <w:t>(</w:t>
      </w:r>
      <w:r w:rsidR="00831949" w:rsidRPr="001105AE">
        <w:rPr>
          <w:b/>
          <w:sz w:val="30"/>
          <w:vertAlign w:val="superscript"/>
          <w:rtl/>
          <w:lang w:eastAsia="en-GB"/>
        </w:rPr>
        <w:footnoteReference w:id="24"/>
      </w:r>
      <w:r w:rsidR="00831949">
        <w:rPr>
          <w:b/>
          <w:sz w:val="30"/>
          <w:vertAlign w:val="superscript"/>
          <w:rtl/>
          <w:lang w:eastAsia="en-GB"/>
        </w:rPr>
        <w:t>)</w:t>
      </w:r>
      <w:r w:rsidR="008E5938">
        <w:rPr>
          <w:rFonts w:hint="cs"/>
          <w:sz w:val="30"/>
          <w:rtl/>
          <w:lang w:eastAsia="en-GB"/>
        </w:rPr>
        <w:t>.</w:t>
      </w:r>
    </w:p>
    <w:p w14:paraId="4088DDFA" w14:textId="5BF8A601" w:rsidR="004F2A82" w:rsidRPr="0068608F" w:rsidRDefault="004F2A82" w:rsidP="004F2A82">
      <w:pPr>
        <w:pStyle w:val="SingleTxtGA"/>
        <w:rPr>
          <w:szCs w:val="30"/>
          <w:lang w:eastAsia="en-GB"/>
        </w:rPr>
      </w:pPr>
      <w:r w:rsidRPr="00D212A8">
        <w:rPr>
          <w:rtl/>
        </w:rPr>
        <w:t>8</w:t>
      </w:r>
      <w:r w:rsidRPr="00FC769F">
        <w:rPr>
          <w:rtl/>
        </w:rPr>
        <w:t>-</w:t>
      </w:r>
      <w:r w:rsidRPr="00D212A8">
        <w:rPr>
          <w:rtl/>
        </w:rPr>
        <w:t>4</w:t>
      </w:r>
      <w:r w:rsidRPr="0068608F">
        <w:rPr>
          <w:sz w:val="30"/>
          <w:rtl/>
          <w:lang w:eastAsia="en-GB"/>
        </w:rPr>
        <w:tab/>
      </w:r>
      <w:r w:rsidRPr="00B06476">
        <w:rPr>
          <w:rtl/>
          <w:lang w:eastAsia="en-GB"/>
        </w:rPr>
        <w:t xml:space="preserve">وتذكّر اللجنة كذلك بملاحظاتها الختامية على التقرير الدوري الخامس للدولة الطرف، التي أعربت فيها عن قلقها إزاء تقارير تفيد بأن مشروع التشريع المنشئ لإجراء تحديد حالات انعدام الجنسية لا يمنح تصريحاً بالإقامة لشخص معترف بأنه عديم الجنسية وبأن إجراء تحديد حالات انعدام الجنسية المنصوص عليه في مشروع التشريع، بما في ذلك معايير حصول الأطفال </w:t>
      </w:r>
      <w:r>
        <w:rPr>
          <w:rtl/>
          <w:lang w:eastAsia="en-GB"/>
        </w:rPr>
        <w:t xml:space="preserve">المولودين </w:t>
      </w:r>
      <w:r w:rsidRPr="00B06476">
        <w:rPr>
          <w:rtl/>
          <w:lang w:eastAsia="en-GB"/>
        </w:rPr>
        <w:t>لِوالدين عديمي</w:t>
      </w:r>
      <w:r>
        <w:rPr>
          <w:rtl/>
          <w:lang w:eastAsia="en-GB"/>
        </w:rPr>
        <w:t>ّ</w:t>
      </w:r>
      <w:r w:rsidRPr="00B06476">
        <w:rPr>
          <w:rtl/>
          <w:lang w:eastAsia="en-GB"/>
        </w:rPr>
        <w:t xml:space="preserve"> الجنسية على الجنسية الهولندية، لا يتماشى مع المعايير الدولية</w:t>
      </w:r>
      <w:r w:rsidR="00831949">
        <w:rPr>
          <w:b/>
          <w:vertAlign w:val="superscript"/>
          <w:rtl/>
          <w:lang w:eastAsia="en-GB"/>
        </w:rPr>
        <w:t>(</w:t>
      </w:r>
      <w:r w:rsidR="00831949" w:rsidRPr="001105AE">
        <w:rPr>
          <w:b/>
          <w:vertAlign w:val="superscript"/>
          <w:rtl/>
          <w:lang w:eastAsia="en-GB"/>
        </w:rPr>
        <w:footnoteReference w:id="25"/>
      </w:r>
      <w:r w:rsidR="00831949">
        <w:rPr>
          <w:b/>
          <w:vertAlign w:val="superscript"/>
          <w:rtl/>
          <w:lang w:eastAsia="en-GB"/>
        </w:rPr>
        <w:t>)</w:t>
      </w:r>
      <w:r w:rsidR="008E5938">
        <w:rPr>
          <w:rFonts w:hint="cs"/>
          <w:rtl/>
          <w:lang w:eastAsia="en-GB"/>
        </w:rPr>
        <w:t>.</w:t>
      </w:r>
      <w:r w:rsidRPr="00B06476">
        <w:rPr>
          <w:rtl/>
          <w:lang w:eastAsia="en-GB"/>
        </w:rPr>
        <w:t xml:space="preserve"> وأوصت اللجنة الدولة الطرف بأن تُراجع مشروع التشريع وتعدله لضمان حصول الشخص المعترف بأنه عديم الجنسية على تصريح </w:t>
      </w:r>
      <w:r>
        <w:rPr>
          <w:rtl/>
          <w:lang w:eastAsia="en-GB"/>
        </w:rPr>
        <w:t>ب</w:t>
      </w:r>
      <w:r w:rsidRPr="00B06476">
        <w:rPr>
          <w:rtl/>
          <w:lang w:eastAsia="en-GB"/>
        </w:rPr>
        <w:t xml:space="preserve">الإقامة </w:t>
      </w:r>
      <w:r>
        <w:rPr>
          <w:rtl/>
          <w:lang w:eastAsia="en-GB"/>
        </w:rPr>
        <w:t>لكي</w:t>
      </w:r>
      <w:r w:rsidRPr="00B06476">
        <w:rPr>
          <w:rtl/>
          <w:lang w:eastAsia="en-GB"/>
        </w:rPr>
        <w:t xml:space="preserve"> يتمتع بالكامل بالحقوق المنصوص عليها في العهد، و</w:t>
      </w:r>
      <w:r>
        <w:rPr>
          <w:rtl/>
          <w:lang w:eastAsia="en-GB"/>
        </w:rPr>
        <w:t xml:space="preserve">ضمان </w:t>
      </w:r>
      <w:r w:rsidRPr="00B06476">
        <w:rPr>
          <w:rtl/>
          <w:lang w:eastAsia="en-GB"/>
        </w:rPr>
        <w:t xml:space="preserve">أن يتماشى إجراء تحديد حالات انعدام الجنسية </w:t>
      </w:r>
      <w:r>
        <w:rPr>
          <w:rtl/>
          <w:lang w:eastAsia="en-GB"/>
        </w:rPr>
        <w:t>تماشياً تاماً</w:t>
      </w:r>
      <w:r w:rsidRPr="00B06476">
        <w:rPr>
          <w:rtl/>
          <w:lang w:eastAsia="en-GB"/>
        </w:rPr>
        <w:t xml:space="preserve"> مع المعايير الدولية، </w:t>
      </w:r>
      <w:r>
        <w:rPr>
          <w:rtl/>
          <w:lang w:eastAsia="en-GB"/>
        </w:rPr>
        <w:t>وأن يهدف</w:t>
      </w:r>
      <w:r w:rsidRPr="00B06476">
        <w:rPr>
          <w:rtl/>
          <w:lang w:eastAsia="en-GB"/>
        </w:rPr>
        <w:t xml:space="preserve"> إلى الحد من حالات انعدام الجنسية، ويراعي مصالح الطفل الفضلى في القضايا المتعلقة بالأطفال</w:t>
      </w:r>
      <w:r w:rsidR="00831949">
        <w:rPr>
          <w:b/>
          <w:sz w:val="18"/>
          <w:vertAlign w:val="superscript"/>
          <w:rtl/>
          <w:lang w:eastAsia="en-GB"/>
        </w:rPr>
        <w:t>(</w:t>
      </w:r>
      <w:r w:rsidR="00831949" w:rsidRPr="001105AE">
        <w:rPr>
          <w:b/>
          <w:sz w:val="18"/>
          <w:vertAlign w:val="superscript"/>
          <w:rtl/>
          <w:lang w:eastAsia="en-GB"/>
        </w:rPr>
        <w:footnoteReference w:id="26"/>
      </w:r>
      <w:r w:rsidR="00831949">
        <w:rPr>
          <w:b/>
          <w:sz w:val="18"/>
          <w:vertAlign w:val="superscript"/>
          <w:rtl/>
          <w:lang w:eastAsia="en-GB"/>
        </w:rPr>
        <w:t>)</w:t>
      </w:r>
      <w:r w:rsidR="008E5938">
        <w:rPr>
          <w:rFonts w:hint="cs"/>
          <w:rtl/>
          <w:lang w:eastAsia="en-GB"/>
        </w:rPr>
        <w:t>.</w:t>
      </w:r>
      <w:r w:rsidRPr="00B06476">
        <w:rPr>
          <w:rtl/>
          <w:lang w:eastAsia="en-GB"/>
        </w:rPr>
        <w:t xml:space="preserve"> وعلاوة على ذلك، تلاحظ اللجنة أن لجنة حقوق الطفل </w:t>
      </w:r>
      <w:r>
        <w:rPr>
          <w:rtl/>
          <w:lang w:eastAsia="en-GB"/>
        </w:rPr>
        <w:t xml:space="preserve">قد </w:t>
      </w:r>
      <w:r w:rsidRPr="00B06476">
        <w:rPr>
          <w:rtl/>
          <w:lang w:eastAsia="en-GB"/>
        </w:rPr>
        <w:t xml:space="preserve">أوصت، في ملاحظاتها الختامية على التقرير الدوري الرابع للدولة الطرف </w:t>
      </w:r>
      <w:r>
        <w:rPr>
          <w:rtl/>
          <w:lang w:eastAsia="en-GB"/>
        </w:rPr>
        <w:t xml:space="preserve">المقدَّم </w:t>
      </w:r>
      <w:r w:rsidRPr="00B06476">
        <w:rPr>
          <w:rtl/>
          <w:lang w:eastAsia="en-GB"/>
        </w:rPr>
        <w:t>بموجب اتفاقية حقوق الطفل، بأن تكفل الدولة الطرف "حصول جميع الأطفال</w:t>
      </w:r>
      <w:r>
        <w:rPr>
          <w:rtl/>
          <w:lang w:eastAsia="en-GB"/>
        </w:rPr>
        <w:t xml:space="preserve"> عديمي الجنسية المولودين في إقليمها، بصرف النظر عن وضعهم من حيث الإقامة،</w:t>
      </w:r>
      <w:r w:rsidRPr="00B06476">
        <w:rPr>
          <w:rtl/>
          <w:lang w:eastAsia="en-GB"/>
        </w:rPr>
        <w:t xml:space="preserve"> على الجنسية دون </w:t>
      </w:r>
      <w:r>
        <w:rPr>
          <w:rtl/>
          <w:lang w:eastAsia="en-GB"/>
        </w:rPr>
        <w:t xml:space="preserve">أي </w:t>
      </w:r>
      <w:r w:rsidRPr="00B06476">
        <w:rPr>
          <w:rtl/>
          <w:lang w:eastAsia="en-GB"/>
        </w:rPr>
        <w:t>شروط"</w:t>
      </w:r>
      <w:r w:rsidR="00831949">
        <w:rPr>
          <w:b/>
          <w:sz w:val="18"/>
          <w:vertAlign w:val="superscript"/>
          <w:rtl/>
          <w:lang w:eastAsia="en-GB"/>
        </w:rPr>
        <w:t>(</w:t>
      </w:r>
      <w:r w:rsidR="00831949" w:rsidRPr="001105AE">
        <w:rPr>
          <w:b/>
          <w:sz w:val="18"/>
          <w:vertAlign w:val="superscript"/>
          <w:rtl/>
          <w:lang w:eastAsia="en-GB"/>
        </w:rPr>
        <w:footnoteReference w:id="27"/>
      </w:r>
      <w:r w:rsidR="00831949">
        <w:rPr>
          <w:b/>
          <w:sz w:val="18"/>
          <w:vertAlign w:val="superscript"/>
          <w:rtl/>
          <w:lang w:eastAsia="en-GB"/>
        </w:rPr>
        <w:t>)</w:t>
      </w:r>
      <w:r w:rsidR="008E5938">
        <w:rPr>
          <w:rFonts w:hint="cs"/>
          <w:rtl/>
          <w:lang w:eastAsia="en-GB"/>
        </w:rPr>
        <w:t>.</w:t>
      </w:r>
    </w:p>
    <w:p w14:paraId="5DB8850D" w14:textId="5178013C" w:rsidR="004F2A82" w:rsidRPr="0068608F" w:rsidRDefault="004F2A82" w:rsidP="004F2A82">
      <w:pPr>
        <w:pStyle w:val="SingleTxtGA"/>
        <w:rPr>
          <w:bCs/>
          <w:sz w:val="30"/>
          <w:szCs w:val="30"/>
          <w:lang w:val="ar-SA" w:eastAsia="zh-TW" w:bidi="en-GB"/>
        </w:rPr>
      </w:pPr>
      <w:r w:rsidRPr="00D212A8">
        <w:rPr>
          <w:rtl/>
        </w:rPr>
        <w:t>8</w:t>
      </w:r>
      <w:r w:rsidRPr="00FC769F">
        <w:rPr>
          <w:rtl/>
        </w:rPr>
        <w:t>-</w:t>
      </w:r>
      <w:r w:rsidRPr="00D212A8">
        <w:rPr>
          <w:rtl/>
        </w:rPr>
        <w:t>5</w:t>
      </w:r>
      <w:r w:rsidRPr="00B06476">
        <w:rPr>
          <w:rtl/>
          <w:lang w:eastAsia="en-GB"/>
        </w:rPr>
        <w:tab/>
      </w:r>
      <w:r w:rsidRPr="00230D11">
        <w:rPr>
          <w:spacing w:val="-4"/>
          <w:rtl/>
          <w:lang w:eastAsia="en-GB"/>
        </w:rPr>
        <w:t>وفيما يتعلق بهذا البلاغ، تلاحظ اللجنة المعنية بحقوق الإنسان أن والدة صاحب البلاغ اتصلت بالسلطات الصينية عدة مرات للتأكد مما إذا كانت هذه السلطات تعتبر صاحب البلاغ مواطناً صينياً، لكن دون جدوى. وتلاحظ اللجنة أيضاً أن والدة صاحب البلاغ قد أُبلغت، بعد زيارتها لسفارة الصين، بأنه لا</w:t>
      </w:r>
      <w:r w:rsidRPr="00B06476">
        <w:rPr>
          <w:rtl/>
          <w:lang w:eastAsia="en-GB"/>
        </w:rPr>
        <w:t xml:space="preserve"> يمكن إصدار شهادة إثبات </w:t>
      </w:r>
      <w:r>
        <w:rPr>
          <w:rtl/>
          <w:lang w:eastAsia="en-GB"/>
        </w:rPr>
        <w:t>للجنسية</w:t>
      </w:r>
      <w:r w:rsidRPr="00B06476">
        <w:rPr>
          <w:rtl/>
          <w:lang w:eastAsia="en-GB"/>
        </w:rPr>
        <w:t xml:space="preserve"> الصينية </w:t>
      </w:r>
      <w:r>
        <w:rPr>
          <w:rtl/>
          <w:lang w:eastAsia="en-GB"/>
        </w:rPr>
        <w:t xml:space="preserve">لصاحب البلاغ </w:t>
      </w:r>
      <w:r w:rsidRPr="00B06476">
        <w:rPr>
          <w:rtl/>
          <w:lang w:eastAsia="en-GB"/>
        </w:rPr>
        <w:t xml:space="preserve">ما لم تكن </w:t>
      </w:r>
      <w:r>
        <w:rPr>
          <w:rtl/>
          <w:lang w:eastAsia="en-GB"/>
        </w:rPr>
        <w:t xml:space="preserve">هي </w:t>
      </w:r>
      <w:r w:rsidRPr="00B06476">
        <w:rPr>
          <w:rtl/>
          <w:lang w:eastAsia="en-GB"/>
        </w:rPr>
        <w:t xml:space="preserve">نفسها مسجلة </w:t>
      </w:r>
      <w:r>
        <w:rPr>
          <w:rtl/>
          <w:lang w:eastAsia="en-GB"/>
        </w:rPr>
        <w:t xml:space="preserve">بصفة </w:t>
      </w:r>
      <w:r w:rsidRPr="00B06476">
        <w:rPr>
          <w:rtl/>
          <w:lang w:eastAsia="en-GB"/>
        </w:rPr>
        <w:t xml:space="preserve">مواطنة صينية. وتلاحظ اللجنة كذلك المعلومات التي قدمتها </w:t>
      </w:r>
      <w:r>
        <w:rPr>
          <w:rtl/>
          <w:lang w:eastAsia="en-GB"/>
        </w:rPr>
        <w:t xml:space="preserve">والدة صاحب البلاغ </w:t>
      </w:r>
      <w:r w:rsidRPr="00B06476">
        <w:rPr>
          <w:rtl/>
          <w:lang w:eastAsia="en-GB"/>
        </w:rPr>
        <w:t xml:space="preserve">ومفادها أنها لم تكن مسجلة </w:t>
      </w:r>
      <w:r>
        <w:rPr>
          <w:rtl/>
          <w:lang w:eastAsia="en-GB"/>
        </w:rPr>
        <w:t xml:space="preserve">بصفة </w:t>
      </w:r>
      <w:r w:rsidRPr="00B06476">
        <w:rPr>
          <w:rtl/>
          <w:lang w:eastAsia="en-GB"/>
        </w:rPr>
        <w:t xml:space="preserve">مواطنة صينية وقت ولادتها أو في أي </w:t>
      </w:r>
      <w:r>
        <w:rPr>
          <w:rtl/>
          <w:lang w:eastAsia="en-GB"/>
        </w:rPr>
        <w:t>مرحلة لاحقة</w:t>
      </w:r>
      <w:r w:rsidRPr="00B06476">
        <w:rPr>
          <w:rtl/>
          <w:lang w:eastAsia="en-GB"/>
        </w:rPr>
        <w:t xml:space="preserve">. وتلاحظ اللجنة أن السلطات المحلية </w:t>
      </w:r>
      <w:r>
        <w:rPr>
          <w:rtl/>
          <w:lang w:eastAsia="en-GB"/>
        </w:rPr>
        <w:t xml:space="preserve">للدولة الطرف </w:t>
      </w:r>
      <w:r>
        <w:rPr>
          <w:rtl/>
          <w:lang w:eastAsia="en-GB"/>
        </w:rPr>
        <w:lastRenderedPageBreak/>
        <w:t xml:space="preserve">قد </w:t>
      </w:r>
      <w:r w:rsidRPr="00B06476">
        <w:rPr>
          <w:rtl/>
          <w:lang w:eastAsia="en-GB"/>
        </w:rPr>
        <w:t xml:space="preserve">رفضت طلب والدة صاحب البلاغ تسجيل صاحب البلاغ في خانة </w:t>
      </w:r>
      <w:r>
        <w:rPr>
          <w:rtl/>
          <w:lang w:eastAsia="en-GB"/>
        </w:rPr>
        <w:t>"</w:t>
      </w:r>
      <w:r w:rsidRPr="00B06476">
        <w:rPr>
          <w:rtl/>
          <w:lang w:eastAsia="en-GB"/>
        </w:rPr>
        <w:t>عديم الجنسية</w:t>
      </w:r>
      <w:r>
        <w:rPr>
          <w:rtl/>
          <w:lang w:eastAsia="en-GB"/>
        </w:rPr>
        <w:t>"</w:t>
      </w:r>
      <w:r w:rsidRPr="00B06476">
        <w:rPr>
          <w:rtl/>
          <w:lang w:eastAsia="en-GB"/>
        </w:rPr>
        <w:t xml:space="preserve"> في سجل </w:t>
      </w:r>
      <w:r>
        <w:rPr>
          <w:rtl/>
          <w:lang w:eastAsia="en-GB"/>
        </w:rPr>
        <w:t>الأحوال</w:t>
      </w:r>
      <w:r w:rsidRPr="00B06476">
        <w:rPr>
          <w:rtl/>
          <w:lang w:eastAsia="en-GB"/>
        </w:rPr>
        <w:t xml:space="preserve"> المدنية للدولة الطرف على أساس أنها لم تقدم أي </w:t>
      </w:r>
      <w:r>
        <w:rPr>
          <w:rtl/>
          <w:lang w:eastAsia="en-GB"/>
        </w:rPr>
        <w:t>دليل يثبت</w:t>
      </w:r>
      <w:r w:rsidRPr="00B06476">
        <w:rPr>
          <w:rtl/>
          <w:lang w:eastAsia="en-GB"/>
        </w:rPr>
        <w:t xml:space="preserve"> أن صاحب البلاغ عديم الجنسية، مثل وثائق </w:t>
      </w:r>
      <w:r>
        <w:rPr>
          <w:rtl/>
          <w:lang w:eastAsia="en-GB"/>
        </w:rPr>
        <w:t>ر</w:t>
      </w:r>
      <w:r w:rsidRPr="00B06476">
        <w:rPr>
          <w:rtl/>
          <w:lang w:eastAsia="en-GB"/>
        </w:rPr>
        <w:t xml:space="preserve">سمية صادرة عن السلطات الصينية تؤكد أن صاحب البلاغ لا </w:t>
      </w:r>
      <w:r>
        <w:rPr>
          <w:rtl/>
          <w:lang w:eastAsia="en-GB"/>
        </w:rPr>
        <w:t>ي</w:t>
      </w:r>
      <w:r w:rsidRPr="00B06476">
        <w:rPr>
          <w:rtl/>
          <w:lang w:eastAsia="en-GB"/>
        </w:rPr>
        <w:t xml:space="preserve">حمل الجنسية الصينية. وتلاحظ اللجنة أيضاً أن السلطات المحلية لم </w:t>
      </w:r>
      <w:r>
        <w:rPr>
          <w:rtl/>
          <w:lang w:eastAsia="en-GB"/>
        </w:rPr>
        <w:t>تحدد</w:t>
      </w:r>
      <w:r w:rsidRPr="00B06476">
        <w:rPr>
          <w:rtl/>
          <w:lang w:eastAsia="en-GB"/>
        </w:rPr>
        <w:t xml:space="preserve"> في قراراتها أي خطوات أخرى كان بإمكان والدة صاحب البلاغ اتخاذها للحصول على وثائق رسمية من السلطات الصينية تتعلق بوضع جنسية صاحب البلاغ، بعد أن تبث أن محاولاتها المتكررة للحصول على هذه الوثائق لم تُجد نفعاً. وتلاحظ اللجنة كذلك أن السلطات المحلية لم تُجر أي تحريات بنفسها </w:t>
      </w:r>
      <w:r>
        <w:rPr>
          <w:rtl/>
          <w:lang w:eastAsia="en-GB"/>
        </w:rPr>
        <w:t xml:space="preserve">من أجل </w:t>
      </w:r>
      <w:r w:rsidRPr="00B06476">
        <w:rPr>
          <w:rtl/>
          <w:lang w:eastAsia="en-GB"/>
        </w:rPr>
        <w:t xml:space="preserve">محاولة تأكيد وضع جنسية صاحب البلاغ أو </w:t>
      </w:r>
      <w:r>
        <w:rPr>
          <w:rtl/>
          <w:lang w:eastAsia="en-GB"/>
        </w:rPr>
        <w:t>افتقاره إليها</w:t>
      </w:r>
      <w:r w:rsidRPr="00B06476">
        <w:rPr>
          <w:rtl/>
          <w:lang w:eastAsia="en-GB"/>
        </w:rPr>
        <w:t xml:space="preserve">. وتلاحظ أن مجلس الدولة </w:t>
      </w:r>
      <w:r>
        <w:rPr>
          <w:rtl/>
          <w:lang w:eastAsia="en-GB"/>
        </w:rPr>
        <w:t>قد سلّم</w:t>
      </w:r>
      <w:r w:rsidRPr="00B06476">
        <w:rPr>
          <w:rtl/>
          <w:lang w:eastAsia="en-GB"/>
        </w:rPr>
        <w:t xml:space="preserve">، في </w:t>
      </w:r>
      <w:r w:rsidRPr="0068608F">
        <w:rPr>
          <w:sz w:val="30"/>
          <w:rtl/>
          <w:lang w:eastAsia="en-GB"/>
        </w:rPr>
        <w:t xml:space="preserve">قراره المؤرخ </w:t>
      </w:r>
      <w:r w:rsidRPr="00D212A8">
        <w:rPr>
          <w:rtl/>
        </w:rPr>
        <w:t>21</w:t>
      </w:r>
      <w:r w:rsidRPr="0068608F">
        <w:rPr>
          <w:sz w:val="30"/>
          <w:rtl/>
          <w:lang w:eastAsia="en-GB"/>
        </w:rPr>
        <w:t xml:space="preserve"> أيار/مايو </w:t>
      </w:r>
      <w:r w:rsidRPr="00D212A8">
        <w:rPr>
          <w:rtl/>
        </w:rPr>
        <w:t>2014</w:t>
      </w:r>
      <w:r w:rsidRPr="0068608F">
        <w:rPr>
          <w:sz w:val="30"/>
          <w:rtl/>
          <w:lang w:eastAsia="en-GB"/>
        </w:rPr>
        <w:t>، بأن عدم</w:t>
      </w:r>
      <w:r w:rsidRPr="00B06476">
        <w:rPr>
          <w:rtl/>
          <w:lang w:eastAsia="en-GB"/>
        </w:rPr>
        <w:t xml:space="preserve"> وجود إجراء لتحديد وضع الفرد في الدولة الطرف يعني أن الأفراد الذين لهم الحق في الحماية، بمن فيهم الأطفال، لا يستفيدون من</w:t>
      </w:r>
      <w:r>
        <w:rPr>
          <w:rtl/>
          <w:lang w:eastAsia="en-GB"/>
        </w:rPr>
        <w:t xml:space="preserve"> هذه الحماية</w:t>
      </w:r>
      <w:r w:rsidRPr="00B06476">
        <w:rPr>
          <w:rtl/>
          <w:lang w:eastAsia="en-GB"/>
        </w:rPr>
        <w:t xml:space="preserve"> بسبب </w:t>
      </w:r>
      <w:r>
        <w:rPr>
          <w:rtl/>
          <w:lang w:eastAsia="en-GB"/>
        </w:rPr>
        <w:t>وجود ثغرة</w:t>
      </w:r>
      <w:r w:rsidRPr="00B06476">
        <w:rPr>
          <w:rtl/>
          <w:lang w:eastAsia="en-GB"/>
        </w:rPr>
        <w:t xml:space="preserve"> في التشريعات. وتحيط اللجنة علماً ببيان الدولة الطرف الذي أشارت فيه إلى أنها، بعد </w:t>
      </w:r>
      <w:r>
        <w:rPr>
          <w:rtl/>
          <w:lang w:eastAsia="en-GB"/>
        </w:rPr>
        <w:t>أن بحثت</w:t>
      </w:r>
      <w:r w:rsidRPr="00B06476">
        <w:rPr>
          <w:rtl/>
          <w:lang w:eastAsia="en-GB"/>
        </w:rPr>
        <w:t xml:space="preserve"> شكوى صاحب البلاغ، </w:t>
      </w:r>
      <w:r>
        <w:rPr>
          <w:rtl/>
          <w:lang w:eastAsia="en-GB"/>
        </w:rPr>
        <w:t xml:space="preserve">قد خلصت </w:t>
      </w:r>
      <w:r w:rsidRPr="00B06476">
        <w:rPr>
          <w:rtl/>
          <w:lang w:eastAsia="en-GB"/>
        </w:rPr>
        <w:t xml:space="preserve">إلى أنه غير قادر حالياً على التمتع فعلياً بحقه </w:t>
      </w:r>
      <w:r>
        <w:rPr>
          <w:rtl/>
          <w:lang w:eastAsia="en-GB"/>
        </w:rPr>
        <w:t>كشخص قاصر</w:t>
      </w:r>
      <w:r w:rsidRPr="00B06476">
        <w:rPr>
          <w:rtl/>
          <w:lang w:eastAsia="en-GB"/>
        </w:rPr>
        <w:t xml:space="preserve"> في اكتساب جنسيتها. ووفقاً لذلك، تخلص اللجنة إلى أن الوقائع المعروضة عليها تكشف </w:t>
      </w:r>
      <w:r>
        <w:rPr>
          <w:rtl/>
          <w:lang w:eastAsia="en-GB"/>
        </w:rPr>
        <w:t xml:space="preserve">عن </w:t>
      </w:r>
      <w:r w:rsidRPr="00B06476">
        <w:rPr>
          <w:rtl/>
          <w:lang w:eastAsia="en-GB"/>
        </w:rPr>
        <w:t xml:space="preserve">حدوث انتهاك لحقوق صاحب البلاغ المنصوص عليها في </w:t>
      </w:r>
      <w:r w:rsidRPr="0068608F">
        <w:rPr>
          <w:sz w:val="30"/>
          <w:rtl/>
          <w:lang w:eastAsia="en-GB"/>
        </w:rPr>
        <w:t>المادة</w:t>
      </w:r>
      <w:r w:rsidR="00653A24">
        <w:rPr>
          <w:rFonts w:hint="cs"/>
          <w:sz w:val="30"/>
          <w:rtl/>
          <w:lang w:eastAsia="en-GB"/>
        </w:rPr>
        <w:t> </w:t>
      </w:r>
      <w:r w:rsidRPr="00D212A8">
        <w:rPr>
          <w:rtl/>
        </w:rPr>
        <w:t>24(3)</w:t>
      </w:r>
      <w:r w:rsidRPr="0068608F">
        <w:rPr>
          <w:sz w:val="30"/>
          <w:rtl/>
          <w:lang w:eastAsia="en-GB"/>
        </w:rPr>
        <w:t xml:space="preserve"> من العهد</w:t>
      </w:r>
      <w:r w:rsidRPr="00B06476">
        <w:rPr>
          <w:rtl/>
          <w:lang w:eastAsia="en-GB"/>
        </w:rPr>
        <w:t xml:space="preserve">. </w:t>
      </w:r>
      <w:r w:rsidRPr="00B06476">
        <w:rPr>
          <w:rFonts w:ascii="Traditional Arabic" w:hAnsi="Traditional Arabic"/>
          <w:rtl/>
          <w:lang w:eastAsia="en-GB"/>
        </w:rPr>
        <w:t>وترى</w:t>
      </w:r>
      <w:r w:rsidRPr="00B06476">
        <w:rPr>
          <w:rtl/>
          <w:lang w:eastAsia="en-GB"/>
        </w:rPr>
        <w:t xml:space="preserve"> </w:t>
      </w:r>
      <w:r w:rsidRPr="00B06476">
        <w:rPr>
          <w:rFonts w:ascii="Traditional Arabic" w:hAnsi="Traditional Arabic"/>
          <w:rtl/>
          <w:lang w:eastAsia="en-GB"/>
        </w:rPr>
        <w:t>اللجنة</w:t>
      </w:r>
      <w:r w:rsidRPr="00B06476">
        <w:rPr>
          <w:rtl/>
          <w:lang w:eastAsia="en-GB"/>
        </w:rPr>
        <w:t xml:space="preserve"> </w:t>
      </w:r>
      <w:r w:rsidRPr="00B06476">
        <w:rPr>
          <w:rFonts w:ascii="Traditional Arabic" w:hAnsi="Traditional Arabic"/>
          <w:rtl/>
          <w:lang w:eastAsia="en-GB"/>
        </w:rPr>
        <w:t>أيضاً</w:t>
      </w:r>
      <w:r w:rsidRPr="00B06476">
        <w:rPr>
          <w:rtl/>
          <w:lang w:eastAsia="en-GB"/>
        </w:rPr>
        <w:t xml:space="preserve"> </w:t>
      </w:r>
      <w:r w:rsidRPr="00B06476">
        <w:rPr>
          <w:rFonts w:ascii="Traditional Arabic" w:hAnsi="Traditional Arabic"/>
          <w:rtl/>
          <w:lang w:eastAsia="en-GB"/>
        </w:rPr>
        <w:t>أن</w:t>
      </w:r>
      <w:r w:rsidRPr="00B06476">
        <w:rPr>
          <w:rtl/>
          <w:lang w:eastAsia="en-GB"/>
        </w:rPr>
        <w:t xml:space="preserve"> </w:t>
      </w:r>
      <w:r w:rsidRPr="00B06476">
        <w:rPr>
          <w:rFonts w:ascii="Traditional Arabic" w:hAnsi="Traditional Arabic"/>
          <w:rtl/>
          <w:lang w:eastAsia="en-GB"/>
        </w:rPr>
        <w:t>عدم</w:t>
      </w:r>
      <w:r w:rsidRPr="00B06476">
        <w:rPr>
          <w:rtl/>
          <w:lang w:eastAsia="en-GB"/>
        </w:rPr>
        <w:t xml:space="preserve"> </w:t>
      </w:r>
      <w:r w:rsidRPr="00B06476">
        <w:rPr>
          <w:rFonts w:ascii="Traditional Arabic" w:hAnsi="Traditional Arabic"/>
          <w:rtl/>
          <w:lang w:eastAsia="en-GB"/>
        </w:rPr>
        <w:t>إتاحة</w:t>
      </w:r>
      <w:r w:rsidRPr="00B06476">
        <w:rPr>
          <w:rtl/>
          <w:lang w:eastAsia="en-GB"/>
        </w:rPr>
        <w:t xml:space="preserve"> </w:t>
      </w:r>
      <w:r w:rsidRPr="00B06476">
        <w:rPr>
          <w:rFonts w:ascii="Traditional Arabic" w:hAnsi="Traditional Arabic"/>
          <w:rtl/>
          <w:lang w:eastAsia="en-GB"/>
        </w:rPr>
        <w:t>سبيل</w:t>
      </w:r>
      <w:r w:rsidRPr="00B06476">
        <w:rPr>
          <w:rtl/>
          <w:lang w:eastAsia="en-GB"/>
        </w:rPr>
        <w:t xml:space="preserve"> </w:t>
      </w:r>
      <w:r w:rsidRPr="00B06476">
        <w:rPr>
          <w:rFonts w:ascii="Traditional Arabic" w:hAnsi="Traditional Arabic"/>
          <w:rtl/>
          <w:lang w:eastAsia="en-GB"/>
        </w:rPr>
        <w:t>انتصاف</w:t>
      </w:r>
      <w:r w:rsidRPr="00B06476">
        <w:rPr>
          <w:rtl/>
          <w:lang w:eastAsia="en-GB"/>
        </w:rPr>
        <w:t xml:space="preserve"> </w:t>
      </w:r>
      <w:r w:rsidRPr="00B06476">
        <w:rPr>
          <w:rFonts w:ascii="Traditional Arabic" w:hAnsi="Traditional Arabic"/>
          <w:rtl/>
          <w:lang w:eastAsia="en-GB"/>
        </w:rPr>
        <w:t>فعال</w:t>
      </w:r>
      <w:r w:rsidRPr="00B06476">
        <w:rPr>
          <w:rtl/>
          <w:lang w:eastAsia="en-GB"/>
        </w:rPr>
        <w:t xml:space="preserve"> </w:t>
      </w:r>
      <w:r w:rsidRPr="00B06476">
        <w:rPr>
          <w:rFonts w:ascii="Traditional Arabic" w:hAnsi="Traditional Arabic"/>
          <w:rtl/>
          <w:lang w:eastAsia="en-GB"/>
        </w:rPr>
        <w:t>لصاحب</w:t>
      </w:r>
      <w:r w:rsidRPr="00B06476">
        <w:rPr>
          <w:rtl/>
          <w:lang w:eastAsia="en-GB"/>
        </w:rPr>
        <w:t xml:space="preserve"> </w:t>
      </w:r>
      <w:r w:rsidRPr="00B06476">
        <w:rPr>
          <w:rFonts w:ascii="Traditional Arabic" w:hAnsi="Traditional Arabic"/>
          <w:rtl/>
          <w:lang w:eastAsia="en-GB"/>
        </w:rPr>
        <w:t>البلاغ</w:t>
      </w:r>
      <w:r w:rsidRPr="00B06476">
        <w:rPr>
          <w:rtl/>
          <w:lang w:eastAsia="en-GB"/>
        </w:rPr>
        <w:t xml:space="preserve"> </w:t>
      </w:r>
      <w:r>
        <w:rPr>
          <w:rtl/>
          <w:lang w:eastAsia="en-GB"/>
        </w:rPr>
        <w:t xml:space="preserve">إنما </w:t>
      </w:r>
      <w:r w:rsidRPr="00B06476">
        <w:rPr>
          <w:rFonts w:ascii="Traditional Arabic" w:hAnsi="Traditional Arabic"/>
          <w:rtl/>
          <w:lang w:eastAsia="en-GB"/>
        </w:rPr>
        <w:t>يشكل</w:t>
      </w:r>
      <w:r w:rsidRPr="00B06476">
        <w:rPr>
          <w:rtl/>
          <w:lang w:eastAsia="en-GB"/>
        </w:rPr>
        <w:t xml:space="preserve"> </w:t>
      </w:r>
      <w:r w:rsidRPr="00B06476">
        <w:rPr>
          <w:rFonts w:ascii="Traditional Arabic" w:hAnsi="Traditional Arabic"/>
          <w:rtl/>
          <w:lang w:eastAsia="en-GB"/>
        </w:rPr>
        <w:t>انتهاكاً</w:t>
      </w:r>
      <w:r w:rsidRPr="00B06476">
        <w:rPr>
          <w:rtl/>
          <w:lang w:eastAsia="en-GB"/>
        </w:rPr>
        <w:t xml:space="preserve"> </w:t>
      </w:r>
      <w:r w:rsidRPr="00B06476">
        <w:rPr>
          <w:rFonts w:ascii="Traditional Arabic" w:hAnsi="Traditional Arabic"/>
          <w:rtl/>
          <w:lang w:eastAsia="en-GB"/>
        </w:rPr>
        <w:t>لحقوقه</w:t>
      </w:r>
      <w:r w:rsidRPr="00B06476">
        <w:rPr>
          <w:rtl/>
          <w:lang w:eastAsia="en-GB"/>
        </w:rPr>
        <w:t xml:space="preserve"> </w:t>
      </w:r>
      <w:r w:rsidRPr="00B06476">
        <w:rPr>
          <w:rFonts w:ascii="Traditional Arabic" w:hAnsi="Traditional Arabic"/>
          <w:rtl/>
          <w:lang w:eastAsia="en-GB"/>
        </w:rPr>
        <w:t>المنصوص</w:t>
      </w:r>
      <w:r w:rsidRPr="00B06476">
        <w:rPr>
          <w:rtl/>
          <w:lang w:eastAsia="en-GB"/>
        </w:rPr>
        <w:t xml:space="preserve"> </w:t>
      </w:r>
      <w:r w:rsidRPr="00B06476">
        <w:rPr>
          <w:rFonts w:ascii="Traditional Arabic" w:hAnsi="Traditional Arabic"/>
          <w:rtl/>
          <w:lang w:eastAsia="en-GB"/>
        </w:rPr>
        <w:t>عليها</w:t>
      </w:r>
      <w:r w:rsidRPr="00B06476">
        <w:rPr>
          <w:rtl/>
          <w:lang w:eastAsia="en-GB"/>
        </w:rPr>
        <w:t xml:space="preserve"> </w:t>
      </w:r>
      <w:r w:rsidRPr="00B06476">
        <w:rPr>
          <w:rFonts w:ascii="Traditional Arabic" w:hAnsi="Traditional Arabic"/>
          <w:rtl/>
          <w:lang w:eastAsia="en-GB"/>
        </w:rPr>
        <w:t>في</w:t>
      </w:r>
      <w:r w:rsidRPr="00B06476">
        <w:rPr>
          <w:rtl/>
          <w:lang w:eastAsia="en-GB"/>
        </w:rPr>
        <w:t xml:space="preserve"> </w:t>
      </w:r>
      <w:r w:rsidRPr="00B06476">
        <w:rPr>
          <w:rFonts w:ascii="Traditional Arabic" w:hAnsi="Traditional Arabic"/>
          <w:rtl/>
          <w:lang w:eastAsia="en-GB"/>
        </w:rPr>
        <w:t>المادة</w:t>
      </w:r>
      <w:r w:rsidRPr="0068608F">
        <w:rPr>
          <w:sz w:val="30"/>
          <w:rtl/>
          <w:lang w:eastAsia="en-GB"/>
        </w:rPr>
        <w:t xml:space="preserve"> </w:t>
      </w:r>
      <w:r w:rsidRPr="00D212A8">
        <w:rPr>
          <w:rtl/>
        </w:rPr>
        <w:t>24(3)</w:t>
      </w:r>
      <w:r w:rsidRPr="0068608F">
        <w:rPr>
          <w:sz w:val="30"/>
          <w:rtl/>
          <w:lang w:eastAsia="en-GB"/>
        </w:rPr>
        <w:t xml:space="preserve">، </w:t>
      </w:r>
      <w:r w:rsidRPr="00B06476">
        <w:rPr>
          <w:rtl/>
          <w:lang w:eastAsia="en-GB"/>
        </w:rPr>
        <w:t xml:space="preserve">مقروءة بالاقتران مع </w:t>
      </w:r>
      <w:r w:rsidRPr="0068608F">
        <w:rPr>
          <w:sz w:val="30"/>
          <w:rtl/>
          <w:lang w:eastAsia="en-GB"/>
        </w:rPr>
        <w:t xml:space="preserve">المادة </w:t>
      </w:r>
      <w:r w:rsidRPr="00D212A8">
        <w:rPr>
          <w:rtl/>
        </w:rPr>
        <w:t>2(3)</w:t>
      </w:r>
      <w:r w:rsidRPr="00B06476">
        <w:rPr>
          <w:rtl/>
          <w:lang w:eastAsia="en-GB"/>
        </w:rPr>
        <w:t xml:space="preserve"> من العهد. </w:t>
      </w:r>
    </w:p>
    <w:p w14:paraId="0AD53DA2" w14:textId="77777777" w:rsidR="004F2A82" w:rsidRPr="0068608F" w:rsidRDefault="004F2A82" w:rsidP="004F2A82">
      <w:pPr>
        <w:pStyle w:val="SingleTxtGA"/>
        <w:rPr>
          <w:bCs/>
          <w:sz w:val="30"/>
          <w:szCs w:val="30"/>
          <w:lang w:val="ar-SA" w:eastAsia="zh-TW" w:bidi="en-GB"/>
        </w:rPr>
      </w:pPr>
      <w:r w:rsidRPr="00D212A8">
        <w:rPr>
          <w:rtl/>
        </w:rPr>
        <w:t>9</w:t>
      </w:r>
      <w:r w:rsidRPr="00FC769F">
        <w:rPr>
          <w:rtl/>
        </w:rPr>
        <w:t>-</w:t>
      </w:r>
      <w:r w:rsidRPr="0068608F">
        <w:rPr>
          <w:sz w:val="30"/>
          <w:rtl/>
          <w:lang w:eastAsia="en-GB"/>
        </w:rPr>
        <w:tab/>
      </w:r>
      <w:r w:rsidRPr="00B06476">
        <w:rPr>
          <w:rtl/>
          <w:lang w:eastAsia="en-GB"/>
        </w:rPr>
        <w:t>واللجنة، إذ تتصرف بموجب</w:t>
      </w:r>
      <w:r w:rsidRPr="0068608F">
        <w:rPr>
          <w:sz w:val="30"/>
          <w:rtl/>
          <w:lang w:eastAsia="en-GB"/>
        </w:rPr>
        <w:t xml:space="preserve"> المادة </w:t>
      </w:r>
      <w:r w:rsidRPr="00D212A8">
        <w:rPr>
          <w:rtl/>
        </w:rPr>
        <w:t>5(4)</w:t>
      </w:r>
      <w:r w:rsidRPr="00B06476">
        <w:rPr>
          <w:rtl/>
          <w:lang w:eastAsia="en-GB"/>
        </w:rPr>
        <w:t xml:space="preserve"> من البروتوكول الاختياري، ترى أن الوقائع المعروضة عليها تكشف </w:t>
      </w:r>
      <w:r>
        <w:rPr>
          <w:rtl/>
          <w:lang w:eastAsia="en-GB"/>
        </w:rPr>
        <w:t xml:space="preserve">عن </w:t>
      </w:r>
      <w:r w:rsidRPr="00B06476">
        <w:rPr>
          <w:rtl/>
          <w:lang w:eastAsia="en-GB"/>
        </w:rPr>
        <w:t xml:space="preserve">انتهاك الدولة الطرف </w:t>
      </w:r>
      <w:r>
        <w:rPr>
          <w:rtl/>
          <w:lang w:eastAsia="en-GB"/>
        </w:rPr>
        <w:t>ل</w:t>
      </w:r>
      <w:r w:rsidRPr="00B06476">
        <w:rPr>
          <w:rtl/>
          <w:lang w:eastAsia="en-GB"/>
        </w:rPr>
        <w:t xml:space="preserve">حقوقَ صاحب البلاغ المنصوص عليها في </w:t>
      </w:r>
      <w:r w:rsidRPr="0068608F">
        <w:rPr>
          <w:sz w:val="30"/>
          <w:rtl/>
          <w:lang w:eastAsia="en-GB"/>
        </w:rPr>
        <w:t xml:space="preserve">المادة </w:t>
      </w:r>
      <w:r w:rsidRPr="00D212A8">
        <w:rPr>
          <w:rtl/>
        </w:rPr>
        <w:t>24(3)</w:t>
      </w:r>
      <w:r w:rsidRPr="0068608F">
        <w:rPr>
          <w:sz w:val="30"/>
          <w:rtl/>
          <w:lang w:eastAsia="en-GB"/>
        </w:rPr>
        <w:t>، مقروءة</w:t>
      </w:r>
      <w:r w:rsidRPr="00B06476">
        <w:rPr>
          <w:rtl/>
          <w:lang w:eastAsia="en-GB"/>
        </w:rPr>
        <w:t xml:space="preserve"> بالاقتران مع </w:t>
      </w:r>
      <w:r w:rsidRPr="0068608F">
        <w:rPr>
          <w:sz w:val="30"/>
          <w:rtl/>
          <w:lang w:eastAsia="en-GB"/>
        </w:rPr>
        <w:t xml:space="preserve">المادة </w:t>
      </w:r>
      <w:r w:rsidRPr="00D212A8">
        <w:rPr>
          <w:rtl/>
        </w:rPr>
        <w:t>2(3)</w:t>
      </w:r>
      <w:r w:rsidRPr="0068608F">
        <w:rPr>
          <w:sz w:val="30"/>
          <w:rtl/>
          <w:lang w:eastAsia="en-GB"/>
        </w:rPr>
        <w:t xml:space="preserve"> من العهد</w:t>
      </w:r>
      <w:r w:rsidRPr="00B06476">
        <w:rPr>
          <w:rtl/>
          <w:lang w:eastAsia="en-GB"/>
        </w:rPr>
        <w:t xml:space="preserve">. </w:t>
      </w:r>
    </w:p>
    <w:p w14:paraId="31AA37A2" w14:textId="3CD231D2" w:rsidR="004F2A82" w:rsidRPr="00B06476" w:rsidRDefault="004F2A82" w:rsidP="004F2A82">
      <w:pPr>
        <w:pStyle w:val="SingleTxtGA"/>
        <w:rPr>
          <w:bCs/>
          <w:szCs w:val="20"/>
          <w:lang w:val="ar-SA" w:eastAsia="zh-TW" w:bidi="en-GB"/>
        </w:rPr>
      </w:pPr>
      <w:r w:rsidRPr="00D212A8">
        <w:rPr>
          <w:rtl/>
        </w:rPr>
        <w:t>10</w:t>
      </w:r>
      <w:r w:rsidRPr="00FC769F">
        <w:rPr>
          <w:rtl/>
        </w:rPr>
        <w:t>-</w:t>
      </w:r>
      <w:r w:rsidRPr="00B06476">
        <w:rPr>
          <w:rtl/>
          <w:lang w:eastAsia="en-GB"/>
        </w:rPr>
        <w:tab/>
        <w:t xml:space="preserve">والدولة الطرف ملزمةٌ، </w:t>
      </w:r>
      <w:r w:rsidRPr="0068608F">
        <w:rPr>
          <w:sz w:val="30"/>
          <w:rtl/>
          <w:lang w:eastAsia="en-GB"/>
        </w:rPr>
        <w:t xml:space="preserve">بموجب المادة </w:t>
      </w:r>
      <w:r w:rsidRPr="00D212A8">
        <w:rPr>
          <w:rtl/>
        </w:rPr>
        <w:t>2(3)(</w:t>
      </w:r>
      <w:r w:rsidRPr="0068608F">
        <w:rPr>
          <w:sz w:val="30"/>
          <w:rtl/>
          <w:lang w:eastAsia="en-GB"/>
        </w:rPr>
        <w:t>أ</w:t>
      </w:r>
      <w:r w:rsidRPr="00D212A8">
        <w:rPr>
          <w:rtl/>
        </w:rPr>
        <w:t>)</w:t>
      </w:r>
      <w:r w:rsidRPr="0068608F">
        <w:rPr>
          <w:sz w:val="30"/>
          <w:rtl/>
          <w:lang w:eastAsia="en-GB"/>
        </w:rPr>
        <w:t xml:space="preserve"> من العهد</w:t>
      </w:r>
      <w:r w:rsidRPr="00B06476">
        <w:rPr>
          <w:rtl/>
          <w:lang w:eastAsia="en-GB"/>
        </w:rPr>
        <w:t xml:space="preserve">، بتوفير سبيل انتصاف فعال لصاحب البلاغ. ويقتضي </w:t>
      </w:r>
      <w:r>
        <w:rPr>
          <w:rtl/>
          <w:lang w:eastAsia="en-GB"/>
        </w:rPr>
        <w:t>ذلك</w:t>
      </w:r>
      <w:r w:rsidRPr="00B06476">
        <w:rPr>
          <w:rtl/>
          <w:lang w:eastAsia="en-GB"/>
        </w:rPr>
        <w:t xml:space="preserve"> منها </w:t>
      </w:r>
      <w:r>
        <w:rPr>
          <w:rtl/>
          <w:lang w:eastAsia="en-GB"/>
        </w:rPr>
        <w:t>جبر الضرر جبراً تاماً</w:t>
      </w:r>
      <w:r w:rsidRPr="00B06476">
        <w:rPr>
          <w:rtl/>
          <w:lang w:eastAsia="en-GB"/>
        </w:rPr>
        <w:t xml:space="preserve"> للأشخاص الذين انتُهكت حقوقهم التي يكفلها العهد. وبناءً على ذلك، فالدولة الطرف ملزمة، في جملة أمور، بتقديم تعويض مناسب لصاحب البلاغ. </w:t>
      </w:r>
      <w:r>
        <w:rPr>
          <w:rtl/>
          <w:lang w:eastAsia="en-GB"/>
        </w:rPr>
        <w:t>كما أنها مطالبة</w:t>
      </w:r>
      <w:r w:rsidRPr="00B06476">
        <w:rPr>
          <w:rtl/>
          <w:lang w:eastAsia="en-GB"/>
        </w:rPr>
        <w:t xml:space="preserve"> بمراجعة قرارها بشأن طلب صاحب البلاغ تسجيله </w:t>
      </w:r>
      <w:r>
        <w:rPr>
          <w:rtl/>
          <w:lang w:eastAsia="en-GB"/>
        </w:rPr>
        <w:t xml:space="preserve">كشخص </w:t>
      </w:r>
      <w:r w:rsidRPr="00B06476">
        <w:rPr>
          <w:rtl/>
          <w:lang w:eastAsia="en-GB"/>
        </w:rPr>
        <w:t xml:space="preserve">عديم الجنسية </w:t>
      </w:r>
      <w:r>
        <w:rPr>
          <w:rtl/>
          <w:lang w:eastAsia="en-GB"/>
        </w:rPr>
        <w:t xml:space="preserve">في </w:t>
      </w:r>
      <w:r w:rsidRPr="00B06476">
        <w:rPr>
          <w:rtl/>
          <w:lang w:eastAsia="en-GB"/>
        </w:rPr>
        <w:t xml:space="preserve">سجل </w:t>
      </w:r>
      <w:r>
        <w:rPr>
          <w:rtl/>
          <w:lang w:eastAsia="en-GB"/>
        </w:rPr>
        <w:t>الأحوال</w:t>
      </w:r>
      <w:r w:rsidRPr="00B06476">
        <w:rPr>
          <w:rtl/>
          <w:lang w:eastAsia="en-GB"/>
        </w:rPr>
        <w:t xml:space="preserve"> المدني</w:t>
      </w:r>
      <w:r>
        <w:rPr>
          <w:rtl/>
          <w:lang w:eastAsia="en-GB"/>
        </w:rPr>
        <w:t>ة</w:t>
      </w:r>
      <w:r w:rsidRPr="00B06476">
        <w:rPr>
          <w:rtl/>
          <w:lang w:eastAsia="en-GB"/>
        </w:rPr>
        <w:t xml:space="preserve"> للدولة الطرف، و</w:t>
      </w:r>
      <w:r>
        <w:rPr>
          <w:rtl/>
          <w:lang w:eastAsia="en-GB"/>
        </w:rPr>
        <w:t xml:space="preserve">كذلك </w:t>
      </w:r>
      <w:r w:rsidRPr="00B06476">
        <w:rPr>
          <w:rtl/>
          <w:lang w:eastAsia="en-GB"/>
        </w:rPr>
        <w:t xml:space="preserve">قرارها بشأن طلب صاحب البلاغ الاعتراف به مواطناً هولندياً، مع مراعاة النتائج التي توصلت إليها اللجنة في هذه الآراء؛ </w:t>
      </w:r>
      <w:r>
        <w:rPr>
          <w:rtl/>
          <w:lang w:eastAsia="en-GB"/>
        </w:rPr>
        <w:t>ومطلوب أيضاً من</w:t>
      </w:r>
      <w:r w:rsidRPr="00B06476">
        <w:rPr>
          <w:rtl/>
          <w:lang w:eastAsia="en-GB"/>
        </w:rPr>
        <w:t xml:space="preserve"> الدولة الطرف </w:t>
      </w:r>
      <w:r>
        <w:rPr>
          <w:rtl/>
          <w:lang w:eastAsia="en-GB"/>
        </w:rPr>
        <w:t>مراجعة</w:t>
      </w:r>
      <w:r w:rsidRPr="00B06476">
        <w:rPr>
          <w:rtl/>
          <w:lang w:eastAsia="en-GB"/>
        </w:rPr>
        <w:t xml:space="preserve"> ظروف معيشة صاحب البلاغ ومنحه ترخيص إقامة، مع مراعاة مبدأ مصالح الطفل الفضلى والنتائج التي توصلت إليها اللجنة في هذه الآراء. والدولة الطرف، إضافة إلى ذلك، ملزمة باتخاذ جميع الخطوات اللازمة لتفادي حدوث انتهاكات مماثلة في المستقبل، بما في ذلك </w:t>
      </w:r>
      <w:r>
        <w:rPr>
          <w:rtl/>
          <w:lang w:eastAsia="en-GB"/>
        </w:rPr>
        <w:t>ع</w:t>
      </w:r>
      <w:r w:rsidRPr="00B06476">
        <w:rPr>
          <w:rtl/>
          <w:lang w:eastAsia="en-GB"/>
        </w:rPr>
        <w:t xml:space="preserve">ن طريق مراجعة تشريعاتها وفقاً لالتزامها، بموجب </w:t>
      </w:r>
      <w:r w:rsidRPr="0068608F">
        <w:rPr>
          <w:sz w:val="30"/>
          <w:rtl/>
          <w:lang w:eastAsia="en-GB"/>
        </w:rPr>
        <w:t xml:space="preserve">المادة </w:t>
      </w:r>
      <w:r w:rsidRPr="00D212A8">
        <w:rPr>
          <w:rtl/>
        </w:rPr>
        <w:t>2(2)</w:t>
      </w:r>
      <w:r w:rsidRPr="00B06476">
        <w:rPr>
          <w:rtl/>
          <w:lang w:eastAsia="en-GB"/>
        </w:rPr>
        <w:t xml:space="preserve"> من العهد، بضمان وضع إجراء لتحديد وضع انعدام الجنسية، فضلاً عن مراجعة تشريعاتها المتعلقة بأهلية التقدم بطلب للحصول على الجنسية، وذلك ضماناً لامتثال تشريعاتها وإجراءاتها للمادة </w:t>
      </w:r>
      <w:r w:rsidRPr="00D212A8">
        <w:rPr>
          <w:rtl/>
        </w:rPr>
        <w:t>24</w:t>
      </w:r>
      <w:r w:rsidRPr="0068608F">
        <w:rPr>
          <w:sz w:val="30"/>
          <w:rtl/>
          <w:lang w:eastAsia="en-GB"/>
        </w:rPr>
        <w:t xml:space="preserve"> من</w:t>
      </w:r>
      <w:r w:rsidRPr="00B06476">
        <w:rPr>
          <w:rtl/>
          <w:lang w:eastAsia="en-GB"/>
        </w:rPr>
        <w:t xml:space="preserve"> العهد. </w:t>
      </w:r>
    </w:p>
    <w:p w14:paraId="6A251C23" w14:textId="77777777" w:rsidR="004F2A82" w:rsidRPr="00B06476" w:rsidRDefault="004F2A82" w:rsidP="004F2A82">
      <w:pPr>
        <w:pStyle w:val="SingleTxtGA"/>
      </w:pPr>
      <w:r w:rsidRPr="00D212A8">
        <w:rPr>
          <w:rtl/>
        </w:rPr>
        <w:t>11</w:t>
      </w:r>
      <w:r w:rsidRPr="00FC769F">
        <w:rPr>
          <w:rtl/>
        </w:rPr>
        <w:t>-</w:t>
      </w:r>
      <w:r w:rsidRPr="0068608F">
        <w:rPr>
          <w:sz w:val="30"/>
          <w:rtl/>
          <w:lang w:eastAsia="en-GB"/>
        </w:rPr>
        <w:tab/>
      </w:r>
      <w:r w:rsidRPr="00B06476">
        <w:rPr>
          <w:rtl/>
          <w:lang w:eastAsia="en-GB"/>
        </w:rPr>
        <w:t>واللجنة، إذ تضع في اعتبارها أن الدولة الطرف، بانضمامها إلى البروتوكول الاختياري، قد اعترفت باختصاص اللجنة في تحديد ما إذا كان قد وقع انتهاك للعهد، وأنها قد تعهدت، عملاً بالمادة</w:t>
      </w:r>
      <w:r w:rsidRPr="0068608F">
        <w:rPr>
          <w:sz w:val="30"/>
          <w:rtl/>
          <w:lang w:eastAsia="en-GB"/>
        </w:rPr>
        <w:t xml:space="preserve"> </w:t>
      </w:r>
      <w:r w:rsidRPr="00D212A8">
        <w:rPr>
          <w:rtl/>
        </w:rPr>
        <w:t>2</w:t>
      </w:r>
      <w:r w:rsidRPr="00B06476">
        <w:rPr>
          <w:rtl/>
          <w:lang w:eastAsia="en-GB"/>
        </w:rPr>
        <w:t xml:space="preserve"> من العهد، بأن تضمن تمتع جميع الأفراد الموجودين في إقليمها أو الخاضعين لولايتها بالحقوق المعترف بها في العهد، وأن تكفل لهم سبيل انتصاف فعالاً وقابلاً للإنفاذ في حال ثبوت وقوع انتهاك، تود أن تتلقى من الدولة الطرف في غضون </w:t>
      </w:r>
      <w:r w:rsidRPr="00D212A8">
        <w:rPr>
          <w:rtl/>
        </w:rPr>
        <w:t>180</w:t>
      </w:r>
      <w:r w:rsidRPr="00B06476">
        <w:rPr>
          <w:rtl/>
          <w:lang w:eastAsia="en-GB"/>
        </w:rPr>
        <w:t xml:space="preserve"> يوماً معلومات بشأن التدابير التي اتخذتها لوضع آراء اللجنة </w:t>
      </w:r>
      <w:r>
        <w:rPr>
          <w:rtl/>
          <w:lang w:eastAsia="en-GB"/>
        </w:rPr>
        <w:t xml:space="preserve">هذه </w:t>
      </w:r>
      <w:r w:rsidRPr="00B06476">
        <w:rPr>
          <w:rtl/>
          <w:lang w:eastAsia="en-GB"/>
        </w:rPr>
        <w:t>موضع التنفيذ. وتطلب اللجنة إلى الدولة الطرف أيضاً نشر هذه الآراء وتعميمها على نطاق واسع بلغتها الرسمية.</w:t>
      </w:r>
      <w:r w:rsidRPr="00B06476">
        <w:br w:type="page"/>
      </w:r>
    </w:p>
    <w:p w14:paraId="2CB56633" w14:textId="77777777" w:rsidR="004F2A82" w:rsidRDefault="004F2A82" w:rsidP="00A73D4F">
      <w:pPr>
        <w:pStyle w:val="HChGA"/>
        <w:spacing w:before="0"/>
        <w:rPr>
          <w:lang w:val="fr-FR"/>
        </w:rPr>
      </w:pPr>
      <w:r>
        <w:rPr>
          <w:rtl/>
        </w:rPr>
        <w:lastRenderedPageBreak/>
        <w:t>المرفق الأول</w:t>
      </w:r>
    </w:p>
    <w:p w14:paraId="461E7331" w14:textId="77777777" w:rsidR="004F2A82" w:rsidRPr="00925859" w:rsidRDefault="004F2A82" w:rsidP="00047E09">
      <w:pPr>
        <w:pStyle w:val="SingleTxtGA"/>
        <w:jc w:val="right"/>
        <w:rPr>
          <w:i/>
          <w:iCs/>
          <w:rtl/>
        </w:rPr>
      </w:pPr>
      <w:r w:rsidRPr="00925859">
        <w:rPr>
          <w:i/>
          <w:iCs/>
          <w:rtl/>
        </w:rPr>
        <w:t>[الأصل: بالفرنسية]</w:t>
      </w:r>
    </w:p>
    <w:p w14:paraId="1935EF47" w14:textId="0E58F1F9" w:rsidR="004F2A82" w:rsidRPr="0068608F" w:rsidRDefault="00A73D4F" w:rsidP="00A73D4F">
      <w:pPr>
        <w:pStyle w:val="HChGA"/>
        <w:rPr>
          <w:sz w:val="28"/>
          <w:lang w:val="fr-FR" w:eastAsia="zh-TW" w:bidi="en-GB"/>
        </w:rPr>
      </w:pPr>
      <w:r>
        <w:rPr>
          <w:rtl/>
        </w:rPr>
        <w:tab/>
      </w:r>
      <w:r>
        <w:rPr>
          <w:rtl/>
        </w:rPr>
        <w:tab/>
      </w:r>
      <w:r w:rsidR="004F2A82" w:rsidRPr="00B06476">
        <w:rPr>
          <w:rtl/>
        </w:rPr>
        <w:t>رأي فردي ل</w:t>
      </w:r>
      <w:r w:rsidR="004F2A82">
        <w:rPr>
          <w:rtl/>
        </w:rPr>
        <w:t xml:space="preserve">عضو اللجنة </w:t>
      </w:r>
      <w:r w:rsidR="004F2A82" w:rsidRPr="00B06476">
        <w:rPr>
          <w:rtl/>
        </w:rPr>
        <w:t>عياض بن عاشور</w:t>
      </w:r>
      <w:r w:rsidR="004F2A82">
        <w:rPr>
          <w:rtl/>
        </w:rPr>
        <w:t xml:space="preserve"> </w:t>
      </w:r>
      <w:r w:rsidR="004F2A82" w:rsidRPr="00D212A8">
        <w:rPr>
          <w:rtl/>
        </w:rPr>
        <w:t>(</w:t>
      </w:r>
      <w:r w:rsidR="004F2A82" w:rsidRPr="00B06476">
        <w:rPr>
          <w:rtl/>
        </w:rPr>
        <w:t>مؤيد</w:t>
      </w:r>
      <w:r w:rsidR="004F2A82" w:rsidRPr="00D212A8">
        <w:rPr>
          <w:rtl/>
        </w:rPr>
        <w:t>)</w:t>
      </w:r>
    </w:p>
    <w:p w14:paraId="45292D6A" w14:textId="0547894B" w:rsidR="004F2A82" w:rsidRPr="00B06476" w:rsidRDefault="004F2A82" w:rsidP="004F2A82">
      <w:pPr>
        <w:pStyle w:val="SingleTxtGA"/>
        <w:rPr>
          <w:lang w:val="ar-SA" w:eastAsia="zh-TW" w:bidi="en-GB"/>
        </w:rPr>
      </w:pPr>
      <w:r w:rsidRPr="00D212A8">
        <w:rPr>
          <w:rtl/>
        </w:rPr>
        <w:t>1</w:t>
      </w:r>
      <w:r w:rsidRPr="00FC769F">
        <w:rPr>
          <w:rtl/>
        </w:rPr>
        <w:t>-</w:t>
      </w:r>
      <w:r w:rsidRPr="0068608F">
        <w:rPr>
          <w:sz w:val="30"/>
          <w:rtl/>
        </w:rPr>
        <w:tab/>
      </w:r>
      <w:r w:rsidRPr="00B06476">
        <w:rPr>
          <w:rtl/>
        </w:rPr>
        <w:t xml:space="preserve">أتفق تماماً مع </w:t>
      </w:r>
      <w:r>
        <w:rPr>
          <w:rtl/>
        </w:rPr>
        <w:t>ما خلصت إليه</w:t>
      </w:r>
      <w:r w:rsidRPr="00B06476">
        <w:rPr>
          <w:rtl/>
        </w:rPr>
        <w:t xml:space="preserve"> اللجنة </w:t>
      </w:r>
      <w:r>
        <w:rPr>
          <w:rtl/>
        </w:rPr>
        <w:t xml:space="preserve">من </w:t>
      </w:r>
      <w:r w:rsidRPr="00B06476">
        <w:rPr>
          <w:rtl/>
        </w:rPr>
        <w:t xml:space="preserve">أن الدولة الطرف انتهكت </w:t>
      </w:r>
      <w:r>
        <w:rPr>
          <w:rtl/>
        </w:rPr>
        <w:t>حقوق</w:t>
      </w:r>
      <w:r w:rsidRPr="00B06476">
        <w:rPr>
          <w:rtl/>
        </w:rPr>
        <w:t xml:space="preserve"> صاحب البلاغ </w:t>
      </w:r>
      <w:r>
        <w:rPr>
          <w:sz w:val="30"/>
          <w:rtl/>
        </w:rPr>
        <w:t>المكفولة بموجب</w:t>
      </w:r>
      <w:r w:rsidRPr="0068608F">
        <w:rPr>
          <w:sz w:val="30"/>
          <w:rtl/>
        </w:rPr>
        <w:t xml:space="preserve"> المادة </w:t>
      </w:r>
      <w:r w:rsidRPr="00D212A8">
        <w:rPr>
          <w:rtl/>
        </w:rPr>
        <w:t>24(3)</w:t>
      </w:r>
      <w:r w:rsidRPr="0068608F">
        <w:rPr>
          <w:sz w:val="30"/>
          <w:rtl/>
        </w:rPr>
        <w:t xml:space="preserve"> من</w:t>
      </w:r>
      <w:r w:rsidRPr="00B06476">
        <w:rPr>
          <w:rtl/>
        </w:rPr>
        <w:t xml:space="preserve"> العهد.</w:t>
      </w:r>
    </w:p>
    <w:p w14:paraId="57C0254E" w14:textId="0B78CFD6" w:rsidR="004F2A82" w:rsidRPr="00B06476" w:rsidRDefault="004F2A82" w:rsidP="004F2A82">
      <w:pPr>
        <w:pStyle w:val="SingleTxtGA"/>
        <w:rPr>
          <w:lang w:val="ar-SA" w:eastAsia="zh-TW" w:bidi="en-GB"/>
        </w:rPr>
      </w:pPr>
      <w:r w:rsidRPr="00D212A8">
        <w:rPr>
          <w:rtl/>
        </w:rPr>
        <w:t>2</w:t>
      </w:r>
      <w:r w:rsidRPr="00FC769F">
        <w:rPr>
          <w:rtl/>
        </w:rPr>
        <w:t>-</w:t>
      </w:r>
      <w:r w:rsidRPr="0068608F">
        <w:rPr>
          <w:sz w:val="30"/>
          <w:rtl/>
        </w:rPr>
        <w:tab/>
      </w:r>
      <w:r>
        <w:rPr>
          <w:sz w:val="30"/>
          <w:rtl/>
        </w:rPr>
        <w:t xml:space="preserve">بيد أنني </w:t>
      </w:r>
      <w:r w:rsidRPr="00B06476">
        <w:rPr>
          <w:rtl/>
        </w:rPr>
        <w:t xml:space="preserve">لا أتفق مع ما يرد في الفقرة </w:t>
      </w:r>
      <w:r w:rsidRPr="00D212A8">
        <w:rPr>
          <w:rtl/>
        </w:rPr>
        <w:t>7</w:t>
      </w:r>
      <w:r w:rsidRPr="00FC769F">
        <w:rPr>
          <w:rtl/>
        </w:rPr>
        <w:t>-</w:t>
      </w:r>
      <w:r w:rsidRPr="00D212A8">
        <w:rPr>
          <w:rtl/>
        </w:rPr>
        <w:t>4</w:t>
      </w:r>
      <w:r w:rsidRPr="00B06476">
        <w:rPr>
          <w:rtl/>
        </w:rPr>
        <w:t xml:space="preserve"> من هذه </w:t>
      </w:r>
      <w:r>
        <w:rPr>
          <w:rtl/>
        </w:rPr>
        <w:t>الآراء</w:t>
      </w:r>
      <w:r w:rsidRPr="00B06476">
        <w:rPr>
          <w:rtl/>
        </w:rPr>
        <w:t xml:space="preserve"> فيما يتعلق بمقبولية البلاغ. فصاحب البلاغ يؤكد أن الدولة الطرف، </w:t>
      </w:r>
      <w:r>
        <w:rPr>
          <w:rtl/>
        </w:rPr>
        <w:t>بالنظر إلى عدم اضطلاعها،</w:t>
      </w:r>
      <w:r w:rsidRPr="00B06476">
        <w:rPr>
          <w:rtl/>
        </w:rPr>
        <w:t xml:space="preserve"> على مدى </w:t>
      </w:r>
      <w:r>
        <w:rPr>
          <w:rtl/>
        </w:rPr>
        <w:t>فترة</w:t>
      </w:r>
      <w:r w:rsidRPr="00B06476">
        <w:rPr>
          <w:rtl/>
        </w:rPr>
        <w:t xml:space="preserve"> طويلة </w:t>
      </w:r>
      <w:r>
        <w:rPr>
          <w:rtl/>
        </w:rPr>
        <w:t xml:space="preserve">طولاً مفرطاً، باعتماد </w:t>
      </w:r>
      <w:r w:rsidRPr="00B06476">
        <w:rPr>
          <w:rtl/>
        </w:rPr>
        <w:t xml:space="preserve">القوانينَ </w:t>
      </w:r>
      <w:r>
        <w:rPr>
          <w:rtl/>
        </w:rPr>
        <w:t>والقواعد</w:t>
      </w:r>
      <w:r w:rsidRPr="00B06476">
        <w:rPr>
          <w:rtl/>
        </w:rPr>
        <w:t xml:space="preserve"> الإدارية اللازمة لإعمال الحقوق </w:t>
      </w:r>
      <w:r>
        <w:rPr>
          <w:rtl/>
        </w:rPr>
        <w:t>المنصوص عليها في</w:t>
      </w:r>
      <w:r w:rsidRPr="00B06476">
        <w:rPr>
          <w:rtl/>
        </w:rPr>
        <w:t xml:space="preserve"> المادة</w:t>
      </w:r>
      <w:r w:rsidRPr="0068608F">
        <w:rPr>
          <w:sz w:val="30"/>
          <w:rtl/>
        </w:rPr>
        <w:t xml:space="preserve"> </w:t>
      </w:r>
      <w:r w:rsidRPr="00D212A8">
        <w:rPr>
          <w:rtl/>
        </w:rPr>
        <w:t>24</w:t>
      </w:r>
      <w:r w:rsidRPr="00B06476">
        <w:rPr>
          <w:rtl/>
        </w:rPr>
        <w:t xml:space="preserve"> من العهد، قد انتهكت</w:t>
      </w:r>
      <w:r>
        <w:rPr>
          <w:rtl/>
        </w:rPr>
        <w:t xml:space="preserve"> </w:t>
      </w:r>
      <w:r w:rsidRPr="00B06476">
        <w:rPr>
          <w:rtl/>
        </w:rPr>
        <w:t xml:space="preserve">التزاماتها بموجب </w:t>
      </w:r>
      <w:r w:rsidRPr="0068608F">
        <w:rPr>
          <w:sz w:val="30"/>
          <w:rtl/>
        </w:rPr>
        <w:t xml:space="preserve">المادة </w:t>
      </w:r>
      <w:r w:rsidRPr="00D212A8">
        <w:rPr>
          <w:rtl/>
        </w:rPr>
        <w:t>2(2)</w:t>
      </w:r>
      <w:r>
        <w:rPr>
          <w:sz w:val="30"/>
          <w:rtl/>
        </w:rPr>
        <w:t xml:space="preserve"> من العهد</w:t>
      </w:r>
      <w:r w:rsidRPr="0068608F">
        <w:rPr>
          <w:sz w:val="30"/>
          <w:rtl/>
        </w:rPr>
        <w:t>،</w:t>
      </w:r>
      <w:r w:rsidRPr="00B06476">
        <w:rPr>
          <w:rtl/>
        </w:rPr>
        <w:t xml:space="preserve"> مقروءة بالاقتران مع المادة </w:t>
      </w:r>
      <w:r w:rsidRPr="00D212A8">
        <w:rPr>
          <w:rtl/>
        </w:rPr>
        <w:t>24</w:t>
      </w:r>
      <w:r w:rsidRPr="0068608F">
        <w:rPr>
          <w:sz w:val="30"/>
          <w:rtl/>
        </w:rPr>
        <w:t xml:space="preserve"> من</w:t>
      </w:r>
      <w:r>
        <w:rPr>
          <w:sz w:val="30"/>
          <w:rtl/>
        </w:rPr>
        <w:t>ه</w:t>
      </w:r>
      <w:r w:rsidRPr="00B06476">
        <w:rPr>
          <w:rtl/>
        </w:rPr>
        <w:t xml:space="preserve">. </w:t>
      </w:r>
      <w:r>
        <w:rPr>
          <w:rtl/>
        </w:rPr>
        <w:t xml:space="preserve">ورداً على </w:t>
      </w:r>
      <w:r w:rsidRPr="00B06476">
        <w:rPr>
          <w:rtl/>
        </w:rPr>
        <w:t xml:space="preserve">هذه الحجة، </w:t>
      </w:r>
      <w:r>
        <w:rPr>
          <w:rtl/>
        </w:rPr>
        <w:t>تذكّر</w:t>
      </w:r>
      <w:r w:rsidRPr="00B06476">
        <w:rPr>
          <w:rtl/>
        </w:rPr>
        <w:t xml:space="preserve"> اللجنة </w:t>
      </w:r>
      <w:r>
        <w:rPr>
          <w:rtl/>
        </w:rPr>
        <w:t>ب</w:t>
      </w:r>
      <w:r w:rsidRPr="00B06476">
        <w:rPr>
          <w:rtl/>
        </w:rPr>
        <w:t xml:space="preserve">اجتهاداتها </w:t>
      </w:r>
      <w:r>
        <w:rPr>
          <w:rtl/>
        </w:rPr>
        <w:t>القائمة منذ أمد طويل ومفادها</w:t>
      </w:r>
      <w:r w:rsidRPr="00B06476">
        <w:rPr>
          <w:rtl/>
        </w:rPr>
        <w:t xml:space="preserve"> أنه لا يمكن الاحتجاج بأحكام </w:t>
      </w:r>
      <w:r w:rsidRPr="0068608F">
        <w:rPr>
          <w:sz w:val="30"/>
          <w:rtl/>
        </w:rPr>
        <w:t xml:space="preserve">المادة </w:t>
      </w:r>
      <w:r w:rsidRPr="00D212A8">
        <w:rPr>
          <w:rtl/>
        </w:rPr>
        <w:t>2(2)</w:t>
      </w:r>
      <w:r w:rsidRPr="00B06476">
        <w:rPr>
          <w:rtl/>
        </w:rPr>
        <w:t xml:space="preserve"> </w:t>
      </w:r>
      <w:r>
        <w:rPr>
          <w:rtl/>
        </w:rPr>
        <w:t xml:space="preserve">بالاقتران مع </w:t>
      </w:r>
      <w:r w:rsidRPr="00B06476">
        <w:rPr>
          <w:rtl/>
        </w:rPr>
        <w:t xml:space="preserve">أحكام أخرى من العهد، ما لم يكن عدم تقيّد الدولة الطرف بالتزاماتها </w:t>
      </w:r>
      <w:r>
        <w:rPr>
          <w:rtl/>
        </w:rPr>
        <w:t>بموجب</w:t>
      </w:r>
      <w:r w:rsidRPr="00B06476">
        <w:rPr>
          <w:rtl/>
        </w:rPr>
        <w:t xml:space="preserve"> المادة </w:t>
      </w:r>
      <w:r w:rsidRPr="00D212A8">
        <w:rPr>
          <w:rtl/>
        </w:rPr>
        <w:t>2</w:t>
      </w:r>
      <w:r w:rsidRPr="00B06476">
        <w:rPr>
          <w:rtl/>
        </w:rPr>
        <w:t xml:space="preserve"> هو السبب </w:t>
      </w:r>
      <w:r>
        <w:rPr>
          <w:rtl/>
        </w:rPr>
        <w:t>المباشر</w:t>
      </w:r>
      <w:r w:rsidRPr="00B06476">
        <w:rPr>
          <w:rtl/>
        </w:rPr>
        <w:t xml:space="preserve"> </w:t>
      </w:r>
      <w:r>
        <w:rPr>
          <w:rtl/>
        </w:rPr>
        <w:t>لحدوث انتهاك منفصل</w:t>
      </w:r>
      <w:r w:rsidRPr="00B06476">
        <w:rPr>
          <w:rtl/>
        </w:rPr>
        <w:t xml:space="preserve"> للعهد</w:t>
      </w:r>
      <w:r>
        <w:rPr>
          <w:rtl/>
        </w:rPr>
        <w:t xml:space="preserve"> يؤثّر</w:t>
      </w:r>
      <w:r w:rsidRPr="00B06476">
        <w:rPr>
          <w:rtl/>
        </w:rPr>
        <w:t xml:space="preserve"> مباشرة </w:t>
      </w:r>
      <w:r>
        <w:rPr>
          <w:rtl/>
        </w:rPr>
        <w:t>على</w:t>
      </w:r>
      <w:r w:rsidRPr="00B06476">
        <w:rPr>
          <w:rtl/>
        </w:rPr>
        <w:t xml:space="preserve"> الشخص الذي يدعي أنه ضحية. </w:t>
      </w:r>
      <w:r>
        <w:rPr>
          <w:rtl/>
        </w:rPr>
        <w:t>وتذكر</w:t>
      </w:r>
      <w:r w:rsidRPr="00B06476">
        <w:rPr>
          <w:rtl/>
        </w:rPr>
        <w:t xml:space="preserve"> اللجنة أنها لا</w:t>
      </w:r>
      <w:r w:rsidR="00A73D4F">
        <w:rPr>
          <w:rFonts w:hint="cs"/>
          <w:rtl/>
        </w:rPr>
        <w:t> </w:t>
      </w:r>
      <w:r>
        <w:rPr>
          <w:rtl/>
        </w:rPr>
        <w:t>ترى</w:t>
      </w:r>
      <w:r w:rsidRPr="00B06476">
        <w:rPr>
          <w:rtl/>
        </w:rPr>
        <w:t xml:space="preserve"> أن النظر في مسألة ما إذا كانت الدولة الطرف </w:t>
      </w:r>
      <w:r>
        <w:rPr>
          <w:rtl/>
        </w:rPr>
        <w:t xml:space="preserve">قد انتهكت أيضاً </w:t>
      </w:r>
      <w:r w:rsidRPr="00B06476">
        <w:rPr>
          <w:rtl/>
        </w:rPr>
        <w:t xml:space="preserve">التزاماتها العامة بموجب </w:t>
      </w:r>
      <w:r w:rsidRPr="0068608F">
        <w:rPr>
          <w:sz w:val="30"/>
          <w:rtl/>
        </w:rPr>
        <w:t>المادة</w:t>
      </w:r>
      <w:r w:rsidR="00A73D4F">
        <w:rPr>
          <w:rFonts w:hint="cs"/>
          <w:sz w:val="30"/>
          <w:rtl/>
        </w:rPr>
        <w:t> </w:t>
      </w:r>
      <w:r w:rsidRPr="00D212A8">
        <w:rPr>
          <w:rtl/>
        </w:rPr>
        <w:t>2(2)</w:t>
      </w:r>
      <w:r w:rsidRPr="00B06476">
        <w:rPr>
          <w:rtl/>
        </w:rPr>
        <w:t xml:space="preserve"> من العهد، مقروءة بالاقتران مع </w:t>
      </w:r>
      <w:r w:rsidRPr="0068608F">
        <w:rPr>
          <w:sz w:val="30"/>
          <w:rtl/>
        </w:rPr>
        <w:t xml:space="preserve">المادة </w:t>
      </w:r>
      <w:r w:rsidRPr="00D212A8">
        <w:rPr>
          <w:rtl/>
        </w:rPr>
        <w:t>24</w:t>
      </w:r>
      <w:r w:rsidRPr="0068608F">
        <w:rPr>
          <w:sz w:val="30"/>
          <w:rtl/>
        </w:rPr>
        <w:t>،</w:t>
      </w:r>
      <w:r w:rsidRPr="00B06476">
        <w:rPr>
          <w:rtl/>
        </w:rPr>
        <w:t xml:space="preserve"> </w:t>
      </w:r>
      <w:r>
        <w:rPr>
          <w:rtl/>
        </w:rPr>
        <w:t>هو أمر منفصل</w:t>
      </w:r>
      <w:r w:rsidRPr="00B06476">
        <w:rPr>
          <w:rtl/>
        </w:rPr>
        <w:t xml:space="preserve"> عن </w:t>
      </w:r>
      <w:r>
        <w:rPr>
          <w:rtl/>
        </w:rPr>
        <w:t>بحث</w:t>
      </w:r>
      <w:r w:rsidRPr="00B06476">
        <w:rPr>
          <w:rtl/>
        </w:rPr>
        <w:t xml:space="preserve"> انتهاك حقوق صاحب البلاغ </w:t>
      </w:r>
      <w:r>
        <w:rPr>
          <w:rtl/>
        </w:rPr>
        <w:t>بموجب</w:t>
      </w:r>
      <w:r w:rsidRPr="00B06476">
        <w:rPr>
          <w:rtl/>
        </w:rPr>
        <w:t xml:space="preserve"> </w:t>
      </w:r>
      <w:r w:rsidRPr="0068608F">
        <w:rPr>
          <w:sz w:val="30"/>
          <w:rtl/>
        </w:rPr>
        <w:t xml:space="preserve">المادة </w:t>
      </w:r>
      <w:r w:rsidRPr="00D212A8">
        <w:rPr>
          <w:rtl/>
        </w:rPr>
        <w:t>24</w:t>
      </w:r>
      <w:r w:rsidRPr="00B06476">
        <w:rPr>
          <w:rFonts w:ascii="Traditional Arabic"/>
          <w:szCs w:val="20"/>
          <w:rtl/>
        </w:rPr>
        <w:t>.</w:t>
      </w:r>
      <w:r w:rsidRPr="00B06476">
        <w:rPr>
          <w:rtl/>
        </w:rPr>
        <w:t xml:space="preserve"> </w:t>
      </w:r>
      <w:r>
        <w:rPr>
          <w:rtl/>
        </w:rPr>
        <w:t>وبناء على ذلك</w:t>
      </w:r>
      <w:r w:rsidRPr="00B06476">
        <w:rPr>
          <w:rtl/>
        </w:rPr>
        <w:t xml:space="preserve">، </w:t>
      </w:r>
      <w:r>
        <w:rPr>
          <w:rtl/>
        </w:rPr>
        <w:t>واستناداً إلى ما خلصت إليه في قضية</w:t>
      </w:r>
      <w:r w:rsidRPr="00B06476">
        <w:rPr>
          <w:rtl/>
        </w:rPr>
        <w:t xml:space="preserve"> </w:t>
      </w:r>
      <w:proofErr w:type="spellStart"/>
      <w:r w:rsidRPr="00B06476">
        <w:rPr>
          <w:i/>
          <w:iCs/>
          <w:rtl/>
        </w:rPr>
        <w:t>بولياكوف</w:t>
      </w:r>
      <w:proofErr w:type="spellEnd"/>
      <w:r w:rsidRPr="00B06476">
        <w:rPr>
          <w:i/>
          <w:iCs/>
          <w:rtl/>
        </w:rPr>
        <w:t xml:space="preserve"> ضد بيلاروس</w:t>
      </w:r>
      <w:r w:rsidRPr="00B06476">
        <w:rPr>
          <w:rtl/>
        </w:rPr>
        <w:t xml:space="preserve"> </w:t>
      </w:r>
      <w:r w:rsidRPr="00A73D4F">
        <w:rPr>
          <w:rtl/>
        </w:rPr>
        <w:t xml:space="preserve">(الوثيقة </w:t>
      </w:r>
      <w:r w:rsidRPr="00A73D4F">
        <w:t>CCPR/C/111/D/2030/2011</w:t>
      </w:r>
      <w:r w:rsidRPr="00A73D4F">
        <w:rPr>
          <w:rtl/>
        </w:rPr>
        <w:t>)،</w:t>
      </w:r>
      <w:r w:rsidRPr="00B06476">
        <w:rPr>
          <w:rtl/>
        </w:rPr>
        <w:t xml:space="preserve"> </w:t>
      </w:r>
      <w:r>
        <w:rPr>
          <w:rtl/>
        </w:rPr>
        <w:t>ترى</w:t>
      </w:r>
      <w:r w:rsidRPr="00B06476">
        <w:rPr>
          <w:rtl/>
        </w:rPr>
        <w:t xml:space="preserve"> اللجنة أن </w:t>
      </w:r>
      <w:r>
        <w:rPr>
          <w:rtl/>
        </w:rPr>
        <w:t>ادعاءات صاحب البلاغ في هذا الصدد</w:t>
      </w:r>
      <w:r w:rsidRPr="00B06476">
        <w:rPr>
          <w:rtl/>
        </w:rPr>
        <w:t xml:space="preserve"> غير مقبولة. </w:t>
      </w:r>
    </w:p>
    <w:p w14:paraId="01640D76" w14:textId="07246206" w:rsidR="004F2A82" w:rsidRPr="0068608F" w:rsidRDefault="004F2A82" w:rsidP="004F2A82">
      <w:pPr>
        <w:pStyle w:val="SingleTxtGA"/>
        <w:rPr>
          <w:sz w:val="30"/>
          <w:lang w:val="fr-FR" w:eastAsia="zh-TW" w:bidi="en-GB"/>
        </w:rPr>
      </w:pPr>
      <w:r w:rsidRPr="00D212A8">
        <w:rPr>
          <w:rtl/>
        </w:rPr>
        <w:t>3</w:t>
      </w:r>
      <w:r w:rsidRPr="00FC769F">
        <w:rPr>
          <w:rtl/>
        </w:rPr>
        <w:t>-</w:t>
      </w:r>
      <w:r w:rsidRPr="0068608F">
        <w:rPr>
          <w:sz w:val="30"/>
          <w:rtl/>
        </w:rPr>
        <w:tab/>
      </w:r>
      <w:r>
        <w:rPr>
          <w:sz w:val="30"/>
          <w:rtl/>
        </w:rPr>
        <w:t>و</w:t>
      </w:r>
      <w:r w:rsidRPr="0068608F">
        <w:rPr>
          <w:sz w:val="30"/>
          <w:rtl/>
        </w:rPr>
        <w:t xml:space="preserve">أود </w:t>
      </w:r>
      <w:r w:rsidRPr="00B06476">
        <w:rPr>
          <w:rtl/>
        </w:rPr>
        <w:t xml:space="preserve">أولاً وقبل أي شيء التأكيد مجدداً أنني </w:t>
      </w:r>
      <w:r>
        <w:rPr>
          <w:rtl/>
        </w:rPr>
        <w:t>أختلف مع</w:t>
      </w:r>
      <w:r w:rsidRPr="00B06476">
        <w:rPr>
          <w:rtl/>
        </w:rPr>
        <w:t xml:space="preserve"> القاعدتين العامتين اللتين تضمنتهما </w:t>
      </w:r>
      <w:r>
        <w:rPr>
          <w:rtl/>
        </w:rPr>
        <w:t>آراء</w:t>
      </w:r>
      <w:r w:rsidRPr="00B06476">
        <w:rPr>
          <w:rtl/>
        </w:rPr>
        <w:t xml:space="preserve"> اللجنة في</w:t>
      </w:r>
      <w:r>
        <w:rPr>
          <w:rtl/>
        </w:rPr>
        <w:t xml:space="preserve"> قضية </w:t>
      </w:r>
      <w:proofErr w:type="spellStart"/>
      <w:r w:rsidRPr="00B06476">
        <w:rPr>
          <w:i/>
          <w:iCs/>
          <w:rtl/>
        </w:rPr>
        <w:t>بولياكوف</w:t>
      </w:r>
      <w:proofErr w:type="spellEnd"/>
      <w:r w:rsidRPr="00B06476">
        <w:rPr>
          <w:i/>
          <w:iCs/>
          <w:rtl/>
        </w:rPr>
        <w:t xml:space="preserve"> ضد بيلاروس</w:t>
      </w:r>
      <w:r w:rsidRPr="00B06476">
        <w:rPr>
          <w:rtl/>
        </w:rPr>
        <w:t xml:space="preserve">. فالقاعدة الأولى تشير إلى </w:t>
      </w:r>
      <w:r>
        <w:rPr>
          <w:rtl/>
        </w:rPr>
        <w:t>أن</w:t>
      </w:r>
      <w:r w:rsidRPr="00B06476">
        <w:rPr>
          <w:rtl/>
        </w:rPr>
        <w:t xml:space="preserve"> أحكام الماد</w:t>
      </w:r>
      <w:r w:rsidRPr="0068608F">
        <w:rPr>
          <w:sz w:val="30"/>
          <w:rtl/>
        </w:rPr>
        <w:t xml:space="preserve">ة </w:t>
      </w:r>
      <w:r w:rsidRPr="00D212A8">
        <w:rPr>
          <w:rtl/>
        </w:rPr>
        <w:t>2</w:t>
      </w:r>
      <w:r w:rsidRPr="00B06476">
        <w:rPr>
          <w:rtl/>
        </w:rPr>
        <w:t xml:space="preserve"> من العهد تنص على التزام عام </w:t>
      </w:r>
      <w:r>
        <w:rPr>
          <w:rtl/>
        </w:rPr>
        <w:t>على ا</w:t>
      </w:r>
      <w:r w:rsidRPr="00B06476">
        <w:rPr>
          <w:rtl/>
        </w:rPr>
        <w:t>لدول الأطراف</w:t>
      </w:r>
      <w:r>
        <w:rPr>
          <w:rtl/>
        </w:rPr>
        <w:t xml:space="preserve"> ولا يمكن أن تؤدي</w:t>
      </w:r>
      <w:r w:rsidRPr="00B06476">
        <w:rPr>
          <w:rtl/>
        </w:rPr>
        <w:t xml:space="preserve">، </w:t>
      </w:r>
      <w:r>
        <w:rPr>
          <w:rtl/>
        </w:rPr>
        <w:t>عند الاحتجاج بها منفردة، إلى</w:t>
      </w:r>
      <w:r w:rsidRPr="00B06476">
        <w:rPr>
          <w:rtl/>
        </w:rPr>
        <w:t xml:space="preserve"> </w:t>
      </w:r>
      <w:r>
        <w:rPr>
          <w:rtl/>
        </w:rPr>
        <w:t>إثارة مطالبة في بلاغ مقدَّم</w:t>
      </w:r>
      <w:r w:rsidRPr="00B06476">
        <w:rPr>
          <w:rtl/>
        </w:rPr>
        <w:t xml:space="preserve"> بموجب البروتوكول الاختياري. </w:t>
      </w:r>
      <w:r>
        <w:rPr>
          <w:rtl/>
        </w:rPr>
        <w:t>وتذكر</w:t>
      </w:r>
      <w:r w:rsidRPr="00B06476">
        <w:rPr>
          <w:rtl/>
        </w:rPr>
        <w:t xml:space="preserve"> القاعدة الثانية أنه لا يمكن الاحتجاج بالمادة </w:t>
      </w:r>
      <w:r w:rsidRPr="00D212A8">
        <w:rPr>
          <w:rtl/>
        </w:rPr>
        <w:t>2</w:t>
      </w:r>
      <w:r w:rsidRPr="00B06476">
        <w:rPr>
          <w:rtl/>
        </w:rPr>
        <w:t xml:space="preserve">، بالاقتران مع مواد أخرى من العهد، ما لم </w:t>
      </w:r>
      <w:r>
        <w:rPr>
          <w:rtl/>
        </w:rPr>
        <w:t>يمكن إثبات</w:t>
      </w:r>
      <w:r w:rsidRPr="00B06476">
        <w:rPr>
          <w:rtl/>
        </w:rPr>
        <w:t xml:space="preserve"> أن تقصير الدولة الطرف </w:t>
      </w:r>
      <w:r>
        <w:rPr>
          <w:rtl/>
        </w:rPr>
        <w:t>في التقيد بالتزاماتها بموجب المادة</w:t>
      </w:r>
      <w:r w:rsidR="00047E09">
        <w:rPr>
          <w:rFonts w:hint="cs"/>
          <w:rtl/>
        </w:rPr>
        <w:t> </w:t>
      </w:r>
      <w:r w:rsidRPr="00D212A8">
        <w:rPr>
          <w:rtl/>
        </w:rPr>
        <w:t>2</w:t>
      </w:r>
      <w:r>
        <w:rPr>
          <w:rtl/>
        </w:rPr>
        <w:t xml:space="preserve"> </w:t>
      </w:r>
      <w:r w:rsidRPr="00B06476">
        <w:rPr>
          <w:rtl/>
        </w:rPr>
        <w:t xml:space="preserve">هو السبب </w:t>
      </w:r>
      <w:r>
        <w:rPr>
          <w:rtl/>
        </w:rPr>
        <w:t>المباشر</w:t>
      </w:r>
      <w:r w:rsidRPr="00B06476">
        <w:rPr>
          <w:rtl/>
        </w:rPr>
        <w:t xml:space="preserve"> </w:t>
      </w:r>
      <w:r>
        <w:rPr>
          <w:rtl/>
        </w:rPr>
        <w:t>لحدوث انتهاك منفصل</w:t>
      </w:r>
      <w:r w:rsidRPr="00B06476">
        <w:rPr>
          <w:rtl/>
        </w:rPr>
        <w:t xml:space="preserve"> للعهد </w:t>
      </w:r>
      <w:r>
        <w:rPr>
          <w:rtl/>
        </w:rPr>
        <w:t>يؤثّر</w:t>
      </w:r>
      <w:r w:rsidRPr="00B06476">
        <w:rPr>
          <w:rtl/>
        </w:rPr>
        <w:t xml:space="preserve"> مباشرة </w:t>
      </w:r>
      <w:r>
        <w:rPr>
          <w:rtl/>
        </w:rPr>
        <w:t>على</w:t>
      </w:r>
      <w:r w:rsidRPr="00B06476">
        <w:rPr>
          <w:rtl/>
        </w:rPr>
        <w:t xml:space="preserve"> </w:t>
      </w:r>
      <w:r>
        <w:rPr>
          <w:rtl/>
        </w:rPr>
        <w:t>ال</w:t>
      </w:r>
      <w:r w:rsidRPr="00B06476">
        <w:rPr>
          <w:rtl/>
        </w:rPr>
        <w:t xml:space="preserve">ضحية. </w:t>
      </w:r>
    </w:p>
    <w:p w14:paraId="76651F76" w14:textId="77777777" w:rsidR="004F2A82" w:rsidRPr="0068608F" w:rsidRDefault="004F2A82" w:rsidP="004F2A82">
      <w:pPr>
        <w:pStyle w:val="SingleTxtGA"/>
        <w:rPr>
          <w:sz w:val="30"/>
          <w:lang w:val="fr-FR" w:eastAsia="zh-TW"/>
        </w:rPr>
      </w:pPr>
      <w:r w:rsidRPr="00D212A8">
        <w:rPr>
          <w:rtl/>
        </w:rPr>
        <w:t>4</w:t>
      </w:r>
      <w:r w:rsidRPr="00FC769F">
        <w:rPr>
          <w:rtl/>
        </w:rPr>
        <w:t>-</w:t>
      </w:r>
      <w:r w:rsidRPr="0068608F">
        <w:rPr>
          <w:sz w:val="30"/>
          <w:rtl/>
        </w:rPr>
        <w:tab/>
      </w:r>
      <w:r>
        <w:rPr>
          <w:rtl/>
        </w:rPr>
        <w:t>ف</w:t>
      </w:r>
      <w:r w:rsidRPr="00B06476">
        <w:rPr>
          <w:rtl/>
        </w:rPr>
        <w:t xml:space="preserve">القاعدة </w:t>
      </w:r>
      <w:r>
        <w:rPr>
          <w:rtl/>
        </w:rPr>
        <w:t>الأولى</w:t>
      </w:r>
      <w:r w:rsidRPr="00B06476">
        <w:rPr>
          <w:rtl/>
        </w:rPr>
        <w:t xml:space="preserve">، </w:t>
      </w:r>
      <w:r>
        <w:rPr>
          <w:rtl/>
        </w:rPr>
        <w:t>التي يمكن إرجاعها</w:t>
      </w:r>
      <w:r w:rsidRPr="00B06476">
        <w:rPr>
          <w:rtl/>
        </w:rPr>
        <w:t xml:space="preserve"> إلى اجتهاد</w:t>
      </w:r>
      <w:r>
        <w:rPr>
          <w:rtl/>
        </w:rPr>
        <w:t xml:space="preserve"> قانوني من تسعينات القرن العشرين</w:t>
      </w:r>
      <w:r w:rsidRPr="00B06476">
        <w:rPr>
          <w:rtl/>
        </w:rPr>
        <w:t xml:space="preserve"> سبق</w:t>
      </w:r>
      <w:r>
        <w:rPr>
          <w:rtl/>
        </w:rPr>
        <w:t xml:space="preserve"> في تاريخه</w:t>
      </w:r>
      <w:r w:rsidRPr="00B06476">
        <w:rPr>
          <w:rtl/>
        </w:rPr>
        <w:t xml:space="preserve"> قضية </w:t>
      </w:r>
      <w:proofErr w:type="spellStart"/>
      <w:r w:rsidRPr="00B06476">
        <w:rPr>
          <w:i/>
          <w:iCs/>
          <w:rtl/>
        </w:rPr>
        <w:t>بولياكوف</w:t>
      </w:r>
      <w:proofErr w:type="spellEnd"/>
      <w:r w:rsidRPr="00B06476">
        <w:rPr>
          <w:i/>
          <w:iCs/>
          <w:rtl/>
        </w:rPr>
        <w:t xml:space="preserve"> ضد بيلاروس</w:t>
      </w:r>
      <w:r w:rsidRPr="00B06476">
        <w:rPr>
          <w:rtl/>
        </w:rPr>
        <w:t xml:space="preserve">، </w:t>
      </w:r>
      <w:r>
        <w:rPr>
          <w:rtl/>
        </w:rPr>
        <w:t>تقوم على أساس فكرة مفادها أن</w:t>
      </w:r>
      <w:r w:rsidRPr="00B06476">
        <w:rPr>
          <w:rtl/>
        </w:rPr>
        <w:t xml:space="preserve"> أحكام المادة </w:t>
      </w:r>
      <w:r w:rsidRPr="00D212A8">
        <w:rPr>
          <w:rtl/>
        </w:rPr>
        <w:t>2</w:t>
      </w:r>
      <w:r w:rsidRPr="00B06476">
        <w:rPr>
          <w:rtl/>
        </w:rPr>
        <w:t xml:space="preserve"> من العهد</w:t>
      </w:r>
      <w:r>
        <w:rPr>
          <w:rtl/>
        </w:rPr>
        <w:t xml:space="preserve"> هي ذات </w:t>
      </w:r>
      <w:r w:rsidRPr="00B06476">
        <w:rPr>
          <w:rtl/>
        </w:rPr>
        <w:t xml:space="preserve">طابع ثانوي أو "مكمل"، </w:t>
      </w:r>
      <w:r>
        <w:rPr>
          <w:rtl/>
        </w:rPr>
        <w:t>وأنها</w:t>
      </w:r>
      <w:r w:rsidRPr="00B06476">
        <w:rPr>
          <w:rtl/>
        </w:rPr>
        <w:t xml:space="preserve"> لا </w:t>
      </w:r>
      <w:r>
        <w:rPr>
          <w:rtl/>
        </w:rPr>
        <w:t>ت</w:t>
      </w:r>
      <w:r w:rsidRPr="00B06476">
        <w:rPr>
          <w:rtl/>
        </w:rPr>
        <w:t xml:space="preserve">ؤثر تأثيراً </w:t>
      </w:r>
      <w:r>
        <w:rPr>
          <w:rtl/>
        </w:rPr>
        <w:t>جوهرياً على</w:t>
      </w:r>
      <w:r w:rsidRPr="00B06476">
        <w:rPr>
          <w:rtl/>
        </w:rPr>
        <w:t xml:space="preserve"> الحقوق </w:t>
      </w:r>
      <w:r>
        <w:rPr>
          <w:rtl/>
        </w:rPr>
        <w:t>الفردية</w:t>
      </w:r>
      <w:r w:rsidRPr="00B06476">
        <w:rPr>
          <w:rtl/>
        </w:rPr>
        <w:t xml:space="preserve"> </w:t>
      </w:r>
      <w:r>
        <w:rPr>
          <w:rtl/>
        </w:rPr>
        <w:t>المكرَّسة في</w:t>
      </w:r>
      <w:r w:rsidRPr="00B06476">
        <w:rPr>
          <w:rtl/>
        </w:rPr>
        <w:t xml:space="preserve"> العهد. </w:t>
      </w:r>
      <w:r>
        <w:rPr>
          <w:rtl/>
        </w:rPr>
        <w:t>ونظراً إلى أن بيان</w:t>
      </w:r>
      <w:r w:rsidRPr="00B06476">
        <w:rPr>
          <w:rtl/>
        </w:rPr>
        <w:t xml:space="preserve"> هذه الحقوق </w:t>
      </w:r>
      <w:r>
        <w:rPr>
          <w:rtl/>
        </w:rPr>
        <w:t xml:space="preserve">لا </w:t>
      </w:r>
      <w:r w:rsidRPr="00B06476">
        <w:rPr>
          <w:rtl/>
        </w:rPr>
        <w:t xml:space="preserve">يبدأ </w:t>
      </w:r>
      <w:r>
        <w:rPr>
          <w:rtl/>
        </w:rPr>
        <w:t xml:space="preserve">إلا </w:t>
      </w:r>
      <w:r w:rsidRPr="00B06476">
        <w:rPr>
          <w:rtl/>
        </w:rPr>
        <w:t>من الجزء الثالث من العهد، فإنه لا يمكن</w:t>
      </w:r>
      <w:r>
        <w:rPr>
          <w:rtl/>
        </w:rPr>
        <w:t xml:space="preserve"> </w:t>
      </w:r>
      <w:r w:rsidRPr="00B06476">
        <w:rPr>
          <w:rtl/>
        </w:rPr>
        <w:t xml:space="preserve">الاحتجاج مباشرة بالديباجة </w:t>
      </w:r>
      <w:r w:rsidRPr="0068608F">
        <w:rPr>
          <w:sz w:val="30"/>
          <w:rtl/>
        </w:rPr>
        <w:t xml:space="preserve">والمواد من </w:t>
      </w:r>
      <w:r w:rsidRPr="00D212A8">
        <w:rPr>
          <w:rtl/>
        </w:rPr>
        <w:t>1</w:t>
      </w:r>
      <w:r w:rsidRPr="0068608F">
        <w:rPr>
          <w:sz w:val="30"/>
          <w:rtl/>
        </w:rPr>
        <w:t xml:space="preserve"> إلى </w:t>
      </w:r>
      <w:r w:rsidRPr="00D212A8">
        <w:rPr>
          <w:rtl/>
        </w:rPr>
        <w:t>5</w:t>
      </w:r>
      <w:r w:rsidRPr="0068608F">
        <w:rPr>
          <w:sz w:val="30"/>
          <w:rtl/>
        </w:rPr>
        <w:t xml:space="preserve"> </w:t>
      </w:r>
      <w:r>
        <w:rPr>
          <w:sz w:val="30"/>
          <w:rtl/>
        </w:rPr>
        <w:t xml:space="preserve">من العهد </w:t>
      </w:r>
      <w:r w:rsidRPr="0068608F">
        <w:rPr>
          <w:sz w:val="30"/>
          <w:rtl/>
        </w:rPr>
        <w:t>في</w:t>
      </w:r>
      <w:r w:rsidRPr="00B06476">
        <w:rPr>
          <w:rtl/>
        </w:rPr>
        <w:t xml:space="preserve"> بلاغ مقدم </w:t>
      </w:r>
      <w:r>
        <w:rPr>
          <w:rtl/>
        </w:rPr>
        <w:t>بموجب</w:t>
      </w:r>
      <w:r w:rsidRPr="00B06476">
        <w:rPr>
          <w:rtl/>
        </w:rPr>
        <w:t xml:space="preserve"> البروتوكول الاختياري، وذلك </w:t>
      </w:r>
      <w:r>
        <w:rPr>
          <w:rtl/>
        </w:rPr>
        <w:t>وفقاً لما قررته</w:t>
      </w:r>
      <w:r w:rsidRPr="00B06476">
        <w:rPr>
          <w:rtl/>
        </w:rPr>
        <w:t xml:space="preserve"> اللجنة في قضية</w:t>
      </w:r>
      <w:r w:rsidRPr="00B06476">
        <w:rPr>
          <w:i/>
          <w:iCs/>
          <w:rtl/>
        </w:rPr>
        <w:t xml:space="preserve"> جماعة بحيرة </w:t>
      </w:r>
      <w:proofErr w:type="spellStart"/>
      <w:r w:rsidRPr="00B06476">
        <w:rPr>
          <w:i/>
          <w:iCs/>
          <w:rtl/>
        </w:rPr>
        <w:t>لوبيكون</w:t>
      </w:r>
      <w:proofErr w:type="spellEnd"/>
      <w:r w:rsidRPr="00B06476">
        <w:rPr>
          <w:i/>
          <w:iCs/>
          <w:rtl/>
        </w:rPr>
        <w:t xml:space="preserve"> ضد كندا</w:t>
      </w:r>
      <w:r w:rsidRPr="0068608F">
        <w:rPr>
          <w:i/>
          <w:iCs/>
          <w:rtl/>
        </w:rPr>
        <w:t xml:space="preserve"> </w:t>
      </w:r>
      <w:r w:rsidRPr="00A73D4F">
        <w:rPr>
          <w:rtl/>
        </w:rPr>
        <w:t xml:space="preserve">(الوثيقة </w:t>
      </w:r>
      <w:r w:rsidRPr="00A73D4F">
        <w:t>CCPR/C/38/D/167/1984</w:t>
      </w:r>
      <w:r w:rsidRPr="00A73D4F">
        <w:rPr>
          <w:rtl/>
        </w:rPr>
        <w:t>)</w:t>
      </w:r>
      <w:r w:rsidRPr="00B06476">
        <w:rPr>
          <w:rtl/>
        </w:rPr>
        <w:t>. و</w:t>
      </w:r>
      <w:r>
        <w:rPr>
          <w:rtl/>
        </w:rPr>
        <w:t xml:space="preserve">قد ظل </w:t>
      </w:r>
      <w:r w:rsidRPr="00B06476">
        <w:rPr>
          <w:rtl/>
        </w:rPr>
        <w:t>هذا التفسير يثير جدلاً كبيراً. وأ</w:t>
      </w:r>
      <w:r>
        <w:rPr>
          <w:rtl/>
        </w:rPr>
        <w:t>َ</w:t>
      </w:r>
      <w:r w:rsidRPr="00B06476">
        <w:rPr>
          <w:rtl/>
        </w:rPr>
        <w:t>كتفي بالإشارة إلى أنه يبدو لي أن</w:t>
      </w:r>
      <w:r>
        <w:rPr>
          <w:rtl/>
        </w:rPr>
        <w:t xml:space="preserve"> هذا التفسير مطعون فيه</w:t>
      </w:r>
      <w:r w:rsidRPr="00B06476">
        <w:rPr>
          <w:rtl/>
        </w:rPr>
        <w:t xml:space="preserve"> </w:t>
      </w:r>
      <w:r>
        <w:rPr>
          <w:rtl/>
        </w:rPr>
        <w:t>لعدد من الأسباب</w:t>
      </w:r>
      <w:r w:rsidRPr="00B06476">
        <w:rPr>
          <w:rtl/>
        </w:rPr>
        <w:t xml:space="preserve">، لا سيما وأنه يتعارض مع قواعد التفسير </w:t>
      </w:r>
      <w:r>
        <w:rPr>
          <w:rtl/>
        </w:rPr>
        <w:t>المحدَّدة</w:t>
      </w:r>
      <w:r w:rsidRPr="00B06476">
        <w:rPr>
          <w:rtl/>
        </w:rPr>
        <w:t xml:space="preserve"> </w:t>
      </w:r>
      <w:r w:rsidRPr="0068608F">
        <w:rPr>
          <w:sz w:val="30"/>
          <w:rtl/>
        </w:rPr>
        <w:t xml:space="preserve">في المادة </w:t>
      </w:r>
      <w:r w:rsidRPr="00D212A8">
        <w:rPr>
          <w:rtl/>
        </w:rPr>
        <w:t>31</w:t>
      </w:r>
      <w:r w:rsidRPr="0068608F">
        <w:rPr>
          <w:sz w:val="30"/>
          <w:rtl/>
        </w:rPr>
        <w:t xml:space="preserve"> من</w:t>
      </w:r>
      <w:r w:rsidRPr="00B06476">
        <w:rPr>
          <w:rtl/>
        </w:rPr>
        <w:t xml:space="preserve"> اتفاقية فيينا لقانون المعاهدات، ولأن من الصعب فهم السبب الذي </w:t>
      </w:r>
      <w:r>
        <w:rPr>
          <w:rtl/>
        </w:rPr>
        <w:t>وفقاً له يجوز،</w:t>
      </w:r>
      <w:r w:rsidRPr="00B06476">
        <w:rPr>
          <w:rtl/>
        </w:rPr>
        <w:t xml:space="preserve"> بموجب العهد، </w:t>
      </w:r>
      <w:r>
        <w:rPr>
          <w:rtl/>
        </w:rPr>
        <w:t xml:space="preserve">الاحتجاج بهذا الالتزام في </w:t>
      </w:r>
      <w:r w:rsidRPr="00B06476">
        <w:rPr>
          <w:rtl/>
        </w:rPr>
        <w:t xml:space="preserve">الملاحظات الختامية للجنة </w:t>
      </w:r>
      <w:r w:rsidRPr="00D212A8">
        <w:rPr>
          <w:rtl/>
        </w:rPr>
        <w:t>(</w:t>
      </w:r>
      <w:r>
        <w:rPr>
          <w:rtl/>
        </w:rPr>
        <w:t>الذي</w:t>
      </w:r>
      <w:r w:rsidRPr="00B06476">
        <w:rPr>
          <w:rtl/>
        </w:rPr>
        <w:t xml:space="preserve"> يمكن </w:t>
      </w:r>
      <w:r>
        <w:rPr>
          <w:rtl/>
        </w:rPr>
        <w:t xml:space="preserve">بطبيعة الحال </w:t>
      </w:r>
      <w:r w:rsidRPr="00B06476">
        <w:rPr>
          <w:rtl/>
        </w:rPr>
        <w:t xml:space="preserve">أن </w:t>
      </w:r>
      <w:r>
        <w:rPr>
          <w:rtl/>
        </w:rPr>
        <w:t>يستشهد به الأفراد</w:t>
      </w:r>
      <w:r w:rsidRPr="00B06476">
        <w:rPr>
          <w:rtl/>
        </w:rPr>
        <w:t xml:space="preserve"> </w:t>
      </w:r>
      <w:r>
        <w:rPr>
          <w:rtl/>
        </w:rPr>
        <w:t>ل</w:t>
      </w:r>
      <w:r w:rsidRPr="00B06476">
        <w:rPr>
          <w:rtl/>
        </w:rPr>
        <w:t>مطالبة الدولة الطرف باحترام حقوقهم</w:t>
      </w:r>
      <w:r w:rsidRPr="00D212A8">
        <w:rPr>
          <w:rtl/>
        </w:rPr>
        <w:t>)</w:t>
      </w:r>
      <w:r w:rsidRPr="00B06476">
        <w:rPr>
          <w:rtl/>
        </w:rPr>
        <w:t xml:space="preserve">، </w:t>
      </w:r>
      <w:r>
        <w:rPr>
          <w:rtl/>
        </w:rPr>
        <w:t>ولكن لا يجوز الاحتجاج به،</w:t>
      </w:r>
      <w:r w:rsidRPr="00B06476">
        <w:rPr>
          <w:rtl/>
        </w:rPr>
        <w:t xml:space="preserve"> بموجب العهد نفسه</w:t>
      </w:r>
      <w:r>
        <w:rPr>
          <w:rtl/>
        </w:rPr>
        <w:t>،</w:t>
      </w:r>
      <w:r w:rsidRPr="00B06476">
        <w:rPr>
          <w:rtl/>
        </w:rPr>
        <w:t xml:space="preserve"> في </w:t>
      </w:r>
      <w:r>
        <w:rPr>
          <w:rtl/>
        </w:rPr>
        <w:t xml:space="preserve">بلاغ مقدَّم بموجب </w:t>
      </w:r>
      <w:r w:rsidRPr="00B06476">
        <w:rPr>
          <w:rtl/>
        </w:rPr>
        <w:t xml:space="preserve">البروتوكول الاختياري. </w:t>
      </w:r>
      <w:r>
        <w:rPr>
          <w:rtl/>
        </w:rPr>
        <w:t xml:space="preserve">بيد أن </w:t>
      </w:r>
      <w:r w:rsidRPr="00B06476">
        <w:rPr>
          <w:rtl/>
        </w:rPr>
        <w:t xml:space="preserve">هذا البروتوكول </w:t>
      </w:r>
      <w:r>
        <w:rPr>
          <w:rtl/>
        </w:rPr>
        <w:t>هو ببساطة</w:t>
      </w:r>
      <w:r w:rsidRPr="00B06476">
        <w:rPr>
          <w:rtl/>
        </w:rPr>
        <w:t xml:space="preserve"> صك إجرائي </w:t>
      </w:r>
      <w:r>
        <w:rPr>
          <w:rtl/>
        </w:rPr>
        <w:t xml:space="preserve">من أجل </w:t>
      </w:r>
      <w:r w:rsidRPr="00B06476">
        <w:rPr>
          <w:rtl/>
        </w:rPr>
        <w:t xml:space="preserve">تنفيذ أحكام العهد وليس جزءاً </w:t>
      </w:r>
      <w:r>
        <w:rPr>
          <w:rtl/>
        </w:rPr>
        <w:t>منه</w:t>
      </w:r>
      <w:r w:rsidRPr="00B06476">
        <w:rPr>
          <w:rtl/>
        </w:rPr>
        <w:t xml:space="preserve">. </w:t>
      </w:r>
    </w:p>
    <w:p w14:paraId="2074E988" w14:textId="1B0F88E3" w:rsidR="004F2A82" w:rsidRPr="0068608F" w:rsidRDefault="004F2A82" w:rsidP="004F2A82">
      <w:pPr>
        <w:pStyle w:val="SingleTxtGA"/>
        <w:rPr>
          <w:sz w:val="30"/>
          <w:lang w:val="fr-FR" w:eastAsia="zh-TW"/>
        </w:rPr>
      </w:pPr>
      <w:r w:rsidRPr="00D212A8">
        <w:rPr>
          <w:rtl/>
        </w:rPr>
        <w:lastRenderedPageBreak/>
        <w:t>5</w:t>
      </w:r>
      <w:r w:rsidRPr="00FC769F">
        <w:rPr>
          <w:rtl/>
        </w:rPr>
        <w:t>-</w:t>
      </w:r>
      <w:r w:rsidRPr="0068608F">
        <w:rPr>
          <w:sz w:val="30"/>
          <w:rtl/>
        </w:rPr>
        <w:tab/>
        <w:t xml:space="preserve">وعلاوة </w:t>
      </w:r>
      <w:r w:rsidRPr="00B06476">
        <w:rPr>
          <w:rtl/>
        </w:rPr>
        <w:t xml:space="preserve">على ذلك، </w:t>
      </w:r>
      <w:r>
        <w:rPr>
          <w:rtl/>
        </w:rPr>
        <w:t>لم تمتنع</w:t>
      </w:r>
      <w:r w:rsidRPr="00B06476">
        <w:rPr>
          <w:rtl/>
        </w:rPr>
        <w:t xml:space="preserve"> اللجنة </w:t>
      </w:r>
      <w:r>
        <w:rPr>
          <w:rtl/>
        </w:rPr>
        <w:t>عن اتخاذ هذا الموقف في قضايا سابقة</w:t>
      </w:r>
      <w:r w:rsidRPr="00B06476">
        <w:rPr>
          <w:rtl/>
        </w:rPr>
        <w:t xml:space="preserve">، </w:t>
      </w:r>
      <w:r>
        <w:rPr>
          <w:rtl/>
        </w:rPr>
        <w:t>مثل</w:t>
      </w:r>
      <w:r w:rsidRPr="00B06476">
        <w:rPr>
          <w:rtl/>
        </w:rPr>
        <w:t xml:space="preserve"> قضية </w:t>
      </w:r>
      <w:r w:rsidRPr="00B06476">
        <w:rPr>
          <w:i/>
          <w:iCs/>
          <w:rtl/>
        </w:rPr>
        <w:t xml:space="preserve">رباع وآخرون ضد هولندا </w:t>
      </w:r>
      <w:r w:rsidRPr="00A73D4F">
        <w:rPr>
          <w:rtl/>
        </w:rPr>
        <w:t xml:space="preserve">(الوثيقة </w:t>
      </w:r>
      <w:r w:rsidRPr="00A73D4F">
        <w:t>CCPR/C/117/D/2124/2011</w:t>
      </w:r>
      <w:r w:rsidRPr="00A73D4F">
        <w:rPr>
          <w:rtl/>
        </w:rPr>
        <w:t>، الفقرة 9-7)</w:t>
      </w:r>
      <w:r w:rsidRPr="0068608F">
        <w:rPr>
          <w:sz w:val="30"/>
          <w:rtl/>
        </w:rPr>
        <w:t>.</w:t>
      </w:r>
      <w:r w:rsidRPr="00B06476">
        <w:rPr>
          <w:rtl/>
        </w:rPr>
        <w:t xml:space="preserve"> وفي حين أن الدولة المدعى عليها </w:t>
      </w:r>
      <w:r>
        <w:rPr>
          <w:rtl/>
        </w:rPr>
        <w:t>ادّعت</w:t>
      </w:r>
      <w:r w:rsidRPr="00B06476">
        <w:rPr>
          <w:rtl/>
        </w:rPr>
        <w:t xml:space="preserve"> أن الما</w:t>
      </w:r>
      <w:r w:rsidRPr="0068608F">
        <w:rPr>
          <w:sz w:val="30"/>
          <w:rtl/>
        </w:rPr>
        <w:t xml:space="preserve">دة </w:t>
      </w:r>
      <w:r w:rsidRPr="00D212A8">
        <w:rPr>
          <w:rtl/>
        </w:rPr>
        <w:t>20</w:t>
      </w:r>
      <w:r w:rsidRPr="00B06476">
        <w:rPr>
          <w:rtl/>
        </w:rPr>
        <w:t xml:space="preserve"> من العهد لم تُصغ </w:t>
      </w:r>
      <w:r>
        <w:rPr>
          <w:rtl/>
        </w:rPr>
        <w:t>في شكل حق قابل للمقاضاة</w:t>
      </w:r>
      <w:r w:rsidRPr="00B06476">
        <w:rPr>
          <w:rtl/>
        </w:rPr>
        <w:t>، ارتأت اللجنة</w:t>
      </w:r>
      <w:r>
        <w:rPr>
          <w:rtl/>
        </w:rPr>
        <w:t>، على العكس من ذلك،</w:t>
      </w:r>
      <w:r w:rsidRPr="00B06476">
        <w:rPr>
          <w:rtl/>
        </w:rPr>
        <w:t xml:space="preserve"> أن</w:t>
      </w:r>
      <w:r>
        <w:rPr>
          <w:rtl/>
        </w:rPr>
        <w:t>ه يمكن</w:t>
      </w:r>
      <w:r w:rsidRPr="00B06476">
        <w:rPr>
          <w:rtl/>
        </w:rPr>
        <w:t xml:space="preserve"> </w:t>
      </w:r>
      <w:r>
        <w:rPr>
          <w:rtl/>
        </w:rPr>
        <w:t>أن يحتج بها ا</w:t>
      </w:r>
      <w:r w:rsidRPr="00B06476">
        <w:rPr>
          <w:rtl/>
        </w:rPr>
        <w:t xml:space="preserve">لأفراد </w:t>
      </w:r>
      <w:r>
        <w:rPr>
          <w:rtl/>
        </w:rPr>
        <w:t>الذين ظُلموا</w:t>
      </w:r>
      <w:r w:rsidRPr="00B06476">
        <w:rPr>
          <w:rtl/>
        </w:rPr>
        <w:t xml:space="preserve">، وأنها </w:t>
      </w:r>
      <w:r>
        <w:rPr>
          <w:rtl/>
        </w:rPr>
        <w:t>تتبع</w:t>
      </w:r>
      <w:r w:rsidRPr="00B06476">
        <w:rPr>
          <w:rtl/>
        </w:rPr>
        <w:t xml:space="preserve"> منطق الحماية الذي يقوم عليه العهد برمته. </w:t>
      </w:r>
      <w:r>
        <w:rPr>
          <w:sz w:val="30"/>
          <w:rtl/>
        </w:rPr>
        <w:t>و</w:t>
      </w:r>
      <w:r w:rsidRPr="0068608F">
        <w:rPr>
          <w:sz w:val="30"/>
          <w:rtl/>
        </w:rPr>
        <w:t xml:space="preserve">المادة </w:t>
      </w:r>
      <w:r w:rsidRPr="00D212A8">
        <w:rPr>
          <w:rtl/>
        </w:rPr>
        <w:t>20(2)</w:t>
      </w:r>
      <w:r w:rsidRPr="00B06476">
        <w:rPr>
          <w:rtl/>
        </w:rPr>
        <w:t xml:space="preserve"> من العهد </w:t>
      </w:r>
      <w:r>
        <w:rPr>
          <w:rtl/>
        </w:rPr>
        <w:t>مماثلة</w:t>
      </w:r>
      <w:r w:rsidRPr="00B06476">
        <w:rPr>
          <w:rtl/>
        </w:rPr>
        <w:t xml:space="preserve"> </w:t>
      </w:r>
      <w:r>
        <w:rPr>
          <w:rtl/>
        </w:rPr>
        <w:t xml:space="preserve">للمادة </w:t>
      </w:r>
      <w:r w:rsidRPr="00D212A8">
        <w:rPr>
          <w:rtl/>
        </w:rPr>
        <w:t>2</w:t>
      </w:r>
      <w:r>
        <w:rPr>
          <w:rtl/>
        </w:rPr>
        <w:t xml:space="preserve"> من حيث أنها تتعلق</w:t>
      </w:r>
      <w:r w:rsidRPr="00B06476">
        <w:rPr>
          <w:rtl/>
        </w:rPr>
        <w:t xml:space="preserve"> </w:t>
      </w:r>
      <w:r>
        <w:rPr>
          <w:rtl/>
        </w:rPr>
        <w:t>بتعهّد</w:t>
      </w:r>
      <w:r w:rsidRPr="00B06476">
        <w:rPr>
          <w:rtl/>
        </w:rPr>
        <w:t xml:space="preserve"> الدولة الطرف </w:t>
      </w:r>
      <w:r>
        <w:rPr>
          <w:rtl/>
        </w:rPr>
        <w:t>بأن</w:t>
      </w:r>
      <w:r w:rsidR="00A73D4F">
        <w:rPr>
          <w:rFonts w:hint="cs"/>
          <w:rtl/>
        </w:rPr>
        <w:t> </w:t>
      </w:r>
      <w:r>
        <w:rPr>
          <w:rtl/>
        </w:rPr>
        <w:t xml:space="preserve">تحظر قانوناً </w:t>
      </w:r>
      <w:r w:rsidRPr="00D212A8">
        <w:rPr>
          <w:rtl/>
        </w:rPr>
        <w:t>(</w:t>
      </w:r>
      <w:r>
        <w:rPr>
          <w:rtl/>
        </w:rPr>
        <w:t xml:space="preserve">اعتماد قوانين، في المادة </w:t>
      </w:r>
      <w:r w:rsidRPr="00D212A8">
        <w:rPr>
          <w:rtl/>
        </w:rPr>
        <w:t>2)</w:t>
      </w:r>
      <w:r w:rsidRPr="00B06476">
        <w:rPr>
          <w:rtl/>
        </w:rPr>
        <w:t xml:space="preserve"> أي دعوة إلى الكراهية. وإذا كانت المادة </w:t>
      </w:r>
      <w:r w:rsidRPr="00D212A8">
        <w:rPr>
          <w:rtl/>
        </w:rPr>
        <w:t>2</w:t>
      </w:r>
      <w:r w:rsidRPr="00B06476">
        <w:rPr>
          <w:rtl/>
        </w:rPr>
        <w:t xml:space="preserve">، </w:t>
      </w:r>
      <w:r>
        <w:rPr>
          <w:rtl/>
        </w:rPr>
        <w:t>مثلها مثل</w:t>
      </w:r>
      <w:r w:rsidRPr="00B06476">
        <w:rPr>
          <w:rtl/>
        </w:rPr>
        <w:t xml:space="preserve"> </w:t>
      </w:r>
      <w:r w:rsidRPr="0068608F">
        <w:rPr>
          <w:sz w:val="30"/>
          <w:rtl/>
        </w:rPr>
        <w:t xml:space="preserve">المادة </w:t>
      </w:r>
      <w:r w:rsidRPr="00D212A8">
        <w:rPr>
          <w:rtl/>
        </w:rPr>
        <w:t>20</w:t>
      </w:r>
      <w:r w:rsidRPr="0068608F">
        <w:rPr>
          <w:sz w:val="30"/>
          <w:rtl/>
        </w:rPr>
        <w:t>،</w:t>
      </w:r>
      <w:r w:rsidRPr="00B06476">
        <w:rPr>
          <w:rtl/>
        </w:rPr>
        <w:t xml:space="preserve"> </w:t>
      </w:r>
      <w:r>
        <w:rPr>
          <w:rtl/>
        </w:rPr>
        <w:t>تشكل بلا منازع</w:t>
      </w:r>
      <w:r w:rsidRPr="00B06476">
        <w:rPr>
          <w:rtl/>
        </w:rPr>
        <w:t xml:space="preserve"> جزءاً من العهد </w:t>
      </w:r>
      <w:r>
        <w:rPr>
          <w:rtl/>
        </w:rPr>
        <w:t>ككل</w:t>
      </w:r>
      <w:r w:rsidRPr="00B06476">
        <w:rPr>
          <w:rtl/>
        </w:rPr>
        <w:t xml:space="preserve">، </w:t>
      </w:r>
      <w:r>
        <w:rPr>
          <w:rtl/>
        </w:rPr>
        <w:t>فلماذا ينبغي</w:t>
      </w:r>
      <w:r w:rsidRPr="00B06476">
        <w:rPr>
          <w:rtl/>
        </w:rPr>
        <w:t xml:space="preserve"> </w:t>
      </w:r>
      <w:r>
        <w:rPr>
          <w:rtl/>
        </w:rPr>
        <w:t>أن تعامَل بطريقة مختلفة</w:t>
      </w:r>
      <w:r w:rsidRPr="00B06476">
        <w:rPr>
          <w:rtl/>
        </w:rPr>
        <w:t xml:space="preserve"> عن </w:t>
      </w:r>
      <w:r w:rsidRPr="0068608F">
        <w:rPr>
          <w:sz w:val="30"/>
          <w:rtl/>
        </w:rPr>
        <w:t xml:space="preserve">المادة </w:t>
      </w:r>
      <w:r w:rsidRPr="00D212A8">
        <w:rPr>
          <w:rtl/>
        </w:rPr>
        <w:t>20</w:t>
      </w:r>
      <w:r w:rsidRPr="0068608F">
        <w:rPr>
          <w:sz w:val="30"/>
          <w:rtl/>
        </w:rPr>
        <w:t>؟ ولا</w:t>
      </w:r>
      <w:r w:rsidRPr="00B06476">
        <w:rPr>
          <w:rtl/>
        </w:rPr>
        <w:t xml:space="preserve"> يمكن القبول </w:t>
      </w:r>
      <w:r>
        <w:rPr>
          <w:rtl/>
        </w:rPr>
        <w:t>ب</w:t>
      </w:r>
      <w:r w:rsidRPr="00B06476">
        <w:rPr>
          <w:rtl/>
        </w:rPr>
        <w:t xml:space="preserve">تقطيع العهد </w:t>
      </w:r>
      <w:r>
        <w:rPr>
          <w:rtl/>
        </w:rPr>
        <w:t>بهذه الطريقة</w:t>
      </w:r>
      <w:r w:rsidRPr="00B06476">
        <w:rPr>
          <w:rtl/>
        </w:rPr>
        <w:t>.</w:t>
      </w:r>
    </w:p>
    <w:p w14:paraId="402FC891" w14:textId="77777777" w:rsidR="004F2A82" w:rsidRPr="0068608F" w:rsidRDefault="004F2A82" w:rsidP="004F2A82">
      <w:pPr>
        <w:pStyle w:val="SingleTxtGA"/>
        <w:rPr>
          <w:sz w:val="30"/>
          <w:lang w:val="fr-FR" w:eastAsia="zh-TW"/>
        </w:rPr>
      </w:pPr>
      <w:r w:rsidRPr="00D212A8">
        <w:rPr>
          <w:rtl/>
        </w:rPr>
        <w:t>6</w:t>
      </w:r>
      <w:r w:rsidRPr="00FC769F">
        <w:rPr>
          <w:rtl/>
        </w:rPr>
        <w:t>-</w:t>
      </w:r>
      <w:r w:rsidRPr="0068608F">
        <w:rPr>
          <w:sz w:val="30"/>
          <w:rtl/>
        </w:rPr>
        <w:tab/>
      </w:r>
      <w:r>
        <w:rPr>
          <w:rtl/>
        </w:rPr>
        <w:t>أمّا فيما يتعلق ب</w:t>
      </w:r>
      <w:r w:rsidRPr="00B06476">
        <w:rPr>
          <w:rtl/>
        </w:rPr>
        <w:t xml:space="preserve">القاعدة الثانية </w:t>
      </w:r>
      <w:r>
        <w:rPr>
          <w:rtl/>
        </w:rPr>
        <w:t>التي حدّدتها</w:t>
      </w:r>
      <w:r w:rsidRPr="00B06476">
        <w:rPr>
          <w:rtl/>
        </w:rPr>
        <w:t xml:space="preserve"> آراء اللجنة في قضية </w:t>
      </w:r>
      <w:proofErr w:type="spellStart"/>
      <w:r w:rsidRPr="00B06476">
        <w:rPr>
          <w:i/>
          <w:iCs/>
          <w:rtl/>
        </w:rPr>
        <w:t>بولياكوف</w:t>
      </w:r>
      <w:proofErr w:type="spellEnd"/>
      <w:r w:rsidRPr="00B06476">
        <w:rPr>
          <w:i/>
          <w:iCs/>
          <w:rtl/>
        </w:rPr>
        <w:t xml:space="preserve"> ضد بيلاروس</w:t>
      </w:r>
      <w:r w:rsidRPr="00B06476">
        <w:rPr>
          <w:rtl/>
        </w:rPr>
        <w:t xml:space="preserve">، على افتراض أنها </w:t>
      </w:r>
      <w:r w:rsidRPr="00D212A8">
        <w:rPr>
          <w:rtl/>
        </w:rPr>
        <w:t>(</w:t>
      </w:r>
      <w:r>
        <w:rPr>
          <w:rtl/>
        </w:rPr>
        <w:t>القاعدة</w:t>
      </w:r>
      <w:r w:rsidRPr="00D212A8">
        <w:rPr>
          <w:rtl/>
        </w:rPr>
        <w:t>)</w:t>
      </w:r>
      <w:r>
        <w:rPr>
          <w:rtl/>
        </w:rPr>
        <w:t xml:space="preserve"> تستند إلى مبادئ قانونية سليمة</w:t>
      </w:r>
      <w:r w:rsidRPr="00B06476">
        <w:rPr>
          <w:rtl/>
        </w:rPr>
        <w:t xml:space="preserve">، وهي </w:t>
      </w:r>
      <w:r>
        <w:rPr>
          <w:rtl/>
        </w:rPr>
        <w:t xml:space="preserve">ليست كذلك </w:t>
      </w:r>
      <w:r w:rsidRPr="00B06476">
        <w:rPr>
          <w:rtl/>
        </w:rPr>
        <w:t xml:space="preserve">في رأيي، </w:t>
      </w:r>
      <w:r>
        <w:rPr>
          <w:rtl/>
        </w:rPr>
        <w:t xml:space="preserve">فإنها </w:t>
      </w:r>
      <w:r w:rsidRPr="00B06476">
        <w:rPr>
          <w:rtl/>
        </w:rPr>
        <w:t xml:space="preserve">قاعدةٌ تنطبق تماماً على </w:t>
      </w:r>
      <w:r>
        <w:rPr>
          <w:rtl/>
        </w:rPr>
        <w:t>قضيتنا هذه على وجه التحديد</w:t>
      </w:r>
      <w:r w:rsidRPr="00B06476">
        <w:rPr>
          <w:rtl/>
        </w:rPr>
        <w:t xml:space="preserve">. والواقع أن عدم بذل </w:t>
      </w:r>
      <w:r>
        <w:rPr>
          <w:rtl/>
        </w:rPr>
        <w:t>الهيئة التشريعية في هولندا</w:t>
      </w:r>
      <w:r w:rsidRPr="00B06476">
        <w:rPr>
          <w:rtl/>
        </w:rPr>
        <w:t xml:space="preserve"> العناية الواجبة، </w:t>
      </w:r>
      <w:r>
        <w:rPr>
          <w:rtl/>
        </w:rPr>
        <w:t>وهو ما كانت اللجنة قد أشارت</w:t>
      </w:r>
      <w:r w:rsidRPr="00B06476">
        <w:rPr>
          <w:rtl/>
        </w:rPr>
        <w:t xml:space="preserve"> إليه ضمناً في </w:t>
      </w:r>
      <w:r>
        <w:rPr>
          <w:rtl/>
        </w:rPr>
        <w:t>ملاحظاتها</w:t>
      </w:r>
      <w:r w:rsidRPr="00B06476">
        <w:rPr>
          <w:rtl/>
        </w:rPr>
        <w:t xml:space="preserve"> الختامية على التقرير الدوري الخامس لهولندا، كان </w:t>
      </w:r>
      <w:r>
        <w:rPr>
          <w:rtl/>
        </w:rPr>
        <w:t xml:space="preserve">هو </w:t>
      </w:r>
      <w:r w:rsidRPr="00B06476">
        <w:rPr>
          <w:rtl/>
        </w:rPr>
        <w:t xml:space="preserve">السبب المباشر </w:t>
      </w:r>
      <w:r>
        <w:rPr>
          <w:rtl/>
        </w:rPr>
        <w:t>الوحيد</w:t>
      </w:r>
      <w:r w:rsidRPr="00B06476">
        <w:rPr>
          <w:rtl/>
        </w:rPr>
        <w:t xml:space="preserve"> للضرر الهائل الذي لحق بصاحب البلاغ. وهذا الضرر </w:t>
      </w:r>
      <w:r>
        <w:rPr>
          <w:rtl/>
        </w:rPr>
        <w:t xml:space="preserve">كبير، </w:t>
      </w:r>
      <w:r w:rsidRPr="00B06476">
        <w:rPr>
          <w:rtl/>
        </w:rPr>
        <w:t xml:space="preserve">ليس </w:t>
      </w:r>
      <w:r>
        <w:rPr>
          <w:rtl/>
        </w:rPr>
        <w:t>فقط</w:t>
      </w:r>
      <w:r w:rsidRPr="00B06476">
        <w:rPr>
          <w:rtl/>
        </w:rPr>
        <w:t xml:space="preserve"> بسبب </w:t>
      </w:r>
      <w:r>
        <w:rPr>
          <w:rtl/>
        </w:rPr>
        <w:t xml:space="preserve">تأثيره على </w:t>
      </w:r>
      <w:r w:rsidRPr="00B06476">
        <w:rPr>
          <w:rtl/>
        </w:rPr>
        <w:t>حقوق الطفل</w:t>
      </w:r>
      <w:r>
        <w:rPr>
          <w:rtl/>
        </w:rPr>
        <w:t xml:space="preserve"> ولكن أيضاً</w:t>
      </w:r>
      <w:r w:rsidRPr="00B06476">
        <w:rPr>
          <w:rtl/>
        </w:rPr>
        <w:t xml:space="preserve"> لأنه تفاقم </w:t>
      </w:r>
      <w:r>
        <w:rPr>
          <w:rtl/>
        </w:rPr>
        <w:t>بسبب طول فترته الزمنية</w:t>
      </w:r>
      <w:r w:rsidRPr="00B06476">
        <w:rPr>
          <w:rtl/>
        </w:rPr>
        <w:t xml:space="preserve">. </w:t>
      </w:r>
    </w:p>
    <w:p w14:paraId="042E4B6E" w14:textId="77777777" w:rsidR="004F2A82" w:rsidRPr="0068608F" w:rsidRDefault="004F2A82" w:rsidP="004F2A82">
      <w:pPr>
        <w:pStyle w:val="SingleTxtGA"/>
        <w:rPr>
          <w:sz w:val="30"/>
          <w:lang w:val="ar-SA" w:eastAsia="zh-TW" w:bidi="en-GB"/>
        </w:rPr>
      </w:pPr>
      <w:r w:rsidRPr="00D212A8">
        <w:rPr>
          <w:rtl/>
        </w:rPr>
        <w:t>7</w:t>
      </w:r>
      <w:r w:rsidRPr="00FC769F">
        <w:rPr>
          <w:rtl/>
        </w:rPr>
        <w:t>-</w:t>
      </w:r>
      <w:r w:rsidRPr="0068608F">
        <w:rPr>
          <w:sz w:val="30"/>
          <w:rtl/>
        </w:rPr>
        <w:tab/>
      </w:r>
      <w:r w:rsidRPr="00B06476">
        <w:rPr>
          <w:rtl/>
        </w:rPr>
        <w:t xml:space="preserve">ويبلغ سلوك الدولة الطرف في هذه القضية </w:t>
      </w:r>
      <w:r>
        <w:rPr>
          <w:rtl/>
        </w:rPr>
        <w:t>من الخطورة ما يجعله يندرج ضمن نطاق</w:t>
      </w:r>
      <w:r w:rsidRPr="00B06476">
        <w:rPr>
          <w:rtl/>
        </w:rPr>
        <w:t xml:space="preserve"> المادة</w:t>
      </w:r>
      <w:r w:rsidRPr="0068608F">
        <w:rPr>
          <w:sz w:val="30"/>
          <w:rtl/>
        </w:rPr>
        <w:t xml:space="preserve"> </w:t>
      </w:r>
      <w:r w:rsidRPr="00D212A8">
        <w:rPr>
          <w:rtl/>
        </w:rPr>
        <w:t>16</w:t>
      </w:r>
      <w:r w:rsidRPr="00B06476">
        <w:rPr>
          <w:rtl/>
        </w:rPr>
        <w:t xml:space="preserve"> من العهد، بحيث </w:t>
      </w:r>
      <w:r>
        <w:rPr>
          <w:rtl/>
        </w:rPr>
        <w:t xml:space="preserve">أنه </w:t>
      </w:r>
      <w:r w:rsidRPr="00B06476">
        <w:rPr>
          <w:rtl/>
        </w:rPr>
        <w:t xml:space="preserve">يكاد </w:t>
      </w:r>
      <w:r>
        <w:rPr>
          <w:rtl/>
        </w:rPr>
        <w:t>يصل إلى حد إنكار الاعتراف به كشخص أمام القانون</w:t>
      </w:r>
      <w:r w:rsidRPr="00B06476">
        <w:rPr>
          <w:rtl/>
        </w:rPr>
        <w:t xml:space="preserve">. </w:t>
      </w:r>
      <w:r>
        <w:rPr>
          <w:rtl/>
        </w:rPr>
        <w:t xml:space="preserve">فلم تتمكن </w:t>
      </w:r>
      <w:r w:rsidRPr="00B06476">
        <w:rPr>
          <w:rtl/>
        </w:rPr>
        <w:t>والدة صاحب البلاغ</w:t>
      </w:r>
      <w:r>
        <w:rPr>
          <w:rtl/>
        </w:rPr>
        <w:t>،</w:t>
      </w:r>
      <w:r w:rsidRPr="00B06476">
        <w:rPr>
          <w:rtl/>
        </w:rPr>
        <w:t xml:space="preserve"> بالرغم من </w:t>
      </w:r>
      <w:r>
        <w:rPr>
          <w:rtl/>
        </w:rPr>
        <w:t xml:space="preserve">بذلها جهوداً دامت </w:t>
      </w:r>
      <w:r w:rsidRPr="00B06476">
        <w:rPr>
          <w:rtl/>
        </w:rPr>
        <w:t xml:space="preserve">سنوات، </w:t>
      </w:r>
      <w:r>
        <w:rPr>
          <w:rtl/>
        </w:rPr>
        <w:t>من</w:t>
      </w:r>
      <w:r w:rsidRPr="00B06476">
        <w:rPr>
          <w:rtl/>
        </w:rPr>
        <w:t xml:space="preserve"> تغيير </w:t>
      </w:r>
      <w:r>
        <w:rPr>
          <w:rtl/>
        </w:rPr>
        <w:t>تسجيله من</w:t>
      </w:r>
      <w:r w:rsidRPr="00B06476">
        <w:rPr>
          <w:rtl/>
        </w:rPr>
        <w:t xml:space="preserve"> خانة</w:t>
      </w:r>
      <w:r>
        <w:rPr>
          <w:rtl/>
        </w:rPr>
        <w:t xml:space="preserve"> </w:t>
      </w:r>
      <w:r w:rsidRPr="00B06476">
        <w:rPr>
          <w:rtl/>
        </w:rPr>
        <w:t xml:space="preserve">"جنسية غير معروفة" إلى خانة "عديم الجنسية" </w:t>
      </w:r>
      <w:r>
        <w:rPr>
          <w:rtl/>
        </w:rPr>
        <w:t>لتمكينه</w:t>
      </w:r>
      <w:r w:rsidRPr="00B06476">
        <w:rPr>
          <w:rtl/>
        </w:rPr>
        <w:t xml:space="preserve">، </w:t>
      </w:r>
      <w:r>
        <w:rPr>
          <w:rtl/>
        </w:rPr>
        <w:t>كطفل</w:t>
      </w:r>
      <w:r w:rsidRPr="00B06476">
        <w:rPr>
          <w:rtl/>
        </w:rPr>
        <w:t xml:space="preserve"> وُلد في </w:t>
      </w:r>
      <w:r>
        <w:rPr>
          <w:rtl/>
        </w:rPr>
        <w:t>هولندا</w:t>
      </w:r>
      <w:r w:rsidRPr="00B06476">
        <w:rPr>
          <w:rtl/>
        </w:rPr>
        <w:t xml:space="preserve"> لأم عديمة الجنسية، </w:t>
      </w:r>
      <w:r>
        <w:rPr>
          <w:rtl/>
        </w:rPr>
        <w:t>من التمتع ب</w:t>
      </w:r>
      <w:r w:rsidRPr="00B06476">
        <w:rPr>
          <w:rtl/>
        </w:rPr>
        <w:t xml:space="preserve">حق اكتساب جنسية. وفيما يتعلق بصاحب البلاغ، فهو </w:t>
      </w:r>
      <w:r>
        <w:rPr>
          <w:rtl/>
        </w:rPr>
        <w:t>يؤكّد</w:t>
      </w:r>
      <w:r w:rsidRPr="00B06476">
        <w:rPr>
          <w:rtl/>
        </w:rPr>
        <w:t xml:space="preserve"> أنه قضى سنوات </w:t>
      </w:r>
      <w:r>
        <w:rPr>
          <w:rtl/>
        </w:rPr>
        <w:t>في مأزق قانوني</w:t>
      </w:r>
      <w:r w:rsidRPr="00B06476">
        <w:rPr>
          <w:rtl/>
        </w:rPr>
        <w:t xml:space="preserve">، </w:t>
      </w:r>
      <w:r>
        <w:rPr>
          <w:rtl/>
        </w:rPr>
        <w:t>معزولاً عن المجتمع في بلد ولادته</w:t>
      </w:r>
      <w:r w:rsidRPr="00B06476">
        <w:rPr>
          <w:rtl/>
        </w:rPr>
        <w:t xml:space="preserve">، </w:t>
      </w:r>
      <w:r>
        <w:rPr>
          <w:rtl/>
        </w:rPr>
        <w:t>وفي ظل أوضاع</w:t>
      </w:r>
      <w:r w:rsidRPr="00B06476">
        <w:rPr>
          <w:rtl/>
        </w:rPr>
        <w:t xml:space="preserve"> اجتماعية بالغة الضرر، بسبب </w:t>
      </w:r>
      <w:r>
        <w:rPr>
          <w:rtl/>
        </w:rPr>
        <w:t>نهْج الدولة الطرف بشأن</w:t>
      </w:r>
      <w:r w:rsidRPr="00B06476">
        <w:rPr>
          <w:rtl/>
        </w:rPr>
        <w:t xml:space="preserve"> انعدام الجنسية، و</w:t>
      </w:r>
      <w:r>
        <w:rPr>
          <w:rtl/>
        </w:rPr>
        <w:t xml:space="preserve">حقوق </w:t>
      </w:r>
      <w:r w:rsidRPr="00B06476">
        <w:rPr>
          <w:rtl/>
        </w:rPr>
        <w:t xml:space="preserve">الإقامة، واكتساب الجنسية. </w:t>
      </w:r>
    </w:p>
    <w:p w14:paraId="7F106BE3" w14:textId="3C571C7C" w:rsidR="004F2A82" w:rsidRPr="0068608F" w:rsidRDefault="004F2A82" w:rsidP="004F2A82">
      <w:pPr>
        <w:pStyle w:val="SingleTxtGA"/>
        <w:rPr>
          <w:lang w:val="fr-FR" w:eastAsia="zh-TW" w:bidi="en-GB"/>
        </w:rPr>
      </w:pPr>
      <w:r w:rsidRPr="00D212A8">
        <w:rPr>
          <w:rtl/>
        </w:rPr>
        <w:t>8</w:t>
      </w:r>
      <w:r w:rsidRPr="00FC769F">
        <w:rPr>
          <w:rtl/>
        </w:rPr>
        <w:t>-</w:t>
      </w:r>
      <w:r w:rsidRPr="00B06476">
        <w:rPr>
          <w:rtl/>
        </w:rPr>
        <w:tab/>
        <w:t xml:space="preserve">وبناء على ذلك، فإن عدم امتثال الدولة الطرف لالتزاماتها بموجب المادة </w:t>
      </w:r>
      <w:r w:rsidRPr="00D212A8">
        <w:rPr>
          <w:rtl/>
        </w:rPr>
        <w:t>2(2)</w:t>
      </w:r>
      <w:r w:rsidRPr="00B06476">
        <w:rPr>
          <w:rtl/>
        </w:rPr>
        <w:t xml:space="preserve"> من العهد في هذه القضية هو السبب المباشر والقريب للانتهاك المنفصل للعهد. وأرى أن هناك فرقاً </w:t>
      </w:r>
      <w:r>
        <w:rPr>
          <w:rtl/>
        </w:rPr>
        <w:t>مهمّاً</w:t>
      </w:r>
      <w:r w:rsidRPr="00B06476">
        <w:rPr>
          <w:rtl/>
        </w:rPr>
        <w:t xml:space="preserve"> بين </w:t>
      </w:r>
      <w:r>
        <w:rPr>
          <w:rtl/>
        </w:rPr>
        <w:t xml:space="preserve">ادّعاء مقدَّم بموجب </w:t>
      </w:r>
      <w:r w:rsidRPr="0068608F">
        <w:rPr>
          <w:sz w:val="30"/>
          <w:rtl/>
        </w:rPr>
        <w:t xml:space="preserve">المادة </w:t>
      </w:r>
      <w:r w:rsidRPr="00D212A8">
        <w:rPr>
          <w:rtl/>
        </w:rPr>
        <w:t>2(2)</w:t>
      </w:r>
      <w:r w:rsidRPr="0068608F">
        <w:rPr>
          <w:sz w:val="30"/>
          <w:rtl/>
        </w:rPr>
        <w:t xml:space="preserve">، مقروءة بالاقتران مع المادة </w:t>
      </w:r>
      <w:r w:rsidRPr="00D212A8">
        <w:rPr>
          <w:rtl/>
        </w:rPr>
        <w:t>24</w:t>
      </w:r>
      <w:r w:rsidRPr="0068608F">
        <w:rPr>
          <w:sz w:val="30"/>
          <w:rtl/>
        </w:rPr>
        <w:t xml:space="preserve">، </w:t>
      </w:r>
      <w:r>
        <w:rPr>
          <w:sz w:val="30"/>
          <w:rtl/>
        </w:rPr>
        <w:t>وادّعاء</w:t>
      </w:r>
      <w:r>
        <w:rPr>
          <w:rtl/>
        </w:rPr>
        <w:t xml:space="preserve"> مقدم بموجب ا</w:t>
      </w:r>
      <w:r w:rsidRPr="0068608F">
        <w:rPr>
          <w:sz w:val="30"/>
          <w:rtl/>
        </w:rPr>
        <w:t xml:space="preserve">لمادة </w:t>
      </w:r>
      <w:r w:rsidRPr="00D212A8">
        <w:rPr>
          <w:rtl/>
        </w:rPr>
        <w:t>24</w:t>
      </w:r>
      <w:r w:rsidRPr="00B06476">
        <w:rPr>
          <w:rtl/>
        </w:rPr>
        <w:t xml:space="preserve"> </w:t>
      </w:r>
      <w:r>
        <w:rPr>
          <w:rtl/>
        </w:rPr>
        <w:t>وحدها</w:t>
      </w:r>
      <w:r w:rsidRPr="00B06476">
        <w:rPr>
          <w:rtl/>
        </w:rPr>
        <w:t xml:space="preserve">. </w:t>
      </w:r>
      <w:r>
        <w:rPr>
          <w:rtl/>
        </w:rPr>
        <w:t>فالادّعاء الأول يتعلق ب</w:t>
      </w:r>
      <w:r w:rsidRPr="00B06476">
        <w:rPr>
          <w:rtl/>
        </w:rPr>
        <w:t>انتهاك المادة</w:t>
      </w:r>
      <w:r w:rsidRPr="0068608F">
        <w:rPr>
          <w:sz w:val="30"/>
          <w:rtl/>
        </w:rPr>
        <w:t xml:space="preserve"> </w:t>
      </w:r>
      <w:r w:rsidRPr="00D212A8">
        <w:rPr>
          <w:rtl/>
        </w:rPr>
        <w:t>24</w:t>
      </w:r>
      <w:r w:rsidRPr="0068608F">
        <w:rPr>
          <w:sz w:val="30"/>
          <w:rtl/>
        </w:rPr>
        <w:t>،</w:t>
      </w:r>
      <w:r w:rsidRPr="00B06476">
        <w:rPr>
          <w:rtl/>
        </w:rPr>
        <w:t xml:space="preserve"> </w:t>
      </w:r>
      <w:r>
        <w:rPr>
          <w:rtl/>
        </w:rPr>
        <w:t>ولكنه ي</w:t>
      </w:r>
      <w:r w:rsidRPr="00B06476">
        <w:rPr>
          <w:rtl/>
        </w:rPr>
        <w:t xml:space="preserve">ؤكد </w:t>
      </w:r>
      <w:r>
        <w:rPr>
          <w:rtl/>
        </w:rPr>
        <w:t>بدرجة أكثر</w:t>
      </w:r>
      <w:r w:rsidRPr="00B06476">
        <w:rPr>
          <w:rtl/>
        </w:rPr>
        <w:t xml:space="preserve"> تحديداً </w:t>
      </w:r>
      <w:r>
        <w:rPr>
          <w:rtl/>
        </w:rPr>
        <w:t>على أن</w:t>
      </w:r>
      <w:r w:rsidRPr="00B06476">
        <w:rPr>
          <w:rtl/>
        </w:rPr>
        <w:t xml:space="preserve"> الدولة الطرف </w:t>
      </w:r>
      <w:r>
        <w:rPr>
          <w:rtl/>
        </w:rPr>
        <w:t>مسؤولة مباشرة</w:t>
      </w:r>
      <w:r w:rsidRPr="00B06476">
        <w:rPr>
          <w:rtl/>
        </w:rPr>
        <w:t xml:space="preserve"> عن الضرر الذي طال صاحب البلاغ. </w:t>
      </w:r>
    </w:p>
    <w:p w14:paraId="3407D4C2" w14:textId="1909711E" w:rsidR="00C47086" w:rsidRDefault="004F2A82" w:rsidP="004F2A82">
      <w:pPr>
        <w:pStyle w:val="SingleTxtGA"/>
        <w:rPr>
          <w:rtl/>
        </w:rPr>
      </w:pPr>
      <w:r w:rsidRPr="00D212A8">
        <w:rPr>
          <w:rtl/>
        </w:rPr>
        <w:t>9</w:t>
      </w:r>
      <w:r w:rsidRPr="00FC769F">
        <w:rPr>
          <w:rtl/>
        </w:rPr>
        <w:t>-</w:t>
      </w:r>
      <w:r w:rsidRPr="0068608F">
        <w:rPr>
          <w:sz w:val="30"/>
          <w:rtl/>
        </w:rPr>
        <w:tab/>
        <w:t>ولهذه</w:t>
      </w:r>
      <w:r w:rsidRPr="00B06476">
        <w:rPr>
          <w:rtl/>
        </w:rPr>
        <w:t xml:space="preserve"> الأسباب، أرى أن الادعاء </w:t>
      </w:r>
      <w:r>
        <w:rPr>
          <w:rtl/>
        </w:rPr>
        <w:t>المقدَّم بموجب</w:t>
      </w:r>
      <w:r w:rsidRPr="00B06476">
        <w:rPr>
          <w:rtl/>
        </w:rPr>
        <w:t xml:space="preserve"> </w:t>
      </w:r>
      <w:r w:rsidRPr="0068608F">
        <w:rPr>
          <w:sz w:val="30"/>
          <w:rtl/>
        </w:rPr>
        <w:t xml:space="preserve">المادة </w:t>
      </w:r>
      <w:r w:rsidRPr="00D212A8">
        <w:rPr>
          <w:rtl/>
        </w:rPr>
        <w:t>2(2)</w:t>
      </w:r>
      <w:r w:rsidRPr="00B06476">
        <w:rPr>
          <w:rtl/>
        </w:rPr>
        <w:t xml:space="preserve"> من العهد مقبول في هذه القضية.</w:t>
      </w:r>
    </w:p>
    <w:p w14:paraId="1A45539C" w14:textId="77777777" w:rsidR="00DF56F1" w:rsidRDefault="00DF56F1" w:rsidP="004F2A82">
      <w:pPr>
        <w:pStyle w:val="SingleTxtGA"/>
        <w:rPr>
          <w:rtl/>
        </w:rPr>
      </w:pPr>
    </w:p>
    <w:p w14:paraId="0EEF8AA4" w14:textId="77777777" w:rsidR="002730F4" w:rsidRDefault="002730F4" w:rsidP="002730F4">
      <w:pPr>
        <w:spacing w:line="240" w:lineRule="auto"/>
        <w:jc w:val="left"/>
        <w:rPr>
          <w:sz w:val="22"/>
          <w:rtl/>
        </w:rPr>
        <w:sectPr w:rsidR="002730F4" w:rsidSect="006B21A5">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pPr>
    </w:p>
    <w:p w14:paraId="68F30DAC" w14:textId="2010F629" w:rsidR="005E3E29" w:rsidRPr="005E3E29" w:rsidRDefault="005E3E29" w:rsidP="005E3E29">
      <w:pPr>
        <w:pStyle w:val="HChGA"/>
        <w:spacing w:before="0"/>
        <w:rPr>
          <w:lang w:val="en-US" w:eastAsia="zh-TW" w:bidi="en-GB"/>
        </w:rPr>
      </w:pPr>
      <w:r w:rsidRPr="00B06476">
        <w:rPr>
          <w:rtl/>
        </w:rPr>
        <w:lastRenderedPageBreak/>
        <w:t>المرفق الثاني</w:t>
      </w:r>
    </w:p>
    <w:p w14:paraId="4F607F50" w14:textId="5DD614E4" w:rsidR="005E3E29" w:rsidRPr="0068608F" w:rsidRDefault="005E3E29" w:rsidP="0064359B">
      <w:pPr>
        <w:pStyle w:val="HChGA"/>
        <w:rPr>
          <w:lang w:val="ar-SA" w:eastAsia="zh-TW" w:bidi="en-GB"/>
        </w:rPr>
      </w:pPr>
      <w:r w:rsidRPr="00B06476">
        <w:rPr>
          <w:rtl/>
        </w:rPr>
        <w:tab/>
      </w:r>
      <w:r w:rsidRPr="00B06476">
        <w:rPr>
          <w:rtl/>
        </w:rPr>
        <w:tab/>
        <w:t>رأي فردي لعضو</w:t>
      </w:r>
      <w:r>
        <w:rPr>
          <w:rtl/>
        </w:rPr>
        <w:t>ة</w:t>
      </w:r>
      <w:r w:rsidRPr="00B06476">
        <w:rPr>
          <w:rtl/>
        </w:rPr>
        <w:t xml:space="preserve"> اللجنة </w:t>
      </w:r>
      <w:r>
        <w:rPr>
          <w:rtl/>
        </w:rPr>
        <w:t xml:space="preserve">هيلين </w:t>
      </w:r>
      <w:proofErr w:type="spellStart"/>
      <w:r>
        <w:rPr>
          <w:rtl/>
        </w:rPr>
        <w:t>تيغرودجا</w:t>
      </w:r>
      <w:proofErr w:type="spellEnd"/>
      <w:r w:rsidRPr="00B06476">
        <w:rPr>
          <w:rtl/>
        </w:rPr>
        <w:t xml:space="preserve"> </w:t>
      </w:r>
      <w:r w:rsidRPr="00D212A8">
        <w:rPr>
          <w:rtl/>
        </w:rPr>
        <w:t>(</w:t>
      </w:r>
      <w:r w:rsidRPr="00B06476">
        <w:rPr>
          <w:rtl/>
        </w:rPr>
        <w:t>مؤيد</w:t>
      </w:r>
      <w:r w:rsidRPr="00D212A8">
        <w:rPr>
          <w:rtl/>
        </w:rPr>
        <w:t>)</w:t>
      </w:r>
    </w:p>
    <w:p w14:paraId="44010C42" w14:textId="77777777" w:rsidR="005E3E29" w:rsidRPr="0068608F" w:rsidRDefault="005E3E29" w:rsidP="00230D11">
      <w:pPr>
        <w:pStyle w:val="SingleTxtGA"/>
        <w:spacing w:line="350" w:lineRule="exact"/>
        <w:rPr>
          <w:sz w:val="30"/>
          <w:szCs w:val="30"/>
          <w:lang w:val="ar-SA" w:eastAsia="zh-TW" w:bidi="en-GB"/>
        </w:rPr>
      </w:pPr>
      <w:r w:rsidRPr="00D212A8">
        <w:rPr>
          <w:rtl/>
        </w:rPr>
        <w:t>1</w:t>
      </w:r>
      <w:r w:rsidRPr="00FC769F">
        <w:rPr>
          <w:rtl/>
        </w:rPr>
        <w:t>-</w:t>
      </w:r>
      <w:r w:rsidRPr="0068608F">
        <w:rPr>
          <w:sz w:val="30"/>
          <w:rtl/>
        </w:rPr>
        <w:tab/>
        <w:t>أش</w:t>
      </w:r>
      <w:r w:rsidRPr="00B06476">
        <w:rPr>
          <w:rtl/>
        </w:rPr>
        <w:t xml:space="preserve">اطر بالكامل الاستنتاج الذي توصلت إليه أغلبية أعضاء اللجنة فيما يتعلق بانتهاك الدولة الطرف </w:t>
      </w:r>
      <w:r w:rsidRPr="0068608F">
        <w:rPr>
          <w:sz w:val="30"/>
          <w:rtl/>
        </w:rPr>
        <w:t xml:space="preserve">للمادة </w:t>
      </w:r>
      <w:r w:rsidRPr="00D212A8">
        <w:rPr>
          <w:rtl/>
        </w:rPr>
        <w:t>24(3)</w:t>
      </w:r>
      <w:r w:rsidRPr="0068608F">
        <w:rPr>
          <w:sz w:val="30"/>
          <w:rtl/>
        </w:rPr>
        <w:t xml:space="preserve"> من</w:t>
      </w:r>
      <w:r w:rsidRPr="00B06476">
        <w:rPr>
          <w:rtl/>
        </w:rPr>
        <w:t xml:space="preserve"> العهد. ولا شك في أن هذا القرار مساهمة هامة </w:t>
      </w:r>
      <w:r>
        <w:rPr>
          <w:rtl/>
        </w:rPr>
        <w:t>في ا</w:t>
      </w:r>
      <w:r w:rsidRPr="00B06476">
        <w:rPr>
          <w:rtl/>
        </w:rPr>
        <w:t>لحماية من انعدام الجنسية، لا سيما عندما يتعلق الأمر بالأطفال كما هو الحال في هذا البلاغ.</w:t>
      </w:r>
    </w:p>
    <w:p w14:paraId="774024E7" w14:textId="77777777" w:rsidR="005E3E29" w:rsidRPr="0068608F" w:rsidRDefault="005E3E29" w:rsidP="00230D11">
      <w:pPr>
        <w:pStyle w:val="SingleTxtGA"/>
        <w:spacing w:line="350" w:lineRule="exact"/>
        <w:rPr>
          <w:szCs w:val="30"/>
          <w:lang w:val="ar-SA" w:eastAsia="zh-TW" w:bidi="en-GB"/>
        </w:rPr>
      </w:pPr>
      <w:r w:rsidRPr="00D212A8">
        <w:rPr>
          <w:rtl/>
        </w:rPr>
        <w:t>2</w:t>
      </w:r>
      <w:r w:rsidRPr="00FC769F">
        <w:rPr>
          <w:rtl/>
        </w:rPr>
        <w:t>-</w:t>
      </w:r>
      <w:r w:rsidRPr="0068608F">
        <w:rPr>
          <w:rtl/>
        </w:rPr>
        <w:tab/>
      </w:r>
      <w:r>
        <w:rPr>
          <w:rtl/>
        </w:rPr>
        <w:t xml:space="preserve">غير أنه، </w:t>
      </w:r>
      <w:r w:rsidRPr="0068608F">
        <w:rPr>
          <w:rtl/>
        </w:rPr>
        <w:t>على نحو ما أ</w:t>
      </w:r>
      <w:r>
        <w:rPr>
          <w:rtl/>
        </w:rPr>
        <w:t>َ</w:t>
      </w:r>
      <w:r w:rsidRPr="0068608F">
        <w:rPr>
          <w:rtl/>
        </w:rPr>
        <w:t xml:space="preserve">برز بحق زميلي عياض بن عاشور في رأيه المُؤيد </w:t>
      </w:r>
      <w:r w:rsidRPr="00D212A8">
        <w:rPr>
          <w:rtl/>
        </w:rPr>
        <w:t>(</w:t>
      </w:r>
      <w:r w:rsidRPr="0068608F">
        <w:rPr>
          <w:rtl/>
        </w:rPr>
        <w:t xml:space="preserve">انظر الفقرة </w:t>
      </w:r>
      <w:r w:rsidRPr="00D212A8">
        <w:rPr>
          <w:rtl/>
        </w:rPr>
        <w:t>7)</w:t>
      </w:r>
      <w:r w:rsidRPr="0068608F">
        <w:rPr>
          <w:rtl/>
        </w:rPr>
        <w:t>،</w:t>
      </w:r>
      <w:r w:rsidRPr="00B06476">
        <w:rPr>
          <w:rtl/>
        </w:rPr>
        <w:t xml:space="preserve"> يؤسفني أن الأغلبية لم </w:t>
      </w:r>
      <w:r>
        <w:rPr>
          <w:rtl/>
        </w:rPr>
        <w:t>تعرض بالتفصيل</w:t>
      </w:r>
      <w:r w:rsidRPr="00B06476">
        <w:rPr>
          <w:rtl/>
        </w:rPr>
        <w:t xml:space="preserve"> </w:t>
      </w:r>
      <w:r>
        <w:rPr>
          <w:rtl/>
        </w:rPr>
        <w:t>الخروق ال</w:t>
      </w:r>
      <w:r w:rsidRPr="00B06476">
        <w:rPr>
          <w:rtl/>
        </w:rPr>
        <w:t xml:space="preserve">أخرى للعهد </w:t>
      </w:r>
      <w:r>
        <w:rPr>
          <w:rtl/>
        </w:rPr>
        <w:t>الناجمة عن</w:t>
      </w:r>
      <w:r w:rsidRPr="00B06476">
        <w:rPr>
          <w:rtl/>
        </w:rPr>
        <w:t xml:space="preserve"> وضع صاحب البلاغ، وبشكل أدق </w:t>
      </w:r>
      <w:r w:rsidRPr="0068608F">
        <w:rPr>
          <w:rtl/>
        </w:rPr>
        <w:t xml:space="preserve">المادة </w:t>
      </w:r>
      <w:r w:rsidRPr="00D212A8">
        <w:rPr>
          <w:rtl/>
        </w:rPr>
        <w:t>16</w:t>
      </w:r>
      <w:r w:rsidRPr="0068608F">
        <w:rPr>
          <w:rFonts w:ascii="Traditional Arabic"/>
          <w:szCs w:val="30"/>
          <w:rtl/>
        </w:rPr>
        <w:t xml:space="preserve"> </w:t>
      </w:r>
      <w:r w:rsidRPr="00D212A8">
        <w:rPr>
          <w:rtl/>
        </w:rPr>
        <w:t>(</w:t>
      </w:r>
      <w:r w:rsidRPr="0068608F">
        <w:rPr>
          <w:rtl/>
        </w:rPr>
        <w:t>الاعتراف بالشخصية القانونية</w:t>
      </w:r>
      <w:r w:rsidRPr="00D212A8">
        <w:rPr>
          <w:rtl/>
        </w:rPr>
        <w:t>)</w:t>
      </w:r>
      <w:r w:rsidRPr="0068608F">
        <w:rPr>
          <w:rtl/>
        </w:rPr>
        <w:t xml:space="preserve"> والمادة </w:t>
      </w:r>
      <w:r w:rsidRPr="00D212A8">
        <w:rPr>
          <w:rtl/>
        </w:rPr>
        <w:t>7</w:t>
      </w:r>
      <w:r w:rsidRPr="0068608F">
        <w:rPr>
          <w:rFonts w:ascii="Traditional Arabic"/>
          <w:szCs w:val="30"/>
          <w:rtl/>
        </w:rPr>
        <w:t xml:space="preserve"> </w:t>
      </w:r>
      <w:r w:rsidRPr="00D212A8">
        <w:rPr>
          <w:rtl/>
        </w:rPr>
        <w:t>(</w:t>
      </w:r>
      <w:r w:rsidRPr="0068608F">
        <w:rPr>
          <w:rtl/>
        </w:rPr>
        <w:t>المعاملة الإنسانية</w:t>
      </w:r>
      <w:r w:rsidRPr="00D212A8">
        <w:rPr>
          <w:rtl/>
        </w:rPr>
        <w:t>)</w:t>
      </w:r>
      <w:r w:rsidRPr="0068608F">
        <w:rPr>
          <w:rtl/>
        </w:rPr>
        <w:t xml:space="preserve"> </w:t>
      </w:r>
      <w:r>
        <w:rPr>
          <w:rtl/>
        </w:rPr>
        <w:t>اللتين</w:t>
      </w:r>
      <w:r w:rsidRPr="0068608F">
        <w:rPr>
          <w:rtl/>
        </w:rPr>
        <w:t xml:space="preserve"> أثيرت</w:t>
      </w:r>
      <w:r>
        <w:rPr>
          <w:rtl/>
        </w:rPr>
        <w:t>ا</w:t>
      </w:r>
      <w:r w:rsidRPr="0068608F">
        <w:rPr>
          <w:rtl/>
        </w:rPr>
        <w:t xml:space="preserve"> ضمنياً.</w:t>
      </w:r>
    </w:p>
    <w:p w14:paraId="433A2F9A" w14:textId="43B50FF1" w:rsidR="004F2A82" w:rsidRPr="00230D11" w:rsidRDefault="005E3E29" w:rsidP="00230D11">
      <w:pPr>
        <w:pStyle w:val="SingleTxtGA"/>
        <w:spacing w:line="350" w:lineRule="exact"/>
        <w:rPr>
          <w:spacing w:val="-4"/>
          <w:rtl/>
          <w:lang w:val="en-US"/>
        </w:rPr>
      </w:pPr>
      <w:r w:rsidRPr="00230D11">
        <w:rPr>
          <w:spacing w:val="-4"/>
          <w:rtl/>
        </w:rPr>
        <w:t>3-</w:t>
      </w:r>
      <w:r w:rsidRPr="00230D11">
        <w:rPr>
          <w:spacing w:val="-4"/>
          <w:sz w:val="30"/>
          <w:rtl/>
        </w:rPr>
        <w:tab/>
        <w:t>ففي الف</w:t>
      </w:r>
      <w:bookmarkStart w:id="1" w:name="_GoBack"/>
      <w:bookmarkEnd w:id="1"/>
      <w:r w:rsidRPr="00230D11">
        <w:rPr>
          <w:spacing w:val="-4"/>
          <w:sz w:val="30"/>
          <w:rtl/>
        </w:rPr>
        <w:t xml:space="preserve">قرة </w:t>
      </w:r>
      <w:r w:rsidRPr="00230D11">
        <w:rPr>
          <w:spacing w:val="-4"/>
          <w:rtl/>
        </w:rPr>
        <w:t>3-1</w:t>
      </w:r>
      <w:r w:rsidRPr="00230D11">
        <w:rPr>
          <w:spacing w:val="-4"/>
          <w:sz w:val="30"/>
          <w:rtl/>
        </w:rPr>
        <w:t xml:space="preserve"> من البلاغ، طال</w:t>
      </w:r>
      <w:r w:rsidRPr="00230D11">
        <w:rPr>
          <w:spacing w:val="-4"/>
          <w:rtl/>
        </w:rPr>
        <w:t xml:space="preserve">ب صاحب البلاغ بالاعتراف "بالصلات القائمة بين الحق في اكتساب الجنسية وتمتع الفرد بالشخصية القانونية واحترام الكرامة الإنسانية". وبالرغم من أن صاحب البلاغ لم يستند رسمياً في طلبه إلى </w:t>
      </w:r>
      <w:r w:rsidRPr="00230D11">
        <w:rPr>
          <w:spacing w:val="-4"/>
          <w:sz w:val="30"/>
          <w:rtl/>
        </w:rPr>
        <w:t xml:space="preserve">المادتين </w:t>
      </w:r>
      <w:r w:rsidRPr="00230D11">
        <w:rPr>
          <w:spacing w:val="-4"/>
          <w:rtl/>
        </w:rPr>
        <w:t>7</w:t>
      </w:r>
      <w:r w:rsidRPr="00230D11">
        <w:rPr>
          <w:spacing w:val="-4"/>
          <w:sz w:val="30"/>
          <w:rtl/>
        </w:rPr>
        <w:t xml:space="preserve"> و</w:t>
      </w:r>
      <w:r w:rsidRPr="00230D11">
        <w:rPr>
          <w:spacing w:val="-4"/>
          <w:rtl/>
        </w:rPr>
        <w:t>16</w:t>
      </w:r>
      <w:r w:rsidRPr="00230D11">
        <w:rPr>
          <w:spacing w:val="-4"/>
          <w:sz w:val="30"/>
          <w:rtl/>
        </w:rPr>
        <w:t>، كان</w:t>
      </w:r>
      <w:r w:rsidRPr="00230D11">
        <w:rPr>
          <w:spacing w:val="-4"/>
          <w:rtl/>
        </w:rPr>
        <w:t xml:space="preserve"> ينبغي أن تدرس أغلبية اللجنة هذا الأمر دراسة وافية ودقيقة</w:t>
      </w:r>
      <w:r w:rsidRPr="00230D11">
        <w:rPr>
          <w:rFonts w:hint="cs"/>
          <w:spacing w:val="-4"/>
          <w:rtl/>
          <w:lang w:val="en-US"/>
        </w:rPr>
        <w:t>.</w:t>
      </w:r>
    </w:p>
    <w:p w14:paraId="349CDB42" w14:textId="372C9FED" w:rsidR="0064359B" w:rsidRPr="0068608F" w:rsidRDefault="0064359B" w:rsidP="00230D11">
      <w:pPr>
        <w:pStyle w:val="SingleTxtGA"/>
        <w:spacing w:line="350" w:lineRule="exact"/>
        <w:rPr>
          <w:sz w:val="30"/>
          <w:szCs w:val="30"/>
          <w:lang w:val="ar-SA" w:eastAsia="zh-TW" w:bidi="en-GB"/>
        </w:rPr>
      </w:pPr>
      <w:r w:rsidRPr="00D212A8">
        <w:rPr>
          <w:rtl/>
        </w:rPr>
        <w:t>4</w:t>
      </w:r>
      <w:r w:rsidRPr="00FC769F">
        <w:rPr>
          <w:rtl/>
        </w:rPr>
        <w:t>-</w:t>
      </w:r>
      <w:r w:rsidRPr="0068608F">
        <w:rPr>
          <w:sz w:val="30"/>
          <w:rtl/>
        </w:rPr>
        <w:tab/>
      </w:r>
      <w:r>
        <w:rPr>
          <w:rtl/>
        </w:rPr>
        <w:t>وفي الواقع،</w:t>
      </w:r>
      <w:r w:rsidR="00D212A8">
        <w:rPr>
          <w:rtl/>
        </w:rPr>
        <w:t xml:space="preserve"> و</w:t>
      </w:r>
      <w:r>
        <w:rPr>
          <w:rtl/>
        </w:rPr>
        <w:t>ك</w:t>
      </w:r>
      <w:r w:rsidRPr="00B06476">
        <w:rPr>
          <w:rtl/>
        </w:rPr>
        <w:t>ما أكد</w:t>
      </w:r>
      <w:r>
        <w:rPr>
          <w:rtl/>
        </w:rPr>
        <w:t>َ</w:t>
      </w:r>
      <w:r w:rsidRPr="00B06476">
        <w:rPr>
          <w:rtl/>
        </w:rPr>
        <w:t>ت مؤخراً</w:t>
      </w:r>
      <w:r w:rsidRPr="00B06476" w:rsidDel="00AA039D">
        <w:rPr>
          <w:rtl/>
        </w:rPr>
        <w:t xml:space="preserve"> </w:t>
      </w:r>
      <w:r w:rsidRPr="00B06476">
        <w:rPr>
          <w:rtl/>
        </w:rPr>
        <w:t xml:space="preserve">المحكمة الأفريقية لحقوق الإنسان والشعوب، فإن "الحق في الجنسية </w:t>
      </w:r>
      <w:r>
        <w:rPr>
          <w:rtl/>
        </w:rPr>
        <w:t xml:space="preserve">هو </w:t>
      </w:r>
      <w:r w:rsidRPr="00B06476">
        <w:rPr>
          <w:rtl/>
        </w:rPr>
        <w:t>جانب أساسي من جوانب كرامة شخص الإنسان"</w:t>
      </w:r>
      <w:r w:rsidR="00831949">
        <w:rPr>
          <w:b/>
          <w:vertAlign w:val="superscript"/>
          <w:rtl/>
        </w:rPr>
        <w:t>(</w:t>
      </w:r>
      <w:r w:rsidR="00831949" w:rsidRPr="001105AE">
        <w:rPr>
          <w:b/>
          <w:vertAlign w:val="superscript"/>
          <w:rtl/>
        </w:rPr>
        <w:footnoteReference w:id="28"/>
      </w:r>
      <w:r w:rsidR="00831949">
        <w:rPr>
          <w:b/>
          <w:vertAlign w:val="superscript"/>
          <w:rtl/>
        </w:rPr>
        <w:t>)</w:t>
      </w:r>
      <w:r w:rsidR="008E5938">
        <w:rPr>
          <w:rFonts w:hint="cs"/>
          <w:rtl/>
        </w:rPr>
        <w:t>.</w:t>
      </w:r>
      <w:r w:rsidRPr="00B06476">
        <w:rPr>
          <w:rtl/>
        </w:rPr>
        <w:t xml:space="preserve"> وعلى المنوال نفسه، يؤكد الاجتهاد القضائي لمحكمة البلدان الأمريكية لحقوق الإنسان </w:t>
      </w:r>
      <w:r w:rsidRPr="00FC769F">
        <w:rPr>
          <w:rtl/>
        </w:rPr>
        <w:t>-</w:t>
      </w:r>
      <w:r w:rsidRPr="00B06476">
        <w:rPr>
          <w:rtl/>
        </w:rPr>
        <w:t xml:space="preserve"> التي </w:t>
      </w:r>
      <w:r>
        <w:rPr>
          <w:rtl/>
        </w:rPr>
        <w:t>يرد الاعتراف</w:t>
      </w:r>
      <w:r w:rsidRPr="00B06476">
        <w:rPr>
          <w:rtl/>
        </w:rPr>
        <w:t xml:space="preserve"> بها </w:t>
      </w:r>
      <w:r>
        <w:rPr>
          <w:rtl/>
        </w:rPr>
        <w:t>كسلطة ذات حجية</w:t>
      </w:r>
      <w:r w:rsidRPr="00B06476">
        <w:rPr>
          <w:rtl/>
        </w:rPr>
        <w:t xml:space="preserve"> في هذا المجال في المبادئ التوجيهية لمفوضية شؤون اللاجئين بشأن انعدام الجنسية رقم </w:t>
      </w:r>
      <w:r w:rsidRPr="00D212A8">
        <w:rPr>
          <w:rtl/>
        </w:rPr>
        <w:t>5</w:t>
      </w:r>
      <w:r w:rsidRPr="00B06476">
        <w:rPr>
          <w:rtl/>
        </w:rPr>
        <w:t xml:space="preserve"> المعتمدة في أيار/</w:t>
      </w:r>
      <w:r w:rsidR="008E5938">
        <w:rPr>
          <w:rFonts w:hint="cs"/>
          <w:rtl/>
        </w:rPr>
        <w:t xml:space="preserve"> </w:t>
      </w:r>
      <w:r w:rsidRPr="00B06476">
        <w:rPr>
          <w:rtl/>
        </w:rPr>
        <w:t>مايو</w:t>
      </w:r>
      <w:r w:rsidR="008E5938">
        <w:rPr>
          <w:rFonts w:hint="cs"/>
          <w:rtl/>
        </w:rPr>
        <w:t> </w:t>
      </w:r>
      <w:r w:rsidRPr="00D212A8">
        <w:rPr>
          <w:rtl/>
        </w:rPr>
        <w:t>2020</w:t>
      </w:r>
      <w:r w:rsidRPr="0068608F">
        <w:rPr>
          <w:rFonts w:ascii="Traditional Arabic"/>
          <w:sz w:val="30"/>
          <w:szCs w:val="30"/>
          <w:rtl/>
        </w:rPr>
        <w:t xml:space="preserve"> </w:t>
      </w:r>
      <w:r w:rsidRPr="00FC769F">
        <w:rPr>
          <w:rtl/>
        </w:rPr>
        <w:t>-</w:t>
      </w:r>
      <w:r w:rsidRPr="0068608F">
        <w:rPr>
          <w:sz w:val="30"/>
          <w:rtl/>
        </w:rPr>
        <w:t xml:space="preserve"> </w:t>
      </w:r>
      <w:r w:rsidRPr="00B06476">
        <w:rPr>
          <w:rtl/>
        </w:rPr>
        <w:t>أن الجنسية "حق أصيل لجميع البشر"، فضلاً عن "</w:t>
      </w:r>
      <w:r>
        <w:rPr>
          <w:rtl/>
        </w:rPr>
        <w:t>المطلب</w:t>
      </w:r>
      <w:r w:rsidRPr="00B06476">
        <w:rPr>
          <w:rtl/>
        </w:rPr>
        <w:t xml:space="preserve"> الأساسي </w:t>
      </w:r>
      <w:r>
        <w:rPr>
          <w:rtl/>
        </w:rPr>
        <w:t>المتعلق ب</w:t>
      </w:r>
      <w:r w:rsidRPr="00B06476">
        <w:rPr>
          <w:rtl/>
        </w:rPr>
        <w:t>ممارسة الحقوق السياسية"</w:t>
      </w:r>
      <w:r>
        <w:rPr>
          <w:rtl/>
        </w:rPr>
        <w:t>،</w:t>
      </w:r>
      <w:r w:rsidRPr="00B06476">
        <w:rPr>
          <w:rtl/>
        </w:rPr>
        <w:t xml:space="preserve"> وعنصر </w:t>
      </w:r>
      <w:r>
        <w:rPr>
          <w:rtl/>
        </w:rPr>
        <w:t>رئيسي</w:t>
      </w:r>
      <w:r w:rsidRPr="00B06476">
        <w:rPr>
          <w:rtl/>
        </w:rPr>
        <w:t xml:space="preserve"> "للأهلية القانونية للفرد"</w:t>
      </w:r>
      <w:r w:rsidR="00831949">
        <w:rPr>
          <w:b/>
          <w:vertAlign w:val="superscript"/>
          <w:rtl/>
        </w:rPr>
        <w:t>(</w:t>
      </w:r>
      <w:r w:rsidR="00831949" w:rsidRPr="001105AE">
        <w:rPr>
          <w:b/>
          <w:vertAlign w:val="superscript"/>
          <w:rtl/>
        </w:rPr>
        <w:footnoteReference w:id="29"/>
      </w:r>
      <w:r w:rsidR="00831949">
        <w:rPr>
          <w:b/>
          <w:vertAlign w:val="superscript"/>
          <w:rtl/>
        </w:rPr>
        <w:t>)</w:t>
      </w:r>
      <w:r w:rsidR="008E5938">
        <w:rPr>
          <w:rFonts w:hint="cs"/>
          <w:rtl/>
        </w:rPr>
        <w:t>.</w:t>
      </w:r>
      <w:r w:rsidRPr="00B06476">
        <w:rPr>
          <w:rtl/>
        </w:rPr>
        <w:t xml:space="preserve"> والأهم من ذلك أن محكمة البلدان الأمريكية لحقوق الإنسان أشارت في قضية </w:t>
      </w:r>
      <w:r w:rsidRPr="00B06476">
        <w:rPr>
          <w:i/>
          <w:iCs/>
          <w:rtl/>
        </w:rPr>
        <w:t xml:space="preserve">بنات </w:t>
      </w:r>
      <w:proofErr w:type="spellStart"/>
      <w:r w:rsidRPr="00B06476">
        <w:rPr>
          <w:i/>
          <w:iCs/>
          <w:rtl/>
        </w:rPr>
        <w:t>ييان</w:t>
      </w:r>
      <w:proofErr w:type="spellEnd"/>
      <w:r w:rsidRPr="00B06476">
        <w:rPr>
          <w:i/>
          <w:iCs/>
          <w:rtl/>
        </w:rPr>
        <w:t xml:space="preserve"> </w:t>
      </w:r>
      <w:proofErr w:type="spellStart"/>
      <w:r w:rsidRPr="00B06476">
        <w:rPr>
          <w:i/>
          <w:iCs/>
          <w:rtl/>
        </w:rPr>
        <w:t>وبوسيكو</w:t>
      </w:r>
      <w:proofErr w:type="spellEnd"/>
      <w:r w:rsidRPr="00B06476">
        <w:rPr>
          <w:i/>
          <w:iCs/>
          <w:rtl/>
        </w:rPr>
        <w:t xml:space="preserve"> </w:t>
      </w:r>
      <w:r w:rsidRPr="00B06476">
        <w:rPr>
          <w:rtl/>
        </w:rPr>
        <w:t xml:space="preserve">إلى أنه في </w:t>
      </w:r>
      <w:r>
        <w:rPr>
          <w:rtl/>
        </w:rPr>
        <w:t>حين أن</w:t>
      </w:r>
      <w:r w:rsidRPr="00B06476">
        <w:rPr>
          <w:rtl/>
        </w:rPr>
        <w:t xml:space="preserve"> الأشخاص الذين لا يحملون جنسية </w:t>
      </w:r>
      <w:r>
        <w:rPr>
          <w:rtl/>
        </w:rPr>
        <w:t xml:space="preserve">هم </w:t>
      </w:r>
      <w:r w:rsidRPr="00B06476">
        <w:rPr>
          <w:rtl/>
        </w:rPr>
        <w:t xml:space="preserve">في حالة ضعف شديد، </w:t>
      </w:r>
      <w:r>
        <w:rPr>
          <w:rtl/>
        </w:rPr>
        <w:t>فإن</w:t>
      </w:r>
      <w:r w:rsidRPr="00B06476">
        <w:rPr>
          <w:rtl/>
        </w:rPr>
        <w:t xml:space="preserve"> الأطفال في حالة ضعف </w:t>
      </w:r>
      <w:r>
        <w:rPr>
          <w:rtl/>
        </w:rPr>
        <w:t>أشد حتى من ذلك</w:t>
      </w:r>
      <w:r w:rsidR="00831949">
        <w:rPr>
          <w:b/>
          <w:vertAlign w:val="superscript"/>
          <w:rtl/>
        </w:rPr>
        <w:t>(</w:t>
      </w:r>
      <w:r w:rsidR="00831949" w:rsidRPr="001105AE">
        <w:rPr>
          <w:b/>
          <w:vertAlign w:val="superscript"/>
          <w:rtl/>
        </w:rPr>
        <w:footnoteReference w:id="30"/>
      </w:r>
      <w:r w:rsidR="00831949">
        <w:rPr>
          <w:b/>
          <w:vertAlign w:val="superscript"/>
          <w:rtl/>
        </w:rPr>
        <w:t>)</w:t>
      </w:r>
      <w:r w:rsidR="008E5938">
        <w:rPr>
          <w:rFonts w:hint="cs"/>
          <w:rtl/>
        </w:rPr>
        <w:t>.</w:t>
      </w:r>
      <w:r w:rsidRPr="00B06476">
        <w:rPr>
          <w:rtl/>
        </w:rPr>
        <w:t xml:space="preserve"> فالأطفال عديمو الجنسية يوضعون في "</w:t>
      </w:r>
      <w:r>
        <w:rPr>
          <w:rtl/>
        </w:rPr>
        <w:t>مأزق قانوني</w:t>
      </w:r>
      <w:r w:rsidRPr="00B06476">
        <w:rPr>
          <w:rtl/>
        </w:rPr>
        <w:t>"</w:t>
      </w:r>
      <w:r w:rsidR="00831949">
        <w:rPr>
          <w:b/>
          <w:vertAlign w:val="superscript"/>
          <w:rtl/>
        </w:rPr>
        <w:t>(</w:t>
      </w:r>
      <w:r w:rsidR="00831949" w:rsidRPr="001105AE">
        <w:rPr>
          <w:b/>
          <w:vertAlign w:val="superscript"/>
          <w:rtl/>
        </w:rPr>
        <w:footnoteReference w:id="31"/>
      </w:r>
      <w:r w:rsidR="00831949">
        <w:rPr>
          <w:b/>
          <w:vertAlign w:val="superscript"/>
          <w:rtl/>
        </w:rPr>
        <w:t>)</w:t>
      </w:r>
      <w:r w:rsidRPr="00B06476">
        <w:rPr>
          <w:rtl/>
        </w:rPr>
        <w:t xml:space="preserve"> بمعنى أنهم "لا يتمتعون بشخصية قانونية معترف بها، لأنهم لم ينشئوا علاقة قانونية وسياسية مع أي دولة"</w:t>
      </w:r>
      <w:r w:rsidR="00831949">
        <w:rPr>
          <w:b/>
          <w:vertAlign w:val="superscript"/>
          <w:rtl/>
        </w:rPr>
        <w:t>(</w:t>
      </w:r>
      <w:r w:rsidR="00831949" w:rsidRPr="001105AE">
        <w:rPr>
          <w:b/>
          <w:vertAlign w:val="superscript"/>
          <w:rtl/>
        </w:rPr>
        <w:footnoteReference w:id="32"/>
      </w:r>
      <w:r w:rsidR="00831949">
        <w:rPr>
          <w:b/>
          <w:vertAlign w:val="superscript"/>
          <w:rtl/>
        </w:rPr>
        <w:t>)</w:t>
      </w:r>
      <w:r w:rsidR="00235C45">
        <w:rPr>
          <w:rFonts w:hint="cs"/>
          <w:rtl/>
        </w:rPr>
        <w:t>.</w:t>
      </w:r>
      <w:r w:rsidRPr="00B06476">
        <w:rPr>
          <w:rtl/>
        </w:rPr>
        <w:t xml:space="preserve"> </w:t>
      </w:r>
    </w:p>
    <w:p w14:paraId="00943EF5" w14:textId="67492D6B" w:rsidR="0064359B" w:rsidRPr="0068608F" w:rsidRDefault="0064359B" w:rsidP="0064359B">
      <w:pPr>
        <w:pStyle w:val="SingleTxtGA"/>
        <w:rPr>
          <w:szCs w:val="20"/>
          <w:lang w:val="fr-FR" w:eastAsia="zh-TW" w:bidi="en-GB"/>
        </w:rPr>
      </w:pPr>
      <w:r w:rsidRPr="00D212A8">
        <w:rPr>
          <w:rtl/>
        </w:rPr>
        <w:lastRenderedPageBreak/>
        <w:t>5</w:t>
      </w:r>
      <w:r w:rsidRPr="00FC769F">
        <w:rPr>
          <w:rtl/>
        </w:rPr>
        <w:t>-</w:t>
      </w:r>
      <w:r w:rsidRPr="0068608F">
        <w:rPr>
          <w:rtl/>
        </w:rPr>
        <w:tab/>
        <w:t xml:space="preserve">وهذه هي الحالة التي وصفها صاحب البلاغ في الفقرة </w:t>
      </w:r>
      <w:r w:rsidRPr="00D212A8">
        <w:rPr>
          <w:rtl/>
        </w:rPr>
        <w:t>3</w:t>
      </w:r>
      <w:r w:rsidRPr="00FC769F">
        <w:rPr>
          <w:rtl/>
        </w:rPr>
        <w:t>-</w:t>
      </w:r>
      <w:r w:rsidRPr="00D212A8">
        <w:rPr>
          <w:rtl/>
        </w:rPr>
        <w:t>1</w:t>
      </w:r>
      <w:r w:rsidRPr="0068608F">
        <w:rPr>
          <w:rtl/>
        </w:rPr>
        <w:t xml:space="preserve"> من بلاغه المعروض على اللجنة. </w:t>
      </w:r>
      <w:r>
        <w:rPr>
          <w:rtl/>
        </w:rPr>
        <w:t>ولذلك</w:t>
      </w:r>
      <w:r w:rsidRPr="0068608F">
        <w:rPr>
          <w:rtl/>
        </w:rPr>
        <w:t xml:space="preserve">، لم يشكل وضعه </w:t>
      </w:r>
      <w:r>
        <w:rPr>
          <w:rtl/>
        </w:rPr>
        <w:t xml:space="preserve">كشخص </w:t>
      </w:r>
      <w:r w:rsidRPr="0068608F">
        <w:rPr>
          <w:rtl/>
        </w:rPr>
        <w:t xml:space="preserve">عديمَ الجنسية انتهاكاً لحقه في الجنسية </w:t>
      </w:r>
      <w:r w:rsidRPr="00D212A8">
        <w:rPr>
          <w:rtl/>
        </w:rPr>
        <w:t>(</w:t>
      </w:r>
      <w:r w:rsidRPr="0068608F">
        <w:rPr>
          <w:rtl/>
        </w:rPr>
        <w:t xml:space="preserve">المادة </w:t>
      </w:r>
      <w:r w:rsidRPr="00D212A8">
        <w:rPr>
          <w:rtl/>
        </w:rPr>
        <w:t>24(3)</w:t>
      </w:r>
      <w:r w:rsidRPr="0068608F">
        <w:rPr>
          <w:rtl/>
        </w:rPr>
        <w:t xml:space="preserve"> من العهد</w:t>
      </w:r>
      <w:r w:rsidRPr="00D212A8">
        <w:rPr>
          <w:rtl/>
        </w:rPr>
        <w:t>)</w:t>
      </w:r>
      <w:r w:rsidRPr="0068608F">
        <w:rPr>
          <w:rtl/>
        </w:rPr>
        <w:t xml:space="preserve"> فحسب، بل كان على أغلبية اللجنة</w:t>
      </w:r>
      <w:r w:rsidRPr="00B06476">
        <w:rPr>
          <w:rtl/>
        </w:rPr>
        <w:t xml:space="preserve"> أيضاً </w:t>
      </w:r>
      <w:r>
        <w:rPr>
          <w:rtl/>
        </w:rPr>
        <w:t>أن تحلّل</w:t>
      </w:r>
      <w:r w:rsidRPr="00B06476">
        <w:rPr>
          <w:rtl/>
        </w:rPr>
        <w:t xml:space="preserve"> وضعه باعتباره انتهاكاً للحق في الاعتراف به في القانون </w:t>
      </w:r>
      <w:r>
        <w:rPr>
          <w:rtl/>
        </w:rPr>
        <w:t>كشخص قانوني</w:t>
      </w:r>
      <w:r w:rsidRPr="0068608F">
        <w:rPr>
          <w:rtl/>
        </w:rPr>
        <w:t xml:space="preserve"> </w:t>
      </w:r>
      <w:r w:rsidRPr="00D212A8">
        <w:rPr>
          <w:rtl/>
        </w:rPr>
        <w:t>(</w:t>
      </w:r>
      <w:r w:rsidRPr="0068608F">
        <w:rPr>
          <w:rtl/>
        </w:rPr>
        <w:t xml:space="preserve">المادة </w:t>
      </w:r>
      <w:r w:rsidRPr="00D212A8">
        <w:rPr>
          <w:rtl/>
        </w:rPr>
        <w:t>16)</w:t>
      </w:r>
      <w:r w:rsidRPr="0068608F">
        <w:rPr>
          <w:rtl/>
        </w:rPr>
        <w:t>، وحقه</w:t>
      </w:r>
      <w:r w:rsidRPr="00B06476">
        <w:rPr>
          <w:rtl/>
        </w:rPr>
        <w:t xml:space="preserve"> في أن يعام</w:t>
      </w:r>
      <w:r>
        <w:rPr>
          <w:rtl/>
        </w:rPr>
        <w:t>َ</w:t>
      </w:r>
      <w:r w:rsidRPr="00B06476">
        <w:rPr>
          <w:rtl/>
        </w:rPr>
        <w:t xml:space="preserve">ل معاملة إنسانية </w:t>
      </w:r>
      <w:r w:rsidRPr="0068608F">
        <w:rPr>
          <w:rtl/>
        </w:rPr>
        <w:t xml:space="preserve">تحفظ كرامته </w:t>
      </w:r>
      <w:r w:rsidRPr="00D212A8">
        <w:rPr>
          <w:rtl/>
        </w:rPr>
        <w:t>(</w:t>
      </w:r>
      <w:r w:rsidRPr="0068608F">
        <w:rPr>
          <w:rtl/>
        </w:rPr>
        <w:t xml:space="preserve">المادة </w:t>
      </w:r>
      <w:r w:rsidRPr="00D212A8">
        <w:rPr>
          <w:rtl/>
        </w:rPr>
        <w:t>7)</w:t>
      </w:r>
      <w:r w:rsidRPr="0068608F">
        <w:rPr>
          <w:rtl/>
        </w:rPr>
        <w:t>.</w:t>
      </w:r>
    </w:p>
    <w:p w14:paraId="523FF786" w14:textId="77777777" w:rsidR="0064359B" w:rsidRPr="00230D11" w:rsidRDefault="0064359B" w:rsidP="0064359B">
      <w:pPr>
        <w:pStyle w:val="SingleTxtG"/>
        <w:keepNext/>
        <w:keepLines/>
        <w:spacing w:before="240" w:after="0"/>
        <w:jc w:val="center"/>
        <w:rPr>
          <w:lang w:val="en-US"/>
        </w:rPr>
      </w:pPr>
      <w:r w:rsidRPr="00B06476">
        <w:rPr>
          <w:u w:val="single"/>
          <w:lang w:val="en-US"/>
        </w:rPr>
        <w:tab/>
      </w:r>
      <w:r w:rsidRPr="00B06476">
        <w:rPr>
          <w:u w:val="single"/>
          <w:lang w:val="en-US"/>
        </w:rPr>
        <w:tab/>
      </w:r>
      <w:r w:rsidRPr="00B06476">
        <w:rPr>
          <w:u w:val="single"/>
          <w:lang w:val="en-US"/>
        </w:rPr>
        <w:tab/>
      </w:r>
      <w:r w:rsidRPr="00B06476">
        <w:rPr>
          <w:u w:val="single"/>
          <w:lang w:val="en-US"/>
        </w:rPr>
        <w:tab/>
      </w:r>
    </w:p>
    <w:sectPr w:rsidR="0064359B" w:rsidRPr="00230D11" w:rsidSect="002730F4">
      <w:headerReference w:type="even" r:id="rId14"/>
      <w:footerReference w:type="even"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F4D8" w14:textId="77777777" w:rsidR="00DF56F1" w:rsidRPr="002901D9" w:rsidRDefault="00DF56F1" w:rsidP="00DC4D4B">
      <w:pPr>
        <w:spacing w:after="60" w:line="240" w:lineRule="auto"/>
        <w:ind w:left="57"/>
        <w:rPr>
          <w:i/>
          <w:iCs/>
        </w:rPr>
      </w:pPr>
      <w:r>
        <w:rPr>
          <w:rFonts w:hint="cs"/>
          <w:i/>
          <w:iCs/>
          <w:rtl/>
        </w:rPr>
        <w:t>الحواشي</w:t>
      </w:r>
    </w:p>
  </w:endnote>
  <w:endnote w:type="continuationSeparator" w:id="0">
    <w:p w14:paraId="0C030C81" w14:textId="77777777" w:rsidR="00DF56F1" w:rsidRDefault="00DF56F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18AB" w14:textId="7117055D" w:rsidR="00DF56F1" w:rsidRPr="00DB1E69" w:rsidRDefault="00DF56F1" w:rsidP="00DB1E69">
    <w:pPr>
      <w:pStyle w:val="Footer"/>
      <w:tabs>
        <w:tab w:val="right" w:pos="9638"/>
      </w:tabs>
      <w:rPr>
        <w:b/>
        <w:sz w:val="18"/>
        <w:lang w:val="en-US"/>
      </w:rPr>
    </w:pPr>
    <w:r>
      <w:rPr>
        <w:lang w:val="en-US"/>
      </w:rPr>
      <w:t>GE.21-00755</w:t>
    </w:r>
    <w:r>
      <w:rPr>
        <w:lang w:val="en-US"/>
      </w:rPr>
      <w:tab/>
    </w:r>
    <w:r w:rsidRPr="00DB1E69">
      <w:rPr>
        <w:b/>
        <w:sz w:val="18"/>
        <w:lang w:val="en-US"/>
      </w:rPr>
      <w:fldChar w:fldCharType="begin"/>
    </w:r>
    <w:r w:rsidRPr="00DB1E69">
      <w:rPr>
        <w:b/>
        <w:sz w:val="18"/>
        <w:lang w:val="en-US"/>
      </w:rPr>
      <w:instrText xml:space="preserve"> PAGE  \* MERGEFORMAT </w:instrText>
    </w:r>
    <w:r w:rsidRPr="00DB1E69">
      <w:rPr>
        <w:b/>
        <w:sz w:val="18"/>
        <w:lang w:val="en-US"/>
      </w:rPr>
      <w:fldChar w:fldCharType="separate"/>
    </w:r>
    <w:r w:rsidRPr="00DB1E69">
      <w:rPr>
        <w:b/>
        <w:noProof/>
        <w:sz w:val="18"/>
        <w:lang w:val="en-US"/>
      </w:rPr>
      <w:t>2</w:t>
    </w:r>
    <w:r w:rsidRPr="00DB1E6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AEBC" w14:textId="0D8895D7" w:rsidR="00DF56F1" w:rsidRPr="00DB1E69" w:rsidRDefault="00DF56F1" w:rsidP="00DB1E6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GE.21-00755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95EB" w14:textId="3F8B5CE6" w:rsidR="00DF56F1" w:rsidRPr="00DB1E69" w:rsidRDefault="00DF56F1" w:rsidP="00DB1E69">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7F4E9EFB" wp14:editId="0635F288">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4" name="Picture 4"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21-00755 (A)</w:t>
    </w:r>
    <w:r>
      <w:rPr>
        <w:noProof/>
        <w:sz w:val="20"/>
        <w:lang w:val="en-US"/>
      </w:rPr>
      <w:drawing>
        <wp:anchor distT="0" distB="0" distL="114300" distR="114300" simplePos="0" relativeHeight="251659264" behindDoc="0" locked="0" layoutInCell="1" allowOverlap="1" wp14:anchorId="5EA5FBE2" wp14:editId="20BCFAF3">
          <wp:simplePos x="0" y="0"/>
          <wp:positionH relativeFrom="margin">
            <wp:posOffset>0</wp:posOffset>
          </wp:positionH>
          <wp:positionV relativeFrom="margin">
            <wp:posOffset>8891905</wp:posOffset>
          </wp:positionV>
          <wp:extent cx="638175" cy="638175"/>
          <wp:effectExtent l="0" t="0" r="9525" b="9525"/>
          <wp:wrapNone/>
          <wp:docPr id="5"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C003" w14:textId="77777777" w:rsidR="00DF56F1" w:rsidRPr="00DB1E69" w:rsidRDefault="00DF56F1" w:rsidP="00DB1E69">
    <w:pPr>
      <w:pStyle w:val="Footer"/>
      <w:tabs>
        <w:tab w:val="right" w:pos="9638"/>
      </w:tabs>
      <w:rPr>
        <w:b/>
        <w:sz w:val="18"/>
        <w:lang w:val="en-US"/>
      </w:rPr>
    </w:pPr>
    <w:r>
      <w:rPr>
        <w:lang w:val="en-US"/>
      </w:rPr>
      <w:t>GE.21-00755</w:t>
    </w:r>
    <w:r>
      <w:rPr>
        <w:lang w:val="en-US"/>
      </w:rPr>
      <w:tab/>
    </w:r>
    <w:r w:rsidRPr="00DB1E69">
      <w:rPr>
        <w:b/>
        <w:sz w:val="18"/>
        <w:lang w:val="en-US"/>
      </w:rPr>
      <w:fldChar w:fldCharType="begin"/>
    </w:r>
    <w:r w:rsidRPr="00DB1E69">
      <w:rPr>
        <w:b/>
        <w:sz w:val="18"/>
        <w:lang w:val="en-US"/>
      </w:rPr>
      <w:instrText xml:space="preserve"> PAGE  \* MERGEFORMAT </w:instrText>
    </w:r>
    <w:r w:rsidRPr="00DB1E69">
      <w:rPr>
        <w:b/>
        <w:sz w:val="18"/>
        <w:lang w:val="en-US"/>
      </w:rPr>
      <w:fldChar w:fldCharType="separate"/>
    </w:r>
    <w:r w:rsidRPr="00DB1E69">
      <w:rPr>
        <w:b/>
        <w:noProof/>
        <w:sz w:val="18"/>
        <w:lang w:val="en-US"/>
      </w:rPr>
      <w:t>2</w:t>
    </w:r>
    <w:r w:rsidRPr="00DB1E69">
      <w:rPr>
        <w:b/>
        <w:sz w:val="18"/>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C513" w14:textId="77777777" w:rsidR="00DF56F1" w:rsidRPr="00DB1E69" w:rsidRDefault="00DF56F1" w:rsidP="00DB1E69">
    <w:pPr>
      <w:pStyle w:val="Footer"/>
      <w:spacing w:before="600"/>
      <w:ind w:left="567"/>
      <w:jc w:val="right"/>
      <w:rPr>
        <w:sz w:val="20"/>
        <w:lang w:val="en-US"/>
      </w:rPr>
    </w:pPr>
    <w:r>
      <w:rPr>
        <w:sz w:val="20"/>
        <w:lang w:val="en-US"/>
      </w:rPr>
      <w:t>GE.</w:t>
    </w:r>
    <w:r>
      <w:rPr>
        <w:noProof/>
      </w:rPr>
      <w:drawing>
        <wp:anchor distT="0" distB="0" distL="114300" distR="114300" simplePos="0" relativeHeight="251661312" behindDoc="1" locked="1" layoutInCell="0" allowOverlap="1" wp14:anchorId="154224F3" wp14:editId="259036D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6" name="Picture 6"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21-00755 (A)</w:t>
    </w:r>
    <w:r>
      <w:rPr>
        <w:noProof/>
        <w:sz w:val="20"/>
        <w:lang w:val="en-US"/>
      </w:rPr>
      <w:drawing>
        <wp:anchor distT="0" distB="0" distL="114300" distR="114300" simplePos="0" relativeHeight="251662336" behindDoc="0" locked="0" layoutInCell="1" allowOverlap="1" wp14:anchorId="289501FE" wp14:editId="777A3AF9">
          <wp:simplePos x="0" y="0"/>
          <wp:positionH relativeFrom="margin">
            <wp:posOffset>0</wp:posOffset>
          </wp:positionH>
          <wp:positionV relativeFrom="margin">
            <wp:posOffset>8891905</wp:posOffset>
          </wp:positionV>
          <wp:extent cx="638175" cy="638175"/>
          <wp:effectExtent l="0" t="0" r="9525" b="9525"/>
          <wp:wrapNone/>
          <wp:docPr id="7"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84A2C" w14:textId="77777777" w:rsidR="00DF56F1" w:rsidRPr="000437B8" w:rsidRDefault="00DF56F1" w:rsidP="00F10DAB">
      <w:pPr>
        <w:pStyle w:val="Footer"/>
        <w:bidi/>
        <w:spacing w:after="80" w:line="200" w:lineRule="exact"/>
        <w:ind w:left="680"/>
      </w:pPr>
      <w:r>
        <w:rPr>
          <w:rtl/>
        </w:rPr>
        <w:t>__________</w:t>
      </w:r>
    </w:p>
  </w:footnote>
  <w:footnote w:type="continuationSeparator" w:id="0">
    <w:p w14:paraId="115F985D" w14:textId="77777777" w:rsidR="00DF56F1" w:rsidRDefault="00DF56F1" w:rsidP="00656392">
      <w:pPr>
        <w:spacing w:line="240" w:lineRule="auto"/>
      </w:pPr>
      <w:r>
        <w:continuationSeparator/>
      </w:r>
    </w:p>
  </w:footnote>
  <w:footnote w:id="1">
    <w:p w14:paraId="768F3F18" w14:textId="17EA80EA" w:rsidR="00DF56F1" w:rsidRPr="00DF56F1" w:rsidRDefault="00DF56F1" w:rsidP="0066630B">
      <w:pPr>
        <w:pStyle w:val="MyFootnotes"/>
        <w:tabs>
          <w:tab w:val="clear" w:pos="1021"/>
        </w:tabs>
        <w:spacing w:after="60" w:line="280" w:lineRule="exact"/>
        <w:ind w:left="1247" w:right="1247" w:hanging="567"/>
        <w:jc w:val="lowKashida"/>
        <w:rPr>
          <w:rFonts w:cs="Simplified Arabic"/>
          <w:szCs w:val="18"/>
        </w:rPr>
      </w:pPr>
      <w:r w:rsidRPr="00DF56F1">
        <w:rPr>
          <w:rFonts w:cs="Simplified Arabic"/>
          <w:szCs w:val="18"/>
        </w:rPr>
        <w:t>*</w:t>
      </w:r>
      <w:r w:rsidRPr="00DF56F1">
        <w:rPr>
          <w:rFonts w:cs="Simplified Arabic"/>
          <w:szCs w:val="18"/>
          <w:rtl/>
        </w:rPr>
        <w:tab/>
        <w:t>اعتمدتها اللجنة في دورتها 130 (12 تشرين الأول/أكتوبر - 6 تشرين الثاني/نوفمبر 2020).</w:t>
      </w:r>
    </w:p>
  </w:footnote>
  <w:footnote w:id="2">
    <w:p w14:paraId="707483F0" w14:textId="50F0E9EB" w:rsidR="00DF56F1" w:rsidRPr="00DF56F1" w:rsidRDefault="00DF56F1" w:rsidP="0066630B">
      <w:pPr>
        <w:pStyle w:val="MyFootnotes"/>
        <w:tabs>
          <w:tab w:val="clear" w:pos="1021"/>
        </w:tabs>
        <w:spacing w:after="60" w:line="280" w:lineRule="exact"/>
        <w:ind w:left="1247" w:right="1247" w:hanging="567"/>
        <w:jc w:val="lowKashida"/>
        <w:rPr>
          <w:rFonts w:cs="Simplified Arabic"/>
          <w:szCs w:val="18"/>
        </w:rPr>
      </w:pPr>
      <w:r w:rsidRPr="00DF56F1">
        <w:rPr>
          <w:rFonts w:cs="Simplified Arabic"/>
          <w:szCs w:val="18"/>
        </w:rPr>
        <w:t>**</w:t>
      </w:r>
      <w:r w:rsidRPr="00DF56F1">
        <w:rPr>
          <w:rFonts w:cs="Simplified Arabic"/>
          <w:szCs w:val="18"/>
          <w:rtl/>
        </w:rPr>
        <w:tab/>
        <w:t xml:space="preserve">شارك أعضاء اللجنة التالية أسماؤهم في دراسة هذا البلاغ: عياض بن عاشور، وعارف بلقان، وأحمد أمين فتح الله، </w:t>
      </w:r>
      <w:proofErr w:type="spellStart"/>
      <w:r w:rsidRPr="00DF56F1">
        <w:rPr>
          <w:rFonts w:cs="Simplified Arabic"/>
          <w:szCs w:val="18"/>
          <w:rtl/>
        </w:rPr>
        <w:t>وفورويا</w:t>
      </w:r>
      <w:proofErr w:type="spellEnd"/>
      <w:r w:rsidRPr="00DF56F1">
        <w:rPr>
          <w:rFonts w:cs="Simplified Arabic"/>
          <w:szCs w:val="18"/>
          <w:rtl/>
        </w:rPr>
        <w:t xml:space="preserve"> </w:t>
      </w:r>
      <w:proofErr w:type="spellStart"/>
      <w:r w:rsidRPr="00DF56F1">
        <w:rPr>
          <w:rFonts w:cs="Simplified Arabic"/>
          <w:szCs w:val="18"/>
          <w:rtl/>
        </w:rPr>
        <w:t>شويتشي</w:t>
      </w:r>
      <w:proofErr w:type="spellEnd"/>
      <w:r w:rsidRPr="00DF56F1">
        <w:rPr>
          <w:rFonts w:cs="Simplified Arabic"/>
          <w:szCs w:val="18"/>
          <w:rtl/>
        </w:rPr>
        <w:t xml:space="preserve">، وكريستوف </w:t>
      </w:r>
      <w:proofErr w:type="spellStart"/>
      <w:r w:rsidRPr="00DF56F1">
        <w:rPr>
          <w:rFonts w:cs="Simplified Arabic"/>
          <w:szCs w:val="18"/>
          <w:rtl/>
        </w:rPr>
        <w:t>هاينس</w:t>
      </w:r>
      <w:proofErr w:type="spellEnd"/>
      <w:r w:rsidRPr="00DF56F1">
        <w:rPr>
          <w:rFonts w:cs="Simplified Arabic"/>
          <w:szCs w:val="18"/>
          <w:rtl/>
        </w:rPr>
        <w:t xml:space="preserve">، </w:t>
      </w:r>
      <w:proofErr w:type="spellStart"/>
      <w:r w:rsidRPr="00DF56F1">
        <w:rPr>
          <w:rFonts w:cs="Simplified Arabic"/>
          <w:szCs w:val="18"/>
          <w:rtl/>
        </w:rPr>
        <w:t>ودنكان</w:t>
      </w:r>
      <w:proofErr w:type="spellEnd"/>
      <w:r w:rsidRPr="00DF56F1">
        <w:rPr>
          <w:rFonts w:cs="Simplified Arabic"/>
          <w:szCs w:val="18"/>
          <w:rtl/>
        </w:rPr>
        <w:t xml:space="preserve"> </w:t>
      </w:r>
      <w:proofErr w:type="spellStart"/>
      <w:r w:rsidRPr="00DF56F1">
        <w:rPr>
          <w:rFonts w:cs="Simplified Arabic"/>
          <w:szCs w:val="18"/>
          <w:rtl/>
        </w:rPr>
        <w:t>لاكي</w:t>
      </w:r>
      <w:proofErr w:type="spellEnd"/>
      <w:r w:rsidRPr="00DF56F1">
        <w:rPr>
          <w:rFonts w:cs="Simplified Arabic"/>
          <w:szCs w:val="18"/>
          <w:rtl/>
        </w:rPr>
        <w:t xml:space="preserve"> </w:t>
      </w:r>
      <w:proofErr w:type="spellStart"/>
      <w:r w:rsidRPr="00DF56F1">
        <w:rPr>
          <w:rFonts w:cs="Simplified Arabic"/>
          <w:szCs w:val="18"/>
          <w:rtl/>
        </w:rPr>
        <w:t>موهوموزا</w:t>
      </w:r>
      <w:proofErr w:type="spellEnd"/>
      <w:r w:rsidRPr="00DF56F1">
        <w:rPr>
          <w:rFonts w:cs="Simplified Arabic"/>
          <w:szCs w:val="18"/>
          <w:rtl/>
        </w:rPr>
        <w:t xml:space="preserve">، وديفيد ه. مور، </w:t>
      </w:r>
      <w:proofErr w:type="spellStart"/>
      <w:r w:rsidRPr="00DF56F1">
        <w:rPr>
          <w:rFonts w:cs="Simplified Arabic"/>
          <w:szCs w:val="18"/>
          <w:rtl/>
        </w:rPr>
        <w:t>وهيرنان</w:t>
      </w:r>
      <w:proofErr w:type="spellEnd"/>
      <w:r w:rsidRPr="00DF56F1">
        <w:rPr>
          <w:rFonts w:cs="Simplified Arabic"/>
          <w:szCs w:val="18"/>
          <w:rtl/>
        </w:rPr>
        <w:t xml:space="preserve"> </w:t>
      </w:r>
      <w:proofErr w:type="spellStart"/>
      <w:r w:rsidRPr="00DF56F1">
        <w:rPr>
          <w:rFonts w:cs="Simplified Arabic"/>
          <w:szCs w:val="18"/>
          <w:rtl/>
        </w:rPr>
        <w:t>كيزادا</w:t>
      </w:r>
      <w:proofErr w:type="spellEnd"/>
      <w:r w:rsidRPr="00DF56F1">
        <w:rPr>
          <w:rFonts w:cs="Simplified Arabic"/>
          <w:szCs w:val="18"/>
          <w:rtl/>
        </w:rPr>
        <w:t xml:space="preserve"> </w:t>
      </w:r>
      <w:proofErr w:type="spellStart"/>
      <w:r w:rsidRPr="00DF56F1">
        <w:rPr>
          <w:rFonts w:cs="Simplified Arabic"/>
          <w:szCs w:val="18"/>
          <w:rtl/>
        </w:rPr>
        <w:t>كابريرا</w:t>
      </w:r>
      <w:proofErr w:type="spellEnd"/>
      <w:r w:rsidRPr="00DF56F1">
        <w:rPr>
          <w:rFonts w:cs="Simplified Arabic"/>
          <w:szCs w:val="18"/>
          <w:rtl/>
        </w:rPr>
        <w:t xml:space="preserve">، </w:t>
      </w:r>
      <w:proofErr w:type="spellStart"/>
      <w:r w:rsidRPr="00DF56F1">
        <w:rPr>
          <w:rFonts w:cs="Simplified Arabic"/>
          <w:szCs w:val="18"/>
          <w:rtl/>
        </w:rPr>
        <w:t>وفاسيلكا</w:t>
      </w:r>
      <w:proofErr w:type="spellEnd"/>
      <w:r w:rsidRPr="00DF56F1">
        <w:rPr>
          <w:rFonts w:cs="Simplified Arabic"/>
          <w:szCs w:val="18"/>
          <w:rtl/>
        </w:rPr>
        <w:t xml:space="preserve"> </w:t>
      </w:r>
      <w:proofErr w:type="spellStart"/>
      <w:r w:rsidRPr="00DF56F1">
        <w:rPr>
          <w:rFonts w:cs="Simplified Arabic"/>
          <w:szCs w:val="18"/>
          <w:rtl/>
        </w:rPr>
        <w:t>سانسين</w:t>
      </w:r>
      <w:proofErr w:type="spellEnd"/>
      <w:r w:rsidRPr="00DF56F1">
        <w:rPr>
          <w:rFonts w:cs="Simplified Arabic"/>
          <w:szCs w:val="18"/>
          <w:rtl/>
        </w:rPr>
        <w:t xml:space="preserve">، وخوسيه مانويل سانتوس </w:t>
      </w:r>
      <w:proofErr w:type="spellStart"/>
      <w:r w:rsidRPr="00DF56F1">
        <w:rPr>
          <w:rFonts w:cs="Simplified Arabic"/>
          <w:szCs w:val="18"/>
          <w:rtl/>
        </w:rPr>
        <w:t>باييس</w:t>
      </w:r>
      <w:proofErr w:type="spellEnd"/>
      <w:r w:rsidRPr="00DF56F1">
        <w:rPr>
          <w:rFonts w:cs="Simplified Arabic"/>
          <w:szCs w:val="18"/>
          <w:rtl/>
        </w:rPr>
        <w:t xml:space="preserve">، ويوفال </w:t>
      </w:r>
      <w:proofErr w:type="spellStart"/>
      <w:r w:rsidRPr="00DF56F1">
        <w:rPr>
          <w:rFonts w:cs="Simplified Arabic"/>
          <w:szCs w:val="18"/>
          <w:rtl/>
        </w:rPr>
        <w:t>شاني</w:t>
      </w:r>
      <w:proofErr w:type="spellEnd"/>
      <w:r w:rsidRPr="00DF56F1">
        <w:rPr>
          <w:rFonts w:cs="Simplified Arabic"/>
          <w:szCs w:val="18"/>
          <w:rtl/>
        </w:rPr>
        <w:t xml:space="preserve">، وهيلين </w:t>
      </w:r>
      <w:proofErr w:type="spellStart"/>
      <w:r w:rsidRPr="00DF56F1">
        <w:rPr>
          <w:rFonts w:cs="Simplified Arabic"/>
          <w:szCs w:val="18"/>
          <w:rtl/>
        </w:rPr>
        <w:t>تيغرودجا</w:t>
      </w:r>
      <w:proofErr w:type="spellEnd"/>
      <w:r w:rsidRPr="00DF56F1">
        <w:rPr>
          <w:rFonts w:cs="Simplified Arabic"/>
          <w:szCs w:val="18"/>
          <w:rtl/>
        </w:rPr>
        <w:t xml:space="preserve">، وأندرياس </w:t>
      </w:r>
      <w:proofErr w:type="spellStart"/>
      <w:r w:rsidRPr="00DF56F1">
        <w:rPr>
          <w:rFonts w:cs="Simplified Arabic"/>
          <w:szCs w:val="18"/>
          <w:rtl/>
        </w:rPr>
        <w:t>زيمرمان</w:t>
      </w:r>
      <w:proofErr w:type="spellEnd"/>
      <w:r w:rsidRPr="00DF56F1">
        <w:rPr>
          <w:rFonts w:cs="Simplified Arabic"/>
          <w:szCs w:val="18"/>
          <w:rtl/>
        </w:rPr>
        <w:t xml:space="preserve">، </w:t>
      </w:r>
      <w:proofErr w:type="spellStart"/>
      <w:r w:rsidRPr="00DF56F1">
        <w:rPr>
          <w:rFonts w:cs="Simplified Arabic"/>
          <w:szCs w:val="18"/>
          <w:rtl/>
        </w:rPr>
        <w:t>وجينتيان</w:t>
      </w:r>
      <w:proofErr w:type="spellEnd"/>
      <w:r w:rsidRPr="00DF56F1">
        <w:rPr>
          <w:rFonts w:cs="Simplified Arabic"/>
          <w:szCs w:val="18"/>
          <w:rtl/>
        </w:rPr>
        <w:t xml:space="preserve"> </w:t>
      </w:r>
      <w:proofErr w:type="spellStart"/>
      <w:r w:rsidRPr="00DF56F1">
        <w:rPr>
          <w:rFonts w:cs="Simplified Arabic"/>
          <w:szCs w:val="18"/>
          <w:rtl/>
        </w:rPr>
        <w:t>زيبيري</w:t>
      </w:r>
      <w:proofErr w:type="spellEnd"/>
      <w:r w:rsidRPr="00DF56F1">
        <w:rPr>
          <w:rFonts w:cs="Simplified Arabic"/>
          <w:szCs w:val="18"/>
          <w:rtl/>
        </w:rPr>
        <w:t>.</w:t>
      </w:r>
    </w:p>
  </w:footnote>
  <w:footnote w:id="3">
    <w:p w14:paraId="40F670B8" w14:textId="3E08AD72" w:rsidR="00DF56F1" w:rsidRPr="00DF56F1" w:rsidRDefault="00DF56F1" w:rsidP="0066630B">
      <w:pPr>
        <w:pStyle w:val="MyFootnotes"/>
        <w:tabs>
          <w:tab w:val="clear" w:pos="1021"/>
        </w:tabs>
        <w:spacing w:after="60" w:line="280" w:lineRule="exact"/>
        <w:ind w:left="1247" w:right="1247" w:hanging="567"/>
        <w:jc w:val="lowKashida"/>
        <w:rPr>
          <w:rFonts w:cs="Simplified Arabic"/>
          <w:szCs w:val="18"/>
        </w:rPr>
      </w:pPr>
      <w:r w:rsidRPr="00DF56F1">
        <w:rPr>
          <w:rFonts w:cs="Simplified Arabic"/>
          <w:szCs w:val="18"/>
        </w:rPr>
        <w:t>***</w:t>
      </w:r>
      <w:r w:rsidRPr="00DF56F1">
        <w:rPr>
          <w:rFonts w:cs="Simplified Arabic"/>
          <w:szCs w:val="18"/>
          <w:rtl/>
        </w:rPr>
        <w:tab/>
        <w:t xml:space="preserve">يرد في مرفق هذه الآراء رأيان فرديان لعضوي اللجنة عياض بن عاشور (مؤيد) وهيلين </w:t>
      </w:r>
      <w:proofErr w:type="spellStart"/>
      <w:r w:rsidRPr="00DF56F1">
        <w:rPr>
          <w:rFonts w:cs="Simplified Arabic"/>
          <w:szCs w:val="18"/>
          <w:rtl/>
        </w:rPr>
        <w:t>تيغرودجا</w:t>
      </w:r>
      <w:proofErr w:type="spellEnd"/>
      <w:r w:rsidRPr="00DF56F1">
        <w:rPr>
          <w:rFonts w:cs="Simplified Arabic"/>
          <w:szCs w:val="18"/>
          <w:rtl/>
        </w:rPr>
        <w:t xml:space="preserve"> (مؤيد).</w:t>
      </w:r>
    </w:p>
  </w:footnote>
  <w:footnote w:id="4">
    <w:p w14:paraId="1EC3AFEF" w14:textId="4BB8EF28" w:rsidR="00DF56F1" w:rsidRPr="00DF56F1" w:rsidRDefault="00DF56F1" w:rsidP="0066630B">
      <w:pPr>
        <w:pStyle w:val="FootnoteText"/>
        <w:tabs>
          <w:tab w:val="clear" w:pos="1021"/>
        </w:tabs>
        <w:bidi/>
        <w:spacing w:after="60" w:line="280" w:lineRule="exact"/>
        <w:ind w:left="1247" w:right="1247" w:hanging="567"/>
        <w:jc w:val="lowKashida"/>
        <w:textDirection w:val="tbRlV"/>
        <w:rPr>
          <w:szCs w:val="18"/>
        </w:rPr>
      </w:pPr>
      <w:r w:rsidRPr="00DF56F1">
        <w:rPr>
          <w:szCs w:val="18"/>
          <w:rtl/>
        </w:rPr>
        <w:t>(</w:t>
      </w:r>
      <w:r w:rsidRPr="00DF56F1">
        <w:rPr>
          <w:szCs w:val="18"/>
          <w:rtl/>
        </w:rPr>
        <w:footnoteRef/>
      </w:r>
      <w:r w:rsidRPr="00DF56F1">
        <w:rPr>
          <w:szCs w:val="18"/>
          <w:rtl/>
        </w:rPr>
        <w:t>)</w:t>
      </w:r>
      <w:r w:rsidRPr="00DF56F1">
        <w:rPr>
          <w:szCs w:val="18"/>
          <w:rtl/>
        </w:rPr>
        <w:tab/>
        <w:t>يشير صاحب البلاغ إلى الدراسة</w:t>
      </w:r>
      <w:r w:rsidRPr="00DF56F1">
        <w:rPr>
          <w:szCs w:val="18"/>
        </w:rPr>
        <w:t>:</w:t>
      </w:r>
      <w:r w:rsidRPr="00DF56F1">
        <w:rPr>
          <w:szCs w:val="18"/>
          <w:rtl/>
        </w:rPr>
        <w:t xml:space="preserve"> </w:t>
      </w:r>
      <w:proofErr w:type="spellStart"/>
      <w:r w:rsidRPr="00DF56F1">
        <w:rPr>
          <w:szCs w:val="18"/>
        </w:rPr>
        <w:t>Shuzhuo</w:t>
      </w:r>
      <w:proofErr w:type="spellEnd"/>
      <w:r w:rsidRPr="00DF56F1">
        <w:rPr>
          <w:szCs w:val="18"/>
        </w:rPr>
        <w:t xml:space="preserve"> Li, </w:t>
      </w:r>
      <w:proofErr w:type="spellStart"/>
      <w:r w:rsidRPr="00DF56F1">
        <w:rPr>
          <w:szCs w:val="18"/>
        </w:rPr>
        <w:t>Yexia</w:t>
      </w:r>
      <w:proofErr w:type="spellEnd"/>
      <w:r w:rsidRPr="00DF56F1">
        <w:rPr>
          <w:szCs w:val="18"/>
        </w:rPr>
        <w:t xml:space="preserve"> Zhang and Marcus W. Feldman, “Birth registration in China: practices, problems and policies”</w:t>
      </w:r>
      <w:r w:rsidRPr="00DF56F1">
        <w:rPr>
          <w:szCs w:val="18"/>
          <w:rtl/>
        </w:rPr>
        <w:t>.</w:t>
      </w:r>
    </w:p>
  </w:footnote>
  <w:footnote w:id="5">
    <w:p w14:paraId="00AB8EE4" w14:textId="74E73650" w:rsidR="00DF56F1" w:rsidRPr="00DF56F1" w:rsidRDefault="00DF56F1" w:rsidP="0066630B">
      <w:pPr>
        <w:pStyle w:val="FootnoteText"/>
        <w:tabs>
          <w:tab w:val="clear" w:pos="1021"/>
        </w:tabs>
        <w:bidi/>
        <w:spacing w:after="60" w:line="280" w:lineRule="exact"/>
        <w:ind w:left="1247" w:right="1247" w:hanging="567"/>
        <w:jc w:val="lowKashida"/>
        <w:textDirection w:val="tbRlV"/>
        <w:rPr>
          <w:szCs w:val="18"/>
        </w:rPr>
      </w:pPr>
      <w:r w:rsidRPr="00DF56F1">
        <w:rPr>
          <w:szCs w:val="18"/>
          <w:rtl/>
        </w:rPr>
        <w:t>(</w:t>
      </w:r>
      <w:r w:rsidRPr="00DF56F1">
        <w:rPr>
          <w:szCs w:val="18"/>
          <w:rtl/>
        </w:rPr>
        <w:footnoteRef/>
      </w:r>
      <w:r w:rsidRPr="00DF56F1">
        <w:rPr>
          <w:szCs w:val="18"/>
          <w:rtl/>
        </w:rPr>
        <w:t>)</w:t>
      </w:r>
      <w:r w:rsidRPr="00DF56F1">
        <w:rPr>
          <w:szCs w:val="18"/>
          <w:rtl/>
        </w:rPr>
        <w:tab/>
      </w:r>
      <w:r w:rsidR="00057921" w:rsidRPr="000B0B96">
        <w:t xml:space="preserve">Office of the United Nations High Commissioner for Refugees (UNHCR), </w:t>
      </w:r>
      <w:r w:rsidR="00057921" w:rsidRPr="000B0B96">
        <w:rPr>
          <w:i/>
          <w:iCs/>
        </w:rPr>
        <w:t>Mapping Statelessness in the Netherlands</w:t>
      </w:r>
      <w:r w:rsidR="00057921" w:rsidRPr="000B0B96">
        <w:t>, November 2011, para. 46</w:t>
      </w:r>
      <w:r w:rsidRPr="00DF56F1">
        <w:rPr>
          <w:szCs w:val="18"/>
          <w:rtl/>
        </w:rPr>
        <w:t xml:space="preserve">. </w:t>
      </w:r>
    </w:p>
  </w:footnote>
  <w:footnote w:id="6">
    <w:p w14:paraId="1722F6B0" w14:textId="6102D23E" w:rsidR="00DF56F1" w:rsidRPr="00DF56F1" w:rsidRDefault="00DF56F1" w:rsidP="0066630B">
      <w:pPr>
        <w:pStyle w:val="FootnoteText"/>
        <w:tabs>
          <w:tab w:val="clear" w:pos="1021"/>
        </w:tabs>
        <w:bidi/>
        <w:spacing w:after="60" w:line="280" w:lineRule="exact"/>
        <w:ind w:left="1247" w:right="1247" w:hanging="567"/>
        <w:jc w:val="lowKashida"/>
        <w:textDirection w:val="tbRlV"/>
        <w:rPr>
          <w:szCs w:val="18"/>
        </w:rPr>
      </w:pPr>
      <w:r w:rsidRPr="00DF56F1">
        <w:rPr>
          <w:szCs w:val="18"/>
          <w:rtl/>
        </w:rPr>
        <w:t>(</w:t>
      </w:r>
      <w:r w:rsidRPr="00DF56F1">
        <w:rPr>
          <w:szCs w:val="18"/>
          <w:rtl/>
        </w:rPr>
        <w:footnoteRef/>
      </w:r>
      <w:r w:rsidRPr="00DF56F1">
        <w:rPr>
          <w:szCs w:val="18"/>
          <w:rtl/>
        </w:rPr>
        <w:t>)</w:t>
      </w:r>
      <w:r w:rsidRPr="00DF56F1">
        <w:rPr>
          <w:szCs w:val="18"/>
          <w:rtl/>
        </w:rPr>
        <w:tab/>
        <w:t xml:space="preserve">يشير صاحب البلاغ إلى معلومات من المكتب المركزي للإحصاءات. </w:t>
      </w:r>
    </w:p>
  </w:footnote>
  <w:footnote w:id="7">
    <w:p w14:paraId="5B125F6E" w14:textId="1E1F3A8F" w:rsidR="00DF56F1" w:rsidRPr="00DF56F1" w:rsidRDefault="00DF56F1" w:rsidP="0066630B">
      <w:pPr>
        <w:pStyle w:val="MyFootnotes"/>
        <w:tabs>
          <w:tab w:val="clear" w:pos="1021"/>
        </w:tabs>
        <w:spacing w:after="60" w:line="280" w:lineRule="exact"/>
        <w:ind w:left="1247" w:right="1247" w:hanging="567"/>
        <w:jc w:val="lowKashida"/>
        <w:rPr>
          <w:rFonts w:cs="Simplified Arabic"/>
          <w:szCs w:val="18"/>
        </w:rPr>
      </w:pPr>
      <w:r w:rsidRPr="00DF56F1">
        <w:rPr>
          <w:rFonts w:cs="Simplified Arabic"/>
          <w:szCs w:val="18"/>
          <w:rtl/>
        </w:rPr>
        <w:t>(</w:t>
      </w:r>
      <w:r w:rsidRPr="00DF56F1">
        <w:rPr>
          <w:rFonts w:cs="Simplified Arabic"/>
          <w:szCs w:val="18"/>
          <w:rtl/>
        </w:rPr>
        <w:footnoteRef/>
      </w:r>
      <w:r w:rsidRPr="00DF56F1">
        <w:rPr>
          <w:rFonts w:cs="Simplified Arabic"/>
          <w:szCs w:val="18"/>
          <w:rtl/>
        </w:rPr>
        <w:t>)</w:t>
      </w:r>
      <w:r w:rsidRPr="00DF56F1">
        <w:rPr>
          <w:rFonts w:cs="Simplified Arabic"/>
          <w:szCs w:val="18"/>
          <w:rtl/>
        </w:rPr>
        <w:tab/>
        <w:t>قانون الجنسية، المادة 6(1)(ب).</w:t>
      </w:r>
    </w:p>
  </w:footnote>
  <w:footnote w:id="8">
    <w:p w14:paraId="0C007973" w14:textId="63A161E0" w:rsidR="00DF56F1" w:rsidRPr="00DF56F1" w:rsidRDefault="00DF56F1" w:rsidP="0066630B">
      <w:pPr>
        <w:pStyle w:val="MyFootnotes"/>
        <w:tabs>
          <w:tab w:val="clear" w:pos="1021"/>
        </w:tabs>
        <w:spacing w:after="60" w:line="280" w:lineRule="exact"/>
        <w:ind w:left="1247" w:right="1247" w:hanging="567"/>
        <w:jc w:val="lowKashida"/>
        <w:rPr>
          <w:rFonts w:cs="Simplified Arabic"/>
          <w:szCs w:val="18"/>
        </w:rPr>
      </w:pPr>
      <w:r w:rsidRPr="00DF56F1">
        <w:rPr>
          <w:rFonts w:cs="Simplified Arabic"/>
          <w:szCs w:val="18"/>
          <w:rtl/>
        </w:rPr>
        <w:t>(</w:t>
      </w:r>
      <w:r w:rsidRPr="00DF56F1">
        <w:rPr>
          <w:rFonts w:cs="Simplified Arabic"/>
          <w:szCs w:val="18"/>
          <w:rtl/>
        </w:rPr>
        <w:footnoteRef/>
      </w:r>
      <w:r w:rsidRPr="00DF56F1">
        <w:rPr>
          <w:rFonts w:cs="Simplified Arabic"/>
          <w:szCs w:val="18"/>
          <w:rtl/>
        </w:rPr>
        <w:t>)</w:t>
      </w:r>
      <w:r w:rsidRPr="00DF56F1">
        <w:rPr>
          <w:rFonts w:cs="Simplified Arabic"/>
          <w:szCs w:val="18"/>
          <w:rtl/>
        </w:rPr>
        <w:tab/>
        <w:t>اتفاقية خفض حالات انعدام الجنسية لعام 1961، المادة 2(ب)؛ و</w:t>
      </w:r>
      <w:r w:rsidRPr="00DF56F1">
        <w:rPr>
          <w:rFonts w:cs="Simplified Arabic"/>
          <w:szCs w:val="18"/>
        </w:rPr>
        <w:t xml:space="preserve">Katja </w:t>
      </w:r>
      <w:proofErr w:type="spellStart"/>
      <w:r w:rsidRPr="00DF56F1">
        <w:rPr>
          <w:rFonts w:cs="Simplified Arabic"/>
          <w:szCs w:val="18"/>
        </w:rPr>
        <w:t>Swider</w:t>
      </w:r>
      <w:proofErr w:type="spellEnd"/>
      <w:r w:rsidRPr="00DF56F1">
        <w:rPr>
          <w:rFonts w:cs="Simplified Arabic"/>
          <w:szCs w:val="18"/>
        </w:rPr>
        <w:t>, “Statelessness determination in the Netherlands”, Amsterdam Law School research paper No. 2014-33 (May 2014)</w:t>
      </w:r>
      <w:r w:rsidRPr="00DF56F1">
        <w:rPr>
          <w:rFonts w:cs="Simplified Arabic"/>
          <w:szCs w:val="18"/>
          <w:rtl/>
        </w:rPr>
        <w:t>.</w:t>
      </w:r>
    </w:p>
  </w:footnote>
  <w:footnote w:id="9">
    <w:p w14:paraId="6C824E0C" w14:textId="7ED39D32" w:rsidR="00DF56F1" w:rsidRPr="00DF56F1" w:rsidRDefault="00DF56F1" w:rsidP="0066630B">
      <w:pPr>
        <w:pStyle w:val="FootnoteText"/>
        <w:tabs>
          <w:tab w:val="clear" w:pos="1021"/>
        </w:tabs>
        <w:bidi/>
        <w:spacing w:after="60" w:line="280" w:lineRule="exact"/>
        <w:ind w:left="1247" w:right="1247" w:hanging="567"/>
        <w:jc w:val="lowKashida"/>
        <w:textDirection w:val="tbRlV"/>
        <w:rPr>
          <w:szCs w:val="18"/>
        </w:rPr>
      </w:pPr>
      <w:r w:rsidRPr="00DF56F1">
        <w:rPr>
          <w:szCs w:val="18"/>
          <w:rtl/>
        </w:rPr>
        <w:t>(</w:t>
      </w:r>
      <w:r w:rsidRPr="00DF56F1">
        <w:rPr>
          <w:szCs w:val="18"/>
          <w:rtl/>
        </w:rPr>
        <w:footnoteRef/>
      </w:r>
      <w:r w:rsidRPr="00DF56F1">
        <w:rPr>
          <w:szCs w:val="18"/>
          <w:rtl/>
        </w:rPr>
        <w:t>)</w:t>
      </w:r>
      <w:r w:rsidRPr="00DF56F1">
        <w:rPr>
          <w:szCs w:val="18"/>
          <w:rtl/>
        </w:rPr>
        <w:tab/>
      </w:r>
      <w:r w:rsidR="00057921" w:rsidRPr="000B0B96">
        <w:t xml:space="preserve">Working Group on Children in Asylum Seekers’ </w:t>
      </w:r>
      <w:proofErr w:type="spellStart"/>
      <w:r w:rsidR="00057921" w:rsidRPr="000B0B96">
        <w:t>Centres</w:t>
      </w:r>
      <w:proofErr w:type="spellEnd"/>
      <w:r w:rsidR="00057921" w:rsidRPr="000B0B96">
        <w:t>, “</w:t>
      </w:r>
      <w:proofErr w:type="spellStart"/>
      <w:r w:rsidR="00057921" w:rsidRPr="000B0B96">
        <w:t>Onderzoek</w:t>
      </w:r>
      <w:proofErr w:type="spellEnd"/>
      <w:r w:rsidR="00057921" w:rsidRPr="000B0B96">
        <w:t xml:space="preserve"> </w:t>
      </w:r>
      <w:proofErr w:type="spellStart"/>
      <w:r w:rsidR="00057921" w:rsidRPr="000B0B96">
        <w:t>naar</w:t>
      </w:r>
      <w:proofErr w:type="spellEnd"/>
      <w:r w:rsidR="00057921" w:rsidRPr="000B0B96">
        <w:t xml:space="preserve"> het </w:t>
      </w:r>
      <w:proofErr w:type="spellStart"/>
      <w:r w:rsidR="00057921" w:rsidRPr="000B0B96">
        <w:t>welzijn</w:t>
      </w:r>
      <w:proofErr w:type="spellEnd"/>
      <w:r w:rsidR="00057921" w:rsidRPr="000B0B96">
        <w:t xml:space="preserve"> </w:t>
      </w:r>
      <w:proofErr w:type="spellStart"/>
      <w:r w:rsidR="00057921" w:rsidRPr="000B0B96">
        <w:t>en</w:t>
      </w:r>
      <w:proofErr w:type="spellEnd"/>
      <w:r w:rsidR="00057921" w:rsidRPr="000B0B96">
        <w:t xml:space="preserve"> </w:t>
      </w:r>
      <w:proofErr w:type="spellStart"/>
      <w:r w:rsidR="00057921" w:rsidRPr="000B0B96">
        <w:t>perspectief</w:t>
      </w:r>
      <w:proofErr w:type="spellEnd"/>
      <w:r w:rsidR="00057921" w:rsidRPr="000B0B96">
        <w:t xml:space="preserve"> van </w:t>
      </w:r>
      <w:proofErr w:type="spellStart"/>
      <w:r w:rsidR="00057921" w:rsidRPr="000B0B96">
        <w:t>kinderen</w:t>
      </w:r>
      <w:proofErr w:type="spellEnd"/>
      <w:r w:rsidR="00057921" w:rsidRPr="000B0B96">
        <w:t xml:space="preserve"> </w:t>
      </w:r>
      <w:proofErr w:type="spellStart"/>
      <w:r w:rsidR="00057921" w:rsidRPr="000B0B96">
        <w:t>en</w:t>
      </w:r>
      <w:proofErr w:type="spellEnd"/>
      <w:r w:rsidR="00057921" w:rsidRPr="000B0B96">
        <w:t xml:space="preserve"> </w:t>
      </w:r>
      <w:proofErr w:type="spellStart"/>
      <w:r w:rsidR="00057921" w:rsidRPr="000B0B96">
        <w:t>jongeren</w:t>
      </w:r>
      <w:proofErr w:type="spellEnd"/>
      <w:r w:rsidR="00057921" w:rsidRPr="000B0B96">
        <w:t xml:space="preserve"> in </w:t>
      </w:r>
      <w:proofErr w:type="spellStart"/>
      <w:r w:rsidR="00057921" w:rsidRPr="000B0B96">
        <w:t>gezinslocaties</w:t>
      </w:r>
      <w:proofErr w:type="spellEnd"/>
      <w:r w:rsidR="00057921" w:rsidRPr="000B0B96">
        <w:t>” (report on family locations), October 2014</w:t>
      </w:r>
      <w:r w:rsidRPr="00DF56F1">
        <w:rPr>
          <w:szCs w:val="18"/>
          <w:rtl/>
        </w:rPr>
        <w:t>.</w:t>
      </w:r>
    </w:p>
  </w:footnote>
  <w:footnote w:id="10">
    <w:p w14:paraId="1CD50DB2" w14:textId="2940A301" w:rsidR="00DF56F1" w:rsidRPr="00DF56F1" w:rsidRDefault="00DF56F1" w:rsidP="008F0E1A">
      <w:pPr>
        <w:pStyle w:val="FootnoteText"/>
        <w:tabs>
          <w:tab w:val="clear" w:pos="1021"/>
        </w:tabs>
        <w:bidi/>
        <w:spacing w:after="60" w:line="280" w:lineRule="exact"/>
        <w:ind w:left="1247" w:right="1247" w:hanging="567"/>
        <w:jc w:val="lowKashida"/>
        <w:textDirection w:val="tbRlV"/>
        <w:rPr>
          <w:szCs w:val="18"/>
        </w:rPr>
      </w:pPr>
      <w:r w:rsidRPr="00DF56F1">
        <w:rPr>
          <w:szCs w:val="18"/>
          <w:rtl/>
        </w:rPr>
        <w:t>(</w:t>
      </w:r>
      <w:r w:rsidRPr="00DF56F1">
        <w:rPr>
          <w:szCs w:val="18"/>
          <w:rtl/>
        </w:rPr>
        <w:footnoteRef/>
      </w:r>
      <w:r w:rsidRPr="00DF56F1">
        <w:rPr>
          <w:szCs w:val="18"/>
          <w:rtl/>
        </w:rPr>
        <w:t>)</w:t>
      </w:r>
      <w:r w:rsidRPr="00DF56F1">
        <w:rPr>
          <w:szCs w:val="18"/>
          <w:rtl/>
        </w:rPr>
        <w:tab/>
        <w:t xml:space="preserve">يلاحظ صاحب البلاغ أن حرمانه الجنسية قد أثر بشكل عميق وسلبي على كامل طفولته، وغرس في ذهنه الانطباع بأنه لا مقام له ولأسرته في أي مكان. فقد أمضى ما يقرب من نصف طفولته عديم الجنسية، مستبعَداً قانونياً واجتماعياً من المجتمع، وفقد العديد من فرص للعيش حياة طبيعية. كما وُضع في حالة من عدم التيقّن القانوني لفترة طويلة؛ ويدفع بأنه ينبغي للجنة أن توصي على الأقل بمبلغ 000 13 يورو تعويضاً عما عانى من عدم تيقّن قانوني مطول. ويشير صاحب البلاغ كذلك إلى أن عدم حمله جنسية تسبب في عزله مادياً بالكامل عن المجتمع، وأضر بتعليمه ونموه الاجتماعي على نحو لا يمكن إصلاحه. ويشير صاحب البلاغ إلى أن محاكم الدولة الطرف اكتشفت أن مرافق الحرية المقيدة تضر بالأطفال بشكل خاص، وأمرت بتعويض قدره 250 يورو شهرياً للفترة التي قضاها في هذه المرافق. ويشير كذلك إلى أنه عاش في مركز الحرية المقيدة لمدة 48 شهراً تقريباً وقت تقديم تعليقاته، وهذا يعني أن المبلغ المناسب لتعويضه عن ذلك هو 000 12 يورو. </w:t>
      </w:r>
    </w:p>
  </w:footnote>
  <w:footnote w:id="11">
    <w:p w14:paraId="0AF2F8FA" w14:textId="7068B601" w:rsidR="00DF56F1" w:rsidRPr="00DF56F1" w:rsidRDefault="00DF56F1" w:rsidP="0066630B">
      <w:pPr>
        <w:pStyle w:val="MyFootnotes"/>
        <w:tabs>
          <w:tab w:val="clear" w:pos="1021"/>
        </w:tabs>
        <w:spacing w:after="60" w:line="280" w:lineRule="exact"/>
        <w:ind w:left="1247" w:right="1247" w:hanging="567"/>
        <w:jc w:val="lowKashida"/>
        <w:rPr>
          <w:rFonts w:cs="Simplified Arabic"/>
          <w:szCs w:val="18"/>
        </w:rPr>
      </w:pPr>
      <w:r w:rsidRPr="00DF56F1">
        <w:rPr>
          <w:rFonts w:cs="Simplified Arabic"/>
          <w:szCs w:val="18"/>
          <w:rtl/>
        </w:rPr>
        <w:t>(</w:t>
      </w:r>
      <w:r w:rsidRPr="00DF56F1">
        <w:rPr>
          <w:rFonts w:cs="Simplified Arabic"/>
          <w:szCs w:val="18"/>
          <w:rtl/>
        </w:rPr>
        <w:footnoteRef/>
      </w:r>
      <w:r w:rsidRPr="00DF56F1">
        <w:rPr>
          <w:rFonts w:cs="Simplified Arabic"/>
          <w:szCs w:val="18"/>
          <w:rtl/>
        </w:rPr>
        <w:t>)</w:t>
      </w:r>
      <w:r w:rsidRPr="00DF56F1">
        <w:rPr>
          <w:rFonts w:cs="Simplified Arabic"/>
          <w:szCs w:val="18"/>
          <w:rtl/>
        </w:rPr>
        <w:tab/>
        <w:t xml:space="preserve">الوثيقة </w:t>
      </w:r>
      <w:r w:rsidRPr="00DF56F1">
        <w:rPr>
          <w:rFonts w:cs="Simplified Arabic"/>
          <w:szCs w:val="18"/>
        </w:rPr>
        <w:t>A/HRC/31/29</w:t>
      </w:r>
      <w:r w:rsidRPr="00DF56F1">
        <w:rPr>
          <w:rFonts w:cs="Simplified Arabic"/>
          <w:szCs w:val="18"/>
          <w:rtl/>
        </w:rPr>
        <w:t>، الفقرة 9.</w:t>
      </w:r>
    </w:p>
  </w:footnote>
  <w:footnote w:id="12">
    <w:p w14:paraId="3493E189" w14:textId="798240C1" w:rsidR="00DF56F1" w:rsidRPr="00DF56F1" w:rsidRDefault="00DF56F1" w:rsidP="0066630B">
      <w:pPr>
        <w:pStyle w:val="MyFootnotes"/>
        <w:tabs>
          <w:tab w:val="clear" w:pos="1021"/>
        </w:tabs>
        <w:spacing w:after="60" w:line="280" w:lineRule="exact"/>
        <w:ind w:left="1247" w:right="1247" w:hanging="567"/>
        <w:jc w:val="lowKashida"/>
        <w:rPr>
          <w:rFonts w:cs="Simplified Arabic"/>
          <w:szCs w:val="18"/>
        </w:rPr>
      </w:pPr>
      <w:r w:rsidRPr="00DF56F1">
        <w:rPr>
          <w:rFonts w:cs="Simplified Arabic"/>
          <w:szCs w:val="18"/>
          <w:rtl/>
        </w:rPr>
        <w:t>(</w:t>
      </w:r>
      <w:r w:rsidRPr="00DF56F1">
        <w:rPr>
          <w:rFonts w:cs="Simplified Arabic"/>
          <w:szCs w:val="18"/>
          <w:rtl/>
        </w:rPr>
        <w:footnoteRef/>
      </w:r>
      <w:r w:rsidRPr="00DF56F1">
        <w:rPr>
          <w:rFonts w:cs="Simplified Arabic"/>
          <w:szCs w:val="18"/>
          <w:rtl/>
        </w:rPr>
        <w:t>)</w:t>
      </w:r>
      <w:r w:rsidRPr="00DF56F1">
        <w:rPr>
          <w:rFonts w:cs="Simplified Arabic"/>
          <w:szCs w:val="18"/>
          <w:rtl/>
        </w:rPr>
        <w:tab/>
        <w:t>المرجع نفسه، الفقرة 8.</w:t>
      </w:r>
    </w:p>
  </w:footnote>
  <w:footnote w:id="13">
    <w:p w14:paraId="2507C3A1" w14:textId="08E75C6F" w:rsidR="00DF56F1" w:rsidRPr="00DF56F1" w:rsidRDefault="00DF56F1" w:rsidP="0066630B">
      <w:pPr>
        <w:pStyle w:val="MyFootnotes"/>
        <w:tabs>
          <w:tab w:val="clear" w:pos="1021"/>
        </w:tabs>
        <w:spacing w:after="60" w:line="280" w:lineRule="exact"/>
        <w:ind w:left="1247" w:right="1247" w:hanging="567"/>
        <w:jc w:val="lowKashida"/>
        <w:rPr>
          <w:rFonts w:cs="Simplified Arabic"/>
          <w:szCs w:val="18"/>
        </w:rPr>
      </w:pPr>
      <w:r w:rsidRPr="00DF56F1">
        <w:rPr>
          <w:rFonts w:cs="Simplified Arabic"/>
          <w:szCs w:val="18"/>
          <w:rtl/>
        </w:rPr>
        <w:t>(</w:t>
      </w:r>
      <w:r w:rsidRPr="00DF56F1">
        <w:rPr>
          <w:rFonts w:cs="Simplified Arabic"/>
          <w:szCs w:val="18"/>
          <w:rtl/>
        </w:rPr>
        <w:footnoteRef/>
      </w:r>
      <w:r w:rsidRPr="00DF56F1">
        <w:rPr>
          <w:rFonts w:cs="Simplified Arabic"/>
          <w:szCs w:val="18"/>
          <w:rtl/>
        </w:rPr>
        <w:t>)</w:t>
      </w:r>
      <w:r w:rsidRPr="00DF56F1">
        <w:rPr>
          <w:rFonts w:cs="Simplified Arabic"/>
          <w:szCs w:val="18"/>
          <w:rtl/>
        </w:rPr>
        <w:tab/>
        <w:t xml:space="preserve">مفوضية الأمم المتحدة السامية لشؤون اللاجئين، </w:t>
      </w:r>
      <w:r w:rsidRPr="00C52C5F">
        <w:rPr>
          <w:rFonts w:cs="Simplified Arabic"/>
          <w:i/>
          <w:iCs/>
          <w:szCs w:val="18"/>
          <w:rtl/>
        </w:rPr>
        <w:t>دليل بشأن حماية الأشخاص عديمي الجنسية</w:t>
      </w:r>
      <w:r w:rsidRPr="00DF56F1">
        <w:rPr>
          <w:rFonts w:cs="Simplified Arabic"/>
          <w:szCs w:val="18"/>
          <w:rtl/>
        </w:rPr>
        <w:t xml:space="preserve"> (جنيف، 2014)، الفقرة 69. </w:t>
      </w:r>
    </w:p>
  </w:footnote>
  <w:footnote w:id="14">
    <w:p w14:paraId="7F19478E" w14:textId="1662742A" w:rsidR="00DF56F1" w:rsidRPr="00DF56F1" w:rsidRDefault="00DF56F1" w:rsidP="0066630B">
      <w:pPr>
        <w:pStyle w:val="FootnoteText"/>
        <w:tabs>
          <w:tab w:val="clear" w:pos="1021"/>
        </w:tabs>
        <w:bidi/>
        <w:spacing w:after="60" w:line="280" w:lineRule="exact"/>
        <w:ind w:left="1247" w:right="1247" w:hanging="567"/>
        <w:jc w:val="lowKashida"/>
        <w:textDirection w:val="tbRlV"/>
        <w:rPr>
          <w:szCs w:val="18"/>
          <w:rtl/>
        </w:rPr>
      </w:pPr>
      <w:r w:rsidRPr="00DF56F1">
        <w:rPr>
          <w:szCs w:val="18"/>
          <w:rtl/>
        </w:rPr>
        <w:t>(</w:t>
      </w:r>
      <w:r w:rsidRPr="00DF56F1">
        <w:rPr>
          <w:szCs w:val="18"/>
          <w:rtl/>
        </w:rPr>
        <w:footnoteRef/>
      </w:r>
      <w:r w:rsidRPr="00DF56F1">
        <w:rPr>
          <w:szCs w:val="18"/>
          <w:rtl/>
        </w:rPr>
        <w:t>)</w:t>
      </w:r>
      <w:r w:rsidRPr="00DF56F1">
        <w:rPr>
          <w:szCs w:val="18"/>
          <w:rtl/>
        </w:rPr>
        <w:tab/>
      </w:r>
      <w:r w:rsidR="00C52C5F" w:rsidRPr="000B0B96">
        <w:t xml:space="preserve">UNHCR, </w:t>
      </w:r>
      <w:r w:rsidR="00C52C5F" w:rsidRPr="000B0B96">
        <w:rPr>
          <w:i/>
          <w:iCs/>
        </w:rPr>
        <w:t>Mapping Statelessness in the Netherlands</w:t>
      </w:r>
      <w:r w:rsidR="00C52C5F" w:rsidRPr="000B0B96">
        <w:t xml:space="preserve">, p. 60, recommendation 3 (f); and Katja </w:t>
      </w:r>
      <w:proofErr w:type="spellStart"/>
      <w:r w:rsidR="00C52C5F" w:rsidRPr="000B0B96">
        <w:t>Swider</w:t>
      </w:r>
      <w:proofErr w:type="spellEnd"/>
      <w:r w:rsidR="00C52C5F" w:rsidRPr="000B0B96">
        <w:t>, “Statelessness determination in the Netherlands”, pp. 16–18</w:t>
      </w:r>
      <w:r w:rsidRPr="00DF56F1">
        <w:rPr>
          <w:rFonts w:hint="cs"/>
          <w:szCs w:val="18"/>
          <w:rtl/>
        </w:rPr>
        <w:t>.</w:t>
      </w:r>
    </w:p>
  </w:footnote>
  <w:footnote w:id="15">
    <w:p w14:paraId="665C639D" w14:textId="2CADC8BC" w:rsidR="00DF56F1" w:rsidRPr="00DF56F1" w:rsidRDefault="00DF56F1" w:rsidP="0066630B">
      <w:pPr>
        <w:pStyle w:val="FootnoteText"/>
        <w:tabs>
          <w:tab w:val="clear" w:pos="1021"/>
        </w:tabs>
        <w:bidi/>
        <w:spacing w:after="60" w:line="280" w:lineRule="exact"/>
        <w:ind w:left="1247" w:right="1247" w:hanging="567"/>
        <w:jc w:val="lowKashida"/>
        <w:textDirection w:val="tbRlV"/>
        <w:rPr>
          <w:szCs w:val="18"/>
        </w:rPr>
      </w:pPr>
      <w:r w:rsidRPr="00DF56F1">
        <w:rPr>
          <w:szCs w:val="18"/>
          <w:rtl/>
        </w:rPr>
        <w:t>(</w:t>
      </w:r>
      <w:r w:rsidRPr="00DF56F1">
        <w:rPr>
          <w:szCs w:val="18"/>
          <w:rtl/>
        </w:rPr>
        <w:footnoteRef/>
      </w:r>
      <w:r w:rsidRPr="00DF56F1">
        <w:rPr>
          <w:szCs w:val="18"/>
          <w:rtl/>
        </w:rPr>
        <w:t>)</w:t>
      </w:r>
      <w:r w:rsidRPr="00DF56F1">
        <w:rPr>
          <w:szCs w:val="18"/>
          <w:rtl/>
        </w:rPr>
        <w:tab/>
      </w:r>
      <w:r w:rsidR="00C52C5F" w:rsidRPr="000B0B96">
        <w:t xml:space="preserve">UNHCR, </w:t>
      </w:r>
      <w:r w:rsidR="00C52C5F" w:rsidRPr="000B0B96">
        <w:rPr>
          <w:i/>
          <w:iCs/>
        </w:rPr>
        <w:t>Mapping Statelessness in the Netherlands</w:t>
      </w:r>
      <w:r w:rsidR="00C52C5F" w:rsidRPr="000B0B96">
        <w:t>, p. 59, recommendation 3 (b)</w:t>
      </w:r>
      <w:r w:rsidRPr="00DF56F1">
        <w:rPr>
          <w:rFonts w:hint="cs"/>
          <w:szCs w:val="18"/>
          <w:rtl/>
        </w:rPr>
        <w:t>.</w:t>
      </w:r>
      <w:r w:rsidRPr="00DF56F1">
        <w:rPr>
          <w:szCs w:val="18"/>
          <w:rtl/>
        </w:rPr>
        <w:t xml:space="preserve"> </w:t>
      </w:r>
    </w:p>
  </w:footnote>
  <w:footnote w:id="16">
    <w:p w14:paraId="20258FEE" w14:textId="59114C25" w:rsidR="00DF56F1" w:rsidRPr="00DF56F1" w:rsidRDefault="00DF56F1" w:rsidP="0066630B">
      <w:pPr>
        <w:pStyle w:val="FootnoteText"/>
        <w:tabs>
          <w:tab w:val="clear" w:pos="1021"/>
        </w:tabs>
        <w:bidi/>
        <w:spacing w:after="60" w:line="280" w:lineRule="exact"/>
        <w:ind w:left="1247" w:right="1247" w:hanging="567"/>
        <w:jc w:val="lowKashida"/>
        <w:rPr>
          <w:szCs w:val="18"/>
          <w:rtl/>
        </w:rPr>
      </w:pPr>
      <w:r w:rsidRPr="00DF56F1">
        <w:rPr>
          <w:szCs w:val="18"/>
          <w:rtl/>
        </w:rPr>
        <w:t>(</w:t>
      </w:r>
      <w:r w:rsidRPr="00DF56F1">
        <w:rPr>
          <w:szCs w:val="18"/>
          <w:rtl/>
        </w:rPr>
        <w:footnoteRef/>
      </w:r>
      <w:r w:rsidRPr="00DF56F1">
        <w:rPr>
          <w:szCs w:val="18"/>
          <w:rtl/>
        </w:rPr>
        <w:t>)</w:t>
      </w:r>
      <w:r w:rsidRPr="00DF56F1">
        <w:rPr>
          <w:szCs w:val="18"/>
          <w:rtl/>
        </w:rPr>
        <w:tab/>
      </w:r>
      <w:r w:rsidRPr="00DF56F1">
        <w:rPr>
          <w:szCs w:val="18"/>
        </w:rPr>
        <w:t>UNHCR Guidelines on Statelessness No. 4 (“Ensuring every child’s right to acquire a nationality through articles 1–4 of the 1961 Convention on the Reduction of Statelessness”), para. 22</w:t>
      </w:r>
      <w:r w:rsidRPr="00DF56F1">
        <w:rPr>
          <w:szCs w:val="18"/>
          <w:rtl/>
        </w:rPr>
        <w:t xml:space="preserve"> (المبادئ التوجيهية لمفوضية الأمم المتحدة السامية شؤون اللاجئين بشأن انعدام الجنسية رقم 4 ("ضمان حق كل طفل في اكتساب جنسية من خلال المواد 1-4 من اتفاقية خفض حالات انعدام الجنسية لعام 1961")، الفقرة 22).</w:t>
      </w:r>
    </w:p>
  </w:footnote>
  <w:footnote w:id="17">
    <w:p w14:paraId="140FEE0A" w14:textId="71709F21" w:rsidR="00DF56F1" w:rsidRPr="00DF56F1" w:rsidRDefault="00DF56F1" w:rsidP="0066630B">
      <w:pPr>
        <w:pStyle w:val="MyFootnotes"/>
        <w:tabs>
          <w:tab w:val="clear" w:pos="1021"/>
        </w:tabs>
        <w:spacing w:after="60" w:line="280" w:lineRule="exact"/>
        <w:ind w:left="1247" w:right="1247" w:hanging="567"/>
        <w:jc w:val="lowKashida"/>
        <w:rPr>
          <w:rFonts w:cs="Simplified Arabic"/>
          <w:szCs w:val="18"/>
        </w:rPr>
      </w:pPr>
      <w:r w:rsidRPr="00DF56F1">
        <w:rPr>
          <w:rFonts w:cs="Simplified Arabic"/>
          <w:szCs w:val="18"/>
          <w:rtl/>
        </w:rPr>
        <w:t>(</w:t>
      </w:r>
      <w:r w:rsidRPr="00DF56F1">
        <w:rPr>
          <w:rFonts w:cs="Simplified Arabic"/>
          <w:szCs w:val="18"/>
          <w:rtl/>
        </w:rPr>
        <w:footnoteRef/>
      </w:r>
      <w:r w:rsidRPr="00DF56F1">
        <w:rPr>
          <w:rFonts w:cs="Simplified Arabic"/>
          <w:szCs w:val="18"/>
          <w:rtl/>
        </w:rPr>
        <w:t>)</w:t>
      </w:r>
      <w:r w:rsidRPr="00DF56F1">
        <w:rPr>
          <w:rFonts w:cs="Simplified Arabic"/>
          <w:szCs w:val="18"/>
          <w:rtl/>
        </w:rPr>
        <w:tab/>
        <w:t xml:space="preserve">قضية </w:t>
      </w:r>
      <w:proofErr w:type="spellStart"/>
      <w:r w:rsidRPr="00DF56F1">
        <w:rPr>
          <w:rFonts w:cs="Simplified Arabic"/>
          <w:i/>
          <w:iCs/>
          <w:szCs w:val="18"/>
          <w:rtl/>
        </w:rPr>
        <w:t>بولياكوف</w:t>
      </w:r>
      <w:proofErr w:type="spellEnd"/>
      <w:r w:rsidRPr="00DF56F1">
        <w:rPr>
          <w:rFonts w:cs="Simplified Arabic"/>
          <w:i/>
          <w:iCs/>
          <w:szCs w:val="18"/>
          <w:rtl/>
        </w:rPr>
        <w:t xml:space="preserve"> ضد بيلاروس</w:t>
      </w:r>
      <w:r w:rsidRPr="00DF56F1">
        <w:rPr>
          <w:rFonts w:cs="Simplified Arabic"/>
          <w:szCs w:val="18"/>
          <w:rtl/>
        </w:rPr>
        <w:t xml:space="preserve"> (</w:t>
      </w:r>
      <w:r w:rsidRPr="00DF56F1">
        <w:rPr>
          <w:rFonts w:cs="Simplified Arabic"/>
          <w:szCs w:val="18"/>
        </w:rPr>
        <w:t>CCPR/C/111/D/2030/2011</w:t>
      </w:r>
      <w:r w:rsidRPr="00DF56F1">
        <w:rPr>
          <w:rFonts w:cs="Simplified Arabic"/>
          <w:szCs w:val="18"/>
          <w:rtl/>
        </w:rPr>
        <w:t>)، الفقرة 7-4.</w:t>
      </w:r>
    </w:p>
  </w:footnote>
  <w:footnote w:id="18">
    <w:p w14:paraId="07D9CE96" w14:textId="10706D12" w:rsidR="00DF56F1" w:rsidRPr="00DF56F1" w:rsidRDefault="00DF56F1" w:rsidP="0066630B">
      <w:pPr>
        <w:pStyle w:val="MyFootnotes"/>
        <w:tabs>
          <w:tab w:val="clear" w:pos="1021"/>
        </w:tabs>
        <w:spacing w:after="60" w:line="280" w:lineRule="exact"/>
        <w:ind w:left="1247" w:right="1247" w:hanging="567"/>
        <w:jc w:val="lowKashida"/>
        <w:rPr>
          <w:rFonts w:cs="Simplified Arabic"/>
          <w:szCs w:val="18"/>
        </w:rPr>
      </w:pPr>
      <w:r w:rsidRPr="00DF56F1">
        <w:rPr>
          <w:rFonts w:cs="Simplified Arabic"/>
          <w:szCs w:val="18"/>
          <w:rtl/>
        </w:rPr>
        <w:t>(</w:t>
      </w:r>
      <w:r w:rsidRPr="00DF56F1">
        <w:rPr>
          <w:rFonts w:cs="Simplified Arabic"/>
          <w:szCs w:val="18"/>
          <w:rtl/>
        </w:rPr>
        <w:footnoteRef/>
      </w:r>
      <w:r w:rsidRPr="00DF56F1">
        <w:rPr>
          <w:rFonts w:cs="Simplified Arabic"/>
          <w:szCs w:val="18"/>
          <w:rtl/>
        </w:rPr>
        <w:t>)</w:t>
      </w:r>
      <w:r w:rsidRPr="00DF56F1">
        <w:rPr>
          <w:rFonts w:cs="Simplified Arabic"/>
          <w:szCs w:val="18"/>
          <w:rtl/>
        </w:rPr>
        <w:tab/>
        <w:t xml:space="preserve">اللجنة المعنية بحقوق الإنسان، التعليق العام رقم 17(1989)، الفقرة 4؛ وبلاغ </w:t>
      </w:r>
      <w:r w:rsidRPr="00DF56F1">
        <w:rPr>
          <w:rFonts w:cs="Simplified Arabic"/>
          <w:i/>
          <w:iCs/>
          <w:szCs w:val="18"/>
          <w:rtl/>
        </w:rPr>
        <w:t xml:space="preserve">موناكو دي </w:t>
      </w:r>
      <w:proofErr w:type="spellStart"/>
      <w:r w:rsidRPr="00DF56F1">
        <w:rPr>
          <w:rFonts w:cs="Simplified Arabic"/>
          <w:i/>
          <w:iCs/>
          <w:szCs w:val="18"/>
          <w:rtl/>
        </w:rPr>
        <w:t>غاليتشيو</w:t>
      </w:r>
      <w:proofErr w:type="spellEnd"/>
      <w:r w:rsidRPr="00DF56F1">
        <w:rPr>
          <w:rFonts w:cs="Simplified Arabic"/>
          <w:i/>
          <w:iCs/>
          <w:szCs w:val="18"/>
          <w:rtl/>
        </w:rPr>
        <w:t xml:space="preserve"> ضد الأرجنتين</w:t>
      </w:r>
      <w:r w:rsidRPr="00DF56F1">
        <w:rPr>
          <w:rFonts w:cs="Simplified Arabic"/>
          <w:szCs w:val="18"/>
          <w:rtl/>
        </w:rPr>
        <w:t xml:space="preserve"> (</w:t>
      </w:r>
      <w:r w:rsidRPr="00DF56F1">
        <w:rPr>
          <w:rFonts w:cs="Simplified Arabic"/>
          <w:szCs w:val="18"/>
        </w:rPr>
        <w:t>CCPR/C/53/D/400/1990</w:t>
      </w:r>
      <w:r w:rsidRPr="00DF56F1">
        <w:rPr>
          <w:rFonts w:cs="Simplified Arabic"/>
          <w:szCs w:val="18"/>
          <w:rtl/>
        </w:rPr>
        <w:t>) الفقرة 10-5.</w:t>
      </w:r>
    </w:p>
  </w:footnote>
  <w:footnote w:id="19">
    <w:p w14:paraId="40823FB3" w14:textId="7D2A628F" w:rsidR="00DF56F1" w:rsidRPr="00DF56F1" w:rsidRDefault="00DF56F1" w:rsidP="0066630B">
      <w:pPr>
        <w:pStyle w:val="MyFootnotes"/>
        <w:tabs>
          <w:tab w:val="clear" w:pos="1021"/>
        </w:tabs>
        <w:spacing w:after="60" w:line="280" w:lineRule="exact"/>
        <w:ind w:left="1247" w:right="1247" w:hanging="567"/>
        <w:jc w:val="lowKashida"/>
        <w:rPr>
          <w:rFonts w:cs="Simplified Arabic"/>
          <w:szCs w:val="18"/>
        </w:rPr>
      </w:pPr>
      <w:r w:rsidRPr="00DF56F1">
        <w:rPr>
          <w:rFonts w:cs="Simplified Arabic"/>
          <w:szCs w:val="18"/>
          <w:rtl/>
        </w:rPr>
        <w:t>(</w:t>
      </w:r>
      <w:r w:rsidRPr="00DF56F1">
        <w:rPr>
          <w:rFonts w:cs="Simplified Arabic"/>
          <w:szCs w:val="18"/>
          <w:rtl/>
        </w:rPr>
        <w:footnoteRef/>
      </w:r>
      <w:r w:rsidRPr="00DF56F1">
        <w:rPr>
          <w:rFonts w:cs="Simplified Arabic"/>
          <w:szCs w:val="18"/>
          <w:rtl/>
        </w:rPr>
        <w:t>)</w:t>
      </w:r>
      <w:r w:rsidRPr="00DF56F1">
        <w:rPr>
          <w:rFonts w:cs="Simplified Arabic"/>
          <w:szCs w:val="18"/>
          <w:rtl/>
        </w:rPr>
        <w:tab/>
        <w:t xml:space="preserve">بلاغ </w:t>
      </w:r>
      <w:proofErr w:type="spellStart"/>
      <w:r w:rsidRPr="00DF56F1">
        <w:rPr>
          <w:rFonts w:cs="Simplified Arabic"/>
          <w:i/>
          <w:iCs/>
          <w:szCs w:val="18"/>
          <w:rtl/>
        </w:rPr>
        <w:t>بختياري</w:t>
      </w:r>
      <w:proofErr w:type="spellEnd"/>
      <w:r w:rsidRPr="00DF56F1">
        <w:rPr>
          <w:rFonts w:cs="Simplified Arabic"/>
          <w:i/>
          <w:iCs/>
          <w:szCs w:val="18"/>
          <w:rtl/>
        </w:rPr>
        <w:t xml:space="preserve"> </w:t>
      </w:r>
      <w:proofErr w:type="spellStart"/>
      <w:r w:rsidRPr="00DF56F1">
        <w:rPr>
          <w:rFonts w:cs="Simplified Arabic"/>
          <w:i/>
          <w:iCs/>
          <w:szCs w:val="18"/>
          <w:rtl/>
        </w:rPr>
        <w:t>وبختياري</w:t>
      </w:r>
      <w:proofErr w:type="spellEnd"/>
      <w:r w:rsidRPr="00DF56F1">
        <w:rPr>
          <w:rFonts w:cs="Simplified Arabic"/>
          <w:i/>
          <w:iCs/>
          <w:szCs w:val="18"/>
          <w:rtl/>
        </w:rPr>
        <w:t xml:space="preserve"> ضد أستراليا</w:t>
      </w:r>
      <w:r w:rsidRPr="00DF56F1">
        <w:rPr>
          <w:rFonts w:cs="Simplified Arabic"/>
          <w:szCs w:val="18"/>
          <w:rtl/>
        </w:rPr>
        <w:t xml:space="preserve"> (</w:t>
      </w:r>
      <w:r w:rsidRPr="00DF56F1">
        <w:rPr>
          <w:rFonts w:cs="Simplified Arabic"/>
          <w:szCs w:val="18"/>
        </w:rPr>
        <w:t>CCPR/C/79/D/1069/2002</w:t>
      </w:r>
      <w:r w:rsidRPr="00DF56F1">
        <w:rPr>
          <w:rFonts w:cs="Simplified Arabic"/>
          <w:szCs w:val="18"/>
          <w:rtl/>
        </w:rPr>
        <w:t xml:space="preserve">)، الفقرة 9-7. </w:t>
      </w:r>
    </w:p>
  </w:footnote>
  <w:footnote w:id="20">
    <w:p w14:paraId="5F9A3FCA" w14:textId="62A33790" w:rsidR="00DF56F1" w:rsidRPr="00DF56F1" w:rsidRDefault="00DF56F1" w:rsidP="0066630B">
      <w:pPr>
        <w:pStyle w:val="MyFootnotes"/>
        <w:tabs>
          <w:tab w:val="clear" w:pos="1021"/>
        </w:tabs>
        <w:spacing w:after="60" w:line="280" w:lineRule="exact"/>
        <w:ind w:left="1247" w:right="1247" w:hanging="567"/>
        <w:jc w:val="lowKashida"/>
        <w:rPr>
          <w:rFonts w:cs="Simplified Arabic" w:hint="cs"/>
          <w:szCs w:val="18"/>
          <w:rtl/>
        </w:rPr>
      </w:pPr>
      <w:r w:rsidRPr="00DF56F1">
        <w:rPr>
          <w:rFonts w:cs="Simplified Arabic"/>
          <w:szCs w:val="18"/>
          <w:rtl/>
        </w:rPr>
        <w:t>(</w:t>
      </w:r>
      <w:r w:rsidRPr="00DF56F1">
        <w:rPr>
          <w:rFonts w:cs="Simplified Arabic"/>
          <w:szCs w:val="18"/>
          <w:rtl/>
        </w:rPr>
        <w:footnoteRef/>
      </w:r>
      <w:r w:rsidRPr="00DF56F1">
        <w:rPr>
          <w:rFonts w:cs="Simplified Arabic"/>
          <w:szCs w:val="18"/>
          <w:rtl/>
        </w:rPr>
        <w:t>)</w:t>
      </w:r>
      <w:r w:rsidRPr="00DF56F1">
        <w:rPr>
          <w:rFonts w:cs="Simplified Arabic"/>
          <w:szCs w:val="18"/>
          <w:rtl/>
        </w:rPr>
        <w:tab/>
        <w:t>انظر الفقرة 8.</w:t>
      </w:r>
    </w:p>
  </w:footnote>
  <w:footnote w:id="21">
    <w:p w14:paraId="13F4F1A6" w14:textId="2C048CFE" w:rsidR="00DF56F1" w:rsidRPr="00DF56F1" w:rsidRDefault="00DF56F1" w:rsidP="0066630B">
      <w:pPr>
        <w:pStyle w:val="MyFootnotes"/>
        <w:tabs>
          <w:tab w:val="clear" w:pos="1021"/>
        </w:tabs>
        <w:spacing w:after="60" w:line="280" w:lineRule="exact"/>
        <w:ind w:left="1247" w:right="1247" w:hanging="567"/>
        <w:jc w:val="lowKashida"/>
        <w:rPr>
          <w:rFonts w:cs="Simplified Arabic"/>
          <w:szCs w:val="18"/>
        </w:rPr>
      </w:pPr>
      <w:r w:rsidRPr="00DF56F1">
        <w:rPr>
          <w:rFonts w:cs="Simplified Arabic"/>
          <w:szCs w:val="18"/>
          <w:rtl/>
        </w:rPr>
        <w:t>(</w:t>
      </w:r>
      <w:r w:rsidRPr="00DF56F1">
        <w:rPr>
          <w:rFonts w:cs="Simplified Arabic"/>
          <w:szCs w:val="18"/>
          <w:rtl/>
        </w:rPr>
        <w:footnoteRef/>
      </w:r>
      <w:r w:rsidRPr="00DF56F1">
        <w:rPr>
          <w:rFonts w:cs="Simplified Arabic"/>
          <w:szCs w:val="18"/>
          <w:rtl/>
        </w:rPr>
        <w:t>)</w:t>
      </w:r>
      <w:r w:rsidRPr="00DF56F1">
        <w:rPr>
          <w:rFonts w:cs="Simplified Arabic"/>
          <w:szCs w:val="18"/>
          <w:rtl/>
        </w:rPr>
        <w:tab/>
        <w:t>المرجع نفسه.</w:t>
      </w:r>
    </w:p>
  </w:footnote>
  <w:footnote w:id="22">
    <w:p w14:paraId="5D48B66B" w14:textId="5C1455A9" w:rsidR="00DF56F1" w:rsidRPr="00DF56F1" w:rsidRDefault="00DF56F1" w:rsidP="0066630B">
      <w:pPr>
        <w:pStyle w:val="MyFootnotes"/>
        <w:tabs>
          <w:tab w:val="clear" w:pos="1021"/>
        </w:tabs>
        <w:spacing w:after="60" w:line="280" w:lineRule="exact"/>
        <w:ind w:left="1247" w:right="1247" w:hanging="567"/>
        <w:jc w:val="lowKashida"/>
        <w:rPr>
          <w:rFonts w:cs="Simplified Arabic"/>
          <w:szCs w:val="18"/>
        </w:rPr>
      </w:pPr>
      <w:r w:rsidRPr="00DF56F1">
        <w:rPr>
          <w:rFonts w:cs="Simplified Arabic"/>
          <w:szCs w:val="18"/>
          <w:rtl/>
        </w:rPr>
        <w:t>(</w:t>
      </w:r>
      <w:r w:rsidRPr="00DF56F1">
        <w:rPr>
          <w:rFonts w:cs="Simplified Arabic"/>
          <w:szCs w:val="18"/>
          <w:rtl/>
        </w:rPr>
        <w:footnoteRef/>
      </w:r>
      <w:r w:rsidRPr="00DF56F1">
        <w:rPr>
          <w:rFonts w:cs="Simplified Arabic"/>
          <w:szCs w:val="18"/>
          <w:rtl/>
        </w:rPr>
        <w:t>)</w:t>
      </w:r>
      <w:r w:rsidRPr="00DF56F1">
        <w:rPr>
          <w:rFonts w:cs="Simplified Arabic"/>
          <w:szCs w:val="18"/>
          <w:rtl/>
        </w:rPr>
        <w:tab/>
        <w:t>انظر الفقرة 19. انظر أيضاً المبادئ التوجيهية لمفوضية الأمم المتحدة السامية شؤون اللاجئين بشأن انعدام الجنسية رقم 5 (</w:t>
      </w:r>
      <w:r w:rsidRPr="00DF56F1">
        <w:rPr>
          <w:rFonts w:cs="Simplified Arabic" w:hint="cs"/>
          <w:szCs w:val="18"/>
          <w:rtl/>
        </w:rPr>
        <w:t>"</w:t>
      </w:r>
      <w:r w:rsidRPr="00DF56F1">
        <w:rPr>
          <w:rFonts w:cs="Simplified Arabic"/>
          <w:szCs w:val="18"/>
          <w:rtl/>
        </w:rPr>
        <w:t>فقدان الجنسية والحرمان منها بموجب المواد 5 إلى 9 من اتفاقية عام 1961 بشأن الحد من حالات انعدام الجنسية")، الفقرات 86-90.</w:t>
      </w:r>
    </w:p>
  </w:footnote>
  <w:footnote w:id="23">
    <w:p w14:paraId="67BD08EE" w14:textId="1085F205" w:rsidR="00DF56F1" w:rsidRPr="00DF56F1" w:rsidRDefault="00DF56F1" w:rsidP="0066630B">
      <w:pPr>
        <w:pStyle w:val="FootnoteText"/>
        <w:tabs>
          <w:tab w:val="clear" w:pos="1021"/>
        </w:tabs>
        <w:bidi/>
        <w:spacing w:after="60" w:line="280" w:lineRule="exact"/>
        <w:ind w:left="1247" w:right="1247" w:hanging="567"/>
        <w:jc w:val="lowKashida"/>
        <w:textDirection w:val="tbRlV"/>
        <w:rPr>
          <w:szCs w:val="18"/>
        </w:rPr>
      </w:pPr>
      <w:r w:rsidRPr="00DF56F1">
        <w:rPr>
          <w:szCs w:val="18"/>
          <w:rtl/>
        </w:rPr>
        <w:t>(</w:t>
      </w:r>
      <w:r w:rsidRPr="00DF56F1">
        <w:rPr>
          <w:szCs w:val="18"/>
          <w:rtl/>
        </w:rPr>
        <w:footnoteRef/>
      </w:r>
      <w:r w:rsidRPr="00DF56F1">
        <w:rPr>
          <w:szCs w:val="18"/>
          <w:rtl/>
        </w:rPr>
        <w:t>)</w:t>
      </w:r>
      <w:r w:rsidRPr="00DF56F1">
        <w:rPr>
          <w:szCs w:val="18"/>
          <w:rtl/>
        </w:rPr>
        <w:tab/>
        <w:t>المبادئ التوجيهية لمفوضية الأمم المتحدة السامية شؤون اللاجئين بشأن انعدام الجنسية رقم4، القرة 20.</w:t>
      </w:r>
    </w:p>
  </w:footnote>
  <w:footnote w:id="24">
    <w:p w14:paraId="088E2D01" w14:textId="7BD0A22F" w:rsidR="00DF56F1" w:rsidRPr="00DF56F1" w:rsidRDefault="00DF56F1" w:rsidP="0066630B">
      <w:pPr>
        <w:pStyle w:val="MyFootnotes"/>
        <w:tabs>
          <w:tab w:val="clear" w:pos="1021"/>
        </w:tabs>
        <w:spacing w:after="60" w:line="280" w:lineRule="exact"/>
        <w:ind w:left="1247" w:right="1247" w:hanging="567"/>
        <w:jc w:val="lowKashida"/>
        <w:rPr>
          <w:rFonts w:cs="Simplified Arabic"/>
          <w:szCs w:val="18"/>
        </w:rPr>
      </w:pPr>
      <w:r w:rsidRPr="00DF56F1">
        <w:rPr>
          <w:rFonts w:cs="Simplified Arabic"/>
          <w:szCs w:val="18"/>
          <w:rtl/>
        </w:rPr>
        <w:t>(</w:t>
      </w:r>
      <w:r w:rsidRPr="00DF56F1">
        <w:rPr>
          <w:rFonts w:cs="Simplified Arabic"/>
          <w:szCs w:val="18"/>
          <w:rtl/>
        </w:rPr>
        <w:footnoteRef/>
      </w:r>
      <w:r w:rsidRPr="00DF56F1">
        <w:rPr>
          <w:rFonts w:cs="Simplified Arabic"/>
          <w:szCs w:val="18"/>
          <w:rtl/>
        </w:rPr>
        <w:t xml:space="preserve">) </w:t>
      </w:r>
      <w:r w:rsidRPr="00DF56F1">
        <w:rPr>
          <w:rFonts w:cs="Simplified Arabic"/>
          <w:szCs w:val="18"/>
          <w:rtl/>
        </w:rPr>
        <w:tab/>
        <w:t>المرجع نفسه، الفقرة 22.</w:t>
      </w:r>
    </w:p>
  </w:footnote>
  <w:footnote w:id="25">
    <w:p w14:paraId="234610A9" w14:textId="17AAE95C" w:rsidR="00DF56F1" w:rsidRPr="00DF56F1" w:rsidRDefault="00DF56F1" w:rsidP="0066630B">
      <w:pPr>
        <w:pStyle w:val="MyFootnotes"/>
        <w:tabs>
          <w:tab w:val="clear" w:pos="1021"/>
        </w:tabs>
        <w:spacing w:after="60" w:line="280" w:lineRule="exact"/>
        <w:ind w:left="1247" w:right="1247" w:hanging="567"/>
        <w:jc w:val="lowKashida"/>
        <w:rPr>
          <w:rFonts w:cs="Simplified Arabic"/>
          <w:szCs w:val="18"/>
        </w:rPr>
      </w:pPr>
      <w:r w:rsidRPr="00DF56F1">
        <w:rPr>
          <w:rFonts w:cs="Simplified Arabic"/>
          <w:szCs w:val="18"/>
          <w:rtl/>
        </w:rPr>
        <w:t>(</w:t>
      </w:r>
      <w:r w:rsidRPr="00DF56F1">
        <w:rPr>
          <w:rFonts w:cs="Simplified Arabic"/>
          <w:szCs w:val="18"/>
          <w:rtl/>
        </w:rPr>
        <w:footnoteRef/>
      </w:r>
      <w:r w:rsidRPr="00DF56F1">
        <w:rPr>
          <w:rFonts w:cs="Simplified Arabic"/>
          <w:szCs w:val="18"/>
          <w:rtl/>
        </w:rPr>
        <w:t>)</w:t>
      </w:r>
      <w:r w:rsidRPr="00DF56F1">
        <w:rPr>
          <w:rFonts w:cs="Simplified Arabic"/>
          <w:szCs w:val="18"/>
          <w:rtl/>
        </w:rPr>
        <w:tab/>
        <w:t xml:space="preserve">الوثيقة </w:t>
      </w:r>
      <w:r w:rsidRPr="00DF56F1">
        <w:rPr>
          <w:rFonts w:cs="Simplified Arabic"/>
          <w:szCs w:val="18"/>
        </w:rPr>
        <w:t>CCPR/C/NLD/CO/5</w:t>
      </w:r>
      <w:r w:rsidRPr="00DF56F1">
        <w:rPr>
          <w:rFonts w:cs="Simplified Arabic"/>
          <w:szCs w:val="18"/>
          <w:rtl/>
        </w:rPr>
        <w:t xml:space="preserve">، الفقرة 22. </w:t>
      </w:r>
    </w:p>
  </w:footnote>
  <w:footnote w:id="26">
    <w:p w14:paraId="3961AE90" w14:textId="59F11C95" w:rsidR="00DF56F1" w:rsidRPr="00DF56F1" w:rsidRDefault="00DF56F1" w:rsidP="0066630B">
      <w:pPr>
        <w:pStyle w:val="MyFootnotes"/>
        <w:tabs>
          <w:tab w:val="clear" w:pos="1021"/>
        </w:tabs>
        <w:spacing w:after="60" w:line="280" w:lineRule="exact"/>
        <w:ind w:left="1247" w:right="1247" w:hanging="567"/>
        <w:jc w:val="lowKashida"/>
        <w:rPr>
          <w:rFonts w:cs="Simplified Arabic"/>
          <w:szCs w:val="18"/>
        </w:rPr>
      </w:pPr>
      <w:r w:rsidRPr="00DF56F1">
        <w:rPr>
          <w:rFonts w:cs="Simplified Arabic"/>
          <w:szCs w:val="18"/>
          <w:rtl/>
        </w:rPr>
        <w:t>(</w:t>
      </w:r>
      <w:r w:rsidRPr="00DF56F1">
        <w:rPr>
          <w:rFonts w:cs="Simplified Arabic"/>
          <w:szCs w:val="18"/>
          <w:rtl/>
        </w:rPr>
        <w:footnoteRef/>
      </w:r>
      <w:r w:rsidRPr="00DF56F1">
        <w:rPr>
          <w:rFonts w:cs="Simplified Arabic"/>
          <w:szCs w:val="18"/>
          <w:rtl/>
        </w:rPr>
        <w:t xml:space="preserve">) </w:t>
      </w:r>
      <w:r w:rsidRPr="00DF56F1">
        <w:rPr>
          <w:rFonts w:cs="Simplified Arabic"/>
          <w:szCs w:val="18"/>
          <w:rtl/>
        </w:rPr>
        <w:tab/>
        <w:t>المرجع نفسه، الفقرة 23.</w:t>
      </w:r>
    </w:p>
  </w:footnote>
  <w:footnote w:id="27">
    <w:p w14:paraId="6D056760" w14:textId="3B65ED17" w:rsidR="00DF56F1" w:rsidRPr="00DF56F1" w:rsidRDefault="00DF56F1" w:rsidP="0066630B">
      <w:pPr>
        <w:pStyle w:val="MyFootnotes"/>
        <w:tabs>
          <w:tab w:val="clear" w:pos="1021"/>
        </w:tabs>
        <w:spacing w:after="60" w:line="280" w:lineRule="exact"/>
        <w:ind w:left="1247" w:right="1247" w:hanging="567"/>
        <w:jc w:val="lowKashida"/>
        <w:rPr>
          <w:rFonts w:cs="Simplified Arabic"/>
          <w:szCs w:val="18"/>
        </w:rPr>
      </w:pPr>
      <w:r w:rsidRPr="00DF56F1">
        <w:rPr>
          <w:rFonts w:cs="Simplified Arabic"/>
          <w:szCs w:val="18"/>
          <w:rtl/>
        </w:rPr>
        <w:t>(</w:t>
      </w:r>
      <w:r w:rsidRPr="00DF56F1">
        <w:rPr>
          <w:rFonts w:cs="Simplified Arabic"/>
          <w:szCs w:val="18"/>
          <w:rtl/>
        </w:rPr>
        <w:footnoteRef/>
      </w:r>
      <w:r w:rsidRPr="00DF56F1">
        <w:rPr>
          <w:rFonts w:cs="Simplified Arabic"/>
          <w:szCs w:val="18"/>
          <w:rtl/>
        </w:rPr>
        <w:t xml:space="preserve">) </w:t>
      </w:r>
      <w:r w:rsidRPr="00DF56F1">
        <w:rPr>
          <w:rFonts w:cs="Simplified Arabic"/>
          <w:szCs w:val="18"/>
          <w:rtl/>
        </w:rPr>
        <w:tab/>
        <w:t xml:space="preserve">الوثيقة </w:t>
      </w:r>
      <w:r w:rsidRPr="00DF56F1">
        <w:rPr>
          <w:rFonts w:cs="Simplified Arabic"/>
          <w:szCs w:val="18"/>
        </w:rPr>
        <w:t>CRC/C/NLD/CO/4</w:t>
      </w:r>
      <w:r w:rsidRPr="00DF56F1">
        <w:rPr>
          <w:rFonts w:cs="Simplified Arabic"/>
          <w:szCs w:val="18"/>
          <w:rtl/>
        </w:rPr>
        <w:t>، الفقرة 33.</w:t>
      </w:r>
    </w:p>
  </w:footnote>
  <w:footnote w:id="28">
    <w:p w14:paraId="7879C00D" w14:textId="196BAC89" w:rsidR="00DF56F1" w:rsidRPr="00DF56F1" w:rsidRDefault="00DF56F1" w:rsidP="00A73D4F">
      <w:pPr>
        <w:pStyle w:val="FootnoteText"/>
        <w:tabs>
          <w:tab w:val="clear" w:pos="1021"/>
        </w:tabs>
        <w:bidi/>
        <w:spacing w:after="60" w:line="280" w:lineRule="exact"/>
        <w:ind w:left="1247" w:right="1247" w:hanging="567"/>
        <w:jc w:val="lowKashida"/>
        <w:textDirection w:val="tbRlV"/>
        <w:rPr>
          <w:szCs w:val="18"/>
          <w:lang w:eastAsia="zh-TW" w:bidi="en-GB"/>
        </w:rPr>
      </w:pPr>
      <w:r w:rsidRPr="00DF56F1">
        <w:rPr>
          <w:rStyle w:val="FootnoteReference"/>
          <w:vertAlign w:val="baseline"/>
          <w:rtl/>
        </w:rPr>
        <w:t>(</w:t>
      </w:r>
      <w:r w:rsidRPr="00DF56F1">
        <w:rPr>
          <w:rStyle w:val="FootnoteReference"/>
          <w:vertAlign w:val="baseline"/>
          <w:rtl/>
        </w:rPr>
        <w:footnoteRef/>
      </w:r>
      <w:r w:rsidRPr="00DF56F1">
        <w:rPr>
          <w:rStyle w:val="FootnoteReference"/>
          <w:vertAlign w:val="baseline"/>
          <w:rtl/>
        </w:rPr>
        <w:t>)</w:t>
      </w:r>
      <w:r w:rsidRPr="00DF56F1">
        <w:rPr>
          <w:szCs w:val="18"/>
          <w:rtl/>
        </w:rPr>
        <w:tab/>
      </w:r>
      <w:r w:rsidRPr="00DF56F1">
        <w:rPr>
          <w:rFonts w:cs="Times New Roman"/>
          <w:szCs w:val="18"/>
        </w:rPr>
        <w:t>African Court on Human and Peoples’ Rights,</w:t>
      </w:r>
      <w:r w:rsidRPr="00DF56F1">
        <w:rPr>
          <w:rFonts w:cs="Times New Roman"/>
          <w:i/>
          <w:iCs/>
          <w:szCs w:val="18"/>
        </w:rPr>
        <w:t xml:space="preserve"> </w:t>
      </w:r>
      <w:proofErr w:type="spellStart"/>
      <w:r w:rsidRPr="00DF56F1">
        <w:rPr>
          <w:rFonts w:cs="Times New Roman"/>
          <w:i/>
          <w:iCs/>
          <w:szCs w:val="18"/>
        </w:rPr>
        <w:t>Penessis</w:t>
      </w:r>
      <w:proofErr w:type="spellEnd"/>
      <w:r w:rsidRPr="00DF56F1">
        <w:rPr>
          <w:rFonts w:cs="Times New Roman"/>
          <w:i/>
          <w:iCs/>
          <w:szCs w:val="18"/>
        </w:rPr>
        <w:t xml:space="preserve"> v. United Republic of Tanzania</w:t>
      </w:r>
      <w:r w:rsidRPr="00DF56F1">
        <w:rPr>
          <w:rFonts w:cs="Times New Roman"/>
          <w:szCs w:val="18"/>
        </w:rPr>
        <w:t>, application No. 013/2015, judgment of 28 November 2019, para. 87.</w:t>
      </w:r>
      <w:r w:rsidRPr="00DF56F1">
        <w:rPr>
          <w:szCs w:val="18"/>
        </w:rPr>
        <w:t xml:space="preserve"> </w:t>
      </w:r>
      <w:proofErr w:type="spellStart"/>
      <w:r w:rsidRPr="00DF56F1">
        <w:rPr>
          <w:szCs w:val="18"/>
        </w:rPr>
        <w:t>انظر</w:t>
      </w:r>
      <w:proofErr w:type="spellEnd"/>
      <w:r w:rsidRPr="00DF56F1">
        <w:rPr>
          <w:szCs w:val="18"/>
        </w:rPr>
        <w:t xml:space="preserve"> </w:t>
      </w:r>
      <w:proofErr w:type="spellStart"/>
      <w:r w:rsidRPr="00DF56F1">
        <w:rPr>
          <w:szCs w:val="18"/>
        </w:rPr>
        <w:t>أيضاً</w:t>
      </w:r>
      <w:proofErr w:type="spellEnd"/>
      <w:r w:rsidRPr="00DF56F1">
        <w:rPr>
          <w:szCs w:val="18"/>
        </w:rPr>
        <w:t xml:space="preserve"> </w:t>
      </w:r>
      <w:r w:rsidRPr="00DF56F1">
        <w:rPr>
          <w:rFonts w:cs="Times New Roman"/>
          <w:szCs w:val="18"/>
        </w:rPr>
        <w:t xml:space="preserve">African Commission on Human and Peoples’ Rights, </w:t>
      </w:r>
      <w:r w:rsidRPr="00DF56F1">
        <w:rPr>
          <w:rFonts w:cs="Times New Roman"/>
          <w:i/>
          <w:iCs/>
          <w:szCs w:val="18"/>
        </w:rPr>
        <w:t>Open Society Justice Initiative v. Côte d’Ivoire</w:t>
      </w:r>
      <w:r w:rsidRPr="00DF56F1">
        <w:rPr>
          <w:rFonts w:cs="Times New Roman"/>
          <w:szCs w:val="18"/>
        </w:rPr>
        <w:t>, petition No. 318/06, decision of 18–28 February 2015</w:t>
      </w:r>
      <w:r w:rsidRPr="00DF56F1">
        <w:rPr>
          <w:szCs w:val="18"/>
          <w:rtl/>
        </w:rPr>
        <w:t>.</w:t>
      </w:r>
    </w:p>
  </w:footnote>
  <w:footnote w:id="29">
    <w:p w14:paraId="17AF010A" w14:textId="52C6C149" w:rsidR="00DF56F1" w:rsidRPr="00DF56F1" w:rsidRDefault="00DF56F1" w:rsidP="00230D11">
      <w:pPr>
        <w:pStyle w:val="FootnoteText"/>
        <w:tabs>
          <w:tab w:val="clear" w:pos="1021"/>
        </w:tabs>
        <w:bidi/>
        <w:spacing w:after="60" w:line="240" w:lineRule="exact"/>
        <w:ind w:left="1247" w:right="1247" w:hanging="567"/>
        <w:jc w:val="lowKashida"/>
        <w:textDirection w:val="tbRlV"/>
        <w:rPr>
          <w:bCs/>
          <w:color w:val="000000"/>
          <w:szCs w:val="18"/>
          <w:lang w:eastAsia="zh-TW" w:bidi="en-GB"/>
        </w:rPr>
      </w:pPr>
      <w:r w:rsidRPr="00DF56F1">
        <w:rPr>
          <w:rStyle w:val="FootnoteReference"/>
          <w:vertAlign w:val="baseline"/>
          <w:rtl/>
        </w:rPr>
        <w:t>(</w:t>
      </w:r>
      <w:r w:rsidRPr="00DF56F1">
        <w:rPr>
          <w:rStyle w:val="FootnoteReference"/>
          <w:vertAlign w:val="baseline"/>
          <w:rtl/>
        </w:rPr>
        <w:footnoteRef/>
      </w:r>
      <w:r w:rsidRPr="00DF56F1">
        <w:rPr>
          <w:rStyle w:val="FootnoteReference"/>
          <w:vertAlign w:val="baseline"/>
          <w:rtl/>
        </w:rPr>
        <w:t>)</w:t>
      </w:r>
      <w:r w:rsidRPr="00DF56F1">
        <w:rPr>
          <w:szCs w:val="18"/>
          <w:rtl/>
        </w:rPr>
        <w:tab/>
      </w:r>
      <w:r w:rsidRPr="00DF56F1">
        <w:rPr>
          <w:rFonts w:cs="Times New Roman"/>
          <w:szCs w:val="18"/>
        </w:rPr>
        <w:t>Inter-American Court of Human Rights,</w:t>
      </w:r>
      <w:r w:rsidRPr="00DF56F1">
        <w:rPr>
          <w:rFonts w:cs="Times New Roman"/>
          <w:i/>
          <w:iCs/>
          <w:szCs w:val="18"/>
        </w:rPr>
        <w:t xml:space="preserve"> Proposed Amendments to the Naturalization Provisions of the Constitution of Costa Rica</w:t>
      </w:r>
      <w:r w:rsidRPr="00DF56F1">
        <w:rPr>
          <w:rFonts w:cs="Times New Roman"/>
          <w:szCs w:val="18"/>
        </w:rPr>
        <w:t>, Advisory Opinion OC-4/84 of 19 January 1984.</w:t>
      </w:r>
      <w:r w:rsidRPr="00DF56F1">
        <w:rPr>
          <w:szCs w:val="18"/>
        </w:rPr>
        <w:t xml:space="preserve"> </w:t>
      </w:r>
      <w:r w:rsidRPr="00DF56F1">
        <w:rPr>
          <w:rFonts w:cs="Times New Roman"/>
          <w:szCs w:val="18"/>
        </w:rPr>
        <w:t>Series A, No. 4, paras. 32–33</w:t>
      </w:r>
      <w:r w:rsidRPr="00DF56F1">
        <w:rPr>
          <w:rFonts w:cs="Times New Roman"/>
          <w:szCs w:val="18"/>
          <w:rtl/>
        </w:rPr>
        <w:t>.</w:t>
      </w:r>
      <w:r w:rsidRPr="00DF56F1">
        <w:rPr>
          <w:szCs w:val="18"/>
          <w:rtl/>
        </w:rPr>
        <w:t xml:space="preserve"> </w:t>
      </w:r>
    </w:p>
  </w:footnote>
  <w:footnote w:id="30">
    <w:p w14:paraId="1A525D90" w14:textId="463F4ED1" w:rsidR="00DF56F1" w:rsidRPr="00DF56F1" w:rsidRDefault="00DF56F1" w:rsidP="002730F4">
      <w:pPr>
        <w:pStyle w:val="FootnoteText"/>
        <w:tabs>
          <w:tab w:val="clear" w:pos="1021"/>
        </w:tabs>
        <w:bidi/>
        <w:spacing w:after="60" w:line="280" w:lineRule="exact"/>
        <w:ind w:left="1247" w:right="1247" w:hanging="567"/>
        <w:jc w:val="lowKashida"/>
        <w:rPr>
          <w:rFonts w:cs="Times New Roman"/>
          <w:szCs w:val="18"/>
          <w:rtl/>
        </w:rPr>
      </w:pPr>
      <w:r w:rsidRPr="00DF56F1">
        <w:rPr>
          <w:rStyle w:val="FootnoteReference"/>
          <w:vertAlign w:val="baseline"/>
          <w:rtl/>
        </w:rPr>
        <w:t>(</w:t>
      </w:r>
      <w:r w:rsidRPr="00DF56F1">
        <w:rPr>
          <w:rStyle w:val="FootnoteReference"/>
          <w:vertAlign w:val="baseline"/>
          <w:rtl/>
        </w:rPr>
        <w:footnoteRef/>
      </w:r>
      <w:r w:rsidRPr="00DF56F1">
        <w:rPr>
          <w:rStyle w:val="FootnoteReference"/>
          <w:vertAlign w:val="baseline"/>
          <w:rtl/>
        </w:rPr>
        <w:t>)</w:t>
      </w:r>
      <w:r w:rsidRPr="00DF56F1">
        <w:rPr>
          <w:szCs w:val="18"/>
          <w:rtl/>
        </w:rPr>
        <w:tab/>
      </w:r>
      <w:r w:rsidRPr="00973500">
        <w:rPr>
          <w:rFonts w:cs="Times New Roman"/>
          <w:spacing w:val="-4"/>
          <w:szCs w:val="18"/>
        </w:rPr>
        <w:t xml:space="preserve">Inter-American Court of Human Rights, </w:t>
      </w:r>
      <w:r w:rsidRPr="00973500">
        <w:rPr>
          <w:rFonts w:cs="Times New Roman"/>
          <w:i/>
          <w:spacing w:val="-4"/>
          <w:szCs w:val="18"/>
        </w:rPr>
        <w:t xml:space="preserve">Yean and </w:t>
      </w:r>
      <w:proofErr w:type="spellStart"/>
      <w:r w:rsidRPr="00973500">
        <w:rPr>
          <w:rFonts w:cs="Times New Roman"/>
          <w:i/>
          <w:spacing w:val="-4"/>
          <w:szCs w:val="18"/>
        </w:rPr>
        <w:t>Bosico</w:t>
      </w:r>
      <w:proofErr w:type="spellEnd"/>
      <w:r w:rsidRPr="00973500">
        <w:rPr>
          <w:rFonts w:cs="Times New Roman"/>
          <w:i/>
          <w:spacing w:val="-4"/>
          <w:szCs w:val="18"/>
        </w:rPr>
        <w:t xml:space="preserve"> Girls v. Dominican Republic</w:t>
      </w:r>
      <w:r w:rsidRPr="00973500">
        <w:rPr>
          <w:rFonts w:cs="Times New Roman"/>
          <w:iCs/>
          <w:spacing w:val="-4"/>
          <w:szCs w:val="18"/>
        </w:rPr>
        <w:t>,</w:t>
      </w:r>
      <w:r w:rsidRPr="00973500">
        <w:rPr>
          <w:rFonts w:cs="Times New Roman"/>
          <w:spacing w:val="-4"/>
          <w:szCs w:val="18"/>
        </w:rPr>
        <w:t xml:space="preserve"> Preliminary</w:t>
      </w:r>
      <w:r w:rsidR="00973500">
        <w:rPr>
          <w:rFonts w:cs="Times New Roman"/>
          <w:spacing w:val="-4"/>
          <w:szCs w:val="18"/>
        </w:rPr>
        <w:t xml:space="preserve"> </w:t>
      </w:r>
      <w:r w:rsidRPr="00973500">
        <w:rPr>
          <w:rFonts w:cs="Times New Roman"/>
          <w:spacing w:val="-4"/>
          <w:szCs w:val="18"/>
        </w:rPr>
        <w:t xml:space="preserve">Objections, Merits, Reparations and Costs. Judgment of 8 September 2005. Series C, No. 130, para. 134: </w:t>
      </w:r>
      <w:r w:rsidRPr="00DF56F1">
        <w:rPr>
          <w:rFonts w:ascii="Traditional Arabic" w:hAnsi="Traditional Arabic" w:hint="cs"/>
          <w:szCs w:val="18"/>
          <w:rtl/>
        </w:rPr>
        <w:t xml:space="preserve"> </w:t>
      </w:r>
      <w:r w:rsidRPr="00DF56F1">
        <w:rPr>
          <w:szCs w:val="18"/>
          <w:rtl/>
        </w:rPr>
        <w:t>"ذكرت هذه المحكمة أن القضايا التي يكون فيها ضحايا انتهاكات حقوق الإنسان هم أطفال تكون خطيرة بشكل خاص. ينبغي فهم أسبقية المصلحة العليا للطفل على أنها الحاجة إلى الوفاء بجميع حقوق الطفل، وهذا أمر ملزم للدولة ويؤثر على تفسير الحقوق الأخرى المنصوص عليها في الاتفاقية عندما تتعلق الحالة بالأطفال. وعلاوة على ذلك، يجب على الدولة أن تولي اهتماماً خاصاً لاحتياجات وحقوق الأشخاص المدَّعى أنهم ضحايا بسبب وضعهم كطفلات ينتمين إلى فئة ضعيفة"</w:t>
      </w:r>
      <w:r w:rsidRPr="00DF56F1">
        <w:rPr>
          <w:rFonts w:cs="Times New Roman"/>
          <w:szCs w:val="18"/>
          <w:rtl/>
        </w:rPr>
        <w:t>.</w:t>
      </w:r>
    </w:p>
  </w:footnote>
  <w:footnote w:id="31">
    <w:p w14:paraId="56006A50" w14:textId="39FADD9C" w:rsidR="00DF56F1" w:rsidRPr="00DF56F1" w:rsidRDefault="00DF56F1" w:rsidP="00230D11">
      <w:pPr>
        <w:pStyle w:val="FootnoteText"/>
        <w:tabs>
          <w:tab w:val="clear" w:pos="1021"/>
        </w:tabs>
        <w:bidi/>
        <w:spacing w:after="60" w:line="240" w:lineRule="exact"/>
        <w:ind w:left="1247" w:right="1247" w:hanging="567"/>
        <w:jc w:val="lowKashida"/>
        <w:rPr>
          <w:szCs w:val="18"/>
          <w:rtl/>
        </w:rPr>
      </w:pPr>
      <w:r w:rsidRPr="00DF56F1">
        <w:rPr>
          <w:szCs w:val="18"/>
          <w:rtl/>
        </w:rPr>
        <w:t>(</w:t>
      </w:r>
      <w:r w:rsidRPr="00DF56F1">
        <w:rPr>
          <w:szCs w:val="18"/>
          <w:rtl/>
        </w:rPr>
        <w:footnoteRef/>
      </w:r>
      <w:r w:rsidRPr="00DF56F1">
        <w:rPr>
          <w:szCs w:val="18"/>
          <w:rtl/>
        </w:rPr>
        <w:t>)</w:t>
      </w:r>
      <w:r w:rsidRPr="00DF56F1">
        <w:rPr>
          <w:szCs w:val="18"/>
          <w:rtl/>
        </w:rPr>
        <w:tab/>
      </w:r>
      <w:r w:rsidR="00047E09" w:rsidRPr="000B0B96">
        <w:rPr>
          <w:rFonts w:eastAsia="Times New Roman"/>
          <w:bCs/>
          <w:iCs/>
          <w:color w:val="000000"/>
        </w:rPr>
        <w:t>Ibid.</w:t>
      </w:r>
      <w:r w:rsidR="00047E09" w:rsidRPr="000B0B96">
        <w:rPr>
          <w:rFonts w:eastAsia="Times New Roman"/>
          <w:bCs/>
          <w:color w:val="000000"/>
        </w:rPr>
        <w:t>, para. 180. See also</w:t>
      </w:r>
      <w:r w:rsidR="00047E09" w:rsidRPr="000B0B96">
        <w:t xml:space="preserve"> </w:t>
      </w:r>
      <w:r w:rsidR="00047E09" w:rsidRPr="000B0B96">
        <w:rPr>
          <w:rFonts w:eastAsia="Times New Roman"/>
          <w:bCs/>
          <w:color w:val="000000"/>
        </w:rPr>
        <w:t xml:space="preserve">Inter-American Court of Human Rights, </w:t>
      </w:r>
      <w:r w:rsidR="00047E09" w:rsidRPr="000B0B96">
        <w:rPr>
          <w:rFonts w:eastAsia="Times New Roman"/>
          <w:bCs/>
          <w:i/>
          <w:color w:val="000000"/>
        </w:rPr>
        <w:t>Expelled Dominicans and Haitians v. Dominican Republic</w:t>
      </w:r>
      <w:r w:rsidR="00047E09" w:rsidRPr="000B0B96">
        <w:rPr>
          <w:rFonts w:eastAsia="Times New Roman"/>
          <w:bCs/>
          <w:color w:val="000000"/>
        </w:rPr>
        <w:t>. Preliminary Objections, Merits, Reparations and Costs. Judgment of 28 August 2014. Series C, No. 282, para. 265 and f</w:t>
      </w:r>
      <w:r w:rsidRPr="00DF56F1">
        <w:rPr>
          <w:rFonts w:hint="cs"/>
          <w:szCs w:val="18"/>
          <w:rtl/>
        </w:rPr>
        <w:t>.</w:t>
      </w:r>
    </w:p>
  </w:footnote>
  <w:footnote w:id="32">
    <w:p w14:paraId="4600109A" w14:textId="74684124" w:rsidR="00DF56F1" w:rsidRPr="00DF56F1" w:rsidRDefault="00DF56F1" w:rsidP="00230D11">
      <w:pPr>
        <w:pStyle w:val="FootnoteText"/>
        <w:tabs>
          <w:tab w:val="clear" w:pos="1021"/>
        </w:tabs>
        <w:bidi/>
        <w:spacing w:after="60" w:line="240" w:lineRule="exact"/>
        <w:ind w:left="1247" w:right="1247" w:hanging="567"/>
        <w:jc w:val="lowKashida"/>
        <w:textDirection w:val="tbRlV"/>
        <w:rPr>
          <w:szCs w:val="18"/>
          <w:rtl/>
          <w:lang w:eastAsia="zh-TW" w:bidi="en-GB"/>
        </w:rPr>
      </w:pPr>
      <w:r w:rsidRPr="00DF56F1">
        <w:rPr>
          <w:szCs w:val="18"/>
          <w:rtl/>
        </w:rPr>
        <w:t>(</w:t>
      </w:r>
      <w:r w:rsidRPr="00DF56F1">
        <w:rPr>
          <w:szCs w:val="18"/>
          <w:rtl/>
        </w:rPr>
        <w:footnoteRef/>
      </w:r>
      <w:r w:rsidRPr="00DF56F1">
        <w:rPr>
          <w:szCs w:val="18"/>
          <w:rtl/>
        </w:rPr>
        <w:t>)</w:t>
      </w:r>
      <w:r w:rsidRPr="00DF56F1">
        <w:rPr>
          <w:szCs w:val="18"/>
          <w:rtl/>
        </w:rPr>
        <w:tab/>
        <w:t xml:space="preserve"> </w:t>
      </w:r>
      <w:r w:rsidR="00047E09" w:rsidRPr="000B0B96">
        <w:t xml:space="preserve">Inter-American Court of Human Rights, </w:t>
      </w:r>
      <w:r w:rsidR="00047E09" w:rsidRPr="000B0B96">
        <w:rPr>
          <w:i/>
        </w:rPr>
        <w:t xml:space="preserve">Yean and </w:t>
      </w:r>
      <w:proofErr w:type="spellStart"/>
      <w:r w:rsidR="00047E09" w:rsidRPr="000B0B96">
        <w:rPr>
          <w:i/>
        </w:rPr>
        <w:t>Bosico</w:t>
      </w:r>
      <w:proofErr w:type="spellEnd"/>
      <w:r w:rsidR="00047E09" w:rsidRPr="000B0B96">
        <w:rPr>
          <w:i/>
        </w:rPr>
        <w:t xml:space="preserve"> Girls v. Dominican Republic</w:t>
      </w:r>
      <w:r w:rsidR="00047E09" w:rsidRPr="000B0B96">
        <w:rPr>
          <w:rFonts w:eastAsia="Times New Roman"/>
          <w:bCs/>
          <w:iCs/>
          <w:color w:val="000000"/>
        </w:rPr>
        <w:t>,</w:t>
      </w:r>
      <w:r w:rsidR="00047E09" w:rsidRPr="000B0B96">
        <w:rPr>
          <w:rFonts w:eastAsia="Times New Roman"/>
          <w:bCs/>
          <w:color w:val="000000"/>
        </w:rPr>
        <w:t xml:space="preserve"> Preliminary Objections, Merits, Reparations and Costs. Judgment of 8 September 2005. Series C, No. 130, para. 178</w:t>
      </w:r>
      <w:r w:rsidRPr="00DF56F1">
        <w:rPr>
          <w:rFonts w:hint="cs"/>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E4924" w14:textId="6195AC95" w:rsidR="00DF56F1" w:rsidRPr="00DB1E69" w:rsidRDefault="00DF56F1" w:rsidP="00DB1E69">
    <w:pPr>
      <w:pStyle w:val="Header"/>
      <w:jc w:val="left"/>
      <w:rPr>
        <w:rtl/>
      </w:rPr>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10AF2">
      <w:t>CCPR/C/130/D/2918/2016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407D" w14:textId="232FD4DF" w:rsidR="00DF56F1" w:rsidRPr="00DB1E69" w:rsidRDefault="00DF56F1" w:rsidP="00DB1E6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10AF2">
      <w:t>CCPR/C/130/D/2918/2016</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7208" w14:textId="70012019" w:rsidR="00DF56F1" w:rsidRPr="00DB1E69" w:rsidRDefault="00DF56F1" w:rsidP="00DB1E69">
    <w:pPr>
      <w:pStyle w:val="Header"/>
      <w:jc w:val="left"/>
      <w:rPr>
        <w:rtl/>
      </w:rPr>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10AF2">
      <w:t>CCPR/C/130/D/2918/2016</w:t>
    </w:r>
    <w:r>
      <w:rPr>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C980" w14:textId="77777777" w:rsidR="00DF56F1" w:rsidRDefault="00DF5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0"/>
  </w:num>
  <w:num w:numId="2">
    <w:abstractNumId w:val="15"/>
  </w:num>
  <w:num w:numId="3">
    <w:abstractNumId w:val="2"/>
  </w:num>
  <w:num w:numId="4">
    <w:abstractNumId w:val="14"/>
  </w:num>
  <w:num w:numId="5">
    <w:abstractNumId w:val="11"/>
  </w:num>
  <w:num w:numId="6">
    <w:abstractNumId w:val="7"/>
  </w:num>
  <w:num w:numId="7">
    <w:abstractNumId w:val="23"/>
  </w:num>
  <w:num w:numId="8">
    <w:abstractNumId w:val="2"/>
  </w:num>
  <w:num w:numId="9">
    <w:abstractNumId w:val="14"/>
  </w:num>
  <w:num w:numId="10">
    <w:abstractNumId w:val="7"/>
  </w:num>
  <w:num w:numId="11">
    <w:abstractNumId w:val="23"/>
  </w:num>
  <w:num w:numId="12">
    <w:abstractNumId w:val="2"/>
  </w:num>
  <w:num w:numId="13">
    <w:abstractNumId w:val="14"/>
  </w:num>
  <w:num w:numId="14">
    <w:abstractNumId w:val="11"/>
  </w:num>
  <w:num w:numId="15">
    <w:abstractNumId w:val="7"/>
  </w:num>
  <w:num w:numId="16">
    <w:abstractNumId w:val="23"/>
  </w:num>
  <w:num w:numId="17">
    <w:abstractNumId w:val="5"/>
  </w:num>
  <w:num w:numId="18">
    <w:abstractNumId w:val="3"/>
  </w:num>
  <w:num w:numId="19">
    <w:abstractNumId w:val="21"/>
  </w:num>
  <w:num w:numId="20">
    <w:abstractNumId w:val="16"/>
  </w:num>
  <w:num w:numId="21">
    <w:abstractNumId w:val="1"/>
  </w:num>
  <w:num w:numId="22">
    <w:abstractNumId w:val="19"/>
  </w:num>
  <w:num w:numId="23">
    <w:abstractNumId w:val="0"/>
  </w:num>
  <w:num w:numId="24">
    <w:abstractNumId w:val="12"/>
  </w:num>
  <w:num w:numId="25">
    <w:abstractNumId w:val="19"/>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9"/>
  </w:num>
  <w:num w:numId="31">
    <w:abstractNumId w:val="8"/>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8"/>
  </w:num>
  <w:num w:numId="33">
    <w:abstractNumId w:val="10"/>
  </w:num>
  <w:num w:numId="34">
    <w:abstractNumId w:val="6"/>
  </w:num>
  <w:num w:numId="35">
    <w:abstractNumId w:val="17"/>
  </w:num>
  <w:num w:numId="36">
    <w:abstractNumId w:val="18"/>
  </w:num>
  <w:num w:numId="37">
    <w:abstractNumId w:val="2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B5"/>
    <w:rsid w:val="000076D5"/>
    <w:rsid w:val="00043663"/>
    <w:rsid w:val="000437B8"/>
    <w:rsid w:val="00047E09"/>
    <w:rsid w:val="000505CF"/>
    <w:rsid w:val="00057921"/>
    <w:rsid w:val="000B0BDB"/>
    <w:rsid w:val="000D701C"/>
    <w:rsid w:val="000E2A71"/>
    <w:rsid w:val="001105AE"/>
    <w:rsid w:val="00145577"/>
    <w:rsid w:val="00160263"/>
    <w:rsid w:val="00181F96"/>
    <w:rsid w:val="001872B1"/>
    <w:rsid w:val="001A1371"/>
    <w:rsid w:val="001B043F"/>
    <w:rsid w:val="001B346A"/>
    <w:rsid w:val="001E1CAD"/>
    <w:rsid w:val="001E290D"/>
    <w:rsid w:val="002144FA"/>
    <w:rsid w:val="00230D11"/>
    <w:rsid w:val="0023469A"/>
    <w:rsid w:val="00235C45"/>
    <w:rsid w:val="00243C8A"/>
    <w:rsid w:val="00267A0E"/>
    <w:rsid w:val="002730F4"/>
    <w:rsid w:val="002901D9"/>
    <w:rsid w:val="002976C2"/>
    <w:rsid w:val="002B31D1"/>
    <w:rsid w:val="002E5B8C"/>
    <w:rsid w:val="003068BC"/>
    <w:rsid w:val="003260FF"/>
    <w:rsid w:val="00343D95"/>
    <w:rsid w:val="00363A18"/>
    <w:rsid w:val="00374341"/>
    <w:rsid w:val="00382549"/>
    <w:rsid w:val="0039281E"/>
    <w:rsid w:val="003A3E5D"/>
    <w:rsid w:val="003B5076"/>
    <w:rsid w:val="003D1062"/>
    <w:rsid w:val="00402051"/>
    <w:rsid w:val="00420D7B"/>
    <w:rsid w:val="00450B21"/>
    <w:rsid w:val="00453B63"/>
    <w:rsid w:val="00455780"/>
    <w:rsid w:val="004B0A1C"/>
    <w:rsid w:val="004B27E0"/>
    <w:rsid w:val="004B6243"/>
    <w:rsid w:val="004D298E"/>
    <w:rsid w:val="004E5DDF"/>
    <w:rsid w:val="004F2A82"/>
    <w:rsid w:val="005044B3"/>
    <w:rsid w:val="00510AF2"/>
    <w:rsid w:val="00517BC9"/>
    <w:rsid w:val="0054472E"/>
    <w:rsid w:val="005662A9"/>
    <w:rsid w:val="005827D4"/>
    <w:rsid w:val="0058508B"/>
    <w:rsid w:val="0059622A"/>
    <w:rsid w:val="005B51C4"/>
    <w:rsid w:val="005C0061"/>
    <w:rsid w:val="005C5878"/>
    <w:rsid w:val="005C7CEA"/>
    <w:rsid w:val="005D3C0B"/>
    <w:rsid w:val="005E3E29"/>
    <w:rsid w:val="005E5217"/>
    <w:rsid w:val="005F0FA4"/>
    <w:rsid w:val="005F30EE"/>
    <w:rsid w:val="005F5271"/>
    <w:rsid w:val="0060473A"/>
    <w:rsid w:val="00617024"/>
    <w:rsid w:val="0064359B"/>
    <w:rsid w:val="00652221"/>
    <w:rsid w:val="00653A24"/>
    <w:rsid w:val="00656392"/>
    <w:rsid w:val="006645EC"/>
    <w:rsid w:val="0066630B"/>
    <w:rsid w:val="0068781D"/>
    <w:rsid w:val="006959B0"/>
    <w:rsid w:val="006B21A5"/>
    <w:rsid w:val="006B3E27"/>
    <w:rsid w:val="006B6507"/>
    <w:rsid w:val="006C104C"/>
    <w:rsid w:val="006C632E"/>
    <w:rsid w:val="00717FB3"/>
    <w:rsid w:val="00733704"/>
    <w:rsid w:val="0078071A"/>
    <w:rsid w:val="00787022"/>
    <w:rsid w:val="00787E1E"/>
    <w:rsid w:val="00831949"/>
    <w:rsid w:val="00852A9A"/>
    <w:rsid w:val="00860EE9"/>
    <w:rsid w:val="008E5938"/>
    <w:rsid w:val="008F0E1A"/>
    <w:rsid w:val="008F49E1"/>
    <w:rsid w:val="0090370F"/>
    <w:rsid w:val="00925859"/>
    <w:rsid w:val="009269D2"/>
    <w:rsid w:val="00942135"/>
    <w:rsid w:val="009521B0"/>
    <w:rsid w:val="00957437"/>
    <w:rsid w:val="0096479C"/>
    <w:rsid w:val="00973500"/>
    <w:rsid w:val="00982139"/>
    <w:rsid w:val="009867A8"/>
    <w:rsid w:val="00991F44"/>
    <w:rsid w:val="009A0CFB"/>
    <w:rsid w:val="009A7E9F"/>
    <w:rsid w:val="009B39B5"/>
    <w:rsid w:val="009E5018"/>
    <w:rsid w:val="00A03700"/>
    <w:rsid w:val="00A053F2"/>
    <w:rsid w:val="00A12B37"/>
    <w:rsid w:val="00A54828"/>
    <w:rsid w:val="00A73D4F"/>
    <w:rsid w:val="00A97E1F"/>
    <w:rsid w:val="00AB512E"/>
    <w:rsid w:val="00AB6758"/>
    <w:rsid w:val="00AB727F"/>
    <w:rsid w:val="00B13763"/>
    <w:rsid w:val="00B477A4"/>
    <w:rsid w:val="00B54045"/>
    <w:rsid w:val="00B63ADD"/>
    <w:rsid w:val="00B8632E"/>
    <w:rsid w:val="00BB09A0"/>
    <w:rsid w:val="00C175A6"/>
    <w:rsid w:val="00C17A63"/>
    <w:rsid w:val="00C41DCF"/>
    <w:rsid w:val="00C42AF7"/>
    <w:rsid w:val="00C438D7"/>
    <w:rsid w:val="00C47086"/>
    <w:rsid w:val="00C52C5F"/>
    <w:rsid w:val="00C62C20"/>
    <w:rsid w:val="00C81B50"/>
    <w:rsid w:val="00C8240A"/>
    <w:rsid w:val="00C902EF"/>
    <w:rsid w:val="00CA058D"/>
    <w:rsid w:val="00CB0011"/>
    <w:rsid w:val="00CB6622"/>
    <w:rsid w:val="00CD1801"/>
    <w:rsid w:val="00CF56F9"/>
    <w:rsid w:val="00CF65C6"/>
    <w:rsid w:val="00D00A89"/>
    <w:rsid w:val="00D10EF1"/>
    <w:rsid w:val="00D212A8"/>
    <w:rsid w:val="00D42810"/>
    <w:rsid w:val="00D60DD5"/>
    <w:rsid w:val="00D914A7"/>
    <w:rsid w:val="00DB1E69"/>
    <w:rsid w:val="00DC4D4B"/>
    <w:rsid w:val="00DD13C3"/>
    <w:rsid w:val="00DD596E"/>
    <w:rsid w:val="00DD621E"/>
    <w:rsid w:val="00DE50B1"/>
    <w:rsid w:val="00DF0138"/>
    <w:rsid w:val="00DF0575"/>
    <w:rsid w:val="00DF56F1"/>
    <w:rsid w:val="00E2228E"/>
    <w:rsid w:val="00E562F1"/>
    <w:rsid w:val="00E70E04"/>
    <w:rsid w:val="00E77E6C"/>
    <w:rsid w:val="00E83ED5"/>
    <w:rsid w:val="00EB3015"/>
    <w:rsid w:val="00EC05A7"/>
    <w:rsid w:val="00EC4B6B"/>
    <w:rsid w:val="00EC68A5"/>
    <w:rsid w:val="00ED7442"/>
    <w:rsid w:val="00EF1EE5"/>
    <w:rsid w:val="00EF5C43"/>
    <w:rsid w:val="00F10DAB"/>
    <w:rsid w:val="00F46D42"/>
    <w:rsid w:val="00F763B4"/>
    <w:rsid w:val="00F77EDF"/>
    <w:rsid w:val="00F900C3"/>
    <w:rsid w:val="00FC6EDD"/>
    <w:rsid w:val="00FC769F"/>
    <w:rsid w:val="00FD04E2"/>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F3FAB2"/>
  <w15:docId w15:val="{146A0766-983C-45C2-84B7-D7F5832E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28"/>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A54828"/>
    <w:pPr>
      <w:bidi w:val="0"/>
      <w:outlineLvl w:val="0"/>
    </w:pPr>
  </w:style>
  <w:style w:type="paragraph" w:styleId="Heading2">
    <w:name w:val="heading 2"/>
    <w:basedOn w:val="Normal"/>
    <w:next w:val="Normal"/>
    <w:link w:val="Heading2Char"/>
    <w:unhideWhenUsed/>
    <w:rsid w:val="00A54828"/>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A54828"/>
    <w:pPr>
      <w:keepNext/>
      <w:keepLines/>
      <w:spacing w:before="200"/>
      <w:outlineLvl w:val="2"/>
    </w:pPr>
    <w:rPr>
      <w:b/>
      <w:bCs/>
      <w:color w:val="4F81BD"/>
    </w:rPr>
  </w:style>
  <w:style w:type="paragraph" w:styleId="Heading4">
    <w:name w:val="heading 4"/>
    <w:basedOn w:val="Normal"/>
    <w:next w:val="Normal"/>
    <w:link w:val="Heading4Char"/>
    <w:unhideWhenUsed/>
    <w:rsid w:val="00A54828"/>
    <w:pPr>
      <w:keepNext/>
      <w:keepLines/>
      <w:spacing w:before="200"/>
      <w:outlineLvl w:val="3"/>
    </w:pPr>
    <w:rPr>
      <w:b/>
      <w:bCs/>
      <w:i/>
      <w:iCs/>
      <w:color w:val="4F81BD"/>
    </w:rPr>
  </w:style>
  <w:style w:type="paragraph" w:styleId="Heading5">
    <w:name w:val="heading 5"/>
    <w:basedOn w:val="Normal"/>
    <w:next w:val="Normal"/>
    <w:link w:val="Heading5Char"/>
    <w:unhideWhenUsed/>
    <w:rsid w:val="00A54828"/>
    <w:pPr>
      <w:keepNext/>
      <w:keepLines/>
      <w:spacing w:before="200"/>
      <w:outlineLvl w:val="4"/>
    </w:pPr>
    <w:rPr>
      <w:color w:val="243F60"/>
    </w:rPr>
  </w:style>
  <w:style w:type="paragraph" w:styleId="Heading6">
    <w:name w:val="heading 6"/>
    <w:basedOn w:val="Normal"/>
    <w:next w:val="Normal"/>
    <w:link w:val="Heading6Char"/>
    <w:unhideWhenUsed/>
    <w:rsid w:val="00A54828"/>
    <w:pPr>
      <w:keepNext/>
      <w:keepLines/>
      <w:spacing w:before="200"/>
      <w:outlineLvl w:val="5"/>
    </w:pPr>
    <w:rPr>
      <w:i/>
      <w:iCs/>
      <w:color w:val="243F60"/>
    </w:rPr>
  </w:style>
  <w:style w:type="paragraph" w:styleId="Heading7">
    <w:name w:val="heading 7"/>
    <w:basedOn w:val="Normal"/>
    <w:next w:val="Normal"/>
    <w:link w:val="Heading7Char"/>
    <w:unhideWhenUsed/>
    <w:rsid w:val="00A54828"/>
    <w:pPr>
      <w:keepNext/>
      <w:keepLines/>
      <w:spacing w:before="200"/>
      <w:outlineLvl w:val="6"/>
    </w:pPr>
    <w:rPr>
      <w:i/>
      <w:iCs/>
      <w:color w:val="404040"/>
    </w:rPr>
  </w:style>
  <w:style w:type="paragraph" w:styleId="Heading8">
    <w:name w:val="heading 8"/>
    <w:basedOn w:val="Normal"/>
    <w:next w:val="Normal"/>
    <w:link w:val="Heading8Char"/>
    <w:unhideWhenUsed/>
    <w:rsid w:val="00A54828"/>
    <w:pPr>
      <w:keepNext/>
      <w:keepLines/>
      <w:spacing w:before="200"/>
      <w:outlineLvl w:val="7"/>
    </w:pPr>
    <w:rPr>
      <w:color w:val="404040"/>
      <w:szCs w:val="20"/>
    </w:rPr>
  </w:style>
  <w:style w:type="paragraph" w:styleId="Heading9">
    <w:name w:val="heading 9"/>
    <w:basedOn w:val="Normal"/>
    <w:next w:val="Normal"/>
    <w:link w:val="Heading9Char"/>
    <w:unhideWhenUsed/>
    <w:rsid w:val="00A54828"/>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A54828"/>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A54828"/>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Footnote number,Footnotes refss,Style 10,referencia nota al pie,Footnote text,callout,f"/>
    <w:uiPriority w:val="99"/>
    <w:qFormat/>
    <w:rsid w:val="00A54828"/>
    <w:rPr>
      <w:szCs w:val="18"/>
      <w:vertAlign w:val="superscript"/>
    </w:rPr>
  </w:style>
  <w:style w:type="paragraph" w:customStyle="1" w:styleId="HMGA">
    <w:name w:val="_ H __M_GA"/>
    <w:basedOn w:val="Normal"/>
    <w:next w:val="SingleTxtGA"/>
    <w:qFormat/>
    <w:rsid w:val="00A54828"/>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A54828"/>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A54828"/>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A54828"/>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A54828"/>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A54828"/>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A54828"/>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A54828"/>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A54828"/>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A54828"/>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A54828"/>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A54828"/>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A54828"/>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A54828"/>
    <w:pPr>
      <w:numPr>
        <w:numId w:val="5"/>
      </w:numPr>
      <w:bidi w:val="0"/>
    </w:pPr>
    <w:rPr>
      <w:sz w:val="20"/>
      <w:szCs w:val="28"/>
      <w:lang w:val="en-US"/>
    </w:rPr>
  </w:style>
  <w:style w:type="paragraph" w:customStyle="1" w:styleId="Roman1GA">
    <w:name w:val="_Roman 1_GA"/>
    <w:basedOn w:val="Bullet1GA"/>
    <w:qFormat/>
    <w:rsid w:val="00A54828"/>
    <w:pPr>
      <w:numPr>
        <w:numId w:val="6"/>
      </w:numPr>
      <w:tabs>
        <w:tab w:val="clear" w:pos="2310"/>
        <w:tab w:val="left" w:pos="2486"/>
      </w:tabs>
      <w:ind w:left="2486" w:hanging="378"/>
    </w:pPr>
  </w:style>
  <w:style w:type="paragraph" w:customStyle="1" w:styleId="Roman2GA">
    <w:name w:val="_Roman 2_GA"/>
    <w:basedOn w:val="Bullet2GA"/>
    <w:qFormat/>
    <w:rsid w:val="00A54828"/>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A54828"/>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A54828"/>
    <w:rPr>
      <w:rFonts w:ascii="Times New Roman" w:eastAsia="PMingLiU" w:hAnsi="Times New Roman" w:cs="Simplified Arabic"/>
      <w:sz w:val="18"/>
      <w:lang w:val="en-GB" w:eastAsia="en-US"/>
    </w:rPr>
  </w:style>
  <w:style w:type="character" w:customStyle="1" w:styleId="EndtnoteReference">
    <w:name w:val="Endtnote Reference"/>
    <w:aliases w:val="1_GA"/>
    <w:qFormat/>
    <w:rsid w:val="00A54828"/>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A54828"/>
    <w:pPr>
      <w:suppressAutoHyphens/>
      <w:bidi w:val="0"/>
      <w:spacing w:line="240" w:lineRule="auto"/>
    </w:pPr>
    <w:rPr>
      <w:sz w:val="16"/>
      <w:lang w:val="en-GB"/>
    </w:rPr>
  </w:style>
  <w:style w:type="character" w:customStyle="1" w:styleId="FooterChar">
    <w:name w:val="Footer Char"/>
    <w:aliases w:val="3_GA Char,3_G Char"/>
    <w:link w:val="Footer"/>
    <w:rsid w:val="00A54828"/>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A54828"/>
    <w:pPr>
      <w:spacing w:after="60" w:line="280" w:lineRule="exact"/>
      <w:ind w:left="1247" w:right="1247" w:hanging="567"/>
    </w:pPr>
    <w:rPr>
      <w:sz w:val="18"/>
      <w:szCs w:val="18"/>
    </w:rPr>
  </w:style>
  <w:style w:type="paragraph" w:styleId="Header">
    <w:name w:val="header"/>
    <w:aliases w:val="6_GA,6_G"/>
    <w:basedOn w:val="Normal"/>
    <w:link w:val="HeaderChar"/>
    <w:qFormat/>
    <w:rsid w:val="00A54828"/>
    <w:pPr>
      <w:pBdr>
        <w:bottom w:val="single" w:sz="4" w:space="4" w:color="auto"/>
      </w:pBdr>
      <w:suppressAutoHyphens/>
    </w:pPr>
    <w:rPr>
      <w:b/>
      <w:bCs/>
      <w:sz w:val="18"/>
      <w:szCs w:val="18"/>
    </w:rPr>
  </w:style>
  <w:style w:type="character" w:customStyle="1" w:styleId="HeaderChar">
    <w:name w:val="Header Char"/>
    <w:aliases w:val="6_GA Char,6_G Char"/>
    <w:link w:val="Header"/>
    <w:rsid w:val="00A54828"/>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A54828"/>
    <w:rPr>
      <w:rFonts w:ascii="Times New Roman" w:eastAsia="PMingLiU" w:hAnsi="Times New Roman" w:cs="Simplified Arabic"/>
      <w:sz w:val="22"/>
      <w:szCs w:val="22"/>
      <w:lang w:val="en-GB" w:eastAsia="en-US"/>
    </w:rPr>
  </w:style>
  <w:style w:type="character" w:styleId="PageNumber">
    <w:name w:val="page number"/>
    <w:aliases w:val="7_GA,7_G"/>
    <w:qFormat/>
    <w:rsid w:val="00A54828"/>
    <w:rPr>
      <w:rFonts w:ascii="Times New Roman Bold" w:hAnsi="Times New Roman Bold"/>
      <w:b/>
      <w:i w:val="0"/>
      <w:sz w:val="18"/>
      <w:szCs w:val="18"/>
    </w:rPr>
  </w:style>
  <w:style w:type="paragraph" w:customStyle="1" w:styleId="XXLargeGA">
    <w:name w:val="XXLarge_GA"/>
    <w:basedOn w:val="Normal"/>
    <w:next w:val="SingleTxtGA"/>
    <w:qFormat/>
    <w:rsid w:val="00A54828"/>
    <w:pPr>
      <w:suppressAutoHyphens/>
      <w:spacing w:line="820" w:lineRule="exact"/>
    </w:pPr>
    <w:rPr>
      <w:spacing w:val="-8"/>
      <w:w w:val="96"/>
      <w:sz w:val="57"/>
      <w:szCs w:val="86"/>
      <w:lang w:val="en-GB"/>
    </w:rPr>
  </w:style>
  <w:style w:type="character" w:customStyle="1" w:styleId="Heading2Char">
    <w:name w:val="Heading 2 Char"/>
    <w:link w:val="Heading2"/>
    <w:rsid w:val="00A54828"/>
    <w:rPr>
      <w:rFonts w:ascii="Times New Roman" w:eastAsia="PMingLiU" w:hAnsi="Times New Roman" w:cs="Simplified Arabic"/>
      <w:b/>
      <w:bCs/>
      <w:color w:val="4F81BD"/>
      <w:sz w:val="26"/>
      <w:szCs w:val="26"/>
      <w:lang w:eastAsia="en-US"/>
    </w:rPr>
  </w:style>
  <w:style w:type="character" w:styleId="BookTitle">
    <w:name w:val="Book Title"/>
    <w:uiPriority w:val="33"/>
    <w:rsid w:val="00A54828"/>
    <w:rPr>
      <w:b/>
      <w:bCs/>
      <w:smallCaps/>
      <w:spacing w:val="5"/>
    </w:rPr>
  </w:style>
  <w:style w:type="character" w:customStyle="1" w:styleId="Heading3Char">
    <w:name w:val="Heading 3 Char"/>
    <w:link w:val="Heading3"/>
    <w:rsid w:val="00A54828"/>
    <w:rPr>
      <w:rFonts w:ascii="Times New Roman" w:eastAsia="PMingLiU" w:hAnsi="Times New Roman" w:cs="Simplified Arabic"/>
      <w:b/>
      <w:bCs/>
      <w:color w:val="4F81BD"/>
      <w:szCs w:val="22"/>
      <w:lang w:eastAsia="en-US"/>
    </w:rPr>
  </w:style>
  <w:style w:type="character" w:customStyle="1" w:styleId="Heading4Char">
    <w:name w:val="Heading 4 Char"/>
    <w:link w:val="Heading4"/>
    <w:rsid w:val="00A54828"/>
    <w:rPr>
      <w:rFonts w:ascii="Times New Roman" w:eastAsia="PMingLiU" w:hAnsi="Times New Roman" w:cs="Simplified Arabic"/>
      <w:b/>
      <w:bCs/>
      <w:i/>
      <w:iCs/>
      <w:color w:val="4F81BD"/>
      <w:szCs w:val="22"/>
      <w:lang w:eastAsia="en-US"/>
    </w:rPr>
  </w:style>
  <w:style w:type="character" w:customStyle="1" w:styleId="Heading5Char">
    <w:name w:val="Heading 5 Char"/>
    <w:link w:val="Heading5"/>
    <w:rsid w:val="00A54828"/>
    <w:rPr>
      <w:rFonts w:ascii="Times New Roman" w:eastAsia="PMingLiU" w:hAnsi="Times New Roman" w:cs="Simplified Arabic"/>
      <w:color w:val="243F60"/>
      <w:szCs w:val="22"/>
      <w:lang w:eastAsia="en-US"/>
    </w:rPr>
  </w:style>
  <w:style w:type="character" w:customStyle="1" w:styleId="Heading6Char">
    <w:name w:val="Heading 6 Char"/>
    <w:link w:val="Heading6"/>
    <w:rsid w:val="00A54828"/>
    <w:rPr>
      <w:rFonts w:ascii="Times New Roman" w:eastAsia="PMingLiU" w:hAnsi="Times New Roman" w:cs="Simplified Arabic"/>
      <w:i/>
      <w:iCs/>
      <w:color w:val="243F60"/>
      <w:szCs w:val="22"/>
      <w:lang w:eastAsia="en-US"/>
    </w:rPr>
  </w:style>
  <w:style w:type="character" w:customStyle="1" w:styleId="Heading7Char">
    <w:name w:val="Heading 7 Char"/>
    <w:link w:val="Heading7"/>
    <w:rsid w:val="00A54828"/>
    <w:rPr>
      <w:rFonts w:ascii="Times New Roman" w:eastAsia="PMingLiU" w:hAnsi="Times New Roman" w:cs="Simplified Arabic"/>
      <w:i/>
      <w:iCs/>
      <w:color w:val="404040"/>
      <w:szCs w:val="22"/>
      <w:lang w:eastAsia="en-US"/>
    </w:rPr>
  </w:style>
  <w:style w:type="character" w:customStyle="1" w:styleId="Heading8Char">
    <w:name w:val="Heading 8 Char"/>
    <w:link w:val="Heading8"/>
    <w:rsid w:val="00A54828"/>
    <w:rPr>
      <w:rFonts w:ascii="Times New Roman" w:eastAsia="PMingLiU" w:hAnsi="Times New Roman" w:cs="Simplified Arabic"/>
      <w:color w:val="404040"/>
      <w:lang w:eastAsia="en-US"/>
    </w:rPr>
  </w:style>
  <w:style w:type="character" w:customStyle="1" w:styleId="Heading9Char">
    <w:name w:val="Heading 9 Char"/>
    <w:link w:val="Heading9"/>
    <w:rsid w:val="00A54828"/>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A54828"/>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A54828"/>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A54828"/>
    <w:pPr>
      <w:numPr>
        <w:ilvl w:val="1"/>
      </w:numPr>
    </w:pPr>
    <w:rPr>
      <w:i/>
      <w:iCs/>
      <w:color w:val="4F81BD"/>
      <w:spacing w:val="15"/>
      <w:sz w:val="24"/>
      <w:szCs w:val="24"/>
    </w:rPr>
  </w:style>
  <w:style w:type="character" w:customStyle="1" w:styleId="SubtitleChar">
    <w:name w:val="Subtitle Char"/>
    <w:link w:val="Subtitle"/>
    <w:uiPriority w:val="11"/>
    <w:rsid w:val="00A54828"/>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A54828"/>
    <w:rPr>
      <w:i/>
      <w:iCs/>
      <w:color w:val="808080"/>
    </w:rPr>
  </w:style>
  <w:style w:type="table" w:styleId="ColorfulGrid-Accent6">
    <w:name w:val="Colorful Grid Accent 6"/>
    <w:basedOn w:val="TableNormal"/>
    <w:uiPriority w:val="73"/>
    <w:rsid w:val="00A54828"/>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A54828"/>
    <w:rPr>
      <w:i/>
      <w:iCs/>
    </w:rPr>
  </w:style>
  <w:style w:type="character" w:styleId="IntenseEmphasis">
    <w:name w:val="Intense Emphasis"/>
    <w:uiPriority w:val="21"/>
    <w:rsid w:val="00A54828"/>
    <w:rPr>
      <w:b/>
      <w:bCs/>
      <w:i/>
      <w:iCs/>
      <w:color w:val="4F81BD"/>
    </w:rPr>
  </w:style>
  <w:style w:type="character" w:styleId="Strong">
    <w:name w:val="Strong"/>
    <w:uiPriority w:val="22"/>
    <w:rsid w:val="00A54828"/>
    <w:rPr>
      <w:b/>
      <w:bCs/>
    </w:rPr>
  </w:style>
  <w:style w:type="paragraph" w:styleId="Quote">
    <w:name w:val="Quote"/>
    <w:basedOn w:val="Normal"/>
    <w:next w:val="Normal"/>
    <w:link w:val="QuoteChar"/>
    <w:uiPriority w:val="29"/>
    <w:rsid w:val="00A54828"/>
    <w:rPr>
      <w:i/>
      <w:iCs/>
      <w:color w:val="000000"/>
    </w:rPr>
  </w:style>
  <w:style w:type="character" w:customStyle="1" w:styleId="QuoteChar">
    <w:name w:val="Quote Char"/>
    <w:link w:val="Quote"/>
    <w:uiPriority w:val="29"/>
    <w:rsid w:val="00A54828"/>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A548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54828"/>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A54828"/>
    <w:rPr>
      <w:smallCaps/>
      <w:color w:val="C0504D"/>
      <w:u w:val="single"/>
    </w:rPr>
  </w:style>
  <w:style w:type="character" w:styleId="IntenseReference">
    <w:name w:val="Intense Reference"/>
    <w:uiPriority w:val="32"/>
    <w:rsid w:val="00A54828"/>
    <w:rPr>
      <w:b/>
      <w:bCs/>
      <w:smallCaps/>
      <w:color w:val="C0504D"/>
      <w:spacing w:val="5"/>
      <w:u w:val="single"/>
    </w:rPr>
  </w:style>
  <w:style w:type="paragraph" w:styleId="ListParagraph">
    <w:name w:val="List Paragraph"/>
    <w:basedOn w:val="Normal"/>
    <w:uiPriority w:val="34"/>
    <w:rsid w:val="00A54828"/>
    <w:pPr>
      <w:ind w:left="720"/>
      <w:contextualSpacing/>
    </w:pPr>
  </w:style>
  <w:style w:type="table" w:styleId="MediumShading1-Accent4">
    <w:name w:val="Medium Shading 1 Accent 4"/>
    <w:basedOn w:val="TableNormal"/>
    <w:uiPriority w:val="63"/>
    <w:rsid w:val="00A54828"/>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A54828"/>
    <w:rPr>
      <w:rFonts w:eastAsia="MS Mincho"/>
      <w:sz w:val="18"/>
      <w:vertAlign w:val="superscript"/>
    </w:rPr>
  </w:style>
  <w:style w:type="table" w:styleId="TableGrid">
    <w:name w:val="Table Grid"/>
    <w:basedOn w:val="TableNormal"/>
    <w:rsid w:val="00A54828"/>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828"/>
    <w:pPr>
      <w:spacing w:line="240" w:lineRule="auto"/>
    </w:pPr>
    <w:rPr>
      <w:sz w:val="16"/>
      <w:szCs w:val="16"/>
    </w:rPr>
  </w:style>
  <w:style w:type="character" w:customStyle="1" w:styleId="BalloonTextChar">
    <w:name w:val="Balloon Text Char"/>
    <w:link w:val="BalloonText"/>
    <w:uiPriority w:val="99"/>
    <w:semiHidden/>
    <w:rsid w:val="00A54828"/>
    <w:rPr>
      <w:rFonts w:ascii="Times New Roman" w:eastAsia="PMingLiU" w:hAnsi="Times New Roman" w:cs="Simplified Arabic"/>
      <w:sz w:val="16"/>
      <w:szCs w:val="16"/>
      <w:lang w:eastAsia="en-US"/>
    </w:rPr>
  </w:style>
  <w:style w:type="character" w:styleId="Hyperlink">
    <w:name w:val="Hyperlink"/>
    <w:uiPriority w:val="99"/>
    <w:unhideWhenUsed/>
    <w:rsid w:val="00A54828"/>
    <w:rPr>
      <w:color w:val="0000FF"/>
      <w:u w:val="none"/>
    </w:rPr>
  </w:style>
  <w:style w:type="paragraph" w:styleId="TOC1">
    <w:name w:val="toc 1"/>
    <w:basedOn w:val="Normal"/>
    <w:link w:val="TOC1Char"/>
    <w:autoRedefine/>
    <w:uiPriority w:val="39"/>
    <w:unhideWhenUsed/>
    <w:rsid w:val="00A54828"/>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A54828"/>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A54828"/>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A54828"/>
    <w:rPr>
      <w:rFonts w:eastAsia="DengXian"/>
      <w:color w:val="auto"/>
      <w:sz w:val="20"/>
      <w:szCs w:val="20"/>
      <w:u w:val="none"/>
      <w:lang w:eastAsia="zh-CN" w:bidi="ar-EG"/>
    </w:rPr>
  </w:style>
  <w:style w:type="paragraph" w:styleId="TOC4">
    <w:name w:val="toc 4"/>
    <w:basedOn w:val="Normal"/>
    <w:link w:val="TOC4Char"/>
    <w:autoRedefine/>
    <w:uiPriority w:val="39"/>
    <w:unhideWhenUsed/>
    <w:rsid w:val="00A54828"/>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A54828"/>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A54828"/>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A54828"/>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A54828"/>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A54828"/>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A54828"/>
    <w:rPr>
      <w:color w:val="605E5C"/>
      <w:shd w:val="clear" w:color="auto" w:fill="E1DFDD"/>
    </w:rPr>
  </w:style>
  <w:style w:type="character" w:customStyle="1" w:styleId="TOC1Char">
    <w:name w:val="TOC 1 Char"/>
    <w:basedOn w:val="DefaultParagraphFont"/>
    <w:link w:val="TOC1"/>
    <w:uiPriority w:val="39"/>
    <w:rsid w:val="00A54828"/>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A54828"/>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A54828"/>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A54828"/>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A54828"/>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A54828"/>
    <w:rPr>
      <w:rFonts w:ascii="Times New Roman" w:eastAsia="PMingLiU" w:hAnsi="Times New Roman" w:cs="Simplified Arabic"/>
      <w:lang w:val="en-GB" w:eastAsia="en-US"/>
    </w:rPr>
  </w:style>
  <w:style w:type="paragraph" w:customStyle="1" w:styleId="SessionDate">
    <w:name w:val="Session_Date"/>
    <w:basedOn w:val="Normal"/>
    <w:qFormat/>
    <w:rsid w:val="00A54828"/>
    <w:pPr>
      <w:spacing w:before="240" w:after="240" w:line="460" w:lineRule="exact"/>
      <w:ind w:left="1247"/>
    </w:pPr>
    <w:rPr>
      <w:b/>
      <w:bCs/>
      <w:sz w:val="32"/>
      <w:szCs w:val="44"/>
    </w:rPr>
  </w:style>
  <w:style w:type="paragraph" w:customStyle="1" w:styleId="SessionNumber">
    <w:name w:val="Session_Number"/>
    <w:basedOn w:val="Normal"/>
    <w:qFormat/>
    <w:rsid w:val="00A54828"/>
    <w:pPr>
      <w:spacing w:line="480" w:lineRule="exact"/>
      <w:ind w:left="1247"/>
    </w:pPr>
    <w:rPr>
      <w:b/>
      <w:bCs/>
      <w:sz w:val="28"/>
      <w:szCs w:val="38"/>
    </w:rPr>
  </w:style>
  <w:style w:type="paragraph" w:customStyle="1" w:styleId="CityandYear">
    <w:name w:val="City and Year"/>
    <w:basedOn w:val="SingleTxtGA"/>
    <w:qFormat/>
    <w:rsid w:val="00A54828"/>
    <w:pPr>
      <w:spacing w:line="480" w:lineRule="exact"/>
    </w:pPr>
    <w:rPr>
      <w:b/>
      <w:bCs/>
      <w:sz w:val="30"/>
      <w:szCs w:val="38"/>
      <w:lang w:eastAsia="ar-SA"/>
    </w:rPr>
  </w:style>
  <w:style w:type="paragraph" w:customStyle="1" w:styleId="NormalA">
    <w:name w:val="Normal_A"/>
    <w:basedOn w:val="Normal"/>
    <w:qFormat/>
    <w:rsid w:val="00A54828"/>
  </w:style>
  <w:style w:type="paragraph" w:customStyle="1" w:styleId="H1G">
    <w:name w:val="_ H_1_G"/>
    <w:basedOn w:val="Normal"/>
    <w:next w:val="Normal"/>
    <w:qFormat/>
    <w:rsid w:val="00A54828"/>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A54828"/>
    <w:pPr>
      <w:suppressAutoHyphens/>
      <w:bidi w:val="0"/>
      <w:spacing w:after="120"/>
      <w:ind w:left="1134" w:right="1134"/>
      <w:jc w:val="both"/>
    </w:pPr>
    <w:rPr>
      <w:szCs w:val="20"/>
      <w:lang w:val="en-GB"/>
    </w:rPr>
  </w:style>
  <w:style w:type="paragraph" w:customStyle="1" w:styleId="HChG">
    <w:name w:val="_ H _Ch_G"/>
    <w:basedOn w:val="Normal"/>
    <w:next w:val="Normal"/>
    <w:qFormat/>
    <w:rsid w:val="00A54828"/>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A54828"/>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A54828"/>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A54828"/>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A54828"/>
    <w:rPr>
      <w:sz w:val="44"/>
      <w:szCs w:val="44"/>
      <w:lang w:val="en-US" w:bidi="ar-DZ"/>
    </w:rPr>
  </w:style>
  <w:style w:type="paragraph" w:customStyle="1" w:styleId="FootnoteGA0">
    <w:name w:val="Footnote_GA"/>
    <w:basedOn w:val="Normal"/>
    <w:qFormat/>
    <w:rsid w:val="00A54828"/>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A54828"/>
    <w:pPr>
      <w:keepNext/>
      <w:keepLines/>
      <w:spacing w:after="120" w:line="400" w:lineRule="exact"/>
      <w:outlineLvl w:val="0"/>
    </w:pPr>
    <w:rPr>
      <w:b/>
      <w:bCs/>
      <w:kern w:val="14"/>
      <w:sz w:val="24"/>
      <w:szCs w:val="32"/>
    </w:rPr>
  </w:style>
  <w:style w:type="paragraph" w:customStyle="1" w:styleId="HCh">
    <w:name w:val="_ H _Ch"/>
    <w:basedOn w:val="H1"/>
    <w:next w:val="SingleTxt"/>
    <w:qFormat/>
    <w:rsid w:val="00A54828"/>
    <w:pPr>
      <w:spacing w:line="440" w:lineRule="exact"/>
    </w:pPr>
    <w:rPr>
      <w:spacing w:val="-2"/>
      <w:sz w:val="28"/>
      <w:szCs w:val="36"/>
    </w:rPr>
  </w:style>
  <w:style w:type="character" w:styleId="CommentReference">
    <w:name w:val="annotation reference"/>
    <w:uiPriority w:val="99"/>
    <w:semiHidden/>
    <w:rsid w:val="00A54828"/>
    <w:rPr>
      <w:sz w:val="6"/>
      <w:szCs w:val="9"/>
    </w:rPr>
  </w:style>
  <w:style w:type="paragraph" w:customStyle="1" w:styleId="HM">
    <w:name w:val="_ H __M"/>
    <w:basedOn w:val="HCh"/>
    <w:next w:val="Normal"/>
    <w:qFormat/>
    <w:rsid w:val="00A54828"/>
    <w:pPr>
      <w:suppressAutoHyphens/>
      <w:spacing w:line="520" w:lineRule="exact"/>
    </w:pPr>
    <w:rPr>
      <w:spacing w:val="-3"/>
      <w:sz w:val="34"/>
      <w:szCs w:val="48"/>
    </w:rPr>
  </w:style>
  <w:style w:type="paragraph" w:customStyle="1" w:styleId="SingleTxt">
    <w:name w:val="__Single Txt"/>
    <w:basedOn w:val="Normal"/>
    <w:qFormat/>
    <w:rsid w:val="00A54828"/>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A54828"/>
    <w:pPr>
      <w:suppressAutoHyphens/>
      <w:spacing w:line="360" w:lineRule="exact"/>
      <w:outlineLvl w:val="1"/>
    </w:pPr>
    <w:rPr>
      <w:spacing w:val="2"/>
      <w:sz w:val="20"/>
      <w:szCs w:val="28"/>
    </w:rPr>
  </w:style>
  <w:style w:type="paragraph" w:customStyle="1" w:styleId="H4">
    <w:name w:val="_ H_4"/>
    <w:basedOn w:val="Normal"/>
    <w:next w:val="Normal"/>
    <w:qFormat/>
    <w:rsid w:val="00A54828"/>
    <w:pPr>
      <w:keepNext/>
      <w:keepLines/>
      <w:spacing w:after="120" w:line="360" w:lineRule="exact"/>
      <w:outlineLvl w:val="3"/>
    </w:pPr>
    <w:rPr>
      <w:i/>
      <w:iCs/>
      <w:kern w:val="14"/>
      <w:szCs w:val="28"/>
    </w:rPr>
  </w:style>
  <w:style w:type="paragraph" w:customStyle="1" w:styleId="H56">
    <w:name w:val="_ H_5/6"/>
    <w:basedOn w:val="Normal"/>
    <w:next w:val="Normal"/>
    <w:qFormat/>
    <w:rsid w:val="00A54828"/>
    <w:pPr>
      <w:keepNext/>
      <w:keepLines/>
      <w:spacing w:after="120" w:line="360" w:lineRule="exact"/>
      <w:outlineLvl w:val="4"/>
    </w:pPr>
    <w:rPr>
      <w:kern w:val="14"/>
      <w:szCs w:val="28"/>
    </w:rPr>
  </w:style>
  <w:style w:type="paragraph" w:customStyle="1" w:styleId="DualTxt">
    <w:name w:val="__Dual Txt"/>
    <w:basedOn w:val="Normal"/>
    <w:qFormat/>
    <w:rsid w:val="00A54828"/>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A54828"/>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A54828"/>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A54828"/>
    <w:pPr>
      <w:spacing w:after="120" w:line="440" w:lineRule="exact"/>
      <w:jc w:val="center"/>
    </w:pPr>
    <w:rPr>
      <w:b/>
      <w:bCs/>
      <w:sz w:val="25"/>
      <w:szCs w:val="38"/>
    </w:rPr>
  </w:style>
  <w:style w:type="paragraph" w:customStyle="1" w:styleId="JH1">
    <w:name w:val="J_H_1"/>
    <w:basedOn w:val="JCH"/>
    <w:qFormat/>
    <w:rsid w:val="00A54828"/>
    <w:pPr>
      <w:spacing w:line="420" w:lineRule="exact"/>
    </w:pPr>
    <w:rPr>
      <w:sz w:val="23"/>
      <w:szCs w:val="34"/>
    </w:rPr>
  </w:style>
  <w:style w:type="paragraph" w:customStyle="1" w:styleId="JH2">
    <w:name w:val="J_H_2"/>
    <w:basedOn w:val="JH1"/>
    <w:qFormat/>
    <w:rsid w:val="00A54828"/>
    <w:pPr>
      <w:spacing w:line="400" w:lineRule="exact"/>
    </w:pPr>
    <w:rPr>
      <w:sz w:val="20"/>
      <w:szCs w:val="30"/>
    </w:rPr>
  </w:style>
  <w:style w:type="paragraph" w:customStyle="1" w:styleId="JSmall">
    <w:name w:val="J_Small"/>
    <w:basedOn w:val="JSingleTxt"/>
    <w:next w:val="JSingleTxt"/>
    <w:qFormat/>
    <w:rsid w:val="00A54828"/>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A54828"/>
    <w:pPr>
      <w:tabs>
        <w:tab w:val="right" w:leader="dot" w:pos="360"/>
      </w:tabs>
      <w:spacing w:line="310" w:lineRule="exact"/>
      <w:jc w:val="right"/>
    </w:pPr>
    <w:rPr>
      <w:spacing w:val="5"/>
      <w:w w:val="104"/>
      <w:kern w:val="14"/>
      <w:sz w:val="17"/>
      <w:szCs w:val="25"/>
    </w:rPr>
  </w:style>
  <w:style w:type="character" w:styleId="LineNumber">
    <w:name w:val="line number"/>
    <w:qFormat/>
    <w:rsid w:val="00A54828"/>
    <w:rPr>
      <w:sz w:val="14"/>
      <w:szCs w:val="16"/>
    </w:rPr>
  </w:style>
  <w:style w:type="paragraph" w:customStyle="1" w:styleId="SmallX">
    <w:name w:val="SmallX"/>
    <w:basedOn w:val="Small"/>
    <w:next w:val="Normal"/>
    <w:qFormat/>
    <w:rsid w:val="00A54828"/>
    <w:pPr>
      <w:spacing w:line="240" w:lineRule="exact"/>
    </w:pPr>
    <w:rPr>
      <w:spacing w:val="6"/>
      <w:w w:val="106"/>
      <w:sz w:val="14"/>
      <w:szCs w:val="21"/>
    </w:rPr>
  </w:style>
  <w:style w:type="paragraph" w:customStyle="1" w:styleId="XLarge">
    <w:name w:val="XLarge"/>
    <w:basedOn w:val="HM"/>
    <w:qFormat/>
    <w:rsid w:val="00A5482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A54828"/>
    <w:pPr>
      <w:spacing w:line="820" w:lineRule="exact"/>
    </w:pPr>
    <w:rPr>
      <w:spacing w:val="-8"/>
      <w:w w:val="96"/>
      <w:sz w:val="57"/>
      <w:szCs w:val="86"/>
    </w:rPr>
  </w:style>
  <w:style w:type="paragraph" w:customStyle="1" w:styleId="Distribution">
    <w:name w:val="Distribution"/>
    <w:basedOn w:val="Normal"/>
    <w:next w:val="Normal"/>
    <w:qFormat/>
    <w:rsid w:val="00A54828"/>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A54828"/>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A54828"/>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A54828"/>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A54828"/>
    <w:pPr>
      <w:tabs>
        <w:tab w:val="left" w:pos="662"/>
        <w:tab w:val="left" w:pos="1267"/>
        <w:tab w:val="left" w:pos="1987"/>
        <w:tab w:val="left" w:pos="2650"/>
      </w:tabs>
      <w:spacing w:after="0"/>
      <w:ind w:left="662" w:hanging="662"/>
    </w:pPr>
  </w:style>
  <w:style w:type="paragraph" w:customStyle="1" w:styleId="Committee">
    <w:name w:val="Committee"/>
    <w:basedOn w:val="H1"/>
    <w:qFormat/>
    <w:rsid w:val="00A54828"/>
    <w:pPr>
      <w:tabs>
        <w:tab w:val="left" w:pos="662"/>
        <w:tab w:val="left" w:pos="1267"/>
        <w:tab w:val="left" w:pos="1987"/>
        <w:tab w:val="left" w:pos="2650"/>
      </w:tabs>
      <w:ind w:right="1264"/>
    </w:pPr>
  </w:style>
  <w:style w:type="paragraph" w:customStyle="1" w:styleId="AgendaItemNormal">
    <w:name w:val="Agenda_Item_Normal"/>
    <w:next w:val="Normal"/>
    <w:qFormat/>
    <w:rsid w:val="00A54828"/>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A54828"/>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A54828"/>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A54828"/>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A54828"/>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A54828"/>
    <w:rPr>
      <w:i w:val="0"/>
      <w:color w:val="0000FF"/>
      <w:u w:val="none"/>
    </w:rPr>
  </w:style>
  <w:style w:type="paragraph" w:customStyle="1" w:styleId="Bullet1">
    <w:name w:val="Bullet 1"/>
    <w:basedOn w:val="Normal"/>
    <w:qFormat/>
    <w:rsid w:val="00A54828"/>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A54828"/>
    <w:pPr>
      <w:numPr>
        <w:numId w:val="19"/>
      </w:numPr>
      <w:spacing w:after="120" w:line="360" w:lineRule="exact"/>
      <w:ind w:right="1264"/>
    </w:pPr>
    <w:rPr>
      <w:kern w:val="14"/>
      <w:szCs w:val="28"/>
    </w:rPr>
  </w:style>
  <w:style w:type="paragraph" w:customStyle="1" w:styleId="Bullet3">
    <w:name w:val="Bullet 3"/>
    <w:basedOn w:val="SingleTxt"/>
    <w:qFormat/>
    <w:rsid w:val="00A54828"/>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A54828"/>
    <w:pPr>
      <w:ind w:right="5760"/>
      <w:outlineLvl w:val="1"/>
    </w:pPr>
    <w:rPr>
      <w:spacing w:val="2"/>
      <w:sz w:val="20"/>
      <w:szCs w:val="28"/>
    </w:rPr>
  </w:style>
  <w:style w:type="paragraph" w:customStyle="1" w:styleId="STitleM">
    <w:name w:val="S_Title_M"/>
    <w:basedOn w:val="Normal"/>
    <w:next w:val="Normal"/>
    <w:qFormat/>
    <w:rsid w:val="00A54828"/>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A54828"/>
    <w:pPr>
      <w:spacing w:line="600" w:lineRule="exact"/>
      <w:ind w:left="1267" w:right="1267"/>
    </w:pPr>
    <w:rPr>
      <w:w w:val="103"/>
      <w:sz w:val="60"/>
      <w:szCs w:val="60"/>
    </w:rPr>
  </w:style>
  <w:style w:type="paragraph" w:customStyle="1" w:styleId="STitleL">
    <w:name w:val="S_Title_L"/>
    <w:basedOn w:val="XLarge"/>
    <w:next w:val="Normal"/>
    <w:qFormat/>
    <w:rsid w:val="00A54828"/>
    <w:rPr>
      <w:spacing w:val="-8"/>
      <w:w w:val="96"/>
      <w:sz w:val="57"/>
    </w:rPr>
  </w:style>
  <w:style w:type="paragraph" w:styleId="CommentText">
    <w:name w:val="annotation text"/>
    <w:basedOn w:val="Normal"/>
    <w:link w:val="CommentTextChar"/>
    <w:uiPriority w:val="99"/>
    <w:semiHidden/>
    <w:unhideWhenUsed/>
    <w:rsid w:val="00A54828"/>
    <w:pPr>
      <w:spacing w:line="240" w:lineRule="auto"/>
    </w:pPr>
    <w:rPr>
      <w:kern w:val="14"/>
    </w:rPr>
  </w:style>
  <w:style w:type="character" w:customStyle="1" w:styleId="CommentTextChar">
    <w:name w:val="Comment Text Char"/>
    <w:basedOn w:val="DefaultParagraphFont"/>
    <w:link w:val="CommentText"/>
    <w:uiPriority w:val="99"/>
    <w:semiHidden/>
    <w:rsid w:val="00A54828"/>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A54828"/>
    <w:rPr>
      <w:b/>
      <w:bCs/>
    </w:rPr>
  </w:style>
  <w:style w:type="character" w:customStyle="1" w:styleId="CommentSubjectChar">
    <w:name w:val="Comment Subject Char"/>
    <w:basedOn w:val="CommentTextChar"/>
    <w:link w:val="CommentSubject"/>
    <w:uiPriority w:val="99"/>
    <w:semiHidden/>
    <w:rsid w:val="00A54828"/>
    <w:rPr>
      <w:rFonts w:ascii="Times New Roman" w:eastAsia="PMingLiU" w:hAnsi="Times New Roman" w:cs="Simplified Arabic"/>
      <w:b/>
      <w:bCs/>
      <w:kern w:val="14"/>
      <w:szCs w:val="22"/>
      <w:lang w:eastAsia="en-US"/>
    </w:rPr>
  </w:style>
  <w:style w:type="paragraph" w:customStyle="1" w:styleId="Bullet1G">
    <w:name w:val="_Bullet 1_G"/>
    <w:basedOn w:val="Normal"/>
    <w:qFormat/>
    <w:rsid w:val="00A54828"/>
    <w:pPr>
      <w:numPr>
        <w:numId w:val="21"/>
      </w:numPr>
      <w:bidi w:val="0"/>
      <w:spacing w:after="120"/>
      <w:ind w:right="1134"/>
      <w:jc w:val="both"/>
    </w:pPr>
    <w:rPr>
      <w:sz w:val="22"/>
    </w:rPr>
  </w:style>
  <w:style w:type="character" w:customStyle="1" w:styleId="SingleTxtGChar">
    <w:name w:val="_ Single Txt_G Char"/>
    <w:link w:val="SingleTxtG"/>
    <w:rsid w:val="00A54828"/>
    <w:rPr>
      <w:rFonts w:ascii="Times New Roman" w:eastAsia="PMingLiU" w:hAnsi="Times New Roman" w:cs="Simplified Arabic"/>
      <w:lang w:val="en-GB" w:eastAsia="en-US"/>
    </w:rPr>
  </w:style>
  <w:style w:type="paragraph" w:customStyle="1" w:styleId="Preparedby">
    <w:name w:val="Prepared by:"/>
    <w:basedOn w:val="H23GA"/>
    <w:qFormat/>
    <w:rsid w:val="00A54828"/>
    <w:rPr>
      <w:sz w:val="32"/>
      <w:szCs w:val="32"/>
    </w:rPr>
  </w:style>
  <w:style w:type="paragraph" w:customStyle="1" w:styleId="ParaNoG">
    <w:name w:val="_ParaNo._G"/>
    <w:basedOn w:val="SingleTxtG"/>
    <w:rsid w:val="00A54828"/>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A54828"/>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A54828"/>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A54828"/>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A54828"/>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A54828"/>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A54828"/>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A54828"/>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A54828"/>
    <w:rPr>
      <w:rFonts w:asciiTheme="minorHAnsi" w:eastAsiaTheme="minorEastAsia" w:hAnsiTheme="minorHAnsi" w:cstheme="minorBidi"/>
      <w:sz w:val="24"/>
      <w:szCs w:val="24"/>
      <w:lang w:val="fr-FR" w:eastAsia="fr-FR"/>
    </w:rPr>
  </w:style>
  <w:style w:type="paragraph" w:customStyle="1" w:styleId="Default">
    <w:name w:val="Default"/>
    <w:semiHidden/>
    <w:rsid w:val="00A54828"/>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A54828"/>
  </w:style>
  <w:style w:type="character" w:customStyle="1" w:styleId="preferred">
    <w:name w:val="preferred"/>
    <w:basedOn w:val="DefaultParagraphFont"/>
    <w:rsid w:val="00A54828"/>
  </w:style>
  <w:style w:type="character" w:customStyle="1" w:styleId="admitted">
    <w:name w:val="admitted"/>
    <w:basedOn w:val="DefaultParagraphFont"/>
    <w:rsid w:val="00A54828"/>
  </w:style>
  <w:style w:type="numbering" w:styleId="111111">
    <w:name w:val="Outline List 2"/>
    <w:basedOn w:val="NoList"/>
    <w:semiHidden/>
    <w:rsid w:val="004F2A82"/>
    <w:pPr>
      <w:numPr>
        <w:numId w:val="36"/>
      </w:numPr>
    </w:pPr>
  </w:style>
  <w:style w:type="numbering" w:styleId="1ai">
    <w:name w:val="Outline List 1"/>
    <w:basedOn w:val="NoList"/>
    <w:semiHidden/>
    <w:rsid w:val="004F2A82"/>
    <w:pPr>
      <w:numPr>
        <w:numId w:val="37"/>
      </w:numPr>
    </w:pPr>
  </w:style>
  <w:style w:type="paragraph" w:customStyle="1" w:styleId="MyFootnotes">
    <w:name w:val="My Footnotes"/>
    <w:basedOn w:val="FootnoteText"/>
    <w:link w:val="MyFootnotesChar"/>
    <w:autoRedefine/>
    <w:qFormat/>
    <w:rsid w:val="004F2A82"/>
    <w:pPr>
      <w:suppressAutoHyphens w:val="0"/>
      <w:bidi/>
      <w:textDirection w:val="tbRlV"/>
    </w:pPr>
    <w:rPr>
      <w:rFonts w:eastAsia="SimSun" w:cs="Traditional Arabic"/>
      <w:szCs w:val="26"/>
      <w:lang w:val="en-GB" w:eastAsia="zh-CN"/>
    </w:rPr>
  </w:style>
  <w:style w:type="character" w:customStyle="1" w:styleId="MyFootnotesChar">
    <w:name w:val="My Footnotes Char"/>
    <w:basedOn w:val="DefaultParagraphFont"/>
    <w:link w:val="MyFootnotes"/>
    <w:rsid w:val="004F2A82"/>
    <w:rPr>
      <w:rFonts w:ascii="Times New Roman" w:eastAsia="SimSun" w:hAnsi="Times New Roman" w:cs="Traditional Arabic"/>
      <w:sz w:val="18"/>
      <w:szCs w:val="2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6304-316E-46A5-8FC0-5ACE9954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5767</Words>
  <Characters>27860</Characters>
  <Application>Microsoft Office Word</Application>
  <DocSecurity>0</DocSecurity>
  <Lines>415</Lines>
  <Paragraphs>96</Paragraphs>
  <ScaleCrop>false</ScaleCrop>
  <HeadingPairs>
    <vt:vector size="2" baseType="variant">
      <vt:variant>
        <vt:lpstr>Title</vt:lpstr>
      </vt:variant>
      <vt:variant>
        <vt:i4>1</vt:i4>
      </vt:variant>
    </vt:vector>
  </HeadingPairs>
  <TitlesOfParts>
    <vt:vector size="1" baseType="lpstr">
      <vt:lpstr>CCPR/C/130/D/2918/2016</vt:lpstr>
    </vt:vector>
  </TitlesOfParts>
  <Company>DCM</Company>
  <LinksUpToDate>false</LinksUpToDate>
  <CharactersWithSpaces>33531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CCPR/C/130/D/2918/2016</dc:title>
  <dc:subject>GE.2100755(A)</dc:subject>
  <dc:creator>Ihab RIZ - </dc:creator>
  <cp:keywords>GE.2101379(A)</cp:keywords>
  <dc:description>General_x000d_
_x000d_
Arabic_x000d_
English</dc:description>
  <cp:lastModifiedBy>Ibrahim Balan</cp:lastModifiedBy>
  <cp:revision>3</cp:revision>
  <cp:lastPrinted>2021-02-17T16:26:00Z</cp:lastPrinted>
  <dcterms:created xsi:type="dcterms:W3CDTF">2021-02-17T16:26:00Z</dcterms:created>
  <dcterms:modified xsi:type="dcterms:W3CDTF">2021-02-17T16:27:00Z</dcterms:modified>
  <cp:category>Finale</cp:category>
</cp:coreProperties>
</file>