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3CB2CD82" w14:textId="77777777" w:rsidTr="005B51C4">
        <w:trPr>
          <w:trHeight w:hRule="exact" w:val="851"/>
        </w:trPr>
        <w:tc>
          <w:tcPr>
            <w:tcW w:w="1274" w:type="dxa"/>
            <w:tcBorders>
              <w:bottom w:val="single" w:sz="4" w:space="0" w:color="auto"/>
            </w:tcBorders>
            <w:shd w:val="clear" w:color="auto" w:fill="auto"/>
          </w:tcPr>
          <w:p w14:paraId="398D2964" w14:textId="77777777" w:rsidR="006B3E27" w:rsidRPr="00C175A6" w:rsidRDefault="006B3E27" w:rsidP="00EF4771">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7779BBFD"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42DD0E0" w14:textId="51320F81" w:rsidR="006B3E27" w:rsidRPr="00E44870" w:rsidRDefault="00E44870" w:rsidP="00E44870">
            <w:pPr>
              <w:bidi w:val="0"/>
              <w:rPr>
                <w:szCs w:val="20"/>
              </w:rPr>
            </w:pPr>
            <w:r w:rsidRPr="005A76D5">
              <w:rPr>
                <w:sz w:val="40"/>
                <w:szCs w:val="20"/>
              </w:rPr>
              <w:t>CCPR</w:t>
            </w:r>
            <w:r w:rsidRPr="005A76D5">
              <w:rPr>
                <w:szCs w:val="20"/>
              </w:rPr>
              <w:t>/C/</w:t>
            </w:r>
            <w:r w:rsidRPr="004869A6">
              <w:rPr>
                <w:szCs w:val="20"/>
              </w:rPr>
              <w:t>136</w:t>
            </w:r>
            <w:r w:rsidRPr="005A76D5">
              <w:rPr>
                <w:szCs w:val="20"/>
              </w:rPr>
              <w:t>/D/</w:t>
            </w:r>
            <w:r w:rsidRPr="004869A6">
              <w:rPr>
                <w:szCs w:val="20"/>
              </w:rPr>
              <w:t>3153</w:t>
            </w:r>
            <w:r w:rsidRPr="005A76D5">
              <w:rPr>
                <w:szCs w:val="20"/>
              </w:rPr>
              <w:t>/</w:t>
            </w:r>
            <w:r w:rsidRPr="004869A6">
              <w:rPr>
                <w:szCs w:val="20"/>
              </w:rPr>
              <w:t>2018</w:t>
            </w:r>
          </w:p>
        </w:tc>
      </w:tr>
      <w:tr w:rsidR="006B3E27" w:rsidRPr="00C175A6" w14:paraId="10A55884" w14:textId="77777777" w:rsidTr="005B51C4">
        <w:trPr>
          <w:trHeight w:hRule="exact" w:val="2835"/>
        </w:trPr>
        <w:tc>
          <w:tcPr>
            <w:tcW w:w="1274" w:type="dxa"/>
            <w:tcBorders>
              <w:top w:val="single" w:sz="4" w:space="0" w:color="auto"/>
              <w:bottom w:val="single" w:sz="12" w:space="0" w:color="auto"/>
            </w:tcBorders>
            <w:shd w:val="clear" w:color="auto" w:fill="auto"/>
          </w:tcPr>
          <w:p w14:paraId="3282CD8B"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58B6267" wp14:editId="1F4AB6D4">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F1414C0" w14:textId="77777777" w:rsidR="006B3E27" w:rsidRPr="004869A6" w:rsidRDefault="00ED7442" w:rsidP="00730446">
            <w:pPr>
              <w:spacing w:before="120" w:after="40" w:line="640" w:lineRule="exact"/>
              <w:ind w:left="57"/>
              <w:rPr>
                <w:b/>
                <w:bCs/>
                <w:sz w:val="46"/>
                <w:szCs w:val="46"/>
              </w:rPr>
            </w:pPr>
            <w:r w:rsidRPr="004869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1924C9D6" w14:textId="0A182618" w:rsidR="006B3E27" w:rsidRDefault="00E44870" w:rsidP="004B27E0">
            <w:pPr>
              <w:bidi w:val="0"/>
              <w:spacing w:before="240"/>
              <w:rPr>
                <w:szCs w:val="20"/>
              </w:rPr>
            </w:pPr>
            <w:r>
              <w:rPr>
                <w:szCs w:val="20"/>
              </w:rPr>
              <w:t>Dist</w:t>
            </w:r>
            <w:r w:rsidR="005A76D5" w:rsidRPr="005A76D5">
              <w:rPr>
                <w:szCs w:val="20"/>
              </w:rPr>
              <w:t>r.:</w:t>
            </w:r>
            <w:r>
              <w:rPr>
                <w:szCs w:val="20"/>
              </w:rPr>
              <w:t xml:space="preserve"> General</w:t>
            </w:r>
          </w:p>
          <w:p w14:paraId="5D68FD5F" w14:textId="0D99F123" w:rsidR="00E44870" w:rsidRDefault="00C30D1C" w:rsidP="00E44870">
            <w:pPr>
              <w:bidi w:val="0"/>
              <w:spacing w:line="240" w:lineRule="exact"/>
              <w:jc w:val="left"/>
              <w:rPr>
                <w:szCs w:val="20"/>
              </w:rPr>
            </w:pPr>
            <w:r w:rsidRPr="004869A6">
              <w:rPr>
                <w:szCs w:val="20"/>
              </w:rPr>
              <w:t>13</w:t>
            </w:r>
            <w:r>
              <w:rPr>
                <w:szCs w:val="20"/>
              </w:rPr>
              <w:t xml:space="preserve"> January </w:t>
            </w:r>
            <w:r w:rsidR="00E44870" w:rsidRPr="004869A6">
              <w:rPr>
                <w:szCs w:val="20"/>
              </w:rPr>
              <w:t>2023</w:t>
            </w:r>
          </w:p>
          <w:p w14:paraId="0987704A" w14:textId="77777777" w:rsidR="00E44870" w:rsidRDefault="00E44870" w:rsidP="00E44870">
            <w:pPr>
              <w:bidi w:val="0"/>
              <w:spacing w:line="240" w:lineRule="exact"/>
              <w:jc w:val="left"/>
              <w:rPr>
                <w:szCs w:val="20"/>
              </w:rPr>
            </w:pPr>
            <w:r>
              <w:rPr>
                <w:szCs w:val="20"/>
              </w:rPr>
              <w:t>Arabic</w:t>
            </w:r>
          </w:p>
          <w:p w14:paraId="206CFFFD" w14:textId="22A9A14F" w:rsidR="00E44870" w:rsidRPr="00E44870" w:rsidRDefault="00E44870" w:rsidP="00E44870">
            <w:pPr>
              <w:bidi w:val="0"/>
              <w:spacing w:line="240" w:lineRule="exact"/>
              <w:jc w:val="left"/>
              <w:rPr>
                <w:szCs w:val="20"/>
              </w:rPr>
            </w:pPr>
            <w:r>
              <w:rPr>
                <w:szCs w:val="20"/>
              </w:rPr>
              <w:t>Origina</w:t>
            </w:r>
            <w:r w:rsidR="005A76D5" w:rsidRPr="005A76D5">
              <w:rPr>
                <w:szCs w:val="20"/>
              </w:rPr>
              <w:t xml:space="preserve">l: </w:t>
            </w:r>
            <w:r>
              <w:rPr>
                <w:szCs w:val="20"/>
              </w:rPr>
              <w:t>English</w:t>
            </w:r>
          </w:p>
        </w:tc>
      </w:tr>
    </w:tbl>
    <w:p w14:paraId="225B00FC" w14:textId="77777777" w:rsidR="00C06137" w:rsidRPr="004869A6" w:rsidRDefault="00C06137" w:rsidP="00C30D1C">
      <w:pPr>
        <w:pStyle w:val="SingleTxtGA"/>
        <w:spacing w:before="120" w:after="0"/>
        <w:ind w:left="0" w:right="283"/>
        <w:jc w:val="left"/>
        <w:rPr>
          <w:b/>
          <w:bCs/>
          <w:sz w:val="26"/>
          <w:szCs w:val="26"/>
          <w:lang w:val="ar-SA" w:eastAsia="zh-TW" w:bidi="en-GB"/>
        </w:rPr>
      </w:pPr>
      <w:r w:rsidRPr="004869A6">
        <w:rPr>
          <w:b/>
          <w:bCs/>
          <w:sz w:val="26"/>
          <w:szCs w:val="26"/>
          <w:rtl/>
        </w:rPr>
        <w:t>اللجنة المعنية بحقوق الإنسان</w:t>
      </w:r>
    </w:p>
    <w:p w14:paraId="18419632" w14:textId="27990E02" w:rsidR="00C06137" w:rsidRPr="004869A6" w:rsidRDefault="00C06137" w:rsidP="00C30D1C">
      <w:pPr>
        <w:pStyle w:val="HChGA"/>
        <w:rPr>
          <w:sz w:val="34"/>
          <w:szCs w:val="34"/>
          <w:lang w:val="en-US" w:eastAsia="zh-TW" w:bidi="en-GB"/>
        </w:rPr>
      </w:pPr>
      <w:r w:rsidRPr="004869A6">
        <w:rPr>
          <w:rtl/>
        </w:rPr>
        <w:tab/>
      </w:r>
      <w:r w:rsidRPr="004869A6">
        <w:rPr>
          <w:rtl/>
        </w:rPr>
        <w:tab/>
        <w:t>آراء اعتمدتها اللجنة بموجب المادة 5(</w:t>
      </w:r>
      <w:r w:rsidR="005A76D5" w:rsidRPr="004869A6">
        <w:rPr>
          <w:rtl/>
        </w:rPr>
        <w:t xml:space="preserve">4) </w:t>
      </w:r>
      <w:r w:rsidRPr="004869A6">
        <w:rPr>
          <w:rtl/>
        </w:rPr>
        <w:t xml:space="preserve">من البروتوكول الاختياري، بشأن البلاغ رقم </w:t>
      </w:r>
      <w:r w:rsidR="00C30D1C" w:rsidRPr="004869A6">
        <w:rPr>
          <w:rtl/>
        </w:rPr>
        <w:t>3153/2018</w:t>
      </w:r>
      <w:r w:rsidR="00C30D1C" w:rsidRPr="004869A6">
        <w:rPr>
          <w:rStyle w:val="FootnoteReference"/>
          <w:rFonts w:cs="Simplified Arabic"/>
          <w:sz w:val="26"/>
          <w:szCs w:val="26"/>
          <w:vertAlign w:val="baseline"/>
          <w:rtl/>
          <w:lang w:val="en-US" w:eastAsia="zh-TW"/>
        </w:rPr>
        <w:footnoteReference w:customMarkFollows="1" w:id="1"/>
        <w:t>*</w:t>
      </w:r>
      <w:r w:rsidR="00C30D1C" w:rsidRPr="004869A6">
        <w:rPr>
          <w:sz w:val="34"/>
          <w:szCs w:val="34"/>
          <w:rtl/>
          <w:lang w:val="en-US" w:eastAsia="zh-TW"/>
        </w:rPr>
        <w:t xml:space="preserve"> </w:t>
      </w:r>
      <w:r w:rsidR="00C30D1C" w:rsidRPr="004869A6">
        <w:rPr>
          <w:rStyle w:val="FootnoteReference"/>
          <w:rFonts w:cs="Simplified Arabic"/>
          <w:sz w:val="26"/>
          <w:szCs w:val="26"/>
          <w:vertAlign w:val="baseline"/>
          <w:rtl/>
          <w:lang w:val="en-US" w:eastAsia="zh-TW"/>
        </w:rPr>
        <w:footnoteReference w:customMarkFollows="1" w:id="2"/>
        <w:t>**</w:t>
      </w:r>
    </w:p>
    <w:p w14:paraId="272BBD0E" w14:textId="413BA5FA" w:rsidR="00C06137" w:rsidRPr="00C30D1C" w:rsidRDefault="00C06137" w:rsidP="00ED5F28">
      <w:pPr>
        <w:pStyle w:val="SingleTxtGA"/>
        <w:tabs>
          <w:tab w:val="clear" w:pos="1928"/>
          <w:tab w:val="clear" w:pos="2608"/>
          <w:tab w:val="clear" w:pos="3289"/>
          <w:tab w:val="clear" w:pos="3969"/>
          <w:tab w:val="clear" w:pos="4649"/>
          <w:tab w:val="clear" w:pos="5330"/>
        </w:tabs>
        <w:spacing w:line="340" w:lineRule="exact"/>
        <w:ind w:left="4321" w:hanging="2393"/>
      </w:pPr>
      <w:r w:rsidRPr="004869A6">
        <w:rPr>
          <w:i/>
          <w:iCs/>
          <w:rtl/>
        </w:rPr>
        <w:t>بلاغ قدَّمه</w:t>
      </w:r>
      <w:r w:rsidR="00C30D1C" w:rsidRPr="004869A6">
        <w:rPr>
          <w:i/>
          <w:iCs/>
          <w:rtl/>
        </w:rPr>
        <w:t>:</w:t>
      </w:r>
      <w:r w:rsidR="00C30D1C">
        <w:rPr>
          <w:rtl/>
        </w:rPr>
        <w:tab/>
      </w:r>
      <w:proofErr w:type="spellStart"/>
      <w:r w:rsidRPr="00C30D1C">
        <w:rPr>
          <w:rtl/>
        </w:rPr>
        <w:t>روفشان</w:t>
      </w:r>
      <w:proofErr w:type="spellEnd"/>
      <w:r w:rsidRPr="00C30D1C">
        <w:rPr>
          <w:rtl/>
        </w:rPr>
        <w:t xml:space="preserve"> </w:t>
      </w:r>
      <w:proofErr w:type="spellStart"/>
      <w:r w:rsidRPr="00C30D1C">
        <w:rPr>
          <w:rtl/>
        </w:rPr>
        <w:t>مورسالوف</w:t>
      </w:r>
      <w:proofErr w:type="spellEnd"/>
      <w:r w:rsidRPr="00C30D1C">
        <w:rPr>
          <w:rtl/>
        </w:rPr>
        <w:t xml:space="preserve"> وفاطمة بالوفا وميلينا </w:t>
      </w:r>
      <w:proofErr w:type="spellStart"/>
      <w:r w:rsidRPr="00C30D1C">
        <w:rPr>
          <w:rtl/>
        </w:rPr>
        <w:t>ماكارينكو</w:t>
      </w:r>
      <w:proofErr w:type="spellEnd"/>
      <w:r w:rsidRPr="00C30D1C">
        <w:rPr>
          <w:rtl/>
        </w:rPr>
        <w:t xml:space="preserve"> </w:t>
      </w:r>
      <w:proofErr w:type="spellStart"/>
      <w:r w:rsidRPr="00C30D1C">
        <w:rPr>
          <w:rtl/>
        </w:rPr>
        <w:t>وباستي</w:t>
      </w:r>
      <w:proofErr w:type="spellEnd"/>
      <w:r w:rsidRPr="00C30D1C">
        <w:rPr>
          <w:rtl/>
        </w:rPr>
        <w:t xml:space="preserve"> </w:t>
      </w:r>
      <w:proofErr w:type="spellStart"/>
      <w:r w:rsidRPr="00C30D1C">
        <w:rPr>
          <w:rtl/>
        </w:rPr>
        <w:t>راسولوفا</w:t>
      </w:r>
      <w:proofErr w:type="spellEnd"/>
      <w:r w:rsidRPr="00C30D1C">
        <w:rPr>
          <w:rtl/>
        </w:rPr>
        <w:t xml:space="preserve"> وغالينا </w:t>
      </w:r>
      <w:proofErr w:type="spellStart"/>
      <w:r w:rsidRPr="00C30D1C">
        <w:rPr>
          <w:rtl/>
        </w:rPr>
        <w:t>فازليامادوفا</w:t>
      </w:r>
      <w:proofErr w:type="spellEnd"/>
      <w:r w:rsidRPr="00C30D1C">
        <w:rPr>
          <w:rtl/>
        </w:rPr>
        <w:t xml:space="preserve"> </w:t>
      </w:r>
      <w:proofErr w:type="spellStart"/>
      <w:r w:rsidRPr="00C30D1C">
        <w:rPr>
          <w:rtl/>
        </w:rPr>
        <w:t>وغودردزي</w:t>
      </w:r>
      <w:proofErr w:type="spellEnd"/>
      <w:r w:rsidRPr="00C30D1C">
        <w:rPr>
          <w:rtl/>
        </w:rPr>
        <w:t xml:space="preserve"> </w:t>
      </w:r>
      <w:proofErr w:type="spellStart"/>
      <w:r w:rsidRPr="00C30D1C">
        <w:rPr>
          <w:rtl/>
        </w:rPr>
        <w:t>كفاراتسخيليا</w:t>
      </w:r>
      <w:proofErr w:type="spellEnd"/>
      <w:r w:rsidRPr="00C30D1C">
        <w:rPr>
          <w:rtl/>
        </w:rPr>
        <w:t xml:space="preserve"> (يمثلهم المحاميان دانيال غ. بول وبيتر</w:t>
      </w:r>
      <w:r w:rsidR="00C30D1C">
        <w:rPr>
          <w:rFonts w:hint="cs"/>
          <w:rtl/>
        </w:rPr>
        <w:t> </w:t>
      </w:r>
      <w:proofErr w:type="spellStart"/>
      <w:r w:rsidRPr="00C30D1C">
        <w:rPr>
          <w:rtl/>
        </w:rPr>
        <w:t>موزني</w:t>
      </w:r>
      <w:proofErr w:type="spellEnd"/>
      <w:r w:rsidRPr="00C30D1C">
        <w:rPr>
          <w:rtl/>
        </w:rPr>
        <w:t>)</w:t>
      </w:r>
    </w:p>
    <w:p w14:paraId="5400811A" w14:textId="6ADC4158" w:rsidR="00C06137" w:rsidRPr="00C30D1C" w:rsidRDefault="00C06137" w:rsidP="00ED5F28">
      <w:pPr>
        <w:pStyle w:val="SingleTxtGA"/>
        <w:tabs>
          <w:tab w:val="clear" w:pos="1928"/>
          <w:tab w:val="clear" w:pos="2608"/>
          <w:tab w:val="clear" w:pos="3289"/>
          <w:tab w:val="clear" w:pos="3969"/>
          <w:tab w:val="clear" w:pos="4649"/>
          <w:tab w:val="clear" w:pos="5330"/>
        </w:tabs>
        <w:spacing w:line="340" w:lineRule="exact"/>
        <w:ind w:left="4321" w:hanging="2393"/>
      </w:pPr>
      <w:r w:rsidRPr="004869A6">
        <w:rPr>
          <w:i/>
          <w:iCs/>
          <w:rtl/>
        </w:rPr>
        <w:t>الأشخاص المدعى أنهم ضحايا</w:t>
      </w:r>
      <w:r w:rsidR="00C30D1C" w:rsidRPr="004869A6">
        <w:rPr>
          <w:i/>
          <w:iCs/>
          <w:rtl/>
        </w:rPr>
        <w:t>:</w:t>
      </w:r>
      <w:r w:rsidR="00C30D1C">
        <w:rPr>
          <w:rtl/>
        </w:rPr>
        <w:tab/>
      </w:r>
      <w:r w:rsidRPr="00C30D1C">
        <w:rPr>
          <w:rtl/>
        </w:rPr>
        <w:t xml:space="preserve">أصحاب البلاغ </w:t>
      </w:r>
    </w:p>
    <w:p w14:paraId="32659312" w14:textId="5AA6F4C4" w:rsidR="00C06137" w:rsidRPr="00C30D1C" w:rsidRDefault="00C06137" w:rsidP="00ED5F28">
      <w:pPr>
        <w:pStyle w:val="SingleTxtGA"/>
        <w:tabs>
          <w:tab w:val="clear" w:pos="1928"/>
          <w:tab w:val="clear" w:pos="2608"/>
          <w:tab w:val="clear" w:pos="3289"/>
          <w:tab w:val="clear" w:pos="3969"/>
          <w:tab w:val="clear" w:pos="4649"/>
          <w:tab w:val="clear" w:pos="5330"/>
        </w:tabs>
        <w:spacing w:line="340" w:lineRule="exact"/>
        <w:ind w:left="4321" w:hanging="2393"/>
        <w:rPr>
          <w:rtl/>
        </w:rPr>
      </w:pPr>
      <w:r w:rsidRPr="004869A6">
        <w:rPr>
          <w:i/>
          <w:iCs/>
          <w:rtl/>
        </w:rPr>
        <w:t>الدولة الطرف</w:t>
      </w:r>
      <w:r w:rsidR="00C30D1C" w:rsidRPr="004869A6">
        <w:rPr>
          <w:i/>
          <w:iCs/>
          <w:rtl/>
        </w:rPr>
        <w:t>:</w:t>
      </w:r>
      <w:r w:rsidR="00C30D1C">
        <w:rPr>
          <w:rtl/>
        </w:rPr>
        <w:tab/>
      </w:r>
      <w:r w:rsidRPr="00C30D1C">
        <w:rPr>
          <w:rtl/>
        </w:rPr>
        <w:t>أذربيجان</w:t>
      </w:r>
    </w:p>
    <w:p w14:paraId="7DC7DE18" w14:textId="7B1926F1" w:rsidR="00C06137" w:rsidRPr="00C30D1C" w:rsidRDefault="00C06137" w:rsidP="00ED5F28">
      <w:pPr>
        <w:pStyle w:val="SingleTxtGA"/>
        <w:tabs>
          <w:tab w:val="clear" w:pos="1928"/>
          <w:tab w:val="clear" w:pos="2608"/>
          <w:tab w:val="clear" w:pos="3289"/>
          <w:tab w:val="clear" w:pos="3969"/>
          <w:tab w:val="clear" w:pos="4649"/>
          <w:tab w:val="clear" w:pos="5330"/>
        </w:tabs>
        <w:spacing w:line="340" w:lineRule="exact"/>
        <w:ind w:left="4321" w:hanging="2393"/>
      </w:pPr>
      <w:r w:rsidRPr="004869A6">
        <w:rPr>
          <w:i/>
          <w:iCs/>
          <w:rtl/>
        </w:rPr>
        <w:t>تاريخ تقديم البلاغ</w:t>
      </w:r>
      <w:r w:rsidR="00C30D1C" w:rsidRPr="004869A6">
        <w:rPr>
          <w:i/>
          <w:iCs/>
          <w:rtl/>
        </w:rPr>
        <w:t>:</w:t>
      </w:r>
      <w:r w:rsidR="00C30D1C">
        <w:rPr>
          <w:rtl/>
        </w:rPr>
        <w:tab/>
      </w:r>
      <w:r w:rsidRPr="004869A6">
        <w:rPr>
          <w:rtl/>
        </w:rPr>
        <w:t>22</w:t>
      </w:r>
      <w:r w:rsidRPr="00C30D1C">
        <w:rPr>
          <w:rtl/>
        </w:rPr>
        <w:t xml:space="preserve"> أيار/مايو </w:t>
      </w:r>
      <w:r w:rsidRPr="004869A6">
        <w:rPr>
          <w:rtl/>
        </w:rPr>
        <w:t>2017</w:t>
      </w:r>
      <w:r w:rsidRPr="00C30D1C">
        <w:rPr>
          <w:rtl/>
        </w:rPr>
        <w:t xml:space="preserve"> (تاريخ الرسالة الأولى)</w:t>
      </w:r>
    </w:p>
    <w:p w14:paraId="77A046A3" w14:textId="59F344C4" w:rsidR="00C06137" w:rsidRPr="00C30D1C" w:rsidRDefault="00C06137" w:rsidP="00ED5F28">
      <w:pPr>
        <w:pStyle w:val="SingleTxtGA"/>
        <w:tabs>
          <w:tab w:val="clear" w:pos="1928"/>
          <w:tab w:val="clear" w:pos="2608"/>
          <w:tab w:val="clear" w:pos="3289"/>
          <w:tab w:val="clear" w:pos="3969"/>
          <w:tab w:val="clear" w:pos="4649"/>
          <w:tab w:val="clear" w:pos="5330"/>
        </w:tabs>
        <w:spacing w:line="340" w:lineRule="exact"/>
        <w:ind w:left="4321" w:hanging="2393"/>
      </w:pPr>
      <w:r w:rsidRPr="004869A6">
        <w:rPr>
          <w:i/>
          <w:iCs/>
          <w:rtl/>
        </w:rPr>
        <w:t>الوثائق المرجعية</w:t>
      </w:r>
      <w:r w:rsidR="00C30D1C" w:rsidRPr="004869A6">
        <w:rPr>
          <w:i/>
          <w:iCs/>
          <w:rtl/>
        </w:rPr>
        <w:t>:</w:t>
      </w:r>
      <w:r w:rsidR="00C30D1C">
        <w:rPr>
          <w:rtl/>
        </w:rPr>
        <w:tab/>
      </w:r>
      <w:r w:rsidRPr="004869A6">
        <w:rPr>
          <w:spacing w:val="-4"/>
          <w:rtl/>
        </w:rPr>
        <w:t>القرار المتخذ عمل</w:t>
      </w:r>
      <w:r w:rsidR="00391D83" w:rsidRPr="004869A6">
        <w:rPr>
          <w:spacing w:val="-4"/>
          <w:rtl/>
        </w:rPr>
        <w:t>اً</w:t>
      </w:r>
      <w:r w:rsidR="00AB145A" w:rsidRPr="004869A6">
        <w:rPr>
          <w:rFonts w:hint="cs"/>
          <w:spacing w:val="-4"/>
          <w:rtl/>
        </w:rPr>
        <w:t xml:space="preserve"> </w:t>
      </w:r>
      <w:r w:rsidRPr="004869A6">
        <w:rPr>
          <w:spacing w:val="-4"/>
          <w:rtl/>
        </w:rPr>
        <w:t>بالمادة 92 من النظام الداخلي للجنة، المحال إلى الدولة الطرف في 23 آذار/مارس 2018</w:t>
      </w:r>
      <w:r w:rsidRPr="00C30D1C">
        <w:rPr>
          <w:rtl/>
        </w:rPr>
        <w:t xml:space="preserve"> (لم</w:t>
      </w:r>
      <w:r w:rsidR="004869A6">
        <w:rPr>
          <w:rFonts w:hint="cs"/>
          <w:rtl/>
        </w:rPr>
        <w:t> </w:t>
      </w:r>
      <w:r w:rsidRPr="00C30D1C">
        <w:rPr>
          <w:rtl/>
        </w:rPr>
        <w:t>يصدر في شكل وثيقة)</w:t>
      </w:r>
    </w:p>
    <w:p w14:paraId="5AC2C83C" w14:textId="64F0F119" w:rsidR="00C06137" w:rsidRPr="00C30D1C" w:rsidRDefault="00C06137" w:rsidP="00ED5F28">
      <w:pPr>
        <w:pStyle w:val="SingleTxtGA"/>
        <w:tabs>
          <w:tab w:val="clear" w:pos="1928"/>
          <w:tab w:val="clear" w:pos="2608"/>
          <w:tab w:val="clear" w:pos="3289"/>
          <w:tab w:val="clear" w:pos="3969"/>
          <w:tab w:val="clear" w:pos="4649"/>
          <w:tab w:val="clear" w:pos="5330"/>
        </w:tabs>
        <w:spacing w:line="340" w:lineRule="exact"/>
        <w:ind w:left="4321" w:hanging="2393"/>
      </w:pPr>
      <w:r w:rsidRPr="004869A6">
        <w:rPr>
          <w:i/>
          <w:iCs/>
          <w:rtl/>
        </w:rPr>
        <w:t>تاريخ اعتماد الآراء</w:t>
      </w:r>
      <w:r w:rsidR="00C30D1C" w:rsidRPr="004869A6">
        <w:rPr>
          <w:i/>
          <w:iCs/>
          <w:rtl/>
        </w:rPr>
        <w:t>:</w:t>
      </w:r>
      <w:r w:rsidR="00C30D1C">
        <w:rPr>
          <w:rtl/>
        </w:rPr>
        <w:tab/>
      </w:r>
      <w:r w:rsidRPr="004869A6">
        <w:rPr>
          <w:rtl/>
        </w:rPr>
        <w:t>1</w:t>
      </w:r>
      <w:r w:rsidRPr="00C30D1C">
        <w:rPr>
          <w:rtl/>
        </w:rPr>
        <w:t xml:space="preserve"> تشرين الثاني/نوفمبر </w:t>
      </w:r>
      <w:r w:rsidRPr="004869A6">
        <w:rPr>
          <w:rtl/>
        </w:rPr>
        <w:t>2022</w:t>
      </w:r>
    </w:p>
    <w:p w14:paraId="7D888AB9" w14:textId="3A44AB46" w:rsidR="00C06137" w:rsidRPr="00ED5F28" w:rsidRDefault="00C06137" w:rsidP="00ED5F28">
      <w:pPr>
        <w:pStyle w:val="SingleTxtGA"/>
        <w:tabs>
          <w:tab w:val="clear" w:pos="1928"/>
          <w:tab w:val="clear" w:pos="2608"/>
          <w:tab w:val="clear" w:pos="3289"/>
          <w:tab w:val="clear" w:pos="3969"/>
          <w:tab w:val="clear" w:pos="4649"/>
          <w:tab w:val="clear" w:pos="5330"/>
        </w:tabs>
        <w:spacing w:line="340" w:lineRule="exact"/>
        <w:ind w:left="4321" w:hanging="2393"/>
        <w:rPr>
          <w:spacing w:val="-4"/>
        </w:rPr>
      </w:pPr>
      <w:r w:rsidRPr="004869A6">
        <w:rPr>
          <w:i/>
          <w:iCs/>
          <w:rtl/>
        </w:rPr>
        <w:t>الموضوع</w:t>
      </w:r>
      <w:r w:rsidR="00C30D1C" w:rsidRPr="004869A6">
        <w:rPr>
          <w:i/>
          <w:iCs/>
          <w:rtl/>
        </w:rPr>
        <w:t>:</w:t>
      </w:r>
      <w:r w:rsidR="00C30D1C">
        <w:rPr>
          <w:rtl/>
        </w:rPr>
        <w:tab/>
      </w:r>
      <w:r w:rsidRPr="00ED5F28">
        <w:rPr>
          <w:spacing w:val="-4"/>
          <w:rtl/>
        </w:rPr>
        <w:t xml:space="preserve">الاعتقال والاحتجاز وتفتيش المنزل وطرد أجنبي بواسطة إجراء إداري بسبب مشاركته في نشاط ديني نظّمه شهود يهوه </w:t>
      </w:r>
    </w:p>
    <w:p w14:paraId="7A3ECEBE" w14:textId="6A85A472" w:rsidR="00C06137" w:rsidRPr="00C30D1C" w:rsidRDefault="00C06137" w:rsidP="00ED5F28">
      <w:pPr>
        <w:pStyle w:val="SingleTxtGA"/>
        <w:tabs>
          <w:tab w:val="clear" w:pos="1928"/>
          <w:tab w:val="clear" w:pos="2608"/>
          <w:tab w:val="clear" w:pos="3289"/>
          <w:tab w:val="clear" w:pos="3969"/>
          <w:tab w:val="clear" w:pos="4649"/>
          <w:tab w:val="clear" w:pos="5330"/>
        </w:tabs>
        <w:spacing w:line="340" w:lineRule="exact"/>
        <w:ind w:left="4321" w:hanging="2393"/>
      </w:pPr>
      <w:r w:rsidRPr="004869A6">
        <w:rPr>
          <w:i/>
          <w:iCs/>
          <w:rtl/>
        </w:rPr>
        <w:t>المسائل الإجرائية</w:t>
      </w:r>
      <w:r w:rsidR="00C30D1C" w:rsidRPr="004869A6">
        <w:rPr>
          <w:i/>
          <w:iCs/>
          <w:rtl/>
        </w:rPr>
        <w:t>:</w:t>
      </w:r>
      <w:r w:rsidR="00C30D1C">
        <w:rPr>
          <w:rtl/>
        </w:rPr>
        <w:tab/>
      </w:r>
      <w:r w:rsidRPr="00C30D1C">
        <w:rPr>
          <w:rtl/>
        </w:rPr>
        <w:t>استنفاد سبل الانتصاف المحلية؛ مدى إثبات الادعاءات</w:t>
      </w:r>
      <w:r w:rsidR="00695E47">
        <w:rPr>
          <w:rFonts w:hint="cs"/>
          <w:rtl/>
        </w:rPr>
        <w:t> </w:t>
      </w:r>
      <w:r w:rsidRPr="00C30D1C">
        <w:rPr>
          <w:rtl/>
        </w:rPr>
        <w:t>بأدلة</w:t>
      </w:r>
    </w:p>
    <w:p w14:paraId="568E52D2" w14:textId="7AEB8635" w:rsidR="00C06137" w:rsidRPr="00C30D1C" w:rsidRDefault="00C06137" w:rsidP="00ED5F28">
      <w:pPr>
        <w:pStyle w:val="SingleTxtGA"/>
        <w:tabs>
          <w:tab w:val="clear" w:pos="1928"/>
          <w:tab w:val="clear" w:pos="2608"/>
          <w:tab w:val="clear" w:pos="3289"/>
          <w:tab w:val="clear" w:pos="3969"/>
          <w:tab w:val="clear" w:pos="4649"/>
          <w:tab w:val="clear" w:pos="5330"/>
        </w:tabs>
        <w:spacing w:line="340" w:lineRule="exact"/>
        <w:ind w:left="4321" w:hanging="2393"/>
      </w:pPr>
      <w:r w:rsidRPr="004869A6">
        <w:rPr>
          <w:i/>
          <w:iCs/>
          <w:rtl/>
        </w:rPr>
        <w:t>المسائل الموضوعية</w:t>
      </w:r>
      <w:r w:rsidR="00C30D1C" w:rsidRPr="004869A6">
        <w:rPr>
          <w:i/>
          <w:iCs/>
          <w:rtl/>
        </w:rPr>
        <w:t>:</w:t>
      </w:r>
      <w:r w:rsidR="00C30D1C">
        <w:rPr>
          <w:rtl/>
        </w:rPr>
        <w:tab/>
      </w:r>
      <w:r w:rsidRPr="00C30D1C">
        <w:rPr>
          <w:rtl/>
        </w:rPr>
        <w:t>الاعتقال والاحتجاز التعسـفيان وتفتيش المنزل والتمييز</w:t>
      </w:r>
      <w:r w:rsidR="00695E47">
        <w:rPr>
          <w:rFonts w:hint="cs"/>
          <w:rtl/>
        </w:rPr>
        <w:t>؛</w:t>
      </w:r>
      <w:r w:rsidRPr="00C30D1C">
        <w:rPr>
          <w:rtl/>
        </w:rPr>
        <w:t xml:space="preserve"> وحرية التعبير</w:t>
      </w:r>
      <w:r w:rsidR="00695E47">
        <w:rPr>
          <w:rFonts w:hint="cs"/>
          <w:rtl/>
        </w:rPr>
        <w:t>؛</w:t>
      </w:r>
      <w:r w:rsidRPr="00C30D1C">
        <w:rPr>
          <w:rtl/>
        </w:rPr>
        <w:t xml:space="preserve"> وحرية الدين</w:t>
      </w:r>
    </w:p>
    <w:p w14:paraId="2D0C2F9C" w14:textId="5545E224" w:rsidR="00C06137" w:rsidRPr="00C30D1C" w:rsidRDefault="00C06137" w:rsidP="00ED5F28">
      <w:pPr>
        <w:pStyle w:val="SingleTxtGA"/>
        <w:tabs>
          <w:tab w:val="clear" w:pos="1928"/>
          <w:tab w:val="clear" w:pos="2608"/>
          <w:tab w:val="clear" w:pos="3289"/>
          <w:tab w:val="clear" w:pos="3969"/>
          <w:tab w:val="clear" w:pos="4649"/>
          <w:tab w:val="clear" w:pos="5330"/>
        </w:tabs>
        <w:spacing w:line="340" w:lineRule="exact"/>
        <w:ind w:left="4321" w:hanging="2393"/>
      </w:pPr>
      <w:r w:rsidRPr="004869A6">
        <w:rPr>
          <w:i/>
          <w:iCs/>
          <w:rtl/>
        </w:rPr>
        <w:t>مواد العهد</w:t>
      </w:r>
      <w:r w:rsidR="00C30D1C" w:rsidRPr="004869A6">
        <w:rPr>
          <w:i/>
          <w:iCs/>
          <w:rtl/>
        </w:rPr>
        <w:t>:</w:t>
      </w:r>
      <w:r w:rsidR="00C30D1C">
        <w:rPr>
          <w:rtl/>
        </w:rPr>
        <w:tab/>
      </w:r>
      <w:r w:rsidRPr="004869A6">
        <w:rPr>
          <w:rtl/>
        </w:rPr>
        <w:t>9</w:t>
      </w:r>
      <w:r w:rsidRPr="00C30D1C">
        <w:rPr>
          <w:rtl/>
        </w:rPr>
        <w:t xml:space="preserve"> و</w:t>
      </w:r>
      <w:r w:rsidRPr="004869A6">
        <w:rPr>
          <w:rtl/>
        </w:rPr>
        <w:t>13</w:t>
      </w:r>
      <w:r w:rsidRPr="00C30D1C">
        <w:rPr>
          <w:rtl/>
        </w:rPr>
        <w:t xml:space="preserve"> و</w:t>
      </w:r>
      <w:r w:rsidRPr="004869A6">
        <w:rPr>
          <w:rtl/>
        </w:rPr>
        <w:t>17</w:t>
      </w:r>
      <w:r w:rsidRPr="00C30D1C">
        <w:rPr>
          <w:rtl/>
        </w:rPr>
        <w:t xml:space="preserve"> و</w:t>
      </w:r>
      <w:r w:rsidRPr="004869A6">
        <w:rPr>
          <w:rtl/>
        </w:rPr>
        <w:t>18</w:t>
      </w:r>
      <w:r w:rsidRPr="00C30D1C">
        <w:rPr>
          <w:rtl/>
        </w:rPr>
        <w:t xml:space="preserve"> و</w:t>
      </w:r>
      <w:r w:rsidRPr="004869A6">
        <w:rPr>
          <w:rtl/>
        </w:rPr>
        <w:t>19</w:t>
      </w:r>
      <w:r w:rsidRPr="00C30D1C">
        <w:rPr>
          <w:rtl/>
        </w:rPr>
        <w:t xml:space="preserve"> و</w:t>
      </w:r>
      <w:r w:rsidRPr="004869A6">
        <w:rPr>
          <w:rtl/>
        </w:rPr>
        <w:t>26</w:t>
      </w:r>
      <w:r w:rsidRPr="00C30D1C">
        <w:rPr>
          <w:rtl/>
        </w:rPr>
        <w:t xml:space="preserve"> و</w:t>
      </w:r>
      <w:r w:rsidRPr="004869A6">
        <w:rPr>
          <w:rtl/>
        </w:rPr>
        <w:t>27</w:t>
      </w:r>
      <w:r w:rsidRPr="00C30D1C">
        <w:rPr>
          <w:rtl/>
        </w:rPr>
        <w:t xml:space="preserve"> </w:t>
      </w:r>
    </w:p>
    <w:p w14:paraId="478B4E09" w14:textId="0ED9223E" w:rsidR="00C06137" w:rsidRPr="00C30D1C" w:rsidRDefault="00C06137" w:rsidP="00ED5F28">
      <w:pPr>
        <w:pStyle w:val="SingleTxtGA"/>
        <w:tabs>
          <w:tab w:val="clear" w:pos="1928"/>
          <w:tab w:val="clear" w:pos="2608"/>
          <w:tab w:val="clear" w:pos="3289"/>
          <w:tab w:val="clear" w:pos="3969"/>
          <w:tab w:val="clear" w:pos="4649"/>
          <w:tab w:val="clear" w:pos="5330"/>
        </w:tabs>
        <w:spacing w:line="340" w:lineRule="exact"/>
        <w:ind w:left="4321" w:hanging="2393"/>
        <w:rPr>
          <w:rtl/>
        </w:rPr>
      </w:pPr>
      <w:r w:rsidRPr="004869A6">
        <w:rPr>
          <w:i/>
          <w:iCs/>
          <w:rtl/>
        </w:rPr>
        <w:t>مواد البروتوكول الاختياري</w:t>
      </w:r>
      <w:r w:rsidR="00C30D1C" w:rsidRPr="004869A6">
        <w:rPr>
          <w:i/>
          <w:iCs/>
          <w:rtl/>
        </w:rPr>
        <w:t>:</w:t>
      </w:r>
      <w:r w:rsidR="00C30D1C">
        <w:rPr>
          <w:rtl/>
        </w:rPr>
        <w:tab/>
      </w:r>
      <w:r w:rsidRPr="004869A6">
        <w:rPr>
          <w:rtl/>
        </w:rPr>
        <w:t>2</w:t>
      </w:r>
      <w:r w:rsidRPr="00C30D1C">
        <w:rPr>
          <w:rtl/>
        </w:rPr>
        <w:t xml:space="preserve"> و</w:t>
      </w:r>
      <w:r w:rsidRPr="004869A6">
        <w:rPr>
          <w:rtl/>
        </w:rPr>
        <w:t>5</w:t>
      </w:r>
      <w:r w:rsidRPr="00C30D1C">
        <w:rPr>
          <w:rtl/>
        </w:rPr>
        <w:t>(</w:t>
      </w:r>
      <w:r w:rsidRPr="004869A6">
        <w:rPr>
          <w:rtl/>
        </w:rPr>
        <w:t>2</w:t>
      </w:r>
      <w:r w:rsidRPr="00C30D1C">
        <w:rPr>
          <w:rtl/>
        </w:rPr>
        <w:t>)(ب)</w:t>
      </w:r>
    </w:p>
    <w:p w14:paraId="421804F7" w14:textId="2D1AA10E" w:rsidR="00C06137" w:rsidRPr="00293EB2" w:rsidRDefault="00C06137" w:rsidP="004869A6">
      <w:pPr>
        <w:pStyle w:val="SingleTxtGA"/>
        <w:spacing w:before="240"/>
        <w:rPr>
          <w:rFonts w:eastAsiaTheme="minorEastAsia"/>
          <w:rtl/>
        </w:rPr>
      </w:pPr>
      <w:r w:rsidRPr="004869A6">
        <w:rPr>
          <w:rFonts w:eastAsiaTheme="minorEastAsia"/>
          <w:rtl/>
        </w:rPr>
        <w:lastRenderedPageBreak/>
        <w:t>1</w:t>
      </w:r>
      <w:r w:rsidRPr="00293EB2">
        <w:rPr>
          <w:rFonts w:eastAsiaTheme="minorEastAsia"/>
          <w:rtl/>
        </w:rPr>
        <w:t>-</w:t>
      </w:r>
      <w:r w:rsidRPr="004869A6">
        <w:rPr>
          <w:rFonts w:eastAsiaTheme="minorEastAsia"/>
          <w:rtl/>
        </w:rPr>
        <w:t>1</w:t>
      </w:r>
      <w:r w:rsidRPr="00293EB2">
        <w:rPr>
          <w:rFonts w:eastAsiaTheme="minorEastAsia"/>
          <w:rtl/>
        </w:rPr>
        <w:tab/>
        <w:t xml:space="preserve">أصحاب البلاغ هم </w:t>
      </w:r>
      <w:proofErr w:type="spellStart"/>
      <w:r w:rsidRPr="00293EB2">
        <w:rPr>
          <w:rFonts w:eastAsiaTheme="minorEastAsia"/>
          <w:rtl/>
        </w:rPr>
        <w:t>روفشان</w:t>
      </w:r>
      <w:proofErr w:type="spellEnd"/>
      <w:r w:rsidRPr="00293EB2">
        <w:rPr>
          <w:rFonts w:eastAsiaTheme="minorEastAsia"/>
          <w:rtl/>
        </w:rPr>
        <w:t xml:space="preserve"> </w:t>
      </w:r>
      <w:proofErr w:type="spellStart"/>
      <w:r w:rsidRPr="00293EB2">
        <w:rPr>
          <w:rFonts w:eastAsiaTheme="minorEastAsia"/>
          <w:rtl/>
        </w:rPr>
        <w:t>مورسالوف</w:t>
      </w:r>
      <w:proofErr w:type="spellEnd"/>
      <w:r w:rsidRPr="00293EB2">
        <w:rPr>
          <w:rFonts w:eastAsiaTheme="minorEastAsia"/>
          <w:rtl/>
        </w:rPr>
        <w:t xml:space="preserve"> وفاطمة بالوفا وميلينا </w:t>
      </w:r>
      <w:proofErr w:type="spellStart"/>
      <w:r w:rsidRPr="00293EB2">
        <w:rPr>
          <w:rFonts w:eastAsiaTheme="minorEastAsia"/>
          <w:rtl/>
        </w:rPr>
        <w:t>ماكارينكو</w:t>
      </w:r>
      <w:proofErr w:type="spellEnd"/>
      <w:r w:rsidRPr="00293EB2">
        <w:rPr>
          <w:rFonts w:eastAsiaTheme="minorEastAsia"/>
          <w:rtl/>
        </w:rPr>
        <w:t xml:space="preserve"> </w:t>
      </w:r>
      <w:proofErr w:type="spellStart"/>
      <w:r w:rsidRPr="00293EB2">
        <w:rPr>
          <w:rFonts w:eastAsiaTheme="minorEastAsia"/>
          <w:rtl/>
        </w:rPr>
        <w:t>وباستي</w:t>
      </w:r>
      <w:proofErr w:type="spellEnd"/>
      <w:r w:rsidRPr="00293EB2">
        <w:rPr>
          <w:rFonts w:eastAsiaTheme="minorEastAsia"/>
          <w:rtl/>
        </w:rPr>
        <w:t xml:space="preserve"> </w:t>
      </w:r>
      <w:proofErr w:type="spellStart"/>
      <w:r w:rsidRPr="00293EB2">
        <w:rPr>
          <w:rFonts w:eastAsiaTheme="minorEastAsia"/>
          <w:rtl/>
        </w:rPr>
        <w:t>راسولوفا</w:t>
      </w:r>
      <w:proofErr w:type="spellEnd"/>
      <w:r w:rsidRPr="00293EB2">
        <w:rPr>
          <w:rFonts w:eastAsiaTheme="minorEastAsia"/>
          <w:rtl/>
        </w:rPr>
        <w:t xml:space="preserve"> وغالينا </w:t>
      </w:r>
      <w:proofErr w:type="spellStart"/>
      <w:r w:rsidRPr="00293EB2">
        <w:rPr>
          <w:rFonts w:eastAsiaTheme="minorEastAsia"/>
          <w:rtl/>
        </w:rPr>
        <w:t>فازليامادوفا</w:t>
      </w:r>
      <w:proofErr w:type="spellEnd"/>
      <w:r w:rsidRPr="00293EB2">
        <w:rPr>
          <w:rFonts w:eastAsiaTheme="minorEastAsia"/>
          <w:rtl/>
        </w:rPr>
        <w:t xml:space="preserve"> </w:t>
      </w:r>
      <w:proofErr w:type="spellStart"/>
      <w:r w:rsidRPr="00293EB2">
        <w:rPr>
          <w:rFonts w:eastAsiaTheme="minorEastAsia"/>
          <w:rtl/>
        </w:rPr>
        <w:t>وغودردزي</w:t>
      </w:r>
      <w:proofErr w:type="spellEnd"/>
      <w:r w:rsidRPr="00293EB2">
        <w:rPr>
          <w:rFonts w:eastAsiaTheme="minorEastAsia"/>
          <w:rtl/>
        </w:rPr>
        <w:t xml:space="preserve"> </w:t>
      </w:r>
      <w:proofErr w:type="spellStart"/>
      <w:r w:rsidRPr="00293EB2">
        <w:rPr>
          <w:rFonts w:eastAsiaTheme="minorEastAsia"/>
          <w:rtl/>
        </w:rPr>
        <w:t>كفاراتسخيليا</w:t>
      </w:r>
      <w:proofErr w:type="spellEnd"/>
      <w:r w:rsidRPr="00293EB2">
        <w:rPr>
          <w:rFonts w:eastAsiaTheme="minorEastAsia"/>
          <w:rtl/>
        </w:rPr>
        <w:t xml:space="preserve">، وهم من مواليد </w:t>
      </w:r>
      <w:r w:rsidRPr="004869A6">
        <w:rPr>
          <w:rFonts w:eastAsiaTheme="minorEastAsia"/>
          <w:rtl/>
        </w:rPr>
        <w:t>1975</w:t>
      </w:r>
      <w:r w:rsidRPr="00293EB2">
        <w:rPr>
          <w:rFonts w:eastAsiaTheme="minorEastAsia"/>
          <w:rtl/>
        </w:rPr>
        <w:t xml:space="preserve"> و</w:t>
      </w:r>
      <w:r w:rsidRPr="004869A6">
        <w:rPr>
          <w:rFonts w:eastAsiaTheme="minorEastAsia"/>
          <w:rtl/>
        </w:rPr>
        <w:t>1966</w:t>
      </w:r>
      <w:r w:rsidRPr="00293EB2">
        <w:rPr>
          <w:rFonts w:eastAsiaTheme="minorEastAsia"/>
          <w:rtl/>
        </w:rPr>
        <w:t xml:space="preserve"> و</w:t>
      </w:r>
      <w:r w:rsidRPr="004869A6">
        <w:rPr>
          <w:rFonts w:eastAsiaTheme="minorEastAsia"/>
          <w:rtl/>
        </w:rPr>
        <w:t>1967</w:t>
      </w:r>
      <w:r w:rsidRPr="00293EB2">
        <w:rPr>
          <w:rFonts w:eastAsiaTheme="minorEastAsia"/>
          <w:rtl/>
        </w:rPr>
        <w:t xml:space="preserve"> </w:t>
      </w:r>
      <w:r w:rsidR="00AB145A">
        <w:rPr>
          <w:rFonts w:eastAsiaTheme="minorEastAsia" w:hint="cs"/>
          <w:rtl/>
        </w:rPr>
        <w:t xml:space="preserve">و1974 </w:t>
      </w:r>
      <w:r w:rsidRPr="00293EB2">
        <w:rPr>
          <w:rFonts w:eastAsiaTheme="minorEastAsia"/>
          <w:rtl/>
        </w:rPr>
        <w:t>و</w:t>
      </w:r>
      <w:r w:rsidRPr="004869A6">
        <w:rPr>
          <w:rFonts w:eastAsiaTheme="minorEastAsia"/>
          <w:rtl/>
        </w:rPr>
        <w:t>1948</w:t>
      </w:r>
      <w:r w:rsidRPr="00293EB2">
        <w:rPr>
          <w:rFonts w:eastAsiaTheme="minorEastAsia"/>
          <w:rtl/>
        </w:rPr>
        <w:t xml:space="preserve"> و</w:t>
      </w:r>
      <w:r w:rsidRPr="004869A6">
        <w:rPr>
          <w:rFonts w:eastAsiaTheme="minorEastAsia"/>
          <w:rtl/>
        </w:rPr>
        <w:t>1965</w:t>
      </w:r>
      <w:r w:rsidRPr="00293EB2">
        <w:rPr>
          <w:rFonts w:eastAsiaTheme="minorEastAsia"/>
          <w:rtl/>
        </w:rPr>
        <w:t xml:space="preserve">، على التوالي. وأصحاب البلاغ من مواطني أذربيجان، ما عدا السيد </w:t>
      </w:r>
      <w:proofErr w:type="spellStart"/>
      <w:r w:rsidRPr="00293EB2">
        <w:rPr>
          <w:rFonts w:eastAsiaTheme="minorEastAsia"/>
          <w:rtl/>
        </w:rPr>
        <w:t>كفاراتسخيليا</w:t>
      </w:r>
      <w:proofErr w:type="spellEnd"/>
      <w:r w:rsidRPr="00293EB2">
        <w:rPr>
          <w:rFonts w:eastAsiaTheme="minorEastAsia"/>
          <w:rtl/>
        </w:rPr>
        <w:t xml:space="preserve"> الذي هو من مواطني جورجيا. ويدعي أصحاب البلاغ أن الدولة الطرف قد انتهكت حقوقهم بموجب المواد </w:t>
      </w:r>
      <w:r w:rsidRPr="004869A6">
        <w:rPr>
          <w:rFonts w:eastAsiaTheme="minorEastAsia"/>
          <w:rtl/>
        </w:rPr>
        <w:t>9</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و</w:t>
      </w:r>
      <w:r w:rsidRPr="004869A6">
        <w:rPr>
          <w:rFonts w:eastAsiaTheme="minorEastAsia"/>
          <w:rtl/>
        </w:rPr>
        <w:t>1</w:t>
      </w:r>
      <w:r w:rsidR="00AB145A">
        <w:rPr>
          <w:rFonts w:eastAsiaTheme="minorEastAsia" w:hint="cs"/>
          <w:rtl/>
        </w:rPr>
        <w:t>3</w:t>
      </w:r>
      <w:r w:rsidRPr="00293EB2">
        <w:rPr>
          <w:rFonts w:eastAsiaTheme="minorEastAsia"/>
          <w:rtl/>
        </w:rPr>
        <w:t xml:space="preserve"> و</w:t>
      </w:r>
      <w:r w:rsidRPr="004869A6">
        <w:rPr>
          <w:rFonts w:eastAsiaTheme="minorEastAsia"/>
          <w:rtl/>
        </w:rPr>
        <w:t>17</w:t>
      </w:r>
      <w:r w:rsidRPr="00293EB2">
        <w:rPr>
          <w:rFonts w:eastAsiaTheme="minorEastAsia"/>
          <w:rtl/>
        </w:rPr>
        <w:t>(</w:t>
      </w:r>
      <w:r w:rsidRPr="004869A6">
        <w:rPr>
          <w:rFonts w:eastAsiaTheme="minorEastAsia"/>
          <w:rtl/>
        </w:rPr>
        <w:t>1</w:t>
      </w:r>
      <w:r w:rsidR="005A76D5" w:rsidRPr="005A76D5">
        <w:rPr>
          <w:rFonts w:eastAsiaTheme="minorEastAsia"/>
          <w:rtl/>
        </w:rPr>
        <w:t xml:space="preserve">)، </w:t>
      </w:r>
      <w:r w:rsidRPr="00293EB2">
        <w:rPr>
          <w:rFonts w:eastAsiaTheme="minorEastAsia"/>
          <w:rtl/>
        </w:rPr>
        <w:t>و</w:t>
      </w:r>
      <w:r w:rsidRPr="004869A6">
        <w:rPr>
          <w:rFonts w:eastAsiaTheme="minorEastAsia"/>
          <w:rtl/>
        </w:rPr>
        <w:t>18</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و(</w:t>
      </w:r>
      <w:r w:rsidRPr="004869A6">
        <w:rPr>
          <w:rFonts w:eastAsiaTheme="minorEastAsia"/>
          <w:rtl/>
        </w:rPr>
        <w:t>3</w:t>
      </w:r>
      <w:r w:rsidR="005A76D5" w:rsidRPr="005A76D5">
        <w:rPr>
          <w:rFonts w:eastAsiaTheme="minorEastAsia"/>
          <w:rtl/>
        </w:rPr>
        <w:t xml:space="preserve">)، </w:t>
      </w:r>
      <w:r w:rsidRPr="00293EB2">
        <w:rPr>
          <w:rFonts w:eastAsiaTheme="minorEastAsia"/>
          <w:rtl/>
        </w:rPr>
        <w:t>و</w:t>
      </w:r>
      <w:r w:rsidRPr="004869A6">
        <w:rPr>
          <w:rFonts w:eastAsiaTheme="minorEastAsia"/>
          <w:rtl/>
        </w:rPr>
        <w:t>19</w:t>
      </w:r>
      <w:r w:rsidRPr="00293EB2">
        <w:rPr>
          <w:rFonts w:eastAsiaTheme="minorEastAsia"/>
          <w:rtl/>
        </w:rPr>
        <w:t>(</w:t>
      </w:r>
      <w:r w:rsidR="005A76D5" w:rsidRPr="004869A6">
        <w:rPr>
          <w:rFonts w:eastAsiaTheme="minorEastAsia"/>
          <w:rtl/>
        </w:rPr>
        <w:t>2</w:t>
      </w:r>
      <w:r w:rsidR="005A76D5" w:rsidRPr="005A76D5">
        <w:rPr>
          <w:rFonts w:eastAsiaTheme="minorEastAsia"/>
          <w:rtl/>
        </w:rPr>
        <w:t xml:space="preserve">) </w:t>
      </w:r>
      <w:r w:rsidRPr="00293EB2">
        <w:rPr>
          <w:rFonts w:eastAsiaTheme="minorEastAsia"/>
          <w:rtl/>
        </w:rPr>
        <w:t>و(</w:t>
      </w:r>
      <w:r w:rsidRPr="004869A6">
        <w:rPr>
          <w:rFonts w:eastAsiaTheme="minorEastAsia"/>
          <w:rtl/>
        </w:rPr>
        <w:t>3</w:t>
      </w:r>
      <w:r w:rsidR="005A76D5" w:rsidRPr="005A76D5">
        <w:rPr>
          <w:rFonts w:eastAsiaTheme="minorEastAsia"/>
          <w:rtl/>
        </w:rPr>
        <w:t xml:space="preserve">)، </w:t>
      </w:r>
      <w:r w:rsidRPr="00293EB2">
        <w:rPr>
          <w:rFonts w:eastAsiaTheme="minorEastAsia"/>
          <w:rtl/>
        </w:rPr>
        <w:t>و</w:t>
      </w:r>
      <w:r w:rsidRPr="004869A6">
        <w:rPr>
          <w:rFonts w:eastAsiaTheme="minorEastAsia"/>
          <w:rtl/>
        </w:rPr>
        <w:t>26</w:t>
      </w:r>
      <w:r w:rsidRPr="00293EB2">
        <w:rPr>
          <w:rFonts w:eastAsiaTheme="minorEastAsia"/>
          <w:rtl/>
        </w:rPr>
        <w:t xml:space="preserve"> و</w:t>
      </w:r>
      <w:r w:rsidRPr="004869A6">
        <w:rPr>
          <w:rFonts w:eastAsiaTheme="minorEastAsia"/>
          <w:rtl/>
        </w:rPr>
        <w:t>27</w:t>
      </w:r>
      <w:r w:rsidRPr="00293EB2">
        <w:rPr>
          <w:rFonts w:eastAsiaTheme="minorEastAsia"/>
          <w:rtl/>
        </w:rPr>
        <w:t xml:space="preserve"> من العهد. وقد دخل البروتوكول الاختياري حيز النفاذ بالنسبة للدولة الطرف في </w:t>
      </w:r>
      <w:r w:rsidRPr="004869A6">
        <w:rPr>
          <w:rFonts w:eastAsiaTheme="minorEastAsia"/>
          <w:rtl/>
        </w:rPr>
        <w:t>27</w:t>
      </w:r>
      <w:r w:rsidRPr="00293EB2">
        <w:rPr>
          <w:rFonts w:eastAsiaTheme="minorEastAsia"/>
          <w:rtl/>
        </w:rPr>
        <w:t xml:space="preserve"> شباط/فبراير </w:t>
      </w:r>
      <w:r w:rsidRPr="004869A6">
        <w:rPr>
          <w:rFonts w:eastAsiaTheme="minorEastAsia"/>
          <w:rtl/>
        </w:rPr>
        <w:t>200</w:t>
      </w:r>
      <w:r w:rsidR="005A76D5" w:rsidRPr="004869A6">
        <w:rPr>
          <w:rFonts w:eastAsiaTheme="minorEastAsia"/>
          <w:rtl/>
        </w:rPr>
        <w:t>2</w:t>
      </w:r>
      <w:r w:rsidR="005A76D5" w:rsidRPr="005A76D5">
        <w:rPr>
          <w:rFonts w:eastAsiaTheme="minorEastAsia"/>
          <w:rtl/>
        </w:rPr>
        <w:t xml:space="preserve">. </w:t>
      </w:r>
      <w:r w:rsidRPr="00293EB2">
        <w:rPr>
          <w:rFonts w:eastAsiaTheme="minorEastAsia"/>
          <w:rtl/>
        </w:rPr>
        <w:t xml:space="preserve">ويمثل أصحاب البلاغ محاميان. </w:t>
      </w:r>
    </w:p>
    <w:p w14:paraId="2E834894" w14:textId="77777777" w:rsidR="00C06137" w:rsidRPr="00293EB2" w:rsidRDefault="00C06137" w:rsidP="00293EB2">
      <w:pPr>
        <w:pStyle w:val="SingleTxtGA"/>
        <w:rPr>
          <w:rFonts w:eastAsiaTheme="minorEastAsia"/>
          <w:rtl/>
        </w:rPr>
      </w:pPr>
      <w:r w:rsidRPr="004869A6">
        <w:rPr>
          <w:rFonts w:eastAsiaTheme="minorEastAsia"/>
          <w:rtl/>
        </w:rPr>
        <w:t>1</w:t>
      </w:r>
      <w:r w:rsidRPr="00293EB2">
        <w:rPr>
          <w:rFonts w:eastAsiaTheme="minorEastAsia"/>
          <w:rtl/>
        </w:rPr>
        <w:t>-</w:t>
      </w:r>
      <w:r w:rsidRPr="004869A6">
        <w:rPr>
          <w:rFonts w:eastAsiaTheme="minorEastAsia"/>
          <w:rtl/>
        </w:rPr>
        <w:t>2</w:t>
      </w:r>
      <w:r w:rsidRPr="00293EB2">
        <w:rPr>
          <w:rFonts w:eastAsiaTheme="minorEastAsia"/>
          <w:rtl/>
        </w:rPr>
        <w:tab/>
        <w:t xml:space="preserve">وفي </w:t>
      </w:r>
      <w:r w:rsidRPr="004869A6">
        <w:rPr>
          <w:rFonts w:eastAsiaTheme="minorEastAsia"/>
          <w:rtl/>
        </w:rPr>
        <w:t>22</w:t>
      </w:r>
      <w:r w:rsidRPr="00293EB2">
        <w:rPr>
          <w:rFonts w:eastAsiaTheme="minorEastAsia"/>
          <w:rtl/>
        </w:rPr>
        <w:t xml:space="preserve"> أيار/مايو </w:t>
      </w:r>
      <w:r w:rsidRPr="004869A6">
        <w:rPr>
          <w:rFonts w:eastAsiaTheme="minorEastAsia"/>
          <w:rtl/>
        </w:rPr>
        <w:t>2018</w:t>
      </w:r>
      <w:r w:rsidRPr="00293EB2">
        <w:rPr>
          <w:rFonts w:eastAsiaTheme="minorEastAsia"/>
          <w:rtl/>
        </w:rPr>
        <w:t xml:space="preserve">، طلبت الدولة الطرف إلى اللجنة أن تنظر في مقبولية البلاغ بمعزل عن أسسه الموضوعية. وفي </w:t>
      </w:r>
      <w:r w:rsidRPr="004869A6">
        <w:rPr>
          <w:rFonts w:eastAsiaTheme="minorEastAsia"/>
          <w:rtl/>
        </w:rPr>
        <w:t>23</w:t>
      </w:r>
      <w:r w:rsidRPr="00293EB2">
        <w:rPr>
          <w:rFonts w:eastAsiaTheme="minorEastAsia"/>
          <w:rtl/>
        </w:rPr>
        <w:t xml:space="preserve"> تشرين الأول/أكتوبر </w:t>
      </w:r>
      <w:r w:rsidRPr="004869A6">
        <w:rPr>
          <w:rFonts w:eastAsiaTheme="minorEastAsia"/>
          <w:rtl/>
        </w:rPr>
        <w:t>2018</w:t>
      </w:r>
      <w:r w:rsidRPr="00293EB2">
        <w:rPr>
          <w:rFonts w:eastAsiaTheme="minorEastAsia"/>
          <w:rtl/>
        </w:rPr>
        <w:t xml:space="preserve">، رفضت اللجنة طلب الدولة الطرف عملاً بالمادة </w:t>
      </w:r>
      <w:r w:rsidRPr="004869A6">
        <w:rPr>
          <w:rFonts w:eastAsiaTheme="minorEastAsia"/>
          <w:rtl/>
        </w:rPr>
        <w:t>94</w:t>
      </w:r>
      <w:r w:rsidRPr="00293EB2">
        <w:rPr>
          <w:rFonts w:eastAsiaTheme="minorEastAsia"/>
          <w:rtl/>
        </w:rPr>
        <w:t xml:space="preserve"> من نظامها الداخلي وعن طريق مقررها الخاص المعني بالبلاغات الجديدة والتدابير المؤقتة. </w:t>
      </w:r>
    </w:p>
    <w:p w14:paraId="7D842F3A" w14:textId="2032F593" w:rsidR="00C06137" w:rsidRPr="004869A6" w:rsidRDefault="00293EB2" w:rsidP="00293EB2">
      <w:pPr>
        <w:pStyle w:val="H23GA"/>
        <w:rPr>
          <w:rtl/>
        </w:rPr>
      </w:pPr>
      <w:r w:rsidRPr="004869A6">
        <w:rPr>
          <w:rtl/>
        </w:rPr>
        <w:tab/>
      </w:r>
      <w:r w:rsidRPr="004869A6">
        <w:rPr>
          <w:rtl/>
        </w:rPr>
        <w:tab/>
      </w:r>
      <w:r w:rsidR="00C06137" w:rsidRPr="004869A6">
        <w:rPr>
          <w:rtl/>
        </w:rPr>
        <w:t>الوقائع كما عرضها أصحاب البلاغ</w:t>
      </w:r>
    </w:p>
    <w:p w14:paraId="5314BFA0" w14:textId="75D988BC" w:rsidR="00C06137" w:rsidRPr="00293EB2" w:rsidRDefault="00C06137" w:rsidP="00293EB2">
      <w:pPr>
        <w:pStyle w:val="SingleTxtGA"/>
        <w:rPr>
          <w:rFonts w:eastAsiaTheme="minorEastAsia"/>
          <w:rtl/>
        </w:rPr>
      </w:pPr>
      <w:r w:rsidRPr="004869A6">
        <w:rPr>
          <w:rFonts w:eastAsiaTheme="minorEastAsia"/>
          <w:rtl/>
        </w:rPr>
        <w:t>2</w:t>
      </w:r>
      <w:r w:rsidRPr="00293EB2">
        <w:rPr>
          <w:rFonts w:eastAsiaTheme="minorEastAsia"/>
          <w:rtl/>
        </w:rPr>
        <w:t>-</w:t>
      </w:r>
      <w:r w:rsidRPr="004869A6">
        <w:rPr>
          <w:rFonts w:eastAsiaTheme="minorEastAsia"/>
          <w:rtl/>
        </w:rPr>
        <w:t>1</w:t>
      </w:r>
      <w:r w:rsidRPr="00293EB2">
        <w:rPr>
          <w:rFonts w:eastAsiaTheme="minorEastAsia"/>
          <w:rtl/>
        </w:rPr>
        <w:tab/>
        <w:t xml:space="preserve">جميع أصحاب البلاغ يعرّفون أنفسهم بأنهم من شهود يهوا. وفي </w:t>
      </w:r>
      <w:r w:rsidRPr="004869A6">
        <w:rPr>
          <w:rFonts w:eastAsiaTheme="minorEastAsia"/>
          <w:rtl/>
        </w:rPr>
        <w:t>9</w:t>
      </w:r>
      <w:r w:rsidRPr="00293EB2">
        <w:rPr>
          <w:rFonts w:eastAsiaTheme="minorEastAsia"/>
          <w:rtl/>
        </w:rPr>
        <w:t xml:space="preserve"> نيسان/أبريل </w:t>
      </w:r>
      <w:r w:rsidRPr="004869A6">
        <w:rPr>
          <w:rFonts w:eastAsiaTheme="minorEastAsia"/>
          <w:rtl/>
        </w:rPr>
        <w:t>2015</w:t>
      </w:r>
      <w:r w:rsidRPr="00293EB2">
        <w:rPr>
          <w:rFonts w:eastAsiaTheme="minorEastAsia"/>
          <w:rtl/>
        </w:rPr>
        <w:t xml:space="preserve">، كان أصحاب البلاغ مجتمعين في منزل السيد </w:t>
      </w:r>
      <w:proofErr w:type="spellStart"/>
      <w:r w:rsidRPr="00293EB2">
        <w:rPr>
          <w:rFonts w:eastAsiaTheme="minorEastAsia"/>
          <w:rtl/>
        </w:rPr>
        <w:t>مورسالوف</w:t>
      </w:r>
      <w:proofErr w:type="spellEnd"/>
      <w:r w:rsidRPr="00293EB2">
        <w:rPr>
          <w:rFonts w:eastAsiaTheme="minorEastAsia"/>
          <w:rtl/>
        </w:rPr>
        <w:t>، في باكو، بغرض التعبد ولأجل مناقشة كتب مقدسة. فدخلت الشرطة إلى المنزل، وفتشت جميع أصحاب البلاغ، وصادرت أغراض شتى دون أن تبرز أي أمر بالتفتيش. وعلق أفراد الشرطة بشكل مهين على عقيدة شهود يهوا، قائلين أشياء من قبيل (الإسلام هو الدين الأخير والدين الوحيد</w:t>
      </w:r>
      <w:r w:rsidR="005A76D5" w:rsidRPr="005A76D5">
        <w:rPr>
          <w:rFonts w:eastAsiaTheme="minorEastAsia"/>
          <w:rtl/>
        </w:rPr>
        <w:t xml:space="preserve">). </w:t>
      </w:r>
      <w:r w:rsidRPr="00293EB2">
        <w:rPr>
          <w:rFonts w:eastAsiaTheme="minorEastAsia"/>
          <w:rtl/>
        </w:rPr>
        <w:t xml:space="preserve">وأُخذ أصحاب البلاغ إلى مخفر الشرطة حيث احتُجزوا لأكثر من خمس ساعات، أحياناً خارج المخفر حيث البرد. وأوضح أصحاب البلاغ أن شهود يهوا مسجلون في باكو، باعتبارهم جمعية قانونية. </w:t>
      </w:r>
    </w:p>
    <w:p w14:paraId="5E084B31" w14:textId="6B4D3C5D" w:rsidR="00C06137" w:rsidRPr="00ED5F28" w:rsidRDefault="00C06137" w:rsidP="00293EB2">
      <w:pPr>
        <w:pStyle w:val="SingleTxtGA"/>
        <w:rPr>
          <w:rFonts w:eastAsiaTheme="minorEastAsia"/>
          <w:rtl/>
        </w:rPr>
      </w:pPr>
      <w:r w:rsidRPr="004869A6">
        <w:rPr>
          <w:rFonts w:eastAsiaTheme="minorEastAsia"/>
          <w:rtl/>
        </w:rPr>
        <w:t>2</w:t>
      </w:r>
      <w:r w:rsidRPr="00293EB2">
        <w:rPr>
          <w:rFonts w:eastAsiaTheme="minorEastAsia"/>
          <w:rtl/>
        </w:rPr>
        <w:t>-</w:t>
      </w:r>
      <w:r w:rsidRPr="004869A6">
        <w:rPr>
          <w:rFonts w:eastAsiaTheme="minorEastAsia"/>
          <w:rtl/>
        </w:rPr>
        <w:t>2</w:t>
      </w:r>
      <w:r w:rsidRPr="00293EB2">
        <w:rPr>
          <w:rFonts w:eastAsiaTheme="minorEastAsia"/>
          <w:rtl/>
        </w:rPr>
        <w:tab/>
        <w:t xml:space="preserve">وفي </w:t>
      </w:r>
      <w:r w:rsidRPr="004869A6">
        <w:rPr>
          <w:rFonts w:eastAsiaTheme="minorEastAsia"/>
          <w:rtl/>
        </w:rPr>
        <w:t>29</w:t>
      </w:r>
      <w:r w:rsidRPr="00293EB2">
        <w:rPr>
          <w:rFonts w:eastAsiaTheme="minorEastAsia"/>
          <w:rtl/>
        </w:rPr>
        <w:t xml:space="preserve"> حزيران/يونيه </w:t>
      </w:r>
      <w:r w:rsidRPr="004869A6">
        <w:rPr>
          <w:rFonts w:eastAsiaTheme="minorEastAsia"/>
          <w:rtl/>
        </w:rPr>
        <w:t>2015</w:t>
      </w:r>
      <w:r w:rsidRPr="00293EB2">
        <w:rPr>
          <w:rFonts w:eastAsiaTheme="minorEastAsia"/>
          <w:rtl/>
        </w:rPr>
        <w:t xml:space="preserve">، </w:t>
      </w:r>
      <w:r w:rsidRPr="00293EB2">
        <w:rPr>
          <w:rFonts w:eastAsiaTheme="minorEastAsia"/>
          <w:rtl/>
          <w:lang w:bidi="ar-YE"/>
        </w:rPr>
        <w:t>تلقّى</w:t>
      </w:r>
      <w:r w:rsidRPr="00293EB2">
        <w:rPr>
          <w:rFonts w:eastAsiaTheme="minorEastAsia"/>
          <w:rtl/>
        </w:rPr>
        <w:t xml:space="preserve"> أصحاب البلاغ استدعاء للحضور إلى مخفر الشرطة حيث وُجهت إليهم جميعاً، باستثناء السيد </w:t>
      </w:r>
      <w:proofErr w:type="spellStart"/>
      <w:r w:rsidRPr="00293EB2">
        <w:rPr>
          <w:rFonts w:eastAsiaTheme="minorEastAsia"/>
          <w:rtl/>
        </w:rPr>
        <w:t>كفاراتسخيليا</w:t>
      </w:r>
      <w:proofErr w:type="spellEnd"/>
      <w:r w:rsidRPr="00293EB2">
        <w:rPr>
          <w:rFonts w:eastAsiaTheme="minorEastAsia"/>
          <w:rtl/>
        </w:rPr>
        <w:t xml:space="preserve">، تهم بحضور اجتماع ديني غير قانوني بموجب </w:t>
      </w:r>
      <w:r w:rsidRPr="00ED5F28">
        <w:rPr>
          <w:rFonts w:eastAsiaTheme="minorEastAsia"/>
          <w:spacing w:val="-2"/>
          <w:rtl/>
        </w:rPr>
        <w:t>المادة</w:t>
      </w:r>
      <w:r w:rsidR="00ED5F28" w:rsidRPr="00ED5F28">
        <w:rPr>
          <w:rFonts w:eastAsiaTheme="minorEastAsia" w:hint="cs"/>
          <w:spacing w:val="-2"/>
          <w:rtl/>
        </w:rPr>
        <w:t> </w:t>
      </w:r>
      <w:r w:rsidR="00AB145A" w:rsidRPr="00ED5F28">
        <w:rPr>
          <w:rFonts w:eastAsiaTheme="minorEastAsia" w:hint="cs"/>
          <w:spacing w:val="-2"/>
          <w:rtl/>
        </w:rPr>
        <w:t>2</w:t>
      </w:r>
      <w:r w:rsidRPr="00ED5F28">
        <w:rPr>
          <w:rFonts w:eastAsiaTheme="minorEastAsia"/>
          <w:spacing w:val="-2"/>
          <w:rtl/>
        </w:rPr>
        <w:t>99-0-2 من قانون المخالفات الإدارية (أي انتهاك قواعد تنظيم وعقد اجتماعات دينية أو تسيير مواكب في الشارع وغيرها من الطقوس الدينية</w:t>
      </w:r>
      <w:r w:rsidR="005A76D5" w:rsidRPr="00ED5F28">
        <w:rPr>
          <w:rFonts w:eastAsiaTheme="minorEastAsia"/>
          <w:spacing w:val="-2"/>
          <w:rtl/>
        </w:rPr>
        <w:t xml:space="preserve">). </w:t>
      </w:r>
      <w:r w:rsidRPr="00ED5F28">
        <w:rPr>
          <w:rFonts w:eastAsiaTheme="minorEastAsia"/>
          <w:spacing w:val="-2"/>
          <w:rtl/>
        </w:rPr>
        <w:t xml:space="preserve">ويدعي أصحاب البلاغ أن التهم قد وُجهت إليهم بعد انقضاء المهلة الزمنية المحددة التي يجوز فيها توجيه تهم إلى أشخاص بعد اعتقالهم. وفي 8 تموز/يوليه 2016، </w:t>
      </w:r>
      <w:r w:rsidRPr="00ED5F28">
        <w:rPr>
          <w:rFonts w:eastAsiaTheme="minorEastAsia"/>
          <w:rtl/>
        </w:rPr>
        <w:t xml:space="preserve">قررت محكمة مقاطعة </w:t>
      </w:r>
      <w:proofErr w:type="spellStart"/>
      <w:r w:rsidRPr="00ED5F28">
        <w:rPr>
          <w:rFonts w:eastAsiaTheme="minorEastAsia"/>
          <w:rtl/>
        </w:rPr>
        <w:t>غاراداغ</w:t>
      </w:r>
      <w:proofErr w:type="spellEnd"/>
      <w:r w:rsidRPr="00ED5F28">
        <w:rPr>
          <w:rFonts w:eastAsiaTheme="minorEastAsia"/>
          <w:rtl/>
        </w:rPr>
        <w:t xml:space="preserve"> إدانة أصحاب البلاغ، ما عدا السيد </w:t>
      </w:r>
      <w:proofErr w:type="spellStart"/>
      <w:r w:rsidRPr="00ED5F28">
        <w:rPr>
          <w:rFonts w:eastAsiaTheme="minorEastAsia"/>
          <w:rtl/>
        </w:rPr>
        <w:t>كفاراتسخيليا</w:t>
      </w:r>
      <w:proofErr w:type="spellEnd"/>
      <w:r w:rsidRPr="00ED5F28">
        <w:rPr>
          <w:rFonts w:eastAsiaTheme="minorEastAsia"/>
          <w:rtl/>
        </w:rPr>
        <w:t xml:space="preserve">، بارتكاب مخالفة إدارية وصدر إنذار في حقهم بموجب المادة 21 من قانون المخالفات الإدارية. وقالت المحكمة إن أصحاب البلاغ قد عقدوا اجتماعاً دينياً بصورة غير قانونية في عنوان غير العنوان القانوني المستخدم لتسجيل شهود يهوا في باكو بموجب المادة 12 من قانون حرية المعتقدات الدينية في أذربيجان، الذي ينظم إجراء تسجيل الجمعيات الدينية. </w:t>
      </w:r>
    </w:p>
    <w:p w14:paraId="7F39907B" w14:textId="5125582E" w:rsidR="00C06137" w:rsidRPr="00293EB2" w:rsidRDefault="00C06137" w:rsidP="00293EB2">
      <w:pPr>
        <w:pStyle w:val="SingleTxtGA"/>
        <w:rPr>
          <w:rFonts w:eastAsiaTheme="minorEastAsia"/>
          <w:rtl/>
        </w:rPr>
      </w:pPr>
      <w:r w:rsidRPr="004869A6">
        <w:rPr>
          <w:rFonts w:eastAsiaTheme="minorEastAsia"/>
          <w:rtl/>
        </w:rPr>
        <w:t>2</w:t>
      </w:r>
      <w:r w:rsidRPr="00293EB2">
        <w:rPr>
          <w:rFonts w:eastAsiaTheme="minorEastAsia"/>
          <w:rtl/>
        </w:rPr>
        <w:t>-</w:t>
      </w:r>
      <w:r w:rsidRPr="004869A6">
        <w:rPr>
          <w:rFonts w:eastAsiaTheme="minorEastAsia"/>
          <w:rtl/>
        </w:rPr>
        <w:t>3</w:t>
      </w:r>
      <w:r w:rsidRPr="00293EB2">
        <w:rPr>
          <w:rFonts w:eastAsiaTheme="minorEastAsia"/>
          <w:rtl/>
        </w:rPr>
        <w:tab/>
        <w:t xml:space="preserve">وبتاريخ </w:t>
      </w:r>
      <w:r w:rsidRPr="004869A6">
        <w:rPr>
          <w:rFonts w:eastAsiaTheme="minorEastAsia"/>
          <w:rtl/>
        </w:rPr>
        <w:t>21</w:t>
      </w:r>
      <w:r w:rsidRPr="00293EB2">
        <w:rPr>
          <w:rFonts w:eastAsiaTheme="minorEastAsia"/>
          <w:rtl/>
        </w:rPr>
        <w:t xml:space="preserve"> تموز/يوليه </w:t>
      </w:r>
      <w:r w:rsidRPr="004869A6">
        <w:rPr>
          <w:rFonts w:eastAsiaTheme="minorEastAsia"/>
          <w:rtl/>
        </w:rPr>
        <w:t>2015</w:t>
      </w:r>
      <w:r w:rsidRPr="00293EB2">
        <w:rPr>
          <w:rFonts w:eastAsiaTheme="minorEastAsia"/>
          <w:rtl/>
        </w:rPr>
        <w:t>، تقدم كل واحد من أصحاب</w:t>
      </w:r>
      <w:r w:rsidRPr="00293EB2">
        <w:rPr>
          <w:rFonts w:eastAsiaTheme="minorEastAsia"/>
          <w:color w:val="FF0000"/>
          <w:rtl/>
        </w:rPr>
        <w:t xml:space="preserve"> </w:t>
      </w:r>
      <w:r w:rsidRPr="00293EB2">
        <w:rPr>
          <w:rFonts w:eastAsiaTheme="minorEastAsia"/>
          <w:rtl/>
        </w:rPr>
        <w:t xml:space="preserve">البلاغ، ما عدا السيد </w:t>
      </w:r>
      <w:proofErr w:type="spellStart"/>
      <w:r w:rsidRPr="00293EB2">
        <w:rPr>
          <w:rFonts w:eastAsiaTheme="minorEastAsia"/>
          <w:rtl/>
        </w:rPr>
        <w:t>كفاراتسخيليا</w:t>
      </w:r>
      <w:proofErr w:type="spellEnd"/>
      <w:r w:rsidRPr="00293EB2">
        <w:rPr>
          <w:rFonts w:eastAsiaTheme="minorEastAsia"/>
          <w:rtl/>
        </w:rPr>
        <w:t xml:space="preserve">، بطلب استئناف. ورفضت محكمة الاستئناف في باكو طلبات الاستئناف تلك في </w:t>
      </w:r>
      <w:r w:rsidRPr="004869A6">
        <w:rPr>
          <w:rFonts w:eastAsiaTheme="minorEastAsia"/>
          <w:rtl/>
        </w:rPr>
        <w:t>6</w:t>
      </w:r>
      <w:r w:rsidRPr="00293EB2">
        <w:rPr>
          <w:rFonts w:eastAsiaTheme="minorEastAsia"/>
          <w:rtl/>
        </w:rPr>
        <w:t xml:space="preserve"> آب/أغسطس </w:t>
      </w:r>
      <w:r w:rsidRPr="004869A6">
        <w:rPr>
          <w:rFonts w:eastAsiaTheme="minorEastAsia"/>
          <w:rtl/>
        </w:rPr>
        <w:t>2015</w:t>
      </w:r>
      <w:r w:rsidRPr="00293EB2">
        <w:rPr>
          <w:rFonts w:eastAsiaTheme="minorEastAsia"/>
          <w:rtl/>
        </w:rPr>
        <w:t xml:space="preserve"> و</w:t>
      </w:r>
      <w:r w:rsidRPr="004869A6">
        <w:rPr>
          <w:rFonts w:eastAsiaTheme="minorEastAsia"/>
          <w:rtl/>
        </w:rPr>
        <w:t>18</w:t>
      </w:r>
      <w:r w:rsidRPr="00293EB2">
        <w:rPr>
          <w:rFonts w:eastAsiaTheme="minorEastAsia"/>
          <w:rtl/>
        </w:rPr>
        <w:t xml:space="preserve"> آب/أغسطس </w:t>
      </w:r>
      <w:r w:rsidRPr="004869A6">
        <w:rPr>
          <w:rFonts w:eastAsiaTheme="minorEastAsia"/>
          <w:rtl/>
        </w:rPr>
        <w:t>201</w:t>
      </w:r>
      <w:r w:rsidR="005A76D5" w:rsidRPr="004869A6">
        <w:rPr>
          <w:rFonts w:eastAsiaTheme="minorEastAsia"/>
          <w:rtl/>
        </w:rPr>
        <w:t>5</w:t>
      </w:r>
      <w:r w:rsidR="005A76D5" w:rsidRPr="005A76D5">
        <w:rPr>
          <w:rFonts w:eastAsiaTheme="minorEastAsia"/>
          <w:rtl/>
        </w:rPr>
        <w:t xml:space="preserve">. </w:t>
      </w:r>
      <w:r w:rsidRPr="00293EB2">
        <w:rPr>
          <w:rFonts w:eastAsiaTheme="minorEastAsia"/>
          <w:rtl/>
        </w:rPr>
        <w:t xml:space="preserve">ويدعي أصحاب البلاغ أن المحكمة الابتدائية أخطأت في تطبيق القانون وأن القرار ينتهك حقوقهم بموجب الدستور وبموجب اتفاقية حقوق حماية حقوق الإنسان والحريات الأساسية (الاتفاقية الأوروبية لحقوق الإنسان) والإعلان العالمي لحقوق الإنسان والعهد. وادعى أصحاب البلاغ في طعنهم بالاستئناف حدوث انتهاكات للمواد نفسها من العهد التي يشيرون إليها في هذا البلاغ. </w:t>
      </w:r>
    </w:p>
    <w:p w14:paraId="5E68BE49" w14:textId="1971F22F" w:rsidR="00C06137" w:rsidRPr="00293EB2" w:rsidRDefault="00C06137" w:rsidP="00293EB2">
      <w:pPr>
        <w:pStyle w:val="SingleTxtGA"/>
        <w:rPr>
          <w:rFonts w:eastAsiaTheme="minorEastAsia"/>
          <w:rtl/>
        </w:rPr>
      </w:pPr>
      <w:r w:rsidRPr="004869A6">
        <w:rPr>
          <w:rFonts w:eastAsiaTheme="minorEastAsia"/>
          <w:rtl/>
        </w:rPr>
        <w:t>2</w:t>
      </w:r>
      <w:r w:rsidRPr="00293EB2">
        <w:rPr>
          <w:rFonts w:eastAsiaTheme="minorEastAsia"/>
          <w:rtl/>
        </w:rPr>
        <w:t>-</w:t>
      </w:r>
      <w:r w:rsidRPr="004869A6">
        <w:rPr>
          <w:rFonts w:eastAsiaTheme="minorEastAsia"/>
          <w:rtl/>
        </w:rPr>
        <w:t>4</w:t>
      </w:r>
      <w:r w:rsidRPr="00293EB2">
        <w:rPr>
          <w:rFonts w:eastAsiaTheme="minorEastAsia"/>
          <w:rtl/>
        </w:rPr>
        <w:tab/>
        <w:t xml:space="preserve">وفي </w:t>
      </w:r>
      <w:r w:rsidRPr="004869A6">
        <w:rPr>
          <w:rFonts w:eastAsiaTheme="minorEastAsia"/>
          <w:rtl/>
        </w:rPr>
        <w:t>6</w:t>
      </w:r>
      <w:r w:rsidRPr="00293EB2">
        <w:rPr>
          <w:rFonts w:eastAsiaTheme="minorEastAsia"/>
          <w:rtl/>
        </w:rPr>
        <w:t xml:space="preserve"> تموز/يوليه </w:t>
      </w:r>
      <w:r w:rsidRPr="004869A6">
        <w:rPr>
          <w:rFonts w:eastAsiaTheme="minorEastAsia"/>
          <w:rtl/>
        </w:rPr>
        <w:t>2015</w:t>
      </w:r>
      <w:r w:rsidRPr="00293EB2">
        <w:rPr>
          <w:rFonts w:eastAsiaTheme="minorEastAsia"/>
          <w:rtl/>
        </w:rPr>
        <w:t xml:space="preserve">، أدانت محكمة مقاطعة </w:t>
      </w:r>
      <w:proofErr w:type="spellStart"/>
      <w:r w:rsidRPr="00293EB2">
        <w:rPr>
          <w:rFonts w:eastAsiaTheme="minorEastAsia"/>
          <w:rtl/>
        </w:rPr>
        <w:t>غاراداغ</w:t>
      </w:r>
      <w:proofErr w:type="spellEnd"/>
      <w:r w:rsidRPr="00293EB2">
        <w:rPr>
          <w:rFonts w:eastAsiaTheme="minorEastAsia"/>
          <w:rtl/>
        </w:rPr>
        <w:t xml:space="preserve"> السيد </w:t>
      </w:r>
      <w:proofErr w:type="spellStart"/>
      <w:r w:rsidRPr="00293EB2">
        <w:rPr>
          <w:rFonts w:eastAsiaTheme="minorEastAsia"/>
          <w:rtl/>
        </w:rPr>
        <w:t>كفاراتسخيليا</w:t>
      </w:r>
      <w:proofErr w:type="spellEnd"/>
      <w:r w:rsidR="005A76D5">
        <w:rPr>
          <w:rFonts w:eastAsiaTheme="minorEastAsia"/>
          <w:rtl/>
        </w:rPr>
        <w:t xml:space="preserve"> </w:t>
      </w:r>
      <w:r w:rsidRPr="00293EB2">
        <w:rPr>
          <w:rFonts w:eastAsiaTheme="minorEastAsia"/>
          <w:rtl/>
        </w:rPr>
        <w:t xml:space="preserve">الذي اتُّهم بموجب المادة </w:t>
      </w:r>
      <w:r w:rsidRPr="004869A6">
        <w:rPr>
          <w:rFonts w:eastAsiaTheme="minorEastAsia"/>
          <w:rtl/>
        </w:rPr>
        <w:t>300</w:t>
      </w:r>
      <w:r w:rsidRPr="00293EB2">
        <w:rPr>
          <w:rFonts w:eastAsiaTheme="minorEastAsia"/>
          <w:rtl/>
        </w:rPr>
        <w:t>-</w:t>
      </w:r>
      <w:r w:rsidRPr="004869A6">
        <w:rPr>
          <w:rFonts w:eastAsiaTheme="minorEastAsia"/>
          <w:rtl/>
        </w:rPr>
        <w:t>0</w:t>
      </w:r>
      <w:r w:rsidRPr="00293EB2">
        <w:rPr>
          <w:rFonts w:eastAsiaTheme="minorEastAsia"/>
          <w:rtl/>
        </w:rPr>
        <w:t>-</w:t>
      </w:r>
      <w:r w:rsidRPr="004869A6">
        <w:rPr>
          <w:rFonts w:eastAsiaTheme="minorEastAsia"/>
          <w:rtl/>
        </w:rPr>
        <w:t>4</w:t>
      </w:r>
      <w:r w:rsidRPr="00293EB2">
        <w:rPr>
          <w:rFonts w:eastAsiaTheme="minorEastAsia"/>
          <w:rtl/>
        </w:rPr>
        <w:t xml:space="preserve"> من قانون المخالفات الإدارية (نشر </w:t>
      </w:r>
      <w:proofErr w:type="spellStart"/>
      <w:r w:rsidRPr="00293EB2">
        <w:rPr>
          <w:rFonts w:eastAsiaTheme="minorEastAsia"/>
          <w:rtl/>
        </w:rPr>
        <w:t>البروباغندا</w:t>
      </w:r>
      <w:proofErr w:type="spellEnd"/>
      <w:r w:rsidRPr="00293EB2">
        <w:rPr>
          <w:rFonts w:eastAsiaTheme="minorEastAsia"/>
          <w:rtl/>
        </w:rPr>
        <w:t xml:space="preserve"> الدينية على يد أجانب وأشخاص لا</w:t>
      </w:r>
      <w:r w:rsidR="00391D83">
        <w:rPr>
          <w:rFonts w:eastAsiaTheme="minorEastAsia" w:hint="cs"/>
          <w:rtl/>
        </w:rPr>
        <w:t> </w:t>
      </w:r>
      <w:r w:rsidRPr="00293EB2">
        <w:rPr>
          <w:rFonts w:eastAsiaTheme="minorEastAsia"/>
          <w:rtl/>
        </w:rPr>
        <w:t>يحملون الجنسية</w:t>
      </w:r>
      <w:r w:rsidR="005A76D5" w:rsidRPr="005A76D5">
        <w:rPr>
          <w:rFonts w:eastAsiaTheme="minorEastAsia"/>
          <w:rtl/>
        </w:rPr>
        <w:t xml:space="preserve">). </w:t>
      </w:r>
      <w:r w:rsidRPr="00293EB2">
        <w:rPr>
          <w:rFonts w:eastAsiaTheme="minorEastAsia"/>
          <w:rtl/>
        </w:rPr>
        <w:t xml:space="preserve">ويلاحظ السيد </w:t>
      </w:r>
      <w:proofErr w:type="spellStart"/>
      <w:r w:rsidRPr="00293EB2">
        <w:rPr>
          <w:rFonts w:eastAsiaTheme="minorEastAsia"/>
          <w:rtl/>
        </w:rPr>
        <w:t>كفاراتسخيليا</w:t>
      </w:r>
      <w:proofErr w:type="spellEnd"/>
      <w:r w:rsidRPr="00293EB2">
        <w:rPr>
          <w:rFonts w:eastAsiaTheme="minorEastAsia"/>
          <w:rtl/>
        </w:rPr>
        <w:t xml:space="preserve"> أن المادة المذكورة قد عُدلت في </w:t>
      </w:r>
      <w:r w:rsidRPr="004869A6">
        <w:rPr>
          <w:rFonts w:eastAsiaTheme="minorEastAsia"/>
          <w:rtl/>
        </w:rPr>
        <w:t>1</w:t>
      </w:r>
      <w:r w:rsidRPr="00293EB2">
        <w:rPr>
          <w:rFonts w:eastAsiaTheme="minorEastAsia"/>
          <w:rtl/>
        </w:rPr>
        <w:t xml:space="preserve"> آذار/مارس </w:t>
      </w:r>
      <w:r w:rsidRPr="004869A6">
        <w:rPr>
          <w:rFonts w:eastAsiaTheme="minorEastAsia"/>
          <w:rtl/>
        </w:rPr>
        <w:t>2016</w:t>
      </w:r>
      <w:r w:rsidRPr="00293EB2">
        <w:rPr>
          <w:rFonts w:eastAsiaTheme="minorEastAsia"/>
          <w:rtl/>
        </w:rPr>
        <w:t xml:space="preserve"> لكي تجعل العقوبة القصوى السجن عاماً واحداً، رغم أن العقوبة القصوى التي كان مسموح</w:t>
      </w:r>
      <w:r w:rsidR="00391D83">
        <w:rPr>
          <w:rFonts w:eastAsiaTheme="minorEastAsia"/>
          <w:rtl/>
        </w:rPr>
        <w:t>اً</w:t>
      </w:r>
      <w:r w:rsidR="00391D83">
        <w:rPr>
          <w:rFonts w:eastAsiaTheme="minorEastAsia" w:hint="cs"/>
          <w:rtl/>
        </w:rPr>
        <w:t xml:space="preserve"> </w:t>
      </w:r>
      <w:r w:rsidRPr="00293EB2">
        <w:rPr>
          <w:rFonts w:eastAsiaTheme="minorEastAsia"/>
          <w:rtl/>
        </w:rPr>
        <w:t xml:space="preserve">بها هي الطرد من البلد عندما وُجهت إليه التهم الإدارية. ويدّعي صاحب البلاغ أن هذا في حد ذاته يبرهن على أن العقوبة التي فُرضت عليه لا تتناسب مع ما نُسب إليه. وقالت المحكمة إن السيد </w:t>
      </w:r>
      <w:proofErr w:type="spellStart"/>
      <w:r w:rsidRPr="00293EB2">
        <w:rPr>
          <w:rFonts w:eastAsiaTheme="minorEastAsia"/>
          <w:rtl/>
        </w:rPr>
        <w:t>كفاراتسخيليا</w:t>
      </w:r>
      <w:proofErr w:type="spellEnd"/>
      <w:r w:rsidRPr="00293EB2">
        <w:rPr>
          <w:rFonts w:eastAsiaTheme="minorEastAsia"/>
          <w:rtl/>
        </w:rPr>
        <w:t xml:space="preserve"> أدين بنشر </w:t>
      </w:r>
      <w:proofErr w:type="spellStart"/>
      <w:r w:rsidRPr="00293EB2">
        <w:rPr>
          <w:rFonts w:eastAsiaTheme="minorEastAsia"/>
          <w:rtl/>
        </w:rPr>
        <w:t>البروباغندا</w:t>
      </w:r>
      <w:proofErr w:type="spellEnd"/>
      <w:r w:rsidRPr="00293EB2">
        <w:rPr>
          <w:rFonts w:eastAsiaTheme="minorEastAsia"/>
          <w:rtl/>
        </w:rPr>
        <w:t xml:space="preserve"> الدينية وصدر في حقه إنذار وأمر بالطرد من البلد. فأبقي تحت الحراسة في باكو تلك الليلة ثم أُبعد إلى جورجيا في </w:t>
      </w:r>
      <w:r w:rsidRPr="004869A6">
        <w:rPr>
          <w:rFonts w:eastAsiaTheme="minorEastAsia"/>
          <w:rtl/>
        </w:rPr>
        <w:t>7</w:t>
      </w:r>
      <w:r w:rsidRPr="00293EB2">
        <w:rPr>
          <w:rFonts w:eastAsiaTheme="minorEastAsia"/>
          <w:rtl/>
        </w:rPr>
        <w:t xml:space="preserve"> تموز/يوليه </w:t>
      </w:r>
      <w:r w:rsidRPr="004869A6">
        <w:rPr>
          <w:rFonts w:eastAsiaTheme="minorEastAsia"/>
          <w:rtl/>
        </w:rPr>
        <w:t>201</w:t>
      </w:r>
      <w:r w:rsidR="005A76D5" w:rsidRPr="004869A6">
        <w:rPr>
          <w:rFonts w:eastAsiaTheme="minorEastAsia"/>
          <w:rtl/>
        </w:rPr>
        <w:t>5</w:t>
      </w:r>
      <w:r w:rsidR="005A76D5" w:rsidRPr="005A76D5">
        <w:rPr>
          <w:rFonts w:eastAsiaTheme="minorEastAsia"/>
          <w:rtl/>
        </w:rPr>
        <w:t xml:space="preserve">. </w:t>
      </w:r>
      <w:r w:rsidRPr="00293EB2">
        <w:rPr>
          <w:rFonts w:eastAsiaTheme="minorEastAsia"/>
          <w:rtl/>
        </w:rPr>
        <w:t xml:space="preserve">وتلقى السيد </w:t>
      </w:r>
      <w:proofErr w:type="spellStart"/>
      <w:r w:rsidRPr="00293EB2">
        <w:rPr>
          <w:rFonts w:eastAsiaTheme="minorEastAsia"/>
          <w:rtl/>
        </w:rPr>
        <w:t>كفاراتسخيليا</w:t>
      </w:r>
      <w:proofErr w:type="spellEnd"/>
      <w:r w:rsidRPr="00293EB2">
        <w:rPr>
          <w:rFonts w:eastAsiaTheme="minorEastAsia"/>
          <w:rtl/>
        </w:rPr>
        <w:t xml:space="preserve"> نسخة من قرار المحكمة في </w:t>
      </w:r>
      <w:r w:rsidRPr="004869A6">
        <w:rPr>
          <w:rFonts w:eastAsiaTheme="minorEastAsia"/>
          <w:rtl/>
        </w:rPr>
        <w:t>10</w:t>
      </w:r>
      <w:r w:rsidRPr="00293EB2">
        <w:rPr>
          <w:rFonts w:eastAsiaTheme="minorEastAsia"/>
          <w:rtl/>
        </w:rPr>
        <w:t xml:space="preserve"> تشرين الثاني/نوفمبر </w:t>
      </w:r>
      <w:r w:rsidRPr="004869A6">
        <w:rPr>
          <w:rFonts w:eastAsiaTheme="minorEastAsia"/>
          <w:rtl/>
        </w:rPr>
        <w:t>2015</w:t>
      </w:r>
      <w:r w:rsidRPr="00293EB2">
        <w:rPr>
          <w:rFonts w:eastAsiaTheme="minorEastAsia"/>
          <w:rtl/>
        </w:rPr>
        <w:t xml:space="preserve"> بعد طلبه الحصول عليه. </w:t>
      </w:r>
    </w:p>
    <w:p w14:paraId="0F89BD84" w14:textId="0D89B1F0" w:rsidR="00EB1D60" w:rsidRPr="004869A6" w:rsidRDefault="00C06137" w:rsidP="00EB1D60">
      <w:pPr>
        <w:pStyle w:val="SingleTxtGA"/>
        <w:rPr>
          <w:b/>
          <w:bCs/>
          <w:rtl/>
        </w:rPr>
      </w:pPr>
      <w:r w:rsidRPr="004869A6">
        <w:rPr>
          <w:rFonts w:eastAsiaTheme="minorEastAsia"/>
          <w:rtl/>
        </w:rPr>
        <w:t>2</w:t>
      </w:r>
      <w:r w:rsidRPr="00293EB2">
        <w:rPr>
          <w:rFonts w:eastAsiaTheme="minorEastAsia"/>
          <w:rtl/>
        </w:rPr>
        <w:t>-</w:t>
      </w:r>
      <w:r w:rsidRPr="004869A6">
        <w:rPr>
          <w:rFonts w:eastAsiaTheme="minorEastAsia"/>
          <w:rtl/>
        </w:rPr>
        <w:t>5</w:t>
      </w:r>
      <w:r w:rsidRPr="00293EB2">
        <w:rPr>
          <w:rFonts w:eastAsiaTheme="minorEastAsia"/>
          <w:rtl/>
        </w:rPr>
        <w:tab/>
        <w:t xml:space="preserve">وفي </w:t>
      </w:r>
      <w:r w:rsidRPr="004869A6">
        <w:rPr>
          <w:rFonts w:eastAsiaTheme="minorEastAsia"/>
          <w:rtl/>
        </w:rPr>
        <w:t>20</w:t>
      </w:r>
      <w:r w:rsidRPr="00293EB2">
        <w:rPr>
          <w:rFonts w:eastAsiaTheme="minorEastAsia"/>
          <w:rtl/>
        </w:rPr>
        <w:t xml:space="preserve"> تشرين الثاني/نوفمبر </w:t>
      </w:r>
      <w:r w:rsidRPr="004869A6">
        <w:rPr>
          <w:rFonts w:eastAsiaTheme="minorEastAsia"/>
          <w:rtl/>
        </w:rPr>
        <w:t>2015</w:t>
      </w:r>
      <w:r w:rsidRPr="00293EB2">
        <w:rPr>
          <w:rFonts w:eastAsiaTheme="minorEastAsia"/>
          <w:rtl/>
        </w:rPr>
        <w:t xml:space="preserve">، تقدم السيد </w:t>
      </w:r>
      <w:proofErr w:type="spellStart"/>
      <w:r w:rsidRPr="00293EB2">
        <w:rPr>
          <w:rFonts w:eastAsiaTheme="minorEastAsia"/>
          <w:rtl/>
        </w:rPr>
        <w:t>كفاراتسخيليا</w:t>
      </w:r>
      <w:proofErr w:type="spellEnd"/>
      <w:r w:rsidRPr="00293EB2">
        <w:rPr>
          <w:rFonts w:eastAsiaTheme="minorEastAsia"/>
          <w:rtl/>
        </w:rPr>
        <w:t xml:space="preserve"> بطلب استئناف، رُفض باعتباره قُدم في </w:t>
      </w:r>
      <w:r w:rsidRPr="004869A6">
        <w:rPr>
          <w:rFonts w:eastAsiaTheme="minorEastAsia"/>
          <w:rtl/>
        </w:rPr>
        <w:t>25</w:t>
      </w:r>
      <w:r w:rsidRPr="00293EB2">
        <w:rPr>
          <w:rFonts w:eastAsiaTheme="minorEastAsia"/>
          <w:rtl/>
        </w:rPr>
        <w:t xml:space="preserve"> تشرين الثاني/نوفمبر </w:t>
      </w:r>
      <w:r w:rsidRPr="004869A6">
        <w:rPr>
          <w:rFonts w:eastAsiaTheme="minorEastAsia"/>
          <w:rtl/>
        </w:rPr>
        <w:t>2015</w:t>
      </w:r>
      <w:r w:rsidRPr="00293EB2">
        <w:rPr>
          <w:rFonts w:eastAsiaTheme="minorEastAsia"/>
          <w:rtl/>
        </w:rPr>
        <w:t xml:space="preserve">، أي بعد انقضاء الأجل القانوني. وفي </w:t>
      </w:r>
      <w:r w:rsidRPr="004869A6">
        <w:rPr>
          <w:rFonts w:eastAsiaTheme="minorEastAsia"/>
          <w:rtl/>
        </w:rPr>
        <w:t>28</w:t>
      </w:r>
      <w:r w:rsidRPr="00293EB2">
        <w:rPr>
          <w:rFonts w:eastAsiaTheme="minorEastAsia"/>
          <w:rtl/>
        </w:rPr>
        <w:t xml:space="preserve"> آذار/مارس </w:t>
      </w:r>
      <w:r w:rsidRPr="004869A6">
        <w:rPr>
          <w:rFonts w:eastAsiaTheme="minorEastAsia"/>
          <w:rtl/>
        </w:rPr>
        <w:t>2016</w:t>
      </w:r>
      <w:r w:rsidRPr="00293EB2">
        <w:rPr>
          <w:rFonts w:eastAsiaTheme="minorEastAsia"/>
          <w:rtl/>
        </w:rPr>
        <w:t xml:space="preserve">، تقدم ثانيةً بطلب استئناف قائلاً إنه لم يتلق قرار المحكمة إلا في </w:t>
      </w:r>
      <w:r w:rsidRPr="004869A6">
        <w:rPr>
          <w:rFonts w:eastAsiaTheme="minorEastAsia"/>
          <w:rtl/>
        </w:rPr>
        <w:t>10</w:t>
      </w:r>
      <w:r w:rsidRPr="00293EB2">
        <w:rPr>
          <w:rFonts w:eastAsiaTheme="minorEastAsia"/>
          <w:rtl/>
        </w:rPr>
        <w:t xml:space="preserve"> تشرين الثاني/نوفمبر </w:t>
      </w:r>
      <w:r w:rsidRPr="004869A6">
        <w:rPr>
          <w:rFonts w:eastAsiaTheme="minorEastAsia"/>
          <w:rtl/>
        </w:rPr>
        <w:t>201</w:t>
      </w:r>
      <w:r w:rsidR="005A76D5" w:rsidRPr="004869A6">
        <w:rPr>
          <w:rFonts w:eastAsiaTheme="minorEastAsia"/>
          <w:rtl/>
        </w:rPr>
        <w:t>5</w:t>
      </w:r>
      <w:r w:rsidR="005A76D5" w:rsidRPr="005A76D5">
        <w:rPr>
          <w:rFonts w:eastAsiaTheme="minorEastAsia"/>
          <w:rtl/>
        </w:rPr>
        <w:t xml:space="preserve">. </w:t>
      </w:r>
      <w:r w:rsidRPr="00293EB2">
        <w:rPr>
          <w:rFonts w:eastAsiaTheme="minorEastAsia"/>
          <w:rtl/>
        </w:rPr>
        <w:t>وفي</w:t>
      </w:r>
      <w:r w:rsidR="00AB145A">
        <w:rPr>
          <w:rFonts w:eastAsiaTheme="minorEastAsia" w:hint="cs"/>
          <w:rtl/>
        </w:rPr>
        <w:t> </w:t>
      </w:r>
      <w:r w:rsidRPr="004869A6">
        <w:rPr>
          <w:rFonts w:eastAsiaTheme="minorEastAsia"/>
          <w:rtl/>
        </w:rPr>
        <w:t>30</w:t>
      </w:r>
      <w:r w:rsidRPr="00293EB2">
        <w:rPr>
          <w:rFonts w:eastAsiaTheme="minorEastAsia"/>
          <w:rtl/>
        </w:rPr>
        <w:t xml:space="preserve"> آذار/مارس </w:t>
      </w:r>
      <w:r w:rsidRPr="004869A6">
        <w:rPr>
          <w:rFonts w:eastAsiaTheme="minorEastAsia"/>
          <w:rtl/>
        </w:rPr>
        <w:t>2016</w:t>
      </w:r>
      <w:r w:rsidRPr="00293EB2">
        <w:rPr>
          <w:rFonts w:eastAsiaTheme="minorEastAsia"/>
          <w:rtl/>
        </w:rPr>
        <w:t xml:space="preserve">، رفضت محكمة مقاطعة </w:t>
      </w:r>
      <w:proofErr w:type="spellStart"/>
      <w:r w:rsidR="0075243D">
        <w:rPr>
          <w:rFonts w:eastAsiaTheme="minorEastAsia"/>
          <w:rtl/>
        </w:rPr>
        <w:t>غاراداغ</w:t>
      </w:r>
      <w:proofErr w:type="spellEnd"/>
      <w:r w:rsidRPr="00293EB2">
        <w:rPr>
          <w:rFonts w:eastAsiaTheme="minorEastAsia"/>
          <w:rtl/>
        </w:rPr>
        <w:t xml:space="preserve"> استئنافه. وفي </w:t>
      </w:r>
      <w:r w:rsidRPr="004869A6">
        <w:rPr>
          <w:rFonts w:eastAsiaTheme="minorEastAsia"/>
          <w:rtl/>
        </w:rPr>
        <w:t>18</w:t>
      </w:r>
      <w:r w:rsidRPr="00293EB2">
        <w:rPr>
          <w:rFonts w:eastAsiaTheme="minorEastAsia"/>
          <w:rtl/>
        </w:rPr>
        <w:t xml:space="preserve"> نيسان/أبريل </w:t>
      </w:r>
      <w:r w:rsidRPr="004869A6">
        <w:rPr>
          <w:rFonts w:eastAsiaTheme="minorEastAsia"/>
          <w:rtl/>
        </w:rPr>
        <w:t>2016</w:t>
      </w:r>
      <w:r w:rsidRPr="00293EB2">
        <w:rPr>
          <w:rFonts w:eastAsiaTheme="minorEastAsia"/>
          <w:rtl/>
        </w:rPr>
        <w:t xml:space="preserve">، أكد مجلس الجنايات في محكمة الاستئناف في باكو قرار المحكمة الصادر في </w:t>
      </w:r>
      <w:r w:rsidRPr="004869A6">
        <w:rPr>
          <w:rFonts w:eastAsiaTheme="minorEastAsia"/>
          <w:rtl/>
        </w:rPr>
        <w:t>30</w:t>
      </w:r>
      <w:r w:rsidRPr="00293EB2">
        <w:rPr>
          <w:rFonts w:eastAsiaTheme="minorEastAsia"/>
          <w:rtl/>
        </w:rPr>
        <w:t xml:space="preserve"> آذار/مارس </w:t>
      </w:r>
      <w:r w:rsidRPr="004869A6">
        <w:rPr>
          <w:rFonts w:eastAsiaTheme="minorEastAsia"/>
          <w:rtl/>
        </w:rPr>
        <w:t>2016</w:t>
      </w:r>
      <w:r w:rsidRPr="00293EB2">
        <w:rPr>
          <w:rFonts w:eastAsiaTheme="minorEastAsia"/>
          <w:rtl/>
        </w:rPr>
        <w:t xml:space="preserve"> رفْض استئناف صاحب البلاغ. ويدعي السيد </w:t>
      </w:r>
      <w:proofErr w:type="spellStart"/>
      <w:r w:rsidRPr="00293EB2">
        <w:rPr>
          <w:rFonts w:eastAsiaTheme="minorEastAsia"/>
          <w:rtl/>
        </w:rPr>
        <w:t>كفاراتسخيليا</w:t>
      </w:r>
      <w:proofErr w:type="spellEnd"/>
      <w:r w:rsidRPr="00293EB2">
        <w:rPr>
          <w:rFonts w:eastAsiaTheme="minorEastAsia"/>
          <w:rtl/>
        </w:rPr>
        <w:t xml:space="preserve"> أنه لم يتلق أي استدعاء يخطره بتاريخ انعقاد جلسة</w:t>
      </w:r>
      <w:r w:rsidR="00391D83">
        <w:rPr>
          <w:rFonts w:eastAsiaTheme="minorEastAsia" w:hint="cs"/>
          <w:rtl/>
        </w:rPr>
        <w:t> </w:t>
      </w:r>
      <w:r w:rsidRPr="00293EB2">
        <w:rPr>
          <w:rFonts w:eastAsiaTheme="minorEastAsia"/>
          <w:rtl/>
        </w:rPr>
        <w:t xml:space="preserve">المحكمة للنظر في هذا الاستئناف وأنه لم يحصل على نسخة من قرار محكمة الاستئناف في باكو إلا في </w:t>
      </w:r>
      <w:r w:rsidRPr="004869A6">
        <w:rPr>
          <w:rFonts w:eastAsiaTheme="minorEastAsia"/>
          <w:rtl/>
        </w:rPr>
        <w:t>21</w:t>
      </w:r>
      <w:r w:rsidRPr="00293EB2">
        <w:rPr>
          <w:rFonts w:eastAsiaTheme="minorEastAsia"/>
          <w:rtl/>
        </w:rPr>
        <w:t xml:space="preserve"> كانون الثاني/يناير </w:t>
      </w:r>
      <w:r w:rsidRPr="004869A6">
        <w:rPr>
          <w:rFonts w:eastAsiaTheme="minorEastAsia"/>
          <w:rtl/>
        </w:rPr>
        <w:t>2017</w:t>
      </w:r>
      <w:r w:rsidRPr="00293EB2">
        <w:rPr>
          <w:rFonts w:eastAsiaTheme="minorEastAsia"/>
          <w:rtl/>
        </w:rPr>
        <w:t xml:space="preserve">، بعد أن طلبه عدة مرات. </w:t>
      </w:r>
    </w:p>
    <w:p w14:paraId="332C94DA" w14:textId="30AC0CAF" w:rsidR="00C06137" w:rsidRPr="004869A6" w:rsidRDefault="00EB1D60" w:rsidP="00EB1D60">
      <w:pPr>
        <w:pStyle w:val="H23GA"/>
        <w:rPr>
          <w:rtl/>
        </w:rPr>
      </w:pPr>
      <w:r w:rsidRPr="004869A6">
        <w:rPr>
          <w:rtl/>
        </w:rPr>
        <w:tab/>
      </w:r>
      <w:r w:rsidRPr="004869A6">
        <w:rPr>
          <w:rtl/>
        </w:rPr>
        <w:tab/>
      </w:r>
      <w:r w:rsidR="00C06137" w:rsidRPr="004869A6">
        <w:rPr>
          <w:rtl/>
        </w:rPr>
        <w:t>الشكوى</w:t>
      </w:r>
    </w:p>
    <w:p w14:paraId="50573674" w14:textId="763DFC62" w:rsidR="00C06137" w:rsidRPr="00293EB2" w:rsidRDefault="00C06137" w:rsidP="00293EB2">
      <w:pPr>
        <w:pStyle w:val="SingleTxtGA"/>
        <w:rPr>
          <w:rFonts w:eastAsiaTheme="minorEastAsia"/>
          <w:rtl/>
        </w:rPr>
      </w:pPr>
      <w:r w:rsidRPr="004869A6">
        <w:rPr>
          <w:rFonts w:eastAsiaTheme="minorEastAsia"/>
          <w:rtl/>
        </w:rPr>
        <w:t>3</w:t>
      </w:r>
      <w:r w:rsidRPr="00293EB2">
        <w:rPr>
          <w:rFonts w:eastAsiaTheme="minorEastAsia"/>
          <w:rtl/>
        </w:rPr>
        <w:t>-</w:t>
      </w:r>
      <w:r w:rsidRPr="004869A6">
        <w:rPr>
          <w:rFonts w:eastAsiaTheme="minorEastAsia"/>
          <w:rtl/>
        </w:rPr>
        <w:t>1</w:t>
      </w:r>
      <w:r w:rsidRPr="00293EB2">
        <w:rPr>
          <w:rFonts w:eastAsiaTheme="minorEastAsia"/>
          <w:rtl/>
        </w:rPr>
        <w:tab/>
        <w:t xml:space="preserve">يدعي أصحاب البلاغ انتهاك المواد </w:t>
      </w:r>
      <w:r w:rsidRPr="004869A6">
        <w:rPr>
          <w:rFonts w:eastAsiaTheme="minorEastAsia"/>
          <w:rtl/>
        </w:rPr>
        <w:t>9</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و</w:t>
      </w:r>
      <w:r w:rsidRPr="004869A6">
        <w:rPr>
          <w:rFonts w:eastAsiaTheme="minorEastAsia"/>
          <w:rtl/>
        </w:rPr>
        <w:t>17</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و</w:t>
      </w:r>
      <w:r w:rsidRPr="004869A6">
        <w:rPr>
          <w:rFonts w:eastAsiaTheme="minorEastAsia"/>
          <w:rtl/>
        </w:rPr>
        <w:t>18</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و(</w:t>
      </w:r>
      <w:r w:rsidRPr="004869A6">
        <w:rPr>
          <w:rFonts w:eastAsiaTheme="minorEastAsia"/>
          <w:rtl/>
        </w:rPr>
        <w:t>3</w:t>
      </w:r>
      <w:r w:rsidR="005A76D5" w:rsidRPr="005A76D5">
        <w:rPr>
          <w:rFonts w:eastAsiaTheme="minorEastAsia"/>
          <w:rtl/>
        </w:rPr>
        <w:t xml:space="preserve">)، </w:t>
      </w:r>
      <w:r w:rsidRPr="00293EB2">
        <w:rPr>
          <w:rFonts w:eastAsiaTheme="minorEastAsia"/>
          <w:rtl/>
        </w:rPr>
        <w:t>و</w:t>
      </w:r>
      <w:r w:rsidRPr="004869A6">
        <w:rPr>
          <w:rFonts w:eastAsiaTheme="minorEastAsia"/>
          <w:rtl/>
        </w:rPr>
        <w:t>19</w:t>
      </w:r>
      <w:r w:rsidRPr="00293EB2">
        <w:rPr>
          <w:rFonts w:eastAsiaTheme="minorEastAsia"/>
          <w:rtl/>
        </w:rPr>
        <w:t>(</w:t>
      </w:r>
      <w:r w:rsidR="005A76D5" w:rsidRPr="004869A6">
        <w:rPr>
          <w:rFonts w:eastAsiaTheme="minorEastAsia"/>
          <w:rtl/>
        </w:rPr>
        <w:t>2</w:t>
      </w:r>
      <w:r w:rsidR="005A76D5" w:rsidRPr="005A76D5">
        <w:rPr>
          <w:rFonts w:eastAsiaTheme="minorEastAsia"/>
          <w:rtl/>
        </w:rPr>
        <w:t xml:space="preserve">) </w:t>
      </w:r>
      <w:r w:rsidRPr="00293EB2">
        <w:rPr>
          <w:rFonts w:eastAsiaTheme="minorEastAsia"/>
          <w:rtl/>
        </w:rPr>
        <w:t>و(</w:t>
      </w:r>
      <w:r w:rsidRPr="004869A6">
        <w:rPr>
          <w:rFonts w:eastAsiaTheme="minorEastAsia"/>
          <w:rtl/>
        </w:rPr>
        <w:t>3</w:t>
      </w:r>
      <w:r w:rsidR="005A76D5" w:rsidRPr="005A76D5">
        <w:rPr>
          <w:rFonts w:eastAsiaTheme="minorEastAsia"/>
          <w:rtl/>
        </w:rPr>
        <w:t xml:space="preserve">)، </w:t>
      </w:r>
      <w:r w:rsidRPr="00293EB2">
        <w:rPr>
          <w:rFonts w:eastAsiaTheme="minorEastAsia"/>
          <w:rtl/>
        </w:rPr>
        <w:t>و</w:t>
      </w:r>
      <w:r w:rsidRPr="004869A6">
        <w:rPr>
          <w:rFonts w:eastAsiaTheme="minorEastAsia"/>
          <w:rtl/>
        </w:rPr>
        <w:t>26</w:t>
      </w:r>
      <w:r w:rsidRPr="00293EB2">
        <w:rPr>
          <w:rFonts w:eastAsiaTheme="minorEastAsia"/>
          <w:rtl/>
        </w:rPr>
        <w:t xml:space="preserve"> و</w:t>
      </w:r>
      <w:r w:rsidRPr="004869A6">
        <w:rPr>
          <w:rFonts w:eastAsiaTheme="minorEastAsia"/>
          <w:rtl/>
        </w:rPr>
        <w:t>27</w:t>
      </w:r>
      <w:r w:rsidRPr="00293EB2">
        <w:rPr>
          <w:rFonts w:eastAsiaTheme="minorEastAsia"/>
          <w:rtl/>
        </w:rPr>
        <w:t xml:space="preserve"> من العهد نتيجة معتقداتهم بموجب قانون المخالفات الإدارية. وفضلاً عن ذلك، يدعي السيد </w:t>
      </w:r>
      <w:proofErr w:type="spellStart"/>
      <w:r w:rsidRPr="00293EB2">
        <w:rPr>
          <w:rFonts w:eastAsiaTheme="minorEastAsia"/>
          <w:rtl/>
        </w:rPr>
        <w:t>كفاراتسخيليا</w:t>
      </w:r>
      <w:proofErr w:type="spellEnd"/>
      <w:r w:rsidRPr="00293EB2">
        <w:rPr>
          <w:rFonts w:eastAsiaTheme="minorEastAsia"/>
          <w:rtl/>
        </w:rPr>
        <w:t xml:space="preserve"> أن المادة </w:t>
      </w:r>
      <w:r w:rsidRPr="004869A6">
        <w:rPr>
          <w:rFonts w:eastAsiaTheme="minorEastAsia"/>
          <w:rtl/>
        </w:rPr>
        <w:t>13</w:t>
      </w:r>
      <w:r w:rsidRPr="00293EB2">
        <w:rPr>
          <w:rFonts w:eastAsiaTheme="minorEastAsia"/>
          <w:rtl/>
        </w:rPr>
        <w:t xml:space="preserve"> من العهد قد انتهكت أيضاً بطرده من أذربيجان دون أن تتاح له الفرصة للمراجعة أو</w:t>
      </w:r>
      <w:r w:rsidR="00EB1D60">
        <w:rPr>
          <w:rFonts w:eastAsiaTheme="minorEastAsia" w:hint="cs"/>
          <w:rtl/>
        </w:rPr>
        <w:t> </w:t>
      </w:r>
      <w:r w:rsidRPr="00293EB2">
        <w:rPr>
          <w:rFonts w:eastAsiaTheme="minorEastAsia"/>
          <w:rtl/>
        </w:rPr>
        <w:t xml:space="preserve">الاستئناف. </w:t>
      </w:r>
    </w:p>
    <w:p w14:paraId="3CD0D004" w14:textId="02510154" w:rsidR="00C06137" w:rsidRPr="00293EB2" w:rsidRDefault="00C06137" w:rsidP="00293EB2">
      <w:pPr>
        <w:pStyle w:val="SingleTxtGA"/>
        <w:rPr>
          <w:rFonts w:eastAsiaTheme="minorEastAsia"/>
          <w:rtl/>
        </w:rPr>
      </w:pPr>
      <w:r w:rsidRPr="004869A6">
        <w:rPr>
          <w:rFonts w:eastAsiaTheme="minorEastAsia"/>
          <w:rtl/>
        </w:rPr>
        <w:t>3</w:t>
      </w:r>
      <w:r w:rsidRPr="00293EB2">
        <w:rPr>
          <w:rFonts w:eastAsiaTheme="minorEastAsia"/>
          <w:rtl/>
        </w:rPr>
        <w:t>-</w:t>
      </w:r>
      <w:r w:rsidRPr="004869A6">
        <w:rPr>
          <w:rFonts w:eastAsiaTheme="minorEastAsia"/>
          <w:rtl/>
        </w:rPr>
        <w:t>2</w:t>
      </w:r>
      <w:r w:rsidRPr="00293EB2">
        <w:rPr>
          <w:rFonts w:eastAsiaTheme="minorEastAsia"/>
          <w:rtl/>
        </w:rPr>
        <w:tab/>
        <w:t xml:space="preserve">ويدعي أصحاب البلاغ أن احتجازهم في مخفر الشرطة كان غير قانوني بموجب المادة </w:t>
      </w:r>
      <w:r w:rsidRPr="004869A6">
        <w:rPr>
          <w:rFonts w:eastAsiaTheme="minorEastAsia"/>
          <w:rtl/>
        </w:rPr>
        <w:t>9</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من العهد لأن الغرض منه لم يكن لإجراء تحقيق وإنما الغرض كان تخويفهم وإكراههم على عدم ممارسة حرياتهم. ومن ثم، كان احتجازهم تمييزياً بطبيعته، وهو ما برهنت عليه الآراء التمييزية والمسيئة التي أدلى بها أفراد الشرطة بشأن معتقداتهم. ويدّعي أصحاب البلاغ أن الشرطة لم تُقِم أي دليل يبرّر اعتقالهم، الذي لم يستند إلى أي ضرورة قانونية مشروعة. وفضلاً عن ذلك، يقول أصحاب البلاغ إنه حتى لو كان الاعتقال ضرورياً فإن الاحتجاز أكثر من خمس ساعات كان غير معقول.</w:t>
      </w:r>
    </w:p>
    <w:p w14:paraId="31C8F50F" w14:textId="77777777" w:rsidR="00C06137" w:rsidRPr="00293EB2" w:rsidRDefault="00C06137" w:rsidP="00293EB2">
      <w:pPr>
        <w:pStyle w:val="SingleTxtGA"/>
        <w:rPr>
          <w:rFonts w:eastAsiaTheme="minorEastAsia"/>
          <w:rtl/>
        </w:rPr>
      </w:pPr>
      <w:r w:rsidRPr="004869A6">
        <w:rPr>
          <w:rFonts w:eastAsiaTheme="minorEastAsia"/>
          <w:rtl/>
        </w:rPr>
        <w:t>3</w:t>
      </w:r>
      <w:r w:rsidRPr="00293EB2">
        <w:rPr>
          <w:rFonts w:eastAsiaTheme="minorEastAsia"/>
          <w:rtl/>
        </w:rPr>
        <w:t>-</w:t>
      </w:r>
      <w:r w:rsidRPr="004869A6">
        <w:rPr>
          <w:rFonts w:eastAsiaTheme="minorEastAsia"/>
          <w:rtl/>
        </w:rPr>
        <w:t>3</w:t>
      </w:r>
      <w:r w:rsidRPr="00293EB2">
        <w:rPr>
          <w:rFonts w:eastAsiaTheme="minorEastAsia"/>
          <w:rtl/>
        </w:rPr>
        <w:tab/>
        <w:t xml:space="preserve">وبالإضافة إلى ذلك، يدعي السيد </w:t>
      </w:r>
      <w:proofErr w:type="spellStart"/>
      <w:r w:rsidRPr="00293EB2">
        <w:rPr>
          <w:rFonts w:eastAsiaTheme="minorEastAsia"/>
          <w:rtl/>
        </w:rPr>
        <w:t>كفاراتسخيليا</w:t>
      </w:r>
      <w:proofErr w:type="spellEnd"/>
      <w:r w:rsidRPr="00293EB2">
        <w:rPr>
          <w:rFonts w:eastAsiaTheme="minorEastAsia"/>
          <w:rtl/>
        </w:rPr>
        <w:t xml:space="preserve"> إنه تعرض لأشكال أخرى من الاحتجاز التعسفي عندما أمضى الليلة رهن الاحتجاز قبل إبعاده. وهو يدعي أيضاً انتهاك حقوقه بموجب المادة </w:t>
      </w:r>
      <w:r w:rsidRPr="004869A6">
        <w:rPr>
          <w:rFonts w:eastAsiaTheme="minorEastAsia"/>
          <w:rtl/>
        </w:rPr>
        <w:t>13</w:t>
      </w:r>
      <w:r w:rsidRPr="00293EB2">
        <w:rPr>
          <w:rFonts w:eastAsiaTheme="minorEastAsia"/>
          <w:rtl/>
        </w:rPr>
        <w:t xml:space="preserve"> من العهد عندما طُرد من أذربيجان بسبب التمييز على أساس الدين، ودون أن يكون ثمة أي سبب مشروع لذلك من قبيل تهديد السلامة العامة. وزيادة على ذلك، طرد صاحب البلاغ دون أن يبلَّغ بنسخة من قرار المحكمة ولم تتح له الفرصة لطلب مراجعة القرار أو استئنافه. ويقول صاحب البلاغ إن هذه العقوبة فرضت تعسفاً وأن انتهاك حقوقه بموجب المادة </w:t>
      </w:r>
      <w:r w:rsidRPr="004869A6">
        <w:rPr>
          <w:rFonts w:eastAsiaTheme="minorEastAsia"/>
          <w:rtl/>
        </w:rPr>
        <w:t>13</w:t>
      </w:r>
      <w:r w:rsidRPr="00293EB2">
        <w:rPr>
          <w:rFonts w:eastAsiaTheme="minorEastAsia"/>
          <w:rtl/>
        </w:rPr>
        <w:t xml:space="preserve"> قد تفاقم عندما رُفض استئنافه بسبب عيوب إجرائية كان السبب فيها تأخُّر سلطات الدولة الطرف في النظر في قضيته. </w:t>
      </w:r>
    </w:p>
    <w:p w14:paraId="056DFE7E" w14:textId="61B83126" w:rsidR="00C06137" w:rsidRPr="00293EB2" w:rsidRDefault="00C06137" w:rsidP="00293EB2">
      <w:pPr>
        <w:pStyle w:val="SingleTxtGA"/>
        <w:rPr>
          <w:rFonts w:eastAsiaTheme="minorEastAsia"/>
          <w:rtl/>
        </w:rPr>
      </w:pPr>
      <w:r w:rsidRPr="004869A6">
        <w:rPr>
          <w:rFonts w:eastAsiaTheme="minorEastAsia"/>
          <w:rtl/>
        </w:rPr>
        <w:t>3</w:t>
      </w:r>
      <w:r w:rsidRPr="00293EB2">
        <w:rPr>
          <w:rFonts w:eastAsiaTheme="minorEastAsia"/>
          <w:rtl/>
        </w:rPr>
        <w:t>-</w:t>
      </w:r>
      <w:r w:rsidRPr="004869A6">
        <w:rPr>
          <w:rFonts w:eastAsiaTheme="minorEastAsia"/>
          <w:rtl/>
        </w:rPr>
        <w:t>4</w:t>
      </w:r>
      <w:r w:rsidRPr="00293EB2">
        <w:rPr>
          <w:rFonts w:eastAsiaTheme="minorEastAsia"/>
          <w:rtl/>
        </w:rPr>
        <w:tab/>
        <w:t xml:space="preserve">ويدعي أصحاب البلاغ أن التفتيش الذي أجرته الشرطة قد انتهك حق السيد </w:t>
      </w:r>
      <w:proofErr w:type="spellStart"/>
      <w:r w:rsidRPr="00293EB2">
        <w:rPr>
          <w:rFonts w:eastAsiaTheme="minorEastAsia"/>
          <w:rtl/>
        </w:rPr>
        <w:t>مورسالوف</w:t>
      </w:r>
      <w:proofErr w:type="spellEnd"/>
      <w:r w:rsidRPr="00293EB2">
        <w:rPr>
          <w:rFonts w:eastAsiaTheme="minorEastAsia"/>
          <w:rtl/>
        </w:rPr>
        <w:t xml:space="preserve"> والسيد</w:t>
      </w:r>
      <w:r w:rsidR="00EB1D60">
        <w:rPr>
          <w:rFonts w:eastAsiaTheme="minorEastAsia" w:hint="cs"/>
          <w:rtl/>
        </w:rPr>
        <w:t> </w:t>
      </w:r>
      <w:proofErr w:type="spellStart"/>
      <w:r w:rsidRPr="00293EB2">
        <w:rPr>
          <w:rFonts w:eastAsiaTheme="minorEastAsia"/>
          <w:rtl/>
        </w:rPr>
        <w:t>كفاراتسخيليا</w:t>
      </w:r>
      <w:proofErr w:type="spellEnd"/>
      <w:r w:rsidRPr="00293EB2">
        <w:rPr>
          <w:rFonts w:eastAsiaTheme="minorEastAsia"/>
          <w:rtl/>
        </w:rPr>
        <w:t xml:space="preserve"> في الخصوصية والأمن في بيتهما (المادة </w:t>
      </w:r>
      <w:r w:rsidRPr="004869A6">
        <w:rPr>
          <w:rFonts w:eastAsiaTheme="minorEastAsia"/>
          <w:rtl/>
        </w:rPr>
        <w:t>17</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من العهد</w:t>
      </w:r>
      <w:r w:rsidR="005A76D5" w:rsidRPr="005A76D5">
        <w:rPr>
          <w:rFonts w:eastAsiaTheme="minorEastAsia"/>
          <w:rtl/>
        </w:rPr>
        <w:t xml:space="preserve">). </w:t>
      </w:r>
      <w:r w:rsidRPr="00293EB2">
        <w:rPr>
          <w:rFonts w:eastAsiaTheme="minorEastAsia"/>
          <w:rtl/>
        </w:rPr>
        <w:t xml:space="preserve">ويدعي صاحبا البلاغ أنه لا يجوز تبرير هذا التدخل بسلوكهما فقط. ويقولان إن المادة </w:t>
      </w:r>
      <w:r w:rsidRPr="004869A6">
        <w:rPr>
          <w:rFonts w:eastAsiaTheme="minorEastAsia"/>
          <w:rtl/>
        </w:rPr>
        <w:t>17</w:t>
      </w:r>
      <w:r w:rsidRPr="00293EB2">
        <w:rPr>
          <w:rFonts w:eastAsiaTheme="minorEastAsia"/>
          <w:rtl/>
        </w:rPr>
        <w:t>، التي تشير إلى التدخل في الفضاء الخاص، تكفل درجة أعلى من الحماية وإن الدولة الطرف لم تقدم مبرر</w:t>
      </w:r>
      <w:r w:rsidR="00391D83">
        <w:rPr>
          <w:rFonts w:eastAsiaTheme="minorEastAsia"/>
          <w:rtl/>
        </w:rPr>
        <w:t xml:space="preserve">اً </w:t>
      </w:r>
      <w:r w:rsidRPr="00293EB2">
        <w:rPr>
          <w:rFonts w:eastAsiaTheme="minorEastAsia"/>
          <w:rtl/>
        </w:rPr>
        <w:t>كافي</w:t>
      </w:r>
      <w:r w:rsidR="00391D83">
        <w:rPr>
          <w:rFonts w:eastAsiaTheme="minorEastAsia"/>
          <w:rtl/>
        </w:rPr>
        <w:t xml:space="preserve">اً </w:t>
      </w:r>
      <w:r w:rsidRPr="00293EB2">
        <w:rPr>
          <w:rFonts w:eastAsiaTheme="minorEastAsia"/>
          <w:rtl/>
        </w:rPr>
        <w:t xml:space="preserve">لهذا التدخل. </w:t>
      </w:r>
    </w:p>
    <w:p w14:paraId="67C8EA88" w14:textId="768BE0E5" w:rsidR="00C06137" w:rsidRPr="00293EB2" w:rsidRDefault="00C06137" w:rsidP="00293EB2">
      <w:pPr>
        <w:pStyle w:val="SingleTxtGA"/>
        <w:rPr>
          <w:rFonts w:eastAsiaTheme="minorEastAsia"/>
          <w:rtl/>
        </w:rPr>
      </w:pPr>
      <w:r w:rsidRPr="004869A6">
        <w:rPr>
          <w:rFonts w:eastAsiaTheme="minorEastAsia"/>
          <w:rtl/>
        </w:rPr>
        <w:t>3</w:t>
      </w:r>
      <w:r w:rsidRPr="00293EB2">
        <w:rPr>
          <w:rFonts w:eastAsiaTheme="minorEastAsia"/>
          <w:rtl/>
        </w:rPr>
        <w:t>-</w:t>
      </w:r>
      <w:r w:rsidRPr="004869A6">
        <w:rPr>
          <w:rFonts w:eastAsiaTheme="minorEastAsia"/>
          <w:rtl/>
        </w:rPr>
        <w:t>5</w:t>
      </w:r>
      <w:r w:rsidRPr="00293EB2">
        <w:rPr>
          <w:rFonts w:eastAsiaTheme="minorEastAsia"/>
          <w:rtl/>
        </w:rPr>
        <w:tab/>
        <w:t>ويدعي أصحاب البلاغ أن التحقيق الذي أجرته الشرطة وقرار المحكمة يشكلان مساس</w:t>
      </w:r>
      <w:r w:rsidR="00391D83">
        <w:rPr>
          <w:rFonts w:eastAsiaTheme="minorEastAsia"/>
          <w:rtl/>
        </w:rPr>
        <w:t xml:space="preserve">اً </w:t>
      </w:r>
      <w:r w:rsidRPr="00293EB2">
        <w:rPr>
          <w:rFonts w:eastAsiaTheme="minorEastAsia"/>
          <w:rtl/>
        </w:rPr>
        <w:t>بحقهم في حرية الدين والتعبير الذي تكفله الفقرتان (</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و(</w:t>
      </w:r>
      <w:r w:rsidR="005A76D5" w:rsidRPr="004869A6">
        <w:rPr>
          <w:rFonts w:eastAsiaTheme="minorEastAsia"/>
          <w:rtl/>
        </w:rPr>
        <w:t>3</w:t>
      </w:r>
      <w:r w:rsidR="005A76D5" w:rsidRPr="005A76D5">
        <w:rPr>
          <w:rFonts w:eastAsiaTheme="minorEastAsia"/>
          <w:rtl/>
        </w:rPr>
        <w:t xml:space="preserve">) </w:t>
      </w:r>
      <w:r w:rsidRPr="00293EB2">
        <w:rPr>
          <w:rFonts w:eastAsiaTheme="minorEastAsia"/>
          <w:rtl/>
        </w:rPr>
        <w:t xml:space="preserve">من المادة </w:t>
      </w:r>
      <w:r w:rsidRPr="004869A6">
        <w:rPr>
          <w:rFonts w:eastAsiaTheme="minorEastAsia"/>
          <w:rtl/>
        </w:rPr>
        <w:t>18</w:t>
      </w:r>
      <w:r w:rsidRPr="00293EB2">
        <w:rPr>
          <w:rFonts w:eastAsiaTheme="minorEastAsia"/>
          <w:rtl/>
        </w:rPr>
        <w:t xml:space="preserve"> والفقرتان (</w:t>
      </w:r>
      <w:r w:rsidR="005A76D5" w:rsidRPr="004869A6">
        <w:rPr>
          <w:rFonts w:eastAsiaTheme="minorEastAsia"/>
          <w:rtl/>
        </w:rPr>
        <w:t>2</w:t>
      </w:r>
      <w:r w:rsidR="005A76D5" w:rsidRPr="005A76D5">
        <w:rPr>
          <w:rFonts w:eastAsiaTheme="minorEastAsia"/>
          <w:rtl/>
        </w:rPr>
        <w:t xml:space="preserve">) </w:t>
      </w:r>
      <w:r w:rsidRPr="00293EB2">
        <w:rPr>
          <w:rFonts w:eastAsiaTheme="minorEastAsia"/>
          <w:rtl/>
        </w:rPr>
        <w:t>و(</w:t>
      </w:r>
      <w:r w:rsidR="005A76D5" w:rsidRPr="004869A6">
        <w:rPr>
          <w:rFonts w:eastAsiaTheme="minorEastAsia"/>
          <w:rtl/>
        </w:rPr>
        <w:t>3</w:t>
      </w:r>
      <w:r w:rsidR="005A76D5" w:rsidRPr="005A76D5">
        <w:rPr>
          <w:rFonts w:eastAsiaTheme="minorEastAsia"/>
          <w:rtl/>
        </w:rPr>
        <w:t xml:space="preserve">) </w:t>
      </w:r>
      <w:r w:rsidRPr="00293EB2">
        <w:rPr>
          <w:rFonts w:eastAsiaTheme="minorEastAsia"/>
          <w:rtl/>
        </w:rPr>
        <w:t xml:space="preserve">من المادة </w:t>
      </w:r>
      <w:r w:rsidRPr="004869A6">
        <w:rPr>
          <w:rFonts w:eastAsiaTheme="minorEastAsia"/>
          <w:rtl/>
        </w:rPr>
        <w:t>19</w:t>
      </w:r>
      <w:r w:rsidRPr="00293EB2">
        <w:rPr>
          <w:rFonts w:eastAsiaTheme="minorEastAsia"/>
          <w:rtl/>
        </w:rPr>
        <w:t xml:space="preserve"> من العهد. ويقولون إن ذاك التدخل ليس مبرراً ولا ينص عليه القانون لأن قانون المخالفات الإدارية، الذي أدين أصحاب البلاغ بموجبه، لم يُصَغ بالدقة الكافية ولا يطبق بالدقة الكافية بحيث يمكّنهم من توقع النتائج الذي قد تنجم عن فعل ما، بدرجة معقولة في ضوء الظروف المحيطة. وفضلاً عن ذلك، يقول أصحاب البلاغ إن التدخل لم يكن يتوخى غاية مشروعة ولم يكن ضرورياً في مجتمع ديمقراطي لأن أفعال أصحاب البلاغ كانت سلمية.</w:t>
      </w:r>
    </w:p>
    <w:p w14:paraId="21DA5D8B" w14:textId="77777777" w:rsidR="00C06137" w:rsidRPr="00293EB2" w:rsidRDefault="00C06137" w:rsidP="00293EB2">
      <w:pPr>
        <w:pStyle w:val="SingleTxtGA"/>
        <w:rPr>
          <w:rFonts w:eastAsiaTheme="minorEastAsia"/>
          <w:rtl/>
        </w:rPr>
      </w:pPr>
      <w:r w:rsidRPr="004869A6">
        <w:rPr>
          <w:rFonts w:eastAsiaTheme="minorEastAsia"/>
          <w:rtl/>
        </w:rPr>
        <w:t>3</w:t>
      </w:r>
      <w:r w:rsidRPr="00293EB2">
        <w:rPr>
          <w:rFonts w:eastAsiaTheme="minorEastAsia"/>
          <w:rtl/>
        </w:rPr>
        <w:t>-</w:t>
      </w:r>
      <w:r w:rsidRPr="004869A6">
        <w:rPr>
          <w:rFonts w:eastAsiaTheme="minorEastAsia"/>
          <w:rtl/>
        </w:rPr>
        <w:t>6</w:t>
      </w:r>
      <w:r w:rsidRPr="00293EB2">
        <w:rPr>
          <w:rFonts w:eastAsiaTheme="minorEastAsia"/>
          <w:rtl/>
        </w:rPr>
        <w:tab/>
        <w:t xml:space="preserve">وفي الختام، يدعي أصحاب البلاغ أنهم تعرضوا للإساءة التمييزية وللشتائم من قِبل سلطات الدولة الطرف، وأنهم أُخضِعوا لقوانين تمييزية، منتهكة بذلك حقوقهم بموجب المادتين </w:t>
      </w:r>
      <w:r w:rsidRPr="004869A6">
        <w:rPr>
          <w:rFonts w:eastAsiaTheme="minorEastAsia"/>
          <w:rtl/>
        </w:rPr>
        <w:t>26</w:t>
      </w:r>
      <w:r w:rsidRPr="00293EB2">
        <w:rPr>
          <w:rFonts w:eastAsiaTheme="minorEastAsia"/>
          <w:rtl/>
        </w:rPr>
        <w:t xml:space="preserve"> و</w:t>
      </w:r>
      <w:r w:rsidRPr="004869A6">
        <w:rPr>
          <w:rFonts w:eastAsiaTheme="minorEastAsia"/>
          <w:rtl/>
        </w:rPr>
        <w:t>27</w:t>
      </w:r>
      <w:r w:rsidRPr="00293EB2">
        <w:rPr>
          <w:rFonts w:eastAsiaTheme="minorEastAsia"/>
          <w:rtl/>
        </w:rPr>
        <w:t xml:space="preserve"> من العهد.</w:t>
      </w:r>
    </w:p>
    <w:p w14:paraId="514353D2" w14:textId="0EFDD3BD" w:rsidR="00C06137" w:rsidRPr="004869A6" w:rsidRDefault="00EB1D60" w:rsidP="00293EB2">
      <w:pPr>
        <w:pStyle w:val="H23GA"/>
        <w:rPr>
          <w:rtl/>
        </w:rPr>
      </w:pPr>
      <w:r w:rsidRPr="004869A6">
        <w:rPr>
          <w:rtl/>
        </w:rPr>
        <w:tab/>
      </w:r>
      <w:r w:rsidRPr="004869A6">
        <w:rPr>
          <w:rtl/>
        </w:rPr>
        <w:tab/>
      </w:r>
      <w:r w:rsidR="00C06137" w:rsidRPr="004869A6">
        <w:rPr>
          <w:rtl/>
        </w:rPr>
        <w:t>ملاحظات الدولة الطرف بشأن المقبولية</w:t>
      </w:r>
    </w:p>
    <w:p w14:paraId="1EF36D38" w14:textId="77777777" w:rsidR="00C06137" w:rsidRPr="00293EB2" w:rsidRDefault="00C06137" w:rsidP="00293EB2">
      <w:pPr>
        <w:pStyle w:val="SingleTxtGA"/>
        <w:rPr>
          <w:rFonts w:eastAsiaTheme="minorEastAsia"/>
          <w:rtl/>
        </w:rPr>
      </w:pPr>
      <w:r w:rsidRPr="004869A6">
        <w:rPr>
          <w:rFonts w:eastAsiaTheme="minorEastAsia"/>
          <w:rtl/>
        </w:rPr>
        <w:t>4</w:t>
      </w:r>
      <w:r w:rsidRPr="00293EB2">
        <w:rPr>
          <w:rFonts w:eastAsiaTheme="minorEastAsia"/>
          <w:rtl/>
        </w:rPr>
        <w:t>-</w:t>
      </w:r>
      <w:r w:rsidRPr="004869A6">
        <w:rPr>
          <w:rFonts w:eastAsiaTheme="minorEastAsia"/>
          <w:rtl/>
        </w:rPr>
        <w:t>1</w:t>
      </w:r>
      <w:r w:rsidRPr="00293EB2">
        <w:rPr>
          <w:rFonts w:eastAsiaTheme="minorEastAsia"/>
          <w:rtl/>
        </w:rPr>
        <w:tab/>
        <w:t xml:space="preserve">في </w:t>
      </w:r>
      <w:r w:rsidRPr="004869A6">
        <w:rPr>
          <w:rFonts w:eastAsiaTheme="minorEastAsia"/>
          <w:rtl/>
        </w:rPr>
        <w:t>22</w:t>
      </w:r>
      <w:r w:rsidRPr="00293EB2">
        <w:rPr>
          <w:rFonts w:eastAsiaTheme="minorEastAsia"/>
          <w:rtl/>
        </w:rPr>
        <w:t xml:space="preserve"> أيار/مايو </w:t>
      </w:r>
      <w:r w:rsidRPr="004869A6">
        <w:rPr>
          <w:rFonts w:eastAsiaTheme="minorEastAsia"/>
          <w:rtl/>
        </w:rPr>
        <w:t>2018</w:t>
      </w:r>
      <w:r w:rsidRPr="00293EB2">
        <w:rPr>
          <w:rFonts w:eastAsiaTheme="minorEastAsia"/>
          <w:rtl/>
        </w:rPr>
        <w:t xml:space="preserve">، طعنت الدولة الطرف في مقبولية البلاغ على أساس أن صاحب البلاغ لم يستنفد جميع سبل الانتصاف المحلية. </w:t>
      </w:r>
    </w:p>
    <w:p w14:paraId="7BB1AD38" w14:textId="15A45570" w:rsidR="00C06137" w:rsidRPr="00293EB2" w:rsidRDefault="00C06137" w:rsidP="00293EB2">
      <w:pPr>
        <w:pStyle w:val="SingleTxtGA"/>
        <w:rPr>
          <w:rFonts w:eastAsiaTheme="minorEastAsia"/>
        </w:rPr>
      </w:pPr>
      <w:r w:rsidRPr="004869A6">
        <w:rPr>
          <w:rFonts w:eastAsiaTheme="minorEastAsia"/>
          <w:rtl/>
        </w:rPr>
        <w:t>4</w:t>
      </w:r>
      <w:r w:rsidRPr="00293EB2">
        <w:rPr>
          <w:rFonts w:eastAsiaTheme="minorEastAsia"/>
          <w:rtl/>
        </w:rPr>
        <w:t>-</w:t>
      </w:r>
      <w:r w:rsidRPr="004869A6">
        <w:rPr>
          <w:rFonts w:eastAsiaTheme="minorEastAsia"/>
          <w:rtl/>
        </w:rPr>
        <w:t>2</w:t>
      </w:r>
      <w:r w:rsidRPr="00293EB2">
        <w:rPr>
          <w:rFonts w:eastAsiaTheme="minorEastAsia"/>
          <w:rtl/>
        </w:rPr>
        <w:tab/>
        <w:t xml:space="preserve">ففيما يتعلق بادعاء أصحاب البلاغ بموجب المادة </w:t>
      </w:r>
      <w:r w:rsidRPr="004869A6">
        <w:rPr>
          <w:rFonts w:eastAsiaTheme="minorEastAsia"/>
          <w:rtl/>
        </w:rPr>
        <w:t>17</w:t>
      </w:r>
      <w:r w:rsidRPr="00293EB2">
        <w:rPr>
          <w:rFonts w:eastAsiaTheme="minorEastAsia"/>
          <w:rtl/>
        </w:rPr>
        <w:t xml:space="preserve"> من العهد، تقول الدولة الطرف إن سلطة المحاكم المحلية تقتصر على النظر في القضية كما عرضتها عليها الشرطة، وتحديداً فيما يتعلق بمسألة حضور اجتماع ديني غير قانوني. ولأن القضايا المعروضة على المحاكم المحلية لم تكن تتعلق بالانتهاكات المدّعاة لحقوق الإنسان، فإنه كان ينبغي لأصحاب البلاغ أن يقيموا دعوى قانونية منفصلة يعرضون فيها ادعاءاتهم انتهاك حقوقهم بموجب المادة </w:t>
      </w:r>
      <w:r w:rsidRPr="004869A6">
        <w:rPr>
          <w:rFonts w:eastAsiaTheme="minorEastAsia"/>
          <w:rtl/>
        </w:rPr>
        <w:t>1</w:t>
      </w:r>
      <w:r w:rsidR="005A76D5" w:rsidRPr="004869A6">
        <w:rPr>
          <w:rFonts w:eastAsiaTheme="minorEastAsia"/>
          <w:rtl/>
        </w:rPr>
        <w:t>7</w:t>
      </w:r>
      <w:r w:rsidR="005A76D5" w:rsidRPr="005A76D5">
        <w:rPr>
          <w:rFonts w:eastAsiaTheme="minorEastAsia"/>
          <w:rtl/>
        </w:rPr>
        <w:t xml:space="preserve">. </w:t>
      </w:r>
      <w:r w:rsidRPr="00293EB2">
        <w:rPr>
          <w:rFonts w:eastAsiaTheme="minorEastAsia"/>
          <w:rtl/>
        </w:rPr>
        <w:t xml:space="preserve">وكان من الممكن أن تشتمل سبل الانتصاف تلك على تقديم شكاوى إلى النيابة العامة أو أمانة المظالم في أذربيجان أو على إقامة دعوى قضائية لدى المحاكم المحلية. </w:t>
      </w:r>
    </w:p>
    <w:p w14:paraId="6A4F402B" w14:textId="129D9A36" w:rsidR="00C06137" w:rsidRPr="00293EB2" w:rsidRDefault="00C06137" w:rsidP="00293EB2">
      <w:pPr>
        <w:pStyle w:val="SingleTxtGA"/>
        <w:rPr>
          <w:rFonts w:eastAsiaTheme="minorEastAsia"/>
          <w:rtl/>
        </w:rPr>
      </w:pPr>
      <w:r w:rsidRPr="004869A6">
        <w:rPr>
          <w:rFonts w:eastAsiaTheme="minorEastAsia"/>
          <w:rtl/>
        </w:rPr>
        <w:t>4</w:t>
      </w:r>
      <w:r w:rsidRPr="00293EB2">
        <w:rPr>
          <w:rFonts w:eastAsiaTheme="minorEastAsia"/>
          <w:rtl/>
        </w:rPr>
        <w:t>-</w:t>
      </w:r>
      <w:r w:rsidRPr="004869A6">
        <w:rPr>
          <w:rFonts w:eastAsiaTheme="minorEastAsia"/>
          <w:rtl/>
        </w:rPr>
        <w:t>3</w:t>
      </w:r>
      <w:r w:rsidRPr="00293EB2">
        <w:rPr>
          <w:rFonts w:eastAsiaTheme="minorEastAsia"/>
          <w:rtl/>
        </w:rPr>
        <w:tab/>
        <w:t>وتلاحظ الدولة الطرف أن أصحاب البلاغ لم يقدموا أي أدلة تدعم ادعاءاتهم بشأن تدخل الشرطة غير القانوني في شقتهم الخاصة لا إلى اللجنة ولا إلى السلطات المحلية. وتلاحظ الدولة الطرف أن أي ادعاء يجب دعمه بأدلة تثبته، وإلا فإنه يبقى مجرد ادعاء. فلم يشفع أصحاب البلاغ بلاغهم بأي أدلة من هذا القبيل. وبناء عليه، تقول الدولة الطرف إنه لم يتم إثبات الادعاء على النحو الصحيح ومن ثم</w:t>
      </w:r>
      <w:r w:rsidR="00293EB2">
        <w:rPr>
          <w:rFonts w:eastAsiaTheme="minorEastAsia" w:hint="cs"/>
          <w:rtl/>
        </w:rPr>
        <w:t> </w:t>
      </w:r>
      <w:r w:rsidRPr="00293EB2">
        <w:rPr>
          <w:rFonts w:eastAsiaTheme="minorEastAsia"/>
          <w:rtl/>
        </w:rPr>
        <w:t xml:space="preserve">ينبغي اعتباره غير مقبول. </w:t>
      </w:r>
    </w:p>
    <w:p w14:paraId="7D5D9127" w14:textId="77777777" w:rsidR="00C06137" w:rsidRPr="00293EB2" w:rsidRDefault="00C06137" w:rsidP="00293EB2">
      <w:pPr>
        <w:pStyle w:val="SingleTxtGA"/>
        <w:rPr>
          <w:rFonts w:eastAsiaTheme="minorEastAsia"/>
          <w:rtl/>
        </w:rPr>
      </w:pPr>
      <w:r w:rsidRPr="004869A6">
        <w:rPr>
          <w:rFonts w:eastAsiaTheme="minorEastAsia"/>
          <w:rtl/>
        </w:rPr>
        <w:t>4</w:t>
      </w:r>
      <w:r w:rsidRPr="00293EB2">
        <w:rPr>
          <w:rFonts w:eastAsiaTheme="minorEastAsia"/>
          <w:rtl/>
        </w:rPr>
        <w:t>-</w:t>
      </w:r>
      <w:r w:rsidRPr="004869A6">
        <w:rPr>
          <w:rFonts w:eastAsiaTheme="minorEastAsia"/>
          <w:rtl/>
        </w:rPr>
        <w:t>4</w:t>
      </w:r>
      <w:r w:rsidRPr="00293EB2">
        <w:rPr>
          <w:rFonts w:eastAsiaTheme="minorEastAsia"/>
          <w:rtl/>
        </w:rPr>
        <w:tab/>
        <w:t xml:space="preserve">وفيما يتعلق بادعاء السيد </w:t>
      </w:r>
      <w:proofErr w:type="spellStart"/>
      <w:r w:rsidRPr="00293EB2">
        <w:rPr>
          <w:rFonts w:eastAsiaTheme="minorEastAsia"/>
          <w:rtl/>
        </w:rPr>
        <w:t>كفاراتسخيليا</w:t>
      </w:r>
      <w:proofErr w:type="spellEnd"/>
      <w:r w:rsidRPr="00293EB2">
        <w:rPr>
          <w:rFonts w:eastAsiaTheme="minorEastAsia"/>
          <w:rtl/>
        </w:rPr>
        <w:t xml:space="preserve"> بموجب المادة </w:t>
      </w:r>
      <w:r w:rsidRPr="004869A6">
        <w:rPr>
          <w:rFonts w:eastAsiaTheme="minorEastAsia"/>
          <w:rtl/>
        </w:rPr>
        <w:t>13</w:t>
      </w:r>
      <w:r w:rsidRPr="00293EB2">
        <w:rPr>
          <w:rFonts w:eastAsiaTheme="minorEastAsia"/>
          <w:rtl/>
        </w:rPr>
        <w:t xml:space="preserve">، تلاحظ الدولة الطرف أنه حصل رسمياً على نسخة من قرار المحكمة في حقه بتاريخ </w:t>
      </w:r>
      <w:r w:rsidRPr="004869A6">
        <w:rPr>
          <w:rFonts w:eastAsiaTheme="minorEastAsia"/>
          <w:rtl/>
        </w:rPr>
        <w:t>6</w:t>
      </w:r>
      <w:r w:rsidRPr="00293EB2">
        <w:rPr>
          <w:rFonts w:eastAsiaTheme="minorEastAsia"/>
          <w:rtl/>
        </w:rPr>
        <w:t xml:space="preserve"> تموز/يوليه </w:t>
      </w:r>
      <w:r w:rsidRPr="004869A6">
        <w:rPr>
          <w:rFonts w:eastAsiaTheme="minorEastAsia"/>
          <w:rtl/>
        </w:rPr>
        <w:t>2015</w:t>
      </w:r>
      <w:r w:rsidRPr="00293EB2">
        <w:rPr>
          <w:rFonts w:eastAsiaTheme="minorEastAsia"/>
          <w:rtl/>
        </w:rPr>
        <w:t xml:space="preserve">، وأنه كان على علم بالأجل القانوني المحدد لاستئناف قرار إدانته. بيد أنه لم يقدم استئنافه إلا في </w:t>
      </w:r>
      <w:r w:rsidRPr="004869A6">
        <w:rPr>
          <w:rFonts w:eastAsiaTheme="minorEastAsia"/>
          <w:rtl/>
        </w:rPr>
        <w:t>25</w:t>
      </w:r>
      <w:r w:rsidRPr="00293EB2">
        <w:rPr>
          <w:rFonts w:eastAsiaTheme="minorEastAsia"/>
          <w:rtl/>
        </w:rPr>
        <w:t xml:space="preserve"> تشرين الثاني/نوفمبر </w:t>
      </w:r>
      <w:r w:rsidRPr="004869A6">
        <w:rPr>
          <w:rFonts w:eastAsiaTheme="minorEastAsia"/>
          <w:rtl/>
        </w:rPr>
        <w:t>2015</w:t>
      </w:r>
      <w:r w:rsidRPr="00293EB2">
        <w:rPr>
          <w:rFonts w:eastAsiaTheme="minorEastAsia"/>
          <w:rtl/>
        </w:rPr>
        <w:t>، فتجاوز بذلك الأجل القانوني. وعليه، تقول الدولة الطرف إنه ينبغي اعتبار ادعائه غير مقبول لعدم استنفاد سبل الانتصاف المحلية.</w:t>
      </w:r>
    </w:p>
    <w:p w14:paraId="099675B7" w14:textId="6552BD59" w:rsidR="00C06137" w:rsidRPr="00293EB2" w:rsidRDefault="00C06137" w:rsidP="00293EB2">
      <w:pPr>
        <w:pStyle w:val="SingleTxtGA"/>
        <w:rPr>
          <w:rFonts w:eastAsiaTheme="minorEastAsia"/>
          <w:rtl/>
        </w:rPr>
      </w:pPr>
      <w:r w:rsidRPr="004869A6">
        <w:rPr>
          <w:rFonts w:eastAsiaTheme="minorEastAsia"/>
          <w:rtl/>
        </w:rPr>
        <w:t>4</w:t>
      </w:r>
      <w:r w:rsidRPr="00293EB2">
        <w:rPr>
          <w:rFonts w:eastAsiaTheme="minorEastAsia"/>
          <w:rtl/>
        </w:rPr>
        <w:t>-</w:t>
      </w:r>
      <w:r w:rsidRPr="004869A6">
        <w:rPr>
          <w:rFonts w:eastAsiaTheme="minorEastAsia"/>
          <w:rtl/>
        </w:rPr>
        <w:t>5</w:t>
      </w:r>
      <w:r w:rsidRPr="00293EB2">
        <w:rPr>
          <w:rFonts w:eastAsiaTheme="minorEastAsia"/>
          <w:rtl/>
        </w:rPr>
        <w:tab/>
        <w:t xml:space="preserve">وفيما يتعلق بادعاء أصحاب البلاغ بموجب المادة </w:t>
      </w:r>
      <w:r w:rsidRPr="004869A6">
        <w:rPr>
          <w:rFonts w:eastAsiaTheme="minorEastAsia"/>
          <w:rtl/>
        </w:rPr>
        <w:t>9</w:t>
      </w:r>
      <w:r w:rsidRPr="00293EB2">
        <w:rPr>
          <w:rFonts w:eastAsiaTheme="minorEastAsia"/>
          <w:rtl/>
        </w:rPr>
        <w:t xml:space="preserve"> من العهد، تقول الدولة الطرف إن أصحاب البلاغ لم يقدموا شكاوى إلى السلطات الوطنية فيما يتعلق بالتدخل في حقهم في الحرية والأمن. فلم يبرهنوا من ثم على أنهم استنفدوا جميع سبل الانتصاف المحلية. وتقول الدولة الطرف أيضاً إن أصحاب البلاغ لم يُحتجزوا أو يعتقلوا قط، حيث تمت دعوتهم إلى مخفر الشرطة للإدلاء بشهاداتهم فيما يتعلق بالتهم الإدارية الموجهة إليهم فقط لا غير. ويعود بقاؤهم في مخفر الشرطة خمس ساعات إلى وجود عدد كبير من الأشخاص هناك. وعليه، تقول الدولة الطرف إن من الواضح أن ادعاء أصحاب البلاغ بموجب المادة</w:t>
      </w:r>
      <w:r w:rsidR="00293EB2">
        <w:rPr>
          <w:rFonts w:eastAsiaTheme="minorEastAsia" w:hint="cs"/>
          <w:rtl/>
        </w:rPr>
        <w:t> </w:t>
      </w:r>
      <w:r w:rsidRPr="004869A6">
        <w:rPr>
          <w:rFonts w:eastAsiaTheme="minorEastAsia"/>
          <w:rtl/>
        </w:rPr>
        <w:t>9</w:t>
      </w:r>
      <w:r w:rsidRPr="00293EB2">
        <w:rPr>
          <w:rFonts w:eastAsiaTheme="minorEastAsia"/>
          <w:rtl/>
        </w:rPr>
        <w:t xml:space="preserve"> لا يستند إلى أساس صحيح.</w:t>
      </w:r>
    </w:p>
    <w:p w14:paraId="6C2E9A5C" w14:textId="77777777" w:rsidR="00C06137" w:rsidRPr="00293EB2" w:rsidRDefault="00C06137" w:rsidP="00293EB2">
      <w:pPr>
        <w:pStyle w:val="SingleTxtGA"/>
        <w:rPr>
          <w:rFonts w:eastAsiaTheme="minorEastAsia"/>
          <w:rtl/>
        </w:rPr>
      </w:pPr>
      <w:r w:rsidRPr="004869A6">
        <w:rPr>
          <w:rFonts w:eastAsiaTheme="minorEastAsia"/>
          <w:rtl/>
        </w:rPr>
        <w:t>4</w:t>
      </w:r>
      <w:r w:rsidRPr="00293EB2">
        <w:rPr>
          <w:rFonts w:eastAsiaTheme="minorEastAsia"/>
          <w:rtl/>
        </w:rPr>
        <w:t>-</w:t>
      </w:r>
      <w:r w:rsidRPr="004869A6">
        <w:rPr>
          <w:rFonts w:eastAsiaTheme="minorEastAsia"/>
          <w:rtl/>
        </w:rPr>
        <w:t>6</w:t>
      </w:r>
      <w:r w:rsidRPr="00293EB2">
        <w:rPr>
          <w:rFonts w:eastAsiaTheme="minorEastAsia"/>
          <w:rtl/>
        </w:rPr>
        <w:tab/>
        <w:t xml:space="preserve">وفيما يتعلق بادعاء أصحاب البلاغ بموجب المادة </w:t>
      </w:r>
      <w:r w:rsidRPr="004869A6">
        <w:rPr>
          <w:rFonts w:eastAsiaTheme="minorEastAsia"/>
          <w:rtl/>
        </w:rPr>
        <w:t>19</w:t>
      </w:r>
      <w:r w:rsidRPr="00293EB2">
        <w:rPr>
          <w:rFonts w:eastAsiaTheme="minorEastAsia"/>
          <w:rtl/>
        </w:rPr>
        <w:t xml:space="preserve"> من العهد، تقول الدولة الطرف إن هذا الادعاء لم يثَر أمام المحاكم المحلية وإنه ينبغي من ثم اعتباره غير مقبول لعدم استنفاد سبل الانتصاف المحلية. فقد كان ينبغي لأصحاب البلاغ الاستفادة من سبل الانتصاب المحلية الأخرى المتاحة من قبيل تقديم شكوى إلى النيابة العامة أو إلى أمانة المظالم قبل تقديم ادعائهم إلى اللجنة.</w:t>
      </w:r>
    </w:p>
    <w:p w14:paraId="52E4B40E" w14:textId="77FE5306" w:rsidR="00C06137" w:rsidRPr="00293EB2" w:rsidRDefault="00C06137" w:rsidP="00293EB2">
      <w:pPr>
        <w:pStyle w:val="SingleTxtGA"/>
        <w:rPr>
          <w:rFonts w:eastAsiaTheme="minorEastAsia"/>
          <w:rtl/>
        </w:rPr>
      </w:pPr>
      <w:r w:rsidRPr="004869A6">
        <w:rPr>
          <w:rFonts w:eastAsiaTheme="minorEastAsia"/>
          <w:rtl/>
        </w:rPr>
        <w:t>4</w:t>
      </w:r>
      <w:r w:rsidRPr="00293EB2">
        <w:rPr>
          <w:rFonts w:eastAsiaTheme="minorEastAsia"/>
          <w:rtl/>
        </w:rPr>
        <w:t>-</w:t>
      </w:r>
      <w:r w:rsidRPr="004869A6">
        <w:rPr>
          <w:rFonts w:eastAsiaTheme="minorEastAsia"/>
          <w:rtl/>
        </w:rPr>
        <w:t>7</w:t>
      </w:r>
      <w:r w:rsidRPr="00293EB2">
        <w:rPr>
          <w:rFonts w:eastAsiaTheme="minorEastAsia"/>
          <w:rtl/>
        </w:rPr>
        <w:tab/>
        <w:t xml:space="preserve">وفيما يتعلق بادعاءات أصحاب البلاغ بموجب المادتين </w:t>
      </w:r>
      <w:r w:rsidRPr="004869A6">
        <w:rPr>
          <w:rFonts w:eastAsiaTheme="minorEastAsia"/>
          <w:rtl/>
        </w:rPr>
        <w:t>26</w:t>
      </w:r>
      <w:r w:rsidRPr="00293EB2">
        <w:rPr>
          <w:rFonts w:eastAsiaTheme="minorEastAsia"/>
          <w:rtl/>
        </w:rPr>
        <w:t xml:space="preserve"> و</w:t>
      </w:r>
      <w:r w:rsidRPr="004869A6">
        <w:rPr>
          <w:rFonts w:eastAsiaTheme="minorEastAsia"/>
          <w:rtl/>
        </w:rPr>
        <w:t>27</w:t>
      </w:r>
      <w:r w:rsidRPr="00293EB2">
        <w:rPr>
          <w:rFonts w:eastAsiaTheme="minorEastAsia"/>
          <w:rtl/>
        </w:rPr>
        <w:t xml:space="preserve"> من العهد، تقول الدولة الطرف إنه ينبغي اعتبارها غير مقبولة بدورها لعدم استنفاد سبل الانتصاف المحلية، كما هو الشأن بالنسبة للادعاءات الآنف ذكرها. وعلاوة على ذلك، تقول الدولة الطرف إن من الواضح أن الادعاءات لا تستند إلى أساس صحيح وإن أصحاب البلاغ لم يثبتوها بالقدر الكافي لكي يُنظر إليهم باعتبارهم ضحايا. وتلاحظ الدولة الطرف توجيه تُهم إلى أصحاب البلاغ بارتكاب مخالفات تنطبق أيضاً على أي مجموعة دينية دونما تمييز. وتستند ادعاءات أصحاب البلاغ إلى أقوال فضفاضة ولا تستند إلى أدلة موثوقة، حيث إنهم لم يبيّنوا ما هي الجماعات الدينية الأخرى التي تلقت معاملة تختلف عن تلك التي لقيتها شهود يهوه في ظروف مشابهة. وتقول الدولة الطرف إن هناك عدد</w:t>
      </w:r>
      <w:r w:rsidR="00391D83">
        <w:rPr>
          <w:rFonts w:eastAsiaTheme="minorEastAsia"/>
          <w:rtl/>
        </w:rPr>
        <w:t xml:space="preserve">اً </w:t>
      </w:r>
      <w:r w:rsidRPr="00293EB2">
        <w:rPr>
          <w:rFonts w:eastAsiaTheme="minorEastAsia"/>
          <w:rtl/>
        </w:rPr>
        <w:t xml:space="preserve">من القضايا أمام هيئات دولية أخرى، من قبيل المحكمة الأوروبية لحقوق الإنسان، تتعلق بالتدخل في اجتماعات دينية عقدتها طوائف دينية أخرى غير شهود يهوه في انتهاك للقانون في أذربيجان. </w:t>
      </w:r>
    </w:p>
    <w:p w14:paraId="2ADC6803" w14:textId="720DDB98" w:rsidR="00C06137" w:rsidRPr="00293EB2" w:rsidRDefault="00C06137" w:rsidP="00293EB2">
      <w:pPr>
        <w:pStyle w:val="SingleTxtGA"/>
        <w:rPr>
          <w:rFonts w:eastAsiaTheme="minorEastAsia"/>
          <w:rtl/>
        </w:rPr>
      </w:pPr>
      <w:r w:rsidRPr="004869A6">
        <w:rPr>
          <w:rFonts w:eastAsiaTheme="minorEastAsia"/>
          <w:rtl/>
        </w:rPr>
        <w:t>4</w:t>
      </w:r>
      <w:r w:rsidRPr="00293EB2">
        <w:rPr>
          <w:rFonts w:eastAsiaTheme="minorEastAsia"/>
          <w:rtl/>
        </w:rPr>
        <w:t>-</w:t>
      </w:r>
      <w:r w:rsidRPr="004869A6">
        <w:rPr>
          <w:rFonts w:eastAsiaTheme="minorEastAsia"/>
          <w:rtl/>
        </w:rPr>
        <w:t>8</w:t>
      </w:r>
      <w:r w:rsidRPr="00293EB2">
        <w:rPr>
          <w:rFonts w:eastAsiaTheme="minorEastAsia"/>
          <w:rtl/>
        </w:rPr>
        <w:tab/>
      </w:r>
      <w:r w:rsidRPr="000E0846">
        <w:rPr>
          <w:rFonts w:eastAsiaTheme="minorEastAsia"/>
          <w:rtl/>
        </w:rPr>
        <w:t xml:space="preserve">وفي الختام، توجه الدولة الطرف عناية اللجنة إلى أن جميع أصحاب البلاغ، ما عدا السيد </w:t>
      </w:r>
      <w:proofErr w:type="spellStart"/>
      <w:r w:rsidRPr="000E0846">
        <w:rPr>
          <w:rFonts w:eastAsiaTheme="minorEastAsia"/>
          <w:rtl/>
        </w:rPr>
        <w:t>كفاراتسخيليا</w:t>
      </w:r>
      <w:proofErr w:type="spellEnd"/>
      <w:r w:rsidRPr="000E0846">
        <w:rPr>
          <w:rFonts w:eastAsiaTheme="minorEastAsia"/>
          <w:rtl/>
        </w:rPr>
        <w:t>، قد تلقوا إنذارات إدارية فقط، مع أن المادة</w:t>
      </w:r>
      <w:r w:rsidR="00C10779" w:rsidRPr="000E0846">
        <w:rPr>
          <w:rFonts w:eastAsiaTheme="minorEastAsia" w:hint="cs"/>
          <w:rtl/>
        </w:rPr>
        <w:t xml:space="preserve"> 299-0-2 </w:t>
      </w:r>
      <w:r w:rsidRPr="000E0846">
        <w:rPr>
          <w:rFonts w:eastAsiaTheme="minorEastAsia"/>
          <w:rtl/>
        </w:rPr>
        <w:t xml:space="preserve">من قانون المخالفات الإدارية تنص كذلك على غرامات قد يبلغ قدرها </w:t>
      </w:r>
      <w:r w:rsidR="004869A6" w:rsidRPr="000E0846">
        <w:rPr>
          <w:rFonts w:eastAsiaTheme="minorEastAsia" w:hint="cs"/>
          <w:rtl/>
        </w:rPr>
        <w:t xml:space="preserve">000 2 </w:t>
      </w:r>
      <w:proofErr w:type="spellStart"/>
      <w:r w:rsidRPr="000E0846">
        <w:rPr>
          <w:rFonts w:eastAsiaTheme="minorEastAsia"/>
          <w:rtl/>
        </w:rPr>
        <w:t>مَنَات</w:t>
      </w:r>
      <w:proofErr w:type="spellEnd"/>
      <w:r w:rsidRPr="000E0846">
        <w:rPr>
          <w:rFonts w:eastAsiaTheme="minorEastAsia"/>
          <w:rtl/>
        </w:rPr>
        <w:t xml:space="preserve"> أذري. وعلاوة على ذلك، شُطبت المخالفة من ملفهم المتعلق بالمخالفات الإدارية بعد مرور سنة واحدة، ويُعتبر أن أصحاب البلاغ ليس لديهم سجل من المخالفات الإدارية وقت تقديم بلاغهم. ولهذه الأسباب، تقول الدولة الطرف إن من الواضح أن البلاغ يستند إلى أُسس غير صحيحة وينبغي اعتباره غير مقبول.</w:t>
      </w:r>
    </w:p>
    <w:p w14:paraId="648EF648" w14:textId="77777777" w:rsidR="00C06137" w:rsidRPr="00293EB2" w:rsidRDefault="00C06137" w:rsidP="00293EB2">
      <w:pPr>
        <w:pStyle w:val="H23GA"/>
        <w:rPr>
          <w:rtl/>
        </w:rPr>
      </w:pPr>
      <w:r w:rsidRPr="00293EB2">
        <w:rPr>
          <w:rtl/>
        </w:rPr>
        <w:tab/>
      </w:r>
      <w:r w:rsidRPr="00293EB2">
        <w:rPr>
          <w:rtl/>
        </w:rPr>
        <w:tab/>
        <w:t>تعليقات أصحاب البلاغ على ملاحظات الدولة الطرف بشأن المقبولية</w:t>
      </w:r>
    </w:p>
    <w:p w14:paraId="5B8B1507" w14:textId="0D57B293" w:rsidR="00C06137" w:rsidRPr="00293EB2" w:rsidRDefault="00C06137" w:rsidP="00293EB2">
      <w:pPr>
        <w:pStyle w:val="SingleTxtGA"/>
        <w:rPr>
          <w:rFonts w:eastAsiaTheme="minorEastAsia"/>
          <w:rtl/>
        </w:rPr>
      </w:pPr>
      <w:r w:rsidRPr="004869A6">
        <w:rPr>
          <w:rFonts w:eastAsiaTheme="minorEastAsia"/>
          <w:rtl/>
        </w:rPr>
        <w:t>5</w:t>
      </w:r>
      <w:r w:rsidRPr="00293EB2">
        <w:rPr>
          <w:rFonts w:eastAsiaTheme="minorEastAsia"/>
          <w:rtl/>
        </w:rPr>
        <w:t>-</w:t>
      </w:r>
      <w:r w:rsidRPr="004869A6">
        <w:rPr>
          <w:rFonts w:eastAsiaTheme="minorEastAsia"/>
          <w:rtl/>
        </w:rPr>
        <w:t>1</w:t>
      </w:r>
      <w:r w:rsidRPr="00293EB2">
        <w:rPr>
          <w:rFonts w:eastAsiaTheme="minorEastAsia"/>
          <w:rtl/>
        </w:rPr>
        <w:tab/>
        <w:t xml:space="preserve">في </w:t>
      </w:r>
      <w:r w:rsidRPr="004869A6">
        <w:rPr>
          <w:rFonts w:eastAsiaTheme="minorEastAsia"/>
          <w:rtl/>
        </w:rPr>
        <w:t>31</w:t>
      </w:r>
      <w:r w:rsidRPr="00293EB2">
        <w:rPr>
          <w:rFonts w:eastAsiaTheme="minorEastAsia"/>
          <w:rtl/>
        </w:rPr>
        <w:t xml:space="preserve"> تموز/يوليه </w:t>
      </w:r>
      <w:r w:rsidRPr="004869A6">
        <w:rPr>
          <w:rFonts w:eastAsiaTheme="minorEastAsia"/>
          <w:rtl/>
        </w:rPr>
        <w:t>2018</w:t>
      </w:r>
      <w:r w:rsidRPr="00293EB2">
        <w:rPr>
          <w:rFonts w:eastAsiaTheme="minorEastAsia"/>
          <w:rtl/>
        </w:rPr>
        <w:t>، قدم أصحاب البلاغ تعليقاتهم على ملاحظات الدولة الطرف بشأن المقبولية. ويرفض أصحاب البلاغ رأي الدولة الطرف أن ولاية المحاكم المحلية لا تتجاوز المسائل التي أثارتها الشرطة. فقد اضطر أصحاب البلاغ إلى التوجه إلى جهات أخرى التماساً لحماية حقوقهم الدستورية وحقوقهم بموجب العهد. وهم يلاحظون أنهم جميع</w:t>
      </w:r>
      <w:r w:rsidR="00391D83">
        <w:rPr>
          <w:rFonts w:eastAsiaTheme="minorEastAsia"/>
          <w:rtl/>
        </w:rPr>
        <w:t xml:space="preserve">اً </w:t>
      </w:r>
      <w:r w:rsidRPr="00293EB2">
        <w:rPr>
          <w:rFonts w:eastAsiaTheme="minorEastAsia"/>
          <w:rtl/>
        </w:rPr>
        <w:t xml:space="preserve">أثاروا مسألة انتهاك الحق في الخصوصية والأمن في المنزل أثناء الدعاوى أمام المحكمة وفيما قدموه من طلبات استئناف. وقد كان ينبغي أن يتمتع السيد </w:t>
      </w:r>
      <w:proofErr w:type="spellStart"/>
      <w:r w:rsidRPr="00293EB2">
        <w:rPr>
          <w:rFonts w:eastAsiaTheme="minorEastAsia"/>
          <w:rtl/>
        </w:rPr>
        <w:t>مرسالوف</w:t>
      </w:r>
      <w:proofErr w:type="spellEnd"/>
      <w:r w:rsidRPr="00293EB2">
        <w:rPr>
          <w:rFonts w:eastAsiaTheme="minorEastAsia"/>
          <w:rtl/>
        </w:rPr>
        <w:t xml:space="preserve"> والسيد </w:t>
      </w:r>
      <w:proofErr w:type="spellStart"/>
      <w:r w:rsidRPr="00293EB2">
        <w:rPr>
          <w:rFonts w:eastAsiaTheme="minorEastAsia"/>
          <w:rtl/>
        </w:rPr>
        <w:t>كفاراتسخيليا</w:t>
      </w:r>
      <w:proofErr w:type="spellEnd"/>
      <w:r w:rsidRPr="00293EB2">
        <w:rPr>
          <w:rFonts w:eastAsiaTheme="minorEastAsia"/>
          <w:rtl/>
        </w:rPr>
        <w:t xml:space="preserve"> معاً بالخصوصية والأمن في بيتهما؛ ولكن الشرطة اقتحمت محل إقامتهما دون إذن ودون أن تُعرّف بنفسها أو تبرز أمراً قضائياً. وعندما عُرضت هذه الانتهاكات على المحاكم المحلية، حيث أشفعوا دعواهم بأقوال شهود عيان لإثبات التدخل، رفضت المحاكم النظر في انتهاك المادة</w:t>
      </w:r>
      <w:r w:rsidR="00293EB2">
        <w:rPr>
          <w:rFonts w:eastAsiaTheme="minorEastAsia" w:hint="cs"/>
          <w:rtl/>
        </w:rPr>
        <w:t> </w:t>
      </w:r>
      <w:r w:rsidRPr="004869A6">
        <w:rPr>
          <w:rFonts w:eastAsiaTheme="minorEastAsia"/>
          <w:rtl/>
        </w:rPr>
        <w:t>17</w:t>
      </w:r>
      <w:r w:rsidRPr="00293EB2">
        <w:rPr>
          <w:rFonts w:eastAsiaTheme="minorEastAsia"/>
          <w:rtl/>
        </w:rPr>
        <w:t xml:space="preserve"> من العهد.</w:t>
      </w:r>
    </w:p>
    <w:p w14:paraId="01B28477" w14:textId="77777777" w:rsidR="00C06137" w:rsidRPr="00293EB2" w:rsidRDefault="00C06137" w:rsidP="00293EB2">
      <w:pPr>
        <w:pStyle w:val="SingleTxtGA"/>
        <w:rPr>
          <w:rFonts w:eastAsiaTheme="minorEastAsia"/>
          <w:rtl/>
        </w:rPr>
      </w:pPr>
      <w:r w:rsidRPr="004869A6">
        <w:rPr>
          <w:rFonts w:eastAsiaTheme="minorEastAsia"/>
          <w:rtl/>
        </w:rPr>
        <w:t>5</w:t>
      </w:r>
      <w:r w:rsidRPr="00293EB2">
        <w:rPr>
          <w:rFonts w:eastAsiaTheme="minorEastAsia"/>
          <w:rtl/>
        </w:rPr>
        <w:t>-</w:t>
      </w:r>
      <w:r w:rsidRPr="004869A6">
        <w:rPr>
          <w:rFonts w:eastAsiaTheme="minorEastAsia"/>
          <w:rtl/>
        </w:rPr>
        <w:t>2</w:t>
      </w:r>
      <w:r w:rsidRPr="00293EB2">
        <w:rPr>
          <w:rFonts w:eastAsiaTheme="minorEastAsia"/>
          <w:rtl/>
        </w:rPr>
        <w:tab/>
        <w:t xml:space="preserve">وفيما يتعلق بادعاء الدولة الطرف عدم استنفاد سبل الانتصاف المحلية بموجب المادة </w:t>
      </w:r>
      <w:r w:rsidRPr="004869A6">
        <w:rPr>
          <w:rFonts w:eastAsiaTheme="minorEastAsia"/>
          <w:rtl/>
        </w:rPr>
        <w:t>13</w:t>
      </w:r>
      <w:r w:rsidRPr="00293EB2">
        <w:rPr>
          <w:rFonts w:eastAsiaTheme="minorEastAsia"/>
          <w:rtl/>
        </w:rPr>
        <w:t xml:space="preserve">، يرفض أصحاب البلاغ ادعاء الدولة الطرف بأن السيد </w:t>
      </w:r>
      <w:proofErr w:type="spellStart"/>
      <w:r w:rsidRPr="00293EB2">
        <w:rPr>
          <w:rFonts w:eastAsiaTheme="minorEastAsia"/>
          <w:rtl/>
        </w:rPr>
        <w:t>كفاراتسخيليا</w:t>
      </w:r>
      <w:proofErr w:type="spellEnd"/>
      <w:r w:rsidRPr="00293EB2">
        <w:rPr>
          <w:rFonts w:eastAsiaTheme="minorEastAsia"/>
          <w:rtl/>
        </w:rPr>
        <w:t xml:space="preserve"> كان على علمٍ بالآجال القانونية المحددة لتقديم طلب الاستئناف. وهم يشيرون إلى نص طلبه الاستئناف الذي احتج فيه بالقول إنه طُرد من البلد حتى قبل أن يَدخل قرار المحكمة حيز التنفيذ، الأمر الذي حرمه من حقه في الاستئناف، وإنه لم يتلق نسخة من قرار المحكمة بواسطة البريد إلا بعد مرور أربعة أشهر على طرده من البلد.</w:t>
      </w:r>
    </w:p>
    <w:p w14:paraId="38907151" w14:textId="77777777" w:rsidR="00C06137" w:rsidRPr="00293EB2" w:rsidRDefault="00C06137" w:rsidP="00293EB2">
      <w:pPr>
        <w:pStyle w:val="SingleTxtGA"/>
        <w:rPr>
          <w:rFonts w:eastAsiaTheme="minorEastAsia"/>
          <w:rtl/>
        </w:rPr>
      </w:pPr>
      <w:r w:rsidRPr="004869A6">
        <w:rPr>
          <w:rFonts w:eastAsiaTheme="minorEastAsia"/>
          <w:rtl/>
        </w:rPr>
        <w:t>5</w:t>
      </w:r>
      <w:r w:rsidRPr="00293EB2">
        <w:rPr>
          <w:rFonts w:eastAsiaTheme="minorEastAsia"/>
          <w:rtl/>
        </w:rPr>
        <w:t>-</w:t>
      </w:r>
      <w:r w:rsidRPr="004869A6">
        <w:rPr>
          <w:rFonts w:eastAsiaTheme="minorEastAsia"/>
          <w:rtl/>
        </w:rPr>
        <w:t>3</w:t>
      </w:r>
      <w:r w:rsidRPr="00293EB2">
        <w:rPr>
          <w:rFonts w:eastAsiaTheme="minorEastAsia"/>
          <w:rtl/>
        </w:rPr>
        <w:tab/>
        <w:t>ويرفض أصحاب البلاغ ادعاء الدولة الطرف أن الشرطة دعتهم إلى مخفر الشرطة ليدلوا بشهاداتهم، ويقولون إنهم جميعاً احتُجزوا ونُقلوا قسراً إلى مخفر الشرطة. ويشيرون إلى ما أدلوا به من أقوال جاء فيها أن الشرطة طلبت إلى جميع المشاركين في التجمع الديني الذهاب إلى مخفر الشرطة.</w:t>
      </w:r>
    </w:p>
    <w:p w14:paraId="47470A53" w14:textId="30552564" w:rsidR="005A76D5" w:rsidRPr="005A76D5" w:rsidRDefault="00C06137" w:rsidP="00293EB2">
      <w:pPr>
        <w:pStyle w:val="SingleTxtGA"/>
        <w:rPr>
          <w:rFonts w:eastAsiaTheme="minorEastAsia"/>
          <w:rtl/>
        </w:rPr>
      </w:pPr>
      <w:r w:rsidRPr="004869A6">
        <w:rPr>
          <w:rFonts w:eastAsiaTheme="minorEastAsia"/>
          <w:rtl/>
        </w:rPr>
        <w:t>5</w:t>
      </w:r>
      <w:r w:rsidRPr="00293EB2">
        <w:rPr>
          <w:rFonts w:eastAsiaTheme="minorEastAsia"/>
          <w:rtl/>
        </w:rPr>
        <w:t>-</w:t>
      </w:r>
      <w:r w:rsidRPr="004869A6">
        <w:rPr>
          <w:rFonts w:eastAsiaTheme="minorEastAsia"/>
          <w:rtl/>
        </w:rPr>
        <w:t>4</w:t>
      </w:r>
      <w:r w:rsidRPr="00293EB2">
        <w:rPr>
          <w:rFonts w:eastAsiaTheme="minorEastAsia"/>
          <w:rtl/>
        </w:rPr>
        <w:tab/>
        <w:t xml:space="preserve">وفيما يتعلق بادعاء الدولة الطرف عدم استنفاد سبل الانتصاف المحلية بموجب المادة </w:t>
      </w:r>
      <w:r w:rsidRPr="004869A6">
        <w:rPr>
          <w:rFonts w:eastAsiaTheme="minorEastAsia"/>
          <w:rtl/>
        </w:rPr>
        <w:t>19</w:t>
      </w:r>
      <w:r w:rsidRPr="00293EB2">
        <w:rPr>
          <w:rFonts w:eastAsiaTheme="minorEastAsia"/>
          <w:rtl/>
        </w:rPr>
        <w:t xml:space="preserve">، يحيل أصحاب البلاغ إلى أقوالهم أمام محكمة المقاطعة ومحكمة الاستئناف، التي بينوا فيها تكراراً الأساس </w:t>
      </w:r>
      <w:proofErr w:type="spellStart"/>
      <w:r w:rsidRPr="00293EB2">
        <w:rPr>
          <w:rFonts w:eastAsiaTheme="minorEastAsia"/>
          <w:rtl/>
        </w:rPr>
        <w:t>الوقائعي</w:t>
      </w:r>
      <w:proofErr w:type="spellEnd"/>
      <w:r w:rsidRPr="00293EB2">
        <w:rPr>
          <w:rFonts w:eastAsiaTheme="minorEastAsia"/>
          <w:rtl/>
        </w:rPr>
        <w:t xml:space="preserve"> لانتهاكات حقوقهم بموجب المادة </w:t>
      </w:r>
      <w:r w:rsidRPr="004869A6">
        <w:rPr>
          <w:rFonts w:eastAsiaTheme="minorEastAsia"/>
          <w:rtl/>
        </w:rPr>
        <w:t>1</w:t>
      </w:r>
      <w:r w:rsidR="005A76D5" w:rsidRPr="004869A6">
        <w:rPr>
          <w:rFonts w:eastAsiaTheme="minorEastAsia"/>
          <w:rtl/>
        </w:rPr>
        <w:t>9</w:t>
      </w:r>
      <w:r w:rsidR="005A76D5" w:rsidRPr="005A76D5">
        <w:rPr>
          <w:rFonts w:eastAsiaTheme="minorEastAsia"/>
          <w:rtl/>
        </w:rPr>
        <w:t xml:space="preserve">. </w:t>
      </w:r>
      <w:r w:rsidRPr="00293EB2">
        <w:rPr>
          <w:rFonts w:eastAsiaTheme="minorEastAsia"/>
          <w:rtl/>
        </w:rPr>
        <w:t xml:space="preserve">وبالإضافة إلى ذلك، استند السيد </w:t>
      </w:r>
      <w:proofErr w:type="spellStart"/>
      <w:r w:rsidRPr="00293EB2">
        <w:rPr>
          <w:rFonts w:eastAsiaTheme="minorEastAsia"/>
          <w:rtl/>
        </w:rPr>
        <w:t>مرسالوف</w:t>
      </w:r>
      <w:proofErr w:type="spellEnd"/>
      <w:r w:rsidRPr="00293EB2">
        <w:rPr>
          <w:rFonts w:eastAsiaTheme="minorEastAsia"/>
          <w:rtl/>
        </w:rPr>
        <w:t xml:space="preserve"> والسيد </w:t>
      </w:r>
      <w:proofErr w:type="spellStart"/>
      <w:r w:rsidRPr="00293EB2">
        <w:rPr>
          <w:rFonts w:eastAsiaTheme="minorEastAsia"/>
          <w:rtl/>
        </w:rPr>
        <w:t>كفاراتسخيليا</w:t>
      </w:r>
      <w:proofErr w:type="spellEnd"/>
      <w:r w:rsidRPr="00293EB2">
        <w:rPr>
          <w:rFonts w:eastAsiaTheme="minorEastAsia"/>
          <w:rtl/>
        </w:rPr>
        <w:t xml:space="preserve"> في ترافعهم، وتحديداً في التماساتهما الخطية إلى محكمة المقاطعة ومحكمة الاستئناف، إلى وقوع انتهاكات للمادة </w:t>
      </w:r>
      <w:r w:rsidRPr="004869A6">
        <w:rPr>
          <w:rFonts w:eastAsiaTheme="minorEastAsia"/>
          <w:rtl/>
        </w:rPr>
        <w:t>1</w:t>
      </w:r>
      <w:r w:rsidR="005A76D5" w:rsidRPr="004869A6">
        <w:rPr>
          <w:rFonts w:eastAsiaTheme="minorEastAsia"/>
          <w:rtl/>
        </w:rPr>
        <w:t>9</w:t>
      </w:r>
      <w:r w:rsidR="005A76D5" w:rsidRPr="005A76D5">
        <w:rPr>
          <w:rFonts w:eastAsiaTheme="minorEastAsia"/>
          <w:rtl/>
        </w:rPr>
        <w:t>.</w:t>
      </w:r>
    </w:p>
    <w:p w14:paraId="05944F9D" w14:textId="5B224190" w:rsidR="00C06137" w:rsidRPr="00293EB2" w:rsidRDefault="00C06137" w:rsidP="00293EB2">
      <w:pPr>
        <w:pStyle w:val="SingleTxtGA"/>
        <w:rPr>
          <w:rFonts w:eastAsiaTheme="minorEastAsia"/>
          <w:rtl/>
        </w:rPr>
      </w:pPr>
      <w:r w:rsidRPr="004869A6">
        <w:rPr>
          <w:rFonts w:eastAsiaTheme="minorEastAsia"/>
          <w:rtl/>
        </w:rPr>
        <w:t>5</w:t>
      </w:r>
      <w:r w:rsidRPr="00293EB2">
        <w:rPr>
          <w:rFonts w:eastAsiaTheme="minorEastAsia"/>
          <w:rtl/>
        </w:rPr>
        <w:t>-</w:t>
      </w:r>
      <w:r w:rsidRPr="004869A6">
        <w:rPr>
          <w:rFonts w:eastAsiaTheme="minorEastAsia"/>
          <w:rtl/>
        </w:rPr>
        <w:t>5</w:t>
      </w:r>
      <w:r w:rsidRPr="00293EB2">
        <w:rPr>
          <w:rFonts w:eastAsiaTheme="minorEastAsia"/>
          <w:rtl/>
        </w:rPr>
        <w:tab/>
        <w:t xml:space="preserve">وفيما يتعلق بادعاءات بموجب المادتين </w:t>
      </w:r>
      <w:r w:rsidRPr="004869A6">
        <w:rPr>
          <w:rFonts w:eastAsiaTheme="minorEastAsia"/>
          <w:rtl/>
        </w:rPr>
        <w:t>26</w:t>
      </w:r>
      <w:r w:rsidRPr="00293EB2">
        <w:rPr>
          <w:rFonts w:eastAsiaTheme="minorEastAsia"/>
          <w:rtl/>
        </w:rPr>
        <w:t xml:space="preserve"> و</w:t>
      </w:r>
      <w:r w:rsidRPr="004869A6">
        <w:rPr>
          <w:rFonts w:eastAsiaTheme="minorEastAsia"/>
          <w:rtl/>
        </w:rPr>
        <w:t>27</w:t>
      </w:r>
      <w:r w:rsidRPr="00293EB2">
        <w:rPr>
          <w:rFonts w:eastAsiaTheme="minorEastAsia"/>
          <w:rtl/>
        </w:rPr>
        <w:t>، يقول أصحاب البلاغ إنه بينما كانوا محتجزين في مخفر الشرطة، أدلى عناصر من الشرطة بتعليقات تبرهن على تعصب ديني وسألوهم بالتحديد عن معتقداتهم الدينية. ويقول أصحاب البلاغ كذلك إن حجة الدولة الطرف بأن هناك عدد</w:t>
      </w:r>
      <w:r w:rsidR="00391D83">
        <w:rPr>
          <w:rFonts w:eastAsiaTheme="minorEastAsia"/>
          <w:rtl/>
        </w:rPr>
        <w:t xml:space="preserve">اً </w:t>
      </w:r>
      <w:r w:rsidRPr="00293EB2">
        <w:rPr>
          <w:rFonts w:eastAsiaTheme="minorEastAsia"/>
          <w:rtl/>
        </w:rPr>
        <w:t>من القضايا المعروضة على هيئات دولية أخرى تتعلق بالتدخل في الاجتماعات الدينية التي تعقدها طوائف دينية غير شهود يهوه، لا تعني أن الدولة الطرف لا تميز في حقهم. وهم يرون أن الدولة الطرف قد تجاهلت دافع التمييز وراء تصرفات الشرطة وأنها تقر بوجود التعصب الديني فيما أدلت به من أقوال حين لاحظت أن الدعوى الإدارية المرفوعة على أصحاب البلاغ تتعلق بمشاركتهم في اجتماع ديني.</w:t>
      </w:r>
    </w:p>
    <w:p w14:paraId="25BEEC9D" w14:textId="77777777" w:rsidR="00C06137" w:rsidRPr="00293EB2" w:rsidRDefault="00C06137" w:rsidP="00293EB2">
      <w:pPr>
        <w:pStyle w:val="SingleTxtGA"/>
        <w:rPr>
          <w:rFonts w:eastAsiaTheme="minorEastAsia"/>
          <w:rtl/>
        </w:rPr>
      </w:pPr>
      <w:r w:rsidRPr="004869A6">
        <w:rPr>
          <w:rFonts w:eastAsiaTheme="minorEastAsia"/>
          <w:rtl/>
        </w:rPr>
        <w:t>5</w:t>
      </w:r>
      <w:r w:rsidRPr="00293EB2">
        <w:rPr>
          <w:rFonts w:eastAsiaTheme="minorEastAsia"/>
          <w:rtl/>
        </w:rPr>
        <w:t>-</w:t>
      </w:r>
      <w:r w:rsidRPr="004869A6">
        <w:rPr>
          <w:rFonts w:eastAsiaTheme="minorEastAsia"/>
          <w:rtl/>
        </w:rPr>
        <w:t>6</w:t>
      </w:r>
      <w:r w:rsidRPr="00293EB2">
        <w:rPr>
          <w:rFonts w:eastAsiaTheme="minorEastAsia"/>
          <w:rtl/>
        </w:rPr>
        <w:tab/>
        <w:t xml:space="preserve">أما فيما يتعلق بالقول إن جميع أصحاب البلاغ، ما عدا السيد </w:t>
      </w:r>
      <w:proofErr w:type="spellStart"/>
      <w:r w:rsidRPr="00293EB2">
        <w:rPr>
          <w:rFonts w:eastAsiaTheme="minorEastAsia"/>
          <w:rtl/>
        </w:rPr>
        <w:t>كفاراتسخيليا</w:t>
      </w:r>
      <w:proofErr w:type="spellEnd"/>
      <w:r w:rsidRPr="00293EB2">
        <w:rPr>
          <w:rFonts w:eastAsiaTheme="minorEastAsia"/>
          <w:rtl/>
        </w:rPr>
        <w:t>، لم يتلقوا سوى إنذارات، فيقول أصحاب البلاغ إن حقوقهم بموجب العهد انتُهكت مع ذلك بموجب كل مادة من مواد العهد المعتد بها لأنهم احتُجزوا وتعرضوا للمضايقة وتم قطع عبادتهم الدينية السلمية بصورة غير قانونية.</w:t>
      </w:r>
    </w:p>
    <w:p w14:paraId="28880DD1" w14:textId="70D38493" w:rsidR="00C06137" w:rsidRPr="004869A6" w:rsidRDefault="00293EB2" w:rsidP="00293EB2">
      <w:pPr>
        <w:pStyle w:val="H23GA"/>
        <w:rPr>
          <w:rtl/>
        </w:rPr>
      </w:pPr>
      <w:r w:rsidRPr="004869A6">
        <w:rPr>
          <w:rtl/>
        </w:rPr>
        <w:tab/>
      </w:r>
      <w:r w:rsidRPr="004869A6">
        <w:rPr>
          <w:rtl/>
        </w:rPr>
        <w:tab/>
      </w:r>
      <w:r w:rsidR="00C06137" w:rsidRPr="004869A6">
        <w:rPr>
          <w:rtl/>
        </w:rPr>
        <w:t>ملاحظات الدولة الطرف بشأن الأسس الموضوعية</w:t>
      </w:r>
    </w:p>
    <w:p w14:paraId="0686C90C" w14:textId="77777777" w:rsidR="00C06137" w:rsidRPr="00293EB2" w:rsidRDefault="00C06137" w:rsidP="00293EB2">
      <w:pPr>
        <w:pStyle w:val="SingleTxtGA"/>
        <w:rPr>
          <w:rFonts w:eastAsiaTheme="minorEastAsia"/>
          <w:rtl/>
        </w:rPr>
      </w:pPr>
      <w:r w:rsidRPr="004869A6">
        <w:rPr>
          <w:rFonts w:eastAsiaTheme="minorEastAsia"/>
          <w:rtl/>
        </w:rPr>
        <w:t>6</w:t>
      </w:r>
      <w:r w:rsidRPr="00293EB2">
        <w:rPr>
          <w:rFonts w:eastAsiaTheme="minorEastAsia"/>
          <w:rtl/>
        </w:rPr>
        <w:t>-</w:t>
      </w:r>
      <w:r w:rsidRPr="004869A6">
        <w:rPr>
          <w:rFonts w:eastAsiaTheme="minorEastAsia"/>
          <w:rtl/>
        </w:rPr>
        <w:t>1</w:t>
      </w:r>
      <w:r w:rsidRPr="00293EB2">
        <w:rPr>
          <w:rFonts w:eastAsiaTheme="minorEastAsia"/>
          <w:rtl/>
        </w:rPr>
        <w:tab/>
        <w:t xml:space="preserve">في مذكرة شفوية مؤرخة </w:t>
      </w:r>
      <w:r w:rsidRPr="004869A6">
        <w:rPr>
          <w:rFonts w:eastAsiaTheme="minorEastAsia"/>
          <w:rtl/>
        </w:rPr>
        <w:t>13</w:t>
      </w:r>
      <w:r w:rsidRPr="00293EB2">
        <w:rPr>
          <w:rFonts w:eastAsiaTheme="minorEastAsia"/>
          <w:rtl/>
        </w:rPr>
        <w:t xml:space="preserve"> أيلول/سبتمبر </w:t>
      </w:r>
      <w:r w:rsidRPr="004869A6">
        <w:rPr>
          <w:rFonts w:eastAsiaTheme="minorEastAsia"/>
          <w:rtl/>
        </w:rPr>
        <w:t>2018</w:t>
      </w:r>
      <w:r w:rsidRPr="00293EB2">
        <w:rPr>
          <w:rFonts w:eastAsiaTheme="minorEastAsia"/>
          <w:rtl/>
        </w:rPr>
        <w:t xml:space="preserve">، قدمت الدولة الطرف ملاحظاتها بشأن الأسس الموضوعية. فقدمت معلومات أساسية عامة بشأن حالة حرية الدين وبيانات إحصائية وتشريعات محلية ذات صلة. </w:t>
      </w:r>
    </w:p>
    <w:p w14:paraId="7BDB74B9" w14:textId="77777777" w:rsidR="00C06137" w:rsidRPr="00293EB2" w:rsidRDefault="00C06137" w:rsidP="00293EB2">
      <w:pPr>
        <w:pStyle w:val="SingleTxtGA"/>
        <w:rPr>
          <w:rFonts w:eastAsiaTheme="minorEastAsia"/>
          <w:rtl/>
        </w:rPr>
      </w:pPr>
      <w:r w:rsidRPr="004869A6">
        <w:rPr>
          <w:rFonts w:eastAsiaTheme="minorEastAsia"/>
          <w:rtl/>
        </w:rPr>
        <w:t>6</w:t>
      </w:r>
      <w:r w:rsidRPr="00293EB2">
        <w:rPr>
          <w:rFonts w:eastAsiaTheme="minorEastAsia"/>
          <w:rtl/>
        </w:rPr>
        <w:t>-</w:t>
      </w:r>
      <w:r w:rsidRPr="004869A6">
        <w:rPr>
          <w:rFonts w:eastAsiaTheme="minorEastAsia"/>
          <w:rtl/>
        </w:rPr>
        <w:t>2</w:t>
      </w:r>
      <w:r w:rsidRPr="00293EB2">
        <w:rPr>
          <w:rFonts w:eastAsiaTheme="minorEastAsia"/>
          <w:rtl/>
        </w:rPr>
        <w:tab/>
        <w:t xml:space="preserve">وفيما يتعلق بالانتهاك المدعى لحقوق أصحاب البلاغ بموجب المادة </w:t>
      </w:r>
      <w:r w:rsidRPr="004869A6">
        <w:rPr>
          <w:rFonts w:eastAsiaTheme="minorEastAsia"/>
          <w:rtl/>
        </w:rPr>
        <w:t>9</w:t>
      </w:r>
      <w:r w:rsidRPr="00293EB2">
        <w:rPr>
          <w:rFonts w:eastAsiaTheme="minorEastAsia"/>
          <w:rtl/>
        </w:rPr>
        <w:t xml:space="preserve"> من العهد، تقول الدولة الطرف إن أصحاب البلاغ دُعوا إلى مخفر الشرطة لتقديم توضيحات. وتعترف الدولة الطرف بأنهم حُرموا لمدة وجيزة من حريتهم وأطلق سراحهم بعد سويعات. وتحتج الدولة الطرف بالقول إن الحرمان من الحرية لم يكن تعسفياً. وهي تحتج بأن مدة الاحتجاز نتجت عن وجود عدد كبير من الأشخاص الذين طُلب منهم تقديم توضيحات. </w:t>
      </w:r>
    </w:p>
    <w:p w14:paraId="2D19D338" w14:textId="6337C905" w:rsidR="00C06137" w:rsidRPr="00293EB2" w:rsidRDefault="00C06137" w:rsidP="00293EB2">
      <w:pPr>
        <w:pStyle w:val="SingleTxtGA"/>
        <w:rPr>
          <w:rFonts w:eastAsiaTheme="minorEastAsia"/>
          <w:rtl/>
        </w:rPr>
      </w:pPr>
      <w:r w:rsidRPr="004869A6">
        <w:rPr>
          <w:rFonts w:eastAsiaTheme="minorEastAsia"/>
          <w:rtl/>
        </w:rPr>
        <w:t>6</w:t>
      </w:r>
      <w:r w:rsidRPr="00293EB2">
        <w:rPr>
          <w:rFonts w:eastAsiaTheme="minorEastAsia"/>
          <w:rtl/>
        </w:rPr>
        <w:t>-</w:t>
      </w:r>
      <w:r w:rsidRPr="004869A6">
        <w:rPr>
          <w:rFonts w:eastAsiaTheme="minorEastAsia"/>
          <w:rtl/>
        </w:rPr>
        <w:t>3</w:t>
      </w:r>
      <w:r w:rsidRPr="00293EB2">
        <w:rPr>
          <w:rFonts w:eastAsiaTheme="minorEastAsia"/>
          <w:rtl/>
        </w:rPr>
        <w:tab/>
        <w:t xml:space="preserve">وتعترف الدولة الطرف بأن تفتيش منزل السيد </w:t>
      </w:r>
      <w:proofErr w:type="spellStart"/>
      <w:r w:rsidRPr="00293EB2">
        <w:rPr>
          <w:rFonts w:eastAsiaTheme="minorEastAsia"/>
          <w:rtl/>
        </w:rPr>
        <w:t>مورسالوف</w:t>
      </w:r>
      <w:proofErr w:type="spellEnd"/>
      <w:r w:rsidRPr="00293EB2">
        <w:rPr>
          <w:rFonts w:eastAsiaTheme="minorEastAsia"/>
          <w:rtl/>
        </w:rPr>
        <w:t xml:space="preserve"> والسيد </w:t>
      </w:r>
      <w:proofErr w:type="spellStart"/>
      <w:r w:rsidRPr="00293EB2">
        <w:rPr>
          <w:rFonts w:eastAsiaTheme="minorEastAsia"/>
          <w:rtl/>
        </w:rPr>
        <w:t>كفاراتسخيليا</w:t>
      </w:r>
      <w:proofErr w:type="spellEnd"/>
      <w:r w:rsidRPr="00293EB2">
        <w:rPr>
          <w:rFonts w:eastAsiaTheme="minorEastAsia"/>
          <w:rtl/>
        </w:rPr>
        <w:t xml:space="preserve"> يعادل تدخلاً في حقوقهما بموجب المادة </w:t>
      </w:r>
      <w:r w:rsidRPr="004869A6">
        <w:rPr>
          <w:rFonts w:eastAsiaTheme="minorEastAsia"/>
          <w:rtl/>
        </w:rPr>
        <w:t>17</w:t>
      </w:r>
      <w:r w:rsidRPr="00293EB2">
        <w:rPr>
          <w:rFonts w:eastAsiaTheme="minorEastAsia"/>
          <w:rtl/>
        </w:rPr>
        <w:t xml:space="preserve"> من العهد، ولكنها تحتج بالقول إن الشقة المعنية ليست بيتهما. وهي تقول إن صاحبي البلاغ لم يبرهنا على أن الشقة التي كانا يعيشان فيها تشكل بيتهما بالمعنى المقصود في المادة</w:t>
      </w:r>
      <w:r w:rsidR="00293EB2">
        <w:rPr>
          <w:rFonts w:eastAsiaTheme="minorEastAsia" w:hint="cs"/>
          <w:rtl/>
        </w:rPr>
        <w:t> </w:t>
      </w:r>
      <w:r w:rsidRPr="004869A6">
        <w:rPr>
          <w:rFonts w:eastAsiaTheme="minorEastAsia"/>
          <w:rtl/>
        </w:rPr>
        <w:t>17</w:t>
      </w:r>
      <w:r w:rsidRPr="00293EB2">
        <w:rPr>
          <w:rFonts w:eastAsiaTheme="minorEastAsia"/>
          <w:rtl/>
        </w:rPr>
        <w:t xml:space="preserve"> من العهد. وتقول الدولة الطرف إنه كان على أصحاب البلاغ أن يقدموا أدلة على أن لديهم روابط منذ مدة طويلة بمكان إقامتهم أو أنهما استأجرا الشقة أو تشاركا في إيجارها مع أشخاص آخرين بصورة قانونية. وهي ترفض اعتبار الشقة المذكورة هي بيت السيد </w:t>
      </w:r>
      <w:proofErr w:type="spellStart"/>
      <w:r w:rsidRPr="00293EB2">
        <w:rPr>
          <w:rFonts w:eastAsiaTheme="minorEastAsia"/>
          <w:rtl/>
        </w:rPr>
        <w:t>مورسالوف</w:t>
      </w:r>
      <w:proofErr w:type="spellEnd"/>
      <w:r w:rsidRPr="00293EB2">
        <w:rPr>
          <w:rFonts w:eastAsiaTheme="minorEastAsia"/>
          <w:rtl/>
        </w:rPr>
        <w:t xml:space="preserve"> وتؤكد أن السيد </w:t>
      </w:r>
      <w:proofErr w:type="spellStart"/>
      <w:r w:rsidRPr="00293EB2">
        <w:rPr>
          <w:rFonts w:eastAsiaTheme="minorEastAsia"/>
          <w:rtl/>
        </w:rPr>
        <w:t>مورسالوف</w:t>
      </w:r>
      <w:proofErr w:type="spellEnd"/>
      <w:r w:rsidRPr="00293EB2">
        <w:rPr>
          <w:rFonts w:eastAsiaTheme="minorEastAsia"/>
          <w:rtl/>
        </w:rPr>
        <w:t xml:space="preserve"> والسيد </w:t>
      </w:r>
      <w:proofErr w:type="spellStart"/>
      <w:r w:rsidRPr="00293EB2">
        <w:rPr>
          <w:rFonts w:eastAsiaTheme="minorEastAsia"/>
          <w:rtl/>
        </w:rPr>
        <w:t>كفاراتسخيليا</w:t>
      </w:r>
      <w:proofErr w:type="spellEnd"/>
      <w:r w:rsidRPr="00293EB2">
        <w:rPr>
          <w:rFonts w:eastAsiaTheme="minorEastAsia"/>
          <w:rtl/>
        </w:rPr>
        <w:t xml:space="preserve"> لم يقدما أي أدلة على أن الشقة التي فتشتها الشرطة هي بيتهما.</w:t>
      </w:r>
    </w:p>
    <w:p w14:paraId="52C8E87B" w14:textId="77777777" w:rsidR="00C06137" w:rsidRPr="00293EB2" w:rsidRDefault="00C06137" w:rsidP="00293EB2">
      <w:pPr>
        <w:pStyle w:val="SingleTxtGA"/>
        <w:rPr>
          <w:rFonts w:eastAsiaTheme="minorEastAsia"/>
          <w:rtl/>
        </w:rPr>
      </w:pPr>
      <w:r w:rsidRPr="004869A6">
        <w:rPr>
          <w:rFonts w:eastAsiaTheme="minorEastAsia"/>
          <w:rtl/>
        </w:rPr>
        <w:t>6</w:t>
      </w:r>
      <w:r w:rsidRPr="00293EB2">
        <w:rPr>
          <w:rFonts w:eastAsiaTheme="minorEastAsia"/>
          <w:rtl/>
        </w:rPr>
        <w:t>-</w:t>
      </w:r>
      <w:r w:rsidRPr="004869A6">
        <w:rPr>
          <w:rFonts w:eastAsiaTheme="minorEastAsia"/>
          <w:rtl/>
        </w:rPr>
        <w:t>4</w:t>
      </w:r>
      <w:r w:rsidRPr="00293EB2">
        <w:rPr>
          <w:rFonts w:eastAsiaTheme="minorEastAsia"/>
          <w:rtl/>
        </w:rPr>
        <w:tab/>
        <w:t xml:space="preserve">وتقول الدولة الطرف إن التفتيش جرى طبقاً للمواد </w:t>
      </w:r>
      <w:r w:rsidRPr="004869A6">
        <w:rPr>
          <w:rFonts w:eastAsiaTheme="minorEastAsia"/>
          <w:rtl/>
        </w:rPr>
        <w:t>177</w:t>
      </w:r>
      <w:r w:rsidRPr="00293EB2">
        <w:rPr>
          <w:rFonts w:eastAsiaTheme="minorEastAsia"/>
          <w:rtl/>
        </w:rPr>
        <w:t xml:space="preserve"> و</w:t>
      </w:r>
      <w:r w:rsidRPr="004869A6">
        <w:rPr>
          <w:rFonts w:eastAsiaTheme="minorEastAsia"/>
          <w:rtl/>
        </w:rPr>
        <w:t>236</w:t>
      </w:r>
      <w:r w:rsidRPr="00293EB2">
        <w:rPr>
          <w:rFonts w:eastAsiaTheme="minorEastAsia"/>
          <w:rtl/>
        </w:rPr>
        <w:t xml:space="preserve"> و</w:t>
      </w:r>
      <w:r w:rsidRPr="004869A6">
        <w:rPr>
          <w:rFonts w:eastAsiaTheme="minorEastAsia"/>
          <w:rtl/>
        </w:rPr>
        <w:t>242</w:t>
      </w:r>
      <w:r w:rsidRPr="00293EB2">
        <w:rPr>
          <w:rFonts w:eastAsiaTheme="minorEastAsia"/>
          <w:rtl/>
        </w:rPr>
        <w:t xml:space="preserve"> من قانون الإجراءات الجنائية توخياً للسلامة العامة ولأجل منع الإخلال بالنظام. وهي تحتج بالقول إن التفتيش كان ضرورياً لأنه كانت لدى الشرطة شكوك معقولة أن صاحبي البلاغ كانا يقومان بأنشطة غير قانونية. وتضيف الدولة الطرف أن جيران صاحبي البلاغ قالوا إن عدداً كبيراً من الأشخاص كانوا يزورونهما وأنه كانت تحوم حولهما شبهات بأن ما كانا يوزعانه من منشورات يكتسي طبيعة راديكالية، تؤدي إلى التعصب وتبث العداء بين ممثلي مختلف الديانات. </w:t>
      </w:r>
    </w:p>
    <w:p w14:paraId="008B880F" w14:textId="301FBD9A" w:rsidR="00C06137" w:rsidRPr="00293EB2" w:rsidRDefault="00C06137" w:rsidP="00293EB2">
      <w:pPr>
        <w:pStyle w:val="SingleTxtGA"/>
        <w:rPr>
          <w:rFonts w:eastAsiaTheme="minorEastAsia"/>
          <w:rtl/>
        </w:rPr>
      </w:pPr>
      <w:r w:rsidRPr="004869A6">
        <w:rPr>
          <w:rFonts w:eastAsiaTheme="minorEastAsia"/>
          <w:rtl/>
        </w:rPr>
        <w:t>6</w:t>
      </w:r>
      <w:r w:rsidRPr="00293EB2">
        <w:rPr>
          <w:rFonts w:eastAsiaTheme="minorEastAsia"/>
          <w:rtl/>
        </w:rPr>
        <w:t>-</w:t>
      </w:r>
      <w:r w:rsidRPr="004869A6">
        <w:rPr>
          <w:rFonts w:eastAsiaTheme="minorEastAsia"/>
          <w:rtl/>
        </w:rPr>
        <w:t>5</w:t>
      </w:r>
      <w:r w:rsidRPr="00293EB2">
        <w:rPr>
          <w:rFonts w:eastAsiaTheme="minorEastAsia"/>
          <w:rtl/>
        </w:rPr>
        <w:tab/>
        <w:t xml:space="preserve">وفضلاً عن ذلك، تحتج الدولة الطرف بالقول إن التدخل في حقوق أصحاب البلاغ بموجب المادتين </w:t>
      </w:r>
      <w:r w:rsidRPr="004869A6">
        <w:rPr>
          <w:rFonts w:eastAsiaTheme="minorEastAsia"/>
          <w:rtl/>
        </w:rPr>
        <w:t>18</w:t>
      </w:r>
      <w:r w:rsidRPr="00293EB2">
        <w:rPr>
          <w:rFonts w:eastAsiaTheme="minorEastAsia"/>
          <w:rtl/>
        </w:rPr>
        <w:t xml:space="preserve"> و</w:t>
      </w:r>
      <w:r w:rsidRPr="004869A6">
        <w:rPr>
          <w:rFonts w:eastAsiaTheme="minorEastAsia"/>
          <w:rtl/>
        </w:rPr>
        <w:t>19</w:t>
      </w:r>
      <w:r w:rsidRPr="00293EB2">
        <w:rPr>
          <w:rFonts w:eastAsiaTheme="minorEastAsia"/>
          <w:rtl/>
        </w:rPr>
        <w:t xml:space="preserve"> مبرر لأن القانون ينص عليه بموجب </w:t>
      </w:r>
      <w:r w:rsidRPr="004869A6">
        <w:rPr>
          <w:rFonts w:eastAsiaTheme="minorEastAsia"/>
          <w:rtl/>
        </w:rPr>
        <w:t>المادة 1</w:t>
      </w:r>
      <w:r w:rsidR="005D58CF" w:rsidRPr="004869A6">
        <w:rPr>
          <w:rFonts w:eastAsiaTheme="minorEastAsia" w:hint="cs"/>
          <w:rtl/>
        </w:rPr>
        <w:t>2</w:t>
      </w:r>
      <w:r w:rsidRPr="004869A6">
        <w:rPr>
          <w:rFonts w:eastAsiaTheme="minorEastAsia"/>
          <w:rtl/>
        </w:rPr>
        <w:t xml:space="preserve"> من قانون</w:t>
      </w:r>
      <w:r w:rsidRPr="00293EB2">
        <w:rPr>
          <w:rFonts w:eastAsiaTheme="minorEastAsia"/>
          <w:rtl/>
        </w:rPr>
        <w:t xml:space="preserve"> حرية المعتقدات الدينية، قائلةً إن هذا القانون يتوخى غاية مشروعة وضرورية في مجتمع ديمقراطي. وتشير الدولة الطرف إلى أن المادة </w:t>
      </w:r>
      <w:r w:rsidRPr="004869A6">
        <w:rPr>
          <w:rFonts w:eastAsiaTheme="minorEastAsia"/>
          <w:rtl/>
        </w:rPr>
        <w:t>18</w:t>
      </w:r>
      <w:r w:rsidRPr="00293EB2">
        <w:rPr>
          <w:rFonts w:eastAsiaTheme="minorEastAsia"/>
          <w:rtl/>
        </w:rPr>
        <w:t xml:space="preserve"> لا تحمي كل فعل يكون بدافع الدين أو المعتقد أو يُستلهم منهما ولا تكفل على الدوام الحق في التصرف على نحو يمليه الدين أو المعتقدات في الفضاء العام. وهي تشير إلى قضية </w:t>
      </w:r>
      <w:proofErr w:type="spellStart"/>
      <w:r w:rsidRPr="00022A20">
        <w:rPr>
          <w:rFonts w:eastAsiaTheme="minorEastAsia"/>
          <w:i/>
          <w:iCs/>
          <w:rtl/>
        </w:rPr>
        <w:t>كوكيناكيس</w:t>
      </w:r>
      <w:proofErr w:type="spellEnd"/>
      <w:r w:rsidRPr="00022A20">
        <w:rPr>
          <w:rFonts w:eastAsiaTheme="minorEastAsia"/>
          <w:i/>
          <w:iCs/>
          <w:rtl/>
        </w:rPr>
        <w:t xml:space="preserve"> ضد اليونان</w:t>
      </w:r>
      <w:r w:rsidR="005A76D5" w:rsidRPr="004869A6">
        <w:rPr>
          <w:rStyle w:val="FootnoteReference"/>
          <w:rFonts w:eastAsiaTheme="minorEastAsia" w:cs="Simplified Arabic"/>
          <w:sz w:val="22"/>
          <w:szCs w:val="22"/>
          <w:rtl/>
        </w:rPr>
        <w:t>(</w:t>
      </w:r>
      <w:r w:rsidR="005A76D5" w:rsidRPr="00FD3408">
        <w:rPr>
          <w:rStyle w:val="FootnoteReference"/>
          <w:rFonts w:eastAsiaTheme="minorEastAsia" w:cs="Simplified Arabic"/>
          <w:b w:val="0"/>
          <w:bCs/>
          <w:sz w:val="22"/>
          <w:szCs w:val="22"/>
          <w:lang w:val="en-US"/>
        </w:rPr>
        <w:footnoteReference w:id="3"/>
      </w:r>
      <w:r w:rsidRPr="00293EB2">
        <w:rPr>
          <w:rFonts w:eastAsiaTheme="minorEastAsia"/>
          <w:vertAlign w:val="superscript"/>
          <w:rtl/>
        </w:rPr>
        <w:t>)</w:t>
      </w:r>
      <w:r w:rsidRPr="00293EB2">
        <w:rPr>
          <w:rFonts w:eastAsiaTheme="minorEastAsia"/>
          <w:rtl/>
        </w:rPr>
        <w:t xml:space="preserve"> لدى المحكمة الأوروبية لحقوق الإنسان، محتجة بالقول إنه قد يكون ضرورياً في المجتمعات الديمقراطية، حيث تتعايش عدة ديانات ضمن نفس المجموعة السكانية، تحديد قيود على الحرية في التعبير عن الدين أو المعتقدات لأجل التوفيق بين مصالح مختلف المجموعات لأجل تأكيد دور الدولة باعتبارها المنظم المحايد والنزيه لممارسة مختلف الديانات والملل والعقائد. وتقول الدولة الطرف إنه ينبغي السماح لها بهامش واسع من التقدير، مؤكدة أن هذا ضروري بسبب التطورات السياسية القريبة من أذربيجان جغرافياً. وعليه، تدعي الدولة الطرف أن عدم الاستقرار في الدول المجاورة يشكل سبباً مشروعاً لوضع القيود المنصوص عليها في القانون المتعلق بحرية المعتقدات الدينية خشية وقوع اضطراب سياسي </w:t>
      </w:r>
      <w:r w:rsidR="000E0846">
        <w:rPr>
          <w:rFonts w:eastAsiaTheme="minorEastAsia" w:hint="cs"/>
          <w:rtl/>
        </w:rPr>
        <w:t xml:space="preserve">ولأجل </w:t>
      </w:r>
      <w:r w:rsidRPr="00293EB2">
        <w:rPr>
          <w:rFonts w:eastAsiaTheme="minorEastAsia"/>
          <w:rtl/>
        </w:rPr>
        <w:t xml:space="preserve">منع الانقلابات على الحكومة والتدخلات العسكرية. وهي تتمسك بالقول إنها تطبق تدابير أكثر صرامة في مجال حرية الدين وحرية التعبير لأجل حماية النظام العام. وتطلب إلى اللجنة أن تعتمد الرأي القائل إنها، من حيث المبدأ، في موقع أفضل من محكمة دولية يؤهلها لتقييم الاحتياجات والظروف المحلية. وهي تقول إن كل ما كان على أصحاب البلاغ فعله هو التسجيل ومن ثم ممارسة العبادة. </w:t>
      </w:r>
    </w:p>
    <w:p w14:paraId="03EF64F8" w14:textId="705FFBD1" w:rsidR="00C06137" w:rsidRPr="00293EB2" w:rsidRDefault="00C06137" w:rsidP="00293EB2">
      <w:pPr>
        <w:pStyle w:val="SingleTxtGA"/>
        <w:rPr>
          <w:rFonts w:eastAsiaTheme="minorEastAsia"/>
          <w:rtl/>
        </w:rPr>
      </w:pPr>
      <w:r w:rsidRPr="004869A6">
        <w:rPr>
          <w:rFonts w:eastAsiaTheme="minorEastAsia"/>
          <w:rtl/>
        </w:rPr>
        <w:t>6</w:t>
      </w:r>
      <w:r w:rsidRPr="00293EB2">
        <w:rPr>
          <w:rFonts w:eastAsiaTheme="minorEastAsia"/>
          <w:rtl/>
        </w:rPr>
        <w:t>-</w:t>
      </w:r>
      <w:r w:rsidRPr="004869A6">
        <w:rPr>
          <w:rFonts w:eastAsiaTheme="minorEastAsia"/>
          <w:rtl/>
        </w:rPr>
        <w:t>6</w:t>
      </w:r>
      <w:r w:rsidRPr="00293EB2">
        <w:rPr>
          <w:rFonts w:eastAsiaTheme="minorEastAsia"/>
          <w:rtl/>
        </w:rPr>
        <w:tab/>
        <w:t xml:space="preserve">وفيما يتعلق بطرد السيد </w:t>
      </w:r>
      <w:proofErr w:type="spellStart"/>
      <w:r w:rsidRPr="00293EB2">
        <w:rPr>
          <w:rFonts w:eastAsiaTheme="minorEastAsia"/>
          <w:rtl/>
        </w:rPr>
        <w:t>كفاراتسخيليا</w:t>
      </w:r>
      <w:proofErr w:type="spellEnd"/>
      <w:r w:rsidRPr="00293EB2">
        <w:rPr>
          <w:rFonts w:eastAsiaTheme="minorEastAsia"/>
          <w:rtl/>
        </w:rPr>
        <w:t>، تحيل الدولة الطرف إلى السوابق القضائية وتقول إن طرد الأجانب لا يكون مبرراً إلا لأجل الدفاع عن البلد من خطر ما، حقيقياً كان أم متوقعا</w:t>
      </w:r>
      <w:r w:rsidR="00EA5F1C">
        <w:rPr>
          <w:rFonts w:eastAsiaTheme="minorEastAsia" w:hint="cs"/>
          <w:rtl/>
        </w:rPr>
        <w:t>ً</w:t>
      </w:r>
      <w:r w:rsidRPr="00293EB2">
        <w:rPr>
          <w:rFonts w:eastAsiaTheme="minorEastAsia"/>
          <w:rtl/>
        </w:rPr>
        <w:t xml:space="preserve">، بغرض الحفاظ على النظام العام أو إذا كان الشخص يشكل خطراً بالنسبة لرفاه البلد. وهي تؤكد أن السيد </w:t>
      </w:r>
      <w:proofErr w:type="spellStart"/>
      <w:r w:rsidRPr="00293EB2">
        <w:rPr>
          <w:rFonts w:eastAsiaTheme="minorEastAsia"/>
          <w:rtl/>
        </w:rPr>
        <w:t>كفاراتسخيليا</w:t>
      </w:r>
      <w:proofErr w:type="spellEnd"/>
      <w:r w:rsidRPr="00293EB2">
        <w:rPr>
          <w:rFonts w:eastAsiaTheme="minorEastAsia"/>
          <w:rtl/>
        </w:rPr>
        <w:t xml:space="preserve"> أُبعد من البلد بسبب إخلاله بالمادة</w:t>
      </w:r>
      <w:r w:rsidR="005D58CF">
        <w:rPr>
          <w:rFonts w:eastAsiaTheme="minorEastAsia" w:hint="cs"/>
          <w:rtl/>
        </w:rPr>
        <w:t xml:space="preserve"> </w:t>
      </w:r>
      <w:r w:rsidR="005D58CF" w:rsidRPr="004869A6">
        <w:rPr>
          <w:rFonts w:eastAsiaTheme="minorEastAsia" w:hint="cs"/>
          <w:rtl/>
        </w:rPr>
        <w:t>300-0-4</w:t>
      </w:r>
      <w:r w:rsidRPr="00293EB2">
        <w:rPr>
          <w:rFonts w:eastAsiaTheme="minorEastAsia"/>
          <w:rtl/>
        </w:rPr>
        <w:t xml:space="preserve"> من قانون المخالفات الإدارية الذي يحظر على الأجانب نشر </w:t>
      </w:r>
      <w:proofErr w:type="spellStart"/>
      <w:r w:rsidRPr="00293EB2">
        <w:rPr>
          <w:rFonts w:eastAsiaTheme="minorEastAsia"/>
          <w:rtl/>
        </w:rPr>
        <w:t>بروباغندا</w:t>
      </w:r>
      <w:proofErr w:type="spellEnd"/>
      <w:r w:rsidRPr="00293EB2">
        <w:rPr>
          <w:rFonts w:eastAsiaTheme="minorEastAsia"/>
          <w:rtl/>
        </w:rPr>
        <w:t xml:space="preserve"> دينية، وأن المادة ذات الصلة كانت متاحة ومصاغة بدقة كافية كان يمكن معها للسيد</w:t>
      </w:r>
      <w:r w:rsidR="00391D83">
        <w:rPr>
          <w:rFonts w:eastAsiaTheme="minorEastAsia" w:hint="cs"/>
          <w:rtl/>
        </w:rPr>
        <w:t> </w:t>
      </w:r>
      <w:proofErr w:type="spellStart"/>
      <w:r w:rsidRPr="00293EB2">
        <w:rPr>
          <w:rFonts w:eastAsiaTheme="minorEastAsia"/>
          <w:rtl/>
        </w:rPr>
        <w:t>كفاراتسخيليا</w:t>
      </w:r>
      <w:proofErr w:type="spellEnd"/>
      <w:r w:rsidRPr="00293EB2">
        <w:rPr>
          <w:rFonts w:eastAsiaTheme="minorEastAsia"/>
          <w:rtl/>
        </w:rPr>
        <w:t xml:space="preserve"> أن يتوقع عواقب أفعاله. </w:t>
      </w:r>
    </w:p>
    <w:p w14:paraId="12013672" w14:textId="72A1E238" w:rsidR="00C06137" w:rsidRPr="00293EB2" w:rsidRDefault="00C06137" w:rsidP="00293EB2">
      <w:pPr>
        <w:pStyle w:val="SingleTxtGA"/>
        <w:rPr>
          <w:rFonts w:eastAsiaTheme="minorEastAsia"/>
          <w:rtl/>
        </w:rPr>
      </w:pPr>
      <w:r w:rsidRPr="004869A6">
        <w:rPr>
          <w:rFonts w:eastAsiaTheme="minorEastAsia"/>
          <w:rtl/>
        </w:rPr>
        <w:t>6</w:t>
      </w:r>
      <w:r w:rsidRPr="00293EB2">
        <w:rPr>
          <w:rFonts w:eastAsiaTheme="minorEastAsia"/>
          <w:rtl/>
        </w:rPr>
        <w:t>-</w:t>
      </w:r>
      <w:r w:rsidRPr="004869A6">
        <w:rPr>
          <w:rFonts w:eastAsiaTheme="minorEastAsia"/>
          <w:rtl/>
        </w:rPr>
        <w:t>7</w:t>
      </w:r>
      <w:r w:rsidRPr="00293EB2">
        <w:rPr>
          <w:rFonts w:eastAsiaTheme="minorEastAsia"/>
          <w:rtl/>
        </w:rPr>
        <w:tab/>
        <w:t xml:space="preserve">وتقول الدولة الطرف إن القيود التي وضعتها على نشر </w:t>
      </w:r>
      <w:proofErr w:type="spellStart"/>
      <w:r w:rsidRPr="00293EB2">
        <w:rPr>
          <w:rFonts w:eastAsiaTheme="minorEastAsia"/>
          <w:rtl/>
        </w:rPr>
        <w:t>البروباغندا</w:t>
      </w:r>
      <w:proofErr w:type="spellEnd"/>
      <w:r w:rsidRPr="00293EB2">
        <w:rPr>
          <w:rFonts w:eastAsiaTheme="minorEastAsia"/>
          <w:rtl/>
        </w:rPr>
        <w:t xml:space="preserve"> الدينية من قِبل أجانب قد سُنت تصدياً للعديد من المحاولات التي قامت بها حركات دينية راديكالية لنشر آرائها بين السكان. وهي تحيل إلى عدد كبير من حالات الاعتداءات العنيفة في أماكن العبادة نفذها ممثلون لحركات دينية غير تقليدية في أذربيجان أو نفذها أذريون انضموا إلى منظمات إرهابية دينية في الخارج. وهي تقول إن السيد </w:t>
      </w:r>
      <w:proofErr w:type="spellStart"/>
      <w:r w:rsidRPr="00293EB2">
        <w:rPr>
          <w:rFonts w:eastAsiaTheme="minorEastAsia"/>
          <w:rtl/>
        </w:rPr>
        <w:t>كفاراتسخيليا</w:t>
      </w:r>
      <w:proofErr w:type="spellEnd"/>
      <w:r w:rsidRPr="00293EB2">
        <w:rPr>
          <w:rFonts w:eastAsiaTheme="minorEastAsia"/>
          <w:rtl/>
        </w:rPr>
        <w:t xml:space="preserve"> طُرد من البلد لأنه حضر اجتماعاً لنشر آرائه الدينية في انتهاك لقانون أذربيجان، وتؤكد أنه منح الضمانات الإجرائية في جميع مراحل عملية إبعاده. </w:t>
      </w:r>
    </w:p>
    <w:p w14:paraId="539262CD" w14:textId="65CBB481" w:rsidR="00C06137" w:rsidRPr="00293EB2" w:rsidRDefault="00C06137" w:rsidP="00293EB2">
      <w:pPr>
        <w:pStyle w:val="SingleTxtGA"/>
        <w:rPr>
          <w:rFonts w:eastAsiaTheme="minorEastAsia"/>
          <w:rtl/>
        </w:rPr>
      </w:pPr>
      <w:r w:rsidRPr="004869A6">
        <w:rPr>
          <w:rFonts w:eastAsiaTheme="minorEastAsia"/>
          <w:rtl/>
        </w:rPr>
        <w:t>6</w:t>
      </w:r>
      <w:r w:rsidRPr="00293EB2">
        <w:rPr>
          <w:rFonts w:eastAsiaTheme="minorEastAsia"/>
          <w:rtl/>
        </w:rPr>
        <w:t>-</w:t>
      </w:r>
      <w:r w:rsidRPr="004869A6">
        <w:rPr>
          <w:rFonts w:eastAsiaTheme="minorEastAsia"/>
          <w:rtl/>
        </w:rPr>
        <w:t>8</w:t>
      </w:r>
      <w:r w:rsidRPr="00293EB2">
        <w:rPr>
          <w:rFonts w:eastAsiaTheme="minorEastAsia"/>
          <w:rtl/>
        </w:rPr>
        <w:tab/>
        <w:t xml:space="preserve">وتوضح الدولة الطرف أن المادة </w:t>
      </w:r>
      <w:r w:rsidRPr="004869A6">
        <w:rPr>
          <w:rFonts w:eastAsiaTheme="minorEastAsia"/>
          <w:rtl/>
        </w:rPr>
        <w:t>130</w:t>
      </w:r>
      <w:r w:rsidRPr="00293EB2">
        <w:rPr>
          <w:rFonts w:eastAsiaTheme="minorEastAsia"/>
          <w:rtl/>
        </w:rPr>
        <w:t>-</w:t>
      </w:r>
      <w:r w:rsidRPr="004869A6">
        <w:rPr>
          <w:rFonts w:eastAsiaTheme="minorEastAsia"/>
          <w:rtl/>
        </w:rPr>
        <w:t>1</w:t>
      </w:r>
      <w:r w:rsidRPr="00293EB2">
        <w:rPr>
          <w:rFonts w:eastAsiaTheme="minorEastAsia"/>
          <w:rtl/>
        </w:rPr>
        <w:t xml:space="preserve"> من قانون المخالفات الإدارية تجيز تقديم شكوى للاعتراض على قرار صادر في إطار قضية تتعلق بمخالفة إدارية في غضون </w:t>
      </w:r>
      <w:r w:rsidRPr="004869A6">
        <w:rPr>
          <w:rFonts w:eastAsiaTheme="minorEastAsia"/>
          <w:rtl/>
        </w:rPr>
        <w:t>عشرة أيام</w:t>
      </w:r>
      <w:r w:rsidRPr="00293EB2">
        <w:rPr>
          <w:rFonts w:eastAsiaTheme="minorEastAsia"/>
          <w:rtl/>
        </w:rPr>
        <w:t xml:space="preserve"> من تاريخ تبليغ الشخص المعني بنسخة منها بصورة رسمية، وفق ما تنص عليه المادة </w:t>
      </w:r>
      <w:r w:rsidRPr="004869A6">
        <w:rPr>
          <w:rFonts w:eastAsiaTheme="minorEastAsia"/>
          <w:rtl/>
        </w:rPr>
        <w:t>57</w:t>
      </w:r>
      <w:r w:rsidRPr="00293EB2">
        <w:rPr>
          <w:rFonts w:eastAsiaTheme="minorEastAsia"/>
          <w:rtl/>
        </w:rPr>
        <w:t xml:space="preserve"> من القانون المذكور. وهي تجادل بالقول إن السيد </w:t>
      </w:r>
      <w:proofErr w:type="spellStart"/>
      <w:r w:rsidRPr="00293EB2">
        <w:rPr>
          <w:rFonts w:eastAsiaTheme="minorEastAsia"/>
          <w:rtl/>
        </w:rPr>
        <w:t>كفاراتسخيليا</w:t>
      </w:r>
      <w:proofErr w:type="spellEnd"/>
      <w:r w:rsidRPr="00293EB2">
        <w:rPr>
          <w:rFonts w:eastAsiaTheme="minorEastAsia"/>
          <w:rtl/>
        </w:rPr>
        <w:t xml:space="preserve"> قد تسلّم على النحو الواجب قرار المحكمة في </w:t>
      </w:r>
      <w:r w:rsidRPr="004869A6">
        <w:rPr>
          <w:rFonts w:eastAsiaTheme="minorEastAsia"/>
          <w:rtl/>
        </w:rPr>
        <w:t>6</w:t>
      </w:r>
      <w:r w:rsidRPr="00293EB2">
        <w:rPr>
          <w:rFonts w:eastAsiaTheme="minorEastAsia"/>
          <w:rtl/>
        </w:rPr>
        <w:t xml:space="preserve"> تموز/يوليه </w:t>
      </w:r>
      <w:r w:rsidRPr="004869A6">
        <w:rPr>
          <w:rFonts w:eastAsiaTheme="minorEastAsia"/>
          <w:rtl/>
        </w:rPr>
        <w:t>2015</w:t>
      </w:r>
      <w:r w:rsidRPr="00293EB2">
        <w:rPr>
          <w:rFonts w:eastAsiaTheme="minorEastAsia"/>
          <w:rtl/>
        </w:rPr>
        <w:t>، وأنه وقّع على إيصال يؤكد استلامه إياها وحضر، علاوة على ذلك، جلسة الاستماع المعقودة في المحكمة</w:t>
      </w:r>
      <w:r w:rsidR="00695E47">
        <w:rPr>
          <w:rFonts w:eastAsiaTheme="minorEastAsia" w:hint="cs"/>
          <w:rtl/>
        </w:rPr>
        <w:t> </w:t>
      </w:r>
      <w:r w:rsidRPr="00293EB2">
        <w:rPr>
          <w:rFonts w:eastAsiaTheme="minorEastAsia"/>
          <w:rtl/>
        </w:rPr>
        <w:t xml:space="preserve">الابتدائية. وحسب الدولة الطرف، قدم السيد </w:t>
      </w:r>
      <w:proofErr w:type="spellStart"/>
      <w:r w:rsidRPr="00293EB2">
        <w:rPr>
          <w:rFonts w:eastAsiaTheme="minorEastAsia"/>
          <w:rtl/>
        </w:rPr>
        <w:t>كفاراتسخيليا</w:t>
      </w:r>
      <w:proofErr w:type="spellEnd"/>
      <w:r w:rsidRPr="00293EB2">
        <w:rPr>
          <w:rFonts w:eastAsiaTheme="minorEastAsia"/>
          <w:rtl/>
        </w:rPr>
        <w:t xml:space="preserve"> طلبه الاستئناف في </w:t>
      </w:r>
      <w:r w:rsidRPr="004869A6">
        <w:rPr>
          <w:rFonts w:eastAsiaTheme="minorEastAsia"/>
          <w:rtl/>
        </w:rPr>
        <w:t>25</w:t>
      </w:r>
      <w:r w:rsidRPr="00293EB2">
        <w:rPr>
          <w:rFonts w:eastAsiaTheme="minorEastAsia"/>
          <w:rtl/>
        </w:rPr>
        <w:t xml:space="preserve"> تشرين الثاني/</w:t>
      </w:r>
      <w:r w:rsidR="00695E47">
        <w:rPr>
          <w:rFonts w:eastAsiaTheme="minorEastAsia" w:hint="cs"/>
          <w:rtl/>
        </w:rPr>
        <w:t xml:space="preserve"> </w:t>
      </w:r>
      <w:r w:rsidRPr="00293EB2">
        <w:rPr>
          <w:rFonts w:eastAsiaTheme="minorEastAsia"/>
          <w:rtl/>
        </w:rPr>
        <w:t xml:space="preserve">نوفمبر </w:t>
      </w:r>
      <w:r w:rsidRPr="004869A6">
        <w:rPr>
          <w:rFonts w:eastAsiaTheme="minorEastAsia"/>
          <w:rtl/>
        </w:rPr>
        <w:t>2015</w:t>
      </w:r>
      <w:r w:rsidRPr="00293EB2">
        <w:rPr>
          <w:rFonts w:eastAsiaTheme="minorEastAsia"/>
          <w:rtl/>
        </w:rPr>
        <w:t xml:space="preserve">، فتجاوز بذلك الأجل الإجرائي المحدد لتقديم طلب الاستئناف. </w:t>
      </w:r>
    </w:p>
    <w:p w14:paraId="31E53390" w14:textId="13C5E032" w:rsidR="00C06137" w:rsidRPr="00293EB2" w:rsidRDefault="00C06137" w:rsidP="00293EB2">
      <w:pPr>
        <w:pStyle w:val="SingleTxtGA"/>
        <w:rPr>
          <w:rFonts w:eastAsiaTheme="minorEastAsia"/>
          <w:rtl/>
        </w:rPr>
      </w:pPr>
      <w:r w:rsidRPr="004869A6">
        <w:rPr>
          <w:rFonts w:eastAsiaTheme="minorEastAsia"/>
          <w:rtl/>
        </w:rPr>
        <w:t>6</w:t>
      </w:r>
      <w:r w:rsidRPr="00293EB2">
        <w:rPr>
          <w:rFonts w:eastAsiaTheme="minorEastAsia"/>
          <w:rtl/>
        </w:rPr>
        <w:t>-</w:t>
      </w:r>
      <w:r w:rsidRPr="004869A6">
        <w:rPr>
          <w:rFonts w:eastAsiaTheme="minorEastAsia"/>
          <w:rtl/>
        </w:rPr>
        <w:t>9</w:t>
      </w:r>
      <w:r w:rsidRPr="00293EB2">
        <w:rPr>
          <w:rFonts w:eastAsiaTheme="minorEastAsia"/>
          <w:rtl/>
        </w:rPr>
        <w:tab/>
        <w:t>وتشير الدولة الطرف إلى أنه، اتساق</w:t>
      </w:r>
      <w:r w:rsidR="00391D83">
        <w:rPr>
          <w:rFonts w:eastAsiaTheme="minorEastAsia"/>
          <w:rtl/>
        </w:rPr>
        <w:t xml:space="preserve">اً </w:t>
      </w:r>
      <w:r w:rsidRPr="00293EB2">
        <w:rPr>
          <w:rFonts w:eastAsiaTheme="minorEastAsia"/>
          <w:rtl/>
        </w:rPr>
        <w:t xml:space="preserve">مع السوابق الثابتة، ليس من اختصاص اللجنة أن تؤدي دور محكمة استئناف وإلى أنه لا يعود للجنة إحلال آرائها محل حكمٍ صادرٍ عن المحاكم المحلية بشأن تقييم الوقائع والأدلة في قضية من القضايا، ما لم يكن التقييم تعسفياً بشكل واضح أو يعادل إنكاراً للعدالة. وتحتج الدولة الطرف بالقول إنه لم يحدث انتهاك للحقوق بموجب المادة </w:t>
      </w:r>
      <w:r w:rsidRPr="004869A6">
        <w:rPr>
          <w:rFonts w:eastAsiaTheme="minorEastAsia"/>
          <w:rtl/>
        </w:rPr>
        <w:t>13</w:t>
      </w:r>
      <w:r w:rsidRPr="00293EB2">
        <w:rPr>
          <w:rFonts w:eastAsiaTheme="minorEastAsia"/>
          <w:rtl/>
        </w:rPr>
        <w:t xml:space="preserve"> من العهد.</w:t>
      </w:r>
    </w:p>
    <w:p w14:paraId="40F7E63E" w14:textId="77777777" w:rsidR="00C06137" w:rsidRPr="00293EB2" w:rsidRDefault="00C06137" w:rsidP="00293EB2">
      <w:pPr>
        <w:pStyle w:val="SingleTxtGA"/>
        <w:rPr>
          <w:rFonts w:eastAsiaTheme="minorEastAsia"/>
          <w:rtl/>
        </w:rPr>
      </w:pPr>
      <w:r w:rsidRPr="004869A6">
        <w:rPr>
          <w:rFonts w:eastAsiaTheme="minorEastAsia"/>
          <w:rtl/>
        </w:rPr>
        <w:t>6</w:t>
      </w:r>
      <w:r w:rsidRPr="00293EB2">
        <w:rPr>
          <w:rFonts w:eastAsiaTheme="minorEastAsia"/>
          <w:rtl/>
        </w:rPr>
        <w:t>-</w:t>
      </w:r>
      <w:r w:rsidRPr="004869A6">
        <w:rPr>
          <w:rFonts w:eastAsiaTheme="minorEastAsia"/>
          <w:rtl/>
        </w:rPr>
        <w:t>10</w:t>
      </w:r>
      <w:r w:rsidRPr="00293EB2">
        <w:rPr>
          <w:rFonts w:eastAsiaTheme="minorEastAsia"/>
          <w:rtl/>
        </w:rPr>
        <w:tab/>
        <w:t xml:space="preserve">وفيما يتعلق بما يُدّعى من تمييز بموجب المادتين </w:t>
      </w:r>
      <w:r w:rsidRPr="004869A6">
        <w:rPr>
          <w:rFonts w:eastAsiaTheme="minorEastAsia"/>
          <w:rtl/>
        </w:rPr>
        <w:t>26</w:t>
      </w:r>
      <w:r w:rsidRPr="00293EB2">
        <w:rPr>
          <w:rFonts w:eastAsiaTheme="minorEastAsia"/>
          <w:rtl/>
        </w:rPr>
        <w:t xml:space="preserve"> و</w:t>
      </w:r>
      <w:r w:rsidRPr="004869A6">
        <w:rPr>
          <w:rFonts w:eastAsiaTheme="minorEastAsia"/>
          <w:rtl/>
        </w:rPr>
        <w:t>27</w:t>
      </w:r>
      <w:r w:rsidRPr="00293EB2">
        <w:rPr>
          <w:rFonts w:eastAsiaTheme="minorEastAsia"/>
          <w:rtl/>
        </w:rPr>
        <w:t xml:space="preserve"> من العهد، تؤكد الدولة الطرف أن المادتين </w:t>
      </w:r>
      <w:r w:rsidRPr="004869A6">
        <w:rPr>
          <w:rFonts w:eastAsiaTheme="minorEastAsia"/>
          <w:rtl/>
        </w:rPr>
        <w:t>299</w:t>
      </w:r>
      <w:r w:rsidRPr="00293EB2">
        <w:rPr>
          <w:rFonts w:eastAsiaTheme="minorEastAsia"/>
          <w:rtl/>
        </w:rPr>
        <w:t>-</w:t>
      </w:r>
      <w:r w:rsidRPr="004869A6">
        <w:rPr>
          <w:rFonts w:eastAsiaTheme="minorEastAsia"/>
          <w:rtl/>
        </w:rPr>
        <w:t>0</w:t>
      </w:r>
      <w:r w:rsidRPr="00293EB2">
        <w:rPr>
          <w:rFonts w:eastAsiaTheme="minorEastAsia"/>
          <w:rtl/>
        </w:rPr>
        <w:t>-</w:t>
      </w:r>
      <w:r w:rsidRPr="004869A6">
        <w:rPr>
          <w:rFonts w:eastAsiaTheme="minorEastAsia"/>
          <w:rtl/>
        </w:rPr>
        <w:t>2</w:t>
      </w:r>
      <w:r w:rsidRPr="00293EB2">
        <w:rPr>
          <w:rFonts w:eastAsiaTheme="minorEastAsia"/>
          <w:rtl/>
        </w:rPr>
        <w:t xml:space="preserve"> و</w:t>
      </w:r>
      <w:r w:rsidRPr="004869A6">
        <w:rPr>
          <w:rFonts w:eastAsiaTheme="minorEastAsia"/>
          <w:rtl/>
        </w:rPr>
        <w:t>300</w:t>
      </w:r>
      <w:r w:rsidRPr="00293EB2">
        <w:rPr>
          <w:rFonts w:eastAsiaTheme="minorEastAsia"/>
          <w:rtl/>
        </w:rPr>
        <w:t>-</w:t>
      </w:r>
      <w:r w:rsidRPr="004869A6">
        <w:rPr>
          <w:rFonts w:eastAsiaTheme="minorEastAsia"/>
          <w:rtl/>
        </w:rPr>
        <w:t>0</w:t>
      </w:r>
      <w:r w:rsidRPr="00293EB2">
        <w:rPr>
          <w:rFonts w:eastAsiaTheme="minorEastAsia"/>
          <w:rtl/>
        </w:rPr>
        <w:t>-</w:t>
      </w:r>
      <w:r w:rsidRPr="004869A6">
        <w:rPr>
          <w:rFonts w:eastAsiaTheme="minorEastAsia"/>
          <w:rtl/>
        </w:rPr>
        <w:t>4</w:t>
      </w:r>
      <w:r w:rsidRPr="00293EB2">
        <w:rPr>
          <w:rFonts w:eastAsiaTheme="minorEastAsia"/>
          <w:rtl/>
        </w:rPr>
        <w:t xml:space="preserve"> من قانون المخالفات الإدارية تسريان على الجميع بالتساوي ودون تمييز. وتعترض الدولة الطرف على ادعاءات أصحاب البلاغ المتعلقة بالتمييز، قائلة إن هذه الادعاءات تستند إلى أقوال مبهمة وليس ثمة أدلة موثوقة يمكن تقديمها إلى المحاكم الوطنية. وتؤكد الدولة الطرف أن أصحاب البلاغ لم يتعرضوا للتمييز لأنهم لم يذكروا أي مجموعات دينية أخرى في حالة مشابهة و/أو أي اختلافات في المعاملة التي تلقَاها المجموعات الدينية من جانب السلطات العامة.</w:t>
      </w:r>
    </w:p>
    <w:p w14:paraId="0148A494" w14:textId="0570B17E" w:rsidR="00C06137" w:rsidRPr="004869A6" w:rsidRDefault="00293EB2" w:rsidP="00293EB2">
      <w:pPr>
        <w:pStyle w:val="H23GA"/>
        <w:rPr>
          <w:rtl/>
        </w:rPr>
      </w:pPr>
      <w:r w:rsidRPr="004869A6">
        <w:rPr>
          <w:rtl/>
        </w:rPr>
        <w:tab/>
      </w:r>
      <w:r w:rsidRPr="004869A6">
        <w:rPr>
          <w:rtl/>
        </w:rPr>
        <w:tab/>
      </w:r>
      <w:r w:rsidR="00C06137" w:rsidRPr="004869A6">
        <w:rPr>
          <w:rtl/>
        </w:rPr>
        <w:t>تعليقات صاحب البلاغ على ملاحظات الدولة الطرف بشأن الأسس الموضوعية</w:t>
      </w:r>
    </w:p>
    <w:p w14:paraId="5ADE8340" w14:textId="77777777" w:rsidR="00C06137" w:rsidRPr="004869A6" w:rsidRDefault="00C06137" w:rsidP="00293EB2">
      <w:pPr>
        <w:pStyle w:val="SingleTxtGA"/>
        <w:rPr>
          <w:rFonts w:eastAsiaTheme="minorEastAsia"/>
          <w:rtl/>
        </w:rPr>
      </w:pPr>
      <w:r w:rsidRPr="004869A6">
        <w:rPr>
          <w:rFonts w:eastAsiaTheme="minorEastAsia"/>
          <w:rtl/>
        </w:rPr>
        <w:t>7-1</w:t>
      </w:r>
      <w:r w:rsidRPr="004869A6">
        <w:rPr>
          <w:rFonts w:eastAsiaTheme="minorEastAsia"/>
          <w:rtl/>
        </w:rPr>
        <w:tab/>
        <w:t xml:space="preserve">في 14 كانون الثاني/يناير 2019، قدم أصحاب البلاغ تعليقاتهم على ملاحظات الدولة الطرف. فقالوا إن الدولة الطرف لا تنازع في الوقائع كما عُرضت في البلاغ ويطلبون إلى اللجنة قبول الوقائع باعتبارها قاطعة. </w:t>
      </w:r>
    </w:p>
    <w:p w14:paraId="255E2504" w14:textId="6CDD51D4" w:rsidR="00C06137" w:rsidRPr="004869A6" w:rsidRDefault="00C06137" w:rsidP="00293EB2">
      <w:pPr>
        <w:pStyle w:val="SingleTxtGA"/>
        <w:rPr>
          <w:rFonts w:eastAsiaTheme="minorEastAsia"/>
          <w:rtl/>
        </w:rPr>
      </w:pPr>
      <w:r w:rsidRPr="004869A6">
        <w:rPr>
          <w:rFonts w:eastAsiaTheme="minorEastAsia"/>
          <w:rtl/>
        </w:rPr>
        <w:t>7-2</w:t>
      </w:r>
      <w:r w:rsidRPr="004869A6">
        <w:rPr>
          <w:rFonts w:eastAsiaTheme="minorEastAsia"/>
          <w:rtl/>
        </w:rPr>
        <w:tab/>
        <w:t xml:space="preserve">وهم يتمسكون بالقول إن ملاحظات الدولة الطرف متناقضة فيما يتعلق بالمادة </w:t>
      </w:r>
      <w:r w:rsidR="005A76D5" w:rsidRPr="004869A6">
        <w:rPr>
          <w:rFonts w:eastAsiaTheme="minorEastAsia"/>
          <w:rtl/>
        </w:rPr>
        <w:t xml:space="preserve">9. </w:t>
      </w:r>
      <w:r w:rsidRPr="004869A6">
        <w:rPr>
          <w:rFonts w:eastAsiaTheme="minorEastAsia"/>
          <w:rtl/>
        </w:rPr>
        <w:t>فمن الواضح من الوقائع أن أصحاب البلاغ قد حُرموا من حريتهم. فلو أطلقت الشرطة سراح أصحاب البلاغ، لكان من المنطقي اعتبارهم لم يكونوا أحرار لمغادرة مخفر الشرطة إلا بعد إطلاق سراحهم. وبالمثل، تحتج الدولة الطرف بالقول إن السبب في طول مدة الاحتجاز كان كثرة الأشخاص الذين تعيّن طلب توضيحات منهم. وتتلخص الحجة الضمنية في قول الدولة الطرف إنه لم يسمح لأصحاب البلاغ بالمغادرة دون الإدلاء</w:t>
      </w:r>
      <w:r w:rsidR="00391D83" w:rsidRPr="004869A6">
        <w:rPr>
          <w:rFonts w:eastAsiaTheme="minorEastAsia" w:hint="cs"/>
          <w:rtl/>
        </w:rPr>
        <w:t> </w:t>
      </w:r>
      <w:r w:rsidRPr="004869A6">
        <w:rPr>
          <w:rFonts w:eastAsiaTheme="minorEastAsia"/>
          <w:rtl/>
        </w:rPr>
        <w:t>بأقوال أمام الشرطة أولاً. وبصريح العبارة، حُرموا من حريتهم. فهم لم يتلقوا مجرد "دعوة" إلى مخفر</w:t>
      </w:r>
      <w:r w:rsidR="00391D83" w:rsidRPr="004869A6">
        <w:rPr>
          <w:rFonts w:eastAsiaTheme="minorEastAsia" w:hint="cs"/>
          <w:rtl/>
        </w:rPr>
        <w:t> </w:t>
      </w:r>
      <w:r w:rsidRPr="004869A6">
        <w:rPr>
          <w:rFonts w:eastAsiaTheme="minorEastAsia"/>
          <w:rtl/>
        </w:rPr>
        <w:t xml:space="preserve">الشرطة. </w:t>
      </w:r>
    </w:p>
    <w:p w14:paraId="27BEC593" w14:textId="64CC8392" w:rsidR="00C06137" w:rsidRPr="00293EB2" w:rsidRDefault="00C06137" w:rsidP="00293EB2">
      <w:pPr>
        <w:pStyle w:val="SingleTxtGA"/>
        <w:rPr>
          <w:rFonts w:eastAsiaTheme="minorEastAsia"/>
          <w:rtl/>
        </w:rPr>
      </w:pPr>
      <w:r w:rsidRPr="004869A6">
        <w:rPr>
          <w:rFonts w:eastAsiaTheme="minorEastAsia"/>
          <w:rtl/>
        </w:rPr>
        <w:t>7-3</w:t>
      </w:r>
      <w:r w:rsidRPr="004869A6">
        <w:rPr>
          <w:rFonts w:eastAsiaTheme="minorEastAsia"/>
          <w:rtl/>
        </w:rPr>
        <w:tab/>
        <w:t>وفيما يتعلق بانتهاك المادة 17 من العهد، يحتج أصحاب البلاغ بالقول إن تفتيش بيتهم كان تعسفياً وغير قانوني. فالدولة الطرف تسيء فهم المعنى المقصود بكلمة "بيت" في محاولة لتجاهل الدليل القاطع الذي عُرض على المحاكم. فمفهوم كلمة "بيت" بالمعنى المقصود في المادة 17 من العهد لا</w:t>
      </w:r>
      <w:r w:rsidR="00391D83" w:rsidRPr="004869A6">
        <w:rPr>
          <w:rFonts w:eastAsiaTheme="minorEastAsia" w:hint="cs"/>
          <w:rtl/>
        </w:rPr>
        <w:t> </w:t>
      </w:r>
      <w:r w:rsidRPr="004869A6">
        <w:rPr>
          <w:rFonts w:eastAsiaTheme="minorEastAsia"/>
          <w:rtl/>
        </w:rPr>
        <w:t>يقتصر على المكان الذي يتم احتلاله بصورة مشروعة أو المكان الذي يُنشَأ بصورة قانونية</w:t>
      </w:r>
      <w:r w:rsidR="005A76D5" w:rsidRPr="004869A6">
        <w:rPr>
          <w:rStyle w:val="FootnoteReference"/>
          <w:rFonts w:eastAsiaTheme="minorEastAsia" w:cs="Simplified Arabic"/>
          <w:sz w:val="22"/>
          <w:szCs w:val="22"/>
          <w:rtl/>
        </w:rPr>
        <w:t>(</w:t>
      </w:r>
      <w:r w:rsidR="005A76D5" w:rsidRPr="00FD3408">
        <w:rPr>
          <w:rStyle w:val="FootnoteReference"/>
          <w:rFonts w:eastAsiaTheme="minorEastAsia" w:cs="Simplified Arabic"/>
          <w:b w:val="0"/>
          <w:bCs/>
          <w:sz w:val="22"/>
          <w:szCs w:val="22"/>
          <w:lang w:val="en-US"/>
        </w:rPr>
        <w:footnoteReference w:id="4"/>
      </w:r>
      <w:r w:rsidR="005A76D5" w:rsidRPr="004869A6">
        <w:rPr>
          <w:rFonts w:eastAsiaTheme="minorEastAsia"/>
          <w:vertAlign w:val="superscript"/>
          <w:rtl/>
        </w:rPr>
        <w:t>)</w:t>
      </w:r>
      <w:r w:rsidR="005A76D5" w:rsidRPr="004869A6">
        <w:rPr>
          <w:rFonts w:eastAsiaTheme="minorEastAsia"/>
          <w:rtl/>
        </w:rPr>
        <w:t xml:space="preserve">. </w:t>
      </w:r>
      <w:r w:rsidRPr="004869A6">
        <w:rPr>
          <w:rFonts w:eastAsiaTheme="minorEastAsia"/>
          <w:rtl/>
        </w:rPr>
        <w:t xml:space="preserve">فمعرفة ما إذا كانت الشقة المعنية تشكل بيت السيد </w:t>
      </w:r>
      <w:proofErr w:type="spellStart"/>
      <w:r w:rsidRPr="004869A6">
        <w:rPr>
          <w:rFonts w:eastAsiaTheme="minorEastAsia"/>
          <w:rtl/>
        </w:rPr>
        <w:t>مورسالوف</w:t>
      </w:r>
      <w:proofErr w:type="spellEnd"/>
      <w:r w:rsidRPr="004869A6">
        <w:rPr>
          <w:rFonts w:eastAsiaTheme="minorEastAsia"/>
          <w:rtl/>
        </w:rPr>
        <w:t xml:space="preserve"> والسيد </w:t>
      </w:r>
      <w:proofErr w:type="spellStart"/>
      <w:r w:rsidRPr="004869A6">
        <w:rPr>
          <w:rFonts w:eastAsiaTheme="minorEastAsia"/>
          <w:rtl/>
        </w:rPr>
        <w:t>كفاراتسخيليا</w:t>
      </w:r>
      <w:proofErr w:type="spellEnd"/>
      <w:r w:rsidRPr="004869A6">
        <w:rPr>
          <w:rFonts w:eastAsiaTheme="minorEastAsia"/>
          <w:rtl/>
        </w:rPr>
        <w:t>، ومن ثم تحظى بحماية المادة</w:t>
      </w:r>
      <w:r w:rsidR="00391D83" w:rsidRPr="004869A6">
        <w:rPr>
          <w:rFonts w:eastAsiaTheme="minorEastAsia" w:hint="cs"/>
          <w:rtl/>
        </w:rPr>
        <w:t> </w:t>
      </w:r>
      <w:r w:rsidRPr="004869A6">
        <w:rPr>
          <w:rFonts w:eastAsiaTheme="minorEastAsia"/>
          <w:rtl/>
        </w:rPr>
        <w:t xml:space="preserve">17 من العهد، تعتمد على الظروف الوقائعية. وفي هذه الحالة، ورغم أن الدولة الطرف ترفض اعتبار الشقة المعنية بيت السيد </w:t>
      </w:r>
      <w:proofErr w:type="spellStart"/>
      <w:r w:rsidRPr="004869A6">
        <w:rPr>
          <w:rFonts w:eastAsiaTheme="minorEastAsia"/>
          <w:rtl/>
        </w:rPr>
        <w:t>مورسالوف</w:t>
      </w:r>
      <w:proofErr w:type="spellEnd"/>
      <w:r w:rsidRPr="004869A6">
        <w:rPr>
          <w:rFonts w:eastAsiaTheme="minorEastAsia"/>
          <w:rtl/>
        </w:rPr>
        <w:t xml:space="preserve">، فإنها لم تبيّن ما هو المكان الآخر الذي كان يمكن اعتباره بيتاً للسيد </w:t>
      </w:r>
      <w:proofErr w:type="spellStart"/>
      <w:r w:rsidRPr="004869A6">
        <w:rPr>
          <w:rFonts w:eastAsiaTheme="minorEastAsia"/>
          <w:rtl/>
        </w:rPr>
        <w:t>مورسالوف</w:t>
      </w:r>
      <w:proofErr w:type="spellEnd"/>
      <w:r w:rsidR="005A76D5" w:rsidRPr="004869A6">
        <w:rPr>
          <w:rStyle w:val="FootnoteReference"/>
          <w:rFonts w:eastAsiaTheme="minorEastAsia" w:cs="Simplified Arabic"/>
          <w:sz w:val="22"/>
          <w:szCs w:val="22"/>
          <w:rtl/>
        </w:rPr>
        <w:t>(</w:t>
      </w:r>
      <w:r w:rsidR="005A76D5" w:rsidRPr="004869A6">
        <w:rPr>
          <w:rStyle w:val="FootnoteReference"/>
          <w:rFonts w:eastAsiaTheme="minorEastAsia" w:cs="Simplified Arabic"/>
          <w:b w:val="0"/>
          <w:bCs/>
          <w:sz w:val="22"/>
          <w:szCs w:val="22"/>
          <w:lang w:val="en-US"/>
        </w:rPr>
        <w:footnoteReference w:id="5"/>
      </w:r>
      <w:r w:rsidR="005A76D5" w:rsidRPr="004869A6">
        <w:rPr>
          <w:rFonts w:eastAsiaTheme="minorEastAsia"/>
          <w:vertAlign w:val="superscript"/>
          <w:rtl/>
        </w:rPr>
        <w:t>)</w:t>
      </w:r>
      <w:r w:rsidR="005A76D5" w:rsidRPr="004869A6">
        <w:rPr>
          <w:rFonts w:eastAsiaTheme="minorEastAsia"/>
          <w:rtl/>
        </w:rPr>
        <w:t xml:space="preserve">. </w:t>
      </w:r>
      <w:r w:rsidRPr="004869A6">
        <w:rPr>
          <w:rFonts w:eastAsiaTheme="minorEastAsia"/>
          <w:rtl/>
        </w:rPr>
        <w:t xml:space="preserve">وبالمثل، ورغم أن السيد </w:t>
      </w:r>
      <w:proofErr w:type="spellStart"/>
      <w:r w:rsidRPr="004869A6">
        <w:rPr>
          <w:rFonts w:eastAsiaTheme="minorEastAsia"/>
          <w:rtl/>
        </w:rPr>
        <w:t>كفاراتسخيليا</w:t>
      </w:r>
      <w:proofErr w:type="spellEnd"/>
      <w:r w:rsidRPr="004869A6">
        <w:rPr>
          <w:rFonts w:eastAsiaTheme="minorEastAsia"/>
          <w:rtl/>
        </w:rPr>
        <w:t xml:space="preserve"> كان زائراً لأذربيجان، فإنه كان قد مكث في البلد</w:t>
      </w:r>
      <w:r w:rsidRPr="00293EB2">
        <w:rPr>
          <w:rFonts w:eastAsiaTheme="minorEastAsia"/>
          <w:rtl/>
        </w:rPr>
        <w:t xml:space="preserve"> نحو ثلاثة أشهر وليس ثمة ما يوحي إطلاقاً بأن أي مكان إقامة آخر في أذربيجان يُعتبر بيته. ويتساءل أصحاب البلاغ عن السبب الذي جعل الشرطة تفتش الشقة، إذا كانت الشقة المعنية ليست بيت السيد</w:t>
      </w:r>
      <w:r w:rsidR="00391D83">
        <w:rPr>
          <w:rFonts w:eastAsiaTheme="minorEastAsia" w:hint="cs"/>
          <w:rtl/>
        </w:rPr>
        <w:t> </w:t>
      </w:r>
      <w:proofErr w:type="spellStart"/>
      <w:r w:rsidRPr="00293EB2">
        <w:rPr>
          <w:rFonts w:eastAsiaTheme="minorEastAsia"/>
          <w:rtl/>
        </w:rPr>
        <w:t>كفاراتسخيليا</w:t>
      </w:r>
      <w:proofErr w:type="spellEnd"/>
      <w:r w:rsidRPr="00293EB2">
        <w:rPr>
          <w:rFonts w:eastAsiaTheme="minorEastAsia"/>
          <w:rtl/>
        </w:rPr>
        <w:t xml:space="preserve">. </w:t>
      </w:r>
    </w:p>
    <w:p w14:paraId="5CAE57F1" w14:textId="035FA9E3" w:rsidR="00C06137" w:rsidRPr="00293EB2" w:rsidRDefault="00C06137" w:rsidP="00293EB2">
      <w:pPr>
        <w:pStyle w:val="SingleTxtGA"/>
        <w:rPr>
          <w:rFonts w:eastAsiaTheme="minorEastAsia"/>
          <w:rtl/>
        </w:rPr>
      </w:pPr>
      <w:r w:rsidRPr="004869A6">
        <w:rPr>
          <w:rFonts w:eastAsiaTheme="minorEastAsia"/>
          <w:rtl/>
        </w:rPr>
        <w:t>7</w:t>
      </w:r>
      <w:r w:rsidRPr="00293EB2">
        <w:rPr>
          <w:rFonts w:eastAsiaTheme="minorEastAsia"/>
          <w:rtl/>
        </w:rPr>
        <w:t>-</w:t>
      </w:r>
      <w:r w:rsidRPr="004869A6">
        <w:rPr>
          <w:rFonts w:eastAsiaTheme="minorEastAsia"/>
          <w:rtl/>
        </w:rPr>
        <w:t>4</w:t>
      </w:r>
      <w:r w:rsidRPr="00293EB2">
        <w:rPr>
          <w:rFonts w:eastAsiaTheme="minorEastAsia"/>
          <w:rtl/>
        </w:rPr>
        <w:tab/>
        <w:t xml:space="preserve">ويطعن صاحبا البلاغ في قول الدولة الطرف إنهما لم يقيما الدليل على أن الشقة التي فتشتها الشرطة تشكل بيتهما. فقد كتب السيد </w:t>
      </w:r>
      <w:proofErr w:type="spellStart"/>
      <w:r w:rsidRPr="00293EB2">
        <w:rPr>
          <w:rFonts w:eastAsiaTheme="minorEastAsia"/>
          <w:rtl/>
        </w:rPr>
        <w:t>مورسالوف</w:t>
      </w:r>
      <w:proofErr w:type="spellEnd"/>
      <w:r w:rsidRPr="00293EB2">
        <w:rPr>
          <w:rFonts w:eastAsiaTheme="minorEastAsia"/>
          <w:rtl/>
        </w:rPr>
        <w:t xml:space="preserve">، في مقاله أثناء المحاكمة، ما يلي: "داهم أفراد الشرطة منزلي دون إذن </w:t>
      </w:r>
      <w:r w:rsidR="005A76D5" w:rsidRPr="005A76D5">
        <w:rPr>
          <w:rFonts w:eastAsiaTheme="minorEastAsia"/>
          <w:rtl/>
        </w:rPr>
        <w:t>[..</w:t>
      </w:r>
      <w:r w:rsidRPr="00293EB2">
        <w:rPr>
          <w:rFonts w:eastAsiaTheme="minorEastAsia"/>
          <w:rtl/>
        </w:rPr>
        <w:t xml:space="preserve">.] ودون تقديم توضيحات اقتحموا عليّ بيتي منتهكين بذلك عددا من حقوقي" و"أجروا تفتيشاً لبيتي ففتشوا خزانات الملابس وتفحصوا أغراضي الشخصية بل إنهم فتشوا حتى خزانة الملابس الداخلية" ولم تطعن الشرطة قط في أن ذلك المكان هو بيت السيد </w:t>
      </w:r>
      <w:proofErr w:type="spellStart"/>
      <w:r w:rsidRPr="00293EB2">
        <w:rPr>
          <w:rFonts w:eastAsiaTheme="minorEastAsia"/>
          <w:rtl/>
        </w:rPr>
        <w:t>مورسالوف</w:t>
      </w:r>
      <w:proofErr w:type="spellEnd"/>
      <w:r w:rsidRPr="00293EB2">
        <w:rPr>
          <w:rFonts w:eastAsiaTheme="minorEastAsia"/>
          <w:rtl/>
        </w:rPr>
        <w:t xml:space="preserve">. بل إن الشرطة في الواقع أكدت إجراء تفتيش للبيت الذي هو في ملكية السيد </w:t>
      </w:r>
      <w:proofErr w:type="spellStart"/>
      <w:r w:rsidRPr="00293EB2">
        <w:rPr>
          <w:rFonts w:eastAsiaTheme="minorEastAsia"/>
          <w:rtl/>
        </w:rPr>
        <w:t>مورسالوف</w:t>
      </w:r>
      <w:proofErr w:type="spellEnd"/>
      <w:r w:rsidRPr="00293EB2">
        <w:rPr>
          <w:rFonts w:eastAsiaTheme="minorEastAsia"/>
          <w:rtl/>
        </w:rPr>
        <w:t xml:space="preserve"> وأنه "جمع شهود يهوا في العنوان حيث يقيم وأقام طقساً دينياً" وأثناء المحاكمة، أدلى أحد أفراد الشرطة بشهادته فقال إن السيد </w:t>
      </w:r>
      <w:proofErr w:type="spellStart"/>
      <w:r w:rsidRPr="00293EB2">
        <w:rPr>
          <w:rFonts w:eastAsiaTheme="minorEastAsia"/>
          <w:rtl/>
        </w:rPr>
        <w:t>مورسالوف</w:t>
      </w:r>
      <w:proofErr w:type="spellEnd"/>
      <w:r w:rsidRPr="00293EB2">
        <w:rPr>
          <w:rFonts w:eastAsiaTheme="minorEastAsia"/>
          <w:rtl/>
        </w:rPr>
        <w:t xml:space="preserve"> "نظم مناسبة دينية في المكان الذي يملكه وحيث يقيم حالياً". ولم تطعن المحكمة الابتدائية ولا محكمة الاستئناف في كون الشقة هي بيته. وحتى لو استنتجت اللجنة فرضاً أن الشقة المعنية ليست بيت السيد </w:t>
      </w:r>
      <w:proofErr w:type="spellStart"/>
      <w:r w:rsidRPr="00293EB2">
        <w:rPr>
          <w:rFonts w:eastAsiaTheme="minorEastAsia"/>
          <w:rtl/>
        </w:rPr>
        <w:t>مورسالوف</w:t>
      </w:r>
      <w:proofErr w:type="spellEnd"/>
      <w:r w:rsidRPr="00293EB2">
        <w:rPr>
          <w:rFonts w:eastAsiaTheme="minorEastAsia"/>
          <w:rtl/>
        </w:rPr>
        <w:t xml:space="preserve"> والسيد </w:t>
      </w:r>
      <w:proofErr w:type="spellStart"/>
      <w:r w:rsidRPr="00293EB2">
        <w:rPr>
          <w:rFonts w:eastAsiaTheme="minorEastAsia"/>
          <w:rtl/>
        </w:rPr>
        <w:t>كفاراتسخيليا</w:t>
      </w:r>
      <w:proofErr w:type="spellEnd"/>
      <w:r w:rsidRPr="00293EB2">
        <w:rPr>
          <w:rFonts w:eastAsiaTheme="minorEastAsia"/>
          <w:rtl/>
        </w:rPr>
        <w:t>، فإنه لا مجال للشك في أن هناك تدخلاً في خصوصيتهما بالمعنى المقصود في المادة</w:t>
      </w:r>
      <w:r w:rsidR="00293EB2">
        <w:rPr>
          <w:rFonts w:eastAsiaTheme="minorEastAsia" w:hint="cs"/>
          <w:rtl/>
        </w:rPr>
        <w:t> </w:t>
      </w:r>
      <w:r w:rsidRPr="004869A6">
        <w:rPr>
          <w:rFonts w:eastAsiaTheme="minorEastAsia"/>
          <w:rtl/>
        </w:rPr>
        <w:t>17</w:t>
      </w:r>
      <w:r w:rsidRPr="00293EB2">
        <w:rPr>
          <w:rFonts w:eastAsiaTheme="minorEastAsia"/>
          <w:rtl/>
        </w:rPr>
        <w:t xml:space="preserve"> من العهد.</w:t>
      </w:r>
    </w:p>
    <w:p w14:paraId="27709397" w14:textId="77777777" w:rsidR="00C06137" w:rsidRPr="00293EB2" w:rsidRDefault="00C06137" w:rsidP="00293EB2">
      <w:pPr>
        <w:pStyle w:val="SingleTxtGA"/>
        <w:rPr>
          <w:rFonts w:eastAsiaTheme="minorEastAsia"/>
          <w:rtl/>
        </w:rPr>
      </w:pPr>
      <w:r w:rsidRPr="004869A6">
        <w:rPr>
          <w:rFonts w:eastAsiaTheme="minorEastAsia"/>
          <w:rtl/>
        </w:rPr>
        <w:t>7</w:t>
      </w:r>
      <w:r w:rsidRPr="00293EB2">
        <w:rPr>
          <w:rFonts w:eastAsiaTheme="minorEastAsia"/>
          <w:rtl/>
        </w:rPr>
        <w:t>-</w:t>
      </w:r>
      <w:r w:rsidRPr="004869A6">
        <w:rPr>
          <w:rFonts w:eastAsiaTheme="minorEastAsia"/>
          <w:rtl/>
        </w:rPr>
        <w:t>5</w:t>
      </w:r>
      <w:r w:rsidRPr="00293EB2">
        <w:rPr>
          <w:rFonts w:eastAsiaTheme="minorEastAsia"/>
          <w:rtl/>
        </w:rPr>
        <w:tab/>
        <w:t xml:space="preserve">وبعكس ما جاء في أقوال الدولة الطرف من أن عمليات التفتيش قد تمت وفقاً لقانون الإجراءات الجنائية، كان التدخل تعسفياً وغير قانوني. فرغم أن الشرطة عاملت السيد </w:t>
      </w:r>
      <w:proofErr w:type="spellStart"/>
      <w:r w:rsidRPr="00293EB2">
        <w:rPr>
          <w:rFonts w:eastAsiaTheme="minorEastAsia"/>
          <w:rtl/>
        </w:rPr>
        <w:t>مورسالوف</w:t>
      </w:r>
      <w:proofErr w:type="spellEnd"/>
      <w:r w:rsidRPr="00293EB2">
        <w:rPr>
          <w:rFonts w:eastAsiaTheme="minorEastAsia"/>
          <w:rtl/>
        </w:rPr>
        <w:t xml:space="preserve"> والسيد </w:t>
      </w:r>
      <w:proofErr w:type="spellStart"/>
      <w:r w:rsidRPr="00293EB2">
        <w:rPr>
          <w:rFonts w:eastAsiaTheme="minorEastAsia"/>
          <w:rtl/>
        </w:rPr>
        <w:t>كفاراتسخيليا</w:t>
      </w:r>
      <w:proofErr w:type="spellEnd"/>
      <w:r w:rsidRPr="00293EB2">
        <w:rPr>
          <w:rFonts w:eastAsiaTheme="minorEastAsia"/>
          <w:rtl/>
        </w:rPr>
        <w:t xml:space="preserve"> كما لو كانا مجرميْن، لم توجَّه إليهما قط أي تهمٍ جنائية. فالشرطة وجهت إليهما تهماً بموجب قانون المخالفات الإدارية. وبموجب ذلك القانون، لا تخوَّل للشرطة سلطة الدخول إلى أي مكان إقامة بغرض التفتيش والمصادرة. وحتى لو كان قانون الإجراءات الجنائية ينطبق في هذه الحالة، فإنه لا توجد أدلة في المواد المتعلقة بالقضية على أن الشرطة حصلت على أمر من المحكمة قبل إجراء عملية التفتيش. ويحتج أصحاب البلاغ بالقول إن ما ادُّعي عليهم به لا يعادل جريمة تستلزم التفتيش بدون أمر قانوني. </w:t>
      </w:r>
    </w:p>
    <w:p w14:paraId="24DAD5EF" w14:textId="7F7DB634" w:rsidR="00C06137" w:rsidRPr="00293EB2" w:rsidRDefault="00C06137" w:rsidP="00293EB2">
      <w:pPr>
        <w:pStyle w:val="SingleTxtGA"/>
        <w:rPr>
          <w:rFonts w:eastAsiaTheme="minorEastAsia"/>
          <w:rtl/>
        </w:rPr>
      </w:pPr>
      <w:r w:rsidRPr="004869A6">
        <w:rPr>
          <w:rFonts w:eastAsiaTheme="minorEastAsia"/>
          <w:rtl/>
        </w:rPr>
        <w:t>7</w:t>
      </w:r>
      <w:r w:rsidRPr="00293EB2">
        <w:rPr>
          <w:rFonts w:eastAsiaTheme="minorEastAsia"/>
          <w:rtl/>
        </w:rPr>
        <w:t>-</w:t>
      </w:r>
      <w:r w:rsidRPr="004869A6">
        <w:rPr>
          <w:rFonts w:eastAsiaTheme="minorEastAsia"/>
          <w:rtl/>
        </w:rPr>
        <w:t>6</w:t>
      </w:r>
      <w:r w:rsidRPr="00293EB2">
        <w:rPr>
          <w:rFonts w:eastAsiaTheme="minorEastAsia"/>
          <w:rtl/>
        </w:rPr>
        <w:tab/>
        <w:t>وحسب صاحبي البلاغ، لم توضح الدولة الطرف من كانت سلامته العامة في خطر ولا ما هو الاضطراب الذي كان يمكن أن تمنع الشرطة حدوثه بالقوة عندما دخلت بيت صاحبي البلاغ وفتشته. أما</w:t>
      </w:r>
      <w:r w:rsidR="00391D83">
        <w:rPr>
          <w:rFonts w:eastAsiaTheme="minorEastAsia" w:hint="cs"/>
          <w:rtl/>
        </w:rPr>
        <w:t> </w:t>
      </w:r>
      <w:r w:rsidRPr="00293EB2">
        <w:rPr>
          <w:rFonts w:eastAsiaTheme="minorEastAsia"/>
          <w:rtl/>
        </w:rPr>
        <w:t xml:space="preserve">فيما يتعلق بأقوال الجيران، فلا يوجد أي محضر بأي شكوى قُدمت بشأن زوار بيت صاحبي البلاغ. ومن بواعث القلق، فضلاً عن ذلك، التفكير في أنه قد تنشأ عن مجرد تلقي عدد من الزوار في مجتمع ديمقراطي شبهةٌ معقولة بممارسة أنشطة غير قانونية. وبالمثل، لا يوجد محضر بأي شكوى قدمها أي شخص بشأن المواد المكتوبة الدينية التي يوزعها أصحاب البلاغ. وقد رفضت إدارة شرطة مقاطعة </w:t>
      </w:r>
      <w:proofErr w:type="spellStart"/>
      <w:r w:rsidRPr="00293EB2">
        <w:rPr>
          <w:rFonts w:eastAsiaTheme="minorEastAsia"/>
          <w:rtl/>
        </w:rPr>
        <w:t>غاراداغ</w:t>
      </w:r>
      <w:proofErr w:type="spellEnd"/>
      <w:r w:rsidRPr="00293EB2">
        <w:rPr>
          <w:rFonts w:eastAsiaTheme="minorEastAsia"/>
          <w:rtl/>
        </w:rPr>
        <w:t xml:space="preserve"> رفع قضايا جنائية على صاحبي البلاغ لأن العيّنات من المنشورات الدينية التي أُخذت لم تتضمن أي تحريض يرمي إلى تقسيم السلامة الإقليمية للدولة، ولا أي نداءات بتنظيم اعتصامات أو مسيرات غير قانونية للإخلال بالنظام العام عن طريق إثارة الكراهية القومية أو الاجتماعية أو الدينية. </w:t>
      </w:r>
    </w:p>
    <w:p w14:paraId="7A4DEFA3" w14:textId="77777777" w:rsidR="00C06137" w:rsidRPr="00293EB2" w:rsidRDefault="00C06137" w:rsidP="00293EB2">
      <w:pPr>
        <w:pStyle w:val="SingleTxtGA"/>
        <w:rPr>
          <w:rFonts w:eastAsiaTheme="minorEastAsia"/>
          <w:rtl/>
        </w:rPr>
      </w:pPr>
      <w:r w:rsidRPr="004869A6">
        <w:rPr>
          <w:rFonts w:eastAsiaTheme="minorEastAsia"/>
          <w:rtl/>
        </w:rPr>
        <w:t>7</w:t>
      </w:r>
      <w:r w:rsidRPr="00695E47">
        <w:rPr>
          <w:rFonts w:eastAsiaTheme="minorEastAsia"/>
          <w:spacing w:val="-4"/>
          <w:rtl/>
        </w:rPr>
        <w:t>-</w:t>
      </w:r>
      <w:r w:rsidRPr="004869A6">
        <w:rPr>
          <w:rFonts w:eastAsiaTheme="minorEastAsia"/>
          <w:spacing w:val="-4"/>
          <w:rtl/>
        </w:rPr>
        <w:t>7</w:t>
      </w:r>
      <w:r w:rsidRPr="00695E47">
        <w:rPr>
          <w:rFonts w:eastAsiaTheme="minorEastAsia"/>
          <w:spacing w:val="-4"/>
          <w:rtl/>
        </w:rPr>
        <w:tab/>
        <w:t xml:space="preserve">ويلاحظ صاحبا البلاغ أن الدولة الطرف تقر بحدوث تدخل في حقوقهما بموجب المادتين </w:t>
      </w:r>
      <w:r w:rsidRPr="004869A6">
        <w:rPr>
          <w:rFonts w:eastAsiaTheme="minorEastAsia"/>
          <w:spacing w:val="-4"/>
          <w:rtl/>
        </w:rPr>
        <w:t>18</w:t>
      </w:r>
      <w:r w:rsidRPr="00695E47">
        <w:rPr>
          <w:rFonts w:eastAsiaTheme="minorEastAsia"/>
          <w:spacing w:val="-4"/>
          <w:rtl/>
        </w:rPr>
        <w:t xml:space="preserve"> و</w:t>
      </w:r>
      <w:r w:rsidRPr="004869A6">
        <w:rPr>
          <w:rFonts w:eastAsiaTheme="minorEastAsia"/>
          <w:spacing w:val="-4"/>
          <w:rtl/>
        </w:rPr>
        <w:t>19</w:t>
      </w:r>
      <w:r w:rsidRPr="00293EB2">
        <w:rPr>
          <w:rFonts w:eastAsiaTheme="minorEastAsia"/>
          <w:rtl/>
        </w:rPr>
        <w:t xml:space="preserve"> من العهد، ولكنها تحاول تبرير ذلك التدخل بأنه منصوص عليه في قانون حرية المعتقدات الدينية، الذي يتوخى غاية مشروعة وضرورية في مجتمع ديمقراطي. ويدعيان أن الدولة الطرف لم تجب على أقوالهما بأن القانون المذكور ينتهك العهد كما ينتهك دستور أذربيجان. فالقانون الذي يكون غير دقيق يكون منافياً للدستور وينتهك الالتزامات الدولية الواقعة على عاتق الدولة ولا يجوز من ثم اعتباره قانونياً بموجب العهد. </w:t>
      </w:r>
    </w:p>
    <w:p w14:paraId="1AEF3ACD" w14:textId="4380A77C" w:rsidR="00C06137" w:rsidRPr="00293EB2" w:rsidRDefault="00C06137" w:rsidP="00293EB2">
      <w:pPr>
        <w:pStyle w:val="SingleTxtGA"/>
        <w:rPr>
          <w:rFonts w:eastAsiaTheme="minorEastAsia"/>
          <w:rtl/>
        </w:rPr>
      </w:pPr>
      <w:r w:rsidRPr="004869A6">
        <w:rPr>
          <w:rFonts w:eastAsiaTheme="minorEastAsia"/>
          <w:rtl/>
        </w:rPr>
        <w:t>7</w:t>
      </w:r>
      <w:r w:rsidRPr="00293EB2">
        <w:rPr>
          <w:rFonts w:eastAsiaTheme="minorEastAsia"/>
          <w:rtl/>
        </w:rPr>
        <w:t>-</w:t>
      </w:r>
      <w:r w:rsidRPr="004869A6">
        <w:rPr>
          <w:rFonts w:eastAsiaTheme="minorEastAsia"/>
          <w:rtl/>
        </w:rPr>
        <w:t>8</w:t>
      </w:r>
      <w:r w:rsidRPr="00293EB2">
        <w:rPr>
          <w:rFonts w:eastAsiaTheme="minorEastAsia"/>
          <w:rtl/>
        </w:rPr>
        <w:tab/>
        <w:t>ولم تقدم الدولة الطرف أي تفاصيل دقيقة بشأن عدم الاستقرار السياسي الخارجي المدعى في دول محيطة بأذربيجان ولا أي علاقة سببية بين هذا وبين ما حدث لهما باعتبار ذلك سبباً مشروعاً للتقييدات المنصوص عليها في القانون المتعلق بحرية المعتقدات الدينية ولاشتراط أن يقوم صاحبا البلاغ بتسجيل نفسيهما قبل السماح لهما بالتعبد بحرية برفقة بعضهما البعض. ومن المعروف أن شهود يهوه مجموعة دينية ملتزمة بالجنوح إلى السلام</w:t>
      </w:r>
      <w:r w:rsidR="005A76D5" w:rsidRPr="004869A6">
        <w:rPr>
          <w:rStyle w:val="FootnoteReference"/>
          <w:rFonts w:eastAsiaTheme="minorEastAsia" w:cs="Simplified Arabic"/>
          <w:sz w:val="22"/>
          <w:szCs w:val="22"/>
          <w:rtl/>
        </w:rPr>
        <w:t>(</w:t>
      </w:r>
      <w:r w:rsidR="005A76D5" w:rsidRPr="004869A6">
        <w:rPr>
          <w:rStyle w:val="FootnoteReference"/>
          <w:rFonts w:eastAsiaTheme="minorEastAsia" w:cs="Simplified Arabic"/>
          <w:b w:val="0"/>
          <w:bCs/>
          <w:sz w:val="22"/>
          <w:szCs w:val="22"/>
          <w:lang w:val="en-US"/>
        </w:rPr>
        <w:footnoteReference w:id="6"/>
      </w:r>
      <w:r w:rsidR="005A76D5" w:rsidRPr="005A76D5">
        <w:rPr>
          <w:rFonts w:eastAsiaTheme="minorEastAsia"/>
          <w:vertAlign w:val="superscript"/>
          <w:rtl/>
        </w:rPr>
        <w:t>)</w:t>
      </w:r>
      <w:r w:rsidR="005A76D5" w:rsidRPr="005A76D5">
        <w:rPr>
          <w:rFonts w:eastAsiaTheme="minorEastAsia"/>
          <w:rtl/>
        </w:rPr>
        <w:t xml:space="preserve">. </w:t>
      </w:r>
      <w:r w:rsidRPr="00293EB2">
        <w:rPr>
          <w:rFonts w:eastAsiaTheme="minorEastAsia"/>
          <w:rtl/>
        </w:rPr>
        <w:t xml:space="preserve">وهي جماعة موجودة في العالم أجمع منذ أكثر من </w:t>
      </w:r>
      <w:r w:rsidRPr="004869A6">
        <w:rPr>
          <w:rFonts w:eastAsiaTheme="minorEastAsia"/>
          <w:rtl/>
        </w:rPr>
        <w:t>100</w:t>
      </w:r>
      <w:r w:rsidRPr="00293EB2">
        <w:rPr>
          <w:rFonts w:eastAsiaTheme="minorEastAsia"/>
          <w:rtl/>
        </w:rPr>
        <w:t xml:space="preserve"> سنة. وهي تعرضت ولا تزال بانتظام للاضطهاد تحديداً بسبب موقفها المحايد من الشؤون السياسية والعسكرية، ولا تتسبب في أي عدم استقرار أو تحريض على الكراهية. ومن ثم، يكون حظر مناقشة سلمية دينية ينظمها صاحبا البلاغ في مكان خاص في بيت خاص أبعد ما يكون عن أي </w:t>
      </w:r>
      <w:r w:rsidRPr="00293EB2">
        <w:rPr>
          <w:rFonts w:eastAsiaTheme="minorEastAsia"/>
          <w:rtl/>
          <w:lang w:bidi="ar-YE"/>
        </w:rPr>
        <w:t>خوف</w:t>
      </w:r>
      <w:r w:rsidRPr="00293EB2">
        <w:rPr>
          <w:rFonts w:eastAsiaTheme="minorEastAsia"/>
          <w:rtl/>
        </w:rPr>
        <w:t xml:space="preserve"> لدى الدولة نابع من تخميناتها بشأن وقوع اضطراب سياسي. </w:t>
      </w:r>
    </w:p>
    <w:p w14:paraId="66AF843E" w14:textId="7D1AE5C9" w:rsidR="00C06137" w:rsidRPr="00293EB2" w:rsidRDefault="00C06137" w:rsidP="00293EB2">
      <w:pPr>
        <w:pStyle w:val="SingleTxtGA"/>
        <w:rPr>
          <w:rFonts w:eastAsiaTheme="minorEastAsia"/>
          <w:rtl/>
        </w:rPr>
      </w:pPr>
      <w:r w:rsidRPr="004869A6">
        <w:rPr>
          <w:rFonts w:eastAsiaTheme="minorEastAsia"/>
          <w:rtl/>
        </w:rPr>
        <w:t>7</w:t>
      </w:r>
      <w:r w:rsidRPr="00293EB2">
        <w:rPr>
          <w:rFonts w:eastAsiaTheme="minorEastAsia"/>
          <w:rtl/>
        </w:rPr>
        <w:t>-</w:t>
      </w:r>
      <w:r w:rsidRPr="004869A6">
        <w:rPr>
          <w:rFonts w:eastAsiaTheme="minorEastAsia"/>
          <w:rtl/>
        </w:rPr>
        <w:t>9</w:t>
      </w:r>
      <w:r w:rsidRPr="00293EB2">
        <w:rPr>
          <w:rFonts w:eastAsiaTheme="minorEastAsia"/>
          <w:rtl/>
        </w:rPr>
        <w:tab/>
        <w:t xml:space="preserve">ويطعن صاحبا البلاغ في محاولة الدولة الطرف إساءة تأويل قرار المحكمة الأوروبية لحقوق الإنسان في قضية </w:t>
      </w:r>
      <w:proofErr w:type="spellStart"/>
      <w:r w:rsidRPr="00022A20">
        <w:rPr>
          <w:rFonts w:eastAsiaTheme="minorEastAsia"/>
          <w:i/>
          <w:iCs/>
          <w:rtl/>
        </w:rPr>
        <w:t>كوكوناكيس</w:t>
      </w:r>
      <w:proofErr w:type="spellEnd"/>
      <w:r w:rsidRPr="00022A20">
        <w:rPr>
          <w:rFonts w:eastAsiaTheme="minorEastAsia"/>
          <w:i/>
          <w:iCs/>
          <w:rtl/>
        </w:rPr>
        <w:t xml:space="preserve"> ضد اليونان</w:t>
      </w:r>
      <w:r w:rsidRPr="00293EB2">
        <w:rPr>
          <w:rFonts w:eastAsiaTheme="minorEastAsia"/>
          <w:rtl/>
        </w:rPr>
        <w:t>، وهو قرار ذو تأثير، إذ تطبقه لتبرير القيود على حرية الدين. فحسب رأي صاحبي البلاغ، أخطأت الدولة الطرف عندما استشهدت بادعاء حكومة اليونان المشكوك فيه</w:t>
      </w:r>
      <w:r w:rsidR="00391D83">
        <w:rPr>
          <w:rFonts w:eastAsiaTheme="minorEastAsia" w:hint="cs"/>
          <w:rtl/>
        </w:rPr>
        <w:t> </w:t>
      </w:r>
      <w:r w:rsidRPr="00293EB2">
        <w:rPr>
          <w:rFonts w:eastAsiaTheme="minorEastAsia"/>
          <w:rtl/>
        </w:rPr>
        <w:t>أن القيود على النشاط الديني ضرورية لأن عدم فرضها سيتسبب في اضطرابات كبرى ستؤدي إلى</w:t>
      </w:r>
      <w:r w:rsidR="00391D83">
        <w:rPr>
          <w:rFonts w:eastAsiaTheme="minorEastAsia" w:hint="cs"/>
          <w:rtl/>
        </w:rPr>
        <w:t> </w:t>
      </w:r>
      <w:r w:rsidRPr="00293EB2">
        <w:rPr>
          <w:rFonts w:eastAsiaTheme="minorEastAsia"/>
          <w:rtl/>
        </w:rPr>
        <w:t>الإخلال بالسلم الاجتماعي</w:t>
      </w:r>
      <w:r w:rsidR="005A76D5" w:rsidRPr="004869A6">
        <w:rPr>
          <w:rStyle w:val="FootnoteReference"/>
          <w:rFonts w:eastAsiaTheme="minorEastAsia" w:cs="Simplified Arabic"/>
          <w:sz w:val="22"/>
          <w:szCs w:val="22"/>
          <w:rtl/>
        </w:rPr>
        <w:t>(</w:t>
      </w:r>
      <w:r w:rsidR="005A76D5" w:rsidRPr="004869A6">
        <w:rPr>
          <w:rStyle w:val="FootnoteReference"/>
          <w:rFonts w:eastAsiaTheme="minorEastAsia" w:cs="Simplified Arabic"/>
          <w:b w:val="0"/>
          <w:bCs/>
          <w:sz w:val="22"/>
          <w:szCs w:val="22"/>
          <w:lang w:val="en-US"/>
        </w:rPr>
        <w:footnoteReference w:id="7"/>
      </w:r>
      <w:r w:rsidR="005A76D5" w:rsidRPr="005A76D5">
        <w:rPr>
          <w:rFonts w:eastAsiaTheme="minorEastAsia"/>
          <w:vertAlign w:val="superscript"/>
          <w:rtl/>
        </w:rPr>
        <w:t>)</w:t>
      </w:r>
      <w:r w:rsidR="005A76D5" w:rsidRPr="005A76D5">
        <w:rPr>
          <w:rFonts w:eastAsiaTheme="minorEastAsia"/>
          <w:rtl/>
        </w:rPr>
        <w:t xml:space="preserve">. </w:t>
      </w:r>
      <w:r w:rsidRPr="00293EB2">
        <w:rPr>
          <w:rFonts w:eastAsiaTheme="minorEastAsia"/>
          <w:rtl/>
        </w:rPr>
        <w:t>وقد رفضت المحكمة الأوروبية لحقوق الإنسان ذلك الادعاء وكانت محقة في ذلك.</w:t>
      </w:r>
    </w:p>
    <w:p w14:paraId="76711A15" w14:textId="3D86ABCB" w:rsidR="00C06137" w:rsidRPr="00293EB2" w:rsidRDefault="00C06137" w:rsidP="00293EB2">
      <w:pPr>
        <w:pStyle w:val="SingleTxtGA"/>
        <w:rPr>
          <w:rFonts w:eastAsiaTheme="minorEastAsia"/>
          <w:rtl/>
        </w:rPr>
      </w:pPr>
      <w:r w:rsidRPr="004869A6">
        <w:rPr>
          <w:rFonts w:eastAsiaTheme="minorEastAsia"/>
          <w:rtl/>
        </w:rPr>
        <w:t>7</w:t>
      </w:r>
      <w:r w:rsidRPr="00293EB2">
        <w:rPr>
          <w:rFonts w:eastAsiaTheme="minorEastAsia"/>
          <w:rtl/>
        </w:rPr>
        <w:t>-</w:t>
      </w:r>
      <w:r w:rsidRPr="004869A6">
        <w:rPr>
          <w:rFonts w:eastAsiaTheme="minorEastAsia"/>
          <w:rtl/>
        </w:rPr>
        <w:t>10</w:t>
      </w:r>
      <w:r w:rsidRPr="00293EB2">
        <w:rPr>
          <w:rFonts w:eastAsiaTheme="minorEastAsia"/>
          <w:rtl/>
        </w:rPr>
        <w:tab/>
        <w:t xml:space="preserve">ويقول صاحبا البلاغ إن الدولة الطرف تجاهلت أنه ليس لأي دولة اختصاصُ اتخاذ قرارات في المجال الديني. بل إن عدم أهليتها هذا بالتحديد وضرورة تقييد سلطة الدولة بصرامة في هذا الشأن يجعل اللجنة في موقع أفضل لتقييم أثر تطبيق القانون المتعلق بحرية المعتقدات الدينية. وفي الختام، تقر الدولة الطرف بأنها تفرض التسجيل كشرط مسبق لممارسة الحرية الدينية، وهو تصرف وجدت اللجنة أنه لا يفي بشرط التناسب ولا يلبي مقتضيات المادة </w:t>
      </w:r>
      <w:r w:rsidRPr="004869A6">
        <w:rPr>
          <w:rFonts w:eastAsiaTheme="minorEastAsia"/>
          <w:rtl/>
        </w:rPr>
        <w:t>18</w:t>
      </w:r>
      <w:r w:rsidR="005A76D5" w:rsidRPr="004869A6">
        <w:rPr>
          <w:rStyle w:val="FootnoteReference"/>
          <w:rFonts w:eastAsiaTheme="minorEastAsia" w:cs="Simplified Arabic"/>
          <w:sz w:val="22"/>
          <w:szCs w:val="22"/>
          <w:rtl/>
        </w:rPr>
        <w:t>(</w:t>
      </w:r>
      <w:r w:rsidR="005A76D5" w:rsidRPr="00FD3408">
        <w:rPr>
          <w:rStyle w:val="FootnoteReference"/>
          <w:rFonts w:eastAsiaTheme="minorEastAsia" w:cs="Simplified Arabic"/>
          <w:b w:val="0"/>
          <w:bCs/>
          <w:sz w:val="22"/>
          <w:szCs w:val="22"/>
          <w:lang w:val="en-US"/>
        </w:rPr>
        <w:footnoteReference w:id="8"/>
      </w:r>
      <w:r w:rsidR="005A76D5" w:rsidRPr="005A76D5">
        <w:rPr>
          <w:rFonts w:eastAsiaTheme="minorEastAsia"/>
          <w:vertAlign w:val="superscript"/>
          <w:rtl/>
        </w:rPr>
        <w:t>)</w:t>
      </w:r>
      <w:r w:rsidR="005A76D5" w:rsidRPr="005A76D5">
        <w:rPr>
          <w:rFonts w:eastAsiaTheme="minorEastAsia"/>
          <w:rtl/>
        </w:rPr>
        <w:t xml:space="preserve">. </w:t>
      </w:r>
    </w:p>
    <w:p w14:paraId="6C02967B" w14:textId="0AED7C8C" w:rsidR="00C06137" w:rsidRPr="00293EB2" w:rsidRDefault="00C06137" w:rsidP="00293EB2">
      <w:pPr>
        <w:pStyle w:val="SingleTxtGA"/>
        <w:rPr>
          <w:rFonts w:eastAsiaTheme="minorEastAsia"/>
          <w:rtl/>
        </w:rPr>
      </w:pPr>
      <w:r w:rsidRPr="004869A6">
        <w:rPr>
          <w:rFonts w:eastAsiaTheme="minorEastAsia"/>
          <w:rtl/>
        </w:rPr>
        <w:t>7</w:t>
      </w:r>
      <w:r w:rsidRPr="00293EB2">
        <w:rPr>
          <w:rFonts w:eastAsiaTheme="minorEastAsia"/>
          <w:rtl/>
        </w:rPr>
        <w:t>-</w:t>
      </w:r>
      <w:r w:rsidRPr="004869A6">
        <w:rPr>
          <w:rFonts w:eastAsiaTheme="minorEastAsia"/>
          <w:rtl/>
        </w:rPr>
        <w:t>11</w:t>
      </w:r>
      <w:r w:rsidRPr="00293EB2">
        <w:rPr>
          <w:rFonts w:eastAsiaTheme="minorEastAsia"/>
          <w:rtl/>
        </w:rPr>
        <w:tab/>
        <w:t xml:space="preserve">وفيما يتعلق بطرد السيد </w:t>
      </w:r>
      <w:proofErr w:type="spellStart"/>
      <w:r w:rsidRPr="00293EB2">
        <w:rPr>
          <w:rFonts w:eastAsiaTheme="minorEastAsia"/>
          <w:rtl/>
        </w:rPr>
        <w:t>كفاراتسخيليا</w:t>
      </w:r>
      <w:proofErr w:type="spellEnd"/>
      <w:r w:rsidRPr="00293EB2">
        <w:rPr>
          <w:rFonts w:eastAsiaTheme="minorEastAsia"/>
          <w:rtl/>
        </w:rPr>
        <w:t xml:space="preserve"> من البلد، يلاحظ أصحاب البلاغ أنه لا يوجد دليل على أنه شكل أي خطر على رفاه البلد أو أنه أخل بالنظام العام. فقد اعتُقل واحتجز وأدين بارتكاب مخالفة إدارية وأُبعد عن البلد بناءً على ادّعاء انتهاكه المادة </w:t>
      </w:r>
      <w:r w:rsidRPr="004869A6">
        <w:rPr>
          <w:rFonts w:eastAsiaTheme="minorEastAsia"/>
          <w:rtl/>
        </w:rPr>
        <w:t>300</w:t>
      </w:r>
      <w:r w:rsidRPr="00293EB2">
        <w:rPr>
          <w:rFonts w:eastAsiaTheme="minorEastAsia"/>
          <w:rtl/>
        </w:rPr>
        <w:t>-</w:t>
      </w:r>
      <w:r w:rsidRPr="004869A6">
        <w:rPr>
          <w:rFonts w:eastAsiaTheme="minorEastAsia"/>
          <w:rtl/>
        </w:rPr>
        <w:t>0</w:t>
      </w:r>
      <w:r w:rsidRPr="00293EB2">
        <w:rPr>
          <w:rFonts w:eastAsiaTheme="minorEastAsia"/>
          <w:rtl/>
        </w:rPr>
        <w:t>-</w:t>
      </w:r>
      <w:r w:rsidRPr="004869A6">
        <w:rPr>
          <w:rFonts w:eastAsiaTheme="minorEastAsia"/>
          <w:rtl/>
        </w:rPr>
        <w:t>4</w:t>
      </w:r>
      <w:r w:rsidRPr="00293EB2">
        <w:rPr>
          <w:rFonts w:eastAsiaTheme="minorEastAsia"/>
          <w:rtl/>
        </w:rPr>
        <w:t xml:space="preserve"> من قانون المخالفات الإدارية، الذي يحظر على الأجانب نشر </w:t>
      </w:r>
      <w:proofErr w:type="spellStart"/>
      <w:r w:rsidRPr="00293EB2">
        <w:rPr>
          <w:rFonts w:eastAsiaTheme="minorEastAsia"/>
          <w:rtl/>
        </w:rPr>
        <w:t>البروباغندا</w:t>
      </w:r>
      <w:proofErr w:type="spellEnd"/>
      <w:r w:rsidRPr="00293EB2">
        <w:rPr>
          <w:rFonts w:eastAsiaTheme="minorEastAsia"/>
          <w:rtl/>
        </w:rPr>
        <w:t xml:space="preserve"> الدينية. ولا يرد في تشريعات الدولة الطرف أي تعريف أو شرح لمصطلح " </w:t>
      </w:r>
      <w:proofErr w:type="spellStart"/>
      <w:r w:rsidRPr="00293EB2">
        <w:rPr>
          <w:rFonts w:eastAsiaTheme="minorEastAsia"/>
          <w:rtl/>
        </w:rPr>
        <w:t>البروباغندا</w:t>
      </w:r>
      <w:proofErr w:type="spellEnd"/>
      <w:r w:rsidRPr="00293EB2">
        <w:rPr>
          <w:rFonts w:eastAsiaTheme="minorEastAsia"/>
          <w:rtl/>
        </w:rPr>
        <w:t xml:space="preserve"> الدينية". فالمصطلح الإنكليزي "</w:t>
      </w:r>
      <w:r w:rsidRPr="00293EB2">
        <w:rPr>
          <w:rFonts w:eastAsiaTheme="minorEastAsia"/>
        </w:rPr>
        <w:t>propaganda</w:t>
      </w:r>
      <w:r w:rsidRPr="00293EB2">
        <w:rPr>
          <w:rFonts w:eastAsiaTheme="minorEastAsia"/>
          <w:rtl/>
        </w:rPr>
        <w:t>" ليس عبارة قانونية وإنما هو كلمة إنكليزية عادية. واكتسبت بمرور الوقت معنى مزدوجاً. فكلمة "</w:t>
      </w:r>
      <w:r w:rsidRPr="00293EB2">
        <w:rPr>
          <w:rFonts w:eastAsiaTheme="minorEastAsia"/>
        </w:rPr>
        <w:t>propaganda</w:t>
      </w:r>
      <w:r w:rsidRPr="00293EB2">
        <w:rPr>
          <w:rFonts w:eastAsiaTheme="minorEastAsia"/>
          <w:rtl/>
        </w:rPr>
        <w:t xml:space="preserve">" كما وردت في القانون هي كلمة إنكليزية مترجمة من النص الأصلي باللغة </w:t>
      </w:r>
      <w:proofErr w:type="spellStart"/>
      <w:r w:rsidRPr="00293EB2">
        <w:rPr>
          <w:rFonts w:eastAsiaTheme="minorEastAsia"/>
          <w:rtl/>
        </w:rPr>
        <w:t>الأذرية</w:t>
      </w:r>
      <w:proofErr w:type="spellEnd"/>
      <w:r w:rsidRPr="00293EB2">
        <w:rPr>
          <w:rFonts w:eastAsiaTheme="minorEastAsia"/>
          <w:rtl/>
        </w:rPr>
        <w:t xml:space="preserve">. والكلمة </w:t>
      </w:r>
      <w:proofErr w:type="spellStart"/>
      <w:r w:rsidRPr="00293EB2">
        <w:rPr>
          <w:rFonts w:eastAsiaTheme="minorEastAsia"/>
          <w:rtl/>
        </w:rPr>
        <w:t>الأذرية</w:t>
      </w:r>
      <w:proofErr w:type="spellEnd"/>
      <w:r w:rsidRPr="00293EB2">
        <w:rPr>
          <w:rFonts w:eastAsiaTheme="minorEastAsia"/>
          <w:rtl/>
        </w:rPr>
        <w:t xml:space="preserve"> المستخدمة في المادة </w:t>
      </w:r>
      <w:r w:rsidRPr="004869A6">
        <w:rPr>
          <w:rFonts w:eastAsiaTheme="minorEastAsia"/>
          <w:rtl/>
        </w:rPr>
        <w:t>300</w:t>
      </w:r>
      <w:r w:rsidRPr="00293EB2">
        <w:rPr>
          <w:rFonts w:eastAsiaTheme="minorEastAsia"/>
          <w:rtl/>
        </w:rPr>
        <w:t>-</w:t>
      </w:r>
      <w:r w:rsidRPr="004869A6">
        <w:rPr>
          <w:rFonts w:eastAsiaTheme="minorEastAsia"/>
          <w:rtl/>
        </w:rPr>
        <w:t>0</w:t>
      </w:r>
      <w:r w:rsidRPr="00293EB2">
        <w:rPr>
          <w:rFonts w:eastAsiaTheme="minorEastAsia"/>
          <w:rtl/>
        </w:rPr>
        <w:t>-</w:t>
      </w:r>
      <w:r w:rsidRPr="004869A6">
        <w:rPr>
          <w:rFonts w:eastAsiaTheme="minorEastAsia"/>
          <w:rtl/>
        </w:rPr>
        <w:t>4</w:t>
      </w:r>
      <w:r w:rsidRPr="00293EB2">
        <w:rPr>
          <w:rFonts w:eastAsiaTheme="minorEastAsia"/>
          <w:rtl/>
        </w:rPr>
        <w:t xml:space="preserve"> من القانون هي </w:t>
      </w:r>
      <w:r w:rsidR="001A3148">
        <w:rPr>
          <w:rFonts w:eastAsiaTheme="minorEastAsia" w:hint="cs"/>
          <w:rtl/>
        </w:rPr>
        <w:t>"</w:t>
      </w:r>
      <w:proofErr w:type="spellStart"/>
      <w:r w:rsidRPr="004869A6">
        <w:rPr>
          <w:rFonts w:eastAsiaTheme="minorEastAsia"/>
          <w:i/>
          <w:iCs/>
        </w:rPr>
        <w:t>təbliğat</w:t>
      </w:r>
      <w:proofErr w:type="spellEnd"/>
      <w:r w:rsidR="001A3148">
        <w:rPr>
          <w:rFonts w:eastAsiaTheme="minorEastAsia" w:hint="cs"/>
          <w:rtl/>
        </w:rPr>
        <w:t>"</w:t>
      </w:r>
      <w:r w:rsidR="001A3148" w:rsidRPr="00293EB2">
        <w:rPr>
          <w:rFonts w:eastAsiaTheme="minorEastAsia"/>
          <w:rtl/>
        </w:rPr>
        <w:t xml:space="preserve"> </w:t>
      </w:r>
      <w:r w:rsidRPr="00293EB2">
        <w:rPr>
          <w:rFonts w:eastAsiaTheme="minorEastAsia"/>
          <w:rtl/>
        </w:rPr>
        <w:t>(تبليغات) وهي كلمة من أصل عربي. وهي تشبه الكلمة الإنكليزية لأنها مشتقة من جذر معناه "نَشَر". أما الكلمة الإنكليزية "</w:t>
      </w:r>
      <w:r w:rsidRPr="00293EB2">
        <w:rPr>
          <w:rFonts w:eastAsiaTheme="minorEastAsia"/>
        </w:rPr>
        <w:t>propaganda</w:t>
      </w:r>
      <w:r w:rsidRPr="00293EB2">
        <w:rPr>
          <w:rFonts w:eastAsiaTheme="minorEastAsia"/>
          <w:rtl/>
        </w:rPr>
        <w:t xml:space="preserve">" فهي مشتقة من كلمة لاتينية الأصل </w:t>
      </w:r>
      <w:r w:rsidRPr="00391D83">
        <w:rPr>
          <w:rFonts w:eastAsiaTheme="minorEastAsia"/>
          <w:spacing w:val="-6"/>
          <w:rtl/>
        </w:rPr>
        <w:t xml:space="preserve">ولها جذر زراعي، بمعنى نشر البذور، وتفيد، كما الكلمة </w:t>
      </w:r>
      <w:proofErr w:type="spellStart"/>
      <w:r w:rsidRPr="00391D83">
        <w:rPr>
          <w:rFonts w:eastAsiaTheme="minorEastAsia"/>
          <w:spacing w:val="-6"/>
          <w:rtl/>
        </w:rPr>
        <w:t>الأذيرية</w:t>
      </w:r>
      <w:proofErr w:type="spellEnd"/>
      <w:r w:rsidRPr="00391D83">
        <w:rPr>
          <w:rFonts w:eastAsiaTheme="minorEastAsia"/>
          <w:spacing w:val="-6"/>
          <w:rtl/>
        </w:rPr>
        <w:t xml:space="preserve">، معنى عام قد </w:t>
      </w:r>
      <w:r w:rsidRPr="00391D83">
        <w:rPr>
          <w:rFonts w:eastAsiaTheme="minorEastAsia"/>
          <w:vanish/>
          <w:spacing w:val="-6"/>
          <w:rtl/>
        </w:rPr>
        <w:t>ن ب</w:t>
      </w:r>
      <w:r w:rsidRPr="00391D83">
        <w:rPr>
          <w:rFonts w:eastAsiaTheme="minorEastAsia"/>
          <w:spacing w:val="-6"/>
          <w:rtl/>
        </w:rPr>
        <w:t xml:space="preserve">يكون إيجابياً أو سلبياً. فعلى سبيل المثال، يمكن استخدام الكلمة </w:t>
      </w:r>
      <w:proofErr w:type="spellStart"/>
      <w:r w:rsidRPr="00391D83">
        <w:rPr>
          <w:rFonts w:eastAsiaTheme="minorEastAsia"/>
          <w:spacing w:val="-6"/>
          <w:rtl/>
        </w:rPr>
        <w:t>الأذرية</w:t>
      </w:r>
      <w:proofErr w:type="spellEnd"/>
      <w:r w:rsidRPr="00391D83">
        <w:rPr>
          <w:rFonts w:eastAsiaTheme="minorEastAsia"/>
          <w:spacing w:val="-6"/>
          <w:rtl/>
        </w:rPr>
        <w:t xml:space="preserve"> للإشارة إلى حملات سياسية </w:t>
      </w:r>
      <w:r w:rsidRPr="004869A6">
        <w:rPr>
          <w:rFonts w:eastAsiaTheme="minorEastAsia"/>
          <w:i/>
          <w:iCs/>
          <w:spacing w:val="-6"/>
          <w:rtl/>
        </w:rPr>
        <w:t>(</w:t>
      </w:r>
      <w:proofErr w:type="spellStart"/>
      <w:r w:rsidRPr="004869A6">
        <w:rPr>
          <w:rFonts w:eastAsiaTheme="minorEastAsia"/>
          <w:i/>
          <w:iCs/>
          <w:spacing w:val="-6"/>
        </w:rPr>
        <w:t>siyasi</w:t>
      </w:r>
      <w:proofErr w:type="spellEnd"/>
      <w:r w:rsidRPr="00391D83">
        <w:rPr>
          <w:rFonts w:eastAsiaTheme="minorEastAsia"/>
          <w:spacing w:val="-6"/>
        </w:rPr>
        <w:t xml:space="preserve"> </w:t>
      </w:r>
      <w:proofErr w:type="spellStart"/>
      <w:r w:rsidRPr="004869A6">
        <w:rPr>
          <w:rFonts w:eastAsiaTheme="minorEastAsia"/>
          <w:i/>
          <w:iCs/>
          <w:spacing w:val="-6"/>
        </w:rPr>
        <w:t>təbliğat</w:t>
      </w:r>
      <w:proofErr w:type="spellEnd"/>
      <w:r w:rsidRPr="004869A6">
        <w:rPr>
          <w:rFonts w:eastAsiaTheme="minorEastAsia"/>
          <w:i/>
          <w:iCs/>
          <w:spacing w:val="-6"/>
        </w:rPr>
        <w:t xml:space="preserve"> </w:t>
      </w:r>
      <w:proofErr w:type="spellStart"/>
      <w:r w:rsidRPr="004869A6">
        <w:rPr>
          <w:rFonts w:eastAsiaTheme="minorEastAsia"/>
          <w:i/>
          <w:iCs/>
          <w:spacing w:val="-6"/>
        </w:rPr>
        <w:t>kampanıyası</w:t>
      </w:r>
      <w:proofErr w:type="spellEnd"/>
      <w:r w:rsidRPr="004869A6">
        <w:rPr>
          <w:rFonts w:eastAsiaTheme="minorEastAsia"/>
          <w:i/>
          <w:iCs/>
          <w:spacing w:val="-6"/>
          <w:rtl/>
        </w:rPr>
        <w:t>)</w:t>
      </w:r>
      <w:r w:rsidRPr="00391D83">
        <w:rPr>
          <w:rFonts w:eastAsiaTheme="minorEastAsia"/>
          <w:spacing w:val="-6"/>
          <w:rtl/>
        </w:rPr>
        <w:t xml:space="preserve"> أو</w:t>
      </w:r>
      <w:r w:rsidR="00391D83">
        <w:rPr>
          <w:rFonts w:eastAsiaTheme="minorEastAsia" w:hint="cs"/>
          <w:spacing w:val="-6"/>
          <w:rtl/>
        </w:rPr>
        <w:t> </w:t>
      </w:r>
      <w:r w:rsidRPr="00391D83">
        <w:rPr>
          <w:rFonts w:eastAsiaTheme="minorEastAsia"/>
          <w:spacing w:val="-6"/>
          <w:rtl/>
        </w:rPr>
        <w:t>للتشجيع على قراءة الكتب. وهي موجودة في اسم أُطلق على أحد مراكز تنظيم</w:t>
      </w:r>
      <w:r w:rsidRPr="00293EB2">
        <w:rPr>
          <w:rFonts w:eastAsiaTheme="minorEastAsia"/>
          <w:rtl/>
        </w:rPr>
        <w:t xml:space="preserve"> </w:t>
      </w:r>
      <w:r w:rsidRPr="00391D83">
        <w:rPr>
          <w:rFonts w:eastAsiaTheme="minorEastAsia"/>
          <w:spacing w:val="-6"/>
          <w:rtl/>
        </w:rPr>
        <w:t>المؤتمرات وفي مناسبات تقديم الكتب وفي اسم إحدى المكتبات (</w:t>
      </w:r>
      <w:r w:rsidR="00391D83" w:rsidRPr="004869A6">
        <w:rPr>
          <w:rFonts w:eastAsiaTheme="minorEastAsia"/>
          <w:spacing w:val="-6"/>
          <w:rtl/>
        </w:rPr>
        <w:t>“</w:t>
      </w:r>
      <w:proofErr w:type="spellStart"/>
      <w:r w:rsidRPr="004869A6">
        <w:rPr>
          <w:rFonts w:eastAsiaTheme="minorEastAsia"/>
          <w:i/>
          <w:iCs/>
          <w:spacing w:val="-6"/>
        </w:rPr>
        <w:t>Azərkitab</w:t>
      </w:r>
      <w:proofErr w:type="spellEnd"/>
      <w:r w:rsidR="001A3148" w:rsidRPr="0075243D">
        <w:rPr>
          <w:rFonts w:eastAsiaTheme="minorEastAsia"/>
          <w:spacing w:val="-6"/>
        </w:rPr>
        <w:t>”</w:t>
      </w:r>
      <w:r w:rsidRPr="00391D83">
        <w:rPr>
          <w:rFonts w:eastAsiaTheme="minorEastAsia"/>
          <w:spacing w:val="-6"/>
        </w:rPr>
        <w:t xml:space="preserve"> Kitab </w:t>
      </w:r>
      <w:proofErr w:type="spellStart"/>
      <w:r w:rsidRPr="00391D83">
        <w:rPr>
          <w:rFonts w:eastAsiaTheme="minorEastAsia"/>
          <w:spacing w:val="-6"/>
        </w:rPr>
        <w:t>Təbliğatı</w:t>
      </w:r>
      <w:proofErr w:type="spellEnd"/>
      <w:r w:rsidRPr="00391D83">
        <w:rPr>
          <w:rFonts w:eastAsiaTheme="minorEastAsia"/>
          <w:spacing w:val="-6"/>
        </w:rPr>
        <w:t xml:space="preserve"> </w:t>
      </w:r>
      <w:proofErr w:type="spellStart"/>
      <w:r w:rsidRPr="00391D83">
        <w:rPr>
          <w:rFonts w:eastAsiaTheme="minorEastAsia"/>
          <w:spacing w:val="-6"/>
        </w:rPr>
        <w:t>Mərkəz</w:t>
      </w:r>
      <w:r w:rsidR="005A76D5" w:rsidRPr="00391D83">
        <w:rPr>
          <w:rFonts w:eastAsiaTheme="minorEastAsia"/>
          <w:spacing w:val="-6"/>
        </w:rPr>
        <w:t>i</w:t>
      </w:r>
      <w:proofErr w:type="spellEnd"/>
      <w:r w:rsidR="005A76D5" w:rsidRPr="00391D83">
        <w:rPr>
          <w:rFonts w:eastAsiaTheme="minorEastAsia"/>
          <w:spacing w:val="-6"/>
          <w:rtl/>
        </w:rPr>
        <w:t xml:space="preserve">). </w:t>
      </w:r>
      <w:r w:rsidRPr="00391D83">
        <w:rPr>
          <w:rFonts w:eastAsiaTheme="minorEastAsia"/>
          <w:spacing w:val="-6"/>
          <w:rtl/>
        </w:rPr>
        <w:t>ومن</w:t>
      </w:r>
      <w:r w:rsidRPr="00293EB2">
        <w:rPr>
          <w:rFonts w:eastAsiaTheme="minorEastAsia"/>
          <w:rtl/>
        </w:rPr>
        <w:t xml:space="preserve"> الشائع استخدامها بغرض الدعاية لثقافة جديدة في وسط أناس آخرين. فعلى سبيل المثال، يسمى المكتب الوطني للدعاية السياحية (</w:t>
      </w:r>
      <w:r w:rsidRPr="00293EB2">
        <w:rPr>
          <w:rFonts w:eastAsiaTheme="minorEastAsia"/>
        </w:rPr>
        <w:t xml:space="preserve">Milli </w:t>
      </w:r>
      <w:proofErr w:type="spellStart"/>
      <w:r w:rsidRPr="00293EB2">
        <w:rPr>
          <w:rFonts w:eastAsiaTheme="minorEastAsia"/>
        </w:rPr>
        <w:t>Turizm</w:t>
      </w:r>
      <w:proofErr w:type="spellEnd"/>
      <w:r w:rsidRPr="00293EB2">
        <w:rPr>
          <w:rFonts w:eastAsiaTheme="minorEastAsia"/>
        </w:rPr>
        <w:t xml:space="preserve"> </w:t>
      </w:r>
      <w:proofErr w:type="spellStart"/>
      <w:r w:rsidRPr="00293EB2">
        <w:rPr>
          <w:rFonts w:eastAsiaTheme="minorEastAsia"/>
        </w:rPr>
        <w:t>Təbliğat</w:t>
      </w:r>
      <w:proofErr w:type="spellEnd"/>
      <w:r w:rsidRPr="00293EB2">
        <w:rPr>
          <w:rFonts w:eastAsiaTheme="minorEastAsia"/>
        </w:rPr>
        <w:t xml:space="preserve"> </w:t>
      </w:r>
      <w:proofErr w:type="spellStart"/>
      <w:r w:rsidRPr="00293EB2">
        <w:rPr>
          <w:rFonts w:eastAsiaTheme="minorEastAsia"/>
        </w:rPr>
        <w:t>Büros</w:t>
      </w:r>
      <w:r w:rsidR="005A76D5" w:rsidRPr="005A76D5">
        <w:rPr>
          <w:rFonts w:eastAsiaTheme="minorEastAsia"/>
        </w:rPr>
        <w:t>u</w:t>
      </w:r>
      <w:proofErr w:type="spellEnd"/>
      <w:r w:rsidR="005A76D5" w:rsidRPr="005A76D5">
        <w:rPr>
          <w:rFonts w:eastAsiaTheme="minorEastAsia"/>
          <w:rtl/>
        </w:rPr>
        <w:t xml:space="preserve">). </w:t>
      </w:r>
      <w:r w:rsidRPr="00293EB2">
        <w:rPr>
          <w:rFonts w:eastAsiaTheme="minorEastAsia"/>
          <w:rtl/>
        </w:rPr>
        <w:t xml:space="preserve">وهكذا، فإن المادة </w:t>
      </w:r>
      <w:r w:rsidRPr="004869A6">
        <w:rPr>
          <w:rFonts w:eastAsiaTheme="minorEastAsia"/>
          <w:rtl/>
        </w:rPr>
        <w:t>300</w:t>
      </w:r>
      <w:r w:rsidRPr="00293EB2">
        <w:rPr>
          <w:rFonts w:eastAsiaTheme="minorEastAsia"/>
          <w:rtl/>
        </w:rPr>
        <w:t>-</w:t>
      </w:r>
      <w:r w:rsidRPr="004869A6">
        <w:rPr>
          <w:rFonts w:eastAsiaTheme="minorEastAsia"/>
          <w:rtl/>
        </w:rPr>
        <w:t>0</w:t>
      </w:r>
      <w:r w:rsidRPr="00293EB2">
        <w:rPr>
          <w:rFonts w:eastAsiaTheme="minorEastAsia"/>
          <w:rtl/>
        </w:rPr>
        <w:t>-</w:t>
      </w:r>
      <w:r w:rsidRPr="004869A6">
        <w:rPr>
          <w:rFonts w:eastAsiaTheme="minorEastAsia"/>
          <w:rtl/>
        </w:rPr>
        <w:t>4</w:t>
      </w:r>
      <w:r w:rsidRPr="00293EB2">
        <w:rPr>
          <w:rFonts w:eastAsiaTheme="minorEastAsia"/>
          <w:rtl/>
        </w:rPr>
        <w:t xml:space="preserve"> تتوخى جعل مجرد عرض شخص أجنبي لجوانب دينية من ثقافة جديدة على شخص آخر عملاً يخالف القانون. وهذا التفسير العام يحظر أي نشاط، بغض النظر عن مدى براءته، إذا كان نشاطاً دينياً ويقوم به شخص أجنبي. وقد</w:t>
      </w:r>
      <w:r w:rsidR="0075243D">
        <w:rPr>
          <w:rFonts w:eastAsiaTheme="minorEastAsia" w:hint="cs"/>
          <w:rtl/>
        </w:rPr>
        <w:t> </w:t>
      </w:r>
      <w:r w:rsidRPr="00293EB2">
        <w:rPr>
          <w:rFonts w:eastAsiaTheme="minorEastAsia"/>
          <w:rtl/>
        </w:rPr>
        <w:t>فسّرت الدولة الطرف كلمة "</w:t>
      </w:r>
      <w:r w:rsidRPr="00293EB2">
        <w:rPr>
          <w:rFonts w:eastAsiaTheme="minorEastAsia"/>
        </w:rPr>
        <w:t>propaganda</w:t>
      </w:r>
      <w:r w:rsidRPr="00293EB2">
        <w:rPr>
          <w:rFonts w:eastAsiaTheme="minorEastAsia"/>
          <w:rtl/>
        </w:rPr>
        <w:t xml:space="preserve">" تفسيراً فضفاضاً على نحو يجعلها تنطبق على سلوك من الواضح أنه سلوك قانوني. وفي هذه الحالة، عوقب السيد </w:t>
      </w:r>
      <w:proofErr w:type="spellStart"/>
      <w:r w:rsidRPr="00293EB2">
        <w:rPr>
          <w:rFonts w:eastAsiaTheme="minorEastAsia"/>
          <w:rtl/>
        </w:rPr>
        <w:t>كفاراتسخيليا</w:t>
      </w:r>
      <w:proofErr w:type="spellEnd"/>
      <w:r w:rsidRPr="00293EB2">
        <w:rPr>
          <w:rFonts w:eastAsiaTheme="minorEastAsia"/>
          <w:rtl/>
        </w:rPr>
        <w:t xml:space="preserve"> على مجرد حضور طقس ديني سلمي لشهود يهوه، عُقد في بيت خاص. </w:t>
      </w:r>
    </w:p>
    <w:p w14:paraId="3A53DA74" w14:textId="4064F653" w:rsidR="00C06137" w:rsidRPr="00293EB2" w:rsidRDefault="00C06137" w:rsidP="00293EB2">
      <w:pPr>
        <w:pStyle w:val="SingleTxtGA"/>
        <w:rPr>
          <w:rFonts w:eastAsiaTheme="minorEastAsia"/>
          <w:rtl/>
        </w:rPr>
      </w:pPr>
      <w:r w:rsidRPr="004869A6">
        <w:rPr>
          <w:rFonts w:eastAsiaTheme="minorEastAsia"/>
          <w:rtl/>
        </w:rPr>
        <w:t>7</w:t>
      </w:r>
      <w:r w:rsidRPr="00293EB2">
        <w:rPr>
          <w:rFonts w:eastAsiaTheme="minorEastAsia"/>
          <w:rtl/>
        </w:rPr>
        <w:t>-</w:t>
      </w:r>
      <w:r w:rsidRPr="004869A6">
        <w:rPr>
          <w:rFonts w:eastAsiaTheme="minorEastAsia"/>
          <w:rtl/>
        </w:rPr>
        <w:t>12</w:t>
      </w:r>
      <w:r w:rsidRPr="00293EB2">
        <w:rPr>
          <w:rFonts w:eastAsiaTheme="minorEastAsia"/>
          <w:rtl/>
        </w:rPr>
        <w:tab/>
        <w:t>وقد يكون لكلمة "</w:t>
      </w:r>
      <w:r w:rsidRPr="00293EB2">
        <w:rPr>
          <w:rFonts w:eastAsiaTheme="minorEastAsia"/>
        </w:rPr>
        <w:t>propaganda</w:t>
      </w:r>
      <w:r w:rsidRPr="00293EB2">
        <w:rPr>
          <w:rFonts w:eastAsiaTheme="minorEastAsia"/>
          <w:rtl/>
        </w:rPr>
        <w:t>" أيضاً معنى ينطوي على احتقار. فعلى سبيل المثال، استعرضت المحكمة الأوروبية لحقوق الإنسان أحكام القانون الجنائي في تركيا، الذي يحضر الـ</w:t>
      </w:r>
      <w:r w:rsidR="00695E47">
        <w:rPr>
          <w:rFonts w:eastAsiaTheme="minorEastAsia" w:hint="eastAsia"/>
          <w:rtl/>
        </w:rPr>
        <w:t> </w:t>
      </w:r>
      <w:r w:rsidRPr="00293EB2">
        <w:rPr>
          <w:rFonts w:eastAsiaTheme="minorEastAsia"/>
          <w:rtl/>
        </w:rPr>
        <w:t>"</w:t>
      </w:r>
      <w:r w:rsidRPr="00293EB2">
        <w:rPr>
          <w:rFonts w:eastAsiaTheme="minorEastAsia"/>
        </w:rPr>
        <w:t>propaganda</w:t>
      </w:r>
      <w:r w:rsidRPr="00293EB2">
        <w:rPr>
          <w:rFonts w:eastAsiaTheme="minorEastAsia"/>
          <w:rtl/>
        </w:rPr>
        <w:t>" المؤذية. ولاحظت المحكمة، في قضيتين، أن القانون المحلي قد عرّف المصطلح بناءً على معايير مفصلة تدرِج باستفاضة أنواع السلوك التي تتسبب في مخالفة قانونية. وفي القضيتين، وجدت المحكمة مع ذلك أن القانون المطعون فيه، رغم كونه قانوناً معتمداً وشرعياً، لا يتناسب مع المخالفات، حيث لا تنطوي أي من القضيتين على تحريض على العنف. في قضية ثالثة، حُل حزب سياسي نشر "(</w:t>
      </w:r>
      <w:r w:rsidRPr="00293EB2">
        <w:rPr>
          <w:rFonts w:eastAsiaTheme="minorEastAsia"/>
        </w:rPr>
        <w:t>propagand</w:t>
      </w:r>
      <w:r w:rsidR="005A76D5" w:rsidRPr="005A76D5">
        <w:rPr>
          <w:rFonts w:eastAsiaTheme="minorEastAsia"/>
        </w:rPr>
        <w:t>a</w:t>
      </w:r>
      <w:r w:rsidR="005A76D5" w:rsidRPr="005A76D5">
        <w:rPr>
          <w:rFonts w:eastAsiaTheme="minorEastAsia"/>
          <w:rtl/>
        </w:rPr>
        <w:t xml:space="preserve">) </w:t>
      </w:r>
      <w:r w:rsidRPr="00293EB2">
        <w:rPr>
          <w:rFonts w:eastAsiaTheme="minorEastAsia"/>
          <w:rtl/>
        </w:rPr>
        <w:t xml:space="preserve">تستند إلى الاختلافات العرقية وترمي إلى تدمير النظام الدستوري"، تقرر أنه انتهك للاتفاقية. وبخلاف ذلك، لم تتضمن المادة </w:t>
      </w:r>
      <w:r w:rsidRPr="004869A6">
        <w:rPr>
          <w:rFonts w:eastAsiaTheme="minorEastAsia"/>
          <w:rtl/>
        </w:rPr>
        <w:t>300</w:t>
      </w:r>
      <w:r w:rsidRPr="00293EB2">
        <w:rPr>
          <w:rFonts w:eastAsiaTheme="minorEastAsia"/>
          <w:rtl/>
        </w:rPr>
        <w:t>-</w:t>
      </w:r>
      <w:r w:rsidRPr="004869A6">
        <w:rPr>
          <w:rFonts w:eastAsiaTheme="minorEastAsia"/>
          <w:rtl/>
        </w:rPr>
        <w:t>0</w:t>
      </w:r>
      <w:r w:rsidRPr="00293EB2">
        <w:rPr>
          <w:rFonts w:eastAsiaTheme="minorEastAsia"/>
          <w:rtl/>
        </w:rPr>
        <w:t>-</w:t>
      </w:r>
      <w:r w:rsidRPr="004869A6">
        <w:rPr>
          <w:rFonts w:eastAsiaTheme="minorEastAsia"/>
          <w:rtl/>
        </w:rPr>
        <w:t>4</w:t>
      </w:r>
      <w:r w:rsidRPr="00293EB2">
        <w:rPr>
          <w:rFonts w:eastAsiaTheme="minorEastAsia"/>
          <w:rtl/>
        </w:rPr>
        <w:t xml:space="preserve"> من قانون المخالفات الإدارية أي معايير على</w:t>
      </w:r>
      <w:r w:rsidR="00FD3408">
        <w:rPr>
          <w:rFonts w:eastAsiaTheme="minorEastAsia" w:hint="cs"/>
          <w:rtl/>
        </w:rPr>
        <w:t> </w:t>
      </w:r>
      <w:r w:rsidRPr="00293EB2">
        <w:rPr>
          <w:rFonts w:eastAsiaTheme="minorEastAsia"/>
          <w:rtl/>
        </w:rPr>
        <w:t xml:space="preserve">الإطلاق، ناهيك عن معايير "مستفيضة"، وعن أن تصرف السيد </w:t>
      </w:r>
      <w:proofErr w:type="spellStart"/>
      <w:r w:rsidRPr="00293EB2">
        <w:rPr>
          <w:rFonts w:eastAsiaTheme="minorEastAsia"/>
          <w:rtl/>
        </w:rPr>
        <w:t>كفاراتسخيليا</w:t>
      </w:r>
      <w:proofErr w:type="spellEnd"/>
      <w:r w:rsidRPr="00293EB2">
        <w:rPr>
          <w:rFonts w:eastAsiaTheme="minorEastAsia"/>
          <w:rtl/>
        </w:rPr>
        <w:t xml:space="preserve"> كان سلمياً وغير عنيف ولا</w:t>
      </w:r>
      <w:r w:rsidR="001A3148">
        <w:rPr>
          <w:rFonts w:eastAsiaTheme="minorEastAsia" w:hint="eastAsia"/>
          <w:rtl/>
        </w:rPr>
        <w:t> </w:t>
      </w:r>
      <w:r w:rsidRPr="00293EB2">
        <w:rPr>
          <w:rFonts w:eastAsiaTheme="minorEastAsia"/>
          <w:rtl/>
        </w:rPr>
        <w:t>-</w:t>
      </w:r>
      <w:r w:rsidR="001A3148">
        <w:rPr>
          <w:rFonts w:eastAsiaTheme="minorEastAsia" w:hint="cs"/>
          <w:rtl/>
        </w:rPr>
        <w:t xml:space="preserve"> </w:t>
      </w:r>
      <w:r w:rsidRPr="00293EB2">
        <w:rPr>
          <w:rFonts w:eastAsiaTheme="minorEastAsia"/>
          <w:rtl/>
        </w:rPr>
        <w:t xml:space="preserve">سياسي. </w:t>
      </w:r>
    </w:p>
    <w:p w14:paraId="3DF07207" w14:textId="3E8AB497" w:rsidR="00C06137" w:rsidRPr="00293EB2" w:rsidRDefault="00C06137" w:rsidP="00293EB2">
      <w:pPr>
        <w:pStyle w:val="SingleTxtGA"/>
        <w:rPr>
          <w:rFonts w:eastAsiaTheme="minorEastAsia"/>
          <w:rtl/>
        </w:rPr>
      </w:pPr>
      <w:r w:rsidRPr="004869A6">
        <w:rPr>
          <w:rFonts w:eastAsiaTheme="minorEastAsia"/>
          <w:rtl/>
        </w:rPr>
        <w:t>7</w:t>
      </w:r>
      <w:r w:rsidRPr="00293EB2">
        <w:rPr>
          <w:rFonts w:eastAsiaTheme="minorEastAsia"/>
          <w:rtl/>
        </w:rPr>
        <w:t>-</w:t>
      </w:r>
      <w:r w:rsidRPr="004869A6">
        <w:rPr>
          <w:rFonts w:eastAsiaTheme="minorEastAsia"/>
          <w:rtl/>
        </w:rPr>
        <w:t>13</w:t>
      </w:r>
      <w:r w:rsidRPr="00293EB2">
        <w:rPr>
          <w:rFonts w:eastAsiaTheme="minorEastAsia"/>
          <w:rtl/>
        </w:rPr>
        <w:tab/>
        <w:t xml:space="preserve">ويذكّر صاحبا البلاغ بأن المحكمة الأوروبية لحقوق الإنسان أحالت في تحليلها إلى سلسلة من القضايا التي أنشأت شرطاً نوعياً ينبغي توفره في أي قانون حتى يستطيع الفرد توقع متى يتم ارتكاب مخالفة قانونية. وهذا هو المبدأ الذي استُند إليه في قضية </w:t>
      </w:r>
      <w:proofErr w:type="spellStart"/>
      <w:r w:rsidRPr="00022A20">
        <w:rPr>
          <w:rFonts w:eastAsiaTheme="minorEastAsia"/>
          <w:i/>
          <w:iCs/>
          <w:rtl/>
        </w:rPr>
        <w:t>كوكيناكيس</w:t>
      </w:r>
      <w:proofErr w:type="spellEnd"/>
      <w:r w:rsidRPr="00022A20">
        <w:rPr>
          <w:rFonts w:eastAsiaTheme="minorEastAsia"/>
          <w:i/>
          <w:iCs/>
          <w:rtl/>
        </w:rPr>
        <w:t xml:space="preserve"> ضد اليونان</w:t>
      </w:r>
      <w:r w:rsidR="005A76D5" w:rsidRPr="004869A6">
        <w:rPr>
          <w:rStyle w:val="FootnoteReference"/>
          <w:rFonts w:eastAsiaTheme="minorEastAsia" w:cs="Simplified Arabic"/>
          <w:sz w:val="22"/>
          <w:szCs w:val="22"/>
          <w:rtl/>
        </w:rPr>
        <w:t>(</w:t>
      </w:r>
      <w:r w:rsidR="005A76D5" w:rsidRPr="004869A6">
        <w:rPr>
          <w:rStyle w:val="FootnoteReference"/>
          <w:rFonts w:eastAsiaTheme="minorEastAsia" w:cs="Simplified Arabic"/>
          <w:b w:val="0"/>
          <w:bCs/>
          <w:sz w:val="22"/>
          <w:szCs w:val="22"/>
          <w:lang w:val="en-US"/>
        </w:rPr>
        <w:footnoteReference w:id="9"/>
      </w:r>
      <w:r w:rsidR="005A76D5" w:rsidRPr="005A76D5">
        <w:rPr>
          <w:rFonts w:eastAsiaTheme="minorEastAsia"/>
          <w:vertAlign w:val="superscript"/>
          <w:rtl/>
        </w:rPr>
        <w:t>)</w:t>
      </w:r>
      <w:r w:rsidR="005A76D5" w:rsidRPr="005A76D5">
        <w:rPr>
          <w:rFonts w:eastAsiaTheme="minorEastAsia"/>
          <w:rtl/>
        </w:rPr>
        <w:t xml:space="preserve">، </w:t>
      </w:r>
      <w:r w:rsidRPr="00293EB2">
        <w:rPr>
          <w:rFonts w:eastAsiaTheme="minorEastAsia"/>
          <w:rtl/>
        </w:rPr>
        <w:t>الذي رأت فيه المحكمة أن من شأن مصطلح "التبشير"، الذي يشابه "</w:t>
      </w:r>
      <w:r w:rsidRPr="00293EB2">
        <w:rPr>
          <w:rFonts w:eastAsiaTheme="minorEastAsia"/>
        </w:rPr>
        <w:t>propaganda</w:t>
      </w:r>
      <w:r w:rsidRPr="00293EB2">
        <w:rPr>
          <w:rFonts w:eastAsiaTheme="minorEastAsia"/>
          <w:rtl/>
        </w:rPr>
        <w:t xml:space="preserve">"، أن يتضمن سلوكاً قانونياً وآخر غير سليم. ولأن المحاكم اليونانية لم تقيد تطبيق القانون المحلي بجعله يحظر أي سلوك غير سليم، فإن المحكمة قد وجدت أن المادة </w:t>
      </w:r>
      <w:r w:rsidRPr="004869A6">
        <w:rPr>
          <w:rFonts w:eastAsiaTheme="minorEastAsia"/>
          <w:rtl/>
        </w:rPr>
        <w:t>9</w:t>
      </w:r>
      <w:r w:rsidRPr="00293EB2">
        <w:rPr>
          <w:rFonts w:eastAsiaTheme="minorEastAsia"/>
          <w:rtl/>
        </w:rPr>
        <w:t xml:space="preserve"> من الاتفاقية قد انتُهكت. ورفضت المحاكم المحلية في هذه القضية كذلك تقييد تطبيق المادة </w:t>
      </w:r>
      <w:r w:rsidRPr="004869A6">
        <w:rPr>
          <w:rFonts w:eastAsiaTheme="minorEastAsia"/>
          <w:rtl/>
        </w:rPr>
        <w:t>300</w:t>
      </w:r>
      <w:r w:rsidRPr="00293EB2">
        <w:rPr>
          <w:rFonts w:eastAsiaTheme="minorEastAsia"/>
          <w:rtl/>
        </w:rPr>
        <w:t>-</w:t>
      </w:r>
      <w:r w:rsidR="0075243D">
        <w:rPr>
          <w:rFonts w:eastAsiaTheme="minorEastAsia" w:hint="cs"/>
          <w:rtl/>
        </w:rPr>
        <w:t>0</w:t>
      </w:r>
      <w:r w:rsidRPr="00293EB2">
        <w:rPr>
          <w:rFonts w:eastAsiaTheme="minorEastAsia"/>
          <w:rtl/>
        </w:rPr>
        <w:t>-</w:t>
      </w:r>
      <w:r w:rsidRPr="004869A6">
        <w:rPr>
          <w:rFonts w:eastAsiaTheme="minorEastAsia"/>
          <w:rtl/>
        </w:rPr>
        <w:t>4</w:t>
      </w:r>
      <w:r w:rsidRPr="00293EB2">
        <w:rPr>
          <w:rFonts w:eastAsiaTheme="minorEastAsia"/>
          <w:rtl/>
        </w:rPr>
        <w:t xml:space="preserve"> من قانون المخالفات الإد</w:t>
      </w:r>
      <w:r w:rsidR="0075243D">
        <w:rPr>
          <w:rFonts w:eastAsiaTheme="minorEastAsia" w:hint="cs"/>
          <w:rtl/>
        </w:rPr>
        <w:t>ا</w:t>
      </w:r>
      <w:r w:rsidRPr="00293EB2">
        <w:rPr>
          <w:rFonts w:eastAsiaTheme="minorEastAsia"/>
          <w:rtl/>
        </w:rPr>
        <w:t xml:space="preserve">رية. </w:t>
      </w:r>
    </w:p>
    <w:p w14:paraId="4C5340DF" w14:textId="5EF4155D" w:rsidR="00C06137" w:rsidRPr="00293EB2" w:rsidRDefault="00C06137" w:rsidP="00293EB2">
      <w:pPr>
        <w:pStyle w:val="SingleTxtGA"/>
        <w:rPr>
          <w:rFonts w:eastAsiaTheme="minorEastAsia"/>
          <w:rtl/>
        </w:rPr>
      </w:pPr>
      <w:r w:rsidRPr="004869A6">
        <w:rPr>
          <w:rFonts w:eastAsiaTheme="minorEastAsia"/>
          <w:rtl/>
        </w:rPr>
        <w:t>7</w:t>
      </w:r>
      <w:r w:rsidRPr="00293EB2">
        <w:rPr>
          <w:rFonts w:eastAsiaTheme="minorEastAsia"/>
          <w:rtl/>
        </w:rPr>
        <w:t>-</w:t>
      </w:r>
      <w:r w:rsidRPr="004869A6">
        <w:rPr>
          <w:rFonts w:eastAsiaTheme="minorEastAsia"/>
          <w:rtl/>
        </w:rPr>
        <w:t>14</w:t>
      </w:r>
      <w:r w:rsidRPr="00293EB2">
        <w:rPr>
          <w:rFonts w:eastAsiaTheme="minorEastAsia"/>
          <w:rtl/>
        </w:rPr>
        <w:tab/>
        <w:t xml:space="preserve">وقد كان السيد </w:t>
      </w:r>
      <w:proofErr w:type="spellStart"/>
      <w:r w:rsidRPr="00293EB2">
        <w:rPr>
          <w:rFonts w:eastAsiaTheme="minorEastAsia"/>
          <w:rtl/>
        </w:rPr>
        <w:t>كفاراتسخيليا</w:t>
      </w:r>
      <w:proofErr w:type="spellEnd"/>
      <w:r w:rsidRPr="00293EB2">
        <w:rPr>
          <w:rFonts w:eastAsiaTheme="minorEastAsia"/>
          <w:rtl/>
        </w:rPr>
        <w:t xml:space="preserve"> يعبر عن معتقداته الدينية الشخصية بكل إخلاص في إطار طقس ديني خاص. ولا يوجد أي دليل على أنه كان ضالع</w:t>
      </w:r>
      <w:r w:rsidR="00391D83">
        <w:rPr>
          <w:rFonts w:eastAsiaTheme="minorEastAsia"/>
          <w:rtl/>
        </w:rPr>
        <w:t xml:space="preserve">اً </w:t>
      </w:r>
      <w:r w:rsidRPr="00293EB2">
        <w:rPr>
          <w:rFonts w:eastAsiaTheme="minorEastAsia"/>
          <w:rtl/>
        </w:rPr>
        <w:t>في نشر بيانات تمييزية. كما لا يوجد دليل على أياً من شهود يهوا في أذربيجان يشاركون في العنف أو يحرضون عليه. ولا يوجد كذلك أي دليل على أن أياً من شهود يهوا في أذربيجان قد انضموا إلى منظمات إرهابية دينية في الخارج. ومع أن شهود يهوا يشكلون أقلية مسيحية في أذربيجان، فإنهم ليسوا حركة دينية راديكالية. وقد سجّلت الدولة شهود يهوا في باكو منذ</w:t>
      </w:r>
      <w:r w:rsidR="001A3148">
        <w:rPr>
          <w:rFonts w:eastAsiaTheme="minorEastAsia" w:hint="cs"/>
          <w:rtl/>
        </w:rPr>
        <w:t> </w:t>
      </w:r>
      <w:r w:rsidRPr="00293EB2">
        <w:rPr>
          <w:rFonts w:eastAsiaTheme="minorEastAsia"/>
          <w:rtl/>
        </w:rPr>
        <w:t>عام </w:t>
      </w:r>
      <w:r w:rsidRPr="004869A6">
        <w:rPr>
          <w:rFonts w:eastAsiaTheme="minorEastAsia"/>
          <w:rtl/>
        </w:rPr>
        <w:t>199</w:t>
      </w:r>
      <w:r w:rsidR="005A76D5" w:rsidRPr="004869A6">
        <w:rPr>
          <w:rFonts w:eastAsiaTheme="minorEastAsia"/>
          <w:rtl/>
        </w:rPr>
        <w:t>9</w:t>
      </w:r>
      <w:r w:rsidR="009105DA">
        <w:rPr>
          <w:rFonts w:eastAsiaTheme="minorEastAsia" w:hint="cs"/>
          <w:rtl/>
        </w:rPr>
        <w:t>.</w:t>
      </w:r>
    </w:p>
    <w:p w14:paraId="30EC8C0C" w14:textId="203B0B0B" w:rsidR="00C06137" w:rsidRPr="00022A20" w:rsidRDefault="00C06137" w:rsidP="00293EB2">
      <w:pPr>
        <w:pStyle w:val="SingleTxtGA"/>
        <w:rPr>
          <w:rFonts w:eastAsiaTheme="minorEastAsia"/>
          <w:spacing w:val="-4"/>
          <w:rtl/>
        </w:rPr>
      </w:pPr>
      <w:r w:rsidRPr="004869A6">
        <w:rPr>
          <w:rFonts w:eastAsiaTheme="minorEastAsia"/>
          <w:rtl/>
        </w:rPr>
        <w:t>7</w:t>
      </w:r>
      <w:r w:rsidRPr="00293EB2">
        <w:rPr>
          <w:rFonts w:eastAsiaTheme="minorEastAsia"/>
          <w:rtl/>
        </w:rPr>
        <w:t>-</w:t>
      </w:r>
      <w:r w:rsidRPr="004869A6">
        <w:rPr>
          <w:rFonts w:eastAsiaTheme="minorEastAsia"/>
          <w:rtl/>
        </w:rPr>
        <w:t>15</w:t>
      </w:r>
      <w:r w:rsidRPr="00293EB2">
        <w:rPr>
          <w:rFonts w:eastAsiaTheme="minorEastAsia"/>
          <w:rtl/>
        </w:rPr>
        <w:tab/>
        <w:t xml:space="preserve">وعلاوة على ذلك، يطعن السيد </w:t>
      </w:r>
      <w:proofErr w:type="spellStart"/>
      <w:r w:rsidRPr="00293EB2">
        <w:rPr>
          <w:rFonts w:eastAsiaTheme="minorEastAsia"/>
          <w:rtl/>
        </w:rPr>
        <w:t>كفاراتسخيليا</w:t>
      </w:r>
      <w:proofErr w:type="spellEnd"/>
      <w:r w:rsidRPr="00293EB2">
        <w:rPr>
          <w:rFonts w:eastAsiaTheme="minorEastAsia"/>
          <w:rtl/>
        </w:rPr>
        <w:t xml:space="preserve"> في ادعاء أنه تلقى قرار محكمة مقاطعة </w:t>
      </w:r>
      <w:proofErr w:type="spellStart"/>
      <w:r w:rsidRPr="00293EB2">
        <w:rPr>
          <w:rFonts w:eastAsiaTheme="minorEastAsia"/>
          <w:rtl/>
        </w:rPr>
        <w:t>غاراداغ</w:t>
      </w:r>
      <w:proofErr w:type="spellEnd"/>
      <w:r w:rsidRPr="00293EB2">
        <w:rPr>
          <w:rFonts w:eastAsiaTheme="minorEastAsia"/>
          <w:rtl/>
        </w:rPr>
        <w:t xml:space="preserve"> في</w:t>
      </w:r>
      <w:r w:rsidR="001A3148">
        <w:rPr>
          <w:rFonts w:eastAsiaTheme="minorEastAsia" w:hint="cs"/>
          <w:rtl/>
        </w:rPr>
        <w:t> </w:t>
      </w:r>
      <w:r w:rsidRPr="004869A6">
        <w:rPr>
          <w:rFonts w:eastAsiaTheme="minorEastAsia"/>
          <w:rtl/>
        </w:rPr>
        <w:t>6</w:t>
      </w:r>
      <w:r w:rsidRPr="00293EB2">
        <w:rPr>
          <w:rFonts w:eastAsiaTheme="minorEastAsia"/>
          <w:rtl/>
        </w:rPr>
        <w:t xml:space="preserve"> تموز/يوليه </w:t>
      </w:r>
      <w:r w:rsidRPr="004869A6">
        <w:rPr>
          <w:rFonts w:eastAsiaTheme="minorEastAsia"/>
          <w:rtl/>
        </w:rPr>
        <w:t>201</w:t>
      </w:r>
      <w:r w:rsidR="005A76D5" w:rsidRPr="004869A6">
        <w:rPr>
          <w:rFonts w:eastAsiaTheme="minorEastAsia"/>
          <w:rtl/>
        </w:rPr>
        <w:t>5</w:t>
      </w:r>
      <w:r w:rsidR="005A76D5" w:rsidRPr="005A76D5">
        <w:rPr>
          <w:rFonts w:eastAsiaTheme="minorEastAsia"/>
          <w:rtl/>
        </w:rPr>
        <w:t xml:space="preserve">. </w:t>
      </w:r>
      <w:r w:rsidRPr="00293EB2">
        <w:rPr>
          <w:rFonts w:eastAsiaTheme="minorEastAsia"/>
          <w:rtl/>
        </w:rPr>
        <w:t>فقد نُطق بحكم المحكمة شفهياً في ذلك اليوم، ولكنه لم يتلق نسخة من قرار المحكمة المكتوب. وهو لم يوقّع قط على أي إيصال باستلام القرار المكتوب. ولم تقدم الحكومة نسخة من</w:t>
      </w:r>
      <w:r w:rsidR="001A3148">
        <w:rPr>
          <w:rFonts w:eastAsiaTheme="minorEastAsia" w:hint="cs"/>
          <w:rtl/>
        </w:rPr>
        <w:t> </w:t>
      </w:r>
      <w:r w:rsidRPr="00293EB2">
        <w:rPr>
          <w:rFonts w:eastAsiaTheme="minorEastAsia"/>
          <w:rtl/>
        </w:rPr>
        <w:t xml:space="preserve">إيصال الاستلام المدعى ولا أي حجة على أنه تلقى نسخة من قرار المحكمة قبل </w:t>
      </w:r>
      <w:r w:rsidRPr="004869A6">
        <w:rPr>
          <w:rFonts w:eastAsiaTheme="minorEastAsia"/>
          <w:rtl/>
        </w:rPr>
        <w:t>10</w:t>
      </w:r>
      <w:r w:rsidRPr="00293EB2">
        <w:rPr>
          <w:rFonts w:eastAsiaTheme="minorEastAsia"/>
          <w:rtl/>
        </w:rPr>
        <w:t xml:space="preserve"> تشرين الثاني/</w:t>
      </w:r>
      <w:r w:rsidR="00695E47">
        <w:rPr>
          <w:rFonts w:eastAsiaTheme="minorEastAsia" w:hint="cs"/>
          <w:rtl/>
        </w:rPr>
        <w:t xml:space="preserve"> </w:t>
      </w:r>
      <w:r w:rsidRPr="00293EB2">
        <w:rPr>
          <w:rFonts w:eastAsiaTheme="minorEastAsia"/>
          <w:rtl/>
        </w:rPr>
        <w:t xml:space="preserve">نوفمبر </w:t>
      </w:r>
      <w:r w:rsidRPr="004869A6">
        <w:rPr>
          <w:rFonts w:eastAsiaTheme="minorEastAsia"/>
          <w:rtl/>
        </w:rPr>
        <w:t>2015</w:t>
      </w:r>
      <w:r w:rsidRPr="00293EB2">
        <w:rPr>
          <w:rFonts w:eastAsiaTheme="minorEastAsia"/>
          <w:rtl/>
        </w:rPr>
        <w:t xml:space="preserve">، عندما تسلم ذلك القرار بواسطة البريد. وكتب السيد </w:t>
      </w:r>
      <w:proofErr w:type="spellStart"/>
      <w:r w:rsidRPr="00293EB2">
        <w:rPr>
          <w:rFonts w:eastAsiaTheme="minorEastAsia"/>
          <w:rtl/>
        </w:rPr>
        <w:t>كفاراتسخيليا</w:t>
      </w:r>
      <w:proofErr w:type="spellEnd"/>
      <w:r w:rsidRPr="00293EB2">
        <w:rPr>
          <w:rFonts w:eastAsiaTheme="minorEastAsia"/>
          <w:rtl/>
        </w:rPr>
        <w:t xml:space="preserve"> إلى المحكمة مقاطعة </w:t>
      </w:r>
      <w:proofErr w:type="spellStart"/>
      <w:r w:rsidRPr="00293EB2">
        <w:rPr>
          <w:rFonts w:eastAsiaTheme="minorEastAsia"/>
          <w:rtl/>
        </w:rPr>
        <w:t>غاراداغ</w:t>
      </w:r>
      <w:proofErr w:type="spellEnd"/>
      <w:r w:rsidRPr="00293EB2">
        <w:rPr>
          <w:rFonts w:eastAsiaTheme="minorEastAsia"/>
          <w:rtl/>
        </w:rPr>
        <w:t xml:space="preserve"> في </w:t>
      </w:r>
      <w:r w:rsidRPr="004869A6">
        <w:rPr>
          <w:rFonts w:eastAsiaTheme="minorEastAsia"/>
          <w:rtl/>
        </w:rPr>
        <w:t>20</w:t>
      </w:r>
      <w:r w:rsidRPr="00293EB2">
        <w:rPr>
          <w:rFonts w:eastAsiaTheme="minorEastAsia"/>
          <w:rtl/>
        </w:rPr>
        <w:t xml:space="preserve"> تشرين الأول/أكتوبر </w:t>
      </w:r>
      <w:r w:rsidRPr="004869A6">
        <w:rPr>
          <w:rFonts w:eastAsiaTheme="minorEastAsia"/>
          <w:rtl/>
        </w:rPr>
        <w:t>2015</w:t>
      </w:r>
      <w:r w:rsidRPr="00293EB2">
        <w:rPr>
          <w:rFonts w:eastAsiaTheme="minorEastAsia"/>
          <w:rtl/>
        </w:rPr>
        <w:t xml:space="preserve"> لكي يطلب الحصول على نسخة من القرار، قائلاً بوضوح إنه لم يكن قد تلقاها بعد. وفي </w:t>
      </w:r>
      <w:r w:rsidRPr="004869A6">
        <w:rPr>
          <w:rFonts w:eastAsiaTheme="minorEastAsia"/>
          <w:rtl/>
        </w:rPr>
        <w:t>27</w:t>
      </w:r>
      <w:r w:rsidRPr="00293EB2">
        <w:rPr>
          <w:rFonts w:eastAsiaTheme="minorEastAsia"/>
          <w:rtl/>
        </w:rPr>
        <w:t xml:space="preserve"> تشرين الأول/أكتوبر </w:t>
      </w:r>
      <w:r w:rsidRPr="004869A6">
        <w:rPr>
          <w:rFonts w:eastAsiaTheme="minorEastAsia"/>
          <w:rtl/>
        </w:rPr>
        <w:t>2015</w:t>
      </w:r>
      <w:r w:rsidRPr="00293EB2">
        <w:rPr>
          <w:rFonts w:eastAsiaTheme="minorEastAsia"/>
          <w:rtl/>
        </w:rPr>
        <w:t xml:space="preserve">، بعثت إليه محكمة المقاطعة برسالة تضمنت نسخة من قراراها الصادر في </w:t>
      </w:r>
      <w:r w:rsidRPr="004869A6">
        <w:rPr>
          <w:rFonts w:eastAsiaTheme="minorEastAsia"/>
          <w:rtl/>
        </w:rPr>
        <w:t>6</w:t>
      </w:r>
      <w:r w:rsidRPr="00293EB2">
        <w:rPr>
          <w:rFonts w:eastAsiaTheme="minorEastAsia"/>
          <w:rtl/>
        </w:rPr>
        <w:t xml:space="preserve"> تموز/يوليه </w:t>
      </w:r>
      <w:r w:rsidRPr="004869A6">
        <w:rPr>
          <w:rFonts w:eastAsiaTheme="minorEastAsia"/>
          <w:rtl/>
        </w:rPr>
        <w:t>201</w:t>
      </w:r>
      <w:r w:rsidR="005A76D5" w:rsidRPr="004869A6">
        <w:rPr>
          <w:rFonts w:eastAsiaTheme="minorEastAsia"/>
          <w:rtl/>
        </w:rPr>
        <w:t>5</w:t>
      </w:r>
      <w:r w:rsidR="005A76D5" w:rsidRPr="005A76D5">
        <w:rPr>
          <w:rFonts w:eastAsiaTheme="minorEastAsia"/>
          <w:rtl/>
        </w:rPr>
        <w:t xml:space="preserve">. </w:t>
      </w:r>
      <w:r w:rsidRPr="00293EB2">
        <w:rPr>
          <w:rFonts w:eastAsiaTheme="minorEastAsia"/>
          <w:rtl/>
        </w:rPr>
        <w:t xml:space="preserve">ولم تطعن محكمة المقاطعة في ادعاء السيد </w:t>
      </w:r>
      <w:proofErr w:type="spellStart"/>
      <w:r w:rsidRPr="00293EB2">
        <w:rPr>
          <w:rFonts w:eastAsiaTheme="minorEastAsia"/>
          <w:rtl/>
        </w:rPr>
        <w:t>كفاراتسخيليا</w:t>
      </w:r>
      <w:proofErr w:type="spellEnd"/>
      <w:r w:rsidRPr="00293EB2">
        <w:rPr>
          <w:rFonts w:eastAsiaTheme="minorEastAsia"/>
          <w:rtl/>
        </w:rPr>
        <w:t xml:space="preserve"> أنه لم يتلق القرار كما أنها لم تذكر توقيعه على أي إيصال. ولم يأت ذكر</w:t>
      </w:r>
      <w:r w:rsidR="001A3148">
        <w:rPr>
          <w:rFonts w:eastAsiaTheme="minorEastAsia" w:hint="cs"/>
          <w:rtl/>
        </w:rPr>
        <w:t> </w:t>
      </w:r>
      <w:r w:rsidRPr="00293EB2">
        <w:rPr>
          <w:rFonts w:eastAsiaTheme="minorEastAsia"/>
          <w:rtl/>
        </w:rPr>
        <w:t>توقيع</w:t>
      </w:r>
      <w:r w:rsidR="001A3148">
        <w:rPr>
          <w:rFonts w:eastAsiaTheme="minorEastAsia" w:hint="eastAsia"/>
          <w:rtl/>
        </w:rPr>
        <w:t> </w:t>
      </w:r>
      <w:r w:rsidRPr="00293EB2">
        <w:rPr>
          <w:rFonts w:eastAsiaTheme="minorEastAsia"/>
          <w:rtl/>
        </w:rPr>
        <w:t xml:space="preserve">السيد </w:t>
      </w:r>
      <w:proofErr w:type="spellStart"/>
      <w:r w:rsidRPr="00293EB2">
        <w:rPr>
          <w:rFonts w:eastAsiaTheme="minorEastAsia"/>
          <w:rtl/>
        </w:rPr>
        <w:t>كفاراتسخيليا</w:t>
      </w:r>
      <w:proofErr w:type="spellEnd"/>
      <w:r w:rsidRPr="00293EB2">
        <w:rPr>
          <w:rFonts w:eastAsiaTheme="minorEastAsia"/>
          <w:rtl/>
        </w:rPr>
        <w:t xml:space="preserve"> على "إيصال" أول مرة إلا بعد صدور قرار محكمة الاستئناف في باكو بتاريخ</w:t>
      </w:r>
      <w:r w:rsidR="001A3148">
        <w:rPr>
          <w:rFonts w:eastAsiaTheme="minorEastAsia" w:hint="cs"/>
          <w:rtl/>
        </w:rPr>
        <w:t> </w:t>
      </w:r>
      <w:r w:rsidRPr="004869A6">
        <w:rPr>
          <w:rFonts w:eastAsiaTheme="minorEastAsia"/>
          <w:rtl/>
        </w:rPr>
        <w:t>18</w:t>
      </w:r>
      <w:r w:rsidRPr="00293EB2">
        <w:rPr>
          <w:rFonts w:eastAsiaTheme="minorEastAsia"/>
          <w:rtl/>
        </w:rPr>
        <w:t xml:space="preserve"> نيسان/أبريل </w:t>
      </w:r>
      <w:r w:rsidRPr="004869A6">
        <w:rPr>
          <w:rFonts w:eastAsiaTheme="minorEastAsia"/>
          <w:rtl/>
        </w:rPr>
        <w:t>2016</w:t>
      </w:r>
      <w:r w:rsidRPr="00293EB2">
        <w:rPr>
          <w:rFonts w:eastAsiaTheme="minorEastAsia"/>
          <w:rtl/>
        </w:rPr>
        <w:t xml:space="preserve">، عندما أضحت الاستفادة من أي سبيل انتصاف محلي للطعن في قرار محكمة الاستئناف واستنتاجاتها غير متاحة. ويؤكد السيد </w:t>
      </w:r>
      <w:proofErr w:type="spellStart"/>
      <w:r w:rsidRPr="00293EB2">
        <w:rPr>
          <w:rFonts w:eastAsiaTheme="minorEastAsia"/>
          <w:rtl/>
        </w:rPr>
        <w:t>كفاراتسخيليا</w:t>
      </w:r>
      <w:proofErr w:type="spellEnd"/>
      <w:r w:rsidRPr="00293EB2">
        <w:rPr>
          <w:rFonts w:eastAsiaTheme="minorEastAsia"/>
          <w:rtl/>
        </w:rPr>
        <w:t xml:space="preserve"> أنه لم يتلق قرار محكمة الاستئناف </w:t>
      </w:r>
      <w:r w:rsidRPr="00022A20">
        <w:rPr>
          <w:rFonts w:eastAsiaTheme="minorEastAsia"/>
          <w:spacing w:val="-4"/>
          <w:rtl/>
        </w:rPr>
        <w:t>إلا</w:t>
      </w:r>
      <w:r w:rsidR="00022A20" w:rsidRPr="00022A20">
        <w:rPr>
          <w:rFonts w:eastAsiaTheme="minorEastAsia" w:hint="cs"/>
          <w:spacing w:val="-4"/>
          <w:rtl/>
        </w:rPr>
        <w:t> </w:t>
      </w:r>
      <w:r w:rsidRPr="00022A20">
        <w:rPr>
          <w:rFonts w:eastAsiaTheme="minorEastAsia"/>
          <w:spacing w:val="-4"/>
          <w:rtl/>
        </w:rPr>
        <w:t>في</w:t>
      </w:r>
      <w:r w:rsidR="00022A20" w:rsidRPr="00022A20">
        <w:rPr>
          <w:rFonts w:eastAsiaTheme="minorEastAsia" w:hint="cs"/>
          <w:spacing w:val="-4"/>
          <w:rtl/>
        </w:rPr>
        <w:t> </w:t>
      </w:r>
      <w:r w:rsidRPr="004869A6">
        <w:rPr>
          <w:rFonts w:eastAsiaTheme="minorEastAsia"/>
          <w:spacing w:val="-4"/>
          <w:rtl/>
        </w:rPr>
        <w:t>30</w:t>
      </w:r>
      <w:r w:rsidRPr="00022A20">
        <w:rPr>
          <w:rFonts w:eastAsiaTheme="minorEastAsia"/>
          <w:spacing w:val="-4"/>
          <w:rtl/>
        </w:rPr>
        <w:t xml:space="preserve"> كانون الأول/ديسمبر </w:t>
      </w:r>
      <w:r w:rsidRPr="004869A6">
        <w:rPr>
          <w:rFonts w:eastAsiaTheme="minorEastAsia"/>
          <w:spacing w:val="-4"/>
          <w:rtl/>
        </w:rPr>
        <w:t>2016</w:t>
      </w:r>
      <w:r w:rsidRPr="00022A20">
        <w:rPr>
          <w:rFonts w:eastAsiaTheme="minorEastAsia"/>
          <w:spacing w:val="-4"/>
          <w:rtl/>
        </w:rPr>
        <w:t xml:space="preserve"> – أي بعد ثمانية أشهر من ذلك التاريخ – بعد أن طلبه مراراً</w:t>
      </w:r>
      <w:r w:rsidR="00022A20" w:rsidRPr="00022A20">
        <w:rPr>
          <w:rFonts w:eastAsiaTheme="minorEastAsia" w:hint="cs"/>
          <w:spacing w:val="-4"/>
          <w:rtl/>
        </w:rPr>
        <w:t xml:space="preserve"> </w:t>
      </w:r>
      <w:r w:rsidRPr="00022A20">
        <w:rPr>
          <w:rFonts w:eastAsiaTheme="minorEastAsia"/>
          <w:spacing w:val="-4"/>
          <w:rtl/>
        </w:rPr>
        <w:t xml:space="preserve">وتكراراً. </w:t>
      </w:r>
    </w:p>
    <w:p w14:paraId="7DC56473" w14:textId="27A3961F" w:rsidR="00C06137" w:rsidRPr="00293EB2" w:rsidRDefault="00C06137" w:rsidP="00293EB2">
      <w:pPr>
        <w:pStyle w:val="SingleTxtGA"/>
        <w:rPr>
          <w:rFonts w:eastAsiaTheme="minorEastAsia"/>
          <w:rtl/>
        </w:rPr>
      </w:pPr>
      <w:r w:rsidRPr="004869A6">
        <w:rPr>
          <w:rFonts w:eastAsiaTheme="minorEastAsia"/>
          <w:rtl/>
        </w:rPr>
        <w:t>7</w:t>
      </w:r>
      <w:r w:rsidRPr="00293EB2">
        <w:rPr>
          <w:rFonts w:eastAsiaTheme="minorEastAsia"/>
          <w:rtl/>
        </w:rPr>
        <w:t>-</w:t>
      </w:r>
      <w:r w:rsidRPr="004869A6">
        <w:rPr>
          <w:rFonts w:eastAsiaTheme="minorEastAsia"/>
          <w:rtl/>
        </w:rPr>
        <w:t>16</w:t>
      </w:r>
      <w:r w:rsidRPr="00293EB2">
        <w:rPr>
          <w:rFonts w:eastAsiaTheme="minorEastAsia"/>
          <w:rtl/>
        </w:rPr>
        <w:tab/>
        <w:t xml:space="preserve">ويطعن صاحب البلاغ كذلك في تأكيد الدولة الطرف أن المادتين </w:t>
      </w:r>
      <w:r w:rsidRPr="004869A6">
        <w:rPr>
          <w:rFonts w:eastAsiaTheme="minorEastAsia"/>
          <w:rtl/>
        </w:rPr>
        <w:t>299</w:t>
      </w:r>
      <w:r w:rsidRPr="00293EB2">
        <w:rPr>
          <w:rFonts w:eastAsiaTheme="minorEastAsia"/>
          <w:rtl/>
        </w:rPr>
        <w:t>-</w:t>
      </w:r>
      <w:r w:rsidRPr="004869A6">
        <w:rPr>
          <w:rFonts w:eastAsiaTheme="minorEastAsia"/>
          <w:rtl/>
        </w:rPr>
        <w:t>0</w:t>
      </w:r>
      <w:r w:rsidRPr="00293EB2">
        <w:rPr>
          <w:rFonts w:eastAsiaTheme="minorEastAsia"/>
          <w:rtl/>
        </w:rPr>
        <w:t>-</w:t>
      </w:r>
      <w:r w:rsidRPr="004869A6">
        <w:rPr>
          <w:rFonts w:eastAsiaTheme="minorEastAsia"/>
          <w:rtl/>
        </w:rPr>
        <w:t>2</w:t>
      </w:r>
      <w:r w:rsidRPr="00293EB2">
        <w:rPr>
          <w:rFonts w:eastAsiaTheme="minorEastAsia"/>
          <w:rtl/>
        </w:rPr>
        <w:t xml:space="preserve"> و</w:t>
      </w:r>
      <w:r w:rsidRPr="004869A6">
        <w:rPr>
          <w:rFonts w:eastAsiaTheme="minorEastAsia"/>
          <w:rtl/>
        </w:rPr>
        <w:t>300</w:t>
      </w:r>
      <w:r w:rsidRPr="00293EB2">
        <w:rPr>
          <w:rFonts w:eastAsiaTheme="minorEastAsia"/>
          <w:rtl/>
        </w:rPr>
        <w:t>-</w:t>
      </w:r>
      <w:r w:rsidRPr="004869A6">
        <w:rPr>
          <w:rFonts w:eastAsiaTheme="minorEastAsia"/>
          <w:rtl/>
        </w:rPr>
        <w:t>0</w:t>
      </w:r>
      <w:r w:rsidRPr="00293EB2">
        <w:rPr>
          <w:rFonts w:eastAsiaTheme="minorEastAsia"/>
          <w:rtl/>
        </w:rPr>
        <w:t>-</w:t>
      </w:r>
      <w:r w:rsidRPr="004869A6">
        <w:rPr>
          <w:rFonts w:eastAsiaTheme="minorEastAsia"/>
          <w:rtl/>
        </w:rPr>
        <w:t>4</w:t>
      </w:r>
      <w:r w:rsidRPr="00293EB2">
        <w:rPr>
          <w:rFonts w:eastAsiaTheme="minorEastAsia"/>
          <w:rtl/>
        </w:rPr>
        <w:t xml:space="preserve"> من قانون المخالفات الإدارية يسري على الجميع بالتساوي ودون تمييز. فهذا يتجاهل الواقع المتمثل في أن القانون يبدو في ظاهره محايداً، ولكن يمكن تطبيقه على نحوٍ تمييزي. فالدولة تميز في حق الأشخاص والمجموعات الدينية عندما تعامل جماعات فيما يتعلق بالتسجيل لدى الدولة بشكل مختلف عن جماعات وأفراد غير مسجلين. فيسهل على </w:t>
      </w:r>
      <w:proofErr w:type="spellStart"/>
      <w:r w:rsidRPr="00293EB2">
        <w:rPr>
          <w:rFonts w:eastAsiaTheme="minorEastAsia"/>
          <w:rtl/>
        </w:rPr>
        <w:t>الأغلبيات</w:t>
      </w:r>
      <w:proofErr w:type="spellEnd"/>
      <w:r w:rsidRPr="00293EB2">
        <w:rPr>
          <w:rFonts w:eastAsiaTheme="minorEastAsia"/>
          <w:rtl/>
        </w:rPr>
        <w:t xml:space="preserve"> الدينية التي تحظى برضى الدولة الحصول على التسجيل. وطبقاً للمادة </w:t>
      </w:r>
      <w:r w:rsidRPr="004869A6">
        <w:rPr>
          <w:rFonts w:eastAsiaTheme="minorEastAsia"/>
          <w:rtl/>
        </w:rPr>
        <w:t>12</w:t>
      </w:r>
      <w:r w:rsidRPr="00293EB2">
        <w:rPr>
          <w:rFonts w:eastAsiaTheme="minorEastAsia"/>
          <w:rtl/>
        </w:rPr>
        <w:t xml:space="preserve"> من قانون حرية المعتقدات الدينية، يتعين على أي طائفة دينية أن يكون لديها </w:t>
      </w:r>
      <w:r w:rsidRPr="004869A6">
        <w:rPr>
          <w:rFonts w:eastAsiaTheme="minorEastAsia"/>
          <w:rtl/>
        </w:rPr>
        <w:t>50</w:t>
      </w:r>
      <w:r w:rsidRPr="00293EB2">
        <w:rPr>
          <w:rFonts w:eastAsiaTheme="minorEastAsia"/>
          <w:rtl/>
        </w:rPr>
        <w:t xml:space="preserve"> مؤسساً على الأقل لكي تطلب تسجيلها لدى الدولة. فمجموعة تتألف من </w:t>
      </w:r>
      <w:r w:rsidRPr="004869A6">
        <w:rPr>
          <w:rFonts w:eastAsiaTheme="minorEastAsia"/>
          <w:rtl/>
        </w:rPr>
        <w:t>49</w:t>
      </w:r>
      <w:r w:rsidRPr="00293EB2">
        <w:rPr>
          <w:rFonts w:eastAsiaTheme="minorEastAsia"/>
          <w:rtl/>
        </w:rPr>
        <w:t xml:space="preserve"> عابداً لا تحصل على التسجيل ولا</w:t>
      </w:r>
      <w:r w:rsidR="00391D83">
        <w:rPr>
          <w:rFonts w:eastAsiaTheme="minorEastAsia" w:hint="eastAsia"/>
          <w:rtl/>
        </w:rPr>
        <w:t> </w:t>
      </w:r>
      <w:r w:rsidRPr="00293EB2">
        <w:rPr>
          <w:rFonts w:eastAsiaTheme="minorEastAsia"/>
          <w:rtl/>
        </w:rPr>
        <w:t>على الامتيازات التي تمنحها الحكومة بعد التسجيل.</w:t>
      </w:r>
    </w:p>
    <w:p w14:paraId="18AB838B" w14:textId="77777777" w:rsidR="00C06137" w:rsidRPr="00293EB2" w:rsidRDefault="00C06137" w:rsidP="00293EB2">
      <w:pPr>
        <w:pStyle w:val="SingleTxtGA"/>
        <w:rPr>
          <w:rFonts w:eastAsiaTheme="minorEastAsia"/>
          <w:rtl/>
        </w:rPr>
      </w:pPr>
      <w:r w:rsidRPr="004869A6">
        <w:rPr>
          <w:rFonts w:eastAsiaTheme="minorEastAsia"/>
          <w:rtl/>
        </w:rPr>
        <w:t>7</w:t>
      </w:r>
      <w:r w:rsidRPr="00293EB2">
        <w:rPr>
          <w:rFonts w:eastAsiaTheme="minorEastAsia"/>
          <w:rtl/>
        </w:rPr>
        <w:t>-</w:t>
      </w:r>
      <w:r w:rsidRPr="004869A6">
        <w:rPr>
          <w:rFonts w:eastAsiaTheme="minorEastAsia"/>
          <w:rtl/>
        </w:rPr>
        <w:t>17</w:t>
      </w:r>
      <w:r w:rsidRPr="00293EB2">
        <w:rPr>
          <w:rFonts w:eastAsiaTheme="minorEastAsia"/>
          <w:rtl/>
        </w:rPr>
        <w:tab/>
        <w:t xml:space="preserve">ويجادل أصحاب البلاغ بالقول إن الدولة الطرف تحاول أن تضع عبء الإثبات على عاتقهم وهي تغض النظر عن أنه قُدمت إلى المحاكم المحلية أدلة لم يُطعن فيها، ولكنها لم تأخذها بعين الاعتبار في إطار القيام بواجبها القضائي. فلا سلطات الدولة ولا المحاكم اختارت رفض الأدلة التي قدمها أصحاب البلاغ إلى المحاكم الوطنية أو تقديم أي أدلة تثبت العكس. وعليه، لا يجوز للدولة الطرف أن تنكر الأدلة الكثيرة التي قدمت في البلاغ. </w:t>
      </w:r>
    </w:p>
    <w:p w14:paraId="06E23767" w14:textId="2FD45348" w:rsidR="00C06137" w:rsidRPr="00293EB2" w:rsidRDefault="00C06137" w:rsidP="00293EB2">
      <w:pPr>
        <w:pStyle w:val="SingleTxtGA"/>
        <w:rPr>
          <w:rFonts w:eastAsiaTheme="minorEastAsia"/>
          <w:rtl/>
        </w:rPr>
      </w:pPr>
      <w:r w:rsidRPr="004869A6">
        <w:rPr>
          <w:rFonts w:eastAsiaTheme="minorEastAsia"/>
          <w:rtl/>
        </w:rPr>
        <w:t>7</w:t>
      </w:r>
      <w:r w:rsidRPr="00293EB2">
        <w:rPr>
          <w:rFonts w:eastAsiaTheme="minorEastAsia"/>
          <w:rtl/>
        </w:rPr>
        <w:t>-</w:t>
      </w:r>
      <w:r w:rsidRPr="004869A6">
        <w:rPr>
          <w:rFonts w:eastAsiaTheme="minorEastAsia"/>
          <w:rtl/>
        </w:rPr>
        <w:t>18</w:t>
      </w:r>
      <w:r w:rsidRPr="00293EB2">
        <w:rPr>
          <w:rFonts w:eastAsiaTheme="minorEastAsia"/>
        </w:rPr>
        <w:tab/>
      </w:r>
      <w:r w:rsidRPr="00293EB2">
        <w:rPr>
          <w:rFonts w:eastAsiaTheme="minorEastAsia"/>
          <w:rtl/>
        </w:rPr>
        <w:t xml:space="preserve">وقد ميّزت الدولة الطرف في حق أصحاب البلاغ مقارنة بأتباع الديانة الرئيسية في أذربيجان، وهي الإسلام. فبالمقارنة مع أولئك الذين يعتنقون الإسلام، الذي هو دين الأغلبية، أُخضع أصحاب البلاغ لمعاملة تمييزية وفق ما تؤكده الأدلة التالية، التي لم تطعن فيها الدولة الطرف، فأصحاب البلاغ أُخضعوا للرعب والإهانة عندما دخل أكثر من </w:t>
      </w:r>
      <w:r w:rsidRPr="004869A6">
        <w:rPr>
          <w:rFonts w:eastAsiaTheme="minorEastAsia"/>
          <w:rtl/>
        </w:rPr>
        <w:t>20</w:t>
      </w:r>
      <w:r w:rsidRPr="00293EB2">
        <w:rPr>
          <w:rFonts w:eastAsiaTheme="minorEastAsia"/>
          <w:rtl/>
        </w:rPr>
        <w:t xml:space="preserve"> فرداً من أفراد الشرطة عنوة إلى بيت خاص لمجرد أن أصحاب البلاغ كانوا مجتمعين لقراءة الإنجيل ودراسته. فأمر عناصر الشرطة كلَّ واحد بالكف عن أي حركة وبدأوا يسجلونهم بالصوت والصورة ويفتشونهم ويصادرون ممتلكاتهم الشخصية ومن ضمنها نقود وأجهزة إلكترونية ومنشورات دينية ونسخ من الكتاب المقدس. وأمرت الشرطة، كل واحد منهم، بمن فيهم المسنون والأطفال الصغار بالذهاب معهم إلى مخفر الشرطة حيث احتُجزوا هناك أكثر من خمس ساعات. وأُهينَ أصحاب البلاغ وشعروا كما لو أنهم كانوا من أخطر المجرمين. وفي مخفر الشرطة، أُكرهَ أصحاب البلاغ أحياناً على الوقوف في الخارج حيث البرد، ثم أُطلقَ سراحهم في نهاية الأمر في الساعات الأولى من الصباح. وأُسمِع أصحابُ البلاغ تعليقات مهينة بشأن عقيدتهم. فقد سأل عناصر الشرطة إلى أصحاب البلاغ لماذا لا يتعبدون حسب قواعد الإسلام أو لا يقرؤون القرآن؛ وحاول عناصر الشرطة إقناع أصحاب البلاغ بأن "الإسلام هو الدين الأخير والدين الصحيح". ومحاولةُ المرء إقناع جاره بصدق العقيدة التي يعتنقها أمر محمي بموجب حرية الدين. ولكن، ومثلما لاحظت المحكمة الأوروبية لحقوق الإنسان، "ما</w:t>
      </w:r>
      <w:r w:rsidR="00391D83">
        <w:rPr>
          <w:rFonts w:eastAsiaTheme="minorEastAsia" w:hint="cs"/>
          <w:rtl/>
        </w:rPr>
        <w:t> </w:t>
      </w:r>
      <w:r w:rsidRPr="00293EB2">
        <w:rPr>
          <w:rFonts w:eastAsiaTheme="minorEastAsia"/>
          <w:rtl/>
        </w:rPr>
        <w:t>يمكن اعتباره في العالم المتحضر مجرد تبادل أفكار لا ضرر منه وباستطاعة المتلقي اختيار قبوله من عدمه، قد يُنظر إليه، ضمن حدود الحياة العسكرية، على أنه شكل من أشكال المضايقة أو ممارسةُ ضغط لا موجب له تدل على شطط في استخدام السلطة"</w:t>
      </w:r>
      <w:r w:rsidR="005A76D5" w:rsidRPr="004869A6">
        <w:rPr>
          <w:rStyle w:val="FootnoteReference"/>
          <w:rFonts w:eastAsiaTheme="minorEastAsia" w:cs="Simplified Arabic"/>
          <w:sz w:val="22"/>
          <w:szCs w:val="22"/>
          <w:rtl/>
        </w:rPr>
        <w:t>(</w:t>
      </w:r>
      <w:r w:rsidR="005A76D5" w:rsidRPr="004869A6">
        <w:rPr>
          <w:rStyle w:val="FootnoteReference"/>
          <w:rFonts w:eastAsiaTheme="minorEastAsia" w:cs="Simplified Arabic"/>
          <w:b w:val="0"/>
          <w:bCs/>
          <w:sz w:val="22"/>
          <w:szCs w:val="22"/>
          <w:lang w:val="en-US"/>
        </w:rPr>
        <w:footnoteReference w:id="10"/>
      </w:r>
      <w:r w:rsidR="005A76D5" w:rsidRPr="005A76D5">
        <w:rPr>
          <w:rFonts w:eastAsiaTheme="minorEastAsia"/>
          <w:vertAlign w:val="superscript"/>
          <w:rtl/>
        </w:rPr>
        <w:t>)</w:t>
      </w:r>
      <w:r w:rsidR="005A76D5" w:rsidRPr="005A76D5">
        <w:rPr>
          <w:rFonts w:eastAsiaTheme="minorEastAsia"/>
          <w:rtl/>
        </w:rPr>
        <w:t xml:space="preserve">. </w:t>
      </w:r>
      <w:r w:rsidRPr="00293EB2">
        <w:rPr>
          <w:rFonts w:eastAsiaTheme="minorEastAsia"/>
          <w:rtl/>
        </w:rPr>
        <w:t>وفي هذه القضية، احتجزت الشرطة أصحاب البلاغ ومن الواضح أنهم كانوا تحت سيطرة الشرطة وسلطتها. ولا يمكن حماية التعليقات المهينة التي أدلى بها</w:t>
      </w:r>
      <w:r w:rsidR="00391D83">
        <w:rPr>
          <w:rFonts w:eastAsiaTheme="minorEastAsia" w:hint="eastAsia"/>
          <w:rtl/>
        </w:rPr>
        <w:t> </w:t>
      </w:r>
      <w:r w:rsidRPr="00293EB2">
        <w:rPr>
          <w:rFonts w:eastAsiaTheme="minorEastAsia"/>
          <w:rtl/>
        </w:rPr>
        <w:t xml:space="preserve">أفراد الشرطة بالحق في حرية التعبير حيث إنهم كانوا يتصرفون بصفتهم الرسمية. بل إن تعليقاتهم المهينة تشكل بالأحرى، في سياق وقائع هذه القضية، ممارسةً لضغط لا موجب له تدل على شطط في استخدام السلطة. وتم الخلوص إلى أن أصحاب البلاغ مدانون بمخالفات وتلقوا إنذارات إدارية. أما أتباع الدين الرئيسي في أذربيجان، وهو الإسلام، فلا يتعرضون لمثل هذه الإجراءات العقابية المراد بها تخويفهم وإكراههم على التخلي عن عقيدتهم. </w:t>
      </w:r>
    </w:p>
    <w:p w14:paraId="019DA8AA" w14:textId="503A6767" w:rsidR="005A76D5" w:rsidRPr="005A76D5" w:rsidRDefault="00C06137" w:rsidP="00293EB2">
      <w:pPr>
        <w:pStyle w:val="SingleTxtGA"/>
        <w:rPr>
          <w:rFonts w:eastAsiaTheme="minorEastAsia"/>
          <w:rtl/>
        </w:rPr>
      </w:pPr>
      <w:r w:rsidRPr="004869A6">
        <w:rPr>
          <w:rFonts w:eastAsiaTheme="minorEastAsia"/>
          <w:rtl/>
        </w:rPr>
        <w:t>7</w:t>
      </w:r>
      <w:r w:rsidRPr="00293EB2">
        <w:rPr>
          <w:rFonts w:eastAsiaTheme="minorEastAsia"/>
          <w:rtl/>
        </w:rPr>
        <w:t>-</w:t>
      </w:r>
      <w:r w:rsidRPr="004869A6">
        <w:rPr>
          <w:rFonts w:eastAsiaTheme="minorEastAsia"/>
          <w:rtl/>
        </w:rPr>
        <w:t>19</w:t>
      </w:r>
      <w:r w:rsidRPr="00293EB2">
        <w:rPr>
          <w:rFonts w:eastAsiaTheme="minorEastAsia"/>
          <w:rtl/>
        </w:rPr>
        <w:tab/>
        <w:t>ويذكّر أصحاب البلاغ بأن أفعال التعصب والتمييز الدينيين التي تتم برعاية الدولة وتستهدف شهود يهوا هي موضوع العديد من البلاغات التي لا تزال قيد نظر اللجنة. وقد أعربت اللجنة عن قلقها بشأن ما ورد من تقارير عن تدخل في الأنشطة الدينية، ومضايقة أفراد جماعات دينية، بما فيها شهود يهوا، وبشأن زيادة عدد عمليات الاعتقال والاحتجاز والعقوبات الإدارية أو الجنائية في حقهم</w:t>
      </w:r>
      <w:r w:rsidR="005A76D5" w:rsidRPr="004869A6">
        <w:rPr>
          <w:rStyle w:val="FootnoteReference"/>
          <w:rFonts w:eastAsiaTheme="minorEastAsia" w:cs="Simplified Arabic"/>
          <w:sz w:val="22"/>
          <w:szCs w:val="22"/>
          <w:rtl/>
        </w:rPr>
        <w:t>(</w:t>
      </w:r>
      <w:r w:rsidR="005A76D5" w:rsidRPr="004869A6">
        <w:rPr>
          <w:rStyle w:val="FootnoteReference"/>
          <w:rFonts w:eastAsiaTheme="minorEastAsia" w:cs="Simplified Arabic"/>
          <w:b w:val="0"/>
          <w:bCs/>
          <w:sz w:val="22"/>
          <w:szCs w:val="22"/>
          <w:lang w:val="en-US"/>
        </w:rPr>
        <w:footnoteReference w:id="11"/>
      </w:r>
      <w:r w:rsidR="005A76D5" w:rsidRPr="005A76D5">
        <w:rPr>
          <w:rFonts w:eastAsiaTheme="minorEastAsia"/>
          <w:vertAlign w:val="superscript"/>
          <w:rtl/>
        </w:rPr>
        <w:t>)</w:t>
      </w:r>
      <w:r w:rsidR="005A76D5" w:rsidRPr="005A76D5">
        <w:rPr>
          <w:rFonts w:eastAsiaTheme="minorEastAsia"/>
          <w:rtl/>
        </w:rPr>
        <w:t>.</w:t>
      </w:r>
    </w:p>
    <w:p w14:paraId="14AE8BBD" w14:textId="185C2F8B" w:rsidR="00C06137" w:rsidRPr="004869A6" w:rsidRDefault="00140373" w:rsidP="00140373">
      <w:pPr>
        <w:pStyle w:val="H23GA"/>
        <w:rPr>
          <w:rtl/>
        </w:rPr>
      </w:pPr>
      <w:r w:rsidRPr="004869A6">
        <w:rPr>
          <w:rtl/>
        </w:rPr>
        <w:tab/>
      </w:r>
      <w:r w:rsidRPr="004869A6">
        <w:rPr>
          <w:rtl/>
        </w:rPr>
        <w:tab/>
      </w:r>
      <w:r w:rsidR="00C06137" w:rsidRPr="004869A6">
        <w:rPr>
          <w:rtl/>
        </w:rPr>
        <w:t>المسائل والإجراءات المعروضة على اللجنة</w:t>
      </w:r>
    </w:p>
    <w:p w14:paraId="07338092" w14:textId="54420950" w:rsidR="00C06137" w:rsidRPr="004869A6" w:rsidRDefault="00140373" w:rsidP="00140373">
      <w:pPr>
        <w:pStyle w:val="H4GA"/>
        <w:rPr>
          <w:lang w:val="ar-SA" w:eastAsia="zh-TW" w:bidi="en-GB"/>
        </w:rPr>
      </w:pPr>
      <w:r w:rsidRPr="004869A6">
        <w:rPr>
          <w:rtl/>
        </w:rPr>
        <w:tab/>
      </w:r>
      <w:r w:rsidRPr="004869A6">
        <w:rPr>
          <w:rtl/>
        </w:rPr>
        <w:tab/>
      </w:r>
      <w:r w:rsidR="00C06137" w:rsidRPr="004869A6">
        <w:rPr>
          <w:rtl/>
        </w:rPr>
        <w:t>النظر في المقبولية</w:t>
      </w:r>
    </w:p>
    <w:p w14:paraId="5DD80946" w14:textId="568B3A8B" w:rsidR="00C06137" w:rsidRPr="00293EB2" w:rsidRDefault="00C06137" w:rsidP="00293EB2">
      <w:pPr>
        <w:pStyle w:val="SingleTxtGA"/>
        <w:rPr>
          <w:rFonts w:eastAsiaTheme="minorEastAsia"/>
          <w:lang w:val="ar-SA" w:eastAsia="zh-TW" w:bidi="en-GB"/>
        </w:rPr>
      </w:pPr>
      <w:r w:rsidRPr="004869A6">
        <w:rPr>
          <w:rFonts w:eastAsiaTheme="minorEastAsia"/>
          <w:rtl/>
        </w:rPr>
        <w:t>8</w:t>
      </w:r>
      <w:r w:rsidRPr="00293EB2">
        <w:rPr>
          <w:rFonts w:eastAsiaTheme="minorEastAsia"/>
          <w:rtl/>
        </w:rPr>
        <w:t>-</w:t>
      </w:r>
      <w:r w:rsidRPr="004869A6">
        <w:rPr>
          <w:rFonts w:eastAsiaTheme="minorEastAsia"/>
          <w:rtl/>
        </w:rPr>
        <w:t>1</w:t>
      </w:r>
      <w:r w:rsidRPr="00293EB2">
        <w:rPr>
          <w:rFonts w:eastAsiaTheme="minorEastAsia"/>
          <w:rtl/>
        </w:rPr>
        <w:tab/>
        <w:t>قبل النظر في أي ادعاء يرد في بلاغ ما، يجب على اللجنة أن تقرر، وفق</w:t>
      </w:r>
      <w:r w:rsidR="00391D83">
        <w:rPr>
          <w:rFonts w:eastAsiaTheme="minorEastAsia"/>
          <w:rtl/>
        </w:rPr>
        <w:t xml:space="preserve">اً </w:t>
      </w:r>
      <w:r w:rsidRPr="00293EB2">
        <w:rPr>
          <w:rFonts w:eastAsiaTheme="minorEastAsia"/>
          <w:rtl/>
        </w:rPr>
        <w:t xml:space="preserve">للمادة </w:t>
      </w:r>
      <w:r w:rsidRPr="004869A6">
        <w:rPr>
          <w:rFonts w:eastAsiaTheme="minorEastAsia"/>
          <w:rtl/>
        </w:rPr>
        <w:t>97</w:t>
      </w:r>
      <w:r w:rsidRPr="00293EB2">
        <w:rPr>
          <w:rFonts w:eastAsiaTheme="minorEastAsia"/>
          <w:rtl/>
        </w:rPr>
        <w:t xml:space="preserve"> من نظامها الداخلي، ما إذا كان البلاغ مقبول</w:t>
      </w:r>
      <w:r w:rsidR="00391D83">
        <w:rPr>
          <w:rFonts w:eastAsiaTheme="minorEastAsia"/>
          <w:rtl/>
        </w:rPr>
        <w:t xml:space="preserve">اً </w:t>
      </w:r>
      <w:r w:rsidRPr="00293EB2">
        <w:rPr>
          <w:rFonts w:eastAsiaTheme="minorEastAsia"/>
          <w:rtl/>
        </w:rPr>
        <w:t>بموجب البروتوكول الاختياري.</w:t>
      </w:r>
    </w:p>
    <w:p w14:paraId="43E8B106" w14:textId="77777777" w:rsidR="00C06137" w:rsidRPr="00293EB2" w:rsidRDefault="00C06137" w:rsidP="00293EB2">
      <w:pPr>
        <w:pStyle w:val="SingleTxtGA"/>
        <w:rPr>
          <w:rFonts w:eastAsiaTheme="minorEastAsia"/>
          <w:rtl/>
        </w:rPr>
      </w:pPr>
      <w:r w:rsidRPr="004869A6">
        <w:rPr>
          <w:rFonts w:eastAsiaTheme="minorEastAsia"/>
          <w:rtl/>
        </w:rPr>
        <w:t>8</w:t>
      </w:r>
      <w:r w:rsidRPr="00293EB2">
        <w:rPr>
          <w:rFonts w:eastAsiaTheme="minorEastAsia"/>
          <w:rtl/>
        </w:rPr>
        <w:t>-</w:t>
      </w:r>
      <w:r w:rsidRPr="004869A6">
        <w:rPr>
          <w:rFonts w:eastAsiaTheme="minorEastAsia"/>
          <w:rtl/>
        </w:rPr>
        <w:t>2</w:t>
      </w:r>
      <w:r w:rsidRPr="00293EB2">
        <w:rPr>
          <w:rFonts w:eastAsiaTheme="minorEastAsia"/>
          <w:rtl/>
        </w:rPr>
        <w:tab/>
        <w:t xml:space="preserve">وقد تحقَّقت اللجنة، على النحو المطلوب بموجب المادة </w:t>
      </w:r>
      <w:r w:rsidRPr="004869A6">
        <w:rPr>
          <w:rFonts w:eastAsiaTheme="minorEastAsia"/>
          <w:rtl/>
        </w:rPr>
        <w:t>5</w:t>
      </w:r>
      <w:r w:rsidRPr="00293EB2">
        <w:rPr>
          <w:rFonts w:eastAsiaTheme="minorEastAsia"/>
          <w:rtl/>
        </w:rPr>
        <w:t>(</w:t>
      </w:r>
      <w:r w:rsidRPr="004869A6">
        <w:rPr>
          <w:rFonts w:eastAsiaTheme="minorEastAsia"/>
          <w:rtl/>
        </w:rPr>
        <w:t>2</w:t>
      </w:r>
      <w:r w:rsidRPr="00293EB2">
        <w:rPr>
          <w:rFonts w:eastAsiaTheme="minorEastAsia"/>
          <w:rtl/>
        </w:rPr>
        <w:t>)(أ) من البروتوكول الاختياري، من أن المسألة نفسها ليست قيد البحث بموجب إجراء آخر من إجراءات التحقيق الدولي أو التسوية الدولية.</w:t>
      </w:r>
    </w:p>
    <w:p w14:paraId="50DC10EA" w14:textId="77777777" w:rsidR="00C06137" w:rsidRPr="00293EB2" w:rsidRDefault="00C06137" w:rsidP="00293EB2">
      <w:pPr>
        <w:pStyle w:val="SingleTxtGA"/>
        <w:rPr>
          <w:rFonts w:eastAsiaTheme="minorEastAsia"/>
          <w:rtl/>
        </w:rPr>
      </w:pPr>
      <w:r w:rsidRPr="004869A6">
        <w:rPr>
          <w:rFonts w:eastAsiaTheme="minorEastAsia"/>
          <w:rtl/>
        </w:rPr>
        <w:t>8</w:t>
      </w:r>
      <w:r w:rsidRPr="00293EB2">
        <w:rPr>
          <w:rFonts w:eastAsiaTheme="minorEastAsia"/>
          <w:rtl/>
        </w:rPr>
        <w:t>-</w:t>
      </w:r>
      <w:r w:rsidRPr="004869A6">
        <w:rPr>
          <w:rFonts w:eastAsiaTheme="minorEastAsia"/>
          <w:rtl/>
        </w:rPr>
        <w:t>3</w:t>
      </w:r>
      <w:r w:rsidRPr="00293EB2">
        <w:rPr>
          <w:rFonts w:eastAsiaTheme="minorEastAsia"/>
          <w:rtl/>
        </w:rPr>
        <w:tab/>
        <w:t xml:space="preserve">وتلاحظ اللجنة أن الدولة الطرف قد طعنت في حجة أصحاب البلاغ أنهم استنفدوا جميع سبل الانتصاف المحلية المتاحة على النحو الذي تقتضيه المادة </w:t>
      </w:r>
      <w:r w:rsidRPr="004869A6">
        <w:rPr>
          <w:rFonts w:eastAsiaTheme="minorEastAsia"/>
          <w:rtl/>
        </w:rPr>
        <w:t>5</w:t>
      </w:r>
      <w:r w:rsidRPr="00293EB2">
        <w:rPr>
          <w:rFonts w:eastAsiaTheme="minorEastAsia"/>
          <w:rtl/>
        </w:rPr>
        <w:t>(</w:t>
      </w:r>
      <w:r w:rsidRPr="004869A6">
        <w:rPr>
          <w:rFonts w:eastAsiaTheme="minorEastAsia"/>
          <w:rtl/>
        </w:rPr>
        <w:t>2</w:t>
      </w:r>
      <w:r w:rsidRPr="00293EB2">
        <w:rPr>
          <w:rFonts w:eastAsiaTheme="minorEastAsia"/>
          <w:rtl/>
        </w:rPr>
        <w:t xml:space="preserve">)(ب) من البروتوكول الاختياري. وحسب الدولة الطرف، كان ينبغي لأصحاب البلاغ أن يرفعوا دعاوى منفصلة من قبيل شكوى إلى النيابة العامة أو أمانة المظالم، أو إقامة دعاوى قضائية فيما يتعلق بالانتهاك المدعى للمادتين </w:t>
      </w:r>
      <w:r w:rsidRPr="004869A6">
        <w:rPr>
          <w:rFonts w:eastAsiaTheme="minorEastAsia"/>
          <w:rtl/>
        </w:rPr>
        <w:t>17</w:t>
      </w:r>
      <w:r w:rsidRPr="00293EB2">
        <w:rPr>
          <w:rFonts w:eastAsiaTheme="minorEastAsia"/>
          <w:rtl/>
        </w:rPr>
        <w:t xml:space="preserve"> و</w:t>
      </w:r>
      <w:r w:rsidRPr="004869A6">
        <w:rPr>
          <w:rFonts w:eastAsiaTheme="minorEastAsia"/>
          <w:rtl/>
        </w:rPr>
        <w:t>19</w:t>
      </w:r>
      <w:r w:rsidRPr="00293EB2">
        <w:rPr>
          <w:rFonts w:eastAsiaTheme="minorEastAsia"/>
          <w:rtl/>
        </w:rPr>
        <w:t xml:space="preserve">، بينما كان ينبغي للسيد </w:t>
      </w:r>
      <w:proofErr w:type="spellStart"/>
      <w:r w:rsidRPr="00293EB2">
        <w:rPr>
          <w:rFonts w:eastAsiaTheme="minorEastAsia"/>
          <w:rtl/>
        </w:rPr>
        <w:t>كفاراتسخيليا</w:t>
      </w:r>
      <w:proofErr w:type="spellEnd"/>
      <w:r w:rsidRPr="00293EB2">
        <w:rPr>
          <w:rFonts w:eastAsiaTheme="minorEastAsia"/>
          <w:rtl/>
        </w:rPr>
        <w:t xml:space="preserve">، فيما يتعلق بالمادة </w:t>
      </w:r>
      <w:r w:rsidRPr="004869A6">
        <w:rPr>
          <w:rFonts w:eastAsiaTheme="minorEastAsia"/>
          <w:rtl/>
        </w:rPr>
        <w:t>13</w:t>
      </w:r>
      <w:r w:rsidRPr="00293EB2">
        <w:rPr>
          <w:rFonts w:eastAsiaTheme="minorEastAsia"/>
          <w:rtl/>
        </w:rPr>
        <w:t xml:space="preserve">، أن يطعن في إبعاده الإداري ضمن الآجال المحددة. وتحيط اللجنة علماً بحجة الدولة الطرف أن مطالبات أصحاب البلاغ بموجب المواد </w:t>
      </w:r>
      <w:r w:rsidRPr="004869A6">
        <w:rPr>
          <w:rFonts w:eastAsiaTheme="minorEastAsia"/>
          <w:rtl/>
        </w:rPr>
        <w:t>9</w:t>
      </w:r>
      <w:r w:rsidRPr="00293EB2">
        <w:rPr>
          <w:rFonts w:eastAsiaTheme="minorEastAsia"/>
          <w:rtl/>
        </w:rPr>
        <w:t xml:space="preserve"> و</w:t>
      </w:r>
      <w:r w:rsidRPr="004869A6">
        <w:rPr>
          <w:rFonts w:eastAsiaTheme="minorEastAsia"/>
          <w:rtl/>
        </w:rPr>
        <w:t>26</w:t>
      </w:r>
      <w:r w:rsidRPr="00293EB2">
        <w:rPr>
          <w:rFonts w:eastAsiaTheme="minorEastAsia"/>
          <w:rtl/>
        </w:rPr>
        <w:t xml:space="preserve"> و</w:t>
      </w:r>
      <w:r w:rsidRPr="004869A6">
        <w:rPr>
          <w:rFonts w:eastAsiaTheme="minorEastAsia"/>
          <w:rtl/>
        </w:rPr>
        <w:t>27</w:t>
      </w:r>
      <w:r w:rsidRPr="00293EB2">
        <w:rPr>
          <w:rFonts w:eastAsiaTheme="minorEastAsia"/>
          <w:rtl/>
        </w:rPr>
        <w:t xml:space="preserve"> غير مثبتة بالقدر الكافي وغير مستندة إلى أساس صحيح. </w:t>
      </w:r>
    </w:p>
    <w:p w14:paraId="2581C3C4" w14:textId="7E4C0B05" w:rsidR="00C06137" w:rsidRPr="00293EB2" w:rsidRDefault="00C06137" w:rsidP="00293EB2">
      <w:pPr>
        <w:pStyle w:val="SingleTxtGA"/>
        <w:rPr>
          <w:rFonts w:eastAsiaTheme="minorEastAsia"/>
          <w:rtl/>
        </w:rPr>
      </w:pPr>
      <w:r w:rsidRPr="004869A6">
        <w:rPr>
          <w:rFonts w:eastAsiaTheme="minorEastAsia"/>
          <w:rtl/>
        </w:rPr>
        <w:t>8</w:t>
      </w:r>
      <w:r w:rsidRPr="00293EB2">
        <w:rPr>
          <w:rFonts w:eastAsiaTheme="minorEastAsia"/>
          <w:rtl/>
        </w:rPr>
        <w:t>-</w:t>
      </w:r>
      <w:r w:rsidRPr="004869A6">
        <w:rPr>
          <w:rFonts w:eastAsiaTheme="minorEastAsia"/>
          <w:rtl/>
        </w:rPr>
        <w:t>4</w:t>
      </w:r>
      <w:r w:rsidRPr="00293EB2">
        <w:rPr>
          <w:rFonts w:eastAsiaTheme="minorEastAsia"/>
          <w:rtl/>
        </w:rPr>
        <w:tab/>
        <w:t xml:space="preserve">وتحيط اللجنة علماً مع ذلك بأن أصحاب البلاغ يدعون عدم وجود أي سبل انتصاف محلية فعالة أخرى لأنهم تقدموا بطعون عدة إلى محكمة الاستئناف في باكو ورُفضت هذه الطعون في </w:t>
      </w:r>
      <w:r w:rsidRPr="004869A6">
        <w:rPr>
          <w:rFonts w:eastAsiaTheme="minorEastAsia"/>
          <w:rtl/>
        </w:rPr>
        <w:t>6</w:t>
      </w:r>
      <w:r w:rsidRPr="00293EB2">
        <w:rPr>
          <w:rFonts w:eastAsiaTheme="minorEastAsia"/>
          <w:rtl/>
        </w:rPr>
        <w:t xml:space="preserve"> آب/أغسطس </w:t>
      </w:r>
      <w:r w:rsidRPr="004869A6">
        <w:rPr>
          <w:rFonts w:eastAsiaTheme="minorEastAsia"/>
          <w:rtl/>
        </w:rPr>
        <w:t>2015</w:t>
      </w:r>
      <w:r w:rsidRPr="00293EB2">
        <w:rPr>
          <w:rFonts w:eastAsiaTheme="minorEastAsia"/>
          <w:rtl/>
        </w:rPr>
        <w:t xml:space="preserve"> و</w:t>
      </w:r>
      <w:r w:rsidRPr="004869A6">
        <w:rPr>
          <w:rFonts w:eastAsiaTheme="minorEastAsia"/>
          <w:rtl/>
        </w:rPr>
        <w:t>18</w:t>
      </w:r>
      <w:r w:rsidRPr="00293EB2">
        <w:rPr>
          <w:rFonts w:eastAsiaTheme="minorEastAsia"/>
          <w:rtl/>
        </w:rPr>
        <w:t xml:space="preserve"> آب/أغسطس </w:t>
      </w:r>
      <w:r w:rsidRPr="004869A6">
        <w:rPr>
          <w:rFonts w:eastAsiaTheme="minorEastAsia"/>
          <w:rtl/>
        </w:rPr>
        <w:t>2015</w:t>
      </w:r>
      <w:r w:rsidRPr="00293EB2">
        <w:rPr>
          <w:rFonts w:eastAsiaTheme="minorEastAsia"/>
          <w:rtl/>
        </w:rPr>
        <w:t xml:space="preserve"> و</w:t>
      </w:r>
      <w:r w:rsidRPr="004869A6">
        <w:rPr>
          <w:rFonts w:eastAsiaTheme="minorEastAsia"/>
          <w:rtl/>
        </w:rPr>
        <w:t>18</w:t>
      </w:r>
      <w:r w:rsidRPr="00293EB2">
        <w:rPr>
          <w:rFonts w:eastAsiaTheme="minorEastAsia"/>
          <w:rtl/>
        </w:rPr>
        <w:t xml:space="preserve"> نيسان/أبريل </w:t>
      </w:r>
      <w:r w:rsidRPr="004869A6">
        <w:rPr>
          <w:rFonts w:eastAsiaTheme="minorEastAsia"/>
          <w:rtl/>
        </w:rPr>
        <w:t>201</w:t>
      </w:r>
      <w:r w:rsidR="005A76D5" w:rsidRPr="004869A6">
        <w:rPr>
          <w:rFonts w:eastAsiaTheme="minorEastAsia"/>
          <w:rtl/>
        </w:rPr>
        <w:t>6</w:t>
      </w:r>
      <w:r w:rsidR="005A76D5" w:rsidRPr="005A76D5">
        <w:rPr>
          <w:rFonts w:eastAsiaTheme="minorEastAsia"/>
          <w:rtl/>
        </w:rPr>
        <w:t xml:space="preserve">. </w:t>
      </w:r>
      <w:r w:rsidRPr="00293EB2">
        <w:rPr>
          <w:rFonts w:eastAsiaTheme="minorEastAsia"/>
          <w:rtl/>
        </w:rPr>
        <w:t xml:space="preserve">وتلاحظ أيضاً أنهم أثاروا جوهر جميع هذه الادعاءات بموجب العهد عندما رُفضت الطعون التي تقدموا بها إلى محكمة الاستئناف. وعلاوة على ذلك، تذكر اللجنة بالمادة </w:t>
      </w:r>
      <w:r w:rsidRPr="004869A6">
        <w:rPr>
          <w:rFonts w:eastAsiaTheme="minorEastAsia"/>
          <w:rtl/>
        </w:rPr>
        <w:t>5</w:t>
      </w:r>
      <w:r w:rsidRPr="00293EB2">
        <w:rPr>
          <w:rFonts w:eastAsiaTheme="minorEastAsia"/>
          <w:rtl/>
        </w:rPr>
        <w:t>(</w:t>
      </w:r>
      <w:r w:rsidRPr="004869A6">
        <w:rPr>
          <w:rFonts w:eastAsiaTheme="minorEastAsia"/>
          <w:rtl/>
        </w:rPr>
        <w:t>2</w:t>
      </w:r>
      <w:r w:rsidRPr="00293EB2">
        <w:rPr>
          <w:rFonts w:eastAsiaTheme="minorEastAsia"/>
          <w:rtl/>
        </w:rPr>
        <w:t>)(ب) من البروتوكول الاختياري بالإشارة إلى أن عبارة جميع سبل الانتصاف المحلية المتاحة، تحيل في المقام الأول إلى سبل الانتصاف القضائية</w:t>
      </w:r>
      <w:r w:rsidR="005A76D5" w:rsidRPr="004869A6">
        <w:rPr>
          <w:rStyle w:val="FootnoteReference"/>
          <w:rFonts w:eastAsiaTheme="minorEastAsia" w:cs="Simplified Arabic"/>
          <w:sz w:val="22"/>
          <w:szCs w:val="22"/>
          <w:rtl/>
        </w:rPr>
        <w:t>(</w:t>
      </w:r>
      <w:r w:rsidR="005A76D5" w:rsidRPr="004869A6">
        <w:rPr>
          <w:rStyle w:val="FootnoteReference"/>
          <w:rFonts w:eastAsiaTheme="minorEastAsia" w:cs="Simplified Arabic"/>
          <w:b w:val="0"/>
          <w:bCs/>
          <w:sz w:val="22"/>
          <w:szCs w:val="22"/>
          <w:lang w:val="en-US"/>
        </w:rPr>
        <w:footnoteReference w:id="12"/>
      </w:r>
      <w:r w:rsidR="005A76D5" w:rsidRPr="005A76D5">
        <w:rPr>
          <w:rFonts w:eastAsiaTheme="minorEastAsia"/>
          <w:vertAlign w:val="superscript"/>
          <w:rtl/>
        </w:rPr>
        <w:t>)</w:t>
      </w:r>
      <w:r w:rsidR="005A76D5" w:rsidRPr="005A76D5">
        <w:rPr>
          <w:rFonts w:eastAsiaTheme="minorEastAsia"/>
          <w:rtl/>
        </w:rPr>
        <w:t xml:space="preserve">. </w:t>
      </w:r>
      <w:r w:rsidRPr="00293EB2">
        <w:rPr>
          <w:rFonts w:eastAsiaTheme="minorEastAsia"/>
          <w:rtl/>
        </w:rPr>
        <w:t>وعليه، ترى</w:t>
      </w:r>
      <w:r w:rsidR="00140373">
        <w:rPr>
          <w:rFonts w:eastAsiaTheme="minorEastAsia" w:hint="cs"/>
          <w:rtl/>
        </w:rPr>
        <w:t> </w:t>
      </w:r>
      <w:r w:rsidRPr="00293EB2">
        <w:rPr>
          <w:rFonts w:eastAsiaTheme="minorEastAsia"/>
          <w:rtl/>
        </w:rPr>
        <w:t xml:space="preserve">اللجنة أن ليس ثمة ما يمنعها بموجب المادة </w:t>
      </w:r>
      <w:r w:rsidRPr="004869A6">
        <w:rPr>
          <w:rFonts w:eastAsiaTheme="minorEastAsia"/>
          <w:rtl/>
        </w:rPr>
        <w:t>5</w:t>
      </w:r>
      <w:r w:rsidRPr="00293EB2">
        <w:rPr>
          <w:rFonts w:eastAsiaTheme="minorEastAsia"/>
          <w:rtl/>
        </w:rPr>
        <w:t>(</w:t>
      </w:r>
      <w:r w:rsidRPr="004869A6">
        <w:rPr>
          <w:rFonts w:eastAsiaTheme="minorEastAsia"/>
          <w:rtl/>
        </w:rPr>
        <w:t>2</w:t>
      </w:r>
      <w:r w:rsidRPr="00293EB2">
        <w:rPr>
          <w:rFonts w:eastAsiaTheme="minorEastAsia"/>
          <w:rtl/>
        </w:rPr>
        <w:t>)(ب) من البروتوكول الاختياري من النظر في هذه</w:t>
      </w:r>
      <w:r w:rsidR="00140373">
        <w:rPr>
          <w:rFonts w:eastAsiaTheme="minorEastAsia" w:hint="cs"/>
          <w:rtl/>
        </w:rPr>
        <w:t> </w:t>
      </w:r>
      <w:r w:rsidRPr="00293EB2">
        <w:rPr>
          <w:rFonts w:eastAsiaTheme="minorEastAsia"/>
          <w:rtl/>
        </w:rPr>
        <w:t>البلاغ.</w:t>
      </w:r>
    </w:p>
    <w:p w14:paraId="7E3FF91C" w14:textId="012EA548" w:rsidR="00C06137" w:rsidRPr="00293EB2" w:rsidRDefault="00C06137" w:rsidP="00293EB2">
      <w:pPr>
        <w:pStyle w:val="SingleTxtGA"/>
        <w:rPr>
          <w:rFonts w:eastAsiaTheme="minorEastAsia"/>
          <w:rtl/>
        </w:rPr>
      </w:pPr>
      <w:r w:rsidRPr="004869A6">
        <w:rPr>
          <w:rFonts w:eastAsiaTheme="minorEastAsia"/>
          <w:rtl/>
        </w:rPr>
        <w:t>8</w:t>
      </w:r>
      <w:r w:rsidRPr="00293EB2">
        <w:rPr>
          <w:rFonts w:eastAsiaTheme="minorEastAsia"/>
          <w:rtl/>
        </w:rPr>
        <w:t>-</w:t>
      </w:r>
      <w:r w:rsidRPr="004869A6">
        <w:rPr>
          <w:rFonts w:eastAsiaTheme="minorEastAsia"/>
          <w:rtl/>
        </w:rPr>
        <w:t>5</w:t>
      </w:r>
      <w:r w:rsidRPr="00293EB2">
        <w:rPr>
          <w:rFonts w:eastAsiaTheme="minorEastAsia"/>
          <w:rtl/>
        </w:rPr>
        <w:tab/>
        <w:t xml:space="preserve">وفيما يتعلق بمطالبات السيد </w:t>
      </w:r>
      <w:proofErr w:type="spellStart"/>
      <w:r w:rsidRPr="00293EB2">
        <w:rPr>
          <w:rFonts w:eastAsiaTheme="minorEastAsia"/>
          <w:rtl/>
        </w:rPr>
        <w:t>كفاراتسخيليا</w:t>
      </w:r>
      <w:proofErr w:type="spellEnd"/>
      <w:r w:rsidRPr="00293EB2">
        <w:rPr>
          <w:rFonts w:eastAsiaTheme="minorEastAsia"/>
          <w:rtl/>
        </w:rPr>
        <w:t xml:space="preserve"> بموجب المادة </w:t>
      </w:r>
      <w:r w:rsidRPr="004869A6">
        <w:rPr>
          <w:rFonts w:eastAsiaTheme="minorEastAsia"/>
          <w:rtl/>
        </w:rPr>
        <w:t>13</w:t>
      </w:r>
      <w:r w:rsidRPr="00293EB2">
        <w:rPr>
          <w:rFonts w:eastAsiaTheme="minorEastAsia"/>
          <w:rtl/>
        </w:rPr>
        <w:t xml:space="preserve"> من العهد، ترى اللجنة أن رفض محكمة الاستئناف شكواه لأسباب إجرائية قد تجاهل الدليل الذي قدمه ولم يُطعن فيه لأنه لم يتلق قرار المحكمة إلا في </w:t>
      </w:r>
      <w:r w:rsidRPr="004869A6">
        <w:rPr>
          <w:rFonts w:eastAsiaTheme="minorEastAsia"/>
          <w:rtl/>
        </w:rPr>
        <w:t>10</w:t>
      </w:r>
      <w:r w:rsidRPr="00293EB2">
        <w:rPr>
          <w:rFonts w:eastAsiaTheme="minorEastAsia"/>
          <w:rtl/>
        </w:rPr>
        <w:t xml:space="preserve"> تشرين الثاني/نوفمبر </w:t>
      </w:r>
      <w:r w:rsidRPr="004869A6">
        <w:rPr>
          <w:rFonts w:eastAsiaTheme="minorEastAsia"/>
          <w:rtl/>
        </w:rPr>
        <w:t>2015</w:t>
      </w:r>
      <w:r w:rsidRPr="00293EB2">
        <w:rPr>
          <w:rFonts w:eastAsiaTheme="minorEastAsia"/>
          <w:rtl/>
        </w:rPr>
        <w:t xml:space="preserve"> (أي بعد مرور أربعة أشهر على صدور القرار) وأنه لم يتأخر في الطعن في حكم المحكمة باستئنافه. وعليه، ترى اللجنة أنه ليس ثمة ما يمنعها بموجب المادة</w:t>
      </w:r>
      <w:r w:rsidR="00140373">
        <w:rPr>
          <w:rFonts w:hint="cs"/>
          <w:rtl/>
        </w:rPr>
        <w:t> </w:t>
      </w:r>
      <w:r w:rsidRPr="004869A6">
        <w:rPr>
          <w:rFonts w:eastAsiaTheme="minorEastAsia"/>
          <w:rtl/>
        </w:rPr>
        <w:t>5</w:t>
      </w:r>
      <w:r w:rsidRPr="00293EB2">
        <w:rPr>
          <w:rFonts w:eastAsiaTheme="minorEastAsia"/>
          <w:rtl/>
        </w:rPr>
        <w:t>(</w:t>
      </w:r>
      <w:r w:rsidRPr="004869A6">
        <w:rPr>
          <w:rFonts w:eastAsiaTheme="minorEastAsia"/>
          <w:rtl/>
        </w:rPr>
        <w:t>2</w:t>
      </w:r>
      <w:r w:rsidRPr="00293EB2">
        <w:rPr>
          <w:rFonts w:eastAsiaTheme="minorEastAsia"/>
          <w:rtl/>
        </w:rPr>
        <w:t xml:space="preserve">)(ب) من البروتوكول الاختياري من النظر في هذا الجزء من البلاغ. </w:t>
      </w:r>
    </w:p>
    <w:p w14:paraId="7744AF3D" w14:textId="165E6BC9" w:rsidR="00C06137" w:rsidRPr="00293EB2" w:rsidRDefault="00C06137" w:rsidP="00293EB2">
      <w:pPr>
        <w:pStyle w:val="SingleTxtGA"/>
        <w:rPr>
          <w:rFonts w:eastAsiaTheme="minorEastAsia"/>
          <w:rtl/>
        </w:rPr>
      </w:pPr>
      <w:r w:rsidRPr="004869A6">
        <w:rPr>
          <w:rFonts w:eastAsiaTheme="minorEastAsia"/>
          <w:rtl/>
        </w:rPr>
        <w:t>8</w:t>
      </w:r>
      <w:r w:rsidRPr="00293EB2">
        <w:rPr>
          <w:rFonts w:eastAsiaTheme="minorEastAsia"/>
          <w:rtl/>
        </w:rPr>
        <w:t>-</w:t>
      </w:r>
      <w:r w:rsidRPr="004869A6">
        <w:rPr>
          <w:rFonts w:eastAsiaTheme="minorEastAsia"/>
          <w:rtl/>
        </w:rPr>
        <w:t>6</w:t>
      </w:r>
      <w:r w:rsidRPr="00293EB2">
        <w:rPr>
          <w:rFonts w:eastAsiaTheme="minorEastAsia"/>
          <w:rtl/>
        </w:rPr>
        <w:tab/>
        <w:t xml:space="preserve">وترى اللجنة أن أصحاب البلاغ قد أثبتوا بالقدر الكافي، لأغراض المقبولية، ادعاءاتهم بموجب المواد </w:t>
      </w:r>
      <w:r w:rsidRPr="004869A6">
        <w:rPr>
          <w:rFonts w:eastAsiaTheme="minorEastAsia"/>
          <w:rtl/>
        </w:rPr>
        <w:t>9</w:t>
      </w:r>
      <w:r w:rsidRPr="00293EB2">
        <w:rPr>
          <w:rFonts w:eastAsiaTheme="minorEastAsia"/>
          <w:rtl/>
        </w:rPr>
        <w:t>(</w:t>
      </w:r>
      <w:r w:rsidRPr="004869A6">
        <w:rPr>
          <w:rFonts w:eastAsiaTheme="minorEastAsia"/>
          <w:rtl/>
        </w:rPr>
        <w:t>1</w:t>
      </w:r>
      <w:r w:rsidR="005A76D5" w:rsidRPr="005A76D5">
        <w:rPr>
          <w:rFonts w:eastAsiaTheme="minorEastAsia"/>
          <w:rtl/>
        </w:rPr>
        <w:t xml:space="preserve">)، </w:t>
      </w:r>
      <w:r w:rsidRPr="00293EB2">
        <w:rPr>
          <w:rFonts w:eastAsiaTheme="minorEastAsia"/>
          <w:rtl/>
        </w:rPr>
        <w:t>و</w:t>
      </w:r>
      <w:r w:rsidRPr="004869A6">
        <w:rPr>
          <w:rFonts w:eastAsiaTheme="minorEastAsia"/>
          <w:rtl/>
        </w:rPr>
        <w:t>13</w:t>
      </w:r>
      <w:r w:rsidRPr="00293EB2">
        <w:rPr>
          <w:rFonts w:eastAsiaTheme="minorEastAsia"/>
          <w:rtl/>
        </w:rPr>
        <w:t>، و</w:t>
      </w:r>
      <w:r w:rsidRPr="004869A6">
        <w:rPr>
          <w:rFonts w:eastAsiaTheme="minorEastAsia"/>
          <w:rtl/>
        </w:rPr>
        <w:t>17</w:t>
      </w:r>
      <w:r w:rsidRPr="00293EB2">
        <w:rPr>
          <w:rFonts w:eastAsiaTheme="minorEastAsia"/>
          <w:rtl/>
        </w:rPr>
        <w:t>(</w:t>
      </w:r>
      <w:r w:rsidRPr="004869A6">
        <w:rPr>
          <w:rFonts w:eastAsiaTheme="minorEastAsia"/>
          <w:rtl/>
        </w:rPr>
        <w:t>1</w:t>
      </w:r>
      <w:r w:rsidR="005A76D5" w:rsidRPr="005A76D5">
        <w:rPr>
          <w:rFonts w:eastAsiaTheme="minorEastAsia"/>
          <w:rtl/>
        </w:rPr>
        <w:t xml:space="preserve">)، </w:t>
      </w:r>
      <w:r w:rsidRPr="00293EB2">
        <w:rPr>
          <w:rFonts w:eastAsiaTheme="minorEastAsia"/>
          <w:rtl/>
        </w:rPr>
        <w:t>و</w:t>
      </w:r>
      <w:r w:rsidRPr="004869A6">
        <w:rPr>
          <w:rFonts w:eastAsiaTheme="minorEastAsia"/>
          <w:rtl/>
        </w:rPr>
        <w:t>18</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و(</w:t>
      </w:r>
      <w:r w:rsidRPr="004869A6">
        <w:rPr>
          <w:rFonts w:eastAsiaTheme="minorEastAsia"/>
          <w:rtl/>
        </w:rPr>
        <w:t>3</w:t>
      </w:r>
      <w:r w:rsidR="005A76D5" w:rsidRPr="005A76D5">
        <w:rPr>
          <w:rFonts w:eastAsiaTheme="minorEastAsia"/>
          <w:rtl/>
        </w:rPr>
        <w:t xml:space="preserve">)، </w:t>
      </w:r>
      <w:r w:rsidRPr="00293EB2">
        <w:rPr>
          <w:rFonts w:eastAsiaTheme="minorEastAsia"/>
          <w:rtl/>
        </w:rPr>
        <w:t>و</w:t>
      </w:r>
      <w:r w:rsidRPr="004869A6">
        <w:rPr>
          <w:rFonts w:eastAsiaTheme="minorEastAsia"/>
          <w:rtl/>
        </w:rPr>
        <w:t>19</w:t>
      </w:r>
      <w:r w:rsidRPr="00293EB2">
        <w:rPr>
          <w:rFonts w:eastAsiaTheme="minorEastAsia"/>
          <w:rtl/>
        </w:rPr>
        <w:t xml:space="preserve"> (</w:t>
      </w:r>
      <w:r w:rsidR="005A76D5" w:rsidRPr="004869A6">
        <w:rPr>
          <w:rFonts w:eastAsiaTheme="minorEastAsia"/>
          <w:rtl/>
        </w:rPr>
        <w:t>2</w:t>
      </w:r>
      <w:r w:rsidR="005A76D5" w:rsidRPr="005A76D5">
        <w:rPr>
          <w:rFonts w:eastAsiaTheme="minorEastAsia"/>
          <w:rtl/>
        </w:rPr>
        <w:t xml:space="preserve">) </w:t>
      </w:r>
      <w:r w:rsidRPr="00293EB2">
        <w:rPr>
          <w:rFonts w:eastAsiaTheme="minorEastAsia"/>
          <w:rtl/>
        </w:rPr>
        <w:t>و(</w:t>
      </w:r>
      <w:r w:rsidRPr="004869A6">
        <w:rPr>
          <w:rFonts w:eastAsiaTheme="minorEastAsia"/>
          <w:rtl/>
        </w:rPr>
        <w:t>3</w:t>
      </w:r>
      <w:r w:rsidR="005A76D5" w:rsidRPr="005A76D5">
        <w:rPr>
          <w:rFonts w:eastAsiaTheme="minorEastAsia"/>
          <w:rtl/>
        </w:rPr>
        <w:t xml:space="preserve">)، </w:t>
      </w:r>
      <w:r w:rsidRPr="00293EB2">
        <w:rPr>
          <w:rFonts w:eastAsiaTheme="minorEastAsia"/>
          <w:rtl/>
        </w:rPr>
        <w:t>و</w:t>
      </w:r>
      <w:r w:rsidRPr="004869A6">
        <w:rPr>
          <w:rFonts w:eastAsiaTheme="minorEastAsia"/>
          <w:rtl/>
        </w:rPr>
        <w:t>26</w:t>
      </w:r>
      <w:r w:rsidRPr="00293EB2">
        <w:rPr>
          <w:rFonts w:eastAsiaTheme="minorEastAsia"/>
          <w:rtl/>
        </w:rPr>
        <w:t xml:space="preserve"> و</w:t>
      </w:r>
      <w:r w:rsidRPr="004869A6">
        <w:rPr>
          <w:rFonts w:eastAsiaTheme="minorEastAsia"/>
          <w:rtl/>
        </w:rPr>
        <w:t>27</w:t>
      </w:r>
      <w:r w:rsidRPr="00293EB2">
        <w:rPr>
          <w:rFonts w:eastAsiaTheme="minorEastAsia"/>
          <w:rtl/>
        </w:rPr>
        <w:t xml:space="preserve"> من العهد. وعليه، تعلن اللجنة أن هذه المطالبات مقبولة وتشرع في النظر في الأسس الموضوعية. </w:t>
      </w:r>
    </w:p>
    <w:p w14:paraId="2103B1F8" w14:textId="685886C3" w:rsidR="00C06137" w:rsidRPr="004869A6" w:rsidRDefault="00140373" w:rsidP="00140373">
      <w:pPr>
        <w:pStyle w:val="H4GA"/>
        <w:rPr>
          <w:rtl/>
        </w:rPr>
      </w:pPr>
      <w:r w:rsidRPr="004869A6">
        <w:rPr>
          <w:rtl/>
        </w:rPr>
        <w:tab/>
      </w:r>
      <w:r w:rsidRPr="004869A6">
        <w:rPr>
          <w:rtl/>
        </w:rPr>
        <w:tab/>
      </w:r>
      <w:r w:rsidR="00C06137" w:rsidRPr="004869A6">
        <w:rPr>
          <w:rtl/>
        </w:rPr>
        <w:t>النظر في الأسس الموضوعية</w:t>
      </w:r>
    </w:p>
    <w:p w14:paraId="25CF45D8" w14:textId="56A901DD" w:rsidR="00C06137" w:rsidRPr="00293EB2" w:rsidRDefault="00C06137" w:rsidP="00293EB2">
      <w:pPr>
        <w:pStyle w:val="SingleTxtGA"/>
        <w:rPr>
          <w:rFonts w:eastAsiaTheme="minorEastAsia"/>
          <w:rtl/>
        </w:rPr>
      </w:pPr>
      <w:r w:rsidRPr="004869A6">
        <w:rPr>
          <w:rFonts w:eastAsiaTheme="minorEastAsia"/>
          <w:rtl/>
        </w:rPr>
        <w:t>9</w:t>
      </w:r>
      <w:r w:rsidRPr="00293EB2">
        <w:rPr>
          <w:rFonts w:eastAsiaTheme="minorEastAsia"/>
          <w:rtl/>
        </w:rPr>
        <w:t>-</w:t>
      </w:r>
      <w:r w:rsidRPr="004869A6">
        <w:rPr>
          <w:rFonts w:eastAsiaTheme="minorEastAsia"/>
          <w:rtl/>
        </w:rPr>
        <w:t>1</w:t>
      </w:r>
      <w:r w:rsidRPr="00293EB2">
        <w:rPr>
          <w:rFonts w:eastAsiaTheme="minorEastAsia"/>
          <w:rtl/>
        </w:rPr>
        <w:tab/>
        <w:t xml:space="preserve">نظرت اللجنة في البلاغ في ضوء جميع المعلومات التي أتاحها لها الطرفان، وفقاً لما تنص عليه المادة </w:t>
      </w:r>
      <w:r w:rsidRPr="004869A6">
        <w:rPr>
          <w:rFonts w:eastAsiaTheme="minorEastAsia"/>
          <w:rtl/>
        </w:rPr>
        <w:t>5</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 xml:space="preserve">من البروتوكول الاختياري. </w:t>
      </w:r>
    </w:p>
    <w:p w14:paraId="1BB745A4" w14:textId="34AE533E" w:rsidR="00C06137" w:rsidRPr="000E0846" w:rsidRDefault="00C06137" w:rsidP="00293EB2">
      <w:pPr>
        <w:pStyle w:val="SingleTxtGA"/>
        <w:rPr>
          <w:rFonts w:eastAsiaTheme="minorEastAsia"/>
          <w:spacing w:val="-2"/>
          <w:rtl/>
        </w:rPr>
      </w:pPr>
      <w:r w:rsidRPr="004869A6">
        <w:rPr>
          <w:rFonts w:eastAsiaTheme="minorEastAsia"/>
          <w:rtl/>
        </w:rPr>
        <w:t>9</w:t>
      </w:r>
      <w:r w:rsidRPr="00293EB2">
        <w:rPr>
          <w:rFonts w:eastAsiaTheme="minorEastAsia"/>
          <w:rtl/>
        </w:rPr>
        <w:t>-</w:t>
      </w:r>
      <w:r w:rsidRPr="004869A6">
        <w:rPr>
          <w:rFonts w:eastAsiaTheme="minorEastAsia"/>
          <w:rtl/>
        </w:rPr>
        <w:t>2</w:t>
      </w:r>
      <w:r w:rsidRPr="00293EB2">
        <w:rPr>
          <w:rFonts w:eastAsiaTheme="minorEastAsia"/>
          <w:rtl/>
        </w:rPr>
        <w:tab/>
        <w:t xml:space="preserve">وفيما يتعلق بادعاء أصحاب البلاغ بموجب المادة </w:t>
      </w:r>
      <w:r w:rsidRPr="004869A6">
        <w:rPr>
          <w:rFonts w:eastAsiaTheme="minorEastAsia"/>
          <w:rtl/>
        </w:rPr>
        <w:t>18</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و(</w:t>
      </w:r>
      <w:r w:rsidR="005A76D5" w:rsidRPr="004869A6">
        <w:rPr>
          <w:rFonts w:eastAsiaTheme="minorEastAsia"/>
          <w:rtl/>
        </w:rPr>
        <w:t>3</w:t>
      </w:r>
      <w:r w:rsidR="005A76D5" w:rsidRPr="005A76D5">
        <w:rPr>
          <w:rFonts w:eastAsiaTheme="minorEastAsia"/>
          <w:rtl/>
        </w:rPr>
        <w:t xml:space="preserve">) </w:t>
      </w:r>
      <w:r w:rsidRPr="00293EB2">
        <w:rPr>
          <w:rFonts w:eastAsiaTheme="minorEastAsia"/>
          <w:rtl/>
        </w:rPr>
        <w:t xml:space="preserve">من العهد، تذكّر اللجنة بتعليقها العام رقم </w:t>
      </w:r>
      <w:r w:rsidRPr="004869A6">
        <w:rPr>
          <w:rFonts w:eastAsiaTheme="minorEastAsia"/>
          <w:rtl/>
        </w:rPr>
        <w:t>22</w:t>
      </w:r>
      <w:r w:rsidRPr="00293EB2">
        <w:rPr>
          <w:rFonts w:eastAsiaTheme="minorEastAsia"/>
          <w:rtl/>
        </w:rPr>
        <w:t>(</w:t>
      </w:r>
      <w:r w:rsidRPr="004869A6">
        <w:rPr>
          <w:rFonts w:eastAsiaTheme="minorEastAsia"/>
          <w:rtl/>
        </w:rPr>
        <w:t>199</w:t>
      </w:r>
      <w:r w:rsidR="005A76D5" w:rsidRPr="004869A6">
        <w:rPr>
          <w:rFonts w:eastAsiaTheme="minorEastAsia"/>
          <w:rtl/>
        </w:rPr>
        <w:t>3</w:t>
      </w:r>
      <w:r w:rsidR="005A76D5" w:rsidRPr="005A76D5">
        <w:rPr>
          <w:rFonts w:eastAsiaTheme="minorEastAsia"/>
          <w:rtl/>
        </w:rPr>
        <w:t xml:space="preserve">) </w:t>
      </w:r>
      <w:r w:rsidRPr="00293EB2">
        <w:rPr>
          <w:rFonts w:eastAsiaTheme="minorEastAsia"/>
          <w:rtl/>
        </w:rPr>
        <w:t xml:space="preserve">الذي قالت فيه إن المادة </w:t>
      </w:r>
      <w:r w:rsidRPr="004869A6">
        <w:rPr>
          <w:rFonts w:eastAsiaTheme="minorEastAsia"/>
          <w:rtl/>
        </w:rPr>
        <w:t>18</w:t>
      </w:r>
      <w:r w:rsidRPr="00293EB2">
        <w:rPr>
          <w:rFonts w:eastAsiaTheme="minorEastAsia"/>
          <w:rtl/>
        </w:rPr>
        <w:t xml:space="preserve"> لا تجيز أي تقييد أياً كان نوعه لحرية الدين والفكر والوجدان، أو لحرية اتباع أو اعتناق أي دين أو معتقد يختاره المرء</w:t>
      </w:r>
      <w:r w:rsidR="005A76D5" w:rsidRPr="004869A6">
        <w:rPr>
          <w:rStyle w:val="FootnoteReference"/>
          <w:rFonts w:eastAsiaTheme="minorEastAsia" w:cs="Simplified Arabic"/>
          <w:sz w:val="22"/>
          <w:szCs w:val="22"/>
          <w:rtl/>
        </w:rPr>
        <w:t>(</w:t>
      </w:r>
      <w:r w:rsidR="005A76D5" w:rsidRPr="004869A6">
        <w:rPr>
          <w:rStyle w:val="FootnoteReference"/>
          <w:rFonts w:eastAsiaTheme="minorEastAsia" w:cs="Simplified Arabic"/>
          <w:b w:val="0"/>
          <w:bCs/>
          <w:sz w:val="22"/>
          <w:szCs w:val="22"/>
          <w:lang w:val="en-US"/>
        </w:rPr>
        <w:footnoteReference w:id="13"/>
      </w:r>
      <w:r w:rsidR="005A76D5" w:rsidRPr="005A76D5">
        <w:rPr>
          <w:rFonts w:eastAsiaTheme="minorEastAsia"/>
          <w:vertAlign w:val="superscript"/>
          <w:rtl/>
        </w:rPr>
        <w:t>)</w:t>
      </w:r>
      <w:r w:rsidR="005A76D5" w:rsidRPr="005A76D5">
        <w:rPr>
          <w:rFonts w:eastAsiaTheme="minorEastAsia"/>
          <w:rtl/>
        </w:rPr>
        <w:t xml:space="preserve">. </w:t>
      </w:r>
      <w:r w:rsidRPr="00293EB2">
        <w:rPr>
          <w:rFonts w:eastAsiaTheme="minorEastAsia"/>
          <w:rtl/>
        </w:rPr>
        <w:t xml:space="preserve">بيد أن الحق في حرية التعبير عن الدين أو المعتقد، على العكس من ذلك، يمكن إخضاعه لبعض القيود، ولكن فقط لتلك القيود المنصوص عليها في القانون والتي تكون ضرورية لحماية السلامة العامة أو النظام العام أو الصحة أو الأخلاق العامة أو الحقوق والحريات الأساسية للغير. وفي هذه القضية، تحيط اللجنة علماً بحجج </w:t>
      </w:r>
      <w:r w:rsidRPr="000E0846">
        <w:rPr>
          <w:rFonts w:eastAsiaTheme="minorEastAsia"/>
          <w:spacing w:val="-2"/>
          <w:rtl/>
        </w:rPr>
        <w:t>أصحاب البلاغ أن الدولة الطرف انتهكت حقوقهم بموجب المادة 18(</w:t>
      </w:r>
      <w:r w:rsidR="005A76D5" w:rsidRPr="000E0846">
        <w:rPr>
          <w:rFonts w:eastAsiaTheme="minorEastAsia"/>
          <w:spacing w:val="-2"/>
          <w:rtl/>
        </w:rPr>
        <w:t xml:space="preserve">1) </w:t>
      </w:r>
      <w:r w:rsidRPr="000E0846">
        <w:rPr>
          <w:rFonts w:eastAsiaTheme="minorEastAsia"/>
          <w:spacing w:val="-2"/>
          <w:rtl/>
        </w:rPr>
        <w:t xml:space="preserve">من العهد عندما قبضت عليهم أثناء مناقشة دينية خاصة في بيت أحدهم، ثم أخذتهم إلى مخفر الشرطة حيث احتُجزوا أكثر من خمس ساعات </w:t>
      </w:r>
      <w:proofErr w:type="spellStart"/>
      <w:r w:rsidRPr="000E0846">
        <w:rPr>
          <w:rFonts w:eastAsiaTheme="minorEastAsia"/>
          <w:spacing w:val="-2"/>
          <w:rtl/>
        </w:rPr>
        <w:t>وأُدينوا</w:t>
      </w:r>
      <w:proofErr w:type="spellEnd"/>
      <w:r w:rsidRPr="000E0846">
        <w:rPr>
          <w:rFonts w:eastAsiaTheme="minorEastAsia"/>
          <w:spacing w:val="-2"/>
          <w:rtl/>
        </w:rPr>
        <w:t xml:space="preserve"> بارتكاب مخالفة إدارية وصدرت في حقهم إنذارات إدارية. وتعرض أصحاب البلاغ لعقوبات لأنهم كانوا يتعبّدون في عنوان لا يحظى باعتراف قانوني، حيث إنهم لم يُمنحوا مركز جمعية دينية ذات عنوان معين من الناحية القانونية. وترى اللجنة، أنه، في إطار تطبيق تعليقها العام رقم 22(1993</w:t>
      </w:r>
      <w:r w:rsidR="005A76D5" w:rsidRPr="000E0846">
        <w:rPr>
          <w:rFonts w:eastAsiaTheme="minorEastAsia"/>
          <w:spacing w:val="-2"/>
          <w:rtl/>
        </w:rPr>
        <w:t xml:space="preserve">)، </w:t>
      </w:r>
      <w:r w:rsidRPr="000E0846">
        <w:rPr>
          <w:rFonts w:eastAsiaTheme="minorEastAsia"/>
          <w:spacing w:val="-2"/>
          <w:rtl/>
        </w:rPr>
        <w:t xml:space="preserve">والفقرة 4 منه التي جاء فيها أنه يمكن ممارسة حرية التعبير عن الدين أو المعتقد إما بشكل فردي أو جماعي مع أشخاص آخرين في سياق عام أو خاص، ترى اللجنة أن مطالبات أصحاب البلاغ تتعلق بحقهم في التعبير عن معتقداتهم الدينية وأن الاعتقال والاحتجاز والإدانة أفعال تشكل تقييداً لذلك الحق. </w:t>
      </w:r>
    </w:p>
    <w:p w14:paraId="42F03F7F" w14:textId="09E9E6AD" w:rsidR="005A76D5" w:rsidRPr="005A76D5" w:rsidRDefault="00C06137" w:rsidP="00293EB2">
      <w:pPr>
        <w:pStyle w:val="SingleTxtGA"/>
        <w:rPr>
          <w:rFonts w:eastAsiaTheme="minorEastAsia"/>
          <w:rtl/>
        </w:rPr>
      </w:pPr>
      <w:r w:rsidRPr="004869A6">
        <w:rPr>
          <w:rFonts w:eastAsiaTheme="minorEastAsia"/>
          <w:rtl/>
        </w:rPr>
        <w:t>9</w:t>
      </w:r>
      <w:r w:rsidRPr="00293EB2">
        <w:rPr>
          <w:rFonts w:eastAsiaTheme="minorEastAsia"/>
          <w:rtl/>
        </w:rPr>
        <w:t>-</w:t>
      </w:r>
      <w:r w:rsidRPr="004869A6">
        <w:rPr>
          <w:rFonts w:eastAsiaTheme="minorEastAsia"/>
          <w:rtl/>
        </w:rPr>
        <w:t>3</w:t>
      </w:r>
      <w:r w:rsidRPr="00293EB2">
        <w:rPr>
          <w:rFonts w:eastAsiaTheme="minorEastAsia"/>
          <w:rtl/>
        </w:rPr>
        <w:tab/>
        <w:t xml:space="preserve">ويتعين على اللجنة أن تنظر في مسألة ما إذا كانت القيود المذكورة على حق أصحاب البلاغ في التعبير عن معتقداتهم الدينية ضرورية لحماية السلامة العامة أو الأمن العام أو الصحة أو الأخلاق العامة أو الحقوق والحريات الأساسية للغير، بالمعنى المقصود في المادة </w:t>
      </w:r>
      <w:r w:rsidRPr="004869A6">
        <w:rPr>
          <w:rFonts w:eastAsiaTheme="minorEastAsia"/>
          <w:rtl/>
        </w:rPr>
        <w:t>18</w:t>
      </w:r>
      <w:r w:rsidRPr="00293EB2">
        <w:rPr>
          <w:rFonts w:eastAsiaTheme="minorEastAsia"/>
          <w:rtl/>
        </w:rPr>
        <w:t>(</w:t>
      </w:r>
      <w:r w:rsidR="005A76D5" w:rsidRPr="004869A6">
        <w:rPr>
          <w:rFonts w:eastAsiaTheme="minorEastAsia"/>
          <w:rtl/>
        </w:rPr>
        <w:t>3</w:t>
      </w:r>
      <w:r w:rsidR="005A76D5" w:rsidRPr="005A76D5">
        <w:rPr>
          <w:rFonts w:eastAsiaTheme="minorEastAsia"/>
          <w:rtl/>
        </w:rPr>
        <w:t xml:space="preserve">) </w:t>
      </w:r>
      <w:r w:rsidRPr="00293EB2">
        <w:rPr>
          <w:rFonts w:eastAsiaTheme="minorEastAsia"/>
          <w:rtl/>
        </w:rPr>
        <w:t xml:space="preserve">من العهد. وتذكر اللجنة بأنه يتعين تفسير المادة </w:t>
      </w:r>
      <w:r w:rsidRPr="004869A6">
        <w:rPr>
          <w:rFonts w:eastAsiaTheme="minorEastAsia"/>
          <w:rtl/>
        </w:rPr>
        <w:t>18</w:t>
      </w:r>
      <w:r w:rsidRPr="00293EB2">
        <w:rPr>
          <w:rFonts w:eastAsiaTheme="minorEastAsia"/>
          <w:rtl/>
        </w:rPr>
        <w:t>(</w:t>
      </w:r>
      <w:r w:rsidR="005A76D5" w:rsidRPr="004869A6">
        <w:rPr>
          <w:rFonts w:eastAsiaTheme="minorEastAsia"/>
          <w:rtl/>
        </w:rPr>
        <w:t>3</w:t>
      </w:r>
      <w:r w:rsidR="005A76D5" w:rsidRPr="005A76D5">
        <w:rPr>
          <w:rFonts w:eastAsiaTheme="minorEastAsia"/>
          <w:rtl/>
        </w:rPr>
        <w:t xml:space="preserve">) </w:t>
      </w:r>
      <w:r w:rsidRPr="00293EB2">
        <w:rPr>
          <w:rFonts w:eastAsiaTheme="minorEastAsia"/>
          <w:rtl/>
        </w:rPr>
        <w:t xml:space="preserve">على نحوٍ صارم، وفقاً للفقرة </w:t>
      </w:r>
      <w:r w:rsidRPr="004869A6">
        <w:rPr>
          <w:rFonts w:eastAsiaTheme="minorEastAsia"/>
          <w:rtl/>
        </w:rPr>
        <w:t>8</w:t>
      </w:r>
      <w:r w:rsidRPr="00293EB2">
        <w:rPr>
          <w:rFonts w:eastAsiaTheme="minorEastAsia"/>
          <w:rtl/>
        </w:rPr>
        <w:t xml:space="preserve"> من تعليقها العام رقم </w:t>
      </w:r>
      <w:r w:rsidRPr="004869A6">
        <w:rPr>
          <w:rFonts w:eastAsiaTheme="minorEastAsia"/>
          <w:rtl/>
        </w:rPr>
        <w:t>22</w:t>
      </w:r>
      <w:r w:rsidRPr="00293EB2">
        <w:rPr>
          <w:rFonts w:eastAsiaTheme="minorEastAsia"/>
          <w:rtl/>
        </w:rPr>
        <w:t>(</w:t>
      </w:r>
      <w:r w:rsidRPr="004869A6">
        <w:rPr>
          <w:rFonts w:eastAsiaTheme="minorEastAsia"/>
          <w:rtl/>
        </w:rPr>
        <w:t>1993</w:t>
      </w:r>
      <w:r w:rsidR="005A76D5" w:rsidRPr="005A76D5">
        <w:rPr>
          <w:rFonts w:eastAsiaTheme="minorEastAsia"/>
          <w:rtl/>
        </w:rPr>
        <w:t xml:space="preserve">)، </w:t>
      </w:r>
      <w:r w:rsidRPr="00293EB2">
        <w:rPr>
          <w:rFonts w:eastAsiaTheme="minorEastAsia"/>
          <w:rtl/>
        </w:rPr>
        <w:t>وبأن القيود على حرية التعبير عن الدين أو المعتقد لا يمكن تطبيقها إلا للأغراض التي وُضعت لأجلها، ويجب أن تربطها صلة مباشرة ومتناسبة بالحاجة المحددة التي تستند إليها</w:t>
      </w:r>
      <w:r w:rsidR="005A76D5" w:rsidRPr="004869A6">
        <w:rPr>
          <w:rStyle w:val="FootnoteReference"/>
          <w:rFonts w:eastAsiaTheme="minorEastAsia" w:cs="Simplified Arabic"/>
          <w:sz w:val="22"/>
          <w:szCs w:val="22"/>
          <w:rtl/>
        </w:rPr>
        <w:t>(</w:t>
      </w:r>
      <w:r w:rsidR="005A76D5" w:rsidRPr="004869A6">
        <w:rPr>
          <w:rStyle w:val="FootnoteReference"/>
          <w:rFonts w:eastAsiaTheme="minorEastAsia" w:cs="Simplified Arabic"/>
          <w:b w:val="0"/>
          <w:bCs/>
          <w:sz w:val="22"/>
          <w:szCs w:val="22"/>
          <w:lang w:val="en-US"/>
        </w:rPr>
        <w:footnoteReference w:id="14"/>
      </w:r>
      <w:r w:rsidR="005A76D5" w:rsidRPr="005A76D5">
        <w:rPr>
          <w:rFonts w:eastAsiaTheme="minorEastAsia"/>
          <w:vertAlign w:val="superscript"/>
          <w:rtl/>
        </w:rPr>
        <w:t>)</w:t>
      </w:r>
      <w:r w:rsidR="005A76D5" w:rsidRPr="005A76D5">
        <w:rPr>
          <w:rFonts w:eastAsiaTheme="minorEastAsia"/>
          <w:rtl/>
        </w:rPr>
        <w:t>.</w:t>
      </w:r>
    </w:p>
    <w:p w14:paraId="6A324CC4" w14:textId="0622EEA5" w:rsidR="005A76D5" w:rsidRPr="005A76D5" w:rsidRDefault="00C06137" w:rsidP="00293EB2">
      <w:pPr>
        <w:pStyle w:val="SingleTxtGA"/>
        <w:rPr>
          <w:rFonts w:eastAsiaTheme="minorEastAsia"/>
          <w:rtl/>
        </w:rPr>
      </w:pPr>
      <w:r w:rsidRPr="004869A6">
        <w:rPr>
          <w:rFonts w:eastAsiaTheme="minorEastAsia"/>
          <w:rtl/>
        </w:rPr>
        <w:t>9</w:t>
      </w:r>
      <w:r w:rsidRPr="00293EB2">
        <w:rPr>
          <w:rFonts w:eastAsiaTheme="minorEastAsia"/>
          <w:rtl/>
        </w:rPr>
        <w:t>-</w:t>
      </w:r>
      <w:r w:rsidRPr="004869A6">
        <w:rPr>
          <w:rFonts w:eastAsiaTheme="minorEastAsia"/>
          <w:rtl/>
        </w:rPr>
        <w:t>4</w:t>
      </w:r>
      <w:r w:rsidR="00140373">
        <w:rPr>
          <w:rFonts w:eastAsiaTheme="minorEastAsia"/>
          <w:rtl/>
        </w:rPr>
        <w:tab/>
      </w:r>
      <w:r w:rsidRPr="00293EB2">
        <w:rPr>
          <w:rFonts w:eastAsiaTheme="minorEastAsia"/>
          <w:rtl/>
        </w:rPr>
        <w:t xml:space="preserve">وفي هذه القضية، تنجم القيود المفروضة على حق أصحاب البلاغ في التعبير عن معتقداتهم الدينية من المقتضى المنصوص عليه في المادة </w:t>
      </w:r>
      <w:r w:rsidRPr="004869A6">
        <w:rPr>
          <w:rFonts w:eastAsiaTheme="minorEastAsia"/>
          <w:rtl/>
        </w:rPr>
        <w:t>12</w:t>
      </w:r>
      <w:r w:rsidRPr="00293EB2">
        <w:rPr>
          <w:rFonts w:eastAsiaTheme="minorEastAsia"/>
          <w:rtl/>
        </w:rPr>
        <w:t xml:space="preserve"> من القانون المتعلق بحرية المعتقدات الدينية، الذي يشترط أن تكون الجمعية مسجلة رسمياً لكي تمارس أنشطتها بصورة قانونية. وتلاحظ اللجنة أن الدولة الطرف لم توضح بدقة كيف أن العبادة الدينية تكون مشروطة بالتسجيل الرسمي في جمعية دينية. كما</w:t>
      </w:r>
      <w:r w:rsidR="00140373">
        <w:rPr>
          <w:rFonts w:eastAsiaTheme="minorEastAsia" w:hint="cs"/>
          <w:rtl/>
        </w:rPr>
        <w:t> </w:t>
      </w:r>
      <w:r w:rsidRPr="00293EB2">
        <w:rPr>
          <w:rFonts w:eastAsiaTheme="minorEastAsia"/>
          <w:rtl/>
        </w:rPr>
        <w:t>تلاحظ اللجنة أيضاً أن الدولة الطرف لم تقدم ما يدل على أن التعبير السلمي عن المعتقدات الدينية لأصحاب البلاغ في بيت واحد منهم تهدد السلامة العامة أو النظام العام أو الصحة أو الأخلاق العامة أو</w:t>
      </w:r>
      <w:r w:rsidR="00140373">
        <w:rPr>
          <w:rFonts w:eastAsiaTheme="minorEastAsia" w:hint="cs"/>
          <w:rtl/>
        </w:rPr>
        <w:t> </w:t>
      </w:r>
      <w:r w:rsidRPr="00293EB2">
        <w:rPr>
          <w:rFonts w:eastAsiaTheme="minorEastAsia"/>
          <w:rtl/>
        </w:rPr>
        <w:t xml:space="preserve">الحقوق والحريات الأساسية للغير. وتلاحظ اللجنة كذلك أن الدولة الطرف لم تُدرج أي معلومات عن أي سياق، ولم تقدم أي أمثلة يمكن أن يبرر فيها تهديد محدد وكبير للنظام والسلامة العامين الحظر الشامل على العبادة الدينية خارج إطار منظمة دينية مسجلة. وحتى لو استطاعت الدولة الطرف البرهنة على وجود تهديد محدد وكبير للسلامة والنظام العامين، فإنها لم تبرهن على أن شرط التسجيل المنصوص عليه في المادة </w:t>
      </w:r>
      <w:r w:rsidRPr="004869A6">
        <w:rPr>
          <w:rFonts w:eastAsiaTheme="minorEastAsia"/>
          <w:rtl/>
        </w:rPr>
        <w:t>12</w:t>
      </w:r>
      <w:r w:rsidRPr="00293EB2">
        <w:rPr>
          <w:rFonts w:eastAsiaTheme="minorEastAsia"/>
          <w:rtl/>
        </w:rPr>
        <w:t xml:space="preserve"> من القانون المتعلق بحرية المعتقدات الدينية متناسب مع ذلك الغرض، بالنظر إلى التقييد الشديد الذي يفرضه على فعل العبادة الدينية. كما أن الدولة الطرف لم تحاول البرهنة على أن الشرط كان أقل إجراء تقييدي ضروري لكفالة حماية حرية الدين أو المعتقد. وبينما لاحظت الدولة الطرف أن المادة </w:t>
      </w:r>
      <w:r w:rsidRPr="004869A6">
        <w:rPr>
          <w:rFonts w:eastAsiaTheme="minorEastAsia"/>
          <w:rtl/>
        </w:rPr>
        <w:t>18</w:t>
      </w:r>
      <w:r w:rsidRPr="00293EB2">
        <w:rPr>
          <w:rFonts w:eastAsiaTheme="minorEastAsia"/>
          <w:rtl/>
        </w:rPr>
        <w:t>(</w:t>
      </w:r>
      <w:r w:rsidR="005A76D5" w:rsidRPr="004869A6">
        <w:rPr>
          <w:rFonts w:eastAsiaTheme="minorEastAsia"/>
          <w:rtl/>
        </w:rPr>
        <w:t>3</w:t>
      </w:r>
      <w:r w:rsidR="005A76D5" w:rsidRPr="005A76D5">
        <w:rPr>
          <w:rFonts w:eastAsiaTheme="minorEastAsia"/>
          <w:rtl/>
        </w:rPr>
        <w:t xml:space="preserve">) </w:t>
      </w:r>
      <w:r w:rsidRPr="00293EB2">
        <w:rPr>
          <w:rFonts w:eastAsiaTheme="minorEastAsia"/>
          <w:rtl/>
        </w:rPr>
        <w:t xml:space="preserve">من العهد تبيح تقييدات معينة على الحق في التعبير عن الدين أو المعتقدات بهدف حماية الحقوق والحريات الأساسية للغير، فإن اللجنة تلاحظ أن تلك الحماية تستلزم تحديد ما هي الحقوق الأساسية المحددة التي تتأثر بذلك ومن هم الأشخاص الذين يتأثرون بذلك. وتحيط اللجنة علماً بأنه يتعين تفسير الاستثناءات التي تبيحها المادة </w:t>
      </w:r>
      <w:r w:rsidRPr="004869A6">
        <w:rPr>
          <w:rFonts w:eastAsiaTheme="minorEastAsia"/>
          <w:rtl/>
        </w:rPr>
        <w:t>18</w:t>
      </w:r>
      <w:r w:rsidRPr="00293EB2">
        <w:rPr>
          <w:rFonts w:eastAsiaTheme="minorEastAsia"/>
          <w:rtl/>
        </w:rPr>
        <w:t>(</w:t>
      </w:r>
      <w:r w:rsidR="005A76D5" w:rsidRPr="004869A6">
        <w:rPr>
          <w:rFonts w:eastAsiaTheme="minorEastAsia"/>
          <w:rtl/>
        </w:rPr>
        <w:t>3</w:t>
      </w:r>
      <w:r w:rsidR="005A76D5" w:rsidRPr="005A76D5">
        <w:rPr>
          <w:rFonts w:eastAsiaTheme="minorEastAsia"/>
          <w:rtl/>
        </w:rPr>
        <w:t xml:space="preserve">) </w:t>
      </w:r>
      <w:r w:rsidRPr="00293EB2">
        <w:rPr>
          <w:rFonts w:eastAsiaTheme="minorEastAsia"/>
          <w:rtl/>
        </w:rPr>
        <w:t xml:space="preserve">بطريقة صارمة وعدم تطبيقها على نحوٍ مجرد. ففي القضية قيد النظر، لم تحدد الدولة الطرف أي حق من الحقوق ولا أي حرية من الحريات الأساسية للآخرين يتأثر جراء عبادة دينية قام بها أصحاب البلاغ في منزل السيد </w:t>
      </w:r>
      <w:proofErr w:type="spellStart"/>
      <w:r w:rsidRPr="00293EB2">
        <w:rPr>
          <w:rFonts w:eastAsiaTheme="minorEastAsia"/>
          <w:rtl/>
        </w:rPr>
        <w:t>مورسالوف</w:t>
      </w:r>
      <w:proofErr w:type="spellEnd"/>
      <w:r w:rsidRPr="00293EB2">
        <w:rPr>
          <w:rFonts w:eastAsiaTheme="minorEastAsia"/>
          <w:rtl/>
        </w:rPr>
        <w:t xml:space="preserve">. وعليه، ترى اللجنة أن الدولة الطرف لم تقدم أساساً كافياً لتبرير القيود المفروضة، بحيث تبرهن على أنها مسموح بها ضمن المعنى المقصود في المادة </w:t>
      </w:r>
      <w:r w:rsidRPr="004869A6">
        <w:rPr>
          <w:rFonts w:eastAsiaTheme="minorEastAsia"/>
          <w:rtl/>
        </w:rPr>
        <w:t>18</w:t>
      </w:r>
      <w:r w:rsidRPr="00293EB2">
        <w:rPr>
          <w:rFonts w:eastAsiaTheme="minorEastAsia"/>
          <w:rtl/>
        </w:rPr>
        <w:t>(</w:t>
      </w:r>
      <w:r w:rsidR="005A76D5" w:rsidRPr="004869A6">
        <w:rPr>
          <w:rFonts w:eastAsiaTheme="minorEastAsia"/>
          <w:rtl/>
        </w:rPr>
        <w:t>3</w:t>
      </w:r>
      <w:r w:rsidR="005A76D5" w:rsidRPr="005A76D5">
        <w:rPr>
          <w:rFonts w:eastAsiaTheme="minorEastAsia"/>
          <w:rtl/>
        </w:rPr>
        <w:t xml:space="preserve">) </w:t>
      </w:r>
      <w:r w:rsidRPr="00293EB2">
        <w:rPr>
          <w:rFonts w:eastAsiaTheme="minorEastAsia"/>
          <w:rtl/>
        </w:rPr>
        <w:t>من العهد</w:t>
      </w:r>
      <w:r w:rsidR="005A76D5" w:rsidRPr="004869A6">
        <w:rPr>
          <w:rStyle w:val="FootnoteReference"/>
          <w:rFonts w:eastAsiaTheme="minorEastAsia" w:cs="Simplified Arabic"/>
          <w:sz w:val="22"/>
          <w:szCs w:val="22"/>
          <w:rtl/>
        </w:rPr>
        <w:t>(</w:t>
      </w:r>
      <w:r w:rsidR="005A76D5" w:rsidRPr="004869A6">
        <w:rPr>
          <w:rStyle w:val="FootnoteReference"/>
          <w:rFonts w:eastAsiaTheme="minorEastAsia" w:cs="Simplified Arabic"/>
          <w:b w:val="0"/>
          <w:bCs/>
          <w:sz w:val="22"/>
          <w:szCs w:val="22"/>
          <w:lang w:val="en-US"/>
        </w:rPr>
        <w:footnoteReference w:id="15"/>
      </w:r>
      <w:r w:rsidR="005A76D5" w:rsidRPr="005A76D5">
        <w:rPr>
          <w:rFonts w:eastAsiaTheme="minorEastAsia"/>
          <w:vertAlign w:val="superscript"/>
          <w:rtl/>
        </w:rPr>
        <w:t>)</w:t>
      </w:r>
      <w:r w:rsidR="005A76D5" w:rsidRPr="005A76D5">
        <w:rPr>
          <w:rFonts w:eastAsiaTheme="minorEastAsia"/>
          <w:rtl/>
        </w:rPr>
        <w:t>.</w:t>
      </w:r>
    </w:p>
    <w:p w14:paraId="10890836" w14:textId="24F400E9" w:rsidR="00C06137" w:rsidRPr="000E0846" w:rsidRDefault="00C06137" w:rsidP="00293EB2">
      <w:pPr>
        <w:pStyle w:val="SingleTxtGA"/>
        <w:rPr>
          <w:rFonts w:eastAsiaTheme="minorEastAsia"/>
          <w:spacing w:val="-2"/>
          <w:rtl/>
        </w:rPr>
      </w:pPr>
      <w:r w:rsidRPr="004869A6">
        <w:rPr>
          <w:rFonts w:eastAsiaTheme="minorEastAsia"/>
          <w:rtl/>
        </w:rPr>
        <w:t>9</w:t>
      </w:r>
      <w:r w:rsidRPr="00293EB2">
        <w:rPr>
          <w:rFonts w:eastAsiaTheme="minorEastAsia"/>
          <w:rtl/>
        </w:rPr>
        <w:t>-</w:t>
      </w:r>
      <w:r w:rsidRPr="004869A6">
        <w:rPr>
          <w:rFonts w:eastAsiaTheme="minorEastAsia"/>
          <w:rtl/>
        </w:rPr>
        <w:t>5</w:t>
      </w:r>
      <w:r w:rsidRPr="00293EB2">
        <w:rPr>
          <w:rFonts w:eastAsiaTheme="minorEastAsia"/>
          <w:rtl/>
        </w:rPr>
        <w:tab/>
        <w:t xml:space="preserve">وتلاحظ اللجنة أن محكمة </w:t>
      </w:r>
      <w:proofErr w:type="spellStart"/>
      <w:r w:rsidRPr="00293EB2">
        <w:rPr>
          <w:rFonts w:eastAsiaTheme="minorEastAsia"/>
          <w:rtl/>
        </w:rPr>
        <w:t>غاراداغ</w:t>
      </w:r>
      <w:proofErr w:type="spellEnd"/>
      <w:r w:rsidRPr="00293EB2">
        <w:rPr>
          <w:rFonts w:eastAsiaTheme="minorEastAsia"/>
          <w:rtl/>
        </w:rPr>
        <w:t xml:space="preserve"> ومحكمة الاستئناف في باكو قد أيدتا، في إطار الدعاوى المحلية، إدانات أصحاب البلاغ على أساس أن نشاط جماعة شهود يهوه والتعبد في منزل السيد </w:t>
      </w:r>
      <w:proofErr w:type="spellStart"/>
      <w:r w:rsidRPr="00293EB2">
        <w:rPr>
          <w:rFonts w:eastAsiaTheme="minorEastAsia"/>
          <w:rtl/>
        </w:rPr>
        <w:t>مورسالوف</w:t>
      </w:r>
      <w:proofErr w:type="spellEnd"/>
      <w:r w:rsidRPr="00293EB2">
        <w:rPr>
          <w:rFonts w:eastAsiaTheme="minorEastAsia"/>
          <w:rtl/>
        </w:rPr>
        <w:t xml:space="preserve"> ينتهكان متطلبات مختلفة منصوص عليها في قانون حرية المعتقدات الدينية. وبالتحديد، ذكرت الدولة الطرف النص القانوني الذي جاء فيه أنه لا يجوز للجمعيات الدينية مزاولة أنشطتها إلا بعد </w:t>
      </w:r>
      <w:r w:rsidRPr="000E0846">
        <w:rPr>
          <w:rFonts w:eastAsiaTheme="minorEastAsia"/>
          <w:spacing w:val="-2"/>
          <w:rtl/>
        </w:rPr>
        <w:t>تسجيلها رسمياً وفقط في أماكن العبادة المحددة في المعلومات المقدمة لأغراض التسجيل لدى الدولة باعتبارها العنوان القانوني. وتذكّر اللجنة بأن المادة 18(</w:t>
      </w:r>
      <w:r w:rsidR="005A76D5" w:rsidRPr="000E0846">
        <w:rPr>
          <w:rFonts w:eastAsiaTheme="minorEastAsia"/>
          <w:spacing w:val="-2"/>
          <w:rtl/>
        </w:rPr>
        <w:t xml:space="preserve">1) </w:t>
      </w:r>
      <w:r w:rsidRPr="000E0846">
        <w:rPr>
          <w:rFonts w:eastAsiaTheme="minorEastAsia"/>
          <w:spacing w:val="-2"/>
          <w:rtl/>
        </w:rPr>
        <w:t>من العهد تحمي حق جميع أفراد جماعة دينية ما في التعبير عن دينهم مع غيرهم، وفي العبادة وإقامة الشعائر والممارسة والتعليم</w:t>
      </w:r>
      <w:r w:rsidR="005A76D5" w:rsidRPr="000E0846">
        <w:rPr>
          <w:rStyle w:val="FootnoteReference"/>
          <w:rFonts w:eastAsiaTheme="minorEastAsia" w:cs="Simplified Arabic"/>
          <w:spacing w:val="-2"/>
          <w:sz w:val="22"/>
          <w:szCs w:val="22"/>
          <w:rtl/>
        </w:rPr>
        <w:t>(</w:t>
      </w:r>
      <w:r w:rsidR="005A76D5" w:rsidRPr="000E0846">
        <w:rPr>
          <w:rStyle w:val="FootnoteReference"/>
          <w:rFonts w:eastAsiaTheme="minorEastAsia" w:cs="Simplified Arabic"/>
          <w:b w:val="0"/>
          <w:bCs/>
          <w:spacing w:val="-2"/>
          <w:sz w:val="22"/>
          <w:szCs w:val="22"/>
          <w:lang w:val="en-US"/>
        </w:rPr>
        <w:footnoteReference w:id="16"/>
      </w:r>
      <w:r w:rsidR="005A76D5" w:rsidRPr="000E0846">
        <w:rPr>
          <w:rFonts w:eastAsiaTheme="minorEastAsia"/>
          <w:spacing w:val="-2"/>
          <w:vertAlign w:val="superscript"/>
          <w:rtl/>
        </w:rPr>
        <w:t>)</w:t>
      </w:r>
      <w:r w:rsidR="005A76D5" w:rsidRPr="000E0846">
        <w:rPr>
          <w:rFonts w:eastAsiaTheme="minorEastAsia"/>
          <w:spacing w:val="-2"/>
          <w:rtl/>
        </w:rPr>
        <w:t xml:space="preserve">. </w:t>
      </w:r>
      <w:r w:rsidRPr="000E0846">
        <w:rPr>
          <w:rFonts w:eastAsiaTheme="minorEastAsia"/>
          <w:spacing w:val="-2"/>
          <w:rtl/>
        </w:rPr>
        <w:t>وترى اللجنة أن التبريرات التي قدمتها الدولة الطرف لا تبين كيف يكون الشرط المتمثل في وجوب التسجيل القانوني كجمعية قبل إقامة شعائر دينية مبرر</w:t>
      </w:r>
      <w:r w:rsidR="00391D83" w:rsidRPr="000E0846">
        <w:rPr>
          <w:rFonts w:eastAsiaTheme="minorEastAsia"/>
          <w:spacing w:val="-2"/>
          <w:rtl/>
        </w:rPr>
        <w:t xml:space="preserve">اً </w:t>
      </w:r>
      <w:r w:rsidRPr="000E0846">
        <w:rPr>
          <w:rFonts w:eastAsiaTheme="minorEastAsia"/>
          <w:spacing w:val="-2"/>
          <w:rtl/>
        </w:rPr>
        <w:t>متناسب</w:t>
      </w:r>
      <w:r w:rsidR="00391D83" w:rsidRPr="000E0846">
        <w:rPr>
          <w:rFonts w:eastAsiaTheme="minorEastAsia"/>
          <w:spacing w:val="-2"/>
          <w:rtl/>
        </w:rPr>
        <w:t xml:space="preserve">اً </w:t>
      </w:r>
      <w:r w:rsidRPr="000E0846">
        <w:rPr>
          <w:rFonts w:eastAsiaTheme="minorEastAsia"/>
          <w:spacing w:val="-2"/>
          <w:rtl/>
        </w:rPr>
        <w:t>وضروري</w:t>
      </w:r>
      <w:r w:rsidR="00391D83" w:rsidRPr="000E0846">
        <w:rPr>
          <w:rFonts w:eastAsiaTheme="minorEastAsia"/>
          <w:spacing w:val="-2"/>
          <w:rtl/>
        </w:rPr>
        <w:t xml:space="preserve">اً </w:t>
      </w:r>
      <w:r w:rsidRPr="000E0846">
        <w:rPr>
          <w:rFonts w:eastAsiaTheme="minorEastAsia"/>
          <w:spacing w:val="-2"/>
          <w:rtl/>
        </w:rPr>
        <w:t>لخدمة هدف مشروع بالمعنى المقصود في المادة 18(</w:t>
      </w:r>
      <w:r w:rsidR="005A76D5" w:rsidRPr="000E0846">
        <w:rPr>
          <w:rFonts w:eastAsiaTheme="minorEastAsia"/>
          <w:spacing w:val="-2"/>
          <w:rtl/>
        </w:rPr>
        <w:t xml:space="preserve">3) </w:t>
      </w:r>
      <w:r w:rsidRPr="000E0846">
        <w:rPr>
          <w:rFonts w:eastAsiaTheme="minorEastAsia"/>
          <w:spacing w:val="-2"/>
          <w:rtl/>
        </w:rPr>
        <w:t>من العهد. وتلاحظ اللجنة أن الدولة الطرف لم تقدّم أي حجة تبين ضرورة التسجيل أولاً لدى الحكومة بالنسبة لأصحاب البلاغ قبل ممارسة دينهم جماعةً في منزل خاص. وتستنج الدولة الطرف أن العقوبة المفروضة على أصحاب البلاغ تعادل تقييداً لحقهم في التعبير عن دينهم بموجب المادة 18(</w:t>
      </w:r>
      <w:r w:rsidR="005A76D5" w:rsidRPr="000E0846">
        <w:rPr>
          <w:rFonts w:eastAsiaTheme="minorEastAsia"/>
          <w:spacing w:val="-2"/>
          <w:rtl/>
        </w:rPr>
        <w:t xml:space="preserve">1) </w:t>
      </w:r>
      <w:r w:rsidRPr="000E0846">
        <w:rPr>
          <w:rFonts w:eastAsiaTheme="minorEastAsia"/>
          <w:spacing w:val="-2"/>
          <w:rtl/>
        </w:rPr>
        <w:t>من العهد، كما</w:t>
      </w:r>
      <w:r w:rsidR="00391D83" w:rsidRPr="000E0846">
        <w:rPr>
          <w:rFonts w:eastAsiaTheme="minorEastAsia" w:hint="cs"/>
          <w:spacing w:val="-2"/>
          <w:rtl/>
        </w:rPr>
        <w:t> </w:t>
      </w:r>
      <w:r w:rsidRPr="000E0846">
        <w:rPr>
          <w:rFonts w:eastAsiaTheme="minorEastAsia"/>
          <w:spacing w:val="-2"/>
          <w:rtl/>
        </w:rPr>
        <w:t>تستنج أنه لا السلطات المحلية ولا الدولة الطرف بيّنت أن القيد المفروض تدبير متناسب، ضروري لخدمة هدف مشروع على النحو المحدد في المادة 18(</w:t>
      </w:r>
      <w:r w:rsidR="005A76D5" w:rsidRPr="000E0846">
        <w:rPr>
          <w:rFonts w:eastAsiaTheme="minorEastAsia"/>
          <w:spacing w:val="-2"/>
          <w:rtl/>
        </w:rPr>
        <w:t xml:space="preserve">3) </w:t>
      </w:r>
      <w:r w:rsidRPr="000E0846">
        <w:rPr>
          <w:rFonts w:eastAsiaTheme="minorEastAsia"/>
          <w:spacing w:val="-2"/>
          <w:rtl/>
        </w:rPr>
        <w:t>من العهد. وعليه تستنج الدولة الطرف أن الدولة الطرف، بإلقائها القبض على أصحاب البلاغ واحتجازهم ومعاقبتهم بإصدار إنذارات إدارية لأنهم عقدوا اجتماعاً دينياً، تكون قد انتهكت حقوقهم بموجب المادة 18(</w:t>
      </w:r>
      <w:r w:rsidR="005A76D5" w:rsidRPr="000E0846">
        <w:rPr>
          <w:rFonts w:eastAsiaTheme="minorEastAsia"/>
          <w:spacing w:val="-2"/>
          <w:rtl/>
        </w:rPr>
        <w:t xml:space="preserve">1) </w:t>
      </w:r>
      <w:r w:rsidRPr="000E0846">
        <w:rPr>
          <w:rFonts w:eastAsiaTheme="minorEastAsia"/>
          <w:spacing w:val="-2"/>
          <w:rtl/>
        </w:rPr>
        <w:t xml:space="preserve">من العهد. </w:t>
      </w:r>
    </w:p>
    <w:p w14:paraId="740CB81C" w14:textId="5D156A07" w:rsidR="00C06137" w:rsidRPr="00293EB2" w:rsidRDefault="00C06137" w:rsidP="00293EB2">
      <w:pPr>
        <w:pStyle w:val="SingleTxtGA"/>
        <w:rPr>
          <w:rFonts w:eastAsiaTheme="minorEastAsia"/>
          <w:rtl/>
        </w:rPr>
      </w:pPr>
      <w:r w:rsidRPr="004869A6">
        <w:rPr>
          <w:rFonts w:eastAsiaTheme="minorEastAsia"/>
          <w:rtl/>
        </w:rPr>
        <w:t>9</w:t>
      </w:r>
      <w:r w:rsidRPr="00293EB2">
        <w:rPr>
          <w:rFonts w:eastAsiaTheme="minorEastAsia"/>
          <w:rtl/>
        </w:rPr>
        <w:t>-</w:t>
      </w:r>
      <w:r w:rsidRPr="004869A6">
        <w:rPr>
          <w:rFonts w:eastAsiaTheme="minorEastAsia"/>
          <w:rtl/>
        </w:rPr>
        <w:t>6</w:t>
      </w:r>
      <w:r w:rsidRPr="00293EB2">
        <w:rPr>
          <w:rFonts w:eastAsiaTheme="minorEastAsia"/>
          <w:rtl/>
        </w:rPr>
        <w:tab/>
        <w:t xml:space="preserve">وفيما يتعلق بالسيد </w:t>
      </w:r>
      <w:proofErr w:type="spellStart"/>
      <w:r w:rsidRPr="00293EB2">
        <w:rPr>
          <w:rFonts w:eastAsiaTheme="minorEastAsia"/>
          <w:rtl/>
        </w:rPr>
        <w:t>كفاراتسخيليا</w:t>
      </w:r>
      <w:proofErr w:type="spellEnd"/>
      <w:r w:rsidRPr="00293EB2">
        <w:rPr>
          <w:rFonts w:eastAsiaTheme="minorEastAsia"/>
          <w:rtl/>
        </w:rPr>
        <w:t xml:space="preserve">، تلاحظ اللجنة أن المادة </w:t>
      </w:r>
      <w:r w:rsidRPr="004869A6">
        <w:rPr>
          <w:rFonts w:eastAsiaTheme="minorEastAsia"/>
          <w:rtl/>
        </w:rPr>
        <w:t>18</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 xml:space="preserve">من العهد تحمي حق جميع أفراد طائفة دينية ما، وليس فقط مواطني الدولة الطرف، في التعبير عن دينهم مع آخرين وفي إقامة الشعائر الدينية والممارسة والتعليم. وتستنتج اللجنة أن العقوبة المفروضة على السيد </w:t>
      </w:r>
      <w:proofErr w:type="spellStart"/>
      <w:r w:rsidRPr="00293EB2">
        <w:rPr>
          <w:rFonts w:eastAsiaTheme="minorEastAsia"/>
          <w:rtl/>
        </w:rPr>
        <w:t>كفاراتسخيليا</w:t>
      </w:r>
      <w:proofErr w:type="spellEnd"/>
      <w:r w:rsidRPr="00293EB2">
        <w:rPr>
          <w:rFonts w:eastAsiaTheme="minorEastAsia"/>
          <w:rtl/>
        </w:rPr>
        <w:t xml:space="preserve">، ولا سيما العواقب المضنية التي جرّتها عليه بإبعاده من الدولة الطرف، تعادل تقييداً لحقه في التعبير عن دينه في المادة </w:t>
      </w:r>
      <w:r w:rsidRPr="004869A6">
        <w:rPr>
          <w:rFonts w:eastAsiaTheme="minorEastAsia"/>
          <w:rtl/>
        </w:rPr>
        <w:t>18</w:t>
      </w:r>
      <w:r w:rsidRPr="00293EB2">
        <w:rPr>
          <w:rFonts w:eastAsiaTheme="minorEastAsia"/>
          <w:rtl/>
        </w:rPr>
        <w:t>(</w:t>
      </w:r>
      <w:r w:rsidRPr="004869A6">
        <w:rPr>
          <w:rFonts w:eastAsiaTheme="minorEastAsia"/>
          <w:rtl/>
        </w:rPr>
        <w:t>1</w:t>
      </w:r>
      <w:r w:rsidR="005A76D5" w:rsidRPr="005A76D5">
        <w:rPr>
          <w:rFonts w:eastAsiaTheme="minorEastAsia"/>
          <w:rtl/>
        </w:rPr>
        <w:t xml:space="preserve">)، </w:t>
      </w:r>
      <w:r w:rsidRPr="00293EB2">
        <w:rPr>
          <w:rFonts w:eastAsiaTheme="minorEastAsia"/>
          <w:rtl/>
        </w:rPr>
        <w:t>وإلى أن ذلك التقييد، رغم أنه منصوص عليه في القانون، ليس متناسباً ولا مبرَّراً. وبالإضافة إلى ما سبق، تلاحظ اللجنة أن الدولة الطرف لم تبرهن على أن هذا التقييد كان يخدم غرضاً</w:t>
      </w:r>
      <w:r w:rsidR="00391D83">
        <w:rPr>
          <w:rFonts w:eastAsiaTheme="minorEastAsia" w:hint="cs"/>
          <w:rtl/>
        </w:rPr>
        <w:t> </w:t>
      </w:r>
      <w:r w:rsidRPr="00293EB2">
        <w:rPr>
          <w:rFonts w:eastAsiaTheme="minorEastAsia"/>
          <w:rtl/>
        </w:rPr>
        <w:t xml:space="preserve">مشروعاً منصوصاً عليه في المادة </w:t>
      </w:r>
      <w:r w:rsidRPr="004869A6">
        <w:rPr>
          <w:rFonts w:eastAsiaTheme="minorEastAsia"/>
          <w:rtl/>
        </w:rPr>
        <w:t>18</w:t>
      </w:r>
      <w:r w:rsidRPr="00293EB2">
        <w:rPr>
          <w:rFonts w:eastAsiaTheme="minorEastAsia"/>
          <w:rtl/>
        </w:rPr>
        <w:t>(</w:t>
      </w:r>
      <w:r w:rsidR="005A76D5" w:rsidRPr="004869A6">
        <w:rPr>
          <w:rFonts w:eastAsiaTheme="minorEastAsia"/>
          <w:rtl/>
        </w:rPr>
        <w:t>3</w:t>
      </w:r>
      <w:r w:rsidR="005A76D5" w:rsidRPr="005A76D5">
        <w:rPr>
          <w:rFonts w:eastAsiaTheme="minorEastAsia"/>
          <w:rtl/>
        </w:rPr>
        <w:t xml:space="preserve">) </w:t>
      </w:r>
      <w:r w:rsidRPr="00293EB2">
        <w:rPr>
          <w:rFonts w:eastAsiaTheme="minorEastAsia"/>
          <w:rtl/>
        </w:rPr>
        <w:t>أو على أن هذا التقييد الشامل للحق في التعبير عن الدين يتناسب مع أي غرض مشروع يمكن أن يخدمه</w:t>
      </w:r>
      <w:r w:rsidR="005A76D5" w:rsidRPr="004869A6">
        <w:rPr>
          <w:rStyle w:val="FootnoteReference"/>
          <w:rFonts w:eastAsiaTheme="minorEastAsia" w:cs="Simplified Arabic"/>
          <w:sz w:val="22"/>
          <w:szCs w:val="22"/>
          <w:rtl/>
        </w:rPr>
        <w:t>(</w:t>
      </w:r>
      <w:r w:rsidR="005A76D5" w:rsidRPr="004869A6">
        <w:rPr>
          <w:rStyle w:val="FootnoteReference"/>
          <w:rFonts w:eastAsiaTheme="minorEastAsia" w:cs="Simplified Arabic"/>
          <w:b w:val="0"/>
          <w:bCs/>
          <w:sz w:val="22"/>
          <w:szCs w:val="22"/>
          <w:lang w:val="en-US"/>
        </w:rPr>
        <w:footnoteReference w:id="17"/>
      </w:r>
      <w:r w:rsidR="005A76D5" w:rsidRPr="005A76D5">
        <w:rPr>
          <w:rFonts w:eastAsiaTheme="minorEastAsia"/>
          <w:vertAlign w:val="superscript"/>
          <w:rtl/>
        </w:rPr>
        <w:t>)</w:t>
      </w:r>
      <w:r w:rsidR="005A76D5" w:rsidRPr="005A76D5">
        <w:rPr>
          <w:rFonts w:eastAsiaTheme="minorEastAsia"/>
          <w:rtl/>
        </w:rPr>
        <w:t xml:space="preserve">. </w:t>
      </w:r>
      <w:r w:rsidRPr="00293EB2">
        <w:rPr>
          <w:rFonts w:eastAsiaTheme="minorEastAsia"/>
          <w:rtl/>
        </w:rPr>
        <w:t>وبناءً عليه، تستنج الدولة الطرف أن هذا التقييد</w:t>
      </w:r>
      <w:r w:rsidR="00391D83">
        <w:rPr>
          <w:rFonts w:eastAsiaTheme="minorEastAsia" w:hint="cs"/>
          <w:rtl/>
        </w:rPr>
        <w:t> </w:t>
      </w:r>
      <w:r w:rsidRPr="00293EB2">
        <w:rPr>
          <w:rFonts w:eastAsiaTheme="minorEastAsia"/>
          <w:rtl/>
        </w:rPr>
        <w:t>لا</w:t>
      </w:r>
      <w:r w:rsidR="00391D83">
        <w:rPr>
          <w:rFonts w:eastAsiaTheme="minorEastAsia" w:hint="cs"/>
          <w:rtl/>
        </w:rPr>
        <w:t> </w:t>
      </w:r>
      <w:r w:rsidRPr="00293EB2">
        <w:rPr>
          <w:rFonts w:eastAsiaTheme="minorEastAsia"/>
          <w:rtl/>
        </w:rPr>
        <w:t xml:space="preserve">يلبي مقتضيات المادة </w:t>
      </w:r>
      <w:r w:rsidRPr="004869A6">
        <w:rPr>
          <w:rFonts w:eastAsiaTheme="minorEastAsia"/>
          <w:rtl/>
        </w:rPr>
        <w:t>18</w:t>
      </w:r>
      <w:r w:rsidRPr="00293EB2">
        <w:rPr>
          <w:rFonts w:eastAsiaTheme="minorEastAsia"/>
          <w:rtl/>
        </w:rPr>
        <w:t>(</w:t>
      </w:r>
      <w:r w:rsidR="005A76D5" w:rsidRPr="004869A6">
        <w:rPr>
          <w:rFonts w:eastAsiaTheme="minorEastAsia"/>
          <w:rtl/>
        </w:rPr>
        <w:t>3</w:t>
      </w:r>
      <w:r w:rsidR="005A76D5" w:rsidRPr="005A76D5">
        <w:rPr>
          <w:rFonts w:eastAsiaTheme="minorEastAsia"/>
          <w:rtl/>
        </w:rPr>
        <w:t xml:space="preserve">) </w:t>
      </w:r>
      <w:r w:rsidRPr="00293EB2">
        <w:rPr>
          <w:rFonts w:eastAsiaTheme="minorEastAsia"/>
          <w:rtl/>
        </w:rPr>
        <w:t xml:space="preserve">وأن حقوق السيد </w:t>
      </w:r>
      <w:proofErr w:type="spellStart"/>
      <w:r w:rsidRPr="00293EB2">
        <w:rPr>
          <w:rFonts w:eastAsiaTheme="minorEastAsia"/>
          <w:rtl/>
        </w:rPr>
        <w:t>كفاراتسخيليا</w:t>
      </w:r>
      <w:proofErr w:type="spellEnd"/>
      <w:r w:rsidRPr="00293EB2">
        <w:rPr>
          <w:rFonts w:eastAsiaTheme="minorEastAsia"/>
          <w:rtl/>
        </w:rPr>
        <w:t xml:space="preserve"> بموجب المادة </w:t>
      </w:r>
      <w:r w:rsidRPr="004869A6">
        <w:rPr>
          <w:rFonts w:eastAsiaTheme="minorEastAsia"/>
          <w:rtl/>
        </w:rPr>
        <w:t>18</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من العهد قد</w:t>
      </w:r>
      <w:r w:rsidR="00391D83">
        <w:rPr>
          <w:rFonts w:eastAsiaTheme="minorEastAsia" w:hint="cs"/>
          <w:rtl/>
        </w:rPr>
        <w:t> </w:t>
      </w:r>
      <w:r w:rsidRPr="00293EB2">
        <w:rPr>
          <w:rFonts w:eastAsiaTheme="minorEastAsia"/>
          <w:rtl/>
        </w:rPr>
        <w:t>انتُهكت.</w:t>
      </w:r>
    </w:p>
    <w:p w14:paraId="270008BA" w14:textId="39A00702" w:rsidR="00C06137" w:rsidRPr="000E0846" w:rsidRDefault="00C06137" w:rsidP="00293EB2">
      <w:pPr>
        <w:pStyle w:val="SingleTxtGA"/>
        <w:rPr>
          <w:rFonts w:eastAsiaTheme="minorEastAsia"/>
          <w:spacing w:val="-2"/>
          <w:rtl/>
        </w:rPr>
      </w:pPr>
      <w:r w:rsidRPr="004869A6">
        <w:rPr>
          <w:rFonts w:eastAsiaTheme="minorEastAsia"/>
          <w:rtl/>
        </w:rPr>
        <w:t>9</w:t>
      </w:r>
      <w:r w:rsidRPr="00293EB2">
        <w:rPr>
          <w:rFonts w:eastAsiaTheme="minorEastAsia"/>
          <w:rtl/>
        </w:rPr>
        <w:t>-</w:t>
      </w:r>
      <w:r w:rsidRPr="004869A6">
        <w:rPr>
          <w:rFonts w:eastAsiaTheme="minorEastAsia"/>
          <w:rtl/>
        </w:rPr>
        <w:t>7</w:t>
      </w:r>
      <w:r w:rsidRPr="00293EB2">
        <w:rPr>
          <w:rFonts w:eastAsiaTheme="minorEastAsia"/>
          <w:rtl/>
        </w:rPr>
        <w:tab/>
        <w:t>وتحيط اللجنة علم</w:t>
      </w:r>
      <w:r w:rsidR="00391D83">
        <w:rPr>
          <w:rFonts w:eastAsiaTheme="minorEastAsia"/>
          <w:rtl/>
        </w:rPr>
        <w:t xml:space="preserve">اً </w:t>
      </w:r>
      <w:r w:rsidRPr="00293EB2">
        <w:rPr>
          <w:rFonts w:eastAsiaTheme="minorEastAsia"/>
          <w:rtl/>
        </w:rPr>
        <w:t>بادعاء أصحاب البلاغ أن الشرطة أخذتهم إلى أحد مخافر الشرطة واحتجزتهم تعسفاً مدة خمس ساعات. وإذ تحيط اللجنة علماً بموقف السلطات المحلية من أن هذا الحادث لا يشكل حرمان</w:t>
      </w:r>
      <w:r w:rsidR="00391D83">
        <w:rPr>
          <w:rFonts w:eastAsiaTheme="minorEastAsia"/>
          <w:rtl/>
        </w:rPr>
        <w:t xml:space="preserve">اً </w:t>
      </w:r>
      <w:r w:rsidRPr="00293EB2">
        <w:rPr>
          <w:rFonts w:eastAsiaTheme="minorEastAsia"/>
          <w:rtl/>
        </w:rPr>
        <w:t xml:space="preserve">من الحرية وإنما هو دعوة لتقديم توضيحات ولجمع وثائق، يجب على اللجنة أولاً أن تتأكد مما إذا كان أصحاب البلاغ قد حُرموا من حريتهم بالمعنى المقصود في المادة </w:t>
      </w:r>
      <w:r w:rsidRPr="004869A6">
        <w:rPr>
          <w:rFonts w:eastAsiaTheme="minorEastAsia"/>
          <w:rtl/>
        </w:rPr>
        <w:t>9</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 xml:space="preserve">من العهد. وتذكر </w:t>
      </w:r>
      <w:r w:rsidRPr="000E0846">
        <w:rPr>
          <w:rFonts w:eastAsiaTheme="minorEastAsia"/>
          <w:spacing w:val="-2"/>
          <w:rtl/>
        </w:rPr>
        <w:t>اللجنة بتعليقها العام 35(201</w:t>
      </w:r>
      <w:r w:rsidR="005A76D5" w:rsidRPr="000E0846">
        <w:rPr>
          <w:rFonts w:eastAsiaTheme="minorEastAsia"/>
          <w:spacing w:val="-2"/>
          <w:rtl/>
        </w:rPr>
        <w:t xml:space="preserve">4) </w:t>
      </w:r>
      <w:r w:rsidRPr="000E0846">
        <w:rPr>
          <w:rFonts w:eastAsiaTheme="minorEastAsia"/>
          <w:spacing w:val="-2"/>
          <w:rtl/>
        </w:rPr>
        <w:t>الذي قالت في الفقرة 6 منه إن "الحرية الشخصية لا تُسلب بالموافقة الطوعية. ولا يدخل الأفراد الذين يذهبون طواعية إلى مراكز الشرطة للمشاركة في تحقيقات، والذين يدركون أنهم أحرار ويستطيعون الخروج في أية لحظة، في عداد الأشخاص الذين تسلب حريتهم". وتحيط اللجنة علماً بادعاء أصحاب البلاغ أنهم لم يكونوا أحراراً للخروج من حراسة الشرطة أثناء الفترة المذكورة. وفي غياب أي معلومات من الدولة الطرف ترفض هذا الادعاء بالتحديد قائلةً إنه كان بإمكان أصحاب البلاغ أن يقرروا بحرية عدم مرافقة أفراد الشرطة إلى مخفر الشرطة أو أن يغادروا ذلك المكان عندما وصلوا إليه متى شاءوا دون التعرض لعواقب وخيمة، تستنتج اللجنة أن أصحاب البلاغ قد أُكرهوا على مرافقة الشرطة إلى المخفر وعلى البقاء هناك إلى حين الإفراج عنهم، وهم من ثم كانوا محرومين من حريتهم.</w:t>
      </w:r>
    </w:p>
    <w:p w14:paraId="475B9978" w14:textId="4EE7AE8F" w:rsidR="00C06137" w:rsidRPr="00293EB2" w:rsidRDefault="00C06137" w:rsidP="00293EB2">
      <w:pPr>
        <w:pStyle w:val="SingleTxtGA"/>
        <w:rPr>
          <w:rFonts w:eastAsiaTheme="minorEastAsia"/>
          <w:rtl/>
        </w:rPr>
      </w:pPr>
      <w:r w:rsidRPr="004869A6">
        <w:rPr>
          <w:rFonts w:eastAsiaTheme="minorEastAsia"/>
          <w:rtl/>
        </w:rPr>
        <w:t>9</w:t>
      </w:r>
      <w:r w:rsidRPr="00293EB2">
        <w:rPr>
          <w:rFonts w:eastAsiaTheme="minorEastAsia"/>
          <w:rtl/>
        </w:rPr>
        <w:t>-</w:t>
      </w:r>
      <w:r w:rsidRPr="004869A6">
        <w:rPr>
          <w:rFonts w:eastAsiaTheme="minorEastAsia"/>
          <w:rtl/>
        </w:rPr>
        <w:t>8</w:t>
      </w:r>
      <w:r w:rsidRPr="00293EB2">
        <w:rPr>
          <w:rFonts w:eastAsiaTheme="minorEastAsia"/>
          <w:rtl/>
        </w:rPr>
        <w:tab/>
        <w:t xml:space="preserve">والجدير بالذكر أن الحرمان من الحرية بموجب المادة </w:t>
      </w:r>
      <w:r w:rsidRPr="004869A6">
        <w:rPr>
          <w:rFonts w:eastAsiaTheme="minorEastAsia"/>
          <w:rtl/>
        </w:rPr>
        <w:t>9</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من العهد يجب ألا يكون تعسفياً ويجب أن ينفَّذ في ظل احترام القانون</w:t>
      </w:r>
      <w:r w:rsidR="005A76D5" w:rsidRPr="004869A6">
        <w:rPr>
          <w:rStyle w:val="FootnoteReference"/>
          <w:rFonts w:eastAsiaTheme="minorEastAsia" w:cs="Simplified Arabic"/>
          <w:sz w:val="22"/>
          <w:szCs w:val="22"/>
          <w:rtl/>
        </w:rPr>
        <w:t>(</w:t>
      </w:r>
      <w:r w:rsidR="005A76D5" w:rsidRPr="004869A6">
        <w:rPr>
          <w:rStyle w:val="FootnoteReference"/>
          <w:rFonts w:eastAsiaTheme="minorEastAsia" w:cs="Simplified Arabic"/>
          <w:b w:val="0"/>
          <w:bCs/>
          <w:sz w:val="22"/>
          <w:szCs w:val="22"/>
          <w:lang w:val="en-US"/>
        </w:rPr>
        <w:footnoteReference w:id="18"/>
      </w:r>
      <w:r w:rsidR="005A76D5" w:rsidRPr="005A76D5">
        <w:rPr>
          <w:rFonts w:eastAsiaTheme="minorEastAsia"/>
          <w:vertAlign w:val="superscript"/>
          <w:rtl/>
        </w:rPr>
        <w:t>)</w:t>
      </w:r>
      <w:r w:rsidR="005A76D5" w:rsidRPr="005A76D5">
        <w:rPr>
          <w:rFonts w:eastAsiaTheme="minorEastAsia"/>
          <w:rtl/>
        </w:rPr>
        <w:t xml:space="preserve">، </w:t>
      </w:r>
      <w:r w:rsidRPr="00293EB2">
        <w:rPr>
          <w:rFonts w:eastAsiaTheme="minorEastAsia"/>
          <w:rtl/>
        </w:rPr>
        <w:t>وعليه يتعين على اللجنة أن تقيّم فيما يلي ما إذا كان اعتقال أصحاب البلاغ واحتجازهم تعسفيين أو غير قانونيين. وتذكر اللجنة بوجوب تطبيق الحماية من الاحتجاز التعسفي على نحو واسع، وأنه يتعين عدم المساواة ما بين "التعسف" و" خرق القانون"، وإنما يجب تفسيره على نحو واسع بحيث يشمل عناصر عدم ال</w:t>
      </w:r>
      <w:r w:rsidRPr="00293EB2">
        <w:rPr>
          <w:rFonts w:eastAsiaTheme="minorEastAsia"/>
          <w:rtl/>
          <w:lang w:val="de-CH"/>
        </w:rPr>
        <w:t>ملاءمة</w:t>
      </w:r>
      <w:r w:rsidRPr="00293EB2">
        <w:rPr>
          <w:rFonts w:eastAsiaTheme="minorEastAsia"/>
          <w:rtl/>
        </w:rPr>
        <w:t xml:space="preserve"> والظلم وعدم إمكانية التنبؤ ومراعاة الأصول القانونية الواجبة</w:t>
      </w:r>
      <w:r w:rsidR="005A76D5" w:rsidRPr="004869A6">
        <w:rPr>
          <w:rStyle w:val="FootnoteReference"/>
          <w:rFonts w:eastAsiaTheme="minorEastAsia" w:cs="Simplified Arabic"/>
          <w:sz w:val="22"/>
          <w:szCs w:val="22"/>
          <w:rtl/>
        </w:rPr>
        <w:t>(</w:t>
      </w:r>
      <w:r w:rsidR="005A76D5" w:rsidRPr="004869A6">
        <w:rPr>
          <w:rStyle w:val="FootnoteReference"/>
          <w:rFonts w:eastAsiaTheme="minorEastAsia" w:cs="Simplified Arabic"/>
          <w:b w:val="0"/>
          <w:bCs/>
          <w:sz w:val="22"/>
          <w:szCs w:val="22"/>
          <w:lang w:val="en-US"/>
        </w:rPr>
        <w:footnoteReference w:id="19"/>
      </w:r>
      <w:r w:rsidR="005A76D5" w:rsidRPr="005A76D5">
        <w:rPr>
          <w:rFonts w:eastAsiaTheme="minorEastAsia"/>
          <w:vertAlign w:val="superscript"/>
          <w:rtl/>
        </w:rPr>
        <w:t>)</w:t>
      </w:r>
      <w:r w:rsidR="005A76D5" w:rsidRPr="005A76D5">
        <w:rPr>
          <w:rFonts w:eastAsiaTheme="minorEastAsia"/>
          <w:rtl/>
        </w:rPr>
        <w:t xml:space="preserve">. </w:t>
      </w:r>
      <w:r w:rsidRPr="00293EB2">
        <w:rPr>
          <w:rFonts w:eastAsiaTheme="minorEastAsia"/>
          <w:rtl/>
        </w:rPr>
        <w:t>وتذكر اللجنة أيضاً بأن الاعتقال أو الاحتجاز كعقاب على الممارسة المشروعة للحقوق المكفولة في العهد، بما فيها حرية الدين، يكون تعسفياً</w:t>
      </w:r>
      <w:r w:rsidR="005A76D5" w:rsidRPr="004869A6">
        <w:rPr>
          <w:rStyle w:val="FootnoteReference"/>
          <w:rFonts w:eastAsiaTheme="minorEastAsia" w:cs="Simplified Arabic"/>
          <w:sz w:val="22"/>
          <w:szCs w:val="22"/>
          <w:rtl/>
        </w:rPr>
        <w:t>(</w:t>
      </w:r>
      <w:r w:rsidR="005A76D5" w:rsidRPr="004869A6">
        <w:rPr>
          <w:rStyle w:val="FootnoteReference"/>
          <w:rFonts w:eastAsiaTheme="minorEastAsia" w:cs="Simplified Arabic"/>
          <w:b w:val="0"/>
          <w:bCs/>
          <w:sz w:val="22"/>
          <w:szCs w:val="22"/>
          <w:lang w:val="en-US"/>
        </w:rPr>
        <w:footnoteReference w:id="20"/>
      </w:r>
      <w:r w:rsidR="005A76D5" w:rsidRPr="005A76D5">
        <w:rPr>
          <w:rFonts w:eastAsiaTheme="minorEastAsia"/>
          <w:vertAlign w:val="superscript"/>
          <w:rtl/>
        </w:rPr>
        <w:t>)</w:t>
      </w:r>
      <w:r w:rsidR="005A76D5" w:rsidRPr="005A76D5">
        <w:rPr>
          <w:rFonts w:eastAsiaTheme="minorEastAsia"/>
          <w:rtl/>
        </w:rPr>
        <w:t xml:space="preserve">. </w:t>
      </w:r>
      <w:r w:rsidRPr="00293EB2">
        <w:rPr>
          <w:rFonts w:eastAsiaTheme="minorEastAsia"/>
          <w:rtl/>
        </w:rPr>
        <w:t>وتحيط اللجنة علماً بادعاء أصحاب البلاغ أن شهود يهوه يتعرضون لنمط من المضايقة على يد سلطات الدولة الطرف، وأن أفراد الشرطة في هذه القضية تحديداً لم يخبروا أصحاب البلاغ بالتهم الموجهة إليهم لحظة اعتقالهم والقبض عليهم. ونظر</w:t>
      </w:r>
      <w:r w:rsidR="00391D83">
        <w:rPr>
          <w:rFonts w:eastAsiaTheme="minorEastAsia"/>
          <w:rtl/>
        </w:rPr>
        <w:t xml:space="preserve">اً </w:t>
      </w:r>
      <w:r w:rsidRPr="00293EB2">
        <w:rPr>
          <w:rFonts w:eastAsiaTheme="minorEastAsia"/>
          <w:rtl/>
        </w:rPr>
        <w:t xml:space="preserve">إلى هذه الأسباب، ترى اللجنة أن أفعال الشرطة افتقرت إلى الملاءمة وقابلية التنبؤ واحترام ضمانات الأصول الواجبة. وعلاوة على ذلك، تحيل اللجنة إلى استنتاجاتها في الفقرة </w:t>
      </w:r>
      <w:r w:rsidRPr="004869A6">
        <w:rPr>
          <w:rFonts w:eastAsiaTheme="minorEastAsia"/>
          <w:rtl/>
        </w:rPr>
        <w:t>9</w:t>
      </w:r>
      <w:r w:rsidRPr="00293EB2">
        <w:rPr>
          <w:rFonts w:eastAsiaTheme="minorEastAsia"/>
          <w:rtl/>
        </w:rPr>
        <w:t>-</w:t>
      </w:r>
      <w:r w:rsidRPr="004869A6">
        <w:rPr>
          <w:rFonts w:eastAsiaTheme="minorEastAsia"/>
          <w:rtl/>
        </w:rPr>
        <w:t>5</w:t>
      </w:r>
      <w:r w:rsidRPr="00293EB2">
        <w:rPr>
          <w:rFonts w:eastAsiaTheme="minorEastAsia"/>
          <w:rtl/>
        </w:rPr>
        <w:t xml:space="preserve"> أعلاه، حيث ترى أن اعتقال أصحاب البلاغ واحتجازهم شكلا عقاب</w:t>
      </w:r>
      <w:r w:rsidR="00EA5F1C">
        <w:rPr>
          <w:rFonts w:eastAsiaTheme="minorEastAsia"/>
          <w:rtl/>
        </w:rPr>
        <w:t xml:space="preserve">اً </w:t>
      </w:r>
      <w:r w:rsidRPr="00293EB2">
        <w:rPr>
          <w:rFonts w:eastAsiaTheme="minorEastAsia"/>
          <w:rtl/>
        </w:rPr>
        <w:t xml:space="preserve">لهم على الممارسة المشروعة لحقهم في التعبير عن معتقداتهم الدينية. وعليه، تستنتج اللجنة أن أصحاب البلاغ اعتُقلوا واحتُجزوا تعسفاً في انتهاك لحقوقهم المنصوص عليها في المادة </w:t>
      </w:r>
      <w:r w:rsidRPr="004869A6">
        <w:rPr>
          <w:rFonts w:eastAsiaTheme="minorEastAsia"/>
          <w:rtl/>
        </w:rPr>
        <w:t>9</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من العهد.</w:t>
      </w:r>
    </w:p>
    <w:p w14:paraId="201B5887" w14:textId="60FC03BB" w:rsidR="00C06137" w:rsidRPr="00293EB2" w:rsidRDefault="00C06137" w:rsidP="00293EB2">
      <w:pPr>
        <w:pStyle w:val="SingleTxtGA"/>
        <w:rPr>
          <w:rFonts w:eastAsiaTheme="minorEastAsia"/>
          <w:rtl/>
        </w:rPr>
      </w:pPr>
      <w:r w:rsidRPr="004869A6">
        <w:rPr>
          <w:rFonts w:eastAsiaTheme="minorEastAsia"/>
          <w:rtl/>
        </w:rPr>
        <w:t>9</w:t>
      </w:r>
      <w:r w:rsidRPr="00293EB2">
        <w:rPr>
          <w:rFonts w:eastAsiaTheme="minorEastAsia"/>
          <w:rtl/>
        </w:rPr>
        <w:t>-</w:t>
      </w:r>
      <w:r w:rsidRPr="004869A6">
        <w:rPr>
          <w:rFonts w:eastAsiaTheme="minorEastAsia"/>
          <w:rtl/>
        </w:rPr>
        <w:t>9</w:t>
      </w:r>
      <w:r w:rsidRPr="00293EB2">
        <w:rPr>
          <w:rFonts w:eastAsiaTheme="minorEastAsia"/>
          <w:rtl/>
        </w:rPr>
        <w:tab/>
        <w:t>وفي ضوء استنتاج اللجنة أن هناك انتهاك</w:t>
      </w:r>
      <w:r w:rsidR="00EA5F1C">
        <w:rPr>
          <w:rFonts w:eastAsiaTheme="minorEastAsia"/>
          <w:rtl/>
        </w:rPr>
        <w:t xml:space="preserve">اً </w:t>
      </w:r>
      <w:r w:rsidRPr="00293EB2">
        <w:rPr>
          <w:rFonts w:eastAsiaTheme="minorEastAsia"/>
          <w:rtl/>
        </w:rPr>
        <w:t xml:space="preserve">للمادتين </w:t>
      </w:r>
      <w:r w:rsidRPr="004869A6">
        <w:rPr>
          <w:rFonts w:eastAsiaTheme="minorEastAsia"/>
          <w:rtl/>
        </w:rPr>
        <w:t>18</w:t>
      </w:r>
      <w:r w:rsidRPr="00293EB2">
        <w:rPr>
          <w:rFonts w:eastAsiaTheme="minorEastAsia"/>
          <w:rtl/>
        </w:rPr>
        <w:t xml:space="preserve"> و</w:t>
      </w:r>
      <w:r w:rsidRPr="004869A6">
        <w:rPr>
          <w:rFonts w:eastAsiaTheme="minorEastAsia"/>
          <w:rtl/>
        </w:rPr>
        <w:t>9</w:t>
      </w:r>
      <w:r w:rsidRPr="00293EB2">
        <w:rPr>
          <w:rFonts w:eastAsiaTheme="minorEastAsia"/>
          <w:rtl/>
        </w:rPr>
        <w:t xml:space="preserve"> من العهد، فإنها تقرر عدم النظر على نحو منفصل في ادعاءات أصحاب البلاغ بموجب المواد </w:t>
      </w:r>
      <w:r w:rsidRPr="004869A6">
        <w:rPr>
          <w:rFonts w:eastAsiaTheme="minorEastAsia"/>
          <w:rtl/>
        </w:rPr>
        <w:t>17</w:t>
      </w:r>
      <w:r w:rsidRPr="00293EB2">
        <w:rPr>
          <w:rFonts w:eastAsiaTheme="minorEastAsia"/>
          <w:rtl/>
        </w:rPr>
        <w:t xml:space="preserve"> و</w:t>
      </w:r>
      <w:r w:rsidRPr="004869A6">
        <w:rPr>
          <w:rFonts w:eastAsiaTheme="minorEastAsia"/>
          <w:rtl/>
        </w:rPr>
        <w:t>19</w:t>
      </w:r>
      <w:r w:rsidRPr="00293EB2">
        <w:rPr>
          <w:rFonts w:eastAsiaTheme="minorEastAsia"/>
          <w:rtl/>
        </w:rPr>
        <w:t xml:space="preserve"> و</w:t>
      </w:r>
      <w:r w:rsidRPr="004869A6">
        <w:rPr>
          <w:rFonts w:eastAsiaTheme="minorEastAsia"/>
          <w:rtl/>
        </w:rPr>
        <w:t>26</w:t>
      </w:r>
      <w:r w:rsidRPr="00293EB2">
        <w:rPr>
          <w:rFonts w:eastAsiaTheme="minorEastAsia"/>
          <w:rtl/>
        </w:rPr>
        <w:t xml:space="preserve"> و</w:t>
      </w:r>
      <w:r w:rsidRPr="004869A6">
        <w:rPr>
          <w:rFonts w:eastAsiaTheme="minorEastAsia"/>
          <w:rtl/>
        </w:rPr>
        <w:t>27</w:t>
      </w:r>
      <w:r w:rsidRPr="00293EB2">
        <w:rPr>
          <w:rFonts w:eastAsiaTheme="minorEastAsia"/>
          <w:rtl/>
        </w:rPr>
        <w:t xml:space="preserve"> من العهد وفي ادعاء السيد </w:t>
      </w:r>
      <w:proofErr w:type="spellStart"/>
      <w:r w:rsidRPr="00293EB2">
        <w:rPr>
          <w:rFonts w:eastAsiaTheme="minorEastAsia"/>
          <w:rtl/>
        </w:rPr>
        <w:t>كفاراتسخيليا</w:t>
      </w:r>
      <w:proofErr w:type="spellEnd"/>
      <w:r w:rsidRPr="00293EB2">
        <w:rPr>
          <w:rFonts w:eastAsiaTheme="minorEastAsia"/>
          <w:rtl/>
        </w:rPr>
        <w:t xml:space="preserve"> بموجب المادة </w:t>
      </w:r>
      <w:r w:rsidRPr="004869A6">
        <w:rPr>
          <w:rFonts w:eastAsiaTheme="minorEastAsia"/>
          <w:rtl/>
        </w:rPr>
        <w:t>13</w:t>
      </w:r>
      <w:r w:rsidRPr="00293EB2">
        <w:rPr>
          <w:rFonts w:eastAsiaTheme="minorEastAsia"/>
          <w:rtl/>
        </w:rPr>
        <w:t xml:space="preserve"> من العهد. </w:t>
      </w:r>
    </w:p>
    <w:p w14:paraId="541FF4E7" w14:textId="64A2BAB1" w:rsidR="00C06137" w:rsidRPr="00293EB2" w:rsidRDefault="00C06137" w:rsidP="00293EB2">
      <w:pPr>
        <w:pStyle w:val="SingleTxtGA"/>
        <w:rPr>
          <w:rFonts w:eastAsiaTheme="minorEastAsia"/>
          <w:rtl/>
        </w:rPr>
      </w:pPr>
      <w:r w:rsidRPr="004869A6">
        <w:rPr>
          <w:rFonts w:eastAsiaTheme="minorEastAsia"/>
          <w:rtl/>
        </w:rPr>
        <w:t>10</w:t>
      </w:r>
      <w:r w:rsidRPr="00293EB2">
        <w:rPr>
          <w:rFonts w:eastAsiaTheme="minorEastAsia"/>
          <w:rtl/>
        </w:rPr>
        <w:t>-</w:t>
      </w:r>
      <w:r w:rsidRPr="00293EB2">
        <w:rPr>
          <w:rFonts w:eastAsiaTheme="minorEastAsia"/>
          <w:rtl/>
        </w:rPr>
        <w:tab/>
        <w:t xml:space="preserve">واللجنة، إذ تتصرف بموجب المادة </w:t>
      </w:r>
      <w:r w:rsidRPr="004869A6">
        <w:rPr>
          <w:rFonts w:eastAsiaTheme="minorEastAsia"/>
          <w:rtl/>
        </w:rPr>
        <w:t>5</w:t>
      </w:r>
      <w:r w:rsidRPr="00293EB2">
        <w:rPr>
          <w:rFonts w:eastAsiaTheme="minorEastAsia"/>
          <w:rtl/>
        </w:rPr>
        <w:t>(</w:t>
      </w:r>
      <w:r w:rsidR="005A76D5" w:rsidRPr="004869A6">
        <w:rPr>
          <w:rFonts w:eastAsiaTheme="minorEastAsia"/>
          <w:rtl/>
        </w:rPr>
        <w:t>4</w:t>
      </w:r>
      <w:r w:rsidR="005A76D5" w:rsidRPr="005A76D5">
        <w:rPr>
          <w:rFonts w:eastAsiaTheme="minorEastAsia"/>
          <w:rtl/>
        </w:rPr>
        <w:t xml:space="preserve">) </w:t>
      </w:r>
      <w:r w:rsidRPr="00293EB2">
        <w:rPr>
          <w:rFonts w:eastAsiaTheme="minorEastAsia"/>
          <w:rtl/>
        </w:rPr>
        <w:t xml:space="preserve">من البروتوكول الاختياري، ترى أن الوقائع المعروضة عليها تكشف عن انتهاك الدولة الطرف لحقوق كل واحد من أصحاب البلاغ بموجب المادة </w:t>
      </w:r>
      <w:r w:rsidRPr="004869A6">
        <w:rPr>
          <w:rFonts w:eastAsiaTheme="minorEastAsia"/>
          <w:rtl/>
        </w:rPr>
        <w:t>9</w:t>
      </w:r>
      <w:r w:rsidRPr="00293EB2">
        <w:rPr>
          <w:rFonts w:eastAsiaTheme="minorEastAsia"/>
          <w:rtl/>
        </w:rPr>
        <w:t>(</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و</w:t>
      </w:r>
      <w:r w:rsidRPr="004869A6">
        <w:rPr>
          <w:rFonts w:eastAsiaTheme="minorEastAsia"/>
          <w:rtl/>
        </w:rPr>
        <w:t>18</w:t>
      </w:r>
      <w:r w:rsidRPr="00293EB2">
        <w:rPr>
          <w:rFonts w:eastAsiaTheme="minorEastAsia"/>
          <w:rtl/>
        </w:rPr>
        <w:t>المادة (</w:t>
      </w:r>
      <w:r w:rsidR="005A76D5" w:rsidRPr="004869A6">
        <w:rPr>
          <w:rFonts w:eastAsiaTheme="minorEastAsia"/>
          <w:rtl/>
        </w:rPr>
        <w:t>1</w:t>
      </w:r>
      <w:r w:rsidR="005A76D5" w:rsidRPr="005A76D5">
        <w:rPr>
          <w:rFonts w:eastAsiaTheme="minorEastAsia"/>
          <w:rtl/>
        </w:rPr>
        <w:t xml:space="preserve">) </w:t>
      </w:r>
      <w:r w:rsidRPr="00293EB2">
        <w:rPr>
          <w:rFonts w:eastAsiaTheme="minorEastAsia"/>
          <w:rtl/>
        </w:rPr>
        <w:t>و(</w:t>
      </w:r>
      <w:r w:rsidR="005A76D5" w:rsidRPr="004869A6">
        <w:rPr>
          <w:rFonts w:eastAsiaTheme="minorEastAsia"/>
          <w:rtl/>
        </w:rPr>
        <w:t>3</w:t>
      </w:r>
      <w:r w:rsidR="005A76D5" w:rsidRPr="005A76D5">
        <w:rPr>
          <w:rFonts w:eastAsiaTheme="minorEastAsia"/>
          <w:rtl/>
        </w:rPr>
        <w:t xml:space="preserve">) </w:t>
      </w:r>
      <w:r w:rsidRPr="00293EB2">
        <w:rPr>
          <w:rFonts w:eastAsiaTheme="minorEastAsia"/>
          <w:rtl/>
        </w:rPr>
        <w:t>من العهد.</w:t>
      </w:r>
    </w:p>
    <w:p w14:paraId="69033528" w14:textId="77777777" w:rsidR="00C06137" w:rsidRPr="00293EB2" w:rsidRDefault="00C06137" w:rsidP="00293EB2">
      <w:pPr>
        <w:pStyle w:val="SingleTxtGA"/>
        <w:rPr>
          <w:rFonts w:eastAsiaTheme="minorEastAsia"/>
          <w:rtl/>
        </w:rPr>
      </w:pPr>
      <w:r w:rsidRPr="004869A6">
        <w:rPr>
          <w:rFonts w:eastAsiaTheme="minorEastAsia"/>
          <w:rtl/>
        </w:rPr>
        <w:t>11</w:t>
      </w:r>
      <w:r w:rsidRPr="00293EB2">
        <w:rPr>
          <w:rFonts w:eastAsiaTheme="minorEastAsia"/>
          <w:rtl/>
        </w:rPr>
        <w:t>-</w:t>
      </w:r>
      <w:r w:rsidRPr="00293EB2">
        <w:rPr>
          <w:rFonts w:eastAsiaTheme="minorEastAsia"/>
          <w:rtl/>
        </w:rPr>
        <w:tab/>
        <w:t xml:space="preserve">وعملاً بالمادة </w:t>
      </w:r>
      <w:r w:rsidRPr="004869A6">
        <w:rPr>
          <w:rFonts w:eastAsiaTheme="minorEastAsia"/>
          <w:rtl/>
        </w:rPr>
        <w:t>2</w:t>
      </w:r>
      <w:r w:rsidRPr="00293EB2">
        <w:rPr>
          <w:rFonts w:eastAsiaTheme="minorEastAsia"/>
          <w:rtl/>
        </w:rPr>
        <w:t>(</w:t>
      </w:r>
      <w:r w:rsidRPr="004869A6">
        <w:rPr>
          <w:rFonts w:eastAsiaTheme="minorEastAsia"/>
          <w:rtl/>
        </w:rPr>
        <w:t>3</w:t>
      </w:r>
      <w:r w:rsidRPr="00293EB2">
        <w:rPr>
          <w:rFonts w:eastAsiaTheme="minorEastAsia"/>
          <w:rtl/>
        </w:rPr>
        <w:t>)(أ) من العهد، يقع على عاتق الدولة الطرف التزام بمنح أصحاب البلاغ سبيل انتصاف فعال. ويستلزم هذا منها تقديم الجبر الكامل للأفراد الذين انتُهكت حقوقهم المنصوص عليها في العهد. وعليه، تُلزَم الدولة الطرف بأمور منها دفع تعويض مناسب لأصحاب البلاغ، بما فيه تعويض أي نفقات قانونية تحملوا كلفتها. والدولة الطرف ملزَمة أيضاً باتخاذ جميع الخطوات الضرورية لمنع حدوث انتهاكات مشابهة في المستقبل بوسائل منها مراجعة تشريعاتها و/أو لوائحها و/أو ممارساتها المحلية حتى تكفل التمتع التام بالحقوق المنصوص عليها في العهد داخل الدولة الطرف.</w:t>
      </w:r>
    </w:p>
    <w:p w14:paraId="3B1B274F" w14:textId="7775599E" w:rsidR="00C06137" w:rsidRDefault="00C06137" w:rsidP="00293EB2">
      <w:pPr>
        <w:pStyle w:val="SingleTxtGA"/>
        <w:rPr>
          <w:rFonts w:eastAsiaTheme="minorEastAsia"/>
          <w:lang w:val="en-US" w:eastAsia="zh-TW" w:bidi="en-GB"/>
        </w:rPr>
      </w:pPr>
      <w:r w:rsidRPr="004869A6">
        <w:rPr>
          <w:rFonts w:eastAsiaTheme="minorEastAsia"/>
          <w:rtl/>
        </w:rPr>
        <w:t>12</w:t>
      </w:r>
      <w:r w:rsidRPr="00293EB2">
        <w:rPr>
          <w:rFonts w:eastAsiaTheme="minorEastAsia"/>
          <w:rtl/>
        </w:rPr>
        <w:t>-</w:t>
      </w:r>
      <w:r w:rsidR="00EB1D60">
        <w:rPr>
          <w:rFonts w:eastAsiaTheme="minorEastAsia"/>
          <w:rtl/>
        </w:rPr>
        <w:tab/>
      </w:r>
      <w:r w:rsidRPr="00293EB2">
        <w:rPr>
          <w:rFonts w:eastAsiaTheme="minorEastAsia"/>
          <w:rtl/>
        </w:rPr>
        <w:t>وإذ تضع اللجنة في اعتبارها أن الدولة الطرف، بانضمامها إلى البروتوكول الاختياري، قد</w:t>
      </w:r>
      <w:r w:rsidR="00EA5F1C">
        <w:rPr>
          <w:rFonts w:eastAsiaTheme="minorEastAsia" w:hint="cs"/>
          <w:rtl/>
        </w:rPr>
        <w:t> </w:t>
      </w:r>
      <w:r w:rsidRPr="00293EB2">
        <w:rPr>
          <w:rFonts w:eastAsiaTheme="minorEastAsia"/>
          <w:rtl/>
        </w:rPr>
        <w:t>اعترفت باختصاص اللجنة في تحديد ما إذا كان قد حدث انتهاك للعهد أم لا، وأن الدولة الطرف قد</w:t>
      </w:r>
      <w:r w:rsidR="00EA5F1C">
        <w:rPr>
          <w:rFonts w:eastAsiaTheme="minorEastAsia" w:hint="cs"/>
          <w:rtl/>
        </w:rPr>
        <w:t> </w:t>
      </w:r>
      <w:r w:rsidRPr="00293EB2">
        <w:rPr>
          <w:rFonts w:eastAsiaTheme="minorEastAsia"/>
          <w:rtl/>
        </w:rPr>
        <w:t>تعهدت، عمل</w:t>
      </w:r>
      <w:r w:rsidR="00EA5F1C">
        <w:rPr>
          <w:rFonts w:eastAsiaTheme="minorEastAsia"/>
          <w:rtl/>
        </w:rPr>
        <w:t xml:space="preserve">اً </w:t>
      </w:r>
      <w:r w:rsidRPr="00293EB2">
        <w:rPr>
          <w:rFonts w:eastAsiaTheme="minorEastAsia"/>
          <w:rtl/>
        </w:rPr>
        <w:t xml:space="preserve">بالمادة </w:t>
      </w:r>
      <w:r w:rsidRPr="004869A6">
        <w:rPr>
          <w:rFonts w:eastAsiaTheme="minorEastAsia"/>
          <w:rtl/>
        </w:rPr>
        <w:t>2</w:t>
      </w:r>
      <w:r w:rsidRPr="00293EB2">
        <w:rPr>
          <w:rFonts w:eastAsiaTheme="minorEastAsia"/>
          <w:rtl/>
        </w:rPr>
        <w:t xml:space="preserve"> من العهد، بأن تكفل لجميع الأفراد الموجودين في إقليمها والخاضعين لولايتها الحقوق المعترف بها في العهد وأن توفر سبيل انتصاف فعال</w:t>
      </w:r>
      <w:r w:rsidR="00EA5F1C">
        <w:rPr>
          <w:rFonts w:eastAsiaTheme="minorEastAsia"/>
          <w:rtl/>
        </w:rPr>
        <w:t xml:space="preserve">اً </w:t>
      </w:r>
      <w:r w:rsidRPr="00293EB2">
        <w:rPr>
          <w:rFonts w:eastAsiaTheme="minorEastAsia"/>
          <w:rtl/>
        </w:rPr>
        <w:t>عندما يتقرر أن انتهاك</w:t>
      </w:r>
      <w:r w:rsidR="00EA5F1C">
        <w:rPr>
          <w:rFonts w:eastAsiaTheme="minorEastAsia"/>
          <w:rtl/>
        </w:rPr>
        <w:t xml:space="preserve">اً </w:t>
      </w:r>
      <w:r w:rsidRPr="00293EB2">
        <w:rPr>
          <w:rFonts w:eastAsiaTheme="minorEastAsia"/>
          <w:rtl/>
        </w:rPr>
        <w:t xml:space="preserve">قد حدث، فإنها تود أن تتلقى من الدولة الطرف، في غضون </w:t>
      </w:r>
      <w:r w:rsidRPr="004869A6">
        <w:rPr>
          <w:rFonts w:eastAsiaTheme="minorEastAsia"/>
          <w:rtl/>
        </w:rPr>
        <w:t>180</w:t>
      </w:r>
      <w:r w:rsidRPr="00293EB2">
        <w:rPr>
          <w:rFonts w:eastAsiaTheme="minorEastAsia"/>
          <w:rtl/>
        </w:rPr>
        <w:t xml:space="preserve"> يوم</w:t>
      </w:r>
      <w:r w:rsidR="00EA5F1C">
        <w:rPr>
          <w:rFonts w:eastAsiaTheme="minorEastAsia"/>
          <w:rtl/>
        </w:rPr>
        <w:t xml:space="preserve">اً، </w:t>
      </w:r>
      <w:r w:rsidRPr="00293EB2">
        <w:rPr>
          <w:rFonts w:eastAsiaTheme="minorEastAsia"/>
          <w:rtl/>
        </w:rPr>
        <w:t>معلومات عما ستكون قد اتخذته من تدابير لوضع آراء اللجنة موضع التنفيذ. ويُطلب إلى الدولة الطرف أيض</w:t>
      </w:r>
      <w:r w:rsidR="00391D83">
        <w:rPr>
          <w:rFonts w:eastAsiaTheme="minorEastAsia"/>
          <w:rtl/>
        </w:rPr>
        <w:t>اً</w:t>
      </w:r>
      <w:r w:rsidR="00D159EF">
        <w:rPr>
          <w:rFonts w:eastAsiaTheme="minorEastAsia" w:hint="cs"/>
          <w:rtl/>
        </w:rPr>
        <w:t xml:space="preserve"> </w:t>
      </w:r>
      <w:r w:rsidRPr="00293EB2">
        <w:rPr>
          <w:rFonts w:eastAsiaTheme="minorEastAsia"/>
          <w:rtl/>
        </w:rPr>
        <w:t>نشر هذه الآراء على نطاق واسع باللغة الرسمية للدولة</w:t>
      </w:r>
      <w:r w:rsidR="00EB1D60">
        <w:rPr>
          <w:rFonts w:eastAsiaTheme="minorEastAsia" w:hint="cs"/>
          <w:rtl/>
        </w:rPr>
        <w:t> </w:t>
      </w:r>
      <w:r w:rsidRPr="00293EB2">
        <w:rPr>
          <w:rFonts w:eastAsiaTheme="minorEastAsia"/>
          <w:rtl/>
        </w:rPr>
        <w:t>الطرف.</w:t>
      </w:r>
    </w:p>
    <w:p w14:paraId="5AFC6620" w14:textId="1FE6B231" w:rsidR="005A76D5" w:rsidRPr="005A76D5" w:rsidRDefault="005A76D5" w:rsidP="005A76D5">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5A76D5" w:rsidRPr="005A76D5" w:rsidSect="00E4487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D596" w14:textId="77777777" w:rsidR="00F8763A" w:rsidRPr="002901D9" w:rsidRDefault="00F8763A" w:rsidP="00DC4D4B">
      <w:pPr>
        <w:spacing w:after="60" w:line="240" w:lineRule="auto"/>
        <w:ind w:left="57"/>
        <w:rPr>
          <w:i/>
          <w:iCs/>
        </w:rPr>
      </w:pPr>
      <w:r>
        <w:rPr>
          <w:rFonts w:hint="cs"/>
          <w:i/>
          <w:iCs/>
          <w:rtl/>
        </w:rPr>
        <w:t>الحواشي</w:t>
      </w:r>
    </w:p>
  </w:endnote>
  <w:endnote w:type="continuationSeparator" w:id="0">
    <w:p w14:paraId="5AE6A06B" w14:textId="77777777" w:rsidR="00F8763A" w:rsidRDefault="00F8763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EB0C" w14:textId="5A394537" w:rsidR="00EF4771" w:rsidRPr="00EF4771" w:rsidRDefault="00EF4771" w:rsidP="00EF4771">
    <w:pPr>
      <w:pStyle w:val="Footer"/>
      <w:tabs>
        <w:tab w:val="right" w:pos="9638"/>
      </w:tabs>
      <w:rPr>
        <w:b/>
        <w:sz w:val="18"/>
        <w:lang w:val="en-US"/>
      </w:rPr>
    </w:pPr>
    <w:r>
      <w:rPr>
        <w:lang w:val="en-US"/>
      </w:rPr>
      <w:t>GE.22-27537</w:t>
    </w:r>
    <w:r>
      <w:rPr>
        <w:lang w:val="en-US"/>
      </w:rPr>
      <w:tab/>
    </w:r>
    <w:r w:rsidRPr="00EF4771">
      <w:rPr>
        <w:b/>
        <w:sz w:val="18"/>
        <w:lang w:val="en-US"/>
      </w:rPr>
      <w:fldChar w:fldCharType="begin"/>
    </w:r>
    <w:r w:rsidRPr="00EF4771">
      <w:rPr>
        <w:b/>
        <w:sz w:val="18"/>
        <w:lang w:val="en-US"/>
      </w:rPr>
      <w:instrText xml:space="preserve"> PAGE  \* MERGEFORMAT </w:instrText>
    </w:r>
    <w:r w:rsidRPr="00EF4771">
      <w:rPr>
        <w:b/>
        <w:sz w:val="18"/>
        <w:lang w:val="en-US"/>
      </w:rPr>
      <w:fldChar w:fldCharType="separate"/>
    </w:r>
    <w:r w:rsidRPr="00EF4771">
      <w:rPr>
        <w:b/>
        <w:noProof/>
        <w:sz w:val="18"/>
        <w:lang w:val="en-US"/>
      </w:rPr>
      <w:t>2</w:t>
    </w:r>
    <w:r w:rsidRPr="00EF477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D5FC" w14:textId="349A5E2C" w:rsidR="006959B0" w:rsidRPr="00EF4771" w:rsidRDefault="00EF4771" w:rsidP="00EF477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GE.22-27537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D4C1" w14:textId="0389B4C4" w:rsidR="00DE50B1" w:rsidRPr="00EF4771" w:rsidRDefault="00EF4771" w:rsidP="00EF4771">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91F8D4E" wp14:editId="0D006CD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22-27537 (A)</w:t>
    </w:r>
    <w:r>
      <w:rPr>
        <w:noProof/>
        <w:sz w:val="20"/>
        <w:lang w:val="en-US"/>
      </w:rPr>
      <w:drawing>
        <wp:anchor distT="0" distB="0" distL="114300" distR="114300" simplePos="0" relativeHeight="251659264" behindDoc="0" locked="0" layoutInCell="1" allowOverlap="1" wp14:anchorId="4C6DA53C" wp14:editId="4A7671C2">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9958" w14:textId="77777777" w:rsidR="00F8763A" w:rsidRPr="008A49D2" w:rsidRDefault="00F8763A"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7CF73A6" w14:textId="77777777" w:rsidR="00F8763A" w:rsidRDefault="00F8763A" w:rsidP="00656392">
      <w:pPr>
        <w:spacing w:line="240" w:lineRule="auto"/>
      </w:pPr>
      <w:r>
        <w:continuationSeparator/>
      </w:r>
    </w:p>
  </w:footnote>
  <w:footnote w:id="1">
    <w:p w14:paraId="4637DACF" w14:textId="35DC5AAE" w:rsidR="00C30D1C" w:rsidRPr="004869A6" w:rsidRDefault="00C30D1C" w:rsidP="00C30D1C">
      <w:pPr>
        <w:pStyle w:val="FootnoteText1"/>
        <w:rPr>
          <w:rFonts w:eastAsiaTheme="minorEastAsia"/>
        </w:rPr>
      </w:pPr>
      <w:r w:rsidRPr="004869A6">
        <w:rPr>
          <w:rFonts w:eastAsiaTheme="minorEastAsia"/>
          <w:rtl/>
        </w:rPr>
        <w:t>*</w:t>
      </w:r>
      <w:r w:rsidRPr="004869A6">
        <w:rPr>
          <w:rFonts w:eastAsiaTheme="minorEastAsia"/>
          <w:rtl/>
        </w:rPr>
        <w:tab/>
        <w:t>اعتمدتها اللجنة في دورتها 136 (10 تشرين الأول/أكتوبر - 4 تشرين الثاني/نوفمبر 2022</w:t>
      </w:r>
      <w:r w:rsidR="005A76D5" w:rsidRPr="004869A6">
        <w:rPr>
          <w:rFonts w:eastAsiaTheme="minorEastAsia"/>
          <w:rtl/>
        </w:rPr>
        <w:t xml:space="preserve">). </w:t>
      </w:r>
    </w:p>
  </w:footnote>
  <w:footnote w:id="2">
    <w:p w14:paraId="6AD7370D" w14:textId="55DAAE14" w:rsidR="00C30D1C" w:rsidRPr="004869A6" w:rsidRDefault="00C30D1C" w:rsidP="00C30D1C">
      <w:pPr>
        <w:pStyle w:val="FootnoteText1"/>
        <w:rPr>
          <w:rFonts w:eastAsiaTheme="minorEastAsia"/>
        </w:rPr>
      </w:pPr>
      <w:r w:rsidRPr="004869A6">
        <w:rPr>
          <w:rFonts w:eastAsiaTheme="minorEastAsia"/>
          <w:rtl/>
        </w:rPr>
        <w:t>**</w:t>
      </w:r>
      <w:r w:rsidRPr="004869A6">
        <w:rPr>
          <w:rFonts w:eastAsiaTheme="minorEastAsia"/>
          <w:rtl/>
        </w:rPr>
        <w:tab/>
        <w:t xml:space="preserve">شارك في دراسة البلاغ أعضاء اللجنة التالية أسماؤهم: وفاء أشرف محرم بسيم، وعياض بن عاشور، وعارف بلقان، والمحجوب الهيبة، </w:t>
      </w:r>
      <w:proofErr w:type="spellStart"/>
      <w:r w:rsidRPr="004869A6">
        <w:rPr>
          <w:rFonts w:eastAsiaTheme="minorEastAsia"/>
          <w:rtl/>
        </w:rPr>
        <w:t>وفورويا</w:t>
      </w:r>
      <w:proofErr w:type="spellEnd"/>
      <w:r w:rsidRPr="004869A6">
        <w:rPr>
          <w:rFonts w:eastAsiaTheme="minorEastAsia"/>
          <w:rtl/>
        </w:rPr>
        <w:t xml:space="preserve"> </w:t>
      </w:r>
      <w:proofErr w:type="spellStart"/>
      <w:r w:rsidRPr="004869A6">
        <w:rPr>
          <w:rFonts w:eastAsiaTheme="minorEastAsia"/>
          <w:rtl/>
        </w:rPr>
        <w:t>شويشي</w:t>
      </w:r>
      <w:proofErr w:type="spellEnd"/>
      <w:r w:rsidRPr="004869A6">
        <w:rPr>
          <w:rFonts w:eastAsiaTheme="minorEastAsia"/>
          <w:rtl/>
        </w:rPr>
        <w:t xml:space="preserve">، وكارلوس غوميز </w:t>
      </w:r>
      <w:proofErr w:type="spellStart"/>
      <w:r w:rsidRPr="004869A6">
        <w:rPr>
          <w:rFonts w:eastAsiaTheme="minorEastAsia"/>
          <w:rtl/>
        </w:rPr>
        <w:t>مارتينيس</w:t>
      </w:r>
      <w:proofErr w:type="spellEnd"/>
      <w:r w:rsidRPr="004869A6">
        <w:rPr>
          <w:rFonts w:eastAsiaTheme="minorEastAsia"/>
          <w:rtl/>
        </w:rPr>
        <w:t xml:space="preserve">، </w:t>
      </w:r>
      <w:proofErr w:type="spellStart"/>
      <w:r w:rsidRPr="004869A6">
        <w:rPr>
          <w:rFonts w:eastAsiaTheme="minorEastAsia"/>
          <w:rtl/>
        </w:rPr>
        <w:t>ومارسيا</w:t>
      </w:r>
      <w:proofErr w:type="spellEnd"/>
      <w:r w:rsidRPr="004869A6">
        <w:rPr>
          <w:rFonts w:eastAsiaTheme="minorEastAsia"/>
          <w:rtl/>
        </w:rPr>
        <w:t xml:space="preserve"> ف. ج. كران، </w:t>
      </w:r>
      <w:proofErr w:type="spellStart"/>
      <w:r w:rsidRPr="004869A6">
        <w:rPr>
          <w:rFonts w:eastAsiaTheme="minorEastAsia"/>
          <w:rtl/>
        </w:rPr>
        <w:t>ودنكان</w:t>
      </w:r>
      <w:proofErr w:type="spellEnd"/>
      <w:r w:rsidRPr="004869A6">
        <w:rPr>
          <w:rFonts w:eastAsiaTheme="minorEastAsia"/>
          <w:rtl/>
        </w:rPr>
        <w:t xml:space="preserve"> </w:t>
      </w:r>
      <w:proofErr w:type="spellStart"/>
      <w:r w:rsidRPr="004869A6">
        <w:rPr>
          <w:rFonts w:eastAsiaTheme="minorEastAsia"/>
          <w:rtl/>
        </w:rPr>
        <w:t>لاكي</w:t>
      </w:r>
      <w:proofErr w:type="spellEnd"/>
      <w:r w:rsidRPr="004869A6">
        <w:rPr>
          <w:rFonts w:eastAsiaTheme="minorEastAsia"/>
          <w:rtl/>
        </w:rPr>
        <w:t xml:space="preserve"> </w:t>
      </w:r>
      <w:proofErr w:type="spellStart"/>
      <w:r w:rsidRPr="004869A6">
        <w:rPr>
          <w:rFonts w:eastAsiaTheme="minorEastAsia"/>
          <w:rtl/>
        </w:rPr>
        <w:t>موهوموزا</w:t>
      </w:r>
      <w:proofErr w:type="spellEnd"/>
      <w:r w:rsidRPr="004869A6">
        <w:rPr>
          <w:rFonts w:eastAsiaTheme="minorEastAsia"/>
          <w:rtl/>
        </w:rPr>
        <w:t xml:space="preserve">، </w:t>
      </w:r>
      <w:proofErr w:type="spellStart"/>
      <w:r w:rsidRPr="004869A6">
        <w:rPr>
          <w:rFonts w:eastAsiaTheme="minorEastAsia"/>
          <w:rtl/>
        </w:rPr>
        <w:t>وهيرنان</w:t>
      </w:r>
      <w:proofErr w:type="spellEnd"/>
      <w:r w:rsidRPr="004869A6">
        <w:rPr>
          <w:rFonts w:eastAsiaTheme="minorEastAsia"/>
          <w:rtl/>
        </w:rPr>
        <w:t xml:space="preserve"> </w:t>
      </w:r>
      <w:proofErr w:type="spellStart"/>
      <w:r w:rsidRPr="004869A6">
        <w:rPr>
          <w:rFonts w:eastAsiaTheme="minorEastAsia"/>
          <w:rtl/>
        </w:rPr>
        <w:t>كويسادا</w:t>
      </w:r>
      <w:proofErr w:type="spellEnd"/>
      <w:r w:rsidRPr="004869A6">
        <w:rPr>
          <w:rFonts w:eastAsiaTheme="minorEastAsia"/>
          <w:rtl/>
        </w:rPr>
        <w:t xml:space="preserve"> </w:t>
      </w:r>
      <w:proofErr w:type="spellStart"/>
      <w:r w:rsidRPr="004869A6">
        <w:rPr>
          <w:rFonts w:eastAsiaTheme="minorEastAsia"/>
          <w:rtl/>
        </w:rPr>
        <w:t>كابريرا</w:t>
      </w:r>
      <w:proofErr w:type="spellEnd"/>
      <w:r w:rsidRPr="004869A6">
        <w:rPr>
          <w:rFonts w:eastAsiaTheme="minorEastAsia"/>
          <w:rtl/>
        </w:rPr>
        <w:t xml:space="preserve">، </w:t>
      </w:r>
      <w:proofErr w:type="spellStart"/>
      <w:r w:rsidRPr="004869A6">
        <w:rPr>
          <w:rFonts w:eastAsiaTheme="minorEastAsia"/>
          <w:rtl/>
        </w:rPr>
        <w:t>وفاسيلكا</w:t>
      </w:r>
      <w:proofErr w:type="spellEnd"/>
      <w:r w:rsidRPr="004869A6">
        <w:rPr>
          <w:rFonts w:eastAsiaTheme="minorEastAsia"/>
          <w:rtl/>
        </w:rPr>
        <w:t xml:space="preserve"> </w:t>
      </w:r>
      <w:proofErr w:type="spellStart"/>
      <w:r w:rsidRPr="004869A6">
        <w:rPr>
          <w:rFonts w:eastAsiaTheme="minorEastAsia"/>
          <w:rtl/>
        </w:rPr>
        <w:t>سانسين</w:t>
      </w:r>
      <w:proofErr w:type="spellEnd"/>
      <w:r w:rsidRPr="004869A6">
        <w:rPr>
          <w:rFonts w:eastAsiaTheme="minorEastAsia"/>
          <w:rtl/>
        </w:rPr>
        <w:t xml:space="preserve">، وخوسيه مانويل سانتوس </w:t>
      </w:r>
      <w:proofErr w:type="spellStart"/>
      <w:r w:rsidRPr="004869A6">
        <w:rPr>
          <w:rFonts w:eastAsiaTheme="minorEastAsia"/>
          <w:rtl/>
        </w:rPr>
        <w:t>بايس</w:t>
      </w:r>
      <w:proofErr w:type="spellEnd"/>
      <w:r w:rsidRPr="004869A6">
        <w:rPr>
          <w:rFonts w:eastAsiaTheme="minorEastAsia"/>
          <w:rtl/>
        </w:rPr>
        <w:t xml:space="preserve">، </w:t>
      </w:r>
      <w:proofErr w:type="spellStart"/>
      <w:r w:rsidRPr="004869A6">
        <w:rPr>
          <w:rFonts w:eastAsiaTheme="minorEastAsia"/>
          <w:rtl/>
        </w:rPr>
        <w:t>وسوه</w:t>
      </w:r>
      <w:proofErr w:type="spellEnd"/>
      <w:r w:rsidRPr="004869A6">
        <w:rPr>
          <w:rFonts w:eastAsiaTheme="minorEastAsia"/>
          <w:rtl/>
        </w:rPr>
        <w:t xml:space="preserve"> </w:t>
      </w:r>
      <w:proofErr w:type="spellStart"/>
      <w:r w:rsidRPr="004869A6">
        <w:rPr>
          <w:rFonts w:eastAsiaTheme="minorEastAsia"/>
          <w:rtl/>
        </w:rPr>
        <w:t>تشونغروك</w:t>
      </w:r>
      <w:proofErr w:type="spellEnd"/>
      <w:r w:rsidRPr="004869A6">
        <w:rPr>
          <w:rFonts w:eastAsiaTheme="minorEastAsia"/>
          <w:rtl/>
        </w:rPr>
        <w:t xml:space="preserve">، </w:t>
      </w:r>
      <w:proofErr w:type="spellStart"/>
      <w:r w:rsidRPr="004869A6">
        <w:rPr>
          <w:rFonts w:eastAsiaTheme="minorEastAsia"/>
          <w:rtl/>
        </w:rPr>
        <w:t>وكوباويا</w:t>
      </w:r>
      <w:proofErr w:type="spellEnd"/>
      <w:r w:rsidRPr="004869A6">
        <w:rPr>
          <w:rFonts w:eastAsiaTheme="minorEastAsia"/>
          <w:rtl/>
        </w:rPr>
        <w:t xml:space="preserve"> </w:t>
      </w:r>
      <w:proofErr w:type="spellStart"/>
      <w:r w:rsidRPr="004869A6">
        <w:rPr>
          <w:rFonts w:eastAsiaTheme="minorEastAsia"/>
          <w:rtl/>
        </w:rPr>
        <w:t>تشامدجا</w:t>
      </w:r>
      <w:proofErr w:type="spellEnd"/>
      <w:r w:rsidRPr="004869A6">
        <w:rPr>
          <w:rFonts w:eastAsiaTheme="minorEastAsia"/>
          <w:rtl/>
        </w:rPr>
        <w:t xml:space="preserve"> </w:t>
      </w:r>
      <w:proofErr w:type="spellStart"/>
      <w:r w:rsidRPr="004869A6">
        <w:rPr>
          <w:rFonts w:eastAsiaTheme="minorEastAsia"/>
          <w:rtl/>
        </w:rPr>
        <w:t>كباتشا</w:t>
      </w:r>
      <w:proofErr w:type="spellEnd"/>
      <w:r w:rsidRPr="004869A6">
        <w:rPr>
          <w:rFonts w:eastAsiaTheme="minorEastAsia"/>
          <w:rtl/>
        </w:rPr>
        <w:t xml:space="preserve">، </w:t>
      </w:r>
      <w:proofErr w:type="spellStart"/>
      <w:r w:rsidRPr="004869A6">
        <w:rPr>
          <w:rFonts w:eastAsiaTheme="minorEastAsia"/>
          <w:rtl/>
        </w:rPr>
        <w:t>وإيميرو</w:t>
      </w:r>
      <w:proofErr w:type="spellEnd"/>
      <w:r w:rsidRPr="004869A6">
        <w:rPr>
          <w:rFonts w:eastAsiaTheme="minorEastAsia"/>
          <w:rtl/>
        </w:rPr>
        <w:t xml:space="preserve"> </w:t>
      </w:r>
      <w:proofErr w:type="spellStart"/>
      <w:r w:rsidRPr="004869A6">
        <w:rPr>
          <w:rFonts w:eastAsiaTheme="minorEastAsia"/>
          <w:rtl/>
        </w:rPr>
        <w:t>تامرات</w:t>
      </w:r>
      <w:proofErr w:type="spellEnd"/>
      <w:r w:rsidRPr="004869A6">
        <w:rPr>
          <w:rFonts w:eastAsiaTheme="minorEastAsia"/>
          <w:rtl/>
        </w:rPr>
        <w:t xml:space="preserve"> </w:t>
      </w:r>
      <w:proofErr w:type="spellStart"/>
      <w:r w:rsidRPr="004869A6">
        <w:rPr>
          <w:rFonts w:eastAsiaTheme="minorEastAsia"/>
          <w:rtl/>
        </w:rPr>
        <w:t>يغيزو</w:t>
      </w:r>
      <w:proofErr w:type="spellEnd"/>
      <w:r w:rsidRPr="004869A6">
        <w:rPr>
          <w:rFonts w:eastAsiaTheme="minorEastAsia"/>
          <w:rtl/>
        </w:rPr>
        <w:t xml:space="preserve">، </w:t>
      </w:r>
      <w:proofErr w:type="spellStart"/>
      <w:r w:rsidRPr="004869A6">
        <w:rPr>
          <w:rFonts w:eastAsiaTheme="minorEastAsia"/>
          <w:rtl/>
        </w:rPr>
        <w:t>وجنتيان</w:t>
      </w:r>
      <w:proofErr w:type="spellEnd"/>
      <w:r w:rsidR="00293EB2" w:rsidRPr="004869A6">
        <w:rPr>
          <w:rFonts w:eastAsiaTheme="minorEastAsia" w:hint="cs"/>
          <w:rtl/>
        </w:rPr>
        <w:t> </w:t>
      </w:r>
      <w:proofErr w:type="spellStart"/>
      <w:r w:rsidRPr="004869A6">
        <w:rPr>
          <w:rFonts w:eastAsiaTheme="minorEastAsia"/>
          <w:rtl/>
        </w:rPr>
        <w:t>زيبيري</w:t>
      </w:r>
      <w:proofErr w:type="spellEnd"/>
      <w:r w:rsidR="005A76D5" w:rsidRPr="004869A6">
        <w:rPr>
          <w:rFonts w:eastAsiaTheme="minorEastAsia"/>
          <w:rtl/>
        </w:rPr>
        <w:t xml:space="preserve">. </w:t>
      </w:r>
    </w:p>
  </w:footnote>
  <w:footnote w:id="3">
    <w:p w14:paraId="534D7408" w14:textId="77777777" w:rsidR="005A76D5" w:rsidRPr="004869A6" w:rsidRDefault="005A76D5" w:rsidP="00C06137">
      <w:pPr>
        <w:pStyle w:val="FootnoteText1"/>
        <w:rPr>
          <w:rFonts w:eastAsiaTheme="minorEastAsia"/>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tl/>
        </w:rPr>
        <w:tab/>
      </w:r>
      <w:r w:rsidRPr="004869A6">
        <w:rPr>
          <w:rFonts w:eastAsiaTheme="minorEastAsia"/>
        </w:rPr>
        <w:t>Case No. 14307/88, Judgment, 25 May 1993, para. 33</w:t>
      </w:r>
      <w:r w:rsidRPr="004869A6">
        <w:rPr>
          <w:rFonts w:eastAsiaTheme="minorEastAsia"/>
          <w:rtl/>
        </w:rPr>
        <w:t xml:space="preserve">. </w:t>
      </w:r>
    </w:p>
  </w:footnote>
  <w:footnote w:id="4">
    <w:p w14:paraId="01748E65" w14:textId="77777777" w:rsidR="005A76D5" w:rsidRPr="004869A6" w:rsidRDefault="005A76D5" w:rsidP="00C06137">
      <w:pPr>
        <w:pStyle w:val="FootnoteText1"/>
        <w:rPr>
          <w:rFonts w:eastAsiaTheme="minorEastAsia"/>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tl/>
        </w:rPr>
        <w:tab/>
      </w:r>
      <w:r w:rsidRPr="004869A6">
        <w:rPr>
          <w:rFonts w:eastAsiaTheme="minorEastAsia"/>
        </w:rPr>
        <w:t xml:space="preserve">European Court of Human Rights, </w:t>
      </w:r>
      <w:proofErr w:type="spellStart"/>
      <w:r w:rsidRPr="004869A6">
        <w:rPr>
          <w:rFonts w:eastAsiaTheme="minorEastAsia"/>
          <w:i/>
          <w:iCs/>
        </w:rPr>
        <w:t>Prokopovich</w:t>
      </w:r>
      <w:proofErr w:type="spellEnd"/>
      <w:r w:rsidRPr="004869A6">
        <w:rPr>
          <w:rFonts w:eastAsiaTheme="minorEastAsia"/>
          <w:i/>
          <w:iCs/>
        </w:rPr>
        <w:t xml:space="preserve"> v. Russia</w:t>
      </w:r>
      <w:r w:rsidRPr="004869A6">
        <w:rPr>
          <w:rFonts w:eastAsiaTheme="minorEastAsia"/>
        </w:rPr>
        <w:t>, case No. 58255/00, Judgment, 28 October 2004, para. 36; and European Court of Human Rights,</w:t>
      </w:r>
      <w:r w:rsidRPr="004869A6" w:rsidDel="008F0F7A">
        <w:rPr>
          <w:rFonts w:eastAsiaTheme="minorEastAsia"/>
        </w:rPr>
        <w:t xml:space="preserve"> </w:t>
      </w:r>
      <w:r w:rsidRPr="004869A6">
        <w:rPr>
          <w:rFonts w:eastAsiaTheme="minorEastAsia"/>
          <w:i/>
          <w:iCs/>
        </w:rPr>
        <w:t>Sargsyan v. Azerbaijan</w:t>
      </w:r>
      <w:r w:rsidRPr="004869A6">
        <w:rPr>
          <w:rFonts w:eastAsiaTheme="minorEastAsia"/>
        </w:rPr>
        <w:t>, case No. 40167/06, Judgment, 16 June 2015. para. 253</w:t>
      </w:r>
      <w:r w:rsidRPr="004869A6">
        <w:rPr>
          <w:rFonts w:eastAsiaTheme="minorEastAsia"/>
          <w:rtl/>
        </w:rPr>
        <w:t xml:space="preserve">. </w:t>
      </w:r>
    </w:p>
  </w:footnote>
  <w:footnote w:id="5">
    <w:p w14:paraId="663FD027" w14:textId="77777777" w:rsidR="005A76D5" w:rsidRPr="004869A6" w:rsidRDefault="005A76D5" w:rsidP="00C06137">
      <w:pPr>
        <w:pStyle w:val="FootnoteText1"/>
        <w:rPr>
          <w:rFonts w:eastAsiaTheme="minorEastAsia"/>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tl/>
        </w:rPr>
        <w:tab/>
      </w:r>
      <w:r w:rsidRPr="004869A6">
        <w:rPr>
          <w:rFonts w:eastAsiaTheme="minorEastAsia"/>
        </w:rPr>
        <w:t xml:space="preserve">European Court of Human Rights, </w:t>
      </w:r>
      <w:proofErr w:type="spellStart"/>
      <w:r w:rsidRPr="004869A6">
        <w:rPr>
          <w:rFonts w:eastAsiaTheme="minorEastAsia"/>
          <w:i/>
          <w:iCs/>
        </w:rPr>
        <w:t>Prokopovich</w:t>
      </w:r>
      <w:proofErr w:type="spellEnd"/>
      <w:r w:rsidRPr="004869A6">
        <w:rPr>
          <w:rFonts w:eastAsiaTheme="minorEastAsia"/>
          <w:i/>
          <w:iCs/>
        </w:rPr>
        <w:t xml:space="preserve"> v. Russia</w:t>
      </w:r>
      <w:r w:rsidRPr="004869A6">
        <w:rPr>
          <w:rFonts w:eastAsiaTheme="minorEastAsia"/>
        </w:rPr>
        <w:t>, para. 38</w:t>
      </w:r>
      <w:r w:rsidRPr="004869A6">
        <w:rPr>
          <w:rFonts w:eastAsiaTheme="minorEastAsia"/>
          <w:rtl/>
        </w:rPr>
        <w:t xml:space="preserve">. </w:t>
      </w:r>
    </w:p>
  </w:footnote>
  <w:footnote w:id="6">
    <w:p w14:paraId="39A62A5F" w14:textId="77777777" w:rsidR="005A76D5" w:rsidRPr="004869A6" w:rsidRDefault="005A76D5" w:rsidP="00C06137">
      <w:pPr>
        <w:pStyle w:val="FootnoteText1"/>
        <w:rPr>
          <w:rFonts w:eastAsiaTheme="minorEastAsia"/>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tl/>
        </w:rPr>
        <w:tab/>
      </w:r>
      <w:r w:rsidRPr="004869A6">
        <w:rPr>
          <w:rFonts w:eastAsiaTheme="minorEastAsia"/>
        </w:rPr>
        <w:t xml:space="preserve">European Court of Human Rights, </w:t>
      </w:r>
      <w:proofErr w:type="spellStart"/>
      <w:r w:rsidRPr="004869A6">
        <w:rPr>
          <w:rFonts w:eastAsiaTheme="minorEastAsia"/>
          <w:i/>
          <w:iCs/>
        </w:rPr>
        <w:t>Thlimmenos</w:t>
      </w:r>
      <w:proofErr w:type="spellEnd"/>
      <w:r w:rsidRPr="004869A6">
        <w:rPr>
          <w:rFonts w:eastAsiaTheme="minorEastAsia"/>
          <w:i/>
          <w:iCs/>
        </w:rPr>
        <w:t xml:space="preserve"> v. Greece</w:t>
      </w:r>
      <w:r w:rsidRPr="004869A6">
        <w:rPr>
          <w:rFonts w:eastAsiaTheme="minorEastAsia"/>
        </w:rPr>
        <w:t>, case No. 34369/97, Judgment, 6 April 2000, para. 42</w:t>
      </w:r>
      <w:r w:rsidRPr="004869A6">
        <w:rPr>
          <w:rFonts w:eastAsiaTheme="minorEastAsia"/>
          <w:rtl/>
        </w:rPr>
        <w:t xml:space="preserve">. </w:t>
      </w:r>
    </w:p>
  </w:footnote>
  <w:footnote w:id="7">
    <w:p w14:paraId="2485F51D" w14:textId="77777777" w:rsidR="005A76D5" w:rsidRPr="004869A6" w:rsidRDefault="005A76D5" w:rsidP="00C06137">
      <w:pPr>
        <w:pStyle w:val="FootnoteText1"/>
        <w:rPr>
          <w:rFonts w:eastAsiaTheme="minorEastAsia"/>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tl/>
        </w:rPr>
        <w:tab/>
      </w:r>
      <w:r w:rsidRPr="004869A6">
        <w:rPr>
          <w:rFonts w:eastAsiaTheme="minorEastAsia"/>
        </w:rPr>
        <w:t xml:space="preserve">European Court of Human Rights, </w:t>
      </w:r>
      <w:proofErr w:type="spellStart"/>
      <w:r w:rsidRPr="004869A6">
        <w:rPr>
          <w:rFonts w:eastAsiaTheme="minorEastAsia"/>
          <w:i/>
          <w:iCs/>
        </w:rPr>
        <w:t>Kokkinakis</w:t>
      </w:r>
      <w:proofErr w:type="spellEnd"/>
      <w:r w:rsidRPr="004869A6">
        <w:rPr>
          <w:rFonts w:eastAsiaTheme="minorEastAsia"/>
          <w:i/>
          <w:iCs/>
        </w:rPr>
        <w:t xml:space="preserve"> v. Greece</w:t>
      </w:r>
      <w:r w:rsidRPr="004869A6">
        <w:rPr>
          <w:rFonts w:eastAsiaTheme="minorEastAsia"/>
        </w:rPr>
        <w:t>, para. 46</w:t>
      </w:r>
      <w:r w:rsidRPr="004869A6">
        <w:rPr>
          <w:rFonts w:eastAsiaTheme="minorEastAsia"/>
          <w:rtl/>
        </w:rPr>
        <w:t xml:space="preserve">. </w:t>
      </w:r>
    </w:p>
  </w:footnote>
  <w:footnote w:id="8">
    <w:p w14:paraId="72794E48" w14:textId="77777777" w:rsidR="005A76D5" w:rsidRPr="004869A6" w:rsidRDefault="005A76D5" w:rsidP="005A76D5">
      <w:pPr>
        <w:pStyle w:val="FootnoteText1"/>
        <w:rPr>
          <w:rFonts w:eastAsiaTheme="minorEastAsia"/>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tl/>
        </w:rPr>
        <w:tab/>
      </w:r>
      <w:proofErr w:type="spellStart"/>
      <w:r w:rsidRPr="004869A6">
        <w:rPr>
          <w:rFonts w:eastAsiaTheme="minorEastAsia"/>
          <w:i/>
          <w:iCs/>
          <w:rtl/>
        </w:rPr>
        <w:t>مالاخوفسكي</w:t>
      </w:r>
      <w:proofErr w:type="spellEnd"/>
      <w:r w:rsidRPr="004869A6">
        <w:rPr>
          <w:rFonts w:eastAsiaTheme="minorEastAsia"/>
          <w:i/>
          <w:iCs/>
          <w:rtl/>
        </w:rPr>
        <w:t xml:space="preserve"> </w:t>
      </w:r>
      <w:proofErr w:type="spellStart"/>
      <w:r w:rsidRPr="004869A6">
        <w:rPr>
          <w:rFonts w:eastAsiaTheme="minorEastAsia"/>
          <w:i/>
          <w:iCs/>
          <w:rtl/>
        </w:rPr>
        <w:t>وبيكول</w:t>
      </w:r>
      <w:proofErr w:type="spellEnd"/>
      <w:r w:rsidRPr="004869A6">
        <w:rPr>
          <w:rFonts w:eastAsiaTheme="minorEastAsia"/>
          <w:i/>
          <w:iCs/>
          <w:rtl/>
        </w:rPr>
        <w:t xml:space="preserve"> ضد</w:t>
      </w:r>
      <w:r w:rsidRPr="004869A6">
        <w:rPr>
          <w:rFonts w:eastAsiaTheme="minorEastAsia" w:hint="cs"/>
          <w:i/>
          <w:iCs/>
          <w:rtl/>
        </w:rPr>
        <w:t xml:space="preserve"> </w:t>
      </w:r>
      <w:r w:rsidRPr="004869A6">
        <w:rPr>
          <w:rFonts w:eastAsiaTheme="minorEastAsia"/>
          <w:i/>
          <w:iCs/>
          <w:rtl/>
        </w:rPr>
        <w:t>بيلاروس</w:t>
      </w:r>
      <w:r w:rsidRPr="004869A6">
        <w:rPr>
          <w:rFonts w:eastAsiaTheme="minorEastAsia"/>
          <w:rtl/>
        </w:rPr>
        <w:t xml:space="preserve"> (</w:t>
      </w:r>
      <w:hyperlink r:id="rId1" w:history="1">
        <w:r w:rsidRPr="004869A6">
          <w:rPr>
            <w:rStyle w:val="Hyperlink"/>
            <w:rFonts w:eastAsiaTheme="minorEastAsia"/>
          </w:rPr>
          <w:t>CCPR/C/84/D/1207/2003</w:t>
        </w:r>
      </w:hyperlink>
      <w:r w:rsidRPr="004869A6">
        <w:rPr>
          <w:rFonts w:eastAsiaTheme="minorEastAsia"/>
          <w:rtl/>
        </w:rPr>
        <w:t xml:space="preserve">)، الفقرة 7-6. </w:t>
      </w:r>
    </w:p>
  </w:footnote>
  <w:footnote w:id="9">
    <w:p w14:paraId="2A58368F" w14:textId="0B0363BD" w:rsidR="005A76D5" w:rsidRPr="004869A6" w:rsidRDefault="005A76D5" w:rsidP="00C06137">
      <w:pPr>
        <w:pStyle w:val="FootnoteText1"/>
        <w:rPr>
          <w:rFonts w:eastAsiaTheme="minorEastAsia"/>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tl/>
        </w:rPr>
        <w:tab/>
      </w:r>
      <w:r w:rsidRPr="004869A6">
        <w:rPr>
          <w:rFonts w:eastAsiaTheme="minorEastAsia" w:hint="cs"/>
          <w:rtl/>
        </w:rPr>
        <w:t>انظر أيضاً</w:t>
      </w:r>
      <w:r w:rsidRPr="004869A6">
        <w:rPr>
          <w:rFonts w:eastAsiaTheme="minorEastAsia"/>
        </w:rPr>
        <w:t xml:space="preserve">European Court of Human Rights, </w:t>
      </w:r>
      <w:proofErr w:type="spellStart"/>
      <w:r w:rsidRPr="004869A6">
        <w:rPr>
          <w:rFonts w:eastAsiaTheme="minorEastAsia"/>
          <w:i/>
          <w:iCs/>
        </w:rPr>
        <w:t>Öztürk</w:t>
      </w:r>
      <w:proofErr w:type="spellEnd"/>
      <w:r w:rsidRPr="004869A6">
        <w:rPr>
          <w:rFonts w:eastAsiaTheme="minorEastAsia"/>
          <w:i/>
          <w:iCs/>
        </w:rPr>
        <w:t xml:space="preserve"> v. Turkey</w:t>
      </w:r>
      <w:r w:rsidRPr="004869A6">
        <w:rPr>
          <w:rFonts w:eastAsiaTheme="minorEastAsia"/>
        </w:rPr>
        <w:t xml:space="preserve">, case No. 22479/93, Judgment, 28 September 1999, paras. 29 and 71; European Court of Human Rights, </w:t>
      </w:r>
      <w:proofErr w:type="spellStart"/>
      <w:r w:rsidRPr="004869A6">
        <w:rPr>
          <w:rFonts w:eastAsiaTheme="minorEastAsia"/>
          <w:i/>
          <w:iCs/>
        </w:rPr>
        <w:t>Başkaya</w:t>
      </w:r>
      <w:proofErr w:type="spellEnd"/>
      <w:r w:rsidRPr="004869A6">
        <w:rPr>
          <w:rFonts w:eastAsiaTheme="minorEastAsia"/>
          <w:i/>
          <w:iCs/>
        </w:rPr>
        <w:t xml:space="preserve"> and </w:t>
      </w:r>
      <w:proofErr w:type="spellStart"/>
      <w:r w:rsidRPr="004869A6">
        <w:rPr>
          <w:rFonts w:eastAsiaTheme="minorEastAsia"/>
          <w:i/>
          <w:iCs/>
        </w:rPr>
        <w:t>Okçuoğlu</w:t>
      </w:r>
      <w:proofErr w:type="spellEnd"/>
      <w:r w:rsidRPr="004869A6">
        <w:rPr>
          <w:rFonts w:eastAsiaTheme="minorEastAsia"/>
          <w:i/>
          <w:iCs/>
        </w:rPr>
        <w:t xml:space="preserve"> v. Turkey</w:t>
      </w:r>
      <w:r w:rsidRPr="004869A6">
        <w:rPr>
          <w:rFonts w:eastAsiaTheme="minorEastAsia"/>
        </w:rPr>
        <w:t xml:space="preserve">, case Nos. 23536/94 and 24408/94, Judgment, 8 July 1999, paras. 27, 64 and 67; and European Court of Human Rights, </w:t>
      </w:r>
      <w:proofErr w:type="gramStart"/>
      <w:r w:rsidRPr="004869A6">
        <w:rPr>
          <w:rFonts w:eastAsiaTheme="minorEastAsia"/>
          <w:i/>
          <w:iCs/>
        </w:rPr>
        <w:t>Freedom</w:t>
      </w:r>
      <w:proofErr w:type="gramEnd"/>
      <w:r w:rsidRPr="004869A6">
        <w:rPr>
          <w:rFonts w:eastAsiaTheme="minorEastAsia"/>
          <w:i/>
          <w:iCs/>
        </w:rPr>
        <w:t xml:space="preserve"> and Democracy Party (ŐZDEP) v. Turkey</w:t>
      </w:r>
      <w:r w:rsidRPr="004869A6">
        <w:rPr>
          <w:rFonts w:eastAsiaTheme="minorEastAsia"/>
        </w:rPr>
        <w:t>, case No. 23885/94, paras. 14 and 47</w:t>
      </w:r>
      <w:r w:rsidRPr="004869A6">
        <w:rPr>
          <w:rFonts w:eastAsiaTheme="minorEastAsia"/>
          <w:rtl/>
        </w:rPr>
        <w:t xml:space="preserve">. </w:t>
      </w:r>
    </w:p>
  </w:footnote>
  <w:footnote w:id="10">
    <w:p w14:paraId="6C585EAF" w14:textId="77777777" w:rsidR="005A76D5" w:rsidRPr="004869A6" w:rsidRDefault="005A76D5" w:rsidP="00C06137">
      <w:pPr>
        <w:pStyle w:val="FootnoteText1"/>
        <w:rPr>
          <w:rFonts w:eastAsiaTheme="minorEastAsia"/>
          <w:spacing w:val="-4"/>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tl/>
        </w:rPr>
        <w:tab/>
      </w:r>
      <w:proofErr w:type="spellStart"/>
      <w:r w:rsidRPr="004869A6">
        <w:rPr>
          <w:rFonts w:eastAsiaTheme="minorEastAsia"/>
          <w:i/>
          <w:iCs/>
          <w:spacing w:val="-4"/>
        </w:rPr>
        <w:t>Larissis</w:t>
      </w:r>
      <w:proofErr w:type="spellEnd"/>
      <w:r w:rsidRPr="004869A6">
        <w:rPr>
          <w:rFonts w:eastAsiaTheme="minorEastAsia"/>
          <w:i/>
          <w:iCs/>
          <w:spacing w:val="-4"/>
        </w:rPr>
        <w:t xml:space="preserve"> and Others v. Greece</w:t>
      </w:r>
      <w:r w:rsidRPr="004869A6">
        <w:rPr>
          <w:rFonts w:eastAsiaTheme="minorEastAsia"/>
          <w:spacing w:val="-4"/>
        </w:rPr>
        <w:t>, case No. 140/1996/759/958–960, Judgment, 24 February 1998, para. 51</w:t>
      </w:r>
      <w:r w:rsidRPr="004869A6">
        <w:rPr>
          <w:rFonts w:eastAsiaTheme="minorEastAsia"/>
          <w:spacing w:val="-4"/>
          <w:rtl/>
        </w:rPr>
        <w:t xml:space="preserve">. </w:t>
      </w:r>
    </w:p>
  </w:footnote>
  <w:footnote w:id="11">
    <w:p w14:paraId="6B9DCC02" w14:textId="35B70F3A" w:rsidR="005A76D5" w:rsidRPr="004869A6" w:rsidRDefault="005A76D5" w:rsidP="005A76D5">
      <w:pPr>
        <w:pStyle w:val="FootnoteText1"/>
        <w:rPr>
          <w:rFonts w:eastAsiaTheme="minorEastAsia"/>
          <w:spacing w:val="-4"/>
          <w:rtl/>
        </w:rPr>
      </w:pPr>
      <w:r w:rsidRPr="004869A6">
        <w:rPr>
          <w:rFonts w:eastAsiaTheme="minorEastAsia"/>
          <w:spacing w:val="-4"/>
          <w:rtl/>
        </w:rPr>
        <w:t>(</w:t>
      </w:r>
      <w:r w:rsidRPr="004869A6">
        <w:rPr>
          <w:rStyle w:val="FootnoteReference"/>
          <w:rFonts w:eastAsiaTheme="minorEastAsia" w:cs="Simplified Arabic"/>
          <w:b w:val="0"/>
          <w:bCs/>
          <w:spacing w:val="-4"/>
          <w:szCs w:val="18"/>
          <w:vertAlign w:val="baseline"/>
        </w:rPr>
        <w:footnoteRef/>
      </w:r>
      <w:r w:rsidRPr="004869A6">
        <w:rPr>
          <w:rFonts w:eastAsiaTheme="minorEastAsia"/>
          <w:spacing w:val="-4"/>
          <w:rtl/>
        </w:rPr>
        <w:t>)</w:t>
      </w:r>
      <w:r w:rsidRPr="004869A6">
        <w:rPr>
          <w:rFonts w:eastAsiaTheme="minorEastAsia"/>
          <w:spacing w:val="-4"/>
          <w:rtl/>
        </w:rPr>
        <w:tab/>
      </w:r>
      <w:hyperlink r:id="rId2" w:history="1">
        <w:r w:rsidR="00ED5F28" w:rsidRPr="0088500B">
          <w:rPr>
            <w:rStyle w:val="Hyperlink"/>
          </w:rPr>
          <w:t>CCPR/C/</w:t>
        </w:r>
        <w:proofErr w:type="spellStart"/>
        <w:r w:rsidR="00ED5F28" w:rsidRPr="0088500B">
          <w:rPr>
            <w:rStyle w:val="Hyperlink"/>
          </w:rPr>
          <w:t>AZE</w:t>
        </w:r>
        <w:proofErr w:type="spellEnd"/>
        <w:r w:rsidR="00ED5F28" w:rsidRPr="0088500B">
          <w:rPr>
            <w:rStyle w:val="Hyperlink"/>
          </w:rPr>
          <w:t>/CO/4</w:t>
        </w:r>
      </w:hyperlink>
      <w:hyperlink r:id="rId3" w:history="1">
        <w:r w:rsidR="00ED5F28">
          <w:rPr>
            <w:rFonts w:eastAsiaTheme="minorEastAsia" w:hint="cs"/>
            <w:spacing w:val="-4"/>
            <w:rtl/>
          </w:rPr>
          <w:t>، ا</w:t>
        </w:r>
        <w:r w:rsidR="00EA5F1C" w:rsidRPr="004869A6">
          <w:rPr>
            <w:rFonts w:eastAsiaTheme="minorEastAsia"/>
            <w:spacing w:val="-4"/>
            <w:rtl/>
          </w:rPr>
          <w:t>لفقرة 32. دعت اللجنة أذربيجان أيضاً إلى ضمان الممارسة الفعالة لحرية الدين والمعتقد عمليا</w:t>
        </w:r>
        <w:r w:rsidR="00EA5F1C" w:rsidRPr="004869A6">
          <w:rPr>
            <w:rFonts w:eastAsiaTheme="minorEastAsia" w:hint="cs"/>
            <w:spacing w:val="-4"/>
            <w:rtl/>
          </w:rPr>
          <w:t xml:space="preserve">ً </w:t>
        </w:r>
        <w:r w:rsidR="00EA5F1C" w:rsidRPr="004869A6">
          <w:rPr>
            <w:rFonts w:eastAsiaTheme="minorEastAsia"/>
            <w:spacing w:val="-4"/>
            <w:rtl/>
          </w:rPr>
          <w:t>وإلى الامتناع عن أي عمل قد يقيد هذه الحرية بما يتجاوز القيود الضيقة التفسير التي تجيزها المادة 18 من العهد (المرجع نفسه، الفقرة 33</w:t>
        </w:r>
      </w:hyperlink>
      <w:r w:rsidR="00EA5F1C" w:rsidRPr="004869A6">
        <w:rPr>
          <w:rFonts w:eastAsiaTheme="minorEastAsia"/>
          <w:spacing w:val="-4"/>
          <w:rtl/>
          <w:lang w:eastAsia="zh-CN"/>
        </w:rPr>
        <w:t>)</w:t>
      </w:r>
      <w:r w:rsidR="00EA5F1C" w:rsidRPr="004869A6">
        <w:rPr>
          <w:rFonts w:eastAsiaTheme="minorEastAsia" w:hint="cs"/>
          <w:spacing w:val="-4"/>
          <w:rtl/>
          <w:lang w:eastAsia="zh-CN"/>
        </w:rPr>
        <w:t>.</w:t>
      </w:r>
    </w:p>
  </w:footnote>
  <w:footnote w:id="12">
    <w:p w14:paraId="464FB85A" w14:textId="2EF869E6" w:rsidR="005A76D5" w:rsidRPr="004869A6" w:rsidRDefault="005A76D5" w:rsidP="005A76D5">
      <w:pPr>
        <w:pStyle w:val="FootnoteText1"/>
        <w:rPr>
          <w:rFonts w:eastAsiaTheme="minorEastAsia"/>
          <w:spacing w:val="-4"/>
          <w:rtl/>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tl/>
        </w:rPr>
        <w:tab/>
      </w:r>
      <w:r w:rsidRPr="004869A6">
        <w:rPr>
          <w:rFonts w:eastAsiaTheme="minorEastAsia"/>
          <w:spacing w:val="-4"/>
          <w:rtl/>
        </w:rPr>
        <w:t xml:space="preserve">اللجنة المعنية بحقوق الإنسان، </w:t>
      </w:r>
      <w:r w:rsidRPr="004869A6">
        <w:rPr>
          <w:rFonts w:eastAsiaTheme="minorEastAsia"/>
          <w:i/>
          <w:iCs/>
          <w:spacing w:val="-4"/>
          <w:rtl/>
        </w:rPr>
        <w:t>ر. ت. ضد فرنسا</w:t>
      </w:r>
      <w:r w:rsidRPr="004869A6">
        <w:rPr>
          <w:rFonts w:eastAsiaTheme="minorEastAsia"/>
          <w:spacing w:val="-4"/>
          <w:rtl/>
        </w:rPr>
        <w:t xml:space="preserve">، البلاغ رقم </w:t>
      </w:r>
      <w:r w:rsidR="00B1662F" w:rsidRPr="004869A6">
        <w:rPr>
          <w:rFonts w:eastAsiaTheme="minorEastAsia"/>
          <w:spacing w:val="-4"/>
          <w:rtl/>
        </w:rPr>
        <w:t>262/1987</w:t>
      </w:r>
      <w:r w:rsidRPr="004869A6">
        <w:rPr>
          <w:rFonts w:eastAsiaTheme="minorEastAsia"/>
          <w:spacing w:val="-4"/>
          <w:rtl/>
        </w:rPr>
        <w:t xml:space="preserve">، الفقرة 7-4؛ </w:t>
      </w:r>
      <w:proofErr w:type="spellStart"/>
      <w:r w:rsidRPr="004869A6">
        <w:rPr>
          <w:rFonts w:eastAsiaTheme="minorEastAsia"/>
          <w:i/>
          <w:iCs/>
          <w:spacing w:val="-4"/>
          <w:rtl/>
        </w:rPr>
        <w:t>شميدل</w:t>
      </w:r>
      <w:proofErr w:type="spellEnd"/>
      <w:r w:rsidRPr="004869A6">
        <w:rPr>
          <w:rFonts w:eastAsiaTheme="minorEastAsia"/>
          <w:i/>
          <w:iCs/>
          <w:spacing w:val="-4"/>
          <w:rtl/>
        </w:rPr>
        <w:t xml:space="preserve"> ضد الجمهورية التشيكية</w:t>
      </w:r>
      <w:r w:rsidRPr="004869A6">
        <w:rPr>
          <w:rFonts w:eastAsiaTheme="minorEastAsia"/>
          <w:spacing w:val="-4"/>
          <w:rtl/>
        </w:rPr>
        <w:t xml:space="preserve"> (</w:t>
      </w:r>
      <w:hyperlink r:id="rId4" w:history="1">
        <w:r w:rsidRPr="004869A6">
          <w:rPr>
            <w:rStyle w:val="Hyperlink"/>
            <w:rFonts w:eastAsiaTheme="minorEastAsia"/>
          </w:rPr>
          <w:t>CCPR/C/92/D/1515/2006</w:t>
        </w:r>
      </w:hyperlink>
      <w:r w:rsidRPr="004869A6">
        <w:rPr>
          <w:rFonts w:eastAsiaTheme="minorEastAsia"/>
          <w:spacing w:val="-4"/>
          <w:rtl/>
        </w:rPr>
        <w:t xml:space="preserve">)، الفقرة 6-2؛ وقضية </w:t>
      </w:r>
      <w:proofErr w:type="spellStart"/>
      <w:r w:rsidRPr="004869A6">
        <w:rPr>
          <w:rFonts w:eastAsiaTheme="minorEastAsia"/>
          <w:i/>
          <w:iCs/>
          <w:spacing w:val="-4"/>
          <w:rtl/>
        </w:rPr>
        <w:t>ستاديريني</w:t>
      </w:r>
      <w:proofErr w:type="spellEnd"/>
      <w:r w:rsidRPr="004869A6">
        <w:rPr>
          <w:rFonts w:eastAsiaTheme="minorEastAsia"/>
          <w:i/>
          <w:iCs/>
          <w:spacing w:val="-4"/>
          <w:rtl/>
        </w:rPr>
        <w:t xml:space="preserve"> ودي لوسيا ضد إيطاليا</w:t>
      </w:r>
      <w:r w:rsidRPr="004869A6">
        <w:rPr>
          <w:rFonts w:eastAsiaTheme="minorEastAsia"/>
          <w:spacing w:val="-4"/>
          <w:rtl/>
        </w:rPr>
        <w:t xml:space="preserve"> (</w:t>
      </w:r>
      <w:hyperlink r:id="rId5" w:history="1">
        <w:r w:rsidRPr="004869A6">
          <w:rPr>
            <w:rStyle w:val="Hyperlink"/>
            <w:rFonts w:eastAsiaTheme="minorEastAsia"/>
          </w:rPr>
          <w:t>CCPR/C/127/D/2656/2015</w:t>
        </w:r>
      </w:hyperlink>
      <w:r w:rsidRPr="004869A6">
        <w:rPr>
          <w:rFonts w:eastAsiaTheme="minorEastAsia"/>
          <w:spacing w:val="-4"/>
          <w:rtl/>
        </w:rPr>
        <w:t>)، الفقرة</w:t>
      </w:r>
      <w:r w:rsidR="00EA5F1C" w:rsidRPr="004869A6">
        <w:rPr>
          <w:rFonts w:eastAsiaTheme="minorEastAsia" w:hint="cs"/>
          <w:spacing w:val="-4"/>
          <w:rtl/>
        </w:rPr>
        <w:t xml:space="preserve"> </w:t>
      </w:r>
      <w:r w:rsidRPr="004869A6">
        <w:rPr>
          <w:rFonts w:eastAsiaTheme="minorEastAsia"/>
          <w:spacing w:val="-4"/>
          <w:rtl/>
        </w:rPr>
        <w:t xml:space="preserve">8-3. </w:t>
      </w:r>
    </w:p>
  </w:footnote>
  <w:footnote w:id="13">
    <w:p w14:paraId="74E574B4" w14:textId="72990ACA" w:rsidR="005A76D5" w:rsidRPr="004869A6" w:rsidRDefault="005A76D5" w:rsidP="005A76D5">
      <w:pPr>
        <w:pStyle w:val="FootnoteText1"/>
        <w:rPr>
          <w:rFonts w:eastAsiaTheme="minorEastAsia"/>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tl/>
        </w:rPr>
        <w:tab/>
        <w:t>الفقرة 3. انظر أيض</w:t>
      </w:r>
      <w:r w:rsidR="00EA5F1C" w:rsidRPr="004869A6">
        <w:rPr>
          <w:rFonts w:eastAsiaTheme="minorEastAsia"/>
          <w:rtl/>
        </w:rPr>
        <w:t xml:space="preserve">اً </w:t>
      </w:r>
      <w:r w:rsidRPr="004869A6">
        <w:rPr>
          <w:rFonts w:eastAsiaTheme="minorEastAsia"/>
          <w:rtl/>
        </w:rPr>
        <w:t xml:space="preserve">قضية </w:t>
      </w:r>
      <w:proofErr w:type="spellStart"/>
      <w:r w:rsidRPr="004869A6">
        <w:rPr>
          <w:rFonts w:eastAsiaTheme="minorEastAsia"/>
          <w:i/>
          <w:iCs/>
          <w:rtl/>
        </w:rPr>
        <w:t>بيكمانوف</w:t>
      </w:r>
      <w:proofErr w:type="spellEnd"/>
      <w:r w:rsidRPr="004869A6">
        <w:rPr>
          <w:rFonts w:eastAsiaTheme="minorEastAsia"/>
          <w:i/>
          <w:iCs/>
          <w:rtl/>
        </w:rPr>
        <w:t xml:space="preserve"> </w:t>
      </w:r>
      <w:proofErr w:type="spellStart"/>
      <w:r w:rsidRPr="004869A6">
        <w:rPr>
          <w:rFonts w:eastAsiaTheme="minorEastAsia"/>
          <w:i/>
          <w:iCs/>
          <w:rtl/>
        </w:rPr>
        <w:t>وإيغيمبيردييف</w:t>
      </w:r>
      <w:proofErr w:type="spellEnd"/>
      <w:r w:rsidRPr="004869A6">
        <w:rPr>
          <w:rFonts w:eastAsiaTheme="minorEastAsia"/>
          <w:i/>
          <w:iCs/>
          <w:rtl/>
        </w:rPr>
        <w:t xml:space="preserve"> ضد قيرغيزستان</w:t>
      </w:r>
      <w:r w:rsidRPr="004869A6">
        <w:rPr>
          <w:rFonts w:eastAsiaTheme="minorEastAsia"/>
          <w:rtl/>
        </w:rPr>
        <w:t xml:space="preserve"> (</w:t>
      </w:r>
      <w:hyperlink r:id="rId6" w:history="1">
        <w:r w:rsidRPr="004869A6">
          <w:rPr>
            <w:rStyle w:val="Hyperlink"/>
            <w:rFonts w:eastAsiaTheme="minorEastAsia"/>
          </w:rPr>
          <w:t>CCPR/C/125/D/2312/2013</w:t>
        </w:r>
      </w:hyperlink>
      <w:r w:rsidRPr="004869A6">
        <w:rPr>
          <w:rFonts w:eastAsiaTheme="minorEastAsia"/>
          <w:rtl/>
        </w:rPr>
        <w:t xml:space="preserve">)، الفقرة 2-7. </w:t>
      </w:r>
    </w:p>
  </w:footnote>
  <w:footnote w:id="14">
    <w:p w14:paraId="6D432AF3" w14:textId="77777777" w:rsidR="005A76D5" w:rsidRPr="004869A6" w:rsidRDefault="005A76D5" w:rsidP="00C06137">
      <w:pPr>
        <w:pStyle w:val="FootnoteText1"/>
        <w:rPr>
          <w:rFonts w:eastAsiaTheme="minorEastAsia"/>
          <w:rtl/>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Pr>
        <w:tab/>
      </w:r>
      <w:r w:rsidRPr="004869A6">
        <w:rPr>
          <w:rFonts w:eastAsiaTheme="minorEastAsia"/>
          <w:rtl/>
        </w:rPr>
        <w:t xml:space="preserve">انظر أيضاً قضية </w:t>
      </w:r>
      <w:proofErr w:type="spellStart"/>
      <w:r w:rsidRPr="004869A6">
        <w:rPr>
          <w:rFonts w:eastAsiaTheme="minorEastAsia"/>
          <w:i/>
          <w:iCs/>
          <w:rtl/>
        </w:rPr>
        <w:t>مالاخوفسكي</w:t>
      </w:r>
      <w:proofErr w:type="spellEnd"/>
      <w:r w:rsidRPr="004869A6">
        <w:rPr>
          <w:rFonts w:eastAsiaTheme="minorEastAsia"/>
          <w:i/>
          <w:iCs/>
          <w:rtl/>
        </w:rPr>
        <w:t xml:space="preserve"> </w:t>
      </w:r>
      <w:proofErr w:type="spellStart"/>
      <w:r w:rsidRPr="004869A6">
        <w:rPr>
          <w:rFonts w:eastAsiaTheme="minorEastAsia"/>
          <w:i/>
          <w:iCs/>
          <w:rtl/>
        </w:rPr>
        <w:t>وبيكول</w:t>
      </w:r>
      <w:proofErr w:type="spellEnd"/>
      <w:r w:rsidRPr="004869A6">
        <w:rPr>
          <w:rFonts w:eastAsiaTheme="minorEastAsia"/>
          <w:i/>
          <w:iCs/>
          <w:rtl/>
        </w:rPr>
        <w:t xml:space="preserve"> ضد بيلاروس</w:t>
      </w:r>
      <w:r w:rsidRPr="004869A6">
        <w:rPr>
          <w:rFonts w:eastAsiaTheme="minorEastAsia"/>
          <w:rtl/>
        </w:rPr>
        <w:t xml:space="preserve">، الفقرة 3-7. </w:t>
      </w:r>
    </w:p>
  </w:footnote>
  <w:footnote w:id="15">
    <w:p w14:paraId="0529DE7A" w14:textId="77777777" w:rsidR="005A76D5" w:rsidRPr="004869A6" w:rsidRDefault="005A76D5" w:rsidP="005A76D5">
      <w:pPr>
        <w:pStyle w:val="FootnoteText1"/>
        <w:rPr>
          <w:rFonts w:eastAsiaTheme="minorEastAsia"/>
          <w:rtl/>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Pr>
        <w:tab/>
      </w:r>
      <w:proofErr w:type="spellStart"/>
      <w:r w:rsidRPr="004869A6">
        <w:rPr>
          <w:rFonts w:eastAsiaTheme="minorEastAsia"/>
          <w:i/>
          <w:iCs/>
          <w:rtl/>
        </w:rPr>
        <w:t>مامادوف</w:t>
      </w:r>
      <w:proofErr w:type="spellEnd"/>
      <w:r w:rsidRPr="004869A6">
        <w:rPr>
          <w:rFonts w:eastAsiaTheme="minorEastAsia"/>
          <w:i/>
          <w:iCs/>
          <w:rtl/>
        </w:rPr>
        <w:t xml:space="preserve"> </w:t>
      </w:r>
      <w:proofErr w:type="spellStart"/>
      <w:r w:rsidRPr="004869A6">
        <w:rPr>
          <w:rFonts w:eastAsiaTheme="minorEastAsia"/>
          <w:i/>
          <w:iCs/>
          <w:rtl/>
        </w:rPr>
        <w:t>ونفتالييف</w:t>
      </w:r>
      <w:proofErr w:type="spellEnd"/>
      <w:r w:rsidRPr="004869A6">
        <w:rPr>
          <w:rFonts w:eastAsiaTheme="minorEastAsia"/>
          <w:i/>
          <w:iCs/>
          <w:rtl/>
        </w:rPr>
        <w:t xml:space="preserve"> </w:t>
      </w:r>
      <w:proofErr w:type="spellStart"/>
      <w:r w:rsidRPr="004869A6">
        <w:rPr>
          <w:rFonts w:eastAsiaTheme="minorEastAsia"/>
          <w:i/>
          <w:iCs/>
          <w:rtl/>
        </w:rPr>
        <w:t>وعباسوفا</w:t>
      </w:r>
      <w:proofErr w:type="spellEnd"/>
      <w:r w:rsidRPr="004869A6">
        <w:rPr>
          <w:rFonts w:eastAsiaTheme="minorEastAsia"/>
          <w:i/>
          <w:iCs/>
          <w:rtl/>
        </w:rPr>
        <w:t xml:space="preserve"> ضد أذربيجان</w:t>
      </w:r>
      <w:r w:rsidRPr="004869A6">
        <w:rPr>
          <w:rFonts w:eastAsiaTheme="minorEastAsia"/>
          <w:rtl/>
        </w:rPr>
        <w:t xml:space="preserve"> (</w:t>
      </w:r>
      <w:hyperlink r:id="rId7" w:history="1">
        <w:r w:rsidRPr="004869A6">
          <w:rPr>
            <w:rStyle w:val="Hyperlink"/>
            <w:rFonts w:eastAsiaTheme="minorEastAsia"/>
          </w:rPr>
          <w:t>CCPR/C/129/D/2928/2017</w:t>
        </w:r>
      </w:hyperlink>
      <w:r w:rsidRPr="004869A6">
        <w:rPr>
          <w:rFonts w:eastAsiaTheme="minorEastAsia"/>
          <w:rtl/>
        </w:rPr>
        <w:t xml:space="preserve">)، الفقرة 7-5. </w:t>
      </w:r>
    </w:p>
  </w:footnote>
  <w:footnote w:id="16">
    <w:p w14:paraId="32034556" w14:textId="77777777" w:rsidR="005A76D5" w:rsidRPr="004869A6" w:rsidRDefault="005A76D5" w:rsidP="005A76D5">
      <w:pPr>
        <w:pStyle w:val="FootnoteText1"/>
        <w:rPr>
          <w:rFonts w:eastAsiaTheme="minorEastAsia"/>
          <w:rtl/>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Pr>
        <w:tab/>
      </w:r>
      <w:r w:rsidRPr="004869A6">
        <w:rPr>
          <w:rFonts w:eastAsiaTheme="minorEastAsia"/>
          <w:i/>
          <w:iCs/>
          <w:rtl/>
        </w:rPr>
        <w:t>ليفين ضد كازاخستان</w:t>
      </w:r>
      <w:r w:rsidRPr="004869A6">
        <w:rPr>
          <w:rFonts w:eastAsiaTheme="minorEastAsia"/>
          <w:rtl/>
        </w:rPr>
        <w:t xml:space="preserve"> (</w:t>
      </w:r>
      <w:hyperlink r:id="rId8" w:history="1">
        <w:r w:rsidRPr="004869A6">
          <w:rPr>
            <w:rStyle w:val="Hyperlink"/>
            <w:rFonts w:eastAsiaTheme="minorEastAsia"/>
          </w:rPr>
          <w:t>CCPR/C/112/D/2131/2012</w:t>
        </w:r>
      </w:hyperlink>
      <w:r w:rsidRPr="004869A6">
        <w:rPr>
          <w:rFonts w:eastAsiaTheme="minorEastAsia"/>
          <w:rtl/>
        </w:rPr>
        <w:t xml:space="preserve">)، الفقرة 9-4. </w:t>
      </w:r>
    </w:p>
  </w:footnote>
  <w:footnote w:id="17">
    <w:p w14:paraId="04264265" w14:textId="77777777" w:rsidR="005A76D5" w:rsidRPr="004869A6" w:rsidRDefault="005A76D5" w:rsidP="005A76D5">
      <w:pPr>
        <w:pStyle w:val="FootnoteText1"/>
        <w:rPr>
          <w:rFonts w:eastAsiaTheme="minorEastAsia"/>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tl/>
        </w:rPr>
        <w:tab/>
      </w:r>
      <w:proofErr w:type="spellStart"/>
      <w:r w:rsidRPr="004869A6">
        <w:rPr>
          <w:rFonts w:eastAsiaTheme="minorEastAsia"/>
          <w:i/>
          <w:iCs/>
          <w:rtl/>
        </w:rPr>
        <w:t>أميدزرو</w:t>
      </w:r>
      <w:proofErr w:type="spellEnd"/>
      <w:r w:rsidRPr="004869A6">
        <w:rPr>
          <w:rFonts w:eastAsiaTheme="minorEastAsia"/>
          <w:i/>
          <w:iCs/>
          <w:rtl/>
        </w:rPr>
        <w:t xml:space="preserve"> ضد طاجيكستان</w:t>
      </w:r>
      <w:r w:rsidRPr="004869A6">
        <w:rPr>
          <w:rFonts w:eastAsiaTheme="minorEastAsia"/>
          <w:rtl/>
        </w:rPr>
        <w:t xml:space="preserve"> (</w:t>
      </w:r>
      <w:hyperlink r:id="rId9" w:history="1">
        <w:r w:rsidRPr="004869A6">
          <w:rPr>
            <w:rStyle w:val="Hyperlink"/>
            <w:rFonts w:eastAsiaTheme="minorEastAsia"/>
          </w:rPr>
          <w:t>CCPR/C/133/D/3258/2018</w:t>
        </w:r>
      </w:hyperlink>
      <w:r w:rsidRPr="004869A6">
        <w:rPr>
          <w:rFonts w:eastAsiaTheme="minorEastAsia"/>
          <w:rtl/>
        </w:rPr>
        <w:t xml:space="preserve">)، الفقرة 9-7. </w:t>
      </w:r>
    </w:p>
  </w:footnote>
  <w:footnote w:id="18">
    <w:p w14:paraId="2ACAC873" w14:textId="77777777" w:rsidR="005A76D5" w:rsidRPr="004869A6" w:rsidRDefault="005A76D5" w:rsidP="00C06137">
      <w:pPr>
        <w:pStyle w:val="FootnoteText1"/>
        <w:rPr>
          <w:rFonts w:eastAsiaTheme="minorEastAsia"/>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tl/>
        </w:rPr>
        <w:tab/>
        <w:t xml:space="preserve">التعليق العام رقم 35(2014)، الفقرة 10. </w:t>
      </w:r>
    </w:p>
  </w:footnote>
  <w:footnote w:id="19">
    <w:p w14:paraId="4E8D3260" w14:textId="77777777" w:rsidR="005A76D5" w:rsidRPr="004869A6" w:rsidRDefault="005A76D5" w:rsidP="005A76D5">
      <w:pPr>
        <w:pStyle w:val="FootnoteText1"/>
        <w:rPr>
          <w:rFonts w:eastAsiaTheme="minorEastAsia"/>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tl/>
        </w:rPr>
        <w:tab/>
      </w:r>
      <w:proofErr w:type="spellStart"/>
      <w:r w:rsidRPr="004869A6">
        <w:rPr>
          <w:rFonts w:eastAsiaTheme="minorEastAsia"/>
          <w:i/>
          <w:iCs/>
          <w:rtl/>
        </w:rPr>
        <w:t>فورمونوف</w:t>
      </w:r>
      <w:proofErr w:type="spellEnd"/>
      <w:r w:rsidRPr="004869A6">
        <w:rPr>
          <w:rFonts w:eastAsiaTheme="minorEastAsia"/>
          <w:i/>
          <w:iCs/>
          <w:rtl/>
        </w:rPr>
        <w:t xml:space="preserve"> ضد أوزبكستان</w:t>
      </w:r>
      <w:r w:rsidRPr="004869A6">
        <w:rPr>
          <w:rFonts w:eastAsiaTheme="minorEastAsia"/>
          <w:rtl/>
        </w:rPr>
        <w:t xml:space="preserve"> (</w:t>
      </w:r>
      <w:hyperlink r:id="rId10" w:history="1">
        <w:r w:rsidRPr="004869A6">
          <w:rPr>
            <w:rStyle w:val="Hyperlink"/>
            <w:rFonts w:eastAsiaTheme="minorEastAsia"/>
          </w:rPr>
          <w:t>CCPR/C/122/D/2577/2015</w:t>
        </w:r>
      </w:hyperlink>
      <w:r w:rsidRPr="004869A6">
        <w:rPr>
          <w:rFonts w:eastAsiaTheme="minorEastAsia"/>
          <w:rtl/>
        </w:rPr>
        <w:t xml:space="preserve">)، الفقرة 9-3. </w:t>
      </w:r>
    </w:p>
  </w:footnote>
  <w:footnote w:id="20">
    <w:p w14:paraId="7D40BEE1" w14:textId="77777777" w:rsidR="005A76D5" w:rsidRPr="004869A6" w:rsidRDefault="005A76D5" w:rsidP="00C06137">
      <w:pPr>
        <w:pStyle w:val="FootnoteText1"/>
        <w:rPr>
          <w:rFonts w:eastAsiaTheme="minorEastAsia"/>
        </w:rPr>
      </w:pPr>
      <w:r w:rsidRPr="004869A6">
        <w:rPr>
          <w:rFonts w:eastAsiaTheme="minorEastAsia"/>
          <w:rtl/>
        </w:rPr>
        <w:t>(</w:t>
      </w:r>
      <w:r w:rsidRPr="004869A6">
        <w:rPr>
          <w:rStyle w:val="FootnoteReference"/>
          <w:rFonts w:eastAsiaTheme="minorEastAsia" w:cs="Simplified Arabic"/>
          <w:b w:val="0"/>
          <w:bCs/>
          <w:szCs w:val="18"/>
          <w:vertAlign w:val="baseline"/>
        </w:rPr>
        <w:footnoteRef/>
      </w:r>
      <w:r w:rsidRPr="004869A6">
        <w:rPr>
          <w:rFonts w:eastAsiaTheme="minorEastAsia"/>
          <w:rtl/>
        </w:rPr>
        <w:t>)</w:t>
      </w:r>
      <w:r w:rsidRPr="004869A6">
        <w:rPr>
          <w:rFonts w:eastAsiaTheme="minorEastAsia"/>
          <w:rtl/>
        </w:rPr>
        <w:tab/>
        <w:t xml:space="preserve">التعليق العام رقم 35(2014)، الفقرة 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1243" w14:textId="6B47BAC0" w:rsidR="00EF4771" w:rsidRPr="00EF4771" w:rsidRDefault="00EF4771" w:rsidP="00EF477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93D15">
      <w:t>CCPR/C/136/D/3153/2018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5E40" w14:textId="209B5045" w:rsidR="00EF4771" w:rsidRPr="00EF4771" w:rsidRDefault="00EF4771" w:rsidP="00EF477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93D15">
      <w:t>CCPR/C/136/D/3153/2018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C327B5"/>
    <w:multiLevelType w:val="hybridMultilevel"/>
    <w:tmpl w:val="22903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930046350">
    <w:abstractNumId w:val="16"/>
  </w:num>
  <w:num w:numId="2" w16cid:durableId="1211916522">
    <w:abstractNumId w:val="13"/>
  </w:num>
  <w:num w:numId="3" w16cid:durableId="1414013240">
    <w:abstractNumId w:val="2"/>
  </w:num>
  <w:num w:numId="4" w16cid:durableId="936445781">
    <w:abstractNumId w:val="12"/>
  </w:num>
  <w:num w:numId="5" w16cid:durableId="614797781">
    <w:abstractNumId w:val="8"/>
  </w:num>
  <w:num w:numId="6" w16cid:durableId="1258445076">
    <w:abstractNumId w:val="5"/>
  </w:num>
  <w:num w:numId="7" w16cid:durableId="42557173">
    <w:abstractNumId w:val="18"/>
  </w:num>
  <w:num w:numId="8" w16cid:durableId="1951473935">
    <w:abstractNumId w:val="2"/>
  </w:num>
  <w:num w:numId="9" w16cid:durableId="1098060848">
    <w:abstractNumId w:val="12"/>
  </w:num>
  <w:num w:numId="10" w16cid:durableId="1687094979">
    <w:abstractNumId w:val="5"/>
  </w:num>
  <w:num w:numId="11" w16cid:durableId="1712879375">
    <w:abstractNumId w:val="18"/>
  </w:num>
  <w:num w:numId="12" w16cid:durableId="1847206656">
    <w:abstractNumId w:val="2"/>
  </w:num>
  <w:num w:numId="13" w16cid:durableId="806706145">
    <w:abstractNumId w:val="12"/>
  </w:num>
  <w:num w:numId="14" w16cid:durableId="370158400">
    <w:abstractNumId w:val="8"/>
  </w:num>
  <w:num w:numId="15" w16cid:durableId="1319772517">
    <w:abstractNumId w:val="5"/>
  </w:num>
  <w:num w:numId="16" w16cid:durableId="1734238235">
    <w:abstractNumId w:val="18"/>
  </w:num>
  <w:num w:numId="17" w16cid:durableId="1675721038">
    <w:abstractNumId w:val="4"/>
  </w:num>
  <w:num w:numId="18" w16cid:durableId="1512912611">
    <w:abstractNumId w:val="3"/>
  </w:num>
  <w:num w:numId="19" w16cid:durableId="801657860">
    <w:abstractNumId w:val="17"/>
  </w:num>
  <w:num w:numId="20" w16cid:durableId="762385537">
    <w:abstractNumId w:val="14"/>
  </w:num>
  <w:num w:numId="21" w16cid:durableId="396366366">
    <w:abstractNumId w:val="1"/>
  </w:num>
  <w:num w:numId="22" w16cid:durableId="1401051792">
    <w:abstractNumId w:val="15"/>
  </w:num>
  <w:num w:numId="23" w16cid:durableId="1849060804">
    <w:abstractNumId w:val="0"/>
  </w:num>
  <w:num w:numId="24" w16cid:durableId="687484327">
    <w:abstractNumId w:val="9"/>
  </w:num>
  <w:num w:numId="25" w16cid:durableId="73474961">
    <w:abstractNumId w:val="15"/>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12163135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652702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621811248">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16cid:durableId="497112780">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16cid:durableId="852652182">
    <w:abstractNumId w:val="7"/>
  </w:num>
  <w:num w:numId="31" w16cid:durableId="74195214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682821520">
    <w:abstractNumId w:val="6"/>
  </w:num>
  <w:num w:numId="33" w16cid:durableId="942154091">
    <w:abstractNumId w:val="11"/>
    <w:lvlOverride w:ilvl="0">
      <w:lvl w:ilvl="0" w:tplc="0409000F">
        <w:start w:val="1"/>
        <w:numFmt w:val="decimal"/>
        <w:lvlText w:val="%1."/>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8763A"/>
    <w:rsid w:val="000076D5"/>
    <w:rsid w:val="00022A20"/>
    <w:rsid w:val="00043663"/>
    <w:rsid w:val="000437B8"/>
    <w:rsid w:val="000505CF"/>
    <w:rsid w:val="000D701C"/>
    <w:rsid w:val="000E0846"/>
    <w:rsid w:val="000E2A71"/>
    <w:rsid w:val="00140373"/>
    <w:rsid w:val="00145577"/>
    <w:rsid w:val="00160263"/>
    <w:rsid w:val="00181F96"/>
    <w:rsid w:val="001872B1"/>
    <w:rsid w:val="001A1371"/>
    <w:rsid w:val="001A3148"/>
    <w:rsid w:val="001B043F"/>
    <w:rsid w:val="001B346A"/>
    <w:rsid w:val="001E1CAD"/>
    <w:rsid w:val="001E290D"/>
    <w:rsid w:val="002144FA"/>
    <w:rsid w:val="0023469A"/>
    <w:rsid w:val="00243C8A"/>
    <w:rsid w:val="00267A0E"/>
    <w:rsid w:val="002901D9"/>
    <w:rsid w:val="00293EB2"/>
    <w:rsid w:val="002976C2"/>
    <w:rsid w:val="003068BC"/>
    <w:rsid w:val="003260FF"/>
    <w:rsid w:val="00343D95"/>
    <w:rsid w:val="00363A18"/>
    <w:rsid w:val="00374341"/>
    <w:rsid w:val="00391D83"/>
    <w:rsid w:val="003B4237"/>
    <w:rsid w:val="003D1062"/>
    <w:rsid w:val="00402051"/>
    <w:rsid w:val="00420D7B"/>
    <w:rsid w:val="00450B21"/>
    <w:rsid w:val="00453B63"/>
    <w:rsid w:val="00455780"/>
    <w:rsid w:val="0046323F"/>
    <w:rsid w:val="004869A6"/>
    <w:rsid w:val="004B0A1C"/>
    <w:rsid w:val="004B27E0"/>
    <w:rsid w:val="004D298E"/>
    <w:rsid w:val="005044B3"/>
    <w:rsid w:val="00517BC9"/>
    <w:rsid w:val="0053288B"/>
    <w:rsid w:val="0054472E"/>
    <w:rsid w:val="005662A9"/>
    <w:rsid w:val="005827D4"/>
    <w:rsid w:val="0058508B"/>
    <w:rsid w:val="0059622A"/>
    <w:rsid w:val="005A76D5"/>
    <w:rsid w:val="005B51C4"/>
    <w:rsid w:val="005C0061"/>
    <w:rsid w:val="005C5878"/>
    <w:rsid w:val="005C7CEA"/>
    <w:rsid w:val="005D3C0B"/>
    <w:rsid w:val="005D58CF"/>
    <w:rsid w:val="005E5217"/>
    <w:rsid w:val="005F0FA4"/>
    <w:rsid w:val="005F30EE"/>
    <w:rsid w:val="005F5271"/>
    <w:rsid w:val="0060473A"/>
    <w:rsid w:val="00616AD5"/>
    <w:rsid w:val="00617024"/>
    <w:rsid w:val="00621120"/>
    <w:rsid w:val="00652221"/>
    <w:rsid w:val="00656392"/>
    <w:rsid w:val="006645EC"/>
    <w:rsid w:val="0068781D"/>
    <w:rsid w:val="006959B0"/>
    <w:rsid w:val="00695E47"/>
    <w:rsid w:val="006B3E27"/>
    <w:rsid w:val="006B6507"/>
    <w:rsid w:val="006C104C"/>
    <w:rsid w:val="006C632E"/>
    <w:rsid w:val="00717FB3"/>
    <w:rsid w:val="00730446"/>
    <w:rsid w:val="00733704"/>
    <w:rsid w:val="0075243D"/>
    <w:rsid w:val="0078071A"/>
    <w:rsid w:val="00787022"/>
    <w:rsid w:val="00787E1E"/>
    <w:rsid w:val="00852A9A"/>
    <w:rsid w:val="00893D15"/>
    <w:rsid w:val="008A49D2"/>
    <w:rsid w:val="008F49E1"/>
    <w:rsid w:val="0090370F"/>
    <w:rsid w:val="009077C3"/>
    <w:rsid w:val="009105DA"/>
    <w:rsid w:val="00921F5C"/>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97E1F"/>
    <w:rsid w:val="00AB145A"/>
    <w:rsid w:val="00AB512E"/>
    <w:rsid w:val="00AB6758"/>
    <w:rsid w:val="00AB727F"/>
    <w:rsid w:val="00AF758A"/>
    <w:rsid w:val="00B13763"/>
    <w:rsid w:val="00B1662F"/>
    <w:rsid w:val="00B477A4"/>
    <w:rsid w:val="00B54045"/>
    <w:rsid w:val="00B63ADD"/>
    <w:rsid w:val="00BB09A0"/>
    <w:rsid w:val="00C06137"/>
    <w:rsid w:val="00C10779"/>
    <w:rsid w:val="00C175A6"/>
    <w:rsid w:val="00C30D1C"/>
    <w:rsid w:val="00C41DCF"/>
    <w:rsid w:val="00C42AF7"/>
    <w:rsid w:val="00C438D7"/>
    <w:rsid w:val="00C62C20"/>
    <w:rsid w:val="00C81B50"/>
    <w:rsid w:val="00C902EF"/>
    <w:rsid w:val="00CB0011"/>
    <w:rsid w:val="00CB6622"/>
    <w:rsid w:val="00CD1801"/>
    <w:rsid w:val="00CF56F9"/>
    <w:rsid w:val="00CF65C6"/>
    <w:rsid w:val="00CF6E2B"/>
    <w:rsid w:val="00D00A89"/>
    <w:rsid w:val="00D10EF1"/>
    <w:rsid w:val="00D159EF"/>
    <w:rsid w:val="00D42810"/>
    <w:rsid w:val="00D60DD5"/>
    <w:rsid w:val="00D914A7"/>
    <w:rsid w:val="00DC4D4B"/>
    <w:rsid w:val="00DD13C3"/>
    <w:rsid w:val="00DD596E"/>
    <w:rsid w:val="00DD621E"/>
    <w:rsid w:val="00DE50B1"/>
    <w:rsid w:val="00DE5F30"/>
    <w:rsid w:val="00DF0138"/>
    <w:rsid w:val="00DF0575"/>
    <w:rsid w:val="00E2228E"/>
    <w:rsid w:val="00E44870"/>
    <w:rsid w:val="00E623D5"/>
    <w:rsid w:val="00E70E04"/>
    <w:rsid w:val="00E77E6C"/>
    <w:rsid w:val="00E83ED5"/>
    <w:rsid w:val="00EA5F1C"/>
    <w:rsid w:val="00EB1D60"/>
    <w:rsid w:val="00EC05A7"/>
    <w:rsid w:val="00EC4B6B"/>
    <w:rsid w:val="00EC68A5"/>
    <w:rsid w:val="00ED5F28"/>
    <w:rsid w:val="00ED7442"/>
    <w:rsid w:val="00EF1EE5"/>
    <w:rsid w:val="00EF4771"/>
    <w:rsid w:val="00EF5C43"/>
    <w:rsid w:val="00F10DAB"/>
    <w:rsid w:val="00F46D42"/>
    <w:rsid w:val="00F763B4"/>
    <w:rsid w:val="00F8763A"/>
    <w:rsid w:val="00F900C3"/>
    <w:rsid w:val="00FC6EDD"/>
    <w:rsid w:val="00FD3408"/>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3C1F6"/>
  <w15:docId w15:val="{49C44A75-162B-4F13-AEEE-96F32DE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iPriority w:val="9"/>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42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4237"/>
    <w:pPr>
      <w:keepNext/>
      <w:keepLines/>
      <w:spacing w:before="200"/>
      <w:outlineLvl w:val="4"/>
    </w:pPr>
    <w:rPr>
      <w:color w:val="243F60"/>
    </w:rPr>
  </w:style>
  <w:style w:type="paragraph" w:styleId="Heading6">
    <w:name w:val="heading 6"/>
    <w:basedOn w:val="Normal"/>
    <w:next w:val="Normal"/>
    <w:link w:val="Heading6Char"/>
    <w:uiPriority w:val="9"/>
    <w:unhideWhenUsed/>
    <w:rsid w:val="003B42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42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42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3B42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styleId="FootnoteText">
    <w:name w:val="footnote text"/>
    <w:aliases w:val="5_G"/>
    <w:basedOn w:val="Normal"/>
    <w:link w:val="FootnoteTextChar"/>
    <w:unhideWhenUsed/>
    <w:rsid w:val="00C06137"/>
    <w:pPr>
      <w:spacing w:line="240" w:lineRule="auto"/>
    </w:pPr>
    <w:rPr>
      <w:rFonts w:eastAsiaTheme="minorEastAsia" w:hAnsiTheme="minorHAnsi" w:cs="Traditional Arabic" w:hint="cs"/>
      <w:szCs w:val="30"/>
      <w:lang w:eastAsia="zh-CN"/>
    </w:rPr>
  </w:style>
  <w:style w:type="character" w:customStyle="1" w:styleId="FootnoteTextChar">
    <w:name w:val="Footnote Text Char"/>
    <w:aliases w:val="5_G Char"/>
    <w:basedOn w:val="DefaultParagraphFont"/>
    <w:link w:val="FootnoteText"/>
    <w:rsid w:val="00C06137"/>
    <w:rPr>
      <w:rFonts w:ascii="Times New Roman" w:eastAsiaTheme="minorEastAsia" w:hAnsiTheme="minorHAnsi" w:cs="Traditional Arabic"/>
      <w:szCs w:val="30"/>
      <w:lang w:eastAsia="zh-CN"/>
    </w:rPr>
  </w:style>
  <w:style w:type="character" w:styleId="FootnoteReference">
    <w:name w:val="footnote reference"/>
    <w:aliases w:val="4_GA,4_G,ftref,footnote ref,16 Point,Superscript 6 Point,Fußnotenzeichen DISS,fr,BVI fnr,(NECG) Footnote Reference,Char Char Char Char Car Char,ب,Footnotes refss,Footnote Ref,Car Car Char Car Char Car Car Char Car Char Char"/>
    <w:basedOn w:val="DefaultParagraphFont"/>
    <w:link w:val="CharChar1CharCharCharChar1CharCharCharCharCharCharCharCharCharCharCharCharCharCharCharChar"/>
    <w:qFormat/>
    <w:rsid w:val="00C06137"/>
    <w:rPr>
      <w:rFonts w:ascii="Times New Roman" w:hAnsi="Times New Roman" w:cs="Traditional Arabic"/>
      <w:b/>
      <w:sz w:val="18"/>
      <w:szCs w:val="28"/>
      <w:vertAlign w:val="superscript"/>
    </w:rPr>
  </w:style>
  <w:style w:type="character" w:styleId="BookTitle">
    <w:name w:val="Book Title"/>
    <w:basedOn w:val="DefaultParagraphFont"/>
    <w:uiPriority w:val="33"/>
    <w:rsid w:val="00C06137"/>
    <w:rPr>
      <w:b/>
      <w:bCs/>
      <w:smallCaps/>
      <w:spacing w:val="5"/>
    </w:rPr>
  </w:style>
  <w:style w:type="character" w:styleId="SubtleEmphasis">
    <w:name w:val="Subtle Emphasis"/>
    <w:basedOn w:val="DefaultParagraphFont"/>
    <w:uiPriority w:val="19"/>
    <w:rsid w:val="00C06137"/>
    <w:rPr>
      <w:i/>
      <w:iCs/>
      <w:color w:val="808080" w:themeColor="text1" w:themeTint="7F"/>
    </w:rPr>
  </w:style>
  <w:style w:type="table" w:styleId="ColorfulGrid-Accent6">
    <w:name w:val="Colorful Grid Accent 6"/>
    <w:basedOn w:val="TableNormal"/>
    <w:uiPriority w:val="73"/>
    <w:rsid w:val="00C06137"/>
    <w:rPr>
      <w:rFonts w:asciiTheme="minorHAnsi" w:eastAsiaTheme="minorEastAsia" w:hAnsiTheme="minorHAnsi" w:cstheme="minorBidi"/>
      <w:color w:val="000000" w:themeColor="text1"/>
      <w:sz w:val="22"/>
      <w:szCs w:val="22"/>
      <w:lang w:eastAsia="zh-CN"/>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C06137"/>
    <w:rPr>
      <w:i/>
      <w:iCs/>
    </w:rPr>
  </w:style>
  <w:style w:type="character" w:styleId="IntenseEmphasis">
    <w:name w:val="Intense Emphasis"/>
    <w:basedOn w:val="DefaultParagraphFont"/>
    <w:uiPriority w:val="21"/>
    <w:rsid w:val="00C06137"/>
    <w:rPr>
      <w:b/>
      <w:bCs/>
      <w:i/>
      <w:iCs/>
      <w:color w:val="4F81BD" w:themeColor="accent1"/>
    </w:rPr>
  </w:style>
  <w:style w:type="paragraph" w:styleId="Quote">
    <w:name w:val="Quote"/>
    <w:basedOn w:val="Normal"/>
    <w:next w:val="Normal"/>
    <w:link w:val="QuoteChar"/>
    <w:uiPriority w:val="29"/>
    <w:rsid w:val="00C06137"/>
    <w:rPr>
      <w:rFonts w:eastAsiaTheme="minorEastAsia" w:hAnsiTheme="minorHAnsi" w:cs="Traditional Arabic" w:hint="cs"/>
      <w:i/>
      <w:iCs/>
      <w:color w:val="000000" w:themeColor="text1"/>
      <w:szCs w:val="30"/>
      <w:lang w:eastAsia="zh-CN"/>
    </w:rPr>
  </w:style>
  <w:style w:type="character" w:customStyle="1" w:styleId="QuoteChar">
    <w:name w:val="Quote Char"/>
    <w:basedOn w:val="DefaultParagraphFont"/>
    <w:link w:val="Quote"/>
    <w:uiPriority w:val="29"/>
    <w:rsid w:val="00C06137"/>
    <w:rPr>
      <w:rFonts w:ascii="Times New Roman" w:eastAsiaTheme="minorEastAsia" w:hAnsiTheme="minorHAnsi" w:cs="Traditional Arabic"/>
      <w:i/>
      <w:iCs/>
      <w:color w:val="000000" w:themeColor="text1"/>
      <w:szCs w:val="30"/>
      <w:lang w:eastAsia="zh-CN"/>
    </w:rPr>
  </w:style>
  <w:style w:type="paragraph" w:styleId="IntenseQuote">
    <w:name w:val="Intense Quote"/>
    <w:basedOn w:val="Normal"/>
    <w:next w:val="Normal"/>
    <w:link w:val="IntenseQuoteChar"/>
    <w:uiPriority w:val="30"/>
    <w:rsid w:val="00C06137"/>
    <w:pPr>
      <w:pBdr>
        <w:bottom w:val="single" w:sz="4" w:space="4" w:color="4F81BD" w:themeColor="accent1"/>
      </w:pBdr>
      <w:spacing w:before="200" w:after="280"/>
      <w:ind w:left="936" w:right="936"/>
    </w:pPr>
    <w:rPr>
      <w:rFonts w:eastAsiaTheme="minorEastAsia" w:hAnsiTheme="minorHAnsi" w:cs="Traditional Arabic" w:hint="cs"/>
      <w:b/>
      <w:bCs/>
      <w:i/>
      <w:iCs/>
      <w:color w:val="4F81BD" w:themeColor="accent1"/>
      <w:szCs w:val="30"/>
      <w:lang w:eastAsia="zh-CN"/>
    </w:rPr>
  </w:style>
  <w:style w:type="character" w:customStyle="1" w:styleId="IntenseQuoteChar">
    <w:name w:val="Intense Quote Char"/>
    <w:basedOn w:val="DefaultParagraphFont"/>
    <w:link w:val="IntenseQuote"/>
    <w:uiPriority w:val="30"/>
    <w:rsid w:val="00C06137"/>
    <w:rPr>
      <w:rFonts w:ascii="Times New Roman" w:eastAsiaTheme="minorEastAsia" w:hAnsiTheme="minorHAnsi" w:cs="Traditional Arabic"/>
      <w:b/>
      <w:bCs/>
      <w:i/>
      <w:iCs/>
      <w:color w:val="4F81BD" w:themeColor="accent1"/>
      <w:szCs w:val="30"/>
      <w:lang w:eastAsia="zh-CN"/>
    </w:rPr>
  </w:style>
  <w:style w:type="character" w:styleId="SubtleReference">
    <w:name w:val="Subtle Reference"/>
    <w:basedOn w:val="DefaultParagraphFont"/>
    <w:uiPriority w:val="31"/>
    <w:rsid w:val="00C06137"/>
    <w:rPr>
      <w:smallCaps/>
      <w:color w:val="C0504D" w:themeColor="accent2"/>
      <w:u w:val="single"/>
    </w:rPr>
  </w:style>
  <w:style w:type="character" w:styleId="IntenseReference">
    <w:name w:val="Intense Reference"/>
    <w:basedOn w:val="DefaultParagraphFont"/>
    <w:uiPriority w:val="32"/>
    <w:rsid w:val="00C06137"/>
    <w:rPr>
      <w:b/>
      <w:bCs/>
      <w:smallCaps/>
      <w:color w:val="C0504D" w:themeColor="accent2"/>
      <w:spacing w:val="5"/>
      <w:u w:val="single"/>
    </w:rPr>
  </w:style>
  <w:style w:type="paragraph" w:styleId="ListParagraph">
    <w:name w:val="List Paragraph"/>
    <w:basedOn w:val="Normal"/>
    <w:uiPriority w:val="34"/>
    <w:rsid w:val="00C06137"/>
    <w:pPr>
      <w:ind w:left="720"/>
      <w:contextualSpacing/>
    </w:pPr>
    <w:rPr>
      <w:rFonts w:eastAsiaTheme="minorEastAsia" w:hAnsiTheme="minorHAnsi" w:hint="cs"/>
      <w:szCs w:val="30"/>
      <w:lang w:eastAsia="zh-CN"/>
    </w:rPr>
  </w:style>
  <w:style w:type="table" w:styleId="MediumShading1-Accent4">
    <w:name w:val="Medium Shading 1 Accent 4"/>
    <w:basedOn w:val="TableNormal"/>
    <w:uiPriority w:val="63"/>
    <w:rsid w:val="00C06137"/>
    <w:rPr>
      <w:rFonts w:asciiTheme="minorHAnsi" w:eastAsiaTheme="minorEastAsia" w:hAnsiTheme="minorHAnsi" w:cstheme="minorBidi"/>
      <w:sz w:val="22"/>
      <w:szCs w:val="22"/>
      <w:lang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C06137"/>
    <w:rPr>
      <w:vertAlign w:val="superscript"/>
    </w:rPr>
  </w:style>
  <w:style w:type="paragraph" w:customStyle="1" w:styleId="HChG">
    <w:name w:val="_ H _Ch_G"/>
    <w:basedOn w:val="Normal"/>
    <w:next w:val="Normal"/>
    <w:rsid w:val="00C06137"/>
    <w:pPr>
      <w:keepNext/>
      <w:keepLines/>
      <w:tabs>
        <w:tab w:val="right" w:pos="851"/>
      </w:tabs>
      <w:suppressAutoHyphens/>
      <w:bidi w:val="0"/>
      <w:spacing w:before="360" w:after="240" w:line="300" w:lineRule="exact"/>
      <w:ind w:left="1134" w:right="1134" w:hanging="1134"/>
      <w:jc w:val="left"/>
      <w:outlineLvl w:val="1"/>
    </w:pPr>
    <w:rPr>
      <w:rFonts w:eastAsiaTheme="minorEastAsia" w:hAnsiTheme="minorHAnsi" w:hint="cs"/>
      <w:b/>
      <w:sz w:val="28"/>
      <w:szCs w:val="30"/>
      <w:lang w:eastAsia="zh-CN"/>
    </w:rPr>
  </w:style>
  <w:style w:type="paragraph" w:customStyle="1" w:styleId="SingleTxtG">
    <w:name w:val="_ Single Txt_G"/>
    <w:basedOn w:val="Normal"/>
    <w:link w:val="SingleTxtGChar"/>
    <w:rsid w:val="00C06137"/>
    <w:pPr>
      <w:tabs>
        <w:tab w:val="left" w:pos="1701"/>
        <w:tab w:val="left" w:pos="2268"/>
      </w:tabs>
      <w:suppressAutoHyphens/>
      <w:bidi w:val="0"/>
      <w:spacing w:after="120"/>
      <w:ind w:left="1134" w:right="1134"/>
      <w:jc w:val="both"/>
    </w:pPr>
    <w:rPr>
      <w:rFonts w:eastAsiaTheme="minorEastAsia" w:hAnsiTheme="minorHAnsi"/>
      <w:szCs w:val="30"/>
      <w:lang w:eastAsia="zh-CN"/>
    </w:rPr>
  </w:style>
  <w:style w:type="character" w:customStyle="1" w:styleId="SingleTxtGChar">
    <w:name w:val="_ Single Txt_G Char"/>
    <w:link w:val="SingleTxtG"/>
    <w:locked/>
    <w:rsid w:val="00C06137"/>
    <w:rPr>
      <w:rFonts w:ascii="Times New Roman" w:eastAsiaTheme="minorEastAsia" w:hAnsiTheme="minorHAnsi" w:cs="Simplified Arabic"/>
      <w:szCs w:val="30"/>
      <w:lang w:eastAsia="zh-CN"/>
    </w:rPr>
  </w:style>
  <w:style w:type="paragraph" w:customStyle="1" w:styleId="H4G">
    <w:name w:val="_ H_4_G"/>
    <w:basedOn w:val="Normal"/>
    <w:next w:val="Normal"/>
    <w:rsid w:val="00C06137"/>
    <w:pPr>
      <w:keepNext/>
      <w:keepLines/>
      <w:tabs>
        <w:tab w:val="right" w:pos="851"/>
      </w:tabs>
      <w:suppressAutoHyphens/>
      <w:bidi w:val="0"/>
      <w:spacing w:before="240" w:after="120" w:line="240" w:lineRule="exact"/>
      <w:ind w:left="1134" w:right="1134" w:hanging="1134"/>
      <w:jc w:val="left"/>
      <w:outlineLvl w:val="4"/>
    </w:pPr>
    <w:rPr>
      <w:rFonts w:eastAsiaTheme="minorEastAsia" w:hAnsiTheme="minorHAnsi" w:hint="cs"/>
      <w:i/>
      <w:szCs w:val="30"/>
      <w:lang w:eastAsia="zh-CN"/>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C06137"/>
    <w:pPr>
      <w:bidi w:val="0"/>
      <w:spacing w:after="160" w:line="240" w:lineRule="exact"/>
      <w:jc w:val="left"/>
    </w:pPr>
    <w:rPr>
      <w:rFonts w:eastAsia="Times New Roman" w:cs="Traditional Arabic"/>
      <w:b/>
      <w:sz w:val="18"/>
      <w:szCs w:val="28"/>
      <w:vertAlign w:val="superscript"/>
      <w:lang w:eastAsia="zh-TW"/>
    </w:rPr>
  </w:style>
  <w:style w:type="character" w:styleId="UnresolvedMention">
    <w:name w:val="Unresolved Mention"/>
    <w:basedOn w:val="DefaultParagraphFont"/>
    <w:uiPriority w:val="99"/>
    <w:semiHidden/>
    <w:unhideWhenUsed/>
    <w:rsid w:val="005A76D5"/>
    <w:rPr>
      <w:color w:val="605E5C"/>
      <w:shd w:val="clear" w:color="auto" w:fill="E1DFDD"/>
    </w:rPr>
  </w:style>
  <w:style w:type="character" w:styleId="FollowedHyperlink">
    <w:name w:val="FollowedHyperlink"/>
    <w:basedOn w:val="DefaultParagraphFont"/>
    <w:uiPriority w:val="99"/>
    <w:semiHidden/>
    <w:unhideWhenUsed/>
    <w:rsid w:val="00EA5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112/D/2131/2012" TargetMode="External"/><Relationship Id="rId3" Type="http://schemas.openxmlformats.org/officeDocument/2006/relationships/hyperlink" Target="http://undocs.org/en/CCPR/C/AZE/CO/4" TargetMode="External"/><Relationship Id="rId7" Type="http://schemas.openxmlformats.org/officeDocument/2006/relationships/hyperlink" Target="https://undocs.org/ar/CCPR/C/129/D/2928/2017" TargetMode="External"/><Relationship Id="rId2" Type="http://schemas.openxmlformats.org/officeDocument/2006/relationships/hyperlink" Target="http://undocs.org/ar/CCPR/C/AZE/CO/4" TargetMode="External"/><Relationship Id="rId1" Type="http://schemas.openxmlformats.org/officeDocument/2006/relationships/hyperlink" Target="https://undocs.org/ar/CCPR/C/84/D/1207/2003" TargetMode="External"/><Relationship Id="rId6" Type="http://schemas.openxmlformats.org/officeDocument/2006/relationships/hyperlink" Target="https://undocs.org/ar/CCPR/C/125/D/2312/2013" TargetMode="External"/><Relationship Id="rId5" Type="http://schemas.openxmlformats.org/officeDocument/2006/relationships/hyperlink" Target="https://undocs.org/ar/CCPR/C/127/D/2656/2015" TargetMode="External"/><Relationship Id="rId10" Type="http://schemas.openxmlformats.org/officeDocument/2006/relationships/hyperlink" Target="https://undocs.org/ar/CCPR/C/122/D/2577/2015" TargetMode="External"/><Relationship Id="rId4" Type="http://schemas.openxmlformats.org/officeDocument/2006/relationships/hyperlink" Target="https://undocs.org/ar/CCPR/C/92/D/1515/2006" TargetMode="External"/><Relationship Id="rId9" Type="http://schemas.openxmlformats.org/officeDocument/2006/relationships/hyperlink" Target="https://undocs.org/ar/CCPR/C/133/D/3258/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8034</Words>
  <Characters>39370</Characters>
  <Application>Microsoft Office Word</Application>
  <DocSecurity>0</DocSecurity>
  <Lines>578</Lines>
  <Paragraphs>124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CCPR/C/136/D/3153/2018</vt:lpstr>
      <vt:lpstr>    آراء اعتمدتها اللجنة بموجب المادة 5(4) من البروتوكول الاختياري، بشأن البلاغ رق</vt:lpstr>
    </vt:vector>
  </TitlesOfParts>
  <Company>DCM</Company>
  <LinksUpToDate>false</LinksUpToDate>
  <CharactersWithSpaces>47280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CCPR/C/136/D/3153/2018</dc:title>
  <dc:subject>GE.2227537(A)</dc:subject>
  <dc:creator>Muntaha BUHNAM - Naima ABDELLAOUI</dc:creator>
  <cp:keywords>GE.2260539(A)</cp:keywords>
  <dc:description/>
  <cp:lastModifiedBy>Ibrahim Balan</cp:lastModifiedBy>
  <cp:revision>3</cp:revision>
  <cp:lastPrinted>2023-03-29T12:09:00Z</cp:lastPrinted>
  <dcterms:created xsi:type="dcterms:W3CDTF">2023-03-29T12:09:00Z</dcterms:created>
  <dcterms:modified xsi:type="dcterms:W3CDTF">2023-03-29T12:09:00Z</dcterms:modified>
  <cp:category>Finale</cp:category>
</cp:coreProperties>
</file>