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CE4C4C4" w14:textId="77777777" w:rsidTr="002B7BC7">
        <w:trPr>
          <w:trHeight w:hRule="exact" w:val="851"/>
        </w:trPr>
        <w:tc>
          <w:tcPr>
            <w:tcW w:w="1276" w:type="dxa"/>
            <w:tcBorders>
              <w:bottom w:val="single" w:sz="4" w:space="0" w:color="auto"/>
            </w:tcBorders>
          </w:tcPr>
          <w:p w14:paraId="21C963AB" w14:textId="77777777" w:rsidR="006F71EA" w:rsidRPr="00DB58B5" w:rsidRDefault="006F71EA" w:rsidP="00246C3A"/>
        </w:tc>
        <w:tc>
          <w:tcPr>
            <w:tcW w:w="2268" w:type="dxa"/>
            <w:tcBorders>
              <w:bottom w:val="single" w:sz="4" w:space="0" w:color="auto"/>
            </w:tcBorders>
            <w:vAlign w:val="bottom"/>
          </w:tcPr>
          <w:p w14:paraId="46016AF7"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716963" w14:textId="2EFB9922" w:rsidR="006F71EA" w:rsidRPr="00DB58B5" w:rsidRDefault="00246C3A" w:rsidP="00246C3A">
            <w:pPr>
              <w:jc w:val="right"/>
            </w:pPr>
            <w:r w:rsidRPr="00246C3A">
              <w:rPr>
                <w:sz w:val="40"/>
              </w:rPr>
              <w:t>CCPR</w:t>
            </w:r>
            <w:r>
              <w:t>/C/133/D/3004/2017</w:t>
            </w:r>
          </w:p>
        </w:tc>
      </w:tr>
      <w:tr w:rsidR="006F71EA" w:rsidRPr="00DB58B5" w14:paraId="6F13C3DB" w14:textId="77777777" w:rsidTr="002B7BC7">
        <w:trPr>
          <w:trHeight w:hRule="exact" w:val="2835"/>
        </w:trPr>
        <w:tc>
          <w:tcPr>
            <w:tcW w:w="1276" w:type="dxa"/>
            <w:tcBorders>
              <w:top w:val="single" w:sz="4" w:space="0" w:color="auto"/>
              <w:bottom w:val="single" w:sz="12" w:space="0" w:color="auto"/>
            </w:tcBorders>
          </w:tcPr>
          <w:p w14:paraId="6F5D902E" w14:textId="77777777" w:rsidR="006F71EA" w:rsidRPr="00DB58B5" w:rsidRDefault="006F71EA" w:rsidP="002B7BC7">
            <w:pPr>
              <w:spacing w:before="120"/>
              <w:jc w:val="center"/>
            </w:pPr>
            <w:r>
              <w:rPr>
                <w:noProof/>
                <w:lang w:eastAsia="fr-CH"/>
              </w:rPr>
              <w:drawing>
                <wp:inline distT="0" distB="0" distL="0" distR="0" wp14:anchorId="66398E12" wp14:editId="490C3F4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713403"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2B71073" w14:textId="77777777" w:rsidR="006F71EA" w:rsidRDefault="00246C3A" w:rsidP="002B7BC7">
            <w:pPr>
              <w:spacing w:before="240"/>
            </w:pPr>
            <w:proofErr w:type="spellStart"/>
            <w:r>
              <w:t>Distr</w:t>
            </w:r>
            <w:proofErr w:type="spellEnd"/>
            <w:r>
              <w:t>. générale</w:t>
            </w:r>
          </w:p>
          <w:p w14:paraId="00EDC87E" w14:textId="77777777" w:rsidR="00246C3A" w:rsidRDefault="00246C3A" w:rsidP="00246C3A">
            <w:pPr>
              <w:spacing w:line="240" w:lineRule="exact"/>
            </w:pPr>
            <w:r>
              <w:t>7 février 2022</w:t>
            </w:r>
          </w:p>
          <w:p w14:paraId="052EFA13" w14:textId="77777777" w:rsidR="00246C3A" w:rsidRDefault="00246C3A" w:rsidP="00246C3A">
            <w:pPr>
              <w:spacing w:line="240" w:lineRule="exact"/>
            </w:pPr>
            <w:r>
              <w:t>Français</w:t>
            </w:r>
          </w:p>
          <w:p w14:paraId="58E5484E" w14:textId="057EDB18" w:rsidR="00246C3A" w:rsidRPr="00DB58B5" w:rsidRDefault="00246C3A" w:rsidP="00246C3A">
            <w:pPr>
              <w:spacing w:line="240" w:lineRule="exact"/>
            </w:pPr>
            <w:r>
              <w:t>Original : anglais</w:t>
            </w:r>
          </w:p>
        </w:tc>
      </w:tr>
    </w:tbl>
    <w:p w14:paraId="644D9B7F" w14:textId="71674083" w:rsidR="006F71EA" w:rsidRDefault="006F71EA" w:rsidP="006F71EA">
      <w:pPr>
        <w:spacing w:before="120"/>
        <w:rPr>
          <w:b/>
          <w:sz w:val="24"/>
          <w:szCs w:val="24"/>
        </w:rPr>
      </w:pPr>
      <w:r w:rsidRPr="00DF3BF1">
        <w:rPr>
          <w:b/>
          <w:sz w:val="24"/>
          <w:szCs w:val="24"/>
        </w:rPr>
        <w:t>Comité des droits de l</w:t>
      </w:r>
      <w:r w:rsidR="00246C3A">
        <w:rPr>
          <w:b/>
          <w:sz w:val="24"/>
          <w:szCs w:val="24"/>
        </w:rPr>
        <w:t>’</w:t>
      </w:r>
      <w:r w:rsidRPr="00DF3BF1">
        <w:rPr>
          <w:b/>
          <w:sz w:val="24"/>
          <w:szCs w:val="24"/>
        </w:rPr>
        <w:t>homme</w:t>
      </w:r>
    </w:p>
    <w:p w14:paraId="1CB4AF97" w14:textId="54989B6B" w:rsidR="00E85C42" w:rsidRDefault="00246C3A" w:rsidP="00246C3A">
      <w:pPr>
        <w:pStyle w:val="HChG"/>
        <w:rPr>
          <w:b w:val="0"/>
          <w:sz w:val="20"/>
        </w:rPr>
      </w:pPr>
      <w:r w:rsidRPr="00FA7AFB">
        <w:tab/>
      </w:r>
      <w:r w:rsidRPr="00FA7AFB">
        <w:tab/>
      </w:r>
      <w:r>
        <w:t>Décision adoptée par le Comité en vertu du Protocole facultatif, concernant la c</w:t>
      </w:r>
      <w:r w:rsidRPr="00FA7AFB">
        <w:t xml:space="preserve">ommunication </w:t>
      </w:r>
      <w:r w:rsidRPr="002D76F4">
        <w:rPr>
          <w:rFonts w:eastAsia="MS Mincho"/>
          <w:szCs w:val="22"/>
        </w:rPr>
        <w:t>n</w:t>
      </w:r>
      <w:r w:rsidRPr="002D76F4">
        <w:rPr>
          <w:rFonts w:eastAsia="MS Mincho"/>
          <w:szCs w:val="22"/>
          <w:vertAlign w:val="superscript"/>
        </w:rPr>
        <w:t>o</w:t>
      </w:r>
      <w:r>
        <w:t> </w:t>
      </w:r>
      <w:r w:rsidRPr="00FA7AFB">
        <w:t>3004/2017</w:t>
      </w:r>
      <w:r w:rsidRPr="00246C3A">
        <w:rPr>
          <w:rStyle w:val="Appelnotedebasdep"/>
          <w:b w:val="0"/>
          <w:sz w:val="20"/>
          <w:vertAlign w:val="baseline"/>
        </w:rPr>
        <w:footnoteReference w:customMarkFollows="1" w:id="2"/>
        <w:t>*</w:t>
      </w:r>
      <w:r w:rsidRPr="00246C3A">
        <w:rPr>
          <w:b w:val="0"/>
          <w:bCs/>
          <w:position w:val="6"/>
          <w:sz w:val="20"/>
        </w:rPr>
        <w:t>,</w:t>
      </w:r>
      <w:r w:rsidRPr="00D37964">
        <w:rPr>
          <w:b w:val="0"/>
          <w:bCs/>
          <w:sz w:val="20"/>
        </w:rPr>
        <w:t xml:space="preserve"> </w:t>
      </w:r>
      <w:r w:rsidRPr="00246C3A">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246C3A" w:rsidRPr="00BB4A51" w14:paraId="00E8CD53" w14:textId="77777777" w:rsidTr="006422B6">
        <w:tc>
          <w:tcPr>
            <w:tcW w:w="2552" w:type="dxa"/>
          </w:tcPr>
          <w:p w14:paraId="2D00C17C" w14:textId="77777777" w:rsidR="00246C3A" w:rsidRPr="00BB4A51" w:rsidRDefault="00246C3A" w:rsidP="006422B6">
            <w:pPr>
              <w:pStyle w:val="SingleTxtG"/>
              <w:ind w:left="0" w:right="0"/>
              <w:jc w:val="left"/>
              <w:rPr>
                <w:i/>
              </w:rPr>
            </w:pPr>
            <w:r w:rsidRPr="00BB4A51">
              <w:rPr>
                <w:i/>
              </w:rPr>
              <w:t>Communication présentée par</w:t>
            </w:r>
            <w:r w:rsidRPr="00BB4A51">
              <w:t> :</w:t>
            </w:r>
          </w:p>
        </w:tc>
        <w:tc>
          <w:tcPr>
            <w:tcW w:w="4253" w:type="dxa"/>
          </w:tcPr>
          <w:p w14:paraId="110B7DE1" w14:textId="77777777" w:rsidR="00246C3A" w:rsidRPr="00BB4A51" w:rsidRDefault="00246C3A" w:rsidP="006422B6">
            <w:pPr>
              <w:pStyle w:val="SingleTxtG"/>
              <w:ind w:left="0" w:right="0"/>
              <w:jc w:val="left"/>
            </w:pPr>
            <w:r w:rsidRPr="00BB4A51">
              <w:rPr>
                <w:lang w:val="fr-FR"/>
              </w:rPr>
              <w:t>H</w:t>
            </w:r>
            <w:r>
              <w:rPr>
                <w:lang w:val="fr-FR"/>
              </w:rPr>
              <w:t>.</w:t>
            </w:r>
            <w:r w:rsidRPr="00BB4A51">
              <w:rPr>
                <w:lang w:val="fr-FR"/>
              </w:rPr>
              <w:t xml:space="preserve"> J</w:t>
            </w:r>
            <w:r>
              <w:rPr>
                <w:lang w:val="fr-FR"/>
              </w:rPr>
              <w:t>.</w:t>
            </w:r>
            <w:r w:rsidRPr="00BB4A51">
              <w:rPr>
                <w:lang w:val="fr-FR"/>
              </w:rPr>
              <w:t xml:space="preserve"> T</w:t>
            </w:r>
            <w:r>
              <w:rPr>
                <w:lang w:val="fr-FR"/>
              </w:rPr>
              <w:t>.</w:t>
            </w:r>
            <w:r w:rsidRPr="00BB4A51">
              <w:rPr>
                <w:lang w:val="fr-FR"/>
              </w:rPr>
              <w:t xml:space="preserve"> (représenté par Willem Hendrik </w:t>
            </w:r>
            <w:proofErr w:type="spellStart"/>
            <w:r w:rsidRPr="00BB4A51">
              <w:rPr>
                <w:lang w:val="fr-FR"/>
              </w:rPr>
              <w:t>Jebbink</w:t>
            </w:r>
            <w:proofErr w:type="spellEnd"/>
            <w:r w:rsidRPr="00BB4A51">
              <w:rPr>
                <w:lang w:val="fr-FR"/>
              </w:rPr>
              <w:t>)</w:t>
            </w:r>
          </w:p>
        </w:tc>
      </w:tr>
      <w:tr w:rsidR="00246C3A" w:rsidRPr="00BB4A51" w14:paraId="0E6C91A3" w14:textId="77777777" w:rsidTr="006422B6">
        <w:tc>
          <w:tcPr>
            <w:tcW w:w="2552" w:type="dxa"/>
          </w:tcPr>
          <w:p w14:paraId="7E199F8C" w14:textId="77777777" w:rsidR="00246C3A" w:rsidRPr="00BB4A51" w:rsidRDefault="00246C3A" w:rsidP="006422B6">
            <w:pPr>
              <w:pStyle w:val="SingleTxtG"/>
              <w:ind w:left="0" w:right="0"/>
              <w:jc w:val="left"/>
              <w:rPr>
                <w:i/>
              </w:rPr>
            </w:pPr>
            <w:r w:rsidRPr="00BB4A51">
              <w:rPr>
                <w:i/>
                <w:iCs/>
                <w:lang w:val="fr-FR"/>
              </w:rPr>
              <w:t xml:space="preserve">Victime(s) présumée(s) </w:t>
            </w:r>
            <w:r w:rsidRPr="00BB4A51">
              <w:t>:</w:t>
            </w:r>
          </w:p>
        </w:tc>
        <w:tc>
          <w:tcPr>
            <w:tcW w:w="4253" w:type="dxa"/>
          </w:tcPr>
          <w:p w14:paraId="380AB91E" w14:textId="4EF8800D" w:rsidR="00246C3A" w:rsidRPr="00BB4A51" w:rsidRDefault="00246C3A" w:rsidP="006422B6">
            <w:pPr>
              <w:pStyle w:val="SingleTxtG"/>
              <w:ind w:left="0" w:right="0"/>
              <w:jc w:val="left"/>
            </w:pPr>
            <w:r w:rsidRPr="00BB4A51">
              <w:rPr>
                <w:lang w:val="fr-FR"/>
              </w:rPr>
              <w:t>L</w:t>
            </w:r>
            <w:r>
              <w:rPr>
                <w:lang w:val="fr-FR"/>
              </w:rPr>
              <w:t>’</w:t>
            </w:r>
            <w:r w:rsidRPr="00BB4A51">
              <w:rPr>
                <w:lang w:val="fr-FR"/>
              </w:rPr>
              <w:t>auteur</w:t>
            </w:r>
          </w:p>
        </w:tc>
      </w:tr>
      <w:tr w:rsidR="00246C3A" w:rsidRPr="00BB4A51" w14:paraId="474EF2E9" w14:textId="77777777" w:rsidTr="006422B6">
        <w:tc>
          <w:tcPr>
            <w:tcW w:w="2552" w:type="dxa"/>
          </w:tcPr>
          <w:p w14:paraId="761BD69B" w14:textId="77777777" w:rsidR="00246C3A" w:rsidRPr="00BB4A51" w:rsidRDefault="00246C3A" w:rsidP="006422B6">
            <w:pPr>
              <w:pStyle w:val="SingleTxtG"/>
              <w:ind w:left="0" w:right="0"/>
              <w:jc w:val="left"/>
              <w:rPr>
                <w:i/>
              </w:rPr>
            </w:pPr>
            <w:r w:rsidRPr="00BB4A51">
              <w:rPr>
                <w:i/>
              </w:rPr>
              <w:t>État partie</w:t>
            </w:r>
            <w:r w:rsidRPr="00BB4A51">
              <w:t> :</w:t>
            </w:r>
          </w:p>
        </w:tc>
        <w:tc>
          <w:tcPr>
            <w:tcW w:w="4253" w:type="dxa"/>
          </w:tcPr>
          <w:p w14:paraId="2504E196" w14:textId="77777777" w:rsidR="00246C3A" w:rsidRPr="00BB4A51" w:rsidRDefault="00246C3A" w:rsidP="006422B6">
            <w:pPr>
              <w:pStyle w:val="SingleTxtG"/>
              <w:ind w:left="0" w:right="0"/>
              <w:jc w:val="left"/>
            </w:pPr>
            <w:r w:rsidRPr="00BB4A51">
              <w:rPr>
                <w:lang w:val="fr-FR"/>
              </w:rPr>
              <w:t>Pays-Bas</w:t>
            </w:r>
          </w:p>
        </w:tc>
      </w:tr>
      <w:tr w:rsidR="00246C3A" w:rsidRPr="00BB4A51" w14:paraId="0A4AC7F1" w14:textId="77777777" w:rsidTr="006422B6">
        <w:tc>
          <w:tcPr>
            <w:tcW w:w="2552" w:type="dxa"/>
          </w:tcPr>
          <w:p w14:paraId="3AC9B00F" w14:textId="77777777" w:rsidR="00246C3A" w:rsidRPr="00BB4A51" w:rsidRDefault="00246C3A" w:rsidP="006422B6">
            <w:pPr>
              <w:pStyle w:val="SingleTxtG"/>
              <w:ind w:left="0" w:right="0"/>
              <w:jc w:val="left"/>
              <w:rPr>
                <w:i/>
              </w:rPr>
            </w:pPr>
            <w:r w:rsidRPr="00BB4A51">
              <w:rPr>
                <w:i/>
              </w:rPr>
              <w:t>Date de la communication</w:t>
            </w:r>
            <w:r w:rsidRPr="00BB4A51">
              <w:t> :</w:t>
            </w:r>
          </w:p>
        </w:tc>
        <w:tc>
          <w:tcPr>
            <w:tcW w:w="4253" w:type="dxa"/>
          </w:tcPr>
          <w:p w14:paraId="6673FA00" w14:textId="77777777" w:rsidR="00246C3A" w:rsidRPr="00BB4A51" w:rsidRDefault="00246C3A" w:rsidP="006422B6">
            <w:pPr>
              <w:pStyle w:val="SingleTxtG"/>
              <w:ind w:left="0" w:right="0"/>
              <w:jc w:val="left"/>
              <w:rPr>
                <w:lang w:val="fr-FR"/>
              </w:rPr>
            </w:pPr>
            <w:r w:rsidRPr="00BB4A51">
              <w:rPr>
                <w:lang w:val="fr-FR"/>
              </w:rPr>
              <w:t>3 octobre 2016 (date de la lettre initiale)</w:t>
            </w:r>
          </w:p>
        </w:tc>
      </w:tr>
      <w:tr w:rsidR="00246C3A" w:rsidRPr="00BB4A51" w14:paraId="6AE10AD6" w14:textId="77777777" w:rsidTr="006422B6">
        <w:tc>
          <w:tcPr>
            <w:tcW w:w="2552" w:type="dxa"/>
          </w:tcPr>
          <w:p w14:paraId="71E51847" w14:textId="77777777" w:rsidR="00246C3A" w:rsidRPr="00BB4A51" w:rsidRDefault="00246C3A" w:rsidP="006422B6">
            <w:pPr>
              <w:pStyle w:val="SingleTxtG"/>
              <w:ind w:left="0" w:right="0"/>
              <w:jc w:val="left"/>
              <w:rPr>
                <w:i/>
              </w:rPr>
            </w:pPr>
            <w:r w:rsidRPr="00BB4A51">
              <w:rPr>
                <w:i/>
                <w:iCs/>
                <w:lang w:val="fr-FR"/>
              </w:rPr>
              <w:t xml:space="preserve">Références </w:t>
            </w:r>
            <w:r w:rsidRPr="00BB4A51">
              <w:t>:</w:t>
            </w:r>
          </w:p>
        </w:tc>
        <w:tc>
          <w:tcPr>
            <w:tcW w:w="4253" w:type="dxa"/>
          </w:tcPr>
          <w:p w14:paraId="7CE150AD" w14:textId="5F34042A" w:rsidR="00246C3A" w:rsidRPr="00BB4A51" w:rsidRDefault="00246C3A" w:rsidP="006422B6">
            <w:pPr>
              <w:pStyle w:val="SingleTxtG"/>
              <w:ind w:left="0" w:right="0"/>
              <w:jc w:val="left"/>
            </w:pPr>
            <w:r w:rsidRPr="00BB4A51">
              <w:rPr>
                <w:lang w:val="fr-FR"/>
              </w:rPr>
              <w:t>Décision prise en application de l</w:t>
            </w:r>
            <w:r>
              <w:rPr>
                <w:lang w:val="fr-FR"/>
              </w:rPr>
              <w:t>’</w:t>
            </w:r>
            <w:r w:rsidRPr="00BB4A51">
              <w:rPr>
                <w:lang w:val="fr-FR"/>
              </w:rPr>
              <w:t>article 92 du Règlement intérieur du Comité, communiquée à l</w:t>
            </w:r>
            <w:r>
              <w:rPr>
                <w:lang w:val="fr-FR"/>
              </w:rPr>
              <w:t>’</w:t>
            </w:r>
            <w:r w:rsidRPr="00BB4A51">
              <w:rPr>
                <w:lang w:val="fr-FR"/>
              </w:rPr>
              <w:t>État partie le 7 juillet 2017 (non publiée sous forme de document)</w:t>
            </w:r>
          </w:p>
        </w:tc>
      </w:tr>
      <w:tr w:rsidR="00246C3A" w:rsidRPr="00BB4A51" w14:paraId="2D1E43ED" w14:textId="77777777" w:rsidTr="006422B6">
        <w:tc>
          <w:tcPr>
            <w:tcW w:w="2552" w:type="dxa"/>
          </w:tcPr>
          <w:p w14:paraId="566995AC" w14:textId="77777777" w:rsidR="00246C3A" w:rsidRPr="00BB4A51" w:rsidRDefault="00246C3A" w:rsidP="006422B6">
            <w:pPr>
              <w:pStyle w:val="SingleTxtG"/>
              <w:ind w:left="0" w:right="0"/>
              <w:jc w:val="left"/>
              <w:rPr>
                <w:i/>
                <w:iCs/>
                <w:lang w:val="fr-FR"/>
              </w:rPr>
            </w:pPr>
            <w:r w:rsidRPr="00BB4A51">
              <w:rPr>
                <w:i/>
              </w:rPr>
              <w:t>Date de</w:t>
            </w:r>
            <w:r>
              <w:rPr>
                <w:i/>
              </w:rPr>
              <w:t xml:space="preserve"> la décision</w:t>
            </w:r>
            <w:r w:rsidRPr="00BB4A51">
              <w:t> :</w:t>
            </w:r>
          </w:p>
        </w:tc>
        <w:tc>
          <w:tcPr>
            <w:tcW w:w="4253" w:type="dxa"/>
          </w:tcPr>
          <w:p w14:paraId="2B9FD0E9" w14:textId="77777777" w:rsidR="00246C3A" w:rsidRPr="00BB4A51" w:rsidRDefault="00246C3A" w:rsidP="006422B6">
            <w:pPr>
              <w:pStyle w:val="SingleTxtG"/>
              <w:ind w:left="0" w:right="0"/>
              <w:jc w:val="left"/>
              <w:rPr>
                <w:lang w:val="fr-FR"/>
              </w:rPr>
            </w:pPr>
            <w:r>
              <w:rPr>
                <w:lang w:val="fr-FR"/>
              </w:rPr>
              <w:t>5 novembre</w:t>
            </w:r>
            <w:r w:rsidRPr="00BB4A51">
              <w:rPr>
                <w:lang w:val="fr-FR"/>
              </w:rPr>
              <w:t xml:space="preserve"> 2021</w:t>
            </w:r>
          </w:p>
        </w:tc>
      </w:tr>
      <w:tr w:rsidR="00246C3A" w:rsidRPr="00BB4A51" w14:paraId="03188537" w14:textId="77777777" w:rsidTr="006422B6">
        <w:tc>
          <w:tcPr>
            <w:tcW w:w="2552" w:type="dxa"/>
          </w:tcPr>
          <w:p w14:paraId="7D20A74C" w14:textId="77777777" w:rsidR="00246C3A" w:rsidRPr="00BB4A51" w:rsidRDefault="00246C3A" w:rsidP="006422B6">
            <w:pPr>
              <w:pStyle w:val="SingleTxtG"/>
              <w:ind w:left="0" w:right="0"/>
              <w:jc w:val="left"/>
            </w:pPr>
            <w:r w:rsidRPr="00BB4A51">
              <w:rPr>
                <w:i/>
              </w:rPr>
              <w:t>Objet</w:t>
            </w:r>
            <w:r w:rsidRPr="00BB4A51">
              <w:t> :</w:t>
            </w:r>
          </w:p>
        </w:tc>
        <w:tc>
          <w:tcPr>
            <w:tcW w:w="4253" w:type="dxa"/>
            <w:vAlign w:val="bottom"/>
          </w:tcPr>
          <w:p w14:paraId="68BF0465" w14:textId="77777777" w:rsidR="00246C3A" w:rsidRPr="00BB4A51" w:rsidRDefault="00246C3A" w:rsidP="006422B6">
            <w:pPr>
              <w:pStyle w:val="SingleTxtG"/>
              <w:ind w:left="0" w:right="0"/>
              <w:jc w:val="left"/>
            </w:pPr>
            <w:r w:rsidRPr="00BB4A51">
              <w:rPr>
                <w:lang w:val="fr-FR"/>
              </w:rPr>
              <w:t>Droit de former un recours contre une déclaration de culpabilité et une condamnation pénale</w:t>
            </w:r>
          </w:p>
        </w:tc>
      </w:tr>
      <w:tr w:rsidR="00246C3A" w:rsidRPr="00BB4A51" w14:paraId="2BF03D39" w14:textId="77777777" w:rsidTr="006422B6">
        <w:tc>
          <w:tcPr>
            <w:tcW w:w="2552" w:type="dxa"/>
          </w:tcPr>
          <w:p w14:paraId="5EBB3F62" w14:textId="77777777" w:rsidR="00246C3A" w:rsidRPr="00BB4A51" w:rsidRDefault="00246C3A" w:rsidP="006422B6">
            <w:pPr>
              <w:pStyle w:val="SingleTxtG"/>
              <w:ind w:left="0" w:right="0"/>
              <w:jc w:val="left"/>
            </w:pPr>
            <w:r w:rsidRPr="00BB4A51">
              <w:rPr>
                <w:i/>
              </w:rPr>
              <w:t>Question(s) de procédure</w:t>
            </w:r>
            <w:r w:rsidRPr="00BB4A51">
              <w:t> :</w:t>
            </w:r>
          </w:p>
        </w:tc>
        <w:tc>
          <w:tcPr>
            <w:tcW w:w="4253" w:type="dxa"/>
            <w:vAlign w:val="bottom"/>
          </w:tcPr>
          <w:p w14:paraId="507B797B" w14:textId="77777777" w:rsidR="00246C3A" w:rsidRPr="00BB4A51" w:rsidRDefault="00246C3A" w:rsidP="006422B6">
            <w:pPr>
              <w:pStyle w:val="SingleTxtG"/>
              <w:ind w:left="0" w:right="0"/>
              <w:jc w:val="left"/>
            </w:pPr>
            <w:r w:rsidRPr="00BB4A51">
              <w:rPr>
                <w:lang w:val="fr-FR"/>
              </w:rPr>
              <w:t>Recevabilité</w:t>
            </w:r>
            <w:r>
              <w:rPr>
                <w:lang w:val="fr-FR"/>
              </w:rPr>
              <w:t xml:space="preserve"> ; </w:t>
            </w:r>
            <w:r w:rsidRPr="00BB4A51">
              <w:rPr>
                <w:lang w:val="fr-FR"/>
              </w:rPr>
              <w:t>épuisement des recours internes</w:t>
            </w:r>
          </w:p>
        </w:tc>
      </w:tr>
      <w:tr w:rsidR="00246C3A" w:rsidRPr="00BB4A51" w14:paraId="522FDE68" w14:textId="77777777" w:rsidTr="006422B6">
        <w:tc>
          <w:tcPr>
            <w:tcW w:w="2552" w:type="dxa"/>
          </w:tcPr>
          <w:p w14:paraId="3A698FDF" w14:textId="77777777" w:rsidR="00246C3A" w:rsidRPr="00BB4A51" w:rsidRDefault="00246C3A" w:rsidP="006422B6">
            <w:pPr>
              <w:pStyle w:val="SingleTxtG"/>
              <w:ind w:left="0" w:right="0"/>
              <w:jc w:val="left"/>
            </w:pPr>
            <w:r w:rsidRPr="00BB4A51">
              <w:rPr>
                <w:i/>
              </w:rPr>
              <w:t>Question(s) de fond</w:t>
            </w:r>
            <w:r w:rsidRPr="00BB4A51">
              <w:t> :</w:t>
            </w:r>
          </w:p>
        </w:tc>
        <w:tc>
          <w:tcPr>
            <w:tcW w:w="4253" w:type="dxa"/>
            <w:vAlign w:val="bottom"/>
          </w:tcPr>
          <w:p w14:paraId="7EC12185" w14:textId="77777777" w:rsidR="00246C3A" w:rsidRPr="00BB4A51" w:rsidRDefault="00246C3A" w:rsidP="006422B6">
            <w:pPr>
              <w:pStyle w:val="SingleTxtG"/>
              <w:ind w:left="0" w:right="0"/>
              <w:jc w:val="left"/>
            </w:pPr>
            <w:r w:rsidRPr="00BB4A51">
              <w:rPr>
                <w:lang w:val="fr-FR"/>
              </w:rPr>
              <w:t>Recours utile</w:t>
            </w:r>
            <w:r>
              <w:rPr>
                <w:lang w:val="fr-FR"/>
              </w:rPr>
              <w:t> </w:t>
            </w:r>
            <w:r w:rsidRPr="00BB4A51">
              <w:rPr>
                <w:lang w:val="fr-FR"/>
              </w:rPr>
              <w:t>; droit de faire appel</w:t>
            </w:r>
          </w:p>
        </w:tc>
      </w:tr>
      <w:tr w:rsidR="00246C3A" w:rsidRPr="00BB4A51" w14:paraId="7A90E9B6" w14:textId="77777777" w:rsidTr="006422B6">
        <w:tc>
          <w:tcPr>
            <w:tcW w:w="2552" w:type="dxa"/>
          </w:tcPr>
          <w:p w14:paraId="117415A0" w14:textId="77777777" w:rsidR="00246C3A" w:rsidRPr="00BB4A51" w:rsidRDefault="00246C3A" w:rsidP="006422B6">
            <w:pPr>
              <w:pStyle w:val="SingleTxtG"/>
              <w:ind w:left="0" w:right="0"/>
              <w:jc w:val="left"/>
              <w:rPr>
                <w:i/>
              </w:rPr>
            </w:pPr>
            <w:r w:rsidRPr="00BB4A51">
              <w:rPr>
                <w:i/>
              </w:rPr>
              <w:t>Article(s) du Pacte</w:t>
            </w:r>
            <w:r w:rsidRPr="00BB4A51">
              <w:t> :</w:t>
            </w:r>
          </w:p>
        </w:tc>
        <w:tc>
          <w:tcPr>
            <w:tcW w:w="4253" w:type="dxa"/>
            <w:vAlign w:val="bottom"/>
          </w:tcPr>
          <w:p w14:paraId="2D6E466F" w14:textId="77777777" w:rsidR="00246C3A" w:rsidRPr="00BB4A51" w:rsidRDefault="00246C3A" w:rsidP="006422B6">
            <w:pPr>
              <w:pStyle w:val="SingleTxtG"/>
              <w:ind w:left="0" w:right="0"/>
              <w:jc w:val="left"/>
              <w:rPr>
                <w:lang w:val="fr-FR"/>
              </w:rPr>
            </w:pPr>
            <w:r w:rsidRPr="00BB4A51">
              <w:rPr>
                <w:lang w:val="fr-FR"/>
              </w:rPr>
              <w:t>2 (par.</w:t>
            </w:r>
            <w:r>
              <w:rPr>
                <w:lang w:val="fr-FR"/>
              </w:rPr>
              <w:t> </w:t>
            </w:r>
            <w:r w:rsidRPr="00BB4A51">
              <w:rPr>
                <w:lang w:val="fr-FR"/>
              </w:rPr>
              <w:t>3) et 14 (par.</w:t>
            </w:r>
            <w:r>
              <w:rPr>
                <w:lang w:val="fr-FR"/>
              </w:rPr>
              <w:t> </w:t>
            </w:r>
            <w:r w:rsidRPr="00BB4A51">
              <w:rPr>
                <w:lang w:val="fr-FR"/>
              </w:rPr>
              <w:t>5)</w:t>
            </w:r>
          </w:p>
        </w:tc>
      </w:tr>
      <w:tr w:rsidR="00246C3A" w:rsidRPr="00BB4A51" w14:paraId="56C6BD34" w14:textId="77777777" w:rsidTr="006422B6">
        <w:tc>
          <w:tcPr>
            <w:tcW w:w="2552" w:type="dxa"/>
          </w:tcPr>
          <w:p w14:paraId="2462DFB5" w14:textId="77777777" w:rsidR="00246C3A" w:rsidRPr="00BB4A51" w:rsidRDefault="00246C3A" w:rsidP="006422B6">
            <w:pPr>
              <w:pStyle w:val="SingleTxtG"/>
              <w:ind w:left="0" w:right="0"/>
              <w:jc w:val="left"/>
            </w:pPr>
            <w:r w:rsidRPr="00BB4A51">
              <w:rPr>
                <w:i/>
              </w:rPr>
              <w:t>Article(s) du Protocole facultatif</w:t>
            </w:r>
            <w:r w:rsidRPr="00BB4A51">
              <w:t> :</w:t>
            </w:r>
          </w:p>
        </w:tc>
        <w:tc>
          <w:tcPr>
            <w:tcW w:w="4253" w:type="dxa"/>
            <w:vAlign w:val="bottom"/>
          </w:tcPr>
          <w:p w14:paraId="002CEE83" w14:textId="77777777" w:rsidR="00246C3A" w:rsidRPr="00BB4A51" w:rsidRDefault="00246C3A" w:rsidP="006422B6">
            <w:pPr>
              <w:pStyle w:val="SingleTxtG"/>
              <w:ind w:left="0" w:right="0"/>
              <w:jc w:val="left"/>
            </w:pPr>
            <w:r w:rsidRPr="00BB4A51">
              <w:rPr>
                <w:lang w:val="fr-FR"/>
              </w:rPr>
              <w:t>5 (par.</w:t>
            </w:r>
            <w:r>
              <w:rPr>
                <w:lang w:val="fr-FR"/>
              </w:rPr>
              <w:t> </w:t>
            </w:r>
            <w:r w:rsidRPr="00BB4A51">
              <w:rPr>
                <w:lang w:val="fr-FR"/>
              </w:rPr>
              <w:t>2</w:t>
            </w:r>
            <w:r>
              <w:rPr>
                <w:lang w:val="fr-FR"/>
              </w:rPr>
              <w:t> </w:t>
            </w:r>
            <w:r w:rsidRPr="00BB4A51">
              <w:rPr>
                <w:lang w:val="fr-FR"/>
              </w:rPr>
              <w:t>b))</w:t>
            </w:r>
          </w:p>
        </w:tc>
      </w:tr>
    </w:tbl>
    <w:p w14:paraId="1A31A563" w14:textId="1D617741" w:rsidR="00246C3A" w:rsidRPr="00542BD1" w:rsidRDefault="00246C3A" w:rsidP="00246C3A">
      <w:pPr>
        <w:pStyle w:val="SingleTxtG"/>
        <w:spacing w:before="120"/>
      </w:pPr>
      <w:r w:rsidRPr="00542BD1">
        <w:rPr>
          <w:lang w:val="fr-FR"/>
        </w:rPr>
        <w:t>1.1</w:t>
      </w:r>
      <w:r w:rsidRPr="00542BD1">
        <w:rPr>
          <w:lang w:val="fr-FR"/>
        </w:rPr>
        <w:tab/>
        <w:t>L</w:t>
      </w:r>
      <w:r>
        <w:rPr>
          <w:lang w:val="fr-FR"/>
        </w:rPr>
        <w:t>’</w:t>
      </w:r>
      <w:r w:rsidRPr="00542BD1">
        <w:rPr>
          <w:lang w:val="fr-FR"/>
        </w:rPr>
        <w:t>auteur de la communication est H</w:t>
      </w:r>
      <w:r>
        <w:rPr>
          <w:lang w:val="fr-FR"/>
        </w:rPr>
        <w:t>.</w:t>
      </w:r>
      <w:r w:rsidRPr="00542BD1">
        <w:rPr>
          <w:lang w:val="fr-FR"/>
        </w:rPr>
        <w:t xml:space="preserve"> J</w:t>
      </w:r>
      <w:r>
        <w:rPr>
          <w:lang w:val="fr-FR"/>
        </w:rPr>
        <w:t>.</w:t>
      </w:r>
      <w:r w:rsidRPr="00542BD1">
        <w:rPr>
          <w:lang w:val="fr-FR"/>
        </w:rPr>
        <w:t xml:space="preserve"> T</w:t>
      </w:r>
      <w:r>
        <w:rPr>
          <w:lang w:val="fr-FR"/>
        </w:rPr>
        <w:t>.</w:t>
      </w:r>
      <w:r w:rsidRPr="00542BD1">
        <w:rPr>
          <w:lang w:val="fr-FR"/>
        </w:rPr>
        <w:t>, de nationalité néerlandaise, né en 1966. Il</w:t>
      </w:r>
      <w:r w:rsidR="001D4EAA">
        <w:rPr>
          <w:lang w:val="fr-FR"/>
        </w:rPr>
        <w:t> </w:t>
      </w:r>
      <w:r w:rsidRPr="00542BD1">
        <w:rPr>
          <w:lang w:val="fr-FR"/>
        </w:rPr>
        <w:t>affirme que l</w:t>
      </w:r>
      <w:r>
        <w:rPr>
          <w:lang w:val="fr-FR"/>
        </w:rPr>
        <w:t>’</w:t>
      </w:r>
      <w:r w:rsidRPr="00542BD1">
        <w:rPr>
          <w:lang w:val="fr-FR"/>
        </w:rPr>
        <w:t>État partie a violé les droits qu</w:t>
      </w:r>
      <w:r>
        <w:rPr>
          <w:lang w:val="fr-FR"/>
        </w:rPr>
        <w:t>’</w:t>
      </w:r>
      <w:r w:rsidRPr="00542BD1">
        <w:rPr>
          <w:lang w:val="fr-FR"/>
        </w:rPr>
        <w:t>il tient des articles</w:t>
      </w:r>
      <w:r>
        <w:rPr>
          <w:lang w:val="fr-FR"/>
        </w:rPr>
        <w:t> </w:t>
      </w:r>
      <w:r w:rsidRPr="00542BD1">
        <w:rPr>
          <w:lang w:val="fr-FR"/>
        </w:rPr>
        <w:t>2</w:t>
      </w:r>
      <w:r>
        <w:rPr>
          <w:lang w:val="fr-FR"/>
        </w:rPr>
        <w:t> </w:t>
      </w:r>
      <w:r w:rsidRPr="00542BD1">
        <w:rPr>
          <w:lang w:val="fr-FR"/>
        </w:rPr>
        <w:t>(par.</w:t>
      </w:r>
      <w:r>
        <w:rPr>
          <w:lang w:val="fr-FR"/>
        </w:rPr>
        <w:t> </w:t>
      </w:r>
      <w:r w:rsidRPr="00542BD1">
        <w:rPr>
          <w:lang w:val="fr-FR"/>
        </w:rPr>
        <w:t>3) et 14 (par.</w:t>
      </w:r>
      <w:r>
        <w:rPr>
          <w:lang w:val="fr-FR"/>
        </w:rPr>
        <w:t> </w:t>
      </w:r>
      <w:r w:rsidRPr="00542BD1">
        <w:rPr>
          <w:lang w:val="fr-FR"/>
        </w:rPr>
        <w:t>5) du Pacte. Le Protocole facultatif se rapportant au Pacte est entré en vigueur pour l</w:t>
      </w:r>
      <w:r>
        <w:rPr>
          <w:lang w:val="fr-FR"/>
        </w:rPr>
        <w:t>’</w:t>
      </w:r>
      <w:r w:rsidRPr="00542BD1">
        <w:rPr>
          <w:lang w:val="fr-FR"/>
        </w:rPr>
        <w:t>État partie le 11</w:t>
      </w:r>
      <w:r>
        <w:rPr>
          <w:lang w:val="fr-FR"/>
        </w:rPr>
        <w:t> </w:t>
      </w:r>
      <w:r w:rsidRPr="00542BD1">
        <w:rPr>
          <w:lang w:val="fr-FR"/>
        </w:rPr>
        <w:t>mars 1979. L</w:t>
      </w:r>
      <w:r>
        <w:rPr>
          <w:lang w:val="fr-FR"/>
        </w:rPr>
        <w:t>’</w:t>
      </w:r>
      <w:r w:rsidRPr="00542BD1">
        <w:rPr>
          <w:lang w:val="fr-FR"/>
        </w:rPr>
        <w:t>auteur est représenté par un conseil.</w:t>
      </w:r>
    </w:p>
    <w:p w14:paraId="7DA28574" w14:textId="55EA7F7F" w:rsidR="00246C3A" w:rsidRPr="00542BD1" w:rsidRDefault="00246C3A" w:rsidP="00246C3A">
      <w:pPr>
        <w:pStyle w:val="SingleTxtG"/>
      </w:pPr>
      <w:r w:rsidRPr="00542BD1">
        <w:rPr>
          <w:lang w:val="fr-FR"/>
        </w:rPr>
        <w:t>1.2</w:t>
      </w:r>
      <w:r w:rsidRPr="00542BD1">
        <w:rPr>
          <w:lang w:val="fr-FR"/>
        </w:rPr>
        <w:tab/>
        <w:t>Le 23</w:t>
      </w:r>
      <w:r>
        <w:rPr>
          <w:lang w:val="fr-FR"/>
        </w:rPr>
        <w:t> </w:t>
      </w:r>
      <w:r w:rsidRPr="00542BD1">
        <w:rPr>
          <w:lang w:val="fr-FR"/>
        </w:rPr>
        <w:t xml:space="preserve">mai 2019, </w:t>
      </w:r>
      <w:r>
        <w:rPr>
          <w:lang w:val="fr-FR"/>
        </w:rPr>
        <w:t>en application de l</w:t>
      </w:r>
      <w:r>
        <w:rPr>
          <w:lang w:val="fr-FR"/>
        </w:rPr>
        <w:t>’</w:t>
      </w:r>
      <w:r>
        <w:rPr>
          <w:lang w:val="fr-FR"/>
        </w:rPr>
        <w:t xml:space="preserve">article 93 de son </w:t>
      </w:r>
      <w:r w:rsidR="00D37964">
        <w:rPr>
          <w:lang w:val="fr-FR"/>
        </w:rPr>
        <w:t>r</w:t>
      </w:r>
      <w:r>
        <w:rPr>
          <w:lang w:val="fr-FR"/>
        </w:rPr>
        <w:t xml:space="preserve">èglement intérieur, </w:t>
      </w:r>
      <w:r w:rsidRPr="00542BD1">
        <w:rPr>
          <w:lang w:val="fr-FR"/>
        </w:rPr>
        <w:t>le Comité, agissant par l</w:t>
      </w:r>
      <w:r>
        <w:rPr>
          <w:lang w:val="fr-FR"/>
        </w:rPr>
        <w:t>’</w:t>
      </w:r>
      <w:r w:rsidRPr="00542BD1">
        <w:rPr>
          <w:lang w:val="fr-FR"/>
        </w:rPr>
        <w:t>intermédiaire de son Rapporteur spécial sur les nouvelles communications et les mesures provisoires, a décidé de rejeter la demande de l</w:t>
      </w:r>
      <w:r>
        <w:rPr>
          <w:lang w:val="fr-FR"/>
        </w:rPr>
        <w:t>’</w:t>
      </w:r>
      <w:r w:rsidRPr="00542BD1">
        <w:rPr>
          <w:lang w:val="fr-FR"/>
        </w:rPr>
        <w:t>État partie tendant à ce que la recevabilité et le fond de la communication soient examinés séparément.</w:t>
      </w:r>
    </w:p>
    <w:p w14:paraId="5EE69FB6" w14:textId="215710C8" w:rsidR="00246C3A" w:rsidRPr="00542BD1" w:rsidRDefault="00246C3A" w:rsidP="00246C3A">
      <w:pPr>
        <w:pStyle w:val="H23G"/>
      </w:pPr>
      <w:r w:rsidRPr="00542BD1">
        <w:rPr>
          <w:lang w:val="fr-FR"/>
        </w:rPr>
        <w:lastRenderedPageBreak/>
        <w:tab/>
      </w:r>
      <w:r w:rsidRPr="00542BD1">
        <w:rPr>
          <w:lang w:val="fr-FR"/>
        </w:rPr>
        <w:tab/>
        <w:t>Rappel des faits présentés par l</w:t>
      </w:r>
      <w:r>
        <w:rPr>
          <w:lang w:val="fr-FR"/>
        </w:rPr>
        <w:t>’</w:t>
      </w:r>
      <w:r w:rsidRPr="00542BD1">
        <w:rPr>
          <w:lang w:val="fr-FR"/>
        </w:rPr>
        <w:t>auteur</w:t>
      </w:r>
    </w:p>
    <w:p w14:paraId="5089EA99" w14:textId="67DA3284" w:rsidR="00246C3A" w:rsidRPr="00542BD1" w:rsidRDefault="00246C3A" w:rsidP="00246C3A">
      <w:pPr>
        <w:pStyle w:val="SingleTxtG"/>
      </w:pPr>
      <w:r w:rsidRPr="00542BD1">
        <w:rPr>
          <w:lang w:val="fr-FR"/>
        </w:rPr>
        <w:t>2.1</w:t>
      </w:r>
      <w:r w:rsidRPr="00542BD1">
        <w:rPr>
          <w:lang w:val="fr-FR"/>
        </w:rPr>
        <w:tab/>
        <w:t>Le 23</w:t>
      </w:r>
      <w:r>
        <w:rPr>
          <w:lang w:val="fr-FR"/>
        </w:rPr>
        <w:t> </w:t>
      </w:r>
      <w:r w:rsidRPr="00542BD1">
        <w:rPr>
          <w:lang w:val="fr-FR"/>
        </w:rPr>
        <w:t>juillet 2007, l</w:t>
      </w:r>
      <w:r>
        <w:rPr>
          <w:lang w:val="fr-FR"/>
        </w:rPr>
        <w:t>’</w:t>
      </w:r>
      <w:r w:rsidRPr="00542BD1">
        <w:rPr>
          <w:lang w:val="fr-FR"/>
        </w:rPr>
        <w:t>auteur a été cité à comparaître le 28</w:t>
      </w:r>
      <w:r>
        <w:rPr>
          <w:lang w:val="fr-FR"/>
        </w:rPr>
        <w:t> </w:t>
      </w:r>
      <w:r w:rsidRPr="00542BD1">
        <w:rPr>
          <w:lang w:val="fr-FR"/>
        </w:rPr>
        <w:t>août 2007 devant le tribunal de district d</w:t>
      </w:r>
      <w:r>
        <w:rPr>
          <w:lang w:val="fr-FR"/>
        </w:rPr>
        <w:t>’</w:t>
      </w:r>
      <w:r w:rsidRPr="00542BD1">
        <w:rPr>
          <w:lang w:val="fr-FR"/>
        </w:rPr>
        <w:t>Arnhem, au motif qu</w:t>
      </w:r>
      <w:r>
        <w:rPr>
          <w:lang w:val="fr-FR"/>
        </w:rPr>
        <w:t>’</w:t>
      </w:r>
      <w:r w:rsidRPr="00542BD1">
        <w:rPr>
          <w:lang w:val="fr-FR"/>
        </w:rPr>
        <w:t>il était soupçonné d</w:t>
      </w:r>
      <w:r>
        <w:rPr>
          <w:lang w:val="fr-FR"/>
        </w:rPr>
        <w:t>’</w:t>
      </w:r>
      <w:r w:rsidRPr="00542BD1">
        <w:rPr>
          <w:lang w:val="fr-FR"/>
        </w:rPr>
        <w:t>avoir agressé un policier en service ou entravé l</w:t>
      </w:r>
      <w:r>
        <w:rPr>
          <w:lang w:val="fr-FR"/>
        </w:rPr>
        <w:t>’</w:t>
      </w:r>
      <w:r w:rsidRPr="00542BD1">
        <w:rPr>
          <w:lang w:val="fr-FR"/>
        </w:rPr>
        <w:t>action légitime d</w:t>
      </w:r>
      <w:r>
        <w:rPr>
          <w:lang w:val="fr-FR"/>
        </w:rPr>
        <w:t>’</w:t>
      </w:r>
      <w:r w:rsidRPr="00542BD1">
        <w:rPr>
          <w:lang w:val="fr-FR"/>
        </w:rPr>
        <w:t>un policier, et d</w:t>
      </w:r>
      <w:r>
        <w:rPr>
          <w:lang w:val="fr-FR"/>
        </w:rPr>
        <w:t>’</w:t>
      </w:r>
      <w:r w:rsidRPr="00542BD1">
        <w:rPr>
          <w:lang w:val="fr-FR"/>
        </w:rPr>
        <w:t>avoir refusé de décliner son identité.</w:t>
      </w:r>
    </w:p>
    <w:p w14:paraId="55F9D57C" w14:textId="4ADAFCDE" w:rsidR="00246C3A" w:rsidRPr="00542BD1" w:rsidRDefault="00246C3A" w:rsidP="00246C3A">
      <w:pPr>
        <w:pStyle w:val="SingleTxtG"/>
      </w:pPr>
      <w:r w:rsidRPr="00542BD1">
        <w:rPr>
          <w:lang w:val="fr-FR"/>
        </w:rPr>
        <w:t>2.2</w:t>
      </w:r>
      <w:r w:rsidRPr="00542BD1">
        <w:rPr>
          <w:lang w:val="fr-FR"/>
        </w:rPr>
        <w:tab/>
        <w:t>En droit néerlandais, l</w:t>
      </w:r>
      <w:r>
        <w:rPr>
          <w:lang w:val="fr-FR"/>
        </w:rPr>
        <w:t>’</w:t>
      </w:r>
      <w:r w:rsidRPr="00542BD1">
        <w:rPr>
          <w:lang w:val="fr-FR"/>
        </w:rPr>
        <w:t>agression d</w:t>
      </w:r>
      <w:r>
        <w:rPr>
          <w:lang w:val="fr-FR"/>
        </w:rPr>
        <w:t>’</w:t>
      </w:r>
      <w:r w:rsidRPr="00542BD1">
        <w:rPr>
          <w:lang w:val="fr-FR"/>
        </w:rPr>
        <w:t>un policier en service est un délit et le refus de décliner son identité une contravention</w:t>
      </w:r>
      <w:r>
        <w:rPr>
          <w:lang w:val="fr-FR"/>
        </w:rPr>
        <w:t>.</w:t>
      </w:r>
      <w:r w:rsidRPr="00542BD1">
        <w:rPr>
          <w:lang w:val="fr-FR"/>
        </w:rPr>
        <w:t xml:space="preserve"> L</w:t>
      </w:r>
      <w:r>
        <w:rPr>
          <w:lang w:val="fr-FR"/>
        </w:rPr>
        <w:t>’</w:t>
      </w:r>
      <w:r w:rsidRPr="00542BD1">
        <w:rPr>
          <w:lang w:val="fr-FR"/>
        </w:rPr>
        <w:t>audience prévue pour le 28</w:t>
      </w:r>
      <w:r>
        <w:rPr>
          <w:lang w:val="fr-FR"/>
        </w:rPr>
        <w:t> </w:t>
      </w:r>
      <w:r w:rsidRPr="00542BD1">
        <w:rPr>
          <w:lang w:val="fr-FR"/>
        </w:rPr>
        <w:t>août 2007 a été reportée au 10</w:t>
      </w:r>
      <w:r>
        <w:rPr>
          <w:lang w:val="fr-FR"/>
        </w:rPr>
        <w:t> </w:t>
      </w:r>
      <w:r w:rsidRPr="00542BD1">
        <w:rPr>
          <w:lang w:val="fr-FR"/>
        </w:rPr>
        <w:t>octobre 2007 afin de permettre à l</w:t>
      </w:r>
      <w:r>
        <w:rPr>
          <w:lang w:val="fr-FR"/>
        </w:rPr>
        <w:t>’</w:t>
      </w:r>
      <w:r w:rsidRPr="00542BD1">
        <w:rPr>
          <w:lang w:val="fr-FR"/>
        </w:rPr>
        <w:t>auteur de lire le dossier, qu</w:t>
      </w:r>
      <w:r>
        <w:rPr>
          <w:lang w:val="fr-FR"/>
        </w:rPr>
        <w:t>’</w:t>
      </w:r>
      <w:r w:rsidRPr="00542BD1">
        <w:rPr>
          <w:lang w:val="fr-FR"/>
        </w:rPr>
        <w:t>il n</w:t>
      </w:r>
      <w:r>
        <w:rPr>
          <w:lang w:val="fr-FR"/>
        </w:rPr>
        <w:t>’</w:t>
      </w:r>
      <w:r w:rsidRPr="00542BD1">
        <w:rPr>
          <w:lang w:val="fr-FR"/>
        </w:rPr>
        <w:t>avait pas reçu à la date initialement fixée.</w:t>
      </w:r>
    </w:p>
    <w:p w14:paraId="6C7FD115" w14:textId="01C6D023" w:rsidR="00246C3A" w:rsidRPr="003125FE" w:rsidRDefault="00246C3A" w:rsidP="00246C3A">
      <w:pPr>
        <w:pStyle w:val="SingleTxtG"/>
      </w:pPr>
      <w:r w:rsidRPr="00542BD1">
        <w:rPr>
          <w:lang w:val="fr-FR"/>
        </w:rPr>
        <w:t>2.3</w:t>
      </w:r>
      <w:r w:rsidRPr="00542BD1">
        <w:rPr>
          <w:lang w:val="fr-FR"/>
        </w:rPr>
        <w:tab/>
        <w:t>L</w:t>
      </w:r>
      <w:r>
        <w:rPr>
          <w:lang w:val="fr-FR"/>
        </w:rPr>
        <w:t>’</w:t>
      </w:r>
      <w:r w:rsidRPr="00542BD1">
        <w:rPr>
          <w:lang w:val="fr-FR"/>
        </w:rPr>
        <w:t>auteur n</w:t>
      </w:r>
      <w:r>
        <w:rPr>
          <w:lang w:val="fr-FR"/>
        </w:rPr>
        <w:t>’</w:t>
      </w:r>
      <w:r w:rsidRPr="00542BD1">
        <w:rPr>
          <w:lang w:val="fr-FR"/>
        </w:rPr>
        <w:t>était pas représenté par un conseil pendant les audiences. Immédiatement après avoir entendu l</w:t>
      </w:r>
      <w:r>
        <w:rPr>
          <w:lang w:val="fr-FR"/>
        </w:rPr>
        <w:t>’</w:t>
      </w:r>
      <w:r w:rsidRPr="00542BD1">
        <w:rPr>
          <w:lang w:val="fr-FR"/>
        </w:rPr>
        <w:t>affaire, le 10</w:t>
      </w:r>
      <w:r>
        <w:rPr>
          <w:lang w:val="fr-FR"/>
        </w:rPr>
        <w:t> </w:t>
      </w:r>
      <w:r w:rsidRPr="00542BD1">
        <w:rPr>
          <w:lang w:val="fr-FR"/>
        </w:rPr>
        <w:t>octobre 2007, le juge de police du tribunal de district a déclaré l</w:t>
      </w:r>
      <w:r>
        <w:rPr>
          <w:lang w:val="fr-FR"/>
        </w:rPr>
        <w:t>’</w:t>
      </w:r>
      <w:r w:rsidRPr="00542BD1">
        <w:rPr>
          <w:lang w:val="fr-FR"/>
        </w:rPr>
        <w:t>auteur coupable d</w:t>
      </w:r>
      <w:r>
        <w:rPr>
          <w:lang w:val="fr-FR"/>
        </w:rPr>
        <w:t>’</w:t>
      </w:r>
      <w:r w:rsidRPr="00542BD1">
        <w:rPr>
          <w:lang w:val="fr-FR"/>
        </w:rPr>
        <w:t>avoir agressé un policier en service et d</w:t>
      </w:r>
      <w:r>
        <w:rPr>
          <w:lang w:val="fr-FR"/>
        </w:rPr>
        <w:t>’</w:t>
      </w:r>
      <w:r w:rsidRPr="00542BD1">
        <w:rPr>
          <w:lang w:val="fr-FR"/>
        </w:rPr>
        <w:t>avoir refusé de décliner son identité. Il a condamné l</w:t>
      </w:r>
      <w:r>
        <w:rPr>
          <w:lang w:val="fr-FR"/>
        </w:rPr>
        <w:t>’</w:t>
      </w:r>
      <w:r w:rsidRPr="00542BD1">
        <w:rPr>
          <w:lang w:val="fr-FR"/>
        </w:rPr>
        <w:t>auteur à payer des amendes de 170</w:t>
      </w:r>
      <w:r w:rsidR="00915B00">
        <w:rPr>
          <w:lang w:val="fr-FR"/>
        </w:rPr>
        <w:t> </w:t>
      </w:r>
      <w:r>
        <w:rPr>
          <w:lang w:val="fr-FR"/>
        </w:rPr>
        <w:t>euros</w:t>
      </w:r>
      <w:r w:rsidRPr="00542BD1">
        <w:rPr>
          <w:lang w:val="fr-FR"/>
        </w:rPr>
        <w:t xml:space="preserve"> et 50</w:t>
      </w:r>
      <w:r w:rsidR="00915B00">
        <w:rPr>
          <w:lang w:val="fr-FR"/>
        </w:rPr>
        <w:t> </w:t>
      </w:r>
      <w:r>
        <w:rPr>
          <w:lang w:val="fr-FR"/>
        </w:rPr>
        <w:t>euros</w:t>
      </w:r>
      <w:r w:rsidRPr="00542BD1">
        <w:rPr>
          <w:b/>
          <w:bCs/>
          <w:lang w:val="fr-FR"/>
        </w:rPr>
        <w:t xml:space="preserve"> </w:t>
      </w:r>
      <w:r w:rsidRPr="00542BD1">
        <w:rPr>
          <w:lang w:val="fr-FR"/>
        </w:rPr>
        <w:t>respectivement pour chacune de ces infractions. Dans son jugement oral, il n</w:t>
      </w:r>
      <w:r>
        <w:rPr>
          <w:lang w:val="fr-FR"/>
        </w:rPr>
        <w:t>’</w:t>
      </w:r>
      <w:r w:rsidRPr="00542BD1">
        <w:rPr>
          <w:lang w:val="fr-FR"/>
        </w:rPr>
        <w:t>a exposé aucun élément de preuve à l</w:t>
      </w:r>
      <w:r>
        <w:rPr>
          <w:lang w:val="fr-FR"/>
        </w:rPr>
        <w:t>’</w:t>
      </w:r>
      <w:r w:rsidRPr="00542BD1">
        <w:rPr>
          <w:lang w:val="fr-FR"/>
        </w:rPr>
        <w:t>appui de la déclaration de culpabilité de l</w:t>
      </w:r>
      <w:r>
        <w:rPr>
          <w:lang w:val="fr-FR"/>
        </w:rPr>
        <w:t>’</w:t>
      </w:r>
      <w:r w:rsidRPr="00542BD1">
        <w:rPr>
          <w:lang w:val="fr-FR"/>
        </w:rPr>
        <w:t xml:space="preserve">auteur. La décision rendue a simplement été </w:t>
      </w:r>
      <w:r w:rsidRPr="003125FE">
        <w:rPr>
          <w:lang w:val="fr-FR"/>
        </w:rPr>
        <w:t>enregistrée sous la forme d</w:t>
      </w:r>
      <w:r>
        <w:rPr>
          <w:lang w:val="fr-FR"/>
        </w:rPr>
        <w:t>’</w:t>
      </w:r>
      <w:r w:rsidRPr="003125FE">
        <w:rPr>
          <w:lang w:val="fr-FR"/>
        </w:rPr>
        <w:t>une note de jugement oral.</w:t>
      </w:r>
    </w:p>
    <w:p w14:paraId="7E850710" w14:textId="491E7998" w:rsidR="00246C3A" w:rsidRPr="00542BD1" w:rsidRDefault="00246C3A" w:rsidP="00246C3A">
      <w:pPr>
        <w:pStyle w:val="SingleTxtG"/>
      </w:pPr>
      <w:r w:rsidRPr="003125FE">
        <w:rPr>
          <w:lang w:val="fr-FR"/>
        </w:rPr>
        <w:t>2.4</w:t>
      </w:r>
      <w:r w:rsidRPr="003125FE">
        <w:rPr>
          <w:lang w:val="fr-FR"/>
        </w:rPr>
        <w:tab/>
        <w:t>Le jugement était conforme aux articles 365</w:t>
      </w:r>
      <w:r>
        <w:rPr>
          <w:lang w:val="fr-FR"/>
        </w:rPr>
        <w:t xml:space="preserve"> (al. </w:t>
      </w:r>
      <w:r w:rsidRPr="003125FE">
        <w:rPr>
          <w:lang w:val="fr-FR"/>
        </w:rPr>
        <w:t>a</w:t>
      </w:r>
      <w:r>
        <w:rPr>
          <w:lang w:val="fr-FR"/>
        </w:rPr>
        <w:t>))</w:t>
      </w:r>
      <w:r w:rsidRPr="003125FE">
        <w:rPr>
          <w:lang w:val="fr-FR"/>
        </w:rPr>
        <w:t>, 378 et 378</w:t>
      </w:r>
      <w:r>
        <w:rPr>
          <w:lang w:val="fr-FR"/>
        </w:rPr>
        <w:t xml:space="preserve"> (al. </w:t>
      </w:r>
      <w:r w:rsidRPr="003125FE">
        <w:rPr>
          <w:lang w:val="fr-FR"/>
        </w:rPr>
        <w:t>a</w:t>
      </w:r>
      <w:r>
        <w:rPr>
          <w:lang w:val="fr-FR"/>
        </w:rPr>
        <w:t>))</w:t>
      </w:r>
      <w:r w:rsidRPr="003125FE">
        <w:rPr>
          <w:lang w:val="fr-FR"/>
        </w:rPr>
        <w:t xml:space="preserve"> du Code de procédure pénale des Pays-Bas, selon lesquels un juge peut rendre un jugement « abrégé » dans une affaire comme celle de</w:t>
      </w:r>
      <w:r w:rsidRPr="00542BD1">
        <w:rPr>
          <w:lang w:val="fr-FR"/>
        </w:rPr>
        <w:t xml:space="preserve"> l</w:t>
      </w:r>
      <w:r>
        <w:rPr>
          <w:lang w:val="fr-FR"/>
        </w:rPr>
        <w:t>’</w:t>
      </w:r>
      <w:r w:rsidRPr="00542BD1">
        <w:rPr>
          <w:lang w:val="fr-FR"/>
        </w:rPr>
        <w:t>auteur. Un jugement abrégé n</w:t>
      </w:r>
      <w:r>
        <w:rPr>
          <w:lang w:val="fr-FR"/>
        </w:rPr>
        <w:t>’</w:t>
      </w:r>
      <w:r w:rsidRPr="00542BD1">
        <w:rPr>
          <w:lang w:val="fr-FR"/>
        </w:rPr>
        <w:t>a pas besoin d</w:t>
      </w:r>
      <w:r>
        <w:rPr>
          <w:lang w:val="fr-FR"/>
        </w:rPr>
        <w:t>’</w:t>
      </w:r>
      <w:r w:rsidRPr="00542BD1">
        <w:rPr>
          <w:lang w:val="fr-FR"/>
        </w:rPr>
        <w:t>être complété par des éléments de preuve ni assorti d</w:t>
      </w:r>
      <w:r>
        <w:rPr>
          <w:lang w:val="fr-FR"/>
        </w:rPr>
        <w:t>’</w:t>
      </w:r>
      <w:r w:rsidRPr="00542BD1">
        <w:rPr>
          <w:lang w:val="fr-FR"/>
        </w:rPr>
        <w:t>une énumération des moyens de preuve utilisés, et il n</w:t>
      </w:r>
      <w:r>
        <w:rPr>
          <w:lang w:val="fr-FR"/>
        </w:rPr>
        <w:t>’</w:t>
      </w:r>
      <w:r w:rsidRPr="00542BD1">
        <w:rPr>
          <w:lang w:val="fr-FR"/>
        </w:rPr>
        <w:t>est pas nécessaire de produire un compte rendu d</w:t>
      </w:r>
      <w:r>
        <w:rPr>
          <w:lang w:val="fr-FR"/>
        </w:rPr>
        <w:t>’</w:t>
      </w:r>
      <w:r w:rsidRPr="00542BD1">
        <w:rPr>
          <w:lang w:val="fr-FR"/>
        </w:rPr>
        <w:t>audience</w:t>
      </w:r>
      <w:r w:rsidRPr="00542BD1">
        <w:rPr>
          <w:rStyle w:val="Appelnotedebasdep"/>
          <w:lang w:val="fr-FR"/>
        </w:rPr>
        <w:footnoteReference w:id="4"/>
      </w:r>
      <w:r w:rsidRPr="00542BD1">
        <w:rPr>
          <w:lang w:val="fr-FR"/>
        </w:rPr>
        <w:t>.</w:t>
      </w:r>
    </w:p>
    <w:p w14:paraId="506CFB81" w14:textId="6C4C6DD1" w:rsidR="00246C3A" w:rsidRPr="00542BD1" w:rsidRDefault="00246C3A" w:rsidP="00246C3A">
      <w:pPr>
        <w:pStyle w:val="SingleTxtG"/>
      </w:pPr>
      <w:r w:rsidRPr="00542BD1">
        <w:rPr>
          <w:lang w:val="fr-FR"/>
        </w:rPr>
        <w:t>2.5</w:t>
      </w:r>
      <w:r w:rsidRPr="00542BD1">
        <w:rPr>
          <w:lang w:val="fr-FR"/>
        </w:rPr>
        <w:tab/>
        <w:t>Le 10</w:t>
      </w:r>
      <w:r>
        <w:rPr>
          <w:lang w:val="fr-FR"/>
        </w:rPr>
        <w:t> </w:t>
      </w:r>
      <w:r w:rsidRPr="00542BD1">
        <w:rPr>
          <w:lang w:val="fr-FR"/>
        </w:rPr>
        <w:t>octobre 2007, dans le délai prescrit par la loi, l</w:t>
      </w:r>
      <w:r>
        <w:rPr>
          <w:lang w:val="fr-FR"/>
        </w:rPr>
        <w:t>’</w:t>
      </w:r>
      <w:r w:rsidRPr="00542BD1">
        <w:rPr>
          <w:lang w:val="fr-FR"/>
        </w:rPr>
        <w:t>auteur a demandé l</w:t>
      </w:r>
      <w:r>
        <w:rPr>
          <w:lang w:val="fr-FR"/>
        </w:rPr>
        <w:t>’</w:t>
      </w:r>
      <w:r w:rsidRPr="00542BD1">
        <w:rPr>
          <w:lang w:val="fr-FR"/>
        </w:rPr>
        <w:t>autorisation de faire appel de la décision du juge de police du tribunal de district. Le même jour, il a reçu une convocation à une audience d</w:t>
      </w:r>
      <w:r>
        <w:rPr>
          <w:lang w:val="fr-FR"/>
        </w:rPr>
        <w:t>’</w:t>
      </w:r>
      <w:r w:rsidRPr="00542BD1">
        <w:rPr>
          <w:lang w:val="fr-FR"/>
        </w:rPr>
        <w:t>appel fixée au 28</w:t>
      </w:r>
      <w:r>
        <w:rPr>
          <w:lang w:val="fr-FR"/>
        </w:rPr>
        <w:t> </w:t>
      </w:r>
      <w:r w:rsidRPr="00542BD1">
        <w:rPr>
          <w:lang w:val="fr-FR"/>
        </w:rPr>
        <w:t>février 2008. Le droit de faire appel dans ce type d</w:t>
      </w:r>
      <w:r>
        <w:rPr>
          <w:lang w:val="fr-FR"/>
        </w:rPr>
        <w:t>’</w:t>
      </w:r>
      <w:r w:rsidRPr="00542BD1">
        <w:rPr>
          <w:lang w:val="fr-FR"/>
        </w:rPr>
        <w:t>affaire est régi par les dispositions de l</w:t>
      </w:r>
      <w:r>
        <w:rPr>
          <w:lang w:val="fr-FR"/>
        </w:rPr>
        <w:t>’</w:t>
      </w:r>
      <w:r w:rsidRPr="00542BD1">
        <w:rPr>
          <w:lang w:val="fr-FR"/>
        </w:rPr>
        <w:t>article</w:t>
      </w:r>
      <w:r>
        <w:rPr>
          <w:lang w:val="fr-FR"/>
        </w:rPr>
        <w:t> </w:t>
      </w:r>
      <w:r w:rsidRPr="00542BD1">
        <w:rPr>
          <w:lang w:val="fr-FR"/>
        </w:rPr>
        <w:t>410</w:t>
      </w:r>
      <w:r>
        <w:rPr>
          <w:lang w:val="fr-FR"/>
        </w:rPr>
        <w:t xml:space="preserve"> (al. </w:t>
      </w:r>
      <w:r w:rsidRPr="00542BD1">
        <w:rPr>
          <w:lang w:val="fr-FR"/>
        </w:rPr>
        <w:t>a</w:t>
      </w:r>
      <w:r>
        <w:rPr>
          <w:lang w:val="fr-FR"/>
        </w:rPr>
        <w:t>))</w:t>
      </w:r>
      <w:r w:rsidRPr="00542BD1">
        <w:rPr>
          <w:lang w:val="fr-FR"/>
        </w:rPr>
        <w:t xml:space="preserve"> du Code de procédure pénale néerlandais</w:t>
      </w:r>
      <w:r>
        <w:rPr>
          <w:lang w:val="fr-FR"/>
        </w:rPr>
        <w:t>. Dans cet article, il est dit que l</w:t>
      </w:r>
      <w:r w:rsidRPr="00542BD1">
        <w:rPr>
          <w:lang w:val="fr-FR"/>
        </w:rPr>
        <w:t>orsqu</w:t>
      </w:r>
      <w:r>
        <w:rPr>
          <w:lang w:val="fr-FR"/>
        </w:rPr>
        <w:t>’</w:t>
      </w:r>
      <w:r w:rsidRPr="00542BD1">
        <w:rPr>
          <w:lang w:val="fr-FR"/>
        </w:rPr>
        <w:t>il est possible d</w:t>
      </w:r>
      <w:r>
        <w:rPr>
          <w:lang w:val="fr-FR"/>
        </w:rPr>
        <w:t>’</w:t>
      </w:r>
      <w:r w:rsidRPr="00542BD1">
        <w:rPr>
          <w:lang w:val="fr-FR"/>
        </w:rPr>
        <w:t>interjeter appel et lorsqu</w:t>
      </w:r>
      <w:r>
        <w:rPr>
          <w:lang w:val="fr-FR"/>
        </w:rPr>
        <w:t>’</w:t>
      </w:r>
      <w:r w:rsidRPr="00542BD1">
        <w:rPr>
          <w:lang w:val="fr-FR"/>
        </w:rPr>
        <w:t>il a été interjeté appel d</w:t>
      </w:r>
      <w:r>
        <w:rPr>
          <w:lang w:val="fr-FR"/>
        </w:rPr>
        <w:t>’</w:t>
      </w:r>
      <w:r w:rsidRPr="00542BD1">
        <w:rPr>
          <w:lang w:val="fr-FR"/>
        </w:rPr>
        <w:t>un jugement portant exclusivement sur une ou plusieurs infractions mineures qui, selon la description qu</w:t>
      </w:r>
      <w:r>
        <w:rPr>
          <w:lang w:val="fr-FR"/>
        </w:rPr>
        <w:t>’</w:t>
      </w:r>
      <w:r w:rsidRPr="00542BD1">
        <w:rPr>
          <w:lang w:val="fr-FR"/>
        </w:rPr>
        <w:t>en fait la loi, sont passibles d</w:t>
      </w:r>
      <w:r>
        <w:rPr>
          <w:lang w:val="fr-FR"/>
        </w:rPr>
        <w:t>’</w:t>
      </w:r>
      <w:r w:rsidRPr="00542BD1">
        <w:rPr>
          <w:lang w:val="fr-FR"/>
        </w:rPr>
        <w:t>une peine de prison ne dépassant pas quatre ans, et lorsqu</w:t>
      </w:r>
      <w:r>
        <w:rPr>
          <w:lang w:val="fr-FR"/>
        </w:rPr>
        <w:t>’</w:t>
      </w:r>
      <w:r w:rsidRPr="00542BD1">
        <w:rPr>
          <w:lang w:val="fr-FR"/>
        </w:rPr>
        <w:t>il n</w:t>
      </w:r>
      <w:r>
        <w:rPr>
          <w:lang w:val="fr-FR"/>
        </w:rPr>
        <w:t>’</w:t>
      </w:r>
      <w:r w:rsidRPr="00542BD1">
        <w:rPr>
          <w:lang w:val="fr-FR"/>
        </w:rPr>
        <w:t>a pas été prononcé d</w:t>
      </w:r>
      <w:r>
        <w:rPr>
          <w:lang w:val="fr-FR"/>
        </w:rPr>
        <w:t>’</w:t>
      </w:r>
      <w:r w:rsidRPr="00542BD1">
        <w:rPr>
          <w:lang w:val="fr-FR"/>
        </w:rPr>
        <w:t>autre peine ou injonction qu</w:t>
      </w:r>
      <w:r>
        <w:rPr>
          <w:lang w:val="fr-FR"/>
        </w:rPr>
        <w:t>’</w:t>
      </w:r>
      <w:r w:rsidRPr="00542BD1">
        <w:rPr>
          <w:lang w:val="fr-FR"/>
        </w:rPr>
        <w:t>une amende d</w:t>
      </w:r>
      <w:r>
        <w:rPr>
          <w:lang w:val="fr-FR"/>
        </w:rPr>
        <w:t>’</w:t>
      </w:r>
      <w:r w:rsidRPr="00542BD1">
        <w:rPr>
          <w:lang w:val="fr-FR"/>
        </w:rPr>
        <w:t>un montant n</w:t>
      </w:r>
      <w:r>
        <w:rPr>
          <w:lang w:val="fr-FR"/>
        </w:rPr>
        <w:t>’</w:t>
      </w:r>
      <w:r w:rsidRPr="00542BD1">
        <w:rPr>
          <w:lang w:val="fr-FR"/>
        </w:rPr>
        <w:t>excédant pas 500</w:t>
      </w:r>
      <w:r>
        <w:rPr>
          <w:lang w:val="fr-FR"/>
        </w:rPr>
        <w:t> </w:t>
      </w:r>
      <w:r w:rsidRPr="00542BD1">
        <w:rPr>
          <w:lang w:val="fr-FR"/>
        </w:rPr>
        <w:t>euros −</w:t>
      </w:r>
      <w:r>
        <w:rPr>
          <w:lang w:val="fr-FR"/>
        </w:rPr>
        <w:t> </w:t>
      </w:r>
      <w:r w:rsidRPr="00542BD1">
        <w:rPr>
          <w:lang w:val="fr-FR"/>
        </w:rPr>
        <w:t>ou deux ou plusieurs amendes d</w:t>
      </w:r>
      <w:r>
        <w:rPr>
          <w:lang w:val="fr-FR"/>
        </w:rPr>
        <w:t>’</w:t>
      </w:r>
      <w:r w:rsidRPr="00542BD1">
        <w:rPr>
          <w:lang w:val="fr-FR"/>
        </w:rPr>
        <w:t>un montant total n</w:t>
      </w:r>
      <w:r>
        <w:rPr>
          <w:lang w:val="fr-FR"/>
        </w:rPr>
        <w:t>’</w:t>
      </w:r>
      <w:r w:rsidRPr="00542BD1">
        <w:rPr>
          <w:lang w:val="fr-FR"/>
        </w:rPr>
        <w:t>excédant pas 500</w:t>
      </w:r>
      <w:r>
        <w:rPr>
          <w:lang w:val="fr-FR"/>
        </w:rPr>
        <w:t> </w:t>
      </w:r>
      <w:r w:rsidRPr="00542BD1">
        <w:rPr>
          <w:lang w:val="fr-FR"/>
        </w:rPr>
        <w:t>euros</w:t>
      </w:r>
      <w:r>
        <w:rPr>
          <w:lang w:val="fr-FR"/>
        </w:rPr>
        <w:t> </w:t>
      </w:r>
      <w:r w:rsidRPr="00542BD1">
        <w:rPr>
          <w:lang w:val="fr-FR"/>
        </w:rPr>
        <w:t>− l</w:t>
      </w:r>
      <w:r>
        <w:rPr>
          <w:lang w:val="fr-FR"/>
        </w:rPr>
        <w:t>’</w:t>
      </w:r>
      <w:r w:rsidRPr="00542BD1">
        <w:rPr>
          <w:lang w:val="fr-FR"/>
        </w:rPr>
        <w:t xml:space="preserve">appel interjeté est examiné par la cour seulement si </w:t>
      </w:r>
      <w:r>
        <w:rPr>
          <w:lang w:val="fr-FR"/>
        </w:rPr>
        <w:t>son p</w:t>
      </w:r>
      <w:r w:rsidRPr="00542BD1">
        <w:rPr>
          <w:lang w:val="fr-FR"/>
        </w:rPr>
        <w:t>résident l</w:t>
      </w:r>
      <w:r>
        <w:rPr>
          <w:lang w:val="fr-FR"/>
        </w:rPr>
        <w:t>’</w:t>
      </w:r>
      <w:r w:rsidRPr="00542BD1">
        <w:rPr>
          <w:lang w:val="fr-FR"/>
        </w:rPr>
        <w:t>estime nécessaire dans l</w:t>
      </w:r>
      <w:r>
        <w:rPr>
          <w:lang w:val="fr-FR"/>
        </w:rPr>
        <w:t>’</w:t>
      </w:r>
      <w:r w:rsidRPr="00542BD1">
        <w:rPr>
          <w:lang w:val="fr-FR"/>
        </w:rPr>
        <w:t>intérêt d</w:t>
      </w:r>
      <w:r>
        <w:rPr>
          <w:lang w:val="fr-FR"/>
        </w:rPr>
        <w:t>’</w:t>
      </w:r>
      <w:r w:rsidRPr="00542BD1">
        <w:rPr>
          <w:lang w:val="fr-FR"/>
        </w:rPr>
        <w:t>une bonne administration de la justice.</w:t>
      </w:r>
      <w:r>
        <w:rPr>
          <w:lang w:val="fr-FR"/>
        </w:rPr>
        <w:t> </w:t>
      </w:r>
      <w:r w:rsidRPr="00542BD1">
        <w:rPr>
          <w:lang w:val="fr-FR"/>
        </w:rPr>
        <w:t>»</w:t>
      </w:r>
      <w:r>
        <w:rPr>
          <w:lang w:val="fr-FR"/>
        </w:rPr>
        <w:t>.</w:t>
      </w:r>
    </w:p>
    <w:p w14:paraId="7FF96617" w14:textId="416B00F8" w:rsidR="00246C3A" w:rsidRPr="00542BD1" w:rsidRDefault="00246C3A" w:rsidP="00246C3A">
      <w:pPr>
        <w:pStyle w:val="SingleTxtG"/>
      </w:pPr>
      <w:r w:rsidRPr="00542BD1">
        <w:rPr>
          <w:lang w:val="fr-FR"/>
        </w:rPr>
        <w:t>2.6</w:t>
      </w:r>
      <w:r w:rsidRPr="00542BD1">
        <w:rPr>
          <w:lang w:val="fr-FR"/>
        </w:rPr>
        <w:tab/>
        <w:t>Il ressort expressément des travaux parlementaires ayant conduit à l</w:t>
      </w:r>
      <w:r>
        <w:rPr>
          <w:lang w:val="fr-FR"/>
        </w:rPr>
        <w:t>’</w:t>
      </w:r>
      <w:r w:rsidRPr="00542BD1">
        <w:rPr>
          <w:lang w:val="fr-FR"/>
        </w:rPr>
        <w:t>adoption de l</w:t>
      </w:r>
      <w:r>
        <w:rPr>
          <w:lang w:val="fr-FR"/>
        </w:rPr>
        <w:t>’</w:t>
      </w:r>
      <w:r w:rsidRPr="00542BD1">
        <w:rPr>
          <w:lang w:val="fr-FR"/>
        </w:rPr>
        <w:t>article</w:t>
      </w:r>
      <w:r>
        <w:rPr>
          <w:lang w:val="fr-FR"/>
        </w:rPr>
        <w:t> </w:t>
      </w:r>
      <w:r w:rsidRPr="00542BD1">
        <w:rPr>
          <w:lang w:val="fr-FR"/>
        </w:rPr>
        <w:t>410</w:t>
      </w:r>
      <w:r>
        <w:rPr>
          <w:lang w:val="fr-FR"/>
        </w:rPr>
        <w:t xml:space="preserve"> (al. </w:t>
      </w:r>
      <w:r w:rsidRPr="00542BD1">
        <w:rPr>
          <w:lang w:val="fr-FR"/>
        </w:rPr>
        <w:t>a</w:t>
      </w:r>
      <w:r>
        <w:rPr>
          <w:lang w:val="fr-FR"/>
        </w:rPr>
        <w:t>))</w:t>
      </w:r>
      <w:r w:rsidRPr="00542BD1">
        <w:rPr>
          <w:lang w:val="fr-FR"/>
        </w:rPr>
        <w:t xml:space="preserve"> du Code de procédure pénale que dans des cas comme celui de l</w:t>
      </w:r>
      <w:r>
        <w:rPr>
          <w:lang w:val="fr-FR"/>
        </w:rPr>
        <w:t>’</w:t>
      </w:r>
      <w:r w:rsidRPr="00542BD1">
        <w:rPr>
          <w:lang w:val="fr-FR"/>
        </w:rPr>
        <w:t>auteur, la décision de première instance n</w:t>
      </w:r>
      <w:r>
        <w:rPr>
          <w:lang w:val="fr-FR"/>
        </w:rPr>
        <w:t>’</w:t>
      </w:r>
      <w:r w:rsidRPr="00542BD1">
        <w:rPr>
          <w:lang w:val="fr-FR"/>
        </w:rPr>
        <w:t>a pas à être assortie de preuves ou d</w:t>
      </w:r>
      <w:r>
        <w:rPr>
          <w:lang w:val="fr-FR"/>
        </w:rPr>
        <w:t>’</w:t>
      </w:r>
      <w:r w:rsidRPr="00542BD1">
        <w:rPr>
          <w:lang w:val="fr-FR"/>
        </w:rPr>
        <w:t>un compte rendu d</w:t>
      </w:r>
      <w:r>
        <w:rPr>
          <w:lang w:val="fr-FR"/>
        </w:rPr>
        <w:t>’</w:t>
      </w:r>
      <w:r w:rsidRPr="00542BD1">
        <w:rPr>
          <w:lang w:val="fr-FR"/>
        </w:rPr>
        <w:t>audience, que ce soit au moment du prononcé du jugement ou après la formation d</w:t>
      </w:r>
      <w:r>
        <w:rPr>
          <w:lang w:val="fr-FR"/>
        </w:rPr>
        <w:t>’</w:t>
      </w:r>
      <w:r w:rsidRPr="00542BD1">
        <w:rPr>
          <w:lang w:val="fr-FR"/>
        </w:rPr>
        <w:t>un appel. Cette règle a été dictée par une volonté de réduire les coûts</w:t>
      </w:r>
      <w:r w:rsidRPr="00542BD1">
        <w:rPr>
          <w:rStyle w:val="Appelnotedebasdep"/>
          <w:lang w:val="fr-FR"/>
        </w:rPr>
        <w:footnoteReference w:id="5"/>
      </w:r>
      <w:r w:rsidRPr="00542BD1">
        <w:rPr>
          <w:lang w:val="fr-FR"/>
        </w:rPr>
        <w:t>.</w:t>
      </w:r>
    </w:p>
    <w:p w14:paraId="1DCE8595" w14:textId="36DE566B" w:rsidR="00246C3A" w:rsidRPr="00542BD1" w:rsidRDefault="00246C3A" w:rsidP="00246C3A">
      <w:pPr>
        <w:pStyle w:val="SingleTxtG"/>
      </w:pPr>
      <w:r w:rsidRPr="00542BD1">
        <w:rPr>
          <w:lang w:val="fr-FR"/>
        </w:rPr>
        <w:t>2.7</w:t>
      </w:r>
      <w:r w:rsidRPr="00542BD1">
        <w:rPr>
          <w:lang w:val="fr-FR"/>
        </w:rPr>
        <w:tab/>
        <w:t>Le 8</w:t>
      </w:r>
      <w:r>
        <w:rPr>
          <w:lang w:val="fr-FR"/>
        </w:rPr>
        <w:t> </w:t>
      </w:r>
      <w:r w:rsidRPr="00542BD1">
        <w:rPr>
          <w:lang w:val="fr-FR"/>
        </w:rPr>
        <w:t>janvier 2008, avant l</w:t>
      </w:r>
      <w:r>
        <w:rPr>
          <w:lang w:val="fr-FR"/>
        </w:rPr>
        <w:t>’</w:t>
      </w:r>
      <w:r w:rsidRPr="00542BD1">
        <w:rPr>
          <w:lang w:val="fr-FR"/>
        </w:rPr>
        <w:t xml:space="preserve">audience prévue, le </w:t>
      </w:r>
      <w:r>
        <w:rPr>
          <w:lang w:val="fr-FR"/>
        </w:rPr>
        <w:t>P</w:t>
      </w:r>
      <w:r w:rsidRPr="00542BD1">
        <w:rPr>
          <w:lang w:val="fr-FR"/>
        </w:rPr>
        <w:t xml:space="preserve">résident de la </w:t>
      </w:r>
      <w:r w:rsidR="002006B6">
        <w:rPr>
          <w:lang w:val="fr-FR"/>
        </w:rPr>
        <w:t>C</w:t>
      </w:r>
      <w:r w:rsidRPr="00542BD1">
        <w:rPr>
          <w:lang w:val="fr-FR"/>
        </w:rPr>
        <w:t>our d</w:t>
      </w:r>
      <w:r>
        <w:rPr>
          <w:lang w:val="fr-FR"/>
        </w:rPr>
        <w:t>’</w:t>
      </w:r>
      <w:r w:rsidRPr="00542BD1">
        <w:rPr>
          <w:lang w:val="fr-FR"/>
        </w:rPr>
        <w:t>appel d</w:t>
      </w:r>
      <w:r>
        <w:rPr>
          <w:lang w:val="fr-FR"/>
        </w:rPr>
        <w:t>’</w:t>
      </w:r>
      <w:r w:rsidRPr="00542BD1">
        <w:rPr>
          <w:lang w:val="fr-FR"/>
        </w:rPr>
        <w:t>Arnhem a rejeté la demande d</w:t>
      </w:r>
      <w:r>
        <w:rPr>
          <w:lang w:val="fr-FR"/>
        </w:rPr>
        <w:t>’</w:t>
      </w:r>
      <w:r w:rsidRPr="00542BD1">
        <w:rPr>
          <w:lang w:val="fr-FR"/>
        </w:rPr>
        <w:t>autorisation d</w:t>
      </w:r>
      <w:r>
        <w:rPr>
          <w:lang w:val="fr-FR"/>
        </w:rPr>
        <w:t>’</w:t>
      </w:r>
      <w:r w:rsidRPr="00542BD1">
        <w:rPr>
          <w:lang w:val="fr-FR"/>
        </w:rPr>
        <w:t>appel de l</w:t>
      </w:r>
      <w:r>
        <w:rPr>
          <w:lang w:val="fr-FR"/>
        </w:rPr>
        <w:t>’</w:t>
      </w:r>
      <w:r w:rsidRPr="00542BD1">
        <w:rPr>
          <w:lang w:val="fr-FR"/>
        </w:rPr>
        <w:t>auteur</w:t>
      </w:r>
      <w:r>
        <w:rPr>
          <w:lang w:val="fr-FR"/>
        </w:rPr>
        <w:t>.</w:t>
      </w:r>
      <w:r w:rsidR="002006B6">
        <w:rPr>
          <w:lang w:val="fr-FR"/>
        </w:rPr>
        <w:t xml:space="preserve"> </w:t>
      </w:r>
      <w:r w:rsidRPr="00542BD1">
        <w:rPr>
          <w:lang w:val="fr-FR"/>
        </w:rPr>
        <w:t xml:space="preserve">Le Président </w:t>
      </w:r>
      <w:r>
        <w:rPr>
          <w:lang w:val="fr-FR"/>
        </w:rPr>
        <w:t xml:space="preserve">a </w:t>
      </w:r>
      <w:r w:rsidRPr="00542BD1">
        <w:rPr>
          <w:lang w:val="fr-FR"/>
        </w:rPr>
        <w:t>estim</w:t>
      </w:r>
      <w:r>
        <w:rPr>
          <w:lang w:val="fr-FR"/>
        </w:rPr>
        <w:t>é</w:t>
      </w:r>
      <w:r w:rsidRPr="00542BD1">
        <w:rPr>
          <w:lang w:val="fr-FR"/>
        </w:rPr>
        <w:t xml:space="preserve"> que les moyens invoqués par l</w:t>
      </w:r>
      <w:r>
        <w:rPr>
          <w:lang w:val="fr-FR"/>
        </w:rPr>
        <w:t>’</w:t>
      </w:r>
      <w:r w:rsidRPr="00542BD1">
        <w:rPr>
          <w:lang w:val="fr-FR"/>
        </w:rPr>
        <w:t>appelant, à supposer qu</w:t>
      </w:r>
      <w:r>
        <w:rPr>
          <w:lang w:val="fr-FR"/>
        </w:rPr>
        <w:t>’</w:t>
      </w:r>
      <w:r w:rsidRPr="00542BD1">
        <w:rPr>
          <w:lang w:val="fr-FR"/>
        </w:rPr>
        <w:t xml:space="preserve">ils soient exacts, ne </w:t>
      </w:r>
      <w:r>
        <w:rPr>
          <w:lang w:val="fr-FR"/>
        </w:rPr>
        <w:t>devaient</w:t>
      </w:r>
      <w:r w:rsidRPr="00542BD1">
        <w:rPr>
          <w:lang w:val="fr-FR"/>
        </w:rPr>
        <w:t xml:space="preserve"> pas nécessairement ni raisonnablement conduire à d</w:t>
      </w:r>
      <w:r>
        <w:rPr>
          <w:lang w:val="fr-FR"/>
        </w:rPr>
        <w:t>’</w:t>
      </w:r>
      <w:r w:rsidRPr="00542BD1">
        <w:rPr>
          <w:lang w:val="fr-FR"/>
        </w:rPr>
        <w:t>autres conclusions en appel. Après examen, il n</w:t>
      </w:r>
      <w:r>
        <w:rPr>
          <w:lang w:val="fr-FR"/>
        </w:rPr>
        <w:t>’</w:t>
      </w:r>
      <w:r w:rsidRPr="00542BD1">
        <w:rPr>
          <w:lang w:val="fr-FR"/>
        </w:rPr>
        <w:t>a pas semblé pertinent au Président, dans l</w:t>
      </w:r>
      <w:r>
        <w:rPr>
          <w:lang w:val="fr-FR"/>
        </w:rPr>
        <w:t>’</w:t>
      </w:r>
      <w:r w:rsidRPr="00542BD1">
        <w:rPr>
          <w:lang w:val="fr-FR"/>
        </w:rPr>
        <w:t>intérêt d</w:t>
      </w:r>
      <w:r>
        <w:rPr>
          <w:lang w:val="fr-FR"/>
        </w:rPr>
        <w:t>’</w:t>
      </w:r>
      <w:r w:rsidRPr="00542BD1">
        <w:rPr>
          <w:lang w:val="fr-FR"/>
        </w:rPr>
        <w:t>une bonne administration de la justice, de renvoyer l</w:t>
      </w:r>
      <w:r>
        <w:rPr>
          <w:lang w:val="fr-FR"/>
        </w:rPr>
        <w:t>’</w:t>
      </w:r>
      <w:r w:rsidRPr="00542BD1">
        <w:rPr>
          <w:lang w:val="fr-FR"/>
        </w:rPr>
        <w:t xml:space="preserve">affaire devant la </w:t>
      </w:r>
      <w:r>
        <w:rPr>
          <w:lang w:val="fr-FR"/>
        </w:rPr>
        <w:t>C</w:t>
      </w:r>
      <w:r w:rsidRPr="00542BD1">
        <w:rPr>
          <w:lang w:val="fr-FR"/>
        </w:rPr>
        <w:t>our d</w:t>
      </w:r>
      <w:r>
        <w:rPr>
          <w:lang w:val="fr-FR"/>
        </w:rPr>
        <w:t>’</w:t>
      </w:r>
      <w:r w:rsidRPr="00542BD1">
        <w:rPr>
          <w:lang w:val="fr-FR"/>
        </w:rPr>
        <w:t>appel</w:t>
      </w:r>
      <w:r>
        <w:rPr>
          <w:lang w:val="fr-FR"/>
        </w:rPr>
        <w:t xml:space="preserve"> </w:t>
      </w:r>
      <w:r w:rsidRPr="00542BD1">
        <w:rPr>
          <w:lang w:val="fr-FR"/>
        </w:rPr>
        <w:t>; le dossier ne sera</w:t>
      </w:r>
      <w:r>
        <w:rPr>
          <w:lang w:val="fr-FR"/>
        </w:rPr>
        <w:t>it</w:t>
      </w:r>
      <w:r w:rsidRPr="00542BD1">
        <w:rPr>
          <w:lang w:val="fr-FR"/>
        </w:rPr>
        <w:t xml:space="preserve"> donc pas examiné en appel. Le Président de la </w:t>
      </w:r>
      <w:r>
        <w:rPr>
          <w:lang w:val="fr-FR"/>
        </w:rPr>
        <w:t>C</w:t>
      </w:r>
      <w:r w:rsidRPr="00542BD1">
        <w:rPr>
          <w:lang w:val="fr-FR"/>
        </w:rPr>
        <w:t>our d</w:t>
      </w:r>
      <w:r>
        <w:rPr>
          <w:lang w:val="fr-FR"/>
        </w:rPr>
        <w:t>’</w:t>
      </w:r>
      <w:r w:rsidRPr="00542BD1">
        <w:rPr>
          <w:lang w:val="fr-FR"/>
        </w:rPr>
        <w:t>appel a fondé sa décision sur les</w:t>
      </w:r>
      <w:r w:rsidRPr="00542BD1">
        <w:rPr>
          <w:b/>
          <w:bCs/>
          <w:lang w:val="fr-FR"/>
        </w:rPr>
        <w:t xml:space="preserve"> </w:t>
      </w:r>
      <w:r w:rsidRPr="00542BD1">
        <w:rPr>
          <w:lang w:val="fr-FR"/>
        </w:rPr>
        <w:t>pièces du dossier et sur l</w:t>
      </w:r>
      <w:r>
        <w:rPr>
          <w:lang w:val="fr-FR"/>
        </w:rPr>
        <w:t>’</w:t>
      </w:r>
      <w:r w:rsidRPr="00542BD1">
        <w:rPr>
          <w:lang w:val="fr-FR"/>
        </w:rPr>
        <w:t>article</w:t>
      </w:r>
      <w:r>
        <w:rPr>
          <w:lang w:val="fr-FR"/>
        </w:rPr>
        <w:t> </w:t>
      </w:r>
      <w:r w:rsidRPr="00542BD1">
        <w:rPr>
          <w:lang w:val="fr-FR"/>
        </w:rPr>
        <w:t>410</w:t>
      </w:r>
      <w:r>
        <w:rPr>
          <w:lang w:val="fr-FR"/>
        </w:rPr>
        <w:t xml:space="preserve"> (</w:t>
      </w:r>
      <w:r w:rsidRPr="00542BD1">
        <w:rPr>
          <w:lang w:val="fr-FR"/>
        </w:rPr>
        <w:t>a</w:t>
      </w:r>
      <w:r>
        <w:rPr>
          <w:lang w:val="fr-FR"/>
        </w:rPr>
        <w:t>l. a))</w:t>
      </w:r>
      <w:r w:rsidRPr="00542BD1">
        <w:rPr>
          <w:lang w:val="fr-FR"/>
        </w:rPr>
        <w:t xml:space="preserve"> du Code de procédure pénale.</w:t>
      </w:r>
    </w:p>
    <w:p w14:paraId="16E7571C" w14:textId="2FAA55D1" w:rsidR="00246C3A" w:rsidRPr="00542BD1" w:rsidRDefault="00246C3A" w:rsidP="00246C3A">
      <w:pPr>
        <w:pStyle w:val="SingleTxtG"/>
      </w:pPr>
      <w:r w:rsidRPr="00542BD1">
        <w:rPr>
          <w:lang w:val="fr-FR"/>
        </w:rPr>
        <w:t>2.8</w:t>
      </w:r>
      <w:r w:rsidRPr="00542BD1">
        <w:rPr>
          <w:lang w:val="fr-FR"/>
        </w:rPr>
        <w:tab/>
        <w:t>L</w:t>
      </w:r>
      <w:r>
        <w:rPr>
          <w:lang w:val="fr-FR"/>
        </w:rPr>
        <w:t>’</w:t>
      </w:r>
      <w:r w:rsidRPr="00542BD1">
        <w:rPr>
          <w:lang w:val="fr-FR"/>
        </w:rPr>
        <w:t>auteur a épuisé les recours internes étant donné qu</w:t>
      </w:r>
      <w:r>
        <w:rPr>
          <w:lang w:val="fr-FR"/>
        </w:rPr>
        <w:t>’</w:t>
      </w:r>
      <w:r w:rsidRPr="00542BD1">
        <w:rPr>
          <w:lang w:val="fr-FR"/>
        </w:rPr>
        <w:t>il n</w:t>
      </w:r>
      <w:r>
        <w:rPr>
          <w:lang w:val="fr-FR"/>
        </w:rPr>
        <w:t>’</w:t>
      </w:r>
      <w:r w:rsidRPr="00542BD1">
        <w:rPr>
          <w:lang w:val="fr-FR"/>
        </w:rPr>
        <w:t xml:space="preserve">est pas possible de se pourvoir </w:t>
      </w:r>
      <w:r>
        <w:rPr>
          <w:lang w:val="fr-FR"/>
        </w:rPr>
        <w:t xml:space="preserve">en cassation </w:t>
      </w:r>
      <w:r w:rsidRPr="00542BD1">
        <w:rPr>
          <w:lang w:val="fr-FR"/>
        </w:rPr>
        <w:t xml:space="preserve">contre la décision de la </w:t>
      </w:r>
      <w:r>
        <w:rPr>
          <w:lang w:val="fr-FR"/>
        </w:rPr>
        <w:t>C</w:t>
      </w:r>
      <w:r w:rsidRPr="00542BD1">
        <w:rPr>
          <w:lang w:val="fr-FR"/>
        </w:rPr>
        <w:t>our d</w:t>
      </w:r>
      <w:r>
        <w:rPr>
          <w:lang w:val="fr-FR"/>
        </w:rPr>
        <w:t>’</w:t>
      </w:r>
      <w:r w:rsidRPr="00542BD1">
        <w:rPr>
          <w:lang w:val="fr-FR"/>
        </w:rPr>
        <w:t>appel</w:t>
      </w:r>
      <w:r w:rsidRPr="00542BD1">
        <w:rPr>
          <w:rStyle w:val="Appelnotedebasdep"/>
          <w:lang w:val="fr-FR"/>
        </w:rPr>
        <w:footnoteReference w:id="6"/>
      </w:r>
      <w:r w:rsidRPr="00542BD1">
        <w:rPr>
          <w:lang w:val="fr-FR"/>
        </w:rPr>
        <w:t>. Néanmoins, l</w:t>
      </w:r>
      <w:r>
        <w:rPr>
          <w:lang w:val="fr-FR"/>
        </w:rPr>
        <w:t>’</w:t>
      </w:r>
      <w:r w:rsidRPr="00542BD1">
        <w:rPr>
          <w:lang w:val="fr-FR"/>
        </w:rPr>
        <w:t>auteur a formé un recours extraordinaire devant la Cour suprême pour solliciter un réexamen</w:t>
      </w:r>
      <w:r w:rsidRPr="00542BD1">
        <w:rPr>
          <w:b/>
          <w:bCs/>
          <w:lang w:val="fr-FR"/>
        </w:rPr>
        <w:t xml:space="preserve"> </w:t>
      </w:r>
      <w:r w:rsidRPr="00542BD1">
        <w:rPr>
          <w:lang w:val="fr-FR"/>
        </w:rPr>
        <w:t xml:space="preserve">des décisions de </w:t>
      </w:r>
      <w:r w:rsidRPr="00542BD1">
        <w:rPr>
          <w:lang w:val="fr-FR"/>
        </w:rPr>
        <w:lastRenderedPageBreak/>
        <w:t>la juridiction inférieure</w:t>
      </w:r>
      <w:r w:rsidRPr="00542BD1">
        <w:rPr>
          <w:rStyle w:val="Appelnotedebasdep"/>
          <w:lang w:val="fr-FR"/>
        </w:rPr>
        <w:footnoteReference w:id="7"/>
      </w:r>
      <w:r w:rsidRPr="00542BD1">
        <w:rPr>
          <w:lang w:val="fr-FR"/>
        </w:rPr>
        <w:t>. Le 19</w:t>
      </w:r>
      <w:r>
        <w:rPr>
          <w:lang w:val="fr-FR"/>
        </w:rPr>
        <w:t> </w:t>
      </w:r>
      <w:r w:rsidRPr="00542BD1">
        <w:rPr>
          <w:lang w:val="fr-FR"/>
        </w:rPr>
        <w:t>mars 2013, la Cour suprême a rejeté le recours de l</w:t>
      </w:r>
      <w:r>
        <w:rPr>
          <w:lang w:val="fr-FR"/>
        </w:rPr>
        <w:t>’</w:t>
      </w:r>
      <w:r w:rsidRPr="00542BD1">
        <w:rPr>
          <w:lang w:val="fr-FR"/>
        </w:rPr>
        <w:t>auteur</w:t>
      </w:r>
      <w:r w:rsidRPr="00542BD1">
        <w:rPr>
          <w:rStyle w:val="Appelnotedebasdep"/>
          <w:lang w:val="fr-FR"/>
        </w:rPr>
        <w:footnoteReference w:id="8"/>
      </w:r>
      <w:r w:rsidRPr="00542BD1">
        <w:rPr>
          <w:lang w:val="fr-FR"/>
        </w:rPr>
        <w:t>. L</w:t>
      </w:r>
      <w:r>
        <w:rPr>
          <w:lang w:val="fr-FR"/>
        </w:rPr>
        <w:t>’</w:t>
      </w:r>
      <w:r w:rsidRPr="00542BD1">
        <w:rPr>
          <w:lang w:val="fr-FR"/>
        </w:rPr>
        <w:t>auteur n</w:t>
      </w:r>
      <w:r>
        <w:rPr>
          <w:lang w:val="fr-FR"/>
        </w:rPr>
        <w:t>’</w:t>
      </w:r>
      <w:r w:rsidRPr="00542BD1">
        <w:rPr>
          <w:lang w:val="fr-FR"/>
        </w:rPr>
        <w:t>a pas saisi d</w:t>
      </w:r>
      <w:r>
        <w:rPr>
          <w:lang w:val="fr-FR"/>
        </w:rPr>
        <w:t>’</w:t>
      </w:r>
      <w:r w:rsidRPr="00542BD1">
        <w:rPr>
          <w:lang w:val="fr-FR"/>
        </w:rPr>
        <w:t>autre instance internationale d</w:t>
      </w:r>
      <w:r>
        <w:rPr>
          <w:lang w:val="fr-FR"/>
        </w:rPr>
        <w:t>’</w:t>
      </w:r>
      <w:r w:rsidRPr="00542BD1">
        <w:rPr>
          <w:lang w:val="fr-FR"/>
        </w:rPr>
        <w:t>enquête ou de règlement.</w:t>
      </w:r>
    </w:p>
    <w:p w14:paraId="44058691" w14:textId="77777777" w:rsidR="00246C3A" w:rsidRPr="00F574EC" w:rsidRDefault="00246C3A" w:rsidP="00246C3A">
      <w:pPr>
        <w:pStyle w:val="H23G"/>
      </w:pPr>
      <w:r w:rsidRPr="00542BD1">
        <w:rPr>
          <w:lang w:val="fr-FR"/>
        </w:rPr>
        <w:tab/>
      </w:r>
      <w:r w:rsidRPr="00542BD1">
        <w:rPr>
          <w:lang w:val="fr-FR"/>
        </w:rPr>
        <w:tab/>
      </w:r>
      <w:r w:rsidRPr="00F574EC">
        <w:rPr>
          <w:lang w:val="fr-FR"/>
        </w:rPr>
        <w:t>Teneur de la plainte</w:t>
      </w:r>
    </w:p>
    <w:p w14:paraId="230847C3" w14:textId="7870F072" w:rsidR="00246C3A" w:rsidRPr="00542BD1" w:rsidRDefault="00246C3A" w:rsidP="00246C3A">
      <w:pPr>
        <w:pStyle w:val="SingleTxtG"/>
      </w:pPr>
      <w:r w:rsidRPr="00F574EC">
        <w:rPr>
          <w:lang w:val="fr-FR"/>
        </w:rPr>
        <w:t>3.1</w:t>
      </w:r>
      <w:r w:rsidRPr="00F574EC">
        <w:rPr>
          <w:lang w:val="fr-FR"/>
        </w:rPr>
        <w:tab/>
        <w:t>L</w:t>
      </w:r>
      <w:r w:rsidRPr="00F574EC">
        <w:rPr>
          <w:lang w:val="fr-FR"/>
        </w:rPr>
        <w:t>’</w:t>
      </w:r>
      <w:r w:rsidRPr="00F574EC">
        <w:rPr>
          <w:lang w:val="fr-FR"/>
        </w:rPr>
        <w:t>auteur affirme que l</w:t>
      </w:r>
      <w:r w:rsidRPr="00F574EC">
        <w:rPr>
          <w:lang w:val="fr-FR"/>
        </w:rPr>
        <w:t>’</w:t>
      </w:r>
      <w:r w:rsidRPr="00F574EC">
        <w:rPr>
          <w:lang w:val="fr-FR"/>
        </w:rPr>
        <w:t>État partie a violé les droits qu</w:t>
      </w:r>
      <w:r w:rsidRPr="00F574EC">
        <w:rPr>
          <w:lang w:val="fr-FR"/>
        </w:rPr>
        <w:t>’</w:t>
      </w:r>
      <w:r w:rsidRPr="00F574EC">
        <w:rPr>
          <w:lang w:val="fr-FR"/>
        </w:rPr>
        <w:t>il tient de l</w:t>
      </w:r>
      <w:r w:rsidRPr="00F574EC">
        <w:rPr>
          <w:lang w:val="fr-FR"/>
        </w:rPr>
        <w:t>’</w:t>
      </w:r>
      <w:r w:rsidRPr="00F574EC">
        <w:rPr>
          <w:lang w:val="fr-FR"/>
        </w:rPr>
        <w:t>article 14 (par. 5) du Pacte. En vertu du Code de procédure pénale, l</w:t>
      </w:r>
      <w:r w:rsidRPr="00F574EC">
        <w:rPr>
          <w:lang w:val="fr-FR"/>
        </w:rPr>
        <w:t>’</w:t>
      </w:r>
      <w:r w:rsidRPr="00F574EC">
        <w:rPr>
          <w:lang w:val="fr-FR"/>
        </w:rPr>
        <w:t>auteur a le droit de faire appel, ou de demander l</w:t>
      </w:r>
      <w:r w:rsidRPr="00F574EC">
        <w:rPr>
          <w:lang w:val="fr-FR"/>
        </w:rPr>
        <w:t>’</w:t>
      </w:r>
      <w:r w:rsidRPr="00F574EC">
        <w:rPr>
          <w:lang w:val="fr-FR"/>
        </w:rPr>
        <w:t>autorisation de faire appel, devant la Cour d</w:t>
      </w:r>
      <w:r w:rsidRPr="00F574EC">
        <w:rPr>
          <w:lang w:val="fr-FR"/>
        </w:rPr>
        <w:t>’</w:t>
      </w:r>
      <w:r w:rsidRPr="00F574EC">
        <w:rPr>
          <w:lang w:val="fr-FR"/>
        </w:rPr>
        <w:t>appel. Toutefois, le droit interne n</w:t>
      </w:r>
      <w:r w:rsidRPr="00F574EC">
        <w:rPr>
          <w:lang w:val="fr-FR"/>
        </w:rPr>
        <w:t>’</w:t>
      </w:r>
      <w:r w:rsidRPr="00F574EC">
        <w:rPr>
          <w:lang w:val="fr-FR"/>
        </w:rPr>
        <w:t>exigeait pas du juge de police du tribunal de district qu</w:t>
      </w:r>
      <w:r w:rsidRPr="00F574EC">
        <w:rPr>
          <w:lang w:val="fr-FR"/>
        </w:rPr>
        <w:t>’</w:t>
      </w:r>
      <w:r w:rsidRPr="00F574EC">
        <w:rPr>
          <w:lang w:val="fr-FR"/>
        </w:rPr>
        <w:t>il rende un jugement écrit et motivé, ni qu</w:t>
      </w:r>
      <w:r w:rsidRPr="00F574EC">
        <w:rPr>
          <w:lang w:val="fr-FR"/>
        </w:rPr>
        <w:t>’</w:t>
      </w:r>
      <w:r w:rsidRPr="00F574EC">
        <w:rPr>
          <w:lang w:val="fr-FR"/>
        </w:rPr>
        <w:t>il</w:t>
      </w:r>
      <w:r w:rsidRPr="00542BD1">
        <w:rPr>
          <w:lang w:val="fr-FR"/>
        </w:rPr>
        <w:t xml:space="preserve"> produise un compte rendu d</w:t>
      </w:r>
      <w:r>
        <w:rPr>
          <w:lang w:val="fr-FR"/>
        </w:rPr>
        <w:t>’</w:t>
      </w:r>
      <w:r w:rsidRPr="00542BD1">
        <w:rPr>
          <w:lang w:val="fr-FR"/>
        </w:rPr>
        <w:t>audience. L</w:t>
      </w:r>
      <w:r>
        <w:rPr>
          <w:lang w:val="fr-FR"/>
        </w:rPr>
        <w:t>’</w:t>
      </w:r>
      <w:r w:rsidRPr="00542BD1">
        <w:rPr>
          <w:lang w:val="fr-FR"/>
        </w:rPr>
        <w:t>auteur s</w:t>
      </w:r>
      <w:r>
        <w:rPr>
          <w:lang w:val="fr-FR"/>
        </w:rPr>
        <w:t>’</w:t>
      </w:r>
      <w:r w:rsidRPr="00542BD1">
        <w:rPr>
          <w:lang w:val="fr-FR"/>
        </w:rPr>
        <w:t>est vu refuser l</w:t>
      </w:r>
      <w:r>
        <w:rPr>
          <w:lang w:val="fr-FR"/>
        </w:rPr>
        <w:t>’</w:t>
      </w:r>
      <w:r w:rsidRPr="00542BD1">
        <w:rPr>
          <w:lang w:val="fr-FR"/>
        </w:rPr>
        <w:t>accès à ces documents tant en première qu</w:t>
      </w:r>
      <w:r>
        <w:rPr>
          <w:lang w:val="fr-FR"/>
        </w:rPr>
        <w:t>’</w:t>
      </w:r>
      <w:r w:rsidRPr="00542BD1">
        <w:rPr>
          <w:lang w:val="fr-FR"/>
        </w:rPr>
        <w:t>en deuxième instance, et n</w:t>
      </w:r>
      <w:r>
        <w:rPr>
          <w:lang w:val="fr-FR"/>
        </w:rPr>
        <w:t>’</w:t>
      </w:r>
      <w:r w:rsidRPr="00542BD1">
        <w:rPr>
          <w:lang w:val="fr-FR"/>
        </w:rPr>
        <w:t>a donc pas pu exercer effectivement son droit de faire appel.</w:t>
      </w:r>
    </w:p>
    <w:p w14:paraId="0FB5CA93" w14:textId="20F452D4" w:rsidR="00246C3A" w:rsidRPr="00542BD1" w:rsidRDefault="00246C3A" w:rsidP="00246C3A">
      <w:pPr>
        <w:pStyle w:val="SingleTxtG"/>
        <w:keepNext/>
        <w:keepLines/>
      </w:pPr>
      <w:r w:rsidRPr="00542BD1">
        <w:rPr>
          <w:lang w:val="fr-FR"/>
        </w:rPr>
        <w:t>3.2</w:t>
      </w:r>
      <w:r w:rsidRPr="00542BD1">
        <w:rPr>
          <w:lang w:val="fr-FR"/>
        </w:rPr>
        <w:tab/>
        <w:t xml:space="preserve">De plus, la </w:t>
      </w:r>
      <w:r>
        <w:rPr>
          <w:lang w:val="fr-FR"/>
        </w:rPr>
        <w:t>C</w:t>
      </w:r>
      <w:r w:rsidRPr="00542BD1">
        <w:rPr>
          <w:lang w:val="fr-FR"/>
        </w:rPr>
        <w:t>our d</w:t>
      </w:r>
      <w:r>
        <w:rPr>
          <w:lang w:val="fr-FR"/>
        </w:rPr>
        <w:t>’</w:t>
      </w:r>
      <w:r w:rsidRPr="00542BD1">
        <w:rPr>
          <w:lang w:val="fr-FR"/>
        </w:rPr>
        <w:t>appel d</w:t>
      </w:r>
      <w:r>
        <w:rPr>
          <w:lang w:val="fr-FR"/>
        </w:rPr>
        <w:t>’</w:t>
      </w:r>
      <w:r w:rsidRPr="00542BD1">
        <w:rPr>
          <w:lang w:val="fr-FR"/>
        </w:rPr>
        <w:t>Arnhem, qui a rejeté la demande d</w:t>
      </w:r>
      <w:r>
        <w:rPr>
          <w:lang w:val="fr-FR"/>
        </w:rPr>
        <w:t>’</w:t>
      </w:r>
      <w:r w:rsidRPr="00542BD1">
        <w:rPr>
          <w:lang w:val="fr-FR"/>
        </w:rPr>
        <w:t>autorisation de faire appel de la décision du juge de police du tribunal de district présentée par l</w:t>
      </w:r>
      <w:r>
        <w:rPr>
          <w:lang w:val="fr-FR"/>
        </w:rPr>
        <w:t>’</w:t>
      </w:r>
      <w:r w:rsidRPr="00542BD1">
        <w:rPr>
          <w:lang w:val="fr-FR"/>
        </w:rPr>
        <w:t>auteur, n</w:t>
      </w:r>
      <w:r>
        <w:rPr>
          <w:lang w:val="fr-FR"/>
        </w:rPr>
        <w:t>’</w:t>
      </w:r>
      <w:r w:rsidRPr="00542BD1">
        <w:rPr>
          <w:lang w:val="fr-FR"/>
        </w:rPr>
        <w:t xml:space="preserve">a pas procédé à un réexamen complet de </w:t>
      </w:r>
      <w:r>
        <w:rPr>
          <w:lang w:val="fr-FR"/>
        </w:rPr>
        <w:t xml:space="preserve">la </w:t>
      </w:r>
      <w:r w:rsidRPr="00542BD1">
        <w:rPr>
          <w:lang w:val="fr-FR"/>
        </w:rPr>
        <w:t>déclaration de culpabilité et de la condamnation de l</w:t>
      </w:r>
      <w:r>
        <w:rPr>
          <w:lang w:val="fr-FR"/>
        </w:rPr>
        <w:t>’</w:t>
      </w:r>
      <w:r w:rsidRPr="00542BD1">
        <w:rPr>
          <w:lang w:val="fr-FR"/>
        </w:rPr>
        <w:t>auteur</w:t>
      </w:r>
      <w:r w:rsidRPr="00542BD1">
        <w:rPr>
          <w:rStyle w:val="Appelnotedebasdep"/>
          <w:lang w:val="fr-FR"/>
        </w:rPr>
        <w:footnoteReference w:id="9"/>
      </w:r>
      <w:r w:rsidRPr="00542BD1">
        <w:rPr>
          <w:lang w:val="fr-FR"/>
        </w:rPr>
        <w:t>. L</w:t>
      </w:r>
      <w:r>
        <w:rPr>
          <w:lang w:val="fr-FR"/>
        </w:rPr>
        <w:t>’</w:t>
      </w:r>
      <w:r w:rsidRPr="00542BD1">
        <w:rPr>
          <w:lang w:val="fr-FR"/>
        </w:rPr>
        <w:t>État partie devait garantir que la juridiction supérieure statuant sur la demande d</w:t>
      </w:r>
      <w:r>
        <w:rPr>
          <w:lang w:val="fr-FR"/>
        </w:rPr>
        <w:t>’</w:t>
      </w:r>
      <w:r w:rsidRPr="00542BD1">
        <w:rPr>
          <w:lang w:val="fr-FR"/>
        </w:rPr>
        <w:t>autorisation de faire appel effectue un examen au fond de la déclaration de culpabilité et de la condamnation, en s</w:t>
      </w:r>
      <w:r>
        <w:rPr>
          <w:lang w:val="fr-FR"/>
        </w:rPr>
        <w:t>’</w:t>
      </w:r>
      <w:r w:rsidRPr="00542BD1">
        <w:rPr>
          <w:lang w:val="fr-FR"/>
        </w:rPr>
        <w:t>appuyant tant sur les faits que sur les éléments de droit. Dans le cas de l</w:t>
      </w:r>
      <w:r>
        <w:rPr>
          <w:lang w:val="fr-FR"/>
        </w:rPr>
        <w:t>’</w:t>
      </w:r>
      <w:r w:rsidRPr="00542BD1">
        <w:rPr>
          <w:lang w:val="fr-FR"/>
        </w:rPr>
        <w:t>auteur, un tel examen au fond n</w:t>
      </w:r>
      <w:r>
        <w:rPr>
          <w:lang w:val="fr-FR"/>
        </w:rPr>
        <w:t>’</w:t>
      </w:r>
      <w:r w:rsidRPr="00542BD1">
        <w:rPr>
          <w:lang w:val="fr-FR"/>
        </w:rPr>
        <w:t>a pas eu lieu car la juridiction supérieure ne disposait pas d</w:t>
      </w:r>
      <w:r>
        <w:rPr>
          <w:lang w:val="fr-FR"/>
        </w:rPr>
        <w:t>’</w:t>
      </w:r>
      <w:r w:rsidRPr="00542BD1">
        <w:rPr>
          <w:lang w:val="fr-FR"/>
        </w:rPr>
        <w:t>un jugement dûment motivé émanant du tribunal de première instance</w:t>
      </w:r>
      <w:r>
        <w:rPr>
          <w:lang w:val="fr-FR"/>
        </w:rPr>
        <w:t>.</w:t>
      </w:r>
      <w:r w:rsidRPr="00542BD1">
        <w:rPr>
          <w:lang w:val="fr-FR"/>
        </w:rPr>
        <w:t xml:space="preserve"> </w:t>
      </w:r>
      <w:r>
        <w:rPr>
          <w:lang w:val="fr-FR"/>
        </w:rPr>
        <w:t>I</w:t>
      </w:r>
      <w:r w:rsidRPr="00542BD1">
        <w:rPr>
          <w:lang w:val="fr-FR"/>
        </w:rPr>
        <w:t>l n</w:t>
      </w:r>
      <w:r>
        <w:rPr>
          <w:lang w:val="fr-FR"/>
        </w:rPr>
        <w:t>’</w:t>
      </w:r>
      <w:r w:rsidRPr="00542BD1">
        <w:rPr>
          <w:lang w:val="fr-FR"/>
        </w:rPr>
        <w:t>y avait en particulier aucune mention des moyens de preuve retenus. De plus, la juridiction supérieure ne disposait pas d</w:t>
      </w:r>
      <w:r>
        <w:rPr>
          <w:lang w:val="fr-FR"/>
        </w:rPr>
        <w:t>’</w:t>
      </w:r>
      <w:r w:rsidRPr="00542BD1">
        <w:rPr>
          <w:lang w:val="fr-FR"/>
        </w:rPr>
        <w:t>un compte rendu de l</w:t>
      </w:r>
      <w:r>
        <w:rPr>
          <w:lang w:val="fr-FR"/>
        </w:rPr>
        <w:t>’</w:t>
      </w:r>
      <w:r w:rsidRPr="00542BD1">
        <w:rPr>
          <w:lang w:val="fr-FR"/>
        </w:rPr>
        <w:t>audience de première instance et ne pouvait dès lors pas réexaminer les preuves sur lesquelles la déclaration de culpabilité était fondée. Pour satisfaire aux critères énoncés à l</w:t>
      </w:r>
      <w:r>
        <w:rPr>
          <w:lang w:val="fr-FR"/>
        </w:rPr>
        <w:t>’</w:t>
      </w:r>
      <w:r w:rsidRPr="00542BD1">
        <w:rPr>
          <w:lang w:val="fr-FR"/>
        </w:rPr>
        <w:t>article</w:t>
      </w:r>
      <w:r>
        <w:rPr>
          <w:lang w:val="fr-FR"/>
        </w:rPr>
        <w:t> </w:t>
      </w:r>
      <w:r w:rsidRPr="00542BD1">
        <w:rPr>
          <w:lang w:val="fr-FR"/>
        </w:rPr>
        <w:t>14 (par.</w:t>
      </w:r>
      <w:r>
        <w:rPr>
          <w:lang w:val="fr-FR"/>
        </w:rPr>
        <w:t> </w:t>
      </w:r>
      <w:r w:rsidRPr="00542BD1">
        <w:rPr>
          <w:lang w:val="fr-FR"/>
        </w:rPr>
        <w:t>5) du Pacte, la juridiction supérieure doit examiner de manière très détaillée tant les éléments de preuve qui ont conduit à la</w:t>
      </w:r>
      <w:r w:rsidRPr="00542BD1">
        <w:rPr>
          <w:b/>
          <w:bCs/>
          <w:lang w:val="fr-FR"/>
        </w:rPr>
        <w:t xml:space="preserve"> </w:t>
      </w:r>
      <w:r w:rsidRPr="00542BD1">
        <w:rPr>
          <w:lang w:val="fr-FR"/>
        </w:rPr>
        <w:t>déclaration de culpabilité que les arguments avancés en appel par la personne déclarée coupable</w:t>
      </w:r>
      <w:r w:rsidRPr="00542BD1">
        <w:rPr>
          <w:rStyle w:val="Appelnotedebasdep"/>
          <w:lang w:val="fr-FR"/>
        </w:rPr>
        <w:footnoteReference w:id="10"/>
      </w:r>
      <w:r w:rsidRPr="00542BD1">
        <w:rPr>
          <w:lang w:val="fr-FR"/>
        </w:rPr>
        <w:t>. L</w:t>
      </w:r>
      <w:r>
        <w:rPr>
          <w:lang w:val="fr-FR"/>
        </w:rPr>
        <w:t>’</w:t>
      </w:r>
      <w:r w:rsidRPr="00542BD1">
        <w:rPr>
          <w:lang w:val="fr-FR"/>
        </w:rPr>
        <w:t xml:space="preserve">auteur cite longuement la jurisprudence du Comité dans les affaires </w:t>
      </w:r>
      <w:proofErr w:type="spellStart"/>
      <w:r w:rsidRPr="00542BD1">
        <w:rPr>
          <w:i/>
          <w:iCs/>
          <w:lang w:val="fr-FR"/>
        </w:rPr>
        <w:t>Mennen</w:t>
      </w:r>
      <w:proofErr w:type="spellEnd"/>
      <w:r w:rsidRPr="00542BD1">
        <w:rPr>
          <w:i/>
          <w:iCs/>
          <w:lang w:val="fr-FR"/>
        </w:rPr>
        <w:t xml:space="preserve"> c. Pays-Bas</w:t>
      </w:r>
      <w:r w:rsidRPr="00542BD1">
        <w:rPr>
          <w:lang w:val="fr-FR"/>
        </w:rPr>
        <w:t xml:space="preserve"> et </w:t>
      </w:r>
      <w:proofErr w:type="spellStart"/>
      <w:r w:rsidRPr="00542BD1">
        <w:rPr>
          <w:i/>
          <w:iCs/>
          <w:lang w:val="fr-FR"/>
        </w:rPr>
        <w:t>Timmer</w:t>
      </w:r>
      <w:proofErr w:type="spellEnd"/>
      <w:r w:rsidRPr="00542BD1">
        <w:rPr>
          <w:i/>
          <w:iCs/>
          <w:lang w:val="fr-FR"/>
        </w:rPr>
        <w:t xml:space="preserve"> c. Pays-Bas</w:t>
      </w:r>
      <w:r w:rsidRPr="00301D32">
        <w:rPr>
          <w:rStyle w:val="Appelnotedebasdep"/>
          <w:iCs/>
        </w:rPr>
        <w:footnoteReference w:id="11"/>
      </w:r>
      <w:r w:rsidRPr="00542BD1">
        <w:rPr>
          <w:lang w:val="fr-FR"/>
        </w:rPr>
        <w:t>,</w:t>
      </w:r>
      <w:r w:rsidRPr="00542BD1">
        <w:rPr>
          <w:b/>
          <w:bCs/>
          <w:lang w:val="fr-FR"/>
        </w:rPr>
        <w:t xml:space="preserve"> </w:t>
      </w:r>
      <w:r w:rsidRPr="00542BD1">
        <w:rPr>
          <w:lang w:val="fr-FR"/>
        </w:rPr>
        <w:t>dont la deuxième concerne son frère. Dans ces affaires, le Comité a conclu à des violations de l</w:t>
      </w:r>
      <w:r>
        <w:rPr>
          <w:lang w:val="fr-FR"/>
        </w:rPr>
        <w:t>’</w:t>
      </w:r>
      <w:r w:rsidRPr="00542BD1">
        <w:rPr>
          <w:lang w:val="fr-FR"/>
        </w:rPr>
        <w:t>article 14 (par. 5) du Pacte. La présente affaire présente des circonstances analogues. L</w:t>
      </w:r>
      <w:r>
        <w:rPr>
          <w:lang w:val="fr-FR"/>
        </w:rPr>
        <w:t>’</w:t>
      </w:r>
      <w:r w:rsidRPr="00542BD1">
        <w:rPr>
          <w:lang w:val="fr-FR"/>
        </w:rPr>
        <w:t>État partie n</w:t>
      </w:r>
      <w:r>
        <w:rPr>
          <w:lang w:val="fr-FR"/>
        </w:rPr>
        <w:t>’</w:t>
      </w:r>
      <w:r w:rsidRPr="00542BD1">
        <w:rPr>
          <w:lang w:val="fr-FR"/>
        </w:rPr>
        <w:t xml:space="preserve">a pas donné suite aux constatations du Comité dans les affaires </w:t>
      </w:r>
      <w:proofErr w:type="spellStart"/>
      <w:r w:rsidRPr="00542BD1">
        <w:rPr>
          <w:i/>
          <w:iCs/>
          <w:lang w:val="fr-FR"/>
        </w:rPr>
        <w:t>Mennen</w:t>
      </w:r>
      <w:proofErr w:type="spellEnd"/>
      <w:r w:rsidR="00F574EC">
        <w:rPr>
          <w:i/>
          <w:iCs/>
          <w:lang w:val="fr-FR"/>
        </w:rPr>
        <w:t xml:space="preserve"> </w:t>
      </w:r>
      <w:r w:rsidRPr="00542BD1">
        <w:rPr>
          <w:i/>
          <w:iCs/>
          <w:lang w:val="fr-FR"/>
        </w:rPr>
        <w:t>c.</w:t>
      </w:r>
      <w:r w:rsidR="00F574EC">
        <w:rPr>
          <w:i/>
          <w:iCs/>
          <w:lang w:val="fr-FR"/>
        </w:rPr>
        <w:t xml:space="preserve"> </w:t>
      </w:r>
      <w:r w:rsidRPr="00542BD1">
        <w:rPr>
          <w:i/>
          <w:iCs/>
          <w:lang w:val="fr-FR"/>
        </w:rPr>
        <w:t>Pays-Bas</w:t>
      </w:r>
      <w:r w:rsidRPr="00542BD1">
        <w:rPr>
          <w:lang w:val="fr-FR"/>
        </w:rPr>
        <w:t xml:space="preserve"> et </w:t>
      </w:r>
      <w:proofErr w:type="spellStart"/>
      <w:r w:rsidRPr="00542BD1">
        <w:rPr>
          <w:i/>
          <w:iCs/>
          <w:lang w:val="fr-FR"/>
        </w:rPr>
        <w:t>Timmer</w:t>
      </w:r>
      <w:proofErr w:type="spellEnd"/>
      <w:r w:rsidRPr="00542BD1">
        <w:rPr>
          <w:i/>
          <w:iCs/>
          <w:lang w:val="fr-FR"/>
        </w:rPr>
        <w:t xml:space="preserve"> c. Pays-Bas</w:t>
      </w:r>
      <w:r w:rsidRPr="00542BD1">
        <w:rPr>
          <w:lang w:val="fr-FR"/>
        </w:rPr>
        <w:t xml:space="preserve"> afin d</w:t>
      </w:r>
      <w:r>
        <w:rPr>
          <w:lang w:val="fr-FR"/>
        </w:rPr>
        <w:t>’</w:t>
      </w:r>
      <w:r w:rsidRPr="00542BD1">
        <w:rPr>
          <w:lang w:val="fr-FR"/>
        </w:rPr>
        <w:t>empêcher que de telles violations ne se produisent à nouveau.</w:t>
      </w:r>
    </w:p>
    <w:p w14:paraId="4C292EDC" w14:textId="3EF24161" w:rsidR="00246C3A" w:rsidRPr="00542BD1" w:rsidRDefault="00246C3A" w:rsidP="00246C3A">
      <w:pPr>
        <w:pStyle w:val="SingleTxtG"/>
      </w:pPr>
      <w:r w:rsidRPr="00542BD1">
        <w:rPr>
          <w:lang w:val="fr-FR"/>
        </w:rPr>
        <w:t>3.3</w:t>
      </w:r>
      <w:r w:rsidRPr="00542BD1">
        <w:rPr>
          <w:lang w:val="fr-FR"/>
        </w:rPr>
        <w:tab/>
        <w:t>L</w:t>
      </w:r>
      <w:r>
        <w:rPr>
          <w:lang w:val="fr-FR"/>
        </w:rPr>
        <w:t>’</w:t>
      </w:r>
      <w:r w:rsidRPr="00542BD1">
        <w:rPr>
          <w:lang w:val="fr-FR"/>
        </w:rPr>
        <w:t>auteur demande une indemnisation pour tous les préjudices matériels et moraux</w:t>
      </w:r>
      <w:r>
        <w:rPr>
          <w:lang w:val="fr-FR"/>
        </w:rPr>
        <w:t>, notamment</w:t>
      </w:r>
      <w:r w:rsidRPr="00542BD1">
        <w:rPr>
          <w:lang w:val="fr-FR"/>
        </w:rPr>
        <w:t xml:space="preserve"> les atteintes à la réputation</w:t>
      </w:r>
      <w:r>
        <w:rPr>
          <w:lang w:val="fr-FR"/>
        </w:rPr>
        <w:t>,</w:t>
      </w:r>
      <w:r w:rsidRPr="00542BD1">
        <w:rPr>
          <w:lang w:val="fr-FR"/>
        </w:rPr>
        <w:t xml:space="preserve"> qu</w:t>
      </w:r>
      <w:r>
        <w:rPr>
          <w:lang w:val="fr-FR"/>
        </w:rPr>
        <w:t>’</w:t>
      </w:r>
      <w:r w:rsidRPr="00542BD1">
        <w:rPr>
          <w:lang w:val="fr-FR"/>
        </w:rPr>
        <w:t>il a subis du fait de la violation du Pacte</w:t>
      </w:r>
      <w:r w:rsidRPr="00542BD1">
        <w:rPr>
          <w:rStyle w:val="Appelnotedebasdep"/>
          <w:lang w:val="fr-FR"/>
        </w:rPr>
        <w:footnoteReference w:id="12"/>
      </w:r>
      <w:r w:rsidRPr="00542BD1">
        <w:rPr>
          <w:lang w:val="fr-FR"/>
        </w:rPr>
        <w:t>.</w:t>
      </w:r>
    </w:p>
    <w:p w14:paraId="62F7965F" w14:textId="4BA17D05" w:rsidR="00246C3A" w:rsidRPr="00542BD1" w:rsidRDefault="00246C3A" w:rsidP="00246C3A">
      <w:pPr>
        <w:pStyle w:val="H23G"/>
      </w:pPr>
      <w:r w:rsidRPr="00542BD1">
        <w:rPr>
          <w:lang w:val="fr-FR"/>
        </w:rPr>
        <w:tab/>
      </w:r>
      <w:r w:rsidRPr="00542BD1">
        <w:rPr>
          <w:lang w:val="fr-FR"/>
        </w:rPr>
        <w:tab/>
        <w:t>Observations de l</w:t>
      </w:r>
      <w:r>
        <w:rPr>
          <w:lang w:val="fr-FR"/>
        </w:rPr>
        <w:t>’</w:t>
      </w:r>
      <w:r w:rsidRPr="00542BD1">
        <w:rPr>
          <w:lang w:val="fr-FR"/>
        </w:rPr>
        <w:t>État partie sur la recevabilité</w:t>
      </w:r>
    </w:p>
    <w:p w14:paraId="4F509C4B" w14:textId="3F702C8B" w:rsidR="00246C3A" w:rsidRPr="00542BD1" w:rsidRDefault="00246C3A" w:rsidP="00246C3A">
      <w:pPr>
        <w:pStyle w:val="SingleTxtG"/>
      </w:pPr>
      <w:r w:rsidRPr="00542BD1">
        <w:rPr>
          <w:lang w:val="fr-FR"/>
        </w:rPr>
        <w:t>4.1</w:t>
      </w:r>
      <w:r w:rsidRPr="00542BD1">
        <w:rPr>
          <w:lang w:val="fr-FR"/>
        </w:rPr>
        <w:tab/>
        <w:t>Dans ses observations en date du 4</w:t>
      </w:r>
      <w:r>
        <w:rPr>
          <w:lang w:val="fr-FR"/>
        </w:rPr>
        <w:t> </w:t>
      </w:r>
      <w:r w:rsidRPr="00542BD1">
        <w:rPr>
          <w:lang w:val="fr-FR"/>
        </w:rPr>
        <w:t>septembre 2017, l</w:t>
      </w:r>
      <w:r>
        <w:rPr>
          <w:lang w:val="fr-FR"/>
        </w:rPr>
        <w:t>’</w:t>
      </w:r>
      <w:r w:rsidRPr="00542BD1">
        <w:rPr>
          <w:lang w:val="fr-FR"/>
        </w:rPr>
        <w:t>État partie affirme que la communication est irrecevable parce que l</w:t>
      </w:r>
      <w:r>
        <w:rPr>
          <w:lang w:val="fr-FR"/>
        </w:rPr>
        <w:t>’</w:t>
      </w:r>
      <w:r w:rsidRPr="00542BD1">
        <w:rPr>
          <w:lang w:val="fr-FR"/>
        </w:rPr>
        <w:t>auteur n</w:t>
      </w:r>
      <w:r>
        <w:rPr>
          <w:lang w:val="fr-FR"/>
        </w:rPr>
        <w:t>’</w:t>
      </w:r>
      <w:r w:rsidRPr="00542BD1">
        <w:rPr>
          <w:lang w:val="fr-FR"/>
        </w:rPr>
        <w:t>a pas épuisé les recours internes disponibles. Il fait savoir qu</w:t>
      </w:r>
      <w:r>
        <w:rPr>
          <w:lang w:val="fr-FR"/>
        </w:rPr>
        <w:t>’</w:t>
      </w:r>
      <w:r w:rsidRPr="00542BD1">
        <w:rPr>
          <w:lang w:val="fr-FR"/>
        </w:rPr>
        <w:t>une proposition de loi tendant à supprimer le système d</w:t>
      </w:r>
      <w:r>
        <w:rPr>
          <w:lang w:val="fr-FR"/>
        </w:rPr>
        <w:t>’</w:t>
      </w:r>
      <w:r w:rsidRPr="00542BD1">
        <w:rPr>
          <w:lang w:val="fr-FR"/>
        </w:rPr>
        <w:t>autorisation d</w:t>
      </w:r>
      <w:r>
        <w:rPr>
          <w:lang w:val="fr-FR"/>
        </w:rPr>
        <w:t>’</w:t>
      </w:r>
      <w:r w:rsidRPr="00542BD1">
        <w:rPr>
          <w:lang w:val="fr-FR"/>
        </w:rPr>
        <w:t>interjeter appel prévu à l</w:t>
      </w:r>
      <w:r>
        <w:rPr>
          <w:lang w:val="fr-FR"/>
        </w:rPr>
        <w:t>’</w:t>
      </w:r>
      <w:r w:rsidRPr="00542BD1">
        <w:rPr>
          <w:lang w:val="fr-FR"/>
        </w:rPr>
        <w:t>article</w:t>
      </w:r>
      <w:r>
        <w:rPr>
          <w:lang w:val="fr-FR"/>
        </w:rPr>
        <w:t> </w:t>
      </w:r>
      <w:r w:rsidRPr="00542BD1">
        <w:rPr>
          <w:lang w:val="fr-FR"/>
        </w:rPr>
        <w:t>410</w:t>
      </w:r>
      <w:r>
        <w:rPr>
          <w:lang w:val="fr-FR"/>
        </w:rPr>
        <w:t xml:space="preserve"> (al. </w:t>
      </w:r>
      <w:r w:rsidRPr="00542BD1">
        <w:rPr>
          <w:lang w:val="fr-FR"/>
        </w:rPr>
        <w:t>a</w:t>
      </w:r>
      <w:r>
        <w:rPr>
          <w:lang w:val="fr-FR"/>
        </w:rPr>
        <w:t>))</w:t>
      </w:r>
      <w:r w:rsidRPr="00542BD1">
        <w:rPr>
          <w:lang w:val="fr-FR"/>
        </w:rPr>
        <w:t xml:space="preserve"> du Code de procédure pénale est à l</w:t>
      </w:r>
      <w:r>
        <w:rPr>
          <w:lang w:val="fr-FR"/>
        </w:rPr>
        <w:t>’</w:t>
      </w:r>
      <w:r w:rsidRPr="00542BD1">
        <w:rPr>
          <w:lang w:val="fr-FR"/>
        </w:rPr>
        <w:t>examen dans le cadre d</w:t>
      </w:r>
      <w:r>
        <w:rPr>
          <w:lang w:val="fr-FR"/>
        </w:rPr>
        <w:t>’</w:t>
      </w:r>
      <w:r w:rsidRPr="00542BD1">
        <w:rPr>
          <w:lang w:val="fr-FR"/>
        </w:rPr>
        <w:t>une refonte plus générale du Code. Des propositions législatives concrètes sont en cours d</w:t>
      </w:r>
      <w:r>
        <w:rPr>
          <w:lang w:val="fr-FR"/>
        </w:rPr>
        <w:t>’</w:t>
      </w:r>
      <w:r w:rsidRPr="00542BD1">
        <w:rPr>
          <w:lang w:val="fr-FR"/>
        </w:rPr>
        <w:t>élaboration, sur la base d</w:t>
      </w:r>
      <w:r>
        <w:rPr>
          <w:lang w:val="fr-FR"/>
        </w:rPr>
        <w:t>’</w:t>
      </w:r>
      <w:r w:rsidRPr="00542BD1">
        <w:rPr>
          <w:lang w:val="fr-FR"/>
        </w:rPr>
        <w:t>un mémorandum final qui a été soumis à la Chambre des représentants à l</w:t>
      </w:r>
      <w:r>
        <w:rPr>
          <w:lang w:val="fr-FR"/>
        </w:rPr>
        <w:t>’</w:t>
      </w:r>
      <w:r w:rsidRPr="00542BD1">
        <w:rPr>
          <w:lang w:val="fr-FR"/>
        </w:rPr>
        <w:t xml:space="preserve">issue de larges consultations. Ces propositions sont </w:t>
      </w:r>
      <w:r w:rsidRPr="00542BD1">
        <w:rPr>
          <w:lang w:val="fr-FR"/>
        </w:rPr>
        <w:lastRenderedPageBreak/>
        <w:t>présentées à la Chambre des représentants en plusieurs parties. La dernière partie est annoncée pour 2019, après quoi une loi sera adoptée pour appliquer les</w:t>
      </w:r>
      <w:r w:rsidRPr="00542BD1">
        <w:rPr>
          <w:b/>
          <w:bCs/>
          <w:lang w:val="fr-FR"/>
        </w:rPr>
        <w:t xml:space="preserve"> </w:t>
      </w:r>
      <w:r w:rsidRPr="00542BD1">
        <w:rPr>
          <w:lang w:val="fr-FR"/>
        </w:rPr>
        <w:t>changements.</w:t>
      </w:r>
    </w:p>
    <w:p w14:paraId="6288C4A8" w14:textId="5898DBD2" w:rsidR="00246C3A" w:rsidRPr="00542BD1" w:rsidRDefault="00246C3A" w:rsidP="00246C3A">
      <w:pPr>
        <w:pStyle w:val="SingleTxtG"/>
        <w:keepLines/>
      </w:pPr>
      <w:r w:rsidRPr="0028331B">
        <w:rPr>
          <w:lang w:val="fr-FR"/>
        </w:rPr>
        <w:t>4.2</w:t>
      </w:r>
      <w:r w:rsidRPr="0028331B">
        <w:rPr>
          <w:lang w:val="fr-FR"/>
        </w:rPr>
        <w:tab/>
        <w:t>Dans le cadre du processus législatif en cours, il est devenu possible d</w:t>
      </w:r>
      <w:r w:rsidRPr="0028331B">
        <w:rPr>
          <w:lang w:val="fr-FR"/>
        </w:rPr>
        <w:t>’</w:t>
      </w:r>
      <w:r w:rsidRPr="0028331B">
        <w:rPr>
          <w:lang w:val="fr-FR"/>
        </w:rPr>
        <w:t>engager une procédure en responsabilité civile contre l</w:t>
      </w:r>
      <w:r w:rsidRPr="0028331B">
        <w:rPr>
          <w:lang w:val="fr-FR"/>
        </w:rPr>
        <w:t>’</w:t>
      </w:r>
      <w:r w:rsidRPr="0028331B">
        <w:rPr>
          <w:lang w:val="fr-FR"/>
        </w:rPr>
        <w:t>État partie devant le Conseil de la magistrature. Si, après avoir évalué le bien-fondé d</w:t>
      </w:r>
      <w:r w:rsidRPr="0028331B">
        <w:rPr>
          <w:lang w:val="fr-FR"/>
        </w:rPr>
        <w:t>’</w:t>
      </w:r>
      <w:r w:rsidRPr="0028331B">
        <w:rPr>
          <w:lang w:val="fr-FR"/>
        </w:rPr>
        <w:t>une affaire, le Conseil de la magistrature estime qu</w:t>
      </w:r>
      <w:r w:rsidRPr="0028331B">
        <w:rPr>
          <w:lang w:val="fr-FR"/>
        </w:rPr>
        <w:t>’</w:t>
      </w:r>
      <w:r w:rsidRPr="0028331B">
        <w:rPr>
          <w:lang w:val="fr-FR"/>
        </w:rPr>
        <w:t>un règlement s</w:t>
      </w:r>
      <w:r w:rsidRPr="0028331B">
        <w:rPr>
          <w:lang w:val="fr-FR"/>
        </w:rPr>
        <w:t>’</w:t>
      </w:r>
      <w:r w:rsidRPr="0028331B">
        <w:rPr>
          <w:lang w:val="fr-FR"/>
        </w:rPr>
        <w:t>impose, celui-ci comprend : le remboursement de l</w:t>
      </w:r>
      <w:r w:rsidRPr="0028331B">
        <w:rPr>
          <w:lang w:val="fr-FR"/>
        </w:rPr>
        <w:t>’</w:t>
      </w:r>
      <w:r w:rsidRPr="0028331B">
        <w:rPr>
          <w:lang w:val="fr-FR"/>
        </w:rPr>
        <w:t>amende qui a été payée ; le remboursement des frais de justice et des dépenses liées à la procédure d</w:t>
      </w:r>
      <w:r w:rsidRPr="0028331B">
        <w:rPr>
          <w:lang w:val="fr-FR"/>
        </w:rPr>
        <w:t>’</w:t>
      </w:r>
      <w:r w:rsidRPr="0028331B">
        <w:rPr>
          <w:lang w:val="fr-FR"/>
        </w:rPr>
        <w:t>autorisation de faire appel ; la suppression</w:t>
      </w:r>
      <w:r w:rsidRPr="00542BD1">
        <w:rPr>
          <w:lang w:val="fr-FR"/>
        </w:rPr>
        <w:t xml:space="preserve"> de la mention de l</w:t>
      </w:r>
      <w:r>
        <w:rPr>
          <w:lang w:val="fr-FR"/>
        </w:rPr>
        <w:t>’</w:t>
      </w:r>
      <w:r w:rsidRPr="00542BD1">
        <w:rPr>
          <w:lang w:val="fr-FR"/>
        </w:rPr>
        <w:t xml:space="preserve">infraction dans le casier judiciaire de </w:t>
      </w:r>
      <w:r>
        <w:rPr>
          <w:lang w:val="fr-FR"/>
        </w:rPr>
        <w:t>l</w:t>
      </w:r>
      <w:r>
        <w:rPr>
          <w:lang w:val="fr-FR"/>
        </w:rPr>
        <w:t>’</w:t>
      </w:r>
      <w:r>
        <w:rPr>
          <w:lang w:val="fr-FR"/>
        </w:rPr>
        <w:t>intéressé</w:t>
      </w:r>
      <w:r w:rsidRPr="00542BD1">
        <w:rPr>
          <w:lang w:val="fr-FR"/>
        </w:rPr>
        <w:t>. L</w:t>
      </w:r>
      <w:r>
        <w:rPr>
          <w:lang w:val="fr-FR"/>
        </w:rPr>
        <w:t>’</w:t>
      </w:r>
      <w:r w:rsidRPr="00542BD1">
        <w:rPr>
          <w:lang w:val="fr-FR"/>
        </w:rPr>
        <w:t>auteur de la communication a été informé de cette procédure le 7</w:t>
      </w:r>
      <w:r>
        <w:rPr>
          <w:lang w:val="fr-FR"/>
        </w:rPr>
        <w:t> </w:t>
      </w:r>
      <w:r w:rsidRPr="00542BD1">
        <w:rPr>
          <w:lang w:val="fr-FR"/>
        </w:rPr>
        <w:t>novembre 2016, mais ne s</w:t>
      </w:r>
      <w:r>
        <w:rPr>
          <w:lang w:val="fr-FR"/>
        </w:rPr>
        <w:t>’</w:t>
      </w:r>
      <w:r w:rsidRPr="00542BD1">
        <w:rPr>
          <w:lang w:val="fr-FR"/>
        </w:rPr>
        <w:t>en est pas prévalu.</w:t>
      </w:r>
    </w:p>
    <w:p w14:paraId="33ED51F3" w14:textId="09450D2A" w:rsidR="00246C3A" w:rsidRPr="00542BD1" w:rsidRDefault="00246C3A" w:rsidP="00246C3A">
      <w:pPr>
        <w:pStyle w:val="SingleTxtG"/>
      </w:pPr>
      <w:r w:rsidRPr="00542BD1">
        <w:rPr>
          <w:lang w:val="fr-FR"/>
        </w:rPr>
        <w:t>4.3</w:t>
      </w:r>
      <w:r w:rsidRPr="00542BD1">
        <w:rPr>
          <w:lang w:val="fr-FR"/>
        </w:rPr>
        <w:tab/>
        <w:t>Dans ses constatations concernant l</w:t>
      </w:r>
      <w:r>
        <w:rPr>
          <w:lang w:val="fr-FR"/>
        </w:rPr>
        <w:t>’</w:t>
      </w:r>
      <w:r w:rsidRPr="00542BD1">
        <w:rPr>
          <w:lang w:val="fr-FR"/>
        </w:rPr>
        <w:t xml:space="preserve">affaire </w:t>
      </w:r>
      <w:proofErr w:type="spellStart"/>
      <w:r w:rsidRPr="00542BD1">
        <w:rPr>
          <w:i/>
          <w:iCs/>
          <w:lang w:val="fr-FR"/>
        </w:rPr>
        <w:t>Timmer</w:t>
      </w:r>
      <w:proofErr w:type="spellEnd"/>
      <w:r w:rsidRPr="00542BD1">
        <w:rPr>
          <w:i/>
          <w:iCs/>
          <w:lang w:val="fr-FR"/>
        </w:rPr>
        <w:t xml:space="preserve"> c. Pays-Bas</w:t>
      </w:r>
      <w:r w:rsidRPr="00542BD1">
        <w:rPr>
          <w:lang w:val="fr-FR"/>
        </w:rPr>
        <w:t xml:space="preserve">, le Comité a estimé </w:t>
      </w:r>
      <w:r>
        <w:rPr>
          <w:lang w:val="fr-FR"/>
        </w:rPr>
        <w:t>q</w:t>
      </w:r>
      <w:r w:rsidRPr="00542BD1">
        <w:rPr>
          <w:lang w:val="fr-FR"/>
        </w:rPr>
        <w:t>u</w:t>
      </w:r>
      <w:r>
        <w:rPr>
          <w:lang w:val="fr-FR"/>
        </w:rPr>
        <w:t>’</w:t>
      </w:r>
      <w:r w:rsidRPr="00542BD1">
        <w:rPr>
          <w:lang w:val="fr-FR"/>
        </w:rPr>
        <w:t>en l</w:t>
      </w:r>
      <w:r>
        <w:rPr>
          <w:lang w:val="fr-FR"/>
        </w:rPr>
        <w:t>’</w:t>
      </w:r>
      <w:r w:rsidRPr="00542BD1">
        <w:rPr>
          <w:lang w:val="fr-FR"/>
        </w:rPr>
        <w:t>espèce un recours utile consisterait à permettre un réexamen de la déclaration de culpabilité et de la condamnation par une juridiction supérieure ou la mise en œuvre de toute autre mesure propre à supprimer les effets préjudiciables causés à l</w:t>
      </w:r>
      <w:r>
        <w:rPr>
          <w:lang w:val="fr-FR"/>
        </w:rPr>
        <w:t>’</w:t>
      </w:r>
      <w:r w:rsidRPr="00542BD1">
        <w:rPr>
          <w:lang w:val="fr-FR"/>
        </w:rPr>
        <w:t>auteur, et à accorder à celui-ci une indemnisation adéquate. Dans la présente affaire, il existait des mesures appropriées qui pouvaient être considérées comme de voies de recours internes. Étant donné que l</w:t>
      </w:r>
      <w:r>
        <w:rPr>
          <w:lang w:val="fr-FR"/>
        </w:rPr>
        <w:t>’</w:t>
      </w:r>
      <w:r w:rsidRPr="00542BD1">
        <w:rPr>
          <w:lang w:val="fr-FR"/>
        </w:rPr>
        <w:t>auteur ne s</w:t>
      </w:r>
      <w:r>
        <w:rPr>
          <w:lang w:val="fr-FR"/>
        </w:rPr>
        <w:t>’</w:t>
      </w:r>
      <w:r w:rsidRPr="00542BD1">
        <w:rPr>
          <w:lang w:val="fr-FR"/>
        </w:rPr>
        <w:t>en est pas prévalu, il n</w:t>
      </w:r>
      <w:r>
        <w:rPr>
          <w:lang w:val="fr-FR"/>
        </w:rPr>
        <w:t>’</w:t>
      </w:r>
      <w:r w:rsidRPr="00542BD1">
        <w:rPr>
          <w:lang w:val="fr-FR"/>
        </w:rPr>
        <w:t>a pas épuisé tous les recours internes disponibles.</w:t>
      </w:r>
    </w:p>
    <w:p w14:paraId="326DA6DA" w14:textId="5FC8D04C" w:rsidR="00246C3A" w:rsidRPr="00542BD1" w:rsidRDefault="00246C3A" w:rsidP="00246C3A">
      <w:pPr>
        <w:pStyle w:val="H23G"/>
      </w:pPr>
      <w:r w:rsidRPr="00542BD1">
        <w:rPr>
          <w:lang w:val="fr-FR"/>
        </w:rPr>
        <w:tab/>
      </w:r>
      <w:r w:rsidRPr="00542BD1">
        <w:rPr>
          <w:lang w:val="fr-FR"/>
        </w:rPr>
        <w:tab/>
        <w:t>Commentaires de l</w:t>
      </w:r>
      <w:r>
        <w:rPr>
          <w:lang w:val="fr-FR"/>
        </w:rPr>
        <w:t>’</w:t>
      </w:r>
      <w:r w:rsidRPr="00542BD1">
        <w:rPr>
          <w:lang w:val="fr-FR"/>
        </w:rPr>
        <w:t>auteur sur les observations de l</w:t>
      </w:r>
      <w:r>
        <w:rPr>
          <w:lang w:val="fr-FR"/>
        </w:rPr>
        <w:t>’</w:t>
      </w:r>
      <w:r w:rsidRPr="00542BD1">
        <w:rPr>
          <w:lang w:val="fr-FR"/>
        </w:rPr>
        <w:t xml:space="preserve">État partie </w:t>
      </w:r>
      <w:r>
        <w:rPr>
          <w:lang w:val="fr-FR"/>
        </w:rPr>
        <w:br/>
      </w:r>
      <w:r w:rsidRPr="00542BD1">
        <w:rPr>
          <w:lang w:val="fr-FR"/>
        </w:rPr>
        <w:t>concernant la recevabilité</w:t>
      </w:r>
    </w:p>
    <w:p w14:paraId="33A6CF4A" w14:textId="502A1D77" w:rsidR="00246C3A" w:rsidRPr="00542BD1" w:rsidRDefault="00246C3A" w:rsidP="00246C3A">
      <w:pPr>
        <w:pStyle w:val="SingleTxtG"/>
        <w:rPr>
          <w:iCs/>
        </w:rPr>
      </w:pPr>
      <w:r w:rsidRPr="00542BD1">
        <w:rPr>
          <w:lang w:val="fr-FR"/>
        </w:rPr>
        <w:t>5.1</w:t>
      </w:r>
      <w:r w:rsidRPr="00542BD1">
        <w:rPr>
          <w:lang w:val="fr-FR"/>
        </w:rPr>
        <w:tab/>
        <w:t>Dans ses commentaires en date du 19</w:t>
      </w:r>
      <w:r>
        <w:rPr>
          <w:lang w:val="fr-FR"/>
        </w:rPr>
        <w:t> </w:t>
      </w:r>
      <w:r w:rsidRPr="00542BD1">
        <w:rPr>
          <w:lang w:val="fr-FR"/>
        </w:rPr>
        <w:t>avril 2019, l</w:t>
      </w:r>
      <w:r>
        <w:rPr>
          <w:lang w:val="fr-FR"/>
        </w:rPr>
        <w:t>’</w:t>
      </w:r>
      <w:r w:rsidRPr="00542BD1">
        <w:rPr>
          <w:lang w:val="fr-FR"/>
        </w:rPr>
        <w:t>auteur soutient que la procédure devant le Conseil de la magistrature ne constitue pas une mesure propre à supprimer les effets préjudiciables qui lui ont été causés, pour les raisons suivantes</w:t>
      </w:r>
      <w:r>
        <w:rPr>
          <w:lang w:val="fr-FR"/>
        </w:rPr>
        <w:t> </w:t>
      </w:r>
      <w:r w:rsidRPr="00542BD1">
        <w:rPr>
          <w:lang w:val="fr-FR"/>
        </w:rPr>
        <w:t>: cette procédure ne permet pas un réexamen complet de la déclaration de culpabilité</w:t>
      </w:r>
      <w:r>
        <w:rPr>
          <w:lang w:val="fr-FR"/>
        </w:rPr>
        <w:t> </w:t>
      </w:r>
      <w:r w:rsidRPr="00542BD1">
        <w:rPr>
          <w:lang w:val="fr-FR"/>
        </w:rPr>
        <w:t>; la procédure est de nature administrative et non civile, car elle ne fait pas intervenir un juge civil indépendant</w:t>
      </w:r>
      <w:r>
        <w:rPr>
          <w:lang w:val="fr-FR"/>
        </w:rPr>
        <w:t> </w:t>
      </w:r>
      <w:r w:rsidRPr="00542BD1">
        <w:rPr>
          <w:lang w:val="fr-FR"/>
        </w:rPr>
        <w:t>; la</w:t>
      </w:r>
      <w:r>
        <w:rPr>
          <w:lang w:val="fr-FR"/>
        </w:rPr>
        <w:t> </w:t>
      </w:r>
      <w:r w:rsidRPr="00542BD1">
        <w:rPr>
          <w:lang w:val="fr-FR"/>
        </w:rPr>
        <w:t xml:space="preserve">procédure </w:t>
      </w:r>
      <w:r>
        <w:rPr>
          <w:lang w:val="fr-FR"/>
        </w:rPr>
        <w:t>repose sur</w:t>
      </w:r>
      <w:r w:rsidRPr="00542BD1">
        <w:rPr>
          <w:lang w:val="fr-FR"/>
        </w:rPr>
        <w:t xml:space="preserve"> un examen de l</w:t>
      </w:r>
      <w:r>
        <w:rPr>
          <w:lang w:val="fr-FR"/>
        </w:rPr>
        <w:t>’</w:t>
      </w:r>
      <w:r w:rsidRPr="00542BD1">
        <w:rPr>
          <w:lang w:val="fr-FR"/>
        </w:rPr>
        <w:t>affaire au fond</w:t>
      </w:r>
      <w:r>
        <w:rPr>
          <w:lang w:val="fr-FR"/>
        </w:rPr>
        <w:t xml:space="preserve"> et ne saurait donc être considérée comme adéquate </w:t>
      </w:r>
      <w:r w:rsidRPr="00542BD1">
        <w:rPr>
          <w:lang w:val="fr-FR"/>
        </w:rPr>
        <w:t>; dans d</w:t>
      </w:r>
      <w:r>
        <w:rPr>
          <w:lang w:val="fr-FR"/>
        </w:rPr>
        <w:t>’</w:t>
      </w:r>
      <w:r w:rsidRPr="00542BD1">
        <w:rPr>
          <w:lang w:val="fr-FR"/>
        </w:rPr>
        <w:t>autres affaires portant sur la même question, l</w:t>
      </w:r>
      <w:r>
        <w:rPr>
          <w:lang w:val="fr-FR"/>
        </w:rPr>
        <w:t>’</w:t>
      </w:r>
      <w:r w:rsidRPr="00542BD1">
        <w:rPr>
          <w:lang w:val="fr-FR"/>
        </w:rPr>
        <w:t>État partie a spontanément proposé un règlement concret.</w:t>
      </w:r>
    </w:p>
    <w:p w14:paraId="216B1869" w14:textId="666AAD1D" w:rsidR="00246C3A" w:rsidRPr="00542BD1" w:rsidRDefault="00246C3A" w:rsidP="00246C3A">
      <w:pPr>
        <w:pStyle w:val="SingleTxtG"/>
      </w:pPr>
      <w:r w:rsidRPr="00542BD1">
        <w:rPr>
          <w:lang w:val="fr-FR"/>
        </w:rPr>
        <w:t>5.2</w:t>
      </w:r>
      <w:r w:rsidRPr="00542BD1">
        <w:rPr>
          <w:lang w:val="fr-FR"/>
        </w:rPr>
        <w:tab/>
        <w:t>Dans ses commentaires en date du 21</w:t>
      </w:r>
      <w:r>
        <w:rPr>
          <w:lang w:val="fr-FR"/>
        </w:rPr>
        <w:t> </w:t>
      </w:r>
      <w:r w:rsidRPr="00542BD1">
        <w:rPr>
          <w:lang w:val="fr-FR"/>
        </w:rPr>
        <w:t>novembre 2019, l</w:t>
      </w:r>
      <w:r>
        <w:rPr>
          <w:lang w:val="fr-FR"/>
        </w:rPr>
        <w:t>’</w:t>
      </w:r>
      <w:r w:rsidRPr="00542BD1">
        <w:rPr>
          <w:lang w:val="fr-FR"/>
        </w:rPr>
        <w:t>auteur cite plusieurs sources pour étayer l</w:t>
      </w:r>
      <w:r>
        <w:rPr>
          <w:lang w:val="fr-FR"/>
        </w:rPr>
        <w:t>’</w:t>
      </w:r>
      <w:r w:rsidRPr="00542BD1">
        <w:rPr>
          <w:lang w:val="fr-FR"/>
        </w:rPr>
        <w:t>argument selon lequel la procédure devant le Conseil de la magistrature ne peut être considérée comme un recours utile. Il cite le texte de l</w:t>
      </w:r>
      <w:r>
        <w:rPr>
          <w:lang w:val="fr-FR"/>
        </w:rPr>
        <w:t>’</w:t>
      </w:r>
      <w:r w:rsidRPr="00542BD1">
        <w:rPr>
          <w:lang w:val="fr-FR"/>
        </w:rPr>
        <w:t>article</w:t>
      </w:r>
      <w:r>
        <w:rPr>
          <w:lang w:val="fr-FR"/>
        </w:rPr>
        <w:t> </w:t>
      </w:r>
      <w:r w:rsidRPr="00542BD1">
        <w:rPr>
          <w:lang w:val="fr-FR"/>
        </w:rPr>
        <w:t>2 (par.</w:t>
      </w:r>
      <w:r>
        <w:rPr>
          <w:lang w:val="fr-FR"/>
        </w:rPr>
        <w:t> </w:t>
      </w:r>
      <w:r w:rsidRPr="00542BD1">
        <w:rPr>
          <w:lang w:val="fr-FR"/>
        </w:rPr>
        <w:t>2 et 3) du Pacte</w:t>
      </w:r>
      <w:r>
        <w:rPr>
          <w:lang w:val="fr-FR"/>
        </w:rPr>
        <w:t xml:space="preserve">. Il souligne aussi </w:t>
      </w:r>
      <w:r w:rsidRPr="00542BD1">
        <w:rPr>
          <w:lang w:val="fr-FR"/>
        </w:rPr>
        <w:t>qu</w:t>
      </w:r>
      <w:r>
        <w:rPr>
          <w:lang w:val="fr-FR"/>
        </w:rPr>
        <w:t>’</w:t>
      </w:r>
      <w:r>
        <w:rPr>
          <w:lang w:val="fr-FR"/>
        </w:rPr>
        <w:t>au paragraphe 15 de</w:t>
      </w:r>
      <w:r w:rsidRPr="00542BD1">
        <w:rPr>
          <w:lang w:val="fr-FR"/>
        </w:rPr>
        <w:t xml:space="preserve"> son observation générale </w:t>
      </w:r>
      <w:r w:rsidRPr="00542BD1">
        <w:rPr>
          <w:rFonts w:eastAsia="MS Mincho"/>
          <w:szCs w:val="22"/>
          <w:lang w:val="fr-FR"/>
        </w:rPr>
        <w:t>n</w:t>
      </w:r>
      <w:r w:rsidRPr="00542BD1">
        <w:rPr>
          <w:rFonts w:eastAsia="MS Mincho"/>
          <w:szCs w:val="22"/>
          <w:vertAlign w:val="superscript"/>
          <w:lang w:val="fr-FR"/>
        </w:rPr>
        <w:t>o</w:t>
      </w:r>
      <w:r>
        <w:rPr>
          <w:lang w:val="fr-FR"/>
        </w:rPr>
        <w:t> </w:t>
      </w:r>
      <w:r w:rsidRPr="00542BD1">
        <w:rPr>
          <w:lang w:val="fr-FR"/>
        </w:rPr>
        <w:t xml:space="preserve">31 (2004), le Comité </w:t>
      </w:r>
      <w:r>
        <w:rPr>
          <w:lang w:val="fr-FR"/>
        </w:rPr>
        <w:t xml:space="preserve">a </w:t>
      </w:r>
      <w:r w:rsidRPr="00542BD1">
        <w:rPr>
          <w:lang w:val="fr-FR"/>
        </w:rPr>
        <w:t>expliqu</w:t>
      </w:r>
      <w:r>
        <w:rPr>
          <w:lang w:val="fr-FR"/>
        </w:rPr>
        <w:t>é</w:t>
      </w:r>
      <w:r w:rsidRPr="00542BD1">
        <w:rPr>
          <w:lang w:val="fr-FR"/>
        </w:rPr>
        <w:t xml:space="preserve"> qu</w:t>
      </w:r>
      <w:r>
        <w:rPr>
          <w:lang w:val="fr-FR"/>
        </w:rPr>
        <w:t>’</w:t>
      </w:r>
      <w:r w:rsidRPr="00542BD1">
        <w:rPr>
          <w:lang w:val="fr-FR"/>
        </w:rPr>
        <w:t>il attach</w:t>
      </w:r>
      <w:r>
        <w:rPr>
          <w:lang w:val="fr-FR"/>
        </w:rPr>
        <w:t>ait</w:t>
      </w:r>
      <w:r w:rsidRPr="00542BD1">
        <w:rPr>
          <w:lang w:val="fr-FR"/>
        </w:rPr>
        <w:t xml:space="preserve"> de l</w:t>
      </w:r>
      <w:r>
        <w:rPr>
          <w:lang w:val="fr-FR"/>
        </w:rPr>
        <w:t>’</w:t>
      </w:r>
      <w:r w:rsidRPr="00542BD1">
        <w:rPr>
          <w:lang w:val="fr-FR"/>
        </w:rPr>
        <w:t xml:space="preserve">importance à la mise en place, par les États parties, de mécanismes juridictionnels et administratifs appropriés pour examiner les plaintes faisant état de violations des droits en droit interne. Il </w:t>
      </w:r>
      <w:r>
        <w:rPr>
          <w:lang w:val="fr-FR"/>
        </w:rPr>
        <w:t xml:space="preserve">a aussi </w:t>
      </w:r>
      <w:r w:rsidRPr="00542BD1">
        <w:rPr>
          <w:lang w:val="fr-FR"/>
        </w:rPr>
        <w:t>not</w:t>
      </w:r>
      <w:r>
        <w:rPr>
          <w:lang w:val="fr-FR"/>
        </w:rPr>
        <w:t>é</w:t>
      </w:r>
      <w:r w:rsidRPr="00542BD1">
        <w:rPr>
          <w:lang w:val="fr-FR"/>
        </w:rPr>
        <w:t xml:space="preserve"> que les tribunaux p</w:t>
      </w:r>
      <w:r>
        <w:rPr>
          <w:lang w:val="fr-FR"/>
        </w:rPr>
        <w:t>o</w:t>
      </w:r>
      <w:r w:rsidRPr="00542BD1">
        <w:rPr>
          <w:lang w:val="fr-FR"/>
        </w:rPr>
        <w:t>uv</w:t>
      </w:r>
      <w:r>
        <w:rPr>
          <w:lang w:val="fr-FR"/>
        </w:rPr>
        <w:t>ai</w:t>
      </w:r>
      <w:r w:rsidRPr="00542BD1">
        <w:rPr>
          <w:lang w:val="fr-FR"/>
        </w:rPr>
        <w:t>ent de diverses manières garantir effectivement l</w:t>
      </w:r>
      <w:r>
        <w:rPr>
          <w:lang w:val="fr-FR"/>
        </w:rPr>
        <w:t>’</w:t>
      </w:r>
      <w:r w:rsidRPr="00542BD1">
        <w:rPr>
          <w:lang w:val="fr-FR"/>
        </w:rPr>
        <w:t>exercice des droits reconnus par le Pacte, soit en statuant sur son applicabilité directe, soit en appliquant les règles constitutionnelles ou autres dispositions législatives comparables, soit en interprétant les implications qu</w:t>
      </w:r>
      <w:r>
        <w:rPr>
          <w:lang w:val="fr-FR"/>
        </w:rPr>
        <w:t>’</w:t>
      </w:r>
      <w:r>
        <w:rPr>
          <w:lang w:val="fr-FR"/>
        </w:rPr>
        <w:t>avaie</w:t>
      </w:r>
      <w:r w:rsidRPr="00542BD1">
        <w:rPr>
          <w:lang w:val="fr-FR"/>
        </w:rPr>
        <w:t>nt pour l</w:t>
      </w:r>
      <w:r>
        <w:rPr>
          <w:lang w:val="fr-FR"/>
        </w:rPr>
        <w:t>’</w:t>
      </w:r>
      <w:r w:rsidRPr="00542BD1">
        <w:rPr>
          <w:lang w:val="fr-FR"/>
        </w:rPr>
        <w:t>application du droit national les dispositions du Pacte. L</w:t>
      </w:r>
      <w:r>
        <w:rPr>
          <w:lang w:val="fr-FR"/>
        </w:rPr>
        <w:t>’</w:t>
      </w:r>
      <w:r w:rsidRPr="00542BD1">
        <w:rPr>
          <w:lang w:val="fr-FR"/>
        </w:rPr>
        <w:t>auteur renvoie également au mémoire explicatif du Gouvernement des Pays</w:t>
      </w:r>
      <w:r>
        <w:rPr>
          <w:lang w:val="fr-FR"/>
        </w:rPr>
        <w:noBreakHyphen/>
      </w:r>
      <w:r w:rsidRPr="00542BD1">
        <w:rPr>
          <w:lang w:val="fr-FR"/>
        </w:rPr>
        <w:t>Bas relatif à l</w:t>
      </w:r>
      <w:r>
        <w:rPr>
          <w:lang w:val="fr-FR"/>
        </w:rPr>
        <w:t>’</w:t>
      </w:r>
      <w:r w:rsidRPr="00542BD1">
        <w:rPr>
          <w:lang w:val="fr-FR"/>
        </w:rPr>
        <w:t>approbation du Pacte international relatif aux droits civils et politiques, document législatif historique dans lequel il est indiqué que l</w:t>
      </w:r>
      <w:r>
        <w:rPr>
          <w:lang w:val="fr-FR"/>
        </w:rPr>
        <w:t>’</w:t>
      </w:r>
      <w:r w:rsidRPr="00542BD1">
        <w:rPr>
          <w:lang w:val="fr-FR"/>
        </w:rPr>
        <w:t>article</w:t>
      </w:r>
      <w:r>
        <w:rPr>
          <w:lang w:val="fr-FR"/>
        </w:rPr>
        <w:t> </w:t>
      </w:r>
      <w:r w:rsidRPr="00542BD1">
        <w:rPr>
          <w:lang w:val="fr-FR"/>
        </w:rPr>
        <w:t>2 (par.</w:t>
      </w:r>
      <w:r>
        <w:rPr>
          <w:lang w:val="fr-FR"/>
        </w:rPr>
        <w:t> </w:t>
      </w:r>
      <w:r w:rsidRPr="00542BD1">
        <w:rPr>
          <w:lang w:val="fr-FR"/>
        </w:rPr>
        <w:t>3) du Pacte oblige les États parties à mettre en place une protection juridique par l</w:t>
      </w:r>
      <w:r>
        <w:rPr>
          <w:lang w:val="fr-FR"/>
        </w:rPr>
        <w:t>’</w:t>
      </w:r>
      <w:r w:rsidRPr="00542BD1">
        <w:rPr>
          <w:lang w:val="fr-FR"/>
        </w:rPr>
        <w:t>intermédiaire</w:t>
      </w:r>
      <w:r w:rsidRPr="00542BD1">
        <w:rPr>
          <w:b/>
          <w:bCs/>
          <w:lang w:val="fr-FR"/>
        </w:rPr>
        <w:t xml:space="preserve"> </w:t>
      </w:r>
      <w:r w:rsidRPr="00542BD1">
        <w:rPr>
          <w:lang w:val="fr-FR"/>
        </w:rPr>
        <w:t>des organes judiciaires.</w:t>
      </w:r>
    </w:p>
    <w:p w14:paraId="24943569" w14:textId="14871F96" w:rsidR="00246C3A" w:rsidRPr="00542BD1" w:rsidRDefault="00246C3A" w:rsidP="00246C3A">
      <w:pPr>
        <w:pStyle w:val="SingleTxtG"/>
      </w:pPr>
      <w:r w:rsidRPr="00542BD1">
        <w:rPr>
          <w:lang w:val="fr-FR"/>
        </w:rPr>
        <w:t>5.3</w:t>
      </w:r>
      <w:r w:rsidRPr="00542BD1">
        <w:rPr>
          <w:lang w:val="fr-FR"/>
        </w:rPr>
        <w:tab/>
        <w:t>Dans l</w:t>
      </w:r>
      <w:r>
        <w:rPr>
          <w:lang w:val="fr-FR"/>
        </w:rPr>
        <w:t>’</w:t>
      </w:r>
      <w:r w:rsidRPr="00542BD1">
        <w:rPr>
          <w:lang w:val="fr-FR"/>
        </w:rPr>
        <w:t>affaire</w:t>
      </w:r>
      <w:r w:rsidRPr="00542BD1">
        <w:rPr>
          <w:i/>
          <w:iCs/>
          <w:lang w:val="fr-FR"/>
        </w:rPr>
        <w:t xml:space="preserve"> </w:t>
      </w:r>
      <w:proofErr w:type="spellStart"/>
      <w:r w:rsidRPr="00542BD1">
        <w:rPr>
          <w:i/>
          <w:iCs/>
          <w:lang w:val="fr-FR"/>
        </w:rPr>
        <w:t>Mennen</w:t>
      </w:r>
      <w:proofErr w:type="spellEnd"/>
      <w:r w:rsidRPr="00542BD1">
        <w:rPr>
          <w:i/>
          <w:iCs/>
          <w:lang w:val="fr-FR"/>
        </w:rPr>
        <w:t xml:space="preserve"> c. Pays-Bas,</w:t>
      </w:r>
      <w:r w:rsidRPr="00542BD1">
        <w:rPr>
          <w:lang w:val="fr-FR"/>
        </w:rPr>
        <w:t xml:space="preserve"> le Comité a demandé à l</w:t>
      </w:r>
      <w:r>
        <w:rPr>
          <w:lang w:val="fr-FR"/>
        </w:rPr>
        <w:t>’</w:t>
      </w:r>
      <w:r w:rsidRPr="00542BD1">
        <w:rPr>
          <w:lang w:val="fr-FR"/>
        </w:rPr>
        <w:t>État partie de fournir à l</w:t>
      </w:r>
      <w:r>
        <w:rPr>
          <w:lang w:val="fr-FR"/>
        </w:rPr>
        <w:t>’</w:t>
      </w:r>
      <w:r w:rsidRPr="00542BD1">
        <w:rPr>
          <w:lang w:val="fr-FR"/>
        </w:rPr>
        <w:t>auteur un recours utile permettant le réexamen de sa déclaration de culpabilité et de sa condamnation par une juridiction supérieure, ainsi qu</w:t>
      </w:r>
      <w:r>
        <w:rPr>
          <w:lang w:val="fr-FR"/>
        </w:rPr>
        <w:t>’</w:t>
      </w:r>
      <w:r w:rsidRPr="00542BD1">
        <w:rPr>
          <w:lang w:val="fr-FR"/>
        </w:rPr>
        <w:t>une indemnisation adéquate. Dans l</w:t>
      </w:r>
      <w:r>
        <w:rPr>
          <w:lang w:val="fr-FR"/>
        </w:rPr>
        <w:t>’</w:t>
      </w:r>
      <w:r w:rsidRPr="00542BD1">
        <w:rPr>
          <w:lang w:val="fr-FR"/>
        </w:rPr>
        <w:t xml:space="preserve">affaire </w:t>
      </w:r>
      <w:proofErr w:type="spellStart"/>
      <w:r w:rsidRPr="00542BD1">
        <w:rPr>
          <w:i/>
          <w:iCs/>
          <w:lang w:val="fr-FR"/>
        </w:rPr>
        <w:t>Timmer</w:t>
      </w:r>
      <w:proofErr w:type="spellEnd"/>
      <w:r w:rsidRPr="00542BD1">
        <w:rPr>
          <w:i/>
          <w:iCs/>
          <w:lang w:val="fr-FR"/>
        </w:rPr>
        <w:t xml:space="preserve"> c. Pays-Bas</w:t>
      </w:r>
      <w:r w:rsidRPr="00542BD1">
        <w:rPr>
          <w:lang w:val="fr-FR"/>
        </w:rPr>
        <w:t>, il a déclaré que conformément à l</w:t>
      </w:r>
      <w:r>
        <w:rPr>
          <w:lang w:val="fr-FR"/>
        </w:rPr>
        <w:t>’</w:t>
      </w:r>
      <w:r w:rsidRPr="00542BD1">
        <w:rPr>
          <w:lang w:val="fr-FR"/>
        </w:rPr>
        <w:t>article</w:t>
      </w:r>
      <w:r>
        <w:rPr>
          <w:lang w:val="fr-FR"/>
        </w:rPr>
        <w:t> </w:t>
      </w:r>
      <w:r w:rsidRPr="00542BD1">
        <w:rPr>
          <w:lang w:val="fr-FR"/>
        </w:rPr>
        <w:t>2 (par.</w:t>
      </w:r>
      <w:r>
        <w:rPr>
          <w:lang w:val="fr-FR"/>
        </w:rPr>
        <w:t> </w:t>
      </w:r>
      <w:r w:rsidRPr="00542BD1">
        <w:rPr>
          <w:lang w:val="fr-FR"/>
        </w:rPr>
        <w:t>3</w:t>
      </w:r>
      <w:r>
        <w:rPr>
          <w:lang w:val="fr-FR"/>
        </w:rPr>
        <w:t> </w:t>
      </w:r>
      <w:r w:rsidRPr="00542BD1">
        <w:rPr>
          <w:lang w:val="fr-FR"/>
        </w:rPr>
        <w:t>a)) du Pacte, l</w:t>
      </w:r>
      <w:r>
        <w:rPr>
          <w:lang w:val="fr-FR"/>
        </w:rPr>
        <w:t>’</w:t>
      </w:r>
      <w:r w:rsidRPr="00542BD1">
        <w:rPr>
          <w:lang w:val="fr-FR"/>
        </w:rPr>
        <w:t>État partie était tenu d</w:t>
      </w:r>
      <w:r>
        <w:rPr>
          <w:lang w:val="fr-FR"/>
        </w:rPr>
        <w:t>’</w:t>
      </w:r>
      <w:r w:rsidRPr="00542BD1">
        <w:rPr>
          <w:lang w:val="fr-FR"/>
        </w:rPr>
        <w:t>assurer à l</w:t>
      </w:r>
      <w:r>
        <w:rPr>
          <w:lang w:val="fr-FR"/>
        </w:rPr>
        <w:t>’</w:t>
      </w:r>
      <w:r w:rsidRPr="00542BD1">
        <w:rPr>
          <w:lang w:val="fr-FR"/>
        </w:rPr>
        <w:t xml:space="preserve">auteur un recours utile. </w:t>
      </w:r>
      <w:r>
        <w:rPr>
          <w:lang w:val="fr-FR"/>
        </w:rPr>
        <w:t>Il a également indiqué qu</w:t>
      </w:r>
      <w:r>
        <w:rPr>
          <w:lang w:val="fr-FR"/>
        </w:rPr>
        <w:t>’</w:t>
      </w:r>
      <w:r>
        <w:rPr>
          <w:lang w:val="fr-FR"/>
        </w:rPr>
        <w:t xml:space="preserve">il </w:t>
      </w:r>
      <w:r w:rsidRPr="00542BD1">
        <w:rPr>
          <w:lang w:val="fr-FR"/>
        </w:rPr>
        <w:t>pren</w:t>
      </w:r>
      <w:r>
        <w:rPr>
          <w:lang w:val="fr-FR"/>
        </w:rPr>
        <w:t>ait</w:t>
      </w:r>
      <w:r w:rsidRPr="00542BD1">
        <w:rPr>
          <w:lang w:val="fr-FR"/>
        </w:rPr>
        <w:t xml:space="preserve"> acte de l</w:t>
      </w:r>
      <w:r>
        <w:rPr>
          <w:lang w:val="fr-FR"/>
        </w:rPr>
        <w:t>’</w:t>
      </w:r>
      <w:r w:rsidRPr="00542BD1">
        <w:rPr>
          <w:lang w:val="fr-FR"/>
        </w:rPr>
        <w:t>argument de l</w:t>
      </w:r>
      <w:r>
        <w:rPr>
          <w:lang w:val="fr-FR"/>
        </w:rPr>
        <w:t>’</w:t>
      </w:r>
      <w:r w:rsidRPr="00542BD1">
        <w:rPr>
          <w:lang w:val="fr-FR"/>
        </w:rPr>
        <w:t>auteur selon lequel l</w:t>
      </w:r>
      <w:r>
        <w:rPr>
          <w:lang w:val="fr-FR"/>
        </w:rPr>
        <w:t>’</w:t>
      </w:r>
      <w:r w:rsidRPr="00542BD1">
        <w:rPr>
          <w:lang w:val="fr-FR"/>
        </w:rPr>
        <w:t>indemnité de 1</w:t>
      </w:r>
      <w:r>
        <w:rPr>
          <w:lang w:val="fr-FR"/>
        </w:rPr>
        <w:t> </w:t>
      </w:r>
      <w:r w:rsidRPr="00542BD1">
        <w:rPr>
          <w:lang w:val="fr-FR"/>
        </w:rPr>
        <w:t>000</w:t>
      </w:r>
      <w:r>
        <w:rPr>
          <w:lang w:val="fr-FR"/>
        </w:rPr>
        <w:t> </w:t>
      </w:r>
      <w:r w:rsidRPr="00542BD1">
        <w:rPr>
          <w:lang w:val="fr-FR"/>
        </w:rPr>
        <w:t>euros proposée par l</w:t>
      </w:r>
      <w:r>
        <w:rPr>
          <w:lang w:val="fr-FR"/>
        </w:rPr>
        <w:t>’</w:t>
      </w:r>
      <w:r w:rsidRPr="00542BD1">
        <w:rPr>
          <w:lang w:val="fr-FR"/>
        </w:rPr>
        <w:t>État partie ne constitu</w:t>
      </w:r>
      <w:r>
        <w:rPr>
          <w:lang w:val="fr-FR"/>
        </w:rPr>
        <w:t>ait</w:t>
      </w:r>
      <w:r w:rsidRPr="00542BD1">
        <w:rPr>
          <w:lang w:val="fr-FR"/>
        </w:rPr>
        <w:t xml:space="preserve"> pas un recours utile dès lors que cette proposition ne prévo</w:t>
      </w:r>
      <w:r>
        <w:rPr>
          <w:lang w:val="fr-FR"/>
        </w:rPr>
        <w:t>ya</w:t>
      </w:r>
      <w:r w:rsidRPr="00542BD1">
        <w:rPr>
          <w:lang w:val="fr-FR"/>
        </w:rPr>
        <w:t>it ni le réexamen de sa déclaration de culpabilité et de sa condamnation ni une réparation de l</w:t>
      </w:r>
      <w:r>
        <w:rPr>
          <w:lang w:val="fr-FR"/>
        </w:rPr>
        <w:t>’</w:t>
      </w:r>
      <w:r w:rsidRPr="00542BD1">
        <w:rPr>
          <w:lang w:val="fr-FR"/>
        </w:rPr>
        <w:t>atteinte portée à sa réputation. Il estim</w:t>
      </w:r>
      <w:r>
        <w:rPr>
          <w:lang w:val="fr-FR"/>
        </w:rPr>
        <w:t>ait</w:t>
      </w:r>
      <w:r w:rsidRPr="00542BD1">
        <w:rPr>
          <w:lang w:val="fr-FR"/>
        </w:rPr>
        <w:t xml:space="preserve"> qu</w:t>
      </w:r>
      <w:r>
        <w:rPr>
          <w:lang w:val="fr-FR"/>
        </w:rPr>
        <w:t>’</w:t>
      </w:r>
      <w:r w:rsidRPr="00542BD1">
        <w:rPr>
          <w:lang w:val="fr-FR"/>
        </w:rPr>
        <w:t>en l</w:t>
      </w:r>
      <w:r>
        <w:rPr>
          <w:lang w:val="fr-FR"/>
        </w:rPr>
        <w:t>’</w:t>
      </w:r>
      <w:r w:rsidRPr="00542BD1">
        <w:rPr>
          <w:lang w:val="fr-FR"/>
        </w:rPr>
        <w:t>espèce, un recours utile consisterait à permettre un réexamen de la déclaration de culpabilité et de la condamnation par une juridiction supérieure ou la mise en œuvre de toute autre mesure propre à supprimer les effets préjudiciables causés à l</w:t>
      </w:r>
      <w:r>
        <w:rPr>
          <w:lang w:val="fr-FR"/>
        </w:rPr>
        <w:t>’</w:t>
      </w:r>
      <w:r w:rsidRPr="00542BD1">
        <w:rPr>
          <w:lang w:val="fr-FR"/>
        </w:rPr>
        <w:t>auteur et à lui accorder une indemnisation suffisante. L</w:t>
      </w:r>
      <w:r>
        <w:rPr>
          <w:lang w:val="fr-FR"/>
        </w:rPr>
        <w:t>’</w:t>
      </w:r>
      <w:r w:rsidRPr="00542BD1">
        <w:rPr>
          <w:lang w:val="fr-FR"/>
        </w:rPr>
        <w:t xml:space="preserve">auteur renvoie également à la </w:t>
      </w:r>
      <w:r w:rsidRPr="00542BD1">
        <w:rPr>
          <w:lang w:val="fr-FR"/>
        </w:rPr>
        <w:lastRenderedPageBreak/>
        <w:t xml:space="preserve">jurisprudence du Comité dans les affaires </w:t>
      </w:r>
      <w:proofErr w:type="spellStart"/>
      <w:r w:rsidRPr="00542BD1">
        <w:rPr>
          <w:i/>
          <w:iCs/>
          <w:lang w:val="fr-FR"/>
        </w:rPr>
        <w:t>Sabirova</w:t>
      </w:r>
      <w:proofErr w:type="spellEnd"/>
      <w:r w:rsidRPr="00542BD1">
        <w:rPr>
          <w:i/>
          <w:iCs/>
          <w:lang w:val="fr-FR"/>
        </w:rPr>
        <w:t xml:space="preserve"> et consorts c. Ouzbékistan</w:t>
      </w:r>
      <w:r w:rsidRPr="00542BD1">
        <w:rPr>
          <w:rStyle w:val="Appelnotedebasdep"/>
          <w:lang w:val="fr-FR"/>
        </w:rPr>
        <w:footnoteReference w:id="13"/>
      </w:r>
      <w:r w:rsidRPr="00542BD1">
        <w:rPr>
          <w:lang w:val="fr-FR"/>
        </w:rPr>
        <w:t xml:space="preserve"> et </w:t>
      </w:r>
      <w:r w:rsidRPr="00542BD1">
        <w:rPr>
          <w:i/>
          <w:iCs/>
          <w:lang w:val="fr-FR"/>
        </w:rPr>
        <w:t>S.</w:t>
      </w:r>
      <w:r>
        <w:rPr>
          <w:i/>
          <w:iCs/>
          <w:lang w:val="fr-FR"/>
        </w:rPr>
        <w:t> </w:t>
      </w:r>
      <w:r w:rsidRPr="00542BD1">
        <w:rPr>
          <w:i/>
          <w:iCs/>
          <w:lang w:val="fr-FR"/>
        </w:rPr>
        <w:t>Y. c. Pays-Bas</w:t>
      </w:r>
      <w:r w:rsidRPr="00542BD1">
        <w:rPr>
          <w:rStyle w:val="Appelnotedebasdep"/>
          <w:lang w:val="fr-FR"/>
        </w:rPr>
        <w:footnoteReference w:id="14"/>
      </w:r>
      <w:r>
        <w:rPr>
          <w:lang w:val="fr-FR"/>
        </w:rPr>
        <w:t>.</w:t>
      </w:r>
    </w:p>
    <w:p w14:paraId="64D1B8A3" w14:textId="20B58E54" w:rsidR="00246C3A" w:rsidRPr="00542BD1" w:rsidRDefault="00246C3A" w:rsidP="00246C3A">
      <w:pPr>
        <w:pStyle w:val="SingleTxtG"/>
      </w:pPr>
      <w:r w:rsidRPr="00DF3905">
        <w:rPr>
          <w:lang w:val="fr-FR"/>
        </w:rPr>
        <w:t>5.4</w:t>
      </w:r>
      <w:r w:rsidRPr="00DF3905">
        <w:rPr>
          <w:lang w:val="fr-FR"/>
        </w:rPr>
        <w:tab/>
        <w:t>En ce qui concerne l</w:t>
      </w:r>
      <w:r>
        <w:rPr>
          <w:lang w:val="fr-FR"/>
        </w:rPr>
        <w:t>’</w:t>
      </w:r>
      <w:r w:rsidRPr="00DF3905">
        <w:rPr>
          <w:lang w:val="fr-FR"/>
        </w:rPr>
        <w:t>affirmation de l</w:t>
      </w:r>
      <w:r>
        <w:rPr>
          <w:lang w:val="fr-FR"/>
        </w:rPr>
        <w:t>’</w:t>
      </w:r>
      <w:r w:rsidRPr="00DF3905">
        <w:rPr>
          <w:lang w:val="fr-FR"/>
        </w:rPr>
        <w:t>État partie selon laquelle le système d</w:t>
      </w:r>
      <w:r>
        <w:rPr>
          <w:lang w:val="fr-FR"/>
        </w:rPr>
        <w:t>’</w:t>
      </w:r>
      <w:r w:rsidRPr="00DF3905">
        <w:rPr>
          <w:lang w:val="fr-FR"/>
        </w:rPr>
        <w:t>autorisation d</w:t>
      </w:r>
      <w:r>
        <w:rPr>
          <w:lang w:val="fr-FR"/>
        </w:rPr>
        <w:t>’</w:t>
      </w:r>
      <w:r w:rsidRPr="00DF3905">
        <w:rPr>
          <w:lang w:val="fr-FR"/>
        </w:rPr>
        <w:t>interjeter appel serait en cours de suppression, l</w:t>
      </w:r>
      <w:r>
        <w:rPr>
          <w:lang w:val="fr-FR"/>
        </w:rPr>
        <w:t>’</w:t>
      </w:r>
      <w:r w:rsidRPr="00DF3905">
        <w:rPr>
          <w:lang w:val="fr-FR"/>
        </w:rPr>
        <w:t>auteur note que dans les observations qu</w:t>
      </w:r>
      <w:r>
        <w:rPr>
          <w:lang w:val="fr-FR"/>
        </w:rPr>
        <w:t>’</w:t>
      </w:r>
      <w:r w:rsidRPr="00DF3905">
        <w:rPr>
          <w:lang w:val="fr-FR"/>
        </w:rPr>
        <w:t>il avait soumises dans l</w:t>
      </w:r>
      <w:r>
        <w:rPr>
          <w:lang w:val="fr-FR"/>
        </w:rPr>
        <w:t>’</w:t>
      </w:r>
      <w:r w:rsidRPr="00DF3905">
        <w:rPr>
          <w:lang w:val="fr-FR"/>
        </w:rPr>
        <w:t xml:space="preserve">affaire </w:t>
      </w:r>
      <w:proofErr w:type="spellStart"/>
      <w:r w:rsidRPr="00DF3905">
        <w:rPr>
          <w:i/>
          <w:iCs/>
          <w:lang w:val="fr-FR"/>
        </w:rPr>
        <w:t>Timmer</w:t>
      </w:r>
      <w:proofErr w:type="spellEnd"/>
      <w:r w:rsidRPr="00DF3905">
        <w:rPr>
          <w:i/>
          <w:iCs/>
          <w:lang w:val="fr-FR"/>
        </w:rPr>
        <w:t xml:space="preserve"> c. Pays-Bas</w:t>
      </w:r>
      <w:r w:rsidRPr="00DF3905">
        <w:rPr>
          <w:lang w:val="fr-FR"/>
        </w:rPr>
        <w:t>, l</w:t>
      </w:r>
      <w:r>
        <w:rPr>
          <w:lang w:val="fr-FR"/>
        </w:rPr>
        <w:t>’</w:t>
      </w:r>
      <w:r w:rsidRPr="00DF3905">
        <w:rPr>
          <w:lang w:val="fr-FR"/>
        </w:rPr>
        <w:t>État partie avait affirmé que les propositions législatives à cet effet seraient présentées à la Chambre des représentants en 2018</w:t>
      </w:r>
      <w:r w:rsidRPr="00542BD1">
        <w:rPr>
          <w:lang w:val="fr-FR"/>
        </w:rPr>
        <w:t>. Toutefois, cela n</w:t>
      </w:r>
      <w:r>
        <w:rPr>
          <w:lang w:val="fr-FR"/>
        </w:rPr>
        <w:t>’</w:t>
      </w:r>
      <w:r w:rsidRPr="00542BD1">
        <w:rPr>
          <w:lang w:val="fr-FR"/>
        </w:rPr>
        <w:t>a pas eu lieu en 2018 ni en 2019. Plus de neuf ans se sont écoulés depuis que le Comité a adopté ses constatations concernant l</w:t>
      </w:r>
      <w:r>
        <w:rPr>
          <w:lang w:val="fr-FR"/>
        </w:rPr>
        <w:t>’</w:t>
      </w:r>
      <w:r w:rsidRPr="00542BD1">
        <w:rPr>
          <w:lang w:val="fr-FR"/>
        </w:rPr>
        <w:t xml:space="preserve">affaire </w:t>
      </w:r>
      <w:proofErr w:type="spellStart"/>
      <w:r w:rsidRPr="00542BD1">
        <w:rPr>
          <w:i/>
          <w:iCs/>
          <w:lang w:val="fr-FR"/>
        </w:rPr>
        <w:t>Mennen</w:t>
      </w:r>
      <w:proofErr w:type="spellEnd"/>
      <w:r>
        <w:rPr>
          <w:i/>
          <w:iCs/>
          <w:lang w:val="fr-FR"/>
        </w:rPr>
        <w:t> </w:t>
      </w:r>
      <w:r w:rsidRPr="00542BD1">
        <w:rPr>
          <w:i/>
          <w:iCs/>
          <w:lang w:val="fr-FR"/>
        </w:rPr>
        <w:t>c.</w:t>
      </w:r>
      <w:r>
        <w:rPr>
          <w:i/>
          <w:iCs/>
          <w:lang w:val="fr-FR"/>
        </w:rPr>
        <w:t> </w:t>
      </w:r>
      <w:r w:rsidRPr="00542BD1">
        <w:rPr>
          <w:i/>
          <w:iCs/>
          <w:lang w:val="fr-FR"/>
        </w:rPr>
        <w:t>Pays-Bas</w:t>
      </w:r>
      <w:r w:rsidRPr="00542BD1">
        <w:rPr>
          <w:lang w:val="fr-FR"/>
        </w:rPr>
        <w:t>, dans lesquelles il demandait à l</w:t>
      </w:r>
      <w:r>
        <w:rPr>
          <w:lang w:val="fr-FR"/>
        </w:rPr>
        <w:t>’</w:t>
      </w:r>
      <w:r w:rsidRPr="00542BD1">
        <w:rPr>
          <w:lang w:val="fr-FR"/>
        </w:rPr>
        <w:t>État partie de rendre sa législation conforme aux dispositions de l</w:t>
      </w:r>
      <w:r>
        <w:rPr>
          <w:lang w:val="fr-FR"/>
        </w:rPr>
        <w:t>’</w:t>
      </w:r>
      <w:r w:rsidRPr="00542BD1">
        <w:rPr>
          <w:lang w:val="fr-FR"/>
        </w:rPr>
        <w:t>article</w:t>
      </w:r>
      <w:r>
        <w:rPr>
          <w:lang w:val="fr-FR"/>
        </w:rPr>
        <w:t> </w:t>
      </w:r>
      <w:r w:rsidRPr="00542BD1">
        <w:rPr>
          <w:lang w:val="fr-FR"/>
        </w:rPr>
        <w:t>14 (par.</w:t>
      </w:r>
      <w:r>
        <w:rPr>
          <w:lang w:val="fr-FR"/>
        </w:rPr>
        <w:t> </w:t>
      </w:r>
      <w:r w:rsidRPr="00542BD1">
        <w:rPr>
          <w:lang w:val="fr-FR"/>
        </w:rPr>
        <w:t>5) du Pacte. Depuis, l</w:t>
      </w:r>
      <w:r>
        <w:rPr>
          <w:lang w:val="fr-FR"/>
        </w:rPr>
        <w:t>’</w:t>
      </w:r>
      <w:r w:rsidRPr="00542BD1">
        <w:rPr>
          <w:lang w:val="fr-FR"/>
        </w:rPr>
        <w:t>adoption d</w:t>
      </w:r>
      <w:r>
        <w:rPr>
          <w:lang w:val="fr-FR"/>
        </w:rPr>
        <w:t>’</w:t>
      </w:r>
      <w:r w:rsidRPr="00542BD1">
        <w:rPr>
          <w:lang w:val="fr-FR"/>
        </w:rPr>
        <w:t>un code de procédure pénale révisé a été reportée à plusieurs reprises</w:t>
      </w:r>
      <w:r>
        <w:rPr>
          <w:lang w:val="fr-FR"/>
        </w:rPr>
        <w:t> </w:t>
      </w:r>
      <w:r w:rsidRPr="00542BD1">
        <w:rPr>
          <w:lang w:val="fr-FR"/>
        </w:rPr>
        <w:t>; il est très peu probable qu</w:t>
      </w:r>
      <w:r>
        <w:rPr>
          <w:lang w:val="fr-FR"/>
        </w:rPr>
        <w:t>’</w:t>
      </w:r>
      <w:r w:rsidRPr="00542BD1">
        <w:rPr>
          <w:lang w:val="fr-FR"/>
        </w:rPr>
        <w:t>elle ait lieu en 2020. Même dans ce cas, l</w:t>
      </w:r>
      <w:r>
        <w:rPr>
          <w:lang w:val="fr-FR"/>
        </w:rPr>
        <w:t>’</w:t>
      </w:r>
      <w:r w:rsidRPr="00542BD1">
        <w:rPr>
          <w:lang w:val="fr-FR"/>
        </w:rPr>
        <w:t>entrée en vigueur du nouveau texte pourrait prendre des années. Il suffirait d</w:t>
      </w:r>
      <w:r>
        <w:rPr>
          <w:lang w:val="fr-FR"/>
        </w:rPr>
        <w:t>’</w:t>
      </w:r>
      <w:r w:rsidRPr="00542BD1">
        <w:rPr>
          <w:lang w:val="fr-FR"/>
        </w:rPr>
        <w:t>une simple mesure législative pour abolir l</w:t>
      </w:r>
      <w:r>
        <w:rPr>
          <w:lang w:val="fr-FR"/>
        </w:rPr>
        <w:t>’</w:t>
      </w:r>
      <w:r w:rsidRPr="00542BD1">
        <w:rPr>
          <w:lang w:val="fr-FR"/>
        </w:rPr>
        <w:t>article</w:t>
      </w:r>
      <w:r>
        <w:rPr>
          <w:lang w:val="fr-FR"/>
        </w:rPr>
        <w:t> </w:t>
      </w:r>
      <w:r w:rsidRPr="00542BD1">
        <w:rPr>
          <w:lang w:val="fr-FR"/>
        </w:rPr>
        <w:t>410</w:t>
      </w:r>
      <w:r>
        <w:rPr>
          <w:lang w:val="fr-FR"/>
        </w:rPr>
        <w:t xml:space="preserve"> (al. </w:t>
      </w:r>
      <w:r w:rsidRPr="00542BD1">
        <w:rPr>
          <w:lang w:val="fr-FR"/>
        </w:rPr>
        <w:t>a</w:t>
      </w:r>
      <w:r>
        <w:rPr>
          <w:lang w:val="fr-FR"/>
        </w:rPr>
        <w:t>))</w:t>
      </w:r>
      <w:r w:rsidRPr="00542BD1">
        <w:rPr>
          <w:lang w:val="fr-FR"/>
        </w:rPr>
        <w:t xml:space="preserve"> du Code de procédure pénale.</w:t>
      </w:r>
    </w:p>
    <w:p w14:paraId="5CA52798" w14:textId="5E616788" w:rsidR="00246C3A" w:rsidRPr="00542BD1" w:rsidRDefault="00246C3A" w:rsidP="00246C3A">
      <w:pPr>
        <w:pStyle w:val="H23G"/>
      </w:pPr>
      <w:r w:rsidRPr="00542BD1">
        <w:rPr>
          <w:lang w:val="fr-FR"/>
        </w:rPr>
        <w:tab/>
      </w:r>
      <w:r w:rsidRPr="00542BD1">
        <w:rPr>
          <w:lang w:val="fr-FR"/>
        </w:rPr>
        <w:tab/>
        <w:t xml:space="preserve">Observations </w:t>
      </w:r>
      <w:r>
        <w:rPr>
          <w:lang w:val="fr-FR"/>
        </w:rPr>
        <w:t xml:space="preserve">complémentaires </w:t>
      </w:r>
      <w:r w:rsidRPr="00542BD1">
        <w:rPr>
          <w:lang w:val="fr-FR"/>
        </w:rPr>
        <w:t>de l</w:t>
      </w:r>
      <w:r>
        <w:rPr>
          <w:lang w:val="fr-FR"/>
        </w:rPr>
        <w:t>’</w:t>
      </w:r>
      <w:r w:rsidRPr="00542BD1">
        <w:rPr>
          <w:lang w:val="fr-FR"/>
        </w:rPr>
        <w:t>État partie sur la recevabilité</w:t>
      </w:r>
    </w:p>
    <w:p w14:paraId="46ECDF04" w14:textId="179A134E" w:rsidR="00246C3A" w:rsidRPr="00542BD1" w:rsidRDefault="00246C3A" w:rsidP="00246C3A">
      <w:pPr>
        <w:pStyle w:val="SingleTxtG"/>
      </w:pPr>
      <w:r w:rsidRPr="00542BD1">
        <w:rPr>
          <w:lang w:val="fr-FR"/>
        </w:rPr>
        <w:t>6.1</w:t>
      </w:r>
      <w:r w:rsidRPr="00542BD1">
        <w:rPr>
          <w:lang w:val="fr-FR"/>
        </w:rPr>
        <w:tab/>
        <w:t>Dans des observations complémentaires en date du 19</w:t>
      </w:r>
      <w:r>
        <w:rPr>
          <w:lang w:val="fr-FR"/>
        </w:rPr>
        <w:t> </w:t>
      </w:r>
      <w:r w:rsidRPr="00542BD1">
        <w:rPr>
          <w:lang w:val="fr-FR"/>
        </w:rPr>
        <w:t>septembre 2019, l</w:t>
      </w:r>
      <w:r>
        <w:rPr>
          <w:lang w:val="fr-FR"/>
        </w:rPr>
        <w:t>’</w:t>
      </w:r>
      <w:r w:rsidRPr="00542BD1">
        <w:rPr>
          <w:lang w:val="fr-FR"/>
        </w:rPr>
        <w:t>État partie maintient sa position, à savoir que la communication est irrecevable parce que l</w:t>
      </w:r>
      <w:r>
        <w:rPr>
          <w:lang w:val="fr-FR"/>
        </w:rPr>
        <w:t>’</w:t>
      </w:r>
      <w:r w:rsidRPr="00542BD1">
        <w:rPr>
          <w:lang w:val="fr-FR"/>
        </w:rPr>
        <w:t>auteur n</w:t>
      </w:r>
      <w:r>
        <w:rPr>
          <w:lang w:val="fr-FR"/>
        </w:rPr>
        <w:t>’</w:t>
      </w:r>
      <w:r w:rsidRPr="00542BD1">
        <w:rPr>
          <w:lang w:val="fr-FR"/>
        </w:rPr>
        <w:t>a pas épuisé les recours internes disponibles. Selon la jurisprudence du Comité, l</w:t>
      </w:r>
      <w:r>
        <w:rPr>
          <w:lang w:val="fr-FR"/>
        </w:rPr>
        <w:t>’</w:t>
      </w:r>
      <w:r w:rsidRPr="00542BD1">
        <w:rPr>
          <w:lang w:val="fr-FR"/>
        </w:rPr>
        <w:t>auteur d</w:t>
      </w:r>
      <w:r>
        <w:rPr>
          <w:lang w:val="fr-FR"/>
        </w:rPr>
        <w:t>’</w:t>
      </w:r>
      <w:r w:rsidRPr="00542BD1">
        <w:rPr>
          <w:lang w:val="fr-FR"/>
        </w:rPr>
        <w:t>une communication doit se prévaloir de tous les recours internes, pour autant que ces recours semblent être utiles et lui soient ouverts de facto</w:t>
      </w:r>
      <w:r w:rsidRPr="00542BD1">
        <w:rPr>
          <w:rStyle w:val="Appelnotedebasdep"/>
          <w:lang w:val="fr-FR"/>
        </w:rPr>
        <w:footnoteReference w:id="15"/>
      </w:r>
      <w:r w:rsidRPr="00542BD1">
        <w:rPr>
          <w:lang w:val="fr-FR"/>
        </w:rPr>
        <w:t>. De fait, les auteurs doivent utiliser toutes les voies de recours judiciaires ou administratives qui leur offrent des chances raisonnables d</w:t>
      </w:r>
      <w:r>
        <w:rPr>
          <w:lang w:val="fr-FR"/>
        </w:rPr>
        <w:t>’</w:t>
      </w:r>
      <w:r w:rsidRPr="00542BD1">
        <w:rPr>
          <w:lang w:val="fr-FR"/>
        </w:rPr>
        <w:t>obtenir réparation</w:t>
      </w:r>
      <w:r w:rsidRPr="00542BD1">
        <w:rPr>
          <w:rStyle w:val="Appelnotedebasdep"/>
          <w:lang w:val="fr-FR"/>
        </w:rPr>
        <w:footnoteReference w:id="16"/>
      </w:r>
      <w:r w:rsidRPr="00542BD1">
        <w:rPr>
          <w:lang w:val="fr-FR"/>
        </w:rPr>
        <w:t>. L</w:t>
      </w:r>
      <w:r>
        <w:rPr>
          <w:lang w:val="fr-FR"/>
        </w:rPr>
        <w:t>’</w:t>
      </w:r>
      <w:r w:rsidRPr="00542BD1">
        <w:rPr>
          <w:lang w:val="fr-FR"/>
        </w:rPr>
        <w:t>État partie rappelle les différentes formes de réparation que permet</w:t>
      </w:r>
      <w:r w:rsidRPr="00542BD1">
        <w:rPr>
          <w:b/>
          <w:bCs/>
          <w:lang w:val="fr-FR"/>
        </w:rPr>
        <w:t xml:space="preserve"> </w:t>
      </w:r>
      <w:r w:rsidRPr="00542BD1">
        <w:rPr>
          <w:lang w:val="fr-FR"/>
        </w:rPr>
        <w:t>la procédure devant le Conseil de la magistrature. Ce dernier a pour pratique d</w:t>
      </w:r>
      <w:r>
        <w:rPr>
          <w:lang w:val="fr-FR"/>
        </w:rPr>
        <w:t>’</w:t>
      </w:r>
      <w:r w:rsidRPr="00542BD1">
        <w:rPr>
          <w:lang w:val="fr-FR"/>
        </w:rPr>
        <w:t>accueillir les demandes dûment fondées, y compris les demandes d</w:t>
      </w:r>
      <w:r>
        <w:rPr>
          <w:lang w:val="fr-FR"/>
        </w:rPr>
        <w:t>’</w:t>
      </w:r>
      <w:r w:rsidRPr="00542BD1">
        <w:rPr>
          <w:lang w:val="fr-FR"/>
        </w:rPr>
        <w:t>indemnisation pour préjudice moral.</w:t>
      </w:r>
    </w:p>
    <w:p w14:paraId="08346C68" w14:textId="21753399" w:rsidR="00246C3A" w:rsidRPr="00542BD1" w:rsidRDefault="00246C3A" w:rsidP="00246C3A">
      <w:pPr>
        <w:pStyle w:val="SingleTxtG"/>
      </w:pPr>
      <w:r w:rsidRPr="00542BD1">
        <w:rPr>
          <w:lang w:val="fr-FR"/>
        </w:rPr>
        <w:t>6.2</w:t>
      </w:r>
      <w:r w:rsidRPr="00542BD1">
        <w:rPr>
          <w:lang w:val="fr-FR"/>
        </w:rPr>
        <w:tab/>
        <w:t>En l</w:t>
      </w:r>
      <w:r>
        <w:rPr>
          <w:lang w:val="fr-FR"/>
        </w:rPr>
        <w:t>’</w:t>
      </w:r>
      <w:r w:rsidRPr="00542BD1">
        <w:rPr>
          <w:lang w:val="fr-FR"/>
        </w:rPr>
        <w:t>espèce, l</w:t>
      </w:r>
      <w:r>
        <w:rPr>
          <w:lang w:val="fr-FR"/>
        </w:rPr>
        <w:t>’</w:t>
      </w:r>
      <w:r w:rsidRPr="00542BD1">
        <w:rPr>
          <w:lang w:val="fr-FR"/>
        </w:rPr>
        <w:t>État partie n</w:t>
      </w:r>
      <w:r>
        <w:rPr>
          <w:lang w:val="fr-FR"/>
        </w:rPr>
        <w:t>’</w:t>
      </w:r>
      <w:r w:rsidRPr="00542BD1">
        <w:rPr>
          <w:lang w:val="fr-FR"/>
        </w:rPr>
        <w:t>a pas jugé bon de proposer un règlement amiable à l</w:t>
      </w:r>
      <w:r>
        <w:rPr>
          <w:lang w:val="fr-FR"/>
        </w:rPr>
        <w:t>’</w:t>
      </w:r>
      <w:r w:rsidRPr="00542BD1">
        <w:rPr>
          <w:lang w:val="fr-FR"/>
        </w:rPr>
        <w:t>auteur, car il l</w:t>
      </w:r>
      <w:r>
        <w:rPr>
          <w:lang w:val="fr-FR"/>
        </w:rPr>
        <w:t>’</w:t>
      </w:r>
      <w:r w:rsidRPr="00542BD1">
        <w:rPr>
          <w:lang w:val="fr-FR"/>
        </w:rPr>
        <w:t>avait expressément informé de la possibilité de saisir le Conseil de la magistrature. L</w:t>
      </w:r>
      <w:r>
        <w:rPr>
          <w:lang w:val="fr-FR"/>
        </w:rPr>
        <w:t>’</w:t>
      </w:r>
      <w:r w:rsidRPr="00542BD1">
        <w:rPr>
          <w:lang w:val="fr-FR"/>
        </w:rPr>
        <w:t>auteur ne s</w:t>
      </w:r>
      <w:r>
        <w:rPr>
          <w:lang w:val="fr-FR"/>
        </w:rPr>
        <w:t>’</w:t>
      </w:r>
      <w:r w:rsidRPr="00542BD1">
        <w:rPr>
          <w:lang w:val="fr-FR"/>
        </w:rPr>
        <w:t>est pas prévalu de cette possibilité.</w:t>
      </w:r>
    </w:p>
    <w:p w14:paraId="5E2F7DFD" w14:textId="4D028C50" w:rsidR="00246C3A" w:rsidRPr="00DF3905" w:rsidRDefault="00246C3A" w:rsidP="00246C3A">
      <w:pPr>
        <w:pStyle w:val="SingleTxtG"/>
        <w:rPr>
          <w:bCs/>
        </w:rPr>
      </w:pPr>
      <w:r w:rsidRPr="00542BD1">
        <w:rPr>
          <w:lang w:val="fr-FR"/>
        </w:rPr>
        <w:t>6.3</w:t>
      </w:r>
      <w:r w:rsidRPr="00542BD1">
        <w:rPr>
          <w:lang w:val="fr-FR"/>
        </w:rPr>
        <w:tab/>
        <w:t>En outre, l</w:t>
      </w:r>
      <w:r>
        <w:rPr>
          <w:lang w:val="fr-FR"/>
        </w:rPr>
        <w:t>’</w:t>
      </w:r>
      <w:r w:rsidRPr="00542BD1">
        <w:rPr>
          <w:lang w:val="fr-FR"/>
        </w:rPr>
        <w:t>État partie rappelle qu</w:t>
      </w:r>
      <w:r>
        <w:rPr>
          <w:lang w:val="fr-FR"/>
        </w:rPr>
        <w:t>’</w:t>
      </w:r>
      <w:r w:rsidRPr="00542BD1">
        <w:rPr>
          <w:lang w:val="fr-FR"/>
        </w:rPr>
        <w:t>il a lancé un processus tendant à supprimer le système d</w:t>
      </w:r>
      <w:r>
        <w:rPr>
          <w:lang w:val="fr-FR"/>
        </w:rPr>
        <w:t>’</w:t>
      </w:r>
      <w:r w:rsidRPr="00542BD1">
        <w:rPr>
          <w:lang w:val="fr-FR"/>
        </w:rPr>
        <w:t>autorisation d</w:t>
      </w:r>
      <w:r>
        <w:rPr>
          <w:lang w:val="fr-FR"/>
        </w:rPr>
        <w:t>’</w:t>
      </w:r>
      <w:r w:rsidRPr="00542BD1">
        <w:rPr>
          <w:lang w:val="fr-FR"/>
        </w:rPr>
        <w:t>interjeter appel, dans le cadre de la</w:t>
      </w:r>
      <w:r w:rsidRPr="00542BD1">
        <w:rPr>
          <w:b/>
          <w:bCs/>
          <w:lang w:val="fr-FR"/>
        </w:rPr>
        <w:t xml:space="preserve"> </w:t>
      </w:r>
      <w:r w:rsidRPr="00542BD1">
        <w:rPr>
          <w:lang w:val="fr-FR"/>
        </w:rPr>
        <w:t>refonte du Code de procédure pénale. Un projet de nouveau code de procédure pénale sera envoyé pour avis</w:t>
      </w:r>
      <w:r w:rsidRPr="00542BD1">
        <w:rPr>
          <w:b/>
          <w:bCs/>
          <w:lang w:val="fr-FR"/>
        </w:rPr>
        <w:t xml:space="preserve"> </w:t>
      </w:r>
      <w:r w:rsidRPr="00542BD1">
        <w:rPr>
          <w:lang w:val="fr-FR"/>
        </w:rPr>
        <w:t>au Conseil d</w:t>
      </w:r>
      <w:r>
        <w:rPr>
          <w:lang w:val="fr-FR"/>
        </w:rPr>
        <w:t>’</w:t>
      </w:r>
      <w:r w:rsidRPr="00542BD1">
        <w:rPr>
          <w:lang w:val="fr-FR"/>
        </w:rPr>
        <w:t>État en 2020, et devrait probablement être soumis au Parlement fin 2020 ou début 2021. La procédure devant le Conseil de la magistrature a été introduite en attendant l</w:t>
      </w:r>
      <w:r>
        <w:rPr>
          <w:lang w:val="fr-FR"/>
        </w:rPr>
        <w:t>’</w:t>
      </w:r>
      <w:r w:rsidRPr="00542BD1">
        <w:rPr>
          <w:lang w:val="fr-FR"/>
        </w:rPr>
        <w:t>issue du processus législatif, compte tenu des constatations du Comité, notamment dans l</w:t>
      </w:r>
      <w:r>
        <w:rPr>
          <w:lang w:val="fr-FR"/>
        </w:rPr>
        <w:t>’</w:t>
      </w:r>
      <w:r w:rsidRPr="00542BD1">
        <w:rPr>
          <w:lang w:val="fr-FR"/>
        </w:rPr>
        <w:t xml:space="preserve">affaire </w:t>
      </w:r>
      <w:proofErr w:type="spellStart"/>
      <w:r w:rsidRPr="00542BD1">
        <w:rPr>
          <w:i/>
          <w:iCs/>
          <w:lang w:val="fr-FR"/>
        </w:rPr>
        <w:t>Timmer</w:t>
      </w:r>
      <w:proofErr w:type="spellEnd"/>
      <w:r w:rsidRPr="00542BD1">
        <w:rPr>
          <w:i/>
          <w:iCs/>
          <w:lang w:val="fr-FR"/>
        </w:rPr>
        <w:t xml:space="preserve"> c. Pays-Bas</w:t>
      </w:r>
      <w:r w:rsidRPr="00542BD1">
        <w:rPr>
          <w:lang w:val="fr-FR"/>
        </w:rPr>
        <w:t>.</w:t>
      </w:r>
    </w:p>
    <w:p w14:paraId="5F013331" w14:textId="78EECF4C" w:rsidR="00246C3A" w:rsidRPr="00542BD1" w:rsidRDefault="00246C3A" w:rsidP="00246C3A">
      <w:pPr>
        <w:pStyle w:val="SingleTxtG"/>
      </w:pPr>
      <w:r w:rsidRPr="00542BD1">
        <w:rPr>
          <w:lang w:val="fr-FR"/>
        </w:rPr>
        <w:t>6.4</w:t>
      </w:r>
      <w:r w:rsidRPr="00542BD1">
        <w:rPr>
          <w:lang w:val="fr-FR"/>
        </w:rPr>
        <w:tab/>
        <w:t>Dans ses observations complémentaires en date du 26</w:t>
      </w:r>
      <w:r>
        <w:rPr>
          <w:lang w:val="fr-FR"/>
        </w:rPr>
        <w:t> </w:t>
      </w:r>
      <w:r w:rsidRPr="00542BD1">
        <w:rPr>
          <w:lang w:val="fr-FR"/>
        </w:rPr>
        <w:t>février 2021, l</w:t>
      </w:r>
      <w:r>
        <w:rPr>
          <w:lang w:val="fr-FR"/>
        </w:rPr>
        <w:t>’</w:t>
      </w:r>
      <w:r w:rsidRPr="00542BD1">
        <w:rPr>
          <w:lang w:val="fr-FR"/>
        </w:rPr>
        <w:t>État partie maintient sa position selon laquelle la procédure en responsabilité civile devant le Conseil de la magistrature constitue un recours utile. Dans l</w:t>
      </w:r>
      <w:r>
        <w:rPr>
          <w:lang w:val="fr-FR"/>
        </w:rPr>
        <w:t>’</w:t>
      </w:r>
      <w:r w:rsidRPr="00542BD1">
        <w:rPr>
          <w:lang w:val="fr-FR"/>
        </w:rPr>
        <w:t xml:space="preserve">affaire </w:t>
      </w:r>
      <w:proofErr w:type="spellStart"/>
      <w:r w:rsidRPr="00542BD1">
        <w:rPr>
          <w:i/>
          <w:iCs/>
          <w:lang w:val="fr-FR"/>
        </w:rPr>
        <w:t>Timmer</w:t>
      </w:r>
      <w:proofErr w:type="spellEnd"/>
      <w:r w:rsidRPr="00542BD1">
        <w:rPr>
          <w:i/>
          <w:iCs/>
          <w:lang w:val="fr-FR"/>
        </w:rPr>
        <w:t xml:space="preserve"> c. Pays-Bas</w:t>
      </w:r>
      <w:r w:rsidRPr="00542BD1">
        <w:rPr>
          <w:lang w:val="fr-FR"/>
        </w:rPr>
        <w:t>, qui</w:t>
      </w:r>
      <w:r>
        <w:rPr>
          <w:lang w:val="fr-FR"/>
        </w:rPr>
        <w:t xml:space="preserve"> </w:t>
      </w:r>
      <w:r w:rsidRPr="00542BD1">
        <w:rPr>
          <w:lang w:val="fr-FR"/>
        </w:rPr>
        <w:t xml:space="preserve">est </w:t>
      </w:r>
      <w:r w:rsidRPr="00DF3905">
        <w:rPr>
          <w:lang w:val="fr-FR"/>
        </w:rPr>
        <w:t>semblable à la présente affaire, le Comité a expressément déclaré qu</w:t>
      </w:r>
      <w:r>
        <w:rPr>
          <w:lang w:val="fr-FR"/>
        </w:rPr>
        <w:t>’</w:t>
      </w:r>
      <w:r w:rsidRPr="00DF3905">
        <w:rPr>
          <w:lang w:val="fr-FR"/>
        </w:rPr>
        <w:t xml:space="preserve">un recours utile consisterait à permettre un réexamen de la déclaration de culpabilité et de la condamnation par une juridiction supérieure </w:t>
      </w:r>
      <w:r w:rsidRPr="00DF3905">
        <w:rPr>
          <w:i/>
          <w:iCs/>
          <w:lang w:val="fr-FR"/>
        </w:rPr>
        <w:t>ou la mise en œuvre de toute autre mesure propre à supprimer les effets préjudiciables causés à l</w:t>
      </w:r>
      <w:r>
        <w:rPr>
          <w:i/>
          <w:iCs/>
          <w:lang w:val="fr-FR"/>
        </w:rPr>
        <w:t>’</w:t>
      </w:r>
      <w:r w:rsidRPr="00DF3905">
        <w:rPr>
          <w:i/>
          <w:iCs/>
          <w:lang w:val="fr-FR"/>
        </w:rPr>
        <w:t>auteur, et à accorder à celui-ci une indemnisation adéquate</w:t>
      </w:r>
      <w:r w:rsidRPr="00DF3905">
        <w:rPr>
          <w:lang w:val="fr-FR"/>
        </w:rPr>
        <w:t xml:space="preserve"> [italiques ajoutés par l</w:t>
      </w:r>
      <w:r>
        <w:rPr>
          <w:lang w:val="fr-FR"/>
        </w:rPr>
        <w:t>’</w:t>
      </w:r>
      <w:r w:rsidRPr="00DF3905">
        <w:rPr>
          <w:lang w:val="fr-FR"/>
        </w:rPr>
        <w:t>État partie]. Dans des observations précédentes, l</w:t>
      </w:r>
      <w:r>
        <w:rPr>
          <w:lang w:val="fr-FR"/>
        </w:rPr>
        <w:t>’</w:t>
      </w:r>
      <w:r w:rsidRPr="00DF3905">
        <w:rPr>
          <w:lang w:val="fr-FR"/>
        </w:rPr>
        <w:t>État partie avait déjà indiqué que la procédure en responsabilité civile pouvait précisément permettre de faire disparaître</w:t>
      </w:r>
      <w:r w:rsidRPr="00DF3905">
        <w:rPr>
          <w:b/>
          <w:bCs/>
          <w:lang w:val="fr-FR"/>
        </w:rPr>
        <w:t xml:space="preserve"> </w:t>
      </w:r>
      <w:r w:rsidRPr="00DF3905">
        <w:rPr>
          <w:lang w:val="fr-FR"/>
        </w:rPr>
        <w:t>les effets préjudiciables causés à l</w:t>
      </w:r>
      <w:r>
        <w:rPr>
          <w:lang w:val="fr-FR"/>
        </w:rPr>
        <w:t>’</w:t>
      </w:r>
      <w:r w:rsidRPr="00DF3905">
        <w:rPr>
          <w:lang w:val="fr-FR"/>
        </w:rPr>
        <w:t>auteur. L</w:t>
      </w:r>
      <w:r>
        <w:rPr>
          <w:lang w:val="fr-FR"/>
        </w:rPr>
        <w:t>’</w:t>
      </w:r>
      <w:r w:rsidRPr="00DF3905">
        <w:rPr>
          <w:lang w:val="fr-FR"/>
        </w:rPr>
        <w:t>État partie réaffirme que les personnes qui saisissent le Conseil de la magistrature peuvent obtenir le remboursement de l</w:t>
      </w:r>
      <w:r>
        <w:rPr>
          <w:lang w:val="fr-FR"/>
        </w:rPr>
        <w:t>’</w:t>
      </w:r>
      <w:r w:rsidRPr="00DF3905">
        <w:rPr>
          <w:lang w:val="fr-FR"/>
        </w:rPr>
        <w:t>amende qu</w:t>
      </w:r>
      <w:r>
        <w:rPr>
          <w:lang w:val="fr-FR"/>
        </w:rPr>
        <w:t>’</w:t>
      </w:r>
      <w:r w:rsidRPr="00DF3905">
        <w:rPr>
          <w:lang w:val="fr-FR"/>
        </w:rPr>
        <w:t>elles ont eu à payer, le remboursement des frais de justice</w:t>
      </w:r>
      <w:r w:rsidRPr="00542BD1">
        <w:rPr>
          <w:lang w:val="fr-FR"/>
        </w:rPr>
        <w:t xml:space="preserve"> liés à la demande d</w:t>
      </w:r>
      <w:r>
        <w:rPr>
          <w:lang w:val="fr-FR"/>
        </w:rPr>
        <w:t>’</w:t>
      </w:r>
      <w:r w:rsidRPr="00542BD1">
        <w:rPr>
          <w:lang w:val="fr-FR"/>
        </w:rPr>
        <w:t>autorisation d</w:t>
      </w:r>
      <w:r>
        <w:rPr>
          <w:lang w:val="fr-FR"/>
        </w:rPr>
        <w:t>’</w:t>
      </w:r>
      <w:r w:rsidRPr="00542BD1">
        <w:rPr>
          <w:lang w:val="fr-FR"/>
        </w:rPr>
        <w:t>interjeter appel, la suppression de la mention de l</w:t>
      </w:r>
      <w:r>
        <w:rPr>
          <w:lang w:val="fr-FR"/>
        </w:rPr>
        <w:t>’</w:t>
      </w:r>
      <w:r w:rsidRPr="00542BD1">
        <w:rPr>
          <w:lang w:val="fr-FR"/>
        </w:rPr>
        <w:t>infraction dans leur casier judiciaire et une indemn</w:t>
      </w:r>
      <w:r>
        <w:rPr>
          <w:lang w:val="fr-FR"/>
        </w:rPr>
        <w:t>i</w:t>
      </w:r>
      <w:r w:rsidRPr="00542BD1">
        <w:rPr>
          <w:lang w:val="fr-FR"/>
        </w:rPr>
        <w:t>sation pour le préjudice moral subi. Cela représente un recours utile conforme à la jurisprudence du Comité.</w:t>
      </w:r>
    </w:p>
    <w:p w14:paraId="4C15C84D" w14:textId="35D8BAC3" w:rsidR="00246C3A" w:rsidRPr="00542BD1" w:rsidRDefault="00246C3A" w:rsidP="00246C3A">
      <w:pPr>
        <w:pStyle w:val="SingleTxtG"/>
      </w:pPr>
      <w:r w:rsidRPr="00542BD1">
        <w:rPr>
          <w:lang w:val="fr-FR"/>
        </w:rPr>
        <w:lastRenderedPageBreak/>
        <w:t>6.5</w:t>
      </w:r>
      <w:r w:rsidRPr="00542BD1">
        <w:rPr>
          <w:lang w:val="fr-FR"/>
        </w:rPr>
        <w:tab/>
        <w:t xml:space="preserve">La jurisprudence du Comité dans les affaires </w:t>
      </w:r>
      <w:proofErr w:type="spellStart"/>
      <w:r w:rsidRPr="00542BD1">
        <w:rPr>
          <w:i/>
          <w:iCs/>
          <w:lang w:val="fr-FR"/>
        </w:rPr>
        <w:t>Sabirova</w:t>
      </w:r>
      <w:proofErr w:type="spellEnd"/>
      <w:r w:rsidRPr="00542BD1">
        <w:rPr>
          <w:i/>
          <w:iCs/>
          <w:lang w:val="fr-FR"/>
        </w:rPr>
        <w:t xml:space="preserve"> et consorts c. Ouzbékistan</w:t>
      </w:r>
      <w:r w:rsidRPr="00542BD1">
        <w:rPr>
          <w:lang w:val="fr-FR"/>
        </w:rPr>
        <w:t xml:space="preserve"> et </w:t>
      </w:r>
      <w:r w:rsidRPr="00542BD1">
        <w:rPr>
          <w:i/>
          <w:iCs/>
          <w:lang w:val="fr-FR"/>
        </w:rPr>
        <w:t>S.</w:t>
      </w:r>
      <w:r>
        <w:rPr>
          <w:i/>
          <w:iCs/>
          <w:lang w:val="fr-FR"/>
        </w:rPr>
        <w:t> </w:t>
      </w:r>
      <w:r w:rsidRPr="00542BD1">
        <w:rPr>
          <w:i/>
          <w:iCs/>
          <w:lang w:val="fr-FR"/>
        </w:rPr>
        <w:t>Y.</w:t>
      </w:r>
      <w:r>
        <w:rPr>
          <w:i/>
          <w:iCs/>
          <w:lang w:val="fr-FR"/>
        </w:rPr>
        <w:t> </w:t>
      </w:r>
      <w:r w:rsidRPr="00542BD1">
        <w:rPr>
          <w:i/>
          <w:iCs/>
          <w:lang w:val="fr-FR"/>
        </w:rPr>
        <w:t>c.</w:t>
      </w:r>
      <w:r>
        <w:rPr>
          <w:i/>
          <w:iCs/>
          <w:lang w:val="fr-FR"/>
        </w:rPr>
        <w:t> </w:t>
      </w:r>
      <w:r w:rsidRPr="00542BD1">
        <w:rPr>
          <w:i/>
          <w:iCs/>
          <w:lang w:val="fr-FR"/>
        </w:rPr>
        <w:t xml:space="preserve">Pays-Bas </w:t>
      </w:r>
      <w:r w:rsidRPr="00542BD1">
        <w:rPr>
          <w:lang w:val="fr-FR"/>
        </w:rPr>
        <w:t>n</w:t>
      </w:r>
      <w:r>
        <w:rPr>
          <w:lang w:val="fr-FR"/>
        </w:rPr>
        <w:t>’</w:t>
      </w:r>
      <w:r w:rsidRPr="00542BD1">
        <w:rPr>
          <w:lang w:val="fr-FR"/>
        </w:rPr>
        <w:t>est pas pertinente car celles-ci ne sont pas comparables à la présente affaire. Les mesures prises par l</w:t>
      </w:r>
      <w:r>
        <w:rPr>
          <w:lang w:val="fr-FR"/>
        </w:rPr>
        <w:t>’</w:t>
      </w:r>
      <w:r w:rsidRPr="00542BD1">
        <w:rPr>
          <w:lang w:val="fr-FR"/>
        </w:rPr>
        <w:t>État partie dans l</w:t>
      </w:r>
      <w:r>
        <w:rPr>
          <w:lang w:val="fr-FR"/>
        </w:rPr>
        <w:t>’</w:t>
      </w:r>
      <w:r w:rsidRPr="00542BD1">
        <w:rPr>
          <w:lang w:val="fr-FR"/>
        </w:rPr>
        <w:t xml:space="preserve">affaire </w:t>
      </w:r>
      <w:proofErr w:type="spellStart"/>
      <w:r w:rsidRPr="00542BD1">
        <w:rPr>
          <w:i/>
          <w:iCs/>
          <w:lang w:val="fr-FR"/>
        </w:rPr>
        <w:t>Timmer</w:t>
      </w:r>
      <w:proofErr w:type="spellEnd"/>
      <w:r w:rsidRPr="00542BD1">
        <w:rPr>
          <w:i/>
          <w:iCs/>
          <w:lang w:val="fr-FR"/>
        </w:rPr>
        <w:t xml:space="preserve"> c. Pays-Bas</w:t>
      </w:r>
      <w:r w:rsidRPr="00542BD1">
        <w:rPr>
          <w:lang w:val="fr-FR"/>
        </w:rPr>
        <w:t>, qui étaient similaires à celles prévues dans le cadre de la procédure en responsabilité civile décrite plus haut, ont conduit le Comité à mettre fin au dialogue de suivi avec l</w:t>
      </w:r>
      <w:r>
        <w:rPr>
          <w:lang w:val="fr-FR"/>
        </w:rPr>
        <w:t>’</w:t>
      </w:r>
      <w:r w:rsidRPr="00542BD1">
        <w:rPr>
          <w:lang w:val="fr-FR"/>
        </w:rPr>
        <w:t>État partie en 2016, en concluant à une mise en œuvre satisfaisante de sa recommandation.</w:t>
      </w:r>
    </w:p>
    <w:p w14:paraId="7AB20238" w14:textId="321868E3" w:rsidR="00246C3A" w:rsidRPr="00542BD1" w:rsidRDefault="00246C3A" w:rsidP="00246C3A">
      <w:pPr>
        <w:pStyle w:val="SingleTxtG"/>
      </w:pPr>
      <w:r w:rsidRPr="00542BD1">
        <w:rPr>
          <w:lang w:val="fr-FR"/>
        </w:rPr>
        <w:t>6.6</w:t>
      </w:r>
      <w:r w:rsidRPr="00542BD1">
        <w:rPr>
          <w:lang w:val="fr-FR"/>
        </w:rPr>
        <w:tab/>
        <w:t>L</w:t>
      </w:r>
      <w:r>
        <w:rPr>
          <w:lang w:val="fr-FR"/>
        </w:rPr>
        <w:t>’</w:t>
      </w:r>
      <w:r w:rsidRPr="00542BD1">
        <w:rPr>
          <w:lang w:val="fr-FR"/>
        </w:rPr>
        <w:t>État partie reconnaît que dans des cas comme celui de l</w:t>
      </w:r>
      <w:r>
        <w:rPr>
          <w:lang w:val="fr-FR"/>
        </w:rPr>
        <w:t>’</w:t>
      </w:r>
      <w:r w:rsidRPr="00542BD1">
        <w:rPr>
          <w:lang w:val="fr-FR"/>
        </w:rPr>
        <w:t>auteur, il n</w:t>
      </w:r>
      <w:r>
        <w:rPr>
          <w:lang w:val="fr-FR"/>
        </w:rPr>
        <w:t>’</w:t>
      </w:r>
      <w:r w:rsidRPr="00542BD1">
        <w:rPr>
          <w:lang w:val="fr-FR"/>
        </w:rPr>
        <w:t>existe actuellement aucun droit de recours au sens de l</w:t>
      </w:r>
      <w:r>
        <w:rPr>
          <w:lang w:val="fr-FR"/>
        </w:rPr>
        <w:t>’</w:t>
      </w:r>
      <w:r w:rsidRPr="00542BD1">
        <w:rPr>
          <w:lang w:val="fr-FR"/>
        </w:rPr>
        <w:t>article</w:t>
      </w:r>
      <w:r>
        <w:rPr>
          <w:lang w:val="fr-FR"/>
        </w:rPr>
        <w:t> </w:t>
      </w:r>
      <w:r w:rsidRPr="00542BD1">
        <w:rPr>
          <w:lang w:val="fr-FR"/>
        </w:rPr>
        <w:t>14 (par.</w:t>
      </w:r>
      <w:r>
        <w:rPr>
          <w:lang w:val="fr-FR"/>
        </w:rPr>
        <w:t> </w:t>
      </w:r>
      <w:r w:rsidRPr="00542BD1">
        <w:rPr>
          <w:lang w:val="fr-FR"/>
        </w:rPr>
        <w:t>5) du Pacte. Comme il l</w:t>
      </w:r>
      <w:r>
        <w:rPr>
          <w:lang w:val="fr-FR"/>
        </w:rPr>
        <w:t>’</w:t>
      </w:r>
      <w:r w:rsidRPr="00542BD1">
        <w:rPr>
          <w:lang w:val="fr-FR"/>
        </w:rPr>
        <w:t>a déjà indiqué, il a entrepris de remédier à cette lacune</w:t>
      </w:r>
      <w:r w:rsidRPr="00073802">
        <w:rPr>
          <w:lang w:val="fr-FR"/>
        </w:rPr>
        <w:t xml:space="preserve"> </w:t>
      </w:r>
      <w:r w:rsidRPr="00542BD1">
        <w:rPr>
          <w:lang w:val="fr-FR"/>
        </w:rPr>
        <w:t>par la suppression du système d</w:t>
      </w:r>
      <w:r>
        <w:rPr>
          <w:lang w:val="fr-FR"/>
        </w:rPr>
        <w:t>’</w:t>
      </w:r>
      <w:r w:rsidRPr="00542BD1">
        <w:rPr>
          <w:lang w:val="fr-FR"/>
        </w:rPr>
        <w:t>autorisation d</w:t>
      </w:r>
      <w:r>
        <w:rPr>
          <w:lang w:val="fr-FR"/>
        </w:rPr>
        <w:t>’</w:t>
      </w:r>
      <w:r w:rsidRPr="00542BD1">
        <w:rPr>
          <w:lang w:val="fr-FR"/>
        </w:rPr>
        <w:t>interjeter appel, qui interviendra une fois que le nouveau code de procédure pénale sera entré en vigueur. L</w:t>
      </w:r>
      <w:r>
        <w:rPr>
          <w:lang w:val="fr-FR"/>
        </w:rPr>
        <w:t>’</w:t>
      </w:r>
      <w:r w:rsidRPr="00542BD1">
        <w:rPr>
          <w:lang w:val="fr-FR"/>
        </w:rPr>
        <w:t>adoption du nouveau code étant un processus qui prend du temps, l</w:t>
      </w:r>
      <w:r>
        <w:rPr>
          <w:lang w:val="fr-FR"/>
        </w:rPr>
        <w:t>’</w:t>
      </w:r>
      <w:r w:rsidRPr="00542BD1">
        <w:rPr>
          <w:lang w:val="fr-FR"/>
        </w:rPr>
        <w:t>État partie a mis en place la procédure en responsabilité civile à titre de mesure provisoire pour corriger cette situation. Cela est conforme au paragraphe</w:t>
      </w:r>
      <w:r>
        <w:rPr>
          <w:lang w:val="fr-FR"/>
        </w:rPr>
        <w:t> </w:t>
      </w:r>
      <w:r w:rsidRPr="00542BD1">
        <w:rPr>
          <w:lang w:val="fr-FR"/>
        </w:rPr>
        <w:t xml:space="preserve">19 de </w:t>
      </w:r>
      <w:r>
        <w:rPr>
          <w:lang w:val="fr-FR"/>
        </w:rPr>
        <w:t>l</w:t>
      </w:r>
      <w:r>
        <w:rPr>
          <w:lang w:val="fr-FR"/>
        </w:rPr>
        <w:t>’</w:t>
      </w:r>
      <w:r w:rsidRPr="00542BD1">
        <w:rPr>
          <w:lang w:val="fr-FR"/>
        </w:rPr>
        <w:t xml:space="preserve">observation générale </w:t>
      </w:r>
      <w:r w:rsidRPr="004D7545">
        <w:rPr>
          <w:rFonts w:eastAsia="MS Mincho"/>
          <w:szCs w:val="22"/>
          <w:lang w:val="fr-FR"/>
        </w:rPr>
        <w:t>n</w:t>
      </w:r>
      <w:r w:rsidRPr="004D7545">
        <w:rPr>
          <w:rFonts w:eastAsia="MS Mincho"/>
          <w:szCs w:val="22"/>
          <w:vertAlign w:val="superscript"/>
          <w:lang w:val="fr-FR"/>
        </w:rPr>
        <w:t>o</w:t>
      </w:r>
      <w:r>
        <w:rPr>
          <w:lang w:val="fr-FR"/>
        </w:rPr>
        <w:t> </w:t>
      </w:r>
      <w:r w:rsidRPr="00542BD1">
        <w:rPr>
          <w:lang w:val="fr-FR"/>
        </w:rPr>
        <w:t>31 (2004)</w:t>
      </w:r>
      <w:r>
        <w:rPr>
          <w:lang w:val="fr-FR"/>
        </w:rPr>
        <w:t xml:space="preserve"> du Comité</w:t>
      </w:r>
      <w:r w:rsidRPr="00542BD1">
        <w:rPr>
          <w:lang w:val="fr-FR"/>
        </w:rPr>
        <w:t xml:space="preserve">, </w:t>
      </w:r>
      <w:r>
        <w:rPr>
          <w:lang w:val="fr-FR"/>
        </w:rPr>
        <w:t xml:space="preserve">dans </w:t>
      </w:r>
      <w:r w:rsidRPr="00542BD1">
        <w:rPr>
          <w:lang w:val="fr-FR"/>
        </w:rPr>
        <w:t xml:space="preserve">lequel </w:t>
      </w:r>
      <w:r>
        <w:rPr>
          <w:lang w:val="fr-FR"/>
        </w:rPr>
        <w:t xml:space="preserve">celui-ci a dit que </w:t>
      </w:r>
      <w:r w:rsidRPr="00542BD1">
        <w:rPr>
          <w:lang w:val="fr-FR"/>
        </w:rPr>
        <w:t>le droit à un recours utile p</w:t>
      </w:r>
      <w:r>
        <w:rPr>
          <w:lang w:val="fr-FR"/>
        </w:rPr>
        <w:t>ouvai</w:t>
      </w:r>
      <w:r w:rsidRPr="00542BD1">
        <w:rPr>
          <w:lang w:val="fr-FR"/>
        </w:rPr>
        <w:t>t dans certaines circonstances obliger l</w:t>
      </w:r>
      <w:r>
        <w:rPr>
          <w:lang w:val="fr-FR"/>
        </w:rPr>
        <w:t>’</w:t>
      </w:r>
      <w:r w:rsidRPr="00542BD1">
        <w:rPr>
          <w:lang w:val="fr-FR"/>
        </w:rPr>
        <w:t>État partie à prévoir et à appliquer des mesures provisoires ou conservatoires pour éviter la poursuite des violations et tenter de réparer au plus vite tout préjudice susceptible d</w:t>
      </w:r>
      <w:r>
        <w:rPr>
          <w:lang w:val="fr-FR"/>
        </w:rPr>
        <w:t>’</w:t>
      </w:r>
      <w:r w:rsidRPr="00542BD1">
        <w:rPr>
          <w:lang w:val="fr-FR"/>
        </w:rPr>
        <w:t>avoir été causé par de telles violations.</w:t>
      </w:r>
    </w:p>
    <w:p w14:paraId="1A0C0CCA" w14:textId="2EFBFF40" w:rsidR="00246C3A" w:rsidRPr="00542BD1" w:rsidRDefault="00246C3A" w:rsidP="00246C3A">
      <w:pPr>
        <w:pStyle w:val="SingleTxtG"/>
      </w:pPr>
      <w:r w:rsidRPr="00542BD1">
        <w:rPr>
          <w:lang w:val="fr-FR"/>
        </w:rPr>
        <w:t>6.7</w:t>
      </w:r>
      <w:r w:rsidRPr="00542BD1">
        <w:rPr>
          <w:lang w:val="fr-FR"/>
        </w:rPr>
        <w:tab/>
        <w:t>La version finale du projet de nouveau code de procédure pénale a été établie en juillet 2020 et publiée sur le site Web de l</w:t>
      </w:r>
      <w:r>
        <w:rPr>
          <w:lang w:val="fr-FR"/>
        </w:rPr>
        <w:t>’</w:t>
      </w:r>
      <w:r w:rsidRPr="00542BD1">
        <w:rPr>
          <w:lang w:val="fr-FR"/>
        </w:rPr>
        <w:t xml:space="preserve">État partie. Dans le mémoire explicatif concernant le projet de loi, sous le titre 4.1 </w:t>
      </w:r>
      <w:r>
        <w:rPr>
          <w:lang w:val="fr-FR"/>
        </w:rPr>
        <w:t>−</w:t>
      </w:r>
      <w:r w:rsidRPr="00542BD1">
        <w:rPr>
          <w:lang w:val="fr-FR"/>
        </w:rPr>
        <w:t xml:space="preserve"> </w:t>
      </w:r>
      <w:r>
        <w:rPr>
          <w:lang w:val="fr-FR"/>
        </w:rPr>
        <w:t>« </w:t>
      </w:r>
      <w:r w:rsidRPr="00542BD1">
        <w:rPr>
          <w:lang w:val="fr-FR"/>
        </w:rPr>
        <w:t>Recours contre les jugements définitifs</w:t>
      </w:r>
      <w:r>
        <w:rPr>
          <w:lang w:val="fr-FR"/>
        </w:rPr>
        <w:t> »</w:t>
      </w:r>
      <w:r w:rsidRPr="00542BD1">
        <w:rPr>
          <w:lang w:val="fr-FR"/>
        </w:rPr>
        <w:t>, la suppression du système d</w:t>
      </w:r>
      <w:r>
        <w:rPr>
          <w:lang w:val="fr-FR"/>
        </w:rPr>
        <w:t>’</w:t>
      </w:r>
      <w:r w:rsidRPr="00542BD1">
        <w:rPr>
          <w:lang w:val="fr-FR"/>
        </w:rPr>
        <w:t xml:space="preserve">autorisation est longuement expliquée, avec des références au Pacte, aux constatations du Comité dans les affaires </w:t>
      </w:r>
      <w:proofErr w:type="spellStart"/>
      <w:r w:rsidRPr="00542BD1">
        <w:rPr>
          <w:i/>
          <w:iCs/>
          <w:lang w:val="fr-FR"/>
        </w:rPr>
        <w:t>Mennen</w:t>
      </w:r>
      <w:proofErr w:type="spellEnd"/>
      <w:r>
        <w:rPr>
          <w:i/>
          <w:iCs/>
          <w:lang w:val="fr-FR"/>
        </w:rPr>
        <w:t> </w:t>
      </w:r>
      <w:r w:rsidRPr="00542BD1">
        <w:rPr>
          <w:i/>
          <w:iCs/>
          <w:lang w:val="fr-FR"/>
        </w:rPr>
        <w:t>c.</w:t>
      </w:r>
      <w:r>
        <w:rPr>
          <w:i/>
          <w:iCs/>
          <w:lang w:val="fr-FR"/>
        </w:rPr>
        <w:t> </w:t>
      </w:r>
      <w:r w:rsidRPr="00542BD1">
        <w:rPr>
          <w:i/>
          <w:iCs/>
          <w:lang w:val="fr-FR"/>
        </w:rPr>
        <w:t>Pays-Bas</w:t>
      </w:r>
      <w:r w:rsidRPr="00542BD1">
        <w:rPr>
          <w:lang w:val="fr-FR"/>
        </w:rPr>
        <w:t xml:space="preserve"> et </w:t>
      </w:r>
      <w:proofErr w:type="spellStart"/>
      <w:r w:rsidRPr="00542BD1">
        <w:rPr>
          <w:i/>
          <w:iCs/>
          <w:lang w:val="fr-FR"/>
        </w:rPr>
        <w:t>Timmer</w:t>
      </w:r>
      <w:proofErr w:type="spellEnd"/>
      <w:r>
        <w:rPr>
          <w:i/>
          <w:iCs/>
          <w:lang w:val="fr-FR"/>
        </w:rPr>
        <w:t> </w:t>
      </w:r>
      <w:r w:rsidRPr="00542BD1">
        <w:rPr>
          <w:i/>
          <w:iCs/>
          <w:lang w:val="fr-FR"/>
        </w:rPr>
        <w:t>c.</w:t>
      </w:r>
      <w:r>
        <w:rPr>
          <w:i/>
          <w:iCs/>
          <w:lang w:val="fr-FR"/>
        </w:rPr>
        <w:t> </w:t>
      </w:r>
      <w:r w:rsidRPr="00542BD1">
        <w:rPr>
          <w:i/>
          <w:iCs/>
          <w:lang w:val="fr-FR"/>
        </w:rPr>
        <w:t>Pays</w:t>
      </w:r>
      <w:r>
        <w:rPr>
          <w:i/>
          <w:iCs/>
          <w:lang w:val="fr-FR"/>
        </w:rPr>
        <w:noBreakHyphen/>
      </w:r>
      <w:r w:rsidRPr="00542BD1">
        <w:rPr>
          <w:i/>
          <w:iCs/>
          <w:lang w:val="fr-FR"/>
        </w:rPr>
        <w:t>Bas</w:t>
      </w:r>
      <w:r w:rsidRPr="00542BD1">
        <w:rPr>
          <w:lang w:val="fr-FR"/>
        </w:rPr>
        <w:t xml:space="preserve"> et à la jurisprudence de la Cour européenne des droits de l</w:t>
      </w:r>
      <w:r>
        <w:rPr>
          <w:lang w:val="fr-FR"/>
        </w:rPr>
        <w:t>’</w:t>
      </w:r>
      <w:r w:rsidRPr="00542BD1">
        <w:rPr>
          <w:lang w:val="fr-FR"/>
        </w:rPr>
        <w:t>homme.</w:t>
      </w:r>
    </w:p>
    <w:p w14:paraId="5B537154" w14:textId="075E8530" w:rsidR="00246C3A" w:rsidRPr="00542BD1" w:rsidRDefault="00246C3A" w:rsidP="00246C3A">
      <w:pPr>
        <w:pStyle w:val="SingleTxtG"/>
      </w:pPr>
      <w:r w:rsidRPr="00542BD1">
        <w:rPr>
          <w:lang w:val="fr-FR"/>
        </w:rPr>
        <w:t>6.8</w:t>
      </w:r>
      <w:r w:rsidRPr="00542BD1">
        <w:rPr>
          <w:lang w:val="fr-FR"/>
        </w:rPr>
        <w:tab/>
        <w:t>Les préparatifs de la mise en application du nouveau code de procédure pénale progressent bien. Les propositions de loi à cet effet sont en cours d</w:t>
      </w:r>
      <w:r>
        <w:rPr>
          <w:lang w:val="fr-FR"/>
        </w:rPr>
        <w:t>’</w:t>
      </w:r>
      <w:r w:rsidRPr="00542BD1">
        <w:rPr>
          <w:lang w:val="fr-FR"/>
        </w:rPr>
        <w:t>élaboration. La loi réglementera l</w:t>
      </w:r>
      <w:r>
        <w:rPr>
          <w:lang w:val="fr-FR"/>
        </w:rPr>
        <w:t>’</w:t>
      </w:r>
      <w:r w:rsidRPr="00542BD1">
        <w:rPr>
          <w:lang w:val="fr-FR"/>
        </w:rPr>
        <w:t>entrée en vigueur du nouveau code et se composera de plusieurs parties, dont celles contenant les dispositions transitoires et celles portant modification d</w:t>
      </w:r>
      <w:r>
        <w:rPr>
          <w:lang w:val="fr-FR"/>
        </w:rPr>
        <w:t>’</w:t>
      </w:r>
      <w:r w:rsidRPr="00542BD1">
        <w:rPr>
          <w:lang w:val="fr-FR"/>
        </w:rPr>
        <w:t>autres lois. L</w:t>
      </w:r>
      <w:r>
        <w:rPr>
          <w:lang w:val="fr-FR"/>
        </w:rPr>
        <w:t>’</w:t>
      </w:r>
      <w:r w:rsidRPr="00542BD1">
        <w:rPr>
          <w:lang w:val="fr-FR"/>
        </w:rPr>
        <w:t>adoption d</w:t>
      </w:r>
      <w:r>
        <w:rPr>
          <w:lang w:val="fr-FR"/>
        </w:rPr>
        <w:t>’</w:t>
      </w:r>
      <w:r w:rsidRPr="00542BD1">
        <w:rPr>
          <w:lang w:val="fr-FR"/>
        </w:rPr>
        <w:t>un nouveau code de procédure pénale est un projet législatif majeur, et c</w:t>
      </w:r>
      <w:r>
        <w:rPr>
          <w:lang w:val="fr-FR"/>
        </w:rPr>
        <w:t>’</w:t>
      </w:r>
      <w:r w:rsidRPr="00542BD1">
        <w:rPr>
          <w:lang w:val="fr-FR"/>
        </w:rPr>
        <w:t>est précisément pour cette raison qu</w:t>
      </w:r>
      <w:r>
        <w:rPr>
          <w:lang w:val="fr-FR"/>
        </w:rPr>
        <w:t>’</w:t>
      </w:r>
      <w:r w:rsidRPr="00542BD1">
        <w:rPr>
          <w:lang w:val="fr-FR"/>
        </w:rPr>
        <w:t>il est essentiel d</w:t>
      </w:r>
      <w:r>
        <w:rPr>
          <w:lang w:val="fr-FR"/>
        </w:rPr>
        <w:t>’</w:t>
      </w:r>
      <w:r w:rsidRPr="00542BD1">
        <w:rPr>
          <w:lang w:val="fr-FR"/>
        </w:rPr>
        <w:t>apporter le plus grand soin à sa mise en œuvre. Un comité externe indépendant a donc été créé aux fins de la mise en application du nouveau code. Ce comité, chargé d</w:t>
      </w:r>
      <w:r>
        <w:rPr>
          <w:lang w:val="fr-FR"/>
        </w:rPr>
        <w:t>’</w:t>
      </w:r>
      <w:r w:rsidRPr="00542BD1">
        <w:rPr>
          <w:lang w:val="fr-FR"/>
        </w:rPr>
        <w:t>élaborer une stratégie qui recueille un large soutien, a rendu son rapport en décembre 2020. Le 11</w:t>
      </w:r>
      <w:r>
        <w:rPr>
          <w:lang w:val="fr-FR"/>
        </w:rPr>
        <w:t> </w:t>
      </w:r>
      <w:r w:rsidRPr="00542BD1">
        <w:rPr>
          <w:lang w:val="fr-FR"/>
        </w:rPr>
        <w:t xml:space="preserve">février 2021, </w:t>
      </w:r>
      <w:r w:rsidRPr="00561CC6">
        <w:rPr>
          <w:lang w:val="fr-FR"/>
        </w:rPr>
        <w:t xml:space="preserve">le </w:t>
      </w:r>
      <w:r w:rsidR="00A44B3F">
        <w:rPr>
          <w:lang w:val="fr-FR"/>
        </w:rPr>
        <w:t>G</w:t>
      </w:r>
      <w:r w:rsidRPr="00561CC6">
        <w:rPr>
          <w:lang w:val="fr-FR"/>
        </w:rPr>
        <w:t>ouvernement</w:t>
      </w:r>
      <w:r w:rsidRPr="00542BD1">
        <w:rPr>
          <w:lang w:val="fr-FR"/>
        </w:rPr>
        <w:t xml:space="preserve"> a transmis sa réponse audit rapport à la Chambre des représentants du Parlement.</w:t>
      </w:r>
    </w:p>
    <w:p w14:paraId="2B2F9C74" w14:textId="340D6822" w:rsidR="00246C3A" w:rsidRPr="00542BD1" w:rsidRDefault="00246C3A" w:rsidP="00246C3A">
      <w:pPr>
        <w:pStyle w:val="SingleTxtG"/>
        <w:keepNext/>
        <w:keepLines/>
        <w:rPr>
          <w:iCs/>
        </w:rPr>
      </w:pPr>
      <w:r w:rsidRPr="00542BD1">
        <w:rPr>
          <w:lang w:val="fr-FR"/>
        </w:rPr>
        <w:t>6.9</w:t>
      </w:r>
      <w:r w:rsidRPr="00542BD1">
        <w:rPr>
          <w:lang w:val="fr-FR"/>
        </w:rPr>
        <w:tab/>
        <w:t xml:space="preserve">Les activités législatives susmentionnées et le rapport du comité externe devraient permettre au nouveau </w:t>
      </w:r>
      <w:r w:rsidR="00A44B3F">
        <w:rPr>
          <w:lang w:val="fr-FR"/>
        </w:rPr>
        <w:t>G</w:t>
      </w:r>
      <w:r w:rsidRPr="00542BD1">
        <w:rPr>
          <w:lang w:val="fr-FR"/>
        </w:rPr>
        <w:t>ouvernement, qui entrera en fonction après les élections prévues pour mars 2021, de décider immédiatement du calendrier pour la soumission du nouveau code à la Chambre des représentants, des modalités de mise en application du code et de la suite à donner aux autres propositions formulées par le comité externe.</w:t>
      </w:r>
    </w:p>
    <w:p w14:paraId="5C91C80F" w14:textId="77777777" w:rsidR="00246C3A" w:rsidRPr="00542BD1" w:rsidRDefault="00246C3A" w:rsidP="00246C3A">
      <w:pPr>
        <w:pStyle w:val="H23G"/>
      </w:pPr>
      <w:r w:rsidRPr="00542BD1">
        <w:rPr>
          <w:lang w:val="fr-FR"/>
        </w:rPr>
        <w:tab/>
      </w:r>
      <w:r w:rsidRPr="00542BD1">
        <w:rPr>
          <w:lang w:val="fr-FR"/>
        </w:rPr>
        <w:tab/>
        <w:t>Délibérations du Comité</w:t>
      </w:r>
    </w:p>
    <w:p w14:paraId="5FB4D0F2" w14:textId="77777777" w:rsidR="00246C3A" w:rsidRPr="00542BD1" w:rsidRDefault="00246C3A" w:rsidP="00246C3A">
      <w:pPr>
        <w:pStyle w:val="H4G"/>
      </w:pPr>
      <w:r w:rsidRPr="00542BD1">
        <w:rPr>
          <w:lang w:val="fr-FR"/>
        </w:rPr>
        <w:tab/>
      </w:r>
      <w:r w:rsidRPr="00542BD1">
        <w:rPr>
          <w:lang w:val="fr-FR"/>
        </w:rPr>
        <w:tab/>
        <w:t>Examen de la recevabilité</w:t>
      </w:r>
    </w:p>
    <w:p w14:paraId="36C0CA87" w14:textId="356E419E" w:rsidR="00246C3A" w:rsidRPr="00542BD1" w:rsidRDefault="00246C3A" w:rsidP="00246C3A">
      <w:pPr>
        <w:pStyle w:val="SingleTxtG"/>
      </w:pPr>
      <w:r w:rsidRPr="00542BD1">
        <w:rPr>
          <w:lang w:val="fr-FR"/>
        </w:rPr>
        <w:t>7.1</w:t>
      </w:r>
      <w:r w:rsidRPr="00542BD1">
        <w:rPr>
          <w:lang w:val="fr-FR"/>
        </w:rPr>
        <w:tab/>
        <w:t>Avant d</w:t>
      </w:r>
      <w:r>
        <w:rPr>
          <w:lang w:val="fr-FR"/>
        </w:rPr>
        <w:t>’</w:t>
      </w:r>
      <w:r w:rsidRPr="00542BD1">
        <w:rPr>
          <w:lang w:val="fr-FR"/>
        </w:rPr>
        <w:t>examiner tout grief formulé dans une communication, le Comité doit, conformément à l</w:t>
      </w:r>
      <w:r>
        <w:rPr>
          <w:lang w:val="fr-FR"/>
        </w:rPr>
        <w:t>’</w:t>
      </w:r>
      <w:r w:rsidRPr="00542BD1">
        <w:rPr>
          <w:lang w:val="fr-FR"/>
        </w:rPr>
        <w:t>article</w:t>
      </w:r>
      <w:r>
        <w:rPr>
          <w:lang w:val="fr-FR"/>
        </w:rPr>
        <w:t> </w:t>
      </w:r>
      <w:r w:rsidRPr="00542BD1">
        <w:rPr>
          <w:lang w:val="fr-FR"/>
        </w:rPr>
        <w:t xml:space="preserve">97 de son </w:t>
      </w:r>
      <w:r w:rsidR="004933E6">
        <w:rPr>
          <w:lang w:val="fr-FR"/>
        </w:rPr>
        <w:t>r</w:t>
      </w:r>
      <w:r w:rsidRPr="00542BD1">
        <w:rPr>
          <w:lang w:val="fr-FR"/>
        </w:rPr>
        <w:t>èglement intérieur, déterminer si la communication est recevable au regard du Protocole facultatif.</w:t>
      </w:r>
    </w:p>
    <w:p w14:paraId="1D266520" w14:textId="49896200" w:rsidR="00246C3A" w:rsidRPr="00542BD1" w:rsidRDefault="00246C3A" w:rsidP="00246C3A">
      <w:pPr>
        <w:pStyle w:val="SingleTxtG"/>
      </w:pPr>
      <w:r w:rsidRPr="00542BD1">
        <w:rPr>
          <w:lang w:val="fr-FR"/>
        </w:rPr>
        <w:t>7.2</w:t>
      </w:r>
      <w:r w:rsidRPr="00542BD1">
        <w:rPr>
          <w:lang w:val="fr-FR"/>
        </w:rPr>
        <w:tab/>
        <w:t>Le Comité s</w:t>
      </w:r>
      <w:r>
        <w:rPr>
          <w:lang w:val="fr-FR"/>
        </w:rPr>
        <w:t>’</w:t>
      </w:r>
      <w:r w:rsidRPr="00542BD1">
        <w:rPr>
          <w:lang w:val="fr-FR"/>
        </w:rPr>
        <w:t>est assuré, comme il est tenu de le faire conformément à l</w:t>
      </w:r>
      <w:r>
        <w:rPr>
          <w:lang w:val="fr-FR"/>
        </w:rPr>
        <w:t>’</w:t>
      </w:r>
      <w:r w:rsidRPr="00542BD1">
        <w:rPr>
          <w:lang w:val="fr-FR"/>
        </w:rPr>
        <w:t>article</w:t>
      </w:r>
      <w:r>
        <w:rPr>
          <w:lang w:val="fr-FR"/>
        </w:rPr>
        <w:t> </w:t>
      </w:r>
      <w:r w:rsidRPr="00542BD1">
        <w:rPr>
          <w:lang w:val="fr-FR"/>
        </w:rPr>
        <w:t>5</w:t>
      </w:r>
      <w:r>
        <w:rPr>
          <w:lang w:val="fr-FR"/>
        </w:rPr>
        <w:t> </w:t>
      </w:r>
      <w:r w:rsidRPr="00542BD1">
        <w:rPr>
          <w:lang w:val="fr-FR"/>
        </w:rPr>
        <w:t>(par.</w:t>
      </w:r>
      <w:r>
        <w:rPr>
          <w:lang w:val="fr-FR"/>
        </w:rPr>
        <w:t> </w:t>
      </w:r>
      <w:r w:rsidRPr="00542BD1">
        <w:rPr>
          <w:lang w:val="fr-FR"/>
        </w:rPr>
        <w:t>2</w:t>
      </w:r>
      <w:r>
        <w:rPr>
          <w:lang w:val="fr-FR"/>
        </w:rPr>
        <w:t> </w:t>
      </w:r>
      <w:r w:rsidRPr="00542BD1">
        <w:rPr>
          <w:lang w:val="fr-FR"/>
        </w:rPr>
        <w:t>a)) du Protocole facultatif, que la même question n</w:t>
      </w:r>
      <w:r>
        <w:rPr>
          <w:lang w:val="fr-FR"/>
        </w:rPr>
        <w:t>’</w:t>
      </w:r>
      <w:r w:rsidRPr="00542BD1">
        <w:rPr>
          <w:lang w:val="fr-FR"/>
        </w:rPr>
        <w:t>était pas déjà en cours d</w:t>
      </w:r>
      <w:r>
        <w:rPr>
          <w:lang w:val="fr-FR"/>
        </w:rPr>
        <w:t>’</w:t>
      </w:r>
      <w:r w:rsidRPr="00542BD1">
        <w:rPr>
          <w:lang w:val="fr-FR"/>
        </w:rPr>
        <w:t>examen devant une autre instance internationale d</w:t>
      </w:r>
      <w:r>
        <w:rPr>
          <w:lang w:val="fr-FR"/>
        </w:rPr>
        <w:t>’</w:t>
      </w:r>
      <w:r w:rsidRPr="00542BD1">
        <w:rPr>
          <w:lang w:val="fr-FR"/>
        </w:rPr>
        <w:t>enquête ou de règlement. Néanmoins, le Comité note que, bien que l</w:t>
      </w:r>
      <w:r>
        <w:rPr>
          <w:lang w:val="fr-FR"/>
        </w:rPr>
        <w:t>’</w:t>
      </w:r>
      <w:r w:rsidRPr="00542BD1">
        <w:rPr>
          <w:lang w:val="fr-FR"/>
        </w:rPr>
        <w:t>auteur ait déclaré qu</w:t>
      </w:r>
      <w:r>
        <w:rPr>
          <w:lang w:val="fr-FR"/>
        </w:rPr>
        <w:t>’</w:t>
      </w:r>
      <w:r w:rsidRPr="00542BD1">
        <w:rPr>
          <w:lang w:val="fr-FR"/>
        </w:rPr>
        <w:t>il n</w:t>
      </w:r>
      <w:r>
        <w:rPr>
          <w:lang w:val="fr-FR"/>
        </w:rPr>
        <w:t>’</w:t>
      </w:r>
      <w:r w:rsidRPr="00542BD1">
        <w:rPr>
          <w:lang w:val="fr-FR"/>
        </w:rPr>
        <w:t>avait pas soumis de plainte à un autre organe international d</w:t>
      </w:r>
      <w:r>
        <w:rPr>
          <w:lang w:val="fr-FR"/>
        </w:rPr>
        <w:t>’</w:t>
      </w:r>
      <w:r w:rsidRPr="00542BD1">
        <w:rPr>
          <w:lang w:val="fr-FR"/>
        </w:rPr>
        <w:t>enquête ou de règlement, la Cour européenne des droits de l</w:t>
      </w:r>
      <w:r>
        <w:rPr>
          <w:lang w:val="fr-FR"/>
        </w:rPr>
        <w:t>’</w:t>
      </w:r>
      <w:r w:rsidRPr="00542BD1">
        <w:rPr>
          <w:lang w:val="fr-FR"/>
        </w:rPr>
        <w:t>homme a rendu en octobre 2009 une décision d</w:t>
      </w:r>
      <w:r>
        <w:rPr>
          <w:lang w:val="fr-FR"/>
        </w:rPr>
        <w:t>’</w:t>
      </w:r>
      <w:r w:rsidRPr="00542BD1">
        <w:rPr>
          <w:lang w:val="fr-FR"/>
        </w:rPr>
        <w:t>irrecevabilité concernant une requête introduite par l</w:t>
      </w:r>
      <w:r>
        <w:rPr>
          <w:lang w:val="fr-FR"/>
        </w:rPr>
        <w:t>’</w:t>
      </w:r>
      <w:r w:rsidRPr="00542BD1">
        <w:rPr>
          <w:lang w:val="fr-FR"/>
        </w:rPr>
        <w:t>auteur le 3</w:t>
      </w:r>
      <w:r>
        <w:rPr>
          <w:lang w:val="fr-FR"/>
        </w:rPr>
        <w:t> </w:t>
      </w:r>
      <w:r w:rsidRPr="00542BD1">
        <w:rPr>
          <w:lang w:val="fr-FR"/>
        </w:rPr>
        <w:t>juin 2008. Dans cette requête, l</w:t>
      </w:r>
      <w:r>
        <w:rPr>
          <w:lang w:val="fr-FR"/>
        </w:rPr>
        <w:t>’</w:t>
      </w:r>
      <w:r w:rsidRPr="00542BD1">
        <w:rPr>
          <w:lang w:val="fr-FR"/>
        </w:rPr>
        <w:t>auteur soulevait divers griefs relatifs à la déclaration de culpabilité et à l</w:t>
      </w:r>
      <w:r>
        <w:rPr>
          <w:lang w:val="fr-FR"/>
        </w:rPr>
        <w:t>’</w:t>
      </w:r>
      <w:r w:rsidRPr="00542BD1">
        <w:rPr>
          <w:lang w:val="fr-FR"/>
        </w:rPr>
        <w:t>amende qui font l</w:t>
      </w:r>
      <w:r>
        <w:rPr>
          <w:lang w:val="fr-FR"/>
        </w:rPr>
        <w:t>’</w:t>
      </w:r>
      <w:r w:rsidRPr="00542BD1">
        <w:rPr>
          <w:lang w:val="fr-FR"/>
        </w:rPr>
        <w:t>objet de la présente communication, affirmant notamment que son droit à un procès équitable avait été violé et que l</w:t>
      </w:r>
      <w:r>
        <w:rPr>
          <w:lang w:val="fr-FR"/>
        </w:rPr>
        <w:t>’</w:t>
      </w:r>
      <w:r w:rsidRPr="00542BD1">
        <w:rPr>
          <w:lang w:val="fr-FR"/>
        </w:rPr>
        <w:t>admission d</w:t>
      </w:r>
      <w:r>
        <w:rPr>
          <w:lang w:val="fr-FR"/>
        </w:rPr>
        <w:t>’</w:t>
      </w:r>
      <w:r w:rsidRPr="00542BD1">
        <w:rPr>
          <w:lang w:val="fr-FR"/>
        </w:rPr>
        <w:t>un appel faisait nécessairement partie des garanties d</w:t>
      </w:r>
      <w:r>
        <w:rPr>
          <w:lang w:val="fr-FR"/>
        </w:rPr>
        <w:t>’</w:t>
      </w:r>
      <w:r w:rsidRPr="00542BD1">
        <w:rPr>
          <w:lang w:val="fr-FR"/>
        </w:rPr>
        <w:t>une</w:t>
      </w:r>
      <w:r w:rsidRPr="00542BD1">
        <w:rPr>
          <w:b/>
          <w:bCs/>
          <w:lang w:val="fr-FR"/>
        </w:rPr>
        <w:t xml:space="preserve"> </w:t>
      </w:r>
      <w:r w:rsidRPr="00542BD1">
        <w:rPr>
          <w:lang w:val="fr-FR"/>
        </w:rPr>
        <w:t>procédure régulière. Le Comité regrette que la déclaration de l</w:t>
      </w:r>
      <w:r>
        <w:rPr>
          <w:lang w:val="fr-FR"/>
        </w:rPr>
        <w:t>’</w:t>
      </w:r>
      <w:r w:rsidRPr="00542BD1">
        <w:rPr>
          <w:lang w:val="fr-FR"/>
        </w:rPr>
        <w:t>auteur, représenté par son conseil, selon laquelle il n</w:t>
      </w:r>
      <w:r>
        <w:rPr>
          <w:lang w:val="fr-FR"/>
        </w:rPr>
        <w:t>’</w:t>
      </w:r>
      <w:r w:rsidRPr="00542BD1">
        <w:rPr>
          <w:lang w:val="fr-FR"/>
        </w:rPr>
        <w:t xml:space="preserve">avait pas </w:t>
      </w:r>
      <w:r w:rsidRPr="00542BD1">
        <w:rPr>
          <w:lang w:val="fr-FR"/>
        </w:rPr>
        <w:lastRenderedPageBreak/>
        <w:t>soumis de plainte à un autre organe international d</w:t>
      </w:r>
      <w:r>
        <w:rPr>
          <w:lang w:val="fr-FR"/>
        </w:rPr>
        <w:t>’</w:t>
      </w:r>
      <w:r w:rsidRPr="00542BD1">
        <w:rPr>
          <w:lang w:val="fr-FR"/>
        </w:rPr>
        <w:t>enquête ou de règlement, se soit révélée inexacte</w:t>
      </w:r>
      <w:r>
        <w:rPr>
          <w:lang w:val="fr-FR"/>
        </w:rPr>
        <w:t>.</w:t>
      </w:r>
    </w:p>
    <w:p w14:paraId="65024C6C" w14:textId="46B12B31" w:rsidR="00246C3A" w:rsidRPr="00542BD1" w:rsidRDefault="00246C3A" w:rsidP="00246C3A">
      <w:pPr>
        <w:pStyle w:val="SingleTxtG"/>
      </w:pPr>
      <w:r w:rsidRPr="00542BD1">
        <w:rPr>
          <w:lang w:val="fr-FR"/>
        </w:rPr>
        <w:t>7.3</w:t>
      </w:r>
      <w:r w:rsidRPr="00542BD1">
        <w:rPr>
          <w:lang w:val="fr-FR"/>
        </w:rPr>
        <w:tab/>
        <w:t>Le Comité rappelle qu</w:t>
      </w:r>
      <w:r>
        <w:rPr>
          <w:lang w:val="fr-FR"/>
        </w:rPr>
        <w:t>’</w:t>
      </w:r>
      <w:r w:rsidRPr="00542BD1">
        <w:rPr>
          <w:lang w:val="fr-FR"/>
        </w:rPr>
        <w:t>il peut y avoir abus du droit de plainte si la communication est soumise plus de cinq ans après l</w:t>
      </w:r>
      <w:r>
        <w:rPr>
          <w:lang w:val="fr-FR"/>
        </w:rPr>
        <w:t>’</w:t>
      </w:r>
      <w:r w:rsidRPr="00542BD1">
        <w:rPr>
          <w:lang w:val="fr-FR"/>
        </w:rPr>
        <w:t>épuisement des recours internes par son auteur ou, selon le cas, plus de trois ans après l</w:t>
      </w:r>
      <w:r>
        <w:rPr>
          <w:lang w:val="fr-FR"/>
        </w:rPr>
        <w:t>’</w:t>
      </w:r>
      <w:r w:rsidRPr="00542BD1">
        <w:rPr>
          <w:lang w:val="fr-FR"/>
        </w:rPr>
        <w:t>achèvement d</w:t>
      </w:r>
      <w:r>
        <w:rPr>
          <w:lang w:val="fr-FR"/>
        </w:rPr>
        <w:t>’</w:t>
      </w:r>
      <w:r w:rsidRPr="00542BD1">
        <w:rPr>
          <w:lang w:val="fr-FR"/>
        </w:rPr>
        <w:t>une autre procédure internationale d</w:t>
      </w:r>
      <w:r>
        <w:rPr>
          <w:lang w:val="fr-FR"/>
        </w:rPr>
        <w:t>’</w:t>
      </w:r>
      <w:r w:rsidRPr="00542BD1">
        <w:rPr>
          <w:lang w:val="fr-FR"/>
        </w:rPr>
        <w:t xml:space="preserve">enquête ou de règlement. </w:t>
      </w:r>
      <w:r>
        <w:rPr>
          <w:lang w:val="fr-FR"/>
        </w:rPr>
        <w:t>Conformément au paragraphe 99 (al. c)) du Règlement intérieur du Comité, u</w:t>
      </w:r>
      <w:r w:rsidRPr="00542BD1">
        <w:rPr>
          <w:lang w:val="fr-FR"/>
        </w:rPr>
        <w:t>ne exception peut s</w:t>
      </w:r>
      <w:r>
        <w:rPr>
          <w:lang w:val="fr-FR"/>
        </w:rPr>
        <w:t>’</w:t>
      </w:r>
      <w:r w:rsidRPr="00542BD1">
        <w:rPr>
          <w:lang w:val="fr-FR"/>
        </w:rPr>
        <w:t>appliquer lorsqu</w:t>
      </w:r>
      <w:r>
        <w:rPr>
          <w:lang w:val="fr-FR"/>
        </w:rPr>
        <w:t>’</w:t>
      </w:r>
      <w:r w:rsidRPr="00542BD1">
        <w:rPr>
          <w:lang w:val="fr-FR"/>
        </w:rPr>
        <w:t>il existe des raisons justifiant le retard, compte tenu de toutes les circonstances de l</w:t>
      </w:r>
      <w:r>
        <w:rPr>
          <w:lang w:val="fr-FR"/>
        </w:rPr>
        <w:t>’</w:t>
      </w:r>
      <w:r w:rsidRPr="00542BD1">
        <w:rPr>
          <w:lang w:val="fr-FR"/>
        </w:rPr>
        <w:t>affaire</w:t>
      </w:r>
      <w:r w:rsidRPr="00542BD1">
        <w:rPr>
          <w:rStyle w:val="Appelnotedebasdep"/>
          <w:lang w:val="fr-FR"/>
        </w:rPr>
        <w:footnoteReference w:id="17"/>
      </w:r>
      <w:r w:rsidRPr="00542BD1">
        <w:rPr>
          <w:lang w:val="fr-FR"/>
        </w:rPr>
        <w:t>. En l</w:t>
      </w:r>
      <w:r>
        <w:rPr>
          <w:lang w:val="fr-FR"/>
        </w:rPr>
        <w:t>’</w:t>
      </w:r>
      <w:r w:rsidRPr="00542BD1">
        <w:rPr>
          <w:lang w:val="fr-FR"/>
        </w:rPr>
        <w:t>espèce, l</w:t>
      </w:r>
      <w:r>
        <w:rPr>
          <w:lang w:val="fr-FR"/>
        </w:rPr>
        <w:t>’</w:t>
      </w:r>
      <w:r w:rsidRPr="00542BD1">
        <w:rPr>
          <w:lang w:val="fr-FR"/>
        </w:rPr>
        <w:t>auteur a soumis la communication le 3</w:t>
      </w:r>
      <w:r>
        <w:rPr>
          <w:lang w:val="fr-FR"/>
        </w:rPr>
        <w:t> </w:t>
      </w:r>
      <w:r w:rsidRPr="00542BD1">
        <w:rPr>
          <w:lang w:val="fr-FR"/>
        </w:rPr>
        <w:t>octobre 2016, soit près de sept ans après que la Cour européenne des droits de l</w:t>
      </w:r>
      <w:r>
        <w:rPr>
          <w:lang w:val="fr-FR"/>
        </w:rPr>
        <w:t>’</w:t>
      </w:r>
      <w:r w:rsidRPr="00542BD1">
        <w:rPr>
          <w:lang w:val="fr-FR"/>
        </w:rPr>
        <w:t>homme a rendu sa décision d</w:t>
      </w:r>
      <w:r>
        <w:rPr>
          <w:lang w:val="fr-FR"/>
        </w:rPr>
        <w:t>’</w:t>
      </w:r>
      <w:r w:rsidRPr="00542BD1">
        <w:rPr>
          <w:lang w:val="fr-FR"/>
        </w:rPr>
        <w:t>irrecevabilité le 13</w:t>
      </w:r>
      <w:r>
        <w:rPr>
          <w:lang w:val="fr-FR"/>
        </w:rPr>
        <w:t> </w:t>
      </w:r>
      <w:r w:rsidRPr="00542BD1">
        <w:rPr>
          <w:lang w:val="fr-FR"/>
        </w:rPr>
        <w:t>octobre 2009. Le Comité prend note de la déclaration de l</w:t>
      </w:r>
      <w:r>
        <w:rPr>
          <w:lang w:val="fr-FR"/>
        </w:rPr>
        <w:t>’</w:t>
      </w:r>
      <w:r w:rsidRPr="00542BD1">
        <w:rPr>
          <w:lang w:val="fr-FR"/>
        </w:rPr>
        <w:t>auteur selon laquelle les recours internes ont été épuisés le 8</w:t>
      </w:r>
      <w:r>
        <w:rPr>
          <w:lang w:val="fr-FR"/>
        </w:rPr>
        <w:t> </w:t>
      </w:r>
      <w:r w:rsidRPr="00542BD1">
        <w:rPr>
          <w:lang w:val="fr-FR"/>
        </w:rPr>
        <w:t xml:space="preserve">janvier 2008, </w:t>
      </w:r>
      <w:r w:rsidRPr="00CC052C">
        <w:rPr>
          <w:lang w:val="fr-FR"/>
        </w:rPr>
        <w:t xml:space="preserve">lorsque le Président de la </w:t>
      </w:r>
      <w:r>
        <w:rPr>
          <w:lang w:val="fr-FR"/>
        </w:rPr>
        <w:t>C</w:t>
      </w:r>
      <w:r w:rsidRPr="00CC052C">
        <w:rPr>
          <w:lang w:val="fr-FR"/>
        </w:rPr>
        <w:t>our d</w:t>
      </w:r>
      <w:r>
        <w:rPr>
          <w:lang w:val="fr-FR"/>
        </w:rPr>
        <w:t>’</w:t>
      </w:r>
      <w:r w:rsidRPr="00CC052C">
        <w:rPr>
          <w:lang w:val="fr-FR"/>
        </w:rPr>
        <w:t>appel d</w:t>
      </w:r>
      <w:r>
        <w:rPr>
          <w:lang w:val="fr-FR"/>
        </w:rPr>
        <w:t>’</w:t>
      </w:r>
      <w:r w:rsidRPr="00CC052C">
        <w:rPr>
          <w:lang w:val="fr-FR"/>
        </w:rPr>
        <w:t>Arnhem a rejeté sa demande</w:t>
      </w:r>
      <w:r w:rsidRPr="00542BD1">
        <w:rPr>
          <w:lang w:val="fr-FR"/>
        </w:rPr>
        <w:t xml:space="preserve"> d</w:t>
      </w:r>
      <w:r>
        <w:rPr>
          <w:lang w:val="fr-FR"/>
        </w:rPr>
        <w:t>’</w:t>
      </w:r>
      <w:r w:rsidRPr="00542BD1">
        <w:rPr>
          <w:lang w:val="fr-FR"/>
        </w:rPr>
        <w:t>autorisation de faire appel de la décision du juge de police du tribunal de district d</w:t>
      </w:r>
      <w:r>
        <w:rPr>
          <w:lang w:val="fr-FR"/>
        </w:rPr>
        <w:t>’</w:t>
      </w:r>
      <w:r w:rsidRPr="00542BD1">
        <w:rPr>
          <w:lang w:val="fr-FR"/>
        </w:rPr>
        <w:t>Arnhem (par.</w:t>
      </w:r>
      <w:r>
        <w:rPr>
          <w:lang w:val="fr-FR"/>
        </w:rPr>
        <w:t> </w:t>
      </w:r>
      <w:r w:rsidRPr="00542BD1">
        <w:rPr>
          <w:lang w:val="fr-FR"/>
        </w:rPr>
        <w:t>2.7 et 2.8). L</w:t>
      </w:r>
      <w:r>
        <w:rPr>
          <w:lang w:val="fr-FR"/>
        </w:rPr>
        <w:t>’</w:t>
      </w:r>
      <w:r w:rsidRPr="00542BD1">
        <w:rPr>
          <w:lang w:val="fr-FR"/>
        </w:rPr>
        <w:t>auteur affirme ainsi avoir épuisé les recours internes plus de huit</w:t>
      </w:r>
      <w:r>
        <w:rPr>
          <w:lang w:val="fr-FR"/>
        </w:rPr>
        <w:t> </w:t>
      </w:r>
      <w:r w:rsidRPr="00542BD1">
        <w:rPr>
          <w:lang w:val="fr-FR"/>
        </w:rPr>
        <w:t>ans avant la soumission de sa communication. Le Comité est conscient du fait que le 14</w:t>
      </w:r>
      <w:r>
        <w:rPr>
          <w:lang w:val="fr-FR"/>
        </w:rPr>
        <w:t> </w:t>
      </w:r>
      <w:r w:rsidRPr="00542BD1">
        <w:rPr>
          <w:lang w:val="fr-FR"/>
        </w:rPr>
        <w:t>mars 2012, l</w:t>
      </w:r>
      <w:r>
        <w:rPr>
          <w:lang w:val="fr-FR"/>
        </w:rPr>
        <w:t>’</w:t>
      </w:r>
      <w:r w:rsidRPr="00542BD1">
        <w:rPr>
          <w:lang w:val="fr-FR"/>
        </w:rPr>
        <w:t>auteur a formé un recours extraordinaire devant la Cour suprême, par lequel il a tenté de faire annuler les décisions de la juridiction inférieure, et que ce recours a été rejeté le 19</w:t>
      </w:r>
      <w:r>
        <w:rPr>
          <w:lang w:val="fr-FR"/>
        </w:rPr>
        <w:t> </w:t>
      </w:r>
      <w:r w:rsidRPr="00542BD1">
        <w:rPr>
          <w:lang w:val="fr-FR"/>
        </w:rPr>
        <w:t>mars 2013. Il relève toutefois que le recours extraordinaire, formé plus de quatre</w:t>
      </w:r>
      <w:r>
        <w:rPr>
          <w:lang w:val="fr-FR"/>
        </w:rPr>
        <w:t xml:space="preserve"> </w:t>
      </w:r>
      <w:r w:rsidRPr="00542BD1">
        <w:rPr>
          <w:lang w:val="fr-FR"/>
        </w:rPr>
        <w:t xml:space="preserve">ans après le prononcé de la décision de la </w:t>
      </w:r>
      <w:r>
        <w:rPr>
          <w:lang w:val="fr-FR"/>
        </w:rPr>
        <w:t>C</w:t>
      </w:r>
      <w:r w:rsidRPr="00542BD1">
        <w:rPr>
          <w:lang w:val="fr-FR"/>
        </w:rPr>
        <w:t>our d</w:t>
      </w:r>
      <w:r>
        <w:rPr>
          <w:lang w:val="fr-FR"/>
        </w:rPr>
        <w:t>’</w:t>
      </w:r>
      <w:r w:rsidRPr="00542BD1">
        <w:rPr>
          <w:lang w:val="fr-FR"/>
        </w:rPr>
        <w:t>appel d</w:t>
      </w:r>
      <w:r>
        <w:rPr>
          <w:lang w:val="fr-FR"/>
        </w:rPr>
        <w:t>’</w:t>
      </w:r>
      <w:r w:rsidRPr="00542BD1">
        <w:rPr>
          <w:lang w:val="fr-FR"/>
        </w:rPr>
        <w:t>Arnhem, était une mesure discrétionnaire qui ne relevait pas de la chaîne normale des recours internes et que l</w:t>
      </w:r>
      <w:r>
        <w:rPr>
          <w:lang w:val="fr-FR"/>
        </w:rPr>
        <w:t>’</w:t>
      </w:r>
      <w:r w:rsidRPr="00542BD1">
        <w:rPr>
          <w:lang w:val="fr-FR"/>
        </w:rPr>
        <w:t>auteur savait très bien qu</w:t>
      </w:r>
      <w:r>
        <w:rPr>
          <w:lang w:val="fr-FR"/>
        </w:rPr>
        <w:t>’</w:t>
      </w:r>
      <w:r w:rsidRPr="00542BD1">
        <w:rPr>
          <w:lang w:val="fr-FR"/>
        </w:rPr>
        <w:t>il n</w:t>
      </w:r>
      <w:r>
        <w:rPr>
          <w:lang w:val="fr-FR"/>
        </w:rPr>
        <w:t>’</w:t>
      </w:r>
      <w:r w:rsidRPr="00542BD1">
        <w:rPr>
          <w:lang w:val="fr-FR"/>
        </w:rPr>
        <w:t xml:space="preserve">était pas possible de se pourvoir contre la décision de la </w:t>
      </w:r>
      <w:r>
        <w:rPr>
          <w:lang w:val="fr-FR"/>
        </w:rPr>
        <w:t>C</w:t>
      </w:r>
      <w:r w:rsidRPr="00542BD1">
        <w:rPr>
          <w:lang w:val="fr-FR"/>
        </w:rPr>
        <w:t>our d</w:t>
      </w:r>
      <w:r>
        <w:rPr>
          <w:lang w:val="fr-FR"/>
        </w:rPr>
        <w:t>’</w:t>
      </w:r>
      <w:r w:rsidRPr="00542BD1">
        <w:rPr>
          <w:lang w:val="fr-FR"/>
        </w:rPr>
        <w:t>appel (par.</w:t>
      </w:r>
      <w:r>
        <w:rPr>
          <w:lang w:val="fr-FR"/>
        </w:rPr>
        <w:t> </w:t>
      </w:r>
      <w:r w:rsidRPr="00542BD1">
        <w:rPr>
          <w:lang w:val="fr-FR"/>
        </w:rPr>
        <w:t>2.8). Le Comité estime donc que l</w:t>
      </w:r>
      <w:r>
        <w:rPr>
          <w:lang w:val="fr-FR"/>
        </w:rPr>
        <w:t>’</w:t>
      </w:r>
      <w:r w:rsidRPr="00542BD1">
        <w:rPr>
          <w:lang w:val="fr-FR"/>
        </w:rPr>
        <w:t>auteur n</w:t>
      </w:r>
      <w:r>
        <w:rPr>
          <w:lang w:val="fr-FR"/>
        </w:rPr>
        <w:t>’</w:t>
      </w:r>
      <w:r w:rsidRPr="00542BD1">
        <w:rPr>
          <w:lang w:val="fr-FR"/>
        </w:rPr>
        <w:t>était pas tenu d</w:t>
      </w:r>
      <w:r>
        <w:rPr>
          <w:lang w:val="fr-FR"/>
        </w:rPr>
        <w:t>’</w:t>
      </w:r>
      <w:r w:rsidRPr="00542BD1">
        <w:rPr>
          <w:lang w:val="fr-FR"/>
        </w:rPr>
        <w:t>épuiser ce recours aux fins de l</w:t>
      </w:r>
      <w:r>
        <w:rPr>
          <w:lang w:val="fr-FR"/>
        </w:rPr>
        <w:t>’</w:t>
      </w:r>
      <w:r w:rsidRPr="00542BD1">
        <w:rPr>
          <w:lang w:val="fr-FR"/>
        </w:rPr>
        <w:t>article</w:t>
      </w:r>
      <w:r>
        <w:rPr>
          <w:lang w:val="fr-FR"/>
        </w:rPr>
        <w:t> </w:t>
      </w:r>
      <w:r w:rsidRPr="00542BD1">
        <w:rPr>
          <w:lang w:val="fr-FR"/>
        </w:rPr>
        <w:t>5 (par.</w:t>
      </w:r>
      <w:r>
        <w:rPr>
          <w:lang w:val="fr-FR"/>
        </w:rPr>
        <w:t> </w:t>
      </w:r>
      <w:r w:rsidRPr="00542BD1">
        <w:rPr>
          <w:lang w:val="fr-FR"/>
        </w:rPr>
        <w:t>2</w:t>
      </w:r>
      <w:r>
        <w:rPr>
          <w:lang w:val="fr-FR"/>
        </w:rPr>
        <w:t> </w:t>
      </w:r>
      <w:r w:rsidRPr="00542BD1">
        <w:rPr>
          <w:lang w:val="fr-FR"/>
        </w:rPr>
        <w:t xml:space="preserve">b)) du Protocole facultatif. </w:t>
      </w:r>
      <w:r>
        <w:rPr>
          <w:lang w:val="fr-FR"/>
        </w:rPr>
        <w:t>É</w:t>
      </w:r>
      <w:r w:rsidRPr="00542BD1">
        <w:rPr>
          <w:lang w:val="fr-FR"/>
        </w:rPr>
        <w:t>tant donné que l</w:t>
      </w:r>
      <w:r>
        <w:rPr>
          <w:lang w:val="fr-FR"/>
        </w:rPr>
        <w:t>’</w:t>
      </w:r>
      <w:r w:rsidRPr="00542BD1">
        <w:rPr>
          <w:lang w:val="fr-FR"/>
        </w:rPr>
        <w:t>auteur a soumis la communication plus de cinq</w:t>
      </w:r>
      <w:r>
        <w:rPr>
          <w:lang w:val="fr-FR"/>
        </w:rPr>
        <w:t> </w:t>
      </w:r>
      <w:r w:rsidRPr="00542BD1">
        <w:rPr>
          <w:lang w:val="fr-FR"/>
        </w:rPr>
        <w:t>ans après la date à laquelle il a épuisé les recours internes et plus de trois</w:t>
      </w:r>
      <w:r>
        <w:rPr>
          <w:lang w:val="fr-FR"/>
        </w:rPr>
        <w:t xml:space="preserve"> </w:t>
      </w:r>
      <w:r w:rsidRPr="00542BD1">
        <w:rPr>
          <w:lang w:val="fr-FR"/>
        </w:rPr>
        <w:t>ans après le prononcé de la décision de la Cour européenne des droits de l</w:t>
      </w:r>
      <w:r>
        <w:rPr>
          <w:lang w:val="fr-FR"/>
        </w:rPr>
        <w:t>’</w:t>
      </w:r>
      <w:r w:rsidRPr="00542BD1">
        <w:rPr>
          <w:lang w:val="fr-FR"/>
        </w:rPr>
        <w:t>homme, et qu</w:t>
      </w:r>
      <w:r>
        <w:rPr>
          <w:lang w:val="fr-FR"/>
        </w:rPr>
        <w:t>’</w:t>
      </w:r>
      <w:r w:rsidRPr="00542BD1">
        <w:rPr>
          <w:lang w:val="fr-FR"/>
        </w:rPr>
        <w:t>il n</w:t>
      </w:r>
      <w:r>
        <w:rPr>
          <w:lang w:val="fr-FR"/>
        </w:rPr>
        <w:t>’</w:t>
      </w:r>
      <w:r w:rsidRPr="00542BD1">
        <w:rPr>
          <w:lang w:val="fr-FR"/>
        </w:rPr>
        <w:t>a pas fourni d</w:t>
      </w:r>
      <w:r>
        <w:rPr>
          <w:lang w:val="fr-FR"/>
        </w:rPr>
        <w:t>’</w:t>
      </w:r>
      <w:r w:rsidRPr="00542BD1">
        <w:rPr>
          <w:lang w:val="fr-FR"/>
        </w:rPr>
        <w:t>explications justifiant ce retard, le Comité considère qu</w:t>
      </w:r>
      <w:r>
        <w:rPr>
          <w:lang w:val="fr-FR"/>
        </w:rPr>
        <w:t>’</w:t>
      </w:r>
      <w:r w:rsidRPr="00542BD1">
        <w:rPr>
          <w:lang w:val="fr-FR"/>
        </w:rPr>
        <w:t>il y a eu abus du droit de présenter une communication. Par conséquent, le Comité déclare la communication irrecevable au regard de l</w:t>
      </w:r>
      <w:r>
        <w:rPr>
          <w:lang w:val="fr-FR"/>
        </w:rPr>
        <w:t>’</w:t>
      </w:r>
      <w:r w:rsidRPr="00542BD1">
        <w:rPr>
          <w:lang w:val="fr-FR"/>
        </w:rPr>
        <w:t>article</w:t>
      </w:r>
      <w:r>
        <w:rPr>
          <w:lang w:val="fr-FR"/>
        </w:rPr>
        <w:t> </w:t>
      </w:r>
      <w:r w:rsidRPr="00542BD1">
        <w:rPr>
          <w:lang w:val="fr-FR"/>
        </w:rPr>
        <w:t>3 du Protocole facultatif.</w:t>
      </w:r>
    </w:p>
    <w:p w14:paraId="243AB63C" w14:textId="539DD51F" w:rsidR="00246C3A" w:rsidRPr="00542BD1" w:rsidRDefault="00246C3A" w:rsidP="00246C3A">
      <w:pPr>
        <w:pStyle w:val="SingleTxtG"/>
      </w:pPr>
      <w:r w:rsidRPr="00542BD1">
        <w:rPr>
          <w:lang w:val="fr-FR"/>
        </w:rPr>
        <w:t>8.</w:t>
      </w:r>
      <w:r w:rsidRPr="00542BD1">
        <w:rPr>
          <w:lang w:val="fr-FR"/>
        </w:rPr>
        <w:tab/>
        <w:t>En conséquence, le Comité des droits de l</w:t>
      </w:r>
      <w:r>
        <w:rPr>
          <w:lang w:val="fr-FR"/>
        </w:rPr>
        <w:t>’</w:t>
      </w:r>
      <w:r w:rsidRPr="00542BD1">
        <w:rPr>
          <w:lang w:val="fr-FR"/>
        </w:rPr>
        <w:t>homme décide</w:t>
      </w:r>
      <w:r>
        <w:rPr>
          <w:lang w:val="fr-FR"/>
        </w:rPr>
        <w:t> </w:t>
      </w:r>
      <w:r w:rsidRPr="00542BD1">
        <w:rPr>
          <w:lang w:val="fr-FR"/>
        </w:rPr>
        <w:t>:</w:t>
      </w:r>
    </w:p>
    <w:p w14:paraId="7B6DDDF5" w14:textId="20C3BF02" w:rsidR="00246C3A" w:rsidRPr="00542BD1" w:rsidRDefault="00246C3A" w:rsidP="00246C3A">
      <w:pPr>
        <w:pStyle w:val="SingleTxtG"/>
        <w:ind w:firstLine="567"/>
      </w:pPr>
      <w:r w:rsidRPr="00542BD1">
        <w:rPr>
          <w:lang w:val="fr-FR"/>
        </w:rPr>
        <w:t>a)</w:t>
      </w:r>
      <w:r w:rsidRPr="00542BD1">
        <w:rPr>
          <w:lang w:val="fr-FR"/>
        </w:rPr>
        <w:tab/>
        <w:t>Que la communication est irrecevable au regard de l</w:t>
      </w:r>
      <w:r>
        <w:rPr>
          <w:lang w:val="fr-FR"/>
        </w:rPr>
        <w:t>’</w:t>
      </w:r>
      <w:r w:rsidRPr="00542BD1">
        <w:rPr>
          <w:lang w:val="fr-FR"/>
        </w:rPr>
        <w:t>article</w:t>
      </w:r>
      <w:r>
        <w:rPr>
          <w:lang w:val="fr-FR"/>
        </w:rPr>
        <w:t> </w:t>
      </w:r>
      <w:r w:rsidRPr="00542BD1">
        <w:rPr>
          <w:lang w:val="fr-FR"/>
        </w:rPr>
        <w:t>3 du Protocole facultatif</w:t>
      </w:r>
      <w:r>
        <w:rPr>
          <w:lang w:val="fr-FR"/>
        </w:rPr>
        <w:t> </w:t>
      </w:r>
      <w:r w:rsidRPr="00542BD1">
        <w:rPr>
          <w:lang w:val="fr-FR"/>
        </w:rPr>
        <w:t>;</w:t>
      </w:r>
    </w:p>
    <w:p w14:paraId="7D8F281E" w14:textId="13AD93C9" w:rsidR="00246C3A" w:rsidRDefault="00246C3A" w:rsidP="00246C3A">
      <w:pPr>
        <w:pStyle w:val="SingleTxtG"/>
        <w:ind w:firstLine="567"/>
        <w:rPr>
          <w:lang w:val="fr-FR"/>
        </w:rPr>
      </w:pPr>
      <w:r w:rsidRPr="00542BD1">
        <w:rPr>
          <w:lang w:val="fr-FR"/>
        </w:rPr>
        <w:t>b)</w:t>
      </w:r>
      <w:r w:rsidRPr="00542BD1">
        <w:rPr>
          <w:lang w:val="fr-FR"/>
        </w:rPr>
        <w:tab/>
        <w:t xml:space="preserve">Que la </w:t>
      </w:r>
      <w:r w:rsidRPr="00246C3A">
        <w:t>présente</w:t>
      </w:r>
      <w:r w:rsidRPr="00542BD1">
        <w:rPr>
          <w:lang w:val="fr-FR"/>
        </w:rPr>
        <w:t xml:space="preserve"> décision sera communiquée à l</w:t>
      </w:r>
      <w:r>
        <w:rPr>
          <w:lang w:val="fr-FR"/>
        </w:rPr>
        <w:t>’</w:t>
      </w:r>
      <w:r w:rsidRPr="00542BD1">
        <w:rPr>
          <w:lang w:val="fr-FR"/>
        </w:rPr>
        <w:t xml:space="preserve">État partie </w:t>
      </w:r>
      <w:r w:rsidRPr="00825206">
        <w:rPr>
          <w:lang w:val="fr-FR"/>
        </w:rPr>
        <w:t>et à l</w:t>
      </w:r>
      <w:r>
        <w:rPr>
          <w:lang w:val="fr-FR"/>
        </w:rPr>
        <w:t>’</w:t>
      </w:r>
      <w:r w:rsidRPr="00825206">
        <w:rPr>
          <w:lang w:val="fr-FR"/>
        </w:rPr>
        <w:t>auteur.</w:t>
      </w:r>
    </w:p>
    <w:p w14:paraId="0BB6F1B5" w14:textId="050B415E" w:rsidR="00246C3A" w:rsidRPr="00246C3A" w:rsidRDefault="00246C3A" w:rsidP="00246C3A">
      <w:pPr>
        <w:pStyle w:val="SingleTxtG"/>
        <w:spacing w:before="240" w:after="0"/>
        <w:jc w:val="center"/>
        <w:rPr>
          <w:u w:val="single"/>
        </w:rPr>
      </w:pPr>
      <w:r>
        <w:rPr>
          <w:u w:val="single"/>
        </w:rPr>
        <w:tab/>
      </w:r>
      <w:r>
        <w:rPr>
          <w:u w:val="single"/>
        </w:rPr>
        <w:tab/>
      </w:r>
      <w:r>
        <w:rPr>
          <w:u w:val="single"/>
        </w:rPr>
        <w:tab/>
      </w:r>
    </w:p>
    <w:sectPr w:rsidR="00246C3A" w:rsidRPr="00246C3A" w:rsidSect="00246C3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D255" w14:textId="77777777" w:rsidR="00B0511E" w:rsidRDefault="00B0511E" w:rsidP="00F95C08">
      <w:pPr>
        <w:spacing w:line="240" w:lineRule="auto"/>
      </w:pPr>
    </w:p>
  </w:endnote>
  <w:endnote w:type="continuationSeparator" w:id="0">
    <w:p w14:paraId="2C8B7280" w14:textId="77777777" w:rsidR="00B0511E" w:rsidRPr="00AC3823" w:rsidRDefault="00B0511E" w:rsidP="00AC3823">
      <w:pPr>
        <w:pStyle w:val="Pieddepage"/>
      </w:pPr>
    </w:p>
  </w:endnote>
  <w:endnote w:type="continuationNotice" w:id="1">
    <w:p w14:paraId="303774ED" w14:textId="77777777" w:rsidR="00B0511E" w:rsidRDefault="00B051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D92F" w14:textId="1D5CD3EB" w:rsidR="00246C3A" w:rsidRPr="00246C3A" w:rsidRDefault="00246C3A" w:rsidP="00246C3A">
    <w:pPr>
      <w:pStyle w:val="Pieddepage"/>
      <w:tabs>
        <w:tab w:val="right" w:pos="9638"/>
      </w:tabs>
    </w:pPr>
    <w:r w:rsidRPr="00246C3A">
      <w:rPr>
        <w:b/>
        <w:sz w:val="18"/>
      </w:rPr>
      <w:fldChar w:fldCharType="begin"/>
    </w:r>
    <w:r w:rsidRPr="00246C3A">
      <w:rPr>
        <w:b/>
        <w:sz w:val="18"/>
      </w:rPr>
      <w:instrText xml:space="preserve"> PAGE  \* MERGEFORMAT </w:instrText>
    </w:r>
    <w:r w:rsidRPr="00246C3A">
      <w:rPr>
        <w:b/>
        <w:sz w:val="18"/>
      </w:rPr>
      <w:fldChar w:fldCharType="separate"/>
    </w:r>
    <w:r w:rsidRPr="00246C3A">
      <w:rPr>
        <w:b/>
        <w:noProof/>
        <w:sz w:val="18"/>
      </w:rPr>
      <w:t>2</w:t>
    </w:r>
    <w:r w:rsidRPr="00246C3A">
      <w:rPr>
        <w:b/>
        <w:sz w:val="18"/>
      </w:rPr>
      <w:fldChar w:fldCharType="end"/>
    </w:r>
    <w:r>
      <w:rPr>
        <w:b/>
        <w:sz w:val="18"/>
      </w:rPr>
      <w:tab/>
    </w:r>
    <w:r>
      <w:t>GE.22-01554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5D35" w14:textId="7CC4EC94" w:rsidR="00246C3A" w:rsidRPr="00246C3A" w:rsidRDefault="00246C3A" w:rsidP="00246C3A">
    <w:pPr>
      <w:pStyle w:val="Pieddepage"/>
      <w:tabs>
        <w:tab w:val="right" w:pos="9638"/>
      </w:tabs>
      <w:rPr>
        <w:b/>
        <w:sz w:val="18"/>
      </w:rPr>
    </w:pPr>
    <w:r>
      <w:t>GE.22-01554</w:t>
    </w:r>
    <w:r>
      <w:tab/>
    </w:r>
    <w:r w:rsidRPr="00246C3A">
      <w:rPr>
        <w:b/>
        <w:sz w:val="18"/>
      </w:rPr>
      <w:fldChar w:fldCharType="begin"/>
    </w:r>
    <w:r w:rsidRPr="00246C3A">
      <w:rPr>
        <w:b/>
        <w:sz w:val="18"/>
      </w:rPr>
      <w:instrText xml:space="preserve"> PAGE  \* MERGEFORMAT </w:instrText>
    </w:r>
    <w:r w:rsidRPr="00246C3A">
      <w:rPr>
        <w:b/>
        <w:sz w:val="18"/>
      </w:rPr>
      <w:fldChar w:fldCharType="separate"/>
    </w:r>
    <w:r w:rsidRPr="00246C3A">
      <w:rPr>
        <w:b/>
        <w:noProof/>
        <w:sz w:val="18"/>
      </w:rPr>
      <w:t>3</w:t>
    </w:r>
    <w:r w:rsidRPr="00246C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66A4" w14:textId="13B03A43" w:rsidR="001B379B" w:rsidRPr="00246C3A" w:rsidRDefault="00246C3A" w:rsidP="00246C3A">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B5DFE81" wp14:editId="0780ECE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22-01554  (F)</w:t>
    </w:r>
    <w:r>
      <w:rPr>
        <w:noProof/>
        <w:sz w:val="20"/>
      </w:rPr>
      <w:drawing>
        <wp:anchor distT="0" distB="0" distL="114300" distR="114300" simplePos="0" relativeHeight="251660288" behindDoc="0" locked="0" layoutInCell="1" allowOverlap="1" wp14:anchorId="7C8321E0" wp14:editId="21E23DF5">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311022    311022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42FD" w14:textId="77777777" w:rsidR="00B0511E" w:rsidRPr="00AC3823" w:rsidRDefault="00B0511E" w:rsidP="00AC3823">
      <w:pPr>
        <w:pStyle w:val="Pieddepage"/>
        <w:tabs>
          <w:tab w:val="right" w:pos="2155"/>
        </w:tabs>
        <w:spacing w:after="80" w:line="240" w:lineRule="atLeast"/>
        <w:ind w:left="680"/>
        <w:rPr>
          <w:u w:val="single"/>
        </w:rPr>
      </w:pPr>
      <w:r>
        <w:rPr>
          <w:u w:val="single"/>
        </w:rPr>
        <w:tab/>
      </w:r>
    </w:p>
  </w:footnote>
  <w:footnote w:type="continuationSeparator" w:id="0">
    <w:p w14:paraId="19499DD7" w14:textId="77777777" w:rsidR="00B0511E" w:rsidRPr="00AC3823" w:rsidRDefault="00B0511E" w:rsidP="00AC3823">
      <w:pPr>
        <w:pStyle w:val="Pieddepage"/>
        <w:tabs>
          <w:tab w:val="right" w:pos="2155"/>
        </w:tabs>
        <w:spacing w:after="80" w:line="240" w:lineRule="atLeast"/>
        <w:ind w:left="680"/>
        <w:rPr>
          <w:u w:val="single"/>
        </w:rPr>
      </w:pPr>
      <w:r>
        <w:rPr>
          <w:u w:val="single"/>
        </w:rPr>
        <w:tab/>
      </w:r>
    </w:p>
  </w:footnote>
  <w:footnote w:type="continuationNotice" w:id="1">
    <w:p w14:paraId="7E3F3073" w14:textId="77777777" w:rsidR="00B0511E" w:rsidRPr="00AC3823" w:rsidRDefault="00B0511E">
      <w:pPr>
        <w:spacing w:line="240" w:lineRule="auto"/>
        <w:rPr>
          <w:sz w:val="2"/>
          <w:szCs w:val="2"/>
        </w:rPr>
      </w:pPr>
    </w:p>
  </w:footnote>
  <w:footnote w:id="2">
    <w:p w14:paraId="303CA970" w14:textId="08D527CF" w:rsidR="00246C3A" w:rsidRPr="00A90082" w:rsidRDefault="00246C3A" w:rsidP="00246C3A">
      <w:pPr>
        <w:pStyle w:val="Notedebasdepage"/>
      </w:pPr>
      <w:r w:rsidRPr="00246C3A">
        <w:rPr>
          <w:rStyle w:val="Appelnotedebasdep"/>
          <w:vertAlign w:val="baseline"/>
        </w:rPr>
        <w:tab/>
      </w:r>
      <w:r w:rsidRPr="00246C3A">
        <w:rPr>
          <w:rStyle w:val="Appelnotedebasdep"/>
          <w:sz w:val="20"/>
          <w:vertAlign w:val="baseline"/>
        </w:rPr>
        <w:t>*</w:t>
      </w:r>
      <w:r w:rsidRPr="00246C3A">
        <w:rPr>
          <w:rStyle w:val="Appelnotedebasdep"/>
          <w:sz w:val="20"/>
          <w:vertAlign w:val="baseline"/>
        </w:rPr>
        <w:tab/>
      </w:r>
      <w:r w:rsidRPr="0086746D">
        <w:t>Adopt</w:t>
      </w:r>
      <w:r>
        <w:t>é</w:t>
      </w:r>
      <w:r w:rsidRPr="0086746D">
        <w:t>e</w:t>
      </w:r>
      <w:r>
        <w:t xml:space="preserve"> par le Comité à sa 133</w:t>
      </w:r>
      <w:r w:rsidRPr="00246C3A">
        <w:rPr>
          <w:vertAlign w:val="superscript"/>
        </w:rPr>
        <w:t>e</w:t>
      </w:r>
      <w:r>
        <w:t xml:space="preserve"> </w:t>
      </w:r>
      <w:r>
        <w:t>session</w:t>
      </w:r>
      <w:r w:rsidRPr="0086746D">
        <w:t xml:space="preserve"> (</w:t>
      </w:r>
      <w:r>
        <w:t>11 octobre</w:t>
      </w:r>
      <w:r>
        <w:t>-</w:t>
      </w:r>
      <w:r>
        <w:t>5 novembre 2021</w:t>
      </w:r>
      <w:r w:rsidRPr="0086746D">
        <w:t>).</w:t>
      </w:r>
    </w:p>
  </w:footnote>
  <w:footnote w:id="3">
    <w:p w14:paraId="223CF180" w14:textId="5C589AD2" w:rsidR="00246C3A" w:rsidRPr="00A90082" w:rsidRDefault="00246C3A" w:rsidP="00246C3A">
      <w:pPr>
        <w:pStyle w:val="Notedebasdepage"/>
      </w:pPr>
      <w:r w:rsidRPr="00246C3A">
        <w:rPr>
          <w:rStyle w:val="Appelnotedebasdep"/>
          <w:vertAlign w:val="baseline"/>
        </w:rPr>
        <w:tab/>
      </w:r>
      <w:r w:rsidRPr="00246C3A">
        <w:rPr>
          <w:rStyle w:val="Appelnotedebasdep"/>
          <w:sz w:val="20"/>
          <w:vertAlign w:val="baseline"/>
        </w:rPr>
        <w:t>**</w:t>
      </w:r>
      <w:r w:rsidRPr="00246C3A">
        <w:rPr>
          <w:rStyle w:val="Appelnotedebasdep"/>
          <w:sz w:val="20"/>
          <w:vertAlign w:val="baseline"/>
        </w:rPr>
        <w:tab/>
      </w:r>
      <w:r>
        <w:t xml:space="preserve">Les membres du Comité dont le nom suit ont participé à l’examen de la </w:t>
      </w:r>
      <w:r w:rsidRPr="00DF6B8C">
        <w:t>communication</w:t>
      </w:r>
      <w:r w:rsidR="00915B00">
        <w:t xml:space="preserve"> </w:t>
      </w:r>
      <w:r w:rsidRPr="00DF6B8C">
        <w:t xml:space="preserve">: </w:t>
      </w:r>
      <w:proofErr w:type="spellStart"/>
      <w:r>
        <w:t>Wafaa</w:t>
      </w:r>
      <w:proofErr w:type="spellEnd"/>
      <w:r>
        <w:t xml:space="preserve"> Ashraf </w:t>
      </w:r>
      <w:proofErr w:type="spellStart"/>
      <w:r>
        <w:t>Moharram</w:t>
      </w:r>
      <w:proofErr w:type="spellEnd"/>
      <w:r>
        <w:t xml:space="preserve"> </w:t>
      </w:r>
      <w:proofErr w:type="spellStart"/>
      <w:r>
        <w:t>Bassim</w:t>
      </w:r>
      <w:proofErr w:type="spellEnd"/>
      <w:r>
        <w:t>,</w:t>
      </w:r>
      <w:r w:rsidRPr="00545BB0">
        <w:t xml:space="preserve"> </w:t>
      </w:r>
      <w:proofErr w:type="spellStart"/>
      <w:r w:rsidRPr="00545BB0">
        <w:t>Yadh</w:t>
      </w:r>
      <w:proofErr w:type="spellEnd"/>
      <w:r w:rsidRPr="00545BB0">
        <w:t xml:space="preserve"> Ben Achour, Arif </w:t>
      </w:r>
      <w:proofErr w:type="spellStart"/>
      <w:r w:rsidRPr="00545BB0">
        <w:t>Bulkan</w:t>
      </w:r>
      <w:proofErr w:type="spellEnd"/>
      <w:r w:rsidRPr="00545BB0">
        <w:t xml:space="preserve">, Mahjoub El </w:t>
      </w:r>
      <w:proofErr w:type="spellStart"/>
      <w:r w:rsidRPr="00545BB0">
        <w:t>Haiba</w:t>
      </w:r>
      <w:proofErr w:type="spellEnd"/>
      <w:r w:rsidRPr="00545BB0">
        <w:t xml:space="preserve">, </w:t>
      </w:r>
      <w:proofErr w:type="spellStart"/>
      <w:r>
        <w:t>Furuya</w:t>
      </w:r>
      <w:proofErr w:type="spellEnd"/>
      <w:r>
        <w:t xml:space="preserve"> </w:t>
      </w:r>
      <w:proofErr w:type="spellStart"/>
      <w:r w:rsidRPr="00545BB0">
        <w:t>Shuichi</w:t>
      </w:r>
      <w:proofErr w:type="spellEnd"/>
      <w:r w:rsidRPr="00545BB0">
        <w:t xml:space="preserve">, Carlos Gómez </w:t>
      </w:r>
      <w:proofErr w:type="spellStart"/>
      <w:r w:rsidRPr="00545BB0">
        <w:t>Martínez</w:t>
      </w:r>
      <w:proofErr w:type="spellEnd"/>
      <w:r w:rsidRPr="00545BB0">
        <w:t>, Marcia V.</w:t>
      </w:r>
      <w:r>
        <w:t xml:space="preserve"> </w:t>
      </w:r>
      <w:r w:rsidRPr="00545BB0">
        <w:t>J</w:t>
      </w:r>
      <w:r>
        <w:t>.</w:t>
      </w:r>
      <w:r w:rsidRPr="00545BB0">
        <w:t xml:space="preserve"> </w:t>
      </w:r>
      <w:proofErr w:type="spellStart"/>
      <w:r w:rsidRPr="00545BB0">
        <w:t>Kran</w:t>
      </w:r>
      <w:proofErr w:type="spellEnd"/>
      <w:r w:rsidRPr="00545BB0">
        <w:t>,</w:t>
      </w:r>
      <w:r>
        <w:t xml:space="preserve"> </w:t>
      </w:r>
      <w:r w:rsidRPr="00545BB0">
        <w:t xml:space="preserve">Duncan Laki </w:t>
      </w:r>
      <w:proofErr w:type="spellStart"/>
      <w:r w:rsidRPr="00545BB0">
        <w:t>Muhumuza</w:t>
      </w:r>
      <w:proofErr w:type="spellEnd"/>
      <w:r w:rsidRPr="00545BB0">
        <w:t xml:space="preserve">, </w:t>
      </w:r>
      <w:proofErr w:type="spellStart"/>
      <w:r w:rsidRPr="00545BB0">
        <w:t>Photini</w:t>
      </w:r>
      <w:proofErr w:type="spellEnd"/>
      <w:r w:rsidRPr="00545BB0">
        <w:t xml:space="preserve"> </w:t>
      </w:r>
      <w:proofErr w:type="spellStart"/>
      <w:r w:rsidRPr="00545BB0">
        <w:t>Pazartzis</w:t>
      </w:r>
      <w:proofErr w:type="spellEnd"/>
      <w:r w:rsidRPr="00545BB0">
        <w:t xml:space="preserve">, </w:t>
      </w:r>
      <w:proofErr w:type="spellStart"/>
      <w:r w:rsidRPr="00545BB0">
        <w:t>Vasilka</w:t>
      </w:r>
      <w:proofErr w:type="spellEnd"/>
      <w:r w:rsidRPr="00545BB0">
        <w:t xml:space="preserve"> </w:t>
      </w:r>
      <w:proofErr w:type="spellStart"/>
      <w:r w:rsidRPr="00545BB0">
        <w:t>Sancin</w:t>
      </w:r>
      <w:proofErr w:type="spellEnd"/>
      <w:r w:rsidRPr="00545BB0">
        <w:t xml:space="preserve">, José Manuel Santos Pais, </w:t>
      </w:r>
      <w:proofErr w:type="spellStart"/>
      <w:r>
        <w:t>Soh</w:t>
      </w:r>
      <w:proofErr w:type="spellEnd"/>
      <w:r>
        <w:t xml:space="preserve"> </w:t>
      </w:r>
      <w:proofErr w:type="spellStart"/>
      <w:r w:rsidRPr="00545BB0">
        <w:t>Changrok</w:t>
      </w:r>
      <w:proofErr w:type="spellEnd"/>
      <w:r w:rsidRPr="00545BB0">
        <w:t xml:space="preserve">, </w:t>
      </w:r>
      <w:proofErr w:type="spellStart"/>
      <w:r w:rsidRPr="00545BB0">
        <w:t>Kobauyah</w:t>
      </w:r>
      <w:proofErr w:type="spellEnd"/>
      <w:r w:rsidRPr="00545BB0">
        <w:t xml:space="preserve"> </w:t>
      </w:r>
      <w:proofErr w:type="spellStart"/>
      <w:r w:rsidRPr="00545BB0">
        <w:t>Tchamdja</w:t>
      </w:r>
      <w:proofErr w:type="spellEnd"/>
      <w:r w:rsidRPr="00545BB0">
        <w:t xml:space="preserve"> </w:t>
      </w:r>
      <w:proofErr w:type="spellStart"/>
      <w:r w:rsidRPr="00545BB0">
        <w:t>Kpatcha</w:t>
      </w:r>
      <w:proofErr w:type="spellEnd"/>
      <w:r w:rsidRPr="00545BB0">
        <w:t xml:space="preserve">, Hélène </w:t>
      </w:r>
      <w:proofErr w:type="spellStart"/>
      <w:r w:rsidRPr="00545BB0">
        <w:t>Tigroudja</w:t>
      </w:r>
      <w:proofErr w:type="spellEnd"/>
      <w:r w:rsidRPr="00545BB0">
        <w:t xml:space="preserve">, </w:t>
      </w:r>
      <w:proofErr w:type="spellStart"/>
      <w:r w:rsidRPr="00545BB0">
        <w:t>Imeru</w:t>
      </w:r>
      <w:proofErr w:type="spellEnd"/>
      <w:r w:rsidRPr="00545BB0">
        <w:t xml:space="preserve"> </w:t>
      </w:r>
      <w:proofErr w:type="spellStart"/>
      <w:r w:rsidRPr="00545BB0">
        <w:t>Tamerat</w:t>
      </w:r>
      <w:proofErr w:type="spellEnd"/>
      <w:r w:rsidRPr="00545BB0">
        <w:t xml:space="preserve"> </w:t>
      </w:r>
      <w:proofErr w:type="spellStart"/>
      <w:r w:rsidRPr="00545BB0">
        <w:t>Yigezu</w:t>
      </w:r>
      <w:proofErr w:type="spellEnd"/>
      <w:r w:rsidRPr="00545BB0">
        <w:t xml:space="preserve"> </w:t>
      </w:r>
      <w:r>
        <w:t>et</w:t>
      </w:r>
      <w:r w:rsidRPr="00545BB0">
        <w:t xml:space="preserve"> </w:t>
      </w:r>
      <w:proofErr w:type="spellStart"/>
      <w:r w:rsidRPr="00545BB0">
        <w:t>Gentian</w:t>
      </w:r>
      <w:proofErr w:type="spellEnd"/>
      <w:r w:rsidRPr="00545BB0">
        <w:t xml:space="preserve"> </w:t>
      </w:r>
      <w:proofErr w:type="spellStart"/>
      <w:r w:rsidRPr="00545BB0">
        <w:t>Zyberi</w:t>
      </w:r>
      <w:proofErr w:type="spellEnd"/>
      <w:r w:rsidRPr="00545BB0">
        <w:t>.</w:t>
      </w:r>
    </w:p>
  </w:footnote>
  <w:footnote w:id="4">
    <w:p w14:paraId="42360B8E" w14:textId="743508DA" w:rsidR="00246C3A" w:rsidRPr="00DF3905" w:rsidRDefault="00246C3A" w:rsidP="00246C3A">
      <w:pPr>
        <w:pStyle w:val="Notedebasdepage"/>
        <w:rPr>
          <w:szCs w:val="18"/>
        </w:rPr>
      </w:pPr>
      <w:r w:rsidRPr="00DF3905">
        <w:rPr>
          <w:szCs w:val="18"/>
        </w:rPr>
        <w:tab/>
      </w:r>
      <w:r w:rsidRPr="00DF3905">
        <w:rPr>
          <w:rStyle w:val="Appelnotedebasdep"/>
        </w:rPr>
        <w:footnoteRef/>
      </w:r>
      <w:r w:rsidRPr="00DF3905">
        <w:tab/>
        <w:t>L’auteur cite les articles 365</w:t>
      </w:r>
      <w:r>
        <w:t xml:space="preserve"> (al. </w:t>
      </w:r>
      <w:r w:rsidRPr="00DF3905">
        <w:t>a</w:t>
      </w:r>
      <w:r>
        <w:t>))</w:t>
      </w:r>
      <w:r w:rsidRPr="00DF3905">
        <w:t>, 378, et 378</w:t>
      </w:r>
      <w:r>
        <w:t xml:space="preserve"> (al. </w:t>
      </w:r>
      <w:r w:rsidRPr="00DF3905">
        <w:t>a</w:t>
      </w:r>
      <w:r>
        <w:t>))</w:t>
      </w:r>
      <w:r w:rsidRPr="00DF3905">
        <w:t xml:space="preserve"> du Code de procédure pénale des Pays-Bas.</w:t>
      </w:r>
    </w:p>
  </w:footnote>
  <w:footnote w:id="5">
    <w:p w14:paraId="2E661F74" w14:textId="77777777" w:rsidR="00246C3A" w:rsidRPr="00DF3905" w:rsidRDefault="00246C3A" w:rsidP="00246C3A">
      <w:pPr>
        <w:pStyle w:val="Notedebasdepage"/>
        <w:rPr>
          <w:szCs w:val="18"/>
        </w:rPr>
      </w:pPr>
      <w:r w:rsidRPr="00DF3905">
        <w:rPr>
          <w:szCs w:val="18"/>
        </w:rPr>
        <w:tab/>
      </w:r>
      <w:r w:rsidRPr="00DF3905">
        <w:rPr>
          <w:rStyle w:val="Appelnotedebasdep"/>
        </w:rPr>
        <w:footnoteRef/>
      </w:r>
      <w:r w:rsidRPr="00DF3905">
        <w:tab/>
        <w:t xml:space="preserve">L’auteur cite un compte rendu des débats de la Chambre basse du Parlement néerlandais (Chambre des représentants), année parlementaire 2005-2006, </w:t>
      </w:r>
      <w:r w:rsidRPr="00DF3905">
        <w:rPr>
          <w:rFonts w:eastAsia="MS Mincho"/>
          <w:szCs w:val="22"/>
        </w:rPr>
        <w:t>n</w:t>
      </w:r>
      <w:r w:rsidRPr="00DF3905">
        <w:rPr>
          <w:rFonts w:eastAsia="MS Mincho"/>
          <w:szCs w:val="22"/>
          <w:vertAlign w:val="superscript"/>
        </w:rPr>
        <w:t>o</w:t>
      </w:r>
      <w:r w:rsidRPr="00DF3905">
        <w:t> 3, p.</w:t>
      </w:r>
      <w:r>
        <w:t> </w:t>
      </w:r>
      <w:r w:rsidRPr="00DF3905">
        <w:t>46 et 47.</w:t>
      </w:r>
    </w:p>
  </w:footnote>
  <w:footnote w:id="6">
    <w:p w14:paraId="1ED168F4" w14:textId="32B78122" w:rsidR="00246C3A" w:rsidRPr="00DF3905" w:rsidRDefault="00246C3A" w:rsidP="00246C3A">
      <w:pPr>
        <w:pStyle w:val="Notedebasdepage"/>
      </w:pPr>
      <w:r w:rsidRPr="00DF3905">
        <w:tab/>
      </w:r>
      <w:r w:rsidRPr="00DF3905">
        <w:rPr>
          <w:rStyle w:val="Appelnotedebasdep"/>
        </w:rPr>
        <w:footnoteRef/>
      </w:r>
      <w:r w:rsidRPr="00DF3905">
        <w:tab/>
        <w:t xml:space="preserve">L’auteur cite le Code de procédure pénale, </w:t>
      </w:r>
      <w:r>
        <w:t>art</w:t>
      </w:r>
      <w:r w:rsidR="00F574EC">
        <w:t>. </w:t>
      </w:r>
      <w:r>
        <w:t>410 (al. a)), par. 7.</w:t>
      </w:r>
    </w:p>
  </w:footnote>
  <w:footnote w:id="7">
    <w:p w14:paraId="62B41AE0" w14:textId="77777777" w:rsidR="00246C3A" w:rsidRPr="00DF3905" w:rsidRDefault="00246C3A" w:rsidP="00246C3A">
      <w:pPr>
        <w:pStyle w:val="Notedebasdepage"/>
      </w:pPr>
      <w:r w:rsidRPr="00DF3905">
        <w:tab/>
      </w:r>
      <w:r w:rsidRPr="00DF3905">
        <w:rPr>
          <w:rStyle w:val="Appelnotedebasdep"/>
        </w:rPr>
        <w:footnoteRef/>
      </w:r>
      <w:r w:rsidRPr="00DF3905">
        <w:t xml:space="preserve"> </w:t>
      </w:r>
      <w:r w:rsidRPr="00DF3905">
        <w:tab/>
        <w:t>Selon la traduction fournie par l’auteur, son recours auprès de la Cour suprême est daté du 14 mars 2012.</w:t>
      </w:r>
    </w:p>
  </w:footnote>
  <w:footnote w:id="8">
    <w:p w14:paraId="3277F318" w14:textId="77777777" w:rsidR="00246C3A" w:rsidRPr="00DF3905" w:rsidRDefault="00246C3A" w:rsidP="00246C3A">
      <w:pPr>
        <w:pStyle w:val="Notedebasdepage"/>
      </w:pPr>
      <w:r w:rsidRPr="00DF3905">
        <w:tab/>
      </w:r>
      <w:r w:rsidRPr="001417D9">
        <w:rPr>
          <w:rStyle w:val="Appelnotedebasdep"/>
        </w:rPr>
        <w:footnoteRef/>
      </w:r>
      <w:r w:rsidRPr="001417D9">
        <w:t xml:space="preserve"> </w:t>
      </w:r>
      <w:r w:rsidRPr="001417D9">
        <w:tab/>
      </w:r>
      <w:bookmarkStart w:id="0" w:name="_Hlk80956268"/>
      <w:r w:rsidRPr="001417D9">
        <w:t xml:space="preserve">Selon la traduction fournie par l’auteur, la Cour suprême </w:t>
      </w:r>
      <w:bookmarkEnd w:id="0"/>
      <w:r w:rsidRPr="001417D9">
        <w:t>a</w:t>
      </w:r>
      <w:r w:rsidRPr="0028331B">
        <w:t xml:space="preserve"> </w:t>
      </w:r>
      <w:r w:rsidRPr="001417D9">
        <w:t>estimé</w:t>
      </w:r>
      <w:r w:rsidRPr="001417D9">
        <w:rPr>
          <w:b/>
          <w:bCs/>
        </w:rPr>
        <w:t xml:space="preserve"> </w:t>
      </w:r>
      <w:r w:rsidRPr="001417D9">
        <w:t xml:space="preserve">que la demande de révision de la décision de la </w:t>
      </w:r>
      <w:r>
        <w:t>C</w:t>
      </w:r>
      <w:r w:rsidRPr="001417D9">
        <w:t>our d’appel présentée par l’auteur était irrecevable au regard de diverses dispositions du Code de procédure pénale, car la décision en question n’était pas un « jugement de condamnation ». La Cour suprême a également rejeté la demande de révision de la décision du tribunal de district présentée par l’auteur, au motif</w:t>
      </w:r>
      <w:r w:rsidRPr="00DF3905">
        <w:t xml:space="preserve"> que celle-ci n’était pas fondée.</w:t>
      </w:r>
    </w:p>
  </w:footnote>
  <w:footnote w:id="9">
    <w:p w14:paraId="3EB5B2E4" w14:textId="4A008779" w:rsidR="00246C3A" w:rsidRPr="007C7BC9" w:rsidRDefault="00246C3A" w:rsidP="00246C3A">
      <w:pPr>
        <w:pStyle w:val="Notedebasdepage"/>
        <w:rPr>
          <w:szCs w:val="18"/>
        </w:rPr>
      </w:pPr>
      <w:r w:rsidRPr="00DF3905">
        <w:rPr>
          <w:szCs w:val="18"/>
        </w:rPr>
        <w:tab/>
      </w:r>
      <w:r w:rsidRPr="00DF3905">
        <w:rPr>
          <w:rStyle w:val="Appelnotedebasdep"/>
        </w:rPr>
        <w:footnoteRef/>
      </w:r>
      <w:r w:rsidRPr="00DF3905">
        <w:tab/>
        <w:t>L’auteur cite</w:t>
      </w:r>
      <w:r>
        <w:t>,</w:t>
      </w:r>
      <w:r w:rsidRPr="00DF3905">
        <w:t xml:space="preserve"> par exemple</w:t>
      </w:r>
      <w:r>
        <w:t>, Comité des droits de l’homme,</w:t>
      </w:r>
      <w:r w:rsidRPr="00DF3905">
        <w:t xml:space="preserve"> observation générale </w:t>
      </w:r>
      <w:r w:rsidRPr="00DF3905">
        <w:rPr>
          <w:rFonts w:eastAsia="MS Mincho"/>
          <w:szCs w:val="22"/>
        </w:rPr>
        <w:t>n</w:t>
      </w:r>
      <w:r w:rsidRPr="00DF3905">
        <w:rPr>
          <w:rFonts w:eastAsia="MS Mincho"/>
          <w:szCs w:val="22"/>
          <w:vertAlign w:val="superscript"/>
        </w:rPr>
        <w:t>o</w:t>
      </w:r>
      <w:r w:rsidRPr="00DF3905">
        <w:t xml:space="preserve"> 32 </w:t>
      </w:r>
      <w:r w:rsidRPr="007C7BC9">
        <w:t>(2007</w:t>
      </w:r>
      <w:r w:rsidRPr="00DF3905">
        <w:t>), par.</w:t>
      </w:r>
      <w:r>
        <w:t> </w:t>
      </w:r>
      <w:r w:rsidRPr="00DF3905">
        <w:t xml:space="preserve">48 et 49, </w:t>
      </w:r>
      <w:r>
        <w:t xml:space="preserve">et </w:t>
      </w:r>
      <w:proofErr w:type="spellStart"/>
      <w:r w:rsidRPr="007C7BC9">
        <w:rPr>
          <w:i/>
          <w:iCs/>
        </w:rPr>
        <w:t>Lumley</w:t>
      </w:r>
      <w:proofErr w:type="spellEnd"/>
      <w:r w:rsidRPr="007C7BC9">
        <w:rPr>
          <w:i/>
          <w:iCs/>
        </w:rPr>
        <w:t xml:space="preserve"> c. Jamaïque</w:t>
      </w:r>
      <w:r w:rsidRPr="007C7BC9">
        <w:t xml:space="preserve"> (</w:t>
      </w:r>
      <w:hyperlink r:id="rId1" w:history="1">
        <w:r w:rsidR="0028331B">
          <w:rPr>
            <w:rStyle w:val="Lienhypertexte"/>
          </w:rPr>
          <w:t>CCPR/C/65/D/662/1995</w:t>
        </w:r>
      </w:hyperlink>
      <w:r w:rsidRPr="007C7BC9">
        <w:t>), par.</w:t>
      </w:r>
      <w:r>
        <w:t> </w:t>
      </w:r>
      <w:r w:rsidRPr="007C7BC9">
        <w:t>7.5.</w:t>
      </w:r>
    </w:p>
  </w:footnote>
  <w:footnote w:id="10">
    <w:p w14:paraId="5B9CA021" w14:textId="6130D2E5" w:rsidR="00246C3A" w:rsidRPr="00DF3905" w:rsidRDefault="00246C3A" w:rsidP="00246C3A">
      <w:pPr>
        <w:pStyle w:val="Notedebasdepage"/>
        <w:rPr>
          <w:szCs w:val="18"/>
        </w:rPr>
      </w:pPr>
      <w:r w:rsidRPr="007C7BC9">
        <w:tab/>
      </w:r>
      <w:r w:rsidRPr="007C7BC9">
        <w:rPr>
          <w:rStyle w:val="Appelnotedebasdep"/>
        </w:rPr>
        <w:footnoteRef/>
      </w:r>
      <w:r w:rsidRPr="007C7BC9">
        <w:tab/>
        <w:t xml:space="preserve">L’auteur renvoie, entre autres, à </w:t>
      </w:r>
      <w:proofErr w:type="spellStart"/>
      <w:r w:rsidRPr="007C7BC9">
        <w:rPr>
          <w:i/>
          <w:iCs/>
        </w:rPr>
        <w:t>Carvallo</w:t>
      </w:r>
      <w:proofErr w:type="spellEnd"/>
      <w:r w:rsidRPr="007C7BC9">
        <w:rPr>
          <w:i/>
          <w:iCs/>
        </w:rPr>
        <w:t xml:space="preserve"> Villar c. Espagne</w:t>
      </w:r>
      <w:r w:rsidRPr="007C7BC9">
        <w:t xml:space="preserve"> (</w:t>
      </w:r>
      <w:hyperlink r:id="rId2" w:history="1">
        <w:r w:rsidR="0028331B">
          <w:rPr>
            <w:rStyle w:val="Lienhypertexte"/>
          </w:rPr>
          <w:t>CCPR/C/85/D/1059/2002</w:t>
        </w:r>
      </w:hyperlink>
      <w:r w:rsidRPr="007C7BC9">
        <w:t>), par.</w:t>
      </w:r>
      <w:r>
        <w:t> </w:t>
      </w:r>
      <w:r w:rsidRPr="007C7BC9">
        <w:t>9.5.</w:t>
      </w:r>
    </w:p>
  </w:footnote>
  <w:footnote w:id="11">
    <w:p w14:paraId="22B800E2" w14:textId="30AC0772" w:rsidR="00246C3A" w:rsidRDefault="00246C3A" w:rsidP="00246C3A">
      <w:pPr>
        <w:pStyle w:val="Notedebasdepage"/>
      </w:pPr>
      <w:r>
        <w:tab/>
      </w:r>
      <w:r>
        <w:rPr>
          <w:rStyle w:val="Appelnotedebasdep"/>
        </w:rPr>
        <w:footnoteRef/>
      </w:r>
      <w:r>
        <w:tab/>
      </w:r>
      <w:proofErr w:type="spellStart"/>
      <w:r>
        <w:rPr>
          <w:i/>
        </w:rPr>
        <w:t>Mennen</w:t>
      </w:r>
      <w:proofErr w:type="spellEnd"/>
      <w:r>
        <w:rPr>
          <w:i/>
        </w:rPr>
        <w:t xml:space="preserve"> </w:t>
      </w:r>
      <w:r>
        <w:rPr>
          <w:i/>
          <w:iCs/>
        </w:rPr>
        <w:t>c.</w:t>
      </w:r>
      <w:r>
        <w:rPr>
          <w:i/>
        </w:rPr>
        <w:t xml:space="preserve"> Pays-Bas</w:t>
      </w:r>
      <w:r>
        <w:t xml:space="preserve"> (</w:t>
      </w:r>
      <w:hyperlink r:id="rId3" w:history="1">
        <w:r w:rsidR="0028331B">
          <w:rPr>
            <w:rStyle w:val="Lienhypertexte"/>
          </w:rPr>
          <w:t>CCPR/C/99/D/1797/2008</w:t>
        </w:r>
      </w:hyperlink>
      <w:r>
        <w:t xml:space="preserve">); </w:t>
      </w:r>
      <w:proofErr w:type="spellStart"/>
      <w:r>
        <w:rPr>
          <w:i/>
        </w:rPr>
        <w:t>Timmer</w:t>
      </w:r>
      <w:proofErr w:type="spellEnd"/>
      <w:r>
        <w:rPr>
          <w:i/>
        </w:rPr>
        <w:t xml:space="preserve"> </w:t>
      </w:r>
      <w:r>
        <w:rPr>
          <w:i/>
          <w:iCs/>
        </w:rPr>
        <w:t>c.</w:t>
      </w:r>
      <w:r>
        <w:rPr>
          <w:i/>
        </w:rPr>
        <w:t xml:space="preserve"> Pays-Bas</w:t>
      </w:r>
      <w:r>
        <w:t xml:space="preserve"> (</w:t>
      </w:r>
      <w:hyperlink r:id="rId4" w:history="1">
        <w:r w:rsidR="0028331B">
          <w:rPr>
            <w:rStyle w:val="Lienhypertexte"/>
          </w:rPr>
          <w:t>CCPR/C/111/D/2097/2011</w:t>
        </w:r>
      </w:hyperlink>
      <w:r>
        <w:t>).</w:t>
      </w:r>
    </w:p>
  </w:footnote>
  <w:footnote w:id="12">
    <w:p w14:paraId="0806B15A" w14:textId="77777777" w:rsidR="00246C3A" w:rsidRPr="00DF3905" w:rsidRDefault="00246C3A" w:rsidP="00246C3A">
      <w:pPr>
        <w:pStyle w:val="Notedebasdepage"/>
      </w:pPr>
      <w:r w:rsidRPr="00DF3905">
        <w:tab/>
      </w:r>
      <w:r w:rsidRPr="00DF3905">
        <w:rPr>
          <w:rStyle w:val="Appelnotedebasdep"/>
        </w:rPr>
        <w:footnoteRef/>
      </w:r>
      <w:r w:rsidRPr="00DF3905">
        <w:tab/>
        <w:t>L’auteur ne donne pas d’explications à l’appui des griefs qu’il tire de l’article</w:t>
      </w:r>
      <w:r>
        <w:t> </w:t>
      </w:r>
      <w:r w:rsidRPr="00DF3905">
        <w:t>2 (par.</w:t>
      </w:r>
      <w:r>
        <w:t> </w:t>
      </w:r>
      <w:r w:rsidRPr="00DF3905">
        <w:t xml:space="preserve">3) du Pacte. </w:t>
      </w:r>
      <w:r w:rsidRPr="0028331B">
        <w:t>Il</w:t>
      </w:r>
      <w:r w:rsidRPr="00DF3905">
        <w:t xml:space="preserve"> demande que le Comité lui garantisse un recours utile au sens de l’article</w:t>
      </w:r>
      <w:r>
        <w:t> </w:t>
      </w:r>
      <w:r w:rsidRPr="00DF3905">
        <w:t>14 (par.</w:t>
      </w:r>
      <w:r>
        <w:t> </w:t>
      </w:r>
      <w:r w:rsidRPr="00DF3905">
        <w:t>5), lu conjointement avec l’article</w:t>
      </w:r>
      <w:r>
        <w:t> </w:t>
      </w:r>
      <w:r w:rsidRPr="00DF3905">
        <w:t>2 (par.</w:t>
      </w:r>
      <w:r>
        <w:t> </w:t>
      </w:r>
      <w:r w:rsidRPr="00DF3905">
        <w:t>3) du Pacte.</w:t>
      </w:r>
    </w:p>
  </w:footnote>
  <w:footnote w:id="13">
    <w:p w14:paraId="03CE759B" w14:textId="351B5538" w:rsidR="00246C3A" w:rsidRPr="00A90082" w:rsidRDefault="00246C3A" w:rsidP="00246C3A">
      <w:pPr>
        <w:pStyle w:val="Notedebasdepage"/>
      </w:pPr>
      <w:r w:rsidRPr="00A90082">
        <w:tab/>
      </w:r>
      <w:r w:rsidRPr="00DF3905">
        <w:rPr>
          <w:rStyle w:val="Appelnotedebasdep"/>
        </w:rPr>
        <w:footnoteRef/>
      </w:r>
      <w:r w:rsidRPr="00A90082">
        <w:t xml:space="preserve"> </w:t>
      </w:r>
      <w:r w:rsidRPr="00A90082">
        <w:tab/>
      </w:r>
      <w:proofErr w:type="spellStart"/>
      <w:r w:rsidRPr="00A90082">
        <w:rPr>
          <w:i/>
          <w:iCs/>
        </w:rPr>
        <w:t>Sabirova</w:t>
      </w:r>
      <w:proofErr w:type="spellEnd"/>
      <w:r w:rsidRPr="00A90082">
        <w:rPr>
          <w:i/>
          <w:iCs/>
        </w:rPr>
        <w:t xml:space="preserve"> et consorts c. Ouzbékistan </w:t>
      </w:r>
      <w:r w:rsidRPr="00A90082">
        <w:t>(</w:t>
      </w:r>
      <w:hyperlink r:id="rId5" w:history="1">
        <w:r w:rsidR="0028331B">
          <w:rPr>
            <w:rStyle w:val="Lienhypertexte"/>
          </w:rPr>
          <w:t>CCPR/C/125/D/2331/2014</w:t>
        </w:r>
      </w:hyperlink>
      <w:r w:rsidRPr="00A90082">
        <w:t>).</w:t>
      </w:r>
    </w:p>
  </w:footnote>
  <w:footnote w:id="14">
    <w:p w14:paraId="22827FB8" w14:textId="4D8485A3" w:rsidR="00246C3A" w:rsidRPr="00DF3905" w:rsidRDefault="00246C3A" w:rsidP="00246C3A">
      <w:pPr>
        <w:pStyle w:val="Notedebasdepage"/>
      </w:pPr>
      <w:r w:rsidRPr="00A90082">
        <w:tab/>
      </w:r>
      <w:r w:rsidRPr="00DF3905">
        <w:rPr>
          <w:rStyle w:val="Appelnotedebasdep"/>
        </w:rPr>
        <w:footnoteRef/>
      </w:r>
      <w:r w:rsidRPr="00DF3905">
        <w:t xml:space="preserve"> </w:t>
      </w:r>
      <w:r w:rsidRPr="00DF3905">
        <w:tab/>
      </w:r>
      <w:r w:rsidRPr="00DF3905">
        <w:tab/>
      </w:r>
      <w:r w:rsidRPr="00DF3905">
        <w:rPr>
          <w:i/>
          <w:iCs/>
        </w:rPr>
        <w:t>S. Y. c. Pays-Bas</w:t>
      </w:r>
      <w:r w:rsidRPr="00DF3905">
        <w:t xml:space="preserve"> </w:t>
      </w:r>
      <w:r>
        <w:t>(</w:t>
      </w:r>
      <w:hyperlink r:id="rId6" w:history="1">
        <w:r w:rsidR="0028331B">
          <w:rPr>
            <w:rStyle w:val="Lienhypertexte"/>
          </w:rPr>
          <w:t>CCPR/C/123/D/2392/2014</w:t>
        </w:r>
      </w:hyperlink>
      <w:r>
        <w:t>)</w:t>
      </w:r>
      <w:r w:rsidRPr="00DF3905">
        <w:t>.</w:t>
      </w:r>
    </w:p>
  </w:footnote>
  <w:footnote w:id="15">
    <w:p w14:paraId="036A8978" w14:textId="0A90ABAF" w:rsidR="00246C3A" w:rsidRPr="00DF3905" w:rsidRDefault="00246C3A" w:rsidP="00246C3A">
      <w:pPr>
        <w:pStyle w:val="Notedebasdepage"/>
      </w:pPr>
      <w:r w:rsidRPr="00DF3905">
        <w:tab/>
      </w:r>
      <w:r w:rsidRPr="00DF3905">
        <w:rPr>
          <w:rStyle w:val="Appelnotedebasdep"/>
        </w:rPr>
        <w:footnoteRef/>
      </w:r>
      <w:r w:rsidRPr="00DF3905">
        <w:t xml:space="preserve"> </w:t>
      </w:r>
      <w:r w:rsidRPr="00DF3905">
        <w:tab/>
        <w:t xml:space="preserve">L’État partie cite, par exemple, </w:t>
      </w:r>
      <w:r w:rsidRPr="00DF3905">
        <w:rPr>
          <w:i/>
          <w:iCs/>
        </w:rPr>
        <w:t>P.</w:t>
      </w:r>
      <w:r>
        <w:rPr>
          <w:i/>
          <w:iCs/>
        </w:rPr>
        <w:t> </w:t>
      </w:r>
      <w:r w:rsidRPr="00DF3905">
        <w:rPr>
          <w:i/>
          <w:iCs/>
        </w:rPr>
        <w:t>L.</w:t>
      </w:r>
      <w:r w:rsidRPr="00DF3905">
        <w:t xml:space="preserve"> </w:t>
      </w:r>
      <w:r w:rsidRPr="00DF3905">
        <w:rPr>
          <w:i/>
          <w:iCs/>
        </w:rPr>
        <w:t>et consorts c. Allemagne</w:t>
      </w:r>
      <w:r w:rsidRPr="00DF3905">
        <w:t xml:space="preserve"> (</w:t>
      </w:r>
      <w:hyperlink r:id="rId7" w:history="1">
        <w:r w:rsidR="0028331B">
          <w:rPr>
            <w:rStyle w:val="Lienhypertexte"/>
          </w:rPr>
          <w:t>CCPR/C/79/D/1003/2001</w:t>
        </w:r>
      </w:hyperlink>
      <w:r w:rsidRPr="00DF3905">
        <w:t>), par.</w:t>
      </w:r>
      <w:r>
        <w:t> </w:t>
      </w:r>
      <w:r w:rsidRPr="00DF3905">
        <w:t>6.5.</w:t>
      </w:r>
    </w:p>
  </w:footnote>
  <w:footnote w:id="16">
    <w:p w14:paraId="292868FB" w14:textId="2E572F40" w:rsidR="00246C3A" w:rsidRPr="00DF3905" w:rsidRDefault="00246C3A" w:rsidP="00246C3A">
      <w:pPr>
        <w:pStyle w:val="Notedebasdepage"/>
      </w:pPr>
      <w:r w:rsidRPr="00DF3905">
        <w:tab/>
      </w:r>
      <w:r w:rsidRPr="00DF3905">
        <w:rPr>
          <w:rStyle w:val="Appelnotedebasdep"/>
        </w:rPr>
        <w:footnoteRef/>
      </w:r>
      <w:r w:rsidRPr="00DF3905">
        <w:t xml:space="preserve"> </w:t>
      </w:r>
      <w:r w:rsidRPr="00DF3905">
        <w:tab/>
        <w:t xml:space="preserve">L’État partie cite, par exemple, </w:t>
      </w:r>
      <w:proofErr w:type="spellStart"/>
      <w:r w:rsidRPr="00DF3905">
        <w:rPr>
          <w:i/>
          <w:iCs/>
        </w:rPr>
        <w:t>Patiño</w:t>
      </w:r>
      <w:proofErr w:type="spellEnd"/>
      <w:r w:rsidRPr="00DF3905">
        <w:rPr>
          <w:i/>
          <w:iCs/>
        </w:rPr>
        <w:t xml:space="preserve"> c. Panama</w:t>
      </w:r>
      <w:r w:rsidRPr="00DF3905">
        <w:t xml:space="preserve"> (</w:t>
      </w:r>
      <w:hyperlink r:id="rId8" w:history="1">
        <w:r w:rsidR="0028331B" w:rsidRPr="00A20E39">
          <w:rPr>
            <w:rStyle w:val="Lienhypertexte"/>
          </w:rPr>
          <w:t>CCPR/C/52/D/43</w:t>
        </w:r>
        <w:r w:rsidR="0028331B" w:rsidRPr="00A20E39">
          <w:rPr>
            <w:rStyle w:val="Lienhypertexte"/>
          </w:rPr>
          <w:t>7</w:t>
        </w:r>
        <w:r w:rsidR="0028331B" w:rsidRPr="00A20E39">
          <w:rPr>
            <w:rStyle w:val="Lienhypertexte"/>
          </w:rPr>
          <w:t>/1990</w:t>
        </w:r>
      </w:hyperlink>
      <w:r w:rsidRPr="00DF3905">
        <w:t>), par.</w:t>
      </w:r>
      <w:r>
        <w:t> </w:t>
      </w:r>
      <w:r w:rsidRPr="00DF3905">
        <w:t>5.2.</w:t>
      </w:r>
    </w:p>
  </w:footnote>
  <w:footnote w:id="17">
    <w:p w14:paraId="0E503B5B" w14:textId="398FC5C0" w:rsidR="00246C3A" w:rsidRPr="00DF3905" w:rsidRDefault="00246C3A" w:rsidP="00246C3A">
      <w:pPr>
        <w:pStyle w:val="Notedebasdepage"/>
      </w:pPr>
      <w:r w:rsidRPr="00DF3905">
        <w:tab/>
      </w:r>
      <w:r w:rsidRPr="00DF3905">
        <w:rPr>
          <w:rStyle w:val="Appelnotedebasdep"/>
        </w:rPr>
        <w:footnoteRef/>
      </w:r>
      <w:r w:rsidRPr="00DF3905">
        <w:t xml:space="preserve"> </w:t>
      </w:r>
      <w:r w:rsidRPr="00DF3905">
        <w:tab/>
        <w:t xml:space="preserve">Voir, par exemple, </w:t>
      </w:r>
      <w:r w:rsidRPr="00DF3905">
        <w:rPr>
          <w:i/>
          <w:iCs/>
        </w:rPr>
        <w:t>I. D. M.</w:t>
      </w:r>
      <w:r>
        <w:rPr>
          <w:i/>
          <w:iCs/>
        </w:rPr>
        <w:t> </w:t>
      </w:r>
      <w:r w:rsidRPr="00DF3905">
        <w:rPr>
          <w:i/>
          <w:iCs/>
        </w:rPr>
        <w:t>c.</w:t>
      </w:r>
      <w:r>
        <w:rPr>
          <w:i/>
          <w:iCs/>
        </w:rPr>
        <w:t> </w:t>
      </w:r>
      <w:r w:rsidRPr="00DF3905">
        <w:rPr>
          <w:i/>
          <w:iCs/>
        </w:rPr>
        <w:t>Colombie</w:t>
      </w:r>
      <w:r w:rsidRPr="00DF3905">
        <w:t xml:space="preserve"> (</w:t>
      </w:r>
      <w:hyperlink r:id="rId9" w:history="1">
        <w:r w:rsidR="0028331B">
          <w:rPr>
            <w:rStyle w:val="Lienhypertexte"/>
          </w:rPr>
          <w:t>CCPR/C/123/D/2414/2014</w:t>
        </w:r>
      </w:hyperlink>
      <w:r w:rsidRPr="00DF3905">
        <w:t>), par.</w:t>
      </w:r>
      <w:r>
        <w:t> </w:t>
      </w:r>
      <w:r w:rsidRPr="00DF3905">
        <w:t>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977A" w14:textId="1C6ED901" w:rsidR="00246C3A" w:rsidRPr="00246C3A" w:rsidRDefault="00246C3A">
    <w:pPr>
      <w:pStyle w:val="En-tte"/>
    </w:pPr>
    <w:fldSimple w:instr=" TITLE  \* MERGEFORMAT ">
      <w:r w:rsidR="00670EF7">
        <w:t>CCPR/C/133/D/3004/2017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DC11" w14:textId="675C7F00" w:rsidR="00246C3A" w:rsidRPr="00246C3A" w:rsidRDefault="00246C3A" w:rsidP="00246C3A">
    <w:pPr>
      <w:pStyle w:val="En-tte"/>
      <w:jc w:val="right"/>
    </w:pPr>
    <w:fldSimple w:instr=" TITLE  \* MERGEFORMAT ">
      <w:r w:rsidR="00670EF7">
        <w:t>CCPR/C/133/D/3004/2017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81381611">
    <w:abstractNumId w:val="12"/>
  </w:num>
  <w:num w:numId="2" w16cid:durableId="1117335629">
    <w:abstractNumId w:val="11"/>
  </w:num>
  <w:num w:numId="3" w16cid:durableId="915435720">
    <w:abstractNumId w:val="10"/>
  </w:num>
  <w:num w:numId="4" w16cid:durableId="1201628486">
    <w:abstractNumId w:val="8"/>
  </w:num>
  <w:num w:numId="5" w16cid:durableId="609316378">
    <w:abstractNumId w:val="3"/>
  </w:num>
  <w:num w:numId="6" w16cid:durableId="1265190519">
    <w:abstractNumId w:val="2"/>
  </w:num>
  <w:num w:numId="7" w16cid:durableId="1997145061">
    <w:abstractNumId w:val="1"/>
  </w:num>
  <w:num w:numId="8" w16cid:durableId="1846509124">
    <w:abstractNumId w:val="0"/>
  </w:num>
  <w:num w:numId="9" w16cid:durableId="1280339720">
    <w:abstractNumId w:val="9"/>
  </w:num>
  <w:num w:numId="10" w16cid:durableId="1586450859">
    <w:abstractNumId w:val="7"/>
  </w:num>
  <w:num w:numId="11" w16cid:durableId="1674183931">
    <w:abstractNumId w:val="6"/>
  </w:num>
  <w:num w:numId="12" w16cid:durableId="162817430">
    <w:abstractNumId w:val="5"/>
  </w:num>
  <w:num w:numId="13" w16cid:durableId="1389112390">
    <w:abstractNumId w:val="4"/>
  </w:num>
  <w:num w:numId="14" w16cid:durableId="850602507">
    <w:abstractNumId w:val="12"/>
  </w:num>
  <w:num w:numId="15" w16cid:durableId="41639125">
    <w:abstractNumId w:val="11"/>
  </w:num>
  <w:num w:numId="16" w16cid:durableId="2072457074">
    <w:abstractNumId w:val="10"/>
  </w:num>
  <w:num w:numId="17" w16cid:durableId="1579751362">
    <w:abstractNumId w:val="12"/>
  </w:num>
  <w:num w:numId="18" w16cid:durableId="1341736966">
    <w:abstractNumId w:val="11"/>
  </w:num>
  <w:num w:numId="19" w16cid:durableId="104930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1E"/>
    <w:rsid w:val="00004AED"/>
    <w:rsid w:val="00017F94"/>
    <w:rsid w:val="00023842"/>
    <w:rsid w:val="000334F9"/>
    <w:rsid w:val="00037D1A"/>
    <w:rsid w:val="00073802"/>
    <w:rsid w:val="0007796D"/>
    <w:rsid w:val="000919AD"/>
    <w:rsid w:val="000B7790"/>
    <w:rsid w:val="000C2225"/>
    <w:rsid w:val="00111F2F"/>
    <w:rsid w:val="0014365E"/>
    <w:rsid w:val="00176178"/>
    <w:rsid w:val="001B379B"/>
    <w:rsid w:val="001D4EAA"/>
    <w:rsid w:val="001E0F46"/>
    <w:rsid w:val="001F525A"/>
    <w:rsid w:val="002006B6"/>
    <w:rsid w:val="00223272"/>
    <w:rsid w:val="00246C3A"/>
    <w:rsid w:val="0024779E"/>
    <w:rsid w:val="0028331B"/>
    <w:rsid w:val="002B7BC7"/>
    <w:rsid w:val="002E2D46"/>
    <w:rsid w:val="0032225A"/>
    <w:rsid w:val="003265B7"/>
    <w:rsid w:val="003402F1"/>
    <w:rsid w:val="00351332"/>
    <w:rsid w:val="003A652B"/>
    <w:rsid w:val="003A6E96"/>
    <w:rsid w:val="00446FE5"/>
    <w:rsid w:val="00452396"/>
    <w:rsid w:val="004933E6"/>
    <w:rsid w:val="005505B7"/>
    <w:rsid w:val="00573BE5"/>
    <w:rsid w:val="00586ED3"/>
    <w:rsid w:val="00596AA9"/>
    <w:rsid w:val="00670EF7"/>
    <w:rsid w:val="006D1448"/>
    <w:rsid w:val="006F7144"/>
    <w:rsid w:val="006F71EA"/>
    <w:rsid w:val="0071601D"/>
    <w:rsid w:val="00793E85"/>
    <w:rsid w:val="007A611C"/>
    <w:rsid w:val="007A62E6"/>
    <w:rsid w:val="007B1575"/>
    <w:rsid w:val="007E2032"/>
    <w:rsid w:val="0080684C"/>
    <w:rsid w:val="008560DB"/>
    <w:rsid w:val="00871C75"/>
    <w:rsid w:val="008776DC"/>
    <w:rsid w:val="00915B00"/>
    <w:rsid w:val="009705C8"/>
    <w:rsid w:val="00971414"/>
    <w:rsid w:val="009B1E6C"/>
    <w:rsid w:val="009E2C6A"/>
    <w:rsid w:val="00A20E39"/>
    <w:rsid w:val="00A44B3F"/>
    <w:rsid w:val="00A57411"/>
    <w:rsid w:val="00A9151D"/>
    <w:rsid w:val="00A92823"/>
    <w:rsid w:val="00AA6A35"/>
    <w:rsid w:val="00AC3823"/>
    <w:rsid w:val="00AE323C"/>
    <w:rsid w:val="00B00181"/>
    <w:rsid w:val="00B0511E"/>
    <w:rsid w:val="00B765F7"/>
    <w:rsid w:val="00BA0CA9"/>
    <w:rsid w:val="00BE1859"/>
    <w:rsid w:val="00C01ACF"/>
    <w:rsid w:val="00C02897"/>
    <w:rsid w:val="00CA7BC4"/>
    <w:rsid w:val="00D05667"/>
    <w:rsid w:val="00D22C9C"/>
    <w:rsid w:val="00D3439C"/>
    <w:rsid w:val="00D37964"/>
    <w:rsid w:val="00D744E5"/>
    <w:rsid w:val="00D83177"/>
    <w:rsid w:val="00DB1831"/>
    <w:rsid w:val="00DD3BFD"/>
    <w:rsid w:val="00DF6678"/>
    <w:rsid w:val="00E85C42"/>
    <w:rsid w:val="00EB664E"/>
    <w:rsid w:val="00EC30D5"/>
    <w:rsid w:val="00EE1BD4"/>
    <w:rsid w:val="00F12152"/>
    <w:rsid w:val="00F574EC"/>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DC0E5"/>
  <w15:docId w15:val="{7E4A6505-45AA-4776-BDA6-E6323BFD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link w:val="Appelnotedebasde"/>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Appelnotedebasdep"/>
    <w:uiPriority w:val="99"/>
    <w:rsid w:val="00246C3A"/>
    <w:pPr>
      <w:suppressAutoHyphens w:val="0"/>
      <w:kinsoku/>
      <w:overflowPunct/>
      <w:autoSpaceDE/>
      <w:autoSpaceDN/>
      <w:adjustRightInd/>
      <w:snapToGrid/>
      <w:spacing w:before="120" w:after="120" w:line="240" w:lineRule="auto"/>
    </w:pPr>
    <w:rPr>
      <w:rFonts w:eastAsia="Times New Roman" w:cstheme="minorBidi"/>
      <w:sz w:val="18"/>
      <w:szCs w:val="22"/>
      <w:vertAlign w:val="superscript"/>
      <w:lang w:eastAsia="zh-CN"/>
    </w:rPr>
  </w:style>
  <w:style w:type="character" w:customStyle="1" w:styleId="SingleTxtGChar">
    <w:name w:val="_ Single Txt_G Char"/>
    <w:link w:val="SingleTxtG"/>
    <w:rsid w:val="00246C3A"/>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283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DER/G94/704/62/IMG/G9470462.pdf?OpenElement" TargetMode="External"/><Relationship Id="rId3" Type="http://schemas.openxmlformats.org/officeDocument/2006/relationships/hyperlink" Target="http://undocs.org/fr/CCPR/C/99/D/1797/2008" TargetMode="External"/><Relationship Id="rId7" Type="http://schemas.openxmlformats.org/officeDocument/2006/relationships/hyperlink" Target="http://undocs.org/fr/CCPR/C/79/D/1003/2001" TargetMode="External"/><Relationship Id="rId2" Type="http://schemas.openxmlformats.org/officeDocument/2006/relationships/hyperlink" Target="http://undocs.org/fr/CCPR/C/85/D/1059/2002" TargetMode="External"/><Relationship Id="rId1" Type="http://schemas.openxmlformats.org/officeDocument/2006/relationships/hyperlink" Target="http://undocs.org/fr/CCPR/C/65/D/662/1995" TargetMode="External"/><Relationship Id="rId6" Type="http://schemas.openxmlformats.org/officeDocument/2006/relationships/hyperlink" Target="http://undocs.org/fr/CCPR/C/123/D/2392/2014" TargetMode="External"/><Relationship Id="rId5" Type="http://schemas.openxmlformats.org/officeDocument/2006/relationships/hyperlink" Target="http://undocs.org/fr/CCPR/C/125/D/2331/2014" TargetMode="External"/><Relationship Id="rId4" Type="http://schemas.openxmlformats.org/officeDocument/2006/relationships/hyperlink" Target="http://undocs.org/fr/CCPR/C/111/D/2097/2011" TargetMode="External"/><Relationship Id="rId9" Type="http://schemas.openxmlformats.org/officeDocument/2006/relationships/hyperlink" Target="http://undocs.org/fr/CCPR/C/123/D/2414/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7</Pages>
  <Words>4077</Words>
  <Characters>21288</Characters>
  <Application>Microsoft Office Word</Application>
  <DocSecurity>0</DocSecurity>
  <Lines>327</Lines>
  <Paragraphs>86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CCPR/C/133/D/3004/2017</dc:title>
  <dc:subject/>
  <dc:creator>Corinne ROBERT</dc:creator>
  <cp:keywords/>
  <cp:lastModifiedBy>Corinne Robert</cp:lastModifiedBy>
  <cp:revision>3</cp:revision>
  <cp:lastPrinted>2022-10-31T08:35:00Z</cp:lastPrinted>
  <dcterms:created xsi:type="dcterms:W3CDTF">2022-10-31T08:34:00Z</dcterms:created>
  <dcterms:modified xsi:type="dcterms:W3CDTF">2022-10-31T08:36:00Z</dcterms:modified>
</cp:coreProperties>
</file>