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7AD9B094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E266B0F" w14:textId="77777777" w:rsidR="002D5AAC" w:rsidRDefault="002D5AAC" w:rsidP="00D6204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32E5EDCD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39E0A9AA" w14:textId="40718914" w:rsidR="002D5AAC" w:rsidRDefault="00D6204C" w:rsidP="00D6204C">
            <w:pPr>
              <w:jc w:val="right"/>
            </w:pPr>
            <w:r w:rsidRPr="00D6204C">
              <w:rPr>
                <w:sz w:val="40"/>
              </w:rPr>
              <w:t>CCPR</w:t>
            </w:r>
            <w:r>
              <w:t>/C/135/D/2827/2016</w:t>
            </w:r>
          </w:p>
        </w:tc>
      </w:tr>
      <w:tr w:rsidR="002D5AAC" w:rsidRPr="00067FE4" w14:paraId="6605F804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580518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983E607" wp14:editId="541C851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7C82FC7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201BB15" w14:textId="77777777" w:rsidR="002D5AAC" w:rsidRPr="00067FE4" w:rsidRDefault="00D6204C" w:rsidP="00BC3629">
            <w:pPr>
              <w:spacing w:before="240"/>
              <w:rPr>
                <w:lang w:val="en-US"/>
              </w:rPr>
            </w:pPr>
            <w:r w:rsidRPr="00067FE4">
              <w:rPr>
                <w:lang w:val="en-US"/>
              </w:rPr>
              <w:t>Distr.: General</w:t>
            </w:r>
          </w:p>
          <w:p w14:paraId="47954533" w14:textId="77777777" w:rsidR="00D6204C" w:rsidRPr="00067FE4" w:rsidRDefault="00D6204C" w:rsidP="00D6204C">
            <w:pPr>
              <w:spacing w:line="240" w:lineRule="exact"/>
              <w:rPr>
                <w:lang w:val="en-US"/>
              </w:rPr>
            </w:pPr>
            <w:r w:rsidRPr="00067FE4">
              <w:rPr>
                <w:lang w:val="en-US"/>
              </w:rPr>
              <w:t>15 November 2022</w:t>
            </w:r>
          </w:p>
          <w:p w14:paraId="0C2FE1F9" w14:textId="77777777" w:rsidR="00D6204C" w:rsidRPr="00067FE4" w:rsidRDefault="00D6204C" w:rsidP="00D6204C">
            <w:pPr>
              <w:spacing w:line="240" w:lineRule="exact"/>
              <w:rPr>
                <w:lang w:val="en-US"/>
              </w:rPr>
            </w:pPr>
            <w:r w:rsidRPr="00067FE4">
              <w:rPr>
                <w:lang w:val="en-US"/>
              </w:rPr>
              <w:t>Russian</w:t>
            </w:r>
          </w:p>
          <w:p w14:paraId="45DDB8C3" w14:textId="33E6D276" w:rsidR="00D6204C" w:rsidRPr="00067FE4" w:rsidRDefault="00D6204C" w:rsidP="00D6204C">
            <w:pPr>
              <w:spacing w:line="240" w:lineRule="exact"/>
              <w:rPr>
                <w:lang w:val="en-US"/>
              </w:rPr>
            </w:pPr>
            <w:r w:rsidRPr="00067FE4">
              <w:rPr>
                <w:lang w:val="en-US"/>
              </w:rPr>
              <w:t>Original: English</w:t>
            </w:r>
          </w:p>
        </w:tc>
      </w:tr>
    </w:tbl>
    <w:p w14:paraId="5B54A0AF" w14:textId="77777777" w:rsidR="004640F2" w:rsidRPr="00E749C8" w:rsidRDefault="004640F2" w:rsidP="004640F2">
      <w:pPr>
        <w:spacing w:before="120"/>
        <w:rPr>
          <w:b/>
          <w:bCs/>
          <w:sz w:val="24"/>
          <w:szCs w:val="24"/>
        </w:rPr>
      </w:pPr>
      <w:r w:rsidRPr="00E749C8">
        <w:rPr>
          <w:b/>
          <w:bCs/>
          <w:sz w:val="24"/>
          <w:szCs w:val="24"/>
        </w:rPr>
        <w:t>Комитет по правам человека</w:t>
      </w:r>
    </w:p>
    <w:p w14:paraId="49108C01" w14:textId="1CE24262" w:rsidR="00590C46" w:rsidRPr="0064331C" w:rsidRDefault="004640F2" w:rsidP="00590C46">
      <w:pPr>
        <w:pStyle w:val="HChG"/>
      </w:pPr>
      <w:r w:rsidRPr="00590C46">
        <w:tab/>
      </w:r>
      <w:r w:rsidRPr="00590C46">
        <w:tab/>
        <w:t>Соображения, принятые Комитетом в соответствии с</w:t>
      </w:r>
      <w:r w:rsidR="00590C46">
        <w:t> </w:t>
      </w:r>
      <w:r w:rsidRPr="00590C46">
        <w:t>пунктом 4 статьи 5 Факультативного протокола относительно сообщения № 2827/2016</w:t>
      </w:r>
      <w:r w:rsidRPr="00590C46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="00590C46" w:rsidRPr="00590C46">
        <w:rPr>
          <w:b w:val="0"/>
          <w:bCs/>
          <w:sz w:val="20"/>
        </w:rPr>
        <w:t xml:space="preserve"> </w:t>
      </w:r>
      <w:r w:rsidRPr="00590C46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590C46" w:rsidRPr="0064331C" w14:paraId="42E2B074" w14:textId="77777777" w:rsidTr="00A85105">
        <w:tc>
          <w:tcPr>
            <w:tcW w:w="2933" w:type="dxa"/>
            <w:hideMark/>
          </w:tcPr>
          <w:p w14:paraId="1AD7DFCD" w14:textId="5A3144F5" w:rsidR="00590C46" w:rsidRPr="0064331C" w:rsidRDefault="00590C46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 w:rsidRPr="00590C46">
              <w:rPr>
                <w:i/>
                <w:iCs/>
              </w:rPr>
              <w:t>Сообщение представлено</w:t>
            </w:r>
            <w:r w:rsidRPr="0064331C">
              <w:rPr>
                <w:i/>
              </w:rPr>
              <w:t>:</w:t>
            </w:r>
          </w:p>
        </w:tc>
        <w:tc>
          <w:tcPr>
            <w:tcW w:w="3871" w:type="dxa"/>
          </w:tcPr>
          <w:p w14:paraId="66B1825A" w14:textId="050AF5AD" w:rsidR="00590C46" w:rsidRPr="0064331C" w:rsidRDefault="00590C46">
            <w:pPr>
              <w:spacing w:after="120"/>
            </w:pPr>
            <w:r w:rsidRPr="00590C46">
              <w:t xml:space="preserve">Максатом Нурыпбаевым (представлен неправительственной организацией </w:t>
            </w:r>
            <w:r>
              <w:t>«</w:t>
            </w:r>
            <w:r w:rsidRPr="00590C46">
              <w:t>Ар.Рух.Хак</w:t>
            </w:r>
            <w:r>
              <w:t>»</w:t>
            </w:r>
            <w:r w:rsidRPr="00590C46">
              <w:t>)</w:t>
            </w:r>
          </w:p>
        </w:tc>
      </w:tr>
      <w:tr w:rsidR="00590C46" w:rsidRPr="0064331C" w14:paraId="2F6D8CA8" w14:textId="77777777" w:rsidTr="00A85105">
        <w:tc>
          <w:tcPr>
            <w:tcW w:w="2933" w:type="dxa"/>
            <w:hideMark/>
          </w:tcPr>
          <w:p w14:paraId="0D98325A" w14:textId="77777777" w:rsidR="00590C46" w:rsidRPr="0064331C" w:rsidRDefault="00590C46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</w:tcPr>
          <w:p w14:paraId="22D062DD" w14:textId="33959685" w:rsidR="00590C46" w:rsidRPr="0064331C" w:rsidRDefault="00590C46">
            <w:pPr>
              <w:spacing w:after="120"/>
            </w:pPr>
            <w:r w:rsidRPr="00590C46">
              <w:t>автор сообщения</w:t>
            </w:r>
          </w:p>
        </w:tc>
      </w:tr>
      <w:tr w:rsidR="00590C46" w:rsidRPr="0064331C" w14:paraId="5D17376C" w14:textId="77777777" w:rsidTr="00A85105">
        <w:tc>
          <w:tcPr>
            <w:tcW w:w="2933" w:type="dxa"/>
            <w:hideMark/>
          </w:tcPr>
          <w:p w14:paraId="18B9D0BE" w14:textId="77777777" w:rsidR="00590C46" w:rsidRPr="0064331C" w:rsidRDefault="00590C46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1" w:type="dxa"/>
          </w:tcPr>
          <w:p w14:paraId="2B89B5FB" w14:textId="04863C96" w:rsidR="00590C46" w:rsidRPr="0064331C" w:rsidRDefault="00590C46">
            <w:pPr>
              <w:spacing w:after="120"/>
            </w:pPr>
            <w:r w:rsidRPr="00590C46">
              <w:t>Казахстан</w:t>
            </w:r>
          </w:p>
        </w:tc>
      </w:tr>
      <w:tr w:rsidR="00590C46" w:rsidRPr="0064331C" w14:paraId="25F58219" w14:textId="77777777" w:rsidTr="00A85105">
        <w:tc>
          <w:tcPr>
            <w:tcW w:w="2933" w:type="dxa"/>
            <w:hideMark/>
          </w:tcPr>
          <w:p w14:paraId="5EB610E2" w14:textId="77777777" w:rsidR="00590C46" w:rsidRPr="0064331C" w:rsidRDefault="00590C46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1" w:type="dxa"/>
          </w:tcPr>
          <w:p w14:paraId="09B2A877" w14:textId="46461021" w:rsidR="00590C46" w:rsidRPr="0064331C" w:rsidRDefault="00590C46">
            <w:pPr>
              <w:spacing w:after="120"/>
            </w:pPr>
            <w:r w:rsidRPr="00590C46">
              <w:t>23 апреля 2016 года (первоначальное представление)</w:t>
            </w:r>
          </w:p>
        </w:tc>
      </w:tr>
      <w:tr w:rsidR="00590C46" w:rsidRPr="0064331C" w14:paraId="2B145F99" w14:textId="77777777" w:rsidTr="00A85105">
        <w:tc>
          <w:tcPr>
            <w:tcW w:w="2933" w:type="dxa"/>
            <w:hideMark/>
          </w:tcPr>
          <w:p w14:paraId="568CBAA5" w14:textId="77777777" w:rsidR="00590C46" w:rsidRPr="0064331C" w:rsidRDefault="00590C46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Справочная документация:</w:t>
            </w:r>
          </w:p>
        </w:tc>
        <w:tc>
          <w:tcPr>
            <w:tcW w:w="3871" w:type="dxa"/>
          </w:tcPr>
          <w:p w14:paraId="6FE1234E" w14:textId="283A775A" w:rsidR="00590C46" w:rsidRPr="0064331C" w:rsidRDefault="00590C46">
            <w:pPr>
              <w:spacing w:after="120"/>
            </w:pPr>
            <w:r w:rsidRPr="00590C46">
              <w:t>решение, принятое в соответствии с правилом 92 правил процедуры Комитета, препровожденное государству-участнику 17</w:t>
            </w:r>
            <w:r>
              <w:t> </w:t>
            </w:r>
            <w:r w:rsidRPr="00590C46">
              <w:t>октября 2016 года (в виде документа не издавалось)</w:t>
            </w:r>
          </w:p>
        </w:tc>
      </w:tr>
      <w:tr w:rsidR="00590C46" w:rsidRPr="0064331C" w14:paraId="7DE245B0" w14:textId="77777777" w:rsidTr="00A85105">
        <w:tc>
          <w:tcPr>
            <w:tcW w:w="2933" w:type="dxa"/>
            <w:hideMark/>
          </w:tcPr>
          <w:p w14:paraId="47A43897" w14:textId="77777777" w:rsidR="00590C46" w:rsidRPr="0064331C" w:rsidRDefault="00590C46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принятия Cоображений:</w:t>
            </w:r>
          </w:p>
        </w:tc>
        <w:tc>
          <w:tcPr>
            <w:tcW w:w="3871" w:type="dxa"/>
            <w:vAlign w:val="bottom"/>
          </w:tcPr>
          <w:p w14:paraId="021BC1B1" w14:textId="19FB2179" w:rsidR="00590C46" w:rsidRPr="0064331C" w:rsidRDefault="002F5F89">
            <w:pPr>
              <w:spacing w:after="120"/>
            </w:pPr>
            <w:r w:rsidRPr="002F5F89">
              <w:t>7 июля 2022 года</w:t>
            </w:r>
          </w:p>
        </w:tc>
      </w:tr>
      <w:tr w:rsidR="00590C46" w:rsidRPr="0064331C" w14:paraId="0CE74F81" w14:textId="77777777" w:rsidTr="00A85105">
        <w:tc>
          <w:tcPr>
            <w:tcW w:w="2933" w:type="dxa"/>
            <w:hideMark/>
          </w:tcPr>
          <w:p w14:paraId="6C987F73" w14:textId="77777777" w:rsidR="00590C46" w:rsidRPr="0064331C" w:rsidRDefault="00590C46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  <w:iCs/>
              </w:rPr>
              <w:t>Тема сообщения:</w:t>
            </w:r>
          </w:p>
        </w:tc>
        <w:tc>
          <w:tcPr>
            <w:tcW w:w="3871" w:type="dxa"/>
          </w:tcPr>
          <w:p w14:paraId="315E6221" w14:textId="73500FD7" w:rsidR="00590C46" w:rsidRPr="0064331C" w:rsidRDefault="002F5F89">
            <w:pPr>
              <w:spacing w:after="120"/>
            </w:pPr>
            <w:r w:rsidRPr="002F5F89">
              <w:t>свобода выражения мнений; свобода собраний; справедливое судебное разбирательство</w:t>
            </w:r>
          </w:p>
        </w:tc>
      </w:tr>
      <w:tr w:rsidR="00590C46" w:rsidRPr="0064331C" w14:paraId="65267C50" w14:textId="77777777" w:rsidTr="00A85105">
        <w:tc>
          <w:tcPr>
            <w:tcW w:w="2933" w:type="dxa"/>
            <w:hideMark/>
          </w:tcPr>
          <w:p w14:paraId="20E1AE3B" w14:textId="77777777" w:rsidR="00590C46" w:rsidRPr="0064331C" w:rsidRDefault="00590C46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Процедурные вопросы</w:t>
            </w:r>
            <w:r w:rsidRPr="0064331C">
              <w:rPr>
                <w:i/>
              </w:rPr>
              <w:t>:</w:t>
            </w:r>
          </w:p>
        </w:tc>
        <w:tc>
          <w:tcPr>
            <w:tcW w:w="3871" w:type="dxa"/>
          </w:tcPr>
          <w:p w14:paraId="0CE5C0EA" w14:textId="63B90723" w:rsidR="00590C46" w:rsidRPr="0064331C" w:rsidRDefault="002F5F89">
            <w:pPr>
              <w:spacing w:after="120"/>
            </w:pPr>
            <w:r w:rsidRPr="002F5F89">
              <w:t>обоснованность утверждений</w:t>
            </w:r>
          </w:p>
        </w:tc>
      </w:tr>
      <w:tr w:rsidR="00590C46" w:rsidRPr="0064331C" w14:paraId="02248BED" w14:textId="77777777" w:rsidTr="00A85105">
        <w:tc>
          <w:tcPr>
            <w:tcW w:w="2933" w:type="dxa"/>
            <w:hideMark/>
          </w:tcPr>
          <w:p w14:paraId="107C08D2" w14:textId="77777777" w:rsidR="00590C46" w:rsidRPr="0064331C" w:rsidRDefault="00590C46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Вопросы существа:</w:t>
            </w:r>
          </w:p>
        </w:tc>
        <w:tc>
          <w:tcPr>
            <w:tcW w:w="3871" w:type="dxa"/>
          </w:tcPr>
          <w:p w14:paraId="016B0828" w14:textId="50C14097" w:rsidR="00590C46" w:rsidRPr="0064331C" w:rsidRDefault="0014259E">
            <w:pPr>
              <w:spacing w:after="120"/>
            </w:pPr>
            <w:r w:rsidRPr="0014259E">
              <w:t>свобода выражения мнений; свобода собраний; право на справедливое судебное разбирательство</w:t>
            </w:r>
          </w:p>
        </w:tc>
      </w:tr>
      <w:tr w:rsidR="00590C46" w:rsidRPr="0064331C" w14:paraId="168A0CB4" w14:textId="77777777" w:rsidTr="00A85105">
        <w:tc>
          <w:tcPr>
            <w:tcW w:w="2933" w:type="dxa"/>
            <w:hideMark/>
          </w:tcPr>
          <w:p w14:paraId="4F18A8B6" w14:textId="77777777" w:rsidR="00590C46" w:rsidRPr="0064331C" w:rsidRDefault="00590C46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Статьи Пакта</w:t>
            </w:r>
            <w:r w:rsidRPr="0064331C">
              <w:rPr>
                <w:i/>
              </w:rPr>
              <w:t>:</w:t>
            </w:r>
          </w:p>
        </w:tc>
        <w:tc>
          <w:tcPr>
            <w:tcW w:w="3871" w:type="dxa"/>
          </w:tcPr>
          <w:p w14:paraId="000D3A81" w14:textId="48BA8969" w:rsidR="00590C46" w:rsidRPr="0064331C" w:rsidRDefault="0014259E">
            <w:pPr>
              <w:spacing w:after="120"/>
            </w:pPr>
            <w:r w:rsidRPr="0014259E">
              <w:t>пункт 3 d) статьи 14 и статьи 19 и 21</w:t>
            </w:r>
          </w:p>
        </w:tc>
      </w:tr>
      <w:tr w:rsidR="00590C46" w:rsidRPr="0064331C" w14:paraId="1EF392CF" w14:textId="77777777" w:rsidTr="00A85105">
        <w:tc>
          <w:tcPr>
            <w:tcW w:w="2933" w:type="dxa"/>
            <w:hideMark/>
          </w:tcPr>
          <w:p w14:paraId="491624D1" w14:textId="77777777" w:rsidR="00590C46" w:rsidRPr="0064331C" w:rsidRDefault="00590C46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Статьи Факультативного протокола:</w:t>
            </w:r>
          </w:p>
        </w:tc>
        <w:tc>
          <w:tcPr>
            <w:tcW w:w="3871" w:type="dxa"/>
          </w:tcPr>
          <w:p w14:paraId="718F3BBC" w14:textId="7CAB161B" w:rsidR="00590C46" w:rsidRPr="0064331C" w:rsidRDefault="0014259E">
            <w:pPr>
              <w:spacing w:after="120"/>
            </w:pPr>
            <w:r w:rsidRPr="0014259E">
              <w:t>статья 2 и пункт 2 b) статьи 5</w:t>
            </w:r>
          </w:p>
        </w:tc>
      </w:tr>
    </w:tbl>
    <w:p w14:paraId="52587AD5" w14:textId="6E3AB71B" w:rsidR="004640F2" w:rsidRPr="000E3E90" w:rsidRDefault="004640F2" w:rsidP="004640F2">
      <w:pPr>
        <w:pStyle w:val="SingleTxtG"/>
      </w:pPr>
      <w:r w:rsidRPr="000E3E90">
        <w:t>1.</w:t>
      </w:r>
      <w:r w:rsidRPr="000E3E90">
        <w:tab/>
        <w:t>Автором сообщения является Максат Нурыпбаев, гражданин Казахстана, 1973</w:t>
      </w:r>
      <w:r w:rsidR="000C06A6">
        <w:t> </w:t>
      </w:r>
      <w:r w:rsidRPr="000E3E90">
        <w:t xml:space="preserve">года рождения. Он утверждает, что государство-участник нарушило его права, предусмотренные подпунктом d) пункта 3 статьи 14 и статьями 19 и 21 Пакта. </w:t>
      </w:r>
      <w:r w:rsidRPr="000E3E90">
        <w:lastRenderedPageBreak/>
        <w:t>Факультативный протокол вступил в силу для государства-участника 30 сентября 2009</w:t>
      </w:r>
      <w:r w:rsidR="005C1EE8">
        <w:t> </w:t>
      </w:r>
      <w:r w:rsidRPr="000E3E90">
        <w:t xml:space="preserve">года. Автор представлен неправительственной организацией </w:t>
      </w:r>
      <w:r w:rsidR="005C1EE8">
        <w:t>«</w:t>
      </w:r>
      <w:r w:rsidRPr="000E3E90">
        <w:t>Ар.Рух.Хак</w:t>
      </w:r>
      <w:r w:rsidR="005C1EE8">
        <w:t>»</w:t>
      </w:r>
      <w:r w:rsidRPr="000E3E90">
        <w:t>.</w:t>
      </w:r>
    </w:p>
    <w:p w14:paraId="276D0D08" w14:textId="77777777" w:rsidR="004640F2" w:rsidRPr="000E3E90" w:rsidRDefault="004640F2" w:rsidP="004640F2">
      <w:pPr>
        <w:pStyle w:val="H23G"/>
        <w:ind w:left="0" w:firstLine="0"/>
      </w:pPr>
      <w:r w:rsidRPr="000E3E90">
        <w:tab/>
      </w:r>
      <w:r w:rsidRPr="000E3E90">
        <w:tab/>
      </w:r>
      <w:r w:rsidRPr="000E3E90">
        <w:rPr>
          <w:bCs/>
        </w:rPr>
        <w:t>Факты в изложении автора</w:t>
      </w:r>
    </w:p>
    <w:p w14:paraId="1D99A29B" w14:textId="469279FB" w:rsidR="004640F2" w:rsidRPr="000E3E90" w:rsidRDefault="004640F2" w:rsidP="004640F2">
      <w:pPr>
        <w:pStyle w:val="SingleTxtG"/>
      </w:pPr>
      <w:r w:rsidRPr="000E3E90">
        <w:t>2.1</w:t>
      </w:r>
      <w:r w:rsidRPr="000E3E90">
        <w:tab/>
        <w:t xml:space="preserve">Автор сообщения является юристом и активистом движения против несимметричного диметилгидразина (НДМГ) в Алматы. 13 января 2014 года он провел одиночный пикет протеста против использования НДМГ и динитрогена тетроксида в топливе для ракеты </w:t>
      </w:r>
      <w:r w:rsidR="005C1EE8">
        <w:t>«</w:t>
      </w:r>
      <w:r w:rsidRPr="000E3E90">
        <w:t>Протон</w:t>
      </w:r>
      <w:r w:rsidR="005C1EE8">
        <w:t>»</w:t>
      </w:r>
      <w:r w:rsidRPr="000E3E90">
        <w:t xml:space="preserve"> на космодроме Байконур. После примерно 10 минут протеста автор был задержан полицией и обвинен в проведении несанкционированного мероприятия. В тот же день Специализированный межрайонный административный суд города Астан</w:t>
      </w:r>
      <w:r w:rsidR="00626F08">
        <w:t>а</w:t>
      </w:r>
      <w:r w:rsidRPr="000E3E90">
        <w:t xml:space="preserve"> признал автора виновным в нарушении статьи 373 (3) Кодекса об административных правонарушениях в форме проведения несанкционированной акции протеста. Автор был оштрафован на</w:t>
      </w:r>
      <w:r w:rsidR="005C1EE8">
        <w:br/>
      </w:r>
      <w:r w:rsidRPr="000E3E90">
        <w:t>37 040 тенге</w:t>
      </w:r>
      <w:r w:rsidRPr="000E3E90">
        <w:rPr>
          <w:rStyle w:val="aa"/>
        </w:rPr>
        <w:footnoteReference w:id="3"/>
      </w:r>
      <w:r w:rsidRPr="000E3E90">
        <w:t>.</w:t>
      </w:r>
    </w:p>
    <w:p w14:paraId="29FFDEB7" w14:textId="2241A6BF" w:rsidR="004640F2" w:rsidRPr="000E3E90" w:rsidRDefault="004640F2" w:rsidP="004640F2">
      <w:pPr>
        <w:pStyle w:val="SingleTxtG"/>
      </w:pPr>
      <w:r w:rsidRPr="000E3E90">
        <w:t>2.2</w:t>
      </w:r>
      <w:r w:rsidRPr="000E3E90">
        <w:tab/>
        <w:t>Автор обжаловал это решение в апелляционную коллегию суда города Астан</w:t>
      </w:r>
      <w:r w:rsidR="00F37FD7">
        <w:t>а</w:t>
      </w:r>
      <w:r w:rsidRPr="000E3E90">
        <w:t xml:space="preserve"> 23 января 2014 года. 5 февраля 2014 года </w:t>
      </w:r>
      <w:r>
        <w:t>а</w:t>
      </w:r>
      <w:r w:rsidRPr="000E3E90">
        <w:t>пелляционная коллегия суда отменила решение суда первой инстанции</w:t>
      </w:r>
      <w:r w:rsidRPr="000E3E90">
        <w:rPr>
          <w:rStyle w:val="aa"/>
        </w:rPr>
        <w:footnoteReference w:id="4"/>
      </w:r>
      <w:r w:rsidRPr="000E3E90">
        <w:t>. Однако 28 июля 2014 года отделение Генеральной прокуратуры в Астане подало в Верховный суд жалобу на решение апелляционной коллегии суда в порядке надзора. Без уведомления автора сообщения или его адвоката о надзорной жалобе отделения Генеральной прокуратуры и проведении слушания дела 27 августа 2014 года Верховный суд повторно рассмотрел дело и оставил в силе решение суда первой инстанции, отменив решение апелляционной коллегии суда</w:t>
      </w:r>
      <w:r w:rsidRPr="000E3E90">
        <w:rPr>
          <w:rStyle w:val="aa"/>
        </w:rPr>
        <w:footnoteReference w:id="5"/>
      </w:r>
      <w:r w:rsidRPr="000E3E90">
        <w:t>.</w:t>
      </w:r>
    </w:p>
    <w:p w14:paraId="580FD41E" w14:textId="77777777" w:rsidR="004640F2" w:rsidRPr="000E3E90" w:rsidRDefault="004640F2" w:rsidP="004640F2">
      <w:pPr>
        <w:pStyle w:val="H23G"/>
      </w:pPr>
      <w:r w:rsidRPr="000E3E90">
        <w:tab/>
      </w:r>
      <w:r w:rsidRPr="000E3E90">
        <w:tab/>
      </w:r>
      <w:r w:rsidRPr="000E3E90">
        <w:rPr>
          <w:bCs/>
        </w:rPr>
        <w:t>Жалоба</w:t>
      </w:r>
    </w:p>
    <w:p w14:paraId="7249613B" w14:textId="77777777" w:rsidR="004640F2" w:rsidRPr="000E3E90" w:rsidRDefault="004640F2" w:rsidP="004640F2">
      <w:pPr>
        <w:pStyle w:val="SingleTxtG"/>
      </w:pPr>
      <w:r w:rsidRPr="000E3E90">
        <w:t>3.1</w:t>
      </w:r>
      <w:r w:rsidRPr="000E3E90">
        <w:tab/>
        <w:t>Автор утверждает, что, наложив санкции за одиночный протест, государство-участник нарушило статьи 19 и 21 Пакта.</w:t>
      </w:r>
    </w:p>
    <w:p w14:paraId="04240894" w14:textId="77777777" w:rsidR="004640F2" w:rsidRPr="000E3E90" w:rsidRDefault="004640F2" w:rsidP="004640F2">
      <w:pPr>
        <w:pStyle w:val="SingleTxtG"/>
      </w:pPr>
      <w:r w:rsidRPr="000E3E90">
        <w:t>3.2</w:t>
      </w:r>
      <w:r w:rsidRPr="000E3E90">
        <w:tab/>
        <w:t>Автор заявляет, что его права по пункту 3 d) статьи 14 Пакта были нарушены, потому что он не был уведомлен о надзорной жалобе, поданной отделением Генеральной прокуратуры в Верховный суд, а также о рассмотрении этой жалобы судом.</w:t>
      </w:r>
    </w:p>
    <w:p w14:paraId="7569B7DB" w14:textId="77777777" w:rsidR="004640F2" w:rsidRPr="000E3E90" w:rsidRDefault="004640F2" w:rsidP="004640F2">
      <w:pPr>
        <w:pStyle w:val="H23G"/>
      </w:pPr>
      <w:r w:rsidRPr="000E3E90">
        <w:tab/>
      </w:r>
      <w:r w:rsidRPr="000E3E90">
        <w:tab/>
      </w:r>
      <w:r w:rsidRPr="000E3E90">
        <w:rPr>
          <w:bCs/>
        </w:rPr>
        <w:t>Замечания государства-участника относительно приемлемости и существа сообщения</w:t>
      </w:r>
      <w:r w:rsidRPr="000E3E90">
        <w:t xml:space="preserve"> </w:t>
      </w:r>
    </w:p>
    <w:p w14:paraId="73BF3F32" w14:textId="43E20BDF" w:rsidR="004640F2" w:rsidRPr="000E3E90" w:rsidRDefault="004640F2" w:rsidP="004640F2">
      <w:pPr>
        <w:pStyle w:val="SingleTxtG"/>
      </w:pPr>
      <w:r w:rsidRPr="000E3E90">
        <w:t>4.1</w:t>
      </w:r>
      <w:r w:rsidRPr="000E3E90">
        <w:tab/>
        <w:t>В вербальной ноте от 20 апреля 2017 года государство-участник напомнило обстоятельства дела. Оно замечает, что 13 января 2014 года автор сообщения был привлечен к административной ответственности по статье 373 (3) Кодекса об административных правонарушениях и оштрафован на 37 040 тенге. 5 февраля 2014</w:t>
      </w:r>
      <w:r w:rsidR="00B125B7">
        <w:t> </w:t>
      </w:r>
      <w:r w:rsidRPr="000E3E90">
        <w:t xml:space="preserve">года апелляционная коллегия суда отменила решение суда первой инстанции. </w:t>
      </w:r>
    </w:p>
    <w:p w14:paraId="0AE85E13" w14:textId="77777777" w:rsidR="004640F2" w:rsidRPr="000E3E90" w:rsidRDefault="004640F2" w:rsidP="004640F2">
      <w:pPr>
        <w:pStyle w:val="SingleTxtG"/>
      </w:pPr>
      <w:r w:rsidRPr="000E3E90">
        <w:t>4.2</w:t>
      </w:r>
      <w:r w:rsidRPr="000E3E90">
        <w:tab/>
        <w:t xml:space="preserve">Государство-участник утверждает, что 28 июля 2014 года отделение Генеральной прокуратуры направило автору письмо, проинформировав его о подаче жалобы в Верховный суд в порядке надзора. </w:t>
      </w:r>
    </w:p>
    <w:p w14:paraId="0F6DAA97" w14:textId="16B586D2" w:rsidR="004640F2" w:rsidRPr="000E3E90" w:rsidRDefault="004640F2" w:rsidP="004640F2">
      <w:pPr>
        <w:pStyle w:val="SingleTxtG"/>
      </w:pPr>
      <w:r w:rsidRPr="000E3E90">
        <w:t>4.3</w:t>
      </w:r>
      <w:r w:rsidRPr="000E3E90">
        <w:tab/>
        <w:t xml:space="preserve">Государство-участник отмечает, что, несмотря на то что 30 сентября 2013 года автор был проинформирован о правовых требованиях к проведению пикета в соответствии с Кодексом об административных правонарушениях, он продолжал </w:t>
      </w:r>
      <w:r w:rsidRPr="000E3E90">
        <w:lastRenderedPageBreak/>
        <w:t>игнорировать требования закона и осознанно и преднамеренно совершил правонарушение.</w:t>
      </w:r>
    </w:p>
    <w:p w14:paraId="7D36125B" w14:textId="77777777" w:rsidR="004640F2" w:rsidRPr="000E3E90" w:rsidRDefault="004640F2" w:rsidP="004640F2">
      <w:pPr>
        <w:pStyle w:val="SingleTxtG"/>
      </w:pPr>
      <w:r w:rsidRPr="000E3E90">
        <w:t>4.4</w:t>
      </w:r>
      <w:r w:rsidRPr="000E3E90">
        <w:tab/>
        <w:t>Государство-участник напоминает, что права, закрепленные в статьях 19 и 21 Пакта, подлежат некоторым ограничениям. Заявляя, что право на мирные собрания в Казахстане не запрещено, государство-участник поясняет, что для организации собрания необходимо следовать определенной процедуре.</w:t>
      </w:r>
    </w:p>
    <w:p w14:paraId="1E6B3368" w14:textId="77777777" w:rsidR="004640F2" w:rsidRPr="000E3E90" w:rsidRDefault="004640F2" w:rsidP="004640F2">
      <w:pPr>
        <w:pStyle w:val="SingleTxtG"/>
      </w:pPr>
      <w:r w:rsidRPr="000E3E90">
        <w:t>4.5</w:t>
      </w:r>
      <w:r w:rsidRPr="000E3E90">
        <w:tab/>
        <w:t>Государство-участник также напоминает, что статья 32 Конституции гарантирует право граждан на мирные собрания и проведение собраний, митингов, демонстраций, уличных шествий и пикетов. Однако осуществление этого права может ограничиваться законом в интересах государственной безопасности, общественного порядка, охраны здоровья, защиты прав и свобод других лиц. Форма и порядок выражения общественных, групповых или личных интересов в общественных местах, а также определенные ограничения на их выражение установлены Законом № 2126 от 17 марта 1995 года о порядке организации и проведения мирных собраний, митингов, шествий, пикетов и демонстраций.</w:t>
      </w:r>
    </w:p>
    <w:p w14:paraId="119FEA7C" w14:textId="52DAAB6E" w:rsidR="004640F2" w:rsidRPr="000E3E90" w:rsidRDefault="004640F2" w:rsidP="004640F2">
      <w:pPr>
        <w:pStyle w:val="SingleTxtG"/>
      </w:pPr>
      <w:r w:rsidRPr="000E3E90">
        <w:t>4.6</w:t>
      </w:r>
      <w:r w:rsidRPr="000E3E90">
        <w:tab/>
        <w:t xml:space="preserve">Государство-участник ссылается на статьи 1 и 2 </w:t>
      </w:r>
      <w:r w:rsidR="00F37FD7">
        <w:t>З</w:t>
      </w:r>
      <w:r w:rsidRPr="000E3E90">
        <w:t xml:space="preserve">акона № 2126 и уточняет, что основным условием попадания мероприятия в сферу действия этого закона является не количество участников, а его публичный характер. Под действие этого закона подпадает любой массовый или одиночный публичный протест; поэтому организаторам предписано запрашивать разрешение на проведение собрания у местных органов исполнительной власти. Согласно статье 9 закона несоблюдение таких процессуальных требований влечет за собой ответственность. </w:t>
      </w:r>
    </w:p>
    <w:p w14:paraId="3EF35862" w14:textId="77777777" w:rsidR="004640F2" w:rsidRPr="000E3E90" w:rsidRDefault="004640F2" w:rsidP="004640F2">
      <w:pPr>
        <w:pStyle w:val="SingleTxtG"/>
      </w:pPr>
      <w:r w:rsidRPr="000E3E90">
        <w:t>4.7</w:t>
      </w:r>
      <w:r w:rsidRPr="000E3E90">
        <w:tab/>
        <w:t>Государство-участник утверждает, что законодательство об административных правонарушениях играет важнейшую роль в защите прав, свобод и законных интересов личности и в предупреждении административных правонарушений в Казахстане. Статья 373 Кодекса об административных правонарушениях Казахстана</w:t>
      </w:r>
      <w:r w:rsidRPr="000E3E90">
        <w:rPr>
          <w:rStyle w:val="aa"/>
        </w:rPr>
        <w:footnoteReference w:id="6"/>
      </w:r>
      <w:r w:rsidRPr="000E3E90">
        <w:t xml:space="preserve"> предусматривает административную ответственность за нарушение законодательства о массовых мероприятиях. </w:t>
      </w:r>
    </w:p>
    <w:p w14:paraId="1892906E" w14:textId="77777777" w:rsidR="004640F2" w:rsidRPr="000E3E90" w:rsidRDefault="004640F2" w:rsidP="004640F2">
      <w:pPr>
        <w:pStyle w:val="SingleTxtG"/>
      </w:pPr>
      <w:r w:rsidRPr="000E3E90">
        <w:t>4.8</w:t>
      </w:r>
      <w:r w:rsidRPr="000E3E90">
        <w:tab/>
        <w:t>Государство-участник также утверждает, что граждане Казахстана активно осуществляют свое конституционное право на свободу выражения мнения путем проведения мирных собраний в установленных местах. Оно отмечает, что в 2014 году было проведено 16 различных массовых мероприятий, и требования закона организаторами соблюд</w:t>
      </w:r>
      <w:r>
        <w:t>ались</w:t>
      </w:r>
      <w:r w:rsidRPr="000E3E90">
        <w:t>. Таким образом, автору сообщения не мешали организовывать пикет, пока он соблюдал закон.</w:t>
      </w:r>
    </w:p>
    <w:p w14:paraId="49BB83DB" w14:textId="77777777" w:rsidR="004640F2" w:rsidRPr="000E3E90" w:rsidRDefault="004640F2" w:rsidP="004640F2">
      <w:pPr>
        <w:pStyle w:val="SingleTxtG"/>
      </w:pPr>
      <w:r w:rsidRPr="000E3E90">
        <w:t>4.9</w:t>
      </w:r>
      <w:r w:rsidRPr="000E3E90">
        <w:tab/>
        <w:t>Государство-участник далее заявляет, что автор был признан виновным и подвергнут административному штрафу за административное правонарушение, предусмотренное пунктом 3 статьи 373 Кодекса об административных правонарушениях Казахстана. В то же время государство-участник утверждает, что автор был привлечен к ответственности не за выражение своего мнения, а за нарушение порядка организации и проведения мирных собраний, митингов, шествий, пикетов и демонстраций. Поэтому утверждение о том, что государство-участник не позволило автору реализовать свое право на мирные собрания и свободу выражения мнений, является безосновательны</w:t>
      </w:r>
      <w:r>
        <w:t>м</w:t>
      </w:r>
      <w:r w:rsidRPr="000E3E90">
        <w:t xml:space="preserve">. </w:t>
      </w:r>
    </w:p>
    <w:p w14:paraId="39BE55BB" w14:textId="51F7A47C" w:rsidR="004640F2" w:rsidRPr="000E3E90" w:rsidRDefault="004640F2" w:rsidP="004640F2">
      <w:pPr>
        <w:pStyle w:val="SingleTxtG"/>
      </w:pPr>
      <w:r w:rsidRPr="000E3E90">
        <w:t>4.10</w:t>
      </w:r>
      <w:r w:rsidRPr="000E3E90">
        <w:tab/>
        <w:t>Государство-участник заявляет, что в деле автора сообщения все нормы международного</w:t>
      </w:r>
      <w:r w:rsidRPr="000E3E90">
        <w:rPr>
          <w:rStyle w:val="aa"/>
        </w:rPr>
        <w:footnoteReference w:id="7"/>
      </w:r>
      <w:r w:rsidRPr="000E3E90">
        <w:t xml:space="preserve"> и национального</w:t>
      </w:r>
      <w:r w:rsidRPr="000E3E90">
        <w:rPr>
          <w:rStyle w:val="aa"/>
        </w:rPr>
        <w:footnoteReference w:id="8"/>
      </w:r>
      <w:r w:rsidRPr="000E3E90">
        <w:t xml:space="preserve"> законодательства в отношении гарантий справедливого судебного разбирательства были соблюдены. </w:t>
      </w:r>
    </w:p>
    <w:p w14:paraId="55EBB35C" w14:textId="2E3D4FF0" w:rsidR="004640F2" w:rsidRPr="000E3E90" w:rsidRDefault="004640F2" w:rsidP="004640F2">
      <w:pPr>
        <w:pStyle w:val="SingleTxtG"/>
      </w:pPr>
      <w:r w:rsidRPr="000E3E90">
        <w:t>4.11</w:t>
      </w:r>
      <w:r w:rsidR="009C33E2">
        <w:tab/>
      </w:r>
      <w:r w:rsidRPr="000E3E90">
        <w:t>Государство-участник также утверждает, что в соответствии со статьями 2, 3 и</w:t>
      </w:r>
      <w:r w:rsidR="009C33E2">
        <w:t> </w:t>
      </w:r>
      <w:r w:rsidRPr="000E3E90">
        <w:t>5 Факультативного протокола жалоба должна быть отклонена как неприемлемая.</w:t>
      </w:r>
      <w:r>
        <w:t xml:space="preserve"> </w:t>
      </w:r>
    </w:p>
    <w:p w14:paraId="4E4CB4C0" w14:textId="77777777" w:rsidR="004640F2" w:rsidRPr="00A27DAC" w:rsidRDefault="004640F2" w:rsidP="00A27DAC">
      <w:pPr>
        <w:pStyle w:val="H23G"/>
      </w:pPr>
      <w:r w:rsidRPr="00A27DAC">
        <w:lastRenderedPageBreak/>
        <w:tab/>
      </w:r>
      <w:r w:rsidRPr="00A27DAC">
        <w:tab/>
        <w:t>Замечания государства-участника относительно приемлемости и существа сообщения</w:t>
      </w:r>
    </w:p>
    <w:p w14:paraId="6FBF0BE7" w14:textId="629D27F5" w:rsidR="004640F2" w:rsidRPr="000E3E90" w:rsidRDefault="004640F2" w:rsidP="004640F2">
      <w:pPr>
        <w:pStyle w:val="SingleTxtG"/>
      </w:pPr>
      <w:r w:rsidRPr="000E3E90">
        <w:t>5.1</w:t>
      </w:r>
      <w:r w:rsidRPr="000E3E90">
        <w:tab/>
        <w:t>5 июня 2017 года автор представил свои комментарии к замечаниям государства-участника. Автор ссылается на доклад миссии в Казахстан Специального докладчика по вопросу о правах на свободу мирных собраний и ассоциации, в котором говорится, что, хотя право мирно собираться и проводить собрания, митинги и демонстрации, уличные шествия и пикеты гарантировано Конституцией, на практике подход правительства к регулированию собраний делает это право бессмысленным. В</w:t>
      </w:r>
      <w:r w:rsidR="00D72255">
        <w:t> </w:t>
      </w:r>
      <w:r w:rsidRPr="000E3E90">
        <w:t>соответствии с Законом о порядке организации и проведения мирных собраний, митингов, шествий, пикетов и демонстраций 1995 года уполномоченные трудовых коллективов, общественных объединений или отдельных групп граждан Казахстана, достигшие 18-летнего возраста, обязаны получить предварительное разрешение у местных органов власти не позднее чем за десять дней до даты проведения мероприятия</w:t>
      </w:r>
      <w:r w:rsidRPr="000E3E90">
        <w:rPr>
          <w:rStyle w:val="aa"/>
        </w:rPr>
        <w:footnoteReference w:id="9"/>
      </w:r>
      <w:r w:rsidRPr="000E3E90">
        <w:t xml:space="preserve">. </w:t>
      </w:r>
    </w:p>
    <w:p w14:paraId="0F389B2D" w14:textId="77777777" w:rsidR="004640F2" w:rsidRPr="000E3E90" w:rsidRDefault="004640F2" w:rsidP="004640F2">
      <w:pPr>
        <w:pStyle w:val="SingleTxtG"/>
      </w:pPr>
      <w:r w:rsidRPr="000E3E90">
        <w:t>5.2</w:t>
      </w:r>
      <w:r w:rsidRPr="000E3E90">
        <w:tab/>
        <w:t>Эти требования не соответствуют международным стандартам, которые предусматривают, что для мирных собраний не должно требоваться никакого разрешения и что каждый человек имеет право на свободу мирных собраний и ассоциации</w:t>
      </w:r>
      <w:r w:rsidRPr="000E3E90">
        <w:rPr>
          <w:rStyle w:val="aa"/>
        </w:rPr>
        <w:footnoteReference w:id="10"/>
      </w:r>
      <w:r w:rsidRPr="000E3E90">
        <w:t>. Автор утверждает, что государство-участник не выполнило рекомендаций</w:t>
      </w:r>
      <w:r>
        <w:t>, содержащихся в</w:t>
      </w:r>
      <w:r w:rsidRPr="000E3E90">
        <w:t xml:space="preserve"> Соображени</w:t>
      </w:r>
      <w:r>
        <w:t>ях</w:t>
      </w:r>
      <w:r w:rsidRPr="000E3E90">
        <w:t xml:space="preserve">, </w:t>
      </w:r>
      <w:r>
        <w:t>которые были приняты</w:t>
      </w:r>
      <w:r w:rsidRPr="000E3E90">
        <w:t xml:space="preserve"> Комитетом в связи с нарушением статей 19 и 21 Пакта в аналогичном деле</w:t>
      </w:r>
      <w:r w:rsidRPr="000E3E90">
        <w:rPr>
          <w:rStyle w:val="aa"/>
        </w:rPr>
        <w:footnoteReference w:id="11"/>
      </w:r>
      <w:r w:rsidRPr="000E3E90">
        <w:t>.</w:t>
      </w:r>
    </w:p>
    <w:p w14:paraId="09A5C360" w14:textId="77777777" w:rsidR="004640F2" w:rsidRPr="000E3E90" w:rsidRDefault="004640F2" w:rsidP="004640F2">
      <w:pPr>
        <w:pStyle w:val="SingleTxtG"/>
      </w:pPr>
      <w:r w:rsidRPr="000E3E90">
        <w:t>5.3</w:t>
      </w:r>
      <w:r w:rsidRPr="000E3E90">
        <w:tab/>
        <w:t>Автор заявляет, что, хотя, по мнению государства-участника, права, предусмотренные статьями 19 и 21 Пакта, гарантированы в Казахстане и могут быть ограничены только при определенных обстоятельствах, государство-участник не объяснило, почему было необходимо применить к нему наказание в виде административного штрафа.</w:t>
      </w:r>
    </w:p>
    <w:p w14:paraId="3744EBEE" w14:textId="77777777" w:rsidR="004640F2" w:rsidRPr="000E3E90" w:rsidRDefault="004640F2" w:rsidP="004640F2">
      <w:pPr>
        <w:pStyle w:val="SingleTxtG"/>
      </w:pPr>
      <w:r w:rsidRPr="000E3E90">
        <w:t>5.4</w:t>
      </w:r>
      <w:r w:rsidRPr="000E3E90">
        <w:tab/>
        <w:t>Он утверждает, что согласно международным обязательствам государства-участника любые ограничения права на мирные собрания должны быть соразмерными и применяться в зависимости от конкретных обстоятельств каждого случая, что вмешательство властей в процессе организации публичных мероприятий должно быть сведено к минимуму и что принудительное прекращение собраний должно быть крайней мерой. Автор утверждает, что государство-участник игнорирует и нарушает эти принципы.</w:t>
      </w:r>
    </w:p>
    <w:p w14:paraId="6A1BC9D2" w14:textId="77777777" w:rsidR="004640F2" w:rsidRPr="000E3E90" w:rsidRDefault="004640F2" w:rsidP="004640F2">
      <w:pPr>
        <w:pStyle w:val="SingleTxtG"/>
      </w:pPr>
      <w:r w:rsidRPr="000E3E90">
        <w:t>5.5</w:t>
      </w:r>
      <w:r w:rsidRPr="000E3E90">
        <w:tab/>
        <w:t xml:space="preserve">Автор утверждает, что информация, предоставленная государством-участником, свидетельствует о его нежелании рассматривать нарушения его прав и что он стал жертвой нарушений прав, предусмотренных статьями 14, 19 и 21 Пакта. </w:t>
      </w:r>
    </w:p>
    <w:p w14:paraId="471A7E9D" w14:textId="77777777" w:rsidR="004640F2" w:rsidRPr="000E3E90" w:rsidRDefault="004640F2" w:rsidP="004640F2">
      <w:pPr>
        <w:pStyle w:val="H23G"/>
        <w:rPr>
          <w:i/>
        </w:rPr>
      </w:pPr>
      <w:r w:rsidRPr="000E3E90">
        <w:tab/>
      </w:r>
      <w:r w:rsidRPr="000E3E90">
        <w:tab/>
      </w:r>
      <w:r w:rsidRPr="000E3E90">
        <w:rPr>
          <w:bCs/>
        </w:rPr>
        <w:t>Вопросы и процедура их рассмотрения в Комитете</w:t>
      </w:r>
    </w:p>
    <w:p w14:paraId="5E783A81" w14:textId="77777777" w:rsidR="004640F2" w:rsidRPr="000E3E90" w:rsidRDefault="004640F2" w:rsidP="004640F2">
      <w:pPr>
        <w:pStyle w:val="H4G"/>
        <w:rPr>
          <w:i w:val="0"/>
        </w:rPr>
      </w:pPr>
      <w:r w:rsidRPr="000E3E90">
        <w:tab/>
      </w:r>
      <w:r w:rsidRPr="000E3E90">
        <w:tab/>
      </w:r>
      <w:r w:rsidRPr="000E3E90">
        <w:rPr>
          <w:iCs/>
        </w:rPr>
        <w:t>Рассмотрение вопроса о приемлемости</w:t>
      </w:r>
    </w:p>
    <w:p w14:paraId="45694F2A" w14:textId="77777777" w:rsidR="004640F2" w:rsidRPr="000E3E90" w:rsidRDefault="004640F2" w:rsidP="004640F2">
      <w:pPr>
        <w:pStyle w:val="SingleTxtG"/>
      </w:pPr>
      <w:r w:rsidRPr="000E3E90">
        <w:t>6.1</w:t>
      </w:r>
      <w:r w:rsidRPr="000E3E90">
        <w:tab/>
        <w:t>Прежде чем рассматривать любое утверждение, содержащееся в сообщении, Комитет должен в соответствии с правилом 97 своих правил процедуры принять решение о том, является ли сообщение приемлемым согласно Факультативному протоколу.</w:t>
      </w:r>
    </w:p>
    <w:p w14:paraId="740ED21A" w14:textId="77777777" w:rsidR="004640F2" w:rsidRPr="000E3E90" w:rsidRDefault="004640F2" w:rsidP="004640F2">
      <w:pPr>
        <w:pStyle w:val="SingleTxtG"/>
      </w:pPr>
      <w:r w:rsidRPr="000E3E90">
        <w:t>6.2</w:t>
      </w:r>
      <w:r w:rsidRPr="000E3E90">
        <w:tab/>
        <w:t>С учетом требований пункта 2 а) статьи 5 Факультативного протокола Комитет удостоверился в том, что этот же вопрос не рассматривается в соответствии с другой процедурой международного разбирательства или урегулирования.</w:t>
      </w:r>
    </w:p>
    <w:p w14:paraId="779F1319" w14:textId="77777777" w:rsidR="004640F2" w:rsidRPr="000E3E90" w:rsidRDefault="004640F2" w:rsidP="004640F2">
      <w:pPr>
        <w:pStyle w:val="SingleTxtG"/>
      </w:pPr>
      <w:r w:rsidRPr="000E3E90">
        <w:t>6.3</w:t>
      </w:r>
      <w:r w:rsidRPr="000E3E90">
        <w:tab/>
        <w:t xml:space="preserve">Комитет принимает к сведению утверждение автора о том, что его права по пункту 3 d) статьи 14 Пакта были нарушены, поскольку он не был уведомлен о надзорной жалобе, поданной отделением Генеральной прокуратуры в Верховный суд, и о рассмотрении этой жалобы судом. Комитет также принимает к сведению информацию государства-участника о том, что 28 июля 2014 года отделение </w:t>
      </w:r>
      <w:r w:rsidRPr="000E3E90">
        <w:lastRenderedPageBreak/>
        <w:t>Генеральной прокуратуры направило автору письмо, проинформировав его о подаче жалобы в Верховный суд в порядке надзора. Поэтому Комитет считает, что содержащаяся в материалах дела информация не позволяет ему прийти к заключению по этому утверждению автора. Соответственно, Комитет объявляет эту часть сообщения недостаточно обоснованной и неприемлемой согласно статье 2 Факультативного протокола.</w:t>
      </w:r>
    </w:p>
    <w:p w14:paraId="2CAC9667" w14:textId="4164DE7B" w:rsidR="004640F2" w:rsidRPr="000E3E90" w:rsidRDefault="004640F2" w:rsidP="004640F2">
      <w:pPr>
        <w:pStyle w:val="SingleTxtG"/>
      </w:pPr>
      <w:r w:rsidRPr="000E3E90">
        <w:t>6.4</w:t>
      </w:r>
      <w:r w:rsidRPr="000E3E90">
        <w:tab/>
        <w:t>Комитет принимает к сведению претензию автора по статье 21 Пакта, согласно которой, наложив санкции за одиночный протест, государство-участник нарушило его право на свободу собраний. Комитет отмечает, что, хотя понятие «собрание» подразумевает участие в коллективном мероприятии более одного человека, единичный участник протеста пользуется в соответствии с Пактом сопоставимой защитой, например в силу статьи 19. Комитет ссылается на свою правовую практику</w:t>
      </w:r>
      <w:r w:rsidRPr="000E3E90">
        <w:rPr>
          <w:rStyle w:val="aa"/>
        </w:rPr>
        <w:footnoteReference w:id="12"/>
      </w:r>
      <w:r w:rsidRPr="000E3E90">
        <w:t>, согласно которой одиночные пикеты обычно не подпадают под действие статьи 21 Конвенции о праве на мирные собрания, а охраняются статьей 19. В свете своего замечания общего порядка № 37 (2020)</w:t>
      </w:r>
      <w:r w:rsidRPr="000E3E90">
        <w:rPr>
          <w:rStyle w:val="aa"/>
        </w:rPr>
        <w:footnoteReference w:id="13"/>
      </w:r>
      <w:r w:rsidRPr="000E3E90">
        <w:t xml:space="preserve"> Комитет считает, что факты, изложенные автором, относятся к статье 19, а не к статье 21 Пакта. Следовательно, Комитет приходит к выводу, что автор сообщения не обосновал в достаточной мере эту претензию по статье 21 Пакта для целей приемлемости, и поэтому считает ее неприемлемой в соответствии со статьей 2 и пунктом 2 b) статьи 5 Факультативного протокола.</w:t>
      </w:r>
    </w:p>
    <w:p w14:paraId="7412ABAE" w14:textId="77777777" w:rsidR="004640F2" w:rsidRPr="000E3E90" w:rsidRDefault="004640F2" w:rsidP="004640F2">
      <w:pPr>
        <w:pStyle w:val="SingleTxtG"/>
      </w:pPr>
      <w:r w:rsidRPr="000E3E90">
        <w:t>6.5</w:t>
      </w:r>
      <w:r w:rsidRPr="000E3E90">
        <w:tab/>
        <w:t>По мнению Комитета, для целей приемлемости автор в достаточной степени обосновал свои претензии по статье 19 Конвенции, в связи чем он переходит к их рассмотрению по существу.</w:t>
      </w:r>
    </w:p>
    <w:p w14:paraId="0B51303E" w14:textId="77777777" w:rsidR="004640F2" w:rsidRPr="000E3E90" w:rsidRDefault="004640F2" w:rsidP="004640F2">
      <w:pPr>
        <w:pStyle w:val="H4G"/>
      </w:pPr>
      <w:r w:rsidRPr="000E3E90">
        <w:tab/>
      </w:r>
      <w:r w:rsidRPr="000E3E90">
        <w:tab/>
      </w:r>
      <w:r w:rsidRPr="000E3E90">
        <w:rPr>
          <w:iCs/>
        </w:rPr>
        <w:t>Рассмотрение сообщения по существу</w:t>
      </w:r>
    </w:p>
    <w:p w14:paraId="44B48214" w14:textId="77777777" w:rsidR="004640F2" w:rsidRPr="000E3E90" w:rsidRDefault="004640F2" w:rsidP="004640F2">
      <w:pPr>
        <w:pStyle w:val="SingleTxtG"/>
      </w:pPr>
      <w:r w:rsidRPr="000E3E90">
        <w:t>7.1</w:t>
      </w:r>
      <w:r w:rsidRPr="000E3E90">
        <w:tab/>
        <w:t>Комитет рассмотрел сообщение в свете всей информации, представленной ему сторонами, как это предусмотрено пунктом 1 статьи 5 Факультативного протокола.</w:t>
      </w:r>
    </w:p>
    <w:p w14:paraId="5BEF2503" w14:textId="03C8616E" w:rsidR="004640F2" w:rsidRPr="000E3E90" w:rsidRDefault="004640F2" w:rsidP="004640F2">
      <w:pPr>
        <w:pStyle w:val="SingleTxtG"/>
      </w:pPr>
      <w:r w:rsidRPr="000E3E90">
        <w:t>7.2</w:t>
      </w:r>
      <w:r w:rsidRPr="000E3E90">
        <w:tab/>
        <w:t>Комитет принимает к сведению утверждение автора о том, что</w:t>
      </w:r>
      <w:r w:rsidR="00D72255">
        <w:br/>
      </w:r>
      <w:r w:rsidRPr="000E3E90">
        <w:t xml:space="preserve">государство-участник нарушило его право на свободу выражения мнений по смыслу статьи 19 Пакта, оштрафовав его 13 января 2014 года за проведение одиночной акции протеста против использования НДМГ и динитрогена тетроксида в ракетном топливе </w:t>
      </w:r>
      <w:r w:rsidR="00D72255">
        <w:t>«</w:t>
      </w:r>
      <w:r w:rsidRPr="000E3E90">
        <w:t>Протон</w:t>
      </w:r>
      <w:r w:rsidR="00D72255">
        <w:t>»</w:t>
      </w:r>
      <w:r w:rsidRPr="000E3E90">
        <w:t xml:space="preserve"> на космодроме Байконур. Комитет также отмечает, что, по мнению автора, ограничения, наложенные на его права, не были необходимыми и не относятся к допустимым ограничениям, предусмотренным в стать</w:t>
      </w:r>
      <w:r w:rsidR="00677574">
        <w:t>е</w:t>
      </w:r>
      <w:r w:rsidRPr="000E3E90">
        <w:t xml:space="preserve"> 19 Пакта. Комитет далее отмечает аргументы государства-участника о том, что право устанавливать ограничения на свободу собраний находится в полной компетенции местных властей и что они действовали в соответствии с </w:t>
      </w:r>
      <w:r>
        <w:t>З</w:t>
      </w:r>
      <w:r w:rsidRPr="000E3E90">
        <w:t xml:space="preserve">аконом о порядке организации и проведения мирных собраний, митингов, шествий, пикетов и демонстраций. Комитет отмечает утверждения государства-участника о том, что введенные местными властями ограничения направлены на защиту государственной безопасности, общественного порядка и здоровья, прав и свобод других лиц (см. пункт 4.5 выше). </w:t>
      </w:r>
    </w:p>
    <w:p w14:paraId="006BC593" w14:textId="77E89F94" w:rsidR="004640F2" w:rsidRPr="000E3E90" w:rsidRDefault="004640F2" w:rsidP="00A27DAC">
      <w:pPr>
        <w:pStyle w:val="SingleTxtG"/>
        <w:spacing w:line="238" w:lineRule="atLeast"/>
      </w:pPr>
      <w:r w:rsidRPr="000E3E90">
        <w:t>7.3</w:t>
      </w:r>
      <w:r w:rsidRPr="000E3E90">
        <w:tab/>
        <w:t>Комитет ссылается на свое замечание общего порядка № 34 (2011) о праве на свободу мнений и их свободное выражение, в котором он, в частности, заявил, что свобода выражения мнений имеет ключевое значение для любого общества и является основополагающим элементом любого свободного и демократического общества</w:t>
      </w:r>
      <w:r w:rsidRPr="000E3E90">
        <w:rPr>
          <w:rStyle w:val="aa"/>
        </w:rPr>
        <w:footnoteReference w:id="14"/>
      </w:r>
      <w:r w:rsidRPr="000E3E90">
        <w:t>.</w:t>
      </w:r>
      <w:r w:rsidR="00B53B56">
        <w:br/>
      </w:r>
      <w:r w:rsidRPr="000E3E90">
        <w:t>Он отмечает, что в пункте 3 статьи 19 Пакта предусматривается возможность наложения определенных ограничений на свободу выражения мнений, в том числе на свободу распространять информацию и идеи, но лишь в той степени, в которой эти ограничения предусмотрены законом, и только если они являются необходимыми для уважения прав или репутации других лиц либо для охраны государственной безопасности или общественного порядка (</w:t>
      </w:r>
      <w:r w:rsidRPr="00B53B56">
        <w:t>ordre public</w:t>
      </w:r>
      <w:r w:rsidRPr="000E3E90">
        <w:t xml:space="preserve">), или здоровья и нравственности населения. Наконец, любое ограничение свободы выражения мнений не должно быть слишком широким по характеру, т. е. оно должно являться наименее </w:t>
      </w:r>
      <w:r w:rsidRPr="000E3E90">
        <w:lastRenderedPageBreak/>
        <w:t>ограничительной мерой, с помощью которой может быть обеспечена соответствующая защитная функция, и быть соразмерным защищаемому интересу</w:t>
      </w:r>
      <w:r w:rsidRPr="000E3E90">
        <w:rPr>
          <w:rStyle w:val="aa"/>
        </w:rPr>
        <w:footnoteReference w:id="15"/>
      </w:r>
      <w:r w:rsidRPr="000E3E90">
        <w:t>. Комитет напоминает, что бремя доказывания того, что ограничения прав автора по статье 19 Пакта были необходимыми и соразмерными, лежит на государстве-участнике</w:t>
      </w:r>
      <w:r w:rsidRPr="000E3E90">
        <w:rPr>
          <w:rStyle w:val="aa"/>
        </w:rPr>
        <w:footnoteReference w:id="16"/>
      </w:r>
      <w:r w:rsidRPr="000E3E90">
        <w:t xml:space="preserve">. </w:t>
      </w:r>
    </w:p>
    <w:p w14:paraId="418757F1" w14:textId="51870154" w:rsidR="004640F2" w:rsidRPr="000E3E90" w:rsidRDefault="004640F2" w:rsidP="00A27DAC">
      <w:pPr>
        <w:pStyle w:val="SingleTxtG"/>
        <w:spacing w:line="238" w:lineRule="atLeast"/>
      </w:pPr>
      <w:r w:rsidRPr="000E3E90">
        <w:t>7.4</w:t>
      </w:r>
      <w:r w:rsidRPr="000E3E90">
        <w:tab/>
        <w:t>Комитет отмечает, что автор сообщения подвергся наказанию за участие в одиночном мирном мероприятии, преследовавш</w:t>
      </w:r>
      <w:r w:rsidR="00DE49DE">
        <w:t>е</w:t>
      </w:r>
      <w:r w:rsidRPr="000E3E90">
        <w:t>м четко выраженную цель, которое проводилось без получения предварительного разрешения от местных властей государства-участника. По аналогии с его подходом, применяемым в делах о праве на мирные собрания</w:t>
      </w:r>
      <w:r w:rsidRPr="000E3E90">
        <w:rPr>
          <w:rStyle w:val="aa"/>
        </w:rPr>
        <w:footnoteReference w:id="17"/>
      </w:r>
      <w:r w:rsidRPr="000E3E90">
        <w:t>, Комитет считает, что разрешительный режим во внутреннем законодательстве, которым предусмотрено требование обращаться за разрешением на проведение одиночной акции протеста к властям, в целом несовместим со статьей 19 Пакта. Следовательно, наложенное на автора административное наказание вызывает серьезные сомнения насчет необходимости и соразмерности ограничений прав автора. Комитет в этой связи замечает, что государство-участник не привело никаких конкретных доводов в обоснование необходимости таких ограничений, как того требует пункт 3 статьи 19 Пакта</w:t>
      </w:r>
      <w:r w:rsidRPr="000E3E90">
        <w:rPr>
          <w:rStyle w:val="aa"/>
        </w:rPr>
        <w:footnoteReference w:id="18"/>
      </w:r>
      <w:r w:rsidRPr="000E3E90">
        <w:t>. Государство-участник также не смогло продемонстрировать, что выбранные меры были наименее ограничительными по своему характеру или соразмерными интересам, на защиту которых они были направлены. Комитет полагает, что в обстоятельствах данного дела наложенные на автора ограничения хотя и опирались на внутреннее законодательство, не были оправданы с точки зрения условий, изложенных в пункте 3 статьи 19 Пакта. Поэтому он делает вывод о том, что права автора по пункту 2 статьи 19 Пакта были нарушены</w:t>
      </w:r>
      <w:r w:rsidRPr="000E3E90">
        <w:rPr>
          <w:rStyle w:val="aa"/>
        </w:rPr>
        <w:footnoteReference w:id="19"/>
      </w:r>
      <w:r w:rsidRPr="000E3E90">
        <w:t xml:space="preserve">. </w:t>
      </w:r>
    </w:p>
    <w:p w14:paraId="00459398" w14:textId="4FA8F537" w:rsidR="004640F2" w:rsidRPr="000E3E90" w:rsidRDefault="004640F2" w:rsidP="00A27DAC">
      <w:pPr>
        <w:pStyle w:val="SingleTxtG"/>
        <w:spacing w:line="238" w:lineRule="atLeast"/>
      </w:pPr>
      <w:r w:rsidRPr="000E3E90">
        <w:t>8.</w:t>
      </w:r>
      <w:r w:rsidRPr="000E3E90">
        <w:tab/>
        <w:t>Действуя в соответствии с пунктом 4 статьи 5 Факультативного протокола, Комитет выражает мнение о том, что представленные ему факты свидетельствуют о нарушении государством-участником прав автора, предусмотренных пунктом 2 статьи</w:t>
      </w:r>
      <w:r w:rsidR="00B53B56">
        <w:t> </w:t>
      </w:r>
      <w:r w:rsidRPr="000E3E90">
        <w:t xml:space="preserve">19 Пакта. </w:t>
      </w:r>
    </w:p>
    <w:p w14:paraId="083BE166" w14:textId="252834B7" w:rsidR="004640F2" w:rsidRPr="000E3E90" w:rsidRDefault="004640F2" w:rsidP="00A27DAC">
      <w:pPr>
        <w:pStyle w:val="SingleTxtG"/>
        <w:spacing w:line="238" w:lineRule="atLeast"/>
      </w:pPr>
      <w:r w:rsidRPr="000E3E90">
        <w:t>9.</w:t>
      </w:r>
      <w:r w:rsidRPr="000E3E90">
        <w:tab/>
        <w:t>В соответствии с пунктом 3 а) статьи 2 Пакта государство-участник обязано обеспечить автору эффективное средство правовой защиты. Это требует от него полного возмещения ущерба лицам, чьи права, закрепленные в Пакте, были нарушены. Соответственно, государство-участник обязано, в частности, предоставить автору надлежащую компенсацию, включая возмещение штрафа и любых</w:t>
      </w:r>
      <w:r w:rsidRPr="000644AD">
        <w:t xml:space="preserve"> </w:t>
      </w:r>
      <w:r w:rsidRPr="000E3E90">
        <w:t>понесенных</w:t>
      </w:r>
      <w:r>
        <w:t xml:space="preserve"> им</w:t>
      </w:r>
      <w:r w:rsidRPr="000E3E90">
        <w:t xml:space="preserve"> судебных издержек. Государство-участник также обязано принять все необходимые меры для предотвращения подобных нарушений в будущем. С этой целью государству-участнику следует пересмотреть свою нормативную базу для публичных мероприятий в соответствии со своим обязательством по пункту 2 статьи 2 Пакта, с тем чтобы обеспечить возможность полноценного осуществления</w:t>
      </w:r>
      <w:r w:rsidR="00B53B56">
        <w:br/>
      </w:r>
      <w:r w:rsidRPr="000E3E90">
        <w:t>в государстве-участнике прав, предусмотренных статьей 19 Пакта.</w:t>
      </w:r>
    </w:p>
    <w:p w14:paraId="7C42BBDA" w14:textId="77777777" w:rsidR="004640F2" w:rsidRPr="000E3E90" w:rsidRDefault="004640F2" w:rsidP="00A27DAC">
      <w:pPr>
        <w:pStyle w:val="SingleTxtG"/>
        <w:spacing w:line="238" w:lineRule="atLeast"/>
      </w:pPr>
      <w:r w:rsidRPr="000E3E90">
        <w:t>10.</w:t>
      </w:r>
      <w:r w:rsidRPr="000E3E90">
        <w:tab/>
        <w:t>Принимая во внимание то, что, став участником Факультативного протокола, государство-участник признало компетенцию Комитета определять, имело ли место нарушение Пакта, и что в соответствии со статьей 2 Пакта государство-участник обязалось обеспечивать всем находящимся в пределах его территории и под его юрисдикцией лицам права, признаваемые в Пакте, и предоставлять эффективные и обеспеченные правовой санкцией средства правовой защиты, когда будет установлено, что имело место нарушение, Комитет хотел бы получить от государства-участника в течение 180 дней информацию о мерах, принятых для реализации Соображений Комитета. Кроме того, к государству-участнику обращается просьба опубликовать настоящие Соображения и обеспечить их широкое распространение на официальных языках государства-участника.</w:t>
      </w:r>
    </w:p>
    <w:p w14:paraId="658A6814" w14:textId="40A08411" w:rsidR="00381C24" w:rsidRPr="00051DA3" w:rsidRDefault="004640F2" w:rsidP="00051DA3">
      <w:pPr>
        <w:spacing w:before="240"/>
        <w:ind w:left="1134" w:right="1134"/>
        <w:jc w:val="center"/>
        <w:rPr>
          <w:u w:val="single"/>
        </w:rPr>
      </w:pPr>
      <w:r w:rsidRPr="000E3E90">
        <w:rPr>
          <w:u w:val="single"/>
        </w:rPr>
        <w:tab/>
      </w:r>
      <w:r w:rsidRPr="000E3E90">
        <w:rPr>
          <w:u w:val="single"/>
        </w:rPr>
        <w:tab/>
      </w:r>
      <w:r w:rsidRPr="000E3E90">
        <w:rPr>
          <w:u w:val="single"/>
        </w:rPr>
        <w:tab/>
      </w:r>
      <w:r w:rsidRPr="000E3E90">
        <w:rPr>
          <w:u w:val="single"/>
        </w:rPr>
        <w:tab/>
      </w:r>
    </w:p>
    <w:sectPr w:rsidR="00381C24" w:rsidRPr="00051DA3" w:rsidSect="00D6204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DA29B" w14:textId="77777777" w:rsidR="00FC0883" w:rsidRPr="00A312BC" w:rsidRDefault="00FC0883" w:rsidP="00A312BC"/>
  </w:endnote>
  <w:endnote w:type="continuationSeparator" w:id="0">
    <w:p w14:paraId="4403F97A" w14:textId="77777777" w:rsidR="00FC0883" w:rsidRPr="00A312BC" w:rsidRDefault="00FC088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2D34" w14:textId="07419CF7" w:rsidR="00D6204C" w:rsidRPr="00D6204C" w:rsidRDefault="00D6204C">
    <w:pPr>
      <w:pStyle w:val="a8"/>
    </w:pPr>
    <w:r w:rsidRPr="00D6204C">
      <w:rPr>
        <w:b/>
        <w:sz w:val="18"/>
      </w:rPr>
      <w:fldChar w:fldCharType="begin"/>
    </w:r>
    <w:r w:rsidRPr="00D6204C">
      <w:rPr>
        <w:b/>
        <w:sz w:val="18"/>
      </w:rPr>
      <w:instrText xml:space="preserve"> PAGE  \* MERGEFORMAT </w:instrText>
    </w:r>
    <w:r w:rsidRPr="00D6204C">
      <w:rPr>
        <w:b/>
        <w:sz w:val="18"/>
      </w:rPr>
      <w:fldChar w:fldCharType="separate"/>
    </w:r>
    <w:r w:rsidRPr="00D6204C">
      <w:rPr>
        <w:b/>
        <w:noProof/>
        <w:sz w:val="18"/>
      </w:rPr>
      <w:t>2</w:t>
    </w:r>
    <w:r w:rsidRPr="00D6204C">
      <w:rPr>
        <w:b/>
        <w:sz w:val="18"/>
      </w:rPr>
      <w:fldChar w:fldCharType="end"/>
    </w:r>
    <w:r>
      <w:rPr>
        <w:b/>
        <w:sz w:val="18"/>
      </w:rPr>
      <w:tab/>
    </w:r>
    <w:r>
      <w:t>GE.22-25750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63A6" w14:textId="6A8C834F" w:rsidR="00D6204C" w:rsidRPr="00D6204C" w:rsidRDefault="00D6204C" w:rsidP="00D6204C">
    <w:pPr>
      <w:pStyle w:val="a8"/>
      <w:tabs>
        <w:tab w:val="clear" w:pos="9639"/>
        <w:tab w:val="right" w:pos="9638"/>
      </w:tabs>
      <w:rPr>
        <w:b/>
        <w:sz w:val="18"/>
      </w:rPr>
    </w:pPr>
    <w:r>
      <w:t>GE.22-25750</w:t>
    </w:r>
    <w:r>
      <w:tab/>
    </w:r>
    <w:r w:rsidRPr="00D6204C">
      <w:rPr>
        <w:b/>
        <w:sz w:val="18"/>
      </w:rPr>
      <w:fldChar w:fldCharType="begin"/>
    </w:r>
    <w:r w:rsidRPr="00D6204C">
      <w:rPr>
        <w:b/>
        <w:sz w:val="18"/>
      </w:rPr>
      <w:instrText xml:space="preserve"> PAGE  \* MERGEFORMAT </w:instrText>
    </w:r>
    <w:r w:rsidRPr="00D6204C">
      <w:rPr>
        <w:b/>
        <w:sz w:val="18"/>
      </w:rPr>
      <w:fldChar w:fldCharType="separate"/>
    </w:r>
    <w:r w:rsidRPr="00D6204C">
      <w:rPr>
        <w:b/>
        <w:noProof/>
        <w:sz w:val="18"/>
      </w:rPr>
      <w:t>3</w:t>
    </w:r>
    <w:r w:rsidRPr="00D6204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9258" w14:textId="5865CB42" w:rsidR="00042B72" w:rsidRPr="00D6204C" w:rsidRDefault="00D6204C" w:rsidP="00D6204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5E22A1A" wp14:editId="328A117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22-25750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DCBBAB3" wp14:editId="6CB8D43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6A6">
      <w:t xml:space="preserve">  251122  020323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AA895" w14:textId="77777777" w:rsidR="00FC0883" w:rsidRPr="001075E9" w:rsidRDefault="00FC088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674C282" w14:textId="77777777" w:rsidR="00FC0883" w:rsidRDefault="00FC088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A57FE80" w14:textId="52633BDB" w:rsidR="004640F2" w:rsidRPr="000E3E90" w:rsidRDefault="004640F2" w:rsidP="004640F2">
      <w:pPr>
        <w:pStyle w:val="ad"/>
        <w:rPr>
          <w:szCs w:val="18"/>
        </w:rPr>
      </w:pPr>
      <w:r>
        <w:tab/>
      </w:r>
      <w:r w:rsidRPr="00B80C6E">
        <w:rPr>
          <w:sz w:val="20"/>
        </w:rPr>
        <w:t>*</w:t>
      </w:r>
      <w:r w:rsidRPr="000E3E90">
        <w:rPr>
          <w:szCs w:val="18"/>
        </w:rPr>
        <w:tab/>
        <w:t xml:space="preserve">Приняты Комитетом на его </w:t>
      </w:r>
      <w:r w:rsidR="00FB14BC">
        <w:rPr>
          <w:szCs w:val="18"/>
        </w:rPr>
        <w:t>сто тридцать пятой</w:t>
      </w:r>
      <w:r w:rsidRPr="000E3E90">
        <w:rPr>
          <w:szCs w:val="18"/>
        </w:rPr>
        <w:t xml:space="preserve"> сессии (27 июня — 27 июля 2022 года).</w:t>
      </w:r>
    </w:p>
  </w:footnote>
  <w:footnote w:id="2">
    <w:p w14:paraId="3CCB3B3C" w14:textId="43FC34FF" w:rsidR="004640F2" w:rsidRPr="000E3E90" w:rsidRDefault="004640F2" w:rsidP="004640F2">
      <w:pPr>
        <w:pStyle w:val="ad"/>
        <w:rPr>
          <w:szCs w:val="18"/>
        </w:rPr>
      </w:pPr>
      <w:r w:rsidRPr="000E3E90">
        <w:rPr>
          <w:szCs w:val="18"/>
        </w:rPr>
        <w:tab/>
      </w:r>
      <w:r w:rsidRPr="005C1EE8">
        <w:rPr>
          <w:sz w:val="20"/>
        </w:rPr>
        <w:t>**</w:t>
      </w:r>
      <w:r w:rsidRPr="000E3E90">
        <w:rPr>
          <w:szCs w:val="18"/>
        </w:rPr>
        <w:tab/>
        <w:t>В рассмотрении настоящего сообщения приняли участие следующие члены Комитета:</w:t>
      </w:r>
      <w:r w:rsidR="005C1EE8">
        <w:rPr>
          <w:szCs w:val="18"/>
        </w:rPr>
        <w:br/>
      </w:r>
      <w:r w:rsidRPr="000E3E90">
        <w:rPr>
          <w:szCs w:val="18"/>
        </w:rPr>
        <w:t>Тания Мария Абдо Рочоль, Вафа Ашраф Мохаррам Бассим, Ариф Балкан, Махджуб</w:t>
      </w:r>
      <w:r w:rsidR="005C1EE8">
        <w:rPr>
          <w:szCs w:val="18"/>
        </w:rPr>
        <w:br/>
      </w:r>
      <w:r w:rsidRPr="000E3E90">
        <w:rPr>
          <w:szCs w:val="18"/>
        </w:rPr>
        <w:t>эль-Хайба, Фуруя Сюити, Карлос Гомес Мартинес, Марсия В. Дж. Кран, Данкан Лаки Мухумуза, Фотини Пазардзис, Эрнан Кесада Кабрера, Василька Санцин, Жозе Мануэл Сантуш Паиш,</w:t>
      </w:r>
      <w:r w:rsidR="005C1EE8">
        <w:rPr>
          <w:szCs w:val="18"/>
        </w:rPr>
        <w:t xml:space="preserve"> </w:t>
      </w:r>
      <w:r w:rsidRPr="000E3E90">
        <w:rPr>
          <w:szCs w:val="18"/>
        </w:rPr>
        <w:t>Со Чхангрок, Кобойя Чамджа Кпача, Элен Тигруджа, Имэру Тэмэрэт Йыгэзу и</w:t>
      </w:r>
      <w:r w:rsidR="005C1EE8">
        <w:rPr>
          <w:szCs w:val="18"/>
        </w:rPr>
        <w:t> </w:t>
      </w:r>
      <w:r w:rsidRPr="000E3E90">
        <w:rPr>
          <w:szCs w:val="18"/>
        </w:rPr>
        <w:t>Гентиан Зюбери.</w:t>
      </w:r>
      <w:bookmarkStart w:id="0" w:name="_Hlk66359926"/>
      <w:bookmarkEnd w:id="0"/>
    </w:p>
  </w:footnote>
  <w:footnote w:id="3">
    <w:p w14:paraId="5BAC3241" w14:textId="4D01EE98" w:rsidR="004640F2" w:rsidRPr="000E3E90" w:rsidRDefault="004640F2" w:rsidP="004640F2">
      <w:pPr>
        <w:pStyle w:val="ad"/>
        <w:rPr>
          <w:szCs w:val="18"/>
        </w:rPr>
      </w:pPr>
      <w:r w:rsidRPr="000E3E90">
        <w:rPr>
          <w:szCs w:val="18"/>
        </w:rPr>
        <w:tab/>
      </w:r>
      <w:r w:rsidRPr="000E3E90">
        <w:rPr>
          <w:rStyle w:val="aa"/>
          <w:szCs w:val="18"/>
        </w:rPr>
        <w:footnoteRef/>
      </w:r>
      <w:r w:rsidRPr="000E3E90">
        <w:rPr>
          <w:szCs w:val="18"/>
        </w:rPr>
        <w:tab/>
        <w:t>Приблизительно 98 евро.</w:t>
      </w:r>
    </w:p>
  </w:footnote>
  <w:footnote w:id="4">
    <w:p w14:paraId="7810D00F" w14:textId="68F74DA6" w:rsidR="004640F2" w:rsidRPr="000E3E90" w:rsidRDefault="004640F2" w:rsidP="004640F2">
      <w:pPr>
        <w:pStyle w:val="ad"/>
        <w:rPr>
          <w:szCs w:val="18"/>
        </w:rPr>
      </w:pPr>
      <w:r w:rsidRPr="000E3E90">
        <w:rPr>
          <w:szCs w:val="18"/>
        </w:rPr>
        <w:tab/>
      </w:r>
      <w:r w:rsidRPr="000E3E90">
        <w:rPr>
          <w:rStyle w:val="aa"/>
          <w:szCs w:val="18"/>
        </w:rPr>
        <w:footnoteRef/>
      </w:r>
      <w:r w:rsidRPr="000E3E90">
        <w:rPr>
          <w:szCs w:val="18"/>
        </w:rPr>
        <w:tab/>
        <w:t xml:space="preserve">По словам автора, это было первое судебное решение в Казахстане, в котором было признано, что для проведения одиночной акции протеста разрешения не требуется. </w:t>
      </w:r>
    </w:p>
  </w:footnote>
  <w:footnote w:id="5">
    <w:p w14:paraId="380AD798" w14:textId="37C1395F" w:rsidR="004640F2" w:rsidRPr="000E3E90" w:rsidRDefault="004640F2" w:rsidP="004640F2">
      <w:pPr>
        <w:pStyle w:val="ad"/>
        <w:rPr>
          <w:szCs w:val="18"/>
        </w:rPr>
      </w:pPr>
      <w:r w:rsidRPr="000E3E90">
        <w:rPr>
          <w:szCs w:val="18"/>
        </w:rPr>
        <w:tab/>
      </w:r>
      <w:r w:rsidRPr="000E3E90">
        <w:rPr>
          <w:rStyle w:val="aa"/>
          <w:szCs w:val="18"/>
        </w:rPr>
        <w:footnoteRef/>
      </w:r>
      <w:r w:rsidRPr="000E3E90">
        <w:rPr>
          <w:szCs w:val="18"/>
        </w:rPr>
        <w:tab/>
        <w:t>Автор сообщения не жаловался на то, что его не уведомили о надзорной жалобе отделения Генеральной прокуратуры и проведении слушания дела в рамках внутринационального судопроизводства. Было разъяснено, что единственным доступным автору в той ситуации средством правовой защиты была подача жалобы по линии гражданского производства. В</w:t>
      </w:r>
      <w:r w:rsidR="009C33E2">
        <w:rPr>
          <w:szCs w:val="18"/>
        </w:rPr>
        <w:t> </w:t>
      </w:r>
      <w:r w:rsidRPr="000E3E90">
        <w:rPr>
          <w:szCs w:val="18"/>
        </w:rPr>
        <w:t>рамках административного производства в его распоряжении никаких средств правовой защиты не имелось.</w:t>
      </w:r>
    </w:p>
  </w:footnote>
  <w:footnote w:id="6">
    <w:p w14:paraId="12FDBDB6" w14:textId="0AC2B4CD" w:rsidR="004640F2" w:rsidRPr="000E3E90" w:rsidRDefault="004640F2" w:rsidP="004640F2">
      <w:pPr>
        <w:pStyle w:val="ad"/>
        <w:rPr>
          <w:szCs w:val="18"/>
        </w:rPr>
      </w:pPr>
      <w:r w:rsidRPr="000E3E90">
        <w:rPr>
          <w:szCs w:val="18"/>
        </w:rPr>
        <w:tab/>
      </w:r>
      <w:r w:rsidRPr="000E3E90">
        <w:rPr>
          <w:rStyle w:val="aa"/>
          <w:szCs w:val="18"/>
        </w:rPr>
        <w:footnoteRef/>
      </w:r>
      <w:r w:rsidRPr="000E3E90">
        <w:rPr>
          <w:szCs w:val="18"/>
        </w:rPr>
        <w:tab/>
        <w:t xml:space="preserve">Статья 488 Кодекса об административных правонарушениях в новой редакции. </w:t>
      </w:r>
    </w:p>
  </w:footnote>
  <w:footnote w:id="7">
    <w:p w14:paraId="2B639A47" w14:textId="7D603A58" w:rsidR="004640F2" w:rsidRPr="000E3E90" w:rsidRDefault="004640F2" w:rsidP="004640F2">
      <w:pPr>
        <w:pStyle w:val="ad"/>
        <w:rPr>
          <w:szCs w:val="18"/>
        </w:rPr>
      </w:pPr>
      <w:r w:rsidRPr="000E3E90">
        <w:rPr>
          <w:szCs w:val="18"/>
        </w:rPr>
        <w:tab/>
      </w:r>
      <w:r w:rsidRPr="000E3E90">
        <w:rPr>
          <w:rStyle w:val="aa"/>
          <w:szCs w:val="18"/>
        </w:rPr>
        <w:footnoteRef/>
      </w:r>
      <w:r w:rsidRPr="000E3E90">
        <w:rPr>
          <w:szCs w:val="18"/>
        </w:rPr>
        <w:tab/>
      </w:r>
      <w:r w:rsidR="00067FE4" w:rsidRPr="000E3E90">
        <w:rPr>
          <w:szCs w:val="18"/>
        </w:rPr>
        <w:t>Комитет по правам человека, замечание общего порядка № 32 (2007), п</w:t>
      </w:r>
      <w:r w:rsidR="00067FE4">
        <w:rPr>
          <w:szCs w:val="18"/>
        </w:rPr>
        <w:t>.</w:t>
      </w:r>
      <w:r w:rsidR="00067FE4" w:rsidRPr="000E3E90">
        <w:rPr>
          <w:szCs w:val="18"/>
        </w:rPr>
        <w:t xml:space="preserve"> 25.</w:t>
      </w:r>
      <w:r w:rsidRPr="000E3E90">
        <w:rPr>
          <w:szCs w:val="18"/>
        </w:rPr>
        <w:t xml:space="preserve"> </w:t>
      </w:r>
    </w:p>
  </w:footnote>
  <w:footnote w:id="8">
    <w:p w14:paraId="2722613F" w14:textId="6FAB4A30" w:rsidR="004640F2" w:rsidRPr="000E3E90" w:rsidRDefault="004640F2" w:rsidP="004640F2">
      <w:pPr>
        <w:pStyle w:val="ad"/>
        <w:rPr>
          <w:szCs w:val="18"/>
        </w:rPr>
      </w:pPr>
      <w:r w:rsidRPr="000E3E90">
        <w:rPr>
          <w:szCs w:val="18"/>
        </w:rPr>
        <w:tab/>
      </w:r>
      <w:r w:rsidRPr="000E3E90">
        <w:rPr>
          <w:rStyle w:val="aa"/>
          <w:szCs w:val="18"/>
        </w:rPr>
        <w:footnoteRef/>
      </w:r>
      <w:r w:rsidRPr="000E3E90">
        <w:rPr>
          <w:szCs w:val="18"/>
        </w:rPr>
        <w:tab/>
      </w:r>
      <w:r w:rsidR="00067FE4" w:rsidRPr="000E3E90">
        <w:rPr>
          <w:szCs w:val="18"/>
        </w:rPr>
        <w:t>Кодекс об административных правонарушениях.</w:t>
      </w:r>
    </w:p>
  </w:footnote>
  <w:footnote w:id="9">
    <w:p w14:paraId="6CF9845A" w14:textId="2814A0C3" w:rsidR="004640F2" w:rsidRPr="000E3E90" w:rsidRDefault="004640F2" w:rsidP="004640F2">
      <w:pPr>
        <w:pStyle w:val="ad"/>
        <w:rPr>
          <w:szCs w:val="18"/>
        </w:rPr>
      </w:pPr>
      <w:r w:rsidRPr="000E3E90">
        <w:rPr>
          <w:szCs w:val="18"/>
        </w:rPr>
        <w:tab/>
      </w:r>
      <w:r w:rsidRPr="000E3E90">
        <w:rPr>
          <w:rStyle w:val="aa"/>
          <w:szCs w:val="18"/>
        </w:rPr>
        <w:footnoteRef/>
      </w:r>
      <w:r w:rsidRPr="000E3E90">
        <w:rPr>
          <w:szCs w:val="18"/>
        </w:rPr>
        <w:tab/>
      </w:r>
      <w:hyperlink r:id="rId1" w:history="1">
        <w:r w:rsidR="001B64AF">
          <w:rPr>
            <w:rStyle w:val="af1"/>
            <w:szCs w:val="18"/>
          </w:rPr>
          <w:t>A/HRC/29/25/Add.2</w:t>
        </w:r>
      </w:hyperlink>
      <w:r w:rsidRPr="000E3E90">
        <w:rPr>
          <w:szCs w:val="18"/>
        </w:rPr>
        <w:t>, п</w:t>
      </w:r>
      <w:r w:rsidR="00D72255">
        <w:rPr>
          <w:szCs w:val="18"/>
        </w:rPr>
        <w:t>.</w:t>
      </w:r>
      <w:r w:rsidRPr="000E3E90">
        <w:rPr>
          <w:szCs w:val="18"/>
        </w:rPr>
        <w:t xml:space="preserve"> 52.</w:t>
      </w:r>
    </w:p>
  </w:footnote>
  <w:footnote w:id="10">
    <w:p w14:paraId="3B576210" w14:textId="77777777" w:rsidR="004640F2" w:rsidRPr="000E3E90" w:rsidRDefault="004640F2" w:rsidP="004640F2">
      <w:pPr>
        <w:pStyle w:val="ad"/>
        <w:rPr>
          <w:szCs w:val="18"/>
        </w:rPr>
      </w:pPr>
      <w:r w:rsidRPr="000E3E90">
        <w:rPr>
          <w:szCs w:val="18"/>
        </w:rPr>
        <w:tab/>
      </w:r>
      <w:r w:rsidRPr="000E3E90">
        <w:rPr>
          <w:rStyle w:val="aa"/>
          <w:szCs w:val="18"/>
        </w:rPr>
        <w:footnoteRef/>
      </w:r>
      <w:r w:rsidRPr="000E3E90">
        <w:rPr>
          <w:szCs w:val="18"/>
        </w:rPr>
        <w:tab/>
        <w:t>Резолюция 15/21 Совета по правам человека.</w:t>
      </w:r>
    </w:p>
  </w:footnote>
  <w:footnote w:id="11">
    <w:p w14:paraId="2259D2E9" w14:textId="2D4C8F69" w:rsidR="004640F2" w:rsidRPr="000E3E90" w:rsidRDefault="004640F2" w:rsidP="004640F2">
      <w:pPr>
        <w:pStyle w:val="ad"/>
        <w:rPr>
          <w:szCs w:val="18"/>
        </w:rPr>
      </w:pPr>
      <w:r w:rsidRPr="000E3E90">
        <w:rPr>
          <w:szCs w:val="18"/>
        </w:rPr>
        <w:tab/>
      </w:r>
      <w:r w:rsidRPr="000E3E90">
        <w:rPr>
          <w:rStyle w:val="aa"/>
          <w:szCs w:val="18"/>
        </w:rPr>
        <w:footnoteRef/>
      </w:r>
      <w:r w:rsidRPr="000E3E90">
        <w:rPr>
          <w:szCs w:val="18"/>
        </w:rPr>
        <w:tab/>
      </w:r>
      <w:r w:rsidRPr="000E3E90">
        <w:rPr>
          <w:i/>
          <w:iCs/>
          <w:szCs w:val="18"/>
        </w:rPr>
        <w:t xml:space="preserve">Торегожина против Казахстана </w:t>
      </w:r>
      <w:r w:rsidRPr="000E3E90">
        <w:rPr>
          <w:szCs w:val="18"/>
        </w:rPr>
        <w:t>(</w:t>
      </w:r>
      <w:hyperlink r:id="rId2" w:history="1">
        <w:r w:rsidR="001B64AF">
          <w:rPr>
            <w:rStyle w:val="af1"/>
            <w:szCs w:val="18"/>
          </w:rPr>
          <w:t>CCPR/C/112/D/2137/2012</w:t>
        </w:r>
      </w:hyperlink>
      <w:r w:rsidRPr="000E3E90">
        <w:rPr>
          <w:szCs w:val="18"/>
        </w:rPr>
        <w:t>).</w:t>
      </w:r>
    </w:p>
  </w:footnote>
  <w:footnote w:id="12">
    <w:p w14:paraId="6AFCF8FA" w14:textId="61358588" w:rsidR="004640F2" w:rsidRPr="000E3E90" w:rsidRDefault="004640F2" w:rsidP="004640F2">
      <w:pPr>
        <w:pStyle w:val="ad"/>
        <w:rPr>
          <w:szCs w:val="18"/>
        </w:rPr>
      </w:pPr>
      <w:r w:rsidRPr="000E3E90">
        <w:rPr>
          <w:szCs w:val="18"/>
        </w:rPr>
        <w:tab/>
      </w:r>
      <w:r w:rsidRPr="000E3E90">
        <w:rPr>
          <w:rStyle w:val="aa"/>
          <w:szCs w:val="18"/>
        </w:rPr>
        <w:footnoteRef/>
      </w:r>
      <w:r w:rsidRPr="000E3E90">
        <w:rPr>
          <w:szCs w:val="18"/>
        </w:rPr>
        <w:tab/>
        <w:t xml:space="preserve">См., например, </w:t>
      </w:r>
      <w:r w:rsidRPr="000E3E90">
        <w:rPr>
          <w:i/>
          <w:iCs/>
          <w:szCs w:val="18"/>
        </w:rPr>
        <w:t>Левинов против Беларуси</w:t>
      </w:r>
      <w:r w:rsidRPr="000E3E90">
        <w:rPr>
          <w:szCs w:val="18"/>
        </w:rPr>
        <w:t xml:space="preserve"> (</w:t>
      </w:r>
      <w:hyperlink r:id="rId3" w:history="1">
        <w:r w:rsidR="001B64AF">
          <w:rPr>
            <w:rStyle w:val="af1"/>
            <w:szCs w:val="18"/>
          </w:rPr>
          <w:t>CCPR/C/117/D/2082/2011</w:t>
        </w:r>
      </w:hyperlink>
      <w:r w:rsidRPr="000E3E90">
        <w:rPr>
          <w:szCs w:val="18"/>
        </w:rPr>
        <w:t>), п</w:t>
      </w:r>
      <w:r w:rsidR="00B53B56">
        <w:rPr>
          <w:szCs w:val="18"/>
        </w:rPr>
        <w:t xml:space="preserve">. </w:t>
      </w:r>
      <w:r w:rsidRPr="000E3E90">
        <w:rPr>
          <w:szCs w:val="18"/>
        </w:rPr>
        <w:t>7.7.</w:t>
      </w:r>
    </w:p>
  </w:footnote>
  <w:footnote w:id="13">
    <w:p w14:paraId="05E881D7" w14:textId="3562DFD8" w:rsidR="004640F2" w:rsidRPr="000E3E90" w:rsidRDefault="004640F2" w:rsidP="004640F2">
      <w:pPr>
        <w:pStyle w:val="ad"/>
        <w:rPr>
          <w:szCs w:val="18"/>
        </w:rPr>
      </w:pPr>
      <w:r w:rsidRPr="000E3E90">
        <w:rPr>
          <w:szCs w:val="18"/>
        </w:rPr>
        <w:tab/>
      </w:r>
      <w:r w:rsidRPr="000E3E90">
        <w:rPr>
          <w:rStyle w:val="aa"/>
          <w:szCs w:val="18"/>
        </w:rPr>
        <w:footnoteRef/>
      </w:r>
      <w:r w:rsidRPr="000E3E90">
        <w:rPr>
          <w:szCs w:val="18"/>
        </w:rPr>
        <w:tab/>
        <w:t>П</w:t>
      </w:r>
      <w:r w:rsidR="00B53B56">
        <w:rPr>
          <w:szCs w:val="18"/>
        </w:rPr>
        <w:t xml:space="preserve">п. </w:t>
      </w:r>
      <w:r w:rsidRPr="000E3E90">
        <w:rPr>
          <w:szCs w:val="18"/>
        </w:rPr>
        <w:t xml:space="preserve">12 и 13. </w:t>
      </w:r>
    </w:p>
  </w:footnote>
  <w:footnote w:id="14">
    <w:p w14:paraId="43C9C1B0" w14:textId="7A7EDE5A" w:rsidR="004640F2" w:rsidRPr="000E3E90" w:rsidRDefault="004640F2" w:rsidP="004640F2">
      <w:pPr>
        <w:pStyle w:val="ad"/>
        <w:rPr>
          <w:szCs w:val="18"/>
        </w:rPr>
      </w:pPr>
      <w:r w:rsidRPr="000E3E90">
        <w:rPr>
          <w:szCs w:val="18"/>
        </w:rPr>
        <w:tab/>
      </w:r>
      <w:r w:rsidRPr="000E3E90">
        <w:rPr>
          <w:rStyle w:val="aa"/>
          <w:szCs w:val="18"/>
        </w:rPr>
        <w:footnoteRef/>
      </w:r>
      <w:r w:rsidRPr="000E3E90">
        <w:rPr>
          <w:szCs w:val="18"/>
        </w:rPr>
        <w:tab/>
        <w:t>П</w:t>
      </w:r>
      <w:r w:rsidR="00B53B56">
        <w:rPr>
          <w:szCs w:val="18"/>
        </w:rPr>
        <w:t>.</w:t>
      </w:r>
      <w:r w:rsidRPr="000E3E90">
        <w:rPr>
          <w:szCs w:val="18"/>
        </w:rPr>
        <w:t xml:space="preserve"> 2.</w:t>
      </w:r>
    </w:p>
  </w:footnote>
  <w:footnote w:id="15">
    <w:p w14:paraId="2E1859B3" w14:textId="17925A4E" w:rsidR="004640F2" w:rsidRPr="000E3E90" w:rsidRDefault="004640F2" w:rsidP="004640F2">
      <w:pPr>
        <w:pStyle w:val="ad"/>
        <w:rPr>
          <w:szCs w:val="18"/>
        </w:rPr>
      </w:pPr>
      <w:r w:rsidRPr="000E3E90">
        <w:rPr>
          <w:szCs w:val="18"/>
        </w:rPr>
        <w:tab/>
      </w:r>
      <w:r w:rsidRPr="000E3E90">
        <w:rPr>
          <w:rStyle w:val="aa"/>
          <w:szCs w:val="18"/>
        </w:rPr>
        <w:footnoteRef/>
      </w:r>
      <w:r w:rsidRPr="000E3E90">
        <w:rPr>
          <w:szCs w:val="18"/>
        </w:rPr>
        <w:tab/>
        <w:t>Замечание общего порядка № 34 (2011), п</w:t>
      </w:r>
      <w:r w:rsidR="00B53B56">
        <w:rPr>
          <w:szCs w:val="18"/>
        </w:rPr>
        <w:t>.</w:t>
      </w:r>
      <w:r w:rsidRPr="000E3E90">
        <w:rPr>
          <w:szCs w:val="18"/>
        </w:rPr>
        <w:t xml:space="preserve"> 34.</w:t>
      </w:r>
    </w:p>
  </w:footnote>
  <w:footnote w:id="16">
    <w:p w14:paraId="7735FCEB" w14:textId="57D9D806" w:rsidR="004640F2" w:rsidRPr="000E3E90" w:rsidRDefault="004640F2" w:rsidP="004640F2">
      <w:pPr>
        <w:pStyle w:val="ad"/>
        <w:rPr>
          <w:szCs w:val="18"/>
        </w:rPr>
      </w:pPr>
      <w:r w:rsidRPr="000E3E90">
        <w:rPr>
          <w:szCs w:val="18"/>
        </w:rPr>
        <w:tab/>
      </w:r>
      <w:r w:rsidRPr="000E3E90">
        <w:rPr>
          <w:rStyle w:val="aa"/>
          <w:szCs w:val="18"/>
        </w:rPr>
        <w:footnoteRef/>
      </w:r>
      <w:r w:rsidRPr="000E3E90">
        <w:rPr>
          <w:szCs w:val="18"/>
        </w:rPr>
        <w:tab/>
        <w:t xml:space="preserve">См., например, </w:t>
      </w:r>
      <w:r w:rsidRPr="000E3E90">
        <w:rPr>
          <w:i/>
          <w:iCs/>
          <w:szCs w:val="18"/>
        </w:rPr>
        <w:t>Андросенко против Беларуси</w:t>
      </w:r>
      <w:r w:rsidRPr="000E3E90">
        <w:rPr>
          <w:szCs w:val="18"/>
        </w:rPr>
        <w:t xml:space="preserve"> (</w:t>
      </w:r>
      <w:hyperlink r:id="rId4" w:history="1">
        <w:r w:rsidR="001B64AF">
          <w:rPr>
            <w:rStyle w:val="af1"/>
            <w:szCs w:val="18"/>
          </w:rPr>
          <w:t>CCPR/C/116/D/2092/2011</w:t>
        </w:r>
      </w:hyperlink>
      <w:r w:rsidRPr="000E3E90">
        <w:rPr>
          <w:szCs w:val="18"/>
        </w:rPr>
        <w:t>), п</w:t>
      </w:r>
      <w:r w:rsidR="00A27DAC">
        <w:rPr>
          <w:szCs w:val="18"/>
        </w:rPr>
        <w:t>.</w:t>
      </w:r>
      <w:r w:rsidRPr="000E3E90">
        <w:rPr>
          <w:szCs w:val="18"/>
        </w:rPr>
        <w:t xml:space="preserve"> 7.3.</w:t>
      </w:r>
    </w:p>
  </w:footnote>
  <w:footnote w:id="17">
    <w:p w14:paraId="6D34BBDA" w14:textId="77E8F990" w:rsidR="004640F2" w:rsidRPr="000E3E90" w:rsidRDefault="004640F2" w:rsidP="004640F2">
      <w:pPr>
        <w:pStyle w:val="ad"/>
        <w:rPr>
          <w:szCs w:val="18"/>
        </w:rPr>
      </w:pPr>
      <w:r w:rsidRPr="000E3E90">
        <w:rPr>
          <w:szCs w:val="18"/>
        </w:rPr>
        <w:tab/>
      </w:r>
      <w:r w:rsidRPr="000E3E90">
        <w:rPr>
          <w:rStyle w:val="aa"/>
          <w:szCs w:val="18"/>
        </w:rPr>
        <w:footnoteRef/>
      </w:r>
      <w:r w:rsidRPr="000E3E90">
        <w:rPr>
          <w:szCs w:val="18"/>
        </w:rPr>
        <w:tab/>
        <w:t>Замечание общего порядка № 37 (2020), п</w:t>
      </w:r>
      <w:r w:rsidR="00051DA3">
        <w:rPr>
          <w:szCs w:val="18"/>
        </w:rPr>
        <w:t>п.</w:t>
      </w:r>
      <w:r w:rsidRPr="000E3E90">
        <w:rPr>
          <w:szCs w:val="18"/>
        </w:rPr>
        <w:t xml:space="preserve"> 70–73.</w:t>
      </w:r>
    </w:p>
  </w:footnote>
  <w:footnote w:id="18">
    <w:p w14:paraId="1B179D66" w14:textId="1E0C586E" w:rsidR="004640F2" w:rsidRPr="000E3E90" w:rsidRDefault="004640F2" w:rsidP="004640F2">
      <w:pPr>
        <w:pStyle w:val="ad"/>
        <w:widowControl w:val="0"/>
        <w:rPr>
          <w:szCs w:val="18"/>
        </w:rPr>
      </w:pPr>
      <w:r w:rsidRPr="000E3E90">
        <w:rPr>
          <w:szCs w:val="18"/>
        </w:rPr>
        <w:tab/>
      </w:r>
      <w:r w:rsidRPr="000E3E90">
        <w:rPr>
          <w:rStyle w:val="aa"/>
          <w:szCs w:val="18"/>
        </w:rPr>
        <w:footnoteRef/>
      </w:r>
      <w:r w:rsidRPr="000E3E90">
        <w:rPr>
          <w:szCs w:val="18"/>
        </w:rPr>
        <w:tab/>
        <w:t xml:space="preserve">См., например, </w:t>
      </w:r>
      <w:r w:rsidRPr="000E3E90">
        <w:rPr>
          <w:i/>
          <w:iCs/>
          <w:szCs w:val="18"/>
        </w:rPr>
        <w:t>Залесская против Беларуси</w:t>
      </w:r>
      <w:r w:rsidRPr="000E3E90">
        <w:rPr>
          <w:szCs w:val="18"/>
        </w:rPr>
        <w:t xml:space="preserve"> (</w:t>
      </w:r>
      <w:hyperlink r:id="rId5" w:history="1">
        <w:r w:rsidR="001B64AF">
          <w:rPr>
            <w:rStyle w:val="af1"/>
            <w:szCs w:val="18"/>
          </w:rPr>
          <w:t>CCPR/C/101/D/1604/2007</w:t>
        </w:r>
      </w:hyperlink>
      <w:r w:rsidRPr="000E3E90">
        <w:rPr>
          <w:szCs w:val="18"/>
        </w:rPr>
        <w:t>), п</w:t>
      </w:r>
      <w:r w:rsidR="00051DA3">
        <w:rPr>
          <w:szCs w:val="18"/>
        </w:rPr>
        <w:t>.</w:t>
      </w:r>
      <w:r w:rsidRPr="000E3E90">
        <w:rPr>
          <w:szCs w:val="18"/>
        </w:rPr>
        <w:t xml:space="preserve"> 10.5. </w:t>
      </w:r>
    </w:p>
  </w:footnote>
  <w:footnote w:id="19">
    <w:p w14:paraId="73FE07A0" w14:textId="39F3E2F6" w:rsidR="004640F2" w:rsidRPr="000E3E90" w:rsidRDefault="004640F2" w:rsidP="004640F2">
      <w:pPr>
        <w:pStyle w:val="ad"/>
        <w:widowControl w:val="0"/>
        <w:rPr>
          <w:szCs w:val="18"/>
        </w:rPr>
      </w:pPr>
      <w:r w:rsidRPr="000E3E90">
        <w:rPr>
          <w:szCs w:val="18"/>
        </w:rPr>
        <w:tab/>
      </w:r>
      <w:r w:rsidRPr="000E3E90">
        <w:rPr>
          <w:rStyle w:val="aa"/>
          <w:szCs w:val="18"/>
        </w:rPr>
        <w:footnoteRef/>
      </w:r>
      <w:r w:rsidRPr="000E3E90">
        <w:rPr>
          <w:szCs w:val="18"/>
        </w:rPr>
        <w:tab/>
        <w:t xml:space="preserve">См., например, </w:t>
      </w:r>
      <w:r w:rsidRPr="000E3E90">
        <w:rPr>
          <w:i/>
          <w:iCs/>
          <w:szCs w:val="18"/>
        </w:rPr>
        <w:t>Светик против Беларуси</w:t>
      </w:r>
      <w:r w:rsidRPr="000E3E90">
        <w:rPr>
          <w:szCs w:val="18"/>
        </w:rPr>
        <w:t xml:space="preserve"> (</w:t>
      </w:r>
      <w:hyperlink r:id="rId6" w:history="1">
        <w:r w:rsidR="00CD5D20">
          <w:rPr>
            <w:rStyle w:val="af1"/>
          </w:rPr>
          <w:t>CCPR/C/81/D/927/2000</w:t>
        </w:r>
      </w:hyperlink>
      <w:r w:rsidRPr="000E3E90">
        <w:rPr>
          <w:szCs w:val="18"/>
        </w:rPr>
        <w:t>), п</w:t>
      </w:r>
      <w:r w:rsidR="00051DA3">
        <w:rPr>
          <w:szCs w:val="18"/>
        </w:rPr>
        <w:t>.</w:t>
      </w:r>
      <w:r w:rsidRPr="000E3E90">
        <w:rPr>
          <w:szCs w:val="18"/>
        </w:rPr>
        <w:t xml:space="preserve"> 7.3;</w:t>
      </w:r>
      <w:r w:rsidR="00051DA3">
        <w:rPr>
          <w:szCs w:val="18"/>
        </w:rPr>
        <w:br/>
      </w:r>
      <w:r w:rsidRPr="000E3E90">
        <w:rPr>
          <w:szCs w:val="18"/>
        </w:rPr>
        <w:t xml:space="preserve">и </w:t>
      </w:r>
      <w:r w:rsidRPr="000E3E90">
        <w:rPr>
          <w:i/>
          <w:iCs/>
          <w:szCs w:val="18"/>
        </w:rPr>
        <w:t>Щетко и Щетко против Беларуси</w:t>
      </w:r>
      <w:r w:rsidRPr="000E3E90">
        <w:rPr>
          <w:szCs w:val="18"/>
        </w:rPr>
        <w:t xml:space="preserve"> (</w:t>
      </w:r>
      <w:hyperlink r:id="rId7" w:history="1">
        <w:r w:rsidR="001B64AF">
          <w:rPr>
            <w:rStyle w:val="af1"/>
            <w:szCs w:val="18"/>
          </w:rPr>
          <w:t>CCPR/C/87/D/1009/2001</w:t>
        </w:r>
      </w:hyperlink>
      <w:r w:rsidRPr="000E3E90">
        <w:rPr>
          <w:szCs w:val="18"/>
        </w:rPr>
        <w:t>), п</w:t>
      </w:r>
      <w:r w:rsidR="00051DA3">
        <w:rPr>
          <w:szCs w:val="18"/>
        </w:rPr>
        <w:t>.</w:t>
      </w:r>
      <w:r w:rsidRPr="000E3E90">
        <w:rPr>
          <w:szCs w:val="18"/>
        </w:rPr>
        <w:t xml:space="preserve"> 7.5.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A207" w14:textId="3345EC41" w:rsidR="00D6204C" w:rsidRPr="00D6204C" w:rsidRDefault="00F0685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>
      <w:t>CCPR</w:t>
    </w:r>
    <w:proofErr w:type="spellEnd"/>
    <w:r>
      <w:t>/C/135/D/2827/2016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CF9E" w14:textId="3DEB8856" w:rsidR="00D6204C" w:rsidRPr="00D6204C" w:rsidRDefault="00F0685D" w:rsidP="00D6204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>
      <w:t>CCPR</w:t>
    </w:r>
    <w:proofErr w:type="spellEnd"/>
    <w:r>
      <w:t>/C/135/D/2827/2016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65237178">
    <w:abstractNumId w:val="16"/>
  </w:num>
  <w:num w:numId="2" w16cid:durableId="2109344906">
    <w:abstractNumId w:val="11"/>
  </w:num>
  <w:num w:numId="3" w16cid:durableId="442530426">
    <w:abstractNumId w:val="10"/>
  </w:num>
  <w:num w:numId="4" w16cid:durableId="1997418500">
    <w:abstractNumId w:val="17"/>
  </w:num>
  <w:num w:numId="5" w16cid:durableId="1649506085">
    <w:abstractNumId w:val="13"/>
  </w:num>
  <w:num w:numId="6" w16cid:durableId="144660999">
    <w:abstractNumId w:val="8"/>
  </w:num>
  <w:num w:numId="7" w16cid:durableId="32316617">
    <w:abstractNumId w:val="3"/>
  </w:num>
  <w:num w:numId="8" w16cid:durableId="166989094">
    <w:abstractNumId w:val="2"/>
  </w:num>
  <w:num w:numId="9" w16cid:durableId="1815874213">
    <w:abstractNumId w:val="1"/>
  </w:num>
  <w:num w:numId="10" w16cid:durableId="1834295660">
    <w:abstractNumId w:val="0"/>
  </w:num>
  <w:num w:numId="11" w16cid:durableId="1311666920">
    <w:abstractNumId w:val="9"/>
  </w:num>
  <w:num w:numId="12" w16cid:durableId="586884964">
    <w:abstractNumId w:val="7"/>
  </w:num>
  <w:num w:numId="13" w16cid:durableId="1539397021">
    <w:abstractNumId w:val="6"/>
  </w:num>
  <w:num w:numId="14" w16cid:durableId="806167668">
    <w:abstractNumId w:val="5"/>
  </w:num>
  <w:num w:numId="15" w16cid:durableId="1909916819">
    <w:abstractNumId w:val="4"/>
  </w:num>
  <w:num w:numId="16" w16cid:durableId="1262301213">
    <w:abstractNumId w:val="15"/>
  </w:num>
  <w:num w:numId="17" w16cid:durableId="1509637202">
    <w:abstractNumId w:val="12"/>
  </w:num>
  <w:num w:numId="18" w16cid:durableId="899099919">
    <w:abstractNumId w:val="14"/>
  </w:num>
  <w:num w:numId="19" w16cid:durableId="1290165143">
    <w:abstractNumId w:val="15"/>
  </w:num>
  <w:num w:numId="20" w16cid:durableId="2041004507">
    <w:abstractNumId w:val="12"/>
  </w:num>
  <w:num w:numId="21" w16cid:durableId="84463528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83"/>
    <w:rsid w:val="00033EE1"/>
    <w:rsid w:val="000358F2"/>
    <w:rsid w:val="00042B72"/>
    <w:rsid w:val="00051DA3"/>
    <w:rsid w:val="000558BD"/>
    <w:rsid w:val="00067FE4"/>
    <w:rsid w:val="000B57E7"/>
    <w:rsid w:val="000B6373"/>
    <w:rsid w:val="000C06A6"/>
    <w:rsid w:val="000F09DF"/>
    <w:rsid w:val="000F61B2"/>
    <w:rsid w:val="001075E9"/>
    <w:rsid w:val="0014259E"/>
    <w:rsid w:val="00180183"/>
    <w:rsid w:val="0018024D"/>
    <w:rsid w:val="0018649F"/>
    <w:rsid w:val="00196389"/>
    <w:rsid w:val="001B3EF6"/>
    <w:rsid w:val="001B64AF"/>
    <w:rsid w:val="001C7A89"/>
    <w:rsid w:val="00254812"/>
    <w:rsid w:val="002A2EFC"/>
    <w:rsid w:val="002C0E18"/>
    <w:rsid w:val="002D5AAC"/>
    <w:rsid w:val="002E00F0"/>
    <w:rsid w:val="002E5067"/>
    <w:rsid w:val="002F405F"/>
    <w:rsid w:val="002F5F89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3B549D"/>
    <w:rsid w:val="00407B78"/>
    <w:rsid w:val="00424203"/>
    <w:rsid w:val="00452493"/>
    <w:rsid w:val="00454E07"/>
    <w:rsid w:val="004640F2"/>
    <w:rsid w:val="00472C5C"/>
    <w:rsid w:val="004969B2"/>
    <w:rsid w:val="0050108D"/>
    <w:rsid w:val="00513081"/>
    <w:rsid w:val="00517901"/>
    <w:rsid w:val="00526683"/>
    <w:rsid w:val="005709E0"/>
    <w:rsid w:val="00572E19"/>
    <w:rsid w:val="00590C46"/>
    <w:rsid w:val="005961C8"/>
    <w:rsid w:val="005C1EE8"/>
    <w:rsid w:val="005D7914"/>
    <w:rsid w:val="005E2B41"/>
    <w:rsid w:val="005F0B42"/>
    <w:rsid w:val="00626F08"/>
    <w:rsid w:val="00666B97"/>
    <w:rsid w:val="00677574"/>
    <w:rsid w:val="00681A10"/>
    <w:rsid w:val="006A1ED8"/>
    <w:rsid w:val="006C2031"/>
    <w:rsid w:val="006D461A"/>
    <w:rsid w:val="006F35EE"/>
    <w:rsid w:val="007021FF"/>
    <w:rsid w:val="00712895"/>
    <w:rsid w:val="0075523D"/>
    <w:rsid w:val="00757357"/>
    <w:rsid w:val="00787D3A"/>
    <w:rsid w:val="00791B9D"/>
    <w:rsid w:val="00825F8D"/>
    <w:rsid w:val="00834B71"/>
    <w:rsid w:val="0086445C"/>
    <w:rsid w:val="00894693"/>
    <w:rsid w:val="008A08D7"/>
    <w:rsid w:val="008B6909"/>
    <w:rsid w:val="00906890"/>
    <w:rsid w:val="00911BE4"/>
    <w:rsid w:val="00931A71"/>
    <w:rsid w:val="00951972"/>
    <w:rsid w:val="009608F3"/>
    <w:rsid w:val="009918E2"/>
    <w:rsid w:val="009A24AC"/>
    <w:rsid w:val="009C33E2"/>
    <w:rsid w:val="009D21FD"/>
    <w:rsid w:val="00A14DA8"/>
    <w:rsid w:val="00A27DAC"/>
    <w:rsid w:val="00A312BC"/>
    <w:rsid w:val="00A34D07"/>
    <w:rsid w:val="00A84021"/>
    <w:rsid w:val="00A84D35"/>
    <w:rsid w:val="00A917B3"/>
    <w:rsid w:val="00AB4B51"/>
    <w:rsid w:val="00AD6F87"/>
    <w:rsid w:val="00B10CC7"/>
    <w:rsid w:val="00B125B7"/>
    <w:rsid w:val="00B136DB"/>
    <w:rsid w:val="00B539E7"/>
    <w:rsid w:val="00B53B56"/>
    <w:rsid w:val="00B62458"/>
    <w:rsid w:val="00B80C6E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D5D20"/>
    <w:rsid w:val="00CE5A1A"/>
    <w:rsid w:val="00CF55F6"/>
    <w:rsid w:val="00D33D63"/>
    <w:rsid w:val="00D6204C"/>
    <w:rsid w:val="00D72255"/>
    <w:rsid w:val="00D90028"/>
    <w:rsid w:val="00D90138"/>
    <w:rsid w:val="00D9090B"/>
    <w:rsid w:val="00DD78D1"/>
    <w:rsid w:val="00DE32CD"/>
    <w:rsid w:val="00DE49DE"/>
    <w:rsid w:val="00DF71B9"/>
    <w:rsid w:val="00E005F7"/>
    <w:rsid w:val="00E06BEE"/>
    <w:rsid w:val="00E46656"/>
    <w:rsid w:val="00E73F76"/>
    <w:rsid w:val="00E749C8"/>
    <w:rsid w:val="00EA2C9F"/>
    <w:rsid w:val="00EA420E"/>
    <w:rsid w:val="00ED0BDA"/>
    <w:rsid w:val="00EF1360"/>
    <w:rsid w:val="00EF3220"/>
    <w:rsid w:val="00F0685D"/>
    <w:rsid w:val="00F37FD7"/>
    <w:rsid w:val="00F43903"/>
    <w:rsid w:val="00F94155"/>
    <w:rsid w:val="00F9783F"/>
    <w:rsid w:val="00FB14BC"/>
    <w:rsid w:val="00FC0883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41766"/>
  <w15:docId w15:val="{B4FB70D1-3693-4D57-946F-FDAB6F88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4640F2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B80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ru/CCPR/C/117/D/2082/2011" TargetMode="External"/><Relationship Id="rId7" Type="http://schemas.openxmlformats.org/officeDocument/2006/relationships/hyperlink" Target="http://undocs.org/ru/CCPR/C/87/D/1009/2001" TargetMode="External"/><Relationship Id="rId2" Type="http://schemas.openxmlformats.org/officeDocument/2006/relationships/hyperlink" Target="http://undocs.org/ru/CCPR/C/112/D/2137/2012" TargetMode="External"/><Relationship Id="rId1" Type="http://schemas.openxmlformats.org/officeDocument/2006/relationships/hyperlink" Target="http://undocs.org/ru/A/HRC/29/25/Add.2" TargetMode="External"/><Relationship Id="rId6" Type="http://schemas.openxmlformats.org/officeDocument/2006/relationships/hyperlink" Target="http://undocs.org/en/CCPR/C/81/D/927/2000" TargetMode="External"/><Relationship Id="rId5" Type="http://schemas.openxmlformats.org/officeDocument/2006/relationships/hyperlink" Target="http://undocs.org/ru/CCPR/C/101/D/1604/2007" TargetMode="External"/><Relationship Id="rId4" Type="http://schemas.openxmlformats.org/officeDocument/2006/relationships/hyperlink" Target="http://undocs.org/ru/CCPR/C/116/D/2092/201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6</Pages>
  <Words>2282</Words>
  <Characters>15839</Characters>
  <Application>Microsoft Office Word</Application>
  <DocSecurity>0</DocSecurity>
  <Lines>368</Lines>
  <Paragraphs>188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CCPR/C/135/D/2827/2016</vt:lpstr>
      <vt:lpstr>A/</vt:lpstr>
      <vt:lpstr>A/</vt:lpstr>
    </vt:vector>
  </TitlesOfParts>
  <Company>DCM</Company>
  <LinksUpToDate>false</LinksUpToDate>
  <CharactersWithSpaces>17933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CCPR/C/135/D/2827/2016</dc:title>
  <dc:subject/>
  <dc:creator>Uliana ANTIPOVA</dc:creator>
  <cp:keywords/>
  <cp:lastModifiedBy>Anna Petelina</cp:lastModifiedBy>
  <cp:revision>3</cp:revision>
  <cp:lastPrinted>2023-03-02T15:15:00Z</cp:lastPrinted>
  <dcterms:created xsi:type="dcterms:W3CDTF">2023-03-02T15:15:00Z</dcterms:created>
  <dcterms:modified xsi:type="dcterms:W3CDTF">2023-03-02T15:16:00Z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