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7D9F4709" w14:textId="77777777" w:rsidTr="00B614C4">
        <w:trPr>
          <w:trHeight w:hRule="exact" w:val="851"/>
        </w:trPr>
        <w:tc>
          <w:tcPr>
            <w:tcW w:w="1280" w:type="dxa"/>
            <w:tcBorders>
              <w:bottom w:val="single" w:sz="4" w:space="0" w:color="auto"/>
            </w:tcBorders>
          </w:tcPr>
          <w:p w14:paraId="162452D1" w14:textId="77777777" w:rsidR="00CE1D1C" w:rsidRPr="00F124C6" w:rsidRDefault="00CE1D1C" w:rsidP="00B614C4">
            <w:pPr>
              <w:pStyle w:val="H23GC"/>
            </w:pPr>
          </w:p>
        </w:tc>
        <w:tc>
          <w:tcPr>
            <w:tcW w:w="2273" w:type="dxa"/>
            <w:tcBorders>
              <w:bottom w:val="single" w:sz="4" w:space="0" w:color="auto"/>
            </w:tcBorders>
            <w:vAlign w:val="bottom"/>
          </w:tcPr>
          <w:p w14:paraId="0A89C909"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2F21F15" w14:textId="2BA3F25A" w:rsidR="00CE1D1C" w:rsidRPr="008C5B60" w:rsidRDefault="008C5B60" w:rsidP="00B614C4">
            <w:pPr>
              <w:spacing w:line="240" w:lineRule="atLeast"/>
              <w:jc w:val="right"/>
              <w:rPr>
                <w:sz w:val="20"/>
                <w:szCs w:val="21"/>
              </w:rPr>
            </w:pPr>
            <w:r w:rsidRPr="00056E9D">
              <w:rPr>
                <w:sz w:val="40"/>
                <w:szCs w:val="21"/>
              </w:rPr>
              <w:t>CCPR</w:t>
            </w:r>
            <w:r w:rsidRPr="00056E9D">
              <w:rPr>
                <w:sz w:val="20"/>
                <w:szCs w:val="21"/>
              </w:rPr>
              <w:t>/C/135/D/2827/2016</w:t>
            </w:r>
          </w:p>
        </w:tc>
      </w:tr>
      <w:tr w:rsidR="00CE1D1C" w:rsidRPr="00F124C6" w14:paraId="3C3853B7" w14:textId="77777777" w:rsidTr="00B614C4">
        <w:trPr>
          <w:trHeight w:hRule="exact" w:val="2835"/>
        </w:trPr>
        <w:tc>
          <w:tcPr>
            <w:tcW w:w="1280" w:type="dxa"/>
            <w:tcBorders>
              <w:top w:val="single" w:sz="4" w:space="0" w:color="auto"/>
              <w:bottom w:val="single" w:sz="12" w:space="0" w:color="auto"/>
            </w:tcBorders>
          </w:tcPr>
          <w:p w14:paraId="62751F60" w14:textId="77777777" w:rsidR="00CE1D1C" w:rsidRPr="00F124C6" w:rsidRDefault="00CE1D1C" w:rsidP="00B614C4">
            <w:pPr>
              <w:spacing w:line="120" w:lineRule="atLeast"/>
              <w:rPr>
                <w:sz w:val="10"/>
                <w:szCs w:val="10"/>
              </w:rPr>
            </w:pPr>
          </w:p>
          <w:p w14:paraId="42419080"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3DE97119" wp14:editId="3FA4AD6A">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851442E"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0B19612" w14:textId="2C7C645A" w:rsidR="00CE1D1C" w:rsidRPr="0004600B" w:rsidRDefault="00CE1D1C" w:rsidP="00B614C4">
            <w:pPr>
              <w:spacing w:before="240" w:line="240" w:lineRule="atLeast"/>
              <w:rPr>
                <w:sz w:val="20"/>
              </w:rPr>
            </w:pPr>
            <w:r w:rsidRPr="00F124C6">
              <w:rPr>
                <w:sz w:val="20"/>
              </w:rPr>
              <w:t xml:space="preserve">Distr.: </w:t>
            </w:r>
            <w:r w:rsidR="008C5B60" w:rsidRPr="008C5B60">
              <w:rPr>
                <w:sz w:val="20"/>
              </w:rPr>
              <w:t>General</w:t>
            </w:r>
          </w:p>
          <w:p w14:paraId="07D6DF99" w14:textId="5101E9A3" w:rsidR="00CE1D1C" w:rsidRPr="00F124C6" w:rsidRDefault="008C5B60" w:rsidP="00B614C4">
            <w:pPr>
              <w:spacing w:line="240" w:lineRule="atLeast"/>
              <w:rPr>
                <w:sz w:val="20"/>
              </w:rPr>
            </w:pPr>
            <w:r>
              <w:rPr>
                <w:sz w:val="20"/>
              </w:rPr>
              <w:t xml:space="preserve">15 </w:t>
            </w:r>
            <w:r w:rsidRPr="008C5B60">
              <w:rPr>
                <w:sz w:val="20"/>
              </w:rPr>
              <w:t>November</w:t>
            </w:r>
            <w:r w:rsidR="00EA7E67">
              <w:rPr>
                <w:sz w:val="20"/>
              </w:rPr>
              <w:t xml:space="preserve"> 20</w:t>
            </w:r>
            <w:r w:rsidR="0060122D">
              <w:rPr>
                <w:sz w:val="20"/>
              </w:rPr>
              <w:t>2</w:t>
            </w:r>
            <w:r w:rsidR="00C43CF0">
              <w:rPr>
                <w:sz w:val="20"/>
              </w:rPr>
              <w:t>2</w:t>
            </w:r>
          </w:p>
          <w:p w14:paraId="594CA6C1" w14:textId="77777777" w:rsidR="00CE1D1C" w:rsidRPr="00F124C6" w:rsidRDefault="00CE1D1C" w:rsidP="00B614C4">
            <w:pPr>
              <w:spacing w:line="240" w:lineRule="atLeast"/>
              <w:rPr>
                <w:sz w:val="20"/>
              </w:rPr>
            </w:pPr>
            <w:r w:rsidRPr="00F124C6">
              <w:rPr>
                <w:sz w:val="20"/>
              </w:rPr>
              <w:t xml:space="preserve">Chinese </w:t>
            </w:r>
          </w:p>
          <w:p w14:paraId="6CA62077" w14:textId="77777777" w:rsidR="00CE1D1C" w:rsidRPr="00F124C6" w:rsidRDefault="00CE1D1C" w:rsidP="00B614C4">
            <w:pPr>
              <w:spacing w:line="240" w:lineRule="atLeast"/>
            </w:pPr>
            <w:r w:rsidRPr="00F124C6">
              <w:rPr>
                <w:sz w:val="20"/>
              </w:rPr>
              <w:t>Original: English</w:t>
            </w:r>
          </w:p>
        </w:tc>
      </w:tr>
    </w:tbl>
    <w:p w14:paraId="041B9D7A" w14:textId="77777777" w:rsidR="008C5B60" w:rsidRDefault="008C5B60"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63C9D4DB" w14:textId="6166C99A" w:rsidR="008C5B60" w:rsidRDefault="008C5B60" w:rsidP="008C5B60">
      <w:pPr>
        <w:pStyle w:val="HChGC"/>
      </w:pPr>
      <w:r>
        <w:tab/>
      </w:r>
      <w:r>
        <w:tab/>
      </w:r>
      <w:r w:rsidRPr="008C5B60">
        <w:rPr>
          <w:rFonts w:hint="eastAsia"/>
        </w:rPr>
        <w:t>委员会根据《任择议定书》第五条第四款通过的关于第</w:t>
      </w:r>
      <w:r w:rsidRPr="008C5B60">
        <w:rPr>
          <w:rFonts w:hint="eastAsia"/>
        </w:rPr>
        <w:t>2827/2016</w:t>
      </w:r>
      <w:r w:rsidRPr="008C5B60">
        <w:rPr>
          <w:rFonts w:hint="eastAsia"/>
        </w:rPr>
        <w:t>号来文的意见</w:t>
      </w:r>
      <w:r w:rsidRPr="008C5B60">
        <w:rPr>
          <w:rStyle w:val="a8"/>
          <w:rFonts w:eastAsia="黑体"/>
          <w:sz w:val="28"/>
          <w:vertAlign w:val="baseline"/>
        </w:rPr>
        <w:footnoteReference w:customMarkFollows="1" w:id="2"/>
        <w:t>*</w:t>
      </w:r>
      <w:r w:rsidRPr="008C5B60">
        <w:t xml:space="preserve"> </w:t>
      </w:r>
      <w:r w:rsidRPr="008C5B60">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8C5B60" w14:paraId="0FD4A5B4" w14:textId="77777777" w:rsidTr="0069394F">
        <w:trPr>
          <w:cantSplit/>
        </w:trPr>
        <w:tc>
          <w:tcPr>
            <w:tcW w:w="2187" w:type="dxa"/>
          </w:tcPr>
          <w:p w14:paraId="50F7BBE9" w14:textId="5F1F97D8" w:rsidR="008C5B60" w:rsidRPr="00172E04" w:rsidRDefault="001828ED" w:rsidP="0069394F">
            <w:pPr>
              <w:pStyle w:val="SingleTxtGC"/>
              <w:ind w:left="0" w:right="0"/>
              <w:rPr>
                <w:rFonts w:eastAsia="楷体"/>
              </w:rPr>
            </w:pPr>
            <w:r w:rsidRPr="001828ED">
              <w:rPr>
                <w:rFonts w:ascii="Time New Roman" w:eastAsia="楷体" w:hAnsi="Time New Roman" w:hint="eastAsia"/>
              </w:rPr>
              <w:t>来文</w:t>
            </w:r>
            <w:r w:rsidR="008C5B60" w:rsidRPr="00172E04">
              <w:rPr>
                <w:rFonts w:ascii="Time New Roman" w:eastAsia="楷体" w:hAnsi="Time New Roman" w:hint="eastAsia"/>
              </w:rPr>
              <w:t>提交人</w:t>
            </w:r>
            <w:r w:rsidR="008C5B60" w:rsidRPr="00172E04">
              <w:rPr>
                <w:rFonts w:eastAsia="楷体" w:hint="eastAsia"/>
              </w:rPr>
              <w:t>：</w:t>
            </w:r>
          </w:p>
        </w:tc>
        <w:tc>
          <w:tcPr>
            <w:tcW w:w="4744" w:type="dxa"/>
          </w:tcPr>
          <w:p w14:paraId="4AF0B821" w14:textId="17C8738D" w:rsidR="008C5B60" w:rsidRPr="00C74FB6" w:rsidRDefault="001828ED" w:rsidP="0069394F">
            <w:pPr>
              <w:pStyle w:val="SingleTxtGC"/>
              <w:ind w:left="0" w:right="0"/>
            </w:pPr>
            <w:r w:rsidRPr="001828ED">
              <w:rPr>
                <w:rFonts w:hint="eastAsia"/>
              </w:rPr>
              <w:t>Maksat Nurypbaev(</w:t>
            </w:r>
            <w:r w:rsidRPr="001828ED">
              <w:rPr>
                <w:rFonts w:hint="eastAsia"/>
              </w:rPr>
              <w:t>由非政府组织</w:t>
            </w:r>
            <w:r w:rsidRPr="001828ED">
              <w:rPr>
                <w:rFonts w:hint="eastAsia"/>
              </w:rPr>
              <w:t>Ar.Rukh.Khak</w:t>
            </w:r>
            <w:r w:rsidRPr="001828ED">
              <w:rPr>
                <w:rFonts w:hint="eastAsia"/>
              </w:rPr>
              <w:t>代理</w:t>
            </w:r>
            <w:r w:rsidRPr="001828ED">
              <w:rPr>
                <w:rFonts w:hint="eastAsia"/>
              </w:rPr>
              <w:t>)</w:t>
            </w:r>
          </w:p>
        </w:tc>
      </w:tr>
      <w:tr w:rsidR="008C5B60" w14:paraId="0F81E3F7" w14:textId="77777777" w:rsidTr="0069394F">
        <w:trPr>
          <w:cantSplit/>
        </w:trPr>
        <w:tc>
          <w:tcPr>
            <w:tcW w:w="2187" w:type="dxa"/>
          </w:tcPr>
          <w:p w14:paraId="6BE5AA74" w14:textId="77777777" w:rsidR="008C5B60" w:rsidRPr="00172E04" w:rsidRDefault="008C5B60" w:rsidP="0069394F">
            <w:pPr>
              <w:pStyle w:val="SingleTxtGC"/>
              <w:ind w:left="0" w:right="0"/>
              <w:rPr>
                <w:rFonts w:eastAsia="楷体"/>
              </w:rPr>
            </w:pPr>
            <w:r w:rsidRPr="00172E04">
              <w:rPr>
                <w:rFonts w:ascii="Time New Roman" w:eastAsia="楷体" w:hAnsi="Time New Roman" w:hint="eastAsia"/>
              </w:rPr>
              <w:t>据称受害人：</w:t>
            </w:r>
          </w:p>
        </w:tc>
        <w:tc>
          <w:tcPr>
            <w:tcW w:w="4744" w:type="dxa"/>
          </w:tcPr>
          <w:p w14:paraId="64C90997" w14:textId="77777777" w:rsidR="008C5B60" w:rsidRPr="00C74FB6" w:rsidRDefault="008C5B60" w:rsidP="0069394F">
            <w:pPr>
              <w:pStyle w:val="SingleTxtGC"/>
              <w:ind w:left="0" w:right="0"/>
            </w:pPr>
            <w:r w:rsidRPr="00C74FB6">
              <w:rPr>
                <w:rFonts w:hint="eastAsia"/>
              </w:rPr>
              <w:t>提交人</w:t>
            </w:r>
          </w:p>
        </w:tc>
      </w:tr>
      <w:tr w:rsidR="008C5B60" w14:paraId="1576AC38" w14:textId="77777777" w:rsidTr="0069394F">
        <w:trPr>
          <w:cantSplit/>
        </w:trPr>
        <w:tc>
          <w:tcPr>
            <w:tcW w:w="2187" w:type="dxa"/>
          </w:tcPr>
          <w:p w14:paraId="051322BF" w14:textId="77777777" w:rsidR="008C5B60" w:rsidRPr="00172E04" w:rsidRDefault="008C5B60" w:rsidP="0069394F">
            <w:pPr>
              <w:pStyle w:val="SingleTxtGC"/>
              <w:ind w:left="0" w:right="0"/>
              <w:rPr>
                <w:rFonts w:eastAsia="楷体"/>
              </w:rPr>
            </w:pPr>
            <w:r w:rsidRPr="00172E04">
              <w:rPr>
                <w:rFonts w:ascii="Time New Roman" w:eastAsia="楷体" w:hAnsi="Time New Roman" w:hint="eastAsia"/>
              </w:rPr>
              <w:t>所涉缔约国：</w:t>
            </w:r>
          </w:p>
        </w:tc>
        <w:tc>
          <w:tcPr>
            <w:tcW w:w="4744" w:type="dxa"/>
          </w:tcPr>
          <w:p w14:paraId="4A28ACB6" w14:textId="55416026" w:rsidR="008C5B60" w:rsidRPr="00C74FB6" w:rsidRDefault="001828ED" w:rsidP="0069394F">
            <w:pPr>
              <w:pStyle w:val="SingleTxtGC"/>
              <w:ind w:left="0" w:right="0"/>
            </w:pPr>
            <w:r w:rsidRPr="001828ED">
              <w:rPr>
                <w:rFonts w:hint="eastAsia"/>
              </w:rPr>
              <w:t>哈萨克斯坦</w:t>
            </w:r>
          </w:p>
        </w:tc>
      </w:tr>
      <w:tr w:rsidR="008C5B60" w14:paraId="3DF4AB63" w14:textId="77777777" w:rsidTr="0069394F">
        <w:trPr>
          <w:cantSplit/>
        </w:trPr>
        <w:tc>
          <w:tcPr>
            <w:tcW w:w="2187" w:type="dxa"/>
          </w:tcPr>
          <w:p w14:paraId="04B99B9E" w14:textId="77777777" w:rsidR="008C5B60" w:rsidRPr="00172E04" w:rsidRDefault="008C5B60"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14:paraId="5F93A382" w14:textId="12A2AEEA" w:rsidR="008C5B60" w:rsidRPr="00C74FB6" w:rsidRDefault="001828ED" w:rsidP="0069394F">
            <w:pPr>
              <w:pStyle w:val="SingleTxtGC"/>
              <w:ind w:left="0" w:right="0"/>
            </w:pPr>
            <w:r w:rsidRPr="001828ED">
              <w:rPr>
                <w:rFonts w:hint="eastAsia"/>
              </w:rPr>
              <w:t>2016</w:t>
            </w:r>
            <w:r w:rsidRPr="001828ED">
              <w:rPr>
                <w:rFonts w:hint="eastAsia"/>
              </w:rPr>
              <w:t>年</w:t>
            </w:r>
            <w:r w:rsidRPr="001828ED">
              <w:rPr>
                <w:rFonts w:hint="eastAsia"/>
              </w:rPr>
              <w:t>4</w:t>
            </w:r>
            <w:r w:rsidRPr="001828ED">
              <w:rPr>
                <w:rFonts w:hint="eastAsia"/>
              </w:rPr>
              <w:t>月</w:t>
            </w:r>
            <w:r w:rsidRPr="001828ED">
              <w:rPr>
                <w:rFonts w:hint="eastAsia"/>
              </w:rPr>
              <w:t>23</w:t>
            </w:r>
            <w:r w:rsidRPr="001828ED">
              <w:rPr>
                <w:rFonts w:hint="eastAsia"/>
              </w:rPr>
              <w:t>日</w:t>
            </w:r>
            <w:r w:rsidR="008C5B60" w:rsidRPr="00C74FB6">
              <w:rPr>
                <w:rFonts w:hint="eastAsia"/>
              </w:rPr>
              <w:t>(</w:t>
            </w:r>
            <w:r w:rsidR="008C5B60" w:rsidRPr="00C74FB6">
              <w:rPr>
                <w:rFonts w:hint="eastAsia"/>
              </w:rPr>
              <w:t>首次提交</w:t>
            </w:r>
            <w:r w:rsidR="008C5B60" w:rsidRPr="00C74FB6">
              <w:rPr>
                <w:rFonts w:hint="eastAsia"/>
              </w:rPr>
              <w:t>)</w:t>
            </w:r>
          </w:p>
        </w:tc>
      </w:tr>
      <w:tr w:rsidR="008C5B60" w14:paraId="39FF34C4" w14:textId="77777777" w:rsidTr="0069394F">
        <w:trPr>
          <w:cantSplit/>
        </w:trPr>
        <w:tc>
          <w:tcPr>
            <w:tcW w:w="2187" w:type="dxa"/>
          </w:tcPr>
          <w:p w14:paraId="6E5FC3C9" w14:textId="77777777" w:rsidR="008C5B60" w:rsidRPr="00172E04" w:rsidRDefault="008C5B60"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14:paraId="6AE6F984" w14:textId="244CD4F6" w:rsidR="008C5B60" w:rsidRPr="00C74FB6" w:rsidRDefault="001828ED" w:rsidP="0069394F">
            <w:pPr>
              <w:pStyle w:val="SingleTxtGC"/>
              <w:ind w:left="0" w:right="0"/>
              <w:rPr>
                <w:lang w:val="fr-CH"/>
              </w:rPr>
            </w:pPr>
            <w:r w:rsidRPr="001828ED">
              <w:rPr>
                <w:rFonts w:hint="eastAsia"/>
                <w:lang w:val="fr-CH"/>
              </w:rPr>
              <w:t>根据委员会议事规则第</w:t>
            </w:r>
            <w:r w:rsidRPr="001828ED">
              <w:rPr>
                <w:rFonts w:hint="eastAsia"/>
                <w:lang w:val="fr-CH"/>
              </w:rPr>
              <w:t>92</w:t>
            </w:r>
            <w:r w:rsidRPr="001828ED">
              <w:rPr>
                <w:rFonts w:hint="eastAsia"/>
                <w:lang w:val="fr-CH"/>
              </w:rPr>
              <w:t>条作出的决定，已于</w:t>
            </w:r>
            <w:r w:rsidRPr="001828ED">
              <w:rPr>
                <w:rFonts w:hint="eastAsia"/>
                <w:lang w:val="fr-CH"/>
              </w:rPr>
              <w:t>2016</w:t>
            </w:r>
            <w:r w:rsidRPr="001828ED">
              <w:rPr>
                <w:rFonts w:hint="eastAsia"/>
                <w:lang w:val="fr-CH"/>
              </w:rPr>
              <w:t>年</w:t>
            </w:r>
            <w:r w:rsidRPr="001828ED">
              <w:rPr>
                <w:rFonts w:hint="eastAsia"/>
                <w:lang w:val="fr-CH"/>
              </w:rPr>
              <w:t>10</w:t>
            </w:r>
            <w:r w:rsidRPr="001828ED">
              <w:rPr>
                <w:rFonts w:hint="eastAsia"/>
                <w:lang w:val="fr-CH"/>
              </w:rPr>
              <w:t>月</w:t>
            </w:r>
            <w:r w:rsidRPr="001828ED">
              <w:rPr>
                <w:rFonts w:hint="eastAsia"/>
                <w:lang w:val="fr-CH"/>
              </w:rPr>
              <w:t>17</w:t>
            </w:r>
            <w:r w:rsidRPr="001828ED">
              <w:rPr>
                <w:rFonts w:hint="eastAsia"/>
                <w:lang w:val="fr-CH"/>
              </w:rPr>
              <w:t>日转交缔约国</w:t>
            </w:r>
            <w:r w:rsidRPr="001828ED">
              <w:rPr>
                <w:rFonts w:hint="eastAsia"/>
                <w:lang w:val="fr-CH"/>
              </w:rPr>
              <w:t>(</w:t>
            </w:r>
            <w:r w:rsidRPr="001828ED">
              <w:rPr>
                <w:rFonts w:hint="eastAsia"/>
                <w:lang w:val="fr-CH"/>
              </w:rPr>
              <w:t>未以文件形式印发</w:t>
            </w:r>
            <w:r w:rsidRPr="001828ED">
              <w:rPr>
                <w:rFonts w:hint="eastAsia"/>
                <w:lang w:val="fr-CH"/>
              </w:rPr>
              <w:t>)</w:t>
            </w:r>
          </w:p>
        </w:tc>
      </w:tr>
      <w:tr w:rsidR="008C5B60" w14:paraId="24CC0090" w14:textId="77777777" w:rsidTr="0069394F">
        <w:trPr>
          <w:cantSplit/>
        </w:trPr>
        <w:tc>
          <w:tcPr>
            <w:tcW w:w="2187" w:type="dxa"/>
          </w:tcPr>
          <w:p w14:paraId="0E9807C4" w14:textId="7A8EA6D9" w:rsidR="008C5B60" w:rsidRPr="00172E04" w:rsidRDefault="001828ED" w:rsidP="0069394F">
            <w:pPr>
              <w:pStyle w:val="SingleTxtGC"/>
              <w:ind w:left="0" w:right="0"/>
              <w:rPr>
                <w:rFonts w:ascii="Time New Roman" w:eastAsia="楷体" w:hAnsi="Time New Roman" w:hint="eastAsia"/>
              </w:rPr>
            </w:pPr>
            <w:r w:rsidRPr="001828ED">
              <w:rPr>
                <w:rFonts w:ascii="Time New Roman" w:eastAsia="楷体" w:hAnsi="Time New Roman" w:hint="eastAsia"/>
              </w:rPr>
              <w:t>意见通过日期</w:t>
            </w:r>
            <w:r w:rsidR="008C5B60" w:rsidRPr="00172E04">
              <w:rPr>
                <w:rFonts w:ascii="Time New Roman" w:eastAsia="楷体" w:hAnsi="Time New Roman" w:hint="eastAsia"/>
              </w:rPr>
              <w:t>：</w:t>
            </w:r>
          </w:p>
        </w:tc>
        <w:tc>
          <w:tcPr>
            <w:tcW w:w="4744" w:type="dxa"/>
          </w:tcPr>
          <w:p w14:paraId="796EA565" w14:textId="5CDB9DEE" w:rsidR="008C5B60" w:rsidRPr="00C74FB6" w:rsidRDefault="006057BE" w:rsidP="0069394F">
            <w:pPr>
              <w:pStyle w:val="SingleTxtGC"/>
              <w:ind w:left="0" w:right="0"/>
              <w:rPr>
                <w:lang w:val="fr-CH"/>
              </w:rPr>
            </w:pPr>
            <w:r w:rsidRPr="006057BE">
              <w:rPr>
                <w:rFonts w:hint="eastAsia"/>
                <w:snapToGrid/>
              </w:rPr>
              <w:t>2022</w:t>
            </w:r>
            <w:r w:rsidRPr="006057BE">
              <w:rPr>
                <w:rFonts w:hint="eastAsia"/>
                <w:snapToGrid/>
              </w:rPr>
              <w:t>年</w:t>
            </w:r>
            <w:r w:rsidRPr="006057BE">
              <w:rPr>
                <w:rFonts w:hint="eastAsia"/>
                <w:snapToGrid/>
              </w:rPr>
              <w:t>7</w:t>
            </w:r>
            <w:r w:rsidRPr="006057BE">
              <w:rPr>
                <w:rFonts w:hint="eastAsia"/>
                <w:snapToGrid/>
              </w:rPr>
              <w:t>月</w:t>
            </w:r>
            <w:r w:rsidRPr="006057BE">
              <w:rPr>
                <w:rFonts w:hint="eastAsia"/>
                <w:snapToGrid/>
              </w:rPr>
              <w:t>7</w:t>
            </w:r>
            <w:r w:rsidRPr="006057BE">
              <w:rPr>
                <w:rFonts w:hint="eastAsia"/>
                <w:snapToGrid/>
              </w:rPr>
              <w:t>日</w:t>
            </w:r>
          </w:p>
        </w:tc>
      </w:tr>
      <w:tr w:rsidR="008C5B60" w14:paraId="3AD11CA6" w14:textId="77777777" w:rsidTr="0069394F">
        <w:trPr>
          <w:cantSplit/>
        </w:trPr>
        <w:tc>
          <w:tcPr>
            <w:tcW w:w="2187" w:type="dxa"/>
          </w:tcPr>
          <w:p w14:paraId="413E6B4E" w14:textId="77777777" w:rsidR="008C5B60" w:rsidRPr="00172E04" w:rsidRDefault="008C5B60"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14:paraId="12A764C2" w14:textId="5A291D43" w:rsidR="008C5B60" w:rsidRPr="00C74FB6" w:rsidRDefault="006057BE" w:rsidP="006057BE">
            <w:pPr>
              <w:pStyle w:val="SingleTxtGC"/>
              <w:ind w:left="0" w:right="0"/>
              <w:rPr>
                <w:snapToGrid/>
              </w:rPr>
            </w:pPr>
            <w:r w:rsidRPr="006057BE">
              <w:rPr>
                <w:snapToGrid/>
              </w:rPr>
              <w:t>表达自由；集会自由</w:t>
            </w:r>
            <w:r w:rsidR="00CD7BD1" w:rsidRPr="006057BE">
              <w:rPr>
                <w:snapToGrid/>
              </w:rPr>
              <w:t>；</w:t>
            </w:r>
            <w:r w:rsidRPr="006057BE">
              <w:rPr>
                <w:snapToGrid/>
              </w:rPr>
              <w:t>公平审判</w:t>
            </w:r>
          </w:p>
        </w:tc>
      </w:tr>
      <w:tr w:rsidR="008C5B60" w14:paraId="2360A4AB" w14:textId="77777777" w:rsidTr="0069394F">
        <w:trPr>
          <w:cantSplit/>
        </w:trPr>
        <w:tc>
          <w:tcPr>
            <w:tcW w:w="2187" w:type="dxa"/>
          </w:tcPr>
          <w:p w14:paraId="0344F2A9" w14:textId="77777777" w:rsidR="008C5B60" w:rsidRPr="00172E04" w:rsidRDefault="008C5B60"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14:paraId="071DF585" w14:textId="755B8B09" w:rsidR="008C5B60" w:rsidRPr="00C74FB6" w:rsidRDefault="006057BE" w:rsidP="0069394F">
            <w:pPr>
              <w:pStyle w:val="SingleTxtGC"/>
              <w:ind w:left="0" w:right="0"/>
              <w:rPr>
                <w:snapToGrid/>
              </w:rPr>
            </w:pPr>
            <w:r w:rsidRPr="006057BE">
              <w:rPr>
                <w:rFonts w:hint="eastAsia"/>
                <w:snapToGrid/>
              </w:rPr>
              <w:t>证实申诉</w:t>
            </w:r>
          </w:p>
        </w:tc>
      </w:tr>
      <w:tr w:rsidR="008C5B60" w14:paraId="3AAC61C7" w14:textId="77777777" w:rsidTr="0069394F">
        <w:trPr>
          <w:cantSplit/>
        </w:trPr>
        <w:tc>
          <w:tcPr>
            <w:tcW w:w="2187" w:type="dxa"/>
          </w:tcPr>
          <w:p w14:paraId="4D9A0B2E" w14:textId="77777777" w:rsidR="008C5B60" w:rsidRPr="00172E04" w:rsidRDefault="008C5B60"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14:paraId="29ABB0DA" w14:textId="1A53E6C0" w:rsidR="008C5B60" w:rsidRPr="00C657A9" w:rsidRDefault="006057BE" w:rsidP="0069394F">
            <w:pPr>
              <w:pStyle w:val="SingleTxtGC"/>
              <w:ind w:left="0" w:right="0"/>
              <w:rPr>
                <w:snapToGrid/>
              </w:rPr>
            </w:pPr>
            <w:r>
              <w:rPr>
                <w:lang w:val="zh-CN"/>
              </w:rPr>
              <w:t>表达自由；集会自由；公正审判</w:t>
            </w:r>
            <w:r>
              <w:rPr>
                <w:rFonts w:ascii="宋体" w:hAnsi="宋体" w:cs="宋体" w:hint="eastAsia"/>
                <w:lang w:val="zh-CN"/>
              </w:rPr>
              <w:t>权</w:t>
            </w:r>
          </w:p>
        </w:tc>
      </w:tr>
      <w:tr w:rsidR="008C5B60" w14:paraId="49C908AB" w14:textId="77777777" w:rsidTr="0069394F">
        <w:trPr>
          <w:cantSplit/>
        </w:trPr>
        <w:tc>
          <w:tcPr>
            <w:tcW w:w="2187" w:type="dxa"/>
          </w:tcPr>
          <w:p w14:paraId="022FED2F" w14:textId="77777777" w:rsidR="008C5B60" w:rsidRPr="00172E04" w:rsidRDefault="008C5B60"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14:paraId="03AAC80B" w14:textId="62961645" w:rsidR="008C5B60" w:rsidRPr="00C657A9" w:rsidRDefault="006057BE" w:rsidP="0069394F">
            <w:pPr>
              <w:pStyle w:val="SingleTxtGC"/>
              <w:ind w:left="0" w:right="0"/>
              <w:rPr>
                <w:snapToGrid/>
              </w:rPr>
            </w:pPr>
            <w:r>
              <w:rPr>
                <w:lang w:val="zh-CN"/>
              </w:rPr>
              <w:t>第十四条第三款</w:t>
            </w:r>
            <w:r>
              <w:rPr>
                <w:lang w:val="zh-CN"/>
              </w:rPr>
              <w:t>(</w:t>
            </w:r>
            <w:r>
              <w:rPr>
                <w:lang w:val="zh-CN"/>
              </w:rPr>
              <w:t>卯</w:t>
            </w:r>
            <w:r>
              <w:rPr>
                <w:lang w:val="zh-CN"/>
              </w:rPr>
              <w:t>)</w:t>
            </w:r>
            <w:r>
              <w:rPr>
                <w:lang w:val="zh-CN"/>
              </w:rPr>
              <w:t>项、第十九条和第二十一</w:t>
            </w:r>
            <w:r>
              <w:rPr>
                <w:rFonts w:ascii="宋体" w:hAnsi="宋体" w:cs="宋体" w:hint="eastAsia"/>
                <w:lang w:val="zh-CN"/>
              </w:rPr>
              <w:t>条</w:t>
            </w:r>
          </w:p>
        </w:tc>
      </w:tr>
      <w:tr w:rsidR="008C5B60" w14:paraId="2040F9AD" w14:textId="77777777" w:rsidTr="0069394F">
        <w:trPr>
          <w:cantSplit/>
        </w:trPr>
        <w:tc>
          <w:tcPr>
            <w:tcW w:w="2187" w:type="dxa"/>
          </w:tcPr>
          <w:p w14:paraId="405E5B35" w14:textId="77777777" w:rsidR="008C5B60" w:rsidRPr="00172E04" w:rsidRDefault="008C5B60"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14:paraId="7EDDDBAA" w14:textId="2EE51159" w:rsidR="008C5B60" w:rsidRDefault="006057BE" w:rsidP="0069394F">
            <w:pPr>
              <w:pStyle w:val="SingleTxtGC"/>
              <w:ind w:left="0" w:right="0"/>
              <w:rPr>
                <w:snapToGrid/>
              </w:rPr>
            </w:pPr>
            <w:r>
              <w:rPr>
                <w:lang w:val="zh-CN"/>
              </w:rPr>
              <w:t>第二条和第五条第二款</w:t>
            </w:r>
            <w:r>
              <w:rPr>
                <w:lang w:val="zh-CN"/>
              </w:rPr>
              <w:t>(</w:t>
            </w:r>
            <w:r>
              <w:rPr>
                <w:lang w:val="zh-CN"/>
              </w:rPr>
              <w:t>丑</w:t>
            </w:r>
            <w:r>
              <w:rPr>
                <w:lang w:val="zh-CN"/>
              </w:rPr>
              <w:t>)</w:t>
            </w:r>
            <w:r>
              <w:rPr>
                <w:rFonts w:ascii="宋体" w:hAnsi="宋体" w:cs="宋体" w:hint="eastAsia"/>
                <w:lang w:val="zh-CN"/>
              </w:rPr>
              <w:t>项</w:t>
            </w:r>
          </w:p>
        </w:tc>
      </w:tr>
    </w:tbl>
    <w:p w14:paraId="57F06F44" w14:textId="7F553E6A" w:rsidR="008C5B60" w:rsidRDefault="008C5B60" w:rsidP="008C5B60">
      <w:pPr>
        <w:pStyle w:val="SingleTxtGC"/>
        <w:spacing w:before="120"/>
      </w:pPr>
    </w:p>
    <w:p w14:paraId="0E251390" w14:textId="77777777" w:rsidR="00C40EA0" w:rsidRPr="00C40EA0" w:rsidRDefault="00C40EA0" w:rsidP="00C40EA0">
      <w:pPr>
        <w:pStyle w:val="SingleTxtGC"/>
      </w:pPr>
      <w:r w:rsidRPr="00C40EA0">
        <w:t>1.</w:t>
      </w:r>
      <w:r w:rsidRPr="00C40EA0">
        <w:tab/>
      </w:r>
      <w:r w:rsidRPr="00C40EA0">
        <w:rPr>
          <w:rFonts w:hint="eastAsia"/>
        </w:rPr>
        <w:t>来文提交人是</w:t>
      </w:r>
      <w:r w:rsidRPr="00C40EA0">
        <w:t xml:space="preserve">Maksat Nurypbaev, </w:t>
      </w:r>
      <w:r w:rsidRPr="00C40EA0">
        <w:rPr>
          <w:rFonts w:hint="eastAsia"/>
        </w:rPr>
        <w:t>哈萨克斯坦国民，生于</w:t>
      </w:r>
      <w:r w:rsidRPr="00C40EA0">
        <w:t>1973</w:t>
      </w:r>
      <w:r w:rsidRPr="00C40EA0">
        <w:rPr>
          <w:rFonts w:hint="eastAsia"/>
        </w:rPr>
        <w:t>年。他声称，缔约国侵犯了他根据《公约》第十四条第三款</w:t>
      </w:r>
      <w:r w:rsidRPr="00C40EA0">
        <w:t>(</w:t>
      </w:r>
      <w:r w:rsidRPr="00C40EA0">
        <w:rPr>
          <w:rFonts w:hint="eastAsia"/>
        </w:rPr>
        <w:t>卯</w:t>
      </w:r>
      <w:r w:rsidRPr="00C40EA0">
        <w:t>)</w:t>
      </w:r>
      <w:r w:rsidRPr="00C40EA0">
        <w:rPr>
          <w:rFonts w:hint="eastAsia"/>
        </w:rPr>
        <w:t>项、第十九条和第二十一条享有的权利。《任择议定书》于</w:t>
      </w:r>
      <w:r w:rsidRPr="00C40EA0">
        <w:t>2009</w:t>
      </w:r>
      <w:r w:rsidRPr="00C40EA0">
        <w:rPr>
          <w:rFonts w:hint="eastAsia"/>
        </w:rPr>
        <w:t>年</w:t>
      </w:r>
      <w:r w:rsidRPr="00C40EA0">
        <w:t>9</w:t>
      </w:r>
      <w:r w:rsidRPr="00C40EA0">
        <w:rPr>
          <w:rFonts w:hint="eastAsia"/>
        </w:rPr>
        <w:t>月</w:t>
      </w:r>
      <w:r w:rsidRPr="00C40EA0">
        <w:t>30</w:t>
      </w:r>
      <w:r w:rsidRPr="00C40EA0">
        <w:rPr>
          <w:rFonts w:hint="eastAsia"/>
        </w:rPr>
        <w:t>日对缔约国生效。提交人由非政府组织</w:t>
      </w:r>
      <w:r w:rsidRPr="00C40EA0">
        <w:t>Ar.Rukh.Khak</w:t>
      </w:r>
      <w:r w:rsidRPr="00C40EA0">
        <w:rPr>
          <w:rFonts w:hint="eastAsia"/>
        </w:rPr>
        <w:t>代理。</w:t>
      </w:r>
    </w:p>
    <w:p w14:paraId="3F6C28CB" w14:textId="77777777" w:rsidR="00C40EA0" w:rsidRPr="00C40EA0" w:rsidRDefault="00C40EA0" w:rsidP="00C40EA0">
      <w:pPr>
        <w:pStyle w:val="H23GC"/>
      </w:pPr>
      <w:r w:rsidRPr="00C40EA0">
        <w:lastRenderedPageBreak/>
        <w:tab/>
      </w:r>
      <w:r w:rsidRPr="00C40EA0">
        <w:tab/>
      </w:r>
      <w:r w:rsidRPr="00C40EA0">
        <w:t>提交人陈述的事实</w:t>
      </w:r>
    </w:p>
    <w:p w14:paraId="3365D767" w14:textId="77777777" w:rsidR="00C40EA0" w:rsidRPr="00C40EA0" w:rsidRDefault="00C40EA0" w:rsidP="00C40EA0">
      <w:pPr>
        <w:pStyle w:val="SingleTxtGC"/>
      </w:pPr>
      <w:r w:rsidRPr="00C40EA0">
        <w:t>2.1</w:t>
      </w:r>
      <w:r w:rsidRPr="00C40EA0">
        <w:tab/>
      </w:r>
      <w:r w:rsidRPr="00C40EA0">
        <w:rPr>
          <w:rFonts w:hint="eastAsia"/>
        </w:rPr>
        <w:t>提交人是律师，也是阿拉木图反偏二甲肼运动的活动人士。</w:t>
      </w:r>
      <w:r w:rsidRPr="00C40EA0">
        <w:t>2014</w:t>
      </w:r>
      <w:r w:rsidRPr="00C40EA0">
        <w:rPr>
          <w:rFonts w:hint="eastAsia"/>
        </w:rPr>
        <w:t>年</w:t>
      </w:r>
      <w:r w:rsidRPr="00C40EA0">
        <w:t>1</w:t>
      </w:r>
      <w:r w:rsidRPr="00C40EA0">
        <w:rPr>
          <w:rFonts w:hint="eastAsia"/>
        </w:rPr>
        <w:t>月</w:t>
      </w:r>
      <w:r w:rsidRPr="00C40EA0">
        <w:t>13</w:t>
      </w:r>
      <w:r w:rsidRPr="00C40EA0">
        <w:rPr>
          <w:rFonts w:hint="eastAsia"/>
        </w:rPr>
        <w:t>日，他在拜科努尔航天发射场举行了一次个人抗议活动，反对在质子号火箭燃料中使用偏二甲肼和四氧化二氮。经过大约</w:t>
      </w:r>
      <w:r w:rsidRPr="00C40EA0">
        <w:t>10</w:t>
      </w:r>
      <w:r w:rsidRPr="00C40EA0">
        <w:rPr>
          <w:rFonts w:hint="eastAsia"/>
        </w:rPr>
        <w:t>分钟的抗议，提交人被警察拘留，并被指控进行未经批准的集会。同一天，阿斯塔纳地区间特别行政法院判定提交人犯有违反《行政违规法》第</w:t>
      </w:r>
      <w:r w:rsidRPr="00C40EA0">
        <w:t>373</w:t>
      </w:r>
      <w:r w:rsidRPr="00C40EA0">
        <w:rPr>
          <w:rFonts w:hint="eastAsia"/>
        </w:rPr>
        <w:t>条第</w:t>
      </w:r>
      <w:r w:rsidRPr="00C40EA0">
        <w:t>3</w:t>
      </w:r>
      <w:r w:rsidRPr="00C40EA0">
        <w:rPr>
          <w:rFonts w:hint="eastAsia"/>
        </w:rPr>
        <w:t>款的罪行，因为他进行了未经批准的抗议。提交人被罚款</w:t>
      </w:r>
      <w:r w:rsidRPr="00C40EA0">
        <w:t>37,040</w:t>
      </w:r>
      <w:r w:rsidRPr="00C40EA0">
        <w:rPr>
          <w:rFonts w:hint="eastAsia"/>
        </w:rPr>
        <w:t>坚戈。</w:t>
      </w:r>
      <w:r w:rsidRPr="00C40EA0">
        <w:rPr>
          <w:vertAlign w:val="superscript"/>
        </w:rPr>
        <w:footnoteReference w:id="4"/>
      </w:r>
    </w:p>
    <w:p w14:paraId="65055438" w14:textId="77777777" w:rsidR="00C40EA0" w:rsidRPr="00C40EA0" w:rsidRDefault="00C40EA0" w:rsidP="00C40EA0">
      <w:pPr>
        <w:pStyle w:val="SingleTxtGC"/>
      </w:pPr>
      <w:r w:rsidRPr="00C40EA0">
        <w:t>2.2</w:t>
      </w:r>
      <w:r w:rsidRPr="00C40EA0">
        <w:tab/>
      </w:r>
      <w:r w:rsidRPr="00C40EA0">
        <w:rPr>
          <w:rFonts w:hint="eastAsia"/>
        </w:rPr>
        <w:t>提交人于</w:t>
      </w:r>
      <w:r w:rsidRPr="00C40EA0">
        <w:t>2014</w:t>
      </w:r>
      <w:r w:rsidRPr="00C40EA0">
        <w:rPr>
          <w:rFonts w:hint="eastAsia"/>
        </w:rPr>
        <w:t>年</w:t>
      </w:r>
      <w:r w:rsidRPr="00C40EA0">
        <w:t>1</w:t>
      </w:r>
      <w:r w:rsidRPr="00C40EA0">
        <w:rPr>
          <w:rFonts w:hint="eastAsia"/>
        </w:rPr>
        <w:t>月</w:t>
      </w:r>
      <w:r w:rsidRPr="00C40EA0">
        <w:t>23</w:t>
      </w:r>
      <w:r w:rsidRPr="00C40EA0">
        <w:rPr>
          <w:rFonts w:hint="eastAsia"/>
        </w:rPr>
        <w:t>日向阿斯塔纳上诉法院合议庭提出上诉。上诉法院于</w:t>
      </w:r>
      <w:r w:rsidRPr="00C40EA0">
        <w:t>2014</w:t>
      </w:r>
      <w:r w:rsidRPr="00C40EA0">
        <w:rPr>
          <w:rFonts w:hint="eastAsia"/>
        </w:rPr>
        <w:t>年</w:t>
      </w:r>
      <w:r w:rsidRPr="00C40EA0">
        <w:t>2</w:t>
      </w:r>
      <w:r w:rsidRPr="00C40EA0">
        <w:rPr>
          <w:rFonts w:hint="eastAsia"/>
        </w:rPr>
        <w:t>月</w:t>
      </w:r>
      <w:r w:rsidRPr="00C40EA0">
        <w:t>5</w:t>
      </w:r>
      <w:r w:rsidRPr="00C40EA0">
        <w:rPr>
          <w:rFonts w:hint="eastAsia"/>
        </w:rPr>
        <w:t>日撤销了一审法院的裁决。</w:t>
      </w:r>
      <w:r w:rsidRPr="00C40EA0">
        <w:rPr>
          <w:vertAlign w:val="superscript"/>
        </w:rPr>
        <w:footnoteReference w:id="5"/>
      </w:r>
      <w:r w:rsidRPr="00C40EA0">
        <w:rPr>
          <w:rFonts w:hint="eastAsia"/>
        </w:rPr>
        <w:t>然而，</w:t>
      </w:r>
      <w:r w:rsidRPr="00C40EA0">
        <w:t>2014</w:t>
      </w:r>
      <w:r w:rsidRPr="00C40EA0">
        <w:rPr>
          <w:rFonts w:hint="eastAsia"/>
        </w:rPr>
        <w:t>年</w:t>
      </w:r>
      <w:r w:rsidRPr="00C40EA0">
        <w:t>7</w:t>
      </w:r>
      <w:r w:rsidRPr="00C40EA0">
        <w:rPr>
          <w:rFonts w:hint="eastAsia"/>
        </w:rPr>
        <w:t>月</w:t>
      </w:r>
      <w:r w:rsidRPr="00C40EA0">
        <w:t>28</w:t>
      </w:r>
      <w:r w:rsidRPr="00C40EA0">
        <w:rPr>
          <w:rFonts w:hint="eastAsia"/>
        </w:rPr>
        <w:t>日，阿斯塔纳总检察长办公室根据监督复审程序就上诉法院的裁决向最高法院提出上诉。</w:t>
      </w:r>
      <w:r w:rsidRPr="00C40EA0">
        <w:t>2014</w:t>
      </w:r>
      <w:r w:rsidRPr="00C40EA0">
        <w:rPr>
          <w:rFonts w:hint="eastAsia"/>
        </w:rPr>
        <w:t>年</w:t>
      </w:r>
      <w:r w:rsidRPr="00C40EA0">
        <w:t>8</w:t>
      </w:r>
      <w:r w:rsidRPr="00C40EA0">
        <w:rPr>
          <w:rFonts w:hint="eastAsia"/>
        </w:rPr>
        <w:t>月</w:t>
      </w:r>
      <w:r w:rsidRPr="00C40EA0">
        <w:t>27</w:t>
      </w:r>
      <w:r w:rsidRPr="00C40EA0">
        <w:rPr>
          <w:rFonts w:hint="eastAsia"/>
        </w:rPr>
        <w:t>日，最高法院在没有向提交人或其律师通报总检察长办公室的上诉或有关听证的情况下，重新审理了此案，维持了一审法院的裁决，撤销了上诉法院的裁决。</w:t>
      </w:r>
      <w:r w:rsidRPr="00C40EA0">
        <w:rPr>
          <w:vertAlign w:val="superscript"/>
        </w:rPr>
        <w:footnoteReference w:id="6"/>
      </w:r>
    </w:p>
    <w:p w14:paraId="187CE554" w14:textId="77777777" w:rsidR="00C40EA0" w:rsidRPr="00C40EA0" w:rsidRDefault="00C40EA0" w:rsidP="00C40EA0">
      <w:pPr>
        <w:pStyle w:val="H23GC"/>
      </w:pPr>
      <w:r w:rsidRPr="00C40EA0">
        <w:tab/>
      </w:r>
      <w:r w:rsidRPr="00C40EA0">
        <w:tab/>
      </w:r>
      <w:r w:rsidRPr="00C40EA0">
        <w:rPr>
          <w:bCs/>
        </w:rPr>
        <w:t>申诉</w:t>
      </w:r>
    </w:p>
    <w:p w14:paraId="0A767A19" w14:textId="77777777" w:rsidR="00C40EA0" w:rsidRPr="00C40EA0" w:rsidRDefault="00C40EA0" w:rsidP="00C40EA0">
      <w:pPr>
        <w:pStyle w:val="SingleTxtGC"/>
      </w:pPr>
      <w:r w:rsidRPr="00C40EA0">
        <w:t>3.1</w:t>
      </w:r>
      <w:r w:rsidRPr="00C40EA0">
        <w:tab/>
      </w:r>
      <w:r w:rsidRPr="00C40EA0">
        <w:rPr>
          <w:rFonts w:hint="eastAsia"/>
        </w:rPr>
        <w:t>提交人辩称，缔约国对一人抗议施加制裁，违反了《公约》第十九条和第二十一条。</w:t>
      </w:r>
    </w:p>
    <w:p w14:paraId="7E36B57E" w14:textId="77777777" w:rsidR="00C40EA0" w:rsidRPr="00C40EA0" w:rsidRDefault="00C40EA0" w:rsidP="00C40EA0">
      <w:pPr>
        <w:pStyle w:val="SingleTxtGC"/>
      </w:pPr>
      <w:r w:rsidRPr="00C40EA0">
        <w:t>3.2</w:t>
      </w:r>
      <w:r w:rsidRPr="00C40EA0">
        <w:tab/>
      </w:r>
      <w:r w:rsidRPr="00C40EA0">
        <w:rPr>
          <w:rFonts w:hint="eastAsia"/>
        </w:rPr>
        <w:t>提交人称，他根据《公约》第十四条第三款</w:t>
      </w:r>
      <w:r w:rsidRPr="00C40EA0">
        <w:t>(</w:t>
      </w:r>
      <w:r w:rsidRPr="00C40EA0">
        <w:rPr>
          <w:rFonts w:hint="eastAsia"/>
        </w:rPr>
        <w:t>卯</w:t>
      </w:r>
      <w:r w:rsidRPr="00C40EA0">
        <w:t>)</w:t>
      </w:r>
      <w:r w:rsidRPr="00C40EA0">
        <w:rPr>
          <w:rFonts w:hint="eastAsia"/>
        </w:rPr>
        <w:t>项享有的权利受到侵犯，因为他没有被告知总检察长办公室向最高法院提出了上诉，也没有被告知法院对上诉的审查情况。</w:t>
      </w:r>
    </w:p>
    <w:p w14:paraId="13DDAD9E" w14:textId="77777777" w:rsidR="00C40EA0" w:rsidRPr="00C40EA0" w:rsidRDefault="00C40EA0" w:rsidP="00C40EA0">
      <w:pPr>
        <w:pStyle w:val="H23GC"/>
      </w:pPr>
      <w:r w:rsidRPr="00C40EA0">
        <w:tab/>
      </w:r>
      <w:r w:rsidRPr="00C40EA0">
        <w:tab/>
      </w:r>
      <w:r w:rsidRPr="00C40EA0">
        <w:t>缔约国关于可否受理和实质问题的意见</w:t>
      </w:r>
    </w:p>
    <w:p w14:paraId="3A5A5034" w14:textId="77777777" w:rsidR="00C40EA0" w:rsidRPr="00C40EA0" w:rsidRDefault="00C40EA0" w:rsidP="00C40EA0">
      <w:pPr>
        <w:pStyle w:val="SingleTxtGC"/>
      </w:pPr>
      <w:r w:rsidRPr="00C40EA0">
        <w:t>4.1</w:t>
      </w:r>
      <w:r w:rsidRPr="00C40EA0">
        <w:tab/>
      </w:r>
      <w:r w:rsidRPr="00C40EA0">
        <w:rPr>
          <w:rFonts w:hint="eastAsia"/>
        </w:rPr>
        <w:t>缔约国在</w:t>
      </w:r>
      <w:r w:rsidRPr="00C40EA0">
        <w:t>2017</w:t>
      </w:r>
      <w:r w:rsidRPr="00C40EA0">
        <w:rPr>
          <w:rFonts w:hint="eastAsia"/>
        </w:rPr>
        <w:t>年</w:t>
      </w:r>
      <w:r w:rsidRPr="00C40EA0">
        <w:t>4</w:t>
      </w:r>
      <w:r w:rsidRPr="00C40EA0">
        <w:rPr>
          <w:rFonts w:hint="eastAsia"/>
        </w:rPr>
        <w:t>月</w:t>
      </w:r>
      <w:r w:rsidRPr="00C40EA0">
        <w:t>20</w:t>
      </w:r>
      <w:r w:rsidRPr="00C40EA0">
        <w:rPr>
          <w:rFonts w:hint="eastAsia"/>
        </w:rPr>
        <w:t>日的普通照会中回顾了案件事实。缔约国指出，</w:t>
      </w:r>
      <w:r w:rsidRPr="00C40EA0">
        <w:t>2014</w:t>
      </w:r>
      <w:r w:rsidRPr="00C40EA0">
        <w:rPr>
          <w:rFonts w:hint="eastAsia"/>
        </w:rPr>
        <w:t>年</w:t>
      </w:r>
      <w:r w:rsidRPr="00C40EA0">
        <w:t>1</w:t>
      </w:r>
      <w:r w:rsidRPr="00C40EA0">
        <w:rPr>
          <w:rFonts w:hint="eastAsia"/>
        </w:rPr>
        <w:t>月</w:t>
      </w:r>
      <w:r w:rsidRPr="00C40EA0">
        <w:t>13</w:t>
      </w:r>
      <w:r w:rsidRPr="00C40EA0">
        <w:rPr>
          <w:rFonts w:hint="eastAsia"/>
        </w:rPr>
        <w:t>日，根据《行政违规法》第</w:t>
      </w:r>
      <w:r w:rsidRPr="00C40EA0">
        <w:t>373</w:t>
      </w:r>
      <w:r w:rsidRPr="00C40EA0">
        <w:rPr>
          <w:rFonts w:hint="eastAsia"/>
        </w:rPr>
        <w:t>条第</w:t>
      </w:r>
      <w:r w:rsidRPr="00C40EA0">
        <w:t>3</w:t>
      </w:r>
      <w:r w:rsidRPr="00C40EA0">
        <w:rPr>
          <w:rFonts w:hint="eastAsia"/>
        </w:rPr>
        <w:t>款，提交人被认定负有行政责任，并被罚款</w:t>
      </w:r>
      <w:r w:rsidRPr="00C40EA0">
        <w:t>37,040</w:t>
      </w:r>
      <w:r w:rsidRPr="00C40EA0">
        <w:rPr>
          <w:rFonts w:hint="eastAsia"/>
        </w:rPr>
        <w:t>坚戈。</w:t>
      </w:r>
      <w:r w:rsidRPr="00C40EA0">
        <w:t>2014</w:t>
      </w:r>
      <w:r w:rsidRPr="00C40EA0">
        <w:rPr>
          <w:rFonts w:hint="eastAsia"/>
        </w:rPr>
        <w:t>年</w:t>
      </w:r>
      <w:r w:rsidRPr="00C40EA0">
        <w:t>2</w:t>
      </w:r>
      <w:r w:rsidRPr="00C40EA0">
        <w:rPr>
          <w:rFonts w:hint="eastAsia"/>
        </w:rPr>
        <w:t>月</w:t>
      </w:r>
      <w:r w:rsidRPr="00C40EA0">
        <w:t>5</w:t>
      </w:r>
      <w:r w:rsidRPr="00C40EA0">
        <w:rPr>
          <w:rFonts w:hint="eastAsia"/>
        </w:rPr>
        <w:t>日，上诉法院撤销了一审法院的裁决。</w:t>
      </w:r>
    </w:p>
    <w:p w14:paraId="35C3B182" w14:textId="77777777" w:rsidR="00C40EA0" w:rsidRPr="00C40EA0" w:rsidRDefault="00C40EA0" w:rsidP="00C40EA0">
      <w:pPr>
        <w:pStyle w:val="SingleTxtGC"/>
      </w:pPr>
      <w:r w:rsidRPr="00C40EA0">
        <w:t>4.2</w:t>
      </w:r>
      <w:r w:rsidRPr="00C40EA0">
        <w:tab/>
      </w:r>
      <w:r w:rsidRPr="00C40EA0">
        <w:rPr>
          <w:rFonts w:hint="eastAsia"/>
        </w:rPr>
        <w:t>缔约国指出，</w:t>
      </w:r>
      <w:r w:rsidRPr="00C40EA0">
        <w:t>2014</w:t>
      </w:r>
      <w:r w:rsidRPr="00C40EA0">
        <w:rPr>
          <w:rFonts w:hint="eastAsia"/>
        </w:rPr>
        <w:t>年</w:t>
      </w:r>
      <w:r w:rsidRPr="00C40EA0">
        <w:t>7</w:t>
      </w:r>
      <w:r w:rsidRPr="00C40EA0">
        <w:rPr>
          <w:rFonts w:hint="eastAsia"/>
        </w:rPr>
        <w:t>月</w:t>
      </w:r>
      <w:r w:rsidRPr="00C40EA0">
        <w:t>28</w:t>
      </w:r>
      <w:r w:rsidRPr="00C40EA0">
        <w:rPr>
          <w:rFonts w:hint="eastAsia"/>
        </w:rPr>
        <w:t>日，总检察长办公室致函提交人，通知他根据监督复审程序向最高法院提出了上诉。</w:t>
      </w:r>
    </w:p>
    <w:p w14:paraId="2F7DA12B" w14:textId="77777777" w:rsidR="00C40EA0" w:rsidRPr="00C40EA0" w:rsidRDefault="00C40EA0" w:rsidP="00C40EA0">
      <w:pPr>
        <w:pStyle w:val="SingleTxtGC"/>
      </w:pPr>
      <w:r w:rsidRPr="00C40EA0">
        <w:t>4.3</w:t>
      </w:r>
      <w:r w:rsidRPr="00C40EA0">
        <w:tab/>
      </w:r>
      <w:r w:rsidRPr="00C40EA0">
        <w:rPr>
          <w:rFonts w:hint="eastAsia"/>
        </w:rPr>
        <w:t>缔约国指出，尽管</w:t>
      </w:r>
      <w:r w:rsidRPr="00C40EA0">
        <w:t>2013</w:t>
      </w:r>
      <w:r w:rsidRPr="00C40EA0">
        <w:rPr>
          <w:rFonts w:hint="eastAsia"/>
        </w:rPr>
        <w:t>年</w:t>
      </w:r>
      <w:r w:rsidRPr="00C40EA0">
        <w:t>9</w:t>
      </w:r>
      <w:r w:rsidRPr="00C40EA0">
        <w:rPr>
          <w:rFonts w:hint="eastAsia"/>
        </w:rPr>
        <w:t>月</w:t>
      </w:r>
      <w:r w:rsidRPr="00C40EA0">
        <w:t>30</w:t>
      </w:r>
      <w:r w:rsidRPr="00C40EA0">
        <w:rPr>
          <w:rFonts w:hint="eastAsia"/>
        </w:rPr>
        <w:t>日提交人曾被告知根据《行政违规法》举行示威的法律要求，但他继续无视法律要求，明知故犯。</w:t>
      </w:r>
    </w:p>
    <w:p w14:paraId="019CB967" w14:textId="77777777" w:rsidR="00C40EA0" w:rsidRPr="00C40EA0" w:rsidRDefault="00C40EA0" w:rsidP="00C40EA0">
      <w:pPr>
        <w:pStyle w:val="SingleTxtGC"/>
      </w:pPr>
      <w:r w:rsidRPr="00C40EA0">
        <w:t>4.4</w:t>
      </w:r>
      <w:r w:rsidRPr="00C40EA0">
        <w:tab/>
      </w:r>
      <w:r w:rsidRPr="00C40EA0">
        <w:rPr>
          <w:rFonts w:hint="eastAsia"/>
        </w:rPr>
        <w:t>缔约国回顾说，《公约》第十九条和第二十一条规定的权利可以受到某些限制。缔约国表示哈萨克斯坦不禁止和平集会权利，但解释说组织集会必须遵循特定程序。</w:t>
      </w:r>
    </w:p>
    <w:p w14:paraId="74816288" w14:textId="77777777" w:rsidR="00C40EA0" w:rsidRPr="00C40EA0" w:rsidRDefault="00C40EA0" w:rsidP="00C40EA0">
      <w:pPr>
        <w:pStyle w:val="SingleTxtGC"/>
      </w:pPr>
      <w:r w:rsidRPr="00C40EA0">
        <w:t>4.5</w:t>
      </w:r>
      <w:r w:rsidRPr="00C40EA0">
        <w:tab/>
      </w:r>
      <w:r w:rsidRPr="00C40EA0">
        <w:rPr>
          <w:rFonts w:hint="eastAsia"/>
        </w:rPr>
        <w:t>缔约国还回顾称，哈萨克斯坦《宪法》第</w:t>
      </w:r>
      <w:r w:rsidRPr="00C40EA0">
        <w:t>32</w:t>
      </w:r>
      <w:r w:rsidRPr="00C40EA0">
        <w:rPr>
          <w:rFonts w:hint="eastAsia"/>
        </w:rPr>
        <w:t>条保障公民和平聚会和举行会议、集会、示威、街头游行和抗议的权利。然而，为维护国家安全、公共秩序或</w:t>
      </w:r>
      <w:r w:rsidRPr="00C40EA0">
        <w:rPr>
          <w:rFonts w:hint="eastAsia"/>
        </w:rPr>
        <w:lastRenderedPageBreak/>
        <w:t>保护他人的健康、权利和自由，法律可限制这项权利的行使。</w:t>
      </w:r>
      <w:r w:rsidRPr="00C40EA0">
        <w:t>1995</w:t>
      </w:r>
      <w:r w:rsidRPr="00C40EA0">
        <w:rPr>
          <w:rFonts w:hint="eastAsia"/>
        </w:rPr>
        <w:t>年</w:t>
      </w:r>
      <w:r w:rsidRPr="00C40EA0">
        <w:t>3</w:t>
      </w:r>
      <w:r w:rsidRPr="00C40EA0">
        <w:rPr>
          <w:rFonts w:hint="eastAsia"/>
        </w:rPr>
        <w:t>月</w:t>
      </w:r>
      <w:r w:rsidRPr="00C40EA0">
        <w:t>17</w:t>
      </w:r>
      <w:r w:rsidRPr="00C40EA0">
        <w:rPr>
          <w:rFonts w:hint="eastAsia"/>
        </w:rPr>
        <w:t>日《组织和实施和平集会、会议、游行、纠察、示威活动秩序法》</w:t>
      </w:r>
      <w:r w:rsidRPr="00C40EA0">
        <w:t>(</w:t>
      </w:r>
      <w:r w:rsidRPr="00C40EA0">
        <w:rPr>
          <w:rFonts w:hint="eastAsia"/>
        </w:rPr>
        <w:t>第</w:t>
      </w:r>
      <w:r w:rsidRPr="00C40EA0">
        <w:t>2126</w:t>
      </w:r>
      <w:r w:rsidRPr="00C40EA0">
        <w:rPr>
          <w:rFonts w:hint="eastAsia"/>
        </w:rPr>
        <w:t>号法律</w:t>
      </w:r>
      <w:r w:rsidRPr="00C40EA0">
        <w:t>)</w:t>
      </w:r>
      <w:r w:rsidRPr="00C40EA0">
        <w:rPr>
          <w:rFonts w:hint="eastAsia"/>
        </w:rPr>
        <w:t>规定了在公共场所表达社会、团体或个人利益的形式和方式，并对之做出了某些限制。</w:t>
      </w:r>
    </w:p>
    <w:p w14:paraId="22ADEB81" w14:textId="77777777" w:rsidR="00C40EA0" w:rsidRPr="00C40EA0" w:rsidRDefault="00C40EA0" w:rsidP="00C40EA0">
      <w:pPr>
        <w:pStyle w:val="SingleTxtGC"/>
      </w:pPr>
      <w:r w:rsidRPr="00C40EA0">
        <w:t>4.6</w:t>
      </w:r>
      <w:r w:rsidRPr="00C40EA0">
        <w:tab/>
      </w:r>
      <w:r w:rsidRPr="00C40EA0">
        <w:rPr>
          <w:rFonts w:hint="eastAsia"/>
        </w:rPr>
        <w:t>缔约国提及第</w:t>
      </w:r>
      <w:r w:rsidRPr="00C40EA0">
        <w:t>2126</w:t>
      </w:r>
      <w:r w:rsidRPr="00C40EA0">
        <w:rPr>
          <w:rFonts w:hint="eastAsia"/>
        </w:rPr>
        <w:t>号法律第</w:t>
      </w:r>
      <w:r w:rsidRPr="00C40EA0">
        <w:t>1</w:t>
      </w:r>
      <w:r w:rsidRPr="00C40EA0">
        <w:rPr>
          <w:rFonts w:hint="eastAsia"/>
        </w:rPr>
        <w:t>条和第</w:t>
      </w:r>
      <w:r w:rsidRPr="00C40EA0">
        <w:t>2</w:t>
      </w:r>
      <w:r w:rsidRPr="00C40EA0">
        <w:rPr>
          <w:rFonts w:hint="eastAsia"/>
        </w:rPr>
        <w:t>条，并具体指出，一项活动是否属于该法范围的主要条件不是参加者人数，而是其公共性质。任何群众或个人公开抗议活动均须遵守该法；因此，组织者举行集会，应当请求地方行政机关予以许可。根据该法第</w:t>
      </w:r>
      <w:r w:rsidRPr="00C40EA0">
        <w:t>9</w:t>
      </w:r>
      <w:r w:rsidRPr="00C40EA0">
        <w:rPr>
          <w:rFonts w:hint="eastAsia"/>
        </w:rPr>
        <w:t>条，未能遵守上述程序性规定将产生法律责任。</w:t>
      </w:r>
    </w:p>
    <w:p w14:paraId="053068B1" w14:textId="77777777" w:rsidR="00C40EA0" w:rsidRPr="00C40EA0" w:rsidRDefault="00C40EA0" w:rsidP="00C40EA0">
      <w:pPr>
        <w:pStyle w:val="SingleTxtGC"/>
      </w:pPr>
      <w:r w:rsidRPr="00C40EA0">
        <w:t>4.7</w:t>
      </w:r>
      <w:r w:rsidRPr="00C40EA0">
        <w:tab/>
      </w:r>
      <w:r w:rsidRPr="00C40EA0">
        <w:rPr>
          <w:rFonts w:hint="eastAsia"/>
        </w:rPr>
        <w:t>缔约国认为，关于行政违规行为的立法在哈萨克斯坦保护个人权利、自由和合法利益以及防止行政违法行为方面发挥着关键作用。哈萨克斯坦《行政违规法》第</w:t>
      </w:r>
      <w:r w:rsidRPr="00C40EA0">
        <w:t>373</w:t>
      </w:r>
      <w:r w:rsidRPr="00C40EA0">
        <w:rPr>
          <w:rFonts w:hint="eastAsia"/>
        </w:rPr>
        <w:t>条</w:t>
      </w:r>
      <w:r w:rsidRPr="00C40EA0">
        <w:rPr>
          <w:vertAlign w:val="superscript"/>
        </w:rPr>
        <w:footnoteReference w:id="7"/>
      </w:r>
      <w:r w:rsidRPr="00C40EA0">
        <w:rPr>
          <w:rFonts w:hint="eastAsia"/>
        </w:rPr>
        <w:t>规定了违反群众活动立法的行政责任。</w:t>
      </w:r>
    </w:p>
    <w:p w14:paraId="2D2D03F3" w14:textId="77777777" w:rsidR="00C40EA0" w:rsidRPr="00C40EA0" w:rsidRDefault="00C40EA0" w:rsidP="00C40EA0">
      <w:pPr>
        <w:pStyle w:val="SingleTxtGC"/>
      </w:pPr>
      <w:r w:rsidRPr="00C40EA0">
        <w:t>4.8</w:t>
      </w:r>
      <w:r w:rsidRPr="00C40EA0">
        <w:tab/>
      </w:r>
      <w:r w:rsidRPr="00C40EA0">
        <w:rPr>
          <w:rFonts w:hint="eastAsia"/>
        </w:rPr>
        <w:t>缔约国还指出，哈萨克斯坦公民通过在指定地点举行和平集会的方式，积极行使其宪法规定的表达自由权。它指出，在</w:t>
      </w:r>
      <w:r w:rsidRPr="00C40EA0">
        <w:t>2014</w:t>
      </w:r>
      <w:r w:rsidRPr="00C40EA0">
        <w:rPr>
          <w:rFonts w:hint="eastAsia"/>
        </w:rPr>
        <w:t>年，共举行了</w:t>
      </w:r>
      <w:r w:rsidRPr="00C40EA0">
        <w:t>16</w:t>
      </w:r>
      <w:r w:rsidRPr="00C40EA0">
        <w:rPr>
          <w:rFonts w:hint="eastAsia"/>
        </w:rPr>
        <w:t>次不同的群众活动，组织者遵守了法律要求。因此，只要提交人遵守法律，就不会阻止他组织示威。</w:t>
      </w:r>
    </w:p>
    <w:p w14:paraId="32FD5D37" w14:textId="77777777" w:rsidR="00C40EA0" w:rsidRPr="00C40EA0" w:rsidRDefault="00C40EA0" w:rsidP="00C40EA0">
      <w:pPr>
        <w:pStyle w:val="SingleTxtGC"/>
      </w:pPr>
      <w:r w:rsidRPr="00C40EA0">
        <w:t>4.9</w:t>
      </w:r>
      <w:r w:rsidRPr="00C40EA0">
        <w:tab/>
      </w:r>
      <w:r w:rsidRPr="00C40EA0">
        <w:rPr>
          <w:rFonts w:hint="eastAsia"/>
        </w:rPr>
        <w:t>缔约国还指出，根据哈萨克斯坦《行政违规法》第</w:t>
      </w:r>
      <w:r w:rsidRPr="00C40EA0">
        <w:t>373</w:t>
      </w:r>
      <w:r w:rsidRPr="00C40EA0">
        <w:rPr>
          <w:rFonts w:hint="eastAsia"/>
        </w:rPr>
        <w:t>条第</w:t>
      </w:r>
      <w:r w:rsidRPr="00C40EA0">
        <w:t>3</w:t>
      </w:r>
      <w:r w:rsidRPr="00C40EA0">
        <w:rPr>
          <w:rFonts w:hint="eastAsia"/>
        </w:rPr>
        <w:t>款，提交人被判犯有行政罪并被处以行政罚款。然而，缔约国指出，提交人被认定负有责任，并非因为表达意见，而是违反了组织和举行和平集会、会议、游行、纠察和示威的秩序。因此，关于缔约国没有让提交人实现其和平集会和表达自由权的指控是毫无根据的。</w:t>
      </w:r>
    </w:p>
    <w:p w14:paraId="3CEDDBF3" w14:textId="77777777" w:rsidR="00C40EA0" w:rsidRPr="00C40EA0" w:rsidRDefault="00C40EA0" w:rsidP="00C40EA0">
      <w:pPr>
        <w:pStyle w:val="SingleTxtGC"/>
      </w:pPr>
      <w:r w:rsidRPr="00C40EA0">
        <w:t>4.10</w:t>
      </w:r>
      <w:r w:rsidRPr="00C40EA0">
        <w:tab/>
      </w:r>
      <w:r w:rsidRPr="00C40EA0">
        <w:rPr>
          <w:rFonts w:hint="eastAsia"/>
        </w:rPr>
        <w:t>缔约国认为，在提交人的案件中，有关保障公平审判的所有国际</w:t>
      </w:r>
      <w:r w:rsidRPr="00C40EA0">
        <w:rPr>
          <w:vertAlign w:val="superscript"/>
        </w:rPr>
        <w:footnoteReference w:id="8"/>
      </w:r>
      <w:r w:rsidRPr="00C40EA0">
        <w:rPr>
          <w:rFonts w:hint="eastAsia"/>
        </w:rPr>
        <w:t>和国内立法准则都得到了遵守。</w:t>
      </w:r>
      <w:r w:rsidRPr="00C40EA0">
        <w:rPr>
          <w:vertAlign w:val="superscript"/>
        </w:rPr>
        <w:footnoteReference w:id="9"/>
      </w:r>
    </w:p>
    <w:p w14:paraId="0C1BD25F" w14:textId="77777777" w:rsidR="00C40EA0" w:rsidRPr="00C40EA0" w:rsidRDefault="00C40EA0" w:rsidP="00C40EA0">
      <w:pPr>
        <w:pStyle w:val="SingleTxtGC"/>
      </w:pPr>
      <w:r w:rsidRPr="00C40EA0">
        <w:t>4.11</w:t>
      </w:r>
      <w:r w:rsidRPr="00C40EA0">
        <w:tab/>
      </w:r>
      <w:r w:rsidRPr="00C40EA0">
        <w:rPr>
          <w:rFonts w:hint="eastAsia"/>
        </w:rPr>
        <w:t>缔约国还提出，根据《任择议定书》第二、三和五条，申诉应因不可受理而被驳回。</w:t>
      </w:r>
    </w:p>
    <w:p w14:paraId="226238DE" w14:textId="77777777" w:rsidR="00C40EA0" w:rsidRPr="00C40EA0" w:rsidRDefault="00C40EA0" w:rsidP="00C40EA0">
      <w:pPr>
        <w:pStyle w:val="H23GC"/>
      </w:pPr>
      <w:r w:rsidRPr="00C40EA0">
        <w:tab/>
      </w:r>
      <w:r w:rsidRPr="00C40EA0">
        <w:tab/>
      </w:r>
      <w:r w:rsidRPr="00C40EA0">
        <w:t>提交人对缔约国关于可否受理和实质问题的意见的评论</w:t>
      </w:r>
    </w:p>
    <w:p w14:paraId="2D2C5286" w14:textId="77777777" w:rsidR="00C40EA0" w:rsidRPr="00C40EA0" w:rsidRDefault="00C40EA0" w:rsidP="00C40EA0">
      <w:pPr>
        <w:pStyle w:val="SingleTxtGC"/>
      </w:pPr>
      <w:r w:rsidRPr="00C40EA0">
        <w:t>5.1</w:t>
      </w:r>
      <w:r w:rsidRPr="00C40EA0">
        <w:tab/>
        <w:t>2017</w:t>
      </w:r>
      <w:r w:rsidRPr="00C40EA0">
        <w:rPr>
          <w:rFonts w:hint="eastAsia"/>
        </w:rPr>
        <w:t>年</w:t>
      </w:r>
      <w:r w:rsidRPr="00C40EA0">
        <w:t>6</w:t>
      </w:r>
      <w:r w:rsidRPr="00C40EA0">
        <w:rPr>
          <w:rFonts w:hint="eastAsia"/>
        </w:rPr>
        <w:t>月</w:t>
      </w:r>
      <w:r w:rsidRPr="00C40EA0">
        <w:t>5</w:t>
      </w:r>
      <w:r w:rsidRPr="00C40EA0">
        <w:rPr>
          <w:rFonts w:hint="eastAsia"/>
        </w:rPr>
        <w:t>日，提交人提交了对缔约国意见的评论。提交人提到和平集会自由权和结社自由权特别报告员访问哈萨克斯坦的报告，其中指出，尽管和平集会和举行会议、集会和示威、街头游行和纠察的权利得到《宪法》的保障，但实际上，政府管制集会的做法使这项权利失去了意义。</w:t>
      </w:r>
      <w:r w:rsidRPr="00C40EA0">
        <w:t>1995</w:t>
      </w:r>
      <w:r w:rsidRPr="00C40EA0">
        <w:rPr>
          <w:rFonts w:hint="eastAsia"/>
        </w:rPr>
        <w:t>年制定的《关于组织和举行和平集会、会议、游行、抗议和示威的程序法》要求劳工团体、公共协会和哈萨克斯坦已满十八周岁公民组成的独立团体的代表至少在集会前十天向地方主管机构取得事先许可。</w:t>
      </w:r>
      <w:r w:rsidRPr="00C40EA0">
        <w:rPr>
          <w:vertAlign w:val="superscript"/>
        </w:rPr>
        <w:footnoteReference w:id="10"/>
      </w:r>
    </w:p>
    <w:p w14:paraId="1866A929" w14:textId="05D13528" w:rsidR="00C40EA0" w:rsidRPr="00C40EA0" w:rsidRDefault="00C40EA0" w:rsidP="00C40EA0">
      <w:pPr>
        <w:pStyle w:val="SingleTxtGC"/>
      </w:pPr>
      <w:r w:rsidRPr="00C40EA0">
        <w:lastRenderedPageBreak/>
        <w:t>5.2</w:t>
      </w:r>
      <w:r w:rsidRPr="00C40EA0">
        <w:tab/>
      </w:r>
      <w:r w:rsidRPr="00C40EA0">
        <w:rPr>
          <w:rFonts w:hint="eastAsia"/>
        </w:rPr>
        <w:t>这些规定不符合国际标准。国际标准规定，和平集会不需要获得许可，而且每个人都有和平集会权和结社权。</w:t>
      </w:r>
      <w:r w:rsidRPr="00C40EA0">
        <w:rPr>
          <w:vertAlign w:val="superscript"/>
        </w:rPr>
        <w:footnoteReference w:id="11"/>
      </w:r>
      <w:r w:rsidR="007056FA">
        <w:t xml:space="preserve"> </w:t>
      </w:r>
      <w:r w:rsidRPr="00C40EA0">
        <w:rPr>
          <w:rFonts w:hint="eastAsia"/>
        </w:rPr>
        <w:t>提交人指出，在另一起相似的案件中，缔约国未能落实委员会就违反《公约》第十九条和第二十一条通过的意见。</w:t>
      </w:r>
      <w:r w:rsidRPr="00C40EA0">
        <w:rPr>
          <w:vertAlign w:val="superscript"/>
        </w:rPr>
        <w:footnoteReference w:id="12"/>
      </w:r>
    </w:p>
    <w:p w14:paraId="35745280" w14:textId="77777777" w:rsidR="00C40EA0" w:rsidRPr="00C40EA0" w:rsidRDefault="00C40EA0" w:rsidP="00C40EA0">
      <w:pPr>
        <w:pStyle w:val="SingleTxtGC"/>
      </w:pPr>
      <w:r w:rsidRPr="00C40EA0">
        <w:t>5.3</w:t>
      </w:r>
      <w:r w:rsidRPr="00C40EA0">
        <w:tab/>
      </w:r>
      <w:r w:rsidRPr="00C40EA0">
        <w:rPr>
          <w:rFonts w:hint="eastAsia"/>
        </w:rPr>
        <w:t>提交人指出，尽管据缔约国称，《公民及政治权利国际公约》第十九和第二十一条所载权利在哈萨克斯坦得到保障，只可能在特定情况下受到限制，但缔约国并未说明为何有必要对他处以行政罚款制裁。</w:t>
      </w:r>
    </w:p>
    <w:p w14:paraId="4A8DD2B7" w14:textId="77777777" w:rsidR="00C40EA0" w:rsidRPr="00C40EA0" w:rsidRDefault="00C40EA0" w:rsidP="00C40EA0">
      <w:pPr>
        <w:pStyle w:val="SingleTxtGC"/>
      </w:pPr>
      <w:r w:rsidRPr="00C40EA0">
        <w:t>5.4</w:t>
      </w:r>
      <w:r w:rsidRPr="00C40EA0">
        <w:tab/>
      </w:r>
      <w:r w:rsidRPr="00C40EA0">
        <w:rPr>
          <w:rFonts w:hint="eastAsia"/>
        </w:rPr>
        <w:t>他称，根据缔约国的国际义务，对和平集会权的任何限制都应当是相称的，并应视每一个案的具体情况加以适用，主管机构在组织公共活动过程中的参与应当减少到最低限度，强行结束集会应当作为最后手段。提交人指称，缔约国无视并违反了这些原则。</w:t>
      </w:r>
    </w:p>
    <w:p w14:paraId="3DD984A2" w14:textId="77777777" w:rsidR="00C40EA0" w:rsidRPr="00C40EA0" w:rsidRDefault="00C40EA0" w:rsidP="00C40EA0">
      <w:pPr>
        <w:pStyle w:val="SingleTxtGC"/>
      </w:pPr>
      <w:r w:rsidRPr="00C40EA0">
        <w:t>5.5</w:t>
      </w:r>
      <w:r w:rsidRPr="00C40EA0">
        <w:tab/>
      </w:r>
      <w:r w:rsidRPr="00C40EA0">
        <w:rPr>
          <w:rFonts w:hint="eastAsia"/>
        </w:rPr>
        <w:t>提交人认为，缔约国提供的资料表明，它不愿意审议侵犯其权利的行为，而且他是侵犯《公约》第十四、十九和二十一条规定的权利的受害者。</w:t>
      </w:r>
    </w:p>
    <w:p w14:paraId="5CC1FFA2" w14:textId="77777777" w:rsidR="00C40EA0" w:rsidRPr="00C40EA0" w:rsidRDefault="00C40EA0" w:rsidP="00C40EA0">
      <w:pPr>
        <w:pStyle w:val="H23GC"/>
        <w:rPr>
          <w:i/>
        </w:rPr>
      </w:pPr>
      <w:r w:rsidRPr="00C40EA0">
        <w:tab/>
      </w:r>
      <w:r w:rsidRPr="00C40EA0">
        <w:tab/>
      </w:r>
      <w:r w:rsidRPr="00C40EA0">
        <w:t>委员会需处理的问题和议事情况</w:t>
      </w:r>
    </w:p>
    <w:p w14:paraId="1978E051" w14:textId="77777777" w:rsidR="00C40EA0" w:rsidRPr="00C40EA0" w:rsidRDefault="00C40EA0" w:rsidP="00C40EA0">
      <w:pPr>
        <w:pStyle w:val="H4GC"/>
      </w:pPr>
      <w:r w:rsidRPr="00C40EA0">
        <w:tab/>
      </w:r>
      <w:r w:rsidRPr="00C40EA0">
        <w:tab/>
      </w:r>
      <w:r w:rsidRPr="00C40EA0">
        <w:t>审议可否受理</w:t>
      </w:r>
    </w:p>
    <w:p w14:paraId="4D423D92" w14:textId="77777777" w:rsidR="00C40EA0" w:rsidRPr="00C40EA0" w:rsidRDefault="00C40EA0" w:rsidP="00C40EA0">
      <w:pPr>
        <w:pStyle w:val="SingleTxtGC"/>
      </w:pPr>
      <w:r w:rsidRPr="00C40EA0">
        <w:t>6.1</w:t>
      </w:r>
      <w:r w:rsidRPr="00C40EA0">
        <w:tab/>
      </w:r>
      <w:r w:rsidRPr="00C40EA0">
        <w:rPr>
          <w:rFonts w:hint="eastAsia"/>
        </w:rPr>
        <w:t>在审议来文所载的任何请求之前，委员会必须根据其议事规则第</w:t>
      </w:r>
      <w:r w:rsidRPr="00C40EA0">
        <w:t>97</w:t>
      </w:r>
      <w:r w:rsidRPr="00C40EA0">
        <w:rPr>
          <w:rFonts w:hint="eastAsia"/>
        </w:rPr>
        <w:t>条，决定来文是否符合《任择议定书》规定的受理条件。</w:t>
      </w:r>
    </w:p>
    <w:p w14:paraId="0140E215" w14:textId="77777777" w:rsidR="00C40EA0" w:rsidRPr="00C40EA0" w:rsidRDefault="00C40EA0" w:rsidP="00C40EA0">
      <w:pPr>
        <w:pStyle w:val="SingleTxtGC"/>
      </w:pPr>
      <w:r w:rsidRPr="00C40EA0">
        <w:t>6.2</w:t>
      </w:r>
      <w:r w:rsidRPr="00C40EA0">
        <w:tab/>
      </w:r>
      <w:r w:rsidRPr="00C40EA0">
        <w:rPr>
          <w:rFonts w:hint="eastAsia"/>
        </w:rPr>
        <w:t>根据《任择议定书》第五条第二款</w:t>
      </w:r>
      <w:r w:rsidRPr="00C40EA0">
        <w:t>(</w:t>
      </w:r>
      <w:r w:rsidRPr="00C40EA0">
        <w:rPr>
          <w:rFonts w:hint="eastAsia"/>
        </w:rPr>
        <w:t>子</w:t>
      </w:r>
      <w:r w:rsidRPr="00C40EA0">
        <w:t>)</w:t>
      </w:r>
      <w:r w:rsidRPr="00C40EA0">
        <w:rPr>
          <w:rFonts w:hint="eastAsia"/>
        </w:rPr>
        <w:t>项的要求，委员会已确定同一事项不在另一国际调查或解决程序审查之中。</w:t>
      </w:r>
    </w:p>
    <w:p w14:paraId="312E0384" w14:textId="77777777" w:rsidR="00C40EA0" w:rsidRPr="00C40EA0" w:rsidRDefault="00C40EA0" w:rsidP="00C40EA0">
      <w:pPr>
        <w:pStyle w:val="SingleTxtGC"/>
      </w:pPr>
      <w:r w:rsidRPr="00C40EA0">
        <w:t>6.3</w:t>
      </w:r>
      <w:r w:rsidRPr="00C40EA0">
        <w:tab/>
      </w:r>
      <w:r w:rsidRPr="00C40EA0">
        <w:rPr>
          <w:rFonts w:hint="eastAsia"/>
        </w:rPr>
        <w:t>委员会注意到，提交人声称，他根据《公约》第十四条第三款</w:t>
      </w:r>
      <w:r w:rsidRPr="00C40EA0">
        <w:t>(</w:t>
      </w:r>
      <w:r w:rsidRPr="00C40EA0">
        <w:rPr>
          <w:rFonts w:hint="eastAsia"/>
        </w:rPr>
        <w:t>卯</w:t>
      </w:r>
      <w:r w:rsidRPr="00C40EA0">
        <w:t>)</w:t>
      </w:r>
      <w:r w:rsidRPr="00C40EA0">
        <w:rPr>
          <w:rFonts w:hint="eastAsia"/>
        </w:rPr>
        <w:t>项享有的权利受到侵犯，因为他没有被告知总检察长办公室向最高法院提出了上诉，也没有被告知法院对上诉的审查情况。委员会还注意到，缔约国提供的资料称，</w:t>
      </w:r>
      <w:r w:rsidRPr="00C40EA0">
        <w:t>2014</w:t>
      </w:r>
      <w:r w:rsidRPr="00C40EA0">
        <w:rPr>
          <w:rFonts w:hint="eastAsia"/>
        </w:rPr>
        <w:t>年</w:t>
      </w:r>
      <w:r w:rsidRPr="00C40EA0">
        <w:t>7</w:t>
      </w:r>
      <w:r w:rsidRPr="00C40EA0">
        <w:rPr>
          <w:rFonts w:hint="eastAsia"/>
        </w:rPr>
        <w:t>月</w:t>
      </w:r>
      <w:r w:rsidRPr="00C40EA0">
        <w:t>28</w:t>
      </w:r>
      <w:r w:rsidRPr="00C40EA0">
        <w:rPr>
          <w:rFonts w:hint="eastAsia"/>
        </w:rPr>
        <w:t>日，总检察长办公室致函提交人，告知他根据监督复审程序向最高法院提出上诉的情况。因此，委员会认为，根据案件档案所载资料，委员会无法就提交人的这一指控得出结论。因此，委员会宣布，来文的这一部分证据不足，根据《任择议定书》第二条，不予受理。</w:t>
      </w:r>
    </w:p>
    <w:p w14:paraId="4D49A829" w14:textId="4B4979A6" w:rsidR="00C40EA0" w:rsidRPr="00C40EA0" w:rsidRDefault="00C40EA0" w:rsidP="00C40EA0">
      <w:pPr>
        <w:pStyle w:val="SingleTxtGC"/>
      </w:pPr>
      <w:r w:rsidRPr="00C40EA0">
        <w:t>6.4</w:t>
      </w:r>
      <w:r w:rsidRPr="00C40EA0">
        <w:tab/>
      </w:r>
      <w:r w:rsidRPr="00C40EA0">
        <w:rPr>
          <w:rFonts w:hint="eastAsia"/>
        </w:rPr>
        <w:t>委员会注意到提交人根据《公约》第二十一条提出的申诉称，缔约国对一人抗议实施制裁，侵犯了他的集会权。委员会指出，尽管集会的概念意味着参加集会者将不止一人，但一名抗议者在《公约》之下享有类似的保护，例如在第十九条之下享有保护。委员会回顾其判例，</w:t>
      </w:r>
      <w:r w:rsidRPr="00C40EA0">
        <w:rPr>
          <w:vertAlign w:val="superscript"/>
        </w:rPr>
        <w:footnoteReference w:id="13"/>
      </w:r>
      <w:r w:rsidR="00405A33">
        <w:rPr>
          <w:rFonts w:hint="eastAsia"/>
        </w:rPr>
        <w:t xml:space="preserve"> </w:t>
      </w:r>
      <w:r w:rsidRPr="00C40EA0">
        <w:rPr>
          <w:rFonts w:hint="eastAsia"/>
        </w:rPr>
        <w:t>根据判例，单独一人示威通常不属于《公约》关于和平集会权的第二十一条的范围，而是受到第十九条的保护。委员会认为，根据其第</w:t>
      </w:r>
      <w:r w:rsidRPr="00C40EA0">
        <w:t>37</w:t>
      </w:r>
      <w:r w:rsidRPr="00C40EA0">
        <w:rPr>
          <w:rFonts w:hint="eastAsia"/>
        </w:rPr>
        <w:t>号一般性意见</w:t>
      </w:r>
      <w:r w:rsidRPr="00C40EA0">
        <w:t>(2020</w:t>
      </w:r>
      <w:r w:rsidRPr="00C40EA0">
        <w:rPr>
          <w:rFonts w:hint="eastAsia"/>
        </w:rPr>
        <w:t>年</w:t>
      </w:r>
      <w:r w:rsidRPr="00C40EA0">
        <w:t>)</w:t>
      </w:r>
      <w:r w:rsidRPr="00C40EA0">
        <w:rPr>
          <w:rFonts w:hint="eastAsia"/>
        </w:rPr>
        <w:t>，提交人陈述的事实涉及《公约》第十九条，而不是第二十一条。</w:t>
      </w:r>
      <w:r w:rsidRPr="00C40EA0">
        <w:rPr>
          <w:vertAlign w:val="superscript"/>
        </w:rPr>
        <w:footnoteReference w:id="14"/>
      </w:r>
      <w:r w:rsidR="00405A33">
        <w:rPr>
          <w:rFonts w:hint="eastAsia"/>
        </w:rPr>
        <w:t xml:space="preserve"> </w:t>
      </w:r>
      <w:r w:rsidRPr="00C40EA0">
        <w:rPr>
          <w:rFonts w:hint="eastAsia"/>
        </w:rPr>
        <w:t>因此，委员会得出结论认为，就可否受理而言，提交人根据《公约》第二十一条提出的这一申诉证据不足，因此，根据《任择议定书》第二条和第五条第二款</w:t>
      </w:r>
      <w:r w:rsidRPr="00C40EA0">
        <w:t>(</w:t>
      </w:r>
      <w:r w:rsidRPr="00C40EA0">
        <w:rPr>
          <w:rFonts w:hint="eastAsia"/>
        </w:rPr>
        <w:t>丑</w:t>
      </w:r>
      <w:r w:rsidRPr="00C40EA0">
        <w:t>)</w:t>
      </w:r>
      <w:r w:rsidRPr="00C40EA0">
        <w:rPr>
          <w:rFonts w:hint="eastAsia"/>
        </w:rPr>
        <w:t>项，委员会认为该申诉不可受理。</w:t>
      </w:r>
    </w:p>
    <w:p w14:paraId="1DC4FDA2" w14:textId="77777777" w:rsidR="00C40EA0" w:rsidRPr="00C40EA0" w:rsidRDefault="00C40EA0" w:rsidP="00C40EA0">
      <w:pPr>
        <w:pStyle w:val="SingleTxtGC"/>
      </w:pPr>
      <w:r w:rsidRPr="00C40EA0">
        <w:lastRenderedPageBreak/>
        <w:t>6.5</w:t>
      </w:r>
      <w:r w:rsidRPr="00C40EA0">
        <w:tab/>
      </w:r>
      <w:r w:rsidRPr="00C40EA0">
        <w:rPr>
          <w:rFonts w:hint="eastAsia"/>
        </w:rPr>
        <w:t>委员会认为，就可否受理而言，提交人已充分证实了根据《公约》第十九条提出的申诉，因此，着手审议实质问题。</w:t>
      </w:r>
    </w:p>
    <w:p w14:paraId="2942EBA5" w14:textId="77777777" w:rsidR="00C40EA0" w:rsidRPr="00C40EA0" w:rsidRDefault="00C40EA0" w:rsidP="00C40EA0">
      <w:pPr>
        <w:pStyle w:val="H4GC"/>
      </w:pPr>
      <w:r w:rsidRPr="00C40EA0">
        <w:tab/>
      </w:r>
      <w:r w:rsidRPr="00C40EA0">
        <w:tab/>
      </w:r>
      <w:r w:rsidRPr="00C40EA0">
        <w:t>审议实质问题</w:t>
      </w:r>
    </w:p>
    <w:p w14:paraId="0756F0D6" w14:textId="77777777" w:rsidR="00C40EA0" w:rsidRPr="00C40EA0" w:rsidRDefault="00C40EA0" w:rsidP="00C40EA0">
      <w:pPr>
        <w:pStyle w:val="SingleTxtGC"/>
      </w:pPr>
      <w:r w:rsidRPr="00C40EA0">
        <w:t>7.1</w:t>
      </w:r>
      <w:r w:rsidRPr="00C40EA0">
        <w:tab/>
      </w:r>
      <w:r w:rsidRPr="00C40EA0">
        <w:rPr>
          <w:rFonts w:hint="eastAsia"/>
        </w:rPr>
        <w:t>委员会根据《任择议定书》第五条第一款，结合各当事方提交的所有资料审议了本来文。</w:t>
      </w:r>
    </w:p>
    <w:p w14:paraId="2D61F7B1" w14:textId="77777777" w:rsidR="00C40EA0" w:rsidRPr="00C40EA0" w:rsidRDefault="00C40EA0" w:rsidP="00C40EA0">
      <w:pPr>
        <w:pStyle w:val="SingleTxtGC"/>
      </w:pPr>
      <w:r w:rsidRPr="00C40EA0">
        <w:t>7.2</w:t>
      </w:r>
      <w:r w:rsidRPr="00C40EA0">
        <w:tab/>
      </w:r>
      <w:r w:rsidRPr="00C40EA0">
        <w:rPr>
          <w:rFonts w:hint="eastAsia"/>
        </w:rPr>
        <w:t>委员会注意到，提交人声称，因为他举办一人抗议拜科努尔航天发射场在质子号火箭燃料中使用偏二甲肼和四氧化二氮，缔约国于</w:t>
      </w:r>
      <w:r w:rsidRPr="00C40EA0">
        <w:t>2014</w:t>
      </w:r>
      <w:r w:rsidRPr="00C40EA0">
        <w:rPr>
          <w:rFonts w:hint="eastAsia"/>
        </w:rPr>
        <w:t>年</w:t>
      </w:r>
      <w:r w:rsidRPr="00C40EA0">
        <w:t>1</w:t>
      </w:r>
      <w:r w:rsidRPr="00C40EA0">
        <w:rPr>
          <w:rFonts w:hint="eastAsia"/>
        </w:rPr>
        <w:t>月</w:t>
      </w:r>
      <w:r w:rsidRPr="00C40EA0">
        <w:t>13</w:t>
      </w:r>
      <w:r w:rsidRPr="00C40EA0">
        <w:rPr>
          <w:rFonts w:hint="eastAsia"/>
        </w:rPr>
        <w:t>日对他处以罚款，侵犯了他根据《公约》第十九条享有的表达自由权。委员会还注意到，提交人认为对其权利的限制没有必要，也不属于《公约》第十九条所允许的限制范围。委员会还注意到，缔约国辩称，限制集会自由的权利完全属于地方当局的职权范围，而且地方当局是根据《组织和实施和平集会、会议、游行、纠察、示威活动秩序法》行事的。委员会注意到，缔约国声称，地方当局实施的限制是为了保护国家安全、公共秩序和他人的健康、权利和自由</w:t>
      </w:r>
      <w:r w:rsidRPr="00C40EA0">
        <w:t>(</w:t>
      </w:r>
      <w:r w:rsidRPr="00C40EA0">
        <w:rPr>
          <w:rFonts w:hint="eastAsia"/>
        </w:rPr>
        <w:t>见上文第</w:t>
      </w:r>
      <w:r w:rsidRPr="00C40EA0">
        <w:t>4.5</w:t>
      </w:r>
      <w:r w:rsidRPr="00C40EA0">
        <w:rPr>
          <w:rFonts w:hint="eastAsia"/>
        </w:rPr>
        <w:t>段</w:t>
      </w:r>
      <w:r w:rsidRPr="00C40EA0">
        <w:t>)</w:t>
      </w:r>
      <w:r w:rsidRPr="00C40EA0">
        <w:rPr>
          <w:rFonts w:hint="eastAsia"/>
        </w:rPr>
        <w:t>。</w:t>
      </w:r>
    </w:p>
    <w:p w14:paraId="226812C0" w14:textId="65675C7A" w:rsidR="00C40EA0" w:rsidRPr="00C40EA0" w:rsidRDefault="00C40EA0" w:rsidP="00C40EA0">
      <w:pPr>
        <w:pStyle w:val="SingleTxtGC"/>
      </w:pPr>
      <w:r w:rsidRPr="00C40EA0">
        <w:t>7.3</w:t>
      </w:r>
      <w:r w:rsidRPr="00C40EA0">
        <w:tab/>
      </w:r>
      <w:r w:rsidRPr="00C40EA0">
        <w:rPr>
          <w:rFonts w:hint="eastAsia"/>
        </w:rPr>
        <w:t>委员会回顾关于意见和表达自由的第</w:t>
      </w:r>
      <w:r w:rsidRPr="00C40EA0">
        <w:t>34</w:t>
      </w:r>
      <w:r w:rsidRPr="00C40EA0">
        <w:rPr>
          <w:rFonts w:hint="eastAsia"/>
        </w:rPr>
        <w:t>号一般性意见</w:t>
      </w:r>
      <w:r w:rsidRPr="00C40EA0">
        <w:t>(2011</w:t>
      </w:r>
      <w:r w:rsidRPr="00C40EA0">
        <w:rPr>
          <w:rFonts w:hint="eastAsia"/>
        </w:rPr>
        <w:t>年</w:t>
      </w:r>
      <w:r w:rsidRPr="00C40EA0">
        <w:t>)</w:t>
      </w:r>
      <w:r w:rsidRPr="00C40EA0">
        <w:rPr>
          <w:rFonts w:hint="eastAsia"/>
        </w:rPr>
        <w:t>，除其他外，委员会在意见中表示，表达自由对任何社会都至关重要，是每一个自由民主社会的基石。</w:t>
      </w:r>
      <w:r w:rsidRPr="00C40EA0">
        <w:rPr>
          <w:vertAlign w:val="superscript"/>
        </w:rPr>
        <w:footnoteReference w:id="15"/>
      </w:r>
      <w:r w:rsidR="00967CB0">
        <w:rPr>
          <w:rFonts w:hint="eastAsia"/>
        </w:rPr>
        <w:t xml:space="preserve"> </w:t>
      </w:r>
      <w:r w:rsidRPr="00C40EA0">
        <w:rPr>
          <w:rFonts w:hint="eastAsia"/>
        </w:rPr>
        <w:t>委员会注意到，《公约》第十九条第三款允许对表达自由有所限制，包括传递信息和思想的自由，但仅限于法律规定的范围，而且必须是为了尊重他人的权利和名誉，或</w:t>
      </w:r>
      <w:r w:rsidRPr="00C40EA0">
        <w:t xml:space="preserve"> </w:t>
      </w:r>
      <w:r w:rsidRPr="00C40EA0">
        <w:rPr>
          <w:rFonts w:hint="eastAsia"/>
        </w:rPr>
        <w:t>保障国家安全或公共秩序，或公共卫生或道德所必需的。最后，对表达自由的任何限制不得过于宽泛，即在可达到相关保护作用的措施中侵犯性最小，并且与要保护的利益相称。</w:t>
      </w:r>
      <w:r w:rsidRPr="00C40EA0">
        <w:rPr>
          <w:vertAlign w:val="superscript"/>
        </w:rPr>
        <w:footnoteReference w:id="16"/>
      </w:r>
      <w:r w:rsidR="00967CB0">
        <w:rPr>
          <w:rFonts w:hint="eastAsia"/>
        </w:rPr>
        <w:t xml:space="preserve"> </w:t>
      </w:r>
      <w:r w:rsidRPr="00C40EA0">
        <w:rPr>
          <w:rFonts w:hint="eastAsia"/>
        </w:rPr>
        <w:t>委员会回顾，缔约国有责任证明对提交人根据《公约》第十九条享有权利的这一限制是必要和相称的。</w:t>
      </w:r>
      <w:r w:rsidRPr="00C40EA0">
        <w:rPr>
          <w:vertAlign w:val="superscript"/>
        </w:rPr>
        <w:footnoteReference w:id="17"/>
      </w:r>
    </w:p>
    <w:p w14:paraId="0DA4143D" w14:textId="268CE08A" w:rsidR="00C40EA0" w:rsidRPr="00C40EA0" w:rsidRDefault="00C40EA0" w:rsidP="00C40EA0">
      <w:pPr>
        <w:pStyle w:val="SingleTxtGC"/>
      </w:pPr>
      <w:r w:rsidRPr="00C40EA0">
        <w:t>7.4</w:t>
      </w:r>
      <w:r w:rsidRPr="00C40EA0">
        <w:tab/>
      </w:r>
      <w:r w:rsidRPr="00C40EA0">
        <w:rPr>
          <w:rFonts w:hint="eastAsia"/>
        </w:rPr>
        <w:t>委员会注意到，提交人因参加一次具有表达目的的和平的一人活动而受到制裁，而该活动是在没有事先获得缔约国地方当局批准的情况下进行的。委员会认</w:t>
      </w:r>
      <w:r w:rsidRPr="00C40EA0">
        <w:rPr>
          <w:rFonts w:hint="eastAsia"/>
          <w:spacing w:val="-2"/>
        </w:rPr>
        <w:t>为，与其在涉及和平集会权的案件中采取的方针相类似，国内法下的批准制度规定，举办一人抗议活动必须向当局申请许可，这一般不符合《公约》第十九条。</w:t>
      </w:r>
      <w:r w:rsidRPr="00C40EA0">
        <w:rPr>
          <w:spacing w:val="-2"/>
          <w:vertAlign w:val="superscript"/>
        </w:rPr>
        <w:footnoteReference w:id="18"/>
      </w:r>
      <w:r w:rsidR="00967CB0" w:rsidRPr="00967CB0">
        <w:rPr>
          <w:rFonts w:hint="eastAsia"/>
          <w:spacing w:val="-2"/>
        </w:rPr>
        <w:t xml:space="preserve"> </w:t>
      </w:r>
      <w:r w:rsidRPr="00C40EA0">
        <w:rPr>
          <w:rFonts w:hint="eastAsia"/>
        </w:rPr>
        <w:t>因此，对提交人实施的行政处罚令人严重怀疑对提交人权利限制的必要性和相称性。在这方面，委员会认为，缔约国未能按照《公约》第十九条第三款的要求提出具体理由，说明这种限制的必要性。</w:t>
      </w:r>
      <w:r w:rsidRPr="00C40EA0">
        <w:rPr>
          <w:vertAlign w:val="superscript"/>
        </w:rPr>
        <w:footnoteReference w:id="19"/>
      </w:r>
      <w:r w:rsidR="00967CB0">
        <w:rPr>
          <w:rFonts w:hint="eastAsia"/>
        </w:rPr>
        <w:t xml:space="preserve"> </w:t>
      </w:r>
      <w:r w:rsidRPr="00C40EA0">
        <w:rPr>
          <w:rFonts w:hint="eastAsia"/>
        </w:rPr>
        <w:t>缔约国也没有证明所选择的措施在性质上是最不具侵扰性的，或者与它寻求保护的利益相称。委员会认为，就本案情况而言，对提交人施加的限制虽然基于国内法，但根据《公约》第十九条第三款规定的条件并不合理。因此，委员会得出结论认为，提交人根据《公约》第十九条第二款享有的权利遭到了侵犯。</w:t>
      </w:r>
      <w:r w:rsidRPr="00C40EA0">
        <w:rPr>
          <w:vertAlign w:val="superscript"/>
        </w:rPr>
        <w:footnoteReference w:id="20"/>
      </w:r>
    </w:p>
    <w:p w14:paraId="6AA91C62" w14:textId="77777777" w:rsidR="00C40EA0" w:rsidRPr="00C40EA0" w:rsidRDefault="00C40EA0" w:rsidP="00C40EA0">
      <w:pPr>
        <w:pStyle w:val="SingleTxtGC"/>
      </w:pPr>
      <w:r w:rsidRPr="00C40EA0">
        <w:lastRenderedPageBreak/>
        <w:t>8.</w:t>
      </w:r>
      <w:r w:rsidRPr="00C40EA0">
        <w:tab/>
      </w:r>
      <w:r w:rsidRPr="00C40EA0">
        <w:rPr>
          <w:rFonts w:hint="eastAsia"/>
        </w:rPr>
        <w:t>委员会根据《任择议定书》第五条第四款行事，认为现有事实表明缔约国侵犯了提交人根据《公约》第十九条第二款享有的权利。</w:t>
      </w:r>
    </w:p>
    <w:p w14:paraId="74B2CC97" w14:textId="77777777" w:rsidR="00C40EA0" w:rsidRPr="00C40EA0" w:rsidRDefault="00C40EA0" w:rsidP="00C40EA0">
      <w:pPr>
        <w:pStyle w:val="SingleTxtGC"/>
      </w:pPr>
      <w:r w:rsidRPr="00C40EA0">
        <w:t>9.</w:t>
      </w:r>
      <w:r w:rsidRPr="00C40EA0">
        <w:tab/>
      </w:r>
      <w:r w:rsidRPr="00C40EA0">
        <w:rPr>
          <w:rFonts w:hint="eastAsia"/>
        </w:rPr>
        <w:t>根据《公约》第二条第三款</w:t>
      </w:r>
      <w:r w:rsidRPr="00C40EA0">
        <w:t>(</w:t>
      </w:r>
      <w:r w:rsidRPr="00C40EA0">
        <w:rPr>
          <w:rFonts w:hint="eastAsia"/>
        </w:rPr>
        <w:t>子</w:t>
      </w:r>
      <w:r w:rsidRPr="00C40EA0">
        <w:t>)</w:t>
      </w:r>
      <w:r w:rsidRPr="00C40EA0">
        <w:rPr>
          <w:rFonts w:hint="eastAsia"/>
        </w:rPr>
        <w:t>项，缔约国有义务给予提交人有效的补救。这要求缔约国向《公约》权利受到侵犯的个人提供充分赔偿。为此，缔约国有义务，除其他外，向提交人提供适当赔偿，包括偿还罚款和提交人承担的任何法律费用。缔约国还有义务采取一切必要措施，防止今后发生类似的违约行为。为此，缔约国应根据《公约》第二条第二款规定的义务，修订关于公共活动的规范框架，以确保《公约》第十九条之下的权利在缔约国可以充分享有。</w:t>
      </w:r>
    </w:p>
    <w:p w14:paraId="0A5FB9C4" w14:textId="259DE066" w:rsidR="00C40EA0" w:rsidRPr="00C40EA0" w:rsidRDefault="00C40EA0" w:rsidP="00C40EA0">
      <w:pPr>
        <w:pStyle w:val="SingleTxtGC"/>
      </w:pPr>
      <w:r w:rsidRPr="00C40EA0">
        <w:t>10.</w:t>
      </w:r>
      <w:r w:rsidRPr="00C40EA0">
        <w:tab/>
      </w:r>
      <w:r w:rsidRPr="00C40EA0">
        <w:rPr>
          <w:rFonts w:hint="eastAsia"/>
        </w:rPr>
        <w:t>缔约国加入《任择议定书》即已承认，委员会有权确定是否存在违反《公约》的情况，而且根据《公约》第二条，缔约国也已承诺确保在其领土内和受其管辖的所有个人享有《公约》承认的权利，并承诺如违约行为经确定成立，即予以有效且可强制执行的补救。鉴此，委员会希望缔约国在</w:t>
      </w:r>
      <w:r w:rsidRPr="00C40EA0">
        <w:t>180</w:t>
      </w:r>
      <w:r w:rsidRPr="00C40EA0">
        <w:rPr>
          <w:rFonts w:hint="eastAsia"/>
        </w:rPr>
        <w:t>天内提供资料，说明采取措施落实委员会《意见》的情况。此外，还请缔约国公布本意见，并以缔约国的官方语言广泛传播。</w:t>
      </w:r>
    </w:p>
    <w:p w14:paraId="04485396" w14:textId="2EF7F1D2" w:rsidR="006057BE" w:rsidRDefault="006057BE" w:rsidP="00C40EA0">
      <w:pPr>
        <w:pStyle w:val="SingleTxtGC"/>
        <w:rPr>
          <w:u w:val="single"/>
        </w:rPr>
      </w:pPr>
    </w:p>
    <w:p w14:paraId="3BA60273" w14:textId="77777777" w:rsidR="00C40EA0" w:rsidRPr="002D6A9C" w:rsidRDefault="00C40EA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7904DEE6" w14:textId="1D35FFE0" w:rsidR="00C40EA0" w:rsidRPr="00C40EA0" w:rsidRDefault="00C40EA0" w:rsidP="00C40EA0">
      <w:pPr>
        <w:pStyle w:val="SingleTxtGC"/>
      </w:pPr>
    </w:p>
    <w:sectPr w:rsidR="00C40EA0" w:rsidRPr="00C40EA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707B" w14:textId="77777777" w:rsidR="00032DC6" w:rsidRPr="000D319F" w:rsidRDefault="00032DC6" w:rsidP="000D319F">
      <w:pPr>
        <w:pStyle w:val="af0"/>
        <w:spacing w:after="240"/>
        <w:ind w:left="907"/>
        <w:rPr>
          <w:rFonts w:asciiTheme="majorBidi" w:eastAsia="宋体" w:hAnsiTheme="majorBidi" w:cstheme="majorBidi"/>
          <w:sz w:val="21"/>
          <w:szCs w:val="21"/>
          <w:lang w:val="en-US"/>
        </w:rPr>
      </w:pPr>
    </w:p>
    <w:p w14:paraId="470BD289" w14:textId="77777777" w:rsidR="00032DC6" w:rsidRPr="000D319F" w:rsidRDefault="00032DC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93BE585" w14:textId="77777777" w:rsidR="00032DC6" w:rsidRPr="000D319F" w:rsidRDefault="00032DC6" w:rsidP="000D319F">
      <w:pPr>
        <w:pStyle w:val="af0"/>
      </w:pPr>
    </w:p>
  </w:endnote>
  <w:endnote w:type="continuationNotice" w:id="1">
    <w:p w14:paraId="354D9604" w14:textId="77777777" w:rsidR="00032DC6" w:rsidRDefault="00032D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0FDB" w14:textId="77777777" w:rsidR="00056632" w:rsidRPr="008C5B60" w:rsidRDefault="008C5B60" w:rsidP="008C5B6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8C5B60">
      <w:rPr>
        <w:rStyle w:val="af2"/>
        <w:b w:val="0"/>
        <w:snapToGrid w:val="0"/>
        <w:sz w:val="16"/>
      </w:rPr>
      <w:t>GE.22-25750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94CB" w14:textId="77777777" w:rsidR="00056632" w:rsidRPr="008C5B60" w:rsidRDefault="008C5B60" w:rsidP="008C5B60">
    <w:pPr>
      <w:pStyle w:val="af0"/>
      <w:tabs>
        <w:tab w:val="clear" w:pos="431"/>
        <w:tab w:val="right" w:pos="9638"/>
      </w:tabs>
      <w:rPr>
        <w:rStyle w:val="af2"/>
      </w:rPr>
    </w:pPr>
    <w:r>
      <w:t>GE.22-25750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DFCC" w14:textId="4999E474" w:rsidR="00056632" w:rsidRPr="00487939" w:rsidRDefault="008C5B60"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E4CCFBD" wp14:editId="13CA75E8">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GE.22-25750</w:t>
    </w:r>
    <w:r w:rsidR="00731A42" w:rsidRPr="00EE277A">
      <w:rPr>
        <w:sz w:val="20"/>
        <w:lang w:eastAsia="zh-CN"/>
      </w:rPr>
      <w:t xml:space="preserve"> (C)</w:t>
    </w:r>
    <w:r w:rsidR="00EA7E67">
      <w:rPr>
        <w:sz w:val="20"/>
        <w:lang w:eastAsia="zh-CN"/>
      </w:rPr>
      <w:tab/>
    </w:r>
    <w:r>
      <w:rPr>
        <w:sz w:val="20"/>
        <w:lang w:eastAsia="zh-CN"/>
      </w:rPr>
      <w:t>2012</w:t>
    </w:r>
    <w:r w:rsidR="0060122D">
      <w:rPr>
        <w:sz w:val="20"/>
        <w:lang w:eastAsia="zh-CN"/>
      </w:rPr>
      <w:t>2</w:t>
    </w:r>
    <w:r w:rsidR="00C43CF0">
      <w:rPr>
        <w:sz w:val="20"/>
        <w:lang w:eastAsia="zh-CN"/>
      </w:rPr>
      <w:t>2</w:t>
    </w:r>
    <w:r w:rsidR="00731A42">
      <w:rPr>
        <w:sz w:val="20"/>
        <w:lang w:eastAsia="zh-CN"/>
      </w:rPr>
      <w:tab/>
    </w:r>
    <w:r>
      <w:rPr>
        <w:sz w:val="20"/>
        <w:lang w:eastAsia="zh-CN"/>
      </w:rPr>
      <w:t>130123</w:t>
    </w:r>
    <w:r w:rsidR="00731A42">
      <w:rPr>
        <w:b/>
        <w:sz w:val="21"/>
      </w:rPr>
      <w:tab/>
    </w:r>
    <w:r w:rsidR="00A1364C">
      <w:rPr>
        <w:rFonts w:hint="eastAsia"/>
        <w:b/>
        <w:noProof/>
        <w:snapToGrid/>
        <w:sz w:val="21"/>
        <w:lang w:val="en-US" w:eastAsia="zh-CN"/>
      </w:rPr>
      <w:drawing>
        <wp:inline distT="0" distB="0" distL="0" distR="0" wp14:anchorId="5919FCA7" wp14:editId="54FE756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A07C" w14:textId="77777777" w:rsidR="00032DC6" w:rsidRPr="000157B1" w:rsidRDefault="00032DC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B37C759" w14:textId="77777777" w:rsidR="00032DC6" w:rsidRPr="000157B1" w:rsidRDefault="00032DC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240F5B0" w14:textId="77777777" w:rsidR="00032DC6" w:rsidRDefault="00032DC6"/>
  </w:footnote>
  <w:footnote w:id="2">
    <w:p w14:paraId="407A9632" w14:textId="245F8221" w:rsidR="008C5B60" w:rsidRPr="00056E9D" w:rsidRDefault="008C5B60" w:rsidP="008C5B60">
      <w:pPr>
        <w:pStyle w:val="a6"/>
        <w:tabs>
          <w:tab w:val="clear" w:pos="1021"/>
          <w:tab w:val="right" w:pos="1020"/>
        </w:tabs>
      </w:pPr>
      <w:r w:rsidRPr="00056E9D">
        <w:rPr>
          <w:rStyle w:val="a8"/>
          <w:rFonts w:eastAsia="宋体"/>
          <w:vertAlign w:val="baseline"/>
        </w:rPr>
        <w:tab/>
        <w:t>*</w:t>
      </w:r>
      <w:r w:rsidRPr="00056E9D">
        <w:tab/>
      </w:r>
      <w:r w:rsidR="001828ED" w:rsidRPr="00056E9D">
        <w:rPr>
          <w:rFonts w:hint="eastAsia"/>
        </w:rPr>
        <w:t>委员会第一三五届会议</w:t>
      </w:r>
      <w:r w:rsidR="001828ED" w:rsidRPr="00056E9D">
        <w:rPr>
          <w:rFonts w:hint="eastAsia"/>
        </w:rPr>
        <w:t>(2022</w:t>
      </w:r>
      <w:r w:rsidR="001828ED" w:rsidRPr="00056E9D">
        <w:rPr>
          <w:rFonts w:hint="eastAsia"/>
        </w:rPr>
        <w:t>年</w:t>
      </w:r>
      <w:r w:rsidR="001828ED" w:rsidRPr="00056E9D">
        <w:rPr>
          <w:rFonts w:hint="eastAsia"/>
        </w:rPr>
        <w:t>6</w:t>
      </w:r>
      <w:r w:rsidR="001828ED" w:rsidRPr="00056E9D">
        <w:rPr>
          <w:rFonts w:hint="eastAsia"/>
        </w:rPr>
        <w:t>月</w:t>
      </w:r>
      <w:r w:rsidR="001828ED" w:rsidRPr="00056E9D">
        <w:rPr>
          <w:rFonts w:hint="eastAsia"/>
        </w:rPr>
        <w:t>27</w:t>
      </w:r>
      <w:r w:rsidR="001828ED" w:rsidRPr="00056E9D">
        <w:rPr>
          <w:rFonts w:hint="eastAsia"/>
        </w:rPr>
        <w:t>日至</w:t>
      </w:r>
      <w:r w:rsidR="001828ED" w:rsidRPr="00056E9D">
        <w:rPr>
          <w:rFonts w:hint="eastAsia"/>
        </w:rPr>
        <w:t>7</w:t>
      </w:r>
      <w:r w:rsidR="001828ED" w:rsidRPr="00056E9D">
        <w:rPr>
          <w:rFonts w:hint="eastAsia"/>
        </w:rPr>
        <w:t>月</w:t>
      </w:r>
      <w:r w:rsidR="001828ED" w:rsidRPr="00056E9D">
        <w:rPr>
          <w:rFonts w:hint="eastAsia"/>
        </w:rPr>
        <w:t>27</w:t>
      </w:r>
      <w:r w:rsidR="001828ED" w:rsidRPr="00056E9D">
        <w:rPr>
          <w:rFonts w:hint="eastAsia"/>
        </w:rPr>
        <w:t>日</w:t>
      </w:r>
      <w:r w:rsidR="001828ED" w:rsidRPr="00056E9D">
        <w:rPr>
          <w:rFonts w:hint="eastAsia"/>
        </w:rPr>
        <w:t>)</w:t>
      </w:r>
      <w:r w:rsidR="001828ED" w:rsidRPr="00056E9D">
        <w:rPr>
          <w:rFonts w:hint="eastAsia"/>
        </w:rPr>
        <w:t>通过。</w:t>
      </w:r>
    </w:p>
  </w:footnote>
  <w:footnote w:id="3">
    <w:p w14:paraId="3F51115B" w14:textId="6ABC29FF" w:rsidR="008C5B60" w:rsidRPr="00056E9D" w:rsidRDefault="008C5B60" w:rsidP="008C5B60">
      <w:pPr>
        <w:pStyle w:val="a6"/>
        <w:tabs>
          <w:tab w:val="clear" w:pos="1021"/>
          <w:tab w:val="right" w:pos="1020"/>
        </w:tabs>
      </w:pPr>
      <w:r w:rsidRPr="00056E9D">
        <w:rPr>
          <w:rStyle w:val="a8"/>
          <w:rFonts w:eastAsia="宋体"/>
          <w:vertAlign w:val="baseline"/>
        </w:rPr>
        <w:tab/>
        <w:t>**</w:t>
      </w:r>
      <w:r w:rsidRPr="00056E9D">
        <w:tab/>
      </w:r>
      <w:r w:rsidR="001828ED" w:rsidRPr="00056E9D">
        <w:rPr>
          <w:rFonts w:hint="eastAsia"/>
        </w:rPr>
        <w:t>委员会下列委员参加了本来文的审查：塔尼亚·玛丽亚·阿布多·罗乔利、瓦法·阿什拉夫·莫哈拉姆·巴西姆、阿里夫·布尔坎、马久巴·海巴、古谷修一、卡洛斯·戈麦斯·马丁内斯、马西娅·克兰、邓肯·莱基·穆胡穆扎、福蒂妮·帕扎尔齐斯、埃尔南·克萨达·卡夫雷拉、瓦西尔卡·桑钦、若泽·曼努埃尔·桑托斯·派斯、徐昌禄、科波亚·查姆加·克帕查、埃莱娜·提格乎德加、伊梅鲁·塔姆拉特·伊盖祖和根提安·齐伯利。</w:t>
      </w:r>
    </w:p>
  </w:footnote>
  <w:footnote w:id="4">
    <w:p w14:paraId="0EADBD56" w14:textId="77777777"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 xml:space="preserve"> </w:t>
      </w:r>
      <w:r w:rsidRPr="00056E9D">
        <w:rPr>
          <w:lang w:val="zh-CN"/>
        </w:rPr>
        <w:tab/>
      </w:r>
      <w:r w:rsidRPr="00056E9D">
        <w:rPr>
          <w:rFonts w:hint="eastAsia"/>
          <w:lang w:val="zh-CN"/>
        </w:rPr>
        <w:t>约</w:t>
      </w:r>
      <w:r w:rsidRPr="00056E9D">
        <w:rPr>
          <w:lang w:val="zh-CN"/>
        </w:rPr>
        <w:t>98</w:t>
      </w:r>
      <w:r w:rsidRPr="00056E9D">
        <w:rPr>
          <w:rFonts w:hint="eastAsia"/>
          <w:lang w:val="zh-CN"/>
        </w:rPr>
        <w:t>欧元。</w:t>
      </w:r>
    </w:p>
  </w:footnote>
  <w:footnote w:id="5">
    <w:p w14:paraId="3A4545DD" w14:textId="77777777"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 xml:space="preserve"> </w:t>
      </w:r>
      <w:r w:rsidRPr="00056E9D">
        <w:rPr>
          <w:lang w:val="zh-CN"/>
        </w:rPr>
        <w:tab/>
      </w:r>
      <w:r w:rsidRPr="00056E9D">
        <w:rPr>
          <w:rFonts w:hint="eastAsia"/>
          <w:lang w:val="zh-CN"/>
        </w:rPr>
        <w:t>据提交人称，这是哈萨克斯坦第一次法院裁决承认进行一人抗议不需要授权。</w:t>
      </w:r>
    </w:p>
  </w:footnote>
  <w:footnote w:id="6">
    <w:p w14:paraId="0E95FCEA" w14:textId="77777777"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ab/>
      </w:r>
      <w:r w:rsidRPr="00056E9D">
        <w:rPr>
          <w:rFonts w:hint="eastAsia"/>
          <w:lang w:val="zh-CN"/>
        </w:rPr>
        <w:t>提交人没有就未通知他总检察长办公室的上诉和国内诉讼程序的听证提出上诉。提交人解释说，在这种情况下，提交人唯一可用的补救办法是通过民事诉讼程序提出申诉。在行政诉讼程序内，他没有任何可用的补救办法。</w:t>
      </w:r>
    </w:p>
  </w:footnote>
  <w:footnote w:id="7">
    <w:p w14:paraId="2B145761" w14:textId="77777777"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 xml:space="preserve"> </w:t>
      </w:r>
      <w:r w:rsidRPr="00056E9D">
        <w:rPr>
          <w:lang w:val="zh-CN"/>
        </w:rPr>
        <w:tab/>
      </w:r>
      <w:r w:rsidRPr="00056E9D">
        <w:rPr>
          <w:rFonts w:hint="eastAsia"/>
          <w:lang w:val="zh-CN"/>
        </w:rPr>
        <w:t>新版《行政违规法》第</w:t>
      </w:r>
      <w:r w:rsidRPr="00056E9D">
        <w:rPr>
          <w:lang w:val="zh-CN"/>
        </w:rPr>
        <w:t>488</w:t>
      </w:r>
      <w:r w:rsidRPr="00056E9D">
        <w:rPr>
          <w:rFonts w:hint="eastAsia"/>
          <w:lang w:val="zh-CN"/>
        </w:rPr>
        <w:t>条。</w:t>
      </w:r>
    </w:p>
  </w:footnote>
  <w:footnote w:id="8">
    <w:p w14:paraId="4668EAD2" w14:textId="77777777"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 xml:space="preserve"> </w:t>
      </w:r>
      <w:r w:rsidRPr="00056E9D">
        <w:rPr>
          <w:lang w:val="zh-CN"/>
        </w:rPr>
        <w:tab/>
      </w:r>
      <w:r w:rsidRPr="00056E9D">
        <w:rPr>
          <w:rFonts w:hint="eastAsia"/>
          <w:lang w:val="zh-CN"/>
        </w:rPr>
        <w:t>人权事务委员会第</w:t>
      </w:r>
      <w:r w:rsidRPr="00056E9D">
        <w:rPr>
          <w:lang w:val="zh-CN"/>
        </w:rPr>
        <w:t>32</w:t>
      </w:r>
      <w:r w:rsidRPr="00056E9D">
        <w:rPr>
          <w:rFonts w:hint="eastAsia"/>
          <w:lang w:val="zh-CN"/>
        </w:rPr>
        <w:t>号一般性意见</w:t>
      </w:r>
      <w:r w:rsidRPr="00056E9D">
        <w:rPr>
          <w:lang w:val="zh-CN"/>
        </w:rPr>
        <w:t>(2007</w:t>
      </w:r>
      <w:r w:rsidRPr="00056E9D">
        <w:rPr>
          <w:rFonts w:hint="eastAsia"/>
          <w:lang w:val="zh-CN"/>
        </w:rPr>
        <w:t>年</w:t>
      </w:r>
      <w:r w:rsidRPr="00056E9D">
        <w:rPr>
          <w:lang w:val="zh-CN"/>
        </w:rPr>
        <w:t>)</w:t>
      </w:r>
      <w:r w:rsidRPr="00056E9D">
        <w:rPr>
          <w:rFonts w:hint="eastAsia"/>
          <w:lang w:val="zh-CN"/>
        </w:rPr>
        <w:t>，第</w:t>
      </w:r>
      <w:r w:rsidRPr="00056E9D">
        <w:rPr>
          <w:lang w:val="zh-CN"/>
        </w:rPr>
        <w:t>25</w:t>
      </w:r>
      <w:r w:rsidRPr="00056E9D">
        <w:rPr>
          <w:rFonts w:hint="eastAsia"/>
          <w:lang w:val="zh-CN"/>
        </w:rPr>
        <w:t>段。</w:t>
      </w:r>
    </w:p>
  </w:footnote>
  <w:footnote w:id="9">
    <w:p w14:paraId="4205582D" w14:textId="77777777"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 xml:space="preserve"> </w:t>
      </w:r>
      <w:r w:rsidRPr="00056E9D">
        <w:rPr>
          <w:lang w:val="zh-CN"/>
        </w:rPr>
        <w:tab/>
      </w:r>
      <w:r w:rsidRPr="00056E9D">
        <w:rPr>
          <w:rFonts w:hint="eastAsia"/>
          <w:lang w:val="zh-CN"/>
        </w:rPr>
        <w:t>《行政违规法》。</w:t>
      </w:r>
    </w:p>
  </w:footnote>
  <w:footnote w:id="10">
    <w:p w14:paraId="621480AD" w14:textId="76D83F5B" w:rsidR="00C40EA0" w:rsidRPr="00056E9D" w:rsidRDefault="00C40EA0" w:rsidP="00C40EA0">
      <w:pPr>
        <w:pStyle w:val="a6"/>
      </w:pPr>
      <w:r w:rsidRPr="00056E9D">
        <w:rPr>
          <w:lang w:val="zh-CN"/>
        </w:rPr>
        <w:tab/>
      </w:r>
      <w:r w:rsidRPr="00056E9D">
        <w:rPr>
          <w:rStyle w:val="a8"/>
          <w:rFonts w:eastAsia="宋体"/>
          <w:lang w:val="zh-CN"/>
        </w:rPr>
        <w:footnoteRef/>
      </w:r>
      <w:r w:rsidRPr="00056E9D">
        <w:tab/>
      </w:r>
      <w:hyperlink r:id="rId1" w:history="1">
        <w:r w:rsidRPr="00056E9D">
          <w:rPr>
            <w:rStyle w:val="af6"/>
            <w:u w:val="none"/>
          </w:rPr>
          <w:t>A/HRC/29/25/Add.2</w:t>
        </w:r>
      </w:hyperlink>
      <w:r w:rsidRPr="00056E9D">
        <w:rPr>
          <w:rFonts w:hint="eastAsia"/>
        </w:rPr>
        <w:t>，</w:t>
      </w:r>
      <w:r w:rsidRPr="00056E9D">
        <w:rPr>
          <w:rFonts w:hint="eastAsia"/>
          <w:lang w:val="zh-CN"/>
        </w:rPr>
        <w:t>第</w:t>
      </w:r>
      <w:r w:rsidRPr="00056E9D">
        <w:t>52</w:t>
      </w:r>
      <w:r w:rsidRPr="00056E9D">
        <w:rPr>
          <w:rFonts w:hint="eastAsia"/>
          <w:lang w:val="zh-CN"/>
        </w:rPr>
        <w:t>段。</w:t>
      </w:r>
    </w:p>
  </w:footnote>
  <w:footnote w:id="11">
    <w:p w14:paraId="47994DE1" w14:textId="77777777" w:rsidR="00C40EA0" w:rsidRPr="00056E9D" w:rsidRDefault="00C40EA0" w:rsidP="00C40EA0">
      <w:pPr>
        <w:pStyle w:val="a6"/>
      </w:pPr>
      <w:r w:rsidRPr="00056E9D">
        <w:tab/>
      </w:r>
      <w:r w:rsidRPr="00056E9D">
        <w:rPr>
          <w:rStyle w:val="a8"/>
          <w:rFonts w:eastAsia="宋体"/>
          <w:lang w:val="zh-CN"/>
        </w:rPr>
        <w:footnoteRef/>
      </w:r>
      <w:r w:rsidRPr="00056E9D">
        <w:rPr>
          <w:lang w:val="zh-CN"/>
        </w:rPr>
        <w:tab/>
      </w:r>
      <w:r w:rsidRPr="00056E9D">
        <w:rPr>
          <w:rFonts w:hint="eastAsia"/>
          <w:lang w:val="zh-CN"/>
        </w:rPr>
        <w:t>人权理事会第</w:t>
      </w:r>
      <w:r w:rsidRPr="00056E9D">
        <w:rPr>
          <w:lang w:val="zh-CN"/>
        </w:rPr>
        <w:t>15/21</w:t>
      </w:r>
      <w:r w:rsidRPr="00056E9D">
        <w:rPr>
          <w:rFonts w:hint="eastAsia"/>
          <w:lang w:val="zh-CN"/>
        </w:rPr>
        <w:t>号决议。</w:t>
      </w:r>
    </w:p>
  </w:footnote>
  <w:footnote w:id="12">
    <w:p w14:paraId="5F4D9331" w14:textId="59A640AB"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ab/>
        <w:t>Toreg</w:t>
      </w:r>
      <w:r w:rsidRPr="00056E9D">
        <w:rPr>
          <w:rFonts w:ascii="Time New Roman" w:eastAsia="楷体" w:hAnsi="Time New Roman"/>
          <w:lang w:val="zh-CN"/>
        </w:rPr>
        <w:t>ozhina</w:t>
      </w:r>
      <w:r w:rsidRPr="00056E9D">
        <w:rPr>
          <w:rFonts w:ascii="Time New Roman" w:eastAsia="楷体" w:hAnsi="Time New Roman" w:hint="eastAsia"/>
          <w:lang w:val="zh-CN"/>
        </w:rPr>
        <w:t>诉哈萨克斯坦</w:t>
      </w:r>
      <w:r w:rsidRPr="00056E9D">
        <w:rPr>
          <w:lang w:val="zh-CN"/>
        </w:rPr>
        <w:t>(</w:t>
      </w:r>
      <w:hyperlink r:id="rId2" w:history="1">
        <w:r w:rsidRPr="00056E9D">
          <w:rPr>
            <w:rStyle w:val="af6"/>
            <w:u w:val="none"/>
            <w:lang w:val="zh-CN"/>
          </w:rPr>
          <w:t>CCPR/C/112/D/2137/2012</w:t>
        </w:r>
      </w:hyperlink>
      <w:r w:rsidRPr="00056E9D">
        <w:rPr>
          <w:lang w:val="zh-CN"/>
        </w:rPr>
        <w:t>)</w:t>
      </w:r>
      <w:r w:rsidRPr="00056E9D">
        <w:rPr>
          <w:rFonts w:hint="eastAsia"/>
          <w:lang w:val="zh-CN"/>
        </w:rPr>
        <w:t>。</w:t>
      </w:r>
    </w:p>
  </w:footnote>
  <w:footnote w:id="13">
    <w:p w14:paraId="3E14B291" w14:textId="7B80AE16"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 xml:space="preserve"> </w:t>
      </w:r>
      <w:r w:rsidRPr="00056E9D">
        <w:rPr>
          <w:lang w:val="zh-CN"/>
        </w:rPr>
        <w:tab/>
      </w:r>
      <w:r w:rsidRPr="00056E9D">
        <w:rPr>
          <w:rFonts w:hint="eastAsia"/>
          <w:lang w:val="zh-CN"/>
        </w:rPr>
        <w:t>例见，</w:t>
      </w:r>
      <w:r w:rsidRPr="00056E9D">
        <w:rPr>
          <w:lang w:val="zh-CN"/>
        </w:rPr>
        <w:t>Levino</w:t>
      </w:r>
      <w:r w:rsidRPr="00056E9D">
        <w:rPr>
          <w:rFonts w:ascii="Time New Roman" w:eastAsia="楷体" w:hAnsi="Time New Roman"/>
          <w:lang w:val="zh-CN"/>
        </w:rPr>
        <w:t>v</w:t>
      </w:r>
      <w:r w:rsidRPr="00056E9D">
        <w:rPr>
          <w:rFonts w:ascii="Time New Roman" w:eastAsia="楷体" w:hAnsi="Time New Roman" w:hint="eastAsia"/>
          <w:lang w:val="zh-CN"/>
        </w:rPr>
        <w:t>诉白俄罗斯</w:t>
      </w:r>
      <w:r w:rsidRPr="00056E9D">
        <w:rPr>
          <w:lang w:val="zh-CN"/>
        </w:rPr>
        <w:t>(</w:t>
      </w:r>
      <w:hyperlink r:id="rId3" w:history="1">
        <w:r w:rsidRPr="00056E9D">
          <w:rPr>
            <w:rStyle w:val="af6"/>
            <w:u w:val="none"/>
            <w:lang w:val="zh-CN"/>
          </w:rPr>
          <w:t>CCPR/C/117/D/2082/2011</w:t>
        </w:r>
      </w:hyperlink>
      <w:r w:rsidRPr="00056E9D">
        <w:rPr>
          <w:lang w:val="zh-CN"/>
        </w:rPr>
        <w:t>)</w:t>
      </w:r>
      <w:r w:rsidRPr="00056E9D">
        <w:rPr>
          <w:rFonts w:hint="eastAsia"/>
          <w:lang w:val="zh-CN"/>
        </w:rPr>
        <w:t>，第</w:t>
      </w:r>
      <w:r w:rsidRPr="00056E9D">
        <w:rPr>
          <w:lang w:val="zh-CN"/>
        </w:rPr>
        <w:t>7.7</w:t>
      </w:r>
      <w:r w:rsidRPr="00056E9D">
        <w:rPr>
          <w:rFonts w:hint="eastAsia"/>
          <w:lang w:val="zh-CN"/>
        </w:rPr>
        <w:t>段。</w:t>
      </w:r>
    </w:p>
  </w:footnote>
  <w:footnote w:id="14">
    <w:p w14:paraId="3B133081" w14:textId="77777777"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ab/>
      </w:r>
      <w:r w:rsidRPr="00056E9D">
        <w:rPr>
          <w:rFonts w:hint="eastAsia"/>
          <w:lang w:val="zh-CN"/>
        </w:rPr>
        <w:t>第</w:t>
      </w:r>
      <w:r w:rsidRPr="00056E9D">
        <w:rPr>
          <w:lang w:val="zh-CN"/>
        </w:rPr>
        <w:t>12</w:t>
      </w:r>
      <w:r w:rsidRPr="00056E9D">
        <w:rPr>
          <w:rFonts w:hint="eastAsia"/>
          <w:lang w:val="zh-CN"/>
        </w:rPr>
        <w:t>和第</w:t>
      </w:r>
      <w:r w:rsidRPr="00056E9D">
        <w:rPr>
          <w:lang w:val="zh-CN"/>
        </w:rPr>
        <w:t>13</w:t>
      </w:r>
      <w:r w:rsidRPr="00056E9D">
        <w:rPr>
          <w:rFonts w:hint="eastAsia"/>
          <w:lang w:val="zh-CN"/>
        </w:rPr>
        <w:t>段。</w:t>
      </w:r>
    </w:p>
  </w:footnote>
  <w:footnote w:id="15">
    <w:p w14:paraId="6A3897CF" w14:textId="77777777"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ab/>
      </w:r>
      <w:r w:rsidRPr="00056E9D">
        <w:rPr>
          <w:rFonts w:hint="eastAsia"/>
          <w:lang w:val="zh-CN"/>
        </w:rPr>
        <w:t>第</w:t>
      </w:r>
      <w:r w:rsidRPr="00056E9D">
        <w:rPr>
          <w:lang w:val="zh-CN"/>
        </w:rPr>
        <w:t>2</w:t>
      </w:r>
      <w:r w:rsidRPr="00056E9D">
        <w:rPr>
          <w:rFonts w:hint="eastAsia"/>
          <w:lang w:val="zh-CN"/>
        </w:rPr>
        <w:t>段。</w:t>
      </w:r>
    </w:p>
  </w:footnote>
  <w:footnote w:id="16">
    <w:p w14:paraId="1824BCF7" w14:textId="77777777"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ab/>
      </w:r>
      <w:r w:rsidRPr="00056E9D">
        <w:rPr>
          <w:rFonts w:hint="eastAsia"/>
          <w:lang w:val="zh-CN"/>
        </w:rPr>
        <w:t>一般性意见第</w:t>
      </w:r>
      <w:r w:rsidRPr="00056E9D">
        <w:rPr>
          <w:lang w:val="zh-CN"/>
        </w:rPr>
        <w:t>34</w:t>
      </w:r>
      <w:r w:rsidRPr="00056E9D">
        <w:rPr>
          <w:rFonts w:hint="eastAsia"/>
          <w:lang w:val="zh-CN"/>
        </w:rPr>
        <w:t>号</w:t>
      </w:r>
      <w:r w:rsidRPr="00056E9D">
        <w:rPr>
          <w:lang w:val="zh-CN"/>
        </w:rPr>
        <w:t>(2011</w:t>
      </w:r>
      <w:r w:rsidRPr="00056E9D">
        <w:rPr>
          <w:rFonts w:hint="eastAsia"/>
          <w:lang w:val="zh-CN"/>
        </w:rPr>
        <w:t>年</w:t>
      </w:r>
      <w:r w:rsidRPr="00056E9D">
        <w:rPr>
          <w:lang w:val="zh-CN"/>
        </w:rPr>
        <w:t>)</w:t>
      </w:r>
      <w:r w:rsidRPr="00056E9D">
        <w:rPr>
          <w:rFonts w:hint="eastAsia"/>
          <w:lang w:val="zh-CN"/>
        </w:rPr>
        <w:t>，第</w:t>
      </w:r>
      <w:r w:rsidRPr="00056E9D">
        <w:rPr>
          <w:lang w:val="zh-CN"/>
        </w:rPr>
        <w:t>34</w:t>
      </w:r>
      <w:r w:rsidRPr="00056E9D">
        <w:rPr>
          <w:rFonts w:hint="eastAsia"/>
          <w:lang w:val="zh-CN"/>
        </w:rPr>
        <w:t>段。</w:t>
      </w:r>
    </w:p>
  </w:footnote>
  <w:footnote w:id="17">
    <w:p w14:paraId="5471FE43" w14:textId="4B94AEC9"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ab/>
      </w:r>
      <w:r w:rsidRPr="00056E9D">
        <w:rPr>
          <w:rFonts w:hint="eastAsia"/>
          <w:lang w:val="zh-CN"/>
        </w:rPr>
        <w:t>例见，</w:t>
      </w:r>
      <w:r w:rsidRPr="00056E9D">
        <w:rPr>
          <w:lang w:val="zh-CN"/>
        </w:rPr>
        <w:t>Androsen</w:t>
      </w:r>
      <w:r w:rsidRPr="00056E9D">
        <w:rPr>
          <w:rFonts w:ascii="Time New Roman" w:eastAsia="楷体" w:hAnsi="Time New Roman"/>
          <w:lang w:val="zh-CN"/>
        </w:rPr>
        <w:t>ko</w:t>
      </w:r>
      <w:r w:rsidRPr="00056E9D">
        <w:rPr>
          <w:rFonts w:ascii="Time New Roman" w:eastAsia="楷体" w:hAnsi="Time New Roman" w:hint="eastAsia"/>
          <w:lang w:val="zh-CN"/>
        </w:rPr>
        <w:t>诉白俄罗斯</w:t>
      </w:r>
      <w:r w:rsidRPr="00056E9D">
        <w:rPr>
          <w:lang w:val="zh-CN"/>
        </w:rPr>
        <w:t>(</w:t>
      </w:r>
      <w:hyperlink r:id="rId4" w:history="1">
        <w:r w:rsidRPr="00056E9D">
          <w:rPr>
            <w:rStyle w:val="af6"/>
            <w:u w:val="none"/>
            <w:lang w:val="zh-CN"/>
          </w:rPr>
          <w:t>CCPR/C/116/D/2092/2011</w:t>
        </w:r>
      </w:hyperlink>
      <w:r w:rsidRPr="00056E9D">
        <w:rPr>
          <w:lang w:val="zh-CN"/>
        </w:rPr>
        <w:t>)</w:t>
      </w:r>
      <w:r w:rsidRPr="00056E9D">
        <w:rPr>
          <w:rFonts w:hint="eastAsia"/>
          <w:lang w:val="zh-CN"/>
        </w:rPr>
        <w:t>，第</w:t>
      </w:r>
      <w:r w:rsidRPr="00056E9D">
        <w:rPr>
          <w:lang w:val="zh-CN"/>
        </w:rPr>
        <w:t>7.3</w:t>
      </w:r>
      <w:r w:rsidRPr="00056E9D">
        <w:rPr>
          <w:rFonts w:hint="eastAsia"/>
          <w:lang w:val="zh-CN"/>
        </w:rPr>
        <w:t>段。</w:t>
      </w:r>
    </w:p>
  </w:footnote>
  <w:footnote w:id="18">
    <w:p w14:paraId="34342276" w14:textId="77777777"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ab/>
      </w:r>
      <w:r w:rsidRPr="00056E9D">
        <w:rPr>
          <w:rFonts w:hint="eastAsia"/>
          <w:lang w:val="zh-CN"/>
        </w:rPr>
        <w:t>第</w:t>
      </w:r>
      <w:r w:rsidRPr="00056E9D">
        <w:rPr>
          <w:lang w:val="zh-CN"/>
        </w:rPr>
        <w:t>37</w:t>
      </w:r>
      <w:r w:rsidRPr="00056E9D">
        <w:rPr>
          <w:rFonts w:hint="eastAsia"/>
          <w:lang w:val="zh-CN"/>
        </w:rPr>
        <w:t>号一般性意见</w:t>
      </w:r>
      <w:r w:rsidRPr="00056E9D">
        <w:rPr>
          <w:lang w:val="zh-CN"/>
        </w:rPr>
        <w:t>(2020</w:t>
      </w:r>
      <w:r w:rsidRPr="00056E9D">
        <w:rPr>
          <w:rFonts w:hint="eastAsia"/>
          <w:lang w:val="zh-CN"/>
        </w:rPr>
        <w:t>年</w:t>
      </w:r>
      <w:r w:rsidRPr="00056E9D">
        <w:rPr>
          <w:lang w:val="zh-CN"/>
        </w:rPr>
        <w:t>)</w:t>
      </w:r>
      <w:r w:rsidRPr="00056E9D">
        <w:rPr>
          <w:rFonts w:hint="eastAsia"/>
          <w:lang w:val="zh-CN"/>
        </w:rPr>
        <w:t>，第</w:t>
      </w:r>
      <w:r w:rsidRPr="00056E9D">
        <w:rPr>
          <w:lang w:val="zh-CN"/>
        </w:rPr>
        <w:t>70-73</w:t>
      </w:r>
      <w:r w:rsidRPr="00056E9D">
        <w:rPr>
          <w:rFonts w:hint="eastAsia"/>
          <w:lang w:val="zh-CN"/>
        </w:rPr>
        <w:t>段。</w:t>
      </w:r>
    </w:p>
  </w:footnote>
  <w:footnote w:id="19">
    <w:p w14:paraId="4F1AE5B4" w14:textId="1ED30213"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ab/>
      </w:r>
      <w:r w:rsidRPr="00056E9D">
        <w:rPr>
          <w:rFonts w:hint="eastAsia"/>
          <w:lang w:val="zh-CN"/>
        </w:rPr>
        <w:t>例见，</w:t>
      </w:r>
      <w:r w:rsidRPr="00056E9D">
        <w:rPr>
          <w:lang w:val="zh-CN"/>
        </w:rPr>
        <w:t>Zalessk</w:t>
      </w:r>
      <w:r w:rsidRPr="00056E9D">
        <w:rPr>
          <w:rFonts w:ascii="Time New Roman" w:eastAsia="楷体" w:hAnsi="Time New Roman"/>
          <w:lang w:val="zh-CN"/>
        </w:rPr>
        <w:t>aya</w:t>
      </w:r>
      <w:r w:rsidRPr="00056E9D">
        <w:rPr>
          <w:rFonts w:ascii="Time New Roman" w:eastAsia="楷体" w:hAnsi="Time New Roman" w:hint="eastAsia"/>
          <w:lang w:val="zh-CN"/>
        </w:rPr>
        <w:t>诉白俄罗斯</w:t>
      </w:r>
      <w:r w:rsidRPr="00056E9D">
        <w:rPr>
          <w:lang w:val="zh-CN"/>
        </w:rPr>
        <w:t>(</w:t>
      </w:r>
      <w:hyperlink r:id="rId5" w:history="1">
        <w:r w:rsidRPr="00056E9D">
          <w:rPr>
            <w:rStyle w:val="af6"/>
            <w:u w:val="none"/>
            <w:lang w:val="zh-CN"/>
          </w:rPr>
          <w:t>CCPR/C/101/D/1604/2007</w:t>
        </w:r>
      </w:hyperlink>
      <w:r w:rsidRPr="00056E9D">
        <w:rPr>
          <w:lang w:val="zh-CN"/>
        </w:rPr>
        <w:t>)</w:t>
      </w:r>
      <w:r w:rsidRPr="00056E9D">
        <w:rPr>
          <w:rFonts w:hint="eastAsia"/>
          <w:lang w:val="zh-CN"/>
        </w:rPr>
        <w:t>，第</w:t>
      </w:r>
      <w:r w:rsidRPr="00056E9D">
        <w:rPr>
          <w:lang w:val="zh-CN"/>
        </w:rPr>
        <w:t>10.5</w:t>
      </w:r>
      <w:r w:rsidRPr="00056E9D">
        <w:rPr>
          <w:rFonts w:hint="eastAsia"/>
          <w:lang w:val="zh-CN"/>
        </w:rPr>
        <w:t>段。</w:t>
      </w:r>
    </w:p>
  </w:footnote>
  <w:footnote w:id="20">
    <w:p w14:paraId="55EB0640" w14:textId="7D5C3C70" w:rsidR="00C40EA0" w:rsidRPr="00056E9D" w:rsidRDefault="00C40EA0" w:rsidP="00C40EA0">
      <w:pPr>
        <w:pStyle w:val="a6"/>
      </w:pPr>
      <w:r w:rsidRPr="00056E9D">
        <w:rPr>
          <w:lang w:val="zh-CN"/>
        </w:rPr>
        <w:tab/>
      </w:r>
      <w:r w:rsidRPr="00056E9D">
        <w:rPr>
          <w:rStyle w:val="a8"/>
          <w:rFonts w:eastAsia="宋体"/>
          <w:lang w:val="zh-CN"/>
        </w:rPr>
        <w:footnoteRef/>
      </w:r>
      <w:r w:rsidRPr="00056E9D">
        <w:rPr>
          <w:lang w:val="zh-CN"/>
        </w:rPr>
        <w:tab/>
      </w:r>
      <w:r w:rsidRPr="00056E9D">
        <w:rPr>
          <w:rFonts w:hint="eastAsia"/>
          <w:lang w:val="zh-CN"/>
        </w:rPr>
        <w:t>例见，</w:t>
      </w:r>
      <w:r w:rsidRPr="00056E9D">
        <w:rPr>
          <w:lang w:val="zh-CN"/>
        </w:rPr>
        <w:t>Sveti</w:t>
      </w:r>
      <w:r w:rsidRPr="00056E9D">
        <w:rPr>
          <w:rFonts w:ascii="Time New Roman" w:eastAsia="楷体" w:hAnsi="Time New Roman"/>
          <w:lang w:val="zh-CN"/>
        </w:rPr>
        <w:t>k</w:t>
      </w:r>
      <w:r w:rsidRPr="00056E9D">
        <w:rPr>
          <w:rFonts w:ascii="Time New Roman" w:eastAsia="楷体" w:hAnsi="Time New Roman" w:hint="eastAsia"/>
          <w:lang w:val="zh-CN"/>
        </w:rPr>
        <w:t>诉白俄罗斯</w:t>
      </w:r>
      <w:r w:rsidRPr="00056E9D">
        <w:rPr>
          <w:lang w:val="zh-CN"/>
        </w:rPr>
        <w:t>(</w:t>
      </w:r>
      <w:hyperlink r:id="rId6" w:history="1">
        <w:r w:rsidRPr="00056E9D">
          <w:rPr>
            <w:rStyle w:val="af6"/>
            <w:u w:val="none"/>
            <w:lang w:val="zh-CN"/>
          </w:rPr>
          <w:t>CCPR/C/81/D/927/2000</w:t>
        </w:r>
      </w:hyperlink>
      <w:r w:rsidRPr="00056E9D">
        <w:rPr>
          <w:lang w:val="zh-CN"/>
        </w:rPr>
        <w:t>)</w:t>
      </w:r>
      <w:r w:rsidRPr="00056E9D">
        <w:rPr>
          <w:rFonts w:hint="eastAsia"/>
          <w:lang w:val="zh-CN"/>
        </w:rPr>
        <w:t>，第</w:t>
      </w:r>
      <w:r w:rsidRPr="00056E9D">
        <w:rPr>
          <w:lang w:val="zh-CN"/>
        </w:rPr>
        <w:t>7.3</w:t>
      </w:r>
      <w:r w:rsidRPr="00056E9D">
        <w:rPr>
          <w:rFonts w:hint="eastAsia"/>
          <w:lang w:val="zh-CN"/>
        </w:rPr>
        <w:t>段；以及</w:t>
      </w:r>
      <w:r w:rsidRPr="00056E9D">
        <w:rPr>
          <w:lang w:val="zh-CN"/>
        </w:rPr>
        <w:t>Shchetk</w:t>
      </w:r>
      <w:r w:rsidRPr="00056E9D">
        <w:rPr>
          <w:rFonts w:ascii="Time New Roman" w:eastAsia="楷体" w:hAnsi="Time New Roman"/>
          <w:lang w:val="zh-CN"/>
        </w:rPr>
        <w:t>o</w:t>
      </w:r>
      <w:r w:rsidRPr="00056E9D">
        <w:rPr>
          <w:rFonts w:ascii="Time New Roman" w:eastAsia="楷体" w:hAnsi="Time New Roman" w:hint="eastAsia"/>
          <w:lang w:val="zh-CN"/>
        </w:rPr>
        <w:t>及</w:t>
      </w:r>
      <w:r w:rsidRPr="00056E9D">
        <w:rPr>
          <w:rFonts w:ascii="Time New Roman" w:eastAsia="楷体" w:hAnsi="Time New Roman"/>
          <w:lang w:val="zh-CN"/>
        </w:rPr>
        <w:t>Shchetko</w:t>
      </w:r>
      <w:r w:rsidRPr="00056E9D">
        <w:rPr>
          <w:rFonts w:ascii="Time New Roman" w:eastAsia="楷体" w:hAnsi="Time New Roman" w:hint="eastAsia"/>
          <w:lang w:val="zh-CN"/>
        </w:rPr>
        <w:t>诉白俄罗斯</w:t>
      </w:r>
      <w:r w:rsidRPr="00056E9D">
        <w:rPr>
          <w:lang w:val="zh-CN"/>
        </w:rPr>
        <w:t>(</w:t>
      </w:r>
      <w:hyperlink r:id="rId7" w:history="1">
        <w:r w:rsidRPr="00056E9D">
          <w:rPr>
            <w:rStyle w:val="af6"/>
            <w:u w:val="none"/>
            <w:lang w:val="zh-CN"/>
          </w:rPr>
          <w:t>CCPR/C/87/D/1009/2001</w:t>
        </w:r>
      </w:hyperlink>
      <w:r w:rsidRPr="00056E9D">
        <w:rPr>
          <w:lang w:val="zh-CN"/>
        </w:rPr>
        <w:t>)</w:t>
      </w:r>
      <w:r w:rsidRPr="00056E9D">
        <w:rPr>
          <w:rFonts w:hint="eastAsia"/>
          <w:lang w:val="zh-CN"/>
        </w:rPr>
        <w:t>，第</w:t>
      </w:r>
      <w:r w:rsidRPr="00056E9D">
        <w:rPr>
          <w:lang w:val="zh-CN"/>
        </w:rPr>
        <w:t>7.5</w:t>
      </w:r>
      <w:r w:rsidRPr="00056E9D">
        <w:rPr>
          <w:rFonts w:hint="eastAsia"/>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9F05" w14:textId="77777777" w:rsidR="00056632" w:rsidRDefault="008C5B60" w:rsidP="008C5B60">
    <w:pPr>
      <w:pStyle w:val="af3"/>
    </w:pPr>
    <w:r>
      <w:t>CCPR/C/135/D/2827/2016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C505" w14:textId="77777777" w:rsidR="00056632" w:rsidRPr="00202A30" w:rsidRDefault="008C5B60" w:rsidP="008C5B60">
    <w:pPr>
      <w:pStyle w:val="af3"/>
      <w:jc w:val="right"/>
    </w:pPr>
    <w:r>
      <w:t>CCPR/C/135/D/2827/2016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C6"/>
    <w:rsid w:val="00011483"/>
    <w:rsid w:val="00032DC6"/>
    <w:rsid w:val="0004554F"/>
    <w:rsid w:val="00056E9D"/>
    <w:rsid w:val="000C59D6"/>
    <w:rsid w:val="000D319F"/>
    <w:rsid w:val="000E4D0E"/>
    <w:rsid w:val="000F5EB8"/>
    <w:rsid w:val="00126EB7"/>
    <w:rsid w:val="00144B69"/>
    <w:rsid w:val="00153E86"/>
    <w:rsid w:val="00172E04"/>
    <w:rsid w:val="001828ED"/>
    <w:rsid w:val="001B1BD1"/>
    <w:rsid w:val="001C3EF2"/>
    <w:rsid w:val="001D17F6"/>
    <w:rsid w:val="00204B42"/>
    <w:rsid w:val="0021265F"/>
    <w:rsid w:val="002231C3"/>
    <w:rsid w:val="0024417F"/>
    <w:rsid w:val="00250F8D"/>
    <w:rsid w:val="0025482B"/>
    <w:rsid w:val="002E1C97"/>
    <w:rsid w:val="002F5834"/>
    <w:rsid w:val="003006AB"/>
    <w:rsid w:val="00326EBF"/>
    <w:rsid w:val="00327FE4"/>
    <w:rsid w:val="003333CC"/>
    <w:rsid w:val="00385347"/>
    <w:rsid w:val="00405A33"/>
    <w:rsid w:val="00427F63"/>
    <w:rsid w:val="00434D38"/>
    <w:rsid w:val="00476CE7"/>
    <w:rsid w:val="00494EB8"/>
    <w:rsid w:val="004C4A0A"/>
    <w:rsid w:val="004D0A00"/>
    <w:rsid w:val="004E473D"/>
    <w:rsid w:val="004F348E"/>
    <w:rsid w:val="00501220"/>
    <w:rsid w:val="0057615F"/>
    <w:rsid w:val="005E403A"/>
    <w:rsid w:val="005E4086"/>
    <w:rsid w:val="0060122D"/>
    <w:rsid w:val="00604D91"/>
    <w:rsid w:val="006057BE"/>
    <w:rsid w:val="006257FE"/>
    <w:rsid w:val="00654DD9"/>
    <w:rsid w:val="00670DEE"/>
    <w:rsid w:val="00680656"/>
    <w:rsid w:val="006B1119"/>
    <w:rsid w:val="006D3757"/>
    <w:rsid w:val="006D37EB"/>
    <w:rsid w:val="006E3E46"/>
    <w:rsid w:val="006E71B1"/>
    <w:rsid w:val="006F1404"/>
    <w:rsid w:val="007056FA"/>
    <w:rsid w:val="0070593B"/>
    <w:rsid w:val="00705D89"/>
    <w:rsid w:val="00731A42"/>
    <w:rsid w:val="00744FB0"/>
    <w:rsid w:val="00755487"/>
    <w:rsid w:val="00767E69"/>
    <w:rsid w:val="0077079A"/>
    <w:rsid w:val="007710C4"/>
    <w:rsid w:val="00771504"/>
    <w:rsid w:val="007A5599"/>
    <w:rsid w:val="00856233"/>
    <w:rsid w:val="00860F27"/>
    <w:rsid w:val="008A1560"/>
    <w:rsid w:val="008B0560"/>
    <w:rsid w:val="008B2BFA"/>
    <w:rsid w:val="008C5B60"/>
    <w:rsid w:val="008D31F4"/>
    <w:rsid w:val="008E6A3F"/>
    <w:rsid w:val="008E6FEB"/>
    <w:rsid w:val="00923557"/>
    <w:rsid w:val="00936F03"/>
    <w:rsid w:val="00943B69"/>
    <w:rsid w:val="00944CB3"/>
    <w:rsid w:val="0096722F"/>
    <w:rsid w:val="00967CB0"/>
    <w:rsid w:val="00986624"/>
    <w:rsid w:val="009B09D7"/>
    <w:rsid w:val="009C225A"/>
    <w:rsid w:val="009D35ED"/>
    <w:rsid w:val="00A03CB6"/>
    <w:rsid w:val="00A1364C"/>
    <w:rsid w:val="00A21076"/>
    <w:rsid w:val="00A31BA8"/>
    <w:rsid w:val="00A3739A"/>
    <w:rsid w:val="00A52DAF"/>
    <w:rsid w:val="00A84072"/>
    <w:rsid w:val="00B16570"/>
    <w:rsid w:val="00B23B03"/>
    <w:rsid w:val="00B43EB7"/>
    <w:rsid w:val="00B53320"/>
    <w:rsid w:val="00B614C4"/>
    <w:rsid w:val="00B712F3"/>
    <w:rsid w:val="00BC6522"/>
    <w:rsid w:val="00BE1FFE"/>
    <w:rsid w:val="00C121D5"/>
    <w:rsid w:val="00C17349"/>
    <w:rsid w:val="00C323A4"/>
    <w:rsid w:val="00C351AA"/>
    <w:rsid w:val="00C40EA0"/>
    <w:rsid w:val="00C43CF0"/>
    <w:rsid w:val="00C70852"/>
    <w:rsid w:val="00C7253F"/>
    <w:rsid w:val="00C829C3"/>
    <w:rsid w:val="00C90707"/>
    <w:rsid w:val="00CD7BD1"/>
    <w:rsid w:val="00CE1D1C"/>
    <w:rsid w:val="00D26A05"/>
    <w:rsid w:val="00D543C1"/>
    <w:rsid w:val="00D9309B"/>
    <w:rsid w:val="00D97B98"/>
    <w:rsid w:val="00DB0D94"/>
    <w:rsid w:val="00DC671F"/>
    <w:rsid w:val="00DE4DA7"/>
    <w:rsid w:val="00E02C13"/>
    <w:rsid w:val="00E33B38"/>
    <w:rsid w:val="00E442A1"/>
    <w:rsid w:val="00E47FE5"/>
    <w:rsid w:val="00E574AF"/>
    <w:rsid w:val="00E73B33"/>
    <w:rsid w:val="00EA7E67"/>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74FBD"/>
  <w15:docId w15:val="{571BD9F0-9FEB-4967-8D33-9318730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8C5B6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056E9D"/>
    <w:rPr>
      <w:color w:val="0000FF" w:themeColor="hyperlink"/>
      <w:u w:val="single"/>
    </w:rPr>
  </w:style>
  <w:style w:type="character" w:styleId="af7">
    <w:name w:val="Unresolved Mention"/>
    <w:basedOn w:val="a0"/>
    <w:uiPriority w:val="99"/>
    <w:semiHidden/>
    <w:unhideWhenUsed/>
    <w:rsid w:val="00056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58072">
      <w:bodyDiv w:val="1"/>
      <w:marLeft w:val="0"/>
      <w:marRight w:val="0"/>
      <w:marTop w:val="0"/>
      <w:marBottom w:val="0"/>
      <w:divBdr>
        <w:top w:val="none" w:sz="0" w:space="0" w:color="auto"/>
        <w:left w:val="none" w:sz="0" w:space="0" w:color="auto"/>
        <w:bottom w:val="none" w:sz="0" w:space="0" w:color="auto"/>
        <w:right w:val="none" w:sz="0" w:space="0" w:color="auto"/>
      </w:divBdr>
    </w:div>
    <w:div w:id="699821593">
      <w:bodyDiv w:val="1"/>
      <w:marLeft w:val="0"/>
      <w:marRight w:val="0"/>
      <w:marTop w:val="0"/>
      <w:marBottom w:val="0"/>
      <w:divBdr>
        <w:top w:val="none" w:sz="0" w:space="0" w:color="auto"/>
        <w:left w:val="none" w:sz="0" w:space="0" w:color="auto"/>
        <w:bottom w:val="none" w:sz="0" w:space="0" w:color="auto"/>
        <w:right w:val="none" w:sz="0" w:space="0" w:color="auto"/>
      </w:divBdr>
    </w:div>
    <w:div w:id="1001931628">
      <w:bodyDiv w:val="1"/>
      <w:marLeft w:val="0"/>
      <w:marRight w:val="0"/>
      <w:marTop w:val="0"/>
      <w:marBottom w:val="0"/>
      <w:divBdr>
        <w:top w:val="none" w:sz="0" w:space="0" w:color="auto"/>
        <w:left w:val="none" w:sz="0" w:space="0" w:color="auto"/>
        <w:bottom w:val="none" w:sz="0" w:space="0" w:color="auto"/>
        <w:right w:val="none" w:sz="0" w:space="0" w:color="auto"/>
      </w:divBdr>
    </w:div>
    <w:div w:id="14933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117/D/2082/2011" TargetMode="External"/><Relationship Id="rId7" Type="http://schemas.openxmlformats.org/officeDocument/2006/relationships/hyperlink" Target="http://undocs.org/ch/CCPR/C/87/D/1009/2001" TargetMode="External"/><Relationship Id="rId2" Type="http://schemas.openxmlformats.org/officeDocument/2006/relationships/hyperlink" Target="http://undocs.org/ch/CCPR/C/112/D/2137/2012" TargetMode="External"/><Relationship Id="rId1" Type="http://schemas.openxmlformats.org/officeDocument/2006/relationships/hyperlink" Target="http://undocs.org/ch/A/HRC/29/25/Add.2" TargetMode="External"/><Relationship Id="rId6" Type="http://schemas.openxmlformats.org/officeDocument/2006/relationships/hyperlink" Target="http://undocs.org/ch/CCPR/C/81/D/927/2000" TargetMode="External"/><Relationship Id="rId5" Type="http://schemas.openxmlformats.org/officeDocument/2006/relationships/hyperlink" Target="http://undocs.org/ch/CCPR/C/101/D/1604/2007" TargetMode="External"/><Relationship Id="rId4" Type="http://schemas.openxmlformats.org/officeDocument/2006/relationships/hyperlink" Target="http://undocs.org/ch/CCPR/C/116/D/2092/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4590</Words>
  <Characters>4916</Characters>
  <Application>Microsoft Office Word</Application>
  <DocSecurity>0</DocSecurity>
  <Lines>189</Lines>
  <Paragraphs>71</Paragraphs>
  <ScaleCrop>false</ScaleCrop>
  <Company>DCM</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CCPR/C/135/D/2827/2016</dc:title>
  <dc:subject>2225750</dc:subject>
  <dc:creator>yang</dc:creator>
  <cp:keywords/>
  <dc:description/>
  <cp:lastModifiedBy>Xiaoqing Yang</cp:lastModifiedBy>
  <cp:revision>2</cp:revision>
  <cp:lastPrinted>2014-05-09T11:28:00Z</cp:lastPrinted>
  <dcterms:created xsi:type="dcterms:W3CDTF">2023-01-13T16:42:00Z</dcterms:created>
  <dcterms:modified xsi:type="dcterms:W3CDTF">2023-01-13T16:42:00Z</dcterms:modified>
</cp:coreProperties>
</file>