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711D654" w14:textId="77777777" w:rsidTr="002B7BC7">
        <w:trPr>
          <w:trHeight w:hRule="exact" w:val="851"/>
        </w:trPr>
        <w:tc>
          <w:tcPr>
            <w:tcW w:w="1276" w:type="dxa"/>
            <w:tcBorders>
              <w:bottom w:val="single" w:sz="4" w:space="0" w:color="auto"/>
            </w:tcBorders>
          </w:tcPr>
          <w:p w14:paraId="44F55D9A" w14:textId="77777777" w:rsidR="006F71EA" w:rsidRPr="00DB58B5" w:rsidRDefault="006F71EA" w:rsidP="002B7BC7"/>
        </w:tc>
        <w:tc>
          <w:tcPr>
            <w:tcW w:w="2268" w:type="dxa"/>
            <w:tcBorders>
              <w:bottom w:val="single" w:sz="4" w:space="0" w:color="auto"/>
            </w:tcBorders>
            <w:vAlign w:val="bottom"/>
          </w:tcPr>
          <w:p w14:paraId="1414A747"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620975" w14:textId="008858C6" w:rsidR="006F71EA" w:rsidRPr="00E718C7" w:rsidRDefault="00E718C7" w:rsidP="00E718C7">
            <w:pPr>
              <w:jc w:val="right"/>
            </w:pPr>
            <w:r w:rsidRPr="00E718C7">
              <w:rPr>
                <w:sz w:val="40"/>
              </w:rPr>
              <w:t>CCPR</w:t>
            </w:r>
            <w:r>
              <w:t>/C/130/D/2396/2014</w:t>
            </w:r>
          </w:p>
        </w:tc>
      </w:tr>
      <w:tr w:rsidR="006F71EA" w:rsidRPr="00DB58B5" w14:paraId="199A724F" w14:textId="77777777" w:rsidTr="002B7BC7">
        <w:trPr>
          <w:trHeight w:hRule="exact" w:val="2835"/>
        </w:trPr>
        <w:tc>
          <w:tcPr>
            <w:tcW w:w="1276" w:type="dxa"/>
            <w:tcBorders>
              <w:top w:val="single" w:sz="4" w:space="0" w:color="auto"/>
              <w:bottom w:val="single" w:sz="12" w:space="0" w:color="auto"/>
            </w:tcBorders>
          </w:tcPr>
          <w:p w14:paraId="5257FBB4" w14:textId="77777777" w:rsidR="006F71EA" w:rsidRPr="00DB58B5" w:rsidRDefault="006F71EA" w:rsidP="002B7BC7">
            <w:pPr>
              <w:spacing w:before="120"/>
              <w:jc w:val="center"/>
            </w:pPr>
            <w:r>
              <w:rPr>
                <w:noProof/>
                <w:lang w:val="en-GB" w:eastAsia="en-GB"/>
              </w:rPr>
              <w:drawing>
                <wp:inline distT="0" distB="0" distL="0" distR="0" wp14:anchorId="729516B7" wp14:editId="5C956FD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600228"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6DED78A" w14:textId="77777777" w:rsidR="006F71EA" w:rsidRDefault="00A21C23" w:rsidP="002B7BC7">
            <w:pPr>
              <w:spacing w:before="240"/>
            </w:pPr>
            <w:r>
              <w:t>Distr. générale</w:t>
            </w:r>
          </w:p>
          <w:p w14:paraId="48AF65A5" w14:textId="77777777" w:rsidR="00A21C23" w:rsidRDefault="00A21C23" w:rsidP="00A21C23">
            <w:pPr>
              <w:spacing w:line="240" w:lineRule="exact"/>
            </w:pPr>
            <w:r>
              <w:t>26 avril 2021</w:t>
            </w:r>
          </w:p>
          <w:p w14:paraId="534058C2" w14:textId="660E5329" w:rsidR="00A21C23" w:rsidRDefault="00A21C23" w:rsidP="00A21C23">
            <w:pPr>
              <w:spacing w:line="240" w:lineRule="exact"/>
            </w:pPr>
          </w:p>
          <w:p w14:paraId="423F833C" w14:textId="38884CB8" w:rsidR="00A21C23" w:rsidRPr="00DB58B5" w:rsidRDefault="00A21C23" w:rsidP="00A21C23">
            <w:pPr>
              <w:spacing w:line="240" w:lineRule="exact"/>
            </w:pPr>
            <w:r>
              <w:t>Original : français</w:t>
            </w:r>
          </w:p>
        </w:tc>
      </w:tr>
    </w:tbl>
    <w:p w14:paraId="55200E8C" w14:textId="77777777" w:rsidR="006F71EA" w:rsidRDefault="006F71EA" w:rsidP="006F71EA">
      <w:pPr>
        <w:spacing w:before="120"/>
        <w:rPr>
          <w:b/>
          <w:sz w:val="24"/>
          <w:szCs w:val="24"/>
        </w:rPr>
      </w:pPr>
      <w:r w:rsidRPr="00DF3BF1">
        <w:rPr>
          <w:b/>
          <w:sz w:val="24"/>
          <w:szCs w:val="24"/>
        </w:rPr>
        <w:t>Comité des droits de l’homme</w:t>
      </w:r>
    </w:p>
    <w:p w14:paraId="6834137B" w14:textId="123D9459" w:rsidR="00A21C23" w:rsidRPr="0045390D" w:rsidRDefault="00A21C23" w:rsidP="00A21C23">
      <w:pPr>
        <w:pStyle w:val="HChG"/>
        <w:spacing w:before="240"/>
        <w:rPr>
          <w:b w:val="0"/>
          <w:sz w:val="24"/>
          <w:szCs w:val="24"/>
        </w:rPr>
      </w:pPr>
      <w:r>
        <w:tab/>
      </w:r>
      <w:r>
        <w:tab/>
      </w:r>
      <w:r w:rsidRPr="00276E42">
        <w:t>Constatations adoptées par le Comité au titre de l’article 5 (par. 4) du Protocole facultatif, concernant</w:t>
      </w:r>
      <w:r w:rsidRPr="00B020D7" w:rsidDel="007C4A51">
        <w:t xml:space="preserve"> </w:t>
      </w:r>
      <w:r w:rsidR="00567613">
        <w:br/>
      </w:r>
      <w:r>
        <w:t>la c</w:t>
      </w:r>
      <w:r w:rsidRPr="00B020D7">
        <w:t xml:space="preserve">ommunication </w:t>
      </w:r>
      <w:r w:rsidRPr="00B020D7">
        <w:rPr>
          <w:rFonts w:eastAsia="MS Mincho"/>
        </w:rPr>
        <w:t>n</w:t>
      </w:r>
      <w:r w:rsidRPr="00B020D7">
        <w:rPr>
          <w:rFonts w:eastAsia="MS Mincho"/>
          <w:vertAlign w:val="superscript"/>
        </w:rPr>
        <w:t>o</w:t>
      </w:r>
      <w:r w:rsidR="00567613">
        <w:t> </w:t>
      </w:r>
      <w:r w:rsidRPr="00B020D7">
        <w:t>2396/2014</w:t>
      </w:r>
      <w:r w:rsidRPr="00A21C23">
        <w:rPr>
          <w:rStyle w:val="Appelnotedebasdep"/>
          <w:b w:val="0"/>
          <w:bCs/>
          <w:sz w:val="20"/>
          <w:vertAlign w:val="baseline"/>
        </w:rPr>
        <w:footnoteReference w:customMarkFollows="1" w:id="2"/>
        <w:t>*</w:t>
      </w:r>
      <w:r w:rsidRPr="00745891">
        <w:rPr>
          <w:b w:val="0"/>
          <w:bCs/>
          <w:position w:val="6"/>
          <w:sz w:val="18"/>
        </w:rPr>
        <w:t>,</w:t>
      </w:r>
      <w:r w:rsidRPr="00A21C23">
        <w:rPr>
          <w:b w:val="0"/>
          <w:bCs/>
          <w:sz w:val="20"/>
        </w:rPr>
        <w:t xml:space="preserve"> </w:t>
      </w:r>
      <w:r w:rsidRPr="00A21C23">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A21C23" w:rsidRPr="00233D47" w14:paraId="6B987BD9" w14:textId="77777777" w:rsidTr="00567613">
        <w:tc>
          <w:tcPr>
            <w:tcW w:w="2835" w:type="dxa"/>
          </w:tcPr>
          <w:p w14:paraId="30DC4FE5" w14:textId="77777777" w:rsidR="00A21C23" w:rsidRPr="001456E2" w:rsidRDefault="00A21C23" w:rsidP="00567613">
            <w:pPr>
              <w:spacing w:after="120"/>
              <w:rPr>
                <w:i/>
              </w:rPr>
            </w:pPr>
            <w:r w:rsidRPr="001456E2">
              <w:rPr>
                <w:i/>
              </w:rPr>
              <w:t>Communication présentée par :</w:t>
            </w:r>
          </w:p>
        </w:tc>
        <w:tc>
          <w:tcPr>
            <w:tcW w:w="3969" w:type="dxa"/>
          </w:tcPr>
          <w:p w14:paraId="0EF1C17C" w14:textId="77777777" w:rsidR="00A21C23" w:rsidRPr="001456E2" w:rsidRDefault="00A21C23" w:rsidP="00567613">
            <w:pPr>
              <w:spacing w:after="120"/>
            </w:pPr>
            <w:r w:rsidRPr="0021314B">
              <w:t>F</w:t>
            </w:r>
            <w:r>
              <w:t>loribert Ndjabu Ngabu</w:t>
            </w:r>
            <w:r w:rsidRPr="0021314B">
              <w:t xml:space="preserve">, </w:t>
            </w:r>
            <w:r>
              <w:t>Pierre Célestin Mbodina Iribi</w:t>
            </w:r>
            <w:r w:rsidRPr="0021314B">
              <w:t xml:space="preserve"> </w:t>
            </w:r>
            <w:r>
              <w:t>et</w:t>
            </w:r>
            <w:r w:rsidRPr="0021314B">
              <w:t xml:space="preserve"> </w:t>
            </w:r>
            <w:r>
              <w:t>Bède Djokaba Lambi Longa</w:t>
            </w:r>
            <w:r w:rsidRPr="001456E2">
              <w:rPr>
                <w:szCs w:val="24"/>
                <w:lang w:val="fr-FR"/>
              </w:rPr>
              <w:t xml:space="preserve"> (représentés par des conseils, </w:t>
            </w:r>
            <w:r w:rsidRPr="001456E2">
              <w:rPr>
                <w:lang w:val="fr-FR"/>
              </w:rPr>
              <w:t>A.</w:t>
            </w:r>
            <w:r>
              <w:rPr>
                <w:lang w:val="fr-FR"/>
              </w:rPr>
              <w:t> </w:t>
            </w:r>
            <w:r w:rsidRPr="001456E2">
              <w:rPr>
                <w:lang w:val="fr-FR"/>
              </w:rPr>
              <w:t>W. Eikelboom, P.</w:t>
            </w:r>
            <w:r>
              <w:rPr>
                <w:lang w:val="fr-FR"/>
              </w:rPr>
              <w:t> </w:t>
            </w:r>
            <w:r w:rsidRPr="001456E2">
              <w:rPr>
                <w:lang w:val="fr-FR"/>
              </w:rPr>
              <w:t>J. Schüller et G. Sluiter</w:t>
            </w:r>
            <w:r w:rsidRPr="001456E2">
              <w:rPr>
                <w:szCs w:val="24"/>
                <w:lang w:val="fr-FR"/>
              </w:rPr>
              <w:t>)</w:t>
            </w:r>
          </w:p>
        </w:tc>
      </w:tr>
      <w:tr w:rsidR="00A21C23" w:rsidRPr="00233D47" w14:paraId="4BBF43A4" w14:textId="77777777" w:rsidTr="00567613">
        <w:tc>
          <w:tcPr>
            <w:tcW w:w="2835" w:type="dxa"/>
          </w:tcPr>
          <w:p w14:paraId="53D430D0" w14:textId="77777777" w:rsidR="00A21C23" w:rsidRPr="001456E2" w:rsidRDefault="00A21C23" w:rsidP="00567613">
            <w:pPr>
              <w:spacing w:after="120"/>
              <w:rPr>
                <w:i/>
              </w:rPr>
            </w:pPr>
            <w:r>
              <w:rPr>
                <w:i/>
              </w:rPr>
              <w:t>Victime(s) présumée(s)</w:t>
            </w:r>
            <w:r w:rsidRPr="001456E2">
              <w:rPr>
                <w:i/>
              </w:rPr>
              <w:t> :</w:t>
            </w:r>
          </w:p>
        </w:tc>
        <w:tc>
          <w:tcPr>
            <w:tcW w:w="3969" w:type="dxa"/>
          </w:tcPr>
          <w:p w14:paraId="0E617481" w14:textId="77777777" w:rsidR="00A21C23" w:rsidRPr="001456E2" w:rsidRDefault="00A21C23" w:rsidP="00567613">
            <w:pPr>
              <w:spacing w:after="120"/>
            </w:pPr>
            <w:r>
              <w:t>Les auteurs</w:t>
            </w:r>
          </w:p>
        </w:tc>
      </w:tr>
      <w:tr w:rsidR="00A21C23" w:rsidRPr="00233D47" w14:paraId="4CF7805C" w14:textId="77777777" w:rsidTr="00567613">
        <w:tc>
          <w:tcPr>
            <w:tcW w:w="2835" w:type="dxa"/>
          </w:tcPr>
          <w:p w14:paraId="0392CF10" w14:textId="77777777" w:rsidR="00A21C23" w:rsidRPr="001456E2" w:rsidRDefault="00A21C23" w:rsidP="00567613">
            <w:pPr>
              <w:spacing w:after="120"/>
              <w:rPr>
                <w:i/>
              </w:rPr>
            </w:pPr>
            <w:r w:rsidRPr="001456E2">
              <w:rPr>
                <w:i/>
              </w:rPr>
              <w:t>État partie :</w:t>
            </w:r>
          </w:p>
        </w:tc>
        <w:tc>
          <w:tcPr>
            <w:tcW w:w="3969" w:type="dxa"/>
          </w:tcPr>
          <w:p w14:paraId="321E3C2E" w14:textId="77777777" w:rsidR="00A21C23" w:rsidRPr="00C1098A" w:rsidRDefault="00A21C23" w:rsidP="00567613">
            <w:pPr>
              <w:spacing w:after="120"/>
              <w:rPr>
                <w:b/>
              </w:rPr>
            </w:pPr>
            <w:r w:rsidRPr="00C1098A">
              <w:rPr>
                <w:lang w:val="fr-FR"/>
              </w:rPr>
              <w:t>République démocratique du Congo</w:t>
            </w:r>
          </w:p>
        </w:tc>
      </w:tr>
      <w:tr w:rsidR="00A21C23" w:rsidRPr="00233D47" w14:paraId="48ED7CC7" w14:textId="77777777" w:rsidTr="00567613">
        <w:tc>
          <w:tcPr>
            <w:tcW w:w="2835" w:type="dxa"/>
          </w:tcPr>
          <w:p w14:paraId="4E04267B" w14:textId="77777777" w:rsidR="00A21C23" w:rsidRPr="00C1098A" w:rsidRDefault="00A21C23" w:rsidP="00567613">
            <w:pPr>
              <w:spacing w:after="120"/>
              <w:rPr>
                <w:i/>
              </w:rPr>
            </w:pPr>
            <w:r w:rsidRPr="00C1098A">
              <w:rPr>
                <w:i/>
              </w:rPr>
              <w:t>Date de la communication :</w:t>
            </w:r>
          </w:p>
        </w:tc>
        <w:tc>
          <w:tcPr>
            <w:tcW w:w="3969" w:type="dxa"/>
          </w:tcPr>
          <w:p w14:paraId="10452D74" w14:textId="77777777" w:rsidR="00A21C23" w:rsidRPr="00C1098A" w:rsidRDefault="00A21C23" w:rsidP="00567613">
            <w:pPr>
              <w:spacing w:after="120"/>
            </w:pPr>
            <w:r w:rsidRPr="00C1098A">
              <w:rPr>
                <w:szCs w:val="24"/>
                <w:lang w:val="fr-FR"/>
              </w:rPr>
              <w:t>28 novembre 2011 (date de la lettre initiale)</w:t>
            </w:r>
          </w:p>
        </w:tc>
      </w:tr>
      <w:tr w:rsidR="00A21C23" w:rsidRPr="00233D47" w14:paraId="44CD0B02" w14:textId="77777777" w:rsidTr="00567613">
        <w:tc>
          <w:tcPr>
            <w:tcW w:w="2835" w:type="dxa"/>
          </w:tcPr>
          <w:p w14:paraId="59D8BCA0" w14:textId="77777777" w:rsidR="00A21C23" w:rsidRPr="00C1098A" w:rsidRDefault="00A21C23" w:rsidP="00567613">
            <w:pPr>
              <w:spacing w:after="120"/>
              <w:rPr>
                <w:i/>
              </w:rPr>
            </w:pPr>
            <w:r w:rsidRPr="00C1098A">
              <w:rPr>
                <w:i/>
              </w:rPr>
              <w:t>Références :</w:t>
            </w:r>
          </w:p>
        </w:tc>
        <w:tc>
          <w:tcPr>
            <w:tcW w:w="3969" w:type="dxa"/>
          </w:tcPr>
          <w:p w14:paraId="6AC93A43" w14:textId="5F70E1BD" w:rsidR="00A21C23" w:rsidRPr="00C1098A" w:rsidRDefault="00A21C23" w:rsidP="00567613">
            <w:pPr>
              <w:spacing w:after="120"/>
            </w:pPr>
            <w:r w:rsidRPr="00C1098A">
              <w:rPr>
                <w:lang w:val="fr-FR"/>
              </w:rPr>
              <w:t xml:space="preserve">Décision prise en application </w:t>
            </w:r>
            <w:r>
              <w:rPr>
                <w:lang w:val="fr-FR"/>
              </w:rPr>
              <w:t>de l’article</w:t>
            </w:r>
            <w:r w:rsidRPr="00C1098A">
              <w:rPr>
                <w:lang w:val="fr-FR"/>
              </w:rPr>
              <w:t xml:space="preserve"> 92 du règlement intérieur du Comité, communiquée à l’État partie le </w:t>
            </w:r>
            <w:r>
              <w:rPr>
                <w:lang w:val="fr-FR"/>
              </w:rPr>
              <w:t>27</w:t>
            </w:r>
            <w:r w:rsidR="00482FFE">
              <w:rPr>
                <w:lang w:val="fr-FR"/>
              </w:rPr>
              <w:t> </w:t>
            </w:r>
            <w:r>
              <w:rPr>
                <w:lang w:val="fr-FR"/>
              </w:rPr>
              <w:t>mai 2014</w:t>
            </w:r>
            <w:r w:rsidRPr="00C1098A">
              <w:rPr>
                <w:lang w:val="fr-FR"/>
              </w:rPr>
              <w:t xml:space="preserve"> (non publiée sous forme de document)</w:t>
            </w:r>
          </w:p>
        </w:tc>
      </w:tr>
      <w:tr w:rsidR="00A21C23" w:rsidRPr="00233D47" w14:paraId="61917CC2" w14:textId="77777777" w:rsidTr="00567613">
        <w:tc>
          <w:tcPr>
            <w:tcW w:w="2835" w:type="dxa"/>
          </w:tcPr>
          <w:p w14:paraId="092C3082" w14:textId="77777777" w:rsidR="00A21C23" w:rsidRPr="00C1098A" w:rsidRDefault="00A21C23" w:rsidP="00567613">
            <w:pPr>
              <w:spacing w:after="120"/>
              <w:rPr>
                <w:i/>
              </w:rPr>
            </w:pPr>
            <w:r w:rsidRPr="00C1098A">
              <w:rPr>
                <w:i/>
              </w:rPr>
              <w:t xml:space="preserve">Date </w:t>
            </w:r>
            <w:r w:rsidRPr="00C1098A">
              <w:rPr>
                <w:i/>
                <w:iCs/>
                <w:szCs w:val="24"/>
                <w:lang w:val="fr-FR"/>
              </w:rPr>
              <w:t>des constatations</w:t>
            </w:r>
            <w:r>
              <w:rPr>
                <w:i/>
                <w:iCs/>
                <w:szCs w:val="24"/>
                <w:lang w:val="fr-FR"/>
              </w:rPr>
              <w:t> </w:t>
            </w:r>
            <w:r w:rsidRPr="00417498">
              <w:rPr>
                <w:i/>
              </w:rPr>
              <w:t>:</w:t>
            </w:r>
          </w:p>
        </w:tc>
        <w:tc>
          <w:tcPr>
            <w:tcW w:w="3969" w:type="dxa"/>
          </w:tcPr>
          <w:p w14:paraId="7F4DAA76" w14:textId="77777777" w:rsidR="00A21C23" w:rsidRPr="00C1098A" w:rsidRDefault="00A21C23" w:rsidP="00567613">
            <w:pPr>
              <w:spacing w:after="120"/>
            </w:pPr>
            <w:r>
              <w:rPr>
                <w:lang w:val="fr-FR"/>
              </w:rPr>
              <w:t>29 octobre</w:t>
            </w:r>
            <w:r w:rsidRPr="00C1098A">
              <w:rPr>
                <w:lang w:val="fr-FR"/>
              </w:rPr>
              <w:t xml:space="preserve"> 2020</w:t>
            </w:r>
          </w:p>
        </w:tc>
      </w:tr>
      <w:tr w:rsidR="00A21C23" w:rsidRPr="00233D47" w14:paraId="58F7CA79" w14:textId="77777777" w:rsidTr="00567613">
        <w:tc>
          <w:tcPr>
            <w:tcW w:w="2835" w:type="dxa"/>
          </w:tcPr>
          <w:p w14:paraId="256BFD1D" w14:textId="77777777" w:rsidR="00A21C23" w:rsidRPr="00BF2E33" w:rsidRDefault="00A21C23" w:rsidP="00567613">
            <w:pPr>
              <w:spacing w:after="120"/>
              <w:rPr>
                <w:i/>
              </w:rPr>
            </w:pPr>
            <w:r w:rsidRPr="00BF2E33">
              <w:rPr>
                <w:i/>
              </w:rPr>
              <w:t>Objet :</w:t>
            </w:r>
          </w:p>
        </w:tc>
        <w:tc>
          <w:tcPr>
            <w:tcW w:w="3969" w:type="dxa"/>
          </w:tcPr>
          <w:p w14:paraId="3ADA04D2" w14:textId="77777777" w:rsidR="00A21C23" w:rsidRPr="00BF2E33" w:rsidRDefault="00A21C23" w:rsidP="00567613">
            <w:pPr>
              <w:spacing w:after="120"/>
            </w:pPr>
            <w:r w:rsidRPr="00BF2E33">
              <w:rPr>
                <w:color w:val="000000"/>
              </w:rPr>
              <w:t>Arrestation arbitraire</w:t>
            </w:r>
            <w:r>
              <w:rPr>
                <w:color w:val="000000"/>
              </w:rPr>
              <w:t> ;</w:t>
            </w:r>
            <w:r w:rsidRPr="00BF2E33">
              <w:rPr>
                <w:color w:val="000000"/>
              </w:rPr>
              <w:t xml:space="preserve"> détention arbitraire</w:t>
            </w:r>
            <w:r>
              <w:rPr>
                <w:color w:val="000000"/>
              </w:rPr>
              <w:t> ;</w:t>
            </w:r>
            <w:r w:rsidRPr="00BF2E33">
              <w:rPr>
                <w:color w:val="000000"/>
              </w:rPr>
              <w:t xml:space="preserve"> droit d’être traduit dans le plus court délai devant un juge</w:t>
            </w:r>
            <w:r>
              <w:rPr>
                <w:color w:val="000000"/>
              </w:rPr>
              <w:t> ;</w:t>
            </w:r>
            <w:r w:rsidRPr="00BF2E33">
              <w:rPr>
                <w:color w:val="000000"/>
              </w:rPr>
              <w:t xml:space="preserve"> réparation de la détention arbitraire</w:t>
            </w:r>
          </w:p>
        </w:tc>
      </w:tr>
      <w:tr w:rsidR="00A21C23" w:rsidRPr="00233D47" w14:paraId="3E4B0E01" w14:textId="77777777" w:rsidTr="00567613">
        <w:tc>
          <w:tcPr>
            <w:tcW w:w="2835" w:type="dxa"/>
          </w:tcPr>
          <w:p w14:paraId="351F6A29" w14:textId="77777777" w:rsidR="00A21C23" w:rsidRPr="00BF2E33" w:rsidRDefault="00A21C23" w:rsidP="00567613">
            <w:pPr>
              <w:spacing w:after="120"/>
              <w:rPr>
                <w:i/>
              </w:rPr>
            </w:pPr>
            <w:r w:rsidRPr="00BF2E33">
              <w:rPr>
                <w:i/>
              </w:rPr>
              <w:t>Question</w:t>
            </w:r>
            <w:r>
              <w:rPr>
                <w:i/>
              </w:rPr>
              <w:t>(s)</w:t>
            </w:r>
            <w:r w:rsidRPr="00BF2E33">
              <w:rPr>
                <w:i/>
              </w:rPr>
              <w:t xml:space="preserve"> de procédure :</w:t>
            </w:r>
          </w:p>
        </w:tc>
        <w:tc>
          <w:tcPr>
            <w:tcW w:w="3969" w:type="dxa"/>
          </w:tcPr>
          <w:p w14:paraId="11387772" w14:textId="77777777" w:rsidR="00A21C23" w:rsidRPr="00BF2E33" w:rsidRDefault="00A21C23" w:rsidP="00567613">
            <w:pPr>
              <w:spacing w:after="120"/>
            </w:pPr>
            <w:r w:rsidRPr="00BF2E33">
              <w:rPr>
                <w:color w:val="000000"/>
              </w:rPr>
              <w:t>Non</w:t>
            </w:r>
            <w:r>
              <w:rPr>
                <w:color w:val="000000"/>
              </w:rPr>
              <w:t>-coopération</w:t>
            </w:r>
            <w:r w:rsidRPr="00BF2E33">
              <w:rPr>
                <w:color w:val="000000"/>
              </w:rPr>
              <w:t xml:space="preserve"> de l’État partie</w:t>
            </w:r>
          </w:p>
        </w:tc>
      </w:tr>
      <w:tr w:rsidR="00A21C23" w:rsidRPr="00233D47" w14:paraId="4AD8BA6D" w14:textId="77777777" w:rsidTr="00567613">
        <w:tc>
          <w:tcPr>
            <w:tcW w:w="2835" w:type="dxa"/>
          </w:tcPr>
          <w:p w14:paraId="6065220A" w14:textId="77777777" w:rsidR="00A21C23" w:rsidRPr="00A340CE" w:rsidRDefault="00A21C23" w:rsidP="00567613">
            <w:pPr>
              <w:spacing w:after="120"/>
              <w:rPr>
                <w:i/>
              </w:rPr>
            </w:pPr>
            <w:r w:rsidRPr="00A340CE">
              <w:rPr>
                <w:i/>
              </w:rPr>
              <w:t>Question</w:t>
            </w:r>
            <w:r>
              <w:rPr>
                <w:i/>
              </w:rPr>
              <w:t>(s)</w:t>
            </w:r>
            <w:r w:rsidRPr="00A340CE">
              <w:rPr>
                <w:i/>
              </w:rPr>
              <w:t xml:space="preserve"> de fond :</w:t>
            </w:r>
          </w:p>
        </w:tc>
        <w:tc>
          <w:tcPr>
            <w:tcW w:w="3969" w:type="dxa"/>
          </w:tcPr>
          <w:p w14:paraId="22D7C622" w14:textId="77777777" w:rsidR="00A21C23" w:rsidRPr="00A340CE" w:rsidRDefault="00A21C23" w:rsidP="00567613">
            <w:pPr>
              <w:spacing w:after="120"/>
            </w:pPr>
            <w:r w:rsidRPr="00A340CE">
              <w:rPr>
                <w:szCs w:val="24"/>
                <w:lang w:val="fr-FR"/>
              </w:rPr>
              <w:t>Droit à la liberté et à la sécurité de la personne</w:t>
            </w:r>
          </w:p>
        </w:tc>
      </w:tr>
      <w:tr w:rsidR="00A21C23" w:rsidRPr="00233D47" w14:paraId="51B4FE70" w14:textId="77777777" w:rsidTr="00567613">
        <w:tc>
          <w:tcPr>
            <w:tcW w:w="2835" w:type="dxa"/>
          </w:tcPr>
          <w:p w14:paraId="7774CAA6" w14:textId="77777777" w:rsidR="00A21C23" w:rsidRPr="00A340CE" w:rsidRDefault="00A21C23" w:rsidP="00567613">
            <w:pPr>
              <w:spacing w:after="120"/>
              <w:rPr>
                <w:i/>
              </w:rPr>
            </w:pPr>
            <w:r w:rsidRPr="00A340CE">
              <w:rPr>
                <w:i/>
              </w:rPr>
              <w:t>Article</w:t>
            </w:r>
            <w:r>
              <w:rPr>
                <w:i/>
              </w:rPr>
              <w:t>(s)</w:t>
            </w:r>
            <w:r w:rsidRPr="00A340CE">
              <w:rPr>
                <w:i/>
              </w:rPr>
              <w:t xml:space="preserve"> du Pacte :</w:t>
            </w:r>
          </w:p>
        </w:tc>
        <w:tc>
          <w:tcPr>
            <w:tcW w:w="3969" w:type="dxa"/>
          </w:tcPr>
          <w:p w14:paraId="568F4774" w14:textId="77777777" w:rsidR="00A21C23" w:rsidRPr="00A340CE" w:rsidRDefault="00A21C23" w:rsidP="00567613">
            <w:pPr>
              <w:spacing w:after="120"/>
            </w:pPr>
            <w:r w:rsidRPr="00A340CE">
              <w:rPr>
                <w:szCs w:val="24"/>
                <w:lang w:val="fr-FR"/>
              </w:rPr>
              <w:t>9</w:t>
            </w:r>
          </w:p>
        </w:tc>
      </w:tr>
      <w:tr w:rsidR="00A21C23" w:rsidRPr="00233D47" w14:paraId="690FBF63" w14:textId="77777777" w:rsidTr="00567613">
        <w:tc>
          <w:tcPr>
            <w:tcW w:w="2835" w:type="dxa"/>
          </w:tcPr>
          <w:p w14:paraId="2791EB9A" w14:textId="77777777" w:rsidR="00A21C23" w:rsidRPr="00A340CE" w:rsidRDefault="00A21C23" w:rsidP="00567613">
            <w:pPr>
              <w:spacing w:after="120"/>
              <w:rPr>
                <w:i/>
              </w:rPr>
            </w:pPr>
            <w:r w:rsidRPr="00A340CE">
              <w:rPr>
                <w:i/>
              </w:rPr>
              <w:t>Article</w:t>
            </w:r>
            <w:r>
              <w:rPr>
                <w:i/>
              </w:rPr>
              <w:t>(s)</w:t>
            </w:r>
            <w:r w:rsidRPr="00A340CE">
              <w:rPr>
                <w:i/>
              </w:rPr>
              <w:t xml:space="preserve"> du Protocole facultatif :</w:t>
            </w:r>
          </w:p>
        </w:tc>
        <w:tc>
          <w:tcPr>
            <w:tcW w:w="3969" w:type="dxa"/>
          </w:tcPr>
          <w:p w14:paraId="24082F6A" w14:textId="77777777" w:rsidR="00A21C23" w:rsidRPr="00A340CE" w:rsidRDefault="00A21C23" w:rsidP="00567613">
            <w:pPr>
              <w:spacing w:after="120"/>
            </w:pPr>
            <w:r w:rsidRPr="00A340CE">
              <w:rPr>
                <w:szCs w:val="24"/>
                <w:lang w:val="fr-FR"/>
              </w:rPr>
              <w:t>4 (par.</w:t>
            </w:r>
            <w:r>
              <w:rPr>
                <w:szCs w:val="24"/>
                <w:lang w:val="fr-FR"/>
              </w:rPr>
              <w:t> 2</w:t>
            </w:r>
            <w:r w:rsidRPr="00A340CE">
              <w:rPr>
                <w:szCs w:val="24"/>
                <w:lang w:val="fr-FR"/>
              </w:rPr>
              <w:t>)</w:t>
            </w:r>
          </w:p>
        </w:tc>
      </w:tr>
    </w:tbl>
    <w:p w14:paraId="1C2E168E" w14:textId="17134E95" w:rsidR="00A21C23" w:rsidRPr="00180347" w:rsidRDefault="00A21C23" w:rsidP="00745891">
      <w:pPr>
        <w:pStyle w:val="SingleTxtG"/>
        <w:spacing w:before="120"/>
        <w:rPr>
          <w:b/>
        </w:rPr>
      </w:pPr>
      <w:r w:rsidRPr="00D01D06">
        <w:rPr>
          <w:lang w:val="fr-FR"/>
        </w:rPr>
        <w:t>1.</w:t>
      </w:r>
      <w:r w:rsidRPr="00D01D06">
        <w:rPr>
          <w:lang w:val="fr-FR"/>
        </w:rPr>
        <w:tab/>
      </w:r>
      <w:r w:rsidRPr="00226271">
        <w:rPr>
          <w:lang w:val="fr-FR"/>
        </w:rPr>
        <w:t>Les auteurs de la communication</w:t>
      </w:r>
      <w:r>
        <w:rPr>
          <w:lang w:val="fr-FR"/>
        </w:rPr>
        <w:t xml:space="preserve"> </w:t>
      </w:r>
      <w:r w:rsidRPr="00860175">
        <w:rPr>
          <w:lang w:val="fr-FR"/>
        </w:rPr>
        <w:t xml:space="preserve">sont </w:t>
      </w:r>
      <w:r w:rsidRPr="0021314B">
        <w:t>F</w:t>
      </w:r>
      <w:r>
        <w:t>loribert</w:t>
      </w:r>
      <w:r w:rsidR="00567613">
        <w:t> </w:t>
      </w:r>
      <w:r>
        <w:t>Ndjabu Ngabu</w:t>
      </w:r>
      <w:r w:rsidRPr="0021314B">
        <w:t xml:space="preserve">, </w:t>
      </w:r>
      <w:r>
        <w:t>Pierre</w:t>
      </w:r>
      <w:r w:rsidR="00567613">
        <w:t> </w:t>
      </w:r>
      <w:r>
        <w:t>Célestin Mbodina Iribi</w:t>
      </w:r>
      <w:r w:rsidRPr="0021314B">
        <w:t xml:space="preserve"> </w:t>
      </w:r>
      <w:r>
        <w:t>et Bède</w:t>
      </w:r>
      <w:r w:rsidR="00567613">
        <w:t> </w:t>
      </w:r>
      <w:r>
        <w:t>Djokaba Lambi Longa</w:t>
      </w:r>
      <w:r w:rsidRPr="00860175">
        <w:rPr>
          <w:lang w:val="fr-FR"/>
        </w:rPr>
        <w:t xml:space="preserve">, </w:t>
      </w:r>
      <w:r>
        <w:rPr>
          <w:lang w:val="fr-FR"/>
        </w:rPr>
        <w:t xml:space="preserve">citoyens </w:t>
      </w:r>
      <w:r w:rsidRPr="00860175">
        <w:rPr>
          <w:lang w:val="fr-FR"/>
        </w:rPr>
        <w:t>de la République démocratique du Con</w:t>
      </w:r>
      <w:r>
        <w:rPr>
          <w:lang w:val="fr-FR"/>
        </w:rPr>
        <w:t>go</w:t>
      </w:r>
      <w:r w:rsidRPr="00860175">
        <w:rPr>
          <w:lang w:val="fr-FR"/>
        </w:rPr>
        <w:t xml:space="preserve">, nés respectivement en 1971, en 1974 et en 1966. </w:t>
      </w:r>
      <w:r>
        <w:rPr>
          <w:lang w:val="fr-FR"/>
        </w:rPr>
        <w:t>Ils</w:t>
      </w:r>
      <w:r w:rsidRPr="00860175">
        <w:rPr>
          <w:lang w:val="fr-FR"/>
        </w:rPr>
        <w:t xml:space="preserve"> </w:t>
      </w:r>
      <w:r>
        <w:rPr>
          <w:color w:val="000000"/>
          <w:lang w:val="fr-FR"/>
        </w:rPr>
        <w:t>allèguent une violation par l’État partie</w:t>
      </w:r>
      <w:r w:rsidRPr="00860175">
        <w:rPr>
          <w:color w:val="000000"/>
          <w:lang w:val="fr-FR"/>
        </w:rPr>
        <w:t xml:space="preserve"> de l’article 9 du Pacte. </w:t>
      </w:r>
      <w:r w:rsidRPr="00180347">
        <w:rPr>
          <w:color w:val="000000"/>
        </w:rPr>
        <w:t>La République démocratique du Congo a adhéré au Protocole facultatif se rapportant au Pacte le 1</w:t>
      </w:r>
      <w:r w:rsidRPr="00180347">
        <w:rPr>
          <w:color w:val="000000"/>
          <w:vertAlign w:val="superscript"/>
        </w:rPr>
        <w:t>er</w:t>
      </w:r>
      <w:r w:rsidRPr="00180347">
        <w:rPr>
          <w:color w:val="000000"/>
        </w:rPr>
        <w:t> novembre 1976.</w:t>
      </w:r>
      <w:r>
        <w:rPr>
          <w:color w:val="000000"/>
        </w:rPr>
        <w:t xml:space="preserve"> Les auteurs</w:t>
      </w:r>
      <w:r w:rsidRPr="00860175">
        <w:rPr>
          <w:lang w:val="fr-FR"/>
        </w:rPr>
        <w:t xml:space="preserve"> sont représentés par </w:t>
      </w:r>
      <w:r>
        <w:rPr>
          <w:lang w:val="fr-FR"/>
        </w:rPr>
        <w:t xml:space="preserve">des </w:t>
      </w:r>
      <w:r w:rsidRPr="00180347">
        <w:rPr>
          <w:lang w:val="fr-FR"/>
        </w:rPr>
        <w:t>conseils</w:t>
      </w:r>
      <w:r>
        <w:rPr>
          <w:lang w:val="fr-FR"/>
        </w:rPr>
        <w:t xml:space="preserve">, </w:t>
      </w:r>
      <w:r w:rsidRPr="001456E2">
        <w:rPr>
          <w:lang w:val="fr-FR"/>
        </w:rPr>
        <w:t>A.</w:t>
      </w:r>
      <w:r>
        <w:rPr>
          <w:lang w:val="fr-FR"/>
        </w:rPr>
        <w:t> </w:t>
      </w:r>
      <w:r w:rsidRPr="001456E2">
        <w:rPr>
          <w:lang w:val="fr-FR"/>
        </w:rPr>
        <w:t>W.</w:t>
      </w:r>
      <w:r>
        <w:rPr>
          <w:lang w:val="fr-FR"/>
        </w:rPr>
        <w:t> </w:t>
      </w:r>
      <w:r w:rsidRPr="001456E2">
        <w:rPr>
          <w:lang w:val="fr-FR"/>
        </w:rPr>
        <w:t>Eikelboom, P.</w:t>
      </w:r>
      <w:r>
        <w:rPr>
          <w:lang w:val="fr-FR"/>
        </w:rPr>
        <w:t> </w:t>
      </w:r>
      <w:r w:rsidRPr="001456E2">
        <w:rPr>
          <w:lang w:val="fr-FR"/>
        </w:rPr>
        <w:t>J.</w:t>
      </w:r>
      <w:r>
        <w:rPr>
          <w:lang w:val="fr-FR"/>
        </w:rPr>
        <w:t> </w:t>
      </w:r>
      <w:r w:rsidRPr="001456E2">
        <w:rPr>
          <w:lang w:val="fr-FR"/>
        </w:rPr>
        <w:t>Schüller et G.</w:t>
      </w:r>
      <w:r>
        <w:rPr>
          <w:lang w:val="fr-FR"/>
        </w:rPr>
        <w:t> </w:t>
      </w:r>
      <w:r w:rsidRPr="001456E2">
        <w:rPr>
          <w:lang w:val="fr-FR"/>
        </w:rPr>
        <w:t>Sluiter</w:t>
      </w:r>
      <w:r>
        <w:rPr>
          <w:lang w:val="fr-FR"/>
        </w:rPr>
        <w:t>.</w:t>
      </w:r>
    </w:p>
    <w:p w14:paraId="2F23F40B" w14:textId="77777777" w:rsidR="00A21C23" w:rsidRPr="00D01D06" w:rsidRDefault="00A21C23" w:rsidP="00A21C23">
      <w:pPr>
        <w:pStyle w:val="H23G"/>
        <w:jc w:val="both"/>
      </w:pPr>
      <w:r w:rsidRPr="00D01D06">
        <w:rPr>
          <w:lang w:val="fr-FR"/>
        </w:rPr>
        <w:lastRenderedPageBreak/>
        <w:tab/>
      </w:r>
      <w:r w:rsidRPr="00D01D06">
        <w:rPr>
          <w:lang w:val="fr-FR"/>
        </w:rPr>
        <w:tab/>
        <w:t>Rappel des faits présentés par l</w:t>
      </w:r>
      <w:r>
        <w:rPr>
          <w:lang w:val="fr-FR"/>
        </w:rPr>
        <w:t xml:space="preserve">es </w:t>
      </w:r>
      <w:r w:rsidRPr="00D01D06">
        <w:rPr>
          <w:lang w:val="fr-FR"/>
        </w:rPr>
        <w:t>auteur</w:t>
      </w:r>
      <w:r>
        <w:rPr>
          <w:lang w:val="fr-FR"/>
        </w:rPr>
        <w:t>s</w:t>
      </w:r>
    </w:p>
    <w:p w14:paraId="11561527" w14:textId="2F58FDAA" w:rsidR="00A21C23" w:rsidRDefault="00A21C23" w:rsidP="00A21C23">
      <w:pPr>
        <w:pStyle w:val="SingleTxtG"/>
        <w:rPr>
          <w:lang w:val="fr-FR"/>
        </w:rPr>
      </w:pPr>
      <w:r>
        <w:rPr>
          <w:lang w:val="fr-FR"/>
        </w:rPr>
        <w:t>2.1</w:t>
      </w:r>
      <w:r>
        <w:rPr>
          <w:lang w:val="fr-FR"/>
        </w:rPr>
        <w:tab/>
        <w:t>Les auteurs étaient actifs pour des organisations opposées au parti au pouvoir dans l’État partie. M.</w:t>
      </w:r>
      <w:r w:rsidR="00567613">
        <w:rPr>
          <w:lang w:val="fr-FR"/>
        </w:rPr>
        <w:t> </w:t>
      </w:r>
      <w:r w:rsidRPr="00E50B68">
        <w:rPr>
          <w:lang w:val="fr-FR"/>
        </w:rPr>
        <w:t>Ngabu</w:t>
      </w:r>
      <w:r>
        <w:rPr>
          <w:lang w:val="fr-FR"/>
        </w:rPr>
        <w:t xml:space="preserve"> était le dirigeant du Front des nationalistes et intégrationnistes. Il a été arrêté le 27</w:t>
      </w:r>
      <w:r w:rsidR="00567613">
        <w:rPr>
          <w:lang w:val="fr-FR"/>
        </w:rPr>
        <w:t> </w:t>
      </w:r>
      <w:r>
        <w:rPr>
          <w:lang w:val="fr-FR"/>
        </w:rPr>
        <w:t>février 2005 à Kinshasa. M.</w:t>
      </w:r>
      <w:r w:rsidR="00567613">
        <w:rPr>
          <w:lang w:val="fr-FR"/>
        </w:rPr>
        <w:t> </w:t>
      </w:r>
      <w:r>
        <w:rPr>
          <w:lang w:val="fr-FR"/>
        </w:rPr>
        <w:t>Iribi est arrivé</w:t>
      </w:r>
      <w:r w:rsidRPr="007B10AE">
        <w:rPr>
          <w:lang w:val="fr-FR"/>
        </w:rPr>
        <w:t xml:space="preserve"> </w:t>
      </w:r>
      <w:r>
        <w:rPr>
          <w:lang w:val="fr-FR"/>
        </w:rPr>
        <w:t>à Kinshasa de la province de l’Ituri en janvier 2005, en tant que représentant du Front</w:t>
      </w:r>
      <w:r w:rsidRPr="00E02971">
        <w:rPr>
          <w:lang w:val="fr-FR"/>
        </w:rPr>
        <w:t xml:space="preserve"> </w:t>
      </w:r>
      <w:r>
        <w:rPr>
          <w:lang w:val="fr-FR"/>
        </w:rPr>
        <w:t>des nationalistes et intégrationnistes. Il a été arrêté le 9</w:t>
      </w:r>
      <w:r w:rsidR="00567613">
        <w:rPr>
          <w:lang w:val="fr-FR"/>
        </w:rPr>
        <w:t> </w:t>
      </w:r>
      <w:r>
        <w:rPr>
          <w:lang w:val="fr-FR"/>
        </w:rPr>
        <w:t>mars 2005, en même temps que plusieurs autres membres de ce groupe, dont Germain</w:t>
      </w:r>
      <w:r w:rsidR="00567613">
        <w:rPr>
          <w:lang w:val="fr-FR"/>
        </w:rPr>
        <w:t> </w:t>
      </w:r>
      <w:r>
        <w:rPr>
          <w:lang w:val="fr-FR"/>
        </w:rPr>
        <w:t>Katanga. M.</w:t>
      </w:r>
      <w:r w:rsidR="00567613">
        <w:rPr>
          <w:lang w:val="fr-FR"/>
        </w:rPr>
        <w:t> </w:t>
      </w:r>
      <w:r>
        <w:rPr>
          <w:lang w:val="fr-FR"/>
        </w:rPr>
        <w:t>Longa était arrivé à Kinshasa en qualité de porte-parole de l’Union des patriotes congolais. Il a été arrêté le 19</w:t>
      </w:r>
      <w:r w:rsidR="00567613">
        <w:rPr>
          <w:lang w:val="fr-FR"/>
        </w:rPr>
        <w:t> </w:t>
      </w:r>
      <w:r>
        <w:rPr>
          <w:lang w:val="fr-FR"/>
        </w:rPr>
        <w:t>mars 2005, avec un certain nombre de membres de l’Union, notamment Thomas</w:t>
      </w:r>
      <w:r w:rsidR="00567613">
        <w:rPr>
          <w:lang w:val="fr-FR"/>
        </w:rPr>
        <w:t> </w:t>
      </w:r>
      <w:r>
        <w:rPr>
          <w:lang w:val="fr-FR"/>
        </w:rPr>
        <w:t>Lubanga.</w:t>
      </w:r>
    </w:p>
    <w:p w14:paraId="2E7633C3" w14:textId="0F92E2DF" w:rsidR="00A21C23" w:rsidRDefault="00A21C23" w:rsidP="00A21C23">
      <w:pPr>
        <w:pStyle w:val="SingleTxtG"/>
        <w:rPr>
          <w:lang w:val="fr-FR"/>
        </w:rPr>
      </w:pPr>
      <w:r>
        <w:rPr>
          <w:lang w:val="fr-FR"/>
        </w:rPr>
        <w:t>2.2</w:t>
      </w:r>
      <w:r>
        <w:rPr>
          <w:lang w:val="fr-FR"/>
        </w:rPr>
        <w:tab/>
        <w:t>Depuis lors, les auteurs ont été détenus dans plusieurs centres de détention en République démocratique du Congo, jusqu’au 27</w:t>
      </w:r>
      <w:r w:rsidR="00567613">
        <w:rPr>
          <w:lang w:val="fr-FR"/>
        </w:rPr>
        <w:t> </w:t>
      </w:r>
      <w:r>
        <w:rPr>
          <w:lang w:val="fr-FR"/>
        </w:rPr>
        <w:t>mars 2011, date où ils ont été transférés à La</w:t>
      </w:r>
      <w:r w:rsidR="00567613">
        <w:rPr>
          <w:lang w:val="fr-FR"/>
        </w:rPr>
        <w:t> </w:t>
      </w:r>
      <w:r>
        <w:rPr>
          <w:lang w:val="fr-FR"/>
        </w:rPr>
        <w:t>Haye, pour témoigner devant la Cour pénale internationale. Au moment de la soumission de la présente communication, ils étaient toujours détenus à La</w:t>
      </w:r>
      <w:r w:rsidR="00567613">
        <w:rPr>
          <w:lang w:val="fr-FR"/>
        </w:rPr>
        <w:t> </w:t>
      </w:r>
      <w:r>
        <w:rPr>
          <w:lang w:val="fr-FR"/>
        </w:rPr>
        <w:t xml:space="preserve">Haye. </w:t>
      </w:r>
    </w:p>
    <w:p w14:paraId="07AC9B55" w14:textId="05056B5A" w:rsidR="00A21C23" w:rsidRDefault="00A21C23" w:rsidP="00A21C23">
      <w:pPr>
        <w:pStyle w:val="SingleTxtG"/>
        <w:rPr>
          <w:lang w:val="fr-FR"/>
        </w:rPr>
      </w:pPr>
      <w:r>
        <w:rPr>
          <w:lang w:val="fr-FR"/>
        </w:rPr>
        <w:t>2.3</w:t>
      </w:r>
      <w:r>
        <w:rPr>
          <w:lang w:val="fr-FR"/>
        </w:rPr>
        <w:tab/>
        <w:t>Lors de leurs arrestations, les auteurs ont été informés qu’ils étaient soupçonnés d’être impliqués dans l’assassinat, le 25 février 2005, de neuf soldats bangladais des forces de maintien de la paix des Nations Unies en Ituri</w:t>
      </w:r>
      <w:r>
        <w:rPr>
          <w:rStyle w:val="Appelnotedebasdep"/>
          <w:lang w:val="fr-FR"/>
        </w:rPr>
        <w:footnoteReference w:id="4"/>
      </w:r>
      <w:r>
        <w:rPr>
          <w:lang w:val="fr-FR"/>
        </w:rPr>
        <w:t>. Aucune preuve n’a jamais été présentée à cet égard. Ils se trouvaient à Kinshasa au moment des meurtres. Ce n’est que le 18</w:t>
      </w:r>
      <w:r w:rsidR="00567613">
        <w:rPr>
          <w:lang w:val="fr-FR"/>
        </w:rPr>
        <w:t> </w:t>
      </w:r>
      <w:r>
        <w:rPr>
          <w:lang w:val="fr-FR"/>
        </w:rPr>
        <w:t>avril 2006, alors qu’ils se trouvaient en détention sans justification</w:t>
      </w:r>
      <w:r>
        <w:rPr>
          <w:rStyle w:val="Appelnotedebasdep"/>
        </w:rPr>
        <w:footnoteReference w:id="5"/>
      </w:r>
      <w:r>
        <w:rPr>
          <w:lang w:val="fr-FR"/>
        </w:rPr>
        <w:t xml:space="preserve"> depuis plus d’un an, que l’Auditeur général des forces armées a déposé une requête auprès de la Haute Cour militaire pour proroger la détention provisoire des auteurs ainsi que de cinq autres personnes. Dans sa requête, l’Auditeur général rappelle que les inculpés ont été placés en détention provisoire le 19</w:t>
      </w:r>
      <w:r w:rsidR="00567613">
        <w:rPr>
          <w:lang w:val="fr-FR"/>
        </w:rPr>
        <w:t> </w:t>
      </w:r>
      <w:r>
        <w:rPr>
          <w:lang w:val="fr-FR"/>
        </w:rPr>
        <w:t>mars 2005, et que l’article</w:t>
      </w:r>
      <w:r w:rsidR="00567613">
        <w:rPr>
          <w:lang w:val="fr-FR"/>
        </w:rPr>
        <w:t> </w:t>
      </w:r>
      <w:r>
        <w:rPr>
          <w:lang w:val="fr-FR"/>
        </w:rPr>
        <w:t>209 du Code judiciaire militaire stipule que la prolongation de la détention provisoire ne peut dépasser douze mois consécutifs, à moins que la juridiction compétente n’autorise une prorogation. La requête indique qu’il est reproché aux auteurs d’avoir commis des meurtres constituant des crimes contre l’humanité</w:t>
      </w:r>
      <w:r w:rsidRPr="00857BA1">
        <w:rPr>
          <w:lang w:val="fr-FR"/>
        </w:rPr>
        <w:t xml:space="preserve"> </w:t>
      </w:r>
      <w:r>
        <w:rPr>
          <w:lang w:val="fr-FR"/>
        </w:rPr>
        <w:t>en Ituri entre mai 2003 et décembre 2005. Les auteurs font observer que cette période couvre presque une année de leur détention. Dans leurs</w:t>
      </w:r>
      <w:r>
        <w:t xml:space="preserve"> </w:t>
      </w:r>
      <w:r>
        <w:rPr>
          <w:lang w:val="fr-FR"/>
        </w:rPr>
        <w:t>demandes de mise en liberté provisoire, ils soulignent que leurs arrestations ont eu lieu de façon irrégulière et que leur détention est irrégulière et illégale, du fait de sa longueur et de l’absence des pièces la justifiant</w:t>
      </w:r>
      <w:r>
        <w:rPr>
          <w:rStyle w:val="Appelnotedebasdep"/>
          <w:lang w:val="fr-FR"/>
        </w:rPr>
        <w:footnoteReference w:id="6"/>
      </w:r>
      <w:r>
        <w:rPr>
          <w:lang w:val="fr-FR"/>
        </w:rPr>
        <w:t>.</w:t>
      </w:r>
    </w:p>
    <w:p w14:paraId="03CFB70B" w14:textId="1EA60942" w:rsidR="00A21C23" w:rsidRPr="00C34D90" w:rsidRDefault="00A21C23" w:rsidP="00A21C23">
      <w:pPr>
        <w:spacing w:after="120"/>
        <w:ind w:left="1134" w:right="1134"/>
        <w:jc w:val="both"/>
        <w:rPr>
          <w:lang w:val="fr-FR"/>
        </w:rPr>
      </w:pPr>
      <w:r>
        <w:rPr>
          <w:lang w:val="fr-FR"/>
        </w:rPr>
        <w:t>2.4</w:t>
      </w:r>
      <w:r>
        <w:rPr>
          <w:lang w:val="fr-FR"/>
        </w:rPr>
        <w:tab/>
        <w:t>Par décision du 1</w:t>
      </w:r>
      <w:r w:rsidRPr="00567683">
        <w:rPr>
          <w:vertAlign w:val="superscript"/>
          <w:lang w:val="fr-FR"/>
        </w:rPr>
        <w:t>er</w:t>
      </w:r>
      <w:r w:rsidR="00567613">
        <w:rPr>
          <w:lang w:val="fr-FR"/>
        </w:rPr>
        <w:t> </w:t>
      </w:r>
      <w:r>
        <w:rPr>
          <w:lang w:val="fr-FR"/>
        </w:rPr>
        <w:t xml:space="preserve">décembre 2006, la Haute Cour militaire a autorisé la prorogation de la détention pour une durée de soixante jours ouvrables, qu’elle estimait nécessaire pour </w:t>
      </w:r>
      <w:r>
        <w:rPr>
          <w:lang w:val="fr-FR"/>
        </w:rPr>
        <w:lastRenderedPageBreak/>
        <w:t>compléter l’instruction</w:t>
      </w:r>
      <w:r>
        <w:rPr>
          <w:rStyle w:val="Appelnotedebasdep"/>
          <w:lang w:val="fr-FR"/>
        </w:rPr>
        <w:footnoteReference w:id="7"/>
      </w:r>
      <w:r>
        <w:rPr>
          <w:lang w:val="fr-FR"/>
        </w:rPr>
        <w:t>. Elle a de nouveau autorisé une prorogation de soixante jours ouvrables le 10</w:t>
      </w:r>
      <w:r w:rsidR="00567613">
        <w:rPr>
          <w:lang w:val="fr-FR"/>
        </w:rPr>
        <w:t> </w:t>
      </w:r>
      <w:r>
        <w:rPr>
          <w:lang w:val="fr-FR"/>
        </w:rPr>
        <w:t>avril 2007</w:t>
      </w:r>
      <w:r>
        <w:rPr>
          <w:rStyle w:val="Appelnotedebasdep"/>
          <w:lang w:val="fr-FR"/>
        </w:rPr>
        <w:footnoteReference w:id="8"/>
      </w:r>
      <w:r>
        <w:rPr>
          <w:lang w:val="fr-FR"/>
        </w:rPr>
        <w:t xml:space="preserve">. Aucune autre prorogation n’a été accordée. Ainsi, au moment de la soumission de la présente communication, les auteurs avaient été détenus sans justification depuis presque quatre </w:t>
      </w:r>
      <w:r w:rsidRPr="00C34D90">
        <w:rPr>
          <w:lang w:val="fr-FR"/>
        </w:rPr>
        <w:t xml:space="preserve">ans et demi. </w:t>
      </w:r>
    </w:p>
    <w:p w14:paraId="52ADC616" w14:textId="426D96F8" w:rsidR="00A21C23" w:rsidRDefault="00A21C23" w:rsidP="00A21C23">
      <w:pPr>
        <w:spacing w:after="120"/>
        <w:ind w:left="1134" w:right="1134"/>
        <w:jc w:val="both"/>
        <w:rPr>
          <w:lang w:val="fr-FR"/>
        </w:rPr>
      </w:pPr>
      <w:r w:rsidRPr="00C34D90">
        <w:rPr>
          <w:lang w:val="fr-FR"/>
        </w:rPr>
        <w:t>2.5</w:t>
      </w:r>
      <w:r w:rsidRPr="00C34D90">
        <w:rPr>
          <w:lang w:val="fr-FR"/>
        </w:rPr>
        <w:tab/>
        <w:t>M.</w:t>
      </w:r>
      <w:r w:rsidR="00567613">
        <w:rPr>
          <w:lang w:val="fr-FR"/>
        </w:rPr>
        <w:t> </w:t>
      </w:r>
      <w:r>
        <w:rPr>
          <w:lang w:val="fr-FR"/>
        </w:rPr>
        <w:t>Longa</w:t>
      </w:r>
      <w:r w:rsidRPr="00C34D90">
        <w:rPr>
          <w:lang w:val="fr-FR"/>
        </w:rPr>
        <w:t xml:space="preserve"> a envoyé des lettres demandant sa libération à l’Auditeur </w:t>
      </w:r>
      <w:r>
        <w:rPr>
          <w:lang w:val="fr-FR"/>
        </w:rPr>
        <w:t>g</w:t>
      </w:r>
      <w:r w:rsidRPr="00C34D90">
        <w:rPr>
          <w:lang w:val="fr-FR"/>
        </w:rPr>
        <w:t xml:space="preserve">énéral en mai 2006 et au Premier Président de la Haute </w:t>
      </w:r>
      <w:r>
        <w:rPr>
          <w:lang w:val="fr-FR"/>
        </w:rPr>
        <w:t>Cour m</w:t>
      </w:r>
      <w:r w:rsidRPr="00C34D90">
        <w:rPr>
          <w:lang w:val="fr-FR"/>
        </w:rPr>
        <w:t>ilitaire en juin 2007</w:t>
      </w:r>
      <w:r>
        <w:rPr>
          <w:lang w:val="fr-FR"/>
        </w:rPr>
        <w:t>,</w:t>
      </w:r>
      <w:r w:rsidRPr="00C34D90">
        <w:rPr>
          <w:lang w:val="fr-FR"/>
        </w:rPr>
        <w:t xml:space="preserve"> affirmant dans cette deuxième lettre le caractère irrégulier de son maintien en détention après la fin de la validité de la dernière prorogation. Il n’a reçu aucune réponse. Le 4</w:t>
      </w:r>
      <w:r w:rsidR="00567613">
        <w:rPr>
          <w:lang w:val="fr-FR"/>
        </w:rPr>
        <w:t> </w:t>
      </w:r>
      <w:r w:rsidRPr="00C34D90">
        <w:rPr>
          <w:lang w:val="fr-FR"/>
        </w:rPr>
        <w:t>décembre 2009, le conseil des auteurs et de quatre autres détenus a soulevé la même question dans une lettre adressée</w:t>
      </w:r>
      <w:r>
        <w:rPr>
          <w:lang w:val="fr-FR"/>
        </w:rPr>
        <w:t xml:space="preserve"> à l’Auditeur général, dont il a envoyé des copies au Ministre de la défense nationale, au Ministre de la justice, au Ministre des droits humains et au Premier Président de la Haute Cour militaire. Il y relevait que la dernière prorogation avait cours jusqu’au 10</w:t>
      </w:r>
      <w:r w:rsidR="00567613">
        <w:rPr>
          <w:lang w:val="fr-FR"/>
        </w:rPr>
        <w:t> </w:t>
      </w:r>
      <w:r>
        <w:rPr>
          <w:lang w:val="fr-FR"/>
        </w:rPr>
        <w:t xml:space="preserve">juin 2007 et avait donc été largement dépassée, sans que l’Auditeur général se préoccupât de ses clients. </w:t>
      </w:r>
    </w:p>
    <w:p w14:paraId="6F951075" w14:textId="6300DAB6" w:rsidR="00A21C23" w:rsidRDefault="00A21C23" w:rsidP="00A21C23">
      <w:pPr>
        <w:pStyle w:val="SingleTxtG"/>
        <w:rPr>
          <w:lang w:val="fr-FR"/>
        </w:rPr>
      </w:pPr>
      <w:r>
        <w:rPr>
          <w:lang w:val="fr-FR"/>
        </w:rPr>
        <w:t>2.6</w:t>
      </w:r>
      <w:r>
        <w:rPr>
          <w:lang w:val="fr-FR"/>
        </w:rPr>
        <w:tab/>
        <w:t>Le 18</w:t>
      </w:r>
      <w:r w:rsidR="00567613">
        <w:rPr>
          <w:lang w:val="fr-FR"/>
        </w:rPr>
        <w:t> </w:t>
      </w:r>
      <w:r>
        <w:rPr>
          <w:lang w:val="fr-FR"/>
        </w:rPr>
        <w:t>mai 2010, en l’absence de réponse, le nouveau conseil des détenus a envoyé une lettre ouverte au Président de la République de l’État partie, dans laquelle il faisait observer que ses clients étaient détenus à la prison centrale de Kinshasa depuis plus de cinq ans, qu’ils étaient initialement poursuivis pour atteinte à la sûreté de l’État, puis pour l’assassinat de neuf soldats de maintien de la paix et ensuite pour crimes contre l’humanité, et que leur détention n’avait plus été prorogée depuis le 10</w:t>
      </w:r>
      <w:r w:rsidR="00567613">
        <w:rPr>
          <w:lang w:val="fr-FR"/>
        </w:rPr>
        <w:t> </w:t>
      </w:r>
      <w:r>
        <w:rPr>
          <w:lang w:val="fr-FR"/>
        </w:rPr>
        <w:t>juin 2007. Il y affirmait que leur maintien en détention constituait une violation de la présomption d’innocence, du droit à un bon traitement en cas de détention, de la garantie d’un procès équitable, du droit d’être jugé dans un délai raisonnable et du droit à la défense. La réception de cette lettre a été confirmée par le Président du Sénat, mais aucune autre démarche n’a été entreprise.</w:t>
      </w:r>
    </w:p>
    <w:p w14:paraId="44A549DF" w14:textId="7010203B" w:rsidR="00A21C23" w:rsidRPr="00D01D06" w:rsidRDefault="00A21C23" w:rsidP="00A21C23">
      <w:pPr>
        <w:pStyle w:val="SingleTxtG"/>
      </w:pPr>
      <w:r>
        <w:rPr>
          <w:lang w:val="fr-FR"/>
        </w:rPr>
        <w:t>2.7</w:t>
      </w:r>
      <w:r>
        <w:rPr>
          <w:lang w:val="fr-FR"/>
        </w:rPr>
        <w:tab/>
        <w:t>En mars 2011, les auteurs ont été transférés à La</w:t>
      </w:r>
      <w:r w:rsidR="00567613">
        <w:rPr>
          <w:lang w:val="fr-FR"/>
        </w:rPr>
        <w:t> </w:t>
      </w:r>
      <w:r>
        <w:rPr>
          <w:lang w:val="fr-FR"/>
        </w:rPr>
        <w:t>Haye, à la demande de la Cour pénale internationale. Le 19</w:t>
      </w:r>
      <w:r w:rsidR="00567613">
        <w:rPr>
          <w:lang w:val="fr-FR"/>
        </w:rPr>
        <w:t> </w:t>
      </w:r>
      <w:r>
        <w:rPr>
          <w:lang w:val="fr-FR"/>
        </w:rPr>
        <w:t>octobre 2011, celle-ci a confirmé que la détention des auteurs était sous l’autorité exclusive de la République démocratique du Congo, à la suite de la demande de la Cour de faciliter leur témoignage à son siège.</w:t>
      </w:r>
    </w:p>
    <w:p w14:paraId="140FC31C" w14:textId="77777777" w:rsidR="00A21C23" w:rsidRPr="00D01D06" w:rsidRDefault="00A21C23" w:rsidP="00A21C23">
      <w:pPr>
        <w:pStyle w:val="H23G"/>
        <w:spacing w:before="0" w:line="240" w:lineRule="atLeast"/>
        <w:jc w:val="both"/>
      </w:pPr>
      <w:r w:rsidRPr="00D01D06">
        <w:rPr>
          <w:lang w:val="fr-FR"/>
        </w:rPr>
        <w:tab/>
      </w:r>
      <w:r w:rsidRPr="00D01D06">
        <w:rPr>
          <w:lang w:val="fr-FR"/>
        </w:rPr>
        <w:tab/>
        <w:t>Teneur de la plainte</w:t>
      </w:r>
    </w:p>
    <w:p w14:paraId="3BBCCD82" w14:textId="4B51A737" w:rsidR="00A21C23" w:rsidRPr="00191F59" w:rsidRDefault="00A21C23" w:rsidP="00A21C23">
      <w:pPr>
        <w:pStyle w:val="SingleTxtG"/>
        <w:rPr>
          <w:lang w:val="fr-FR"/>
        </w:rPr>
      </w:pPr>
      <w:r>
        <w:rPr>
          <w:lang w:val="fr-FR"/>
        </w:rPr>
        <w:t>3.1</w:t>
      </w:r>
      <w:r>
        <w:rPr>
          <w:lang w:val="fr-FR"/>
        </w:rPr>
        <w:tab/>
        <w:t>Les auteurs allèguent la violation de leurs droits au titre de l’article</w:t>
      </w:r>
      <w:r w:rsidR="00567613">
        <w:rPr>
          <w:lang w:val="fr-FR"/>
        </w:rPr>
        <w:t> </w:t>
      </w:r>
      <w:r>
        <w:rPr>
          <w:lang w:val="fr-FR"/>
        </w:rPr>
        <w:t>9 du Pacte. En ce qui concerne le paragraphe</w:t>
      </w:r>
      <w:r w:rsidR="00567613">
        <w:rPr>
          <w:lang w:val="fr-FR"/>
        </w:rPr>
        <w:t> </w:t>
      </w:r>
      <w:r>
        <w:rPr>
          <w:lang w:val="fr-FR"/>
        </w:rPr>
        <w:t xml:space="preserve">1 dudit article, aucune preuve des charges portées contre les auteurs n’a jamais été présentée. En outre, la charge de leur implication dans l’assassinat de neuf soldats de maintien de la paix en février 2005 a apparemment été abandonnée plus d’un an plus tard, </w:t>
      </w:r>
      <w:r w:rsidRPr="0067228F">
        <w:rPr>
          <w:lang w:val="fr-FR"/>
        </w:rPr>
        <w:t xml:space="preserve">quand </w:t>
      </w:r>
      <w:r w:rsidRPr="00E0279B">
        <w:rPr>
          <w:lang w:val="fr-FR"/>
        </w:rPr>
        <w:t xml:space="preserve">il a été demandé à </w:t>
      </w:r>
      <w:r>
        <w:rPr>
          <w:lang w:val="fr-FR"/>
        </w:rPr>
        <w:t xml:space="preserve">la Haute Cour militaire de formaliser la détention provisoire, car les auteurs ont dès lors été accusés d’avoir </w:t>
      </w:r>
      <w:r w:rsidRPr="00191F59">
        <w:rPr>
          <w:lang w:val="fr-FR"/>
        </w:rPr>
        <w:t xml:space="preserve">commis des crimes contre l’humanité. Bien que les autorités de l’État partie aient déclaré devant la Haute Cour </w:t>
      </w:r>
      <w:r>
        <w:rPr>
          <w:lang w:val="fr-FR"/>
        </w:rPr>
        <w:t>m</w:t>
      </w:r>
      <w:r w:rsidRPr="00191F59">
        <w:rPr>
          <w:lang w:val="fr-FR"/>
        </w:rPr>
        <w:t xml:space="preserve">ilitaire que cette dernière recevrait des informations </w:t>
      </w:r>
      <w:r w:rsidR="00567613">
        <w:rPr>
          <w:lang w:val="fr-FR"/>
        </w:rPr>
        <w:t>− </w:t>
      </w:r>
      <w:r w:rsidRPr="00191F59">
        <w:rPr>
          <w:lang w:val="fr-FR"/>
        </w:rPr>
        <w:t>vraisemblablement incriminantes</w:t>
      </w:r>
      <w:r w:rsidR="00567613">
        <w:rPr>
          <w:lang w:val="fr-FR"/>
        </w:rPr>
        <w:t> −</w:t>
      </w:r>
      <w:r w:rsidRPr="00191F59">
        <w:rPr>
          <w:lang w:val="fr-FR"/>
        </w:rPr>
        <w:t xml:space="preserve"> de la part de la </w:t>
      </w:r>
      <w:r>
        <w:rPr>
          <w:lang w:val="fr-FR"/>
        </w:rPr>
        <w:t>Cour pénale internationale</w:t>
      </w:r>
      <w:r w:rsidRPr="00191F59">
        <w:rPr>
          <w:lang w:val="fr-FR"/>
        </w:rPr>
        <w:t xml:space="preserve">, celle-ci n’a, à la connaissance des auteurs, jamais fourni de tels renseignements. En l’absence d’autres informations, il doit être supposé que de tels renseignements n’existent pas. Faute de preuve, les arrestations doivent être considérées comme arbitraires. Les auteurs évoquent </w:t>
      </w:r>
      <w:r>
        <w:rPr>
          <w:lang w:val="fr-FR"/>
        </w:rPr>
        <w:t>l’affaire</w:t>
      </w:r>
      <w:r w:rsidRPr="00191F59">
        <w:rPr>
          <w:lang w:val="fr-FR"/>
        </w:rPr>
        <w:t xml:space="preserve"> </w:t>
      </w:r>
      <w:r w:rsidRPr="00191F59">
        <w:rPr>
          <w:i/>
          <w:lang w:val="fr-FR"/>
        </w:rPr>
        <w:t>Ilombe et Shandwe c. République démocratique du Congo</w:t>
      </w:r>
      <w:r>
        <w:rPr>
          <w:iCs/>
          <w:lang w:val="fr-FR"/>
        </w:rPr>
        <w:t>,</w:t>
      </w:r>
      <w:r w:rsidRPr="00D13167">
        <w:rPr>
          <w:lang w:val="fr-FR"/>
        </w:rPr>
        <w:t xml:space="preserve"> </w:t>
      </w:r>
      <w:r>
        <w:rPr>
          <w:lang w:val="fr-FR"/>
        </w:rPr>
        <w:t>dans laquelle le Comité a estimé</w:t>
      </w:r>
      <w:r w:rsidRPr="00191F59">
        <w:rPr>
          <w:lang w:val="fr-FR"/>
        </w:rPr>
        <w:t xml:space="preserve"> que </w:t>
      </w:r>
      <w:r w:rsidRPr="00191F59">
        <w:rPr>
          <w:color w:val="000000"/>
          <w:lang w:val="fr-FR"/>
        </w:rPr>
        <w:t xml:space="preserve">la détention de civils sur ordre d’un tribunal militaire pendant plusieurs mois d’affilée sans possibilité de contestation </w:t>
      </w:r>
      <w:r>
        <w:rPr>
          <w:color w:val="000000"/>
          <w:lang w:val="fr-FR"/>
        </w:rPr>
        <w:t>pouvait</w:t>
      </w:r>
      <w:r w:rsidRPr="00191F59">
        <w:rPr>
          <w:color w:val="000000"/>
          <w:lang w:val="fr-FR"/>
        </w:rPr>
        <w:t xml:space="preserve"> être considérée comme une détention arbitraire au sens de l’article</w:t>
      </w:r>
      <w:r w:rsidR="00567613">
        <w:rPr>
          <w:color w:val="000000"/>
          <w:lang w:val="fr-FR"/>
        </w:rPr>
        <w:t> </w:t>
      </w:r>
      <w:r w:rsidRPr="00191F59">
        <w:rPr>
          <w:color w:val="000000"/>
          <w:lang w:val="fr-FR"/>
        </w:rPr>
        <w:t>9</w:t>
      </w:r>
      <w:r>
        <w:rPr>
          <w:color w:val="000000"/>
          <w:lang w:val="fr-FR"/>
        </w:rPr>
        <w:t xml:space="preserve"> (par. 1)</w:t>
      </w:r>
      <w:r w:rsidRPr="00191F59">
        <w:rPr>
          <w:color w:val="000000"/>
          <w:lang w:val="fr-FR"/>
        </w:rPr>
        <w:t xml:space="preserve"> du Pacte</w:t>
      </w:r>
      <w:r w:rsidRPr="00191F59">
        <w:rPr>
          <w:rStyle w:val="Appelnotedebasdep"/>
          <w:color w:val="000000"/>
          <w:lang w:val="fr-FR"/>
        </w:rPr>
        <w:footnoteReference w:id="9"/>
      </w:r>
      <w:r>
        <w:rPr>
          <w:color w:val="000000"/>
          <w:lang w:val="fr-FR"/>
        </w:rPr>
        <w:t>.</w:t>
      </w:r>
    </w:p>
    <w:p w14:paraId="5524C0E1" w14:textId="1688CAD7" w:rsidR="00A21C23" w:rsidRDefault="00A21C23" w:rsidP="00A21C23">
      <w:pPr>
        <w:pStyle w:val="SingleTxtG"/>
        <w:rPr>
          <w:lang w:val="fr-FR"/>
        </w:rPr>
      </w:pPr>
      <w:r w:rsidRPr="00191F59">
        <w:rPr>
          <w:lang w:val="fr-FR"/>
        </w:rPr>
        <w:lastRenderedPageBreak/>
        <w:t>3.2</w:t>
      </w:r>
      <w:r w:rsidRPr="00191F59">
        <w:rPr>
          <w:lang w:val="fr-FR"/>
        </w:rPr>
        <w:tab/>
        <w:t>Se référant à leur grief au titre de l’article</w:t>
      </w:r>
      <w:r w:rsidR="00567613">
        <w:rPr>
          <w:lang w:val="fr-FR"/>
        </w:rPr>
        <w:t> </w:t>
      </w:r>
      <w:r w:rsidRPr="00191F59">
        <w:rPr>
          <w:lang w:val="fr-FR"/>
        </w:rPr>
        <w:t>9</w:t>
      </w:r>
      <w:r>
        <w:rPr>
          <w:lang w:val="fr-FR"/>
        </w:rPr>
        <w:t xml:space="preserve"> (par. 2)</w:t>
      </w:r>
      <w:r w:rsidRPr="00191F59">
        <w:rPr>
          <w:lang w:val="fr-FR"/>
        </w:rPr>
        <w:t xml:space="preserve"> du Pacte, les auteurs font valoir qu’ils n’ont pas été informés immédiatement des</w:t>
      </w:r>
      <w:r>
        <w:rPr>
          <w:lang w:val="fr-FR"/>
        </w:rPr>
        <w:t xml:space="preserve"> raisons de leurs arrestations. En outre, les charges se sont révélées fausses.</w:t>
      </w:r>
    </w:p>
    <w:p w14:paraId="7E084A9B" w14:textId="6B089F65" w:rsidR="00A21C23" w:rsidRDefault="00A21C23" w:rsidP="00A21C23">
      <w:pPr>
        <w:spacing w:after="120"/>
        <w:ind w:left="1134" w:right="1133"/>
        <w:jc w:val="both"/>
        <w:rPr>
          <w:lang w:val="fr-FR"/>
        </w:rPr>
      </w:pPr>
      <w:r>
        <w:rPr>
          <w:color w:val="000000"/>
          <w:lang w:val="fr-FR"/>
        </w:rPr>
        <w:t>3.3</w:t>
      </w:r>
      <w:r>
        <w:rPr>
          <w:color w:val="000000"/>
          <w:lang w:val="fr-FR"/>
        </w:rPr>
        <w:tab/>
        <w:t>Les auteurs soutiennent également que l’État partie a violé l’article</w:t>
      </w:r>
      <w:r w:rsidR="00567613">
        <w:rPr>
          <w:color w:val="000000"/>
          <w:lang w:val="fr-FR"/>
        </w:rPr>
        <w:t> </w:t>
      </w:r>
      <w:r>
        <w:rPr>
          <w:color w:val="000000"/>
          <w:lang w:val="fr-FR"/>
        </w:rPr>
        <w:t xml:space="preserve">9 (par. 3) du Pacte. La première autorisation de la détention provisoire des auteurs n’a été accordée que huit mois après la requête de l’Auditeur général. Les auteurs n’ont donc pas été traduits devant un juge dans le plus court délai. Selon eux, le Comité a déjà indiqué que </w:t>
      </w:r>
      <w:r w:rsidRPr="00055DCD">
        <w:rPr>
          <w:lang w:val="fr-FR"/>
        </w:rPr>
        <w:t xml:space="preserve">ces délais ne </w:t>
      </w:r>
      <w:r>
        <w:rPr>
          <w:lang w:val="fr-FR"/>
        </w:rPr>
        <w:t>devaient</w:t>
      </w:r>
      <w:r w:rsidRPr="00055DCD">
        <w:rPr>
          <w:lang w:val="fr-FR"/>
        </w:rPr>
        <w:t xml:space="preserve"> pas dépasser quelques jours</w:t>
      </w:r>
      <w:r>
        <w:rPr>
          <w:lang w:val="fr-FR"/>
        </w:rPr>
        <w:t>, et que la détention provisoire devait être exceptionnelle et aussi brève que possible</w:t>
      </w:r>
      <w:r>
        <w:rPr>
          <w:rStyle w:val="Appelnotedebasdep"/>
          <w:lang w:val="fr-FR"/>
        </w:rPr>
        <w:footnoteReference w:id="10"/>
      </w:r>
      <w:r>
        <w:rPr>
          <w:lang w:val="fr-FR"/>
        </w:rPr>
        <w:t>. En outre, les autorisations de prorogation ne couvrent que la période du 1</w:t>
      </w:r>
      <w:r w:rsidRPr="00AC53A1">
        <w:rPr>
          <w:vertAlign w:val="superscript"/>
          <w:lang w:val="fr-FR"/>
        </w:rPr>
        <w:t>er</w:t>
      </w:r>
      <w:r w:rsidR="00567613">
        <w:rPr>
          <w:lang w:val="fr-FR"/>
        </w:rPr>
        <w:t> </w:t>
      </w:r>
      <w:r>
        <w:rPr>
          <w:lang w:val="fr-FR"/>
        </w:rPr>
        <w:t>décembre 2006 au 2</w:t>
      </w:r>
      <w:r w:rsidR="00567613">
        <w:rPr>
          <w:lang w:val="fr-FR"/>
        </w:rPr>
        <w:t> </w:t>
      </w:r>
      <w:r>
        <w:rPr>
          <w:lang w:val="fr-FR"/>
        </w:rPr>
        <w:t>juillet 2007.</w:t>
      </w:r>
    </w:p>
    <w:p w14:paraId="1F231878" w14:textId="44D7DEA0" w:rsidR="00A21C23" w:rsidRDefault="00A21C23" w:rsidP="00A21C23">
      <w:pPr>
        <w:spacing w:after="120"/>
        <w:ind w:left="1134" w:right="1133"/>
        <w:jc w:val="both"/>
        <w:rPr>
          <w:color w:val="000000"/>
          <w:lang w:val="fr-FR"/>
        </w:rPr>
      </w:pPr>
      <w:r>
        <w:rPr>
          <w:color w:val="000000"/>
          <w:lang w:val="fr-FR"/>
        </w:rPr>
        <w:t>3.4</w:t>
      </w:r>
      <w:r>
        <w:rPr>
          <w:color w:val="000000"/>
          <w:lang w:val="fr-FR"/>
        </w:rPr>
        <w:tab/>
        <w:t>En outre, le Comité a déjà estimé que les décisions de la Cour d’ordre militaire n’étaient pas susceptibles de recours, ce qui implique une violation de l’article</w:t>
      </w:r>
      <w:r w:rsidR="00567613">
        <w:rPr>
          <w:color w:val="000000"/>
          <w:lang w:val="fr-FR"/>
        </w:rPr>
        <w:t> </w:t>
      </w:r>
      <w:r>
        <w:rPr>
          <w:color w:val="000000"/>
          <w:lang w:val="fr-FR"/>
        </w:rPr>
        <w:t>9 (par. 4) du Pacte</w:t>
      </w:r>
      <w:r>
        <w:rPr>
          <w:rStyle w:val="Appelnotedebasdep"/>
          <w:color w:val="000000"/>
        </w:rPr>
        <w:footnoteReference w:id="11"/>
      </w:r>
      <w:r>
        <w:rPr>
          <w:color w:val="000000"/>
          <w:lang w:val="fr-FR"/>
        </w:rPr>
        <w:t>.</w:t>
      </w:r>
    </w:p>
    <w:p w14:paraId="206E6653" w14:textId="5CDD2757" w:rsidR="00A21C23" w:rsidRDefault="00A21C23" w:rsidP="00A21C23">
      <w:pPr>
        <w:pStyle w:val="SingleTxtG"/>
        <w:ind w:right="1133"/>
        <w:rPr>
          <w:bCs/>
          <w:lang w:val="fr-FR"/>
        </w:rPr>
      </w:pPr>
      <w:r>
        <w:rPr>
          <w:color w:val="000000"/>
          <w:lang w:val="fr-FR"/>
        </w:rPr>
        <w:t>3.5</w:t>
      </w:r>
      <w:r>
        <w:rPr>
          <w:color w:val="000000"/>
          <w:lang w:val="fr-FR"/>
        </w:rPr>
        <w:tab/>
        <w:t>Conformément à l’article</w:t>
      </w:r>
      <w:r w:rsidR="00567613">
        <w:rPr>
          <w:color w:val="000000"/>
          <w:lang w:val="fr-FR"/>
        </w:rPr>
        <w:t> </w:t>
      </w:r>
      <w:r>
        <w:rPr>
          <w:color w:val="000000"/>
          <w:lang w:val="fr-FR"/>
        </w:rPr>
        <w:t>9 (par. 5) du Pacte, de même qu’à l’article</w:t>
      </w:r>
      <w:r w:rsidR="00567613">
        <w:rPr>
          <w:color w:val="000000"/>
          <w:lang w:val="fr-FR"/>
        </w:rPr>
        <w:t> </w:t>
      </w:r>
      <w:r>
        <w:rPr>
          <w:color w:val="000000"/>
          <w:lang w:val="fr-FR"/>
        </w:rPr>
        <w:t xml:space="preserve">2 (par. 3 a)) du Pacte et au paragraphe 15 de l’observation générale </w:t>
      </w:r>
      <w:r>
        <w:t>nº</w:t>
      </w:r>
      <w:r w:rsidR="00567613">
        <w:t> </w:t>
      </w:r>
      <w:r>
        <w:rPr>
          <w:color w:val="000000"/>
          <w:lang w:val="fr-FR"/>
        </w:rPr>
        <w:t xml:space="preserve">31 (2004) du Comité, l’État partie doit accorder aux auteurs des recours utiles et </w:t>
      </w:r>
      <w:r w:rsidRPr="003D2FE0">
        <w:rPr>
          <w:color w:val="000000"/>
          <w:lang w:val="fr-FR"/>
        </w:rPr>
        <w:t>exécutoires</w:t>
      </w:r>
      <w:r>
        <w:rPr>
          <w:color w:val="000000"/>
          <w:lang w:val="fr-FR"/>
        </w:rPr>
        <w:t xml:space="preserve"> </w:t>
      </w:r>
      <w:r w:rsidRPr="003D2FE0">
        <w:rPr>
          <w:color w:val="000000"/>
          <w:lang w:val="fr-FR"/>
        </w:rPr>
        <w:t>qui devraient comprendre des réparations</w:t>
      </w:r>
      <w:r>
        <w:rPr>
          <w:color w:val="000000"/>
          <w:lang w:val="fr-FR"/>
        </w:rPr>
        <w:t xml:space="preserve"> pécuniaires</w:t>
      </w:r>
      <w:r w:rsidRPr="003D2FE0">
        <w:rPr>
          <w:color w:val="000000"/>
          <w:lang w:val="fr-FR"/>
        </w:rPr>
        <w:t xml:space="preserve"> p</w:t>
      </w:r>
      <w:r w:rsidRPr="003D2FE0">
        <w:rPr>
          <w:lang w:val="fr-FR"/>
        </w:rPr>
        <w:t>our les préjudices</w:t>
      </w:r>
      <w:r w:rsidRPr="003D2FE0">
        <w:rPr>
          <w:bCs/>
          <w:lang w:val="fr-FR"/>
        </w:rPr>
        <w:t xml:space="preserve"> moraux et matériels</w:t>
      </w:r>
      <w:r>
        <w:rPr>
          <w:bCs/>
          <w:lang w:val="fr-FR"/>
        </w:rPr>
        <w:t xml:space="preserve"> subis.</w:t>
      </w:r>
      <w:r>
        <w:rPr>
          <w:color w:val="000000"/>
          <w:lang w:val="fr-FR"/>
        </w:rPr>
        <w:t xml:space="preserve"> </w:t>
      </w:r>
      <w:r>
        <w:rPr>
          <w:bCs/>
          <w:lang w:val="fr-FR"/>
        </w:rPr>
        <w:t xml:space="preserve">En outre, les auteurs exigent leur libération immédiate et demandent au Comité d’inviter l’État partie à prendre des </w:t>
      </w:r>
      <w:r w:rsidRPr="00BE348E">
        <w:rPr>
          <w:bCs/>
          <w:lang w:val="fr-FR"/>
        </w:rPr>
        <w:t>mesures pour donner effet à ses obligations au titre du Pacte et du Protocole facultatif</w:t>
      </w:r>
      <w:r>
        <w:rPr>
          <w:bCs/>
          <w:lang w:val="fr-FR"/>
        </w:rPr>
        <w:t>,</w:t>
      </w:r>
      <w:r w:rsidRPr="00BE348E">
        <w:rPr>
          <w:bCs/>
          <w:lang w:val="fr-FR"/>
        </w:rPr>
        <w:t xml:space="preserve"> et pour éviter que des violations analogues se reproduisent à l’avenir</w:t>
      </w:r>
      <w:r>
        <w:rPr>
          <w:bCs/>
          <w:lang w:val="fr-FR"/>
        </w:rPr>
        <w:t>. De plus, l</w:t>
      </w:r>
      <w:r w:rsidRPr="00967BA8">
        <w:t xml:space="preserve">es auteurs </w:t>
      </w:r>
      <w:r w:rsidRPr="00967BA8">
        <w:rPr>
          <w:bCs/>
          <w:lang w:val="fr-FR"/>
        </w:rPr>
        <w:t>sollicitent les vues du Comité sur la question de la responsabilité des tiers, dont les Pays</w:t>
      </w:r>
      <w:r w:rsidR="00567613">
        <w:rPr>
          <w:bCs/>
          <w:lang w:val="fr-FR"/>
        </w:rPr>
        <w:noBreakHyphen/>
      </w:r>
      <w:r w:rsidRPr="00967BA8">
        <w:rPr>
          <w:bCs/>
          <w:lang w:val="fr-FR"/>
        </w:rPr>
        <w:t>Bas et la C</w:t>
      </w:r>
      <w:r>
        <w:rPr>
          <w:bCs/>
          <w:lang w:val="fr-FR"/>
        </w:rPr>
        <w:t>our pénale internationale,</w:t>
      </w:r>
      <w:r w:rsidRPr="00472281">
        <w:rPr>
          <w:bCs/>
          <w:lang w:val="fr-FR"/>
        </w:rPr>
        <w:t xml:space="preserve"> </w:t>
      </w:r>
      <w:r w:rsidRPr="00967BA8">
        <w:rPr>
          <w:bCs/>
          <w:lang w:val="fr-FR"/>
        </w:rPr>
        <w:t>d</w:t>
      </w:r>
      <w:r>
        <w:rPr>
          <w:bCs/>
          <w:lang w:val="fr-FR"/>
        </w:rPr>
        <w:t>ans</w:t>
      </w:r>
      <w:r w:rsidRPr="00967BA8">
        <w:rPr>
          <w:bCs/>
          <w:lang w:val="fr-FR"/>
        </w:rPr>
        <w:t xml:space="preserve"> la continuation de leur détention.</w:t>
      </w:r>
    </w:p>
    <w:p w14:paraId="46583081" w14:textId="2B3B2AB2" w:rsidR="00A21C23" w:rsidRPr="00075E3A" w:rsidRDefault="00A21C23" w:rsidP="00A21C23">
      <w:pPr>
        <w:pStyle w:val="SingleTxtG"/>
        <w:ind w:right="1133"/>
        <w:rPr>
          <w:bCs/>
        </w:rPr>
      </w:pPr>
      <w:r>
        <w:rPr>
          <w:bCs/>
          <w:lang w:val="fr-FR"/>
        </w:rPr>
        <w:t>3.6</w:t>
      </w:r>
      <w:r>
        <w:rPr>
          <w:bCs/>
          <w:lang w:val="fr-FR"/>
        </w:rPr>
        <w:tab/>
        <w:t>Il découle également du dossier que les auteurs ont fait valoir auprès de l’Auditeur général, en décembre 2009, et du Président de la République démocratique du Congo, en mai 2010, que leur droit au titre du deuxième paragraphe de l’article</w:t>
      </w:r>
      <w:r w:rsidR="00567613">
        <w:rPr>
          <w:bCs/>
          <w:lang w:val="fr-FR"/>
        </w:rPr>
        <w:t> </w:t>
      </w:r>
      <w:r>
        <w:rPr>
          <w:bCs/>
          <w:lang w:val="fr-FR"/>
        </w:rPr>
        <w:t>19 de la Constitution de l’État partie</w:t>
      </w:r>
      <w:r>
        <w:rPr>
          <w:rStyle w:val="Appelnotedebasdep"/>
          <w:bCs/>
        </w:rPr>
        <w:footnoteReference w:id="12"/>
      </w:r>
      <w:r>
        <w:rPr>
          <w:bCs/>
          <w:lang w:val="fr-FR"/>
        </w:rPr>
        <w:t xml:space="preserve"> </w:t>
      </w:r>
      <w:r>
        <w:t xml:space="preserve">à ce que leur cause soit entendue dans un délai raisonnable avait été violé, étant donné qu’au moment de la rédaction de ces lettres, leur procès n’avait pas encore été fixé devant un juge. </w:t>
      </w:r>
    </w:p>
    <w:p w14:paraId="4049A11A" w14:textId="77777777" w:rsidR="00A21C23" w:rsidRPr="00BE348E" w:rsidRDefault="00A21C23" w:rsidP="00A21C23">
      <w:pPr>
        <w:pStyle w:val="H23G"/>
        <w:rPr>
          <w:lang w:val="fr-FR" w:eastAsia="nl-NL"/>
        </w:rPr>
      </w:pPr>
      <w:r>
        <w:rPr>
          <w:lang w:val="fr-FR" w:eastAsia="nl-NL"/>
        </w:rPr>
        <w:tab/>
      </w:r>
      <w:r>
        <w:rPr>
          <w:lang w:val="fr-FR" w:eastAsia="nl-NL"/>
        </w:rPr>
        <w:tab/>
        <w:t>Défaut</w:t>
      </w:r>
      <w:r w:rsidRPr="00BE348E">
        <w:rPr>
          <w:lang w:val="fr-FR" w:eastAsia="nl-NL"/>
        </w:rPr>
        <w:t xml:space="preserve"> de coopération de l’État partie</w:t>
      </w:r>
    </w:p>
    <w:p w14:paraId="63B62CEC" w14:textId="479CFF29" w:rsidR="00A21C23" w:rsidRDefault="00A21C23" w:rsidP="00A21C23">
      <w:pPr>
        <w:pStyle w:val="SingleTxtG"/>
        <w:rPr>
          <w:lang w:val="fr-FR" w:eastAsia="nl-NL"/>
        </w:rPr>
      </w:pPr>
      <w:r w:rsidRPr="00BE348E">
        <w:rPr>
          <w:lang w:val="fr-FR" w:eastAsia="nl-NL"/>
        </w:rPr>
        <w:t>4.</w:t>
      </w:r>
      <w:r>
        <w:rPr>
          <w:lang w:val="fr-FR" w:eastAsia="nl-NL"/>
        </w:rPr>
        <w:tab/>
        <w:t>Les</w:t>
      </w:r>
      <w:r w:rsidRPr="00BE348E">
        <w:rPr>
          <w:lang w:val="fr-FR" w:eastAsia="nl-NL"/>
        </w:rPr>
        <w:t xml:space="preserve"> 27 mai 2014, 11 février 2015, 25 novembre 2015 et 19</w:t>
      </w:r>
      <w:r w:rsidR="00567613">
        <w:rPr>
          <w:lang w:val="fr-FR" w:eastAsia="nl-NL"/>
        </w:rPr>
        <w:t> </w:t>
      </w:r>
      <w:r w:rsidRPr="00BE348E">
        <w:rPr>
          <w:lang w:val="fr-FR" w:eastAsia="nl-NL"/>
        </w:rPr>
        <w:t xml:space="preserve">octobre 2018, </w:t>
      </w:r>
      <w:r>
        <w:rPr>
          <w:lang w:val="fr-FR" w:eastAsia="nl-NL"/>
        </w:rPr>
        <w:t xml:space="preserve">le Comité a demandé à </w:t>
      </w:r>
      <w:r w:rsidRPr="00BE348E">
        <w:rPr>
          <w:lang w:val="fr-FR" w:eastAsia="nl-NL"/>
        </w:rPr>
        <w:t xml:space="preserve">l’État partie de </w:t>
      </w:r>
      <w:r>
        <w:rPr>
          <w:lang w:val="fr-FR" w:eastAsia="nl-NL"/>
        </w:rPr>
        <w:t xml:space="preserve">lui </w:t>
      </w:r>
      <w:r w:rsidRPr="00BE348E">
        <w:rPr>
          <w:lang w:val="fr-FR" w:eastAsia="nl-NL"/>
        </w:rPr>
        <w:t xml:space="preserve">communiquer ses observations </w:t>
      </w:r>
      <w:r>
        <w:rPr>
          <w:lang w:val="fr-FR" w:eastAsia="nl-NL"/>
        </w:rPr>
        <w:t>concernant</w:t>
      </w:r>
      <w:r w:rsidRPr="00BE348E">
        <w:rPr>
          <w:lang w:val="fr-FR" w:eastAsia="nl-NL"/>
        </w:rPr>
        <w:t xml:space="preserve"> la recevabilité et le fond de la communication. Le Comité regrette que l’État partie n’ait </w:t>
      </w:r>
      <w:r>
        <w:rPr>
          <w:lang w:val="fr-FR" w:eastAsia="nl-NL"/>
        </w:rPr>
        <w:t>donné aucune information quant à</w:t>
      </w:r>
      <w:r w:rsidRPr="00BE348E">
        <w:rPr>
          <w:lang w:val="fr-FR" w:eastAsia="nl-NL"/>
        </w:rPr>
        <w:t xml:space="preserve"> la recevabilité ou </w:t>
      </w:r>
      <w:r>
        <w:rPr>
          <w:lang w:val="fr-FR" w:eastAsia="nl-NL"/>
        </w:rPr>
        <w:t>au</w:t>
      </w:r>
      <w:r w:rsidRPr="00BE348E">
        <w:rPr>
          <w:lang w:val="fr-FR" w:eastAsia="nl-NL"/>
        </w:rPr>
        <w:t xml:space="preserve"> fond des </w:t>
      </w:r>
      <w:r>
        <w:rPr>
          <w:lang w:val="fr-FR" w:eastAsia="nl-NL"/>
        </w:rPr>
        <w:t>allégations</w:t>
      </w:r>
      <w:r w:rsidRPr="00BE348E">
        <w:rPr>
          <w:lang w:val="fr-FR" w:eastAsia="nl-NL"/>
        </w:rPr>
        <w:t xml:space="preserve"> des auteurs. Il rappelle que l’article</w:t>
      </w:r>
      <w:r w:rsidR="00567613">
        <w:rPr>
          <w:lang w:val="fr-FR" w:eastAsia="nl-NL"/>
        </w:rPr>
        <w:t> </w:t>
      </w:r>
      <w:r w:rsidRPr="00BE348E">
        <w:rPr>
          <w:lang w:val="fr-FR" w:eastAsia="nl-NL"/>
        </w:rPr>
        <w:t>4</w:t>
      </w:r>
      <w:r>
        <w:rPr>
          <w:lang w:val="fr-FR" w:eastAsia="nl-NL"/>
        </w:rPr>
        <w:t xml:space="preserve"> (par. 2)</w:t>
      </w:r>
      <w:r w:rsidRPr="00BE348E">
        <w:rPr>
          <w:lang w:val="fr-FR" w:eastAsia="nl-NL"/>
        </w:rPr>
        <w:t xml:space="preserve"> du Protocole facultatif oblige les États parties à examiner de bonne foi toutes les allégations portées contre eux et à communiquer au Comité toutes les informations dont ils disposent. En l’absence de réponse de </w:t>
      </w:r>
      <w:r>
        <w:rPr>
          <w:lang w:val="fr-FR" w:eastAsia="nl-NL"/>
        </w:rPr>
        <w:t xml:space="preserve">la part de </w:t>
      </w:r>
      <w:r w:rsidRPr="00BE348E">
        <w:rPr>
          <w:lang w:val="fr-FR" w:eastAsia="nl-NL"/>
        </w:rPr>
        <w:t xml:space="preserve">l’État partie, il </w:t>
      </w:r>
      <w:r>
        <w:rPr>
          <w:lang w:val="fr-FR" w:eastAsia="nl-NL"/>
        </w:rPr>
        <w:t>convient</w:t>
      </w:r>
      <w:r w:rsidRPr="00BE348E">
        <w:rPr>
          <w:lang w:val="fr-FR" w:eastAsia="nl-NL"/>
        </w:rPr>
        <w:t xml:space="preserve"> d’accorder le crédit voulu aux allégations des auteurs, </w:t>
      </w:r>
      <w:r>
        <w:rPr>
          <w:lang w:val="fr-FR" w:eastAsia="nl-NL"/>
        </w:rPr>
        <w:t>dans la mesure où celles-ci ont été</w:t>
      </w:r>
      <w:r w:rsidRPr="00BE348E">
        <w:rPr>
          <w:lang w:val="fr-FR" w:eastAsia="nl-NL"/>
        </w:rPr>
        <w:t xml:space="preserve"> étayées.</w:t>
      </w:r>
    </w:p>
    <w:p w14:paraId="5EE648B4" w14:textId="77777777" w:rsidR="00A21C23" w:rsidRPr="00D01D06" w:rsidRDefault="00A21C23" w:rsidP="00A21C23">
      <w:pPr>
        <w:pStyle w:val="H23G"/>
      </w:pPr>
      <w:r>
        <w:rPr>
          <w:lang w:val="fr-FR"/>
        </w:rPr>
        <w:tab/>
      </w:r>
      <w:r>
        <w:rPr>
          <w:lang w:val="fr-FR"/>
        </w:rPr>
        <w:tab/>
        <w:t>Commentaires</w:t>
      </w:r>
      <w:r w:rsidRPr="00D01D06">
        <w:rPr>
          <w:lang w:val="fr-FR"/>
        </w:rPr>
        <w:t xml:space="preserve"> complémentaires de</w:t>
      </w:r>
      <w:r>
        <w:rPr>
          <w:lang w:val="fr-FR"/>
        </w:rPr>
        <w:t xml:space="preserve">s </w:t>
      </w:r>
      <w:r w:rsidRPr="00D01D06">
        <w:rPr>
          <w:lang w:val="fr-FR"/>
        </w:rPr>
        <w:t>auteur</w:t>
      </w:r>
      <w:r>
        <w:rPr>
          <w:lang w:val="fr-FR"/>
        </w:rPr>
        <w:t>s</w:t>
      </w:r>
    </w:p>
    <w:p w14:paraId="437FFB9B" w14:textId="2D0A90B7" w:rsidR="00A21C23" w:rsidRDefault="00A21C23" w:rsidP="00A21C23">
      <w:pPr>
        <w:pStyle w:val="SingleTxtG"/>
        <w:rPr>
          <w:lang w:val="fr-FR"/>
        </w:rPr>
      </w:pPr>
      <w:r>
        <w:rPr>
          <w:lang w:val="fr-FR"/>
        </w:rPr>
        <w:t>5.1</w:t>
      </w:r>
      <w:r>
        <w:rPr>
          <w:lang w:val="fr-FR"/>
        </w:rPr>
        <w:tab/>
      </w:r>
      <w:r w:rsidRPr="00F47C8A">
        <w:rPr>
          <w:lang w:val="fr-FR"/>
        </w:rPr>
        <w:t xml:space="preserve">Dans leurs </w:t>
      </w:r>
      <w:r>
        <w:rPr>
          <w:lang w:val="fr-FR"/>
        </w:rPr>
        <w:t>commentaires</w:t>
      </w:r>
      <w:r w:rsidRPr="00F47C8A">
        <w:rPr>
          <w:lang w:val="fr-FR"/>
        </w:rPr>
        <w:t xml:space="preserve"> complémentaires du 15</w:t>
      </w:r>
      <w:r w:rsidR="00567613">
        <w:rPr>
          <w:lang w:val="fr-FR"/>
        </w:rPr>
        <w:t> </w:t>
      </w:r>
      <w:r w:rsidRPr="00F47C8A">
        <w:rPr>
          <w:lang w:val="fr-FR"/>
        </w:rPr>
        <w:t xml:space="preserve">novembre 2019 </w:t>
      </w:r>
      <w:r>
        <w:rPr>
          <w:lang w:val="fr-FR"/>
        </w:rPr>
        <w:t>ainsi que</w:t>
      </w:r>
      <w:r w:rsidRPr="00F47C8A">
        <w:rPr>
          <w:lang w:val="fr-FR"/>
        </w:rPr>
        <w:t xml:space="preserve"> des 27 et 28</w:t>
      </w:r>
      <w:r w:rsidR="00567613">
        <w:rPr>
          <w:lang w:val="fr-FR"/>
        </w:rPr>
        <w:t> </w:t>
      </w:r>
      <w:r w:rsidRPr="00F47C8A">
        <w:rPr>
          <w:lang w:val="fr-FR"/>
        </w:rPr>
        <w:t>février 2020</w:t>
      </w:r>
      <w:r>
        <w:rPr>
          <w:lang w:val="fr-FR"/>
        </w:rPr>
        <w:t xml:space="preserve">, les auteurs font observer qu’ils ont été renvoyés en République démocratique du Congo à l’issue du rejet de leurs demandes d’asile par les autorités néerlandaises. </w:t>
      </w:r>
      <w:r w:rsidRPr="00F47C8A">
        <w:rPr>
          <w:lang w:val="fr-FR"/>
        </w:rPr>
        <w:t>M.</w:t>
      </w:r>
      <w:r w:rsidR="00567613">
        <w:rPr>
          <w:lang w:val="fr-FR"/>
        </w:rPr>
        <w:t> </w:t>
      </w:r>
      <w:r w:rsidRPr="00F47C8A">
        <w:rPr>
          <w:lang w:val="fr-FR"/>
        </w:rPr>
        <w:t>Lon</w:t>
      </w:r>
      <w:r>
        <w:rPr>
          <w:lang w:val="fr-FR"/>
        </w:rPr>
        <w:t>ga a été détenu à La</w:t>
      </w:r>
      <w:r w:rsidR="00567613">
        <w:rPr>
          <w:lang w:val="fr-FR"/>
        </w:rPr>
        <w:t> </w:t>
      </w:r>
      <w:r>
        <w:rPr>
          <w:lang w:val="fr-FR"/>
        </w:rPr>
        <w:t>Haye jusqu’</w:t>
      </w:r>
      <w:r w:rsidRPr="00F47C8A">
        <w:rPr>
          <w:lang w:val="fr-FR"/>
        </w:rPr>
        <w:t>au 18</w:t>
      </w:r>
      <w:r w:rsidR="00567613">
        <w:rPr>
          <w:lang w:val="fr-FR"/>
        </w:rPr>
        <w:t> </w:t>
      </w:r>
      <w:r w:rsidRPr="00F47C8A">
        <w:rPr>
          <w:lang w:val="fr-FR"/>
        </w:rPr>
        <w:t>octobre 2012. Il a ensuite été transféré à la prison militaire de Ndolo</w:t>
      </w:r>
      <w:r>
        <w:rPr>
          <w:lang w:val="fr-FR"/>
        </w:rPr>
        <w:t>,</w:t>
      </w:r>
      <w:r w:rsidRPr="00F47C8A">
        <w:rPr>
          <w:lang w:val="fr-FR"/>
        </w:rPr>
        <w:t xml:space="preserve"> en République démocratique du Congo, d</w:t>
      </w:r>
      <w:r>
        <w:rPr>
          <w:lang w:val="fr-FR"/>
        </w:rPr>
        <w:t>’</w:t>
      </w:r>
      <w:r w:rsidRPr="00F47C8A">
        <w:rPr>
          <w:lang w:val="fr-FR"/>
        </w:rPr>
        <w:t>où il a été libéré provisoirement le 27</w:t>
      </w:r>
      <w:r w:rsidR="00567613">
        <w:rPr>
          <w:lang w:val="fr-FR"/>
        </w:rPr>
        <w:t> </w:t>
      </w:r>
      <w:r w:rsidRPr="00F47C8A">
        <w:rPr>
          <w:lang w:val="fr-FR"/>
        </w:rPr>
        <w:t>septembre 2013. M.</w:t>
      </w:r>
      <w:r w:rsidR="00567613">
        <w:rPr>
          <w:lang w:val="fr-FR"/>
        </w:rPr>
        <w:t> </w:t>
      </w:r>
      <w:r w:rsidRPr="00F47C8A">
        <w:rPr>
          <w:lang w:val="fr-FR"/>
        </w:rPr>
        <w:t>Ngabu et M.</w:t>
      </w:r>
      <w:r w:rsidR="00567613">
        <w:rPr>
          <w:lang w:val="fr-FR"/>
        </w:rPr>
        <w:t> </w:t>
      </w:r>
      <w:r w:rsidRPr="00F47C8A">
        <w:rPr>
          <w:lang w:val="fr-FR"/>
        </w:rPr>
        <w:t>Iribi ont été renvoyés en République démocratique du Congo le 6</w:t>
      </w:r>
      <w:r w:rsidR="00567613">
        <w:rPr>
          <w:lang w:val="fr-FR"/>
        </w:rPr>
        <w:t> </w:t>
      </w:r>
      <w:r w:rsidRPr="00F47C8A">
        <w:rPr>
          <w:lang w:val="fr-FR"/>
        </w:rPr>
        <w:t xml:space="preserve">juillet 2014. Ils ont également été placés à la </w:t>
      </w:r>
      <w:r>
        <w:rPr>
          <w:lang w:val="fr-FR"/>
        </w:rPr>
        <w:t>p</w:t>
      </w:r>
      <w:r w:rsidRPr="00F47C8A">
        <w:rPr>
          <w:lang w:val="fr-FR"/>
        </w:rPr>
        <w:t>rison militaire de Ndolo, où ils se trouv</w:t>
      </w:r>
      <w:r>
        <w:rPr>
          <w:lang w:val="fr-FR"/>
        </w:rPr>
        <w:t>ai</w:t>
      </w:r>
      <w:r w:rsidRPr="00F47C8A">
        <w:rPr>
          <w:lang w:val="fr-FR"/>
        </w:rPr>
        <w:t xml:space="preserve">ent encore </w:t>
      </w:r>
      <w:r>
        <w:rPr>
          <w:lang w:val="fr-FR"/>
        </w:rPr>
        <w:t>au moment de la soumission de ces commentaires complémentaires</w:t>
      </w:r>
      <w:r w:rsidRPr="00F47C8A">
        <w:rPr>
          <w:lang w:val="fr-FR"/>
        </w:rPr>
        <w:t xml:space="preserve">. Selon eux, leurs conditions de détention </w:t>
      </w:r>
      <w:r>
        <w:rPr>
          <w:lang w:val="fr-FR"/>
        </w:rPr>
        <w:t>étaient</w:t>
      </w:r>
      <w:r w:rsidRPr="00F47C8A">
        <w:rPr>
          <w:lang w:val="fr-FR"/>
        </w:rPr>
        <w:t xml:space="preserve"> loin d</w:t>
      </w:r>
      <w:r>
        <w:rPr>
          <w:lang w:val="fr-FR"/>
        </w:rPr>
        <w:t>’</w:t>
      </w:r>
      <w:r w:rsidRPr="00F47C8A">
        <w:rPr>
          <w:lang w:val="fr-FR"/>
        </w:rPr>
        <w:t>être conformes aux normes internationales, malgré les mesures de p</w:t>
      </w:r>
      <w:r>
        <w:rPr>
          <w:lang w:val="fr-FR"/>
        </w:rPr>
        <w:t>rotection formulées par la Cour pénale internationale.</w:t>
      </w:r>
    </w:p>
    <w:p w14:paraId="1FE43776" w14:textId="5AE1976E" w:rsidR="00A21C23" w:rsidRPr="001224E8" w:rsidRDefault="00A21C23" w:rsidP="00A21C23">
      <w:pPr>
        <w:pStyle w:val="SingleTxtG"/>
        <w:rPr>
          <w:b/>
          <w:lang w:val="fr-FR"/>
        </w:rPr>
      </w:pPr>
      <w:r>
        <w:rPr>
          <w:lang w:val="fr-FR"/>
        </w:rPr>
        <w:lastRenderedPageBreak/>
        <w:t>5.2</w:t>
      </w:r>
      <w:r>
        <w:rPr>
          <w:lang w:val="fr-FR"/>
        </w:rPr>
        <w:tab/>
        <w:t>Les auteurs indiquent que leur procès devant la Haute Cour militaire a commencé mais qu’il se poursuit très lentement. La Cour est actuellement en train d’entendre les témoins. Les conditions de détention sont loin d’être conformes aux normes internationales.</w:t>
      </w:r>
      <w:r w:rsidRPr="001224E8">
        <w:t xml:space="preserve"> </w:t>
      </w:r>
      <w:r>
        <w:rPr>
          <w:lang w:val="fr-FR"/>
        </w:rPr>
        <w:t>Les auteurs se plaignent d’un nombre d’</w:t>
      </w:r>
      <w:r w:rsidRPr="001224E8">
        <w:rPr>
          <w:lang w:val="fr-FR"/>
        </w:rPr>
        <w:t>incidents relatifs à leur procès, notamment des changements dans la composition de la Cour, des procédures de récusation concernant plusieurs juges</w:t>
      </w:r>
      <w:r>
        <w:rPr>
          <w:lang w:val="fr-FR"/>
        </w:rPr>
        <w:t>,</w:t>
      </w:r>
      <w:r w:rsidRPr="001224E8">
        <w:rPr>
          <w:lang w:val="fr-FR"/>
        </w:rPr>
        <w:t xml:space="preserve"> dont un ancien membre d</w:t>
      </w:r>
      <w:r>
        <w:rPr>
          <w:lang w:val="fr-FR"/>
        </w:rPr>
        <w:t>’</w:t>
      </w:r>
      <w:r w:rsidRPr="001224E8">
        <w:rPr>
          <w:lang w:val="fr-FR"/>
        </w:rPr>
        <w:t>un groupe rebelle opposé aux auteurs, des retards injustifiés, un manque de moyens mis à la disposition de la défense par la Cour, un refus des témoins de comparaîtr</w:t>
      </w:r>
      <w:r>
        <w:rPr>
          <w:lang w:val="fr-FR"/>
        </w:rPr>
        <w:t>e, des menaces de l’officier du ministère public à l’</w:t>
      </w:r>
      <w:r w:rsidRPr="001224E8">
        <w:rPr>
          <w:lang w:val="fr-FR"/>
        </w:rPr>
        <w:t>encontre des auteurs, la classification de certains docu</w:t>
      </w:r>
      <w:r>
        <w:rPr>
          <w:lang w:val="fr-FR"/>
        </w:rPr>
        <w:t>ments impliquant le régime de l’</w:t>
      </w:r>
      <w:r w:rsidRPr="001224E8">
        <w:rPr>
          <w:lang w:val="fr-FR"/>
        </w:rPr>
        <w:t>État partie comme s</w:t>
      </w:r>
      <w:r>
        <w:rPr>
          <w:lang w:val="fr-FR"/>
        </w:rPr>
        <w:t>ecrets militaires, le refus du juge p</w:t>
      </w:r>
      <w:r w:rsidRPr="001224E8">
        <w:rPr>
          <w:lang w:val="fr-FR"/>
        </w:rPr>
        <w:t>résident de citer des hauts fonctionnaires, et un manque d</w:t>
      </w:r>
      <w:r>
        <w:rPr>
          <w:lang w:val="fr-FR"/>
        </w:rPr>
        <w:t>’</w:t>
      </w:r>
      <w:r w:rsidRPr="001224E8">
        <w:rPr>
          <w:lang w:val="fr-FR"/>
        </w:rPr>
        <w:t xml:space="preserve">inspections des scènes de crime présumées. Les auteurs joignent des copies des lettres </w:t>
      </w:r>
      <w:r>
        <w:rPr>
          <w:lang w:val="fr-FR"/>
        </w:rPr>
        <w:t>adressées par</w:t>
      </w:r>
      <w:r w:rsidRPr="001224E8">
        <w:rPr>
          <w:lang w:val="fr-FR"/>
        </w:rPr>
        <w:t xml:space="preserve"> M.</w:t>
      </w:r>
      <w:r w:rsidR="00567613">
        <w:rPr>
          <w:lang w:val="fr-FR"/>
        </w:rPr>
        <w:t> </w:t>
      </w:r>
      <w:r w:rsidRPr="001224E8">
        <w:rPr>
          <w:lang w:val="fr-FR"/>
        </w:rPr>
        <w:t xml:space="preserve">Ngabu au Premier Président de la Haute Cour Militaire et au </w:t>
      </w:r>
      <w:r>
        <w:rPr>
          <w:lang w:val="fr-FR"/>
        </w:rPr>
        <w:t>Président de la République de l’</w:t>
      </w:r>
      <w:r w:rsidRPr="001224E8">
        <w:rPr>
          <w:lang w:val="fr-FR"/>
        </w:rPr>
        <w:t>État partie, datées respectivement du 5</w:t>
      </w:r>
      <w:r w:rsidR="00567613">
        <w:rPr>
          <w:lang w:val="fr-FR"/>
        </w:rPr>
        <w:t> </w:t>
      </w:r>
      <w:r w:rsidRPr="001224E8">
        <w:rPr>
          <w:lang w:val="fr-FR"/>
        </w:rPr>
        <w:t>novembre 2018 et du 22</w:t>
      </w:r>
      <w:r w:rsidR="00567613">
        <w:rPr>
          <w:lang w:val="fr-FR"/>
        </w:rPr>
        <w:t> </w:t>
      </w:r>
      <w:r w:rsidRPr="001224E8">
        <w:rPr>
          <w:lang w:val="fr-FR"/>
        </w:rPr>
        <w:t>mars 2019, dans lesquelles il demande sa mise en liberté provisoire.</w:t>
      </w:r>
    </w:p>
    <w:p w14:paraId="11306EA8" w14:textId="77777777" w:rsidR="00A21C23" w:rsidRPr="00D01D06" w:rsidRDefault="00A21C23" w:rsidP="00A21C23">
      <w:pPr>
        <w:pStyle w:val="H23G"/>
      </w:pPr>
      <w:r w:rsidRPr="001224E8">
        <w:rPr>
          <w:lang w:val="fr-FR"/>
        </w:rPr>
        <w:tab/>
      </w:r>
      <w:r w:rsidRPr="001224E8">
        <w:rPr>
          <w:lang w:val="fr-FR"/>
        </w:rPr>
        <w:tab/>
      </w:r>
      <w:r w:rsidRPr="00D01D06">
        <w:rPr>
          <w:lang w:val="fr-FR"/>
        </w:rPr>
        <w:t>Délibérations du Comité</w:t>
      </w:r>
    </w:p>
    <w:p w14:paraId="0A11CCC5" w14:textId="77777777" w:rsidR="00A21C23" w:rsidRPr="00D01D06" w:rsidRDefault="00A21C23" w:rsidP="00A21C23">
      <w:pPr>
        <w:pStyle w:val="H4G"/>
      </w:pPr>
      <w:r w:rsidRPr="00D01D06">
        <w:rPr>
          <w:lang w:val="fr-FR"/>
        </w:rPr>
        <w:tab/>
      </w:r>
      <w:r w:rsidRPr="00D01D06">
        <w:rPr>
          <w:lang w:val="fr-FR"/>
        </w:rPr>
        <w:tab/>
        <w:t>Examen de la recevabilité</w:t>
      </w:r>
    </w:p>
    <w:p w14:paraId="67E95BB5" w14:textId="1B7B324D" w:rsidR="00A21C23" w:rsidRPr="00556A28" w:rsidRDefault="00A21C23" w:rsidP="00A21C23">
      <w:pPr>
        <w:pStyle w:val="SingleTxtG"/>
      </w:pPr>
      <w:r>
        <w:t>6</w:t>
      </w:r>
      <w:r w:rsidRPr="00D01D06">
        <w:rPr>
          <w:lang w:val="fr-FR"/>
        </w:rPr>
        <w:t>.1</w:t>
      </w:r>
      <w:r w:rsidRPr="00D01D06">
        <w:rPr>
          <w:lang w:val="fr-FR"/>
        </w:rPr>
        <w:tab/>
      </w:r>
      <w:r w:rsidRPr="00556A28">
        <w:rPr>
          <w:lang w:val="fr-FR"/>
        </w:rPr>
        <w:t>Avant d’examiner tout grief formulé dans une communication, le Comité doit, conformément à l’article</w:t>
      </w:r>
      <w:r w:rsidR="00567613">
        <w:rPr>
          <w:lang w:val="fr-FR"/>
        </w:rPr>
        <w:t> </w:t>
      </w:r>
      <w:r w:rsidRPr="00556A28">
        <w:rPr>
          <w:lang w:val="fr-FR"/>
        </w:rPr>
        <w:t>97 de son règlement intérieur, déterminer si la communication est recevable au regard du Protocole facultatif se rapportant au Pacte.</w:t>
      </w:r>
    </w:p>
    <w:p w14:paraId="7E702D28" w14:textId="6045778E" w:rsidR="00A21C23" w:rsidRPr="00556A28" w:rsidRDefault="00A21C23" w:rsidP="00A21C23">
      <w:pPr>
        <w:pStyle w:val="SingleTxtG"/>
      </w:pPr>
      <w:r>
        <w:rPr>
          <w:spacing w:val="-2"/>
        </w:rPr>
        <w:t>6</w:t>
      </w:r>
      <w:r w:rsidRPr="00556A28">
        <w:rPr>
          <w:spacing w:val="-2"/>
          <w:lang w:val="fr-FR"/>
        </w:rPr>
        <w:t>.2</w:t>
      </w:r>
      <w:r w:rsidRPr="00556A28">
        <w:rPr>
          <w:spacing w:val="-2"/>
          <w:lang w:val="fr-FR"/>
        </w:rPr>
        <w:tab/>
        <w:t xml:space="preserve">Le Comité s’est assuré, comme il est tenu de le faire conformément </w:t>
      </w:r>
      <w:r>
        <w:rPr>
          <w:spacing w:val="-2"/>
          <w:lang w:val="fr-FR"/>
        </w:rPr>
        <w:t>à</w:t>
      </w:r>
      <w:r w:rsidRPr="00556A28">
        <w:rPr>
          <w:spacing w:val="-2"/>
          <w:lang w:val="fr-FR"/>
        </w:rPr>
        <w:t xml:space="preserve"> l’article</w:t>
      </w:r>
      <w:r w:rsidR="00567613">
        <w:rPr>
          <w:spacing w:val="-2"/>
          <w:lang w:val="fr-FR"/>
        </w:rPr>
        <w:t> </w:t>
      </w:r>
      <w:r w:rsidRPr="00556A28">
        <w:rPr>
          <w:spacing w:val="-2"/>
          <w:lang w:val="fr-FR"/>
        </w:rPr>
        <w:t>5</w:t>
      </w:r>
      <w:r>
        <w:rPr>
          <w:spacing w:val="-2"/>
          <w:lang w:val="fr-FR"/>
        </w:rPr>
        <w:t xml:space="preserve"> (par. 2 a))</w:t>
      </w:r>
      <w:r w:rsidRPr="00556A28">
        <w:rPr>
          <w:spacing w:val="-2"/>
          <w:lang w:val="fr-FR"/>
        </w:rPr>
        <w:t xml:space="preserve"> du Protocole facultatif, que la même question n’était pas déjà</w:t>
      </w:r>
      <w:r w:rsidRPr="00556A28">
        <w:rPr>
          <w:lang w:val="fr-FR"/>
        </w:rPr>
        <w:t xml:space="preserve"> en cours d’examen devant une autre instance internationale d’enquête ou de règlement.</w:t>
      </w:r>
    </w:p>
    <w:p w14:paraId="308141C8" w14:textId="77777777" w:rsidR="00A21C23" w:rsidRDefault="00A21C23" w:rsidP="00A21C23">
      <w:pPr>
        <w:pStyle w:val="SingleTxtG"/>
        <w:rPr>
          <w:lang w:val="fr-FR"/>
        </w:rPr>
      </w:pPr>
      <w:r>
        <w:t>6</w:t>
      </w:r>
      <w:r>
        <w:rPr>
          <w:lang w:val="fr-FR"/>
        </w:rPr>
        <w:t>.3</w:t>
      </w:r>
      <w:r>
        <w:rPr>
          <w:lang w:val="fr-FR"/>
        </w:rPr>
        <w:tab/>
      </w:r>
      <w:r w:rsidRPr="00556A28">
        <w:rPr>
          <w:lang w:val="fr-FR"/>
        </w:rPr>
        <w:t xml:space="preserve">Le Comité rappelle que, conformément </w:t>
      </w:r>
      <w:r>
        <w:rPr>
          <w:lang w:val="fr-FR"/>
        </w:rPr>
        <w:t xml:space="preserve">à l’article </w:t>
      </w:r>
      <w:r w:rsidRPr="00556A28">
        <w:rPr>
          <w:lang w:val="fr-FR"/>
        </w:rPr>
        <w:t>5 </w:t>
      </w:r>
      <w:r>
        <w:rPr>
          <w:lang w:val="fr-FR"/>
        </w:rPr>
        <w:t>(par. 2 </w:t>
      </w:r>
      <w:r w:rsidRPr="00556A28">
        <w:rPr>
          <w:lang w:val="fr-FR"/>
        </w:rPr>
        <w:t>b)</w:t>
      </w:r>
      <w:r>
        <w:rPr>
          <w:lang w:val="fr-FR"/>
        </w:rPr>
        <w:t>)</w:t>
      </w:r>
      <w:r w:rsidRPr="00556A28">
        <w:rPr>
          <w:lang w:val="fr-FR"/>
        </w:rPr>
        <w:t xml:space="preserve"> </w:t>
      </w:r>
      <w:r>
        <w:rPr>
          <w:lang w:val="fr-FR"/>
        </w:rPr>
        <w:t>du Protocole facultatif</w:t>
      </w:r>
      <w:r w:rsidRPr="00556A28">
        <w:rPr>
          <w:lang w:val="fr-FR"/>
        </w:rPr>
        <w:t xml:space="preserve">, il ne peut </w:t>
      </w:r>
      <w:r w:rsidRPr="00DB3D43">
        <w:rPr>
          <w:lang w:val="fr-FR"/>
        </w:rPr>
        <w:t xml:space="preserve">examiner aucune communication émanant d’un particulier sans s’être assuré que celui-ci a épuisé tous les recours internes disponibles. </w:t>
      </w:r>
      <w:r>
        <w:rPr>
          <w:lang w:val="fr-FR"/>
        </w:rPr>
        <w:t>Le Comité note que les auteurs ont invoqué le caractère irrégulier et illégal de leur détention et ont demandé leur mise en liberté dans des lettres adressées à la Haute Cour militaire, à l’Auditeur général et au Président de la République, dont des copies ont été envoyées au Ministre de la défense nationale, au Ministre de la Justice et au Ministre des droits humains.</w:t>
      </w:r>
      <w:r>
        <w:t xml:space="preserve"> </w:t>
      </w:r>
      <w:r w:rsidRPr="00DB3D43">
        <w:rPr>
          <w:lang w:val="fr-FR"/>
        </w:rPr>
        <w:t>Il note que l’État partie, en l’espèce, n</w:t>
      </w:r>
      <w:r>
        <w:rPr>
          <w:lang w:val="fr-FR"/>
        </w:rPr>
        <w:t>’a pas contesté le fait que les auteurs ont</w:t>
      </w:r>
      <w:r w:rsidRPr="00DB3D43">
        <w:rPr>
          <w:lang w:val="fr-FR"/>
        </w:rPr>
        <w:t xml:space="preserve"> épuisé tous les recours internes disponibles, ni la recevabilité de la requête.</w:t>
      </w:r>
      <w:r>
        <w:rPr>
          <w:lang w:val="fr-FR"/>
        </w:rPr>
        <w:t xml:space="preserve"> En conséquence, le Comité estime que les dispositions de l’article 5 (par. 2 b)) du Protocole facultatif ne l’empêchent pas d’examiner la présente communication.</w:t>
      </w:r>
    </w:p>
    <w:p w14:paraId="69C55F02" w14:textId="64087CA4" w:rsidR="00A21C23" w:rsidRPr="00DB3D43" w:rsidRDefault="00A21C23" w:rsidP="00A21C23">
      <w:pPr>
        <w:pStyle w:val="NormalWeb"/>
        <w:spacing w:before="0" w:beforeAutospacing="0" w:after="120" w:afterAutospacing="0" w:line="240" w:lineRule="atLeast"/>
        <w:ind w:left="1134" w:right="1134"/>
        <w:jc w:val="both"/>
        <w:rPr>
          <w:i/>
          <w:sz w:val="20"/>
          <w:szCs w:val="20"/>
          <w:lang w:val="fr-FR"/>
        </w:rPr>
      </w:pPr>
      <w:r>
        <w:rPr>
          <w:color w:val="000000"/>
          <w:sz w:val="20"/>
          <w:szCs w:val="20"/>
          <w:lang w:val="fr-FR"/>
        </w:rPr>
        <w:t>6</w:t>
      </w:r>
      <w:r w:rsidRPr="00DB3D43">
        <w:rPr>
          <w:color w:val="000000"/>
          <w:sz w:val="20"/>
          <w:szCs w:val="20"/>
          <w:lang w:val="fr-FR"/>
        </w:rPr>
        <w:t>.4</w:t>
      </w:r>
      <w:r w:rsidRPr="00DB3D43">
        <w:rPr>
          <w:color w:val="000000"/>
          <w:sz w:val="20"/>
          <w:szCs w:val="20"/>
          <w:lang w:val="fr-FR"/>
        </w:rPr>
        <w:tab/>
      </w:r>
      <w:r>
        <w:rPr>
          <w:color w:val="000000"/>
          <w:sz w:val="20"/>
          <w:szCs w:val="20"/>
          <w:lang w:val="fr-FR"/>
        </w:rPr>
        <w:t xml:space="preserve">Le </w:t>
      </w:r>
      <w:r w:rsidRPr="00DB3D43">
        <w:rPr>
          <w:color w:val="000000"/>
          <w:sz w:val="20"/>
          <w:szCs w:val="20"/>
          <w:lang w:val="fr-FR"/>
        </w:rPr>
        <w:t>Comité considère que la requête soulève des questions substantielles au titre de l’article</w:t>
      </w:r>
      <w:r w:rsidR="00567613">
        <w:rPr>
          <w:color w:val="000000"/>
          <w:sz w:val="20"/>
          <w:szCs w:val="20"/>
          <w:lang w:val="fr-FR"/>
        </w:rPr>
        <w:t> </w:t>
      </w:r>
      <w:r>
        <w:rPr>
          <w:color w:val="000000"/>
          <w:sz w:val="20"/>
          <w:szCs w:val="20"/>
          <w:lang w:val="fr-FR"/>
        </w:rPr>
        <w:t xml:space="preserve">9 du Pacte </w:t>
      </w:r>
      <w:r w:rsidRPr="00DB3D43">
        <w:rPr>
          <w:color w:val="000000"/>
          <w:sz w:val="20"/>
          <w:szCs w:val="20"/>
          <w:lang w:val="fr-FR"/>
        </w:rPr>
        <w:t>qui doivent être examinées quant au fond. Ne voyant aucun obstacle à la recevabilité de la communication, le Comité la déclare recevable</w:t>
      </w:r>
      <w:r>
        <w:rPr>
          <w:color w:val="000000"/>
          <w:sz w:val="20"/>
          <w:szCs w:val="20"/>
          <w:lang w:val="fr-FR"/>
        </w:rPr>
        <w:t xml:space="preserve"> et procède à son examen quant au fond</w:t>
      </w:r>
      <w:r w:rsidRPr="00DB3D43">
        <w:rPr>
          <w:color w:val="000000"/>
          <w:sz w:val="20"/>
          <w:szCs w:val="20"/>
          <w:lang w:val="fr-FR"/>
        </w:rPr>
        <w:t>.</w:t>
      </w:r>
      <w:r w:rsidRPr="00CF7F9B">
        <w:rPr>
          <w:color w:val="000000"/>
          <w:sz w:val="20"/>
          <w:szCs w:val="20"/>
          <w:lang w:val="fr-FR"/>
        </w:rPr>
        <w:t xml:space="preserve"> </w:t>
      </w:r>
    </w:p>
    <w:p w14:paraId="53DAC942" w14:textId="77777777" w:rsidR="00A21C23" w:rsidRPr="00D656D5" w:rsidRDefault="00A21C23" w:rsidP="00A21C23">
      <w:pPr>
        <w:pStyle w:val="H4G"/>
        <w:spacing w:before="0" w:line="240" w:lineRule="atLeast"/>
        <w:jc w:val="both"/>
      </w:pPr>
      <w:r w:rsidRPr="00D01D06">
        <w:rPr>
          <w:lang w:val="fr-FR"/>
        </w:rPr>
        <w:tab/>
      </w:r>
      <w:r w:rsidRPr="00D01D06">
        <w:rPr>
          <w:lang w:val="fr-FR"/>
        </w:rPr>
        <w:tab/>
        <w:t>Examen au fond</w:t>
      </w:r>
    </w:p>
    <w:p w14:paraId="0B67DAA5" w14:textId="34A29BA9" w:rsidR="00A21C23" w:rsidRPr="00D656D5" w:rsidRDefault="00A21C23" w:rsidP="00A21C23">
      <w:pPr>
        <w:pStyle w:val="SingleTxtG"/>
        <w:rPr>
          <w:lang w:val="fr-FR"/>
        </w:rPr>
      </w:pPr>
      <w:r w:rsidRPr="00D656D5">
        <w:rPr>
          <w:lang w:val="fr-FR"/>
        </w:rPr>
        <w:t>7.1</w:t>
      </w:r>
      <w:r w:rsidRPr="00D656D5">
        <w:rPr>
          <w:lang w:val="fr-FR"/>
        </w:rPr>
        <w:tab/>
        <w:t xml:space="preserve">Conformément </w:t>
      </w:r>
      <w:r>
        <w:rPr>
          <w:lang w:val="fr-FR"/>
        </w:rPr>
        <w:t>à</w:t>
      </w:r>
      <w:r w:rsidRPr="00D656D5">
        <w:rPr>
          <w:lang w:val="fr-FR"/>
        </w:rPr>
        <w:t xml:space="preserve"> l’article</w:t>
      </w:r>
      <w:r w:rsidR="00567613">
        <w:rPr>
          <w:lang w:val="fr-FR"/>
        </w:rPr>
        <w:t> </w:t>
      </w:r>
      <w:r w:rsidRPr="00D656D5">
        <w:rPr>
          <w:lang w:val="fr-FR"/>
        </w:rPr>
        <w:t>5</w:t>
      </w:r>
      <w:r>
        <w:rPr>
          <w:lang w:val="fr-FR"/>
        </w:rPr>
        <w:t xml:space="preserve"> (par. 1)</w:t>
      </w:r>
      <w:r w:rsidRPr="00D656D5">
        <w:rPr>
          <w:lang w:val="fr-FR"/>
        </w:rPr>
        <w:t xml:space="preserve"> du Protocole facultatif, le Comité a examiné la présente communication en tenant compte de toutes les informations </w:t>
      </w:r>
      <w:r>
        <w:rPr>
          <w:lang w:val="fr-FR"/>
        </w:rPr>
        <w:t>qui</w:t>
      </w:r>
      <w:r w:rsidRPr="00D656D5">
        <w:rPr>
          <w:lang w:val="fr-FR"/>
        </w:rPr>
        <w:t xml:space="preserve"> lui ont été </w:t>
      </w:r>
      <w:r>
        <w:t>communiquées.</w:t>
      </w:r>
    </w:p>
    <w:p w14:paraId="2A3BB479" w14:textId="37D3F3AF" w:rsidR="00A21C23" w:rsidRDefault="00A21C23" w:rsidP="00A21C23">
      <w:pPr>
        <w:pStyle w:val="SingleTxtG"/>
        <w:rPr>
          <w:color w:val="000000"/>
        </w:rPr>
      </w:pPr>
      <w:r w:rsidRPr="00D656D5">
        <w:rPr>
          <w:lang w:val="fr-FR"/>
        </w:rPr>
        <w:t>7.2</w:t>
      </w:r>
      <w:r w:rsidRPr="00D656D5">
        <w:rPr>
          <w:lang w:val="fr-FR"/>
        </w:rPr>
        <w:tab/>
        <w:t xml:space="preserve">Le Comité note le grief des auteurs selon lequel ils </w:t>
      </w:r>
      <w:r>
        <w:rPr>
          <w:lang w:val="fr-FR"/>
        </w:rPr>
        <w:t>s</w:t>
      </w:r>
      <w:r w:rsidRPr="00D656D5">
        <w:rPr>
          <w:lang w:val="fr-FR"/>
        </w:rPr>
        <w:t>ont victimes d’une violation de leurs droits au titre de l’article</w:t>
      </w:r>
      <w:r w:rsidR="00567613">
        <w:rPr>
          <w:lang w:val="fr-FR"/>
        </w:rPr>
        <w:t> </w:t>
      </w:r>
      <w:r w:rsidRPr="00D656D5">
        <w:rPr>
          <w:lang w:val="fr-FR"/>
        </w:rPr>
        <w:t>9</w:t>
      </w:r>
      <w:r>
        <w:rPr>
          <w:lang w:val="fr-FR"/>
        </w:rPr>
        <w:t xml:space="preserve"> (par. 1)</w:t>
      </w:r>
      <w:r w:rsidRPr="00D656D5">
        <w:rPr>
          <w:lang w:val="fr-FR"/>
        </w:rPr>
        <w:t xml:space="preserve"> du Pacte</w:t>
      </w:r>
      <w:r>
        <w:rPr>
          <w:lang w:val="fr-FR"/>
        </w:rPr>
        <w:t>,</w:t>
      </w:r>
      <w:r w:rsidRPr="00D656D5">
        <w:rPr>
          <w:lang w:val="fr-FR"/>
        </w:rPr>
        <w:t xml:space="preserve"> du fait de leurs arrestations respectives et de leur détention, pour </w:t>
      </w:r>
      <w:r w:rsidRPr="00226A8F">
        <w:rPr>
          <w:lang w:val="fr-FR"/>
        </w:rPr>
        <w:t>lesquelles aucune justification n’a été présentée</w:t>
      </w:r>
      <w:r>
        <w:rPr>
          <w:lang w:val="fr-FR"/>
        </w:rPr>
        <w:t xml:space="preserve"> jusqu’au début de leur procès devant la Haute Cour militaire</w:t>
      </w:r>
      <w:r w:rsidRPr="00226A8F">
        <w:rPr>
          <w:lang w:val="fr-FR"/>
        </w:rPr>
        <w:t>.</w:t>
      </w:r>
      <w:r>
        <w:rPr>
          <w:lang w:val="fr-FR"/>
        </w:rPr>
        <w:t xml:space="preserve"> Le Comité note </w:t>
      </w:r>
      <w:r>
        <w:rPr>
          <w:color w:val="000000"/>
        </w:rPr>
        <w:t xml:space="preserve">qu’il découle du dossier qu’après la fin de la validité de la dernière prorogation émise par l’Auditeur général le </w:t>
      </w:r>
      <w:r>
        <w:t>9</w:t>
      </w:r>
      <w:r w:rsidR="00567613">
        <w:t> </w:t>
      </w:r>
      <w:r>
        <w:t>mars 2006,</w:t>
      </w:r>
      <w:r w:rsidRPr="00C66D81">
        <w:rPr>
          <w:lang w:val="fr-FR"/>
        </w:rPr>
        <w:t xml:space="preserve"> </w:t>
      </w:r>
      <w:r>
        <w:rPr>
          <w:lang w:val="fr-FR"/>
        </w:rPr>
        <w:t xml:space="preserve">le </w:t>
      </w:r>
      <w:r w:rsidRPr="00226A8F">
        <w:rPr>
          <w:lang w:val="fr-FR"/>
        </w:rPr>
        <w:t xml:space="preserve">maintien en détention </w:t>
      </w:r>
      <w:r>
        <w:rPr>
          <w:lang w:val="fr-FR"/>
        </w:rPr>
        <w:t>des auteurs n’a eu aucun motif de droit sauf pendant deux périodes non contiguës de soixante jours ouvrables, dont la dernière a pris fin le 2</w:t>
      </w:r>
      <w:r w:rsidR="00567613">
        <w:rPr>
          <w:lang w:val="fr-FR"/>
        </w:rPr>
        <w:t> </w:t>
      </w:r>
      <w:r>
        <w:rPr>
          <w:lang w:val="fr-FR"/>
        </w:rPr>
        <w:t xml:space="preserve">juillet 2007. </w:t>
      </w:r>
      <w:r>
        <w:rPr>
          <w:color w:val="000000"/>
        </w:rPr>
        <w:t>Le Comité rappelle qu’</w:t>
      </w:r>
      <w:r>
        <w:t>une privation de liberté sans fondement juridique constitue une détention arbitraire et illégale</w:t>
      </w:r>
      <w:r>
        <w:rPr>
          <w:rStyle w:val="Appelnotedebasdep"/>
          <w:color w:val="000000"/>
        </w:rPr>
        <w:footnoteReference w:id="13"/>
      </w:r>
      <w:r>
        <w:t xml:space="preserve">. </w:t>
      </w:r>
      <w:r w:rsidRPr="00226A8F">
        <w:rPr>
          <w:color w:val="000000"/>
        </w:rPr>
        <w:t>En l’absence de réponse de l’État partie contred</w:t>
      </w:r>
      <w:r>
        <w:rPr>
          <w:color w:val="000000"/>
        </w:rPr>
        <w:t xml:space="preserve">isant </w:t>
      </w:r>
      <w:r w:rsidRPr="009E10DB">
        <w:rPr>
          <w:color w:val="000000"/>
        </w:rPr>
        <w:t>les allégations des auteurs</w:t>
      </w:r>
      <w:r>
        <w:rPr>
          <w:color w:val="000000"/>
        </w:rPr>
        <w:t>,</w:t>
      </w:r>
      <w:r w:rsidRPr="009E10DB">
        <w:t xml:space="preserve"> </w:t>
      </w:r>
      <w:r w:rsidRPr="009E10DB">
        <w:rPr>
          <w:color w:val="000000"/>
        </w:rPr>
        <w:t xml:space="preserve">le Comité estime que </w:t>
      </w:r>
      <w:r>
        <w:rPr>
          <w:color w:val="000000"/>
        </w:rPr>
        <w:t xml:space="preserve">l’absence d’autorisation de la détention des auteurs, </w:t>
      </w:r>
      <w:r>
        <w:rPr>
          <w:color w:val="000000"/>
        </w:rPr>
        <w:lastRenderedPageBreak/>
        <w:t>notamment depuis le 2</w:t>
      </w:r>
      <w:r w:rsidR="00567613">
        <w:rPr>
          <w:color w:val="000000"/>
        </w:rPr>
        <w:t> </w:t>
      </w:r>
      <w:r>
        <w:rPr>
          <w:color w:val="000000"/>
        </w:rPr>
        <w:t>juillet 2007, fait</w:t>
      </w:r>
      <w:r w:rsidRPr="009E10DB">
        <w:rPr>
          <w:color w:val="000000"/>
        </w:rPr>
        <w:t xml:space="preserve"> apparaître une violation de l’article 9</w:t>
      </w:r>
      <w:r>
        <w:rPr>
          <w:color w:val="000000"/>
        </w:rPr>
        <w:t xml:space="preserve"> (par. 1)</w:t>
      </w:r>
      <w:r w:rsidRPr="009E10DB">
        <w:rPr>
          <w:color w:val="000000"/>
        </w:rPr>
        <w:t xml:space="preserve"> du Pacte.</w:t>
      </w:r>
    </w:p>
    <w:p w14:paraId="4F875934" w14:textId="47B4A253" w:rsidR="00A21C23" w:rsidRPr="002728EB" w:rsidRDefault="00A21C23" w:rsidP="00A21C23">
      <w:pPr>
        <w:pStyle w:val="SingleTxtG"/>
        <w:rPr>
          <w:lang w:val="fr-FR"/>
        </w:rPr>
      </w:pPr>
      <w:r w:rsidRPr="009E10DB">
        <w:rPr>
          <w:color w:val="000000"/>
        </w:rPr>
        <w:t>7.3</w:t>
      </w:r>
      <w:r w:rsidRPr="009E10DB">
        <w:rPr>
          <w:color w:val="000000"/>
        </w:rPr>
        <w:tab/>
        <w:t xml:space="preserve">En ce qui </w:t>
      </w:r>
      <w:r w:rsidRPr="00CE1D1F">
        <w:t xml:space="preserve">concerne l’allégation de </w:t>
      </w:r>
      <w:r w:rsidRPr="009E10DB">
        <w:rPr>
          <w:color w:val="000000"/>
        </w:rPr>
        <w:t>violation de l’article 9</w:t>
      </w:r>
      <w:r>
        <w:rPr>
          <w:color w:val="000000"/>
        </w:rPr>
        <w:t xml:space="preserve"> (par. 2) du Pacte</w:t>
      </w:r>
      <w:r w:rsidRPr="009E10DB">
        <w:rPr>
          <w:color w:val="000000"/>
        </w:rPr>
        <w:t xml:space="preserve">, le Comité note que les auteurs se plaignent de ne pas avoir </w:t>
      </w:r>
      <w:r w:rsidRPr="009E10DB">
        <w:rPr>
          <w:color w:val="000000"/>
          <w:lang w:val="fr-FR"/>
        </w:rPr>
        <w:t>été informés immédiatement des raisons de leurs arrestations</w:t>
      </w:r>
      <w:r>
        <w:rPr>
          <w:color w:val="000000"/>
          <w:lang w:val="fr-FR"/>
        </w:rPr>
        <w:t xml:space="preserve"> respectives</w:t>
      </w:r>
      <w:r w:rsidRPr="009E10DB">
        <w:rPr>
          <w:color w:val="000000"/>
          <w:lang w:val="fr-FR"/>
        </w:rPr>
        <w:t xml:space="preserve">. </w:t>
      </w:r>
      <w:r>
        <w:rPr>
          <w:color w:val="000000"/>
          <w:lang w:val="fr-FR"/>
        </w:rPr>
        <w:t>Il relève toutefois</w:t>
      </w:r>
      <w:r w:rsidRPr="009E10DB">
        <w:rPr>
          <w:color w:val="000000"/>
          <w:lang w:val="fr-FR"/>
        </w:rPr>
        <w:t xml:space="preserve"> que les auteurs </w:t>
      </w:r>
      <w:r>
        <w:rPr>
          <w:color w:val="000000"/>
          <w:lang w:val="fr-FR"/>
        </w:rPr>
        <w:t xml:space="preserve">font également valoir qu’ils ont </w:t>
      </w:r>
      <w:r w:rsidRPr="00CA1C9D">
        <w:rPr>
          <w:color w:val="000000"/>
          <w:lang w:val="fr-FR"/>
        </w:rPr>
        <w:t>été informés de l’accusation</w:t>
      </w:r>
      <w:r>
        <w:rPr>
          <w:color w:val="000000"/>
          <w:lang w:val="fr-FR"/>
        </w:rPr>
        <w:t xml:space="preserve"> relative à </w:t>
      </w:r>
      <w:r>
        <w:rPr>
          <w:lang w:val="fr-FR"/>
        </w:rPr>
        <w:t>l’assassinat, le 25</w:t>
      </w:r>
      <w:r w:rsidR="00567613">
        <w:rPr>
          <w:lang w:val="fr-FR"/>
        </w:rPr>
        <w:t> </w:t>
      </w:r>
      <w:r>
        <w:rPr>
          <w:lang w:val="fr-FR"/>
        </w:rPr>
        <w:t>février 2005, de neuf soldats bangladais des forces de maintien de la paix des Nations</w:t>
      </w:r>
      <w:r w:rsidR="00567613">
        <w:rPr>
          <w:lang w:val="fr-FR"/>
        </w:rPr>
        <w:t> </w:t>
      </w:r>
      <w:r>
        <w:rPr>
          <w:lang w:val="fr-FR"/>
        </w:rPr>
        <w:t xml:space="preserve">Unies en Ituri </w:t>
      </w:r>
      <w:r w:rsidRPr="00CA1C9D">
        <w:rPr>
          <w:color w:val="000000"/>
          <w:lang w:val="fr-FR"/>
        </w:rPr>
        <w:t xml:space="preserve">lors de leurs arrestations respectives, </w:t>
      </w:r>
      <w:r>
        <w:rPr>
          <w:color w:val="000000"/>
          <w:lang w:val="fr-FR"/>
        </w:rPr>
        <w:t>bien</w:t>
      </w:r>
      <w:r w:rsidRPr="00CA1C9D">
        <w:rPr>
          <w:color w:val="000000"/>
          <w:lang w:val="fr-FR"/>
        </w:rPr>
        <w:t xml:space="preserve"> qu</w:t>
      </w:r>
      <w:r>
        <w:rPr>
          <w:color w:val="000000"/>
          <w:lang w:val="fr-FR"/>
        </w:rPr>
        <w:t xml:space="preserve">e ces accusations aient </w:t>
      </w:r>
      <w:r w:rsidRPr="00CA1C9D">
        <w:rPr>
          <w:color w:val="000000"/>
          <w:lang w:val="fr-FR"/>
        </w:rPr>
        <w:t>apparemment été abandonnée</w:t>
      </w:r>
      <w:r>
        <w:rPr>
          <w:color w:val="000000"/>
          <w:lang w:val="fr-FR"/>
        </w:rPr>
        <w:t>s</w:t>
      </w:r>
      <w:r w:rsidRPr="00CA1C9D">
        <w:rPr>
          <w:lang w:val="fr-FR"/>
        </w:rPr>
        <w:t xml:space="preserve"> p</w:t>
      </w:r>
      <w:r>
        <w:rPr>
          <w:lang w:val="fr-FR"/>
        </w:rPr>
        <w:t>ar la suite</w:t>
      </w:r>
      <w:r w:rsidRPr="00CA1C9D">
        <w:rPr>
          <w:lang w:val="fr-FR"/>
        </w:rPr>
        <w:t xml:space="preserve">. </w:t>
      </w:r>
      <w:r w:rsidRPr="00C4373E">
        <w:rPr>
          <w:lang w:val="fr-FR"/>
        </w:rPr>
        <w:t xml:space="preserve">Les auteurs reconnaissent également que </w:t>
      </w:r>
      <w:r>
        <w:rPr>
          <w:lang w:val="fr-FR"/>
        </w:rPr>
        <w:t>l’Auditeur général des forces armées a ensuite déposé une requête auprès de la Haute Cour militaire pour proroger la détention provisoire des auteurs ainsi</w:t>
      </w:r>
      <w:r w:rsidRPr="00C4373E">
        <w:rPr>
          <w:lang w:val="fr-FR"/>
        </w:rPr>
        <w:t xml:space="preserve"> </w:t>
      </w:r>
      <w:r>
        <w:rPr>
          <w:lang w:val="fr-FR"/>
        </w:rPr>
        <w:t>que</w:t>
      </w:r>
      <w:r w:rsidRPr="00C4373E">
        <w:rPr>
          <w:lang w:val="fr-FR"/>
        </w:rPr>
        <w:t xml:space="preserve"> de cinq autres pe</w:t>
      </w:r>
      <w:r>
        <w:rPr>
          <w:lang w:val="fr-FR"/>
        </w:rPr>
        <w:t>rsonnes, qui étaient accusés d’</w:t>
      </w:r>
      <w:r w:rsidRPr="00C4373E">
        <w:rPr>
          <w:lang w:val="fr-FR"/>
        </w:rPr>
        <w:t>avoir commis des meurtres constituant un crime contre l</w:t>
      </w:r>
      <w:r>
        <w:rPr>
          <w:lang w:val="fr-FR"/>
        </w:rPr>
        <w:t>’</w:t>
      </w:r>
      <w:r w:rsidRPr="00C4373E">
        <w:rPr>
          <w:lang w:val="fr-FR"/>
        </w:rPr>
        <w:t>humanité.</w:t>
      </w:r>
      <w:r>
        <w:rPr>
          <w:lang w:val="fr-FR"/>
        </w:rPr>
        <w:t xml:space="preserve"> </w:t>
      </w:r>
      <w:r>
        <w:rPr>
          <w:color w:val="000000"/>
          <w:lang w:val="fr-FR"/>
        </w:rPr>
        <w:t>En l’absence de toute autre information pertinente au dossier, le Comité, notant que les auteurs ont été informés des accusations portées contre eux lors de leurs arrestations, estime que les faits dont il est saisi ne font pas apparaître une violation des droits des auteurs au titre de l’article</w:t>
      </w:r>
      <w:r w:rsidR="00567613">
        <w:rPr>
          <w:color w:val="000000"/>
          <w:lang w:val="fr-FR"/>
        </w:rPr>
        <w:t> </w:t>
      </w:r>
      <w:r>
        <w:rPr>
          <w:color w:val="000000"/>
          <w:lang w:val="fr-FR"/>
        </w:rPr>
        <w:t>9 (par.</w:t>
      </w:r>
      <w:r w:rsidR="00567613">
        <w:rPr>
          <w:color w:val="000000"/>
          <w:lang w:val="fr-FR"/>
        </w:rPr>
        <w:t> </w:t>
      </w:r>
      <w:r>
        <w:rPr>
          <w:color w:val="000000"/>
          <w:lang w:val="fr-FR"/>
        </w:rPr>
        <w:t xml:space="preserve">2) du Pacte. </w:t>
      </w:r>
    </w:p>
    <w:p w14:paraId="1675F22A" w14:textId="0B38A99F" w:rsidR="00A21C23" w:rsidRPr="00731BE3" w:rsidRDefault="00A21C23" w:rsidP="00A21C23">
      <w:pPr>
        <w:pStyle w:val="SingleTxtG"/>
      </w:pPr>
      <w:r w:rsidRPr="001254A6">
        <w:t>7.4</w:t>
      </w:r>
      <w:r w:rsidRPr="001254A6">
        <w:tab/>
      </w:r>
      <w:r>
        <w:rPr>
          <w:color w:val="000000"/>
        </w:rPr>
        <w:t>Pour ce qui est du grief de violation</w:t>
      </w:r>
      <w:r w:rsidRPr="001254A6">
        <w:t xml:space="preserve"> au titre de l’article</w:t>
      </w:r>
      <w:r w:rsidR="00567613">
        <w:t> </w:t>
      </w:r>
      <w:r w:rsidRPr="001254A6">
        <w:t>9</w:t>
      </w:r>
      <w:r>
        <w:t xml:space="preserve"> (par. 3) du Pacte, le Comité constate que les auteurs allèguent que, bien que l’Auditeur général ait prorogé leur détention du 9</w:t>
      </w:r>
      <w:r w:rsidR="00567613">
        <w:t> </w:t>
      </w:r>
      <w:r>
        <w:t>mars 2005 au 9</w:t>
      </w:r>
      <w:r w:rsidR="00567613">
        <w:t> </w:t>
      </w:r>
      <w:r>
        <w:t xml:space="preserve">mars 2006, </w:t>
      </w:r>
      <w:r w:rsidRPr="001254A6">
        <w:t xml:space="preserve">la </w:t>
      </w:r>
      <w:r w:rsidRPr="001254A6">
        <w:rPr>
          <w:color w:val="000000"/>
          <w:lang w:val="fr-FR"/>
        </w:rPr>
        <w:t xml:space="preserve">première autorisation </w:t>
      </w:r>
      <w:r>
        <w:rPr>
          <w:color w:val="000000"/>
          <w:lang w:val="fr-FR"/>
        </w:rPr>
        <w:t>judiciaire</w:t>
      </w:r>
      <w:r w:rsidRPr="001254A6">
        <w:rPr>
          <w:color w:val="000000"/>
          <w:lang w:val="fr-FR"/>
        </w:rPr>
        <w:t xml:space="preserve"> n’a été accordée que </w:t>
      </w:r>
      <w:r>
        <w:rPr>
          <w:color w:val="000000"/>
          <w:lang w:val="fr-FR"/>
        </w:rPr>
        <w:t>le 1</w:t>
      </w:r>
      <w:r w:rsidRPr="00B76F93">
        <w:rPr>
          <w:color w:val="000000"/>
          <w:vertAlign w:val="superscript"/>
          <w:lang w:val="fr-FR"/>
        </w:rPr>
        <w:t>er</w:t>
      </w:r>
      <w:r w:rsidR="00567613">
        <w:rPr>
          <w:color w:val="000000"/>
          <w:lang w:val="fr-FR"/>
        </w:rPr>
        <w:t> </w:t>
      </w:r>
      <w:r>
        <w:rPr>
          <w:color w:val="000000"/>
          <w:lang w:val="fr-FR"/>
        </w:rPr>
        <w:t xml:space="preserve">décembre 2006, soit plus d’un an et demi après leur mise en détention. </w:t>
      </w:r>
      <w:r>
        <w:t>Le Comité rappelle sa jurisprudence constante</w:t>
      </w:r>
      <w:r>
        <w:rPr>
          <w:rStyle w:val="Appelnotedebasdep"/>
        </w:rPr>
        <w:footnoteReference w:id="14"/>
      </w:r>
      <w:r>
        <w:t>, qui établit que l’article</w:t>
      </w:r>
      <w:r w:rsidR="00567613">
        <w:t> </w:t>
      </w:r>
      <w:r>
        <w:t xml:space="preserve">9 (par. 3) du Pacte confère à toute personne inculpée du chef d’une infraction pénale le droit de bénéficier du contrôle juridictionnel du placement en détention. Un élément inhérent au bon exercice du pouvoir judiciaire est qu’il doit </w:t>
      </w:r>
      <w:r w:rsidRPr="00731BE3">
        <w:t xml:space="preserve">être assuré par une autorité indépendante, objective et impartiale à l’égard des questions </w:t>
      </w:r>
      <w:r>
        <w:t>traitées</w:t>
      </w:r>
      <w:r>
        <w:rPr>
          <w:rStyle w:val="Appelnotedebasdep"/>
        </w:rPr>
        <w:footnoteReference w:id="15"/>
      </w:r>
      <w:r w:rsidRPr="00731BE3">
        <w:t>.</w:t>
      </w:r>
      <w:r w:rsidRPr="00731BE3">
        <w:rPr>
          <w:color w:val="000000"/>
        </w:rPr>
        <w:t xml:space="preserve"> Le Comité note que l’État partie n’a pas ap</w:t>
      </w:r>
      <w:r>
        <w:rPr>
          <w:color w:val="000000"/>
        </w:rPr>
        <w:t>porté d’informations</w:t>
      </w:r>
      <w:r w:rsidRPr="00731BE3">
        <w:rPr>
          <w:color w:val="000000"/>
        </w:rPr>
        <w:t xml:space="preserve"> pour montrer que,</w:t>
      </w:r>
      <w:r>
        <w:rPr>
          <w:color w:val="000000"/>
        </w:rPr>
        <w:t xml:space="preserve"> sur le plan institutionnel, </w:t>
      </w:r>
      <w:r w:rsidRPr="00731BE3">
        <w:rPr>
          <w:color w:val="000000"/>
        </w:rPr>
        <w:t xml:space="preserve">l’Auditeur </w:t>
      </w:r>
      <w:r>
        <w:rPr>
          <w:color w:val="000000"/>
        </w:rPr>
        <w:t>g</w:t>
      </w:r>
      <w:r w:rsidRPr="00731BE3">
        <w:rPr>
          <w:color w:val="000000"/>
        </w:rPr>
        <w:t>énéral avait l’objectivité et l’impartialité nécessaires pour être considéré comme une</w:t>
      </w:r>
      <w:r w:rsidRPr="0056605E">
        <w:rPr>
          <w:color w:val="000000"/>
        </w:rPr>
        <w:t xml:space="preserve"> «</w:t>
      </w:r>
      <w:r>
        <w:rPr>
          <w:color w:val="000000"/>
        </w:rPr>
        <w:t> </w:t>
      </w:r>
      <w:r w:rsidRPr="0056605E">
        <w:rPr>
          <w:color w:val="000000"/>
        </w:rPr>
        <w:t xml:space="preserve">autorité habilitée </w:t>
      </w:r>
      <w:r>
        <w:rPr>
          <w:color w:val="000000"/>
        </w:rPr>
        <w:t xml:space="preserve">par la loi </w:t>
      </w:r>
      <w:r w:rsidRPr="0056605E">
        <w:rPr>
          <w:color w:val="000000"/>
        </w:rPr>
        <w:t>à exercer des fonctions judiciaires</w:t>
      </w:r>
      <w:r>
        <w:rPr>
          <w:color w:val="000000"/>
        </w:rPr>
        <w:t> </w:t>
      </w:r>
      <w:r w:rsidRPr="0056605E">
        <w:rPr>
          <w:color w:val="000000"/>
        </w:rPr>
        <w:t>» au sens de l’article</w:t>
      </w:r>
      <w:r w:rsidR="00567613">
        <w:rPr>
          <w:color w:val="000000"/>
        </w:rPr>
        <w:t> </w:t>
      </w:r>
      <w:r w:rsidRPr="0056605E">
        <w:rPr>
          <w:color w:val="000000"/>
        </w:rPr>
        <w:t>9</w:t>
      </w:r>
      <w:r>
        <w:rPr>
          <w:color w:val="000000"/>
        </w:rPr>
        <w:t xml:space="preserve"> (par. 3)</w:t>
      </w:r>
      <w:r w:rsidRPr="0056605E">
        <w:rPr>
          <w:color w:val="000000"/>
        </w:rPr>
        <w:t xml:space="preserve"> du Pact</w:t>
      </w:r>
      <w:r w:rsidRPr="00C164A2">
        <w:rPr>
          <w:color w:val="000000"/>
        </w:rPr>
        <w:t>e</w:t>
      </w:r>
      <w:r w:rsidRPr="00F8114A">
        <w:t xml:space="preserve"> </w:t>
      </w:r>
      <w:r>
        <w:rPr>
          <w:color w:val="000000"/>
        </w:rPr>
        <w:t>et, pour cette raison, l’</w:t>
      </w:r>
      <w:r w:rsidRPr="00F8114A">
        <w:rPr>
          <w:color w:val="000000"/>
        </w:rPr>
        <w:t>allégation des auteurs selon laquelle l</w:t>
      </w:r>
      <w:r>
        <w:rPr>
          <w:color w:val="000000"/>
        </w:rPr>
        <w:t>’Auditeur général n’</w:t>
      </w:r>
      <w:r w:rsidRPr="00F8114A">
        <w:rPr>
          <w:color w:val="000000"/>
        </w:rPr>
        <w:t>est pas impartial doit être dûment prise en compte</w:t>
      </w:r>
      <w:r w:rsidRPr="00C164A2">
        <w:rPr>
          <w:color w:val="000000"/>
        </w:rPr>
        <w:t>.</w:t>
      </w:r>
      <w:r w:rsidRPr="00731BE3">
        <w:rPr>
          <w:color w:val="000000"/>
        </w:rPr>
        <w:t xml:space="preserve"> </w:t>
      </w:r>
      <w:r>
        <w:rPr>
          <w:color w:val="000000"/>
        </w:rPr>
        <w:t>En</w:t>
      </w:r>
      <w:r w:rsidRPr="00731BE3">
        <w:rPr>
          <w:color w:val="000000"/>
        </w:rPr>
        <w:t xml:space="preserve"> l</w:t>
      </w:r>
      <w:r>
        <w:rPr>
          <w:color w:val="000000"/>
        </w:rPr>
        <w:t>’espèce</w:t>
      </w:r>
      <w:r w:rsidRPr="00731BE3">
        <w:rPr>
          <w:color w:val="000000"/>
        </w:rPr>
        <w:t>, le Comité conclut que les faits qui lui ont été présentés font apparaître une violation des droits que l</w:t>
      </w:r>
      <w:r>
        <w:rPr>
          <w:color w:val="000000"/>
        </w:rPr>
        <w:t xml:space="preserve">es </w:t>
      </w:r>
      <w:r w:rsidRPr="00731BE3">
        <w:rPr>
          <w:color w:val="000000"/>
        </w:rPr>
        <w:t>auteur</w:t>
      </w:r>
      <w:r>
        <w:rPr>
          <w:color w:val="000000"/>
        </w:rPr>
        <w:t>s</w:t>
      </w:r>
      <w:r w:rsidRPr="00731BE3">
        <w:rPr>
          <w:color w:val="000000"/>
        </w:rPr>
        <w:t xml:space="preserve"> tien</w:t>
      </w:r>
      <w:r>
        <w:rPr>
          <w:color w:val="000000"/>
        </w:rPr>
        <w:t>nent</w:t>
      </w:r>
      <w:r w:rsidRPr="00731BE3">
        <w:rPr>
          <w:color w:val="000000"/>
        </w:rPr>
        <w:t xml:space="preserve"> de l’article</w:t>
      </w:r>
      <w:r w:rsidR="00567613">
        <w:rPr>
          <w:color w:val="000000"/>
        </w:rPr>
        <w:t> </w:t>
      </w:r>
      <w:r w:rsidRPr="00731BE3">
        <w:rPr>
          <w:color w:val="000000"/>
        </w:rPr>
        <w:t>9</w:t>
      </w:r>
      <w:r>
        <w:rPr>
          <w:color w:val="000000"/>
        </w:rPr>
        <w:t xml:space="preserve"> (par. 3)</w:t>
      </w:r>
      <w:r w:rsidRPr="00731BE3">
        <w:rPr>
          <w:color w:val="000000"/>
        </w:rPr>
        <w:t xml:space="preserve"> du Pacte.</w:t>
      </w:r>
    </w:p>
    <w:p w14:paraId="45D7F9AB" w14:textId="3F38BF2F" w:rsidR="00A21C23" w:rsidRDefault="00A21C23" w:rsidP="00A21C23">
      <w:pPr>
        <w:pStyle w:val="SingleTxtG"/>
        <w:rPr>
          <w:color w:val="000000"/>
        </w:rPr>
      </w:pPr>
      <w:r>
        <w:rPr>
          <w:color w:val="000000"/>
        </w:rPr>
        <w:t>7.5</w:t>
      </w:r>
      <w:r>
        <w:rPr>
          <w:color w:val="000000"/>
        </w:rPr>
        <w:tab/>
        <w:t>Le Comité note également le grief de violation de l’article</w:t>
      </w:r>
      <w:r w:rsidR="00567613">
        <w:rPr>
          <w:color w:val="000000"/>
        </w:rPr>
        <w:t> </w:t>
      </w:r>
      <w:r>
        <w:rPr>
          <w:color w:val="000000"/>
        </w:rPr>
        <w:t>9 (par. 4) du Pacte, selon lequel les auteurs n’ont pas eu accès à un recours pour contester la légalité de leur détention. Il constate que les auteurs ont souligné le caractère irrégulier et illégal de leur détention auprès de la Haute Cour militaire, mais que celle-ci,</w:t>
      </w:r>
      <w:r w:rsidRPr="00E91712">
        <w:rPr>
          <w:color w:val="000000"/>
        </w:rPr>
        <w:t xml:space="preserve"> </w:t>
      </w:r>
      <w:r>
        <w:rPr>
          <w:color w:val="000000"/>
        </w:rPr>
        <w:t>dans sa décision du 1</w:t>
      </w:r>
      <w:r w:rsidRPr="0056304D">
        <w:rPr>
          <w:color w:val="000000"/>
          <w:vertAlign w:val="superscript"/>
        </w:rPr>
        <w:t>er</w:t>
      </w:r>
      <w:r w:rsidR="00567613">
        <w:rPr>
          <w:color w:val="000000"/>
        </w:rPr>
        <w:t> </w:t>
      </w:r>
      <w:r>
        <w:rPr>
          <w:color w:val="000000"/>
        </w:rPr>
        <w:t>décembre 2006, s’est déclarée incompétente à statuer sur la légalité des douze premiers mois de leur détention en raison de la législation interne de l’État partie sur ce point.</w:t>
      </w:r>
      <w:r w:rsidRPr="002728EB">
        <w:rPr>
          <w:lang w:val="fr-FR"/>
        </w:rPr>
        <w:t xml:space="preserve"> Le Comité constate en outre que d’autres requêtes de mise en liberté </w:t>
      </w:r>
      <w:r>
        <w:rPr>
          <w:lang w:val="fr-FR"/>
        </w:rPr>
        <w:t>adressées au Premier Président de la Haute Cour militaire et au Président de la République, dont des copies ont été envoyées</w:t>
      </w:r>
      <w:r w:rsidRPr="002728EB">
        <w:rPr>
          <w:lang w:val="fr-FR"/>
        </w:rPr>
        <w:t xml:space="preserve"> </w:t>
      </w:r>
      <w:r>
        <w:rPr>
          <w:lang w:val="fr-FR"/>
        </w:rPr>
        <w:t xml:space="preserve">au </w:t>
      </w:r>
      <w:r>
        <w:rPr>
          <w:color w:val="000000"/>
          <w:lang w:val="fr-FR"/>
        </w:rPr>
        <w:t>Ministre de la défense nationale, au Ministre de la justice et au Ministre des droits humains,</w:t>
      </w:r>
      <w:r w:rsidRPr="002728EB">
        <w:rPr>
          <w:lang w:val="fr-FR"/>
        </w:rPr>
        <w:t xml:space="preserve"> sont restées sans réponse. </w:t>
      </w:r>
      <w:r w:rsidRPr="002728EB">
        <w:rPr>
          <w:color w:val="000000"/>
        </w:rPr>
        <w:t>En l’absence de toute information de l’État partie réfutant ces allégations</w:t>
      </w:r>
      <w:r>
        <w:rPr>
          <w:color w:val="000000"/>
        </w:rPr>
        <w:t xml:space="preserve"> ou de tout autre renseignement pertinent au dossier</w:t>
      </w:r>
      <w:r w:rsidRPr="002728EB">
        <w:rPr>
          <w:color w:val="000000"/>
        </w:rPr>
        <w:t xml:space="preserve">, le Comité conclut en l’espèce à une violation </w:t>
      </w:r>
      <w:r>
        <w:rPr>
          <w:color w:val="000000"/>
        </w:rPr>
        <w:t>de l’article</w:t>
      </w:r>
      <w:r w:rsidR="00567613">
        <w:rPr>
          <w:color w:val="000000"/>
        </w:rPr>
        <w:t> </w:t>
      </w:r>
      <w:r>
        <w:rPr>
          <w:color w:val="000000"/>
        </w:rPr>
        <w:t>9 (par. 4)</w:t>
      </w:r>
      <w:r w:rsidRPr="002728EB">
        <w:rPr>
          <w:color w:val="000000"/>
        </w:rPr>
        <w:t xml:space="preserve"> du Pacte.</w:t>
      </w:r>
    </w:p>
    <w:p w14:paraId="0991E8BF" w14:textId="7F0B5433" w:rsidR="00A21C23" w:rsidRPr="00953C41" w:rsidRDefault="00A21C23" w:rsidP="00A21C23">
      <w:pPr>
        <w:pStyle w:val="SingleTxtG"/>
        <w:rPr>
          <w:color w:val="000000"/>
        </w:rPr>
      </w:pPr>
      <w:r>
        <w:rPr>
          <w:lang w:val="fr-FR"/>
        </w:rPr>
        <w:t>8</w:t>
      </w:r>
      <w:r w:rsidRPr="002728EB">
        <w:rPr>
          <w:lang w:val="fr-FR"/>
        </w:rPr>
        <w:t>.</w:t>
      </w:r>
      <w:r w:rsidRPr="002728EB">
        <w:rPr>
          <w:lang w:val="fr-FR"/>
        </w:rPr>
        <w:tab/>
      </w:r>
      <w:r w:rsidRPr="002728EB">
        <w:rPr>
          <w:color w:val="000000"/>
        </w:rPr>
        <w:t>Le Comité, agissant en vertu de l’article 5</w:t>
      </w:r>
      <w:r>
        <w:rPr>
          <w:color w:val="000000"/>
        </w:rPr>
        <w:t xml:space="preserve"> (par. 4)</w:t>
      </w:r>
      <w:r w:rsidRPr="002728EB">
        <w:rPr>
          <w:color w:val="000000"/>
        </w:rPr>
        <w:t xml:space="preserve"> du Protocole facultatif, constate que </w:t>
      </w:r>
      <w:r w:rsidRPr="00953C41">
        <w:rPr>
          <w:color w:val="000000"/>
        </w:rPr>
        <w:t xml:space="preserve">les faits dont il est saisi font apparaître une violation </w:t>
      </w:r>
      <w:r>
        <w:rPr>
          <w:color w:val="000000"/>
        </w:rPr>
        <w:t>par l’État partie</w:t>
      </w:r>
      <w:r w:rsidRPr="008D3017">
        <w:rPr>
          <w:color w:val="000000"/>
        </w:rPr>
        <w:t xml:space="preserve"> de l’article</w:t>
      </w:r>
      <w:r w:rsidR="00567613">
        <w:rPr>
          <w:color w:val="000000"/>
        </w:rPr>
        <w:t> </w:t>
      </w:r>
      <w:r>
        <w:rPr>
          <w:color w:val="000000"/>
        </w:rPr>
        <w:t>9 (par 1, 3 et 4) du Pacte.</w:t>
      </w:r>
    </w:p>
    <w:p w14:paraId="3D9A8FC6" w14:textId="48799BD2" w:rsidR="00A21C23" w:rsidRPr="00CE1D1F" w:rsidRDefault="00A21C23" w:rsidP="00A21C23">
      <w:pPr>
        <w:pStyle w:val="SingleTxtG"/>
        <w:rPr>
          <w:lang w:val="fr-FR"/>
        </w:rPr>
      </w:pPr>
      <w:r w:rsidRPr="007603E5">
        <w:rPr>
          <w:lang w:val="fr-FR"/>
        </w:rPr>
        <w:t>9.</w:t>
      </w:r>
      <w:r w:rsidRPr="007603E5">
        <w:rPr>
          <w:lang w:val="fr-FR"/>
        </w:rPr>
        <w:tab/>
      </w:r>
      <w:r>
        <w:rPr>
          <w:lang w:val="fr-FR"/>
        </w:rPr>
        <w:t>Conformément à l’article 2 (par. 3 a))</w:t>
      </w:r>
      <w:r w:rsidRPr="007603E5">
        <w:rPr>
          <w:lang w:val="fr-FR"/>
        </w:rPr>
        <w:t xml:space="preserve"> du Pacte, l’État partie est tenu d’assurer aux auteurs un recours utile. </w:t>
      </w:r>
      <w:r>
        <w:rPr>
          <w:lang w:val="fr-FR"/>
        </w:rPr>
        <w:t>Il a l’obligation d’accorder</w:t>
      </w:r>
      <w:r w:rsidRPr="00CE1D1F">
        <w:rPr>
          <w:lang w:val="fr-FR"/>
        </w:rPr>
        <w:t xml:space="preserve"> </w:t>
      </w:r>
      <w:r>
        <w:rPr>
          <w:lang w:val="fr-FR"/>
        </w:rPr>
        <w:t xml:space="preserve">une </w:t>
      </w:r>
      <w:r w:rsidRPr="00CE1D1F">
        <w:rPr>
          <w:lang w:val="fr-FR"/>
        </w:rPr>
        <w:t xml:space="preserve">réparation </w:t>
      </w:r>
      <w:r>
        <w:rPr>
          <w:lang w:val="fr-FR"/>
        </w:rPr>
        <w:t xml:space="preserve">intégrale </w:t>
      </w:r>
      <w:r w:rsidRPr="00CE1D1F">
        <w:rPr>
          <w:lang w:val="fr-FR"/>
        </w:rPr>
        <w:t xml:space="preserve">aux </w:t>
      </w:r>
      <w:r>
        <w:rPr>
          <w:lang w:val="fr-FR"/>
        </w:rPr>
        <w:t>individus</w:t>
      </w:r>
      <w:r w:rsidRPr="00CE1D1F">
        <w:rPr>
          <w:lang w:val="fr-FR"/>
        </w:rPr>
        <w:t xml:space="preserve"> dont les droits </w:t>
      </w:r>
      <w:r>
        <w:rPr>
          <w:lang w:val="fr-FR"/>
        </w:rPr>
        <w:t>garantis</w:t>
      </w:r>
      <w:r w:rsidRPr="00CE1D1F">
        <w:rPr>
          <w:lang w:val="fr-FR"/>
        </w:rPr>
        <w:t xml:space="preserve"> par le Pacte ont été violés. En </w:t>
      </w:r>
      <w:r>
        <w:rPr>
          <w:lang w:val="fr-FR"/>
        </w:rPr>
        <w:t>conséquence</w:t>
      </w:r>
      <w:r w:rsidRPr="00CE1D1F">
        <w:rPr>
          <w:lang w:val="fr-FR"/>
        </w:rPr>
        <w:t>, l’État partie est tenu, entre autres, de prendre des mesures appropriées pour : a) contrôler la légalité de la détention de</w:t>
      </w:r>
      <w:r>
        <w:rPr>
          <w:lang w:val="fr-FR"/>
        </w:rPr>
        <w:t xml:space="preserve"> M.</w:t>
      </w:r>
      <w:r w:rsidR="00567613">
        <w:rPr>
          <w:lang w:val="fr-FR"/>
        </w:rPr>
        <w:t> </w:t>
      </w:r>
      <w:r>
        <w:rPr>
          <w:lang w:val="fr-FR"/>
        </w:rPr>
        <w:t>Ngabu et de M.</w:t>
      </w:r>
      <w:r w:rsidR="00567613">
        <w:rPr>
          <w:lang w:val="fr-FR"/>
        </w:rPr>
        <w:t> </w:t>
      </w:r>
      <w:r>
        <w:rPr>
          <w:lang w:val="fr-FR"/>
        </w:rPr>
        <w:t>Iribi</w:t>
      </w:r>
      <w:r w:rsidRPr="00CE1D1F">
        <w:rPr>
          <w:lang w:val="fr-FR"/>
        </w:rPr>
        <w:t xml:space="preserve"> au regard des garanties au titre du Pacte</w:t>
      </w:r>
      <w:r>
        <w:rPr>
          <w:lang w:val="fr-FR"/>
        </w:rPr>
        <w:t>,</w:t>
      </w:r>
      <w:r w:rsidRPr="00CE1D1F">
        <w:rPr>
          <w:lang w:val="fr-FR"/>
        </w:rPr>
        <w:t xml:space="preserve"> et procéder à l</w:t>
      </w:r>
      <w:r>
        <w:rPr>
          <w:lang w:val="fr-FR"/>
        </w:rPr>
        <w:t>eur</w:t>
      </w:r>
      <w:r w:rsidRPr="00CE1D1F">
        <w:rPr>
          <w:lang w:val="fr-FR"/>
        </w:rPr>
        <w:t xml:space="preserve"> libération </w:t>
      </w:r>
      <w:r w:rsidRPr="00CE1D1F">
        <w:rPr>
          <w:lang w:val="fr-FR"/>
        </w:rPr>
        <w:lastRenderedPageBreak/>
        <w:t xml:space="preserve">immédiate </w:t>
      </w:r>
      <w:r>
        <w:rPr>
          <w:lang w:val="fr-FR"/>
        </w:rPr>
        <w:t>ou à l’application d’autres mesures moins attentatoires à leur droit à la liberté</w:t>
      </w:r>
      <w:r w:rsidRPr="00CE1D1F">
        <w:rPr>
          <w:lang w:val="fr-FR"/>
        </w:rPr>
        <w:t xml:space="preserve"> le cas échéant</w:t>
      </w:r>
      <w:r>
        <w:rPr>
          <w:lang w:val="fr-FR"/>
        </w:rPr>
        <w:t> </w:t>
      </w:r>
      <w:r w:rsidRPr="00CE1D1F">
        <w:rPr>
          <w:lang w:val="fr-FR"/>
        </w:rPr>
        <w:t xml:space="preserve">; </w:t>
      </w:r>
      <w:r>
        <w:rPr>
          <w:lang w:val="fr-FR"/>
        </w:rPr>
        <w:t xml:space="preserve">et </w:t>
      </w:r>
      <w:r w:rsidRPr="00CE1D1F">
        <w:rPr>
          <w:lang w:val="fr-FR"/>
        </w:rPr>
        <w:t xml:space="preserve">b) accorder aux auteurs une indemnisation adéquate. L’État partie </w:t>
      </w:r>
      <w:r>
        <w:rPr>
          <w:lang w:val="fr-FR"/>
        </w:rPr>
        <w:t>est également tenu de veiller à ce</w:t>
      </w:r>
      <w:r w:rsidRPr="00CE1D1F">
        <w:rPr>
          <w:lang w:val="fr-FR"/>
        </w:rPr>
        <w:t xml:space="preserve"> que des violations analogues ne se reproduisent pas.</w:t>
      </w:r>
    </w:p>
    <w:p w14:paraId="6D8A7518" w14:textId="77777777" w:rsidR="00A21C23" w:rsidRDefault="00A21C23" w:rsidP="00A21C23">
      <w:pPr>
        <w:pStyle w:val="SingleTxtG"/>
        <w:spacing w:before="120"/>
        <w:rPr>
          <w:color w:val="000000"/>
          <w:lang w:val="fr-FR"/>
        </w:rPr>
      </w:pPr>
      <w:r w:rsidRPr="00CE1D1F">
        <w:rPr>
          <w:lang w:val="fr-FR"/>
        </w:rPr>
        <w:t>10.</w:t>
      </w:r>
      <w:r w:rsidRPr="00CE1D1F">
        <w:rPr>
          <w:lang w:val="fr-FR"/>
        </w:rPr>
        <w:tab/>
        <w:t>Étant donné qu’en adhérant au Protocole facultatif, l’État</w:t>
      </w:r>
      <w:r w:rsidRPr="007603E5">
        <w:rPr>
          <w:color w:val="000000"/>
          <w:lang w:val="fr-FR"/>
        </w:rPr>
        <w:t xml:space="preserve">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lorsqu’une violation a été établie, le Comité souhaite recevoir de l’État partie, dans un délai de cent quatre-vingts jours, des renseignements sur les mesures prises pour donner effet aux présentes constatations. L’État partie est</w:t>
      </w:r>
      <w:r>
        <w:rPr>
          <w:color w:val="000000"/>
          <w:lang w:val="fr-FR"/>
        </w:rPr>
        <w:t xml:space="preserve"> invité</w:t>
      </w:r>
      <w:r w:rsidRPr="007603E5">
        <w:rPr>
          <w:color w:val="000000"/>
          <w:lang w:val="fr-FR"/>
        </w:rPr>
        <w:t xml:space="preserve"> en outre à rendre celles-ci publiques</w:t>
      </w:r>
      <w:r>
        <w:rPr>
          <w:color w:val="000000"/>
          <w:lang w:val="fr-FR"/>
        </w:rPr>
        <w:t xml:space="preserve"> et à les diffuser largement</w:t>
      </w:r>
      <w:r w:rsidRPr="007603E5">
        <w:rPr>
          <w:color w:val="000000"/>
          <w:lang w:val="fr-FR"/>
        </w:rPr>
        <w:t xml:space="preserve"> dans ses langues officielles</w:t>
      </w:r>
      <w:r>
        <w:rPr>
          <w:color w:val="000000"/>
          <w:lang w:val="fr-FR"/>
        </w:rPr>
        <w:t>.</w:t>
      </w:r>
    </w:p>
    <w:p w14:paraId="6548021D" w14:textId="440C913B" w:rsidR="00E85C42" w:rsidRPr="00A21C23" w:rsidRDefault="00A21C23" w:rsidP="00A21C23">
      <w:pPr>
        <w:pStyle w:val="SingleTxtG"/>
        <w:spacing w:before="240" w:after="0"/>
        <w:jc w:val="center"/>
        <w:rPr>
          <w:color w:val="000000"/>
          <w:u w:val="single"/>
          <w:lang w:val="fr-FR"/>
        </w:rPr>
      </w:pPr>
      <w:r>
        <w:rPr>
          <w:color w:val="000000"/>
          <w:u w:val="single"/>
          <w:lang w:val="fr-FR"/>
        </w:rPr>
        <w:tab/>
      </w:r>
      <w:r>
        <w:rPr>
          <w:color w:val="000000"/>
          <w:u w:val="single"/>
          <w:lang w:val="fr-FR"/>
        </w:rPr>
        <w:tab/>
      </w:r>
      <w:r>
        <w:rPr>
          <w:color w:val="000000"/>
          <w:u w:val="single"/>
          <w:lang w:val="fr-FR"/>
        </w:rPr>
        <w:tab/>
      </w:r>
      <w:r>
        <w:rPr>
          <w:color w:val="000000"/>
          <w:u w:val="single"/>
          <w:lang w:val="fr-FR"/>
        </w:rPr>
        <w:tab/>
      </w:r>
    </w:p>
    <w:sectPr w:rsidR="00E85C42" w:rsidRPr="00A21C23" w:rsidSect="00A21C2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93932" w14:textId="77777777" w:rsidR="00567613" w:rsidRDefault="00567613" w:rsidP="00F95C08">
      <w:pPr>
        <w:spacing w:line="240" w:lineRule="auto"/>
      </w:pPr>
    </w:p>
  </w:endnote>
  <w:endnote w:type="continuationSeparator" w:id="0">
    <w:p w14:paraId="4A97F13D" w14:textId="77777777" w:rsidR="00567613" w:rsidRPr="00AC3823" w:rsidRDefault="00567613" w:rsidP="00AC3823">
      <w:pPr>
        <w:pStyle w:val="Pieddepage"/>
      </w:pPr>
    </w:p>
  </w:endnote>
  <w:endnote w:type="continuationNotice" w:id="1">
    <w:p w14:paraId="41734222" w14:textId="77777777" w:rsidR="00567613" w:rsidRDefault="005676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0413E" w14:textId="777C4B66" w:rsidR="00567613" w:rsidRPr="00A21C23" w:rsidRDefault="00567613" w:rsidP="00A21C23">
    <w:pPr>
      <w:pStyle w:val="Pieddepage"/>
      <w:tabs>
        <w:tab w:val="right" w:pos="9638"/>
      </w:tabs>
    </w:pPr>
    <w:r w:rsidRPr="00A21C23">
      <w:rPr>
        <w:b/>
        <w:sz w:val="18"/>
      </w:rPr>
      <w:fldChar w:fldCharType="begin"/>
    </w:r>
    <w:r w:rsidRPr="00A21C23">
      <w:rPr>
        <w:b/>
        <w:sz w:val="18"/>
      </w:rPr>
      <w:instrText xml:space="preserve"> PAGE  \* MERGEFORMAT </w:instrText>
    </w:r>
    <w:r w:rsidRPr="00A21C23">
      <w:rPr>
        <w:b/>
        <w:sz w:val="18"/>
      </w:rPr>
      <w:fldChar w:fldCharType="separate"/>
    </w:r>
    <w:r w:rsidR="0016015F">
      <w:rPr>
        <w:b/>
        <w:noProof/>
        <w:sz w:val="18"/>
      </w:rPr>
      <w:t>6</w:t>
    </w:r>
    <w:r w:rsidRPr="00A21C2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D277" w14:textId="2F124A58" w:rsidR="00567613" w:rsidRPr="00A21C23" w:rsidRDefault="00567613" w:rsidP="00A21C23">
    <w:pPr>
      <w:pStyle w:val="Pieddepage"/>
      <w:tabs>
        <w:tab w:val="right" w:pos="9638"/>
      </w:tabs>
      <w:rPr>
        <w:b/>
        <w:sz w:val="18"/>
      </w:rPr>
    </w:pPr>
    <w:r>
      <w:tab/>
    </w:r>
    <w:r w:rsidRPr="00A21C23">
      <w:rPr>
        <w:b/>
        <w:sz w:val="18"/>
      </w:rPr>
      <w:fldChar w:fldCharType="begin"/>
    </w:r>
    <w:r w:rsidRPr="00A21C23">
      <w:rPr>
        <w:b/>
        <w:sz w:val="18"/>
      </w:rPr>
      <w:instrText xml:space="preserve"> PAGE  \* MERGEFORMAT </w:instrText>
    </w:r>
    <w:r w:rsidRPr="00A21C23">
      <w:rPr>
        <w:b/>
        <w:sz w:val="18"/>
      </w:rPr>
      <w:fldChar w:fldCharType="separate"/>
    </w:r>
    <w:r w:rsidR="0016015F">
      <w:rPr>
        <w:b/>
        <w:noProof/>
        <w:sz w:val="18"/>
      </w:rPr>
      <w:t>7</w:t>
    </w:r>
    <w:r w:rsidRPr="00A21C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A73A" w14:textId="05557FA6" w:rsidR="00567613" w:rsidRPr="00E718C7" w:rsidRDefault="00E718C7" w:rsidP="00E718C7">
    <w:pPr>
      <w:pStyle w:val="Pieddepage"/>
      <w:tabs>
        <w:tab w:val="left" w:pos="6520"/>
        <w:tab w:val="right" w:pos="9638"/>
      </w:tabs>
      <w:spacing w:before="120"/>
      <w:rPr>
        <w:sz w:val="20"/>
      </w:rPr>
    </w:pPr>
    <w:r>
      <w:rPr>
        <w:sz w:val="20"/>
      </w:rPr>
      <w:t>GE.21-05500  (F)</w:t>
    </w:r>
    <w:bookmarkStart w:id="0" w:name="_GoBack"/>
    <w:bookmarkEnd w:id="0"/>
    <w:r>
      <w:rPr>
        <w:sz w:val="20"/>
      </w:rPr>
      <w:tab/>
    </w:r>
    <w:r w:rsidRPr="00E718C7">
      <w:rPr>
        <w:noProof/>
        <w:sz w:val="20"/>
        <w:lang w:eastAsia="fr-CH"/>
      </w:rPr>
      <w:drawing>
        <wp:inline distT="0" distB="0" distL="0" distR="0" wp14:anchorId="5294E9A3" wp14:editId="35D3FD70">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86E76EB" wp14:editId="755F92C9">
          <wp:extent cx="638175" cy="6381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0E452" w14:textId="77777777" w:rsidR="00567613" w:rsidRPr="00AC3823" w:rsidRDefault="00567613" w:rsidP="00AC3823">
      <w:pPr>
        <w:pStyle w:val="Pieddepage"/>
        <w:tabs>
          <w:tab w:val="right" w:pos="2155"/>
        </w:tabs>
        <w:spacing w:after="80" w:line="240" w:lineRule="atLeast"/>
        <w:ind w:left="680"/>
        <w:rPr>
          <w:u w:val="single"/>
        </w:rPr>
      </w:pPr>
      <w:r>
        <w:rPr>
          <w:u w:val="single"/>
        </w:rPr>
        <w:tab/>
      </w:r>
    </w:p>
  </w:footnote>
  <w:footnote w:type="continuationSeparator" w:id="0">
    <w:p w14:paraId="663FA728" w14:textId="77777777" w:rsidR="00567613" w:rsidRPr="00AC3823" w:rsidRDefault="00567613" w:rsidP="00AC3823">
      <w:pPr>
        <w:pStyle w:val="Pieddepage"/>
        <w:tabs>
          <w:tab w:val="right" w:pos="2155"/>
        </w:tabs>
        <w:spacing w:after="80" w:line="240" w:lineRule="atLeast"/>
        <w:ind w:left="680"/>
        <w:rPr>
          <w:u w:val="single"/>
        </w:rPr>
      </w:pPr>
      <w:r>
        <w:rPr>
          <w:u w:val="single"/>
        </w:rPr>
        <w:tab/>
      </w:r>
    </w:p>
  </w:footnote>
  <w:footnote w:type="continuationNotice" w:id="1">
    <w:p w14:paraId="20171958" w14:textId="77777777" w:rsidR="00567613" w:rsidRPr="00AC3823" w:rsidRDefault="00567613">
      <w:pPr>
        <w:spacing w:line="240" w:lineRule="auto"/>
        <w:rPr>
          <w:sz w:val="2"/>
          <w:szCs w:val="2"/>
        </w:rPr>
      </w:pPr>
    </w:p>
  </w:footnote>
  <w:footnote w:id="2">
    <w:p w14:paraId="6B378BFB" w14:textId="77777777" w:rsidR="00567613" w:rsidRPr="00417498" w:rsidRDefault="00567613" w:rsidP="00A21C23">
      <w:pPr>
        <w:pStyle w:val="Notedebasdepage"/>
        <w:rPr>
          <w:lang w:val="fr-FR"/>
        </w:rPr>
      </w:pPr>
      <w:r>
        <w:rPr>
          <w:rStyle w:val="Appelnotedebasdep"/>
        </w:rPr>
        <w:tab/>
      </w:r>
      <w:r w:rsidRPr="00A21C23">
        <w:rPr>
          <w:rStyle w:val="Appelnotedebasdep"/>
          <w:sz w:val="20"/>
          <w:vertAlign w:val="baseline"/>
        </w:rPr>
        <w:t>*</w:t>
      </w:r>
      <w:r>
        <w:rPr>
          <w:rStyle w:val="Appelnotedebasdep"/>
          <w:sz w:val="20"/>
        </w:rPr>
        <w:tab/>
      </w:r>
      <w:r w:rsidRPr="00276E42">
        <w:t>Adoptées par le Comité à sa 130</w:t>
      </w:r>
      <w:r w:rsidRPr="00417498">
        <w:rPr>
          <w:vertAlign w:val="superscript"/>
        </w:rPr>
        <w:t>e</w:t>
      </w:r>
      <w:r w:rsidRPr="00276E42">
        <w:t xml:space="preserve"> session (12 octobre-6 novembre 2020).</w:t>
      </w:r>
    </w:p>
  </w:footnote>
  <w:footnote w:id="3">
    <w:p w14:paraId="4D020575" w14:textId="16A69BCF" w:rsidR="00567613" w:rsidRPr="00417498" w:rsidRDefault="00567613" w:rsidP="00A21C23">
      <w:pPr>
        <w:pStyle w:val="Notedebasdepage"/>
        <w:rPr>
          <w:lang w:val="fr-FR"/>
        </w:rPr>
      </w:pPr>
      <w:r w:rsidRPr="00A21C23">
        <w:rPr>
          <w:rStyle w:val="Appelnotedebasdep"/>
          <w:vertAlign w:val="baseline"/>
        </w:rPr>
        <w:tab/>
      </w:r>
      <w:r w:rsidRPr="00A21C23">
        <w:rPr>
          <w:rStyle w:val="Appelnotedebasdep"/>
          <w:sz w:val="20"/>
          <w:vertAlign w:val="baseline"/>
        </w:rPr>
        <w:t>**</w:t>
      </w:r>
      <w:r>
        <w:rPr>
          <w:rStyle w:val="Appelnotedebasdep"/>
          <w:sz w:val="20"/>
        </w:rPr>
        <w:tab/>
      </w:r>
      <w:r w:rsidRPr="00276E42">
        <w:t>Les membres du Comité dont le nom suit ont participé à l’examen de la communication : Yadh</w:t>
      </w:r>
      <w:r w:rsidR="00BE5758">
        <w:t> </w:t>
      </w:r>
      <w:r w:rsidRPr="00276E42">
        <w:t>Ben Achour, Arif</w:t>
      </w:r>
      <w:r w:rsidR="00BE5758">
        <w:t> </w:t>
      </w:r>
      <w:r w:rsidRPr="00276E42">
        <w:t>Bulkan, Ahmed</w:t>
      </w:r>
      <w:r w:rsidR="00BE5758">
        <w:t> </w:t>
      </w:r>
      <w:r w:rsidRPr="00276E42">
        <w:t>Amin Fathalla, Furuya</w:t>
      </w:r>
      <w:r w:rsidR="00BE5758">
        <w:t> </w:t>
      </w:r>
      <w:r w:rsidRPr="00276E42">
        <w:t>Shuichi, Christof</w:t>
      </w:r>
      <w:r w:rsidR="00BE5758">
        <w:t> </w:t>
      </w:r>
      <w:r w:rsidRPr="00276E42">
        <w:t>Heyns, Bamariam</w:t>
      </w:r>
      <w:r w:rsidR="00BE5758">
        <w:t> </w:t>
      </w:r>
      <w:r w:rsidRPr="00276E42">
        <w:t>Koita, David</w:t>
      </w:r>
      <w:r w:rsidR="00BE5758">
        <w:t> </w:t>
      </w:r>
      <w:r>
        <w:t>H. </w:t>
      </w:r>
      <w:r w:rsidRPr="00276E42">
        <w:t>Moore, Hernán</w:t>
      </w:r>
      <w:r w:rsidR="00BE5758">
        <w:t> </w:t>
      </w:r>
      <w:r w:rsidRPr="00276E42">
        <w:t>Quezada</w:t>
      </w:r>
      <w:r>
        <w:t xml:space="preserve"> Cabrera</w:t>
      </w:r>
      <w:r w:rsidRPr="00276E42">
        <w:t>, Vasilka</w:t>
      </w:r>
      <w:r w:rsidR="00BE5758">
        <w:t> </w:t>
      </w:r>
      <w:r w:rsidRPr="00276E42">
        <w:t>Sancin, José</w:t>
      </w:r>
      <w:r w:rsidR="00BE5758">
        <w:t> </w:t>
      </w:r>
      <w:r w:rsidRPr="00276E42">
        <w:t>Manuel Santos Pais, Yuval</w:t>
      </w:r>
      <w:r w:rsidR="00BE5758">
        <w:t> </w:t>
      </w:r>
      <w:r w:rsidRPr="00276E42">
        <w:t>Shany, Hélène</w:t>
      </w:r>
      <w:r w:rsidR="00BE5758">
        <w:t> </w:t>
      </w:r>
      <w:r w:rsidRPr="00276E42">
        <w:t>Tigroudja, Andreas</w:t>
      </w:r>
      <w:r w:rsidR="00BE5758">
        <w:t> </w:t>
      </w:r>
      <w:r w:rsidRPr="00276E42">
        <w:t>Zimmermann et Gentian Zyberi</w:t>
      </w:r>
      <w:r>
        <w:t>.</w:t>
      </w:r>
    </w:p>
  </w:footnote>
  <w:footnote w:id="4">
    <w:p w14:paraId="61983B49" w14:textId="10B40056" w:rsidR="00567613" w:rsidRPr="00F62815" w:rsidRDefault="00567613" w:rsidP="00A21C23">
      <w:pPr>
        <w:pStyle w:val="Notedebasdepage"/>
      </w:pPr>
      <w:r>
        <w:tab/>
      </w:r>
      <w:r w:rsidRPr="00F62815">
        <w:rPr>
          <w:rStyle w:val="Appelnotedebasdep"/>
        </w:rPr>
        <w:footnoteRef/>
      </w:r>
      <w:r>
        <w:tab/>
      </w:r>
      <w:r w:rsidRPr="00F62815">
        <w:t>Une lettre du conseil des auteurs datée du 18</w:t>
      </w:r>
      <w:r w:rsidR="00BE5758">
        <w:t> </w:t>
      </w:r>
      <w:r w:rsidRPr="00F62815">
        <w:t>mai 2010 relève qu’ils étaient initialement poursuivis pour atteinte à la sûreté de l’État</w:t>
      </w:r>
      <w:r>
        <w:t>,</w:t>
      </w:r>
      <w:r w:rsidRPr="00F62815">
        <w:t xml:space="preserve"> </w:t>
      </w:r>
      <w:r>
        <w:t>avant de l’être</w:t>
      </w:r>
      <w:r w:rsidRPr="00F62815">
        <w:t xml:space="preserve"> pour l’assassinat de </w:t>
      </w:r>
      <w:r>
        <w:t xml:space="preserve">ces </w:t>
      </w:r>
      <w:r w:rsidRPr="00F62815">
        <w:t>neuf soldats.</w:t>
      </w:r>
    </w:p>
  </w:footnote>
  <w:footnote w:id="5">
    <w:p w14:paraId="28273AEF" w14:textId="22405CEE" w:rsidR="00567613" w:rsidRPr="00F62815" w:rsidRDefault="00567613" w:rsidP="00A21C23">
      <w:pPr>
        <w:pStyle w:val="Notedebasdepage"/>
      </w:pPr>
      <w:r>
        <w:tab/>
      </w:r>
      <w:r w:rsidRPr="00F62815">
        <w:rPr>
          <w:rStyle w:val="Appelnotedebasdep"/>
        </w:rPr>
        <w:footnoteRef/>
      </w:r>
      <w:r>
        <w:tab/>
      </w:r>
      <w:r w:rsidRPr="00F62815">
        <w:t>Dans sa décision du 1</w:t>
      </w:r>
      <w:r w:rsidRPr="00417498">
        <w:rPr>
          <w:vertAlign w:val="superscript"/>
        </w:rPr>
        <w:t>er</w:t>
      </w:r>
      <w:r w:rsidR="00BE5758">
        <w:t> </w:t>
      </w:r>
      <w:r w:rsidRPr="00F62815">
        <w:t xml:space="preserve">décembre 2006, la Haute Cour </w:t>
      </w:r>
      <w:r>
        <w:t>m</w:t>
      </w:r>
      <w:r w:rsidRPr="00F62815">
        <w:t>ilitaire note que « la détention subie par les inculpés depuis le 9</w:t>
      </w:r>
      <w:r w:rsidR="00BE5758">
        <w:t> </w:t>
      </w:r>
      <w:r w:rsidRPr="00F62815">
        <w:t>mars 2005 jusqu’au 9</w:t>
      </w:r>
      <w:r w:rsidR="00BE5758">
        <w:t> </w:t>
      </w:r>
      <w:r w:rsidRPr="00F62815">
        <w:t xml:space="preserve">mars 2006, rentre dans le cadre du pouvoir de prorogation de l’Auditeur </w:t>
      </w:r>
      <w:r>
        <w:t>m</w:t>
      </w:r>
      <w:r w:rsidRPr="00F62815">
        <w:t>ilitaire qu’accorde l’article</w:t>
      </w:r>
      <w:r w:rsidR="00BE5758">
        <w:t> </w:t>
      </w:r>
      <w:r w:rsidRPr="00F62815">
        <w:t>209 alinéa</w:t>
      </w:r>
      <w:r w:rsidR="00BE5758">
        <w:t> </w:t>
      </w:r>
      <w:r w:rsidRPr="00F62815">
        <w:t>1</w:t>
      </w:r>
      <w:r w:rsidRPr="00417498">
        <w:rPr>
          <w:vertAlign w:val="superscript"/>
        </w:rPr>
        <w:t>er</w:t>
      </w:r>
      <w:r w:rsidRPr="00F62815">
        <w:t xml:space="preserve"> en stipulant qu’il proroge la détention d’un mois et, ainsi de suite de mois en mois, lorsque les devoirs d’instruction dûment justifiés l’exigent. Qu’elle a été couverte par les </w:t>
      </w:r>
      <w:r>
        <w:t>o</w:t>
      </w:r>
      <w:r w:rsidRPr="00F62815">
        <w:t>rdonnances de prorogation de la détention et justifiée par les devoirs d’instruction à poser qui restent. La tranche de la détention provisoire comprise entre le 20</w:t>
      </w:r>
      <w:r w:rsidR="00BE5758">
        <w:t> </w:t>
      </w:r>
      <w:r w:rsidRPr="00F62815">
        <w:t xml:space="preserve">avril, date à laquelle la requête en prorogation du </w:t>
      </w:r>
      <w:r>
        <w:t>m</w:t>
      </w:r>
      <w:r w:rsidRPr="00F62815">
        <w:t xml:space="preserve">inistère </w:t>
      </w:r>
      <w:r>
        <w:t>p</w:t>
      </w:r>
      <w:r w:rsidRPr="00F62815">
        <w:t xml:space="preserve">ublic a été reçue au </w:t>
      </w:r>
      <w:r>
        <w:t>g</w:t>
      </w:r>
      <w:r w:rsidRPr="00F62815">
        <w:t xml:space="preserve">reffe de la Haute Cour </w:t>
      </w:r>
      <w:r>
        <w:t>m</w:t>
      </w:r>
      <w:r w:rsidRPr="00F62815">
        <w:t>ilitaire</w:t>
      </w:r>
      <w:r>
        <w:t>,</w:t>
      </w:r>
      <w:r w:rsidRPr="00F62815">
        <w:t xml:space="preserve"> jusqu’à ce jour n’est pas à mettre sous la responsabilité du </w:t>
      </w:r>
      <w:r>
        <w:t>m</w:t>
      </w:r>
      <w:r w:rsidRPr="00F62815">
        <w:t xml:space="preserve">inistère </w:t>
      </w:r>
      <w:r>
        <w:t>p</w:t>
      </w:r>
      <w:r w:rsidRPr="00F62815">
        <w:t xml:space="preserve">ublic, cela a été consécutif à l’irrégularité de la composition de la Haute Cour </w:t>
      </w:r>
      <w:r>
        <w:t>m</w:t>
      </w:r>
      <w:r w:rsidRPr="00F62815">
        <w:t xml:space="preserve">ilitaire qui attendait la décision de la </w:t>
      </w:r>
      <w:r>
        <w:t>h</w:t>
      </w:r>
      <w:r w:rsidRPr="00F62815">
        <w:t xml:space="preserve">iérarchie pour trouver une composition normale. </w:t>
      </w:r>
      <w:r>
        <w:t>[</w:t>
      </w:r>
      <w:r w:rsidRPr="00F62815">
        <w:t>…</w:t>
      </w:r>
      <w:r>
        <w:t>]</w:t>
      </w:r>
      <w:r w:rsidRPr="00F62815">
        <w:t xml:space="preserve"> Il s’en suit donc que l’illégalité de la détention provisoire invoquée par les inculpés n’est pas fondée. </w:t>
      </w:r>
      <w:r>
        <w:t>À</w:t>
      </w:r>
      <w:r w:rsidRPr="00F62815">
        <w:t xml:space="preserve"> ce sujet et pour quelques irrégularités que contiendrait cette détention antérieure à la saisine de la Haute Cour </w:t>
      </w:r>
      <w:r>
        <w:t>m</w:t>
      </w:r>
      <w:r w:rsidRPr="00F62815">
        <w:t>ilitaire, la Cour dit qu’il est de doctrine qu’il n’appartient pas au juge d’apprécier la légalité de la détention antérieure à son intervention, sa mission consiste exclusivement à permettre la continuité de la détention si cette mesure lui paraît justifiée, mais non de statuer sur la légalité du titre primitif, ni de couvrir les irrégularités de la détention déjà subie. Le seul contrôle de la détention organisé par l’article</w:t>
      </w:r>
      <w:r w:rsidR="00BE5758">
        <w:t> </w:t>
      </w:r>
      <w:r w:rsidRPr="00F62815">
        <w:t xml:space="preserve">209 du Code </w:t>
      </w:r>
      <w:r>
        <w:t>j</w:t>
      </w:r>
      <w:r w:rsidRPr="00F62815">
        <w:t xml:space="preserve">udiciaire </w:t>
      </w:r>
      <w:r>
        <w:t>m</w:t>
      </w:r>
      <w:r w:rsidRPr="00F62815">
        <w:t xml:space="preserve">ilitaire qui permet au juge militaire d’exercer sur le magistrat du </w:t>
      </w:r>
      <w:r>
        <w:t>p</w:t>
      </w:r>
      <w:r w:rsidRPr="00F62815">
        <w:t>arquet en matière de détention provisoire n’intervient que lorsque celle-ci dépasse le délai de 12</w:t>
      </w:r>
      <w:r w:rsidR="00BE5758">
        <w:t> </w:t>
      </w:r>
      <w:r w:rsidRPr="00F62815">
        <w:t>mois consécutifs et non pas avant. Un contrôle juridictionnel dans la période antérieure à 12</w:t>
      </w:r>
      <w:r w:rsidR="00BE5758">
        <w:t> </w:t>
      </w:r>
      <w:r w:rsidRPr="00F62815">
        <w:t xml:space="preserve">mois serait illégal au regard du Code </w:t>
      </w:r>
      <w:r>
        <w:t>j</w:t>
      </w:r>
      <w:r w:rsidRPr="00F62815">
        <w:t xml:space="preserve">udiciaire </w:t>
      </w:r>
      <w:r>
        <w:t>m</w:t>
      </w:r>
      <w:r w:rsidRPr="00F62815">
        <w:t xml:space="preserve">ilitaire qui laisse cette détention au seul contrôle de l’Auditeur </w:t>
      </w:r>
      <w:r>
        <w:t>m</w:t>
      </w:r>
      <w:r w:rsidRPr="00F62815">
        <w:t>ilitaire</w:t>
      </w:r>
      <w:r w:rsidR="00BE5758">
        <w:t>.</w:t>
      </w:r>
      <w:r w:rsidRPr="00F62815">
        <w:t> ».</w:t>
      </w:r>
    </w:p>
  </w:footnote>
  <w:footnote w:id="6">
    <w:p w14:paraId="040CAD62" w14:textId="77777777" w:rsidR="00567613" w:rsidRPr="00F62815" w:rsidRDefault="00567613" w:rsidP="00A21C23">
      <w:pPr>
        <w:pStyle w:val="Notedebasdepage"/>
      </w:pPr>
      <w:r>
        <w:tab/>
      </w:r>
      <w:r w:rsidRPr="00F62815">
        <w:rPr>
          <w:rStyle w:val="Appelnotedebasdep"/>
        </w:rPr>
        <w:footnoteRef/>
      </w:r>
      <w:r>
        <w:tab/>
      </w:r>
      <w:r w:rsidRPr="00F62815">
        <w:t xml:space="preserve">La décision de la Haute Cour </w:t>
      </w:r>
      <w:r>
        <w:t>m</w:t>
      </w:r>
      <w:r w:rsidRPr="00F62815">
        <w:t>ilitaire fait remarquer que les détenus avaient fait valoir que certains d’entre eux n’avaient pas été entendus avant d’être mis en détention. Le dossier ne précise pas si cette observation porte aussi sur les auteurs de la présente communication.</w:t>
      </w:r>
    </w:p>
  </w:footnote>
  <w:footnote w:id="7">
    <w:p w14:paraId="756431CF" w14:textId="77777777" w:rsidR="00567613" w:rsidRPr="00F62815" w:rsidRDefault="00567613" w:rsidP="00A21C23">
      <w:pPr>
        <w:pStyle w:val="Notedebasdepage"/>
      </w:pPr>
      <w:r>
        <w:tab/>
      </w:r>
      <w:r w:rsidRPr="00F62815">
        <w:rPr>
          <w:rStyle w:val="Appelnotedebasdep"/>
        </w:rPr>
        <w:footnoteRef/>
      </w:r>
      <w:r>
        <w:tab/>
      </w:r>
      <w:r w:rsidRPr="00F62815">
        <w:t>La Cour a rejeté la demande de mise en liberté provisoire des auteurs en considération du danger de fuite et de la gravité des faits mis à leur charge.</w:t>
      </w:r>
    </w:p>
  </w:footnote>
  <w:footnote w:id="8">
    <w:p w14:paraId="1FD7CEA8" w14:textId="3824156B" w:rsidR="00567613" w:rsidRPr="00F62815" w:rsidRDefault="00567613" w:rsidP="00A21C23">
      <w:pPr>
        <w:pStyle w:val="Notedebasdepage"/>
      </w:pPr>
      <w:r>
        <w:tab/>
      </w:r>
      <w:r w:rsidRPr="00F62815">
        <w:rPr>
          <w:rStyle w:val="Appelnotedebasdep"/>
        </w:rPr>
        <w:footnoteRef/>
      </w:r>
      <w:r>
        <w:tab/>
      </w:r>
      <w:r w:rsidRPr="00F62815">
        <w:t xml:space="preserve">À la suite de la deuxième requête de prorogation de l’Auditeur </w:t>
      </w:r>
      <w:r>
        <w:t>g</w:t>
      </w:r>
      <w:r w:rsidRPr="00F62815">
        <w:t>énéral, en date du 2</w:t>
      </w:r>
      <w:r w:rsidR="00BE5758">
        <w:t> </w:t>
      </w:r>
      <w:r w:rsidRPr="00F62815">
        <w:t xml:space="preserve">mars 2007, les auteurs ont de nouveau sollicité leur mise en liberté provisoire auprès de la Haute Cour </w:t>
      </w:r>
      <w:r>
        <w:t>m</w:t>
      </w:r>
      <w:r w:rsidRPr="00F62815">
        <w:t xml:space="preserve">ilitaire. Les auteurs font observer que la Haute Cour </w:t>
      </w:r>
      <w:r>
        <w:t>m</w:t>
      </w:r>
      <w:r w:rsidRPr="00F62815">
        <w:t>ilitaire n’a accordé la deuxième prorogation que le 10</w:t>
      </w:r>
      <w:r w:rsidR="00BE5758">
        <w:t> </w:t>
      </w:r>
      <w:r w:rsidRPr="00F62815">
        <w:t xml:space="preserve">avril 2007, sans pour autant statuer sur la période de détention </w:t>
      </w:r>
      <w:r>
        <w:t>comprise entre</w:t>
      </w:r>
      <w:r w:rsidRPr="00F62815">
        <w:t xml:space="preserve"> la fin de la première prorogation </w:t>
      </w:r>
      <w:r>
        <w:t>et</w:t>
      </w:r>
      <w:r w:rsidRPr="00F62815">
        <w:t xml:space="preserve"> cette deuxième décision.</w:t>
      </w:r>
      <w:r>
        <w:t xml:space="preserve"> </w:t>
      </w:r>
      <w:r w:rsidRPr="00F62815">
        <w:t xml:space="preserve">Les deux décisions de la Haute Cour </w:t>
      </w:r>
      <w:r>
        <w:t>m</w:t>
      </w:r>
      <w:r w:rsidRPr="00F62815">
        <w:t>ilitaire évoquent la nécessité de garantir les libertés individuelles, dont le droit de toute personne détenue de voir sa cause être entendue sans retard excessif et jugée dans un délai raisonnable, comme une raison qui devrait amener la juridiction compétente à réduire au strict nécessaire la durée des prorogations.</w:t>
      </w:r>
    </w:p>
  </w:footnote>
  <w:footnote w:id="9">
    <w:p w14:paraId="351FD1A2" w14:textId="77777777" w:rsidR="00567613" w:rsidRPr="00BE5758" w:rsidRDefault="00567613" w:rsidP="00A21C23">
      <w:pPr>
        <w:pStyle w:val="Notedebasdepage"/>
        <w:rPr>
          <w:b/>
          <w:bCs/>
          <w:lang w:val="fr-FR"/>
        </w:rPr>
      </w:pPr>
      <w:r>
        <w:rPr>
          <w:lang w:val="fr-FR"/>
        </w:rPr>
        <w:tab/>
      </w:r>
      <w:r w:rsidRPr="00FE2A22">
        <w:rPr>
          <w:rStyle w:val="Appelnotedebasdep"/>
          <w:szCs w:val="18"/>
        </w:rPr>
        <w:footnoteRef/>
      </w:r>
      <w:r>
        <w:rPr>
          <w:lang w:val="fr-FR"/>
        </w:rPr>
        <w:tab/>
      </w:r>
      <w:r w:rsidRPr="00417498">
        <w:rPr>
          <w:i/>
          <w:iCs/>
          <w:lang w:val="fr-FR"/>
        </w:rPr>
        <w:t>Ilombe et Shandwe c. République démocratique du Cong</w:t>
      </w:r>
      <w:r w:rsidRPr="00BE5758">
        <w:rPr>
          <w:b/>
          <w:bCs/>
          <w:i/>
          <w:iCs/>
          <w:lang w:val="fr-FR"/>
        </w:rPr>
        <w:t>o</w:t>
      </w:r>
      <w:r w:rsidRPr="00BE5758">
        <w:rPr>
          <w:b/>
          <w:bCs/>
          <w:lang w:val="fr-FR"/>
        </w:rPr>
        <w:t xml:space="preserve"> (</w:t>
      </w:r>
      <w:r w:rsidRPr="00BE5758">
        <w:rPr>
          <w:rStyle w:val="lev"/>
          <w:b w:val="0"/>
          <w:bCs w:val="0"/>
          <w:color w:val="000000"/>
          <w:szCs w:val="18"/>
          <w:shd w:val="clear" w:color="auto" w:fill="FFFFFF"/>
          <w:lang w:val="fr-FR"/>
        </w:rPr>
        <w:t>CCPR/C/86/D/1177/2003), par. 6.5.</w:t>
      </w:r>
    </w:p>
  </w:footnote>
  <w:footnote w:id="10">
    <w:p w14:paraId="20B9FC16" w14:textId="1F38E39D" w:rsidR="00567613" w:rsidRPr="001F6AA4" w:rsidRDefault="00567613" w:rsidP="00A21C23">
      <w:pPr>
        <w:pStyle w:val="Notedebasdepage"/>
      </w:pPr>
      <w:r>
        <w:tab/>
      </w:r>
      <w:r w:rsidRPr="001F6AA4">
        <w:rPr>
          <w:rStyle w:val="Appelnotedebasdep"/>
          <w:szCs w:val="18"/>
        </w:rPr>
        <w:footnoteRef/>
      </w:r>
      <w:r>
        <w:tab/>
        <w:t>Comité des droits de l’homme, o</w:t>
      </w:r>
      <w:r w:rsidRPr="001F6AA4">
        <w:rPr>
          <w:color w:val="000000"/>
          <w:lang w:val="fr-FR"/>
        </w:rPr>
        <w:t>bservation générale nº</w:t>
      </w:r>
      <w:r w:rsidR="00BE5758">
        <w:rPr>
          <w:color w:val="000000"/>
          <w:lang w:val="fr-FR"/>
        </w:rPr>
        <w:t> </w:t>
      </w:r>
      <w:r w:rsidRPr="001F6AA4">
        <w:rPr>
          <w:color w:val="000000"/>
          <w:lang w:val="fr-FR"/>
        </w:rPr>
        <w:t>8</w:t>
      </w:r>
      <w:r>
        <w:rPr>
          <w:color w:val="000000"/>
          <w:lang w:val="fr-FR"/>
        </w:rPr>
        <w:t xml:space="preserve"> (1982)</w:t>
      </w:r>
      <w:r w:rsidRPr="001F6AA4">
        <w:rPr>
          <w:color w:val="000000"/>
          <w:lang w:val="fr-FR"/>
        </w:rPr>
        <w:t>, par.</w:t>
      </w:r>
      <w:r w:rsidR="00BE5758">
        <w:t> </w:t>
      </w:r>
      <w:r w:rsidRPr="001F6AA4">
        <w:t>2 et 3.</w:t>
      </w:r>
    </w:p>
  </w:footnote>
  <w:footnote w:id="11">
    <w:p w14:paraId="1A088F5E" w14:textId="6480BC60" w:rsidR="00567613" w:rsidRPr="001F6AA4" w:rsidRDefault="00567613" w:rsidP="00A21C23">
      <w:pPr>
        <w:pStyle w:val="Notedebasdepage"/>
      </w:pPr>
      <w:r>
        <w:tab/>
      </w:r>
      <w:r w:rsidRPr="001F6AA4">
        <w:rPr>
          <w:rStyle w:val="Appelnotedebasdep"/>
        </w:rPr>
        <w:footnoteRef/>
      </w:r>
      <w:r>
        <w:tab/>
      </w:r>
      <w:r w:rsidRPr="00417498">
        <w:rPr>
          <w:i/>
          <w:iCs/>
          <w:color w:val="000000"/>
          <w:lang w:val="fr-FR"/>
        </w:rPr>
        <w:t>Ilombe et Shandwe c. République démocratique du Congo</w:t>
      </w:r>
      <w:r w:rsidRPr="001F6AA4">
        <w:rPr>
          <w:color w:val="000000"/>
          <w:lang w:val="fr-FR"/>
        </w:rPr>
        <w:t>, par.</w:t>
      </w:r>
      <w:r w:rsidR="00BE5758">
        <w:rPr>
          <w:color w:val="000000"/>
          <w:lang w:val="fr-FR"/>
        </w:rPr>
        <w:t> </w:t>
      </w:r>
      <w:r w:rsidRPr="001F6AA4">
        <w:rPr>
          <w:color w:val="000000"/>
          <w:lang w:val="fr-FR"/>
        </w:rPr>
        <w:t>6.4.</w:t>
      </w:r>
    </w:p>
  </w:footnote>
  <w:footnote w:id="12">
    <w:p w14:paraId="5570C58A" w14:textId="77777777" w:rsidR="00567613" w:rsidRDefault="00567613" w:rsidP="00A21C23">
      <w:pPr>
        <w:pStyle w:val="Notedebasdepage"/>
      </w:pPr>
      <w:r>
        <w:tab/>
      </w:r>
      <w:r>
        <w:rPr>
          <w:rStyle w:val="Appelnotedebasdep"/>
        </w:rPr>
        <w:footnoteRef/>
      </w:r>
      <w:r>
        <w:tab/>
        <w:t xml:space="preserve">Celui-ci </w:t>
      </w:r>
      <w:r w:rsidRPr="00CF7F9B">
        <w:t>stipule que « </w:t>
      </w:r>
      <w:r>
        <w:t>[</w:t>
      </w:r>
      <w:r w:rsidRPr="00CF7F9B">
        <w:t>t</w:t>
      </w:r>
      <w:r>
        <w:t>]</w:t>
      </w:r>
      <w:r w:rsidRPr="00CF7F9B">
        <w:t>oute personne a droit à ce que sa cause soit entendue dans un délai raisonnable par le juge compétent ».</w:t>
      </w:r>
    </w:p>
  </w:footnote>
  <w:footnote w:id="13">
    <w:p w14:paraId="62572868" w14:textId="378C9DE0" w:rsidR="00567613" w:rsidRPr="00F62815" w:rsidRDefault="00567613" w:rsidP="00A21C23">
      <w:pPr>
        <w:pStyle w:val="Notedebasdepage"/>
      </w:pPr>
      <w:r>
        <w:tab/>
      </w:r>
      <w:r w:rsidRPr="00F62815">
        <w:rPr>
          <w:rStyle w:val="Appelnotedebasdep"/>
        </w:rPr>
        <w:footnoteRef/>
      </w:r>
      <w:r>
        <w:tab/>
        <w:t>Comité des droits de l’homme, o</w:t>
      </w:r>
      <w:r w:rsidRPr="00F62815">
        <w:t>bservation générale nº</w:t>
      </w:r>
      <w:r w:rsidR="00BE5758">
        <w:t> </w:t>
      </w:r>
      <w:r w:rsidRPr="00F62815">
        <w:t>35 (</w:t>
      </w:r>
      <w:r>
        <w:t>2014</w:t>
      </w:r>
      <w:r w:rsidRPr="00F62815">
        <w:t>), par.</w:t>
      </w:r>
      <w:r w:rsidR="00BE5758">
        <w:t> </w:t>
      </w:r>
      <w:r w:rsidRPr="00F62815">
        <w:t>11 et 22.</w:t>
      </w:r>
    </w:p>
  </w:footnote>
  <w:footnote w:id="14">
    <w:p w14:paraId="44B5FF7D" w14:textId="0FA9FBE0" w:rsidR="00567613" w:rsidRPr="00BE5758" w:rsidRDefault="00567613" w:rsidP="00A21C23">
      <w:pPr>
        <w:pStyle w:val="Notedebasdepage"/>
        <w:rPr>
          <w:rStyle w:val="Appelnotedebasdep"/>
          <w:vertAlign w:val="baseline"/>
        </w:rPr>
      </w:pPr>
      <w:r>
        <w:tab/>
      </w:r>
      <w:r w:rsidRPr="00F62815">
        <w:rPr>
          <w:rStyle w:val="Appelnotedebasdep"/>
        </w:rPr>
        <w:footnoteRef/>
      </w:r>
      <w:r>
        <w:tab/>
      </w:r>
      <w:r w:rsidRPr="00BE5758">
        <w:rPr>
          <w:rStyle w:val="Appelnotedebasdep"/>
          <w:vertAlign w:val="baseline"/>
        </w:rPr>
        <w:t>Voir</w:t>
      </w:r>
      <w:r w:rsidRPr="00BE5758">
        <w:t>,</w:t>
      </w:r>
      <w:r w:rsidRPr="00BE5758">
        <w:rPr>
          <w:rStyle w:val="Appelnotedebasdep"/>
          <w:vertAlign w:val="baseline"/>
        </w:rPr>
        <w:t xml:space="preserve"> notamment, </w:t>
      </w:r>
      <w:r w:rsidRPr="00BE5758">
        <w:rPr>
          <w:rStyle w:val="Appelnotedebasdep"/>
          <w:i/>
          <w:iCs/>
          <w:vertAlign w:val="baseline"/>
        </w:rPr>
        <w:t>Kulomin c. Hongrie</w:t>
      </w:r>
      <w:r w:rsidRPr="00BE5758">
        <w:t xml:space="preserve"> (CCPR/C/56/D/521/1992)</w:t>
      </w:r>
      <w:r w:rsidRPr="00BE5758">
        <w:rPr>
          <w:rStyle w:val="Appelnotedebasdep"/>
          <w:vertAlign w:val="baseline"/>
        </w:rPr>
        <w:t>, par.</w:t>
      </w:r>
      <w:r w:rsidR="00BE5758">
        <w:t> </w:t>
      </w:r>
      <w:r w:rsidRPr="00BE5758">
        <w:rPr>
          <w:rStyle w:val="Appelnotedebasdep"/>
          <w:vertAlign w:val="baseline"/>
        </w:rPr>
        <w:t>11.3</w:t>
      </w:r>
      <w:r w:rsidRPr="00BE5758">
        <w:t> </w:t>
      </w:r>
      <w:r w:rsidRPr="00BE5758">
        <w:rPr>
          <w:rStyle w:val="Appelnotedebasdep"/>
          <w:vertAlign w:val="baseline"/>
        </w:rPr>
        <w:t xml:space="preserve">; </w:t>
      </w:r>
      <w:r w:rsidRPr="00BE5758">
        <w:rPr>
          <w:rStyle w:val="Appelnotedebasdep"/>
          <w:i/>
          <w:iCs/>
          <w:vertAlign w:val="baseline"/>
        </w:rPr>
        <w:t>Platonov c. Fédération de Russie</w:t>
      </w:r>
      <w:r w:rsidRPr="00BE5758">
        <w:t xml:space="preserve"> (CCPR/C/85/D/1218/2003)</w:t>
      </w:r>
      <w:r w:rsidRPr="00BE5758">
        <w:rPr>
          <w:rStyle w:val="Appelnotedebasdep"/>
          <w:vertAlign w:val="baseline"/>
        </w:rPr>
        <w:t>, par.</w:t>
      </w:r>
      <w:r w:rsidR="00BE5758">
        <w:t> </w:t>
      </w:r>
      <w:r w:rsidRPr="00BE5758">
        <w:rPr>
          <w:rStyle w:val="Appelnotedebasdep"/>
          <w:vertAlign w:val="baseline"/>
        </w:rPr>
        <w:t>7.2</w:t>
      </w:r>
      <w:r w:rsidRPr="00BE5758">
        <w:t> </w:t>
      </w:r>
      <w:r w:rsidRPr="00BE5758">
        <w:rPr>
          <w:rStyle w:val="Appelnotedebasdep"/>
          <w:vertAlign w:val="baseline"/>
        </w:rPr>
        <w:t xml:space="preserve">; </w:t>
      </w:r>
      <w:r w:rsidRPr="00BE5758">
        <w:rPr>
          <w:rStyle w:val="Appelnotedebasdep"/>
          <w:i/>
          <w:iCs/>
          <w:vertAlign w:val="baseline"/>
        </w:rPr>
        <w:t>Ashurov c. Tadjikistan</w:t>
      </w:r>
      <w:r w:rsidRPr="00BE5758">
        <w:t xml:space="preserve"> (CCPR/C/89/D/1348/2005)</w:t>
      </w:r>
      <w:r w:rsidRPr="00BE5758">
        <w:rPr>
          <w:rStyle w:val="Appelnotedebasdep"/>
          <w:vertAlign w:val="baseline"/>
        </w:rPr>
        <w:t>, par.</w:t>
      </w:r>
      <w:r w:rsidR="00BE5758">
        <w:t> </w:t>
      </w:r>
      <w:r w:rsidRPr="00BE5758">
        <w:rPr>
          <w:rStyle w:val="Appelnotedebasdep"/>
          <w:vertAlign w:val="baseline"/>
        </w:rPr>
        <w:t>6.5</w:t>
      </w:r>
      <w:r w:rsidRPr="00BE5758">
        <w:t> </w:t>
      </w:r>
      <w:r w:rsidRPr="00BE5758">
        <w:rPr>
          <w:rStyle w:val="Appelnotedebasdep"/>
          <w:vertAlign w:val="baseline"/>
        </w:rPr>
        <w:t xml:space="preserve">; </w:t>
      </w:r>
      <w:r w:rsidRPr="00BE5758">
        <w:rPr>
          <w:rStyle w:val="Appelnotedebasdep"/>
          <w:i/>
          <w:iCs/>
          <w:vertAlign w:val="baseline"/>
        </w:rPr>
        <w:t>Reshetnikov c. Fédération de Russie</w:t>
      </w:r>
      <w:r w:rsidRPr="00BE5758">
        <w:rPr>
          <w:i/>
          <w:iCs/>
        </w:rPr>
        <w:t xml:space="preserve"> </w:t>
      </w:r>
      <w:r w:rsidRPr="00BE5758">
        <w:t>(CCPR/C/95/D/1278/2004)</w:t>
      </w:r>
      <w:r w:rsidRPr="00BE5758">
        <w:rPr>
          <w:rStyle w:val="Appelnotedebasdep"/>
          <w:vertAlign w:val="baseline"/>
        </w:rPr>
        <w:t>, par.</w:t>
      </w:r>
      <w:r w:rsidR="00BE5758">
        <w:t> </w:t>
      </w:r>
      <w:r w:rsidRPr="00BE5758">
        <w:rPr>
          <w:rStyle w:val="Appelnotedebasdep"/>
          <w:vertAlign w:val="baseline"/>
        </w:rPr>
        <w:t>8.2</w:t>
      </w:r>
      <w:r w:rsidRPr="00BE5758">
        <w:t> </w:t>
      </w:r>
      <w:r w:rsidRPr="00BE5758">
        <w:rPr>
          <w:rStyle w:val="Appelnotedebasdep"/>
          <w:vertAlign w:val="baseline"/>
        </w:rPr>
        <w:t>;</w:t>
      </w:r>
      <w:r w:rsidRPr="00BE5758">
        <w:t xml:space="preserve"> et</w:t>
      </w:r>
      <w:r w:rsidRPr="00BE5758">
        <w:rPr>
          <w:rStyle w:val="Appelnotedebasdep"/>
          <w:vertAlign w:val="baseline"/>
        </w:rPr>
        <w:t xml:space="preserve"> </w:t>
      </w:r>
      <w:r w:rsidRPr="00BE5758">
        <w:rPr>
          <w:rStyle w:val="Appelnotedebasdep"/>
          <w:i/>
          <w:iCs/>
          <w:vertAlign w:val="baseline"/>
        </w:rPr>
        <w:t>Ismailov c. Ouzbékistan</w:t>
      </w:r>
      <w:r w:rsidRPr="00BE5758">
        <w:t xml:space="preserve"> (CCPR/C/101/D/1769/2008)</w:t>
      </w:r>
      <w:r w:rsidRPr="00BE5758">
        <w:rPr>
          <w:rStyle w:val="Appelnotedebasdep"/>
          <w:vertAlign w:val="baseline"/>
        </w:rPr>
        <w:t>, par.</w:t>
      </w:r>
      <w:r w:rsidR="00BE5758">
        <w:t> </w:t>
      </w:r>
      <w:r w:rsidRPr="00BE5758">
        <w:rPr>
          <w:rStyle w:val="Appelnotedebasdep"/>
          <w:vertAlign w:val="baseline"/>
        </w:rPr>
        <w:t>7.3.</w:t>
      </w:r>
    </w:p>
  </w:footnote>
  <w:footnote w:id="15">
    <w:p w14:paraId="151732DB" w14:textId="6B06EAC7" w:rsidR="00567613" w:rsidRPr="00BE5758" w:rsidRDefault="00567613" w:rsidP="00A21C23">
      <w:pPr>
        <w:pStyle w:val="Notedebasdepage"/>
        <w:rPr>
          <w:rStyle w:val="Appelnotedebasdep"/>
          <w:vertAlign w:val="baseline"/>
        </w:rPr>
      </w:pPr>
      <w:r>
        <w:tab/>
      </w:r>
      <w:r w:rsidRPr="00F62815">
        <w:rPr>
          <w:rStyle w:val="Appelnotedebasdep"/>
        </w:rPr>
        <w:footnoteRef/>
      </w:r>
      <w:r>
        <w:tab/>
        <w:t xml:space="preserve">Comité des droits de l’homme, </w:t>
      </w:r>
      <w:r w:rsidRPr="00BE5758">
        <w:t>o</w:t>
      </w:r>
      <w:r w:rsidRPr="00BE5758">
        <w:rPr>
          <w:rStyle w:val="Appelnotedebasdep"/>
          <w:vertAlign w:val="baseline"/>
        </w:rPr>
        <w:t>bservation générale nº</w:t>
      </w:r>
      <w:r w:rsidR="00BE5758">
        <w:t> </w:t>
      </w:r>
      <w:r w:rsidRPr="00BE5758">
        <w:rPr>
          <w:rStyle w:val="Appelnotedebasdep"/>
          <w:vertAlign w:val="baseline"/>
        </w:rPr>
        <w:t>35, par.</w:t>
      </w:r>
      <w:r w:rsidR="00BE5758">
        <w:t> </w:t>
      </w:r>
      <w:r w:rsidRPr="00BE5758">
        <w:rPr>
          <w:rStyle w:val="Appelnotedebasdep"/>
          <w:vertAlign w:val="baseline"/>
        </w:rPr>
        <w:t>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8807" w14:textId="5E40CB8A" w:rsidR="00567613" w:rsidRPr="00A21C23" w:rsidRDefault="0016015F">
    <w:pPr>
      <w:pStyle w:val="En-tte"/>
    </w:pPr>
    <w:fldSimple w:instr=" TITLE  \* MERGEFORMAT ">
      <w:r w:rsidR="00734CDA">
        <w:t>CCPR/C/130/D/2396/2014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7D8A" w14:textId="41053822" w:rsidR="00567613" w:rsidRPr="00A21C23" w:rsidRDefault="0016015F" w:rsidP="00A21C23">
    <w:pPr>
      <w:pStyle w:val="En-tte"/>
      <w:jc w:val="right"/>
    </w:pPr>
    <w:fldSimple w:instr=" TITLE  \* MERGEFORMAT ">
      <w:r w:rsidR="00734CDA">
        <w:t>CCPR/C/130/D/2396/2014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0AD"/>
    <w:rsid w:val="00017F94"/>
    <w:rsid w:val="00023842"/>
    <w:rsid w:val="000334F9"/>
    <w:rsid w:val="0007796D"/>
    <w:rsid w:val="000919AD"/>
    <w:rsid w:val="000B7790"/>
    <w:rsid w:val="000C2225"/>
    <w:rsid w:val="000D3F63"/>
    <w:rsid w:val="00111F2F"/>
    <w:rsid w:val="0014365E"/>
    <w:rsid w:val="0016015F"/>
    <w:rsid w:val="00176178"/>
    <w:rsid w:val="001B379B"/>
    <w:rsid w:val="001F525A"/>
    <w:rsid w:val="00223272"/>
    <w:rsid w:val="00226374"/>
    <w:rsid w:val="0024779E"/>
    <w:rsid w:val="002B7BC7"/>
    <w:rsid w:val="002E2D46"/>
    <w:rsid w:val="0032225A"/>
    <w:rsid w:val="003265B7"/>
    <w:rsid w:val="003402F1"/>
    <w:rsid w:val="00351332"/>
    <w:rsid w:val="003A6E96"/>
    <w:rsid w:val="00446FE5"/>
    <w:rsid w:val="00452396"/>
    <w:rsid w:val="00482FFE"/>
    <w:rsid w:val="005505B7"/>
    <w:rsid w:val="00567613"/>
    <w:rsid w:val="00573BE5"/>
    <w:rsid w:val="00586ED3"/>
    <w:rsid w:val="00596AA9"/>
    <w:rsid w:val="00690924"/>
    <w:rsid w:val="006F7144"/>
    <w:rsid w:val="006F71EA"/>
    <w:rsid w:val="0071601D"/>
    <w:rsid w:val="00734CDA"/>
    <w:rsid w:val="00745891"/>
    <w:rsid w:val="00793E85"/>
    <w:rsid w:val="007A611C"/>
    <w:rsid w:val="007A62E6"/>
    <w:rsid w:val="007E2032"/>
    <w:rsid w:val="0080684C"/>
    <w:rsid w:val="008560DB"/>
    <w:rsid w:val="00871C75"/>
    <w:rsid w:val="008776DC"/>
    <w:rsid w:val="009620AD"/>
    <w:rsid w:val="009705C8"/>
    <w:rsid w:val="009B1E6C"/>
    <w:rsid w:val="009E2C6A"/>
    <w:rsid w:val="00A21C23"/>
    <w:rsid w:val="00A57411"/>
    <w:rsid w:val="00A9151D"/>
    <w:rsid w:val="00AA6A35"/>
    <w:rsid w:val="00AC3823"/>
    <w:rsid w:val="00AE323C"/>
    <w:rsid w:val="00B00181"/>
    <w:rsid w:val="00B765F7"/>
    <w:rsid w:val="00BA0CA9"/>
    <w:rsid w:val="00BE20E2"/>
    <w:rsid w:val="00BE5758"/>
    <w:rsid w:val="00C01ACF"/>
    <w:rsid w:val="00C02897"/>
    <w:rsid w:val="00C8576D"/>
    <w:rsid w:val="00CA7BC4"/>
    <w:rsid w:val="00D05667"/>
    <w:rsid w:val="00D3439C"/>
    <w:rsid w:val="00D744E5"/>
    <w:rsid w:val="00D83177"/>
    <w:rsid w:val="00DB1831"/>
    <w:rsid w:val="00DD3BFD"/>
    <w:rsid w:val="00DF6678"/>
    <w:rsid w:val="00E718C7"/>
    <w:rsid w:val="00E85C42"/>
    <w:rsid w:val="00EC30D5"/>
    <w:rsid w:val="00EE1BD4"/>
    <w:rsid w:val="00F12152"/>
    <w:rsid w:val="00F6242B"/>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40C4C"/>
  <w15:docId w15:val="{6D13F0A3-816E-4653-A808-E8D12C79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lev">
    <w:name w:val="Strong"/>
    <w:basedOn w:val="Policepardfaut"/>
    <w:uiPriority w:val="22"/>
    <w:qFormat/>
    <w:rsid w:val="00A21C23"/>
    <w:rPr>
      <w:b/>
      <w:bCs/>
    </w:rPr>
  </w:style>
  <w:style w:type="paragraph" w:styleId="NormalWeb">
    <w:name w:val="Normal (Web)"/>
    <w:basedOn w:val="Normal"/>
    <w:uiPriority w:val="99"/>
    <w:unhideWhenUsed/>
    <w:rsid w:val="00A21C2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1057-351B-434E-9AAE-A5901B06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TotalTime>
  <Pages>7</Pages>
  <Words>3558</Words>
  <Characters>18220</Characters>
  <Application>Microsoft Office Word</Application>
  <DocSecurity>0</DocSecurity>
  <Lines>289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CCPR/C/130/D/2396/2014</vt:lpstr>
      <vt:lpstr>CCPR/C/130/D/2396/2014</vt:lpstr>
    </vt:vector>
  </TitlesOfParts>
  <Company>DCM</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CCPR/C/130/D/2396/2014</dc:title>
  <dc:subject/>
  <dc:creator>Sandrine CLERE</dc:creator>
  <cp:keywords/>
  <cp:lastModifiedBy>Maud Dariche</cp:lastModifiedBy>
  <cp:revision>3</cp:revision>
  <cp:lastPrinted>2021-04-26T15:24:00Z</cp:lastPrinted>
  <dcterms:created xsi:type="dcterms:W3CDTF">2021-04-26T15:24:00Z</dcterms:created>
  <dcterms:modified xsi:type="dcterms:W3CDTF">2021-04-26T15:28:00Z</dcterms:modified>
</cp:coreProperties>
</file>