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2F6A306" w14:textId="77777777" w:rsidTr="002B7BC7">
        <w:trPr>
          <w:trHeight w:hRule="exact" w:val="851"/>
        </w:trPr>
        <w:tc>
          <w:tcPr>
            <w:tcW w:w="1276" w:type="dxa"/>
            <w:tcBorders>
              <w:bottom w:val="single" w:sz="4" w:space="0" w:color="auto"/>
            </w:tcBorders>
          </w:tcPr>
          <w:p w14:paraId="7FF8D1A5" w14:textId="77777777" w:rsidR="006F71EA" w:rsidRPr="00DB58B5" w:rsidRDefault="006F71EA" w:rsidP="00204789"/>
        </w:tc>
        <w:tc>
          <w:tcPr>
            <w:tcW w:w="2268" w:type="dxa"/>
            <w:tcBorders>
              <w:bottom w:val="single" w:sz="4" w:space="0" w:color="auto"/>
            </w:tcBorders>
            <w:vAlign w:val="bottom"/>
          </w:tcPr>
          <w:p w14:paraId="078F99E3"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B0F3F28" w14:textId="38D5C9D6" w:rsidR="006F71EA" w:rsidRPr="00DB58B5" w:rsidRDefault="00204789" w:rsidP="00204789">
            <w:pPr>
              <w:jc w:val="right"/>
            </w:pPr>
            <w:r w:rsidRPr="00204789">
              <w:rPr>
                <w:sz w:val="40"/>
              </w:rPr>
              <w:t>CCPR</w:t>
            </w:r>
            <w:r>
              <w:t>/C/132/D/2857/2016</w:t>
            </w:r>
          </w:p>
        </w:tc>
      </w:tr>
      <w:tr w:rsidR="006F71EA" w:rsidRPr="00DB58B5" w14:paraId="6DC78DC7" w14:textId="77777777" w:rsidTr="002B7BC7">
        <w:trPr>
          <w:trHeight w:hRule="exact" w:val="2835"/>
        </w:trPr>
        <w:tc>
          <w:tcPr>
            <w:tcW w:w="1276" w:type="dxa"/>
            <w:tcBorders>
              <w:top w:val="single" w:sz="4" w:space="0" w:color="auto"/>
              <w:bottom w:val="single" w:sz="12" w:space="0" w:color="auto"/>
            </w:tcBorders>
          </w:tcPr>
          <w:p w14:paraId="4AD8C737" w14:textId="77777777" w:rsidR="006F71EA" w:rsidRPr="00DB58B5" w:rsidRDefault="006F71EA" w:rsidP="002B7BC7">
            <w:pPr>
              <w:spacing w:before="120"/>
              <w:jc w:val="center"/>
            </w:pPr>
            <w:r>
              <w:rPr>
                <w:noProof/>
                <w:lang w:eastAsia="fr-CH"/>
              </w:rPr>
              <w:drawing>
                <wp:inline distT="0" distB="0" distL="0" distR="0" wp14:anchorId="5119FB9E" wp14:editId="6CD6C5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5F5EFF"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799E959" w14:textId="77777777" w:rsidR="006F71EA" w:rsidRDefault="00204789" w:rsidP="002B7BC7">
            <w:pPr>
              <w:spacing w:before="240"/>
            </w:pPr>
            <w:r>
              <w:t>Distr. générale</w:t>
            </w:r>
          </w:p>
          <w:p w14:paraId="64D37FD2" w14:textId="77777777" w:rsidR="00204789" w:rsidRDefault="00204789" w:rsidP="00204789">
            <w:pPr>
              <w:spacing w:line="240" w:lineRule="exact"/>
            </w:pPr>
            <w:r>
              <w:t>3 mars 2022</w:t>
            </w:r>
          </w:p>
          <w:p w14:paraId="58C827A9" w14:textId="77777777" w:rsidR="00204789" w:rsidRDefault="00204789" w:rsidP="00204789">
            <w:pPr>
              <w:spacing w:line="240" w:lineRule="exact"/>
            </w:pPr>
            <w:r>
              <w:t>Français</w:t>
            </w:r>
          </w:p>
          <w:p w14:paraId="5ACC618F" w14:textId="3509CDAD" w:rsidR="00204789" w:rsidRPr="00DB58B5" w:rsidRDefault="00204789" w:rsidP="00204789">
            <w:pPr>
              <w:spacing w:line="240" w:lineRule="exact"/>
            </w:pPr>
            <w:r>
              <w:t>Original : anglais</w:t>
            </w:r>
          </w:p>
        </w:tc>
      </w:tr>
    </w:tbl>
    <w:p w14:paraId="1B96FB8A" w14:textId="77777777" w:rsidR="006F71EA" w:rsidRDefault="006F71EA" w:rsidP="006F71EA">
      <w:pPr>
        <w:spacing w:before="120"/>
        <w:rPr>
          <w:b/>
          <w:sz w:val="24"/>
          <w:szCs w:val="24"/>
        </w:rPr>
      </w:pPr>
      <w:r w:rsidRPr="00DF3BF1">
        <w:rPr>
          <w:b/>
          <w:sz w:val="24"/>
          <w:szCs w:val="24"/>
        </w:rPr>
        <w:t>Comité des droits de l’homme</w:t>
      </w:r>
    </w:p>
    <w:p w14:paraId="3EF2D4A4" w14:textId="77777777" w:rsidR="0072367B" w:rsidRDefault="0072367B" w:rsidP="0072367B">
      <w:pPr>
        <w:pStyle w:val="HChG"/>
        <w:rPr>
          <w:sz w:val="20"/>
          <w:lang w:val="fr-FR"/>
        </w:rPr>
      </w:pPr>
      <w:bookmarkStart w:id="0" w:name="_Hlk105677577"/>
      <w:r w:rsidRPr="00F36092">
        <w:rPr>
          <w:lang w:val="fr-FR"/>
        </w:rPr>
        <w:tab/>
      </w:r>
      <w:r w:rsidRPr="00F36092">
        <w:rPr>
          <w:lang w:val="fr-FR"/>
        </w:rPr>
        <w:tab/>
        <w:t>C</w:t>
      </w:r>
      <w:r>
        <w:rPr>
          <w:lang w:val="fr-FR"/>
        </w:rPr>
        <w:t>onstatations adoptées par le Comité au titre de l’article 5 (par. 4) du Protocole facultatif concernant la c</w:t>
      </w:r>
      <w:r w:rsidRPr="00F36092">
        <w:rPr>
          <w:lang w:val="fr-FR"/>
        </w:rPr>
        <w:t>ommunication n</w:t>
      </w:r>
      <w:r w:rsidRPr="00F36092">
        <w:rPr>
          <w:vertAlign w:val="superscript"/>
          <w:lang w:val="fr-FR"/>
        </w:rPr>
        <w:t>o</w:t>
      </w:r>
      <w:r w:rsidRPr="00F36092">
        <w:rPr>
          <w:lang w:val="fr-FR"/>
        </w:rPr>
        <w:t> 2857/2016</w:t>
      </w:r>
      <w:r w:rsidRPr="0072367B">
        <w:rPr>
          <w:rStyle w:val="Appelnotedebasdep"/>
          <w:b w:val="0"/>
          <w:bCs/>
          <w:sz w:val="20"/>
          <w:vertAlign w:val="baseline"/>
        </w:rPr>
        <w:footnoteReference w:customMarkFollows="1" w:id="2"/>
        <w:t>*</w:t>
      </w:r>
      <w:r w:rsidRPr="0072367B">
        <w:rPr>
          <w:b w:val="0"/>
          <w:bCs/>
          <w:sz w:val="20"/>
          <w:vertAlign w:val="superscript"/>
        </w:rPr>
        <w:t>,</w:t>
      </w:r>
      <w:r>
        <w:rPr>
          <w:sz w:val="20"/>
        </w:rPr>
        <w:t xml:space="preserve"> </w:t>
      </w:r>
      <w:r w:rsidRPr="00876BFB">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751"/>
        <w:gridCol w:w="4054"/>
      </w:tblGrid>
      <w:tr w:rsidR="0072367B" w14:paraId="7B4A11F0" w14:textId="77777777" w:rsidTr="00CD7F59">
        <w:tc>
          <w:tcPr>
            <w:tcW w:w="2751" w:type="dxa"/>
          </w:tcPr>
          <w:p w14:paraId="04D465BB" w14:textId="77777777" w:rsidR="0072367B" w:rsidRDefault="0072367B" w:rsidP="00CD7F59">
            <w:pPr>
              <w:pStyle w:val="SingleTxtG"/>
              <w:ind w:left="0" w:right="0"/>
              <w:jc w:val="left"/>
              <w:rPr>
                <w:i/>
              </w:rPr>
            </w:pPr>
            <w:r>
              <w:rPr>
                <w:i/>
              </w:rPr>
              <w:t>Communication présentée par</w:t>
            </w:r>
            <w:r>
              <w:t> :</w:t>
            </w:r>
          </w:p>
        </w:tc>
        <w:tc>
          <w:tcPr>
            <w:tcW w:w="4054" w:type="dxa"/>
          </w:tcPr>
          <w:p w14:paraId="634F7BB7" w14:textId="77777777" w:rsidR="0072367B" w:rsidRDefault="0072367B" w:rsidP="00CD7F59">
            <w:pPr>
              <w:pStyle w:val="SingleTxtG"/>
              <w:ind w:left="0" w:right="0"/>
              <w:jc w:val="left"/>
            </w:pPr>
            <w:r w:rsidRPr="00876BFB">
              <w:t xml:space="preserve">Ekaterina </w:t>
            </w:r>
            <w:proofErr w:type="spellStart"/>
            <w:r w:rsidRPr="00876BFB">
              <w:t>Tolchina</w:t>
            </w:r>
            <w:proofErr w:type="spellEnd"/>
            <w:r>
              <w:t xml:space="preserve"> et consorts</w:t>
            </w:r>
            <w:r w:rsidRPr="00876BFB">
              <w:t xml:space="preserve"> (non représentés par un conseil)</w:t>
            </w:r>
          </w:p>
        </w:tc>
      </w:tr>
      <w:tr w:rsidR="0072367B" w14:paraId="7CBCC3A8" w14:textId="77777777" w:rsidTr="00CD7F59">
        <w:tc>
          <w:tcPr>
            <w:tcW w:w="2751" w:type="dxa"/>
          </w:tcPr>
          <w:p w14:paraId="639F2B0E" w14:textId="77777777" w:rsidR="0072367B" w:rsidRDefault="0072367B" w:rsidP="00CD7F59">
            <w:pPr>
              <w:pStyle w:val="SingleTxtG"/>
              <w:ind w:left="0" w:right="0"/>
              <w:jc w:val="left"/>
              <w:rPr>
                <w:i/>
              </w:rPr>
            </w:pPr>
            <w:r w:rsidRPr="00876BFB">
              <w:rPr>
                <w:i/>
              </w:rPr>
              <w:t>Victime(s) présumée(s)</w:t>
            </w:r>
            <w:r>
              <w:rPr>
                <w:i/>
              </w:rPr>
              <w:t> </w:t>
            </w:r>
            <w:r>
              <w:t>:</w:t>
            </w:r>
          </w:p>
        </w:tc>
        <w:tc>
          <w:tcPr>
            <w:tcW w:w="4054" w:type="dxa"/>
          </w:tcPr>
          <w:p w14:paraId="6C43B67D" w14:textId="77777777" w:rsidR="0072367B" w:rsidRDefault="0072367B" w:rsidP="00CD7F59">
            <w:pPr>
              <w:pStyle w:val="SingleTxtG"/>
              <w:ind w:left="0" w:right="0"/>
              <w:jc w:val="left"/>
            </w:pPr>
            <w:r w:rsidRPr="00876BFB">
              <w:t>Les auteurs</w:t>
            </w:r>
          </w:p>
        </w:tc>
      </w:tr>
      <w:tr w:rsidR="0072367B" w14:paraId="1E7F0BFC" w14:textId="77777777" w:rsidTr="00CD7F59">
        <w:tc>
          <w:tcPr>
            <w:tcW w:w="2751" w:type="dxa"/>
          </w:tcPr>
          <w:p w14:paraId="70AAF3BF" w14:textId="77777777" w:rsidR="0072367B" w:rsidRDefault="0072367B" w:rsidP="00CD7F59">
            <w:pPr>
              <w:pStyle w:val="SingleTxtG"/>
              <w:ind w:left="0" w:right="0"/>
              <w:jc w:val="left"/>
              <w:rPr>
                <w:i/>
              </w:rPr>
            </w:pPr>
            <w:r>
              <w:rPr>
                <w:i/>
              </w:rPr>
              <w:t>État partie</w:t>
            </w:r>
            <w:r>
              <w:t> :</w:t>
            </w:r>
          </w:p>
        </w:tc>
        <w:tc>
          <w:tcPr>
            <w:tcW w:w="4054" w:type="dxa"/>
          </w:tcPr>
          <w:p w14:paraId="6955DFFE" w14:textId="77777777" w:rsidR="0072367B" w:rsidRDefault="0072367B" w:rsidP="00CD7F59">
            <w:pPr>
              <w:pStyle w:val="SingleTxtG"/>
              <w:ind w:left="0" w:right="0"/>
              <w:jc w:val="left"/>
            </w:pPr>
            <w:r w:rsidRPr="00876BFB">
              <w:t>Bélarus</w:t>
            </w:r>
          </w:p>
        </w:tc>
      </w:tr>
      <w:tr w:rsidR="0072367B" w14:paraId="319E98B5" w14:textId="77777777" w:rsidTr="00CD7F59">
        <w:tc>
          <w:tcPr>
            <w:tcW w:w="2751" w:type="dxa"/>
          </w:tcPr>
          <w:p w14:paraId="0AFB8DEE" w14:textId="77777777" w:rsidR="0072367B" w:rsidRDefault="0072367B" w:rsidP="00CD7F59">
            <w:pPr>
              <w:pStyle w:val="SingleTxtG"/>
              <w:ind w:left="0" w:right="0"/>
              <w:jc w:val="left"/>
              <w:rPr>
                <w:i/>
              </w:rPr>
            </w:pPr>
            <w:r w:rsidRPr="00876BFB">
              <w:rPr>
                <w:i/>
              </w:rPr>
              <w:t>Date de la communication</w:t>
            </w:r>
            <w:r>
              <w:rPr>
                <w:i/>
              </w:rPr>
              <w:t> </w:t>
            </w:r>
            <w:r>
              <w:t>:</w:t>
            </w:r>
          </w:p>
        </w:tc>
        <w:tc>
          <w:tcPr>
            <w:tcW w:w="4054" w:type="dxa"/>
          </w:tcPr>
          <w:p w14:paraId="6F808C98" w14:textId="77777777" w:rsidR="0072367B" w:rsidRDefault="0072367B" w:rsidP="00CD7F59">
            <w:pPr>
              <w:pStyle w:val="SingleTxtG"/>
              <w:ind w:left="0" w:right="0"/>
              <w:jc w:val="left"/>
            </w:pPr>
            <w:r w:rsidRPr="00876BFB">
              <w:t>25 mars 2016 (date de la lettre initiale)</w:t>
            </w:r>
          </w:p>
        </w:tc>
      </w:tr>
      <w:tr w:rsidR="0072367B" w14:paraId="2855FFB7" w14:textId="77777777" w:rsidTr="00CD7F59">
        <w:tc>
          <w:tcPr>
            <w:tcW w:w="2751" w:type="dxa"/>
          </w:tcPr>
          <w:p w14:paraId="2C552A67" w14:textId="77777777" w:rsidR="0072367B" w:rsidRPr="00876BFB" w:rsidRDefault="0072367B" w:rsidP="00CD7F59">
            <w:pPr>
              <w:pStyle w:val="SingleTxtG"/>
              <w:ind w:left="0" w:right="0"/>
              <w:jc w:val="left"/>
              <w:rPr>
                <w:iCs/>
              </w:rPr>
            </w:pPr>
            <w:r w:rsidRPr="00876BFB">
              <w:rPr>
                <w:i/>
              </w:rPr>
              <w:t>Références</w:t>
            </w:r>
            <w:r>
              <w:rPr>
                <w:i/>
              </w:rPr>
              <w:t> </w:t>
            </w:r>
            <w:r>
              <w:rPr>
                <w:iCs/>
              </w:rPr>
              <w:t>:</w:t>
            </w:r>
          </w:p>
        </w:tc>
        <w:tc>
          <w:tcPr>
            <w:tcW w:w="4054" w:type="dxa"/>
          </w:tcPr>
          <w:p w14:paraId="5A48724E" w14:textId="77777777" w:rsidR="0072367B" w:rsidRPr="00876BFB" w:rsidRDefault="0072367B" w:rsidP="00CD7F59">
            <w:pPr>
              <w:pStyle w:val="SingleTxtG"/>
              <w:ind w:left="0" w:right="0"/>
              <w:jc w:val="left"/>
            </w:pPr>
            <w:r w:rsidRPr="00876BFB">
              <w:t>Décision prise en application de l</w:t>
            </w:r>
            <w:r>
              <w:t>’</w:t>
            </w:r>
            <w:r w:rsidRPr="00876BFB">
              <w:t>article 92 du</w:t>
            </w:r>
            <w:r>
              <w:t> </w:t>
            </w:r>
            <w:r w:rsidRPr="00876BFB">
              <w:t>règlement intérieur du Comité, communiquée à</w:t>
            </w:r>
            <w:r>
              <w:t> </w:t>
            </w:r>
            <w:r w:rsidRPr="00876BFB">
              <w:t>l</w:t>
            </w:r>
            <w:r>
              <w:t>’</w:t>
            </w:r>
            <w:r w:rsidRPr="00876BFB">
              <w:t>État partie le 16 novembre 2016 (non publiée sous forme de document)</w:t>
            </w:r>
          </w:p>
        </w:tc>
      </w:tr>
      <w:tr w:rsidR="0072367B" w14:paraId="1F9D67B5" w14:textId="77777777" w:rsidTr="00CD7F59">
        <w:tc>
          <w:tcPr>
            <w:tcW w:w="2751" w:type="dxa"/>
          </w:tcPr>
          <w:p w14:paraId="063FE01B" w14:textId="77777777" w:rsidR="0072367B" w:rsidRDefault="0072367B" w:rsidP="00CD7F59">
            <w:pPr>
              <w:pStyle w:val="SingleTxtG"/>
              <w:ind w:left="0" w:right="0"/>
              <w:jc w:val="left"/>
              <w:rPr>
                <w:i/>
              </w:rPr>
            </w:pPr>
            <w:r>
              <w:rPr>
                <w:i/>
              </w:rPr>
              <w:t xml:space="preserve">Date </w:t>
            </w:r>
            <w:r w:rsidRPr="00876BFB">
              <w:rPr>
                <w:i/>
              </w:rPr>
              <w:t>des constatations</w:t>
            </w:r>
            <w:r>
              <w:rPr>
                <w:i/>
              </w:rPr>
              <w:t> </w:t>
            </w:r>
            <w:r>
              <w:t>:</w:t>
            </w:r>
          </w:p>
        </w:tc>
        <w:tc>
          <w:tcPr>
            <w:tcW w:w="4054" w:type="dxa"/>
            <w:vAlign w:val="bottom"/>
          </w:tcPr>
          <w:p w14:paraId="5B85305E" w14:textId="77777777" w:rsidR="0072367B" w:rsidRDefault="0072367B" w:rsidP="00CD7F59">
            <w:pPr>
              <w:pStyle w:val="SingleTxtG"/>
              <w:ind w:left="0" w:right="0"/>
              <w:jc w:val="left"/>
            </w:pPr>
            <w:r>
              <w:t>23 juillet</w:t>
            </w:r>
            <w:r w:rsidRPr="00876BFB">
              <w:t xml:space="preserve"> 2021</w:t>
            </w:r>
          </w:p>
        </w:tc>
      </w:tr>
      <w:tr w:rsidR="0072367B" w14:paraId="3479086D" w14:textId="77777777" w:rsidTr="00CD7F59">
        <w:tc>
          <w:tcPr>
            <w:tcW w:w="2751" w:type="dxa"/>
          </w:tcPr>
          <w:p w14:paraId="74A05142" w14:textId="77777777" w:rsidR="0072367B" w:rsidRDefault="0072367B" w:rsidP="00CD7F59">
            <w:pPr>
              <w:pStyle w:val="SingleTxtG"/>
              <w:ind w:left="0" w:right="0"/>
              <w:jc w:val="left"/>
            </w:pPr>
            <w:r>
              <w:rPr>
                <w:i/>
              </w:rPr>
              <w:t>Objet</w:t>
            </w:r>
            <w:r>
              <w:t> :</w:t>
            </w:r>
          </w:p>
        </w:tc>
        <w:tc>
          <w:tcPr>
            <w:tcW w:w="4054" w:type="dxa"/>
            <w:vAlign w:val="bottom"/>
          </w:tcPr>
          <w:p w14:paraId="455A4E42" w14:textId="77777777" w:rsidR="0072367B" w:rsidRDefault="0072367B" w:rsidP="00CD7F59">
            <w:pPr>
              <w:pStyle w:val="SingleTxtG"/>
              <w:ind w:left="0" w:right="0"/>
              <w:jc w:val="left"/>
            </w:pPr>
            <w:r w:rsidRPr="00876BFB">
              <w:t>Refus des autorités d</w:t>
            </w:r>
            <w:r>
              <w:t>’</w:t>
            </w:r>
            <w:r w:rsidRPr="00876BFB">
              <w:t>autoriser la tenue de réunions</w:t>
            </w:r>
            <w:r>
              <w:t> </w:t>
            </w:r>
            <w:r w:rsidRPr="00876BFB">
              <w:t>; liberté d</w:t>
            </w:r>
            <w:r>
              <w:t>’</w:t>
            </w:r>
            <w:r w:rsidRPr="00876BFB">
              <w:t>expression</w:t>
            </w:r>
          </w:p>
        </w:tc>
      </w:tr>
      <w:tr w:rsidR="0072367B" w14:paraId="1FF947DD" w14:textId="77777777" w:rsidTr="00CD7F59">
        <w:tc>
          <w:tcPr>
            <w:tcW w:w="2751" w:type="dxa"/>
          </w:tcPr>
          <w:p w14:paraId="22451E42" w14:textId="77777777" w:rsidR="0072367B" w:rsidRDefault="0072367B" w:rsidP="00CD7F59">
            <w:pPr>
              <w:pStyle w:val="SingleTxtG"/>
              <w:ind w:left="0" w:right="0"/>
              <w:jc w:val="left"/>
            </w:pPr>
            <w:r>
              <w:rPr>
                <w:i/>
              </w:rPr>
              <w:t>Questions de procédure</w:t>
            </w:r>
            <w:r>
              <w:t> :</w:t>
            </w:r>
          </w:p>
        </w:tc>
        <w:tc>
          <w:tcPr>
            <w:tcW w:w="4054" w:type="dxa"/>
            <w:vAlign w:val="bottom"/>
          </w:tcPr>
          <w:p w14:paraId="50A68997" w14:textId="77777777" w:rsidR="0072367B" w:rsidRDefault="0072367B" w:rsidP="00CD7F59">
            <w:pPr>
              <w:pStyle w:val="SingleTxtG"/>
              <w:ind w:left="0" w:right="0"/>
              <w:jc w:val="left"/>
            </w:pPr>
            <w:r w:rsidRPr="00876BFB">
              <w:t>Épuisement des recours internes</w:t>
            </w:r>
          </w:p>
        </w:tc>
      </w:tr>
      <w:tr w:rsidR="0072367B" w14:paraId="6F02B02D" w14:textId="77777777" w:rsidTr="00CD7F59">
        <w:tc>
          <w:tcPr>
            <w:tcW w:w="2751" w:type="dxa"/>
          </w:tcPr>
          <w:p w14:paraId="3946B33D" w14:textId="77777777" w:rsidR="0072367B" w:rsidRDefault="0072367B" w:rsidP="00CD7F59">
            <w:pPr>
              <w:pStyle w:val="SingleTxtG"/>
              <w:ind w:left="0" w:right="0"/>
              <w:jc w:val="left"/>
            </w:pPr>
            <w:r>
              <w:rPr>
                <w:i/>
              </w:rPr>
              <w:t>Questions de fond</w:t>
            </w:r>
            <w:r>
              <w:t> :</w:t>
            </w:r>
          </w:p>
        </w:tc>
        <w:tc>
          <w:tcPr>
            <w:tcW w:w="4054" w:type="dxa"/>
            <w:vAlign w:val="bottom"/>
          </w:tcPr>
          <w:p w14:paraId="68570FB6" w14:textId="77777777" w:rsidR="0072367B" w:rsidRDefault="0072367B" w:rsidP="00CD7F59">
            <w:pPr>
              <w:pStyle w:val="SingleTxtG"/>
              <w:ind w:left="0" w:right="0"/>
              <w:jc w:val="left"/>
            </w:pPr>
            <w:r w:rsidRPr="00876BFB">
              <w:t>Liberté de réunion</w:t>
            </w:r>
            <w:r>
              <w:t> </w:t>
            </w:r>
            <w:r w:rsidRPr="00876BFB">
              <w:t>; liberté d</w:t>
            </w:r>
            <w:r>
              <w:t>’</w:t>
            </w:r>
            <w:r w:rsidRPr="00876BFB">
              <w:t>expression</w:t>
            </w:r>
            <w:r>
              <w:t> </w:t>
            </w:r>
            <w:r w:rsidRPr="00876BFB">
              <w:t>; recours utile</w:t>
            </w:r>
          </w:p>
        </w:tc>
      </w:tr>
      <w:tr w:rsidR="0072367B" w14:paraId="263AB177" w14:textId="77777777" w:rsidTr="00CD7F59">
        <w:tc>
          <w:tcPr>
            <w:tcW w:w="2751" w:type="dxa"/>
          </w:tcPr>
          <w:p w14:paraId="552DA03D" w14:textId="77777777" w:rsidR="0072367B" w:rsidRDefault="0072367B" w:rsidP="00CD7F59">
            <w:pPr>
              <w:pStyle w:val="SingleTxtG"/>
              <w:ind w:left="0" w:right="0"/>
              <w:jc w:val="left"/>
            </w:pPr>
            <w:r>
              <w:rPr>
                <w:i/>
              </w:rPr>
              <w:t xml:space="preserve">Article(s) </w:t>
            </w:r>
            <w:r w:rsidRPr="00876BFB">
              <w:rPr>
                <w:i/>
              </w:rPr>
              <w:t>du Pacte</w:t>
            </w:r>
            <w:r>
              <w:rPr>
                <w:i/>
              </w:rPr>
              <w:t> </w:t>
            </w:r>
            <w:r>
              <w:t>:</w:t>
            </w:r>
          </w:p>
        </w:tc>
        <w:tc>
          <w:tcPr>
            <w:tcW w:w="4054" w:type="dxa"/>
            <w:vAlign w:val="bottom"/>
          </w:tcPr>
          <w:p w14:paraId="52692198" w14:textId="77777777" w:rsidR="0072367B" w:rsidRDefault="0072367B" w:rsidP="00CD7F59">
            <w:pPr>
              <w:pStyle w:val="SingleTxtG"/>
              <w:ind w:left="0" w:right="0"/>
              <w:jc w:val="left"/>
            </w:pPr>
            <w:r w:rsidRPr="00876BFB">
              <w:t>19, 21 et 2 (par.</w:t>
            </w:r>
            <w:r>
              <w:t> </w:t>
            </w:r>
            <w:r w:rsidRPr="00876BFB">
              <w:t>2 et 3)</w:t>
            </w:r>
          </w:p>
        </w:tc>
      </w:tr>
      <w:tr w:rsidR="0072367B" w14:paraId="31602E69" w14:textId="77777777" w:rsidTr="00CD7F59">
        <w:tc>
          <w:tcPr>
            <w:tcW w:w="2751" w:type="dxa"/>
          </w:tcPr>
          <w:p w14:paraId="34B6F5A0" w14:textId="77777777" w:rsidR="0072367B" w:rsidRDefault="0072367B" w:rsidP="00CD7F59">
            <w:pPr>
              <w:pStyle w:val="SingleTxtG"/>
              <w:ind w:left="0" w:right="0"/>
              <w:jc w:val="left"/>
              <w:rPr>
                <w:i/>
              </w:rPr>
            </w:pPr>
            <w:r w:rsidRPr="00876BFB">
              <w:rPr>
                <w:i/>
              </w:rPr>
              <w:t>Article(s) du Protocole facultatif</w:t>
            </w:r>
            <w:r>
              <w:rPr>
                <w:i/>
              </w:rPr>
              <w:t> </w:t>
            </w:r>
            <w:r w:rsidRPr="00876BFB">
              <w:rPr>
                <w:iCs/>
              </w:rPr>
              <w:t>:</w:t>
            </w:r>
          </w:p>
        </w:tc>
        <w:tc>
          <w:tcPr>
            <w:tcW w:w="4054" w:type="dxa"/>
            <w:vAlign w:val="bottom"/>
          </w:tcPr>
          <w:p w14:paraId="69F9DB55" w14:textId="77777777" w:rsidR="0072367B" w:rsidRPr="00876BFB" w:rsidRDefault="0072367B" w:rsidP="00CD7F59">
            <w:pPr>
              <w:pStyle w:val="SingleTxtG"/>
              <w:ind w:left="0" w:right="0"/>
              <w:jc w:val="left"/>
            </w:pPr>
            <w:r w:rsidRPr="00876BFB">
              <w:t>2, 3 et 5 (par. 2 b))</w:t>
            </w:r>
          </w:p>
        </w:tc>
      </w:tr>
    </w:tbl>
    <w:p w14:paraId="4A5AFDA9" w14:textId="71B20C95" w:rsidR="0072367B" w:rsidRPr="00F36092" w:rsidRDefault="0072367B" w:rsidP="0072367B">
      <w:pPr>
        <w:pStyle w:val="SingleTxtG"/>
        <w:rPr>
          <w:lang w:val="fr-FR"/>
        </w:rPr>
      </w:pPr>
      <w:r w:rsidRPr="00F36092">
        <w:rPr>
          <w:lang w:val="fr-FR"/>
        </w:rPr>
        <w:t>1.</w:t>
      </w:r>
      <w:r w:rsidRPr="00F36092">
        <w:rPr>
          <w:lang w:val="fr-FR"/>
        </w:rPr>
        <w:tab/>
        <w:t xml:space="preserve">Les auteurs de la communication sont Ekaterina </w:t>
      </w:r>
      <w:proofErr w:type="spellStart"/>
      <w:r w:rsidRPr="00F36092">
        <w:rPr>
          <w:lang w:val="fr-FR"/>
        </w:rPr>
        <w:t>Tolchina</w:t>
      </w:r>
      <w:proofErr w:type="spellEnd"/>
      <w:r w:rsidRPr="00F36092">
        <w:rPr>
          <w:lang w:val="fr-FR"/>
        </w:rPr>
        <w:t>,</w:t>
      </w:r>
      <w:r>
        <w:rPr>
          <w:lang w:val="fr-FR"/>
        </w:rPr>
        <w:t xml:space="preserve"> </w:t>
      </w:r>
      <w:proofErr w:type="spellStart"/>
      <w:r w:rsidRPr="00F36092">
        <w:rPr>
          <w:lang w:val="fr-FR"/>
        </w:rPr>
        <w:t>Zinaida</w:t>
      </w:r>
      <w:proofErr w:type="spellEnd"/>
      <w:r w:rsidRPr="00F36092">
        <w:rPr>
          <w:lang w:val="fr-FR"/>
        </w:rPr>
        <w:t xml:space="preserve"> </w:t>
      </w:r>
      <w:proofErr w:type="spellStart"/>
      <w:r w:rsidRPr="00F36092">
        <w:rPr>
          <w:lang w:val="fr-FR"/>
        </w:rPr>
        <w:t>Shumilina</w:t>
      </w:r>
      <w:proofErr w:type="spellEnd"/>
      <w:r w:rsidRPr="00F36092">
        <w:rPr>
          <w:lang w:val="fr-FR"/>
        </w:rPr>
        <w:t xml:space="preserve">, Vladimir </w:t>
      </w:r>
      <w:proofErr w:type="spellStart"/>
      <w:r w:rsidRPr="00F36092">
        <w:rPr>
          <w:lang w:val="fr-FR"/>
        </w:rPr>
        <w:t>Katsora</w:t>
      </w:r>
      <w:proofErr w:type="spellEnd"/>
      <w:r w:rsidRPr="00F36092">
        <w:rPr>
          <w:lang w:val="fr-FR"/>
        </w:rPr>
        <w:t xml:space="preserve">, Viktor </w:t>
      </w:r>
      <w:proofErr w:type="spellStart"/>
      <w:r w:rsidRPr="00F36092">
        <w:rPr>
          <w:lang w:val="fr-FR"/>
        </w:rPr>
        <w:t>Kozlov</w:t>
      </w:r>
      <w:proofErr w:type="spellEnd"/>
      <w:r w:rsidRPr="00F36092">
        <w:rPr>
          <w:lang w:val="fr-FR"/>
        </w:rPr>
        <w:t xml:space="preserve">, Anatoly </w:t>
      </w:r>
      <w:proofErr w:type="spellStart"/>
      <w:r w:rsidRPr="00F36092">
        <w:rPr>
          <w:lang w:val="fr-FR"/>
        </w:rPr>
        <w:t>Poplavnyi</w:t>
      </w:r>
      <w:proofErr w:type="spellEnd"/>
      <w:r w:rsidRPr="00F36092">
        <w:rPr>
          <w:lang w:val="fr-FR"/>
        </w:rPr>
        <w:t xml:space="preserve">, </w:t>
      </w:r>
      <w:proofErr w:type="spellStart"/>
      <w:r w:rsidRPr="00F36092">
        <w:rPr>
          <w:lang w:val="fr-FR"/>
        </w:rPr>
        <w:t>Eduard</w:t>
      </w:r>
      <w:proofErr w:type="spellEnd"/>
      <w:r w:rsidRPr="00F36092">
        <w:rPr>
          <w:lang w:val="fr-FR"/>
        </w:rPr>
        <w:t xml:space="preserve"> </w:t>
      </w:r>
      <w:proofErr w:type="spellStart"/>
      <w:r w:rsidRPr="00F36092">
        <w:rPr>
          <w:lang w:val="fr-FR"/>
        </w:rPr>
        <w:t>Neliubovich</w:t>
      </w:r>
      <w:proofErr w:type="spellEnd"/>
      <w:r w:rsidRPr="00F36092">
        <w:rPr>
          <w:lang w:val="fr-FR"/>
        </w:rPr>
        <w:t>, Leonid</w:t>
      </w:r>
      <w:r>
        <w:rPr>
          <w:lang w:val="fr-FR"/>
        </w:rPr>
        <w:t> </w:t>
      </w:r>
      <w:proofErr w:type="spellStart"/>
      <w:r w:rsidRPr="00F36092">
        <w:rPr>
          <w:lang w:val="fr-FR"/>
        </w:rPr>
        <w:t>Sudalenko</w:t>
      </w:r>
      <w:proofErr w:type="spellEnd"/>
      <w:r w:rsidRPr="00F36092">
        <w:rPr>
          <w:lang w:val="fr-FR"/>
        </w:rPr>
        <w:t xml:space="preserve">, Andrey </w:t>
      </w:r>
      <w:proofErr w:type="spellStart"/>
      <w:r w:rsidRPr="00F36092">
        <w:rPr>
          <w:lang w:val="fr-FR"/>
        </w:rPr>
        <w:t>Tolchin</w:t>
      </w:r>
      <w:proofErr w:type="spellEnd"/>
      <w:r w:rsidRPr="00F36092">
        <w:rPr>
          <w:lang w:val="fr-FR"/>
        </w:rPr>
        <w:t xml:space="preserve">, Vladimir </w:t>
      </w:r>
      <w:proofErr w:type="spellStart"/>
      <w:r w:rsidRPr="00F36092">
        <w:rPr>
          <w:lang w:val="fr-FR"/>
        </w:rPr>
        <w:t>Nepomnyashchikh</w:t>
      </w:r>
      <w:proofErr w:type="spellEnd"/>
      <w:r w:rsidRPr="00F36092">
        <w:rPr>
          <w:lang w:val="fr-FR"/>
        </w:rPr>
        <w:t xml:space="preserve"> et Vladimir </w:t>
      </w:r>
      <w:proofErr w:type="spellStart"/>
      <w:r w:rsidRPr="00F36092">
        <w:rPr>
          <w:lang w:val="fr-FR"/>
        </w:rPr>
        <w:t>Shitikov</w:t>
      </w:r>
      <w:proofErr w:type="spellEnd"/>
      <w:r w:rsidRPr="00F36092">
        <w:rPr>
          <w:lang w:val="fr-FR"/>
        </w:rPr>
        <w:t>, tous de nationalité bélarussienne et nés, respectivement, en 1975, 1952, 1957, 1949, 1958, 1962, 1966, 1959, 1952 et 1946. Ils affirment que l</w:t>
      </w:r>
      <w:r>
        <w:rPr>
          <w:lang w:val="fr-FR"/>
        </w:rPr>
        <w:t>’</w:t>
      </w:r>
      <w:r w:rsidRPr="00F36092">
        <w:rPr>
          <w:lang w:val="fr-FR"/>
        </w:rPr>
        <w:t>État partie a violé les droits qu</w:t>
      </w:r>
      <w:r>
        <w:rPr>
          <w:lang w:val="fr-FR"/>
        </w:rPr>
        <w:t>’</w:t>
      </w:r>
      <w:r w:rsidRPr="00F36092">
        <w:rPr>
          <w:lang w:val="fr-FR"/>
        </w:rPr>
        <w:t>ils tiennent des articles</w:t>
      </w:r>
      <w:r>
        <w:rPr>
          <w:lang w:val="fr-FR"/>
        </w:rPr>
        <w:t> </w:t>
      </w:r>
      <w:r w:rsidRPr="00F36092">
        <w:rPr>
          <w:lang w:val="fr-FR"/>
        </w:rPr>
        <w:t>19 et 21 du Pacte, lus conjointement avec l</w:t>
      </w:r>
      <w:r>
        <w:rPr>
          <w:lang w:val="fr-FR"/>
        </w:rPr>
        <w:t>’</w:t>
      </w:r>
      <w:r w:rsidRPr="00F36092">
        <w:rPr>
          <w:lang w:val="fr-FR"/>
        </w:rPr>
        <w:t>article</w:t>
      </w:r>
      <w:r>
        <w:rPr>
          <w:lang w:val="fr-FR"/>
        </w:rPr>
        <w:t> </w:t>
      </w:r>
      <w:r w:rsidRPr="00F36092">
        <w:rPr>
          <w:lang w:val="fr-FR"/>
        </w:rPr>
        <w:t>2 (par.</w:t>
      </w:r>
      <w:r>
        <w:rPr>
          <w:lang w:val="fr-FR"/>
        </w:rPr>
        <w:t> </w:t>
      </w:r>
      <w:r w:rsidRPr="00F36092">
        <w:rPr>
          <w:lang w:val="fr-FR"/>
        </w:rPr>
        <w:t>2 et 3). Le Protocole facultatif est entré en vigueur pour le Bélarus le 30</w:t>
      </w:r>
      <w:r>
        <w:rPr>
          <w:lang w:val="fr-FR"/>
        </w:rPr>
        <w:t> </w:t>
      </w:r>
      <w:r w:rsidRPr="00F36092">
        <w:rPr>
          <w:lang w:val="fr-FR"/>
        </w:rPr>
        <w:t>décembre 1992. Les auteurs ne sont pas représentés par un conseil.</w:t>
      </w:r>
    </w:p>
    <w:p w14:paraId="1FC20FB8" w14:textId="77777777" w:rsidR="0072367B" w:rsidRPr="00F36092" w:rsidRDefault="0072367B" w:rsidP="0072367B">
      <w:pPr>
        <w:pStyle w:val="H23G"/>
        <w:rPr>
          <w:lang w:val="fr-FR"/>
        </w:rPr>
      </w:pPr>
      <w:r w:rsidRPr="00F36092">
        <w:rPr>
          <w:lang w:val="fr-FR"/>
        </w:rPr>
        <w:lastRenderedPageBreak/>
        <w:tab/>
      </w:r>
      <w:r w:rsidRPr="00F36092">
        <w:rPr>
          <w:lang w:val="fr-FR"/>
        </w:rPr>
        <w:tab/>
        <w:t>Rappel des faits présentés par les auteurs</w:t>
      </w:r>
    </w:p>
    <w:p w14:paraId="72E1B8B8" w14:textId="77777777" w:rsidR="0072367B" w:rsidRPr="000722B3" w:rsidRDefault="0072367B" w:rsidP="0072367B">
      <w:pPr>
        <w:pStyle w:val="SingleTxtG"/>
        <w:tabs>
          <w:tab w:val="clear" w:pos="1701"/>
          <w:tab w:val="clear" w:pos="2268"/>
          <w:tab w:val="clear" w:pos="2835"/>
        </w:tabs>
        <w:rPr>
          <w:lang w:val="fr-FR"/>
        </w:rPr>
      </w:pPr>
      <w:r w:rsidRPr="00F36092">
        <w:rPr>
          <w:lang w:val="fr-FR"/>
        </w:rPr>
        <w:t>2.1</w:t>
      </w:r>
      <w:r w:rsidRPr="00F36092">
        <w:rPr>
          <w:lang w:val="fr-FR"/>
        </w:rPr>
        <w:tab/>
        <w:t>Le 25</w:t>
      </w:r>
      <w:r>
        <w:rPr>
          <w:lang w:val="fr-FR"/>
        </w:rPr>
        <w:t> </w:t>
      </w:r>
      <w:r w:rsidRPr="00F36092">
        <w:rPr>
          <w:lang w:val="fr-FR"/>
        </w:rPr>
        <w:t>juin 2014, les auteurs ont demandé au Comité exécutif de la ville de Gomel l</w:t>
      </w:r>
      <w:r>
        <w:rPr>
          <w:lang w:val="fr-FR"/>
        </w:rPr>
        <w:t>’</w:t>
      </w:r>
      <w:r w:rsidRPr="00F36092">
        <w:rPr>
          <w:lang w:val="fr-FR"/>
        </w:rPr>
        <w:t>autorisation d</w:t>
      </w:r>
      <w:r>
        <w:rPr>
          <w:lang w:val="fr-FR"/>
        </w:rPr>
        <w:t>’</w:t>
      </w:r>
      <w:r w:rsidRPr="00F36092">
        <w:rPr>
          <w:lang w:val="fr-FR"/>
        </w:rPr>
        <w:t>organiser des rassemblements pacifiques le 27</w:t>
      </w:r>
      <w:r>
        <w:rPr>
          <w:lang w:val="fr-FR"/>
        </w:rPr>
        <w:t> </w:t>
      </w:r>
      <w:r w:rsidRPr="00F36092">
        <w:rPr>
          <w:lang w:val="fr-FR"/>
        </w:rPr>
        <w:t xml:space="preserve">juillet 2014 dans </w:t>
      </w:r>
      <w:r>
        <w:rPr>
          <w:lang w:val="fr-FR"/>
        </w:rPr>
        <w:t>18 </w:t>
      </w:r>
      <w:r w:rsidRPr="00F36092">
        <w:rPr>
          <w:lang w:val="fr-FR"/>
        </w:rPr>
        <w:t>endroits différents de la ville, notamment</w:t>
      </w:r>
      <w:r>
        <w:rPr>
          <w:lang w:val="fr-FR"/>
        </w:rPr>
        <w:t> </w:t>
      </w:r>
      <w:r w:rsidRPr="00F36092">
        <w:rPr>
          <w:lang w:val="fr-FR"/>
        </w:rPr>
        <w:t xml:space="preserve">: près du magasin </w:t>
      </w:r>
      <w:proofErr w:type="spellStart"/>
      <w:r w:rsidRPr="00F36092">
        <w:rPr>
          <w:lang w:val="fr-FR"/>
        </w:rPr>
        <w:t>Dashenjka</w:t>
      </w:r>
      <w:proofErr w:type="spellEnd"/>
      <w:r w:rsidRPr="00F36092">
        <w:rPr>
          <w:lang w:val="fr-FR"/>
        </w:rPr>
        <w:t xml:space="preserve"> (rue </w:t>
      </w:r>
      <w:proofErr w:type="spellStart"/>
      <w:r w:rsidRPr="00F36092">
        <w:rPr>
          <w:lang w:val="fr-FR"/>
        </w:rPr>
        <w:t>Minskaya</w:t>
      </w:r>
      <w:proofErr w:type="spellEnd"/>
      <w:r w:rsidRPr="00F36092">
        <w:rPr>
          <w:lang w:val="fr-FR"/>
        </w:rPr>
        <w:t>, 42a) ; près du grand magasin Gomel</w:t>
      </w:r>
      <w:r>
        <w:rPr>
          <w:lang w:val="fr-FR"/>
        </w:rPr>
        <w:t xml:space="preserve"> </w:t>
      </w:r>
      <w:r w:rsidRPr="00F36092">
        <w:rPr>
          <w:lang w:val="fr-FR"/>
        </w:rPr>
        <w:t xml:space="preserve">(rue </w:t>
      </w:r>
      <w:proofErr w:type="spellStart"/>
      <w:r w:rsidRPr="00F36092">
        <w:rPr>
          <w:lang w:val="fr-FR"/>
        </w:rPr>
        <w:t>Sovetskaya</w:t>
      </w:r>
      <w:proofErr w:type="spellEnd"/>
      <w:r w:rsidRPr="00F36092">
        <w:rPr>
          <w:lang w:val="fr-FR"/>
        </w:rPr>
        <w:t>, 60)</w:t>
      </w:r>
      <w:r>
        <w:rPr>
          <w:lang w:val="fr-FR"/>
        </w:rPr>
        <w:t> </w:t>
      </w:r>
      <w:r w:rsidRPr="00F36092">
        <w:rPr>
          <w:lang w:val="fr-FR"/>
        </w:rPr>
        <w:t>; près du cinéma</w:t>
      </w:r>
      <w:r>
        <w:rPr>
          <w:lang w:val="fr-FR"/>
        </w:rPr>
        <w:t xml:space="preserve"> </w:t>
      </w:r>
      <w:r w:rsidRPr="00F36092">
        <w:rPr>
          <w:lang w:val="fr-FR"/>
        </w:rPr>
        <w:t>Mir</w:t>
      </w:r>
      <w:r>
        <w:rPr>
          <w:lang w:val="fr-FR"/>
        </w:rPr>
        <w:t xml:space="preserve"> </w:t>
      </w:r>
      <w:r w:rsidRPr="00F36092">
        <w:rPr>
          <w:lang w:val="fr-FR"/>
        </w:rPr>
        <w:t xml:space="preserve">(rue </w:t>
      </w:r>
      <w:proofErr w:type="spellStart"/>
      <w:r w:rsidRPr="00F36092">
        <w:rPr>
          <w:lang w:val="fr-FR"/>
        </w:rPr>
        <w:t>Ilyich</w:t>
      </w:r>
      <w:proofErr w:type="spellEnd"/>
      <w:r w:rsidRPr="00F36092">
        <w:rPr>
          <w:lang w:val="fr-FR"/>
        </w:rPr>
        <w:t>, 51b)</w:t>
      </w:r>
      <w:r>
        <w:rPr>
          <w:lang w:val="fr-FR"/>
        </w:rPr>
        <w:t> </w:t>
      </w:r>
      <w:r w:rsidRPr="00F36092">
        <w:rPr>
          <w:lang w:val="fr-FR"/>
        </w:rPr>
        <w:t>; près de l</w:t>
      </w:r>
      <w:r>
        <w:rPr>
          <w:lang w:val="fr-FR"/>
        </w:rPr>
        <w:t>’</w:t>
      </w:r>
      <w:r w:rsidRPr="00F36092">
        <w:rPr>
          <w:lang w:val="fr-FR"/>
        </w:rPr>
        <w:t>école secondaire n</w:t>
      </w:r>
      <w:r>
        <w:rPr>
          <w:vertAlign w:val="superscript"/>
          <w:lang w:val="fr-FR"/>
        </w:rPr>
        <w:t>o </w:t>
      </w:r>
      <w:r w:rsidRPr="00F36092">
        <w:rPr>
          <w:lang w:val="fr-FR"/>
        </w:rPr>
        <w:t xml:space="preserve">2 (rue </w:t>
      </w:r>
      <w:proofErr w:type="spellStart"/>
      <w:r w:rsidRPr="00F36092">
        <w:rPr>
          <w:lang w:val="fr-FR"/>
        </w:rPr>
        <w:t>Ilyich</w:t>
      </w:r>
      <w:proofErr w:type="spellEnd"/>
      <w:r w:rsidRPr="00F36092">
        <w:rPr>
          <w:lang w:val="fr-FR"/>
        </w:rPr>
        <w:t>, 53)</w:t>
      </w:r>
      <w:r>
        <w:rPr>
          <w:lang w:val="fr-FR"/>
        </w:rPr>
        <w:t> </w:t>
      </w:r>
      <w:r w:rsidRPr="00F36092">
        <w:rPr>
          <w:lang w:val="fr-FR"/>
        </w:rPr>
        <w:t xml:space="preserve">; près de la patinoire (rue </w:t>
      </w:r>
      <w:proofErr w:type="spellStart"/>
      <w:r w:rsidRPr="00F36092">
        <w:rPr>
          <w:lang w:val="fr-FR"/>
        </w:rPr>
        <w:t>Mazurova</w:t>
      </w:r>
      <w:proofErr w:type="spellEnd"/>
      <w:r w:rsidRPr="00F36092">
        <w:rPr>
          <w:lang w:val="fr-FR"/>
        </w:rPr>
        <w:t>, 110)</w:t>
      </w:r>
      <w:r>
        <w:rPr>
          <w:lang w:val="fr-FR"/>
        </w:rPr>
        <w:t> </w:t>
      </w:r>
      <w:r w:rsidRPr="00F36092">
        <w:rPr>
          <w:lang w:val="fr-FR"/>
        </w:rPr>
        <w:t xml:space="preserve">; près du marché </w:t>
      </w:r>
      <w:proofErr w:type="spellStart"/>
      <w:r w:rsidRPr="00F36092">
        <w:rPr>
          <w:lang w:val="fr-FR"/>
        </w:rPr>
        <w:t>Prudkovskiy</w:t>
      </w:r>
      <w:proofErr w:type="spellEnd"/>
      <w:r>
        <w:rPr>
          <w:lang w:val="fr-FR"/>
        </w:rPr>
        <w:t xml:space="preserve"> </w:t>
      </w:r>
      <w:r w:rsidRPr="00F36092">
        <w:rPr>
          <w:lang w:val="fr-FR"/>
        </w:rPr>
        <w:t xml:space="preserve">(rue </w:t>
      </w:r>
      <w:proofErr w:type="spellStart"/>
      <w:r w:rsidRPr="00F36092">
        <w:rPr>
          <w:lang w:val="fr-FR"/>
        </w:rPr>
        <w:t>Kamenshchikova</w:t>
      </w:r>
      <w:proofErr w:type="spellEnd"/>
      <w:r w:rsidRPr="00F36092">
        <w:rPr>
          <w:lang w:val="fr-FR"/>
        </w:rPr>
        <w:t>, 3)</w:t>
      </w:r>
      <w:r>
        <w:rPr>
          <w:lang w:val="fr-FR"/>
        </w:rPr>
        <w:t> </w:t>
      </w:r>
      <w:r w:rsidRPr="00F36092">
        <w:rPr>
          <w:lang w:val="fr-FR"/>
        </w:rPr>
        <w:t>; sur la Place de l</w:t>
      </w:r>
      <w:r>
        <w:rPr>
          <w:lang w:val="fr-FR"/>
        </w:rPr>
        <w:t>’</w:t>
      </w:r>
      <w:r w:rsidRPr="00F36092">
        <w:rPr>
          <w:lang w:val="fr-FR"/>
        </w:rPr>
        <w:t>insurrection</w:t>
      </w:r>
      <w:r>
        <w:rPr>
          <w:lang w:val="fr-FR"/>
        </w:rPr>
        <w:t> </w:t>
      </w:r>
      <w:r w:rsidRPr="00F36092">
        <w:rPr>
          <w:lang w:val="fr-FR"/>
        </w:rPr>
        <w:t>; près de la sculpture d</w:t>
      </w:r>
      <w:r>
        <w:rPr>
          <w:lang w:val="fr-FR"/>
        </w:rPr>
        <w:t>’</w:t>
      </w:r>
      <w:r w:rsidRPr="00F36092">
        <w:rPr>
          <w:lang w:val="fr-FR"/>
        </w:rPr>
        <w:t>A</w:t>
      </w:r>
      <w:r>
        <w:rPr>
          <w:lang w:val="fr-FR"/>
        </w:rPr>
        <w:t>ndrei</w:t>
      </w:r>
      <w:r w:rsidRPr="00F36092">
        <w:rPr>
          <w:lang w:val="fr-FR"/>
        </w:rPr>
        <w:t> Gr</w:t>
      </w:r>
      <w:r>
        <w:rPr>
          <w:lang w:val="fr-FR"/>
        </w:rPr>
        <w:t>o</w:t>
      </w:r>
      <w:r w:rsidRPr="00F36092">
        <w:rPr>
          <w:lang w:val="fr-FR"/>
        </w:rPr>
        <w:t>myko, sur la place des Pionniers</w:t>
      </w:r>
      <w:r>
        <w:rPr>
          <w:lang w:val="fr-FR"/>
        </w:rPr>
        <w:t> </w:t>
      </w:r>
      <w:r w:rsidRPr="00F36092">
        <w:rPr>
          <w:lang w:val="fr-FR"/>
        </w:rPr>
        <w:t>; près de l</w:t>
      </w:r>
      <w:r>
        <w:rPr>
          <w:lang w:val="fr-FR"/>
        </w:rPr>
        <w:t>’</w:t>
      </w:r>
      <w:r w:rsidRPr="00F36092">
        <w:rPr>
          <w:lang w:val="fr-FR"/>
        </w:rPr>
        <w:t>hypermarché Hippo</w:t>
      </w:r>
      <w:r>
        <w:rPr>
          <w:lang w:val="fr-FR"/>
        </w:rPr>
        <w:t xml:space="preserve"> </w:t>
      </w:r>
      <w:r w:rsidRPr="00F36092">
        <w:rPr>
          <w:lang w:val="fr-FR"/>
        </w:rPr>
        <w:t xml:space="preserve">(rue </w:t>
      </w:r>
      <w:proofErr w:type="spellStart"/>
      <w:r w:rsidRPr="00F36092">
        <w:rPr>
          <w:lang w:val="fr-FR"/>
        </w:rPr>
        <w:t>Kosarev</w:t>
      </w:r>
      <w:proofErr w:type="spellEnd"/>
      <w:r w:rsidRPr="00F36092">
        <w:rPr>
          <w:lang w:val="fr-FR"/>
        </w:rPr>
        <w:t>, 18)</w:t>
      </w:r>
      <w:r>
        <w:rPr>
          <w:lang w:val="fr-FR"/>
        </w:rPr>
        <w:t> </w:t>
      </w:r>
      <w:r w:rsidRPr="00F36092">
        <w:rPr>
          <w:lang w:val="fr-FR"/>
        </w:rPr>
        <w:t xml:space="preserve">; près du grand magasin </w:t>
      </w:r>
      <w:proofErr w:type="spellStart"/>
      <w:r w:rsidRPr="00F36092">
        <w:rPr>
          <w:lang w:val="fr-FR"/>
        </w:rPr>
        <w:t>Pyaterochka</w:t>
      </w:r>
      <w:proofErr w:type="spellEnd"/>
      <w:r>
        <w:rPr>
          <w:lang w:val="fr-FR"/>
        </w:rPr>
        <w:t xml:space="preserve"> </w:t>
      </w:r>
      <w:r w:rsidRPr="00F36092">
        <w:rPr>
          <w:lang w:val="fr-FR"/>
        </w:rPr>
        <w:t xml:space="preserve">(avenue </w:t>
      </w:r>
      <w:proofErr w:type="spellStart"/>
      <w:r w:rsidRPr="00F36092">
        <w:rPr>
          <w:lang w:val="fr-FR"/>
        </w:rPr>
        <w:t>Rechitskiy</w:t>
      </w:r>
      <w:proofErr w:type="spellEnd"/>
      <w:r w:rsidRPr="00F36092">
        <w:rPr>
          <w:lang w:val="fr-FR"/>
        </w:rPr>
        <w:t>, 65)</w:t>
      </w:r>
      <w:r>
        <w:rPr>
          <w:lang w:val="fr-FR"/>
        </w:rPr>
        <w:t> </w:t>
      </w:r>
      <w:r w:rsidRPr="00F36092">
        <w:rPr>
          <w:lang w:val="fr-FR"/>
        </w:rPr>
        <w:t>; près du magasin Mart Inn</w:t>
      </w:r>
      <w:r>
        <w:rPr>
          <w:lang w:val="fr-FR"/>
        </w:rPr>
        <w:t xml:space="preserve"> </w:t>
      </w:r>
      <w:r w:rsidRPr="00F36092">
        <w:rPr>
          <w:lang w:val="fr-FR"/>
        </w:rPr>
        <w:t xml:space="preserve">(rue </w:t>
      </w:r>
      <w:proofErr w:type="spellStart"/>
      <w:r w:rsidRPr="00F36092">
        <w:rPr>
          <w:lang w:val="fr-FR"/>
        </w:rPr>
        <w:t>Barykin</w:t>
      </w:r>
      <w:proofErr w:type="spellEnd"/>
      <w:r w:rsidRPr="00F36092">
        <w:rPr>
          <w:lang w:val="fr-FR"/>
        </w:rPr>
        <w:t>, 143)</w:t>
      </w:r>
      <w:r>
        <w:rPr>
          <w:lang w:val="fr-FR"/>
        </w:rPr>
        <w:t> </w:t>
      </w:r>
      <w:r w:rsidRPr="00F36092">
        <w:rPr>
          <w:lang w:val="fr-FR"/>
        </w:rPr>
        <w:t>; près du cinéma Octobre</w:t>
      </w:r>
      <w:r>
        <w:rPr>
          <w:lang w:val="fr-FR"/>
        </w:rPr>
        <w:t xml:space="preserve"> </w:t>
      </w:r>
      <w:r w:rsidRPr="00F36092">
        <w:rPr>
          <w:lang w:val="fr-FR"/>
        </w:rPr>
        <w:t xml:space="preserve">(rue </w:t>
      </w:r>
      <w:proofErr w:type="spellStart"/>
      <w:r w:rsidRPr="00F36092">
        <w:rPr>
          <w:lang w:val="fr-FR"/>
        </w:rPr>
        <w:t>Barykin</w:t>
      </w:r>
      <w:proofErr w:type="spellEnd"/>
      <w:r w:rsidRPr="00F36092">
        <w:rPr>
          <w:lang w:val="fr-FR"/>
        </w:rPr>
        <w:t>, 127)</w:t>
      </w:r>
      <w:r>
        <w:rPr>
          <w:lang w:val="fr-FR"/>
        </w:rPr>
        <w:t> </w:t>
      </w:r>
      <w:r w:rsidRPr="00F36092">
        <w:rPr>
          <w:lang w:val="fr-FR"/>
        </w:rPr>
        <w:t xml:space="preserve">; près du magasin </w:t>
      </w:r>
      <w:proofErr w:type="spellStart"/>
      <w:r w:rsidRPr="00F36092">
        <w:rPr>
          <w:lang w:val="fr-FR"/>
        </w:rPr>
        <w:t>Chernomorskiy</w:t>
      </w:r>
      <w:proofErr w:type="spellEnd"/>
      <w:r>
        <w:rPr>
          <w:lang w:val="fr-FR"/>
        </w:rPr>
        <w:t xml:space="preserve"> </w:t>
      </w:r>
      <w:r w:rsidRPr="00F36092">
        <w:rPr>
          <w:lang w:val="fr-FR"/>
        </w:rPr>
        <w:t xml:space="preserve">(rue </w:t>
      </w:r>
      <w:proofErr w:type="spellStart"/>
      <w:r w:rsidRPr="00F36092">
        <w:rPr>
          <w:lang w:val="fr-FR"/>
        </w:rPr>
        <w:t>Chernomorskiy</w:t>
      </w:r>
      <w:proofErr w:type="spellEnd"/>
      <w:r w:rsidRPr="00F36092">
        <w:rPr>
          <w:lang w:val="fr-FR"/>
        </w:rPr>
        <w:t>, 13)</w:t>
      </w:r>
      <w:r>
        <w:rPr>
          <w:lang w:val="fr-FR"/>
        </w:rPr>
        <w:t> </w:t>
      </w:r>
      <w:r w:rsidRPr="00F36092">
        <w:rPr>
          <w:lang w:val="fr-FR"/>
        </w:rPr>
        <w:t>; près de l</w:t>
      </w:r>
      <w:r>
        <w:rPr>
          <w:lang w:val="fr-FR"/>
        </w:rPr>
        <w:t>’</w:t>
      </w:r>
      <w:r w:rsidRPr="00F36092">
        <w:rPr>
          <w:lang w:val="fr-FR"/>
        </w:rPr>
        <w:t xml:space="preserve">université technique </w:t>
      </w:r>
      <w:r>
        <w:rPr>
          <w:lang w:val="fr-FR"/>
        </w:rPr>
        <w:t xml:space="preserve">d’État </w:t>
      </w:r>
      <w:r w:rsidRPr="00F36092">
        <w:rPr>
          <w:lang w:val="fr-FR"/>
        </w:rPr>
        <w:t>P</w:t>
      </w:r>
      <w:r>
        <w:rPr>
          <w:lang w:val="fr-FR"/>
        </w:rPr>
        <w:t>avel</w:t>
      </w:r>
      <w:r w:rsidRPr="00F36092">
        <w:rPr>
          <w:lang w:val="fr-FR"/>
        </w:rPr>
        <w:t> </w:t>
      </w:r>
      <w:proofErr w:type="spellStart"/>
      <w:r w:rsidRPr="00F36092">
        <w:rPr>
          <w:lang w:val="fr-FR"/>
        </w:rPr>
        <w:t>Sukhoy</w:t>
      </w:r>
      <w:proofErr w:type="spellEnd"/>
      <w:r w:rsidRPr="00F36092">
        <w:rPr>
          <w:lang w:val="fr-FR"/>
        </w:rPr>
        <w:t xml:space="preserve"> (rue </w:t>
      </w:r>
      <w:proofErr w:type="spellStart"/>
      <w:r w:rsidRPr="00F36092">
        <w:rPr>
          <w:lang w:val="fr-FR"/>
        </w:rPr>
        <w:t>Barykin</w:t>
      </w:r>
      <w:proofErr w:type="spellEnd"/>
      <w:r w:rsidRPr="00F36092">
        <w:rPr>
          <w:lang w:val="fr-FR"/>
        </w:rPr>
        <w:t>)</w:t>
      </w:r>
      <w:r>
        <w:rPr>
          <w:lang w:val="fr-FR"/>
        </w:rPr>
        <w:t> </w:t>
      </w:r>
      <w:r w:rsidRPr="00F36092">
        <w:rPr>
          <w:lang w:val="fr-FR"/>
        </w:rPr>
        <w:t xml:space="preserve">; près </w:t>
      </w:r>
      <w:r>
        <w:rPr>
          <w:lang w:val="fr-FR"/>
        </w:rPr>
        <w:t xml:space="preserve">d’une filiale de la </w:t>
      </w:r>
      <w:proofErr w:type="spellStart"/>
      <w:r w:rsidRPr="00F36092">
        <w:rPr>
          <w:lang w:val="fr-FR"/>
        </w:rPr>
        <w:t>Belarusbank</w:t>
      </w:r>
      <w:proofErr w:type="spellEnd"/>
      <w:r>
        <w:rPr>
          <w:lang w:val="fr-FR"/>
        </w:rPr>
        <w:t xml:space="preserve"> </w:t>
      </w:r>
      <w:r w:rsidRPr="00F36092">
        <w:rPr>
          <w:lang w:val="fr-FR"/>
        </w:rPr>
        <w:t xml:space="preserve">(rue </w:t>
      </w:r>
      <w:proofErr w:type="spellStart"/>
      <w:r w:rsidRPr="00F36092">
        <w:rPr>
          <w:lang w:val="fr-FR"/>
        </w:rPr>
        <w:t>Zhukov</w:t>
      </w:r>
      <w:proofErr w:type="spellEnd"/>
      <w:r w:rsidRPr="00F36092">
        <w:rPr>
          <w:lang w:val="fr-FR"/>
        </w:rPr>
        <w:t>, 40a)</w:t>
      </w:r>
      <w:r>
        <w:rPr>
          <w:lang w:val="fr-FR"/>
        </w:rPr>
        <w:t> </w:t>
      </w:r>
      <w:r w:rsidRPr="00F36092">
        <w:rPr>
          <w:lang w:val="fr-FR"/>
        </w:rPr>
        <w:t xml:space="preserve">; près du magasin </w:t>
      </w:r>
      <w:proofErr w:type="spellStart"/>
      <w:r w:rsidRPr="00F36092">
        <w:rPr>
          <w:lang w:val="fr-FR"/>
        </w:rPr>
        <w:t>Rodnaya</w:t>
      </w:r>
      <w:proofErr w:type="spellEnd"/>
      <w:r w:rsidRPr="00F36092">
        <w:rPr>
          <w:lang w:val="fr-FR"/>
        </w:rPr>
        <w:t xml:space="preserve"> </w:t>
      </w:r>
      <w:proofErr w:type="spellStart"/>
      <w:r w:rsidRPr="00F36092">
        <w:rPr>
          <w:lang w:val="fr-FR"/>
        </w:rPr>
        <w:t>Storona</w:t>
      </w:r>
      <w:proofErr w:type="spellEnd"/>
      <w:r>
        <w:rPr>
          <w:lang w:val="fr-FR"/>
        </w:rPr>
        <w:t xml:space="preserve"> </w:t>
      </w:r>
      <w:r w:rsidRPr="00F36092">
        <w:rPr>
          <w:lang w:val="fr-FR"/>
        </w:rPr>
        <w:t>(avenue Octobre, 22)</w:t>
      </w:r>
      <w:r>
        <w:rPr>
          <w:lang w:val="fr-FR"/>
        </w:rPr>
        <w:t> </w:t>
      </w:r>
      <w:r w:rsidRPr="00F36092">
        <w:rPr>
          <w:lang w:val="fr-FR"/>
        </w:rPr>
        <w:t xml:space="preserve">; près du centre médical </w:t>
      </w:r>
      <w:r w:rsidRPr="000722B3">
        <w:rPr>
          <w:lang w:val="fr-FR"/>
        </w:rPr>
        <w:t xml:space="preserve">principal de Gomel (rue </w:t>
      </w:r>
      <w:proofErr w:type="spellStart"/>
      <w:r w:rsidRPr="000722B3">
        <w:rPr>
          <w:lang w:val="fr-FR"/>
        </w:rPr>
        <w:t>Bochkin</w:t>
      </w:r>
      <w:proofErr w:type="spellEnd"/>
      <w:r w:rsidRPr="000722B3">
        <w:rPr>
          <w:lang w:val="fr-FR"/>
        </w:rPr>
        <w:t>, 182A)</w:t>
      </w:r>
      <w:r>
        <w:rPr>
          <w:lang w:val="fr-FR"/>
        </w:rPr>
        <w:t> </w:t>
      </w:r>
      <w:r w:rsidRPr="000722B3">
        <w:rPr>
          <w:lang w:val="fr-FR"/>
        </w:rPr>
        <w:t xml:space="preserve">; </w:t>
      </w:r>
      <w:r>
        <w:rPr>
          <w:lang w:val="fr-FR"/>
        </w:rPr>
        <w:t xml:space="preserve">et </w:t>
      </w:r>
      <w:r w:rsidRPr="000722B3">
        <w:rPr>
          <w:lang w:val="fr-FR"/>
        </w:rPr>
        <w:t xml:space="preserve">près du marché </w:t>
      </w:r>
      <w:proofErr w:type="spellStart"/>
      <w:r w:rsidRPr="000722B3">
        <w:rPr>
          <w:lang w:val="fr-FR"/>
        </w:rPr>
        <w:t>Chernomorskiy</w:t>
      </w:r>
      <w:proofErr w:type="spellEnd"/>
      <w:r>
        <w:rPr>
          <w:lang w:val="fr-FR"/>
        </w:rPr>
        <w:t xml:space="preserve"> </w:t>
      </w:r>
      <w:r w:rsidRPr="000722B3">
        <w:rPr>
          <w:lang w:val="fr-FR"/>
        </w:rPr>
        <w:t xml:space="preserve">(rue </w:t>
      </w:r>
      <w:proofErr w:type="spellStart"/>
      <w:r w:rsidRPr="000722B3">
        <w:rPr>
          <w:lang w:val="fr-FR"/>
        </w:rPr>
        <w:t>Chernomorskiy</w:t>
      </w:r>
      <w:proofErr w:type="spellEnd"/>
      <w:r w:rsidRPr="000722B3">
        <w:rPr>
          <w:lang w:val="fr-FR"/>
        </w:rPr>
        <w:t xml:space="preserve">). Le but de ces rassemblements était de manifester de la solidarité avec le peuple ukrainien dans </w:t>
      </w:r>
      <w:r>
        <w:rPr>
          <w:lang w:val="fr-FR"/>
        </w:rPr>
        <w:t>son désir d’</w:t>
      </w:r>
      <w:r w:rsidRPr="000722B3">
        <w:rPr>
          <w:lang w:val="fr-FR"/>
        </w:rPr>
        <w:t>indépendance.</w:t>
      </w:r>
    </w:p>
    <w:p w14:paraId="5878517F" w14:textId="77777777" w:rsidR="0072367B" w:rsidRPr="000722B3" w:rsidRDefault="0072367B" w:rsidP="0072367B">
      <w:pPr>
        <w:pStyle w:val="SingleTxtG"/>
        <w:rPr>
          <w:lang w:val="fr-FR"/>
        </w:rPr>
      </w:pPr>
      <w:r w:rsidRPr="000722B3">
        <w:rPr>
          <w:lang w:val="fr-FR"/>
        </w:rPr>
        <w:t>2.2</w:t>
      </w:r>
      <w:r w:rsidRPr="000722B3">
        <w:rPr>
          <w:lang w:val="fr-FR"/>
        </w:rPr>
        <w:tab/>
        <w:t>Le 17</w:t>
      </w:r>
      <w:r>
        <w:rPr>
          <w:lang w:val="fr-FR"/>
        </w:rPr>
        <w:t> </w:t>
      </w:r>
      <w:r w:rsidRPr="000722B3">
        <w:rPr>
          <w:lang w:val="fr-FR"/>
        </w:rPr>
        <w:t xml:space="preserve">juillet 2014, le Comité exécutif de </w:t>
      </w:r>
      <w:r>
        <w:rPr>
          <w:lang w:val="fr-FR"/>
        </w:rPr>
        <w:t>Gomel</w:t>
      </w:r>
      <w:r w:rsidRPr="000722B3">
        <w:rPr>
          <w:lang w:val="fr-FR"/>
        </w:rPr>
        <w:t xml:space="preserve"> a refusé d</w:t>
      </w:r>
      <w:r>
        <w:rPr>
          <w:lang w:val="fr-FR"/>
        </w:rPr>
        <w:t>’</w:t>
      </w:r>
      <w:r w:rsidRPr="000722B3">
        <w:rPr>
          <w:lang w:val="fr-FR"/>
        </w:rPr>
        <w:t>autoriser les pi</w:t>
      </w:r>
      <w:r>
        <w:rPr>
          <w:lang w:val="fr-FR"/>
        </w:rPr>
        <w:t>qu</w:t>
      </w:r>
      <w:r w:rsidRPr="000722B3">
        <w:rPr>
          <w:lang w:val="fr-FR"/>
        </w:rPr>
        <w:t>ets pour les motifs suivants : a)</w:t>
      </w:r>
      <w:r>
        <w:rPr>
          <w:lang w:val="fr-FR"/>
        </w:rPr>
        <w:t> </w:t>
      </w:r>
      <w:r w:rsidRPr="000722B3">
        <w:rPr>
          <w:lang w:val="fr-FR"/>
        </w:rPr>
        <w:t>l</w:t>
      </w:r>
      <w:r>
        <w:rPr>
          <w:lang w:val="fr-FR"/>
        </w:rPr>
        <w:t xml:space="preserve">es </w:t>
      </w:r>
      <w:r w:rsidRPr="000722B3">
        <w:rPr>
          <w:lang w:val="fr-FR"/>
        </w:rPr>
        <w:t>emplacement</w:t>
      </w:r>
      <w:r>
        <w:rPr>
          <w:lang w:val="fr-FR"/>
        </w:rPr>
        <w:t>s proposés</w:t>
      </w:r>
      <w:r w:rsidRPr="000722B3">
        <w:rPr>
          <w:lang w:val="fr-FR"/>
        </w:rPr>
        <w:t xml:space="preserve"> ne figurai</w:t>
      </w:r>
      <w:r>
        <w:rPr>
          <w:lang w:val="fr-FR"/>
        </w:rPr>
        <w:t>en</w:t>
      </w:r>
      <w:r w:rsidRPr="000722B3">
        <w:rPr>
          <w:lang w:val="fr-FR"/>
        </w:rPr>
        <w:t xml:space="preserve">t pas </w:t>
      </w:r>
      <w:r>
        <w:rPr>
          <w:lang w:val="fr-FR"/>
        </w:rPr>
        <w:t>sur</w:t>
      </w:r>
      <w:r w:rsidRPr="000722B3">
        <w:rPr>
          <w:lang w:val="fr-FR"/>
        </w:rPr>
        <w:t xml:space="preserve"> la liste des lieux </w:t>
      </w:r>
      <w:r>
        <w:rPr>
          <w:lang w:val="fr-FR"/>
        </w:rPr>
        <w:t>prévus</w:t>
      </w:r>
      <w:r w:rsidRPr="000722B3">
        <w:rPr>
          <w:lang w:val="fr-FR"/>
        </w:rPr>
        <w:t xml:space="preserve"> pour la tenue de telles manifestations, </w:t>
      </w:r>
      <w:r>
        <w:rPr>
          <w:lang w:val="fr-FR"/>
        </w:rPr>
        <w:t>contenue</w:t>
      </w:r>
      <w:r w:rsidRPr="000722B3">
        <w:rPr>
          <w:lang w:val="fr-FR"/>
        </w:rPr>
        <w:t xml:space="preserve"> dans </w:t>
      </w:r>
      <w:r>
        <w:rPr>
          <w:lang w:val="fr-FR"/>
        </w:rPr>
        <w:t>s</w:t>
      </w:r>
      <w:r w:rsidRPr="000722B3">
        <w:rPr>
          <w:lang w:val="fr-FR"/>
        </w:rPr>
        <w:t>a décision n</w:t>
      </w:r>
      <w:r w:rsidRPr="000722B3">
        <w:rPr>
          <w:vertAlign w:val="superscript"/>
          <w:lang w:val="fr-FR"/>
        </w:rPr>
        <w:t>o</w:t>
      </w:r>
      <w:r w:rsidRPr="000722B3">
        <w:rPr>
          <w:lang w:val="fr-FR"/>
        </w:rPr>
        <w:t> 775 du 15</w:t>
      </w:r>
      <w:r>
        <w:rPr>
          <w:lang w:val="fr-FR"/>
        </w:rPr>
        <w:t> </w:t>
      </w:r>
      <w:r w:rsidRPr="000722B3">
        <w:rPr>
          <w:lang w:val="fr-FR"/>
        </w:rPr>
        <w:t xml:space="preserve">août 2013 sur les manifestations de masse </w:t>
      </w:r>
      <w:r>
        <w:rPr>
          <w:lang w:val="fr-FR"/>
        </w:rPr>
        <w:t>à</w:t>
      </w:r>
      <w:r w:rsidRPr="000722B3">
        <w:rPr>
          <w:lang w:val="fr-FR"/>
        </w:rPr>
        <w:t xml:space="preserve"> Gomel ; b)</w:t>
      </w:r>
      <w:r>
        <w:rPr>
          <w:lang w:val="fr-FR"/>
        </w:rPr>
        <w:t> </w:t>
      </w:r>
      <w:r w:rsidRPr="000722B3">
        <w:rPr>
          <w:lang w:val="fr-FR"/>
        </w:rPr>
        <w:t>les auteurs n</w:t>
      </w:r>
      <w:r>
        <w:rPr>
          <w:lang w:val="fr-FR"/>
        </w:rPr>
        <w:t>’</w:t>
      </w:r>
      <w:r w:rsidRPr="000722B3">
        <w:rPr>
          <w:lang w:val="fr-FR"/>
        </w:rPr>
        <w:t xml:space="preserve">avaient pas </w:t>
      </w:r>
      <w:r>
        <w:rPr>
          <w:lang w:val="fr-FR"/>
        </w:rPr>
        <w:t>produit</w:t>
      </w:r>
      <w:r w:rsidRPr="000722B3">
        <w:rPr>
          <w:lang w:val="fr-FR"/>
        </w:rPr>
        <w:t xml:space="preserve"> les contrats conclus avec les prestataires de services municipaux compétents chargés, respectivement, d</w:t>
      </w:r>
      <w:r>
        <w:rPr>
          <w:lang w:val="fr-FR"/>
        </w:rPr>
        <w:t>’</w:t>
      </w:r>
      <w:r w:rsidRPr="000722B3">
        <w:rPr>
          <w:lang w:val="fr-FR"/>
        </w:rPr>
        <w:t>assurer un service médical pendant les manifestations et de nettoyer les lieux après celles-ci.</w:t>
      </w:r>
    </w:p>
    <w:p w14:paraId="1ADB4949" w14:textId="77777777" w:rsidR="0072367B" w:rsidRPr="00F36092" w:rsidRDefault="0072367B" w:rsidP="0072367B">
      <w:pPr>
        <w:pStyle w:val="SingleTxtG"/>
        <w:rPr>
          <w:lang w:val="fr-FR"/>
        </w:rPr>
      </w:pPr>
      <w:r w:rsidRPr="000722B3">
        <w:rPr>
          <w:lang w:val="fr-FR"/>
        </w:rPr>
        <w:t>2.3</w:t>
      </w:r>
      <w:r w:rsidRPr="000722B3">
        <w:rPr>
          <w:lang w:val="fr-FR"/>
        </w:rPr>
        <w:tab/>
        <w:t>Le 21</w:t>
      </w:r>
      <w:r>
        <w:rPr>
          <w:lang w:val="fr-FR"/>
        </w:rPr>
        <w:t> </w:t>
      </w:r>
      <w:r w:rsidRPr="000722B3">
        <w:rPr>
          <w:lang w:val="fr-FR"/>
        </w:rPr>
        <w:t>juillet 2014, les auteurs ont contesté la décision du Comité exécutif devant le tribunal du district central de Gomel, dénonçant une violation de leur droit à la liberté d</w:t>
      </w:r>
      <w:r>
        <w:rPr>
          <w:lang w:val="fr-FR"/>
        </w:rPr>
        <w:t>’</w:t>
      </w:r>
      <w:r w:rsidRPr="000722B3">
        <w:rPr>
          <w:lang w:val="fr-FR"/>
        </w:rPr>
        <w:t>expression et de leur droit de réunion pacifique, garantis par la Constitution du Bélarus et par les articles</w:t>
      </w:r>
      <w:r>
        <w:rPr>
          <w:lang w:val="fr-FR"/>
        </w:rPr>
        <w:t> </w:t>
      </w:r>
      <w:r w:rsidRPr="000722B3">
        <w:rPr>
          <w:lang w:val="fr-FR"/>
        </w:rPr>
        <w:t>19 et 21 du Pacte. Le 22</w:t>
      </w:r>
      <w:r>
        <w:rPr>
          <w:lang w:val="fr-FR"/>
        </w:rPr>
        <w:t> </w:t>
      </w:r>
      <w:r w:rsidRPr="000722B3">
        <w:rPr>
          <w:lang w:val="fr-FR"/>
        </w:rPr>
        <w:t xml:space="preserve">septembre 2014, le tribunal a jugé que la décision du Comité exécutif était conforme aux dispositions de </w:t>
      </w:r>
      <w:r w:rsidRPr="00C0150D">
        <w:rPr>
          <w:lang w:val="fr-FR"/>
        </w:rPr>
        <w:t>la loi régissant les manifestations publiques et a rejeté le recours.</w:t>
      </w:r>
    </w:p>
    <w:p w14:paraId="69972852" w14:textId="77777777" w:rsidR="0072367B" w:rsidRPr="00F36092" w:rsidRDefault="0072367B" w:rsidP="0072367B">
      <w:pPr>
        <w:pStyle w:val="SingleTxtG"/>
        <w:rPr>
          <w:lang w:val="fr-FR"/>
        </w:rPr>
      </w:pPr>
      <w:r w:rsidRPr="00F36092">
        <w:rPr>
          <w:lang w:val="fr-FR"/>
        </w:rPr>
        <w:t>2.4</w:t>
      </w:r>
      <w:r w:rsidRPr="00F36092">
        <w:rPr>
          <w:lang w:val="fr-FR"/>
        </w:rPr>
        <w:tab/>
        <w:t>Les auteurs ont déposé devant le tribunal régional de Gomel un recours en cassation contre la décision du tribunal de district ; ce recours a été rejeté le 28</w:t>
      </w:r>
      <w:r>
        <w:rPr>
          <w:lang w:val="fr-FR"/>
        </w:rPr>
        <w:t> </w:t>
      </w:r>
      <w:r w:rsidRPr="00F36092">
        <w:rPr>
          <w:lang w:val="fr-FR"/>
        </w:rPr>
        <w:t>octobre 2014.</w:t>
      </w:r>
    </w:p>
    <w:p w14:paraId="66F2B178" w14:textId="77777777" w:rsidR="0072367B" w:rsidRPr="00F36092" w:rsidRDefault="0072367B" w:rsidP="0072367B">
      <w:pPr>
        <w:pStyle w:val="SingleTxtG"/>
        <w:rPr>
          <w:lang w:val="fr-FR"/>
        </w:rPr>
      </w:pPr>
      <w:r w:rsidRPr="00F36092">
        <w:rPr>
          <w:lang w:val="fr-FR"/>
        </w:rPr>
        <w:t>2.5</w:t>
      </w:r>
      <w:r w:rsidRPr="00F36092">
        <w:rPr>
          <w:lang w:val="fr-FR"/>
        </w:rPr>
        <w:tab/>
        <w:t>Les recours formés ensuite par les auteurs devant le Président du tribunal régional de Gomel le 2</w:t>
      </w:r>
      <w:r>
        <w:rPr>
          <w:lang w:val="fr-FR"/>
        </w:rPr>
        <w:t> </w:t>
      </w:r>
      <w:r w:rsidRPr="00F36092">
        <w:rPr>
          <w:lang w:val="fr-FR"/>
        </w:rPr>
        <w:t>septembre 2015, puis devant le Président de la Cour suprême le 10</w:t>
      </w:r>
      <w:r>
        <w:rPr>
          <w:lang w:val="fr-FR"/>
        </w:rPr>
        <w:t> </w:t>
      </w:r>
      <w:r w:rsidRPr="00F36092">
        <w:rPr>
          <w:lang w:val="fr-FR"/>
        </w:rPr>
        <w:t>octobre 2015 au titre de la procédure de contrôle ont été rejetés respectivement les 6</w:t>
      </w:r>
      <w:r>
        <w:rPr>
          <w:lang w:val="fr-FR"/>
        </w:rPr>
        <w:t> </w:t>
      </w:r>
      <w:r w:rsidRPr="00F36092">
        <w:rPr>
          <w:lang w:val="fr-FR"/>
        </w:rPr>
        <w:t>octobre et 25</w:t>
      </w:r>
      <w:r>
        <w:rPr>
          <w:lang w:val="fr-FR"/>
        </w:rPr>
        <w:t> </w:t>
      </w:r>
      <w:r w:rsidRPr="00F36092">
        <w:rPr>
          <w:lang w:val="fr-FR"/>
        </w:rPr>
        <w:t>novembre 2015.</w:t>
      </w:r>
    </w:p>
    <w:p w14:paraId="078F4714" w14:textId="77777777" w:rsidR="0072367B" w:rsidRPr="00F36092" w:rsidRDefault="0072367B" w:rsidP="0072367B">
      <w:pPr>
        <w:pStyle w:val="SingleTxtG"/>
        <w:rPr>
          <w:lang w:val="fr-FR"/>
        </w:rPr>
      </w:pPr>
      <w:r w:rsidRPr="00F36092">
        <w:rPr>
          <w:lang w:val="fr-FR"/>
        </w:rPr>
        <w:t>2.6</w:t>
      </w:r>
      <w:r w:rsidRPr="00F36092">
        <w:rPr>
          <w:lang w:val="fr-FR"/>
        </w:rPr>
        <w:tab/>
        <w:t>Les auteurs ont également saisi le Bureau du Procureur général de demandes de réexamen au titre de la procédure de contrôle, demandes qui ont été rejetées par le Procureur général de la région de Gomel et par le Procureur général adjoint du Bélarus respectivement les 20</w:t>
      </w:r>
      <w:r>
        <w:rPr>
          <w:lang w:val="fr-FR"/>
        </w:rPr>
        <w:t> </w:t>
      </w:r>
      <w:r w:rsidRPr="00F36092">
        <w:rPr>
          <w:lang w:val="fr-FR"/>
        </w:rPr>
        <w:t>janvier et 11</w:t>
      </w:r>
      <w:r>
        <w:rPr>
          <w:lang w:val="fr-FR"/>
        </w:rPr>
        <w:t> </w:t>
      </w:r>
      <w:r w:rsidRPr="00F36092">
        <w:rPr>
          <w:lang w:val="fr-FR"/>
        </w:rPr>
        <w:t>mars 2016.</w:t>
      </w:r>
    </w:p>
    <w:p w14:paraId="1EA66EC2" w14:textId="77777777" w:rsidR="0072367B" w:rsidRPr="00F36092" w:rsidRDefault="0072367B" w:rsidP="0072367B">
      <w:pPr>
        <w:pStyle w:val="H23G"/>
        <w:rPr>
          <w:lang w:val="fr-FR"/>
        </w:rPr>
      </w:pPr>
      <w:r w:rsidRPr="00F36092">
        <w:rPr>
          <w:lang w:val="fr-FR"/>
        </w:rPr>
        <w:tab/>
      </w:r>
      <w:r w:rsidRPr="00F36092">
        <w:rPr>
          <w:lang w:val="fr-FR"/>
        </w:rPr>
        <w:tab/>
        <w:t>Teneur de la plainte</w:t>
      </w:r>
    </w:p>
    <w:p w14:paraId="71F3CD8F" w14:textId="77777777" w:rsidR="0072367B" w:rsidRPr="00F36092" w:rsidRDefault="0072367B" w:rsidP="0072367B">
      <w:pPr>
        <w:pStyle w:val="SingleTxtG"/>
        <w:rPr>
          <w:lang w:val="fr-FR"/>
        </w:rPr>
      </w:pPr>
      <w:r w:rsidRPr="00F36092">
        <w:rPr>
          <w:lang w:val="fr-FR"/>
        </w:rPr>
        <w:t>3.1</w:t>
      </w:r>
      <w:r w:rsidRPr="00F36092">
        <w:rPr>
          <w:lang w:val="fr-FR"/>
        </w:rPr>
        <w:tab/>
        <w:t xml:space="preserve">Les auteurs soutiennent que le </w:t>
      </w:r>
      <w:r>
        <w:rPr>
          <w:lang w:val="fr-FR"/>
        </w:rPr>
        <w:t>refus d</w:t>
      </w:r>
      <w:r w:rsidRPr="00F36092">
        <w:rPr>
          <w:lang w:val="fr-FR"/>
        </w:rPr>
        <w:t>es autorités nationales d</w:t>
      </w:r>
      <w:r>
        <w:rPr>
          <w:lang w:val="fr-FR"/>
        </w:rPr>
        <w:t>’</w:t>
      </w:r>
      <w:r w:rsidRPr="00F36092">
        <w:rPr>
          <w:lang w:val="fr-FR"/>
        </w:rPr>
        <w:t>autoris</w:t>
      </w:r>
      <w:r>
        <w:rPr>
          <w:lang w:val="fr-FR"/>
        </w:rPr>
        <w:t xml:space="preserve">er la tenue de </w:t>
      </w:r>
      <w:r w:rsidRPr="00F36092">
        <w:rPr>
          <w:lang w:val="fr-FR"/>
        </w:rPr>
        <w:t>rassemblement</w:t>
      </w:r>
      <w:r>
        <w:rPr>
          <w:lang w:val="fr-FR"/>
        </w:rPr>
        <w:t>s pacifiques</w:t>
      </w:r>
      <w:r w:rsidRPr="00F36092">
        <w:rPr>
          <w:lang w:val="fr-FR"/>
        </w:rPr>
        <w:t xml:space="preserve"> constitue une violation des droits qu</w:t>
      </w:r>
      <w:r>
        <w:rPr>
          <w:lang w:val="fr-FR"/>
        </w:rPr>
        <w:t>’</w:t>
      </w:r>
      <w:r w:rsidRPr="00F36092">
        <w:rPr>
          <w:lang w:val="fr-FR"/>
        </w:rPr>
        <w:t>ils tiennent des articles</w:t>
      </w:r>
      <w:r>
        <w:rPr>
          <w:lang w:val="fr-FR"/>
        </w:rPr>
        <w:t> </w:t>
      </w:r>
      <w:r w:rsidRPr="00F36092">
        <w:rPr>
          <w:lang w:val="fr-FR"/>
        </w:rPr>
        <w:t>19 et 21 du Pacte, lus conjointement avec l</w:t>
      </w:r>
      <w:r>
        <w:rPr>
          <w:lang w:val="fr-FR"/>
        </w:rPr>
        <w:t>’</w:t>
      </w:r>
      <w:r w:rsidRPr="00F36092">
        <w:rPr>
          <w:lang w:val="fr-FR"/>
        </w:rPr>
        <w:t>article</w:t>
      </w:r>
      <w:r>
        <w:rPr>
          <w:lang w:val="fr-FR"/>
        </w:rPr>
        <w:t> </w:t>
      </w:r>
      <w:r w:rsidRPr="00F36092">
        <w:rPr>
          <w:lang w:val="fr-FR"/>
        </w:rPr>
        <w:t>2 (par.</w:t>
      </w:r>
      <w:r>
        <w:rPr>
          <w:lang w:val="fr-FR"/>
        </w:rPr>
        <w:t> </w:t>
      </w:r>
      <w:r w:rsidRPr="00F36092">
        <w:rPr>
          <w:lang w:val="fr-FR"/>
        </w:rPr>
        <w:t>2 et 3).</w:t>
      </w:r>
    </w:p>
    <w:p w14:paraId="3121D2EC" w14:textId="77777777" w:rsidR="0072367B" w:rsidRPr="00F36092" w:rsidRDefault="0072367B" w:rsidP="0072367B">
      <w:pPr>
        <w:pStyle w:val="SingleTxtG"/>
        <w:keepNext/>
        <w:keepLines/>
        <w:rPr>
          <w:lang w:val="fr-FR"/>
        </w:rPr>
      </w:pPr>
      <w:r w:rsidRPr="00F36092">
        <w:rPr>
          <w:lang w:val="fr-FR"/>
        </w:rPr>
        <w:t>3.2</w:t>
      </w:r>
      <w:r w:rsidRPr="00F36092">
        <w:rPr>
          <w:lang w:val="fr-FR"/>
        </w:rPr>
        <w:tab/>
        <w:t>Les auteurs affirment que ni le Comité exécutif de la ville de Gomel ni les tribunaux n</w:t>
      </w:r>
      <w:r>
        <w:rPr>
          <w:lang w:val="fr-FR"/>
        </w:rPr>
        <w:t>’</w:t>
      </w:r>
      <w:r w:rsidRPr="00F36092">
        <w:rPr>
          <w:lang w:val="fr-FR"/>
        </w:rPr>
        <w:t>ont examiné la question de savoir si les restrictions imposées à leurs droits au titre de la décision n</w:t>
      </w:r>
      <w:r w:rsidRPr="00F36092">
        <w:rPr>
          <w:vertAlign w:val="superscript"/>
          <w:lang w:val="fr-FR"/>
        </w:rPr>
        <w:t>o</w:t>
      </w:r>
      <w:r w:rsidRPr="00F36092">
        <w:rPr>
          <w:lang w:val="fr-FR"/>
        </w:rPr>
        <w:t> 775 étaient justifiées par la nécessité de protéger la sécurité nationale ou la sûreté publique, l</w:t>
      </w:r>
      <w:r>
        <w:rPr>
          <w:lang w:val="fr-FR"/>
        </w:rPr>
        <w:t>’</w:t>
      </w:r>
      <w:r w:rsidRPr="00F36092">
        <w:rPr>
          <w:lang w:val="fr-FR"/>
        </w:rPr>
        <w:t>ordre public, la santé ou la moralité publiques, ou les droits et libertés d</w:t>
      </w:r>
      <w:r>
        <w:rPr>
          <w:lang w:val="fr-FR"/>
        </w:rPr>
        <w:t>’</w:t>
      </w:r>
      <w:r w:rsidRPr="00F36092">
        <w:rPr>
          <w:lang w:val="fr-FR"/>
        </w:rPr>
        <w:t>autrui. Ils soutiennent qu</w:t>
      </w:r>
      <w:r>
        <w:rPr>
          <w:lang w:val="fr-FR"/>
        </w:rPr>
        <w:t>’</w:t>
      </w:r>
      <w:r w:rsidRPr="00F36092">
        <w:rPr>
          <w:lang w:val="fr-FR"/>
        </w:rPr>
        <w:t>en disposant que les manifestations publiques organisées à Gomel ne peuvent se tenir qu</w:t>
      </w:r>
      <w:r>
        <w:rPr>
          <w:lang w:val="fr-FR"/>
        </w:rPr>
        <w:t>’</w:t>
      </w:r>
      <w:r w:rsidRPr="00F36092">
        <w:rPr>
          <w:lang w:val="fr-FR"/>
        </w:rPr>
        <w:t>en un unique lieu éloigné et à la condition que les organisateurs aient au préalable conclu des contrats de services avec la municipalité, la décision n</w:t>
      </w:r>
      <w:r w:rsidRPr="00F36092">
        <w:rPr>
          <w:vertAlign w:val="superscript"/>
          <w:lang w:val="fr-FR"/>
        </w:rPr>
        <w:t>o</w:t>
      </w:r>
      <w:r w:rsidRPr="00F36092">
        <w:rPr>
          <w:lang w:val="fr-FR"/>
        </w:rPr>
        <w:t> 775 restreint inutilement les droits consacrés par les articles</w:t>
      </w:r>
      <w:r>
        <w:rPr>
          <w:lang w:val="fr-FR"/>
        </w:rPr>
        <w:t> </w:t>
      </w:r>
      <w:r w:rsidRPr="00F36092">
        <w:rPr>
          <w:lang w:val="fr-FR"/>
        </w:rPr>
        <w:t>19 et 21 du Pacte et porte atteinte à leur fondement même.</w:t>
      </w:r>
    </w:p>
    <w:p w14:paraId="79A577D4" w14:textId="77777777" w:rsidR="0072367B" w:rsidRPr="00F36092" w:rsidRDefault="0072367B" w:rsidP="0072367B">
      <w:pPr>
        <w:pStyle w:val="SingleTxtG"/>
        <w:rPr>
          <w:lang w:val="fr-FR"/>
        </w:rPr>
      </w:pPr>
      <w:r w:rsidRPr="00F36092">
        <w:rPr>
          <w:lang w:val="fr-FR"/>
        </w:rPr>
        <w:t>3.3</w:t>
      </w:r>
      <w:r w:rsidRPr="00F36092">
        <w:rPr>
          <w:lang w:val="fr-FR"/>
        </w:rPr>
        <w:tab/>
        <w:t>Les auteurs soutiennent qu</w:t>
      </w:r>
      <w:r>
        <w:rPr>
          <w:lang w:val="fr-FR"/>
        </w:rPr>
        <w:t>’</w:t>
      </w:r>
      <w:r w:rsidRPr="00F36092">
        <w:rPr>
          <w:lang w:val="fr-FR"/>
        </w:rPr>
        <w:t>en ratifiant le Pacte, l</w:t>
      </w:r>
      <w:r>
        <w:rPr>
          <w:lang w:val="fr-FR"/>
        </w:rPr>
        <w:t>’</w:t>
      </w:r>
      <w:r w:rsidRPr="00F36092">
        <w:rPr>
          <w:lang w:val="fr-FR"/>
        </w:rPr>
        <w:t>État partie s</w:t>
      </w:r>
      <w:r>
        <w:rPr>
          <w:lang w:val="fr-FR"/>
        </w:rPr>
        <w:t>’</w:t>
      </w:r>
      <w:r w:rsidRPr="00F36092">
        <w:rPr>
          <w:lang w:val="fr-FR"/>
        </w:rPr>
        <w:t>est engagé, aux termes de l</w:t>
      </w:r>
      <w:r>
        <w:rPr>
          <w:lang w:val="fr-FR"/>
        </w:rPr>
        <w:t>’</w:t>
      </w:r>
      <w:r w:rsidRPr="00F36092">
        <w:rPr>
          <w:lang w:val="fr-FR"/>
        </w:rPr>
        <w:t>article</w:t>
      </w:r>
      <w:r>
        <w:rPr>
          <w:lang w:val="fr-FR"/>
        </w:rPr>
        <w:t> </w:t>
      </w:r>
      <w:r w:rsidRPr="00F36092">
        <w:rPr>
          <w:lang w:val="fr-FR"/>
        </w:rPr>
        <w:t xml:space="preserve">2 de celui-ci, à respecter les droits individuels qui y sont reconnus et à en garantir </w:t>
      </w:r>
      <w:r w:rsidRPr="00F36092">
        <w:rPr>
          <w:lang w:val="fr-FR"/>
        </w:rPr>
        <w:lastRenderedPageBreak/>
        <w:t>la jouissance à chacun, ainsi qu</w:t>
      </w:r>
      <w:r>
        <w:rPr>
          <w:lang w:val="fr-FR"/>
        </w:rPr>
        <w:t>’</w:t>
      </w:r>
      <w:r w:rsidRPr="00F36092">
        <w:rPr>
          <w:lang w:val="fr-FR"/>
        </w:rPr>
        <w:t>à adopter des mesures d</w:t>
      </w:r>
      <w:r>
        <w:rPr>
          <w:lang w:val="fr-FR"/>
        </w:rPr>
        <w:t>’</w:t>
      </w:r>
      <w:r w:rsidRPr="00F36092">
        <w:rPr>
          <w:lang w:val="fr-FR"/>
        </w:rPr>
        <w:t>ordre législatif ou autres propres à leur donner effet. Ils soutiennent que l</w:t>
      </w:r>
      <w:r>
        <w:rPr>
          <w:lang w:val="fr-FR"/>
        </w:rPr>
        <w:t>’</w:t>
      </w:r>
      <w:r w:rsidRPr="00F36092">
        <w:rPr>
          <w:lang w:val="fr-FR"/>
        </w:rPr>
        <w:t>État partie ne respecte pas les obligations mises à sa charge par l</w:t>
      </w:r>
      <w:r>
        <w:rPr>
          <w:lang w:val="fr-FR"/>
        </w:rPr>
        <w:t>’</w:t>
      </w:r>
      <w:r w:rsidRPr="00F36092">
        <w:rPr>
          <w:lang w:val="fr-FR"/>
        </w:rPr>
        <w:t>article</w:t>
      </w:r>
      <w:r>
        <w:rPr>
          <w:lang w:val="fr-FR"/>
        </w:rPr>
        <w:t> </w:t>
      </w:r>
      <w:r w:rsidRPr="00F36092">
        <w:rPr>
          <w:lang w:val="fr-FR"/>
        </w:rPr>
        <w:t>2 (par.</w:t>
      </w:r>
      <w:r>
        <w:rPr>
          <w:lang w:val="fr-FR"/>
        </w:rPr>
        <w:t> </w:t>
      </w:r>
      <w:r w:rsidRPr="00F36092">
        <w:rPr>
          <w:lang w:val="fr-FR"/>
        </w:rPr>
        <w:t xml:space="preserve">2) du Pacte, lu conjointement avec les </w:t>
      </w:r>
      <w:r w:rsidRPr="00C0150D">
        <w:rPr>
          <w:lang w:val="fr-FR"/>
        </w:rPr>
        <w:t xml:space="preserve">articles 19 et 21, car la loi </w:t>
      </w:r>
      <w:r w:rsidRPr="00745408">
        <w:rPr>
          <w:lang w:val="fr-FR"/>
        </w:rPr>
        <w:t>régissant</w:t>
      </w:r>
      <w:r w:rsidRPr="00C0150D">
        <w:rPr>
          <w:lang w:val="fr-FR"/>
        </w:rPr>
        <w:t xml:space="preserve"> les manifestations publiques contient des dispositions vagues et</w:t>
      </w:r>
      <w:r w:rsidRPr="00F36092">
        <w:rPr>
          <w:lang w:val="fr-FR"/>
        </w:rPr>
        <w:t xml:space="preserve"> ambiguës. Par exemple, l</w:t>
      </w:r>
      <w:r>
        <w:rPr>
          <w:lang w:val="fr-FR"/>
        </w:rPr>
        <w:t>’</w:t>
      </w:r>
      <w:r w:rsidRPr="00F36092">
        <w:rPr>
          <w:lang w:val="fr-FR"/>
        </w:rPr>
        <w:t>article</w:t>
      </w:r>
      <w:r>
        <w:rPr>
          <w:lang w:val="fr-FR"/>
        </w:rPr>
        <w:t> </w:t>
      </w:r>
      <w:r w:rsidRPr="00F36092">
        <w:rPr>
          <w:lang w:val="fr-FR"/>
        </w:rPr>
        <w:t>9 de cette loi donne aux responsables des comités exécutifs locaux tout pouvoir pour définir, sans avoir à justifier leur choix, les lieux où pourront être organisés des rassemblements pacifiques.</w:t>
      </w:r>
    </w:p>
    <w:p w14:paraId="5BF306E3" w14:textId="77777777" w:rsidR="0072367B" w:rsidRPr="00F36092" w:rsidRDefault="0072367B" w:rsidP="0072367B">
      <w:pPr>
        <w:pStyle w:val="SingleTxtG"/>
        <w:rPr>
          <w:lang w:val="fr-FR"/>
        </w:rPr>
      </w:pPr>
      <w:r w:rsidRPr="00F36092">
        <w:rPr>
          <w:lang w:val="fr-FR"/>
        </w:rPr>
        <w:t>3.4</w:t>
      </w:r>
      <w:r w:rsidRPr="00F36092">
        <w:rPr>
          <w:lang w:val="fr-FR"/>
        </w:rPr>
        <w:tab/>
        <w:t>Dans ces circonstances, les auteurs prient le Comité de recommander à l</w:t>
      </w:r>
      <w:r>
        <w:rPr>
          <w:lang w:val="fr-FR"/>
        </w:rPr>
        <w:t>’</w:t>
      </w:r>
      <w:r w:rsidRPr="00F36092">
        <w:rPr>
          <w:lang w:val="fr-FR"/>
        </w:rPr>
        <w:t xml:space="preserve">État partie de mettre sa législation, en particulier la loi </w:t>
      </w:r>
      <w:r w:rsidRPr="00C0150D">
        <w:rPr>
          <w:lang w:val="fr-FR"/>
        </w:rPr>
        <w:t>régissant les manifestations publiques et la décision n</w:t>
      </w:r>
      <w:r w:rsidRPr="00C0150D">
        <w:rPr>
          <w:vertAlign w:val="superscript"/>
          <w:lang w:val="fr-FR"/>
        </w:rPr>
        <w:t>o</w:t>
      </w:r>
      <w:r w:rsidRPr="00C0150D">
        <w:rPr>
          <w:lang w:val="fr-FR"/>
        </w:rPr>
        <w:t> 775 du Comité exécutif de la ville de Gomel, en conformité avec les</w:t>
      </w:r>
      <w:r w:rsidRPr="00F36092">
        <w:rPr>
          <w:lang w:val="fr-FR"/>
        </w:rPr>
        <w:t xml:space="preserve"> normes internationales énoncées aux articles</w:t>
      </w:r>
      <w:r>
        <w:rPr>
          <w:lang w:val="fr-FR"/>
        </w:rPr>
        <w:t> </w:t>
      </w:r>
      <w:r w:rsidRPr="00F36092">
        <w:rPr>
          <w:lang w:val="fr-FR"/>
        </w:rPr>
        <w:t>19 et 21 du Pacte.</w:t>
      </w:r>
    </w:p>
    <w:p w14:paraId="155C0A82" w14:textId="77777777" w:rsidR="0072367B" w:rsidRPr="00F36092" w:rsidRDefault="0072367B" w:rsidP="0072367B">
      <w:pPr>
        <w:pStyle w:val="H23G"/>
        <w:rPr>
          <w:lang w:val="fr-FR"/>
        </w:rPr>
      </w:pPr>
      <w:r w:rsidRPr="00F36092">
        <w:rPr>
          <w:lang w:val="fr-FR"/>
        </w:rPr>
        <w:tab/>
      </w:r>
      <w:r w:rsidRPr="00F36092">
        <w:rPr>
          <w:lang w:val="fr-FR"/>
        </w:rPr>
        <w:tab/>
        <w:t>Observations de l</w:t>
      </w:r>
      <w:r>
        <w:rPr>
          <w:lang w:val="fr-FR"/>
        </w:rPr>
        <w:t>’</w:t>
      </w:r>
      <w:r w:rsidRPr="00F36092">
        <w:rPr>
          <w:lang w:val="fr-FR"/>
        </w:rPr>
        <w:t>État partie sur la recevabilité et sur le fond</w:t>
      </w:r>
    </w:p>
    <w:p w14:paraId="070BE11E" w14:textId="77777777" w:rsidR="0072367B" w:rsidRPr="00F36092" w:rsidRDefault="0072367B" w:rsidP="0072367B">
      <w:pPr>
        <w:pStyle w:val="SingleTxtG"/>
        <w:rPr>
          <w:lang w:val="fr-FR"/>
        </w:rPr>
      </w:pPr>
      <w:r w:rsidRPr="00F36092">
        <w:rPr>
          <w:lang w:val="fr-FR"/>
        </w:rPr>
        <w:t>4.1</w:t>
      </w:r>
      <w:r w:rsidRPr="00F36092">
        <w:rPr>
          <w:lang w:val="fr-FR"/>
        </w:rPr>
        <w:tab/>
        <w:t>Par une note verbale datée du 13</w:t>
      </w:r>
      <w:r>
        <w:rPr>
          <w:lang w:val="fr-FR"/>
        </w:rPr>
        <w:t> </w:t>
      </w:r>
      <w:r w:rsidRPr="00F36092">
        <w:rPr>
          <w:lang w:val="fr-FR"/>
        </w:rPr>
        <w:t>janvier 2017, l</w:t>
      </w:r>
      <w:r>
        <w:rPr>
          <w:lang w:val="fr-FR"/>
        </w:rPr>
        <w:t>’</w:t>
      </w:r>
      <w:r w:rsidRPr="00F36092">
        <w:rPr>
          <w:lang w:val="fr-FR"/>
        </w:rPr>
        <w:t>État partie a présenté ses observations sur la recevabilité et sur le fond. Il indique que, selon le Protocole facultatif, tout particulier qui prétend être victime d</w:t>
      </w:r>
      <w:r>
        <w:rPr>
          <w:lang w:val="fr-FR"/>
        </w:rPr>
        <w:t>’</w:t>
      </w:r>
      <w:r w:rsidRPr="00F36092">
        <w:rPr>
          <w:lang w:val="fr-FR"/>
        </w:rPr>
        <w:t>une violation de l</w:t>
      </w:r>
      <w:r>
        <w:rPr>
          <w:lang w:val="fr-FR"/>
        </w:rPr>
        <w:t>’</w:t>
      </w:r>
      <w:r w:rsidRPr="00F36092">
        <w:rPr>
          <w:lang w:val="fr-FR"/>
        </w:rPr>
        <w:t>un quelconque des droits énoncés dans le Pacte et qui a épuisé toutes les voies de recours internes qui lui étaient ouvertes peut soumettre une communication écrite au Comité.</w:t>
      </w:r>
    </w:p>
    <w:p w14:paraId="6DC7DEBD" w14:textId="77777777" w:rsidR="0072367B" w:rsidRPr="000722B3" w:rsidRDefault="0072367B" w:rsidP="0072367B">
      <w:pPr>
        <w:pStyle w:val="SingleTxtG"/>
        <w:rPr>
          <w:lang w:val="fr-FR"/>
        </w:rPr>
      </w:pPr>
      <w:r w:rsidRPr="00F36092">
        <w:rPr>
          <w:lang w:val="fr-FR"/>
        </w:rPr>
        <w:t>4.2</w:t>
      </w:r>
      <w:r w:rsidRPr="00F36092">
        <w:rPr>
          <w:lang w:val="fr-FR"/>
        </w:rPr>
        <w:tab/>
        <w:t>L</w:t>
      </w:r>
      <w:r>
        <w:rPr>
          <w:lang w:val="fr-FR"/>
        </w:rPr>
        <w:t>’</w:t>
      </w:r>
      <w:r w:rsidRPr="00F36092">
        <w:rPr>
          <w:lang w:val="fr-FR"/>
        </w:rPr>
        <w:t>État partie fait observer que, le 17</w:t>
      </w:r>
      <w:r>
        <w:rPr>
          <w:lang w:val="fr-FR"/>
        </w:rPr>
        <w:t> </w:t>
      </w:r>
      <w:r w:rsidRPr="00F36092">
        <w:rPr>
          <w:lang w:val="fr-FR"/>
        </w:rPr>
        <w:t>juillet 2014, le Comité exécutif de la ville de Gomel a rejeté la demande déposée par les auteurs aux fins de la tenue, le 27</w:t>
      </w:r>
      <w:r>
        <w:rPr>
          <w:lang w:val="fr-FR"/>
        </w:rPr>
        <w:t> </w:t>
      </w:r>
      <w:r w:rsidRPr="00F36092">
        <w:rPr>
          <w:lang w:val="fr-FR"/>
        </w:rPr>
        <w:t xml:space="preserve">juillet 2014, de rassemblements en divers </w:t>
      </w:r>
      <w:r w:rsidRPr="000722B3">
        <w:rPr>
          <w:lang w:val="fr-FR"/>
        </w:rPr>
        <w:t>endroits, au motif qu</w:t>
      </w:r>
      <w:r>
        <w:rPr>
          <w:lang w:val="fr-FR"/>
        </w:rPr>
        <w:t>’</w:t>
      </w:r>
      <w:r w:rsidRPr="000722B3">
        <w:rPr>
          <w:lang w:val="fr-FR"/>
        </w:rPr>
        <w:t>ils n</w:t>
      </w:r>
      <w:r>
        <w:rPr>
          <w:lang w:val="fr-FR"/>
        </w:rPr>
        <w:t>’</w:t>
      </w:r>
      <w:r w:rsidRPr="000722B3">
        <w:rPr>
          <w:lang w:val="fr-FR"/>
        </w:rPr>
        <w:t xml:space="preserve">avaient pas respecté </w:t>
      </w:r>
      <w:r>
        <w:rPr>
          <w:lang w:val="fr-FR"/>
        </w:rPr>
        <w:t>certaines</w:t>
      </w:r>
      <w:r w:rsidRPr="000722B3">
        <w:rPr>
          <w:lang w:val="fr-FR"/>
        </w:rPr>
        <w:t xml:space="preserve"> dispositions de la loi du 30</w:t>
      </w:r>
      <w:r>
        <w:rPr>
          <w:lang w:val="fr-FR"/>
        </w:rPr>
        <w:t> </w:t>
      </w:r>
      <w:r w:rsidRPr="00C0150D">
        <w:rPr>
          <w:lang w:val="fr-FR"/>
        </w:rPr>
        <w:t xml:space="preserve">décembre 1997 </w:t>
      </w:r>
      <w:r w:rsidRPr="00745408">
        <w:rPr>
          <w:lang w:val="fr-FR"/>
        </w:rPr>
        <w:t>régissant</w:t>
      </w:r>
      <w:r w:rsidRPr="00C0150D">
        <w:rPr>
          <w:lang w:val="fr-FR"/>
        </w:rPr>
        <w:t xml:space="preserve"> les manifestations publiques et de sa décision n</w:t>
      </w:r>
      <w:r w:rsidRPr="00C0150D">
        <w:rPr>
          <w:vertAlign w:val="superscript"/>
          <w:lang w:val="fr-FR"/>
        </w:rPr>
        <w:t>o</w:t>
      </w:r>
      <w:r w:rsidRPr="00C0150D">
        <w:rPr>
          <w:lang w:val="fr-FR"/>
        </w:rPr>
        <w:t> 775 du 15 août 2013 concernant la tenue de manifestations publiques à Gomel</w:t>
      </w:r>
      <w:r w:rsidRPr="000722B3">
        <w:rPr>
          <w:lang w:val="fr-FR"/>
        </w:rPr>
        <w:t>.</w:t>
      </w:r>
    </w:p>
    <w:p w14:paraId="27B8E442" w14:textId="77777777" w:rsidR="0072367B" w:rsidRPr="00F36092" w:rsidRDefault="0072367B" w:rsidP="0072367B">
      <w:pPr>
        <w:pStyle w:val="SingleTxtG"/>
        <w:rPr>
          <w:lang w:val="fr-FR"/>
        </w:rPr>
      </w:pPr>
      <w:r w:rsidRPr="000722B3">
        <w:rPr>
          <w:lang w:val="fr-FR"/>
        </w:rPr>
        <w:t>4.3</w:t>
      </w:r>
      <w:r w:rsidRPr="000722B3">
        <w:rPr>
          <w:lang w:val="fr-FR"/>
        </w:rPr>
        <w:tab/>
        <w:t xml:space="preserve">La décision du Comité exécutif </w:t>
      </w:r>
      <w:r>
        <w:rPr>
          <w:lang w:val="fr-FR"/>
        </w:rPr>
        <w:t xml:space="preserve">de Gomel </w:t>
      </w:r>
      <w:r w:rsidRPr="000722B3">
        <w:rPr>
          <w:lang w:val="fr-FR"/>
        </w:rPr>
        <w:t>a été confirmée par le</w:t>
      </w:r>
      <w:r w:rsidRPr="00F36092">
        <w:rPr>
          <w:lang w:val="fr-FR"/>
        </w:rPr>
        <w:t xml:space="preserve"> tribunal du district central de </w:t>
      </w:r>
      <w:r>
        <w:rPr>
          <w:lang w:val="fr-FR"/>
        </w:rPr>
        <w:t>la ville</w:t>
      </w:r>
      <w:r w:rsidRPr="00F36092">
        <w:rPr>
          <w:lang w:val="fr-FR"/>
        </w:rPr>
        <w:t xml:space="preserve">. Les auteurs ont </w:t>
      </w:r>
      <w:r>
        <w:rPr>
          <w:lang w:val="fr-FR"/>
        </w:rPr>
        <w:t xml:space="preserve">ensuite </w:t>
      </w:r>
      <w:r w:rsidRPr="00F36092">
        <w:rPr>
          <w:lang w:val="fr-FR"/>
        </w:rPr>
        <w:t>été déboutés de leurs recours par le tribunal régional de Gomel. Les demandes qu</w:t>
      </w:r>
      <w:r>
        <w:rPr>
          <w:lang w:val="fr-FR"/>
        </w:rPr>
        <w:t>’</w:t>
      </w:r>
      <w:r w:rsidRPr="00F36092">
        <w:rPr>
          <w:lang w:val="fr-FR"/>
        </w:rPr>
        <w:t>ils ont introduites au titre de la procédure de contrôle ont également été rejetées.</w:t>
      </w:r>
    </w:p>
    <w:p w14:paraId="7B198B85" w14:textId="77777777" w:rsidR="0072367B" w:rsidRPr="00F36092" w:rsidRDefault="0072367B" w:rsidP="0072367B">
      <w:pPr>
        <w:pStyle w:val="SingleTxtG"/>
        <w:rPr>
          <w:lang w:val="fr-FR"/>
        </w:rPr>
      </w:pPr>
      <w:r w:rsidRPr="00F36092">
        <w:rPr>
          <w:lang w:val="fr-FR"/>
        </w:rPr>
        <w:t>4.4</w:t>
      </w:r>
      <w:r w:rsidRPr="00F36092">
        <w:rPr>
          <w:lang w:val="fr-FR"/>
        </w:rPr>
        <w:tab/>
        <w:t>L</w:t>
      </w:r>
      <w:r>
        <w:rPr>
          <w:lang w:val="fr-FR"/>
        </w:rPr>
        <w:t>’</w:t>
      </w:r>
      <w:r w:rsidRPr="00F36092">
        <w:rPr>
          <w:lang w:val="fr-FR"/>
        </w:rPr>
        <w:t>État partie soutient que les rassemblements ont été interdits parce que les auteurs n</w:t>
      </w:r>
      <w:r>
        <w:rPr>
          <w:lang w:val="fr-FR"/>
        </w:rPr>
        <w:t>’</w:t>
      </w:r>
      <w:r w:rsidRPr="00F36092">
        <w:rPr>
          <w:lang w:val="fr-FR"/>
        </w:rPr>
        <w:t xml:space="preserve">avaient pas </w:t>
      </w:r>
      <w:r>
        <w:rPr>
          <w:lang w:val="fr-FR"/>
        </w:rPr>
        <w:t>produit</w:t>
      </w:r>
      <w:r w:rsidRPr="00F36092">
        <w:rPr>
          <w:lang w:val="fr-FR"/>
        </w:rPr>
        <w:t xml:space="preserve"> les contrats conclus avec les prestataires de services municipaux compétents chargés, respectivement, d</w:t>
      </w:r>
      <w:r>
        <w:rPr>
          <w:lang w:val="fr-FR"/>
        </w:rPr>
        <w:t>’</w:t>
      </w:r>
      <w:r w:rsidRPr="00F36092">
        <w:rPr>
          <w:lang w:val="fr-FR"/>
        </w:rPr>
        <w:t xml:space="preserve">assurer un service médical pendant la manifestation et de nettoyer les lieux après celle-ci, comme </w:t>
      </w:r>
      <w:r>
        <w:rPr>
          <w:lang w:val="fr-FR"/>
        </w:rPr>
        <w:t>l’exige</w:t>
      </w:r>
      <w:r w:rsidRPr="00F36092">
        <w:rPr>
          <w:lang w:val="fr-FR"/>
        </w:rPr>
        <w:t xml:space="preserve"> l</w:t>
      </w:r>
      <w:r>
        <w:rPr>
          <w:lang w:val="fr-FR"/>
        </w:rPr>
        <w:t>’</w:t>
      </w:r>
      <w:r w:rsidRPr="00F36092">
        <w:rPr>
          <w:lang w:val="fr-FR"/>
        </w:rPr>
        <w:t>article</w:t>
      </w:r>
      <w:r>
        <w:rPr>
          <w:lang w:val="fr-FR"/>
        </w:rPr>
        <w:t> </w:t>
      </w:r>
      <w:r w:rsidRPr="00FC51CF">
        <w:rPr>
          <w:lang w:val="fr-FR"/>
        </w:rPr>
        <w:t>3 de la décision n</w:t>
      </w:r>
      <w:r w:rsidRPr="00FC51CF">
        <w:rPr>
          <w:vertAlign w:val="superscript"/>
          <w:lang w:val="fr-FR"/>
        </w:rPr>
        <w:t>o</w:t>
      </w:r>
      <w:r w:rsidRPr="00FC51CF">
        <w:rPr>
          <w:lang w:val="fr-FR"/>
        </w:rPr>
        <w:t> 775</w:t>
      </w:r>
      <w:r w:rsidRPr="00F36092">
        <w:rPr>
          <w:lang w:val="fr-FR"/>
        </w:rPr>
        <w:t>.</w:t>
      </w:r>
    </w:p>
    <w:p w14:paraId="1E0A5B77" w14:textId="77777777" w:rsidR="0072367B" w:rsidRPr="00F36092" w:rsidRDefault="0072367B" w:rsidP="0072367B">
      <w:pPr>
        <w:pStyle w:val="SingleTxtG"/>
        <w:rPr>
          <w:lang w:val="fr-FR"/>
        </w:rPr>
      </w:pPr>
      <w:r w:rsidRPr="00F36092">
        <w:rPr>
          <w:lang w:val="fr-FR"/>
        </w:rPr>
        <w:t>4.5</w:t>
      </w:r>
      <w:r w:rsidRPr="00F36092">
        <w:rPr>
          <w:lang w:val="fr-FR"/>
        </w:rPr>
        <w:tab/>
        <w:t>L</w:t>
      </w:r>
      <w:r>
        <w:rPr>
          <w:lang w:val="fr-FR"/>
        </w:rPr>
        <w:t>’</w:t>
      </w:r>
      <w:r w:rsidRPr="00F36092">
        <w:rPr>
          <w:lang w:val="fr-FR"/>
        </w:rPr>
        <w:t>État partie conclut que toutes les voies de recours internes disponibles n</w:t>
      </w:r>
      <w:r>
        <w:rPr>
          <w:lang w:val="fr-FR"/>
        </w:rPr>
        <w:t>’</w:t>
      </w:r>
      <w:r w:rsidRPr="00F36092">
        <w:rPr>
          <w:lang w:val="fr-FR"/>
        </w:rPr>
        <w:t>ont pas été épuisées puisque les demandes que les auteurs ont introduites au titre de la procédure de contrôle n</w:t>
      </w:r>
      <w:r>
        <w:rPr>
          <w:lang w:val="fr-FR"/>
        </w:rPr>
        <w:t>’</w:t>
      </w:r>
      <w:r w:rsidRPr="00F36092">
        <w:rPr>
          <w:lang w:val="fr-FR"/>
        </w:rPr>
        <w:t>ont été examinées ni par le Procureur général ni par le Président de la Cour suprême.</w:t>
      </w:r>
    </w:p>
    <w:p w14:paraId="0E63984F" w14:textId="77777777" w:rsidR="0072367B" w:rsidRPr="00F36092" w:rsidRDefault="0072367B" w:rsidP="0072367B">
      <w:pPr>
        <w:pStyle w:val="H23G"/>
        <w:rPr>
          <w:lang w:val="fr-FR"/>
        </w:rPr>
      </w:pPr>
      <w:r w:rsidRPr="00F36092">
        <w:rPr>
          <w:lang w:val="fr-FR"/>
        </w:rPr>
        <w:tab/>
      </w:r>
      <w:r w:rsidRPr="00F36092">
        <w:rPr>
          <w:lang w:val="fr-FR"/>
        </w:rPr>
        <w:tab/>
        <w:t>Commentaires des auteurs sur les observations de l</w:t>
      </w:r>
      <w:r>
        <w:rPr>
          <w:lang w:val="fr-FR"/>
        </w:rPr>
        <w:t>’</w:t>
      </w:r>
      <w:r w:rsidRPr="00F36092">
        <w:rPr>
          <w:lang w:val="fr-FR"/>
        </w:rPr>
        <w:t>État partie</w:t>
      </w:r>
    </w:p>
    <w:p w14:paraId="1DD6CB65" w14:textId="77777777" w:rsidR="0072367B" w:rsidRPr="00F36092" w:rsidRDefault="0072367B" w:rsidP="0072367B">
      <w:pPr>
        <w:pStyle w:val="SingleTxtG"/>
        <w:rPr>
          <w:lang w:val="fr-FR"/>
        </w:rPr>
      </w:pPr>
      <w:r w:rsidRPr="00F36092">
        <w:rPr>
          <w:lang w:val="fr-FR"/>
        </w:rPr>
        <w:t>5.1</w:t>
      </w:r>
      <w:r w:rsidRPr="00F36092">
        <w:rPr>
          <w:lang w:val="fr-FR"/>
        </w:rPr>
        <w:tab/>
        <w:t>Le 10</w:t>
      </w:r>
      <w:r>
        <w:rPr>
          <w:lang w:val="fr-FR"/>
        </w:rPr>
        <w:t> </w:t>
      </w:r>
      <w:r w:rsidRPr="00F36092">
        <w:rPr>
          <w:lang w:val="fr-FR"/>
        </w:rPr>
        <w:t>mai 2017, les auteurs ont fait observer qu</w:t>
      </w:r>
      <w:r>
        <w:rPr>
          <w:lang w:val="fr-FR"/>
        </w:rPr>
        <w:t>’</w:t>
      </w:r>
      <w:r w:rsidRPr="00F36092">
        <w:rPr>
          <w:lang w:val="fr-FR"/>
        </w:rPr>
        <w:t>une demande de réexamen au titre de la procédure de contrôle ne constituait pas un recours utile</w:t>
      </w:r>
      <w:r>
        <w:rPr>
          <w:lang w:val="fr-FR"/>
        </w:rPr>
        <w:t xml:space="preserve"> puis</w:t>
      </w:r>
      <w:r w:rsidRPr="00F36092">
        <w:rPr>
          <w:lang w:val="fr-FR"/>
        </w:rPr>
        <w:t>que cette procédure est laissée à la discrétion d</w:t>
      </w:r>
      <w:r>
        <w:rPr>
          <w:lang w:val="fr-FR"/>
        </w:rPr>
        <w:t>’</w:t>
      </w:r>
      <w:r w:rsidRPr="00F36092">
        <w:rPr>
          <w:lang w:val="fr-FR"/>
        </w:rPr>
        <w:t>un procureur ou d</w:t>
      </w:r>
      <w:r>
        <w:rPr>
          <w:lang w:val="fr-FR"/>
        </w:rPr>
        <w:t>’</w:t>
      </w:r>
      <w:r w:rsidRPr="00F36092">
        <w:rPr>
          <w:lang w:val="fr-FR"/>
        </w:rPr>
        <w:t>un juge et qu</w:t>
      </w:r>
      <w:r>
        <w:rPr>
          <w:lang w:val="fr-FR"/>
        </w:rPr>
        <w:t>’</w:t>
      </w:r>
      <w:r w:rsidRPr="00F36092">
        <w:rPr>
          <w:lang w:val="fr-FR"/>
        </w:rPr>
        <w:t>elle n</w:t>
      </w:r>
      <w:r>
        <w:rPr>
          <w:lang w:val="fr-FR"/>
        </w:rPr>
        <w:t>’</w:t>
      </w:r>
      <w:r w:rsidRPr="00F36092">
        <w:rPr>
          <w:lang w:val="fr-FR"/>
        </w:rPr>
        <w:t>implique pas d</w:t>
      </w:r>
      <w:r>
        <w:rPr>
          <w:lang w:val="fr-FR"/>
        </w:rPr>
        <w:t>’</w:t>
      </w:r>
      <w:r w:rsidRPr="00F36092">
        <w:rPr>
          <w:lang w:val="fr-FR"/>
        </w:rPr>
        <w:t>examen au fond. Ainsi, ils ont introduit sans succès des demandes de réexamen au titre de la procédure de contrôle, notamment auprès du Président de la Cour suprême et du Procureur général.</w:t>
      </w:r>
    </w:p>
    <w:p w14:paraId="54459A1D" w14:textId="77777777" w:rsidR="0072367B" w:rsidRPr="00F36092" w:rsidRDefault="0072367B" w:rsidP="0072367B">
      <w:pPr>
        <w:pStyle w:val="SingleTxtG"/>
        <w:rPr>
          <w:lang w:val="fr-FR"/>
        </w:rPr>
      </w:pPr>
      <w:r w:rsidRPr="00F36092">
        <w:rPr>
          <w:lang w:val="fr-FR"/>
        </w:rPr>
        <w:t>5.2</w:t>
      </w:r>
      <w:r w:rsidRPr="00F36092">
        <w:rPr>
          <w:lang w:val="fr-FR"/>
        </w:rPr>
        <w:tab/>
        <w:t>S</w:t>
      </w:r>
      <w:r>
        <w:rPr>
          <w:lang w:val="fr-FR"/>
        </w:rPr>
        <w:t>’</w:t>
      </w:r>
      <w:r w:rsidRPr="00F36092">
        <w:rPr>
          <w:lang w:val="fr-FR"/>
        </w:rPr>
        <w:t>agissant des observations de l</w:t>
      </w:r>
      <w:r>
        <w:rPr>
          <w:lang w:val="fr-FR"/>
        </w:rPr>
        <w:t>’</w:t>
      </w:r>
      <w:r w:rsidRPr="00F36092">
        <w:rPr>
          <w:lang w:val="fr-FR"/>
        </w:rPr>
        <w:t>État partie concernant les dispositions de la législation, les auteurs appellent l</w:t>
      </w:r>
      <w:r>
        <w:rPr>
          <w:lang w:val="fr-FR"/>
        </w:rPr>
        <w:t>’</w:t>
      </w:r>
      <w:r w:rsidRPr="00F36092">
        <w:rPr>
          <w:lang w:val="fr-FR"/>
        </w:rPr>
        <w:t>attention du Comité sur le fait que l</w:t>
      </w:r>
      <w:r>
        <w:rPr>
          <w:lang w:val="fr-FR"/>
        </w:rPr>
        <w:t>’</w:t>
      </w:r>
      <w:r w:rsidRPr="00F36092">
        <w:rPr>
          <w:lang w:val="fr-FR"/>
        </w:rPr>
        <w:t>État partie n</w:t>
      </w:r>
      <w:r>
        <w:rPr>
          <w:lang w:val="fr-FR"/>
        </w:rPr>
        <w:t>’</w:t>
      </w:r>
      <w:r w:rsidRPr="00F36092">
        <w:rPr>
          <w:lang w:val="fr-FR"/>
        </w:rPr>
        <w:t xml:space="preserve">a pas mis </w:t>
      </w:r>
      <w:r w:rsidRPr="00C0150D">
        <w:rPr>
          <w:lang w:val="fr-FR"/>
        </w:rPr>
        <w:t>en œuvre les recommandations des organisations internationales tendant à ce qu</w:t>
      </w:r>
      <w:r>
        <w:rPr>
          <w:lang w:val="fr-FR"/>
        </w:rPr>
        <w:t>’</w:t>
      </w:r>
      <w:r w:rsidRPr="00C0150D">
        <w:rPr>
          <w:lang w:val="fr-FR"/>
        </w:rPr>
        <w:t xml:space="preserve">il modifie la loi </w:t>
      </w:r>
      <w:r w:rsidRPr="00745408">
        <w:rPr>
          <w:lang w:val="fr-FR"/>
        </w:rPr>
        <w:t>régissant</w:t>
      </w:r>
      <w:r w:rsidRPr="00C0150D">
        <w:rPr>
          <w:lang w:val="fr-FR"/>
        </w:rPr>
        <w:t xml:space="preserve"> les manifestations publiques pour la rendre conforme aux normes internationales</w:t>
      </w:r>
      <w:r w:rsidRPr="00C0150D">
        <w:rPr>
          <w:rStyle w:val="Appelnotedebasdep"/>
        </w:rPr>
        <w:footnoteReference w:id="4"/>
      </w:r>
      <w:r w:rsidRPr="00C0150D">
        <w:rPr>
          <w:lang w:val="fr-FR"/>
        </w:rPr>
        <w:t>. Ils relèvent également que l</w:t>
      </w:r>
      <w:r>
        <w:rPr>
          <w:lang w:val="fr-FR"/>
        </w:rPr>
        <w:t>’</w:t>
      </w:r>
      <w:r w:rsidRPr="00C0150D">
        <w:rPr>
          <w:lang w:val="fr-FR"/>
        </w:rPr>
        <w:t>État</w:t>
      </w:r>
      <w:r w:rsidRPr="00F36092">
        <w:rPr>
          <w:lang w:val="fr-FR"/>
        </w:rPr>
        <w:t xml:space="preserve"> partie n</w:t>
      </w:r>
      <w:r>
        <w:rPr>
          <w:lang w:val="fr-FR"/>
        </w:rPr>
        <w:t>’</w:t>
      </w:r>
      <w:r w:rsidRPr="00F36092">
        <w:rPr>
          <w:lang w:val="fr-FR"/>
        </w:rPr>
        <w:t>a pas donné suite aux constatations par lesquelles le Comité lui avait demandé de réviser sa législation nationale pour la rendre compatible avec les obligations mises à sa charge.</w:t>
      </w:r>
    </w:p>
    <w:p w14:paraId="0D361BC3" w14:textId="77777777" w:rsidR="0072367B" w:rsidRPr="00F36092" w:rsidRDefault="0072367B" w:rsidP="0072367B">
      <w:pPr>
        <w:pStyle w:val="H23G"/>
        <w:rPr>
          <w:lang w:val="fr-FR"/>
        </w:rPr>
      </w:pPr>
      <w:r w:rsidRPr="00F36092">
        <w:rPr>
          <w:lang w:val="fr-FR"/>
        </w:rPr>
        <w:lastRenderedPageBreak/>
        <w:tab/>
      </w:r>
      <w:r w:rsidRPr="00F36092">
        <w:rPr>
          <w:lang w:val="fr-FR"/>
        </w:rPr>
        <w:tab/>
      </w:r>
      <w:r w:rsidRPr="00F36092">
        <w:rPr>
          <w:lang w:val="fr-FR"/>
        </w:rPr>
        <w:tab/>
        <w:t>Délibérations du Comité</w:t>
      </w:r>
    </w:p>
    <w:p w14:paraId="6FD3B76B" w14:textId="77777777" w:rsidR="0072367B" w:rsidRPr="00F36092" w:rsidRDefault="0072367B" w:rsidP="0072367B">
      <w:pPr>
        <w:pStyle w:val="H4G"/>
        <w:rPr>
          <w:lang w:val="fr-FR"/>
        </w:rPr>
      </w:pPr>
      <w:r w:rsidRPr="00F36092">
        <w:rPr>
          <w:lang w:val="fr-FR"/>
        </w:rPr>
        <w:tab/>
      </w:r>
      <w:r w:rsidRPr="00F36092">
        <w:rPr>
          <w:lang w:val="fr-FR"/>
        </w:rPr>
        <w:tab/>
        <w:t>Examen de la recevabilité</w:t>
      </w:r>
    </w:p>
    <w:p w14:paraId="28306AD3" w14:textId="77777777" w:rsidR="0072367B" w:rsidRPr="00F36092" w:rsidRDefault="0072367B" w:rsidP="0072367B">
      <w:pPr>
        <w:pStyle w:val="SingleTxtG"/>
        <w:rPr>
          <w:lang w:val="fr-FR"/>
        </w:rPr>
      </w:pPr>
      <w:r w:rsidRPr="00F36092">
        <w:rPr>
          <w:lang w:val="fr-FR"/>
        </w:rPr>
        <w:t>6.1</w:t>
      </w:r>
      <w:r w:rsidRPr="00F36092">
        <w:rPr>
          <w:lang w:val="fr-FR"/>
        </w:rPr>
        <w:tab/>
        <w:t>Avant d</w:t>
      </w:r>
      <w:r>
        <w:rPr>
          <w:lang w:val="fr-FR"/>
        </w:rPr>
        <w:t>’</w:t>
      </w:r>
      <w:r w:rsidRPr="00F36092">
        <w:rPr>
          <w:lang w:val="fr-FR"/>
        </w:rPr>
        <w:t>examiner tout grief formulé dans une communication, le Comité doit, conformément à l</w:t>
      </w:r>
      <w:r>
        <w:rPr>
          <w:lang w:val="fr-FR"/>
        </w:rPr>
        <w:t>’</w:t>
      </w:r>
      <w:r w:rsidRPr="00F36092">
        <w:rPr>
          <w:lang w:val="fr-FR"/>
        </w:rPr>
        <w:t>article</w:t>
      </w:r>
      <w:r>
        <w:rPr>
          <w:lang w:val="fr-FR"/>
        </w:rPr>
        <w:t> </w:t>
      </w:r>
      <w:r w:rsidRPr="00F36092">
        <w:rPr>
          <w:lang w:val="fr-FR"/>
        </w:rPr>
        <w:t>97 de son règlement intérieur, déterminer si la communication est recevable au regard du Protocole facultatif.</w:t>
      </w:r>
    </w:p>
    <w:p w14:paraId="647EEA4E" w14:textId="77777777" w:rsidR="0072367B" w:rsidRPr="00F36092" w:rsidRDefault="0072367B" w:rsidP="0072367B">
      <w:pPr>
        <w:pStyle w:val="SingleTxtG"/>
        <w:rPr>
          <w:lang w:val="fr-FR"/>
        </w:rPr>
      </w:pPr>
      <w:r w:rsidRPr="00F36092">
        <w:rPr>
          <w:lang w:val="fr-FR"/>
        </w:rPr>
        <w:t>6.2</w:t>
      </w:r>
      <w:r w:rsidRPr="00F36092">
        <w:rPr>
          <w:lang w:val="fr-FR"/>
        </w:rPr>
        <w:tab/>
        <w:t>Le Comité s</w:t>
      </w:r>
      <w:r>
        <w:rPr>
          <w:lang w:val="fr-FR"/>
        </w:rPr>
        <w:t>’</w:t>
      </w:r>
      <w:r w:rsidRPr="00F36092">
        <w:rPr>
          <w:lang w:val="fr-FR"/>
        </w:rPr>
        <w:t>est assuré, comme il est tenu de le faire conformément à l</w:t>
      </w:r>
      <w:r>
        <w:rPr>
          <w:lang w:val="fr-FR"/>
        </w:rPr>
        <w:t>’</w:t>
      </w:r>
      <w:r w:rsidRPr="00F36092">
        <w:rPr>
          <w:lang w:val="fr-FR"/>
        </w:rPr>
        <w:t>article 5 (par. 2 a)) du Protocole facultatif, que la même question n</w:t>
      </w:r>
      <w:r>
        <w:rPr>
          <w:lang w:val="fr-FR"/>
        </w:rPr>
        <w:t>’</w:t>
      </w:r>
      <w:r w:rsidRPr="00F36092">
        <w:rPr>
          <w:lang w:val="fr-FR"/>
        </w:rPr>
        <w:t>était pas déjà en cours d</w:t>
      </w:r>
      <w:r>
        <w:rPr>
          <w:lang w:val="fr-FR"/>
        </w:rPr>
        <w:t>’</w:t>
      </w:r>
      <w:r w:rsidRPr="00F36092">
        <w:rPr>
          <w:lang w:val="fr-FR"/>
        </w:rPr>
        <w:t>examen devant une autre instance internationale d</w:t>
      </w:r>
      <w:r>
        <w:rPr>
          <w:lang w:val="fr-FR"/>
        </w:rPr>
        <w:t>’</w:t>
      </w:r>
      <w:r w:rsidRPr="00F36092">
        <w:rPr>
          <w:lang w:val="fr-FR"/>
        </w:rPr>
        <w:t>enquête ou de règlement.</w:t>
      </w:r>
    </w:p>
    <w:p w14:paraId="73EFA160" w14:textId="5A81AC93" w:rsidR="0072367B" w:rsidRPr="00F36092" w:rsidRDefault="0072367B" w:rsidP="0072367B">
      <w:pPr>
        <w:pStyle w:val="SingleTxtG"/>
        <w:rPr>
          <w:lang w:val="fr-FR"/>
        </w:rPr>
      </w:pPr>
      <w:r w:rsidRPr="00F36092">
        <w:rPr>
          <w:lang w:val="fr-FR"/>
        </w:rPr>
        <w:t>6.3</w:t>
      </w:r>
      <w:r w:rsidRPr="00F36092">
        <w:rPr>
          <w:lang w:val="fr-FR"/>
        </w:rPr>
        <w:tab/>
        <w:t>Le Comité prend note des observations de l</w:t>
      </w:r>
      <w:r>
        <w:rPr>
          <w:lang w:val="fr-FR"/>
        </w:rPr>
        <w:t>’</w:t>
      </w:r>
      <w:r w:rsidRPr="00F36092">
        <w:rPr>
          <w:lang w:val="fr-FR"/>
        </w:rPr>
        <w:t>État partie selon lesquelles les auteurs n</w:t>
      </w:r>
      <w:r>
        <w:rPr>
          <w:lang w:val="fr-FR"/>
        </w:rPr>
        <w:t>’</w:t>
      </w:r>
      <w:r w:rsidRPr="00F36092">
        <w:rPr>
          <w:lang w:val="fr-FR"/>
        </w:rPr>
        <w:t>ont pas épuisé les voies de recours internes qui leur étaient ouvertes puisque les demandes de réexamen qu</w:t>
      </w:r>
      <w:r>
        <w:rPr>
          <w:lang w:val="fr-FR"/>
        </w:rPr>
        <w:t>’</w:t>
      </w:r>
      <w:r w:rsidRPr="00F36092">
        <w:rPr>
          <w:lang w:val="fr-FR"/>
        </w:rPr>
        <w:t>ils ont introduites au titre de la procédure de contrôle n</w:t>
      </w:r>
      <w:r>
        <w:rPr>
          <w:lang w:val="fr-FR"/>
        </w:rPr>
        <w:t>’</w:t>
      </w:r>
      <w:r w:rsidRPr="00F36092">
        <w:rPr>
          <w:lang w:val="fr-FR"/>
        </w:rPr>
        <w:t>ont pas été examinées par le Procureur général ni par le Président de la Cour suprême. Il prend note de l</w:t>
      </w:r>
      <w:r>
        <w:rPr>
          <w:lang w:val="fr-FR"/>
        </w:rPr>
        <w:t>’</w:t>
      </w:r>
      <w:r w:rsidRPr="00F36092">
        <w:rPr>
          <w:lang w:val="fr-FR"/>
        </w:rPr>
        <w:t>argument des auteurs selon lequel ils ont bel et bien contesté, mais sans succès, les décisions de justice rendues dans l</w:t>
      </w:r>
      <w:r>
        <w:rPr>
          <w:lang w:val="fr-FR"/>
        </w:rPr>
        <w:t>’</w:t>
      </w:r>
      <w:r w:rsidRPr="00F36092">
        <w:rPr>
          <w:lang w:val="fr-FR"/>
        </w:rPr>
        <w:t>affaire au titre de la procédure de contrôle, devant le Président de la Cour suprême et le Procureur général. Dans ce contexte, le Comité rappelle sa jurisprudence, selon laquelle l</w:t>
      </w:r>
      <w:r>
        <w:rPr>
          <w:lang w:val="fr-FR"/>
        </w:rPr>
        <w:t>’</w:t>
      </w:r>
      <w:r w:rsidRPr="00F36092">
        <w:rPr>
          <w:lang w:val="fr-FR"/>
        </w:rPr>
        <w:t>introduction auprès du ministère public d</w:t>
      </w:r>
      <w:r>
        <w:rPr>
          <w:lang w:val="fr-FR"/>
        </w:rPr>
        <w:t>’</w:t>
      </w:r>
      <w:r w:rsidRPr="00F36092">
        <w:rPr>
          <w:lang w:val="fr-FR"/>
        </w:rPr>
        <w:t>une demande de réexamen au titre de la procédure de contrôle de décisions devenues exécutoires, demande dont l</w:t>
      </w:r>
      <w:r>
        <w:rPr>
          <w:lang w:val="fr-FR"/>
        </w:rPr>
        <w:t>’</w:t>
      </w:r>
      <w:r w:rsidRPr="00F36092">
        <w:rPr>
          <w:lang w:val="fr-FR"/>
        </w:rPr>
        <w:t>issue relève du pouvoir discrétionnaire du procureur, ne constitue pas un recours qui doit être épuisé aux fins de l</w:t>
      </w:r>
      <w:r>
        <w:rPr>
          <w:lang w:val="fr-FR"/>
        </w:rPr>
        <w:t>’</w:t>
      </w:r>
      <w:r w:rsidRPr="00F36092">
        <w:rPr>
          <w:lang w:val="fr-FR"/>
        </w:rPr>
        <w:t>article</w:t>
      </w:r>
      <w:r>
        <w:rPr>
          <w:lang w:val="fr-FR"/>
        </w:rPr>
        <w:t> </w:t>
      </w:r>
      <w:r w:rsidRPr="00F36092">
        <w:rPr>
          <w:lang w:val="fr-FR"/>
        </w:rPr>
        <w:t>5 (par.</w:t>
      </w:r>
      <w:r>
        <w:rPr>
          <w:lang w:val="fr-FR"/>
        </w:rPr>
        <w:t> </w:t>
      </w:r>
      <w:r w:rsidRPr="00F36092">
        <w:rPr>
          <w:lang w:val="fr-FR"/>
        </w:rPr>
        <w:t>2</w:t>
      </w:r>
      <w:r>
        <w:rPr>
          <w:lang w:val="fr-FR"/>
        </w:rPr>
        <w:t> </w:t>
      </w:r>
      <w:r w:rsidRPr="00F36092">
        <w:rPr>
          <w:lang w:val="fr-FR"/>
        </w:rPr>
        <w:t>b)) du Protocole facultatif</w:t>
      </w:r>
      <w:r w:rsidRPr="00DD49CD">
        <w:rPr>
          <w:rStyle w:val="Appelnotedebasdep"/>
        </w:rPr>
        <w:footnoteReference w:id="5"/>
      </w:r>
      <w:r w:rsidRPr="00F36092">
        <w:rPr>
          <w:lang w:val="fr-FR"/>
        </w:rPr>
        <w:t>. Il considère également que le dépôt auprès du président d</w:t>
      </w:r>
      <w:r>
        <w:rPr>
          <w:lang w:val="fr-FR"/>
        </w:rPr>
        <w:t>’</w:t>
      </w:r>
      <w:r w:rsidRPr="00F36092">
        <w:rPr>
          <w:lang w:val="fr-FR"/>
        </w:rPr>
        <w:t>un tribunal d</w:t>
      </w:r>
      <w:r>
        <w:rPr>
          <w:lang w:val="fr-FR"/>
        </w:rPr>
        <w:t>’</w:t>
      </w:r>
      <w:r w:rsidRPr="00F36092">
        <w:rPr>
          <w:lang w:val="fr-FR"/>
        </w:rPr>
        <w:t>une demande de contrôle visant des décisions judiciaires passées en force de chose jugée, dont l</w:t>
      </w:r>
      <w:r>
        <w:rPr>
          <w:lang w:val="fr-FR"/>
        </w:rPr>
        <w:t>’</w:t>
      </w:r>
      <w:r w:rsidRPr="00F36092">
        <w:rPr>
          <w:lang w:val="fr-FR"/>
        </w:rPr>
        <w:t>issue dépend du pouvoir discrétionnaire d</w:t>
      </w:r>
      <w:r>
        <w:rPr>
          <w:lang w:val="fr-FR"/>
        </w:rPr>
        <w:t>’</w:t>
      </w:r>
      <w:r w:rsidRPr="00F36092">
        <w:rPr>
          <w:lang w:val="fr-FR"/>
        </w:rPr>
        <w:t>un juge, constitue un recours extraordinaire et que l</w:t>
      </w:r>
      <w:r>
        <w:rPr>
          <w:lang w:val="fr-FR"/>
        </w:rPr>
        <w:t>’</w:t>
      </w:r>
      <w:r w:rsidRPr="00F36092">
        <w:rPr>
          <w:lang w:val="fr-FR"/>
        </w:rPr>
        <w:t>État partie doit montrer qu</w:t>
      </w:r>
      <w:r>
        <w:rPr>
          <w:lang w:val="fr-FR"/>
        </w:rPr>
        <w:t>’</w:t>
      </w:r>
      <w:r w:rsidRPr="00F36092">
        <w:rPr>
          <w:lang w:val="fr-FR"/>
        </w:rPr>
        <w:t>il existe une possibilité raisonnable qu</w:t>
      </w:r>
      <w:r>
        <w:rPr>
          <w:lang w:val="fr-FR"/>
        </w:rPr>
        <w:t>’</w:t>
      </w:r>
      <w:r w:rsidRPr="00F36092">
        <w:rPr>
          <w:lang w:val="fr-FR"/>
        </w:rPr>
        <w:t>une telle demande constitue un recours utile dans les circonstances de l</w:t>
      </w:r>
      <w:r>
        <w:rPr>
          <w:lang w:val="fr-FR"/>
        </w:rPr>
        <w:t>’</w:t>
      </w:r>
      <w:r w:rsidRPr="00F36092">
        <w:rPr>
          <w:lang w:val="fr-FR"/>
        </w:rPr>
        <w:t>espèce</w:t>
      </w:r>
      <w:r w:rsidRPr="00DD49CD">
        <w:rPr>
          <w:rStyle w:val="Appelnotedebasdep"/>
        </w:rPr>
        <w:footnoteReference w:id="6"/>
      </w:r>
      <w:r w:rsidRPr="00F36092">
        <w:rPr>
          <w:lang w:val="fr-FR"/>
        </w:rPr>
        <w:t>. En l</w:t>
      </w:r>
      <w:r>
        <w:rPr>
          <w:lang w:val="fr-FR"/>
        </w:rPr>
        <w:t>’</w:t>
      </w:r>
      <w:r w:rsidRPr="00F36092">
        <w:rPr>
          <w:lang w:val="fr-FR"/>
        </w:rPr>
        <w:t>absence d</w:t>
      </w:r>
      <w:r>
        <w:rPr>
          <w:lang w:val="fr-FR"/>
        </w:rPr>
        <w:t>’</w:t>
      </w:r>
      <w:r w:rsidRPr="00F36092">
        <w:rPr>
          <w:lang w:val="fr-FR"/>
        </w:rPr>
        <w:t>autres informations ou explications de l</w:t>
      </w:r>
      <w:r>
        <w:rPr>
          <w:lang w:val="fr-FR"/>
        </w:rPr>
        <w:t>’</w:t>
      </w:r>
      <w:r w:rsidRPr="00F36092">
        <w:rPr>
          <w:lang w:val="fr-FR"/>
        </w:rPr>
        <w:t>État partie sur ce point en l</w:t>
      </w:r>
      <w:r>
        <w:rPr>
          <w:lang w:val="fr-FR"/>
        </w:rPr>
        <w:t>’</w:t>
      </w:r>
      <w:r w:rsidRPr="00F36092">
        <w:rPr>
          <w:lang w:val="fr-FR"/>
        </w:rPr>
        <w:t>espèce, le Comité considère que les dispositions de l</w:t>
      </w:r>
      <w:r>
        <w:rPr>
          <w:lang w:val="fr-FR"/>
        </w:rPr>
        <w:t>’</w:t>
      </w:r>
      <w:r w:rsidRPr="00F36092">
        <w:rPr>
          <w:lang w:val="fr-FR"/>
        </w:rPr>
        <w:t>article</w:t>
      </w:r>
      <w:r>
        <w:rPr>
          <w:lang w:val="fr-FR"/>
        </w:rPr>
        <w:t> </w:t>
      </w:r>
      <w:r w:rsidRPr="00F36092">
        <w:rPr>
          <w:lang w:val="fr-FR"/>
        </w:rPr>
        <w:t>5 (par.</w:t>
      </w:r>
      <w:r>
        <w:rPr>
          <w:lang w:val="fr-FR"/>
        </w:rPr>
        <w:t> </w:t>
      </w:r>
      <w:r w:rsidRPr="00F36092">
        <w:rPr>
          <w:lang w:val="fr-FR"/>
        </w:rPr>
        <w:t>2</w:t>
      </w:r>
      <w:r>
        <w:rPr>
          <w:lang w:val="fr-FR"/>
        </w:rPr>
        <w:t> </w:t>
      </w:r>
      <w:r w:rsidRPr="00F36092">
        <w:rPr>
          <w:lang w:val="fr-FR"/>
        </w:rPr>
        <w:t>b)) du Protocole facultatif ne font pas obstacle à l</w:t>
      </w:r>
      <w:r>
        <w:rPr>
          <w:lang w:val="fr-FR"/>
        </w:rPr>
        <w:t>’</w:t>
      </w:r>
      <w:r w:rsidRPr="00F36092">
        <w:rPr>
          <w:lang w:val="fr-FR"/>
        </w:rPr>
        <w:t>examen de la communication.</w:t>
      </w:r>
    </w:p>
    <w:p w14:paraId="4B0EE76C" w14:textId="77777777" w:rsidR="0072367B" w:rsidRPr="00F36092" w:rsidRDefault="0072367B" w:rsidP="0072367B">
      <w:pPr>
        <w:pStyle w:val="SingleTxtG"/>
        <w:rPr>
          <w:lang w:val="fr-FR"/>
        </w:rPr>
      </w:pPr>
      <w:r w:rsidRPr="00F36092">
        <w:rPr>
          <w:lang w:val="fr-FR"/>
        </w:rPr>
        <w:t>6.4</w:t>
      </w:r>
      <w:r w:rsidRPr="00F36092">
        <w:rPr>
          <w:lang w:val="fr-FR"/>
        </w:rPr>
        <w:tab/>
        <w:t>Le Comité prend note des allégations des auteurs selon lesquelles l</w:t>
      </w:r>
      <w:r>
        <w:rPr>
          <w:lang w:val="fr-FR"/>
        </w:rPr>
        <w:t>’</w:t>
      </w:r>
      <w:r w:rsidRPr="00F36092">
        <w:rPr>
          <w:lang w:val="fr-FR"/>
        </w:rPr>
        <w:t>État partie a violé les droits qu</w:t>
      </w:r>
      <w:r>
        <w:rPr>
          <w:lang w:val="fr-FR"/>
        </w:rPr>
        <w:t>’</w:t>
      </w:r>
      <w:r w:rsidRPr="00F36092">
        <w:rPr>
          <w:lang w:val="fr-FR"/>
        </w:rPr>
        <w:t>ils tiennent des articles</w:t>
      </w:r>
      <w:r>
        <w:rPr>
          <w:lang w:val="fr-FR"/>
        </w:rPr>
        <w:t> </w:t>
      </w:r>
      <w:r w:rsidRPr="00F36092">
        <w:rPr>
          <w:lang w:val="fr-FR"/>
        </w:rPr>
        <w:t>19 et 21, lus conjointement avec l</w:t>
      </w:r>
      <w:r>
        <w:rPr>
          <w:lang w:val="fr-FR"/>
        </w:rPr>
        <w:t>’</w:t>
      </w:r>
      <w:r w:rsidRPr="00F36092">
        <w:rPr>
          <w:lang w:val="fr-FR"/>
        </w:rPr>
        <w:t>article</w:t>
      </w:r>
      <w:r>
        <w:rPr>
          <w:lang w:val="fr-FR"/>
        </w:rPr>
        <w:t> </w:t>
      </w:r>
      <w:r w:rsidRPr="00F36092">
        <w:rPr>
          <w:lang w:val="fr-FR"/>
        </w:rPr>
        <w:t>2 (par.</w:t>
      </w:r>
      <w:r>
        <w:rPr>
          <w:lang w:val="fr-FR"/>
        </w:rPr>
        <w:t> </w:t>
      </w:r>
      <w:r w:rsidRPr="00F36092">
        <w:rPr>
          <w:lang w:val="fr-FR"/>
        </w:rPr>
        <w:t>2) du Pacte. Il rappelle que les dispositions de l</w:t>
      </w:r>
      <w:r>
        <w:rPr>
          <w:lang w:val="fr-FR"/>
        </w:rPr>
        <w:t>’</w:t>
      </w:r>
      <w:r w:rsidRPr="00F36092">
        <w:rPr>
          <w:lang w:val="fr-FR"/>
        </w:rPr>
        <w:t>article</w:t>
      </w:r>
      <w:r>
        <w:rPr>
          <w:lang w:val="fr-FR"/>
        </w:rPr>
        <w:t> </w:t>
      </w:r>
      <w:r w:rsidRPr="00F36092">
        <w:rPr>
          <w:lang w:val="fr-FR"/>
        </w:rPr>
        <w:t>2 ne peuvent pas être invoquées en conjonction avec d</w:t>
      </w:r>
      <w:r>
        <w:rPr>
          <w:lang w:val="fr-FR"/>
        </w:rPr>
        <w:t>’</w:t>
      </w:r>
      <w:r w:rsidRPr="00F36092">
        <w:rPr>
          <w:lang w:val="fr-FR"/>
        </w:rPr>
        <w:t>autres dispositions du Pacte pour fonder une communication soumise en vertu du Protocole facultatif, sauf lorsque le non-respect par l</w:t>
      </w:r>
      <w:r>
        <w:rPr>
          <w:lang w:val="fr-FR"/>
        </w:rPr>
        <w:t>’</w:t>
      </w:r>
      <w:r w:rsidRPr="00F36092">
        <w:rPr>
          <w:lang w:val="fr-FR"/>
        </w:rPr>
        <w:t>État partie des obligations énoncées à l</w:t>
      </w:r>
      <w:r>
        <w:rPr>
          <w:lang w:val="fr-FR"/>
        </w:rPr>
        <w:t>’</w:t>
      </w:r>
      <w:r w:rsidRPr="00F36092">
        <w:rPr>
          <w:lang w:val="fr-FR"/>
        </w:rPr>
        <w:t>article</w:t>
      </w:r>
      <w:r>
        <w:rPr>
          <w:lang w:val="fr-FR"/>
        </w:rPr>
        <w:t> </w:t>
      </w:r>
      <w:r w:rsidRPr="00F36092">
        <w:rPr>
          <w:lang w:val="fr-FR"/>
        </w:rPr>
        <w:t>2 est la cause immédiate d</w:t>
      </w:r>
      <w:r>
        <w:rPr>
          <w:lang w:val="fr-FR"/>
        </w:rPr>
        <w:t>’</w:t>
      </w:r>
      <w:r w:rsidRPr="00F36092">
        <w:rPr>
          <w:lang w:val="fr-FR"/>
        </w:rPr>
        <w:t>une violation distincte du Pacte portant directement atteinte à la personne qui se dit victime</w:t>
      </w:r>
      <w:r w:rsidRPr="00DD49CD">
        <w:rPr>
          <w:rStyle w:val="Appelnotedebasdep"/>
        </w:rPr>
        <w:footnoteReference w:id="7"/>
      </w:r>
      <w:r w:rsidRPr="00F36092">
        <w:rPr>
          <w:lang w:val="fr-FR"/>
        </w:rPr>
        <w:t>. Il constate toutefois que les auteurs ont déjà allégué une violation des droits qu</w:t>
      </w:r>
      <w:r>
        <w:rPr>
          <w:lang w:val="fr-FR"/>
        </w:rPr>
        <w:t>’</w:t>
      </w:r>
      <w:r w:rsidRPr="00F36092">
        <w:rPr>
          <w:lang w:val="fr-FR"/>
        </w:rPr>
        <w:t>il</w:t>
      </w:r>
      <w:r>
        <w:rPr>
          <w:lang w:val="fr-FR"/>
        </w:rPr>
        <w:t>s</w:t>
      </w:r>
      <w:r w:rsidRPr="00F36092">
        <w:rPr>
          <w:lang w:val="fr-FR"/>
        </w:rPr>
        <w:t xml:space="preserve"> tiennent des articles</w:t>
      </w:r>
      <w:r>
        <w:rPr>
          <w:lang w:val="fr-FR"/>
        </w:rPr>
        <w:t> </w:t>
      </w:r>
      <w:r w:rsidRPr="00F36092">
        <w:rPr>
          <w:lang w:val="fr-FR"/>
        </w:rPr>
        <w:t>19 et 21 du Pacte, résultant de l</w:t>
      </w:r>
      <w:r>
        <w:rPr>
          <w:lang w:val="fr-FR"/>
        </w:rPr>
        <w:t>’</w:t>
      </w:r>
      <w:r w:rsidRPr="00F36092">
        <w:rPr>
          <w:lang w:val="fr-FR"/>
        </w:rPr>
        <w:t>interprétation et de l</w:t>
      </w:r>
      <w:r>
        <w:rPr>
          <w:lang w:val="fr-FR"/>
        </w:rPr>
        <w:t>’</w:t>
      </w:r>
      <w:r w:rsidRPr="00F36092">
        <w:rPr>
          <w:lang w:val="fr-FR"/>
        </w:rPr>
        <w:t>application des lois en vigueur dans l</w:t>
      </w:r>
      <w:r>
        <w:rPr>
          <w:lang w:val="fr-FR"/>
        </w:rPr>
        <w:t>’</w:t>
      </w:r>
      <w:r w:rsidRPr="00F36092">
        <w:rPr>
          <w:lang w:val="fr-FR"/>
        </w:rPr>
        <w:t>État partie, et il considère qu</w:t>
      </w:r>
      <w:r>
        <w:rPr>
          <w:lang w:val="fr-FR"/>
        </w:rPr>
        <w:t>’</w:t>
      </w:r>
      <w:r w:rsidRPr="00F36092">
        <w:rPr>
          <w:lang w:val="fr-FR"/>
        </w:rPr>
        <w:t>examiner la question de savoir si l</w:t>
      </w:r>
      <w:r>
        <w:rPr>
          <w:lang w:val="fr-FR"/>
        </w:rPr>
        <w:t>’</w:t>
      </w:r>
      <w:r w:rsidRPr="00F36092">
        <w:rPr>
          <w:lang w:val="fr-FR"/>
        </w:rPr>
        <w:t>État partie a manqué aux obligations générales mises à sa charge par l</w:t>
      </w:r>
      <w:r>
        <w:rPr>
          <w:lang w:val="fr-FR"/>
        </w:rPr>
        <w:t>’</w:t>
      </w:r>
      <w:r w:rsidRPr="00F36092">
        <w:rPr>
          <w:lang w:val="fr-FR"/>
        </w:rPr>
        <w:t>article</w:t>
      </w:r>
      <w:r>
        <w:rPr>
          <w:lang w:val="fr-FR"/>
        </w:rPr>
        <w:t> </w:t>
      </w:r>
      <w:r w:rsidRPr="00F36092">
        <w:rPr>
          <w:lang w:val="fr-FR"/>
        </w:rPr>
        <w:t>2 (par.</w:t>
      </w:r>
      <w:r>
        <w:rPr>
          <w:lang w:val="fr-FR"/>
        </w:rPr>
        <w:t> </w:t>
      </w:r>
      <w:r w:rsidRPr="00F36092">
        <w:rPr>
          <w:lang w:val="fr-FR"/>
        </w:rPr>
        <w:t>2) du Pacte, lu conjointement avec les articles</w:t>
      </w:r>
      <w:r>
        <w:rPr>
          <w:lang w:val="fr-FR"/>
        </w:rPr>
        <w:t> </w:t>
      </w:r>
      <w:r w:rsidRPr="00F36092">
        <w:rPr>
          <w:lang w:val="fr-FR"/>
        </w:rPr>
        <w:t>19 et 21, revient à examiner la question de savoir si l</w:t>
      </w:r>
      <w:r>
        <w:rPr>
          <w:lang w:val="fr-FR"/>
        </w:rPr>
        <w:t>’</w:t>
      </w:r>
      <w:r w:rsidRPr="00F36092">
        <w:rPr>
          <w:lang w:val="fr-FR"/>
        </w:rPr>
        <w:t>État partie a porté atteinte aux droits qui sont reconnus aux auteurs par les articles</w:t>
      </w:r>
      <w:r>
        <w:rPr>
          <w:lang w:val="fr-FR"/>
        </w:rPr>
        <w:t> </w:t>
      </w:r>
      <w:r w:rsidRPr="00F36092">
        <w:rPr>
          <w:lang w:val="fr-FR"/>
        </w:rPr>
        <w:t>19 et 21 du Pacte. En conséquence, le Comité considère que les griefs soulevés par les auteurs à cet égard sont incompatibles avec l</w:t>
      </w:r>
      <w:r>
        <w:rPr>
          <w:lang w:val="fr-FR"/>
        </w:rPr>
        <w:t>’</w:t>
      </w:r>
      <w:r w:rsidRPr="00F36092">
        <w:rPr>
          <w:lang w:val="fr-FR"/>
        </w:rPr>
        <w:t>article</w:t>
      </w:r>
      <w:r>
        <w:rPr>
          <w:lang w:val="fr-FR"/>
        </w:rPr>
        <w:t> </w:t>
      </w:r>
      <w:r w:rsidRPr="00F36092">
        <w:rPr>
          <w:lang w:val="fr-FR"/>
        </w:rPr>
        <w:t>2 du Pacte et, partant, irrecevables au regard de l</w:t>
      </w:r>
      <w:r>
        <w:rPr>
          <w:lang w:val="fr-FR"/>
        </w:rPr>
        <w:t>’</w:t>
      </w:r>
      <w:r w:rsidRPr="00F36092">
        <w:rPr>
          <w:lang w:val="fr-FR"/>
        </w:rPr>
        <w:t>article</w:t>
      </w:r>
      <w:r>
        <w:rPr>
          <w:lang w:val="fr-FR"/>
        </w:rPr>
        <w:t> </w:t>
      </w:r>
      <w:r w:rsidRPr="00F36092">
        <w:rPr>
          <w:lang w:val="fr-FR"/>
        </w:rPr>
        <w:t>3 du Protocole facultatif.</w:t>
      </w:r>
    </w:p>
    <w:p w14:paraId="15D0E457" w14:textId="77777777" w:rsidR="0072367B" w:rsidRPr="00F36092" w:rsidRDefault="0072367B" w:rsidP="0072367B">
      <w:pPr>
        <w:pStyle w:val="SingleTxtG"/>
        <w:rPr>
          <w:lang w:val="fr-FR"/>
        </w:rPr>
      </w:pPr>
      <w:r w:rsidRPr="00F36092">
        <w:rPr>
          <w:lang w:val="fr-FR"/>
        </w:rPr>
        <w:t>6.5</w:t>
      </w:r>
      <w:r w:rsidRPr="00F36092">
        <w:rPr>
          <w:lang w:val="fr-FR"/>
        </w:rPr>
        <w:tab/>
        <w:t>Le Comité prend également note des griefs soulevés par les auteurs au titre des articles 19 et 21 du Pacte, lus conjointement avec l</w:t>
      </w:r>
      <w:r>
        <w:rPr>
          <w:lang w:val="fr-FR"/>
        </w:rPr>
        <w:t>’</w:t>
      </w:r>
      <w:r w:rsidRPr="00F36092">
        <w:rPr>
          <w:lang w:val="fr-FR"/>
        </w:rPr>
        <w:t>article</w:t>
      </w:r>
      <w:r>
        <w:rPr>
          <w:lang w:val="fr-FR"/>
        </w:rPr>
        <w:t> </w:t>
      </w:r>
      <w:r w:rsidRPr="00F36092">
        <w:rPr>
          <w:lang w:val="fr-FR"/>
        </w:rPr>
        <w:t>2 (par. 3). Faute d</w:t>
      </w:r>
      <w:r>
        <w:rPr>
          <w:lang w:val="fr-FR"/>
        </w:rPr>
        <w:t>’</w:t>
      </w:r>
      <w:r w:rsidRPr="00F36092">
        <w:rPr>
          <w:lang w:val="fr-FR"/>
        </w:rPr>
        <w:t>autres renseignements à ce sujet dans le dossier, il considère que les auteurs n</w:t>
      </w:r>
      <w:r>
        <w:rPr>
          <w:lang w:val="fr-FR"/>
        </w:rPr>
        <w:t>’</w:t>
      </w:r>
      <w:r w:rsidRPr="00F36092">
        <w:rPr>
          <w:lang w:val="fr-FR"/>
        </w:rPr>
        <w:t>ont pas suffisamment étayé ces griefs aux fins de la recevabilité. Dès lors, il déclare cette partie de la communication irrecevable au regard de l</w:t>
      </w:r>
      <w:r>
        <w:rPr>
          <w:lang w:val="fr-FR"/>
        </w:rPr>
        <w:t>’</w:t>
      </w:r>
      <w:r w:rsidRPr="00F36092">
        <w:rPr>
          <w:lang w:val="fr-FR"/>
        </w:rPr>
        <w:t>article</w:t>
      </w:r>
      <w:r>
        <w:rPr>
          <w:lang w:val="fr-FR"/>
        </w:rPr>
        <w:t> </w:t>
      </w:r>
      <w:r w:rsidRPr="00F36092">
        <w:rPr>
          <w:lang w:val="fr-FR"/>
        </w:rPr>
        <w:t>2 du Protocole facultatif.</w:t>
      </w:r>
    </w:p>
    <w:p w14:paraId="09D4A9BC" w14:textId="77777777" w:rsidR="0072367B" w:rsidRPr="00F36092" w:rsidRDefault="0072367B" w:rsidP="0072367B">
      <w:pPr>
        <w:pStyle w:val="SingleTxtG"/>
        <w:rPr>
          <w:lang w:val="fr-FR"/>
        </w:rPr>
      </w:pPr>
      <w:r w:rsidRPr="00F36092">
        <w:rPr>
          <w:lang w:val="fr-FR"/>
        </w:rPr>
        <w:lastRenderedPageBreak/>
        <w:t>6.6</w:t>
      </w:r>
      <w:r w:rsidRPr="00F36092">
        <w:rPr>
          <w:lang w:val="fr-FR"/>
        </w:rPr>
        <w:tab/>
      </w:r>
      <w:r>
        <w:rPr>
          <w:lang w:val="fr-FR"/>
        </w:rPr>
        <w:t>Pour conclure</w:t>
      </w:r>
      <w:r w:rsidRPr="00F36092">
        <w:rPr>
          <w:lang w:val="fr-FR"/>
        </w:rPr>
        <w:t>, le Comité note que les griefs formulés par les auteurs soulèvent des questions au regard des article</w:t>
      </w:r>
      <w:r>
        <w:rPr>
          <w:lang w:val="fr-FR"/>
        </w:rPr>
        <w:t>s </w:t>
      </w:r>
      <w:r w:rsidRPr="00F36092">
        <w:rPr>
          <w:lang w:val="fr-FR"/>
        </w:rPr>
        <w:t>19 (par.</w:t>
      </w:r>
      <w:r>
        <w:rPr>
          <w:lang w:val="fr-FR"/>
        </w:rPr>
        <w:t> </w:t>
      </w:r>
      <w:r w:rsidRPr="00F36092">
        <w:rPr>
          <w:lang w:val="fr-FR"/>
        </w:rPr>
        <w:t>2) et 21 du Pacte. Il considère que ces griefs ont été suffisamment étayés aux fins de la recevabilité et passe à leur examen au fond.</w:t>
      </w:r>
    </w:p>
    <w:p w14:paraId="3E8059C1" w14:textId="77777777" w:rsidR="0072367B" w:rsidRPr="00F36092" w:rsidRDefault="0072367B" w:rsidP="0072367B">
      <w:pPr>
        <w:pStyle w:val="H4G"/>
        <w:rPr>
          <w:lang w:val="fr-FR"/>
        </w:rPr>
      </w:pPr>
      <w:r w:rsidRPr="00F36092">
        <w:rPr>
          <w:lang w:val="fr-FR"/>
        </w:rPr>
        <w:tab/>
      </w:r>
      <w:r w:rsidRPr="00F36092">
        <w:rPr>
          <w:lang w:val="fr-FR"/>
        </w:rPr>
        <w:tab/>
      </w:r>
      <w:r w:rsidRPr="00032352">
        <w:rPr>
          <w:lang w:val="fr-FR"/>
        </w:rPr>
        <w:t>Examen au fond</w:t>
      </w:r>
    </w:p>
    <w:p w14:paraId="5D000D64" w14:textId="77777777" w:rsidR="0072367B" w:rsidRPr="00F36092" w:rsidRDefault="0072367B" w:rsidP="0072367B">
      <w:pPr>
        <w:pStyle w:val="SingleTxtG"/>
        <w:rPr>
          <w:lang w:val="fr-FR"/>
        </w:rPr>
      </w:pPr>
      <w:r w:rsidRPr="00F36092">
        <w:rPr>
          <w:lang w:val="fr-FR"/>
        </w:rPr>
        <w:t>7.1</w:t>
      </w:r>
      <w:r w:rsidRPr="00F36092">
        <w:rPr>
          <w:lang w:val="fr-FR"/>
        </w:rPr>
        <w:tab/>
        <w:t>Conformément à l</w:t>
      </w:r>
      <w:r>
        <w:rPr>
          <w:lang w:val="fr-FR"/>
        </w:rPr>
        <w:t>’</w:t>
      </w:r>
      <w:r w:rsidRPr="00F36092">
        <w:rPr>
          <w:lang w:val="fr-FR"/>
        </w:rPr>
        <w:t>article</w:t>
      </w:r>
      <w:r>
        <w:rPr>
          <w:lang w:val="fr-FR"/>
        </w:rPr>
        <w:t> </w:t>
      </w:r>
      <w:r w:rsidRPr="00F36092">
        <w:rPr>
          <w:lang w:val="fr-FR"/>
        </w:rPr>
        <w:t>5 (par. 1) du Protocole facultatif, le Comité a examiné la présente communication en tenant compte de toutes les informations que lui ont communiquées les parties.</w:t>
      </w:r>
    </w:p>
    <w:p w14:paraId="660E8BB8" w14:textId="77777777" w:rsidR="0072367B" w:rsidRPr="00F36092" w:rsidRDefault="0072367B" w:rsidP="0072367B">
      <w:pPr>
        <w:pStyle w:val="SingleTxtG"/>
        <w:rPr>
          <w:lang w:val="fr-FR"/>
        </w:rPr>
      </w:pPr>
      <w:r w:rsidRPr="00F36092">
        <w:rPr>
          <w:lang w:val="fr-FR"/>
        </w:rPr>
        <w:t>7.2</w:t>
      </w:r>
      <w:r w:rsidRPr="00F36092">
        <w:rPr>
          <w:lang w:val="fr-FR"/>
        </w:rPr>
        <w:tab/>
        <w:t>Le Comité prend note des griefs des auteurs, qui soutiennent que leurs droits à la liberté d</w:t>
      </w:r>
      <w:r>
        <w:rPr>
          <w:lang w:val="fr-FR"/>
        </w:rPr>
        <w:t>’</w:t>
      </w:r>
      <w:r w:rsidRPr="00F36092">
        <w:rPr>
          <w:lang w:val="fr-FR"/>
        </w:rPr>
        <w:t>expression et à la liberté de réunion ont été restreints, en violation des articles</w:t>
      </w:r>
      <w:r>
        <w:rPr>
          <w:lang w:val="fr-FR"/>
        </w:rPr>
        <w:t> </w:t>
      </w:r>
      <w:r w:rsidRPr="00F36092">
        <w:rPr>
          <w:lang w:val="fr-FR"/>
        </w:rPr>
        <w:t>19 et 21 du Pacte, car ils se sont vu refuser l</w:t>
      </w:r>
      <w:r>
        <w:rPr>
          <w:lang w:val="fr-FR"/>
        </w:rPr>
        <w:t>’</w:t>
      </w:r>
      <w:r w:rsidRPr="00F36092">
        <w:rPr>
          <w:lang w:val="fr-FR"/>
        </w:rPr>
        <w:t>autorisation d</w:t>
      </w:r>
      <w:r>
        <w:rPr>
          <w:lang w:val="fr-FR"/>
        </w:rPr>
        <w:t>’</w:t>
      </w:r>
      <w:r w:rsidRPr="00F36092">
        <w:rPr>
          <w:lang w:val="fr-FR"/>
        </w:rPr>
        <w:t xml:space="preserve">organiser des rassemblements pacifiques destinés à </w:t>
      </w:r>
      <w:r w:rsidRPr="00FC51CF">
        <w:rPr>
          <w:lang w:val="fr-FR"/>
        </w:rPr>
        <w:t xml:space="preserve">soutenir le peuple ukrainien dans </w:t>
      </w:r>
      <w:r>
        <w:rPr>
          <w:lang w:val="fr-FR"/>
        </w:rPr>
        <w:t>son désir d’</w:t>
      </w:r>
      <w:r w:rsidRPr="00FC51CF">
        <w:rPr>
          <w:lang w:val="fr-FR"/>
        </w:rPr>
        <w:t>indépendance. Il</w:t>
      </w:r>
      <w:r w:rsidRPr="00F36092">
        <w:rPr>
          <w:lang w:val="fr-FR"/>
        </w:rPr>
        <w:t xml:space="preserve"> note également que, d</w:t>
      </w:r>
      <w:r>
        <w:rPr>
          <w:lang w:val="fr-FR"/>
        </w:rPr>
        <w:t>’</w:t>
      </w:r>
      <w:r w:rsidRPr="00F36092">
        <w:rPr>
          <w:lang w:val="fr-FR"/>
        </w:rPr>
        <w:t>après les auteurs, les autorités n</w:t>
      </w:r>
      <w:r>
        <w:rPr>
          <w:lang w:val="fr-FR"/>
        </w:rPr>
        <w:t>’</w:t>
      </w:r>
      <w:r w:rsidRPr="00F36092">
        <w:rPr>
          <w:lang w:val="fr-FR"/>
        </w:rPr>
        <w:t>ont pas expliqué en quoi les restrictions imposées à leur droit d</w:t>
      </w:r>
      <w:r>
        <w:rPr>
          <w:lang w:val="fr-FR"/>
        </w:rPr>
        <w:t>’</w:t>
      </w:r>
      <w:r w:rsidRPr="00F36092">
        <w:rPr>
          <w:lang w:val="fr-FR"/>
        </w:rPr>
        <w:t>organiser un rassemblement étaient nécessaires dans l</w:t>
      </w:r>
      <w:r>
        <w:rPr>
          <w:lang w:val="fr-FR"/>
        </w:rPr>
        <w:t>’</w:t>
      </w:r>
      <w:r w:rsidRPr="00F36092">
        <w:rPr>
          <w:lang w:val="fr-FR"/>
        </w:rPr>
        <w:t>intérêt de la sécurité nationale, de la sûreté publique ou de l</w:t>
      </w:r>
      <w:r>
        <w:rPr>
          <w:lang w:val="fr-FR"/>
        </w:rPr>
        <w:t>’</w:t>
      </w:r>
      <w:r w:rsidRPr="00F36092">
        <w:rPr>
          <w:lang w:val="fr-FR"/>
        </w:rPr>
        <w:t>ordre public, ou pour protéger la santé ou la moralité publiques ou les droits et libertés d</w:t>
      </w:r>
      <w:r>
        <w:rPr>
          <w:lang w:val="fr-FR"/>
        </w:rPr>
        <w:t>’</w:t>
      </w:r>
      <w:r w:rsidRPr="00F36092">
        <w:rPr>
          <w:lang w:val="fr-FR"/>
        </w:rPr>
        <w:t xml:space="preserve">autrui, comme prévu </w:t>
      </w:r>
      <w:r>
        <w:rPr>
          <w:lang w:val="fr-FR"/>
        </w:rPr>
        <w:t xml:space="preserve">aux </w:t>
      </w:r>
      <w:r w:rsidRPr="00F36092">
        <w:rPr>
          <w:lang w:val="fr-FR"/>
        </w:rPr>
        <w:t>article</w:t>
      </w:r>
      <w:r>
        <w:rPr>
          <w:lang w:val="fr-FR"/>
        </w:rPr>
        <w:t>s </w:t>
      </w:r>
      <w:r w:rsidRPr="00F36092">
        <w:rPr>
          <w:lang w:val="fr-FR"/>
        </w:rPr>
        <w:t>19 (par.</w:t>
      </w:r>
      <w:r>
        <w:rPr>
          <w:lang w:val="fr-FR"/>
        </w:rPr>
        <w:t> </w:t>
      </w:r>
      <w:r w:rsidRPr="00F36092">
        <w:rPr>
          <w:lang w:val="fr-FR"/>
        </w:rPr>
        <w:t>3) et</w:t>
      </w:r>
      <w:r>
        <w:rPr>
          <w:lang w:val="fr-FR"/>
        </w:rPr>
        <w:t> </w:t>
      </w:r>
      <w:r w:rsidRPr="00F36092">
        <w:rPr>
          <w:lang w:val="fr-FR"/>
        </w:rPr>
        <w:t>21 du Pacte, et que, partant, les restrictions en question étaient illégales.</w:t>
      </w:r>
    </w:p>
    <w:p w14:paraId="5712FC3E" w14:textId="77777777" w:rsidR="0072367B" w:rsidRPr="00F36092" w:rsidRDefault="0072367B" w:rsidP="0072367B">
      <w:pPr>
        <w:pStyle w:val="SingleTxtG"/>
        <w:rPr>
          <w:lang w:val="fr-FR"/>
        </w:rPr>
      </w:pPr>
      <w:r w:rsidRPr="00F36092">
        <w:rPr>
          <w:lang w:val="fr-FR"/>
        </w:rPr>
        <w:t>7.3</w:t>
      </w:r>
      <w:r w:rsidRPr="00F36092">
        <w:rPr>
          <w:lang w:val="fr-FR"/>
        </w:rPr>
        <w:tab/>
        <w:t>Le Comité prend note des allégations des auteurs selon lesquelles le droit de réunion pacifique que leur garantit l</w:t>
      </w:r>
      <w:r>
        <w:rPr>
          <w:lang w:val="fr-FR"/>
        </w:rPr>
        <w:t>’</w:t>
      </w:r>
      <w:r w:rsidRPr="00F36092">
        <w:rPr>
          <w:lang w:val="fr-FR"/>
        </w:rPr>
        <w:t>article</w:t>
      </w:r>
      <w:r>
        <w:rPr>
          <w:lang w:val="fr-FR"/>
        </w:rPr>
        <w:t> </w:t>
      </w:r>
      <w:r w:rsidRPr="00F36092">
        <w:rPr>
          <w:lang w:val="fr-FR"/>
        </w:rPr>
        <w:t xml:space="preserve">21 du Pacte a été violé </w:t>
      </w:r>
      <w:r>
        <w:rPr>
          <w:lang w:val="fr-FR"/>
        </w:rPr>
        <w:t>par le</w:t>
      </w:r>
      <w:r w:rsidRPr="00F36092">
        <w:rPr>
          <w:lang w:val="fr-FR"/>
        </w:rPr>
        <w:t xml:space="preserve"> refus </w:t>
      </w:r>
      <w:r>
        <w:rPr>
          <w:lang w:val="fr-FR"/>
        </w:rPr>
        <w:t>du</w:t>
      </w:r>
      <w:r w:rsidRPr="00F36092">
        <w:rPr>
          <w:lang w:val="fr-FR"/>
        </w:rPr>
        <w:t xml:space="preserve"> Comité exécutif de Gomel d</w:t>
      </w:r>
      <w:r>
        <w:rPr>
          <w:lang w:val="fr-FR"/>
        </w:rPr>
        <w:t xml:space="preserve">e leur </w:t>
      </w:r>
      <w:r w:rsidRPr="00F36092">
        <w:rPr>
          <w:lang w:val="fr-FR"/>
        </w:rPr>
        <w:t>autoriser la tenue d</w:t>
      </w:r>
      <w:r>
        <w:rPr>
          <w:lang w:val="fr-FR"/>
        </w:rPr>
        <w:t>e</w:t>
      </w:r>
      <w:r w:rsidRPr="00F36092">
        <w:rPr>
          <w:lang w:val="fr-FR"/>
        </w:rPr>
        <w:t xml:space="preserve"> rassemblement</w:t>
      </w:r>
      <w:r>
        <w:rPr>
          <w:lang w:val="fr-FR"/>
        </w:rPr>
        <w:t>s</w:t>
      </w:r>
      <w:r w:rsidRPr="00F36092">
        <w:rPr>
          <w:lang w:val="fr-FR"/>
        </w:rPr>
        <w:t xml:space="preserve"> pacifique</w:t>
      </w:r>
      <w:r>
        <w:rPr>
          <w:lang w:val="fr-FR"/>
        </w:rPr>
        <w:t>s</w:t>
      </w:r>
      <w:r w:rsidRPr="00F36092">
        <w:rPr>
          <w:lang w:val="fr-FR"/>
        </w:rPr>
        <w:t>. Il rappelle avoir dit dans son observation générale n</w:t>
      </w:r>
      <w:r w:rsidRPr="00F36092">
        <w:rPr>
          <w:vertAlign w:val="superscript"/>
          <w:lang w:val="fr-FR"/>
        </w:rPr>
        <w:t>o</w:t>
      </w:r>
      <w:r w:rsidRPr="00F36092">
        <w:rPr>
          <w:lang w:val="fr-FR"/>
        </w:rPr>
        <w:t> 37 (2020), que les réunions pacifiques pouvaient en principe être organisées en tout lieu accessible au public ou auquel le public devrait avoir accès, comme les places publiques et la voie publique. Les réunions pacifiques ne devraient pas être reléguées dans des endroits isolés où elles ne peuvent pas attirer l</w:t>
      </w:r>
      <w:r>
        <w:rPr>
          <w:lang w:val="fr-FR"/>
        </w:rPr>
        <w:t>’</w:t>
      </w:r>
      <w:r w:rsidRPr="00F36092">
        <w:rPr>
          <w:lang w:val="fr-FR"/>
        </w:rPr>
        <w:t>attention de ceux à qui elles s</w:t>
      </w:r>
      <w:r>
        <w:rPr>
          <w:lang w:val="fr-FR"/>
        </w:rPr>
        <w:t>’</w:t>
      </w:r>
      <w:r w:rsidRPr="00F36092">
        <w:rPr>
          <w:lang w:val="fr-FR"/>
        </w:rPr>
        <w:t>adressent ou du grand public. En règle générale, il ne peut être imposé d</w:t>
      </w:r>
      <w:r>
        <w:rPr>
          <w:lang w:val="fr-FR"/>
        </w:rPr>
        <w:t>’</w:t>
      </w:r>
      <w:r w:rsidRPr="00F36092">
        <w:rPr>
          <w:lang w:val="fr-FR"/>
        </w:rPr>
        <w:t>interdictions générales d</w:t>
      </w:r>
      <w:r>
        <w:rPr>
          <w:lang w:val="fr-FR"/>
        </w:rPr>
        <w:t>’</w:t>
      </w:r>
      <w:r w:rsidRPr="00F36092">
        <w:rPr>
          <w:lang w:val="fr-FR"/>
        </w:rPr>
        <w:t>organiser des rassemblements en tous lieux de la capitale, en tous lieux publics à l</w:t>
      </w:r>
      <w:r>
        <w:rPr>
          <w:lang w:val="fr-FR"/>
        </w:rPr>
        <w:t>’</w:t>
      </w:r>
      <w:r w:rsidRPr="00F36092">
        <w:rPr>
          <w:lang w:val="fr-FR"/>
        </w:rPr>
        <w:t>exception d</w:t>
      </w:r>
      <w:r>
        <w:rPr>
          <w:lang w:val="fr-FR"/>
        </w:rPr>
        <w:t>’</w:t>
      </w:r>
      <w:r w:rsidRPr="00F36092">
        <w:rPr>
          <w:lang w:val="fr-FR"/>
        </w:rPr>
        <w:t>un lieu unique en ville ou en dehors du centre-ville, ou sur l</w:t>
      </w:r>
      <w:r>
        <w:rPr>
          <w:lang w:val="fr-FR"/>
        </w:rPr>
        <w:t>’</w:t>
      </w:r>
      <w:r w:rsidRPr="00F36092">
        <w:rPr>
          <w:lang w:val="fr-FR"/>
        </w:rPr>
        <w:t>ensemble de la voie publique d</w:t>
      </w:r>
      <w:r>
        <w:rPr>
          <w:lang w:val="fr-FR"/>
        </w:rPr>
        <w:t>’</w:t>
      </w:r>
      <w:r w:rsidRPr="00F36092">
        <w:rPr>
          <w:lang w:val="fr-FR"/>
        </w:rPr>
        <w:t>une ville</w:t>
      </w:r>
      <w:r>
        <w:rPr>
          <w:rStyle w:val="Appelnotedebasdep"/>
        </w:rPr>
        <w:footnoteReference w:id="8"/>
      </w:r>
      <w:r w:rsidRPr="00F36092">
        <w:rPr>
          <w:lang w:val="fr-FR"/>
        </w:rPr>
        <w:t xml:space="preserve">. </w:t>
      </w:r>
      <w:r>
        <w:rPr>
          <w:lang w:val="fr-FR"/>
        </w:rPr>
        <w:t>E</w:t>
      </w:r>
      <w:r w:rsidRPr="00F36092">
        <w:rPr>
          <w:lang w:val="fr-FR"/>
        </w:rPr>
        <w:t>n outre</w:t>
      </w:r>
      <w:r>
        <w:rPr>
          <w:lang w:val="fr-FR"/>
        </w:rPr>
        <w:t xml:space="preserve">, </w:t>
      </w:r>
      <w:r w:rsidRPr="00F36092">
        <w:rPr>
          <w:lang w:val="fr-FR"/>
        </w:rPr>
        <w:t>exiger des participants ou des organisateurs qu</w:t>
      </w:r>
      <w:r>
        <w:rPr>
          <w:lang w:val="fr-FR"/>
        </w:rPr>
        <w:t>’</w:t>
      </w:r>
      <w:r w:rsidRPr="00F36092">
        <w:rPr>
          <w:lang w:val="fr-FR"/>
        </w:rPr>
        <w:t>ils assurent ou contribuent à financer l</w:t>
      </w:r>
      <w:r>
        <w:rPr>
          <w:lang w:val="fr-FR"/>
        </w:rPr>
        <w:t>’</w:t>
      </w:r>
      <w:r w:rsidRPr="00F36092">
        <w:rPr>
          <w:lang w:val="fr-FR"/>
        </w:rPr>
        <w:t>encadrement et la sécurité, la présence d</w:t>
      </w:r>
      <w:r>
        <w:rPr>
          <w:lang w:val="fr-FR"/>
        </w:rPr>
        <w:t>’</w:t>
      </w:r>
      <w:r w:rsidRPr="00F36092">
        <w:rPr>
          <w:lang w:val="fr-FR"/>
        </w:rPr>
        <w:t>un service médical et le nettoyage du site ou tout autre service public en rapport avec la tenue de rassemblements pacifiques n</w:t>
      </w:r>
      <w:r>
        <w:rPr>
          <w:lang w:val="fr-FR"/>
        </w:rPr>
        <w:t>’</w:t>
      </w:r>
      <w:r w:rsidRPr="00F36092">
        <w:rPr>
          <w:lang w:val="fr-FR"/>
        </w:rPr>
        <w:t>est généralement pas compatible avec l</w:t>
      </w:r>
      <w:r>
        <w:rPr>
          <w:lang w:val="fr-FR"/>
        </w:rPr>
        <w:t>’</w:t>
      </w:r>
      <w:r w:rsidRPr="00F36092">
        <w:rPr>
          <w:lang w:val="fr-FR"/>
        </w:rPr>
        <w:t>article 21</w:t>
      </w:r>
      <w:r w:rsidRPr="00DD49CD">
        <w:rPr>
          <w:rStyle w:val="Appelnotedebasdep"/>
        </w:rPr>
        <w:footnoteReference w:id="9"/>
      </w:r>
      <w:r w:rsidRPr="00F36092">
        <w:rPr>
          <w:lang w:val="fr-FR"/>
        </w:rPr>
        <w:t>.</w:t>
      </w:r>
    </w:p>
    <w:p w14:paraId="0E63ADAB" w14:textId="54B2522C" w:rsidR="0072367B" w:rsidRPr="00F36092" w:rsidRDefault="0072367B" w:rsidP="0072367B">
      <w:pPr>
        <w:pStyle w:val="SingleTxtG"/>
        <w:rPr>
          <w:lang w:val="fr-FR"/>
        </w:rPr>
      </w:pPr>
      <w:r w:rsidRPr="00F36092">
        <w:rPr>
          <w:lang w:val="fr-FR"/>
        </w:rPr>
        <w:t>7.4</w:t>
      </w:r>
      <w:r w:rsidRPr="00F36092">
        <w:rPr>
          <w:lang w:val="fr-FR"/>
        </w:rPr>
        <w:tab/>
        <w:t>Le Comité rappelle également que le droit de réunion pacifique, garanti par l</w:t>
      </w:r>
      <w:r>
        <w:rPr>
          <w:lang w:val="fr-FR"/>
        </w:rPr>
        <w:t>’</w:t>
      </w:r>
      <w:r w:rsidRPr="00F36092">
        <w:rPr>
          <w:lang w:val="fr-FR"/>
        </w:rPr>
        <w:t>article</w:t>
      </w:r>
      <w:r>
        <w:rPr>
          <w:lang w:val="fr-FR"/>
        </w:rPr>
        <w:t> </w:t>
      </w:r>
      <w:r w:rsidRPr="00F36092">
        <w:rPr>
          <w:lang w:val="fr-FR"/>
        </w:rPr>
        <w:t>21 du Pacte, est un droit de l</w:t>
      </w:r>
      <w:r>
        <w:rPr>
          <w:lang w:val="fr-FR"/>
        </w:rPr>
        <w:t>’</w:t>
      </w:r>
      <w:r w:rsidRPr="00F36092">
        <w:rPr>
          <w:lang w:val="fr-FR"/>
        </w:rPr>
        <w:t>homme fondamental qui est essentiel à l</w:t>
      </w:r>
      <w:r>
        <w:rPr>
          <w:lang w:val="fr-FR"/>
        </w:rPr>
        <w:t>’</w:t>
      </w:r>
      <w:r w:rsidRPr="00F36092">
        <w:rPr>
          <w:lang w:val="fr-FR"/>
        </w:rPr>
        <w:t>expression publique des points de vue et opinions de chacun et est indispensable dans une société démocratique</w:t>
      </w:r>
      <w:r>
        <w:rPr>
          <w:rStyle w:val="Appelnotedebasdep"/>
        </w:rPr>
        <w:footnoteReference w:id="10"/>
      </w:r>
      <w:r w:rsidRPr="00F36092">
        <w:rPr>
          <w:lang w:val="fr-FR"/>
        </w:rPr>
        <w:t>. L</w:t>
      </w:r>
      <w:r>
        <w:rPr>
          <w:lang w:val="fr-FR"/>
        </w:rPr>
        <w:t>’</w:t>
      </w:r>
      <w:r w:rsidRPr="00F36092">
        <w:rPr>
          <w:lang w:val="fr-FR"/>
        </w:rPr>
        <w:t>article</w:t>
      </w:r>
      <w:r>
        <w:rPr>
          <w:lang w:val="fr-FR"/>
        </w:rPr>
        <w:t> </w:t>
      </w:r>
      <w:r w:rsidRPr="00F36092">
        <w:rPr>
          <w:lang w:val="fr-FR"/>
        </w:rPr>
        <w:t>21 du Pacte protège les réunions pacifiques, qu</w:t>
      </w:r>
      <w:r>
        <w:rPr>
          <w:lang w:val="fr-FR"/>
        </w:rPr>
        <w:t>’</w:t>
      </w:r>
      <w:r w:rsidRPr="00F36092">
        <w:rPr>
          <w:lang w:val="fr-FR"/>
        </w:rPr>
        <w:t>elles se déroulent, partiellement ou intégralement, à l</w:t>
      </w:r>
      <w:r>
        <w:rPr>
          <w:lang w:val="fr-FR"/>
        </w:rPr>
        <w:t>’</w:t>
      </w:r>
      <w:r w:rsidRPr="00F36092">
        <w:rPr>
          <w:lang w:val="fr-FR"/>
        </w:rPr>
        <w:t>extérieur, à l</w:t>
      </w:r>
      <w:r>
        <w:rPr>
          <w:lang w:val="fr-FR"/>
        </w:rPr>
        <w:t>’</w:t>
      </w:r>
      <w:r w:rsidRPr="00F36092">
        <w:rPr>
          <w:lang w:val="fr-FR"/>
        </w:rPr>
        <w:t>intérieur ou en ligne, en public ou en privé. Ces réunions peuvent prendre de nombreuses formes, notamment celles de manifestations, protestations, rassemblements, défilés, sit-in, veillées à la bougie et mobilisations éclair. Elles sont protégées au titre de l</w:t>
      </w:r>
      <w:r>
        <w:rPr>
          <w:lang w:val="fr-FR"/>
        </w:rPr>
        <w:t>’</w:t>
      </w:r>
      <w:r w:rsidRPr="00F36092">
        <w:rPr>
          <w:lang w:val="fr-FR"/>
        </w:rPr>
        <w:t>article</w:t>
      </w:r>
      <w:r>
        <w:rPr>
          <w:lang w:val="fr-FR"/>
        </w:rPr>
        <w:t> </w:t>
      </w:r>
      <w:r w:rsidRPr="00F36092">
        <w:rPr>
          <w:lang w:val="fr-FR"/>
        </w:rPr>
        <w:t>21 qu</w:t>
      </w:r>
      <w:r>
        <w:rPr>
          <w:lang w:val="fr-FR"/>
        </w:rPr>
        <w:t>’</w:t>
      </w:r>
      <w:r w:rsidRPr="00F36092">
        <w:rPr>
          <w:lang w:val="fr-FR"/>
        </w:rPr>
        <w:t>elles soient statiques, comme les piquets, ou mobiles, comme les défilés ou les marches</w:t>
      </w:r>
      <w:r w:rsidRPr="00DD49CD">
        <w:rPr>
          <w:rStyle w:val="Appelnotedebasdep"/>
        </w:rPr>
        <w:footnoteReference w:id="11"/>
      </w:r>
      <w:r w:rsidRPr="00F36092">
        <w:rPr>
          <w:lang w:val="fr-FR"/>
        </w:rPr>
        <w:t>. Les organisateurs d</w:t>
      </w:r>
      <w:r>
        <w:rPr>
          <w:lang w:val="fr-FR"/>
        </w:rPr>
        <w:t>’</w:t>
      </w:r>
      <w:r w:rsidRPr="00F36092">
        <w:rPr>
          <w:lang w:val="fr-FR"/>
        </w:rPr>
        <w:t>un rassemblement ont, en principe, le droit de choisir un lieu à portée de vue et de voix du public qu</w:t>
      </w:r>
      <w:r>
        <w:rPr>
          <w:lang w:val="fr-FR"/>
        </w:rPr>
        <w:t>’</w:t>
      </w:r>
      <w:r w:rsidRPr="00F36092">
        <w:rPr>
          <w:lang w:val="fr-FR"/>
        </w:rPr>
        <w:t>ils visent</w:t>
      </w:r>
      <w:r w:rsidRPr="00DD49CD">
        <w:rPr>
          <w:rStyle w:val="Appelnotedebasdep"/>
        </w:rPr>
        <w:footnoteReference w:id="12"/>
      </w:r>
      <w:r w:rsidRPr="00F36092">
        <w:rPr>
          <w:lang w:val="fr-FR"/>
        </w:rPr>
        <w:t>, et l</w:t>
      </w:r>
      <w:r>
        <w:rPr>
          <w:lang w:val="fr-FR"/>
        </w:rPr>
        <w:t>’</w:t>
      </w:r>
      <w:r w:rsidRPr="00F36092">
        <w:rPr>
          <w:lang w:val="fr-FR"/>
        </w:rPr>
        <w:t>exercice de ce droit ne peut faire l</w:t>
      </w:r>
      <w:r>
        <w:rPr>
          <w:lang w:val="fr-FR"/>
        </w:rPr>
        <w:t>’</w:t>
      </w:r>
      <w:r w:rsidRPr="00F36092">
        <w:rPr>
          <w:lang w:val="fr-FR"/>
        </w:rPr>
        <w:t>objet que des seules restrictions a) imposées conformément à la loi</w:t>
      </w:r>
      <w:r w:rsidR="00032352">
        <w:rPr>
          <w:lang w:val="fr-FR"/>
        </w:rPr>
        <w:t> ;</w:t>
      </w:r>
      <w:r w:rsidRPr="00F36092">
        <w:rPr>
          <w:lang w:val="fr-FR"/>
        </w:rPr>
        <w:t xml:space="preserve"> et b) nécessaires dans une société démocratique, dans l</w:t>
      </w:r>
      <w:r>
        <w:rPr>
          <w:lang w:val="fr-FR"/>
        </w:rPr>
        <w:t>’</w:t>
      </w:r>
      <w:r w:rsidRPr="00F36092">
        <w:rPr>
          <w:lang w:val="fr-FR"/>
        </w:rPr>
        <w:t>intérêt de la sécurité nationale, de la sûreté publique, de l</w:t>
      </w:r>
      <w:r>
        <w:rPr>
          <w:lang w:val="fr-FR"/>
        </w:rPr>
        <w:t>’</w:t>
      </w:r>
      <w:r w:rsidRPr="00F36092">
        <w:rPr>
          <w:lang w:val="fr-FR"/>
        </w:rPr>
        <w:t>ordre public ou pour protéger la santé ou la moralité publiques, ou les droits et libertés d</w:t>
      </w:r>
      <w:r>
        <w:rPr>
          <w:lang w:val="fr-FR"/>
        </w:rPr>
        <w:t>’</w:t>
      </w:r>
      <w:r w:rsidRPr="00F36092">
        <w:rPr>
          <w:lang w:val="fr-FR"/>
        </w:rPr>
        <w:t>autrui. Lorsqu</w:t>
      </w:r>
      <w:r>
        <w:rPr>
          <w:lang w:val="fr-FR"/>
        </w:rPr>
        <w:t>’</w:t>
      </w:r>
      <w:r w:rsidRPr="00F36092">
        <w:rPr>
          <w:lang w:val="fr-FR"/>
        </w:rPr>
        <w:t>un État partie impose des restrictions visant à concilier le droit de réunion d</w:t>
      </w:r>
      <w:r>
        <w:rPr>
          <w:lang w:val="fr-FR"/>
        </w:rPr>
        <w:t>’</w:t>
      </w:r>
      <w:r w:rsidRPr="00F36092">
        <w:rPr>
          <w:lang w:val="fr-FR"/>
        </w:rPr>
        <w:t>un particulier avec ces considérations d</w:t>
      </w:r>
      <w:r>
        <w:rPr>
          <w:lang w:val="fr-FR"/>
        </w:rPr>
        <w:t>’</w:t>
      </w:r>
      <w:r w:rsidRPr="00F36092">
        <w:rPr>
          <w:lang w:val="fr-FR"/>
        </w:rPr>
        <w:t>intérêt général, il doit s</w:t>
      </w:r>
      <w:r>
        <w:rPr>
          <w:lang w:val="fr-FR"/>
        </w:rPr>
        <w:t>’</w:t>
      </w:r>
      <w:r w:rsidRPr="00F36092">
        <w:rPr>
          <w:lang w:val="fr-FR"/>
        </w:rPr>
        <w:t>efforcer de faciliter l</w:t>
      </w:r>
      <w:r>
        <w:rPr>
          <w:lang w:val="fr-FR"/>
        </w:rPr>
        <w:t>’</w:t>
      </w:r>
      <w:r w:rsidRPr="00F36092">
        <w:rPr>
          <w:lang w:val="fr-FR"/>
        </w:rPr>
        <w:t>exercice du droit en question, et non s</w:t>
      </w:r>
      <w:r>
        <w:rPr>
          <w:lang w:val="fr-FR"/>
        </w:rPr>
        <w:t>’</w:t>
      </w:r>
      <w:r w:rsidRPr="00F36092">
        <w:rPr>
          <w:lang w:val="fr-FR"/>
        </w:rPr>
        <w:t>employer à le restreindre par des moyens qui ne sont ni nécessaires, ni proportionnés</w:t>
      </w:r>
      <w:r w:rsidRPr="00DD49CD">
        <w:rPr>
          <w:rStyle w:val="Appelnotedebasdep"/>
        </w:rPr>
        <w:footnoteReference w:id="13"/>
      </w:r>
      <w:r w:rsidRPr="00F36092">
        <w:rPr>
          <w:lang w:val="fr-FR"/>
        </w:rPr>
        <w:t>. L</w:t>
      </w:r>
      <w:r>
        <w:rPr>
          <w:lang w:val="fr-FR"/>
        </w:rPr>
        <w:t>’</w:t>
      </w:r>
      <w:r w:rsidRPr="00F36092">
        <w:rPr>
          <w:lang w:val="fr-FR"/>
        </w:rPr>
        <w:t>État partie est donc tenu de justifier la restriction du droit garanti à l</w:t>
      </w:r>
      <w:r>
        <w:rPr>
          <w:lang w:val="fr-FR"/>
        </w:rPr>
        <w:t>’</w:t>
      </w:r>
      <w:r w:rsidRPr="00F36092">
        <w:rPr>
          <w:lang w:val="fr-FR"/>
        </w:rPr>
        <w:t>article</w:t>
      </w:r>
      <w:r>
        <w:rPr>
          <w:lang w:val="fr-FR"/>
        </w:rPr>
        <w:t> </w:t>
      </w:r>
      <w:r w:rsidRPr="00F36092">
        <w:rPr>
          <w:lang w:val="fr-FR"/>
        </w:rPr>
        <w:t>21 du Pacte</w:t>
      </w:r>
      <w:r w:rsidRPr="00DD49CD">
        <w:rPr>
          <w:rStyle w:val="Appelnotedebasdep"/>
        </w:rPr>
        <w:footnoteReference w:id="14"/>
      </w:r>
      <w:r w:rsidRPr="00F36092">
        <w:rPr>
          <w:lang w:val="fr-FR"/>
        </w:rPr>
        <w:t>.</w:t>
      </w:r>
    </w:p>
    <w:p w14:paraId="210A361D" w14:textId="77777777" w:rsidR="0072367B" w:rsidRPr="00F36092" w:rsidRDefault="0072367B" w:rsidP="0072367B">
      <w:pPr>
        <w:pStyle w:val="SingleTxtG"/>
        <w:rPr>
          <w:lang w:val="fr-FR"/>
        </w:rPr>
      </w:pPr>
      <w:r w:rsidRPr="00F36092">
        <w:rPr>
          <w:lang w:val="fr-FR"/>
        </w:rPr>
        <w:lastRenderedPageBreak/>
        <w:t>7.5</w:t>
      </w:r>
      <w:r w:rsidRPr="00F36092">
        <w:rPr>
          <w:lang w:val="fr-FR"/>
        </w:rPr>
        <w:tab/>
        <w:t>En l</w:t>
      </w:r>
      <w:r>
        <w:rPr>
          <w:lang w:val="fr-FR"/>
        </w:rPr>
        <w:t>’</w:t>
      </w:r>
      <w:r w:rsidRPr="00F36092">
        <w:rPr>
          <w:lang w:val="fr-FR"/>
        </w:rPr>
        <w:t>espèce, le Comité doit déterminer si les restrictions imposées au droit des auteurs à la liberté de réunion pacifique sont justifiées au regard de l</w:t>
      </w:r>
      <w:r>
        <w:rPr>
          <w:lang w:val="fr-FR"/>
        </w:rPr>
        <w:t>’</w:t>
      </w:r>
      <w:r w:rsidRPr="00F36092">
        <w:rPr>
          <w:lang w:val="fr-FR"/>
        </w:rPr>
        <w:t xml:space="preserve">un quelconque des critères énoncés </w:t>
      </w:r>
      <w:r>
        <w:rPr>
          <w:lang w:val="fr-FR"/>
        </w:rPr>
        <w:t>à</w:t>
      </w:r>
      <w:r w:rsidRPr="00F36092">
        <w:rPr>
          <w:lang w:val="fr-FR"/>
        </w:rPr>
        <w:t xml:space="preserve"> l</w:t>
      </w:r>
      <w:r>
        <w:rPr>
          <w:lang w:val="fr-FR"/>
        </w:rPr>
        <w:t>’</w:t>
      </w:r>
      <w:r w:rsidRPr="00F36092">
        <w:rPr>
          <w:lang w:val="fr-FR"/>
        </w:rPr>
        <w:t>article</w:t>
      </w:r>
      <w:r>
        <w:rPr>
          <w:lang w:val="fr-FR"/>
        </w:rPr>
        <w:t> </w:t>
      </w:r>
      <w:r w:rsidRPr="00F36092">
        <w:rPr>
          <w:lang w:val="fr-FR"/>
        </w:rPr>
        <w:t>21 du Pacte. Il ressort des éléments versés au dossier</w:t>
      </w:r>
      <w:r>
        <w:rPr>
          <w:lang w:val="fr-FR"/>
        </w:rPr>
        <w:t> </w:t>
      </w:r>
      <w:r w:rsidRPr="00F36092">
        <w:rPr>
          <w:lang w:val="fr-FR"/>
        </w:rPr>
        <w:t>: que les demandes d</w:t>
      </w:r>
      <w:r>
        <w:rPr>
          <w:lang w:val="fr-FR"/>
        </w:rPr>
        <w:t>’</w:t>
      </w:r>
      <w:r w:rsidRPr="00F36092">
        <w:rPr>
          <w:lang w:val="fr-FR"/>
        </w:rPr>
        <w:t xml:space="preserve">autorisation déposées par les auteurs en vue de la tenue de rassemblements pacifiques ont été rejetées parce que les lieux choisis </w:t>
      </w:r>
      <w:r w:rsidRPr="00FC51CF">
        <w:rPr>
          <w:lang w:val="fr-FR"/>
        </w:rPr>
        <w:t>n</w:t>
      </w:r>
      <w:r>
        <w:rPr>
          <w:lang w:val="fr-FR"/>
        </w:rPr>
        <w:t>’</w:t>
      </w:r>
      <w:r w:rsidRPr="00FC51CF">
        <w:rPr>
          <w:lang w:val="fr-FR"/>
        </w:rPr>
        <w:t>étaient pas le lieu</w:t>
      </w:r>
      <w:r w:rsidRPr="00F36092">
        <w:rPr>
          <w:lang w:val="fr-FR"/>
        </w:rPr>
        <w:t xml:space="preserve"> unique qui avait été désigné par les autorités municipales</w:t>
      </w:r>
      <w:r>
        <w:rPr>
          <w:lang w:val="fr-FR"/>
        </w:rPr>
        <w:t> </w:t>
      </w:r>
      <w:r w:rsidRPr="00F36092">
        <w:rPr>
          <w:lang w:val="fr-FR"/>
        </w:rPr>
        <w:t>; et parce que les auteurs n</w:t>
      </w:r>
      <w:r>
        <w:rPr>
          <w:lang w:val="fr-FR"/>
        </w:rPr>
        <w:t>’a</w:t>
      </w:r>
      <w:r w:rsidRPr="00F36092">
        <w:rPr>
          <w:lang w:val="fr-FR"/>
        </w:rPr>
        <w:t xml:space="preserve">vaient pas </w:t>
      </w:r>
      <w:r>
        <w:rPr>
          <w:lang w:val="fr-FR"/>
        </w:rPr>
        <w:t>produit</w:t>
      </w:r>
      <w:r w:rsidRPr="00F36092">
        <w:rPr>
          <w:lang w:val="fr-FR"/>
        </w:rPr>
        <w:t xml:space="preserve"> </w:t>
      </w:r>
      <w:r>
        <w:rPr>
          <w:lang w:val="fr-FR"/>
        </w:rPr>
        <w:t xml:space="preserve">les </w:t>
      </w:r>
      <w:r w:rsidRPr="00F36092">
        <w:rPr>
          <w:lang w:val="fr-FR"/>
        </w:rPr>
        <w:t xml:space="preserve">contrats conclus avec les prestataires de services municipaux compétents </w:t>
      </w:r>
      <w:r w:rsidRPr="00FC51CF">
        <w:rPr>
          <w:lang w:val="fr-FR"/>
        </w:rPr>
        <w:t>chargés, respectivement, d</w:t>
      </w:r>
      <w:r>
        <w:rPr>
          <w:lang w:val="fr-FR"/>
        </w:rPr>
        <w:t>’</w:t>
      </w:r>
      <w:r w:rsidRPr="00FC51CF">
        <w:rPr>
          <w:lang w:val="fr-FR"/>
        </w:rPr>
        <w:t>assurer un service médical pendant les manifestations et de nettoyer les lieux après celles-ci. Dans ce contexte, le Comité constate que ni le Comité exécutif de la ville de Gomel ni les tribunaux</w:t>
      </w:r>
      <w:r w:rsidRPr="00F36092">
        <w:rPr>
          <w:lang w:val="fr-FR"/>
        </w:rPr>
        <w:t xml:space="preserve"> internes n</w:t>
      </w:r>
      <w:r>
        <w:rPr>
          <w:lang w:val="fr-FR"/>
        </w:rPr>
        <w:t>’</w:t>
      </w:r>
      <w:r w:rsidRPr="00F36092">
        <w:rPr>
          <w:lang w:val="fr-FR"/>
        </w:rPr>
        <w:t>ont justifié leur décision ou expliqué en quoi, dans la pratique, les manifestations que les auteurs souhaitaient organiser auraient menacé les intérêts visés à l</w:t>
      </w:r>
      <w:r>
        <w:rPr>
          <w:lang w:val="fr-FR"/>
        </w:rPr>
        <w:t>’</w:t>
      </w:r>
      <w:r w:rsidRPr="00F36092">
        <w:rPr>
          <w:lang w:val="fr-FR"/>
        </w:rPr>
        <w:t>article</w:t>
      </w:r>
      <w:r>
        <w:rPr>
          <w:lang w:val="fr-FR"/>
        </w:rPr>
        <w:t> </w:t>
      </w:r>
      <w:r w:rsidRPr="00F36092">
        <w:rPr>
          <w:lang w:val="fr-FR"/>
        </w:rPr>
        <w:t>21 du Pacte, à savoir la sécurité nationale ou la sûreté publique, l</w:t>
      </w:r>
      <w:r>
        <w:rPr>
          <w:lang w:val="fr-FR"/>
        </w:rPr>
        <w:t>’</w:t>
      </w:r>
      <w:r w:rsidRPr="00F36092">
        <w:rPr>
          <w:lang w:val="fr-FR"/>
        </w:rPr>
        <w:t>ordre public, la santé ou la moralité publiques ou les droits et libertés d</w:t>
      </w:r>
      <w:r>
        <w:rPr>
          <w:lang w:val="fr-FR"/>
        </w:rPr>
        <w:t>’</w:t>
      </w:r>
      <w:r w:rsidRPr="00F36092">
        <w:rPr>
          <w:lang w:val="fr-FR"/>
        </w:rPr>
        <w:t>autrui. L</w:t>
      </w:r>
      <w:r>
        <w:rPr>
          <w:lang w:val="fr-FR"/>
        </w:rPr>
        <w:t>’</w:t>
      </w:r>
      <w:r w:rsidRPr="00F36092">
        <w:rPr>
          <w:lang w:val="fr-FR"/>
        </w:rPr>
        <w:t>État partie n</w:t>
      </w:r>
      <w:r>
        <w:rPr>
          <w:lang w:val="fr-FR"/>
        </w:rPr>
        <w:t>’</w:t>
      </w:r>
      <w:r w:rsidRPr="00F36092">
        <w:rPr>
          <w:lang w:val="fr-FR"/>
        </w:rPr>
        <w:t>a pas non plus montré que d</w:t>
      </w:r>
      <w:r>
        <w:rPr>
          <w:lang w:val="fr-FR"/>
        </w:rPr>
        <w:t>’</w:t>
      </w:r>
      <w:r w:rsidRPr="00F36092">
        <w:rPr>
          <w:lang w:val="fr-FR"/>
        </w:rPr>
        <w:t>autres mesures avaient été prises pour faciliter l</w:t>
      </w:r>
      <w:r>
        <w:rPr>
          <w:lang w:val="fr-FR"/>
        </w:rPr>
        <w:t>’</w:t>
      </w:r>
      <w:r w:rsidRPr="00F36092">
        <w:rPr>
          <w:lang w:val="fr-FR"/>
        </w:rPr>
        <w:t>exercice des droits que les auteurs tiennent de l</w:t>
      </w:r>
      <w:r>
        <w:rPr>
          <w:lang w:val="fr-FR"/>
        </w:rPr>
        <w:t>’</w:t>
      </w:r>
      <w:r w:rsidRPr="00F36092">
        <w:rPr>
          <w:lang w:val="fr-FR"/>
        </w:rPr>
        <w:t>article</w:t>
      </w:r>
      <w:r>
        <w:rPr>
          <w:lang w:val="fr-FR"/>
        </w:rPr>
        <w:t> </w:t>
      </w:r>
      <w:r w:rsidRPr="00F36092">
        <w:rPr>
          <w:lang w:val="fr-FR"/>
        </w:rPr>
        <w:t>21.</w:t>
      </w:r>
    </w:p>
    <w:p w14:paraId="1FCACAD5" w14:textId="77777777" w:rsidR="0072367B" w:rsidRPr="00F36092" w:rsidRDefault="0072367B" w:rsidP="0072367B">
      <w:pPr>
        <w:pStyle w:val="SingleTxtG"/>
        <w:rPr>
          <w:lang w:val="fr-FR"/>
        </w:rPr>
      </w:pPr>
      <w:r>
        <w:rPr>
          <w:lang w:val="fr-FR"/>
        </w:rPr>
        <w:t>7.6</w:t>
      </w:r>
      <w:r w:rsidRPr="00F36092">
        <w:rPr>
          <w:lang w:val="fr-FR"/>
        </w:rPr>
        <w:tab/>
      </w:r>
      <w:r w:rsidRPr="00183F6A">
        <w:rPr>
          <w:lang w:val="fr-FR"/>
        </w:rPr>
        <w:t>Le Comité rappelle qu</w:t>
      </w:r>
      <w:r>
        <w:rPr>
          <w:lang w:val="fr-FR"/>
        </w:rPr>
        <w:t>’</w:t>
      </w:r>
      <w:r w:rsidRPr="00183F6A">
        <w:rPr>
          <w:lang w:val="fr-FR"/>
        </w:rPr>
        <w:t>il a déjà examiné des cas analogues concernant les mêmes lois et pratiques de l</w:t>
      </w:r>
      <w:r>
        <w:rPr>
          <w:lang w:val="fr-FR"/>
        </w:rPr>
        <w:t>’</w:t>
      </w:r>
      <w:r w:rsidRPr="00183F6A">
        <w:rPr>
          <w:lang w:val="fr-FR"/>
        </w:rPr>
        <w:t>État partie dans plusieurs communications antérieures</w:t>
      </w:r>
      <w:r>
        <w:rPr>
          <w:lang w:val="fr-FR"/>
        </w:rPr>
        <w:t>. Ce dernier</w:t>
      </w:r>
      <w:r w:rsidRPr="00F36092">
        <w:rPr>
          <w:lang w:val="fr-FR"/>
        </w:rPr>
        <w:t xml:space="preserve"> </w:t>
      </w:r>
      <w:r>
        <w:rPr>
          <w:lang w:val="fr-FR"/>
        </w:rPr>
        <w:t xml:space="preserve">n’ayant pas donné d’autres explications </w:t>
      </w:r>
      <w:r w:rsidRPr="00F36092">
        <w:rPr>
          <w:lang w:val="fr-FR"/>
        </w:rPr>
        <w:t xml:space="preserve">sur cette question, </w:t>
      </w:r>
      <w:r>
        <w:rPr>
          <w:lang w:val="fr-FR"/>
        </w:rPr>
        <w:t>le Comité</w:t>
      </w:r>
      <w:r w:rsidRPr="00F36092">
        <w:rPr>
          <w:lang w:val="fr-FR"/>
        </w:rPr>
        <w:t xml:space="preserve"> conclut </w:t>
      </w:r>
      <w:r>
        <w:rPr>
          <w:lang w:val="fr-FR"/>
        </w:rPr>
        <w:t>qu’il</w:t>
      </w:r>
      <w:r w:rsidRPr="00F36092">
        <w:rPr>
          <w:lang w:val="fr-FR"/>
        </w:rPr>
        <w:t xml:space="preserve"> a violé les droits garantis aux auteurs par l</w:t>
      </w:r>
      <w:r>
        <w:rPr>
          <w:lang w:val="fr-FR"/>
        </w:rPr>
        <w:t>’</w:t>
      </w:r>
      <w:r w:rsidRPr="00F36092">
        <w:rPr>
          <w:lang w:val="fr-FR"/>
        </w:rPr>
        <w:t>article</w:t>
      </w:r>
      <w:r>
        <w:rPr>
          <w:lang w:val="fr-FR"/>
        </w:rPr>
        <w:t> </w:t>
      </w:r>
      <w:r w:rsidRPr="00F36092">
        <w:rPr>
          <w:lang w:val="fr-FR"/>
        </w:rPr>
        <w:t>21 du Pacte.</w:t>
      </w:r>
    </w:p>
    <w:p w14:paraId="41D40E1E" w14:textId="195FEBCB" w:rsidR="0072367B" w:rsidRPr="00F36092" w:rsidRDefault="0072367B" w:rsidP="0072367B">
      <w:pPr>
        <w:pStyle w:val="SingleTxtG"/>
        <w:rPr>
          <w:lang w:val="fr-FR"/>
        </w:rPr>
      </w:pPr>
      <w:r>
        <w:rPr>
          <w:lang w:val="fr-FR"/>
        </w:rPr>
        <w:t>7.7</w:t>
      </w:r>
      <w:r>
        <w:rPr>
          <w:lang w:val="fr-FR"/>
        </w:rPr>
        <w:tab/>
      </w:r>
      <w:r w:rsidRPr="00F36092">
        <w:rPr>
          <w:lang w:val="fr-FR"/>
        </w:rPr>
        <w:t>Le Comité prend également note des allégations des auteurs selon lesquelles leur droit à la liberté d</w:t>
      </w:r>
      <w:r>
        <w:rPr>
          <w:lang w:val="fr-FR"/>
        </w:rPr>
        <w:t>’</w:t>
      </w:r>
      <w:r w:rsidRPr="00F36092">
        <w:rPr>
          <w:lang w:val="fr-FR"/>
        </w:rPr>
        <w:t>expression a été restreint illégalement, en ce qu</w:t>
      </w:r>
      <w:r>
        <w:rPr>
          <w:lang w:val="fr-FR"/>
        </w:rPr>
        <w:t>’</w:t>
      </w:r>
      <w:r w:rsidRPr="00F36092">
        <w:rPr>
          <w:lang w:val="fr-FR"/>
        </w:rPr>
        <w:t>on leur a refusé l</w:t>
      </w:r>
      <w:r>
        <w:rPr>
          <w:lang w:val="fr-FR"/>
        </w:rPr>
        <w:t>’</w:t>
      </w:r>
      <w:r w:rsidRPr="00F36092">
        <w:rPr>
          <w:lang w:val="fr-FR"/>
        </w:rPr>
        <w:t>autorisation d</w:t>
      </w:r>
      <w:r>
        <w:rPr>
          <w:lang w:val="fr-FR"/>
        </w:rPr>
        <w:t>’</w:t>
      </w:r>
      <w:r w:rsidRPr="00F36092">
        <w:rPr>
          <w:lang w:val="fr-FR"/>
        </w:rPr>
        <w:t xml:space="preserve">organiser des rassemblements pacifiques pour </w:t>
      </w:r>
      <w:r>
        <w:rPr>
          <w:lang w:val="fr-FR"/>
        </w:rPr>
        <w:t>exprimer</w:t>
      </w:r>
      <w:r w:rsidRPr="00F36092">
        <w:rPr>
          <w:lang w:val="fr-FR"/>
        </w:rPr>
        <w:t xml:space="preserve"> publiquement leur </w:t>
      </w:r>
      <w:r>
        <w:rPr>
          <w:lang w:val="fr-FR"/>
        </w:rPr>
        <w:t>solidarité avec le</w:t>
      </w:r>
      <w:r w:rsidRPr="00F36092">
        <w:rPr>
          <w:lang w:val="fr-FR"/>
        </w:rPr>
        <w:t xml:space="preserve"> peuple ukrainien dans </w:t>
      </w:r>
      <w:r w:rsidR="00032352">
        <w:rPr>
          <w:lang w:val="fr-FR"/>
        </w:rPr>
        <w:t xml:space="preserve">son </w:t>
      </w:r>
      <w:r>
        <w:rPr>
          <w:lang w:val="fr-FR"/>
        </w:rPr>
        <w:t>désir d’</w:t>
      </w:r>
      <w:r w:rsidRPr="00F36092">
        <w:rPr>
          <w:lang w:val="fr-FR"/>
        </w:rPr>
        <w:t>indépendance. Il doit donc déterminer si l</w:t>
      </w:r>
      <w:r>
        <w:rPr>
          <w:lang w:val="fr-FR"/>
        </w:rPr>
        <w:t>’</w:t>
      </w:r>
      <w:r w:rsidRPr="00F36092">
        <w:rPr>
          <w:lang w:val="fr-FR"/>
        </w:rPr>
        <w:t>interdiction d</w:t>
      </w:r>
      <w:r>
        <w:rPr>
          <w:lang w:val="fr-FR"/>
        </w:rPr>
        <w:t>’</w:t>
      </w:r>
      <w:r w:rsidRPr="00F36092">
        <w:rPr>
          <w:lang w:val="fr-FR"/>
        </w:rPr>
        <w:t>organiser des rassemblements pacifiques à cette fin d</w:t>
      </w:r>
      <w:r>
        <w:rPr>
          <w:lang w:val="fr-FR"/>
        </w:rPr>
        <w:t>’</w:t>
      </w:r>
      <w:r w:rsidRPr="00F36092">
        <w:rPr>
          <w:lang w:val="fr-FR"/>
        </w:rPr>
        <w:t>expression, que leur ont imposée les autorités municipales, constitue une violation de l</w:t>
      </w:r>
      <w:r>
        <w:rPr>
          <w:lang w:val="fr-FR"/>
        </w:rPr>
        <w:t>’</w:t>
      </w:r>
      <w:r w:rsidRPr="00F36092">
        <w:rPr>
          <w:lang w:val="fr-FR"/>
        </w:rPr>
        <w:t>article</w:t>
      </w:r>
      <w:r>
        <w:rPr>
          <w:lang w:val="fr-FR"/>
        </w:rPr>
        <w:t> </w:t>
      </w:r>
      <w:r w:rsidRPr="00F36092">
        <w:rPr>
          <w:lang w:val="fr-FR"/>
        </w:rPr>
        <w:t>19 du Pacte.</w:t>
      </w:r>
    </w:p>
    <w:p w14:paraId="7F2E6C56" w14:textId="77777777" w:rsidR="0072367B" w:rsidRPr="00F36092" w:rsidRDefault="0072367B" w:rsidP="0072367B">
      <w:pPr>
        <w:pStyle w:val="SingleTxtG"/>
        <w:rPr>
          <w:lang w:val="fr-FR"/>
        </w:rPr>
      </w:pPr>
      <w:r>
        <w:rPr>
          <w:lang w:val="fr-FR"/>
        </w:rPr>
        <w:t>7.8</w:t>
      </w:r>
      <w:r>
        <w:rPr>
          <w:lang w:val="fr-FR"/>
        </w:rPr>
        <w:tab/>
      </w:r>
      <w:r w:rsidRPr="00F36092">
        <w:rPr>
          <w:lang w:val="fr-FR"/>
        </w:rPr>
        <w:t xml:space="preserve">Le Comité renvoie à son observation générale </w:t>
      </w:r>
      <w:r w:rsidRPr="001247C6">
        <w:rPr>
          <w:lang w:val="fr-FR"/>
        </w:rPr>
        <w:t>n</w:t>
      </w:r>
      <w:r w:rsidRPr="001247C6">
        <w:rPr>
          <w:vertAlign w:val="superscript"/>
          <w:lang w:val="fr-FR"/>
        </w:rPr>
        <w:t>o</w:t>
      </w:r>
      <w:r>
        <w:rPr>
          <w:lang w:val="fr-FR"/>
        </w:rPr>
        <w:t> </w:t>
      </w:r>
      <w:r w:rsidRPr="00F36092">
        <w:rPr>
          <w:lang w:val="fr-FR"/>
        </w:rPr>
        <w:t>34 (2011), dans laquelle il affirme notamment que la liberté d</w:t>
      </w:r>
      <w:r>
        <w:rPr>
          <w:lang w:val="fr-FR"/>
        </w:rPr>
        <w:t>’</w:t>
      </w:r>
      <w:r w:rsidRPr="00F36092">
        <w:rPr>
          <w:lang w:val="fr-FR"/>
        </w:rPr>
        <w:t>expression est essentielle pour toute société et constitue le fondement de toute société libre et démocratique</w:t>
      </w:r>
      <w:r w:rsidRPr="00DD49CD">
        <w:rPr>
          <w:rStyle w:val="Appelnotedebasdep"/>
        </w:rPr>
        <w:footnoteReference w:id="15"/>
      </w:r>
      <w:r w:rsidRPr="00F36092">
        <w:rPr>
          <w:lang w:val="fr-FR"/>
        </w:rPr>
        <w:t xml:space="preserve">. </w:t>
      </w:r>
      <w:r>
        <w:rPr>
          <w:lang w:val="fr-FR"/>
        </w:rPr>
        <w:t>L’</w:t>
      </w:r>
      <w:r w:rsidRPr="00F36092">
        <w:rPr>
          <w:lang w:val="fr-FR"/>
        </w:rPr>
        <w:t>article</w:t>
      </w:r>
      <w:r>
        <w:rPr>
          <w:lang w:val="fr-FR"/>
        </w:rPr>
        <w:t> </w:t>
      </w:r>
      <w:r w:rsidRPr="00F36092">
        <w:rPr>
          <w:lang w:val="fr-FR"/>
        </w:rPr>
        <w:t>19 (par.</w:t>
      </w:r>
      <w:r>
        <w:rPr>
          <w:lang w:val="fr-FR"/>
        </w:rPr>
        <w:t> </w:t>
      </w:r>
      <w:r w:rsidRPr="00F36092">
        <w:rPr>
          <w:lang w:val="fr-FR"/>
        </w:rPr>
        <w:t xml:space="preserve">3) </w:t>
      </w:r>
      <w:r>
        <w:rPr>
          <w:lang w:val="fr-FR"/>
        </w:rPr>
        <w:t>du Pacte</w:t>
      </w:r>
      <w:r w:rsidRPr="00F36092">
        <w:rPr>
          <w:lang w:val="fr-FR"/>
        </w:rPr>
        <w:t xml:space="preserve"> autorise l</w:t>
      </w:r>
      <w:r>
        <w:rPr>
          <w:lang w:val="fr-FR"/>
        </w:rPr>
        <w:t>’</w:t>
      </w:r>
      <w:r w:rsidRPr="00F36092">
        <w:rPr>
          <w:lang w:val="fr-FR"/>
        </w:rPr>
        <w:t>application de certaines restrictions à la liberté d</w:t>
      </w:r>
      <w:r>
        <w:rPr>
          <w:lang w:val="fr-FR"/>
        </w:rPr>
        <w:t>’</w:t>
      </w:r>
      <w:r w:rsidRPr="00F36092">
        <w:rPr>
          <w:lang w:val="fr-FR"/>
        </w:rPr>
        <w:t>expression, y compris à la liberté de répandre des informations et des idées, dans la seule mesure où ces restrictions sont fixées par la loi et sont nécessaires</w:t>
      </w:r>
      <w:r>
        <w:rPr>
          <w:lang w:val="fr-FR"/>
        </w:rPr>
        <w:t> </w:t>
      </w:r>
      <w:r w:rsidRPr="00F36092">
        <w:rPr>
          <w:lang w:val="fr-FR"/>
        </w:rPr>
        <w:t>: a)</w:t>
      </w:r>
      <w:r>
        <w:rPr>
          <w:lang w:val="fr-FR"/>
        </w:rPr>
        <w:t> </w:t>
      </w:r>
      <w:r w:rsidRPr="00F36092">
        <w:rPr>
          <w:lang w:val="fr-FR"/>
        </w:rPr>
        <w:t>au respect des droits ou de la réputation d</w:t>
      </w:r>
      <w:r>
        <w:rPr>
          <w:lang w:val="fr-FR"/>
        </w:rPr>
        <w:t>’</w:t>
      </w:r>
      <w:r w:rsidRPr="00F36092">
        <w:rPr>
          <w:lang w:val="fr-FR"/>
        </w:rPr>
        <w:t>autrui</w:t>
      </w:r>
      <w:r>
        <w:rPr>
          <w:lang w:val="fr-FR"/>
        </w:rPr>
        <w:t> </w:t>
      </w:r>
      <w:r w:rsidRPr="00F36092">
        <w:rPr>
          <w:lang w:val="fr-FR"/>
        </w:rPr>
        <w:t>; ou b)</w:t>
      </w:r>
      <w:r>
        <w:rPr>
          <w:lang w:val="fr-FR"/>
        </w:rPr>
        <w:t> </w:t>
      </w:r>
      <w:r w:rsidRPr="00F36092">
        <w:rPr>
          <w:lang w:val="fr-FR"/>
        </w:rPr>
        <w:t>à la sauvegarde de la sécurité nationale, de l</w:t>
      </w:r>
      <w:r>
        <w:rPr>
          <w:lang w:val="fr-FR"/>
        </w:rPr>
        <w:t>’</w:t>
      </w:r>
      <w:r w:rsidRPr="00F36092">
        <w:rPr>
          <w:lang w:val="fr-FR"/>
        </w:rPr>
        <w:t>ordre public, de la santé ou de la moralité publiques. Enfin, les restrictions imposées à la liberté d</w:t>
      </w:r>
      <w:r>
        <w:rPr>
          <w:lang w:val="fr-FR"/>
        </w:rPr>
        <w:t>’</w:t>
      </w:r>
      <w:r w:rsidRPr="00F36092">
        <w:rPr>
          <w:lang w:val="fr-FR"/>
        </w:rPr>
        <w:t>expression ne doivent pas avoir une portée trop large</w:t>
      </w:r>
      <w:r>
        <w:rPr>
          <w:lang w:val="fr-FR"/>
        </w:rPr>
        <w:t> </w:t>
      </w:r>
      <w:r w:rsidRPr="00F36092">
        <w:rPr>
          <w:lang w:val="fr-FR"/>
        </w:rPr>
        <w:t>; elles doivent constituer le moyen le moins perturbateur parmi ceux qui pourraient permettre d</w:t>
      </w:r>
      <w:r>
        <w:rPr>
          <w:lang w:val="fr-FR"/>
        </w:rPr>
        <w:t>’</w:t>
      </w:r>
      <w:r w:rsidRPr="00F36092">
        <w:rPr>
          <w:lang w:val="fr-FR"/>
        </w:rPr>
        <w:t>assurer la fonction de protection recherchée et doivent être proportionnées à l</w:t>
      </w:r>
      <w:r>
        <w:rPr>
          <w:lang w:val="fr-FR"/>
        </w:rPr>
        <w:t>’</w:t>
      </w:r>
      <w:r w:rsidRPr="00F36092">
        <w:rPr>
          <w:lang w:val="fr-FR"/>
        </w:rPr>
        <w:t>intérêt à protéger</w:t>
      </w:r>
      <w:r w:rsidRPr="00DD49CD">
        <w:rPr>
          <w:rStyle w:val="Appelnotedebasdep"/>
        </w:rPr>
        <w:footnoteReference w:id="16"/>
      </w:r>
      <w:r w:rsidRPr="00F36092">
        <w:rPr>
          <w:lang w:val="fr-FR"/>
        </w:rPr>
        <w:t>. Le Comité rappelle que c</w:t>
      </w:r>
      <w:r>
        <w:rPr>
          <w:lang w:val="fr-FR"/>
        </w:rPr>
        <w:t>’</w:t>
      </w:r>
      <w:r w:rsidRPr="00F36092">
        <w:rPr>
          <w:lang w:val="fr-FR"/>
        </w:rPr>
        <w:t>est à l</w:t>
      </w:r>
      <w:r>
        <w:rPr>
          <w:lang w:val="fr-FR"/>
        </w:rPr>
        <w:t>’</w:t>
      </w:r>
      <w:r w:rsidRPr="00F36092">
        <w:rPr>
          <w:lang w:val="fr-FR"/>
        </w:rPr>
        <w:t>État partie qu</w:t>
      </w:r>
      <w:r>
        <w:rPr>
          <w:lang w:val="fr-FR"/>
        </w:rPr>
        <w:t>’</w:t>
      </w:r>
      <w:r w:rsidRPr="00F36092">
        <w:rPr>
          <w:lang w:val="fr-FR"/>
        </w:rPr>
        <w:t>il incombe de démontrer que les restrictions apportées aux droits que les auteurs tiennent de l</w:t>
      </w:r>
      <w:r>
        <w:rPr>
          <w:lang w:val="fr-FR"/>
        </w:rPr>
        <w:t>’</w:t>
      </w:r>
      <w:r w:rsidRPr="00F36092">
        <w:rPr>
          <w:lang w:val="fr-FR"/>
        </w:rPr>
        <w:t>article</w:t>
      </w:r>
      <w:r>
        <w:rPr>
          <w:lang w:val="fr-FR"/>
        </w:rPr>
        <w:t> </w:t>
      </w:r>
      <w:r w:rsidRPr="00F36092">
        <w:rPr>
          <w:lang w:val="fr-FR"/>
        </w:rPr>
        <w:t>19 du Pacte étaient nécessaires et proportionnées</w:t>
      </w:r>
      <w:r w:rsidRPr="00DD49CD">
        <w:rPr>
          <w:rStyle w:val="Appelnotedebasdep"/>
        </w:rPr>
        <w:footnoteReference w:id="17"/>
      </w:r>
      <w:r w:rsidRPr="00F36092">
        <w:rPr>
          <w:lang w:val="fr-FR"/>
        </w:rPr>
        <w:t>.</w:t>
      </w:r>
    </w:p>
    <w:p w14:paraId="32FF1E79" w14:textId="77777777" w:rsidR="0072367B" w:rsidRPr="00F36092" w:rsidRDefault="0072367B" w:rsidP="0072367B">
      <w:pPr>
        <w:pStyle w:val="SingleTxtG"/>
        <w:rPr>
          <w:lang w:val="fr-FR"/>
        </w:rPr>
      </w:pPr>
      <w:r>
        <w:rPr>
          <w:lang w:val="fr-FR"/>
        </w:rPr>
        <w:t>7.9</w:t>
      </w:r>
      <w:r w:rsidRPr="00F36092">
        <w:rPr>
          <w:lang w:val="fr-FR"/>
        </w:rPr>
        <w:tab/>
        <w:t xml:space="preserve">Le Comité fait observer </w:t>
      </w:r>
      <w:r>
        <w:rPr>
          <w:lang w:val="fr-FR"/>
        </w:rPr>
        <w:t>qu’autoriser des</w:t>
      </w:r>
      <w:r w:rsidRPr="00F36092">
        <w:rPr>
          <w:lang w:val="fr-FR"/>
        </w:rPr>
        <w:t xml:space="preserve"> rassemblements </w:t>
      </w:r>
      <w:r>
        <w:rPr>
          <w:lang w:val="fr-FR"/>
        </w:rPr>
        <w:t>uniquement dans des</w:t>
      </w:r>
      <w:r w:rsidRPr="00F36092">
        <w:rPr>
          <w:lang w:val="fr-FR"/>
        </w:rPr>
        <w:t xml:space="preserve"> emplacements désignés à l</w:t>
      </w:r>
      <w:r>
        <w:rPr>
          <w:lang w:val="fr-FR"/>
        </w:rPr>
        <w:t>’</w:t>
      </w:r>
      <w:r w:rsidRPr="00F36092">
        <w:rPr>
          <w:lang w:val="fr-FR"/>
        </w:rPr>
        <w:t>avance ne semble pas répondre aux critères de nécessité et de proportionnalité énoncés à l</w:t>
      </w:r>
      <w:r>
        <w:rPr>
          <w:lang w:val="fr-FR"/>
        </w:rPr>
        <w:t>’</w:t>
      </w:r>
      <w:r w:rsidRPr="00F36092">
        <w:rPr>
          <w:lang w:val="fr-FR"/>
        </w:rPr>
        <w:t>article</w:t>
      </w:r>
      <w:r>
        <w:rPr>
          <w:lang w:val="fr-FR"/>
        </w:rPr>
        <w:t> </w:t>
      </w:r>
      <w:r w:rsidRPr="00F36092">
        <w:rPr>
          <w:lang w:val="fr-FR"/>
        </w:rPr>
        <w:t>19 du Pacte. Il relève qu</w:t>
      </w:r>
      <w:r>
        <w:rPr>
          <w:lang w:val="fr-FR"/>
        </w:rPr>
        <w:t>’en l’espèc</w:t>
      </w:r>
      <w:r w:rsidRPr="00F36092">
        <w:rPr>
          <w:lang w:val="fr-FR"/>
        </w:rPr>
        <w:t>e ni l</w:t>
      </w:r>
      <w:r>
        <w:rPr>
          <w:lang w:val="fr-FR"/>
        </w:rPr>
        <w:t>’</w:t>
      </w:r>
      <w:r w:rsidRPr="00F36092">
        <w:rPr>
          <w:lang w:val="fr-FR"/>
        </w:rPr>
        <w:t>État partie ni les juridictions nationales n</w:t>
      </w:r>
      <w:r>
        <w:rPr>
          <w:lang w:val="fr-FR"/>
        </w:rPr>
        <w:t>’</w:t>
      </w:r>
      <w:r w:rsidRPr="00F36092">
        <w:rPr>
          <w:lang w:val="fr-FR"/>
        </w:rPr>
        <w:t xml:space="preserve">ont expliqué en quoi la restriction imposée était nécessaire </w:t>
      </w:r>
      <w:r>
        <w:rPr>
          <w:lang w:val="fr-FR"/>
        </w:rPr>
        <w:t>aux fins d’</w:t>
      </w:r>
      <w:r w:rsidRPr="00F36092">
        <w:rPr>
          <w:lang w:val="fr-FR"/>
        </w:rPr>
        <w:t>un but légitime</w:t>
      </w:r>
      <w:r w:rsidRPr="00DD49CD">
        <w:rPr>
          <w:rStyle w:val="Appelnotedebasdep"/>
        </w:rPr>
        <w:footnoteReference w:id="18"/>
      </w:r>
      <w:r w:rsidRPr="00F36092">
        <w:rPr>
          <w:lang w:val="fr-FR"/>
        </w:rPr>
        <w:t>. Le Comité considère que, dans les circonstances de l</w:t>
      </w:r>
      <w:r>
        <w:rPr>
          <w:lang w:val="fr-FR"/>
        </w:rPr>
        <w:t>’</w:t>
      </w:r>
      <w:r w:rsidRPr="00F36092">
        <w:rPr>
          <w:lang w:val="fr-FR"/>
        </w:rPr>
        <w:t>espèce, les restrictions imposées aux auteurs, bien que fondées sur le droit interne, n</w:t>
      </w:r>
      <w:r>
        <w:rPr>
          <w:lang w:val="fr-FR"/>
        </w:rPr>
        <w:t>’</w:t>
      </w:r>
      <w:r w:rsidRPr="00F36092">
        <w:rPr>
          <w:lang w:val="fr-FR"/>
        </w:rPr>
        <w:t>étaient pas justifiées au regard de l</w:t>
      </w:r>
      <w:r>
        <w:rPr>
          <w:lang w:val="fr-FR"/>
        </w:rPr>
        <w:t>’</w:t>
      </w:r>
      <w:r w:rsidRPr="00F36092">
        <w:rPr>
          <w:lang w:val="fr-FR"/>
        </w:rPr>
        <w:t>article</w:t>
      </w:r>
      <w:r>
        <w:rPr>
          <w:lang w:val="fr-FR"/>
        </w:rPr>
        <w:t> </w:t>
      </w:r>
      <w:r w:rsidRPr="00F36092">
        <w:rPr>
          <w:lang w:val="fr-FR"/>
        </w:rPr>
        <w:t>19 (par.</w:t>
      </w:r>
      <w:r>
        <w:rPr>
          <w:lang w:val="fr-FR"/>
        </w:rPr>
        <w:t> </w:t>
      </w:r>
      <w:r w:rsidRPr="00F36092">
        <w:rPr>
          <w:lang w:val="fr-FR"/>
        </w:rPr>
        <w:t>3) du Pacte. En l</w:t>
      </w:r>
      <w:r>
        <w:rPr>
          <w:lang w:val="fr-FR"/>
        </w:rPr>
        <w:t>’</w:t>
      </w:r>
      <w:r w:rsidRPr="00F36092">
        <w:rPr>
          <w:lang w:val="fr-FR"/>
        </w:rPr>
        <w:t>absence de toute explication de la part de l</w:t>
      </w:r>
      <w:r>
        <w:rPr>
          <w:lang w:val="fr-FR"/>
        </w:rPr>
        <w:t>’</w:t>
      </w:r>
      <w:r w:rsidRPr="00F36092">
        <w:rPr>
          <w:lang w:val="fr-FR"/>
        </w:rPr>
        <w:t>État partie, il conclut que les droits que les auteurs tiennent de l</w:t>
      </w:r>
      <w:r>
        <w:rPr>
          <w:lang w:val="fr-FR"/>
        </w:rPr>
        <w:t>’</w:t>
      </w:r>
      <w:r w:rsidRPr="00F36092">
        <w:rPr>
          <w:lang w:val="fr-FR"/>
        </w:rPr>
        <w:t>article</w:t>
      </w:r>
      <w:r>
        <w:rPr>
          <w:lang w:val="fr-FR"/>
        </w:rPr>
        <w:t> </w:t>
      </w:r>
      <w:r w:rsidRPr="00F36092">
        <w:rPr>
          <w:lang w:val="fr-FR"/>
        </w:rPr>
        <w:t>19 du Pacte ont été violés.</w:t>
      </w:r>
    </w:p>
    <w:p w14:paraId="0040CBEC" w14:textId="77777777" w:rsidR="0072367B" w:rsidRPr="00F36092" w:rsidRDefault="0072367B" w:rsidP="0072367B">
      <w:pPr>
        <w:pStyle w:val="SingleTxtG"/>
        <w:rPr>
          <w:lang w:val="fr-FR"/>
        </w:rPr>
      </w:pPr>
      <w:r>
        <w:rPr>
          <w:lang w:val="fr-FR"/>
        </w:rPr>
        <w:t>8.</w:t>
      </w:r>
      <w:r w:rsidRPr="00F36092">
        <w:rPr>
          <w:lang w:val="fr-FR"/>
        </w:rPr>
        <w:tab/>
        <w:t>Le Comité, agissant en vertu de l</w:t>
      </w:r>
      <w:r>
        <w:rPr>
          <w:lang w:val="fr-FR"/>
        </w:rPr>
        <w:t>’</w:t>
      </w:r>
      <w:r w:rsidRPr="00F36092">
        <w:rPr>
          <w:lang w:val="fr-FR"/>
        </w:rPr>
        <w:t>article</w:t>
      </w:r>
      <w:r>
        <w:rPr>
          <w:lang w:val="fr-FR"/>
        </w:rPr>
        <w:t> </w:t>
      </w:r>
      <w:r w:rsidRPr="00F36092">
        <w:rPr>
          <w:lang w:val="fr-FR"/>
        </w:rPr>
        <w:t>5 (par.</w:t>
      </w:r>
      <w:r>
        <w:rPr>
          <w:lang w:val="fr-FR"/>
        </w:rPr>
        <w:t> </w:t>
      </w:r>
      <w:r w:rsidRPr="00F36092">
        <w:rPr>
          <w:lang w:val="fr-FR"/>
        </w:rPr>
        <w:t>4) du Protocole facultatif, constate que les faits dont il est saisi font apparaître une violation par l</w:t>
      </w:r>
      <w:r>
        <w:rPr>
          <w:lang w:val="fr-FR"/>
        </w:rPr>
        <w:t>’</w:t>
      </w:r>
      <w:r w:rsidRPr="00F36092">
        <w:rPr>
          <w:lang w:val="fr-FR"/>
        </w:rPr>
        <w:t>État partie des droits que les auteurs tiennent des articles</w:t>
      </w:r>
      <w:r>
        <w:rPr>
          <w:lang w:val="fr-FR"/>
        </w:rPr>
        <w:t> </w:t>
      </w:r>
      <w:r w:rsidRPr="00F36092">
        <w:rPr>
          <w:lang w:val="fr-FR"/>
        </w:rPr>
        <w:t xml:space="preserve">19 et 21 du Pacte. </w:t>
      </w:r>
    </w:p>
    <w:p w14:paraId="50DBC68B" w14:textId="77777777" w:rsidR="0072367B" w:rsidRPr="00F36092" w:rsidRDefault="0072367B" w:rsidP="0072367B">
      <w:pPr>
        <w:pStyle w:val="SingleTxtG"/>
        <w:rPr>
          <w:lang w:val="fr-FR"/>
        </w:rPr>
      </w:pPr>
      <w:r>
        <w:rPr>
          <w:lang w:val="fr-FR"/>
        </w:rPr>
        <w:lastRenderedPageBreak/>
        <w:t>9.</w:t>
      </w:r>
      <w:r w:rsidRPr="00F36092">
        <w:rPr>
          <w:lang w:val="fr-FR"/>
        </w:rPr>
        <w:tab/>
        <w:t>Conformément à l</w:t>
      </w:r>
      <w:r>
        <w:rPr>
          <w:lang w:val="fr-FR"/>
        </w:rPr>
        <w:t>’</w:t>
      </w:r>
      <w:r w:rsidRPr="00F36092">
        <w:rPr>
          <w:lang w:val="fr-FR"/>
        </w:rPr>
        <w:t>article 2 (par. 3 a)) du Pacte, l</w:t>
      </w:r>
      <w:r>
        <w:rPr>
          <w:lang w:val="fr-FR"/>
        </w:rPr>
        <w:t>’</w:t>
      </w:r>
      <w:r w:rsidRPr="00F36092">
        <w:rPr>
          <w:lang w:val="fr-FR"/>
        </w:rPr>
        <w:t>État partie est tenu d</w:t>
      </w:r>
      <w:r>
        <w:rPr>
          <w:lang w:val="fr-FR"/>
        </w:rPr>
        <w:t>’</w:t>
      </w:r>
      <w:r w:rsidRPr="00F36092">
        <w:rPr>
          <w:lang w:val="fr-FR"/>
        </w:rPr>
        <w:t>assurer aux auteurs un recours utile. Il a l</w:t>
      </w:r>
      <w:r>
        <w:rPr>
          <w:lang w:val="fr-FR"/>
        </w:rPr>
        <w:t>’</w:t>
      </w:r>
      <w:r w:rsidRPr="00F36092">
        <w:rPr>
          <w:lang w:val="fr-FR"/>
        </w:rPr>
        <w:t>obligation d</w:t>
      </w:r>
      <w:r>
        <w:rPr>
          <w:lang w:val="fr-FR"/>
        </w:rPr>
        <w:t>’</w:t>
      </w:r>
      <w:r w:rsidRPr="00F36092">
        <w:rPr>
          <w:lang w:val="fr-FR"/>
        </w:rPr>
        <w:t>accorder une réparation intégrale aux personnes dont les droits garantis par le Pacte ont été violés. En conséquence, l</w:t>
      </w:r>
      <w:r>
        <w:rPr>
          <w:lang w:val="fr-FR"/>
        </w:rPr>
        <w:t>’</w:t>
      </w:r>
      <w:r w:rsidRPr="00F36092">
        <w:rPr>
          <w:lang w:val="fr-FR"/>
        </w:rPr>
        <w:t>État partie est tenu, entre autres, d</w:t>
      </w:r>
      <w:r>
        <w:rPr>
          <w:lang w:val="fr-FR"/>
        </w:rPr>
        <w:t>’</w:t>
      </w:r>
      <w:r w:rsidRPr="00F36092">
        <w:rPr>
          <w:lang w:val="fr-FR"/>
        </w:rPr>
        <w:t>accorder aux auteurs une indemnisation suffisante. Il est également tenu de veiller à ce que des violations analogues ne se reproduisent pas. À cet égard, le Comité fait observer que l</w:t>
      </w:r>
      <w:r>
        <w:rPr>
          <w:lang w:val="fr-FR"/>
        </w:rPr>
        <w:t>’</w:t>
      </w:r>
      <w:r w:rsidRPr="00F36092">
        <w:rPr>
          <w:lang w:val="fr-FR"/>
        </w:rPr>
        <w:t>État partie devrait réviser son cadre normatif relatif aux manifestations publiques, conformément à l</w:t>
      </w:r>
      <w:r>
        <w:rPr>
          <w:lang w:val="fr-FR"/>
        </w:rPr>
        <w:t>’</w:t>
      </w:r>
      <w:r w:rsidRPr="00F36092">
        <w:rPr>
          <w:lang w:val="fr-FR"/>
        </w:rPr>
        <w:t>obligation qui lui incombe au titre de l</w:t>
      </w:r>
      <w:r>
        <w:rPr>
          <w:lang w:val="fr-FR"/>
        </w:rPr>
        <w:t>’</w:t>
      </w:r>
      <w:r w:rsidRPr="00F36092">
        <w:rPr>
          <w:lang w:val="fr-FR"/>
        </w:rPr>
        <w:t>article</w:t>
      </w:r>
      <w:r>
        <w:rPr>
          <w:lang w:val="fr-FR"/>
        </w:rPr>
        <w:t> </w:t>
      </w:r>
      <w:r w:rsidRPr="00F36092">
        <w:rPr>
          <w:lang w:val="fr-FR"/>
        </w:rPr>
        <w:t>2 (par.</w:t>
      </w:r>
      <w:r>
        <w:rPr>
          <w:lang w:val="fr-FR"/>
        </w:rPr>
        <w:t> </w:t>
      </w:r>
      <w:r w:rsidRPr="00F36092">
        <w:rPr>
          <w:lang w:val="fr-FR"/>
        </w:rPr>
        <w:t>2), afin de garantir la pleine jouissance des droits consacrés par les articles</w:t>
      </w:r>
      <w:r>
        <w:rPr>
          <w:lang w:val="fr-FR"/>
        </w:rPr>
        <w:t> </w:t>
      </w:r>
      <w:r w:rsidRPr="00F36092">
        <w:rPr>
          <w:lang w:val="fr-FR"/>
        </w:rPr>
        <w:t>19 et 21 du Pacte sur son territoire.</w:t>
      </w:r>
    </w:p>
    <w:p w14:paraId="1A5CA9FA" w14:textId="77777777" w:rsidR="0072367B" w:rsidRDefault="0072367B" w:rsidP="0072367B">
      <w:pPr>
        <w:pStyle w:val="SingleTxtG"/>
        <w:rPr>
          <w:lang w:val="fr-FR"/>
        </w:rPr>
      </w:pPr>
      <w:r>
        <w:rPr>
          <w:lang w:val="fr-FR"/>
        </w:rPr>
        <w:t>10</w:t>
      </w:r>
      <w:r w:rsidRPr="00F36092">
        <w:rPr>
          <w:lang w:val="fr-FR"/>
        </w:rPr>
        <w:tab/>
        <w:t>Étant donné qu</w:t>
      </w:r>
      <w:r>
        <w:rPr>
          <w:lang w:val="fr-FR"/>
        </w:rPr>
        <w:t>’</w:t>
      </w:r>
      <w:r w:rsidRPr="00F36092">
        <w:rPr>
          <w:lang w:val="fr-FR"/>
        </w:rPr>
        <w:t>en adhérant au Protocole facultatif, l</w:t>
      </w:r>
      <w:r>
        <w:rPr>
          <w:lang w:val="fr-FR"/>
        </w:rPr>
        <w:t>’</w:t>
      </w:r>
      <w:r w:rsidRPr="00F36092">
        <w:rPr>
          <w:lang w:val="fr-FR"/>
        </w:rPr>
        <w:t>État partie a reconnu que le Comité a</w:t>
      </w:r>
      <w:r>
        <w:rPr>
          <w:lang w:val="fr-FR"/>
        </w:rPr>
        <w:t>vait</w:t>
      </w:r>
      <w:r w:rsidRPr="00F36092">
        <w:rPr>
          <w:lang w:val="fr-FR"/>
        </w:rPr>
        <w:t xml:space="preserve"> compétence pour déterminer s</w:t>
      </w:r>
      <w:r>
        <w:rPr>
          <w:lang w:val="fr-FR"/>
        </w:rPr>
        <w:t>’</w:t>
      </w:r>
      <w:r w:rsidRPr="00F36092">
        <w:rPr>
          <w:lang w:val="fr-FR"/>
        </w:rPr>
        <w:t>il y a</w:t>
      </w:r>
      <w:r>
        <w:rPr>
          <w:lang w:val="fr-FR"/>
        </w:rPr>
        <w:t>vait eu</w:t>
      </w:r>
      <w:r w:rsidRPr="00F36092">
        <w:rPr>
          <w:lang w:val="fr-FR"/>
        </w:rPr>
        <w:t xml:space="preserve"> ou non violation du Pacte et que, conformément à l</w:t>
      </w:r>
      <w:r>
        <w:rPr>
          <w:lang w:val="fr-FR"/>
        </w:rPr>
        <w:t>’</w:t>
      </w:r>
      <w:r w:rsidRPr="00F36092">
        <w:rPr>
          <w:lang w:val="fr-FR"/>
        </w:rPr>
        <w:t>article</w:t>
      </w:r>
      <w:r>
        <w:rPr>
          <w:lang w:val="fr-FR"/>
        </w:rPr>
        <w:t> </w:t>
      </w:r>
      <w:r w:rsidRPr="00F36092">
        <w:rPr>
          <w:lang w:val="fr-FR"/>
        </w:rPr>
        <w:t>2 du Pacte, il s</w:t>
      </w:r>
      <w:r>
        <w:rPr>
          <w:lang w:val="fr-FR"/>
        </w:rPr>
        <w:t>’</w:t>
      </w:r>
      <w:r w:rsidRPr="00F36092">
        <w:rPr>
          <w:lang w:val="fr-FR"/>
        </w:rPr>
        <w:t>est engagé à garantir à tous les individus se trouvant sur son territoire et relevant de sa juridiction les droits reconnus dans le Pacte et à assurer un recours utile et une réparation exécutoire lorsqu</w:t>
      </w:r>
      <w:r>
        <w:rPr>
          <w:lang w:val="fr-FR"/>
        </w:rPr>
        <w:t>e la réalité d’</w:t>
      </w:r>
      <w:r w:rsidRPr="00F36092">
        <w:rPr>
          <w:lang w:val="fr-FR"/>
        </w:rPr>
        <w:t>une violation a été établie, le Comité souhaite recevoir de l</w:t>
      </w:r>
      <w:r>
        <w:rPr>
          <w:lang w:val="fr-FR"/>
        </w:rPr>
        <w:t>’</w:t>
      </w:r>
      <w:r w:rsidRPr="00F36092">
        <w:rPr>
          <w:lang w:val="fr-FR"/>
        </w:rPr>
        <w:t>État partie, dans un délai de cent quatre-vingts jours, des renseignements sur les mesures prises pour donner effet aux présentes constatations. L</w:t>
      </w:r>
      <w:r>
        <w:rPr>
          <w:lang w:val="fr-FR"/>
        </w:rPr>
        <w:t>’</w:t>
      </w:r>
      <w:r w:rsidRPr="00F36092">
        <w:rPr>
          <w:lang w:val="fr-FR"/>
        </w:rPr>
        <w:t>État partie est invité en outre à rendre celles-ci publiques et à les diffuser largement dans ses langues officielles.</w:t>
      </w:r>
    </w:p>
    <w:p w14:paraId="45F11020" w14:textId="0FE5906F" w:rsidR="00E85C42" w:rsidRPr="00032352" w:rsidRDefault="0072367B" w:rsidP="00032352">
      <w:pPr>
        <w:pStyle w:val="SingleTxtG"/>
        <w:spacing w:before="240" w:after="0"/>
        <w:jc w:val="center"/>
        <w:rPr>
          <w:u w:val="single"/>
        </w:rPr>
      </w:pPr>
      <w:r>
        <w:rPr>
          <w:u w:val="single"/>
        </w:rPr>
        <w:tab/>
      </w:r>
      <w:r>
        <w:rPr>
          <w:u w:val="single"/>
        </w:rPr>
        <w:tab/>
      </w:r>
      <w:r>
        <w:rPr>
          <w:u w:val="single"/>
        </w:rPr>
        <w:tab/>
      </w:r>
      <w:bookmarkEnd w:id="0"/>
    </w:p>
    <w:sectPr w:rsidR="00E85C42" w:rsidRPr="00032352" w:rsidSect="002047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8376" w14:textId="77777777" w:rsidR="00535176" w:rsidRDefault="00535176" w:rsidP="00F95C08">
      <w:pPr>
        <w:spacing w:line="240" w:lineRule="auto"/>
      </w:pPr>
    </w:p>
  </w:endnote>
  <w:endnote w:type="continuationSeparator" w:id="0">
    <w:p w14:paraId="4807E9C4" w14:textId="77777777" w:rsidR="00535176" w:rsidRPr="00AC3823" w:rsidRDefault="00535176" w:rsidP="00AC3823">
      <w:pPr>
        <w:pStyle w:val="Pieddepage"/>
      </w:pPr>
    </w:p>
  </w:endnote>
  <w:endnote w:type="continuationNotice" w:id="1">
    <w:p w14:paraId="786F90AD" w14:textId="77777777" w:rsidR="00535176" w:rsidRDefault="00535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0999" w14:textId="615C7B56" w:rsidR="00204789" w:rsidRPr="00204789" w:rsidRDefault="00204789" w:rsidP="00204789">
    <w:pPr>
      <w:pStyle w:val="Pieddepage"/>
      <w:tabs>
        <w:tab w:val="right" w:pos="9638"/>
      </w:tabs>
    </w:pPr>
    <w:r w:rsidRPr="00204789">
      <w:rPr>
        <w:b/>
        <w:sz w:val="18"/>
      </w:rPr>
      <w:fldChar w:fldCharType="begin"/>
    </w:r>
    <w:r w:rsidRPr="00204789">
      <w:rPr>
        <w:b/>
        <w:sz w:val="18"/>
      </w:rPr>
      <w:instrText xml:space="preserve"> PAGE  \* MERGEFORMAT </w:instrText>
    </w:r>
    <w:r w:rsidRPr="00204789">
      <w:rPr>
        <w:b/>
        <w:sz w:val="18"/>
      </w:rPr>
      <w:fldChar w:fldCharType="separate"/>
    </w:r>
    <w:r w:rsidRPr="00204789">
      <w:rPr>
        <w:b/>
        <w:noProof/>
        <w:sz w:val="18"/>
      </w:rPr>
      <w:t>2</w:t>
    </w:r>
    <w:r w:rsidRPr="00204789">
      <w:rPr>
        <w:b/>
        <w:sz w:val="18"/>
      </w:rPr>
      <w:fldChar w:fldCharType="end"/>
    </w:r>
    <w:r>
      <w:rPr>
        <w:b/>
        <w:sz w:val="18"/>
      </w:rPr>
      <w:tab/>
    </w:r>
    <w:r>
      <w:t>GE.22-03124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55E5" w14:textId="3DA54662" w:rsidR="00204789" w:rsidRPr="00204789" w:rsidRDefault="00204789" w:rsidP="00204789">
    <w:pPr>
      <w:pStyle w:val="Pieddepage"/>
      <w:tabs>
        <w:tab w:val="right" w:pos="9638"/>
      </w:tabs>
      <w:rPr>
        <w:b/>
        <w:sz w:val="18"/>
      </w:rPr>
    </w:pPr>
    <w:r>
      <w:t>GE.22-03124</w:t>
    </w:r>
    <w:r>
      <w:tab/>
    </w:r>
    <w:r w:rsidRPr="00204789">
      <w:rPr>
        <w:b/>
        <w:sz w:val="18"/>
      </w:rPr>
      <w:fldChar w:fldCharType="begin"/>
    </w:r>
    <w:r w:rsidRPr="00204789">
      <w:rPr>
        <w:b/>
        <w:sz w:val="18"/>
      </w:rPr>
      <w:instrText xml:space="preserve"> PAGE  \* MERGEFORMAT </w:instrText>
    </w:r>
    <w:r w:rsidRPr="00204789">
      <w:rPr>
        <w:b/>
        <w:sz w:val="18"/>
      </w:rPr>
      <w:fldChar w:fldCharType="separate"/>
    </w:r>
    <w:r w:rsidRPr="00204789">
      <w:rPr>
        <w:b/>
        <w:noProof/>
        <w:sz w:val="18"/>
      </w:rPr>
      <w:t>3</w:t>
    </w:r>
    <w:r w:rsidRPr="002047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FBF5" w14:textId="6714364C" w:rsidR="001B379B" w:rsidRPr="00204789" w:rsidRDefault="00204789" w:rsidP="00204789">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2CD8E23A" wp14:editId="19450F6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22-03124  (F)</w:t>
    </w:r>
    <w:r>
      <w:rPr>
        <w:noProof/>
        <w:sz w:val="20"/>
      </w:rPr>
      <w:drawing>
        <wp:anchor distT="0" distB="0" distL="114300" distR="114300" simplePos="0" relativeHeight="251660288" behindDoc="0" locked="0" layoutInCell="1" allowOverlap="1" wp14:anchorId="42193771" wp14:editId="70860C6B">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090622    090622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3932" w14:textId="77777777" w:rsidR="00535176" w:rsidRPr="00AC3823" w:rsidRDefault="00535176" w:rsidP="00AC3823">
      <w:pPr>
        <w:pStyle w:val="Pieddepage"/>
        <w:tabs>
          <w:tab w:val="right" w:pos="2155"/>
        </w:tabs>
        <w:spacing w:after="80" w:line="240" w:lineRule="atLeast"/>
        <w:ind w:left="680"/>
        <w:rPr>
          <w:u w:val="single"/>
        </w:rPr>
      </w:pPr>
      <w:r>
        <w:rPr>
          <w:u w:val="single"/>
        </w:rPr>
        <w:tab/>
      </w:r>
    </w:p>
  </w:footnote>
  <w:footnote w:type="continuationSeparator" w:id="0">
    <w:p w14:paraId="6C6DFC8F" w14:textId="77777777" w:rsidR="00535176" w:rsidRPr="00AC3823" w:rsidRDefault="00535176" w:rsidP="00AC3823">
      <w:pPr>
        <w:pStyle w:val="Pieddepage"/>
        <w:tabs>
          <w:tab w:val="right" w:pos="2155"/>
        </w:tabs>
        <w:spacing w:after="80" w:line="240" w:lineRule="atLeast"/>
        <w:ind w:left="680"/>
        <w:rPr>
          <w:u w:val="single"/>
        </w:rPr>
      </w:pPr>
      <w:r>
        <w:rPr>
          <w:u w:val="single"/>
        </w:rPr>
        <w:tab/>
      </w:r>
    </w:p>
  </w:footnote>
  <w:footnote w:type="continuationNotice" w:id="1">
    <w:p w14:paraId="6AB74E47" w14:textId="77777777" w:rsidR="00535176" w:rsidRPr="00AC3823" w:rsidRDefault="00535176">
      <w:pPr>
        <w:spacing w:line="240" w:lineRule="auto"/>
        <w:rPr>
          <w:sz w:val="2"/>
          <w:szCs w:val="2"/>
        </w:rPr>
      </w:pPr>
    </w:p>
  </w:footnote>
  <w:footnote w:id="2">
    <w:p w14:paraId="2257F9AB" w14:textId="77777777" w:rsidR="0072367B" w:rsidRPr="00683820" w:rsidRDefault="0072367B" w:rsidP="0072367B">
      <w:pPr>
        <w:pStyle w:val="Notedebasdepage"/>
      </w:pPr>
      <w:r>
        <w:rPr>
          <w:rStyle w:val="Appelnotedebasdep"/>
        </w:rPr>
        <w:tab/>
      </w:r>
      <w:r w:rsidRPr="00683820">
        <w:rPr>
          <w:rStyle w:val="Appelnotedebasdep"/>
          <w:sz w:val="20"/>
          <w:vertAlign w:val="baseline"/>
        </w:rPr>
        <w:t>*</w:t>
      </w:r>
      <w:r>
        <w:rPr>
          <w:rStyle w:val="Appelnotedebasdep"/>
          <w:sz w:val="20"/>
          <w:vertAlign w:val="baseline"/>
        </w:rPr>
        <w:tab/>
      </w:r>
      <w:r w:rsidRPr="00E45699">
        <w:rPr>
          <w:szCs w:val="18"/>
        </w:rPr>
        <w:t>Adoptées par le Comité à sa 1</w:t>
      </w:r>
      <w:r>
        <w:rPr>
          <w:szCs w:val="18"/>
        </w:rPr>
        <w:t>32</w:t>
      </w:r>
      <w:r w:rsidRPr="00745408">
        <w:rPr>
          <w:szCs w:val="18"/>
          <w:vertAlign w:val="superscript"/>
        </w:rPr>
        <w:t>e</w:t>
      </w:r>
      <w:r>
        <w:rPr>
          <w:szCs w:val="18"/>
        </w:rPr>
        <w:t> </w:t>
      </w:r>
      <w:r w:rsidRPr="00E45699">
        <w:rPr>
          <w:szCs w:val="18"/>
        </w:rPr>
        <w:t>session (</w:t>
      </w:r>
      <w:r>
        <w:rPr>
          <w:szCs w:val="18"/>
        </w:rPr>
        <w:t>2</w:t>
      </w:r>
      <w:r w:rsidRPr="00E45699">
        <w:rPr>
          <w:szCs w:val="18"/>
        </w:rPr>
        <w:t xml:space="preserve">8 </w:t>
      </w:r>
      <w:r>
        <w:rPr>
          <w:szCs w:val="18"/>
        </w:rPr>
        <w:t>juin</w:t>
      </w:r>
      <w:r w:rsidRPr="00E45699">
        <w:rPr>
          <w:szCs w:val="18"/>
        </w:rPr>
        <w:t>-2</w:t>
      </w:r>
      <w:r>
        <w:rPr>
          <w:szCs w:val="18"/>
        </w:rPr>
        <w:t>3 juillet 2021</w:t>
      </w:r>
      <w:r w:rsidRPr="00E45699">
        <w:rPr>
          <w:szCs w:val="18"/>
        </w:rPr>
        <w:t>)</w:t>
      </w:r>
      <w:r w:rsidRPr="00683820">
        <w:rPr>
          <w:szCs w:val="18"/>
        </w:rPr>
        <w:t>.</w:t>
      </w:r>
    </w:p>
  </w:footnote>
  <w:footnote w:id="3">
    <w:p w14:paraId="2411E945" w14:textId="3C0A0D02" w:rsidR="0072367B" w:rsidRPr="00876BFB" w:rsidRDefault="0072367B" w:rsidP="0072367B">
      <w:pPr>
        <w:pStyle w:val="Notedebasdepage"/>
        <w:rPr>
          <w:sz w:val="16"/>
          <w:szCs w:val="18"/>
        </w:rPr>
      </w:pPr>
      <w:r>
        <w:rPr>
          <w:rStyle w:val="Appelnotedebasdep"/>
        </w:rPr>
        <w:tab/>
      </w:r>
      <w:r w:rsidRPr="00876BFB">
        <w:rPr>
          <w:rStyle w:val="Appelnotedebasdep"/>
          <w:sz w:val="20"/>
          <w:vertAlign w:val="baseline"/>
        </w:rPr>
        <w:t>**</w:t>
      </w:r>
      <w:r>
        <w:rPr>
          <w:rStyle w:val="Appelnotedebasdep"/>
          <w:sz w:val="20"/>
          <w:vertAlign w:val="baseline"/>
        </w:rPr>
        <w:tab/>
      </w:r>
      <w:r w:rsidRPr="009B4F3E">
        <w:rPr>
          <w:lang w:val="fr-FR"/>
        </w:rPr>
        <w:t xml:space="preserve">Les membres du </w:t>
      </w:r>
      <w:r>
        <w:rPr>
          <w:lang w:val="fr-FR"/>
        </w:rPr>
        <w:t>Comité</w:t>
      </w:r>
      <w:r w:rsidRPr="009B4F3E">
        <w:rPr>
          <w:lang w:val="fr-FR"/>
        </w:rPr>
        <w:t xml:space="preserve"> dont le nom suit ont participé à l’examen de la communication</w:t>
      </w:r>
      <w:r>
        <w:rPr>
          <w:lang w:val="fr-FR"/>
        </w:rPr>
        <w:t> </w:t>
      </w:r>
      <w:r w:rsidRPr="009B4F3E">
        <w:rPr>
          <w:lang w:val="fr-FR"/>
        </w:rPr>
        <w:t>:</w:t>
      </w:r>
      <w:r w:rsidRPr="00603D2C">
        <w:t xml:space="preserve"> </w:t>
      </w:r>
      <w:proofErr w:type="spellStart"/>
      <w:r w:rsidRPr="00603D2C">
        <w:rPr>
          <w:lang w:val="fr-FR"/>
        </w:rPr>
        <w:t>Wafaa</w:t>
      </w:r>
      <w:proofErr w:type="spellEnd"/>
      <w:r>
        <w:rPr>
          <w:lang w:val="fr-FR"/>
        </w:rPr>
        <w:t> </w:t>
      </w:r>
      <w:r w:rsidRPr="00603D2C">
        <w:rPr>
          <w:lang w:val="fr-FR"/>
        </w:rPr>
        <w:t xml:space="preserve">Ashraf </w:t>
      </w:r>
      <w:proofErr w:type="spellStart"/>
      <w:r w:rsidRPr="00603D2C">
        <w:rPr>
          <w:lang w:val="fr-FR"/>
        </w:rPr>
        <w:t>Moharram</w:t>
      </w:r>
      <w:proofErr w:type="spellEnd"/>
      <w:r w:rsidRPr="00603D2C">
        <w:rPr>
          <w:lang w:val="fr-FR"/>
        </w:rPr>
        <w:t xml:space="preserve"> </w:t>
      </w:r>
      <w:proofErr w:type="spellStart"/>
      <w:r w:rsidRPr="00603D2C">
        <w:rPr>
          <w:lang w:val="fr-FR"/>
        </w:rPr>
        <w:t>Bassim</w:t>
      </w:r>
      <w:proofErr w:type="spellEnd"/>
      <w:r w:rsidRPr="00603D2C">
        <w:rPr>
          <w:lang w:val="fr-FR"/>
        </w:rPr>
        <w:t xml:space="preserve">, </w:t>
      </w:r>
      <w:proofErr w:type="spellStart"/>
      <w:r w:rsidRPr="00603D2C">
        <w:rPr>
          <w:lang w:val="fr-FR"/>
        </w:rPr>
        <w:t>Yadh</w:t>
      </w:r>
      <w:proofErr w:type="spellEnd"/>
      <w:r w:rsidRPr="00603D2C">
        <w:rPr>
          <w:lang w:val="fr-FR"/>
        </w:rPr>
        <w:t xml:space="preserve"> Ben Achour, Arif </w:t>
      </w:r>
      <w:proofErr w:type="spellStart"/>
      <w:r w:rsidRPr="00603D2C">
        <w:rPr>
          <w:lang w:val="fr-FR"/>
        </w:rPr>
        <w:t>Bulkan</w:t>
      </w:r>
      <w:proofErr w:type="spellEnd"/>
      <w:r w:rsidRPr="00603D2C">
        <w:rPr>
          <w:lang w:val="fr-FR"/>
        </w:rPr>
        <w:t xml:space="preserve">, Mahjoub El </w:t>
      </w:r>
      <w:proofErr w:type="spellStart"/>
      <w:r w:rsidRPr="00603D2C">
        <w:rPr>
          <w:lang w:val="fr-FR"/>
        </w:rPr>
        <w:t>Haiba</w:t>
      </w:r>
      <w:proofErr w:type="spellEnd"/>
      <w:r w:rsidRPr="00603D2C">
        <w:rPr>
          <w:lang w:val="fr-FR"/>
        </w:rPr>
        <w:t xml:space="preserve">, Carlos Gómez </w:t>
      </w:r>
      <w:proofErr w:type="spellStart"/>
      <w:r w:rsidRPr="00603D2C">
        <w:rPr>
          <w:lang w:val="fr-FR"/>
        </w:rPr>
        <w:t>Martínez</w:t>
      </w:r>
      <w:proofErr w:type="spellEnd"/>
      <w:r w:rsidRPr="00603D2C">
        <w:rPr>
          <w:lang w:val="fr-FR"/>
        </w:rPr>
        <w:t xml:space="preserve">, Duncan Laki </w:t>
      </w:r>
      <w:proofErr w:type="spellStart"/>
      <w:r w:rsidRPr="00603D2C">
        <w:rPr>
          <w:lang w:val="fr-FR"/>
        </w:rPr>
        <w:t>Muhumuza</w:t>
      </w:r>
      <w:proofErr w:type="spellEnd"/>
      <w:r w:rsidRPr="00603D2C">
        <w:rPr>
          <w:lang w:val="fr-FR"/>
        </w:rPr>
        <w:t xml:space="preserve">, </w:t>
      </w:r>
      <w:proofErr w:type="spellStart"/>
      <w:r w:rsidRPr="00603D2C">
        <w:rPr>
          <w:lang w:val="fr-FR"/>
        </w:rPr>
        <w:t>Photini</w:t>
      </w:r>
      <w:proofErr w:type="spellEnd"/>
      <w:r w:rsidRPr="00603D2C">
        <w:rPr>
          <w:lang w:val="fr-FR"/>
        </w:rPr>
        <w:t xml:space="preserve"> </w:t>
      </w:r>
      <w:proofErr w:type="spellStart"/>
      <w:r w:rsidRPr="00603D2C">
        <w:rPr>
          <w:lang w:val="fr-FR"/>
        </w:rPr>
        <w:t>Pazartzis</w:t>
      </w:r>
      <w:proofErr w:type="spellEnd"/>
      <w:r w:rsidRPr="00603D2C">
        <w:rPr>
          <w:lang w:val="fr-FR"/>
        </w:rPr>
        <w:t xml:space="preserve">, Hernán </w:t>
      </w:r>
      <w:proofErr w:type="spellStart"/>
      <w:r w:rsidRPr="00603D2C">
        <w:rPr>
          <w:lang w:val="fr-FR"/>
        </w:rPr>
        <w:t>Quezada</w:t>
      </w:r>
      <w:proofErr w:type="spellEnd"/>
      <w:r w:rsidRPr="00603D2C">
        <w:rPr>
          <w:lang w:val="fr-FR"/>
        </w:rPr>
        <w:t xml:space="preserve"> Cabrera, </w:t>
      </w:r>
      <w:proofErr w:type="spellStart"/>
      <w:r w:rsidRPr="00603D2C">
        <w:rPr>
          <w:lang w:val="fr-FR"/>
        </w:rPr>
        <w:t>Vasilka</w:t>
      </w:r>
      <w:proofErr w:type="spellEnd"/>
      <w:r w:rsidRPr="00603D2C">
        <w:rPr>
          <w:lang w:val="fr-FR"/>
        </w:rPr>
        <w:t xml:space="preserve"> </w:t>
      </w:r>
      <w:proofErr w:type="spellStart"/>
      <w:r w:rsidRPr="00603D2C">
        <w:rPr>
          <w:lang w:val="fr-FR"/>
        </w:rPr>
        <w:t>Sancin</w:t>
      </w:r>
      <w:proofErr w:type="spellEnd"/>
      <w:r w:rsidRPr="00603D2C">
        <w:rPr>
          <w:lang w:val="fr-FR"/>
        </w:rPr>
        <w:t>, José</w:t>
      </w:r>
      <w:r>
        <w:rPr>
          <w:lang w:val="fr-FR"/>
        </w:rPr>
        <w:t> </w:t>
      </w:r>
      <w:r w:rsidRPr="00603D2C">
        <w:rPr>
          <w:lang w:val="fr-FR"/>
        </w:rPr>
        <w:t xml:space="preserve">Manuel Santos Pais, </w:t>
      </w:r>
      <w:proofErr w:type="spellStart"/>
      <w:r w:rsidRPr="00603D2C">
        <w:rPr>
          <w:lang w:val="fr-FR"/>
        </w:rPr>
        <w:t>Soh</w:t>
      </w:r>
      <w:proofErr w:type="spellEnd"/>
      <w:r w:rsidRPr="00603D2C">
        <w:rPr>
          <w:lang w:val="fr-FR"/>
        </w:rPr>
        <w:t xml:space="preserve"> </w:t>
      </w:r>
      <w:proofErr w:type="spellStart"/>
      <w:r w:rsidRPr="00603D2C">
        <w:rPr>
          <w:lang w:val="fr-FR"/>
        </w:rPr>
        <w:t>Changrok</w:t>
      </w:r>
      <w:proofErr w:type="spellEnd"/>
      <w:r w:rsidRPr="00603D2C">
        <w:rPr>
          <w:lang w:val="fr-FR"/>
        </w:rPr>
        <w:t xml:space="preserve">, </w:t>
      </w:r>
      <w:proofErr w:type="spellStart"/>
      <w:r w:rsidRPr="00603D2C">
        <w:rPr>
          <w:lang w:val="fr-FR"/>
        </w:rPr>
        <w:t>Kobauyah</w:t>
      </w:r>
      <w:proofErr w:type="spellEnd"/>
      <w:r w:rsidRPr="00603D2C">
        <w:rPr>
          <w:lang w:val="fr-FR"/>
        </w:rPr>
        <w:t xml:space="preserve"> </w:t>
      </w:r>
      <w:proofErr w:type="spellStart"/>
      <w:r w:rsidRPr="00603D2C">
        <w:rPr>
          <w:lang w:val="fr-FR"/>
        </w:rPr>
        <w:t>Tchamdja</w:t>
      </w:r>
      <w:proofErr w:type="spellEnd"/>
      <w:r w:rsidRPr="00603D2C">
        <w:rPr>
          <w:lang w:val="fr-FR"/>
        </w:rPr>
        <w:t xml:space="preserve"> </w:t>
      </w:r>
      <w:proofErr w:type="spellStart"/>
      <w:r w:rsidRPr="00603D2C">
        <w:rPr>
          <w:lang w:val="fr-FR"/>
        </w:rPr>
        <w:t>Kpatcha</w:t>
      </w:r>
      <w:proofErr w:type="spellEnd"/>
      <w:r w:rsidRPr="00603D2C">
        <w:rPr>
          <w:lang w:val="fr-FR"/>
        </w:rPr>
        <w:t xml:space="preserve">, Hélène </w:t>
      </w:r>
      <w:proofErr w:type="spellStart"/>
      <w:r w:rsidRPr="00603D2C">
        <w:rPr>
          <w:lang w:val="fr-FR"/>
        </w:rPr>
        <w:t>Tigroudja</w:t>
      </w:r>
      <w:proofErr w:type="spellEnd"/>
      <w:r w:rsidRPr="00603D2C">
        <w:rPr>
          <w:lang w:val="fr-FR"/>
        </w:rPr>
        <w:t xml:space="preserve">, </w:t>
      </w:r>
      <w:proofErr w:type="spellStart"/>
      <w:r w:rsidRPr="00603D2C">
        <w:rPr>
          <w:lang w:val="fr-FR"/>
        </w:rPr>
        <w:t>Imeru</w:t>
      </w:r>
      <w:proofErr w:type="spellEnd"/>
      <w:r>
        <w:rPr>
          <w:lang w:val="fr-FR"/>
        </w:rPr>
        <w:t> </w:t>
      </w:r>
      <w:proofErr w:type="spellStart"/>
      <w:r w:rsidRPr="00603D2C">
        <w:rPr>
          <w:lang w:val="fr-FR"/>
        </w:rPr>
        <w:t>Tamerat</w:t>
      </w:r>
      <w:proofErr w:type="spellEnd"/>
      <w:r w:rsidRPr="00603D2C">
        <w:rPr>
          <w:lang w:val="fr-FR"/>
        </w:rPr>
        <w:t xml:space="preserve"> </w:t>
      </w:r>
      <w:proofErr w:type="spellStart"/>
      <w:r w:rsidRPr="00603D2C">
        <w:rPr>
          <w:lang w:val="fr-FR"/>
        </w:rPr>
        <w:t>Yigezu</w:t>
      </w:r>
      <w:proofErr w:type="spellEnd"/>
      <w:r w:rsidRPr="00603D2C">
        <w:rPr>
          <w:lang w:val="fr-FR"/>
        </w:rPr>
        <w:t xml:space="preserve"> </w:t>
      </w:r>
      <w:r>
        <w:rPr>
          <w:lang w:val="fr-FR"/>
        </w:rPr>
        <w:t>et</w:t>
      </w:r>
      <w:r w:rsidRPr="00603D2C">
        <w:rPr>
          <w:lang w:val="fr-FR"/>
        </w:rPr>
        <w:t xml:space="preserve"> </w:t>
      </w:r>
      <w:proofErr w:type="spellStart"/>
      <w:r w:rsidRPr="00603D2C">
        <w:rPr>
          <w:lang w:val="fr-FR"/>
        </w:rPr>
        <w:t>Gentian</w:t>
      </w:r>
      <w:proofErr w:type="spellEnd"/>
      <w:r w:rsidRPr="00603D2C">
        <w:rPr>
          <w:lang w:val="fr-FR"/>
        </w:rPr>
        <w:t xml:space="preserve"> </w:t>
      </w:r>
      <w:proofErr w:type="spellStart"/>
      <w:r w:rsidRPr="00603D2C">
        <w:rPr>
          <w:lang w:val="fr-FR"/>
        </w:rPr>
        <w:t>Zyberi</w:t>
      </w:r>
      <w:proofErr w:type="spellEnd"/>
      <w:r w:rsidRPr="00876BFB">
        <w:rPr>
          <w:szCs w:val="18"/>
        </w:rPr>
        <w:t>.</w:t>
      </w:r>
    </w:p>
  </w:footnote>
  <w:footnote w:id="4">
    <w:p w14:paraId="5E2EAEDE" w14:textId="77777777" w:rsidR="0072367B" w:rsidRPr="00832D4E" w:rsidRDefault="0072367B" w:rsidP="0072367B">
      <w:pPr>
        <w:pStyle w:val="Notedebasdepage"/>
      </w:pPr>
      <w:r>
        <w:rPr>
          <w:lang w:val="fr-FR"/>
        </w:rPr>
        <w:tab/>
      </w:r>
      <w:r w:rsidRPr="00DD49CD">
        <w:rPr>
          <w:rStyle w:val="Appelnotedebasdep"/>
        </w:rPr>
        <w:footnoteRef/>
      </w:r>
      <w:r>
        <w:rPr>
          <w:lang w:val="fr-FR"/>
        </w:rPr>
        <w:tab/>
        <w:t>Les auteurs font référence à la Commission européenne pour la démocratie par le droit (Commission de Venise) et au Bureau des institutions démocratiques et des droits de l’homme de l’Organisation pour la sécurité et la coopération en Europe (OSCE).</w:t>
      </w:r>
    </w:p>
  </w:footnote>
  <w:footnote w:id="5">
    <w:p w14:paraId="3FF75A55" w14:textId="77777777" w:rsidR="0072367B" w:rsidRPr="005C03EB" w:rsidRDefault="0072367B" w:rsidP="0072367B">
      <w:pPr>
        <w:pStyle w:val="Notedebasdepage"/>
      </w:pPr>
      <w:r>
        <w:rPr>
          <w:lang w:val="fr-FR"/>
        </w:rPr>
        <w:tab/>
      </w:r>
      <w:r w:rsidRPr="00DD49CD">
        <w:rPr>
          <w:rStyle w:val="Appelnotedebasdep"/>
        </w:rPr>
        <w:footnoteRef/>
      </w:r>
      <w:r>
        <w:rPr>
          <w:lang w:val="fr-FR"/>
        </w:rPr>
        <w:tab/>
        <w:t xml:space="preserve">Voir </w:t>
      </w:r>
      <w:proofErr w:type="spellStart"/>
      <w:r w:rsidRPr="009A308D">
        <w:rPr>
          <w:i/>
          <w:iCs/>
          <w:lang w:val="fr-FR"/>
        </w:rPr>
        <w:t>Alekseev</w:t>
      </w:r>
      <w:proofErr w:type="spellEnd"/>
      <w:r w:rsidRPr="009A308D">
        <w:rPr>
          <w:i/>
          <w:iCs/>
          <w:lang w:val="fr-FR"/>
        </w:rPr>
        <w:t xml:space="preserve"> c. Fédération de Russie</w:t>
      </w:r>
      <w:r>
        <w:rPr>
          <w:lang w:val="fr-FR"/>
        </w:rPr>
        <w:t xml:space="preserve"> (</w:t>
      </w:r>
      <w:hyperlink r:id="rId1" w:history="1">
        <w:r w:rsidRPr="00745408">
          <w:rPr>
            <w:rStyle w:val="Lienhypertexte"/>
            <w:lang w:val="fr-FR"/>
          </w:rPr>
          <w:t>CCPR/C/109/D/1873/2009</w:t>
        </w:r>
      </w:hyperlink>
      <w:r>
        <w:rPr>
          <w:lang w:val="fr-FR"/>
        </w:rPr>
        <w:t xml:space="preserve">), par. 8.4 ; </w:t>
      </w:r>
      <w:proofErr w:type="spellStart"/>
      <w:r w:rsidRPr="009A308D">
        <w:rPr>
          <w:i/>
          <w:iCs/>
          <w:lang w:val="fr-FR"/>
        </w:rPr>
        <w:t>Lozenko</w:t>
      </w:r>
      <w:proofErr w:type="spellEnd"/>
      <w:r w:rsidRPr="009A308D">
        <w:rPr>
          <w:i/>
          <w:iCs/>
          <w:lang w:val="fr-FR"/>
        </w:rPr>
        <w:t xml:space="preserve"> c. Bélarus</w:t>
      </w:r>
      <w:r>
        <w:rPr>
          <w:lang w:val="fr-FR"/>
        </w:rPr>
        <w:t xml:space="preserve"> (</w:t>
      </w:r>
      <w:hyperlink r:id="rId2" w:history="1">
        <w:r w:rsidRPr="00745408">
          <w:rPr>
            <w:rStyle w:val="Lienhypertexte"/>
            <w:lang w:val="fr-FR"/>
          </w:rPr>
          <w:t>CCPR/C/112/D/1929/2010</w:t>
        </w:r>
      </w:hyperlink>
      <w:r>
        <w:rPr>
          <w:lang w:val="fr-FR"/>
        </w:rPr>
        <w:t xml:space="preserve">), par. 6.3 ; </w:t>
      </w:r>
      <w:proofErr w:type="spellStart"/>
      <w:r w:rsidRPr="009A308D">
        <w:rPr>
          <w:i/>
          <w:iCs/>
          <w:lang w:val="fr-FR"/>
        </w:rPr>
        <w:t>Sudalenko</w:t>
      </w:r>
      <w:proofErr w:type="spellEnd"/>
      <w:r w:rsidRPr="009A308D">
        <w:rPr>
          <w:i/>
          <w:iCs/>
          <w:lang w:val="fr-FR"/>
        </w:rPr>
        <w:t xml:space="preserve"> c. Bélarus</w:t>
      </w:r>
      <w:r>
        <w:rPr>
          <w:lang w:val="fr-FR"/>
        </w:rPr>
        <w:t xml:space="preserve"> (</w:t>
      </w:r>
      <w:hyperlink r:id="rId3" w:history="1">
        <w:r w:rsidRPr="00745408">
          <w:rPr>
            <w:rStyle w:val="Lienhypertexte"/>
            <w:lang w:val="fr-FR"/>
          </w:rPr>
          <w:t>CCPR/C/115/D/2016/2010</w:t>
        </w:r>
      </w:hyperlink>
      <w:r>
        <w:rPr>
          <w:lang w:val="fr-FR"/>
        </w:rPr>
        <w:t>), par. 7.3.</w:t>
      </w:r>
    </w:p>
  </w:footnote>
  <w:footnote w:id="6">
    <w:p w14:paraId="0F5146FF" w14:textId="77777777" w:rsidR="0072367B" w:rsidRPr="005C03EB" w:rsidRDefault="0072367B" w:rsidP="0072367B">
      <w:pPr>
        <w:pStyle w:val="Notedebasdepage"/>
      </w:pPr>
      <w:r w:rsidRPr="005C03EB">
        <w:rPr>
          <w:lang w:val="fr-FR"/>
        </w:rPr>
        <w:tab/>
      </w:r>
      <w:r w:rsidRPr="00DD49CD">
        <w:rPr>
          <w:rStyle w:val="Appelnotedebasdep"/>
        </w:rPr>
        <w:footnoteRef/>
      </w:r>
      <w:r>
        <w:rPr>
          <w:lang w:val="fr-FR"/>
        </w:rPr>
        <w:tab/>
        <w:t xml:space="preserve">Voir </w:t>
      </w:r>
      <w:proofErr w:type="spellStart"/>
      <w:r w:rsidRPr="009A308D">
        <w:rPr>
          <w:i/>
          <w:iCs/>
          <w:lang w:val="fr-FR"/>
        </w:rPr>
        <w:t>Gelazauskas</w:t>
      </w:r>
      <w:proofErr w:type="spellEnd"/>
      <w:r w:rsidRPr="009A308D">
        <w:rPr>
          <w:i/>
          <w:iCs/>
          <w:lang w:val="fr-FR"/>
        </w:rPr>
        <w:t xml:space="preserve"> c. Lituanie</w:t>
      </w:r>
      <w:r>
        <w:rPr>
          <w:lang w:val="fr-FR"/>
        </w:rPr>
        <w:t xml:space="preserve"> (</w:t>
      </w:r>
      <w:hyperlink r:id="rId4" w:history="1">
        <w:r w:rsidRPr="00745408">
          <w:rPr>
            <w:rStyle w:val="Lienhypertexte"/>
            <w:lang w:val="fr-FR"/>
          </w:rPr>
          <w:t>CCPR/C/77/D/836/1998</w:t>
        </w:r>
      </w:hyperlink>
      <w:r>
        <w:rPr>
          <w:lang w:val="fr-FR"/>
        </w:rPr>
        <w:t xml:space="preserve">), par. 7.4 ; </w:t>
      </w:r>
      <w:proofErr w:type="spellStart"/>
      <w:r w:rsidRPr="009A308D">
        <w:rPr>
          <w:i/>
          <w:iCs/>
          <w:lang w:val="fr-FR"/>
        </w:rPr>
        <w:t>Sekerko</w:t>
      </w:r>
      <w:proofErr w:type="spellEnd"/>
      <w:r w:rsidRPr="009A308D">
        <w:rPr>
          <w:i/>
          <w:iCs/>
          <w:lang w:val="fr-FR"/>
        </w:rPr>
        <w:t xml:space="preserve"> c. Bélarus </w:t>
      </w:r>
      <w:r>
        <w:rPr>
          <w:lang w:val="fr-FR"/>
        </w:rPr>
        <w:t>(</w:t>
      </w:r>
      <w:hyperlink r:id="rId5" w:history="1">
        <w:r w:rsidRPr="00745408">
          <w:rPr>
            <w:rStyle w:val="Lienhypertexte"/>
            <w:lang w:val="fr-FR"/>
          </w:rPr>
          <w:t>CCPR/C/109/D/1851/2008</w:t>
        </w:r>
      </w:hyperlink>
      <w:r>
        <w:rPr>
          <w:lang w:val="fr-FR"/>
        </w:rPr>
        <w:t xml:space="preserve">), par. 8.3 ; </w:t>
      </w:r>
      <w:proofErr w:type="spellStart"/>
      <w:r w:rsidRPr="009A308D">
        <w:rPr>
          <w:i/>
          <w:iCs/>
          <w:lang w:val="fr-FR"/>
        </w:rPr>
        <w:t>Schumilin</w:t>
      </w:r>
      <w:proofErr w:type="spellEnd"/>
      <w:r w:rsidRPr="009A308D">
        <w:rPr>
          <w:i/>
          <w:iCs/>
          <w:lang w:val="fr-FR"/>
        </w:rPr>
        <w:t xml:space="preserve"> c. Bélarus</w:t>
      </w:r>
      <w:r>
        <w:rPr>
          <w:lang w:val="fr-FR"/>
        </w:rPr>
        <w:t xml:space="preserve"> (</w:t>
      </w:r>
      <w:hyperlink r:id="rId6" w:history="1">
        <w:r w:rsidRPr="00745408">
          <w:rPr>
            <w:rStyle w:val="Lienhypertexte"/>
            <w:lang w:val="fr-FR"/>
          </w:rPr>
          <w:t>CCPR/C/105/D/1784/2008</w:t>
        </w:r>
      </w:hyperlink>
      <w:r>
        <w:rPr>
          <w:lang w:val="fr-FR"/>
        </w:rPr>
        <w:t xml:space="preserve">), par. 8.3. </w:t>
      </w:r>
    </w:p>
  </w:footnote>
  <w:footnote w:id="7">
    <w:p w14:paraId="3C1D6F7E" w14:textId="4B7D6531" w:rsidR="0072367B" w:rsidRPr="00532E5F" w:rsidRDefault="0072367B" w:rsidP="0072367B">
      <w:pPr>
        <w:pStyle w:val="Notedebasdepage"/>
      </w:pPr>
      <w:r w:rsidRPr="005C03EB">
        <w:rPr>
          <w:lang w:val="fr-FR"/>
        </w:rPr>
        <w:tab/>
      </w:r>
      <w:r w:rsidRPr="00DD49CD">
        <w:rPr>
          <w:rStyle w:val="Appelnotedebasdep"/>
        </w:rPr>
        <w:footnoteRef/>
      </w:r>
      <w:r>
        <w:rPr>
          <w:lang w:val="fr-FR"/>
        </w:rPr>
        <w:tab/>
        <w:t xml:space="preserve">Voir </w:t>
      </w:r>
      <w:proofErr w:type="spellStart"/>
      <w:r w:rsidRPr="009A308D">
        <w:rPr>
          <w:i/>
          <w:iCs/>
          <w:lang w:val="fr-FR"/>
        </w:rPr>
        <w:t>Zhukovsky</w:t>
      </w:r>
      <w:proofErr w:type="spellEnd"/>
      <w:r w:rsidRPr="009A308D">
        <w:rPr>
          <w:i/>
          <w:iCs/>
          <w:lang w:val="fr-FR"/>
        </w:rPr>
        <w:t xml:space="preserve"> c. Bélarus</w:t>
      </w:r>
      <w:r>
        <w:rPr>
          <w:lang w:val="fr-FR"/>
        </w:rPr>
        <w:t xml:space="preserve"> (</w:t>
      </w:r>
      <w:hyperlink r:id="rId7" w:history="1">
        <w:r w:rsidRPr="00745408">
          <w:rPr>
            <w:rStyle w:val="Lienhypertexte"/>
            <w:lang w:val="fr-FR"/>
          </w:rPr>
          <w:t>CCPR/C/127/D/2724/2016</w:t>
        </w:r>
      </w:hyperlink>
      <w:r>
        <w:rPr>
          <w:lang w:val="fr-FR"/>
        </w:rPr>
        <w:t xml:space="preserve">), par. 6.4 ; </w:t>
      </w:r>
      <w:r w:rsidRPr="009A308D">
        <w:rPr>
          <w:i/>
          <w:iCs/>
          <w:lang w:val="fr-FR"/>
        </w:rPr>
        <w:t xml:space="preserve">Voir </w:t>
      </w:r>
      <w:proofErr w:type="spellStart"/>
      <w:r w:rsidRPr="009A308D">
        <w:rPr>
          <w:i/>
          <w:iCs/>
          <w:lang w:val="fr-FR"/>
        </w:rPr>
        <w:t>Zhukovsky</w:t>
      </w:r>
      <w:proofErr w:type="spellEnd"/>
      <w:r w:rsidRPr="009A308D">
        <w:rPr>
          <w:i/>
          <w:iCs/>
          <w:lang w:val="fr-FR"/>
        </w:rPr>
        <w:t xml:space="preserve"> c. Bélarus</w:t>
      </w:r>
      <w:r>
        <w:rPr>
          <w:lang w:val="fr-FR"/>
        </w:rPr>
        <w:t xml:space="preserve"> (</w:t>
      </w:r>
      <w:hyperlink r:id="rId8" w:history="1">
        <w:r w:rsidRPr="00745408">
          <w:rPr>
            <w:rStyle w:val="Lienhypertexte"/>
            <w:lang w:val="fr-FR"/>
          </w:rPr>
          <w:t>CCPR/C/127/D/2955/2017</w:t>
        </w:r>
      </w:hyperlink>
      <w:r>
        <w:rPr>
          <w:lang w:val="fr-FR"/>
        </w:rPr>
        <w:t xml:space="preserve">), par. 6.4 ; </w:t>
      </w:r>
      <w:proofErr w:type="spellStart"/>
      <w:r w:rsidRPr="009A308D">
        <w:rPr>
          <w:i/>
          <w:iCs/>
          <w:lang w:val="fr-FR"/>
        </w:rPr>
        <w:t>Zhukovsky</w:t>
      </w:r>
      <w:proofErr w:type="spellEnd"/>
      <w:r w:rsidRPr="009A308D">
        <w:rPr>
          <w:i/>
          <w:iCs/>
          <w:lang w:val="fr-FR"/>
        </w:rPr>
        <w:t xml:space="preserve"> c. </w:t>
      </w:r>
      <w:r w:rsidRPr="00AF76C4">
        <w:rPr>
          <w:i/>
          <w:iCs/>
          <w:lang w:val="fr-FR"/>
        </w:rPr>
        <w:t>Bélarus</w:t>
      </w:r>
      <w:r w:rsidRPr="00AF76C4">
        <w:rPr>
          <w:lang w:val="fr-FR"/>
        </w:rPr>
        <w:t xml:space="preserve"> (</w:t>
      </w:r>
      <w:hyperlink r:id="rId9" w:history="1">
        <w:r w:rsidRPr="00AF76C4">
          <w:rPr>
            <w:rStyle w:val="Lienhypertexte"/>
            <w:lang w:val="fr-FR"/>
          </w:rPr>
          <w:t>CCPR/C/127/D/3067/2017</w:t>
        </w:r>
      </w:hyperlink>
      <w:r w:rsidRPr="00AF76C4">
        <w:rPr>
          <w:lang w:val="fr-FR"/>
        </w:rPr>
        <w:t>),</w:t>
      </w:r>
      <w:r>
        <w:rPr>
          <w:lang w:val="fr-FR"/>
        </w:rPr>
        <w:t xml:space="preserve"> par. 6.6</w:t>
      </w:r>
      <w:r w:rsidR="00AF76C4">
        <w:rPr>
          <w:lang w:val="fr-FR"/>
        </w:rPr>
        <w:t>.</w:t>
      </w:r>
    </w:p>
  </w:footnote>
  <w:footnote w:id="8">
    <w:p w14:paraId="504AF9DB" w14:textId="1BCD05DA" w:rsidR="0072367B" w:rsidRPr="00745408" w:rsidRDefault="00AF76C4" w:rsidP="0072367B">
      <w:pPr>
        <w:pStyle w:val="Notedebasdepage"/>
        <w:rPr>
          <w:lang w:val="fr-FR"/>
        </w:rPr>
      </w:pPr>
      <w:r>
        <w:rPr>
          <w:lang w:val="fr-FR"/>
        </w:rPr>
        <w:tab/>
      </w:r>
      <w:r w:rsidR="0072367B">
        <w:rPr>
          <w:rStyle w:val="Appelnotedebasdep"/>
        </w:rPr>
        <w:footnoteRef/>
      </w:r>
      <w:r w:rsidR="0072367B">
        <w:rPr>
          <w:lang w:val="fr-FR"/>
        </w:rPr>
        <w:tab/>
        <w:t>Observation générale n</w:t>
      </w:r>
      <w:r w:rsidR="0072367B" w:rsidRPr="00900C20">
        <w:rPr>
          <w:vertAlign w:val="superscript"/>
          <w:lang w:val="fr-FR"/>
        </w:rPr>
        <w:t>o</w:t>
      </w:r>
      <w:r w:rsidR="0072367B">
        <w:rPr>
          <w:lang w:val="fr-FR"/>
        </w:rPr>
        <w:t> 37 (2020), par. 55.</w:t>
      </w:r>
    </w:p>
  </w:footnote>
  <w:footnote w:id="9">
    <w:p w14:paraId="67603287" w14:textId="77777777" w:rsidR="0072367B" w:rsidRPr="000455A7" w:rsidRDefault="0072367B" w:rsidP="0072367B">
      <w:pPr>
        <w:pStyle w:val="Notedebasdepage"/>
        <w:rPr>
          <w:szCs w:val="18"/>
        </w:rPr>
      </w:pPr>
      <w:r w:rsidRPr="000455A7">
        <w:rPr>
          <w:szCs w:val="18"/>
          <w:lang w:val="fr-FR"/>
        </w:rPr>
        <w:tab/>
      </w:r>
      <w:r w:rsidRPr="00DD49CD">
        <w:rPr>
          <w:rStyle w:val="Appelnotedebasdep"/>
        </w:rPr>
        <w:footnoteRef/>
      </w:r>
      <w:r>
        <w:rPr>
          <w:lang w:val="fr-FR"/>
        </w:rPr>
        <w:tab/>
        <w:t>Ibid., par. 64.</w:t>
      </w:r>
    </w:p>
  </w:footnote>
  <w:footnote w:id="10">
    <w:p w14:paraId="707F5B6D" w14:textId="33DA954E" w:rsidR="0072367B" w:rsidRPr="00745408" w:rsidRDefault="00AF76C4" w:rsidP="0072367B">
      <w:pPr>
        <w:pStyle w:val="Notedebasdepage"/>
        <w:rPr>
          <w:lang w:val="fr-FR"/>
        </w:rPr>
      </w:pPr>
      <w:r>
        <w:tab/>
      </w:r>
      <w:r w:rsidR="0072367B">
        <w:rPr>
          <w:rStyle w:val="Appelnotedebasdep"/>
        </w:rPr>
        <w:footnoteRef/>
      </w:r>
      <w:r>
        <w:tab/>
      </w:r>
      <w:r w:rsidR="0072367B">
        <w:rPr>
          <w:lang w:val="fr-FR"/>
        </w:rPr>
        <w:t>Observation générale n</w:t>
      </w:r>
      <w:r w:rsidR="0072367B" w:rsidRPr="00900C20">
        <w:rPr>
          <w:vertAlign w:val="superscript"/>
          <w:lang w:val="fr-FR"/>
        </w:rPr>
        <w:t>o</w:t>
      </w:r>
      <w:r w:rsidR="0072367B">
        <w:rPr>
          <w:lang w:val="fr-FR"/>
        </w:rPr>
        <w:t> 34 (2011), par. 2.</w:t>
      </w:r>
    </w:p>
  </w:footnote>
  <w:footnote w:id="11">
    <w:p w14:paraId="60E36480" w14:textId="639E8E67" w:rsidR="0072367B" w:rsidRPr="000455A7" w:rsidRDefault="0072367B" w:rsidP="0072367B">
      <w:pPr>
        <w:pStyle w:val="Notedebasdepage"/>
      </w:pPr>
      <w:r w:rsidRPr="000455A7">
        <w:rPr>
          <w:lang w:val="fr-FR"/>
        </w:rPr>
        <w:tab/>
      </w:r>
      <w:r w:rsidRPr="00DD49CD">
        <w:rPr>
          <w:rStyle w:val="Appelnotedebasdep"/>
        </w:rPr>
        <w:footnoteRef/>
      </w:r>
      <w:r>
        <w:rPr>
          <w:lang w:val="fr-FR"/>
        </w:rPr>
        <w:tab/>
        <w:t>Observation générale n</w:t>
      </w:r>
      <w:r w:rsidRPr="00900C20">
        <w:rPr>
          <w:vertAlign w:val="superscript"/>
          <w:lang w:val="fr-FR"/>
        </w:rPr>
        <w:t>o</w:t>
      </w:r>
      <w:r>
        <w:rPr>
          <w:lang w:val="fr-FR"/>
        </w:rPr>
        <w:t> 37 (2020), par. 6.</w:t>
      </w:r>
    </w:p>
  </w:footnote>
  <w:footnote w:id="12">
    <w:p w14:paraId="0E935EBD" w14:textId="77777777" w:rsidR="0072367B" w:rsidRPr="000455A7" w:rsidRDefault="0072367B" w:rsidP="0072367B">
      <w:pPr>
        <w:pStyle w:val="Notedebasdepage"/>
      </w:pPr>
      <w:r w:rsidRPr="000455A7">
        <w:rPr>
          <w:lang w:val="fr-FR"/>
        </w:rPr>
        <w:tab/>
      </w:r>
      <w:r w:rsidRPr="00DD49CD">
        <w:rPr>
          <w:rStyle w:val="Appelnotedebasdep"/>
        </w:rPr>
        <w:footnoteRef/>
      </w:r>
      <w:r>
        <w:rPr>
          <w:lang w:val="fr-FR"/>
        </w:rPr>
        <w:tab/>
        <w:t>Ibid., par. 22.</w:t>
      </w:r>
    </w:p>
  </w:footnote>
  <w:footnote w:id="13">
    <w:p w14:paraId="46A64324" w14:textId="77777777" w:rsidR="0072367B" w:rsidRPr="000455A7" w:rsidRDefault="0072367B" w:rsidP="0072367B">
      <w:pPr>
        <w:pStyle w:val="Notedebasdepage"/>
      </w:pPr>
      <w:r w:rsidRPr="000455A7">
        <w:rPr>
          <w:lang w:val="fr-FR"/>
        </w:rPr>
        <w:tab/>
      </w:r>
      <w:r w:rsidRPr="00DD49CD">
        <w:rPr>
          <w:rStyle w:val="Appelnotedebasdep"/>
        </w:rPr>
        <w:footnoteRef/>
      </w:r>
      <w:r>
        <w:rPr>
          <w:lang w:val="fr-FR"/>
        </w:rPr>
        <w:tab/>
        <w:t>Ibid., par. 36.</w:t>
      </w:r>
    </w:p>
  </w:footnote>
  <w:footnote w:id="14">
    <w:p w14:paraId="736A84AE" w14:textId="77777777" w:rsidR="0072367B" w:rsidRPr="00E044C7" w:rsidRDefault="0072367B" w:rsidP="0072367B">
      <w:pPr>
        <w:pStyle w:val="Notedebasdepage"/>
      </w:pPr>
      <w:r w:rsidRPr="000455A7">
        <w:rPr>
          <w:lang w:val="fr-FR"/>
        </w:rPr>
        <w:tab/>
      </w:r>
      <w:r w:rsidRPr="00DD49CD">
        <w:rPr>
          <w:rStyle w:val="Appelnotedebasdep"/>
        </w:rPr>
        <w:footnoteRef/>
      </w:r>
      <w:r>
        <w:rPr>
          <w:lang w:val="fr-FR"/>
        </w:rPr>
        <w:tab/>
        <w:t xml:space="preserve">Voir, par exemple, </w:t>
      </w:r>
      <w:proofErr w:type="spellStart"/>
      <w:r w:rsidRPr="009A308D">
        <w:rPr>
          <w:i/>
          <w:iCs/>
          <w:lang w:val="fr-FR"/>
        </w:rPr>
        <w:t>Poplavny</w:t>
      </w:r>
      <w:proofErr w:type="spellEnd"/>
      <w:r w:rsidRPr="009A308D">
        <w:rPr>
          <w:i/>
          <w:iCs/>
          <w:lang w:val="fr-FR"/>
        </w:rPr>
        <w:t xml:space="preserve"> c. Bélarus</w:t>
      </w:r>
      <w:r>
        <w:rPr>
          <w:lang w:val="fr-FR"/>
        </w:rPr>
        <w:t xml:space="preserve"> (</w:t>
      </w:r>
      <w:hyperlink r:id="rId10" w:history="1">
        <w:r w:rsidRPr="00745408">
          <w:rPr>
            <w:rStyle w:val="Lienhypertexte"/>
            <w:lang w:val="fr-FR"/>
          </w:rPr>
          <w:t>CCPR/C/115/D/2019/2010</w:t>
        </w:r>
      </w:hyperlink>
      <w:r>
        <w:rPr>
          <w:lang w:val="fr-FR"/>
        </w:rPr>
        <w:t>), par. 8.4.</w:t>
      </w:r>
    </w:p>
  </w:footnote>
  <w:footnote w:id="15">
    <w:p w14:paraId="587107C9" w14:textId="77777777" w:rsidR="0072367B" w:rsidRPr="00283010" w:rsidRDefault="0072367B" w:rsidP="0072367B">
      <w:pPr>
        <w:pStyle w:val="Notedebasdepage"/>
      </w:pPr>
      <w:r w:rsidRPr="00E044C7">
        <w:rPr>
          <w:lang w:val="fr-FR"/>
        </w:rPr>
        <w:tab/>
      </w:r>
      <w:r w:rsidRPr="00DD49CD">
        <w:rPr>
          <w:rStyle w:val="Appelnotedebasdep"/>
        </w:rPr>
        <w:footnoteRef/>
      </w:r>
      <w:r>
        <w:rPr>
          <w:lang w:val="fr-FR"/>
        </w:rPr>
        <w:tab/>
        <w:t>Observation générale n</w:t>
      </w:r>
      <w:r w:rsidRPr="00900C20">
        <w:rPr>
          <w:vertAlign w:val="superscript"/>
          <w:lang w:val="fr-FR"/>
        </w:rPr>
        <w:t>o</w:t>
      </w:r>
      <w:r>
        <w:rPr>
          <w:lang w:val="fr-FR"/>
        </w:rPr>
        <w:t> 34 (2011), par. 2.</w:t>
      </w:r>
    </w:p>
  </w:footnote>
  <w:footnote w:id="16">
    <w:p w14:paraId="03449E89" w14:textId="77777777" w:rsidR="0072367B" w:rsidRPr="00283010" w:rsidRDefault="0072367B" w:rsidP="0072367B">
      <w:pPr>
        <w:pStyle w:val="Notedebasdepage"/>
      </w:pPr>
      <w:r w:rsidRPr="00283010">
        <w:rPr>
          <w:lang w:val="fr-FR"/>
        </w:rPr>
        <w:tab/>
      </w:r>
      <w:r w:rsidRPr="00DD49CD">
        <w:rPr>
          <w:rStyle w:val="Appelnotedebasdep"/>
        </w:rPr>
        <w:footnoteRef/>
      </w:r>
      <w:r>
        <w:rPr>
          <w:lang w:val="fr-FR"/>
        </w:rPr>
        <w:tab/>
        <w:t>Ibid., par. 34.</w:t>
      </w:r>
    </w:p>
  </w:footnote>
  <w:footnote w:id="17">
    <w:p w14:paraId="7A82B28D" w14:textId="77777777" w:rsidR="0072367B" w:rsidRPr="00283010" w:rsidRDefault="0072367B" w:rsidP="0072367B">
      <w:pPr>
        <w:pStyle w:val="Notedebasdepage"/>
      </w:pPr>
      <w:r w:rsidRPr="00283010">
        <w:rPr>
          <w:lang w:val="fr-FR"/>
        </w:rPr>
        <w:tab/>
      </w:r>
      <w:r w:rsidRPr="00DD49CD">
        <w:rPr>
          <w:rStyle w:val="Appelnotedebasdep"/>
        </w:rPr>
        <w:footnoteRef/>
      </w:r>
      <w:r>
        <w:rPr>
          <w:lang w:val="fr-FR"/>
        </w:rPr>
        <w:tab/>
      </w:r>
      <w:proofErr w:type="spellStart"/>
      <w:r w:rsidRPr="009A308D">
        <w:rPr>
          <w:i/>
          <w:iCs/>
          <w:lang w:val="fr-FR"/>
        </w:rPr>
        <w:t>Androsenko</w:t>
      </w:r>
      <w:proofErr w:type="spellEnd"/>
      <w:r w:rsidRPr="009A308D">
        <w:rPr>
          <w:i/>
          <w:iCs/>
          <w:lang w:val="fr-FR"/>
        </w:rPr>
        <w:t xml:space="preserve"> c. Bélarus</w:t>
      </w:r>
      <w:r>
        <w:rPr>
          <w:lang w:val="fr-FR"/>
        </w:rPr>
        <w:t xml:space="preserve"> (</w:t>
      </w:r>
      <w:hyperlink r:id="rId11" w:history="1">
        <w:r w:rsidRPr="00745408">
          <w:rPr>
            <w:rStyle w:val="Lienhypertexte"/>
            <w:lang w:val="fr-FR"/>
          </w:rPr>
          <w:t>CCPR/C/116/D/2092/2011</w:t>
        </w:r>
      </w:hyperlink>
      <w:r>
        <w:rPr>
          <w:lang w:val="fr-FR"/>
        </w:rPr>
        <w:t>), par. 7.3.</w:t>
      </w:r>
    </w:p>
  </w:footnote>
  <w:footnote w:id="18">
    <w:p w14:paraId="0308C1B1" w14:textId="77777777" w:rsidR="0072367B" w:rsidRPr="00A9505F" w:rsidRDefault="0072367B" w:rsidP="0072367B">
      <w:pPr>
        <w:pStyle w:val="Notedebasdepage"/>
      </w:pPr>
      <w:r>
        <w:rPr>
          <w:lang w:val="fr-FR"/>
        </w:rPr>
        <w:tab/>
      </w:r>
      <w:r w:rsidRPr="00DD49CD">
        <w:rPr>
          <w:rStyle w:val="Appelnotedebasdep"/>
        </w:rPr>
        <w:footnoteRef/>
      </w:r>
      <w:r>
        <w:rPr>
          <w:lang w:val="fr-FR"/>
        </w:rPr>
        <w:tab/>
        <w:t>Observation générale n</w:t>
      </w:r>
      <w:r w:rsidRPr="00900C20">
        <w:rPr>
          <w:vertAlign w:val="superscript"/>
          <w:lang w:val="fr-FR"/>
        </w:rPr>
        <w:t>o</w:t>
      </w:r>
      <w:r>
        <w:rPr>
          <w:lang w:val="fr-FR"/>
        </w:rPr>
        <w:t> 34 (2011), par.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66A5" w14:textId="11694886" w:rsidR="00204789" w:rsidRPr="00204789" w:rsidRDefault="00204789">
    <w:pPr>
      <w:pStyle w:val="En-tte"/>
    </w:pPr>
    <w:fldSimple w:instr=" TITLE  \* MERGEFORMAT ">
      <w:r>
        <w:t>CCPR/C/132/D/2857/2016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F729" w14:textId="6CBB6EF0" w:rsidR="00204789" w:rsidRPr="00204789" w:rsidRDefault="00204789" w:rsidP="00204789">
    <w:pPr>
      <w:pStyle w:val="En-tte"/>
      <w:jc w:val="right"/>
    </w:pPr>
    <w:fldSimple w:instr=" TITLE  \* MERGEFORMAT ">
      <w:r>
        <w:t>CCPR/C/132/D/2857/2016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76"/>
    <w:rsid w:val="00017F94"/>
    <w:rsid w:val="00023842"/>
    <w:rsid w:val="00032352"/>
    <w:rsid w:val="000334F9"/>
    <w:rsid w:val="0007796D"/>
    <w:rsid w:val="000919AD"/>
    <w:rsid w:val="000B7790"/>
    <w:rsid w:val="000C2225"/>
    <w:rsid w:val="00111F2F"/>
    <w:rsid w:val="0014365E"/>
    <w:rsid w:val="00176178"/>
    <w:rsid w:val="001B379B"/>
    <w:rsid w:val="001F525A"/>
    <w:rsid w:val="00204789"/>
    <w:rsid w:val="00223272"/>
    <w:rsid w:val="0024779E"/>
    <w:rsid w:val="002B7BC7"/>
    <w:rsid w:val="002E2D46"/>
    <w:rsid w:val="0032225A"/>
    <w:rsid w:val="003265B7"/>
    <w:rsid w:val="003402F1"/>
    <w:rsid w:val="00351332"/>
    <w:rsid w:val="003A6E96"/>
    <w:rsid w:val="004351FC"/>
    <w:rsid w:val="00446FE5"/>
    <w:rsid w:val="00452396"/>
    <w:rsid w:val="00535176"/>
    <w:rsid w:val="005505B7"/>
    <w:rsid w:val="00573BE5"/>
    <w:rsid w:val="00586ED3"/>
    <w:rsid w:val="00596AA9"/>
    <w:rsid w:val="006D1448"/>
    <w:rsid w:val="006F7144"/>
    <w:rsid w:val="006F71EA"/>
    <w:rsid w:val="0071601D"/>
    <w:rsid w:val="0072367B"/>
    <w:rsid w:val="00777ECD"/>
    <w:rsid w:val="00793E85"/>
    <w:rsid w:val="007A611C"/>
    <w:rsid w:val="007A62E6"/>
    <w:rsid w:val="007E2032"/>
    <w:rsid w:val="0080684C"/>
    <w:rsid w:val="008560DB"/>
    <w:rsid w:val="00871C75"/>
    <w:rsid w:val="008776DC"/>
    <w:rsid w:val="00944DB1"/>
    <w:rsid w:val="009705C8"/>
    <w:rsid w:val="009B1E6C"/>
    <w:rsid w:val="009E2C6A"/>
    <w:rsid w:val="00A57411"/>
    <w:rsid w:val="00A9151D"/>
    <w:rsid w:val="00A92823"/>
    <w:rsid w:val="00AA6A35"/>
    <w:rsid w:val="00AC3823"/>
    <w:rsid w:val="00AE323C"/>
    <w:rsid w:val="00AF76C4"/>
    <w:rsid w:val="00B00181"/>
    <w:rsid w:val="00B765F7"/>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09872"/>
  <w15:docId w15:val="{7F7A8B0C-044B-42DC-869D-D64FB6A4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2367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127/D/2955/2017" TargetMode="External"/><Relationship Id="rId3" Type="http://schemas.openxmlformats.org/officeDocument/2006/relationships/hyperlink" Target="http://undocs.org/fr/CCPR/C/115/D/2016/2010" TargetMode="External"/><Relationship Id="rId7" Type="http://schemas.openxmlformats.org/officeDocument/2006/relationships/hyperlink" Target="http://undocs.org/fr/CCPR/C/127/D/2724/2016" TargetMode="External"/><Relationship Id="rId2" Type="http://schemas.openxmlformats.org/officeDocument/2006/relationships/hyperlink" Target="http://undocs.org/fr/CCPR/C/112/D/1929/2010" TargetMode="External"/><Relationship Id="rId1" Type="http://schemas.openxmlformats.org/officeDocument/2006/relationships/hyperlink" Target="http://undocs.org/fr/CCPR/C/109/D/1873/2009" TargetMode="External"/><Relationship Id="rId6" Type="http://schemas.openxmlformats.org/officeDocument/2006/relationships/hyperlink" Target="http://undocs.org/fr/CCPR/C/105/D/1784/2008" TargetMode="External"/><Relationship Id="rId11" Type="http://schemas.openxmlformats.org/officeDocument/2006/relationships/hyperlink" Target="http://undocs.org/fr/CCPR/C/116/D/2092/2011" TargetMode="External"/><Relationship Id="rId5" Type="http://schemas.openxmlformats.org/officeDocument/2006/relationships/hyperlink" Target="http://undocs.org/fr/CCPR/C/109/D/1851/2008" TargetMode="External"/><Relationship Id="rId10" Type="http://schemas.openxmlformats.org/officeDocument/2006/relationships/hyperlink" Target="http://undocs.org/fr/CCPR/C/115/D/2019/2010" TargetMode="External"/><Relationship Id="rId4" Type="http://schemas.openxmlformats.org/officeDocument/2006/relationships/hyperlink" Target="http://undocs.org/fr/CCPR/C/77/D/836/1998" TargetMode="External"/><Relationship Id="rId9" Type="http://schemas.openxmlformats.org/officeDocument/2006/relationships/hyperlink" Target="http://undocs.org/fr/CCPR/C/127/D/3067/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50CE-6C4E-42E7-8939-AA8DAAE7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3870</Words>
  <Characters>20141</Characters>
  <Application>Microsoft Office Word</Application>
  <DocSecurity>0</DocSecurity>
  <Lines>313</Lines>
  <Paragraphs>74</Paragraphs>
  <ScaleCrop>false</ScaleCrop>
  <HeadingPairs>
    <vt:vector size="2" baseType="variant">
      <vt:variant>
        <vt:lpstr>Titre</vt:lpstr>
      </vt:variant>
      <vt:variant>
        <vt:i4>1</vt:i4>
      </vt:variant>
    </vt:vector>
  </HeadingPairs>
  <TitlesOfParts>
    <vt:vector size="1" baseType="lpstr">
      <vt:lpstr>CCPR/C/132/D/2857/2016</vt:lpstr>
    </vt:vector>
  </TitlesOfParts>
  <Company>DCM</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CCPR/C/132/D/2857/2016</dc:title>
  <dc:subject/>
  <dc:creator>Sandrine CLERE</dc:creator>
  <cp:keywords/>
  <cp:lastModifiedBy>Sandrine Clere</cp:lastModifiedBy>
  <cp:revision>2</cp:revision>
  <cp:lastPrinted>2014-05-14T10:59:00Z</cp:lastPrinted>
  <dcterms:created xsi:type="dcterms:W3CDTF">2022-06-09T14:04:00Z</dcterms:created>
  <dcterms:modified xsi:type="dcterms:W3CDTF">2022-06-09T14:04:00Z</dcterms:modified>
</cp:coreProperties>
</file>