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C175A6" w14:paraId="66F6FC2A" w14:textId="77777777" w:rsidTr="005B51C4">
        <w:trPr>
          <w:trHeight w:hRule="exact" w:val="851"/>
        </w:trPr>
        <w:tc>
          <w:tcPr>
            <w:tcW w:w="1274" w:type="dxa"/>
            <w:tcBorders>
              <w:bottom w:val="single" w:sz="4" w:space="0" w:color="auto"/>
            </w:tcBorders>
            <w:shd w:val="clear" w:color="auto" w:fill="auto"/>
          </w:tcPr>
          <w:p w14:paraId="23C39F5A" w14:textId="77777777" w:rsidR="006B3E27" w:rsidRPr="00C175A6" w:rsidRDefault="006B3E27" w:rsidP="007A4714">
            <w:pPr>
              <w:kinsoku w:val="0"/>
              <w:overflowPunct w:val="0"/>
              <w:autoSpaceDE w:val="0"/>
              <w:autoSpaceDN w:val="0"/>
              <w:adjustRightInd w:val="0"/>
              <w:snapToGrid w:val="0"/>
              <w:jc w:val="center"/>
              <w:rPr>
                <w:rFonts w:hint="cs"/>
                <w:sz w:val="56"/>
                <w:szCs w:val="56"/>
                <w:rtl/>
              </w:rPr>
            </w:pPr>
          </w:p>
        </w:tc>
        <w:tc>
          <w:tcPr>
            <w:tcW w:w="4537" w:type="dxa"/>
            <w:tcBorders>
              <w:bottom w:val="single" w:sz="4" w:space="0" w:color="auto"/>
            </w:tcBorders>
            <w:shd w:val="clear" w:color="auto" w:fill="auto"/>
            <w:vAlign w:val="bottom"/>
          </w:tcPr>
          <w:p w14:paraId="22C50947" w14:textId="77777777" w:rsidR="006B3E27" w:rsidRPr="00C175A6" w:rsidRDefault="006B3E27" w:rsidP="00730446">
            <w:pPr>
              <w:spacing w:after="80" w:line="480" w:lineRule="exact"/>
              <w:ind w:left="57"/>
              <w:rPr>
                <w:sz w:val="30"/>
                <w:szCs w:val="30"/>
                <w:rtl/>
              </w:rPr>
            </w:pPr>
            <w:r w:rsidRPr="00C175A6">
              <w:rPr>
                <w:rFonts w:hint="cs"/>
                <w:sz w:val="30"/>
                <w:szCs w:val="30"/>
                <w:rtl/>
              </w:rPr>
              <w:t>الأمم المتحدة</w:t>
            </w:r>
          </w:p>
        </w:tc>
        <w:tc>
          <w:tcPr>
            <w:tcW w:w="3828" w:type="dxa"/>
            <w:tcBorders>
              <w:bottom w:val="single" w:sz="4" w:space="0" w:color="auto"/>
            </w:tcBorders>
            <w:shd w:val="clear" w:color="auto" w:fill="auto"/>
            <w:vAlign w:val="bottom"/>
          </w:tcPr>
          <w:p w14:paraId="7C01AA80" w14:textId="72937B29" w:rsidR="006B3E27" w:rsidRPr="007F7CE4" w:rsidRDefault="007F7CE4" w:rsidP="007F7CE4">
            <w:pPr>
              <w:bidi w:val="0"/>
              <w:rPr>
                <w:szCs w:val="20"/>
              </w:rPr>
            </w:pPr>
            <w:r w:rsidRPr="008C50A9">
              <w:rPr>
                <w:sz w:val="40"/>
                <w:szCs w:val="20"/>
              </w:rPr>
              <w:t>CCPR</w:t>
            </w:r>
            <w:r w:rsidRPr="008C50A9">
              <w:rPr>
                <w:szCs w:val="20"/>
              </w:rPr>
              <w:t>/C/</w:t>
            </w:r>
            <w:r w:rsidRPr="00387BCA">
              <w:rPr>
                <w:szCs w:val="20"/>
              </w:rPr>
              <w:t>135</w:t>
            </w:r>
            <w:r w:rsidRPr="008C50A9">
              <w:rPr>
                <w:szCs w:val="20"/>
              </w:rPr>
              <w:t>/D/</w:t>
            </w:r>
            <w:r w:rsidRPr="00387BCA">
              <w:rPr>
                <w:szCs w:val="20"/>
              </w:rPr>
              <w:t>2847</w:t>
            </w:r>
            <w:r w:rsidRPr="008C50A9">
              <w:rPr>
                <w:szCs w:val="20"/>
              </w:rPr>
              <w:t>/</w:t>
            </w:r>
            <w:r w:rsidRPr="00387BCA">
              <w:rPr>
                <w:szCs w:val="20"/>
              </w:rPr>
              <w:t>2016</w:t>
            </w:r>
          </w:p>
        </w:tc>
      </w:tr>
      <w:tr w:rsidR="006B3E27" w:rsidRPr="00C175A6" w14:paraId="5167F52E" w14:textId="77777777" w:rsidTr="005B51C4">
        <w:trPr>
          <w:trHeight w:hRule="exact" w:val="2835"/>
        </w:trPr>
        <w:tc>
          <w:tcPr>
            <w:tcW w:w="1274" w:type="dxa"/>
            <w:tcBorders>
              <w:top w:val="single" w:sz="4" w:space="0" w:color="auto"/>
              <w:bottom w:val="single" w:sz="12" w:space="0" w:color="auto"/>
            </w:tcBorders>
            <w:shd w:val="clear" w:color="auto" w:fill="auto"/>
          </w:tcPr>
          <w:p w14:paraId="2C34C747" w14:textId="77777777" w:rsidR="006B3E27" w:rsidRPr="00C175A6" w:rsidRDefault="00E2228E" w:rsidP="009A0CFB">
            <w:pPr>
              <w:spacing w:before="120"/>
              <w:jc w:val="center"/>
              <w:rPr>
                <w:sz w:val="56"/>
                <w:szCs w:val="56"/>
                <w:rtl/>
              </w:rPr>
            </w:pPr>
            <w:r w:rsidRPr="00C175A6">
              <w:rPr>
                <w:noProof/>
                <w:sz w:val="56"/>
                <w:szCs w:val="56"/>
              </w:rPr>
              <w:drawing>
                <wp:inline distT="0" distB="0" distL="0" distR="0" wp14:anchorId="58B40B58" wp14:editId="0E24219D">
                  <wp:extent cx="628015" cy="607060"/>
                  <wp:effectExtent l="0" t="0" r="0" b="0"/>
                  <wp:docPr id="2"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8015" cy="607060"/>
                          </a:xfrm>
                          <a:prstGeom prst="rect">
                            <a:avLst/>
                          </a:prstGeom>
                          <a:noFill/>
                          <a:ln>
                            <a:noFill/>
                          </a:ln>
                        </pic:spPr>
                      </pic:pic>
                    </a:graphicData>
                  </a:graphic>
                </wp:inline>
              </w:drawing>
            </w:r>
          </w:p>
        </w:tc>
        <w:tc>
          <w:tcPr>
            <w:tcW w:w="4537" w:type="dxa"/>
            <w:tcBorders>
              <w:top w:val="single" w:sz="4" w:space="0" w:color="auto"/>
              <w:bottom w:val="single" w:sz="12" w:space="0" w:color="auto"/>
            </w:tcBorders>
            <w:shd w:val="clear" w:color="auto" w:fill="auto"/>
          </w:tcPr>
          <w:p w14:paraId="7FCDB778" w14:textId="77777777" w:rsidR="006B3E27" w:rsidRPr="00387BCA" w:rsidRDefault="00ED7442" w:rsidP="00730446">
            <w:pPr>
              <w:spacing w:before="120" w:after="40" w:line="640" w:lineRule="exact"/>
              <w:ind w:left="57"/>
              <w:rPr>
                <w:b/>
                <w:bCs/>
                <w:sz w:val="46"/>
                <w:szCs w:val="46"/>
              </w:rPr>
            </w:pPr>
            <w:r w:rsidRPr="00387BCA">
              <w:rPr>
                <w:rFonts w:hint="cs"/>
                <w:b/>
                <w:bCs/>
                <w:sz w:val="46"/>
                <w:szCs w:val="46"/>
                <w:rtl/>
              </w:rPr>
              <w:t>العهد الدولي الخاص بالحقوق المدنية والسياسية</w:t>
            </w:r>
          </w:p>
        </w:tc>
        <w:tc>
          <w:tcPr>
            <w:tcW w:w="3828" w:type="dxa"/>
            <w:tcBorders>
              <w:top w:val="single" w:sz="4" w:space="0" w:color="auto"/>
              <w:bottom w:val="single" w:sz="12" w:space="0" w:color="auto"/>
            </w:tcBorders>
            <w:shd w:val="clear" w:color="auto" w:fill="auto"/>
          </w:tcPr>
          <w:p w14:paraId="2E5B36FA" w14:textId="05F592C4" w:rsidR="006B3E27" w:rsidRDefault="007F7CE4" w:rsidP="004B27E0">
            <w:pPr>
              <w:bidi w:val="0"/>
              <w:spacing w:before="240"/>
              <w:rPr>
                <w:szCs w:val="20"/>
              </w:rPr>
            </w:pPr>
            <w:r>
              <w:rPr>
                <w:szCs w:val="20"/>
              </w:rPr>
              <w:t>Dist</w:t>
            </w:r>
            <w:r w:rsidR="008C50A9" w:rsidRPr="008C50A9">
              <w:rPr>
                <w:szCs w:val="20"/>
              </w:rPr>
              <w:t>r.:</w:t>
            </w:r>
            <w:r>
              <w:rPr>
                <w:szCs w:val="20"/>
              </w:rPr>
              <w:t xml:space="preserve"> General</w:t>
            </w:r>
          </w:p>
          <w:p w14:paraId="7813DA3B" w14:textId="4E42C41C" w:rsidR="007F7CE4" w:rsidRDefault="002A6BD8" w:rsidP="007F7CE4">
            <w:pPr>
              <w:bidi w:val="0"/>
              <w:spacing w:line="240" w:lineRule="exact"/>
              <w:jc w:val="left"/>
              <w:rPr>
                <w:szCs w:val="20"/>
              </w:rPr>
            </w:pPr>
            <w:r w:rsidRPr="00387BCA">
              <w:t>18</w:t>
            </w:r>
            <w:r>
              <w:t xml:space="preserve"> November </w:t>
            </w:r>
            <w:r w:rsidRPr="00387BCA">
              <w:t>2022</w:t>
            </w:r>
          </w:p>
          <w:p w14:paraId="1F73AF82" w14:textId="77777777" w:rsidR="007F7CE4" w:rsidRDefault="007F7CE4" w:rsidP="007F7CE4">
            <w:pPr>
              <w:bidi w:val="0"/>
              <w:spacing w:line="240" w:lineRule="exact"/>
              <w:jc w:val="left"/>
              <w:rPr>
                <w:szCs w:val="20"/>
              </w:rPr>
            </w:pPr>
            <w:r>
              <w:rPr>
                <w:szCs w:val="20"/>
              </w:rPr>
              <w:t>Arabic</w:t>
            </w:r>
          </w:p>
          <w:p w14:paraId="12047E24" w14:textId="38880B34" w:rsidR="007F7CE4" w:rsidRPr="007F7CE4" w:rsidRDefault="007F7CE4" w:rsidP="007F7CE4">
            <w:pPr>
              <w:bidi w:val="0"/>
              <w:spacing w:line="240" w:lineRule="exact"/>
              <w:jc w:val="left"/>
              <w:rPr>
                <w:szCs w:val="20"/>
              </w:rPr>
            </w:pPr>
            <w:r>
              <w:rPr>
                <w:szCs w:val="20"/>
              </w:rPr>
              <w:t>Origina</w:t>
            </w:r>
            <w:r w:rsidR="008C50A9" w:rsidRPr="008C50A9">
              <w:rPr>
                <w:szCs w:val="20"/>
              </w:rPr>
              <w:t xml:space="preserve">l: </w:t>
            </w:r>
            <w:r>
              <w:rPr>
                <w:szCs w:val="20"/>
              </w:rPr>
              <w:t>English</w:t>
            </w:r>
          </w:p>
        </w:tc>
      </w:tr>
    </w:tbl>
    <w:p w14:paraId="7CA2A31C" w14:textId="77777777" w:rsidR="00AD7A2C" w:rsidRPr="00387BCA" w:rsidRDefault="00AD7A2C" w:rsidP="00C20DEF">
      <w:pPr>
        <w:spacing w:before="120" w:after="120" w:line="360" w:lineRule="exact"/>
        <w:textDirection w:val="tbRlV"/>
        <w:rPr>
          <w:b/>
          <w:bCs/>
          <w:sz w:val="26"/>
          <w:szCs w:val="26"/>
          <w:lang w:val="ar-SA" w:eastAsia="zh-TW" w:bidi="en-GB"/>
        </w:rPr>
      </w:pPr>
      <w:r w:rsidRPr="00387BCA">
        <w:rPr>
          <w:b/>
          <w:bCs/>
          <w:sz w:val="26"/>
          <w:szCs w:val="26"/>
          <w:rtl/>
        </w:rPr>
        <w:t>اللجنة المعنية بحقوق الإنسان</w:t>
      </w:r>
    </w:p>
    <w:p w14:paraId="06585932" w14:textId="799D57AC" w:rsidR="00AD7A2C" w:rsidRPr="00387BCA" w:rsidRDefault="00AD7A2C" w:rsidP="00C316C0">
      <w:pPr>
        <w:pStyle w:val="HChGA"/>
        <w:rPr>
          <w:rtl/>
          <w:lang w:val="en-US"/>
        </w:rPr>
      </w:pPr>
      <w:r w:rsidRPr="00387BCA">
        <w:rPr>
          <w:rtl/>
        </w:rPr>
        <w:tab/>
      </w:r>
      <w:r w:rsidRPr="00387BCA">
        <w:rPr>
          <w:rtl/>
        </w:rPr>
        <w:tab/>
        <w:t>آراء اعتمدتها اللجنة بموجب المادة 5(</w:t>
      </w:r>
      <w:r w:rsidR="008C50A9" w:rsidRPr="00387BCA">
        <w:rPr>
          <w:rtl/>
        </w:rPr>
        <w:t xml:space="preserve">4) </w:t>
      </w:r>
      <w:r w:rsidRPr="00387BCA">
        <w:rPr>
          <w:rtl/>
        </w:rPr>
        <w:t>من البروتوكول الاختياري، بشأن البلاغ رقم 2847/2016</w:t>
      </w:r>
      <w:r w:rsidR="00675804" w:rsidRPr="00387BCA">
        <w:rPr>
          <w:rtl/>
        </w:rPr>
        <w:footnoteReference w:customMarkFollows="1" w:id="1"/>
        <w:t>*</w:t>
      </w:r>
      <w:r w:rsidR="00675804" w:rsidRPr="00387BCA">
        <w:rPr>
          <w:rFonts w:hint="cs"/>
          <w:rtl/>
        </w:rPr>
        <w:t xml:space="preserve"> </w:t>
      </w:r>
      <w:r w:rsidR="00675804" w:rsidRPr="00387BCA">
        <w:rPr>
          <w:rtl/>
        </w:rPr>
        <w:footnoteReference w:customMarkFollows="1" w:id="2"/>
        <w:t>**</w:t>
      </w:r>
    </w:p>
    <w:p w14:paraId="0662758F" w14:textId="0A324A26" w:rsidR="00AD7A2C" w:rsidRPr="00B22ED9" w:rsidRDefault="00AD7A2C" w:rsidP="001A3838">
      <w:pPr>
        <w:pStyle w:val="SingleTxtGA"/>
        <w:tabs>
          <w:tab w:val="clear" w:pos="1928"/>
          <w:tab w:val="clear" w:pos="2608"/>
          <w:tab w:val="clear" w:pos="3289"/>
          <w:tab w:val="clear" w:pos="3969"/>
          <w:tab w:val="clear" w:pos="4649"/>
          <w:tab w:val="clear" w:pos="5330"/>
        </w:tabs>
        <w:ind w:left="4649" w:hanging="2721"/>
        <w:rPr>
          <w:lang w:val="en-US"/>
        </w:rPr>
      </w:pPr>
      <w:r w:rsidRPr="00387BCA">
        <w:rPr>
          <w:i/>
          <w:iCs/>
          <w:rtl/>
        </w:rPr>
        <w:t>بلاغ مقدم من</w:t>
      </w:r>
      <w:r w:rsidR="001A3838" w:rsidRPr="00387BCA">
        <w:rPr>
          <w:i/>
          <w:iCs/>
          <w:rtl/>
        </w:rPr>
        <w:t>:</w:t>
      </w:r>
      <w:r w:rsidR="001A3838">
        <w:rPr>
          <w:rtl/>
        </w:rPr>
        <w:tab/>
      </w:r>
      <w:r w:rsidRPr="001A3838">
        <w:rPr>
          <w:rtl/>
        </w:rPr>
        <w:t>فيتالي غولياك (لا يمثله محام)</w:t>
      </w:r>
    </w:p>
    <w:p w14:paraId="0A44B0BD" w14:textId="359DE72E" w:rsidR="00AD7A2C" w:rsidRPr="001A3838" w:rsidRDefault="00AD7A2C" w:rsidP="001A3838">
      <w:pPr>
        <w:pStyle w:val="SingleTxtGA"/>
        <w:tabs>
          <w:tab w:val="clear" w:pos="1928"/>
          <w:tab w:val="clear" w:pos="2608"/>
          <w:tab w:val="clear" w:pos="3289"/>
          <w:tab w:val="clear" w:pos="3969"/>
          <w:tab w:val="clear" w:pos="4649"/>
          <w:tab w:val="clear" w:pos="5330"/>
        </w:tabs>
        <w:ind w:left="4649" w:hanging="2721"/>
      </w:pPr>
      <w:r w:rsidRPr="00387BCA">
        <w:rPr>
          <w:i/>
          <w:iCs/>
          <w:rtl/>
        </w:rPr>
        <w:t>الشخص المدعى أنه ضحية</w:t>
      </w:r>
      <w:r w:rsidR="001A3838" w:rsidRPr="00387BCA">
        <w:rPr>
          <w:i/>
          <w:iCs/>
          <w:rtl/>
        </w:rPr>
        <w:t>:</w:t>
      </w:r>
      <w:r w:rsidR="001A3838">
        <w:rPr>
          <w:rtl/>
        </w:rPr>
        <w:tab/>
      </w:r>
      <w:r w:rsidRPr="001A3838">
        <w:rPr>
          <w:rtl/>
        </w:rPr>
        <w:t>صاحب البلاغ</w:t>
      </w:r>
      <w:r w:rsidR="00F21ED3">
        <w:rPr>
          <w:rFonts w:hint="cs"/>
          <w:rtl/>
        </w:rPr>
        <w:t xml:space="preserve"> </w:t>
      </w:r>
    </w:p>
    <w:p w14:paraId="083D0892" w14:textId="46D0E573" w:rsidR="00AD7A2C" w:rsidRPr="001A3838" w:rsidRDefault="00AD7A2C" w:rsidP="001A3838">
      <w:pPr>
        <w:pStyle w:val="SingleTxtGA"/>
        <w:tabs>
          <w:tab w:val="clear" w:pos="1928"/>
          <w:tab w:val="clear" w:pos="2608"/>
          <w:tab w:val="clear" w:pos="3289"/>
          <w:tab w:val="clear" w:pos="3969"/>
          <w:tab w:val="clear" w:pos="4649"/>
          <w:tab w:val="clear" w:pos="5330"/>
        </w:tabs>
        <w:ind w:left="4649" w:hanging="2721"/>
      </w:pPr>
      <w:r w:rsidRPr="00387BCA">
        <w:rPr>
          <w:i/>
          <w:iCs/>
          <w:rtl/>
        </w:rPr>
        <w:t>الدولة الطرف</w:t>
      </w:r>
      <w:r w:rsidR="001A3838" w:rsidRPr="00387BCA">
        <w:rPr>
          <w:i/>
          <w:iCs/>
          <w:rtl/>
        </w:rPr>
        <w:t>:</w:t>
      </w:r>
      <w:r w:rsidR="001A3838">
        <w:rPr>
          <w:rtl/>
        </w:rPr>
        <w:tab/>
      </w:r>
      <w:r w:rsidRPr="001A3838">
        <w:rPr>
          <w:rtl/>
        </w:rPr>
        <w:t>بيلاروس</w:t>
      </w:r>
    </w:p>
    <w:p w14:paraId="287E8E93" w14:textId="3EB33E29" w:rsidR="00AD7A2C" w:rsidRPr="001A3838" w:rsidRDefault="00AD7A2C" w:rsidP="001A3838">
      <w:pPr>
        <w:pStyle w:val="SingleTxtGA"/>
        <w:tabs>
          <w:tab w:val="clear" w:pos="1928"/>
          <w:tab w:val="clear" w:pos="2608"/>
          <w:tab w:val="clear" w:pos="3289"/>
          <w:tab w:val="clear" w:pos="3969"/>
          <w:tab w:val="clear" w:pos="4649"/>
          <w:tab w:val="clear" w:pos="5330"/>
        </w:tabs>
        <w:ind w:left="4649" w:hanging="2721"/>
      </w:pPr>
      <w:r w:rsidRPr="00387BCA">
        <w:rPr>
          <w:i/>
          <w:iCs/>
          <w:rtl/>
        </w:rPr>
        <w:t>تاريخ تقديم البلاغ</w:t>
      </w:r>
      <w:r w:rsidR="001A3838" w:rsidRPr="00387BCA">
        <w:rPr>
          <w:i/>
          <w:iCs/>
          <w:rtl/>
        </w:rPr>
        <w:t>:</w:t>
      </w:r>
      <w:r w:rsidR="001A3838">
        <w:rPr>
          <w:rtl/>
        </w:rPr>
        <w:tab/>
      </w:r>
      <w:r w:rsidRPr="00387BCA">
        <w:rPr>
          <w:rtl/>
        </w:rPr>
        <w:t>12</w:t>
      </w:r>
      <w:r w:rsidRPr="001A3838">
        <w:rPr>
          <w:rtl/>
        </w:rPr>
        <w:t xml:space="preserve"> آذار/مارس </w:t>
      </w:r>
      <w:r w:rsidRPr="00387BCA">
        <w:rPr>
          <w:rtl/>
        </w:rPr>
        <w:t>2015</w:t>
      </w:r>
      <w:r w:rsidRPr="001A3838">
        <w:rPr>
          <w:rtl/>
        </w:rPr>
        <w:t xml:space="preserve"> (تاريخ الرسالة الأولى)</w:t>
      </w:r>
    </w:p>
    <w:p w14:paraId="1A306676" w14:textId="2D3A5D95" w:rsidR="00AD7A2C" w:rsidRPr="001A3838" w:rsidRDefault="00AD7A2C" w:rsidP="001A3838">
      <w:pPr>
        <w:pStyle w:val="SingleTxtGA"/>
        <w:tabs>
          <w:tab w:val="clear" w:pos="1928"/>
          <w:tab w:val="clear" w:pos="2608"/>
          <w:tab w:val="clear" w:pos="3289"/>
          <w:tab w:val="clear" w:pos="3969"/>
          <w:tab w:val="clear" w:pos="4649"/>
          <w:tab w:val="clear" w:pos="5330"/>
        </w:tabs>
        <w:ind w:left="4649" w:hanging="2721"/>
      </w:pPr>
      <w:r w:rsidRPr="00387BCA">
        <w:rPr>
          <w:i/>
          <w:iCs/>
          <w:rtl/>
        </w:rPr>
        <w:t>الوثائق المرجعية</w:t>
      </w:r>
      <w:r w:rsidR="001A3838" w:rsidRPr="00387BCA">
        <w:rPr>
          <w:i/>
          <w:iCs/>
          <w:rtl/>
        </w:rPr>
        <w:t>:</w:t>
      </w:r>
      <w:r w:rsidR="001A3838">
        <w:rPr>
          <w:rtl/>
        </w:rPr>
        <w:tab/>
      </w:r>
      <w:r w:rsidRPr="001A3838">
        <w:rPr>
          <w:rtl/>
        </w:rPr>
        <w:t xml:space="preserve">القرار المتخذ بموجب المادة </w:t>
      </w:r>
      <w:r w:rsidRPr="00387BCA">
        <w:rPr>
          <w:rtl/>
        </w:rPr>
        <w:t>92</w:t>
      </w:r>
      <w:r w:rsidRPr="001A3838">
        <w:rPr>
          <w:rtl/>
        </w:rPr>
        <w:t xml:space="preserve"> من النظام الداخلي للجنة، والمحال إلى الدولة الطرف في </w:t>
      </w:r>
      <w:r w:rsidRPr="00387BCA">
        <w:rPr>
          <w:rtl/>
        </w:rPr>
        <w:t>8</w:t>
      </w:r>
      <w:r w:rsidRPr="001A3838">
        <w:rPr>
          <w:rtl/>
        </w:rPr>
        <w:t xml:space="preserve"> تشرين الثاني/</w:t>
      </w:r>
      <w:r w:rsidR="00842DAE">
        <w:rPr>
          <w:rFonts w:hint="cs"/>
          <w:rtl/>
        </w:rPr>
        <w:t xml:space="preserve"> </w:t>
      </w:r>
      <w:r w:rsidRPr="001A3838">
        <w:rPr>
          <w:rtl/>
        </w:rPr>
        <w:t xml:space="preserve">نوفمبر </w:t>
      </w:r>
      <w:r w:rsidRPr="00387BCA">
        <w:rPr>
          <w:rtl/>
        </w:rPr>
        <w:t>2016</w:t>
      </w:r>
      <w:r w:rsidRPr="001A3838">
        <w:rPr>
          <w:rtl/>
        </w:rPr>
        <w:t xml:space="preserve"> (لم يصدر في شكل وثيقة)</w:t>
      </w:r>
    </w:p>
    <w:p w14:paraId="4DD7742A" w14:textId="57C970AE" w:rsidR="00AD7A2C" w:rsidRPr="001A3838" w:rsidRDefault="00AD7A2C" w:rsidP="001A3838">
      <w:pPr>
        <w:pStyle w:val="SingleTxtGA"/>
        <w:tabs>
          <w:tab w:val="clear" w:pos="1928"/>
          <w:tab w:val="clear" w:pos="2608"/>
          <w:tab w:val="clear" w:pos="3289"/>
          <w:tab w:val="clear" w:pos="3969"/>
          <w:tab w:val="clear" w:pos="4649"/>
          <w:tab w:val="clear" w:pos="5330"/>
        </w:tabs>
        <w:ind w:left="4649" w:hanging="2721"/>
      </w:pPr>
      <w:r w:rsidRPr="00387BCA">
        <w:rPr>
          <w:i/>
          <w:iCs/>
          <w:rtl/>
        </w:rPr>
        <w:t>تاريخ اعتماد الآراء</w:t>
      </w:r>
      <w:r w:rsidR="001A3838" w:rsidRPr="00387BCA">
        <w:rPr>
          <w:i/>
          <w:iCs/>
          <w:rtl/>
        </w:rPr>
        <w:t>:</w:t>
      </w:r>
      <w:r w:rsidR="001A3838">
        <w:rPr>
          <w:rtl/>
        </w:rPr>
        <w:tab/>
      </w:r>
      <w:r w:rsidRPr="00387BCA">
        <w:rPr>
          <w:rtl/>
        </w:rPr>
        <w:t>27</w:t>
      </w:r>
      <w:r w:rsidRPr="001A3838">
        <w:rPr>
          <w:rtl/>
        </w:rPr>
        <w:t xml:space="preserve"> تموز/يوليه </w:t>
      </w:r>
      <w:r w:rsidRPr="00387BCA">
        <w:rPr>
          <w:rtl/>
        </w:rPr>
        <w:t>2022</w:t>
      </w:r>
    </w:p>
    <w:p w14:paraId="5D904B0B" w14:textId="6EC412D9" w:rsidR="00AD7A2C" w:rsidRPr="001A3838" w:rsidRDefault="00AD7A2C" w:rsidP="001A3838">
      <w:pPr>
        <w:pStyle w:val="SingleTxtGA"/>
        <w:tabs>
          <w:tab w:val="clear" w:pos="1928"/>
          <w:tab w:val="clear" w:pos="2608"/>
          <w:tab w:val="clear" w:pos="3289"/>
          <w:tab w:val="clear" w:pos="3969"/>
          <w:tab w:val="clear" w:pos="4649"/>
          <w:tab w:val="clear" w:pos="5330"/>
        </w:tabs>
        <w:ind w:left="4649" w:hanging="2721"/>
      </w:pPr>
      <w:r w:rsidRPr="00387BCA">
        <w:rPr>
          <w:i/>
          <w:iCs/>
          <w:rtl/>
        </w:rPr>
        <w:t>الموضوع</w:t>
      </w:r>
      <w:r w:rsidR="001A3838" w:rsidRPr="00387BCA">
        <w:rPr>
          <w:i/>
          <w:iCs/>
          <w:rtl/>
        </w:rPr>
        <w:t>:</w:t>
      </w:r>
      <w:r w:rsidR="001A3838">
        <w:rPr>
          <w:rtl/>
        </w:rPr>
        <w:tab/>
      </w:r>
      <w:r w:rsidRPr="001A3838">
        <w:rPr>
          <w:rtl/>
        </w:rPr>
        <w:t>رفض الترخيص لاجتماعات عامة؛ التغريم بسبب تنظيم اعتصام فردي غير مرخص له</w:t>
      </w:r>
    </w:p>
    <w:p w14:paraId="039BD265" w14:textId="22BAD8F6" w:rsidR="00AD7A2C" w:rsidRPr="001A3838" w:rsidRDefault="00AD7A2C" w:rsidP="001A3838">
      <w:pPr>
        <w:pStyle w:val="SingleTxtGA"/>
        <w:tabs>
          <w:tab w:val="clear" w:pos="1928"/>
          <w:tab w:val="clear" w:pos="2608"/>
          <w:tab w:val="clear" w:pos="3289"/>
          <w:tab w:val="clear" w:pos="3969"/>
          <w:tab w:val="clear" w:pos="4649"/>
          <w:tab w:val="clear" w:pos="5330"/>
        </w:tabs>
        <w:ind w:left="4649" w:hanging="2721"/>
      </w:pPr>
      <w:r w:rsidRPr="00387BCA">
        <w:rPr>
          <w:i/>
          <w:iCs/>
          <w:rtl/>
        </w:rPr>
        <w:t>المسائل الإجرائية</w:t>
      </w:r>
      <w:r w:rsidR="001A3838" w:rsidRPr="00387BCA">
        <w:rPr>
          <w:i/>
          <w:iCs/>
          <w:rtl/>
        </w:rPr>
        <w:t>:</w:t>
      </w:r>
      <w:r w:rsidR="001A3838">
        <w:rPr>
          <w:rtl/>
        </w:rPr>
        <w:tab/>
      </w:r>
      <w:r w:rsidRPr="001A3838">
        <w:rPr>
          <w:rtl/>
        </w:rPr>
        <w:t>استنفاد سبل الانتصاف الداخلية</w:t>
      </w:r>
    </w:p>
    <w:p w14:paraId="0BE327AA" w14:textId="35C94818" w:rsidR="00AD7A2C" w:rsidRPr="001A3838" w:rsidRDefault="00AD7A2C" w:rsidP="001A3838">
      <w:pPr>
        <w:pStyle w:val="SingleTxtGA"/>
        <w:tabs>
          <w:tab w:val="clear" w:pos="1928"/>
          <w:tab w:val="clear" w:pos="2608"/>
          <w:tab w:val="clear" w:pos="3289"/>
          <w:tab w:val="clear" w:pos="3969"/>
          <w:tab w:val="clear" w:pos="4649"/>
          <w:tab w:val="clear" w:pos="5330"/>
        </w:tabs>
        <w:ind w:left="4649" w:hanging="2721"/>
      </w:pPr>
      <w:r w:rsidRPr="00387BCA">
        <w:rPr>
          <w:i/>
          <w:iCs/>
          <w:rtl/>
        </w:rPr>
        <w:t>المسائل الموضوعية</w:t>
      </w:r>
      <w:r w:rsidR="001A3838" w:rsidRPr="00387BCA">
        <w:rPr>
          <w:i/>
          <w:iCs/>
          <w:rtl/>
        </w:rPr>
        <w:t>:</w:t>
      </w:r>
      <w:r w:rsidR="001A3838">
        <w:rPr>
          <w:rtl/>
        </w:rPr>
        <w:tab/>
      </w:r>
      <w:r w:rsidRPr="001A3838">
        <w:rPr>
          <w:rtl/>
        </w:rPr>
        <w:t>حرية التجمع؛ حرية التعبير</w:t>
      </w:r>
    </w:p>
    <w:p w14:paraId="2475565D" w14:textId="2B2C0E50" w:rsidR="00AD7A2C" w:rsidRPr="001A3838" w:rsidRDefault="00AD7A2C" w:rsidP="001A3838">
      <w:pPr>
        <w:pStyle w:val="SingleTxtGA"/>
        <w:tabs>
          <w:tab w:val="clear" w:pos="1928"/>
          <w:tab w:val="clear" w:pos="2608"/>
          <w:tab w:val="clear" w:pos="3289"/>
          <w:tab w:val="clear" w:pos="3969"/>
          <w:tab w:val="clear" w:pos="4649"/>
          <w:tab w:val="clear" w:pos="5330"/>
        </w:tabs>
        <w:ind w:left="4649" w:hanging="2721"/>
      </w:pPr>
      <w:r w:rsidRPr="00387BCA">
        <w:rPr>
          <w:i/>
          <w:iCs/>
          <w:rtl/>
        </w:rPr>
        <w:t>مواد العهد</w:t>
      </w:r>
      <w:r w:rsidR="001A3838" w:rsidRPr="00387BCA">
        <w:rPr>
          <w:i/>
          <w:iCs/>
          <w:rtl/>
        </w:rPr>
        <w:t>:</w:t>
      </w:r>
      <w:r w:rsidR="001A3838">
        <w:rPr>
          <w:rtl/>
        </w:rPr>
        <w:tab/>
      </w:r>
      <w:r w:rsidRPr="00387BCA">
        <w:rPr>
          <w:rtl/>
        </w:rPr>
        <w:t>19</w:t>
      </w:r>
      <w:r w:rsidRPr="001A3838">
        <w:rPr>
          <w:rtl/>
        </w:rPr>
        <w:t xml:space="preserve"> و</w:t>
      </w:r>
      <w:r w:rsidRPr="00387BCA">
        <w:rPr>
          <w:rtl/>
        </w:rPr>
        <w:t>21</w:t>
      </w:r>
    </w:p>
    <w:p w14:paraId="447EEAB4" w14:textId="607A9F13" w:rsidR="00AD7A2C" w:rsidRPr="001A3838" w:rsidRDefault="00AD7A2C" w:rsidP="001A3838">
      <w:pPr>
        <w:pStyle w:val="SingleTxtGA"/>
        <w:tabs>
          <w:tab w:val="clear" w:pos="1928"/>
          <w:tab w:val="clear" w:pos="2608"/>
          <w:tab w:val="clear" w:pos="3289"/>
          <w:tab w:val="clear" w:pos="3969"/>
          <w:tab w:val="clear" w:pos="4649"/>
          <w:tab w:val="clear" w:pos="5330"/>
        </w:tabs>
        <w:ind w:left="4649" w:hanging="2721"/>
      </w:pPr>
      <w:r w:rsidRPr="00387BCA">
        <w:rPr>
          <w:i/>
          <w:iCs/>
          <w:rtl/>
        </w:rPr>
        <w:t>مواد البروتوكول الاختياري</w:t>
      </w:r>
      <w:r w:rsidR="001A3838" w:rsidRPr="00387BCA">
        <w:rPr>
          <w:i/>
          <w:iCs/>
          <w:rtl/>
        </w:rPr>
        <w:t>:</w:t>
      </w:r>
      <w:r w:rsidR="001A3838">
        <w:rPr>
          <w:rtl/>
        </w:rPr>
        <w:tab/>
      </w:r>
      <w:r w:rsidRPr="00387BCA">
        <w:rPr>
          <w:rtl/>
        </w:rPr>
        <w:t>2</w:t>
      </w:r>
      <w:r w:rsidRPr="001A3838">
        <w:rPr>
          <w:rtl/>
        </w:rPr>
        <w:t xml:space="preserve"> و</w:t>
      </w:r>
      <w:r w:rsidRPr="00387BCA">
        <w:rPr>
          <w:rtl/>
        </w:rPr>
        <w:t>5</w:t>
      </w:r>
      <w:r w:rsidRPr="001A3838">
        <w:rPr>
          <w:rtl/>
        </w:rPr>
        <w:t>(</w:t>
      </w:r>
      <w:r w:rsidRPr="00387BCA">
        <w:rPr>
          <w:rtl/>
        </w:rPr>
        <w:t>2</w:t>
      </w:r>
      <w:r w:rsidRPr="001A3838">
        <w:rPr>
          <w:rtl/>
        </w:rPr>
        <w:t>)(ب)</w:t>
      </w:r>
    </w:p>
    <w:p w14:paraId="53FEC8B7" w14:textId="1EE8BBBF" w:rsidR="00AD7A2C" w:rsidRPr="008F6CBB" w:rsidRDefault="00AD7A2C" w:rsidP="0078764B">
      <w:pPr>
        <w:pStyle w:val="SingleTxtGA"/>
        <w:rPr>
          <w:spacing w:val="-4"/>
          <w:lang w:val="ar-SA" w:eastAsia="zh-TW" w:bidi="en-GB"/>
        </w:rPr>
      </w:pPr>
      <w:r w:rsidRPr="00387BCA">
        <w:rPr>
          <w:spacing w:val="-4"/>
          <w:rtl/>
        </w:rPr>
        <w:t>1</w:t>
      </w:r>
      <w:r w:rsidRPr="008F6CBB">
        <w:rPr>
          <w:spacing w:val="-4"/>
          <w:rtl/>
        </w:rPr>
        <w:t>-</w:t>
      </w:r>
      <w:r w:rsidRPr="008F6CBB">
        <w:rPr>
          <w:spacing w:val="-4"/>
          <w:rtl/>
        </w:rPr>
        <w:tab/>
        <w:t>صاحب البلاغ هو فيتالي غولياك، وهو</w:t>
      </w:r>
      <w:r w:rsidR="008C50A9" w:rsidRPr="008F6CBB">
        <w:rPr>
          <w:rFonts w:hint="cs"/>
          <w:spacing w:val="-4"/>
          <w:rtl/>
        </w:rPr>
        <w:t xml:space="preserve"> </w:t>
      </w:r>
      <w:r w:rsidRPr="008F6CBB">
        <w:rPr>
          <w:spacing w:val="-4"/>
          <w:rtl/>
        </w:rPr>
        <w:t xml:space="preserve">مواطن من بيلاروس مولود في عام </w:t>
      </w:r>
      <w:r w:rsidRPr="00387BCA">
        <w:rPr>
          <w:spacing w:val="-4"/>
          <w:rtl/>
        </w:rPr>
        <w:t>198</w:t>
      </w:r>
      <w:r w:rsidR="008C50A9" w:rsidRPr="00387BCA">
        <w:rPr>
          <w:spacing w:val="-4"/>
          <w:rtl/>
        </w:rPr>
        <w:t>3</w:t>
      </w:r>
      <w:r w:rsidR="008C50A9" w:rsidRPr="008F6CBB">
        <w:rPr>
          <w:spacing w:val="-4"/>
          <w:rtl/>
        </w:rPr>
        <w:t xml:space="preserve">. </w:t>
      </w:r>
      <w:r w:rsidRPr="008F6CBB">
        <w:rPr>
          <w:spacing w:val="-4"/>
          <w:rtl/>
        </w:rPr>
        <w:t xml:space="preserve">وهو يدعي أن الدولة الطرف انتهكت حقوقه المكفولة بموجب المادتين </w:t>
      </w:r>
      <w:r w:rsidRPr="00387BCA">
        <w:rPr>
          <w:spacing w:val="-4"/>
          <w:rtl/>
        </w:rPr>
        <w:t>19</w:t>
      </w:r>
      <w:r w:rsidRPr="008F6CBB">
        <w:rPr>
          <w:spacing w:val="-4"/>
          <w:rtl/>
        </w:rPr>
        <w:t xml:space="preserve"> و</w:t>
      </w:r>
      <w:r w:rsidRPr="00387BCA">
        <w:rPr>
          <w:spacing w:val="-4"/>
          <w:rtl/>
        </w:rPr>
        <w:t>21</w:t>
      </w:r>
      <w:r w:rsidRPr="008F6CBB">
        <w:rPr>
          <w:spacing w:val="-4"/>
          <w:rtl/>
        </w:rPr>
        <w:t xml:space="preserve"> من العهد. وقد دخل البروتوكول الاختياري حيز النفاذ بالنسبة للدولة الطرف في </w:t>
      </w:r>
      <w:r w:rsidRPr="00387BCA">
        <w:rPr>
          <w:spacing w:val="-4"/>
          <w:rtl/>
        </w:rPr>
        <w:t>30</w:t>
      </w:r>
      <w:r w:rsidRPr="008F6CBB">
        <w:rPr>
          <w:spacing w:val="-4"/>
          <w:rtl/>
        </w:rPr>
        <w:t xml:space="preserve"> كانون الأول/ديسمبر </w:t>
      </w:r>
      <w:r w:rsidRPr="00387BCA">
        <w:rPr>
          <w:spacing w:val="-4"/>
          <w:rtl/>
        </w:rPr>
        <w:t>199</w:t>
      </w:r>
      <w:r w:rsidR="008C50A9" w:rsidRPr="00387BCA">
        <w:rPr>
          <w:spacing w:val="-4"/>
          <w:rtl/>
        </w:rPr>
        <w:t>2</w:t>
      </w:r>
      <w:r w:rsidR="008C50A9" w:rsidRPr="008F6CBB">
        <w:rPr>
          <w:spacing w:val="-4"/>
          <w:rtl/>
        </w:rPr>
        <w:t xml:space="preserve">. </w:t>
      </w:r>
      <w:r w:rsidRPr="008F6CBB">
        <w:rPr>
          <w:spacing w:val="-4"/>
          <w:rtl/>
        </w:rPr>
        <w:t>ولا يمثل صاحب البلاغ محامٍ.</w:t>
      </w:r>
    </w:p>
    <w:p w14:paraId="7066FFB3" w14:textId="77777777" w:rsidR="00AD7A2C" w:rsidRPr="00387BCA" w:rsidRDefault="00AD7A2C" w:rsidP="0078764B">
      <w:pPr>
        <w:pStyle w:val="H23GA"/>
        <w:rPr>
          <w:lang w:val="ar-SA" w:eastAsia="zh-TW" w:bidi="en-GB"/>
        </w:rPr>
      </w:pPr>
      <w:r w:rsidRPr="00387BCA">
        <w:rPr>
          <w:rtl/>
        </w:rPr>
        <w:lastRenderedPageBreak/>
        <w:tab/>
      </w:r>
      <w:r w:rsidRPr="00387BCA">
        <w:rPr>
          <w:rtl/>
        </w:rPr>
        <w:tab/>
        <w:t>الوقائع كما عرضها صاحب البلاغ</w:t>
      </w:r>
    </w:p>
    <w:p w14:paraId="3A6C7375" w14:textId="77777777" w:rsidR="00AD7A2C" w:rsidRPr="00410704" w:rsidRDefault="00AD7A2C" w:rsidP="0078764B">
      <w:pPr>
        <w:pStyle w:val="SingleTxtGA"/>
      </w:pPr>
      <w:r w:rsidRPr="00387BCA">
        <w:rPr>
          <w:rtl/>
        </w:rPr>
        <w:t>2</w:t>
      </w:r>
      <w:r w:rsidRPr="00410704">
        <w:rPr>
          <w:rtl/>
        </w:rPr>
        <w:t>-</w:t>
      </w:r>
      <w:r w:rsidRPr="00387BCA">
        <w:rPr>
          <w:rtl/>
        </w:rPr>
        <w:t>1</w:t>
      </w:r>
      <w:r w:rsidRPr="00410704">
        <w:rPr>
          <w:rtl/>
        </w:rPr>
        <w:tab/>
        <w:t>يدفع صاحب البلاغ بأن سلطات مدينة فولكوفيسك رفضت منحه ترخيصاً لعقد حدثين عامين في مناسبتين، وبعد ذلك عقد اعتصاماً فردياً غير مرخص له وأدين بارتكاب مخالفة إدارية لانتهاكه الإجراء المعمول به لعقد المناسبات العامة.</w:t>
      </w:r>
    </w:p>
    <w:p w14:paraId="6D962C0A" w14:textId="77777777" w:rsidR="00AD7A2C" w:rsidRPr="00387BCA" w:rsidRDefault="00AD7A2C" w:rsidP="0078764B">
      <w:pPr>
        <w:pStyle w:val="H4GA"/>
        <w:rPr>
          <w:lang w:val="ar-SA" w:eastAsia="zh-TW" w:bidi="en-GB"/>
        </w:rPr>
      </w:pPr>
      <w:r w:rsidRPr="00387BCA">
        <w:rPr>
          <w:rtl/>
        </w:rPr>
        <w:tab/>
      </w:r>
      <w:r w:rsidRPr="00387BCA">
        <w:rPr>
          <w:rtl/>
        </w:rPr>
        <w:tab/>
        <w:t>الظروف المتصلة بطلبات صاحب البلاغ الحصول على ترخيص لعقد مناسبة عامة</w:t>
      </w:r>
    </w:p>
    <w:p w14:paraId="352461FC" w14:textId="77777777" w:rsidR="00AD7A2C" w:rsidRPr="008F6CBB" w:rsidRDefault="00AD7A2C" w:rsidP="0078764B">
      <w:pPr>
        <w:pStyle w:val="SingleTxtGA"/>
        <w:rPr>
          <w:spacing w:val="-4"/>
          <w:lang w:val="ar-SA" w:eastAsia="zh-TW" w:bidi="en-GB"/>
        </w:rPr>
      </w:pPr>
      <w:r w:rsidRPr="00387BCA">
        <w:rPr>
          <w:rtl/>
        </w:rPr>
        <w:t>2</w:t>
      </w:r>
      <w:r w:rsidRPr="00410704">
        <w:rPr>
          <w:rtl/>
        </w:rPr>
        <w:t>-</w:t>
      </w:r>
      <w:r w:rsidRPr="00387BCA">
        <w:rPr>
          <w:rtl/>
        </w:rPr>
        <w:t>2</w:t>
      </w:r>
      <w:r w:rsidRPr="00410704">
        <w:rPr>
          <w:rtl/>
        </w:rPr>
        <w:tab/>
        <w:t xml:space="preserve">في </w:t>
      </w:r>
      <w:r w:rsidRPr="00387BCA">
        <w:rPr>
          <w:rtl/>
        </w:rPr>
        <w:t>9</w:t>
      </w:r>
      <w:r w:rsidRPr="00410704">
        <w:rPr>
          <w:rtl/>
        </w:rPr>
        <w:t xml:space="preserve"> كانون الثاني/يناير </w:t>
      </w:r>
      <w:r w:rsidRPr="00387BCA">
        <w:rPr>
          <w:rtl/>
        </w:rPr>
        <w:t>2014</w:t>
      </w:r>
      <w:r w:rsidRPr="00410704">
        <w:rPr>
          <w:rtl/>
        </w:rPr>
        <w:t xml:space="preserve">، طلب صاحب البلاغ إلى اللجنة التنفيذية لمقاطعة فولكوفيسك إصدار ترخيص لتنظيم مسيرة كان من المقرر عقدها في </w:t>
      </w:r>
      <w:r w:rsidRPr="00387BCA">
        <w:rPr>
          <w:rtl/>
        </w:rPr>
        <w:t>25</w:t>
      </w:r>
      <w:r w:rsidRPr="00410704">
        <w:rPr>
          <w:rtl/>
        </w:rPr>
        <w:t xml:space="preserve"> كانون الثاني/يناير </w:t>
      </w:r>
      <w:r w:rsidRPr="00387BCA">
        <w:rPr>
          <w:rtl/>
        </w:rPr>
        <w:t>2014</w:t>
      </w:r>
      <w:r w:rsidRPr="00410704">
        <w:rPr>
          <w:rtl/>
        </w:rPr>
        <w:t xml:space="preserve">، من الساعة </w:t>
      </w:r>
      <w:r w:rsidRPr="00387BCA">
        <w:rPr>
          <w:rtl/>
        </w:rPr>
        <w:t>12</w:t>
      </w:r>
      <w:r w:rsidRPr="00410704">
        <w:rPr>
          <w:rtl/>
        </w:rPr>
        <w:t xml:space="preserve"> </w:t>
      </w:r>
      <w:r w:rsidRPr="008F6CBB">
        <w:rPr>
          <w:spacing w:val="-4"/>
          <w:rtl/>
        </w:rPr>
        <w:t xml:space="preserve">ظهراً حتى الساعة </w:t>
      </w:r>
      <w:r w:rsidRPr="00387BCA">
        <w:rPr>
          <w:spacing w:val="-4"/>
          <w:rtl/>
        </w:rPr>
        <w:t>3</w:t>
      </w:r>
      <w:r w:rsidRPr="008F6CBB">
        <w:rPr>
          <w:spacing w:val="-4"/>
          <w:rtl/>
        </w:rPr>
        <w:t xml:space="preserve"> عصراً، في منتزه المدينة. وكان الغرض من المسيرة هو دعم اندماج أوكرانيا الأوروبي.</w:t>
      </w:r>
    </w:p>
    <w:p w14:paraId="4FCFDF2E" w14:textId="77777777" w:rsidR="00AD7A2C" w:rsidRPr="00291325" w:rsidRDefault="00AD7A2C" w:rsidP="0078764B">
      <w:pPr>
        <w:pStyle w:val="SingleTxtGA"/>
        <w:rPr>
          <w:lang w:val="ar-SA" w:eastAsia="zh-TW" w:bidi="en-GB"/>
        </w:rPr>
      </w:pPr>
      <w:r w:rsidRPr="00387BCA">
        <w:rPr>
          <w:rtl/>
        </w:rPr>
        <w:t>2</w:t>
      </w:r>
      <w:r w:rsidRPr="00291325">
        <w:rPr>
          <w:rtl/>
        </w:rPr>
        <w:t>-</w:t>
      </w:r>
      <w:r w:rsidRPr="00387BCA">
        <w:rPr>
          <w:rtl/>
        </w:rPr>
        <w:t>3</w:t>
      </w:r>
      <w:r w:rsidRPr="00291325">
        <w:rPr>
          <w:rtl/>
        </w:rPr>
        <w:tab/>
        <w:t xml:space="preserve">وفي </w:t>
      </w:r>
      <w:r w:rsidRPr="00387BCA">
        <w:rPr>
          <w:rtl/>
        </w:rPr>
        <w:t>17</w:t>
      </w:r>
      <w:r w:rsidRPr="00291325">
        <w:rPr>
          <w:rtl/>
        </w:rPr>
        <w:t xml:space="preserve"> كانون الثاني/يناير </w:t>
      </w:r>
      <w:r w:rsidRPr="00387BCA">
        <w:rPr>
          <w:rtl/>
        </w:rPr>
        <w:t>2014</w:t>
      </w:r>
      <w:r w:rsidRPr="00291325">
        <w:rPr>
          <w:rtl/>
        </w:rPr>
        <w:t>، رفضت اللجنة التنفيذية منح ترخيص على أساس أن التشريع</w:t>
      </w:r>
      <w:r>
        <w:rPr>
          <w:rtl/>
        </w:rPr>
        <w:t>ات</w:t>
      </w:r>
      <w:r w:rsidRPr="00291325">
        <w:rPr>
          <w:rtl/>
        </w:rPr>
        <w:t xml:space="preserve"> الساري</w:t>
      </w:r>
      <w:r>
        <w:rPr>
          <w:rtl/>
        </w:rPr>
        <w:t>ة</w:t>
      </w:r>
      <w:r w:rsidRPr="00291325">
        <w:rPr>
          <w:rtl/>
        </w:rPr>
        <w:t xml:space="preserve"> لا </w:t>
      </w:r>
      <w:r>
        <w:rPr>
          <w:rtl/>
        </w:rPr>
        <w:t>تتناول</w:t>
      </w:r>
      <w:r w:rsidRPr="00291325">
        <w:rPr>
          <w:rtl/>
        </w:rPr>
        <w:t xml:space="preserve"> تنظيم </w:t>
      </w:r>
      <w:r>
        <w:rPr>
          <w:rtl/>
        </w:rPr>
        <w:t>ال</w:t>
      </w:r>
      <w:r w:rsidRPr="00291325">
        <w:rPr>
          <w:rtl/>
        </w:rPr>
        <w:t xml:space="preserve">مسيرات في المنتزهات. وأشارت، على وجه الخصوص، إلى أن المادة </w:t>
      </w:r>
      <w:r w:rsidRPr="00387BCA">
        <w:rPr>
          <w:rtl/>
        </w:rPr>
        <w:t>2</w:t>
      </w:r>
      <w:r w:rsidRPr="00291325">
        <w:rPr>
          <w:rtl/>
        </w:rPr>
        <w:t xml:space="preserve"> من قانون المناسبات العامة تعرف المسيرة بأنها حركة جماهيرية منظمة لمجموعة من المواطنين على طول شارع أو طريق أو طريق عريض أو ميدان؛ لذلك، لا يجوز اعتبار منتزه المدينة مكاناً مسموحاً بعقد مسيرة فيه.</w:t>
      </w:r>
      <w:bookmarkStart w:id="0" w:name="_Hlk119054215"/>
      <w:bookmarkEnd w:id="0"/>
    </w:p>
    <w:p w14:paraId="74B1D15B" w14:textId="77777777" w:rsidR="00AD7A2C" w:rsidRPr="00291325" w:rsidRDefault="00AD7A2C" w:rsidP="0078764B">
      <w:pPr>
        <w:pStyle w:val="SingleTxtGA"/>
        <w:rPr>
          <w:lang w:val="ar-SA" w:eastAsia="zh-TW" w:bidi="en-GB"/>
        </w:rPr>
      </w:pPr>
      <w:r w:rsidRPr="00387BCA">
        <w:rPr>
          <w:rtl/>
        </w:rPr>
        <w:t>2</w:t>
      </w:r>
      <w:r w:rsidRPr="00291325">
        <w:rPr>
          <w:rtl/>
        </w:rPr>
        <w:t>-</w:t>
      </w:r>
      <w:r w:rsidRPr="00387BCA">
        <w:rPr>
          <w:rtl/>
        </w:rPr>
        <w:t>4</w:t>
      </w:r>
      <w:r w:rsidRPr="00291325">
        <w:rPr>
          <w:rtl/>
        </w:rPr>
        <w:tab/>
        <w:t xml:space="preserve">وفي </w:t>
      </w:r>
      <w:r w:rsidRPr="00387BCA">
        <w:rPr>
          <w:rtl/>
        </w:rPr>
        <w:t>27</w:t>
      </w:r>
      <w:r w:rsidRPr="00291325">
        <w:rPr>
          <w:rtl/>
        </w:rPr>
        <w:t xml:space="preserve"> كانون الثاني/يناير </w:t>
      </w:r>
      <w:r w:rsidRPr="00387BCA">
        <w:rPr>
          <w:rtl/>
        </w:rPr>
        <w:t>2014</w:t>
      </w:r>
      <w:r w:rsidRPr="00291325">
        <w:rPr>
          <w:rtl/>
        </w:rPr>
        <w:t xml:space="preserve">، طلب صاحب البلاغ إلى اللجنة التنفيذية أن تأذن بعقد اعتصام في </w:t>
      </w:r>
      <w:r w:rsidRPr="00387BCA">
        <w:rPr>
          <w:rtl/>
        </w:rPr>
        <w:t>19</w:t>
      </w:r>
      <w:r w:rsidRPr="00291325">
        <w:rPr>
          <w:rtl/>
        </w:rPr>
        <w:t xml:space="preserve"> شباط/فبراير </w:t>
      </w:r>
      <w:r w:rsidRPr="00387BCA">
        <w:rPr>
          <w:rtl/>
        </w:rPr>
        <w:t>2014</w:t>
      </w:r>
      <w:r w:rsidRPr="00291325">
        <w:rPr>
          <w:rtl/>
        </w:rPr>
        <w:t xml:space="preserve">، من الساعة </w:t>
      </w:r>
      <w:r w:rsidRPr="00387BCA">
        <w:rPr>
          <w:rtl/>
        </w:rPr>
        <w:t>12</w:t>
      </w:r>
      <w:r w:rsidRPr="00291325">
        <w:rPr>
          <w:rtl/>
        </w:rPr>
        <w:t xml:space="preserve"> ظهراً حتى الساعة </w:t>
      </w:r>
      <w:r w:rsidRPr="00387BCA">
        <w:rPr>
          <w:rtl/>
        </w:rPr>
        <w:t>6</w:t>
      </w:r>
      <w:r w:rsidRPr="00291325">
        <w:rPr>
          <w:rtl/>
        </w:rPr>
        <w:t xml:space="preserve"> مساءً، في منتزه المدينة، بحضور ما يصل إلى </w:t>
      </w:r>
      <w:r w:rsidRPr="00387BCA">
        <w:rPr>
          <w:rtl/>
        </w:rPr>
        <w:t>10</w:t>
      </w:r>
      <w:r w:rsidRPr="00291325">
        <w:rPr>
          <w:rtl/>
        </w:rPr>
        <w:t xml:space="preserve"> مشاركين. وكان الغرض من الاعتصام هو الإعراب عن التضامن مع شعب أوكرانيا في رغبته في العيش في دولة حرة</w:t>
      </w:r>
      <w:r>
        <w:rPr>
          <w:rtl/>
        </w:rPr>
        <w:t xml:space="preserve"> تتصدى</w:t>
      </w:r>
      <w:r w:rsidRPr="00291325">
        <w:rPr>
          <w:rtl/>
        </w:rPr>
        <w:t xml:space="preserve"> </w:t>
      </w:r>
      <w:r>
        <w:rPr>
          <w:rtl/>
        </w:rPr>
        <w:t>ل</w:t>
      </w:r>
      <w:r w:rsidRPr="00291325">
        <w:rPr>
          <w:rtl/>
        </w:rPr>
        <w:t>لقتل والعنف والوحشية.</w:t>
      </w:r>
    </w:p>
    <w:p w14:paraId="64B9949B" w14:textId="77777777" w:rsidR="00AD7A2C" w:rsidRPr="00291325" w:rsidRDefault="00AD7A2C" w:rsidP="0078764B">
      <w:pPr>
        <w:pStyle w:val="SingleTxtGA"/>
        <w:rPr>
          <w:lang w:val="ar-SA" w:eastAsia="zh-TW" w:bidi="en-GB"/>
        </w:rPr>
      </w:pPr>
      <w:r w:rsidRPr="00387BCA">
        <w:rPr>
          <w:rtl/>
        </w:rPr>
        <w:t>2</w:t>
      </w:r>
      <w:r w:rsidRPr="00291325">
        <w:rPr>
          <w:rtl/>
        </w:rPr>
        <w:t>-</w:t>
      </w:r>
      <w:r w:rsidRPr="00387BCA">
        <w:rPr>
          <w:rtl/>
        </w:rPr>
        <w:t>5</w:t>
      </w:r>
      <w:r w:rsidRPr="00291325">
        <w:rPr>
          <w:rtl/>
        </w:rPr>
        <w:tab/>
        <w:t xml:space="preserve">وفي </w:t>
      </w:r>
      <w:r w:rsidRPr="00387BCA">
        <w:rPr>
          <w:rtl/>
        </w:rPr>
        <w:t>10</w:t>
      </w:r>
      <w:r w:rsidRPr="00291325">
        <w:rPr>
          <w:rtl/>
        </w:rPr>
        <w:t xml:space="preserve"> شباط/فبراير </w:t>
      </w:r>
      <w:r w:rsidRPr="00387BCA">
        <w:rPr>
          <w:rtl/>
        </w:rPr>
        <w:t>2014</w:t>
      </w:r>
      <w:r w:rsidRPr="00291325">
        <w:rPr>
          <w:rtl/>
        </w:rPr>
        <w:t>، رفضت اللجنة التنفيذية الطلب على أساس أن صاحب البلاغ لم يمتثل مقتضيات قانون المناسبات العامة ولم يقدم في طلبه معلومات عن قائمة التدابير الرامية إلى كفالة الحفاظ على النظام العام والسلامة وتقديم الخدمات الطبية أثناء الحدث وتنظيف الموقع بعد انتهائه.</w:t>
      </w:r>
    </w:p>
    <w:p w14:paraId="3E86E496" w14:textId="75D8B3EA" w:rsidR="00AD7A2C" w:rsidRPr="00291325" w:rsidRDefault="00AD7A2C" w:rsidP="0078764B">
      <w:pPr>
        <w:pStyle w:val="SingleTxtGA"/>
        <w:rPr>
          <w:lang w:val="ar-SA" w:eastAsia="zh-TW" w:bidi="en-GB"/>
        </w:rPr>
      </w:pPr>
      <w:r w:rsidRPr="00387BCA">
        <w:rPr>
          <w:rtl/>
        </w:rPr>
        <w:t>2</w:t>
      </w:r>
      <w:r w:rsidRPr="00291325">
        <w:rPr>
          <w:rtl/>
        </w:rPr>
        <w:t>-</w:t>
      </w:r>
      <w:r w:rsidRPr="00387BCA">
        <w:rPr>
          <w:rtl/>
        </w:rPr>
        <w:t>6</w:t>
      </w:r>
      <w:r w:rsidRPr="00291325">
        <w:rPr>
          <w:rtl/>
        </w:rPr>
        <w:tab/>
        <w:t>وطعن صاحب البلاغ في رفضي اللجنة التنفيذية</w:t>
      </w:r>
      <w:r>
        <w:rPr>
          <w:rtl/>
        </w:rPr>
        <w:t xml:space="preserve"> الصادرين</w:t>
      </w:r>
      <w:r w:rsidRPr="00291325">
        <w:rPr>
          <w:rtl/>
        </w:rPr>
        <w:t xml:space="preserve"> في </w:t>
      </w:r>
      <w:r w:rsidRPr="00387BCA">
        <w:rPr>
          <w:rtl/>
        </w:rPr>
        <w:t>17</w:t>
      </w:r>
      <w:r w:rsidRPr="00291325">
        <w:rPr>
          <w:rtl/>
        </w:rPr>
        <w:t xml:space="preserve"> كانون الثاني/يناير و</w:t>
      </w:r>
      <w:r w:rsidRPr="00387BCA">
        <w:rPr>
          <w:rtl/>
        </w:rPr>
        <w:t>10</w:t>
      </w:r>
      <w:r w:rsidRPr="00291325">
        <w:rPr>
          <w:rtl/>
        </w:rPr>
        <w:t xml:space="preserve"> شباط/فبراير </w:t>
      </w:r>
      <w:r w:rsidRPr="00387BCA">
        <w:rPr>
          <w:rtl/>
        </w:rPr>
        <w:t>2014</w:t>
      </w:r>
      <w:r w:rsidRPr="00291325">
        <w:rPr>
          <w:rtl/>
        </w:rPr>
        <w:t xml:space="preserve"> أمام محكمة فولكوفيسك المحلية، </w:t>
      </w:r>
      <w:r>
        <w:rPr>
          <w:rtl/>
        </w:rPr>
        <w:t>مدعيا</w:t>
      </w:r>
      <w:r w:rsidR="002045C2">
        <w:rPr>
          <w:rFonts w:hint="cs"/>
          <w:rtl/>
        </w:rPr>
        <w:t>ً</w:t>
      </w:r>
      <w:r w:rsidRPr="00291325">
        <w:rPr>
          <w:rtl/>
        </w:rPr>
        <w:t xml:space="preserve"> أنهما يشكلان انتهاكاً لحقه في حرية التعبير والتجمع السلمي الذي يكفله دستور بيلاروس والمادتان </w:t>
      </w:r>
      <w:r w:rsidRPr="00387BCA">
        <w:rPr>
          <w:rtl/>
        </w:rPr>
        <w:t>19</w:t>
      </w:r>
      <w:r w:rsidRPr="00291325">
        <w:rPr>
          <w:rtl/>
        </w:rPr>
        <w:t xml:space="preserve"> و</w:t>
      </w:r>
      <w:r w:rsidRPr="00387BCA">
        <w:rPr>
          <w:rtl/>
        </w:rPr>
        <w:t>21</w:t>
      </w:r>
      <w:r w:rsidRPr="00291325">
        <w:rPr>
          <w:rtl/>
        </w:rPr>
        <w:t xml:space="preserve"> من العهد.</w:t>
      </w:r>
    </w:p>
    <w:p w14:paraId="57FC2602" w14:textId="77777777" w:rsidR="00AD7A2C" w:rsidRPr="00291325" w:rsidRDefault="00AD7A2C" w:rsidP="0078764B">
      <w:pPr>
        <w:pStyle w:val="SingleTxtGA"/>
        <w:rPr>
          <w:lang w:val="ar-SA" w:eastAsia="zh-TW" w:bidi="en-GB"/>
        </w:rPr>
      </w:pPr>
      <w:r w:rsidRPr="00387BCA">
        <w:rPr>
          <w:rtl/>
        </w:rPr>
        <w:t>2</w:t>
      </w:r>
      <w:r w:rsidRPr="00291325">
        <w:rPr>
          <w:rtl/>
        </w:rPr>
        <w:t>-</w:t>
      </w:r>
      <w:r w:rsidRPr="00387BCA">
        <w:rPr>
          <w:rtl/>
        </w:rPr>
        <w:t>7</w:t>
      </w:r>
      <w:r w:rsidRPr="00291325">
        <w:rPr>
          <w:rtl/>
        </w:rPr>
        <w:tab/>
        <w:t xml:space="preserve">وفي </w:t>
      </w:r>
      <w:r w:rsidRPr="00387BCA">
        <w:rPr>
          <w:rtl/>
        </w:rPr>
        <w:t>19</w:t>
      </w:r>
      <w:r w:rsidRPr="00291325">
        <w:rPr>
          <w:rtl/>
        </w:rPr>
        <w:t xml:space="preserve"> آذار/مارس </w:t>
      </w:r>
      <w:r w:rsidRPr="00387BCA">
        <w:rPr>
          <w:rtl/>
        </w:rPr>
        <w:t>2014</w:t>
      </w:r>
      <w:r w:rsidRPr="00291325">
        <w:rPr>
          <w:rtl/>
        </w:rPr>
        <w:t>، رفضت المحكمة المحلية الشكوى، بعد أن خلصت إلى أن القرارين المطعون فيهما يتفقان مع الأحكام ذات الصلة من التشريعات المحلية.</w:t>
      </w:r>
    </w:p>
    <w:p w14:paraId="7F4AFA8E" w14:textId="5219DEBF" w:rsidR="00AD7A2C" w:rsidRPr="00291325" w:rsidRDefault="00AD7A2C" w:rsidP="0078764B">
      <w:pPr>
        <w:pStyle w:val="SingleTxtGA"/>
        <w:rPr>
          <w:lang w:val="ar-SA" w:eastAsia="zh-TW" w:bidi="en-GB"/>
        </w:rPr>
      </w:pPr>
      <w:r w:rsidRPr="00387BCA">
        <w:rPr>
          <w:rtl/>
        </w:rPr>
        <w:t>2</w:t>
      </w:r>
      <w:r w:rsidRPr="00291325">
        <w:rPr>
          <w:rtl/>
        </w:rPr>
        <w:t>-</w:t>
      </w:r>
      <w:r w:rsidRPr="00387BCA">
        <w:rPr>
          <w:rtl/>
        </w:rPr>
        <w:t>8</w:t>
      </w:r>
      <w:r w:rsidRPr="00291325">
        <w:rPr>
          <w:rtl/>
        </w:rPr>
        <w:tab/>
        <w:t xml:space="preserve">وقدم صاحب البلاغ طعناً بالنقض إلى محكمة غرودنو الإقليمية، ورفض هذا الطعن في </w:t>
      </w:r>
      <w:r w:rsidRPr="00387BCA">
        <w:rPr>
          <w:rtl/>
        </w:rPr>
        <w:t>12</w:t>
      </w:r>
      <w:r w:rsidRPr="00291325">
        <w:rPr>
          <w:rtl/>
        </w:rPr>
        <w:t xml:space="preserve"> أيار/مايو </w:t>
      </w:r>
      <w:r w:rsidRPr="00387BCA">
        <w:rPr>
          <w:rtl/>
        </w:rPr>
        <w:t>201</w:t>
      </w:r>
      <w:r w:rsidR="008C50A9" w:rsidRPr="00387BCA">
        <w:rPr>
          <w:rtl/>
        </w:rPr>
        <w:t>4</w:t>
      </w:r>
      <w:r w:rsidR="008C50A9" w:rsidRPr="008C50A9">
        <w:rPr>
          <w:rtl/>
        </w:rPr>
        <w:t xml:space="preserve">. </w:t>
      </w:r>
      <w:r w:rsidRPr="00291325">
        <w:rPr>
          <w:rtl/>
        </w:rPr>
        <w:t xml:space="preserve">ثم طعن في الحكم بموجب إجراء المراجعة الرقابية أمام رئيس محكمة غرودنو الإقليمية. ورُفِض طعنه في </w:t>
      </w:r>
      <w:r w:rsidRPr="00387BCA">
        <w:rPr>
          <w:rtl/>
        </w:rPr>
        <w:t>12</w:t>
      </w:r>
      <w:r w:rsidRPr="00291325">
        <w:rPr>
          <w:rtl/>
        </w:rPr>
        <w:t xml:space="preserve"> تموز/يوليه </w:t>
      </w:r>
      <w:r w:rsidRPr="00387BCA">
        <w:rPr>
          <w:rtl/>
        </w:rPr>
        <w:t>201</w:t>
      </w:r>
      <w:r w:rsidR="008C50A9" w:rsidRPr="00387BCA">
        <w:rPr>
          <w:rtl/>
        </w:rPr>
        <w:t>4</w:t>
      </w:r>
      <w:r w:rsidR="008C50A9" w:rsidRPr="008C50A9">
        <w:rPr>
          <w:rtl/>
        </w:rPr>
        <w:t xml:space="preserve">. </w:t>
      </w:r>
      <w:r w:rsidRPr="00291325">
        <w:rPr>
          <w:rtl/>
        </w:rPr>
        <w:t xml:space="preserve">وقدم صاحب البلاغ طعناً آخر بموجب إجراء المراجعة الرقابية أمام رئيس المحكمة العليا في بيلاروس. وفي </w:t>
      </w:r>
      <w:r w:rsidRPr="00387BCA">
        <w:rPr>
          <w:rtl/>
        </w:rPr>
        <w:t>12</w:t>
      </w:r>
      <w:r w:rsidRPr="00291325">
        <w:rPr>
          <w:rtl/>
        </w:rPr>
        <w:t xml:space="preserve"> كانون الأول/ديسمبر </w:t>
      </w:r>
      <w:r w:rsidRPr="00387BCA">
        <w:rPr>
          <w:rtl/>
        </w:rPr>
        <w:t>2014</w:t>
      </w:r>
      <w:r w:rsidRPr="00291325">
        <w:rPr>
          <w:rtl/>
        </w:rPr>
        <w:t>، رفض نائب رئيس المحكمة العليا طعنه باعتبار أنه لا يستند إلى أي أساس.</w:t>
      </w:r>
      <w:bookmarkStart w:id="1" w:name="_Hlk119054473"/>
      <w:bookmarkEnd w:id="1"/>
    </w:p>
    <w:p w14:paraId="7A7B2600" w14:textId="77777777" w:rsidR="00AD7A2C" w:rsidRPr="00387BCA" w:rsidRDefault="00AD7A2C" w:rsidP="00676C02">
      <w:pPr>
        <w:pStyle w:val="H4GA"/>
        <w:rPr>
          <w:lang w:val="en-US" w:eastAsia="zh-TW" w:bidi="en-GB"/>
        </w:rPr>
      </w:pPr>
      <w:r w:rsidRPr="00387BCA">
        <w:rPr>
          <w:rtl/>
        </w:rPr>
        <w:tab/>
      </w:r>
      <w:r w:rsidRPr="00387BCA">
        <w:rPr>
          <w:rtl/>
        </w:rPr>
        <w:tab/>
        <w:t>مشاركة صاحب البلاغ في اعتصام فردي</w:t>
      </w:r>
    </w:p>
    <w:p w14:paraId="616DB71F" w14:textId="2DCFC7C7" w:rsidR="00AD7A2C" w:rsidRPr="00291325" w:rsidRDefault="00AD7A2C" w:rsidP="0078764B">
      <w:pPr>
        <w:pStyle w:val="SingleTxtGA"/>
        <w:rPr>
          <w:lang w:val="ar-SA" w:eastAsia="zh-TW" w:bidi="en-GB"/>
        </w:rPr>
      </w:pPr>
      <w:r w:rsidRPr="00387BCA">
        <w:rPr>
          <w:rtl/>
        </w:rPr>
        <w:t>2</w:t>
      </w:r>
      <w:r w:rsidRPr="00291325">
        <w:rPr>
          <w:rtl/>
        </w:rPr>
        <w:t>-</w:t>
      </w:r>
      <w:r w:rsidRPr="00387BCA">
        <w:rPr>
          <w:rtl/>
        </w:rPr>
        <w:t>9</w:t>
      </w:r>
      <w:r w:rsidRPr="00291325">
        <w:rPr>
          <w:rtl/>
        </w:rPr>
        <w:tab/>
        <w:t xml:space="preserve">في حوالي الساعة </w:t>
      </w:r>
      <w:r w:rsidRPr="00387BCA">
        <w:rPr>
          <w:rtl/>
        </w:rPr>
        <w:t>5</w:t>
      </w:r>
      <w:r w:rsidRPr="00291325">
        <w:rPr>
          <w:rtl/>
        </w:rPr>
        <w:t xml:space="preserve"> مساء من يوم </w:t>
      </w:r>
      <w:r w:rsidRPr="00387BCA">
        <w:rPr>
          <w:rtl/>
        </w:rPr>
        <w:t>13</w:t>
      </w:r>
      <w:r w:rsidRPr="00291325">
        <w:rPr>
          <w:rtl/>
        </w:rPr>
        <w:t xml:space="preserve"> آذار/مارس </w:t>
      </w:r>
      <w:r w:rsidRPr="00387BCA">
        <w:rPr>
          <w:rtl/>
        </w:rPr>
        <w:t>2014</w:t>
      </w:r>
      <w:r w:rsidRPr="00291325">
        <w:rPr>
          <w:rtl/>
        </w:rPr>
        <w:t>، وقف صاحب البلاغ في ساحة عامة في فولك</w:t>
      </w:r>
      <w:r>
        <w:rPr>
          <w:rtl/>
        </w:rPr>
        <w:t>و</w:t>
      </w:r>
      <w:r w:rsidRPr="00291325">
        <w:rPr>
          <w:rtl/>
        </w:rPr>
        <w:t xml:space="preserve">فيسك، </w:t>
      </w:r>
      <w:r>
        <w:rPr>
          <w:rtl/>
        </w:rPr>
        <w:t>رافع</w:t>
      </w:r>
      <w:r w:rsidR="002045C2">
        <w:rPr>
          <w:rtl/>
        </w:rPr>
        <w:t xml:space="preserve">اً </w:t>
      </w:r>
      <w:r w:rsidRPr="00291325">
        <w:rPr>
          <w:rtl/>
        </w:rPr>
        <w:t>علم أوكرانيا و</w:t>
      </w:r>
      <w:r>
        <w:rPr>
          <w:rtl/>
        </w:rPr>
        <w:t>لافتة</w:t>
      </w:r>
      <w:r w:rsidRPr="00291325">
        <w:rPr>
          <w:rtl/>
        </w:rPr>
        <w:t>، احتجاجاً على نشر القوات الروسية في أوكرانيا. و</w:t>
      </w:r>
      <w:r>
        <w:rPr>
          <w:rtl/>
        </w:rPr>
        <w:t xml:space="preserve">يفيد </w:t>
      </w:r>
      <w:r w:rsidRPr="00291325">
        <w:rPr>
          <w:rtl/>
        </w:rPr>
        <w:t>صاحب البلاغ</w:t>
      </w:r>
      <w:r>
        <w:rPr>
          <w:rtl/>
        </w:rPr>
        <w:t xml:space="preserve"> بأ</w:t>
      </w:r>
      <w:r w:rsidRPr="00291325">
        <w:rPr>
          <w:rtl/>
        </w:rPr>
        <w:t xml:space="preserve">نه لم يتقدم بطلب للحصول على ترخيص لعقد هذا الحدث، لأن سلطات المدينة رفضت طلبه المسبق في مناسبتين. </w:t>
      </w:r>
    </w:p>
    <w:p w14:paraId="49171A78" w14:textId="0C168E47" w:rsidR="00AD7A2C" w:rsidRPr="00291325" w:rsidRDefault="00AD7A2C" w:rsidP="0078764B">
      <w:pPr>
        <w:pStyle w:val="SingleTxtGA"/>
        <w:rPr>
          <w:lang w:val="ar-SA" w:eastAsia="zh-TW" w:bidi="en-GB"/>
        </w:rPr>
      </w:pPr>
      <w:r w:rsidRPr="00387BCA">
        <w:rPr>
          <w:rtl/>
        </w:rPr>
        <w:lastRenderedPageBreak/>
        <w:t>2</w:t>
      </w:r>
      <w:r w:rsidRPr="00291325">
        <w:rPr>
          <w:rtl/>
        </w:rPr>
        <w:t>-</w:t>
      </w:r>
      <w:r w:rsidRPr="00387BCA">
        <w:rPr>
          <w:rtl/>
        </w:rPr>
        <w:t>10</w:t>
      </w:r>
      <w:r w:rsidRPr="00291325">
        <w:rPr>
          <w:rtl/>
        </w:rPr>
        <w:tab/>
        <w:t xml:space="preserve">وفي تاريخ غير محدد </w:t>
      </w:r>
      <w:r>
        <w:rPr>
          <w:rtl/>
        </w:rPr>
        <w:t>أعقب</w:t>
      </w:r>
      <w:r w:rsidRPr="00291325">
        <w:rPr>
          <w:rtl/>
        </w:rPr>
        <w:t xml:space="preserve"> ذلك الحدث، اتُهم صاحب البلاغ بانتهاك الإجراء المعمول به في تنظيم المناسبات العامة، وهي مخالفة إدارية بموجب المادة </w:t>
      </w:r>
      <w:r w:rsidRPr="00387BCA">
        <w:rPr>
          <w:rtl/>
        </w:rPr>
        <w:t>23</w:t>
      </w:r>
      <w:r w:rsidRPr="00291325">
        <w:rPr>
          <w:rtl/>
        </w:rPr>
        <w:t>-</w:t>
      </w:r>
      <w:r w:rsidRPr="00387BCA">
        <w:rPr>
          <w:rtl/>
        </w:rPr>
        <w:t>34</w:t>
      </w:r>
      <w:r w:rsidRPr="00291325">
        <w:rPr>
          <w:rtl/>
        </w:rPr>
        <w:t>(</w:t>
      </w:r>
      <w:r w:rsidR="008C50A9" w:rsidRPr="00387BCA">
        <w:rPr>
          <w:rtl/>
        </w:rPr>
        <w:t>1</w:t>
      </w:r>
      <w:r w:rsidR="008C50A9" w:rsidRPr="008C50A9">
        <w:rPr>
          <w:rtl/>
        </w:rPr>
        <w:t xml:space="preserve">) </w:t>
      </w:r>
      <w:r w:rsidRPr="00291325">
        <w:rPr>
          <w:rtl/>
        </w:rPr>
        <w:t xml:space="preserve">من قانون المخالفات الإدارية، لأنه لم يحصل على ترخيص مسبق من سلطات المدينة لعقد اعتصام فردي. وفي </w:t>
      </w:r>
      <w:r w:rsidRPr="00387BCA">
        <w:rPr>
          <w:rtl/>
        </w:rPr>
        <w:t>17</w:t>
      </w:r>
      <w:r w:rsidRPr="00291325">
        <w:rPr>
          <w:rtl/>
        </w:rPr>
        <w:t xml:space="preserve"> آذار/مارس </w:t>
      </w:r>
      <w:r w:rsidRPr="00387BCA">
        <w:rPr>
          <w:rtl/>
        </w:rPr>
        <w:t>2014</w:t>
      </w:r>
      <w:r w:rsidRPr="00291325">
        <w:rPr>
          <w:rtl/>
        </w:rPr>
        <w:t xml:space="preserve">، أدانت المحكمة المحلية صاحب البلاغ بالتهم الموجهة إليه وأمرته بدفع غرامة إدارية قدرها </w:t>
      </w:r>
      <w:r w:rsidRPr="00387BCA">
        <w:rPr>
          <w:rtl/>
        </w:rPr>
        <w:t>1</w:t>
      </w:r>
      <w:r w:rsidRPr="00291325">
        <w:rPr>
          <w:rtl/>
        </w:rPr>
        <w:t>,</w:t>
      </w:r>
      <w:r w:rsidRPr="00387BCA">
        <w:rPr>
          <w:rtl/>
        </w:rPr>
        <w:t>3</w:t>
      </w:r>
      <w:r w:rsidRPr="00291325">
        <w:rPr>
          <w:rtl/>
        </w:rPr>
        <w:t xml:space="preserve"> مليون روبل بيلاروسي</w:t>
      </w:r>
      <w:r w:rsidR="008C50A9">
        <w:rPr>
          <w:rStyle w:val="FootnoteReference"/>
          <w:szCs w:val="24"/>
          <w:rtl/>
        </w:rPr>
        <w:t>(</w:t>
      </w:r>
      <w:r w:rsidR="008C50A9" w:rsidRPr="00387BCA">
        <w:rPr>
          <w:rStyle w:val="FootnoteReference"/>
          <w:szCs w:val="22"/>
          <w:rtl/>
          <w:lang w:val="en-US"/>
        </w:rPr>
        <w:footnoteReference w:id="3"/>
      </w:r>
      <w:r w:rsidR="008C50A9" w:rsidRPr="008C50A9">
        <w:rPr>
          <w:rStyle w:val="FootnoteReference"/>
          <w:szCs w:val="24"/>
          <w:rtl/>
        </w:rPr>
        <w:t>)</w:t>
      </w:r>
      <w:r w:rsidR="008C50A9" w:rsidRPr="008C50A9">
        <w:rPr>
          <w:rtl/>
        </w:rPr>
        <w:t xml:space="preserve">. </w:t>
      </w:r>
    </w:p>
    <w:p w14:paraId="165F5140" w14:textId="4B58D0FF" w:rsidR="00AD7A2C" w:rsidRPr="00291325" w:rsidRDefault="00AD7A2C" w:rsidP="0078764B">
      <w:pPr>
        <w:pStyle w:val="SingleTxtGA"/>
        <w:rPr>
          <w:lang w:val="ar-SA" w:eastAsia="zh-TW" w:bidi="en-GB"/>
        </w:rPr>
      </w:pPr>
      <w:r w:rsidRPr="00387BCA">
        <w:rPr>
          <w:rtl/>
        </w:rPr>
        <w:t>2</w:t>
      </w:r>
      <w:r w:rsidRPr="00291325">
        <w:rPr>
          <w:rtl/>
        </w:rPr>
        <w:t>-</w:t>
      </w:r>
      <w:r w:rsidRPr="00387BCA">
        <w:rPr>
          <w:rtl/>
        </w:rPr>
        <w:t>11</w:t>
      </w:r>
      <w:r w:rsidRPr="00291325">
        <w:rPr>
          <w:rtl/>
        </w:rPr>
        <w:tab/>
        <w:t xml:space="preserve">وطعن صاحب البلاغ في قرار المحكمة المحلية أمام محكمة غرودنو الإقليمية، دافعاً بأن فرض الغرامة الإدارية على تنظيم اعتصام فردي يشكل قيداً غير مبرر على حقه في حرية التعبير والتجمع، لأن ما فعله لم يشكل أي تهديد للأمن القومي أو النظام العام أو الصحة العامة أو الآداب العامة أو حقوق الآخرين ومصالحهم. وفي </w:t>
      </w:r>
      <w:r w:rsidRPr="00387BCA">
        <w:rPr>
          <w:rtl/>
        </w:rPr>
        <w:t>10</w:t>
      </w:r>
      <w:r w:rsidRPr="00291325">
        <w:rPr>
          <w:rtl/>
        </w:rPr>
        <w:t xml:space="preserve"> نيسان/أبريل </w:t>
      </w:r>
      <w:r w:rsidRPr="00387BCA">
        <w:rPr>
          <w:rtl/>
        </w:rPr>
        <w:t>2014</w:t>
      </w:r>
      <w:r w:rsidRPr="00291325">
        <w:rPr>
          <w:rtl/>
        </w:rPr>
        <w:t xml:space="preserve">، رفضت المحكمة الإقليمية طعن صاحب البلاغ وأيَّدت قرار المحكمة المحلية. وقدم صاحب البلاغ طعناً مرة أخرى أمام رئيس محكمة غرودنو الإقليمية. فرُفِض طعنه في </w:t>
      </w:r>
      <w:r w:rsidRPr="00387BCA">
        <w:rPr>
          <w:rtl/>
        </w:rPr>
        <w:t>29</w:t>
      </w:r>
      <w:r w:rsidRPr="00291325">
        <w:rPr>
          <w:rtl/>
        </w:rPr>
        <w:t xml:space="preserve"> أيار/مايو </w:t>
      </w:r>
      <w:r w:rsidRPr="00387BCA">
        <w:rPr>
          <w:rtl/>
        </w:rPr>
        <w:t>201</w:t>
      </w:r>
      <w:r w:rsidR="008C50A9" w:rsidRPr="00387BCA">
        <w:rPr>
          <w:rtl/>
        </w:rPr>
        <w:t>4</w:t>
      </w:r>
      <w:r w:rsidR="008C50A9" w:rsidRPr="008C50A9">
        <w:rPr>
          <w:rtl/>
        </w:rPr>
        <w:t xml:space="preserve">. </w:t>
      </w:r>
      <w:r w:rsidRPr="00291325">
        <w:rPr>
          <w:rFonts w:ascii="Simplified Arabic" w:hAnsi="Simplified Arabic"/>
          <w:rtl/>
        </w:rPr>
        <w:t>وقدم</w:t>
      </w:r>
      <w:r w:rsidRPr="00291325">
        <w:rPr>
          <w:rtl/>
        </w:rPr>
        <w:t xml:space="preserve"> </w:t>
      </w:r>
      <w:r w:rsidRPr="00291325">
        <w:rPr>
          <w:rFonts w:ascii="Simplified Arabic" w:hAnsi="Simplified Arabic"/>
          <w:rtl/>
        </w:rPr>
        <w:t>طعناً</w:t>
      </w:r>
      <w:r w:rsidRPr="00291325">
        <w:rPr>
          <w:rtl/>
        </w:rPr>
        <w:t xml:space="preserve"> </w:t>
      </w:r>
      <w:r w:rsidRPr="00291325">
        <w:rPr>
          <w:rFonts w:ascii="Simplified Arabic" w:hAnsi="Simplified Arabic"/>
          <w:rtl/>
        </w:rPr>
        <w:t>بعد</w:t>
      </w:r>
      <w:r w:rsidRPr="00291325">
        <w:rPr>
          <w:rtl/>
        </w:rPr>
        <w:t xml:space="preserve"> </w:t>
      </w:r>
      <w:r w:rsidRPr="00291325">
        <w:rPr>
          <w:rFonts w:ascii="Simplified Arabic" w:hAnsi="Simplified Arabic"/>
          <w:rtl/>
        </w:rPr>
        <w:t>ذلك</w:t>
      </w:r>
      <w:r w:rsidRPr="00291325">
        <w:rPr>
          <w:rtl/>
        </w:rPr>
        <w:t xml:space="preserve"> </w:t>
      </w:r>
      <w:r w:rsidRPr="00291325">
        <w:rPr>
          <w:rFonts w:ascii="Simplified Arabic" w:hAnsi="Simplified Arabic"/>
          <w:rtl/>
        </w:rPr>
        <w:t>أمام</w:t>
      </w:r>
      <w:r w:rsidRPr="00291325">
        <w:rPr>
          <w:rtl/>
        </w:rPr>
        <w:t xml:space="preserve"> </w:t>
      </w:r>
      <w:r w:rsidRPr="00291325">
        <w:rPr>
          <w:rFonts w:ascii="Simplified Arabic" w:hAnsi="Simplified Arabic"/>
          <w:rtl/>
        </w:rPr>
        <w:t>رئيس</w:t>
      </w:r>
      <w:r w:rsidRPr="00291325">
        <w:rPr>
          <w:rtl/>
        </w:rPr>
        <w:t xml:space="preserve"> </w:t>
      </w:r>
      <w:r w:rsidRPr="00291325">
        <w:rPr>
          <w:rFonts w:ascii="Simplified Arabic" w:hAnsi="Simplified Arabic"/>
          <w:rtl/>
        </w:rPr>
        <w:t>المحكمة</w:t>
      </w:r>
      <w:r w:rsidRPr="00291325">
        <w:rPr>
          <w:rtl/>
        </w:rPr>
        <w:t xml:space="preserve"> </w:t>
      </w:r>
      <w:r w:rsidRPr="00291325">
        <w:rPr>
          <w:rFonts w:ascii="Simplified Arabic" w:hAnsi="Simplified Arabic"/>
          <w:rtl/>
        </w:rPr>
        <w:t>العليا</w:t>
      </w:r>
      <w:r w:rsidRPr="00291325">
        <w:rPr>
          <w:rtl/>
        </w:rPr>
        <w:t xml:space="preserve"> </w:t>
      </w:r>
      <w:r w:rsidRPr="00291325">
        <w:rPr>
          <w:rFonts w:ascii="Simplified Arabic" w:hAnsi="Simplified Arabic"/>
          <w:rtl/>
        </w:rPr>
        <w:t>لبيلاروس</w:t>
      </w:r>
      <w:r w:rsidRPr="00291325">
        <w:rPr>
          <w:rtl/>
        </w:rPr>
        <w:t xml:space="preserve">. </w:t>
      </w:r>
      <w:r w:rsidRPr="00291325">
        <w:rPr>
          <w:rFonts w:ascii="Simplified Arabic" w:hAnsi="Simplified Arabic"/>
          <w:rtl/>
        </w:rPr>
        <w:t>ورفض</w:t>
      </w:r>
      <w:r w:rsidRPr="00291325">
        <w:rPr>
          <w:rtl/>
        </w:rPr>
        <w:t xml:space="preserve"> </w:t>
      </w:r>
      <w:r w:rsidRPr="00291325">
        <w:rPr>
          <w:rFonts w:ascii="Simplified Arabic" w:hAnsi="Simplified Arabic"/>
          <w:rtl/>
        </w:rPr>
        <w:t>نائب</w:t>
      </w:r>
      <w:r w:rsidRPr="00291325">
        <w:rPr>
          <w:rtl/>
        </w:rPr>
        <w:t xml:space="preserve"> </w:t>
      </w:r>
      <w:r w:rsidRPr="00291325">
        <w:rPr>
          <w:rFonts w:ascii="Simplified Arabic" w:hAnsi="Simplified Arabic"/>
          <w:rtl/>
        </w:rPr>
        <w:t>رئيس</w:t>
      </w:r>
      <w:r w:rsidRPr="00291325">
        <w:rPr>
          <w:rtl/>
        </w:rPr>
        <w:t xml:space="preserve"> </w:t>
      </w:r>
      <w:r w:rsidRPr="00291325">
        <w:rPr>
          <w:rFonts w:ascii="Simplified Arabic" w:hAnsi="Simplified Arabic"/>
          <w:rtl/>
        </w:rPr>
        <w:t>المحكمة</w:t>
      </w:r>
      <w:r w:rsidRPr="00291325">
        <w:rPr>
          <w:rtl/>
        </w:rPr>
        <w:t xml:space="preserve"> </w:t>
      </w:r>
      <w:r w:rsidRPr="00291325">
        <w:rPr>
          <w:rFonts w:ascii="Simplified Arabic" w:hAnsi="Simplified Arabic"/>
          <w:rtl/>
        </w:rPr>
        <w:t>العليا</w:t>
      </w:r>
      <w:r w:rsidRPr="00291325">
        <w:rPr>
          <w:rtl/>
        </w:rPr>
        <w:t xml:space="preserve"> </w:t>
      </w:r>
      <w:r w:rsidRPr="00291325">
        <w:rPr>
          <w:rFonts w:ascii="Simplified Arabic" w:hAnsi="Simplified Arabic"/>
          <w:rtl/>
        </w:rPr>
        <w:t>الطعن</w:t>
      </w:r>
      <w:r w:rsidRPr="00291325">
        <w:rPr>
          <w:rtl/>
        </w:rPr>
        <w:t xml:space="preserve"> </w:t>
      </w:r>
      <w:r w:rsidRPr="00291325">
        <w:rPr>
          <w:rFonts w:ascii="Simplified Arabic" w:hAnsi="Simplified Arabic"/>
          <w:rtl/>
        </w:rPr>
        <w:t>في</w:t>
      </w:r>
      <w:r w:rsidRPr="00291325">
        <w:rPr>
          <w:rtl/>
        </w:rPr>
        <w:t xml:space="preserve"> </w:t>
      </w:r>
      <w:r w:rsidRPr="00387BCA">
        <w:rPr>
          <w:rtl/>
        </w:rPr>
        <w:t>29</w:t>
      </w:r>
      <w:r w:rsidRPr="00291325">
        <w:rPr>
          <w:rtl/>
        </w:rPr>
        <w:t xml:space="preserve"> تشرين الأول/أكتوبر </w:t>
      </w:r>
      <w:r w:rsidRPr="00387BCA">
        <w:rPr>
          <w:rtl/>
        </w:rPr>
        <w:t>201</w:t>
      </w:r>
      <w:r w:rsidR="008C50A9" w:rsidRPr="00387BCA">
        <w:rPr>
          <w:rtl/>
        </w:rPr>
        <w:t>4</w:t>
      </w:r>
      <w:r w:rsidR="008C50A9" w:rsidRPr="008C50A9">
        <w:rPr>
          <w:rtl/>
        </w:rPr>
        <w:t xml:space="preserve">. </w:t>
      </w:r>
    </w:p>
    <w:p w14:paraId="61BCCE0D" w14:textId="77777777" w:rsidR="00AD7A2C" w:rsidRPr="00291325" w:rsidRDefault="00AD7A2C" w:rsidP="0078764B">
      <w:pPr>
        <w:pStyle w:val="SingleTxtGA"/>
        <w:rPr>
          <w:lang w:val="ar-SA" w:eastAsia="zh-TW" w:bidi="en-GB"/>
        </w:rPr>
      </w:pPr>
      <w:r w:rsidRPr="00387BCA">
        <w:rPr>
          <w:rtl/>
        </w:rPr>
        <w:t>2</w:t>
      </w:r>
      <w:r w:rsidRPr="00291325">
        <w:rPr>
          <w:rtl/>
        </w:rPr>
        <w:t>-</w:t>
      </w:r>
      <w:r w:rsidRPr="00387BCA">
        <w:rPr>
          <w:rtl/>
        </w:rPr>
        <w:t>12</w:t>
      </w:r>
      <w:r w:rsidRPr="00291325">
        <w:rPr>
          <w:rtl/>
        </w:rPr>
        <w:tab/>
        <w:t xml:space="preserve">ويدفع صاحب البلاغ بأنه استنفد جميع سبل الانتصاف المحلية المتاحة. </w:t>
      </w:r>
    </w:p>
    <w:p w14:paraId="2339C5B5" w14:textId="77777777" w:rsidR="00AD7A2C" w:rsidRPr="00387BCA" w:rsidRDefault="00AD7A2C" w:rsidP="0078764B">
      <w:pPr>
        <w:pStyle w:val="H23GA"/>
        <w:rPr>
          <w:lang w:val="ar-SA" w:eastAsia="zh-TW" w:bidi="en-GB"/>
        </w:rPr>
      </w:pPr>
      <w:r w:rsidRPr="00387BCA">
        <w:rPr>
          <w:rtl/>
        </w:rPr>
        <w:tab/>
      </w:r>
      <w:r w:rsidRPr="00387BCA">
        <w:rPr>
          <w:rtl/>
        </w:rPr>
        <w:tab/>
        <w:t>الشكوى</w:t>
      </w:r>
    </w:p>
    <w:p w14:paraId="7A626354" w14:textId="0A39F160" w:rsidR="00AD7A2C" w:rsidRPr="00291325" w:rsidRDefault="00AD7A2C" w:rsidP="0078764B">
      <w:pPr>
        <w:pStyle w:val="SingleTxtGA"/>
        <w:rPr>
          <w:lang w:val="ar-SA" w:eastAsia="zh-TW" w:bidi="en-GB"/>
        </w:rPr>
      </w:pPr>
      <w:r w:rsidRPr="00387BCA">
        <w:rPr>
          <w:rtl/>
        </w:rPr>
        <w:t>3</w:t>
      </w:r>
      <w:r w:rsidRPr="00410704">
        <w:rPr>
          <w:rtl/>
        </w:rPr>
        <w:t>-</w:t>
      </w:r>
      <w:r w:rsidRPr="00387BCA">
        <w:rPr>
          <w:rtl/>
        </w:rPr>
        <w:t>1</w:t>
      </w:r>
      <w:r w:rsidRPr="00410704">
        <w:rPr>
          <w:rtl/>
        </w:rPr>
        <w:tab/>
        <w:t>يدفع صاحب البلاغ بأن حقه في حرية التعبير والتجمع قد قُيّد، مما يشكّل انتهاكاً للمادتين</w:t>
      </w:r>
      <w:r w:rsidR="005B4FCC">
        <w:rPr>
          <w:rFonts w:hint="cs"/>
          <w:rtl/>
        </w:rPr>
        <w:t> </w:t>
      </w:r>
      <w:r w:rsidRPr="00387BCA">
        <w:rPr>
          <w:rtl/>
        </w:rPr>
        <w:t>19</w:t>
      </w:r>
      <w:r w:rsidRPr="00410704">
        <w:rPr>
          <w:rtl/>
        </w:rPr>
        <w:t>(</w:t>
      </w:r>
      <w:r w:rsidR="008C50A9" w:rsidRPr="00387BCA">
        <w:rPr>
          <w:rtl/>
        </w:rPr>
        <w:t>2</w:t>
      </w:r>
      <w:r w:rsidR="008C50A9" w:rsidRPr="008C50A9">
        <w:rPr>
          <w:rtl/>
        </w:rPr>
        <w:t xml:space="preserve">) </w:t>
      </w:r>
      <w:r w:rsidRPr="00410704">
        <w:rPr>
          <w:rtl/>
        </w:rPr>
        <w:t>و</w:t>
      </w:r>
      <w:r w:rsidRPr="00387BCA">
        <w:rPr>
          <w:rtl/>
        </w:rPr>
        <w:t>21</w:t>
      </w:r>
      <w:r w:rsidRPr="00410704">
        <w:rPr>
          <w:rtl/>
        </w:rPr>
        <w:t xml:space="preserve"> من العهد، حيث لم يرخص له بتنظيم تجمعين سلميين وفرضت عليه غرامة لعقده اعتصاما</w:t>
      </w:r>
      <w:r w:rsidR="00410704" w:rsidRPr="00410704">
        <w:rPr>
          <w:rFonts w:hint="cs"/>
          <w:rtl/>
        </w:rPr>
        <w:t>ً</w:t>
      </w:r>
      <w:r w:rsidRPr="00410704">
        <w:rPr>
          <w:rtl/>
        </w:rPr>
        <w:t xml:space="preserve"> فرديا</w:t>
      </w:r>
      <w:r w:rsidR="00410704" w:rsidRPr="00410704">
        <w:rPr>
          <w:rFonts w:hint="cs"/>
          <w:rtl/>
        </w:rPr>
        <w:t>ً</w:t>
      </w:r>
      <w:r w:rsidRPr="00410704">
        <w:rPr>
          <w:rtl/>
        </w:rPr>
        <w:t xml:space="preserve"> سلميا</w:t>
      </w:r>
      <w:r w:rsidR="00410704" w:rsidRPr="00410704">
        <w:rPr>
          <w:rFonts w:hint="cs"/>
          <w:rtl/>
        </w:rPr>
        <w:t>ً</w:t>
      </w:r>
      <w:r w:rsidRPr="00410704">
        <w:rPr>
          <w:rtl/>
        </w:rPr>
        <w:t xml:space="preserve">. ويدفع بأن القيود التي فرضت على حقوقه غير مبررة، مشيراً إلى أن سلطات المدينة والمحاكم لم تنظر فيما إذا كانت القيود المفروضة مبررةً بأسباب تتعلق بالأمن القومي أو السلامة العامة أو النظام العام أو حماية الصحة العامة أو الآداب العامة، أو ضروريةً لحماية حقوق الغير وحرياته. ويجادل بأن المحاكم المحلية اعتمدت في حالته فقط على أحكام التشريعات المحلية وتجاهلت شكاواه بشأن عدم توافق القيود مع حقوقه بموجب المادتين </w:t>
      </w:r>
      <w:r w:rsidRPr="00387BCA">
        <w:rPr>
          <w:rtl/>
        </w:rPr>
        <w:t>19</w:t>
      </w:r>
      <w:r w:rsidRPr="00410704">
        <w:rPr>
          <w:rtl/>
        </w:rPr>
        <w:t xml:space="preserve"> و</w:t>
      </w:r>
      <w:r w:rsidRPr="00387BCA">
        <w:rPr>
          <w:rtl/>
        </w:rPr>
        <w:t>21</w:t>
      </w:r>
      <w:r w:rsidRPr="00410704">
        <w:rPr>
          <w:rtl/>
        </w:rPr>
        <w:t xml:space="preserve"> من العهد.</w:t>
      </w:r>
    </w:p>
    <w:p w14:paraId="2B897EA9" w14:textId="77777777" w:rsidR="00AD7A2C" w:rsidRPr="008F6CBB" w:rsidRDefault="00AD7A2C" w:rsidP="00AD7A2C">
      <w:pPr>
        <w:pStyle w:val="SingleTxtGA"/>
        <w:rPr>
          <w:spacing w:val="-4"/>
          <w:lang w:val="ar-SA" w:eastAsia="zh-TW" w:bidi="en-GB"/>
        </w:rPr>
      </w:pPr>
      <w:r w:rsidRPr="00387BCA">
        <w:rPr>
          <w:rtl/>
        </w:rPr>
        <w:t>3</w:t>
      </w:r>
      <w:r w:rsidRPr="00291325">
        <w:rPr>
          <w:rtl/>
        </w:rPr>
        <w:t>-</w:t>
      </w:r>
      <w:r w:rsidRPr="00387BCA">
        <w:rPr>
          <w:rtl/>
        </w:rPr>
        <w:t>2</w:t>
      </w:r>
      <w:r w:rsidRPr="00291325">
        <w:rPr>
          <w:rtl/>
        </w:rPr>
        <w:tab/>
      </w:r>
      <w:r w:rsidRPr="008F6CBB">
        <w:rPr>
          <w:spacing w:val="-4"/>
          <w:rtl/>
        </w:rPr>
        <w:t xml:space="preserve">ويطلب صاحب البلاغ إلى اللجنة أن تخلص إلى حدوث انتهاك للمادتين </w:t>
      </w:r>
      <w:r w:rsidRPr="00387BCA">
        <w:rPr>
          <w:spacing w:val="-4"/>
          <w:rtl/>
        </w:rPr>
        <w:t>19</w:t>
      </w:r>
      <w:r w:rsidRPr="008F6CBB">
        <w:rPr>
          <w:spacing w:val="-4"/>
          <w:rtl/>
        </w:rPr>
        <w:t xml:space="preserve"> و</w:t>
      </w:r>
      <w:r w:rsidRPr="00387BCA">
        <w:rPr>
          <w:spacing w:val="-4"/>
          <w:rtl/>
        </w:rPr>
        <w:t>21</w:t>
      </w:r>
      <w:r w:rsidRPr="008F6CBB">
        <w:rPr>
          <w:spacing w:val="-4"/>
          <w:rtl/>
        </w:rPr>
        <w:t xml:space="preserve"> من العهد وأن توصي الدولة الطرف بمواءمة تشريعاتها المحلية مع المعايير الدولية المتعلقة بحرية التجمع السلمي والتعبير.</w:t>
      </w:r>
    </w:p>
    <w:p w14:paraId="54CCD7A9" w14:textId="77777777" w:rsidR="00AD7A2C" w:rsidRPr="00387BCA" w:rsidRDefault="00AD7A2C" w:rsidP="00AD7A2C">
      <w:pPr>
        <w:pStyle w:val="H23GA"/>
        <w:rPr>
          <w:lang w:val="ar-SA" w:eastAsia="zh-TW" w:bidi="en-GB"/>
        </w:rPr>
      </w:pPr>
      <w:r w:rsidRPr="00387BCA">
        <w:rPr>
          <w:rtl/>
        </w:rPr>
        <w:tab/>
      </w:r>
      <w:r w:rsidRPr="00387BCA">
        <w:rPr>
          <w:rtl/>
        </w:rPr>
        <w:tab/>
        <w:t>ملاحظات الدولة الطرف بشأن مقبولية البلاغ وأسسه الموضوعية</w:t>
      </w:r>
    </w:p>
    <w:p w14:paraId="517A460F" w14:textId="77777777" w:rsidR="00AD7A2C" w:rsidRPr="00291325" w:rsidRDefault="00AD7A2C" w:rsidP="00AD7A2C">
      <w:pPr>
        <w:pStyle w:val="SingleTxtGA"/>
        <w:rPr>
          <w:lang w:val="ar-SA" w:eastAsia="zh-TW" w:bidi="en-GB"/>
        </w:rPr>
      </w:pPr>
      <w:r w:rsidRPr="00387BCA">
        <w:rPr>
          <w:rtl/>
        </w:rPr>
        <w:t>4</w:t>
      </w:r>
      <w:r w:rsidRPr="00291325">
        <w:rPr>
          <w:rtl/>
        </w:rPr>
        <w:t>-</w:t>
      </w:r>
      <w:r w:rsidRPr="00387BCA">
        <w:rPr>
          <w:rtl/>
        </w:rPr>
        <w:t>1</w:t>
      </w:r>
      <w:r w:rsidRPr="00291325">
        <w:rPr>
          <w:rtl/>
        </w:rPr>
        <w:tab/>
        <w:t xml:space="preserve">في مذكرة شفوية مؤرخة </w:t>
      </w:r>
      <w:r w:rsidRPr="00387BCA">
        <w:rPr>
          <w:rtl/>
        </w:rPr>
        <w:t>6</w:t>
      </w:r>
      <w:r w:rsidRPr="00291325">
        <w:rPr>
          <w:rtl/>
        </w:rPr>
        <w:t xml:space="preserve"> كانون الثاني/يناير </w:t>
      </w:r>
      <w:r w:rsidRPr="00387BCA">
        <w:rPr>
          <w:rtl/>
        </w:rPr>
        <w:t>2017</w:t>
      </w:r>
      <w:r w:rsidRPr="00291325">
        <w:rPr>
          <w:rtl/>
        </w:rPr>
        <w:t xml:space="preserve">، قدمت الدولة الطرف ملاحظاتها بشأن المقبولية والأسس الموضوعية، مشيرة فيما يتعلق بمقبولية البلاغ إلى أن صاحب البلاغ لم يستنفد جميع سبل الانتصاف المحلية المتاحة، لأنه لم يطعن في القرارات الصادرة في قضيته من خلال إجراء المراجعة القضائية الرقابية أمام </w:t>
      </w:r>
      <w:r>
        <w:rPr>
          <w:rtl/>
        </w:rPr>
        <w:t>النيابة</w:t>
      </w:r>
      <w:r w:rsidRPr="00291325">
        <w:rPr>
          <w:rtl/>
        </w:rPr>
        <w:t xml:space="preserve"> العام</w:t>
      </w:r>
      <w:r>
        <w:rPr>
          <w:rtl/>
        </w:rPr>
        <w:t>ة</w:t>
      </w:r>
      <w:r w:rsidRPr="00291325">
        <w:rPr>
          <w:rtl/>
        </w:rPr>
        <w:t>، ولم يلتمس</w:t>
      </w:r>
      <w:r>
        <w:rPr>
          <w:rtl/>
        </w:rPr>
        <w:t xml:space="preserve"> قط</w:t>
      </w:r>
      <w:r w:rsidRPr="00291325">
        <w:rPr>
          <w:rtl/>
        </w:rPr>
        <w:t xml:space="preserve"> النظر في قضيته من قبل من رئيس المحكمة العليا في بيلاروس.</w:t>
      </w:r>
      <w:bookmarkStart w:id="2" w:name="_Hlk119055834"/>
      <w:bookmarkEnd w:id="2"/>
    </w:p>
    <w:p w14:paraId="5ADE9B38" w14:textId="77777777" w:rsidR="00AD7A2C" w:rsidRPr="00291325" w:rsidRDefault="00AD7A2C" w:rsidP="00AD7A2C">
      <w:pPr>
        <w:pStyle w:val="SingleTxtGA"/>
        <w:rPr>
          <w:lang w:val="ar-SA" w:eastAsia="zh-TW" w:bidi="en-GB"/>
        </w:rPr>
      </w:pPr>
      <w:r w:rsidRPr="00387BCA">
        <w:rPr>
          <w:rtl/>
        </w:rPr>
        <w:t>4</w:t>
      </w:r>
      <w:r w:rsidRPr="00291325">
        <w:rPr>
          <w:rtl/>
        </w:rPr>
        <w:t>-</w:t>
      </w:r>
      <w:r w:rsidRPr="00387BCA">
        <w:rPr>
          <w:rtl/>
        </w:rPr>
        <w:t>2</w:t>
      </w:r>
      <w:r w:rsidRPr="00291325">
        <w:rPr>
          <w:rtl/>
        </w:rPr>
        <w:tab/>
        <w:t xml:space="preserve">وتجادل الدولة الطرف كذلك بأن ادعاءات صاحب البلاغ بشأن عدم امتثال التشريعات المحلية المتعلقة بالأحداث الجماهيرية </w:t>
      </w:r>
      <w:r>
        <w:rPr>
          <w:rtl/>
        </w:rPr>
        <w:t>ا</w:t>
      </w:r>
      <w:r w:rsidRPr="00291325">
        <w:rPr>
          <w:rtl/>
        </w:rPr>
        <w:t xml:space="preserve">لمعايير الدولية لا أساس لها من الصحة. وتلاحظ الدولة الطرف في هذا الصدد أن أحكام التشريعات المحلية المتعلقة بالحق في التجمع السلمي وحرية التعبير تهدف إلى تهيئة الظروف لممارسة الحقوق والحريات الدستورية، فضلاً عن كفالة السلامة والنظام العامين أثناء المناسبات الجماهيرية؛ ولا تتنافى مع المادتين </w:t>
      </w:r>
      <w:r w:rsidRPr="00387BCA">
        <w:rPr>
          <w:rtl/>
        </w:rPr>
        <w:t>19</w:t>
      </w:r>
      <w:r w:rsidRPr="00291325">
        <w:rPr>
          <w:rtl/>
        </w:rPr>
        <w:t xml:space="preserve"> و</w:t>
      </w:r>
      <w:r w:rsidRPr="00387BCA">
        <w:rPr>
          <w:rtl/>
        </w:rPr>
        <w:t>21</w:t>
      </w:r>
      <w:r w:rsidRPr="00291325">
        <w:rPr>
          <w:rtl/>
        </w:rPr>
        <w:t xml:space="preserve"> من العهد، اللتين تسمحان للدول ب</w:t>
      </w:r>
      <w:r>
        <w:rPr>
          <w:rtl/>
        </w:rPr>
        <w:t>فرض</w:t>
      </w:r>
      <w:r w:rsidRPr="00291325">
        <w:rPr>
          <w:rtl/>
        </w:rPr>
        <w:t xml:space="preserve"> القيود على تلك </w:t>
      </w:r>
      <w:r w:rsidRPr="00291325">
        <w:rPr>
          <w:rtl/>
        </w:rPr>
        <w:lastRenderedPageBreak/>
        <w:t>الحقوق والحريات حسبما تقتضيه الضرورة في مجتمع ديمقراطي لصيانة الأمن الوطني أو السلامة العامة أو النظام العام، أو لحماية الصحة العامة أو الآداب العامة أو لحماية حقوق الغير وحرياتهم.</w:t>
      </w:r>
    </w:p>
    <w:p w14:paraId="28F59128" w14:textId="77777777" w:rsidR="00AD7A2C" w:rsidRPr="00387BCA" w:rsidRDefault="00AD7A2C" w:rsidP="00AD7A2C">
      <w:pPr>
        <w:pStyle w:val="H23GA"/>
        <w:rPr>
          <w:lang w:val="ar-SA" w:eastAsia="zh-TW" w:bidi="en-GB"/>
        </w:rPr>
      </w:pPr>
      <w:r w:rsidRPr="00387BCA">
        <w:rPr>
          <w:rtl/>
        </w:rPr>
        <w:tab/>
      </w:r>
      <w:r w:rsidRPr="00387BCA">
        <w:rPr>
          <w:rtl/>
        </w:rPr>
        <w:tab/>
        <w:t>تعليقات صاحب البلاغ على ملاحظات الدولة الطرف بشأن المقبولية والأسس الموضوعية</w:t>
      </w:r>
    </w:p>
    <w:p w14:paraId="6FCE6EE4" w14:textId="28F3942B" w:rsidR="00AD7A2C" w:rsidRPr="00291325" w:rsidRDefault="00AD7A2C" w:rsidP="00AD7A2C">
      <w:pPr>
        <w:pStyle w:val="SingleTxtGA"/>
        <w:rPr>
          <w:lang w:val="ar-SA" w:eastAsia="zh-TW" w:bidi="en-GB"/>
        </w:rPr>
      </w:pPr>
      <w:r w:rsidRPr="00387BCA">
        <w:rPr>
          <w:rtl/>
        </w:rPr>
        <w:t>5</w:t>
      </w:r>
      <w:r w:rsidRPr="00291325">
        <w:rPr>
          <w:rtl/>
        </w:rPr>
        <w:t>-</w:t>
      </w:r>
      <w:r w:rsidRPr="00387BCA">
        <w:rPr>
          <w:rtl/>
        </w:rPr>
        <w:t>1</w:t>
      </w:r>
      <w:r w:rsidRPr="00291325">
        <w:rPr>
          <w:rtl/>
        </w:rPr>
        <w:tab/>
        <w:t xml:space="preserve">في </w:t>
      </w:r>
      <w:r w:rsidRPr="00387BCA">
        <w:rPr>
          <w:rtl/>
        </w:rPr>
        <w:t>27</w:t>
      </w:r>
      <w:r w:rsidRPr="00291325">
        <w:rPr>
          <w:rtl/>
        </w:rPr>
        <w:t xml:space="preserve"> كانون الأول/ديسمبر </w:t>
      </w:r>
      <w:r w:rsidRPr="00387BCA">
        <w:rPr>
          <w:rtl/>
        </w:rPr>
        <w:t>2018</w:t>
      </w:r>
      <w:r w:rsidRPr="00291325">
        <w:rPr>
          <w:rtl/>
        </w:rPr>
        <w:t xml:space="preserve">، قدم صاحب البلاغ تعليقاته التي ذكر فيها أن إجراء المراجعة القضائية الرقابية لا يشكل سبيل انتصاف محلياً فعالاً، لأنه لا يستتبع دراسة جديدة للقضية؛ وتتوقف نتائجه على السلطة التقديرية للمدعي العام أو القاضي المعني وحده. وعلاوة على ذلك، فإن اللجوء إلى إجراء المراجعة القضائية الرقابية يتطلب دفع رسوم للمحكمة، مما يشكل عقبة إضافية. وبالإشارة إلى ملابسات قضيته بالتحديد، يلاحظ صاحب البلاغ أنه استأنف القرارات المطعون فيها في قضيته </w:t>
      </w:r>
      <w:r>
        <w:rPr>
          <w:rtl/>
        </w:rPr>
        <w:t>في إطار</w:t>
      </w:r>
      <w:r w:rsidRPr="00291325">
        <w:rPr>
          <w:rtl/>
        </w:rPr>
        <w:t xml:space="preserve"> إجراء المراجعة الرقابية أمام محكمة غرودنو الإقليمية والمحكمة العليا في بيلاروس. ورفض </w:t>
      </w:r>
      <w:r>
        <w:rPr>
          <w:rtl/>
        </w:rPr>
        <w:t xml:space="preserve">طلباه </w:t>
      </w:r>
      <w:r w:rsidRPr="00291325">
        <w:rPr>
          <w:rtl/>
        </w:rPr>
        <w:t xml:space="preserve">لإجراء </w:t>
      </w:r>
      <w:r>
        <w:rPr>
          <w:rtl/>
        </w:rPr>
        <w:t>ال</w:t>
      </w:r>
      <w:r w:rsidRPr="00291325">
        <w:rPr>
          <w:rtl/>
        </w:rPr>
        <w:t xml:space="preserve">مراجعة </w:t>
      </w:r>
      <w:r>
        <w:rPr>
          <w:rtl/>
        </w:rPr>
        <w:t>ال</w:t>
      </w:r>
      <w:r w:rsidRPr="00291325">
        <w:rPr>
          <w:rtl/>
        </w:rPr>
        <w:t>رقابية</w:t>
      </w:r>
      <w:r>
        <w:rPr>
          <w:rtl/>
        </w:rPr>
        <w:t xml:space="preserve"> كلاهما</w:t>
      </w:r>
      <w:r w:rsidRPr="00291325">
        <w:rPr>
          <w:rtl/>
        </w:rPr>
        <w:t xml:space="preserve">. </w:t>
      </w:r>
    </w:p>
    <w:p w14:paraId="5D8105FB" w14:textId="42E54C1A" w:rsidR="00AD7A2C" w:rsidRPr="00291325" w:rsidRDefault="00AD7A2C" w:rsidP="00AD7A2C">
      <w:pPr>
        <w:pStyle w:val="SingleTxtGA"/>
        <w:rPr>
          <w:lang w:val="ar-SA" w:eastAsia="zh-TW" w:bidi="en-GB"/>
        </w:rPr>
      </w:pPr>
      <w:r w:rsidRPr="00387BCA">
        <w:rPr>
          <w:rtl/>
        </w:rPr>
        <w:t>5</w:t>
      </w:r>
      <w:r w:rsidRPr="00291325">
        <w:rPr>
          <w:rtl/>
        </w:rPr>
        <w:t>-</w:t>
      </w:r>
      <w:r w:rsidRPr="00387BCA">
        <w:rPr>
          <w:rtl/>
        </w:rPr>
        <w:t>2</w:t>
      </w:r>
      <w:r w:rsidRPr="00291325">
        <w:rPr>
          <w:rtl/>
        </w:rPr>
        <w:tab/>
        <w:t xml:space="preserve">وتعليقاً على حجج الدولة الطرف بأن الأحكام ذات الصلة الواردة في التشريعات المحلية تتسق مع المادتين </w:t>
      </w:r>
      <w:r w:rsidRPr="00387BCA">
        <w:rPr>
          <w:rtl/>
        </w:rPr>
        <w:t>19</w:t>
      </w:r>
      <w:r w:rsidRPr="00291325">
        <w:rPr>
          <w:rtl/>
        </w:rPr>
        <w:t xml:space="preserve"> و</w:t>
      </w:r>
      <w:r w:rsidRPr="00387BCA">
        <w:rPr>
          <w:rtl/>
        </w:rPr>
        <w:t>21</w:t>
      </w:r>
      <w:r w:rsidRPr="00291325">
        <w:rPr>
          <w:rtl/>
        </w:rPr>
        <w:t xml:space="preserve"> من العهد، يدفع صاحب البلاغ بأن الدولة الطرف لم تثبت في ملاحظاتها ضرورة </w:t>
      </w:r>
      <w:r>
        <w:rPr>
          <w:rtl/>
        </w:rPr>
        <w:t xml:space="preserve">تقييد </w:t>
      </w:r>
      <w:r w:rsidRPr="00291325">
        <w:rPr>
          <w:rtl/>
        </w:rPr>
        <w:t xml:space="preserve">السلطات المحلية حقوقه في الظروف الخاصة </w:t>
      </w:r>
      <w:r>
        <w:rPr>
          <w:rtl/>
        </w:rPr>
        <w:t>بقضيته</w:t>
      </w:r>
      <w:r w:rsidRPr="00291325">
        <w:rPr>
          <w:rtl/>
        </w:rPr>
        <w:t xml:space="preserve">. </w:t>
      </w:r>
    </w:p>
    <w:p w14:paraId="39CF506A" w14:textId="77777777" w:rsidR="00AD7A2C" w:rsidRPr="00387BCA" w:rsidRDefault="00AD7A2C" w:rsidP="00AD7A2C">
      <w:pPr>
        <w:pStyle w:val="H23GA"/>
        <w:rPr>
          <w:lang w:val="ar-SA" w:eastAsia="zh-TW" w:bidi="en-GB"/>
        </w:rPr>
      </w:pPr>
      <w:r w:rsidRPr="00387BCA">
        <w:rPr>
          <w:rtl/>
        </w:rPr>
        <w:tab/>
      </w:r>
      <w:r w:rsidRPr="00387BCA">
        <w:rPr>
          <w:rtl/>
        </w:rPr>
        <w:tab/>
        <w:t>المسائل والإجراءات المعروضة على اللجنة</w:t>
      </w:r>
    </w:p>
    <w:p w14:paraId="614CD15E" w14:textId="77777777" w:rsidR="00AD7A2C" w:rsidRPr="00387BCA" w:rsidRDefault="00AD7A2C" w:rsidP="00AD7A2C">
      <w:pPr>
        <w:pStyle w:val="H4GA"/>
        <w:rPr>
          <w:lang w:val="ar-SA" w:eastAsia="zh-TW" w:bidi="en-GB"/>
        </w:rPr>
      </w:pPr>
      <w:r w:rsidRPr="00387BCA">
        <w:rPr>
          <w:rtl/>
        </w:rPr>
        <w:tab/>
      </w:r>
      <w:r w:rsidRPr="00387BCA">
        <w:rPr>
          <w:rtl/>
        </w:rPr>
        <w:tab/>
        <w:t>النظر في المقبولية</w:t>
      </w:r>
    </w:p>
    <w:p w14:paraId="5B08DB56" w14:textId="77777777" w:rsidR="00AD7A2C" w:rsidRPr="00291325" w:rsidRDefault="00AD7A2C" w:rsidP="00AD7A2C">
      <w:pPr>
        <w:pStyle w:val="SingleTxtGA"/>
        <w:rPr>
          <w:lang w:val="ar-SA" w:eastAsia="zh-TW" w:bidi="en-GB"/>
        </w:rPr>
      </w:pPr>
      <w:r w:rsidRPr="00387BCA">
        <w:rPr>
          <w:rtl/>
        </w:rPr>
        <w:t>6</w:t>
      </w:r>
      <w:r w:rsidRPr="00291325">
        <w:rPr>
          <w:rtl/>
        </w:rPr>
        <w:t>-</w:t>
      </w:r>
      <w:r w:rsidRPr="00387BCA">
        <w:rPr>
          <w:rtl/>
        </w:rPr>
        <w:t>1</w:t>
      </w:r>
      <w:r w:rsidRPr="00291325">
        <w:rPr>
          <w:rtl/>
        </w:rPr>
        <w:tab/>
        <w:t xml:space="preserve">قبل النظر في أي ادعاء يرد في بلاغ ما، يجب على اللجنة أن تقرّر، وفقاً للمادة </w:t>
      </w:r>
      <w:r w:rsidRPr="00387BCA">
        <w:rPr>
          <w:rtl/>
        </w:rPr>
        <w:t>97</w:t>
      </w:r>
      <w:r w:rsidRPr="00291325">
        <w:rPr>
          <w:rtl/>
        </w:rPr>
        <w:t xml:space="preserve"> من نظامها الداخلي، ما إذا كان البلاغ مقبولاً أم لا بموجب البروتوكول الاختياري.</w:t>
      </w:r>
    </w:p>
    <w:p w14:paraId="7DD36A6C" w14:textId="77777777" w:rsidR="00AD7A2C" w:rsidRPr="00291325" w:rsidRDefault="00AD7A2C" w:rsidP="00AD7A2C">
      <w:pPr>
        <w:pStyle w:val="SingleTxtGA"/>
        <w:rPr>
          <w:lang w:val="ar-SA" w:eastAsia="zh-TW" w:bidi="en-GB"/>
        </w:rPr>
      </w:pPr>
      <w:r w:rsidRPr="00387BCA">
        <w:rPr>
          <w:rtl/>
        </w:rPr>
        <w:t>6</w:t>
      </w:r>
      <w:r w:rsidRPr="00291325">
        <w:rPr>
          <w:rtl/>
        </w:rPr>
        <w:t>-</w:t>
      </w:r>
      <w:r w:rsidRPr="00387BCA">
        <w:rPr>
          <w:rtl/>
        </w:rPr>
        <w:t>2</w:t>
      </w:r>
      <w:r w:rsidRPr="00291325">
        <w:rPr>
          <w:rtl/>
        </w:rPr>
        <w:tab/>
        <w:t xml:space="preserve">وقد تحقَّقت اللجنة، على النحو المطلوب بموجب المادة </w:t>
      </w:r>
      <w:r w:rsidRPr="00387BCA">
        <w:rPr>
          <w:rtl/>
        </w:rPr>
        <w:t>5</w:t>
      </w:r>
      <w:r w:rsidRPr="00291325">
        <w:rPr>
          <w:rtl/>
        </w:rPr>
        <w:t>(</w:t>
      </w:r>
      <w:r w:rsidRPr="00387BCA">
        <w:rPr>
          <w:rtl/>
        </w:rPr>
        <w:t>2</w:t>
      </w:r>
      <w:r w:rsidRPr="00291325">
        <w:rPr>
          <w:rtl/>
        </w:rPr>
        <w:t>)(أ) من البروتوكول الاختياري، من أن المسألة نفسها ليست قيد البحث بموجب إجراء آخر من إجراءات التحقيق الدولي أو التسوية الدولية.</w:t>
      </w:r>
    </w:p>
    <w:p w14:paraId="32A6BEED" w14:textId="7EE95AFB" w:rsidR="00AD7A2C" w:rsidRPr="00291325" w:rsidRDefault="00AD7A2C" w:rsidP="00AD7A2C">
      <w:pPr>
        <w:pStyle w:val="SingleTxtGA"/>
        <w:rPr>
          <w:lang w:val="ar-SA" w:eastAsia="zh-TW" w:bidi="en-GB"/>
        </w:rPr>
      </w:pPr>
      <w:r w:rsidRPr="00387BCA">
        <w:rPr>
          <w:rtl/>
        </w:rPr>
        <w:t>6</w:t>
      </w:r>
      <w:r w:rsidRPr="00291325">
        <w:rPr>
          <w:rtl/>
        </w:rPr>
        <w:t>-</w:t>
      </w:r>
      <w:r w:rsidRPr="00387BCA">
        <w:rPr>
          <w:rtl/>
        </w:rPr>
        <w:t>3</w:t>
      </w:r>
      <w:r w:rsidRPr="00291325">
        <w:rPr>
          <w:rtl/>
        </w:rPr>
        <w:tab/>
        <w:t>وتحيط اللجنة علماً ب</w:t>
      </w:r>
      <w:r>
        <w:rPr>
          <w:rtl/>
        </w:rPr>
        <w:t>ادعاء</w:t>
      </w:r>
      <w:r w:rsidRPr="00291325">
        <w:rPr>
          <w:rtl/>
        </w:rPr>
        <w:t xml:space="preserve"> الدولة الطرف أن صاحب البلاغ لم يلتمس إجراء مراجعة رقابية للقرارات المطعون فيها في قضيته </w:t>
      </w:r>
      <w:r>
        <w:rPr>
          <w:rtl/>
        </w:rPr>
        <w:t>أمام النيابة</w:t>
      </w:r>
      <w:r w:rsidRPr="00291325">
        <w:rPr>
          <w:rtl/>
        </w:rPr>
        <w:t xml:space="preserve"> العام</w:t>
      </w:r>
      <w:r>
        <w:rPr>
          <w:rtl/>
        </w:rPr>
        <w:t>ة</w:t>
      </w:r>
      <w:r w:rsidRPr="00291325">
        <w:rPr>
          <w:rtl/>
        </w:rPr>
        <w:t xml:space="preserve"> أو رئيس المحكمة العليا في بيلاروس. بيد أن اللجنة تحيط علماً ب</w:t>
      </w:r>
      <w:r>
        <w:rPr>
          <w:rtl/>
        </w:rPr>
        <w:t>ادعاء</w:t>
      </w:r>
      <w:r w:rsidRPr="00291325">
        <w:rPr>
          <w:rtl/>
        </w:rPr>
        <w:t xml:space="preserve"> صاحب البلاغ ال</w:t>
      </w:r>
      <w:r>
        <w:rPr>
          <w:rtl/>
        </w:rPr>
        <w:t>ذ</w:t>
      </w:r>
      <w:r w:rsidRPr="00291325">
        <w:rPr>
          <w:rtl/>
        </w:rPr>
        <w:t xml:space="preserve">ي تؤكده المواد المسجلة في الملف ومفادها أنه استأنف بالفعل، دون جدوى، القرارات الصادرة في قضيته </w:t>
      </w:r>
      <w:r>
        <w:rPr>
          <w:rtl/>
        </w:rPr>
        <w:t>في إطار</w:t>
      </w:r>
      <w:r w:rsidRPr="00291325">
        <w:rPr>
          <w:rtl/>
        </w:rPr>
        <w:t xml:space="preserve"> إجراء المراجعة القضائية الرقابية، وذلك أمام رئيس محكمة غرودنو الإقليمية ورئيس المحكمة العليا في بيلاروس. وترى اللجنة في هذا السياق، أن تقديم طلبات إلى رئيس إحدى المحاكم لإجراء مراجعة قضائية رقابية لقرارات المحاكم التي دخلت حيز النفاذ وتخضع للسلطة التقديرية للقاضي يشكل سبيل انتصاف استثنائياً، وأن على الدولة الطرف أن تثبت وجود احتمال معقول </w:t>
      </w:r>
      <w:r>
        <w:rPr>
          <w:rtl/>
        </w:rPr>
        <w:t>ل</w:t>
      </w:r>
      <w:r w:rsidRPr="00291325">
        <w:rPr>
          <w:rtl/>
        </w:rPr>
        <w:t>أن تتيح هذه الطلبات انتصافاً فعالاً في سياق ظروف القضية. وتذكّر اللجنة كذلك باجتهاداتها القضائية التي جاء فيها أن التماس مراجعة رقابية</w:t>
      </w:r>
      <w:r w:rsidRPr="00046187">
        <w:rPr>
          <w:rtl/>
        </w:rPr>
        <w:t xml:space="preserve"> </w:t>
      </w:r>
      <w:r>
        <w:rPr>
          <w:rtl/>
        </w:rPr>
        <w:t>ل</w:t>
      </w:r>
      <w:r w:rsidRPr="00291325">
        <w:rPr>
          <w:rtl/>
        </w:rPr>
        <w:t xml:space="preserve">قرارات محكمة دخلت حيز النفاذ من </w:t>
      </w:r>
      <w:r>
        <w:rPr>
          <w:rtl/>
        </w:rPr>
        <w:t>النيابة</w:t>
      </w:r>
      <w:r w:rsidRPr="00291325">
        <w:rPr>
          <w:rtl/>
        </w:rPr>
        <w:t xml:space="preserve"> العام</w:t>
      </w:r>
      <w:r>
        <w:rPr>
          <w:rtl/>
        </w:rPr>
        <w:t>ة</w:t>
      </w:r>
      <w:r w:rsidRPr="00291325">
        <w:rPr>
          <w:rtl/>
        </w:rPr>
        <w:t xml:space="preserve"> وهو إجراء يخضع للسلطة التقديرية ل</w:t>
      </w:r>
      <w:r>
        <w:rPr>
          <w:rtl/>
        </w:rPr>
        <w:t>هذه ا</w:t>
      </w:r>
      <w:r w:rsidRPr="00291325">
        <w:rPr>
          <w:rtl/>
        </w:rPr>
        <w:t>ل</w:t>
      </w:r>
      <w:r>
        <w:rPr>
          <w:rtl/>
        </w:rPr>
        <w:t>نيابة</w:t>
      </w:r>
      <w:r w:rsidRPr="00291325">
        <w:rPr>
          <w:rtl/>
        </w:rPr>
        <w:t xml:space="preserve">، </w:t>
      </w:r>
      <w:r>
        <w:rPr>
          <w:rtl/>
        </w:rPr>
        <w:t>ليس سوى</w:t>
      </w:r>
      <w:r w:rsidRPr="00291325">
        <w:rPr>
          <w:rtl/>
        </w:rPr>
        <w:t xml:space="preserve"> سبيل انتصاف استثنائيً و</w:t>
      </w:r>
      <w:r>
        <w:rPr>
          <w:rtl/>
        </w:rPr>
        <w:t>لا</w:t>
      </w:r>
      <w:r w:rsidRPr="00291325">
        <w:rPr>
          <w:rtl/>
        </w:rPr>
        <w:t xml:space="preserve"> يتعيّن</w:t>
      </w:r>
      <w:r>
        <w:rPr>
          <w:rtl/>
        </w:rPr>
        <w:t xml:space="preserve"> من ثم</w:t>
      </w:r>
      <w:r w:rsidRPr="00291325">
        <w:rPr>
          <w:rtl/>
        </w:rPr>
        <w:t xml:space="preserve"> استنفاده لأغراض المادة </w:t>
      </w:r>
      <w:r w:rsidRPr="00387BCA">
        <w:rPr>
          <w:rtl/>
        </w:rPr>
        <w:t>5</w:t>
      </w:r>
      <w:r w:rsidRPr="00291325">
        <w:rPr>
          <w:rtl/>
        </w:rPr>
        <w:t>(</w:t>
      </w:r>
      <w:r w:rsidRPr="00387BCA">
        <w:rPr>
          <w:rtl/>
        </w:rPr>
        <w:t>2</w:t>
      </w:r>
      <w:r w:rsidRPr="00291325">
        <w:rPr>
          <w:rtl/>
        </w:rPr>
        <w:t>)(ب) من البروتوكول الاختياري</w:t>
      </w:r>
      <w:r w:rsidR="008C50A9">
        <w:rPr>
          <w:rStyle w:val="FootnoteReference"/>
          <w:szCs w:val="24"/>
          <w:rtl/>
        </w:rPr>
        <w:t>(</w:t>
      </w:r>
      <w:r w:rsidR="008C50A9" w:rsidRPr="00387BCA">
        <w:rPr>
          <w:rStyle w:val="FootnoteReference"/>
          <w:szCs w:val="22"/>
          <w:rtl/>
          <w:lang w:val="en-US"/>
        </w:rPr>
        <w:footnoteReference w:id="4"/>
      </w:r>
      <w:r w:rsidR="008C50A9" w:rsidRPr="008C50A9">
        <w:rPr>
          <w:rStyle w:val="FootnoteReference"/>
          <w:szCs w:val="24"/>
          <w:rtl/>
        </w:rPr>
        <w:t>)</w:t>
      </w:r>
      <w:r w:rsidR="008C50A9" w:rsidRPr="008C50A9">
        <w:rPr>
          <w:rtl/>
        </w:rPr>
        <w:t xml:space="preserve">. </w:t>
      </w:r>
      <w:r w:rsidRPr="00291325">
        <w:rPr>
          <w:rtl/>
        </w:rPr>
        <w:t xml:space="preserve">وتلاحظ اللجنة أن صاحب البلاغ قد استنفد في هذه الحالة جميع سبل الانتصاف المحلية المتاحة، بما فيها السبل التي تشكّل إجراء مراجعة قضائية رقابية، وعليه، ترى اللجنة أن المادة </w:t>
      </w:r>
      <w:r w:rsidRPr="00387BCA">
        <w:rPr>
          <w:rtl/>
        </w:rPr>
        <w:t>5</w:t>
      </w:r>
      <w:r w:rsidRPr="00291325">
        <w:rPr>
          <w:rtl/>
        </w:rPr>
        <w:t>(</w:t>
      </w:r>
      <w:r w:rsidRPr="00387BCA">
        <w:rPr>
          <w:rtl/>
        </w:rPr>
        <w:t>2</w:t>
      </w:r>
      <w:r w:rsidRPr="00291325">
        <w:rPr>
          <w:rtl/>
        </w:rPr>
        <w:t>)(ب) من البروتوكول الاختياري لا ت</w:t>
      </w:r>
      <w:r>
        <w:rPr>
          <w:rtl/>
        </w:rPr>
        <w:t>منع</w:t>
      </w:r>
      <w:r w:rsidRPr="00291325">
        <w:rPr>
          <w:rtl/>
        </w:rPr>
        <w:t>ها من دراسة هذا البلاغ.</w:t>
      </w:r>
    </w:p>
    <w:p w14:paraId="3232121B" w14:textId="6F77C68C" w:rsidR="008C50A9" w:rsidRPr="008C50A9" w:rsidRDefault="00AD7A2C" w:rsidP="00AD7A2C">
      <w:pPr>
        <w:pStyle w:val="SingleTxtGA"/>
        <w:rPr>
          <w:lang w:val="ar-SA" w:eastAsia="zh-TW" w:bidi="en-GB"/>
        </w:rPr>
      </w:pPr>
      <w:r w:rsidRPr="00387BCA">
        <w:rPr>
          <w:rtl/>
        </w:rPr>
        <w:lastRenderedPageBreak/>
        <w:t>6</w:t>
      </w:r>
      <w:r w:rsidRPr="00291325">
        <w:rPr>
          <w:rtl/>
        </w:rPr>
        <w:t>-</w:t>
      </w:r>
      <w:r w:rsidRPr="00387BCA">
        <w:rPr>
          <w:rtl/>
        </w:rPr>
        <w:t>4</w:t>
      </w:r>
      <w:r w:rsidRPr="00291325">
        <w:rPr>
          <w:rtl/>
        </w:rPr>
        <w:tab/>
        <w:t xml:space="preserve">وتلاحظ اللجنة كذلك ادعاءات صاحب البلاغ أن حقه في حرية التجمع بموجب المادة </w:t>
      </w:r>
      <w:r w:rsidRPr="00387BCA">
        <w:rPr>
          <w:rtl/>
        </w:rPr>
        <w:t>21</w:t>
      </w:r>
      <w:r w:rsidRPr="00291325">
        <w:rPr>
          <w:rtl/>
        </w:rPr>
        <w:t xml:space="preserve"> من العهد قد قُيّد تعسفاً، لأنه غُرم بسبب إجراء اعتصام غير مرخص له. وتلاحظ اللجنة في هذا الصدد أن صاحب البلاغ كان المشارك الوحيد في الاعتصام. وعلى الرغم من أن مفهوم وجوب حماية التجمع بموجب المادة </w:t>
      </w:r>
      <w:r w:rsidRPr="00387BCA">
        <w:rPr>
          <w:rtl/>
        </w:rPr>
        <w:t>21</w:t>
      </w:r>
      <w:r w:rsidRPr="00291325">
        <w:rPr>
          <w:rtl/>
        </w:rPr>
        <w:t xml:space="preserve"> يعني ضمناً مشارك</w:t>
      </w:r>
      <w:r>
        <w:rPr>
          <w:rtl/>
        </w:rPr>
        <w:t>ة أكثر من فرد</w:t>
      </w:r>
      <w:r w:rsidRPr="00291325">
        <w:rPr>
          <w:rtl/>
        </w:rPr>
        <w:t xml:space="preserve"> واحد في التجمع، فإن </w:t>
      </w:r>
      <w:r>
        <w:rPr>
          <w:rtl/>
        </w:rPr>
        <w:t>ال</w:t>
      </w:r>
      <w:r w:rsidRPr="00291325">
        <w:rPr>
          <w:rtl/>
        </w:rPr>
        <w:t xml:space="preserve">محتج </w:t>
      </w:r>
      <w:r>
        <w:rPr>
          <w:rtl/>
        </w:rPr>
        <w:t>ال</w:t>
      </w:r>
      <w:r w:rsidRPr="00291325">
        <w:rPr>
          <w:rtl/>
        </w:rPr>
        <w:t>واحد يتمتع بحماية مماثلة بموجب العهد</w:t>
      </w:r>
      <w:r>
        <w:rPr>
          <w:rtl/>
        </w:rPr>
        <w:t>،</w:t>
      </w:r>
      <w:r w:rsidRPr="00291325">
        <w:rPr>
          <w:rtl/>
        </w:rPr>
        <w:t xml:space="preserve"> </w:t>
      </w:r>
      <w:r>
        <w:rPr>
          <w:rtl/>
        </w:rPr>
        <w:t xml:space="preserve">كتلك المنصوص عليها في </w:t>
      </w:r>
      <w:r w:rsidRPr="00291325">
        <w:rPr>
          <w:rtl/>
        </w:rPr>
        <w:t xml:space="preserve">المادة </w:t>
      </w:r>
      <w:r w:rsidRPr="00387BCA">
        <w:rPr>
          <w:rtl/>
        </w:rPr>
        <w:t>19</w:t>
      </w:r>
      <w:r>
        <w:rPr>
          <w:rtl/>
        </w:rPr>
        <w:t xml:space="preserve"> مثلا</w:t>
      </w:r>
      <w:r w:rsidR="00410704">
        <w:rPr>
          <w:rFonts w:hint="cs"/>
          <w:rtl/>
        </w:rPr>
        <w:t>ً</w:t>
      </w:r>
      <w:r w:rsidR="008C50A9">
        <w:rPr>
          <w:rStyle w:val="FootnoteReference"/>
          <w:szCs w:val="24"/>
          <w:rtl/>
        </w:rPr>
        <w:t>(</w:t>
      </w:r>
      <w:r w:rsidR="008C50A9" w:rsidRPr="00387BCA">
        <w:rPr>
          <w:rStyle w:val="FootnoteReference"/>
          <w:szCs w:val="22"/>
          <w:rtl/>
          <w:lang w:val="en-US"/>
        </w:rPr>
        <w:footnoteReference w:id="5"/>
      </w:r>
      <w:r w:rsidR="008C50A9" w:rsidRPr="008C50A9">
        <w:rPr>
          <w:rStyle w:val="FootnoteReference"/>
          <w:szCs w:val="24"/>
          <w:rtl/>
        </w:rPr>
        <w:t>)</w:t>
      </w:r>
      <w:r w:rsidR="008C50A9" w:rsidRPr="008C50A9">
        <w:rPr>
          <w:rtl/>
        </w:rPr>
        <w:t xml:space="preserve">. </w:t>
      </w:r>
      <w:r w:rsidRPr="00291325">
        <w:rPr>
          <w:rtl/>
        </w:rPr>
        <w:t xml:space="preserve">وترى اللجنة أن صاحب البلاغ لم يقدم عناصر كافية تبين تنظيم ’’تجمع‘‘ بالفعل بالمعنى المقصود في المادة </w:t>
      </w:r>
      <w:r w:rsidRPr="00387BCA">
        <w:rPr>
          <w:rtl/>
        </w:rPr>
        <w:t>2</w:t>
      </w:r>
      <w:r w:rsidR="008C50A9" w:rsidRPr="00387BCA">
        <w:rPr>
          <w:rtl/>
        </w:rPr>
        <w:t>1</w:t>
      </w:r>
      <w:r w:rsidR="008C50A9" w:rsidRPr="008C50A9">
        <w:rPr>
          <w:rtl/>
        </w:rPr>
        <w:t xml:space="preserve">. </w:t>
      </w:r>
      <w:r w:rsidRPr="00291325">
        <w:rPr>
          <w:rtl/>
        </w:rPr>
        <w:t xml:space="preserve">وعليه، ترى اللجنة، في ظروف هذه القضية، أن صاحب البلاغ لم يثبت هذا الادعاء تحديداً بأدلة كافية لأغراض المقبولية وتعلن أن هذا الجزء من البلاغ غير مقبول بموجب المادة </w:t>
      </w:r>
      <w:r w:rsidRPr="00387BCA">
        <w:rPr>
          <w:rtl/>
        </w:rPr>
        <w:t>2</w:t>
      </w:r>
      <w:r w:rsidRPr="00291325">
        <w:rPr>
          <w:rtl/>
        </w:rPr>
        <w:t xml:space="preserve"> من البروتوكول الاختياري</w:t>
      </w:r>
      <w:r w:rsidR="008C50A9">
        <w:rPr>
          <w:rStyle w:val="FootnoteReference"/>
          <w:szCs w:val="24"/>
          <w:rtl/>
        </w:rPr>
        <w:t>(</w:t>
      </w:r>
      <w:r w:rsidR="008C50A9" w:rsidRPr="00387BCA">
        <w:rPr>
          <w:rStyle w:val="FootnoteReference"/>
          <w:szCs w:val="22"/>
          <w:rtl/>
          <w:lang w:val="en-US"/>
        </w:rPr>
        <w:footnoteReference w:id="6"/>
      </w:r>
      <w:r w:rsidR="008C50A9" w:rsidRPr="008C50A9">
        <w:rPr>
          <w:rStyle w:val="FootnoteReference"/>
          <w:szCs w:val="24"/>
          <w:rtl/>
        </w:rPr>
        <w:t>)</w:t>
      </w:r>
      <w:r w:rsidR="008C50A9" w:rsidRPr="008C50A9">
        <w:rPr>
          <w:rtl/>
        </w:rPr>
        <w:t>.</w:t>
      </w:r>
    </w:p>
    <w:p w14:paraId="47CAE200" w14:textId="63F0A171" w:rsidR="00AD7A2C" w:rsidRPr="00291325" w:rsidRDefault="00AD7A2C" w:rsidP="00AD7A2C">
      <w:pPr>
        <w:pStyle w:val="SingleTxtGA"/>
        <w:rPr>
          <w:lang w:val="ar-SA" w:eastAsia="zh-TW" w:bidi="en-GB"/>
        </w:rPr>
      </w:pPr>
      <w:r w:rsidRPr="00387BCA">
        <w:rPr>
          <w:rtl/>
        </w:rPr>
        <w:t>6</w:t>
      </w:r>
      <w:r w:rsidRPr="00291325">
        <w:rPr>
          <w:rtl/>
        </w:rPr>
        <w:t>-</w:t>
      </w:r>
      <w:r w:rsidRPr="00387BCA">
        <w:rPr>
          <w:rtl/>
        </w:rPr>
        <w:t>5</w:t>
      </w:r>
      <w:r w:rsidRPr="00291325">
        <w:rPr>
          <w:rtl/>
        </w:rPr>
        <w:tab/>
        <w:t xml:space="preserve">وفيما يتعلق بادعاء صاحب البلاغ بموجب المادة </w:t>
      </w:r>
      <w:r w:rsidRPr="00387BCA">
        <w:rPr>
          <w:rtl/>
        </w:rPr>
        <w:t>19</w:t>
      </w:r>
      <w:r w:rsidRPr="00291325">
        <w:rPr>
          <w:rtl/>
        </w:rPr>
        <w:t>(</w:t>
      </w:r>
      <w:r w:rsidR="008C50A9" w:rsidRPr="00387BCA">
        <w:rPr>
          <w:rtl/>
        </w:rPr>
        <w:t>2</w:t>
      </w:r>
      <w:r w:rsidR="008C50A9" w:rsidRPr="008C50A9">
        <w:rPr>
          <w:rtl/>
        </w:rPr>
        <w:t xml:space="preserve">) </w:t>
      </w:r>
      <w:r w:rsidRPr="00291325">
        <w:rPr>
          <w:rtl/>
        </w:rPr>
        <w:t xml:space="preserve">من العهد بشأن العقوبة الإدارية المفروضة عليه بسبب قيامه باعتصام غير مرخص له، وادعائه بموجب المادتين </w:t>
      </w:r>
      <w:r w:rsidRPr="00387BCA">
        <w:rPr>
          <w:rtl/>
        </w:rPr>
        <w:t>19</w:t>
      </w:r>
      <w:r w:rsidRPr="00291325">
        <w:rPr>
          <w:rtl/>
        </w:rPr>
        <w:t>(</w:t>
      </w:r>
      <w:r w:rsidR="008C50A9" w:rsidRPr="00387BCA">
        <w:rPr>
          <w:rtl/>
        </w:rPr>
        <w:t>2</w:t>
      </w:r>
      <w:r w:rsidR="008C50A9" w:rsidRPr="008C50A9">
        <w:rPr>
          <w:rtl/>
        </w:rPr>
        <w:t xml:space="preserve">) </w:t>
      </w:r>
      <w:r w:rsidRPr="00291325">
        <w:rPr>
          <w:rtl/>
        </w:rPr>
        <w:t>و</w:t>
      </w:r>
      <w:r w:rsidRPr="00387BCA">
        <w:rPr>
          <w:rtl/>
        </w:rPr>
        <w:t>21</w:t>
      </w:r>
      <w:r w:rsidRPr="00291325">
        <w:rPr>
          <w:rtl/>
        </w:rPr>
        <w:t xml:space="preserve"> من العهد بشأن رفض سلطات الدولة الطرف منحه ترخيصاً لعقد تجمعين سلميين، ترى اللجنة أنهما مدعمان بأدلة كافية لأغراض المقبولية، وتعلن أنهما مقبولان وتشرع في النظر في أسسهما الموضوعية.</w:t>
      </w:r>
    </w:p>
    <w:p w14:paraId="4D4D012D" w14:textId="18608878" w:rsidR="00AD7A2C" w:rsidRPr="00387BCA" w:rsidRDefault="00AD7A2C" w:rsidP="00AD7A2C">
      <w:pPr>
        <w:pStyle w:val="H4GA"/>
        <w:rPr>
          <w:lang w:val="ar-SA" w:eastAsia="zh-TW" w:bidi="en-GB"/>
        </w:rPr>
      </w:pPr>
      <w:r w:rsidRPr="00387BCA">
        <w:rPr>
          <w:rtl/>
        </w:rPr>
        <w:tab/>
      </w:r>
      <w:r w:rsidRPr="00387BCA">
        <w:rPr>
          <w:rtl/>
        </w:rPr>
        <w:tab/>
        <w:t>النظر في الأسس الموضوعية</w:t>
      </w:r>
    </w:p>
    <w:p w14:paraId="1E32F9C2" w14:textId="1EE7C39E" w:rsidR="00AD7A2C" w:rsidRPr="00291325" w:rsidRDefault="00AD7A2C" w:rsidP="00AD7A2C">
      <w:pPr>
        <w:pStyle w:val="SingleTxtGA"/>
        <w:rPr>
          <w:lang w:val="ar-SA" w:eastAsia="zh-TW" w:bidi="en-GB"/>
        </w:rPr>
      </w:pPr>
      <w:r w:rsidRPr="00387BCA">
        <w:rPr>
          <w:rtl/>
        </w:rPr>
        <w:t>7</w:t>
      </w:r>
      <w:r w:rsidRPr="00291325">
        <w:rPr>
          <w:rtl/>
        </w:rPr>
        <w:t>-</w:t>
      </w:r>
      <w:r w:rsidRPr="00387BCA">
        <w:rPr>
          <w:rtl/>
        </w:rPr>
        <w:t>1</w:t>
      </w:r>
      <w:r w:rsidRPr="00291325">
        <w:rPr>
          <w:rtl/>
        </w:rPr>
        <w:tab/>
        <w:t xml:space="preserve">نظرت اللجنة في البلاغ في ضوء جميع المعلومات التي أتاحها لها الطرفان، على النحو المنصوص عليه في المادة </w:t>
      </w:r>
      <w:r w:rsidRPr="00387BCA">
        <w:rPr>
          <w:rtl/>
        </w:rPr>
        <w:t>5</w:t>
      </w:r>
      <w:r w:rsidRPr="00291325">
        <w:rPr>
          <w:rtl/>
        </w:rPr>
        <w:t>(</w:t>
      </w:r>
      <w:r w:rsidR="008C50A9" w:rsidRPr="00387BCA">
        <w:rPr>
          <w:rtl/>
        </w:rPr>
        <w:t>1</w:t>
      </w:r>
      <w:r w:rsidR="008C50A9" w:rsidRPr="008C50A9">
        <w:rPr>
          <w:rtl/>
        </w:rPr>
        <w:t xml:space="preserve">) </w:t>
      </w:r>
      <w:r w:rsidRPr="00291325">
        <w:rPr>
          <w:rtl/>
        </w:rPr>
        <w:t>من البروتوكول الاختياري.</w:t>
      </w:r>
    </w:p>
    <w:p w14:paraId="24A45C39" w14:textId="6FAA7093" w:rsidR="00AD7A2C" w:rsidRPr="00291325" w:rsidRDefault="00AD7A2C" w:rsidP="00AD7A2C">
      <w:pPr>
        <w:pStyle w:val="SingleTxtGA"/>
        <w:rPr>
          <w:lang w:val="ar-SA" w:eastAsia="zh-TW" w:bidi="en-GB"/>
        </w:rPr>
      </w:pPr>
      <w:r w:rsidRPr="00387BCA">
        <w:rPr>
          <w:rtl/>
        </w:rPr>
        <w:t>7</w:t>
      </w:r>
      <w:r w:rsidRPr="00410704">
        <w:rPr>
          <w:rtl/>
        </w:rPr>
        <w:t>-</w:t>
      </w:r>
      <w:r w:rsidRPr="00387BCA">
        <w:rPr>
          <w:rtl/>
        </w:rPr>
        <w:t>2</w:t>
      </w:r>
      <w:r w:rsidRPr="00410704">
        <w:rPr>
          <w:rtl/>
        </w:rPr>
        <w:tab/>
        <w:t xml:space="preserve">وتحيط اللجنة علماً بادعاءات صاحب البلاغ أن حقوقه في حرية التعبير والتجمع قد قيدت، مما يشكل انتهاكاً للمادتين </w:t>
      </w:r>
      <w:r w:rsidRPr="00387BCA">
        <w:rPr>
          <w:rtl/>
        </w:rPr>
        <w:t>19</w:t>
      </w:r>
      <w:r w:rsidRPr="00410704">
        <w:rPr>
          <w:rtl/>
        </w:rPr>
        <w:t>(</w:t>
      </w:r>
      <w:r w:rsidR="008C50A9" w:rsidRPr="00387BCA">
        <w:rPr>
          <w:rtl/>
        </w:rPr>
        <w:t>2</w:t>
      </w:r>
      <w:r w:rsidR="008C50A9" w:rsidRPr="008C50A9">
        <w:rPr>
          <w:rtl/>
        </w:rPr>
        <w:t xml:space="preserve">) </w:t>
      </w:r>
      <w:r w:rsidRPr="00410704">
        <w:rPr>
          <w:rtl/>
        </w:rPr>
        <w:t>و</w:t>
      </w:r>
      <w:r w:rsidRPr="00387BCA">
        <w:rPr>
          <w:rtl/>
        </w:rPr>
        <w:t>21</w:t>
      </w:r>
      <w:r w:rsidRPr="00410704">
        <w:rPr>
          <w:rtl/>
        </w:rPr>
        <w:t xml:space="preserve"> من العهد، حيث إنه منع من تنظيم تجمعين سلميين، أي مسيرة واعتصام، بهدف الإعراب عن تأييده لاندماج أوكرانيا الأوروبي وتضامنه مع شعب أوكرانيا في رغبته في العيش في دولة حرة ومناهضة للقتل والعنف والوحشية. وتحيط اللجنة علماً كذلك بادعاء صاحب البلاغ بموجب المادة </w:t>
      </w:r>
      <w:r w:rsidRPr="00387BCA">
        <w:rPr>
          <w:rtl/>
        </w:rPr>
        <w:t>19</w:t>
      </w:r>
      <w:r w:rsidRPr="00410704">
        <w:rPr>
          <w:rtl/>
        </w:rPr>
        <w:t>(</w:t>
      </w:r>
      <w:r w:rsidR="008C50A9" w:rsidRPr="00387BCA">
        <w:rPr>
          <w:rtl/>
        </w:rPr>
        <w:t>2</w:t>
      </w:r>
      <w:r w:rsidR="008C50A9" w:rsidRPr="008C50A9">
        <w:rPr>
          <w:rtl/>
        </w:rPr>
        <w:t xml:space="preserve">) </w:t>
      </w:r>
      <w:r w:rsidRPr="00410704">
        <w:rPr>
          <w:rtl/>
        </w:rPr>
        <w:t xml:space="preserve">من العهد بأن حقه في حرية التعبير قد قيد دون مبرر، حيث حكم عليه بدفع غرامة إدارية لمشاركته في اعتصام فردي بغرض الاحتجاج على نشر القوات الروسية في أوكرانيا. وتحيط اللجنة علماً أيضاً بادعاءات صاحب البلاغ أن السلطات لم توضح السبب الذي يجعل تقييد حقوقه أمراً ضرورياً لضمان الأمن القومي أو السلامة العامة أو النظام العام، أو لحماية الصحة العامة أو الآداب العامة أو حقوق الآخرين وحرياتهم، كما تقتضيه أحكام المادة </w:t>
      </w:r>
      <w:r w:rsidRPr="00387BCA">
        <w:rPr>
          <w:rtl/>
        </w:rPr>
        <w:t>19</w:t>
      </w:r>
      <w:r w:rsidRPr="00410704">
        <w:rPr>
          <w:rtl/>
        </w:rPr>
        <w:t>(</w:t>
      </w:r>
      <w:r w:rsidR="008C50A9" w:rsidRPr="00387BCA">
        <w:rPr>
          <w:rtl/>
        </w:rPr>
        <w:t>3</w:t>
      </w:r>
      <w:r w:rsidR="008C50A9" w:rsidRPr="008C50A9">
        <w:rPr>
          <w:rtl/>
        </w:rPr>
        <w:t xml:space="preserve">) </w:t>
      </w:r>
      <w:r w:rsidRPr="00410704">
        <w:rPr>
          <w:rtl/>
        </w:rPr>
        <w:t xml:space="preserve">والجملة الثانية من المادة </w:t>
      </w:r>
      <w:r w:rsidRPr="00387BCA">
        <w:rPr>
          <w:rtl/>
        </w:rPr>
        <w:t>21</w:t>
      </w:r>
      <w:r w:rsidRPr="00410704">
        <w:rPr>
          <w:rtl/>
        </w:rPr>
        <w:t xml:space="preserve"> من العهد.</w:t>
      </w:r>
    </w:p>
    <w:p w14:paraId="5072BAE4" w14:textId="77777777" w:rsidR="00AD7A2C" w:rsidRPr="00291325" w:rsidRDefault="00AD7A2C" w:rsidP="00AD7A2C">
      <w:pPr>
        <w:pStyle w:val="SingleTxtGA"/>
        <w:rPr>
          <w:lang w:val="ar-SA" w:eastAsia="zh-TW" w:bidi="en-GB"/>
        </w:rPr>
      </w:pPr>
      <w:r w:rsidRPr="00387BCA">
        <w:rPr>
          <w:rtl/>
        </w:rPr>
        <w:t>7</w:t>
      </w:r>
      <w:r w:rsidRPr="00291325">
        <w:rPr>
          <w:rtl/>
        </w:rPr>
        <w:t>-</w:t>
      </w:r>
      <w:r w:rsidRPr="00387BCA">
        <w:rPr>
          <w:rtl/>
        </w:rPr>
        <w:t>3</w:t>
      </w:r>
      <w:r w:rsidRPr="00291325">
        <w:rPr>
          <w:rtl/>
        </w:rPr>
        <w:tab/>
        <w:t xml:space="preserve">وتحيط اللجنة علماً بادعاء صاحب البلاغ حدوث انتهاك لحقه بموجب المادة </w:t>
      </w:r>
      <w:r w:rsidRPr="00387BCA">
        <w:rPr>
          <w:rtl/>
        </w:rPr>
        <w:t>21</w:t>
      </w:r>
      <w:r w:rsidRPr="00291325">
        <w:rPr>
          <w:rtl/>
        </w:rPr>
        <w:t xml:space="preserve"> من العهد بسبب رفض سلطات مدينة فولكوفيسك غير المبرر إصدار ترخيص لعقد تجمعين سلميين. ولهذا السبب، فالمسألة المعروضة على اللجنة هي تحديد ما إذا كان منع سلطات المدينة صاحب البلاغ من تنظيم تجمعين سلميين يبلغ حد انتهاك المادة </w:t>
      </w:r>
      <w:r w:rsidRPr="00387BCA">
        <w:rPr>
          <w:rtl/>
        </w:rPr>
        <w:t>21</w:t>
      </w:r>
      <w:r w:rsidRPr="00291325">
        <w:rPr>
          <w:rtl/>
        </w:rPr>
        <w:t xml:space="preserve"> من العهد.</w:t>
      </w:r>
    </w:p>
    <w:p w14:paraId="354D3FE5" w14:textId="3353E1D5" w:rsidR="008C50A9" w:rsidRPr="008C50A9" w:rsidRDefault="00AD7A2C" w:rsidP="00AD7A2C">
      <w:pPr>
        <w:pStyle w:val="SingleTxtGA"/>
        <w:rPr>
          <w:lang w:val="ar-SA" w:eastAsia="zh-TW" w:bidi="en-GB"/>
        </w:rPr>
      </w:pPr>
      <w:r w:rsidRPr="00387BCA">
        <w:rPr>
          <w:rtl/>
        </w:rPr>
        <w:t>7</w:t>
      </w:r>
      <w:r w:rsidRPr="00291325">
        <w:rPr>
          <w:rtl/>
        </w:rPr>
        <w:t>-</w:t>
      </w:r>
      <w:r w:rsidRPr="00387BCA">
        <w:rPr>
          <w:rtl/>
        </w:rPr>
        <w:t>4</w:t>
      </w:r>
      <w:r w:rsidRPr="00291325">
        <w:rPr>
          <w:rtl/>
        </w:rPr>
        <w:tab/>
        <w:t>و</w:t>
      </w:r>
      <w:r>
        <w:rPr>
          <w:rtl/>
        </w:rPr>
        <w:t xml:space="preserve">قد </w:t>
      </w:r>
      <w:r w:rsidRPr="00291325">
        <w:rPr>
          <w:rtl/>
        </w:rPr>
        <w:t xml:space="preserve">ذكرت اللجنة في تعليقها العام رقم </w:t>
      </w:r>
      <w:r w:rsidRPr="00387BCA">
        <w:rPr>
          <w:rtl/>
        </w:rPr>
        <w:t>37</w:t>
      </w:r>
      <w:r w:rsidRPr="00291325">
        <w:rPr>
          <w:rtl/>
        </w:rPr>
        <w:t>(</w:t>
      </w:r>
      <w:r w:rsidRPr="00387BCA">
        <w:rPr>
          <w:rtl/>
        </w:rPr>
        <w:t>202</w:t>
      </w:r>
      <w:r w:rsidR="008C50A9" w:rsidRPr="00387BCA">
        <w:rPr>
          <w:rtl/>
        </w:rPr>
        <w:t>0</w:t>
      </w:r>
      <w:r w:rsidR="008C50A9" w:rsidRPr="008C50A9">
        <w:rPr>
          <w:rtl/>
        </w:rPr>
        <w:t xml:space="preserve">) </w:t>
      </w:r>
      <w:r w:rsidRPr="00291325">
        <w:rPr>
          <w:rtl/>
        </w:rPr>
        <w:t>أنه يجوز تنظيم التجمعات السلمية، من حيث المبدأ، في جميع الأماكن التي يمكن للناس الوصول إليها أو التي ينبغي أن تتاح لهم إمكانية الوصول إليها، مثل الساحات العامة والشوارع</w:t>
      </w:r>
      <w:r w:rsidR="008C50A9">
        <w:rPr>
          <w:rStyle w:val="FootnoteReference"/>
          <w:szCs w:val="24"/>
          <w:rtl/>
        </w:rPr>
        <w:t>(</w:t>
      </w:r>
      <w:r w:rsidR="008C50A9" w:rsidRPr="00387BCA">
        <w:rPr>
          <w:rStyle w:val="FootnoteReference"/>
          <w:szCs w:val="22"/>
          <w:rtl/>
          <w:lang w:val="en-US"/>
        </w:rPr>
        <w:footnoteReference w:id="7"/>
      </w:r>
      <w:r w:rsidR="008C50A9" w:rsidRPr="008C50A9">
        <w:rPr>
          <w:rStyle w:val="FootnoteReference"/>
          <w:szCs w:val="24"/>
          <w:rtl/>
        </w:rPr>
        <w:t>)</w:t>
      </w:r>
      <w:r w:rsidR="008C50A9" w:rsidRPr="008C50A9">
        <w:rPr>
          <w:rtl/>
        </w:rPr>
        <w:t xml:space="preserve">. </w:t>
      </w:r>
      <w:r w:rsidRPr="00291325">
        <w:rPr>
          <w:rtl/>
        </w:rPr>
        <w:t xml:space="preserve">وينبغي عدم إبعاد التجمعات السلمية إلى مناطق نائية </w:t>
      </w:r>
      <w:r w:rsidRPr="00291325">
        <w:rPr>
          <w:rtl/>
        </w:rPr>
        <w:lastRenderedPageBreak/>
        <w:t xml:space="preserve">يتعذر فيها جذب اهتمام الفئات المستهدفة أو عامة الناس بصورة فعالة. وتقضي القاعدة العامة بأنه لا يمكن فرض حظر كلّي على جميع التجمعات في العاصمة أو في جميع الأماكن العامة باستثناء مكان واحد محدد داخل المدينة أو خارج وسط المدينة أو في جميع شوارع المدينة. وتلاحظ اللجنة كذلك أن الشروط التي تلزم منظمي التجمع السلمي أو المشاركين فيه إما بضبط النظام أو الأمن، أو تقديم المساعدة الطبية أو التنظيف، أو أي خدمات عامة أخرى مرتبطة بالتجمعات السلمية، أو بالمساهمة في دفع تكاليف ذلك، لا تتفق مع أحكام المادة </w:t>
      </w:r>
      <w:r w:rsidRPr="00387BCA">
        <w:rPr>
          <w:rtl/>
        </w:rPr>
        <w:t>21</w:t>
      </w:r>
      <w:r w:rsidR="008C50A9">
        <w:rPr>
          <w:rStyle w:val="FootnoteReference"/>
          <w:szCs w:val="24"/>
          <w:rtl/>
        </w:rPr>
        <w:t>(</w:t>
      </w:r>
      <w:r w:rsidR="008C50A9" w:rsidRPr="00387BCA">
        <w:rPr>
          <w:rStyle w:val="FootnoteReference"/>
          <w:szCs w:val="22"/>
          <w:rtl/>
          <w:lang w:val="en-US"/>
        </w:rPr>
        <w:footnoteReference w:id="8"/>
      </w:r>
      <w:r w:rsidR="008C50A9" w:rsidRPr="008C50A9">
        <w:rPr>
          <w:rStyle w:val="FootnoteReference"/>
          <w:szCs w:val="24"/>
          <w:rtl/>
        </w:rPr>
        <w:t>)</w:t>
      </w:r>
      <w:r w:rsidR="008C50A9" w:rsidRPr="008C50A9">
        <w:rPr>
          <w:rtl/>
        </w:rPr>
        <w:t>.</w:t>
      </w:r>
    </w:p>
    <w:p w14:paraId="5DEDA18E" w14:textId="5F9C7D04" w:rsidR="008C50A9" w:rsidRPr="008C50A9" w:rsidRDefault="00AD7A2C" w:rsidP="00AD7A2C">
      <w:pPr>
        <w:pStyle w:val="SingleTxtGA"/>
        <w:rPr>
          <w:lang w:val="ar-SA" w:eastAsia="zh-TW" w:bidi="en-GB"/>
        </w:rPr>
      </w:pPr>
      <w:r w:rsidRPr="00387BCA">
        <w:rPr>
          <w:rtl/>
        </w:rPr>
        <w:t>7</w:t>
      </w:r>
      <w:r w:rsidRPr="00291325">
        <w:rPr>
          <w:rtl/>
        </w:rPr>
        <w:t>-</w:t>
      </w:r>
      <w:r w:rsidRPr="00387BCA">
        <w:rPr>
          <w:rtl/>
        </w:rPr>
        <w:t>5</w:t>
      </w:r>
      <w:r w:rsidRPr="00291325">
        <w:rPr>
          <w:rtl/>
        </w:rPr>
        <w:tab/>
        <w:t xml:space="preserve">وتذكّر اللجنة بأن الحق في التجمع السلمي، الذي تكفله المادة </w:t>
      </w:r>
      <w:r w:rsidRPr="00387BCA">
        <w:rPr>
          <w:rtl/>
        </w:rPr>
        <w:t>21</w:t>
      </w:r>
      <w:r w:rsidRPr="00291325">
        <w:rPr>
          <w:rtl/>
        </w:rPr>
        <w:t xml:space="preserve"> من العهد، حق أساسي من حقوق الإنسان</w:t>
      </w:r>
      <w:r>
        <w:rPr>
          <w:rtl/>
        </w:rPr>
        <w:t>، وهو</w:t>
      </w:r>
      <w:r w:rsidRPr="00291325">
        <w:rPr>
          <w:rtl/>
        </w:rPr>
        <w:t xml:space="preserve"> ضروري لتعبير الفرد علناً عن آرائه ووجهات نظره ولا غنى عنه في مجتمع ديمقراطي. وتحمي المادة </w:t>
      </w:r>
      <w:r w:rsidRPr="00387BCA">
        <w:rPr>
          <w:rtl/>
        </w:rPr>
        <w:t>21</w:t>
      </w:r>
      <w:r w:rsidRPr="00291325">
        <w:rPr>
          <w:rtl/>
        </w:rPr>
        <w:t xml:space="preserve"> من العهد التجمعات السلمية أينما عُقدت، سواء في الهواء الطلق أ</w:t>
      </w:r>
      <w:r>
        <w:rPr>
          <w:rtl/>
        </w:rPr>
        <w:t>م</w:t>
      </w:r>
      <w:r w:rsidRPr="00291325">
        <w:rPr>
          <w:rtl/>
        </w:rPr>
        <w:t xml:space="preserve"> في الأماكن المغلقة أو عبر الإنترنت؛ أو في الأماكن العامة والخاصة؛ أو فيها معاً. وقد تتّخذ هذه التجمعات أشكالاً عديدة، بما فيها المظاهرات والاحتجاجات والاجتماعات والمواكب والتجمعات والاعتصامات والوقفات على ضوء الشموع والتجمعات المفاجئة. وهي محمية بموجب المادة </w:t>
      </w:r>
      <w:r w:rsidRPr="00387BCA">
        <w:rPr>
          <w:rtl/>
        </w:rPr>
        <w:t>21</w:t>
      </w:r>
      <w:r w:rsidRPr="00291325">
        <w:rPr>
          <w:rtl/>
        </w:rPr>
        <w:t xml:space="preserve"> سواء أكانت ثابتة، مثل الاعتصامات، أم متنقلة، مثل المواكب أو المسيرات</w:t>
      </w:r>
      <w:r w:rsidR="008C50A9">
        <w:rPr>
          <w:rStyle w:val="FootnoteReference"/>
          <w:szCs w:val="24"/>
          <w:rtl/>
        </w:rPr>
        <w:t>(</w:t>
      </w:r>
      <w:r w:rsidR="008C50A9" w:rsidRPr="00387BCA">
        <w:rPr>
          <w:rStyle w:val="FootnoteReference"/>
          <w:szCs w:val="22"/>
          <w:rtl/>
          <w:lang w:val="en-US"/>
        </w:rPr>
        <w:footnoteReference w:id="9"/>
      </w:r>
      <w:r w:rsidR="008C50A9" w:rsidRPr="008C50A9">
        <w:rPr>
          <w:rStyle w:val="FootnoteReference"/>
          <w:szCs w:val="24"/>
          <w:rtl/>
        </w:rPr>
        <w:t>)</w:t>
      </w:r>
      <w:r w:rsidR="008C50A9" w:rsidRPr="008C50A9">
        <w:rPr>
          <w:rtl/>
        </w:rPr>
        <w:t xml:space="preserve">. </w:t>
      </w:r>
      <w:r w:rsidRPr="00291325">
        <w:rPr>
          <w:rtl/>
        </w:rPr>
        <w:t>ويحق عموماً لمنظمي أي تجمع اختيار مكان على مرأى ومسمع من جمهورهم المستهدف</w:t>
      </w:r>
      <w:r w:rsidR="008C50A9">
        <w:rPr>
          <w:rStyle w:val="FootnoteReference"/>
          <w:szCs w:val="24"/>
          <w:rtl/>
        </w:rPr>
        <w:t>(</w:t>
      </w:r>
      <w:r w:rsidR="008C50A9" w:rsidRPr="00387BCA">
        <w:rPr>
          <w:rStyle w:val="FootnoteReference"/>
          <w:szCs w:val="22"/>
          <w:rtl/>
          <w:lang w:val="en-US"/>
        </w:rPr>
        <w:footnoteReference w:id="10"/>
      </w:r>
      <w:r w:rsidR="008C50A9" w:rsidRPr="008C50A9">
        <w:rPr>
          <w:rStyle w:val="FootnoteReference"/>
          <w:szCs w:val="24"/>
          <w:rtl/>
        </w:rPr>
        <w:t>)</w:t>
      </w:r>
      <w:r w:rsidR="008C50A9" w:rsidRPr="008C50A9">
        <w:rPr>
          <w:rtl/>
        </w:rPr>
        <w:t xml:space="preserve">، </w:t>
      </w:r>
      <w:r w:rsidRPr="00291325">
        <w:rPr>
          <w:rtl/>
        </w:rPr>
        <w:t xml:space="preserve">ولا يُسمح بفرض أي قيد على هذا الحق إلا إذا كان القيد (أ) مفروضاً بموجب القانون؛ (ب) وضرورياً في مجتمع ديمقراطي، لصون الأمن القومي أو السلامة العامة أو النظام العام، أو لحماية الصحة العامة أو الآداب العامة أو حقوق الآخرين وحرياتهم. وعندما تفرض دولة طرف قيوداً بهدف التوفيق بين حق الفرد في التجمع وبين المصالح العامة </w:t>
      </w:r>
      <w:r>
        <w:rPr>
          <w:rtl/>
        </w:rPr>
        <w:t>ال</w:t>
      </w:r>
      <w:r w:rsidRPr="00291325">
        <w:rPr>
          <w:rtl/>
        </w:rPr>
        <w:t>آنفة الذكر، ينبغي أن تسترشد الدولة الطرف بهدف تيسير إعمال هذا الحق لا توخّي تقييده بقيود غير ضرورية أو غير متناسبة</w:t>
      </w:r>
      <w:r w:rsidR="008C50A9">
        <w:rPr>
          <w:rStyle w:val="FootnoteReference"/>
          <w:szCs w:val="24"/>
          <w:rtl/>
        </w:rPr>
        <w:t>(</w:t>
      </w:r>
      <w:r w:rsidR="008C50A9" w:rsidRPr="00387BCA">
        <w:rPr>
          <w:rStyle w:val="FootnoteReference"/>
          <w:szCs w:val="22"/>
          <w:rtl/>
          <w:lang w:val="en-US"/>
        </w:rPr>
        <w:footnoteReference w:id="11"/>
      </w:r>
      <w:r w:rsidR="008C50A9" w:rsidRPr="008C50A9">
        <w:rPr>
          <w:rStyle w:val="FootnoteReference"/>
          <w:szCs w:val="24"/>
          <w:rtl/>
        </w:rPr>
        <w:t>)</w:t>
      </w:r>
      <w:r w:rsidR="008C50A9" w:rsidRPr="008C50A9">
        <w:rPr>
          <w:rtl/>
        </w:rPr>
        <w:t xml:space="preserve">. </w:t>
      </w:r>
      <w:r w:rsidRPr="00291325">
        <w:rPr>
          <w:rtl/>
        </w:rPr>
        <w:t xml:space="preserve">وبناء على ذلك، يقع على عاتق الدولة الطرف التزام </w:t>
      </w:r>
      <w:r>
        <w:rPr>
          <w:rtl/>
        </w:rPr>
        <w:t>ب</w:t>
      </w:r>
      <w:r w:rsidRPr="00291325">
        <w:rPr>
          <w:rtl/>
        </w:rPr>
        <w:t xml:space="preserve">تبرير تقييدها الحقَّ الذي تحميه المادة </w:t>
      </w:r>
      <w:r w:rsidRPr="00387BCA">
        <w:rPr>
          <w:rtl/>
        </w:rPr>
        <w:t>21</w:t>
      </w:r>
      <w:r w:rsidRPr="00291325">
        <w:rPr>
          <w:rtl/>
        </w:rPr>
        <w:t xml:space="preserve"> من العهد</w:t>
      </w:r>
      <w:r w:rsidR="008C50A9">
        <w:rPr>
          <w:rStyle w:val="FootnoteReference"/>
          <w:szCs w:val="24"/>
          <w:rtl/>
        </w:rPr>
        <w:t>(</w:t>
      </w:r>
      <w:r w:rsidR="008C50A9" w:rsidRPr="00387BCA">
        <w:rPr>
          <w:rStyle w:val="FootnoteReference"/>
          <w:szCs w:val="22"/>
          <w:rtl/>
          <w:lang w:val="en-US"/>
        </w:rPr>
        <w:footnoteReference w:id="12"/>
      </w:r>
      <w:r w:rsidR="008C50A9" w:rsidRPr="008C50A9">
        <w:rPr>
          <w:rStyle w:val="FootnoteReference"/>
          <w:szCs w:val="24"/>
          <w:rtl/>
        </w:rPr>
        <w:t>)</w:t>
      </w:r>
      <w:r w:rsidR="008C50A9" w:rsidRPr="008C50A9">
        <w:rPr>
          <w:rtl/>
        </w:rPr>
        <w:t>.</w:t>
      </w:r>
    </w:p>
    <w:p w14:paraId="49AC6FC8" w14:textId="46531EC0" w:rsidR="008C50A9" w:rsidRPr="008C50A9" w:rsidRDefault="00AD7A2C" w:rsidP="00AD7A2C">
      <w:pPr>
        <w:pStyle w:val="SingleTxtGA"/>
        <w:rPr>
          <w:lang w:val="ar-SA" w:eastAsia="zh-TW" w:bidi="en-GB"/>
        </w:rPr>
      </w:pPr>
      <w:r w:rsidRPr="00387BCA">
        <w:rPr>
          <w:rtl/>
        </w:rPr>
        <w:t>7</w:t>
      </w:r>
      <w:r w:rsidRPr="00410704">
        <w:rPr>
          <w:rtl/>
        </w:rPr>
        <w:t>-</w:t>
      </w:r>
      <w:r w:rsidRPr="00387BCA">
        <w:rPr>
          <w:rtl/>
        </w:rPr>
        <w:t>6</w:t>
      </w:r>
      <w:r w:rsidRPr="00410704">
        <w:rPr>
          <w:rtl/>
        </w:rPr>
        <w:tab/>
        <w:t>وفي هذه القضية، يجب على اللجنة أن تنظر فيما إذا كانت القيود المفروضة على حق صاحب البلاغ في التجمع السلمي مبررة بموجب أي من المعايير المنصوص عليها في الجملة الثانية من المادة</w:t>
      </w:r>
      <w:r w:rsidR="00343553">
        <w:rPr>
          <w:rFonts w:hint="cs"/>
          <w:rtl/>
        </w:rPr>
        <w:t> </w:t>
      </w:r>
      <w:r w:rsidRPr="00387BCA">
        <w:rPr>
          <w:rtl/>
        </w:rPr>
        <w:t>21</w:t>
      </w:r>
      <w:r w:rsidRPr="00410704">
        <w:rPr>
          <w:rtl/>
        </w:rPr>
        <w:t xml:space="preserve"> من العهد. وفي ضوء المعلومات المتاحة في الملف، رُفض التماسا صاحب البلاغ اللذان طلب فيهما ترخيصاً من سلطات المدينة لعقد مسيرة واعتصام على أساس أن المكان المختار للمسيرة، أي منتزه المدينة، غير مسموح باستخدامه بموجب الأحكام ذات الصلة من قانون المناسبات العامة، وأن صاحب البلاغ لم يقدم معلومات عن التدابير المتخذة لضمان النظام العام والسلامة وتقديم الخدمات الطبية خلال الحدث المخطط له وتنظيف الموقع بعد انتهائه. وفي هذا السياق، تلاحظ اللجنة أن السلطات التنفيذية والمحاكم المحلية لم تقدم عملياً أي تبرير أو توضيح للكيفية التي يمكن بها للمناسبتين العامتين لصاحب البلاغ، في الواقع العملي، أن تخلا بالأمن القومي أو السلامة العامة أو النظام العام، أو حماية الصحة العامة أو الآداب العامة أو حقوق الآخرين وحرياتهم، على النحو المبيّن في المادة </w:t>
      </w:r>
      <w:r w:rsidRPr="00387BCA">
        <w:rPr>
          <w:rtl/>
        </w:rPr>
        <w:t>21</w:t>
      </w:r>
      <w:r w:rsidRPr="00410704">
        <w:rPr>
          <w:rtl/>
        </w:rPr>
        <w:t xml:space="preserve"> من العهد. ولم تثبت الدولة الطرف أنها اتخذت أي تدابير بديلة لتيسير ممارسة صاحب البلاغ حقوقه المنصوص عليها في المادة </w:t>
      </w:r>
      <w:r w:rsidRPr="00387BCA">
        <w:rPr>
          <w:rtl/>
        </w:rPr>
        <w:t>2</w:t>
      </w:r>
      <w:r w:rsidR="008C50A9" w:rsidRPr="00387BCA">
        <w:rPr>
          <w:rtl/>
        </w:rPr>
        <w:t>1</w:t>
      </w:r>
      <w:r w:rsidR="008C50A9" w:rsidRPr="008C50A9">
        <w:rPr>
          <w:rtl/>
        </w:rPr>
        <w:t>.</w:t>
      </w:r>
    </w:p>
    <w:p w14:paraId="48CC46CA" w14:textId="46B8B1F0" w:rsidR="008C50A9" w:rsidRPr="008C50A9" w:rsidRDefault="00AD7A2C" w:rsidP="00AD7A2C">
      <w:pPr>
        <w:pStyle w:val="SingleTxtGA"/>
        <w:rPr>
          <w:lang w:val="ar-SA" w:eastAsia="zh-TW" w:bidi="en-GB"/>
        </w:rPr>
      </w:pPr>
      <w:r w:rsidRPr="00387BCA">
        <w:rPr>
          <w:rtl/>
        </w:rPr>
        <w:lastRenderedPageBreak/>
        <w:t>7</w:t>
      </w:r>
      <w:r w:rsidRPr="00291325">
        <w:rPr>
          <w:rtl/>
        </w:rPr>
        <w:t>-</w:t>
      </w:r>
      <w:r w:rsidRPr="00387BCA">
        <w:rPr>
          <w:rtl/>
        </w:rPr>
        <w:t>7</w:t>
      </w:r>
      <w:r w:rsidRPr="00291325">
        <w:rPr>
          <w:rtl/>
        </w:rPr>
        <w:tab/>
        <w:t>و</w:t>
      </w:r>
      <w:r>
        <w:rPr>
          <w:rtl/>
        </w:rPr>
        <w:t>إذ لم تقدم</w:t>
      </w:r>
      <w:r w:rsidRPr="00291325">
        <w:rPr>
          <w:rtl/>
        </w:rPr>
        <w:t xml:space="preserve"> الدولة الطرف أي توضيحات إضافية، فإن اللجنة تخلص إلى أنها انتهكت حقوق صاحب البلاغ المنصوص عليها في المادة </w:t>
      </w:r>
      <w:r w:rsidRPr="00387BCA">
        <w:rPr>
          <w:rtl/>
        </w:rPr>
        <w:t>21</w:t>
      </w:r>
      <w:r w:rsidRPr="00291325">
        <w:rPr>
          <w:rtl/>
        </w:rPr>
        <w:t xml:space="preserve"> من العهد</w:t>
      </w:r>
      <w:r w:rsidR="008C50A9">
        <w:rPr>
          <w:rStyle w:val="FootnoteReference"/>
          <w:szCs w:val="24"/>
          <w:rtl/>
        </w:rPr>
        <w:t>(</w:t>
      </w:r>
      <w:r w:rsidR="008C50A9" w:rsidRPr="00387BCA">
        <w:rPr>
          <w:rStyle w:val="FootnoteReference"/>
          <w:szCs w:val="22"/>
          <w:rtl/>
          <w:lang w:val="en-US"/>
        </w:rPr>
        <w:footnoteReference w:id="13"/>
      </w:r>
      <w:r w:rsidR="008C50A9" w:rsidRPr="008C50A9">
        <w:rPr>
          <w:rStyle w:val="FootnoteReference"/>
          <w:szCs w:val="24"/>
          <w:rtl/>
        </w:rPr>
        <w:t>)</w:t>
      </w:r>
      <w:r w:rsidR="008C50A9" w:rsidRPr="008C50A9">
        <w:rPr>
          <w:rtl/>
        </w:rPr>
        <w:t>.</w:t>
      </w:r>
    </w:p>
    <w:p w14:paraId="38844EA7" w14:textId="0D86826E" w:rsidR="00AD7A2C" w:rsidRPr="00291325" w:rsidRDefault="00AD7A2C" w:rsidP="00AD7A2C">
      <w:pPr>
        <w:pStyle w:val="SingleTxtGA"/>
        <w:rPr>
          <w:lang w:val="ar-SA" w:eastAsia="zh-TW" w:bidi="en-GB"/>
        </w:rPr>
      </w:pPr>
      <w:r w:rsidRPr="00387BCA">
        <w:rPr>
          <w:rtl/>
        </w:rPr>
        <w:t>7</w:t>
      </w:r>
      <w:r w:rsidRPr="00291325">
        <w:rPr>
          <w:rtl/>
        </w:rPr>
        <w:t>-</w:t>
      </w:r>
      <w:r w:rsidRPr="00387BCA">
        <w:rPr>
          <w:rtl/>
        </w:rPr>
        <w:t>8</w:t>
      </w:r>
      <w:r w:rsidRPr="00291325">
        <w:rPr>
          <w:rtl/>
        </w:rPr>
        <w:tab/>
        <w:t xml:space="preserve">وتحيط اللجنة علماً كذلك بادعاء صاحب البلاغ أن حقه في حرية التعبير قد قُيّد، وهو ما يشكل انتهاكاً للمادة </w:t>
      </w:r>
      <w:r w:rsidRPr="00387BCA">
        <w:rPr>
          <w:rtl/>
        </w:rPr>
        <w:t>19</w:t>
      </w:r>
      <w:r w:rsidRPr="00291325">
        <w:rPr>
          <w:rtl/>
        </w:rPr>
        <w:t>(</w:t>
      </w:r>
      <w:r w:rsidR="008C50A9" w:rsidRPr="00387BCA">
        <w:rPr>
          <w:rtl/>
        </w:rPr>
        <w:t>2</w:t>
      </w:r>
      <w:r w:rsidR="008C50A9" w:rsidRPr="008C50A9">
        <w:rPr>
          <w:rtl/>
        </w:rPr>
        <w:t xml:space="preserve">) </w:t>
      </w:r>
      <w:r w:rsidRPr="00291325">
        <w:rPr>
          <w:rtl/>
        </w:rPr>
        <w:t xml:space="preserve">من العهد، حيث رفضت </w:t>
      </w:r>
      <w:r>
        <w:rPr>
          <w:rtl/>
        </w:rPr>
        <w:t xml:space="preserve">الدولة </w:t>
      </w:r>
      <w:r w:rsidRPr="00291325">
        <w:rPr>
          <w:rtl/>
        </w:rPr>
        <w:t xml:space="preserve">طلبيه </w:t>
      </w:r>
      <w:r>
        <w:rPr>
          <w:rtl/>
        </w:rPr>
        <w:t>ا</w:t>
      </w:r>
      <w:r w:rsidRPr="00291325">
        <w:rPr>
          <w:rtl/>
        </w:rPr>
        <w:t xml:space="preserve">لحصول على ترخيص لعقد تجمعين سلميين بغرض التعبير وعوقب فيما بعد على عقد اعتصام فردي غير مرخص له. والمسألة المطروحة أمام اللجنة هي ما إذا كانت القيود التي فُرضت على حرية صاحب البلاغ في التعبير يمكن تبريرها بموجب أي معيار من المعايير المنصوص عليها في المادة </w:t>
      </w:r>
      <w:r w:rsidRPr="00387BCA">
        <w:rPr>
          <w:rtl/>
        </w:rPr>
        <w:t>19</w:t>
      </w:r>
      <w:r w:rsidRPr="00291325">
        <w:rPr>
          <w:rtl/>
        </w:rPr>
        <w:t>(</w:t>
      </w:r>
      <w:r w:rsidR="008C50A9" w:rsidRPr="00387BCA">
        <w:rPr>
          <w:rtl/>
        </w:rPr>
        <w:t>3</w:t>
      </w:r>
      <w:r w:rsidR="008C50A9" w:rsidRPr="008C50A9">
        <w:rPr>
          <w:rtl/>
        </w:rPr>
        <w:t xml:space="preserve">) </w:t>
      </w:r>
      <w:r w:rsidRPr="00291325">
        <w:rPr>
          <w:rtl/>
        </w:rPr>
        <w:t>من العهد.</w:t>
      </w:r>
    </w:p>
    <w:p w14:paraId="1606B968" w14:textId="35BC0465" w:rsidR="008C50A9" w:rsidRPr="008C50A9" w:rsidRDefault="00AD7A2C" w:rsidP="00AD7A2C">
      <w:pPr>
        <w:pStyle w:val="SingleTxtGA"/>
        <w:rPr>
          <w:lang w:val="ar-SA" w:eastAsia="zh-TW" w:bidi="en-GB"/>
        </w:rPr>
      </w:pPr>
      <w:r w:rsidRPr="00387BCA">
        <w:rPr>
          <w:rtl/>
        </w:rPr>
        <w:t>7</w:t>
      </w:r>
      <w:r w:rsidRPr="00291325">
        <w:rPr>
          <w:rtl/>
        </w:rPr>
        <w:t>-</w:t>
      </w:r>
      <w:r w:rsidRPr="00387BCA">
        <w:rPr>
          <w:rtl/>
        </w:rPr>
        <w:t>9</w:t>
      </w:r>
      <w:r w:rsidRPr="00291325">
        <w:rPr>
          <w:rtl/>
        </w:rPr>
        <w:tab/>
        <w:t xml:space="preserve">وتذكّر اللجنة بتعليقها العام رقم </w:t>
      </w:r>
      <w:r w:rsidRPr="00387BCA">
        <w:rPr>
          <w:rtl/>
        </w:rPr>
        <w:t>34</w:t>
      </w:r>
      <w:r w:rsidRPr="00291325">
        <w:rPr>
          <w:rtl/>
        </w:rPr>
        <w:t>(</w:t>
      </w:r>
      <w:r w:rsidRPr="00387BCA">
        <w:rPr>
          <w:rtl/>
        </w:rPr>
        <w:t>201</w:t>
      </w:r>
      <w:r w:rsidR="008C50A9" w:rsidRPr="00387BCA">
        <w:rPr>
          <w:rtl/>
        </w:rPr>
        <w:t>1</w:t>
      </w:r>
      <w:r w:rsidR="008C50A9" w:rsidRPr="008C50A9">
        <w:rPr>
          <w:rtl/>
        </w:rPr>
        <w:t xml:space="preserve">) </w:t>
      </w:r>
      <w:r w:rsidRPr="00291325">
        <w:rPr>
          <w:rtl/>
        </w:rPr>
        <w:t>بشأن حرية الرأي وحرية التعبير، حيث ذكرت جملة أمور منها أن حرية التعبير عنصر أساسي من عناصر أي مجتمع وتشكل حجر الزاوية لكل مجتمع تسوده الحرية والديمقراطية</w:t>
      </w:r>
      <w:r w:rsidR="008C50A9">
        <w:rPr>
          <w:rStyle w:val="FootnoteReference"/>
          <w:szCs w:val="24"/>
          <w:rtl/>
        </w:rPr>
        <w:t>(</w:t>
      </w:r>
      <w:r w:rsidR="008C50A9" w:rsidRPr="00387BCA">
        <w:rPr>
          <w:rStyle w:val="FootnoteReference"/>
          <w:szCs w:val="22"/>
          <w:rtl/>
          <w:lang w:val="en-US"/>
        </w:rPr>
        <w:footnoteReference w:id="14"/>
      </w:r>
      <w:r w:rsidR="008C50A9" w:rsidRPr="008C50A9">
        <w:rPr>
          <w:rStyle w:val="FootnoteReference"/>
          <w:szCs w:val="24"/>
          <w:rtl/>
        </w:rPr>
        <w:t>)</w:t>
      </w:r>
      <w:r w:rsidR="008C50A9" w:rsidRPr="008C50A9">
        <w:rPr>
          <w:rtl/>
        </w:rPr>
        <w:t xml:space="preserve">. </w:t>
      </w:r>
      <w:r w:rsidRPr="00291325">
        <w:rPr>
          <w:rtl/>
        </w:rPr>
        <w:t xml:space="preserve">وتلاحظ اللجنة أن المادة </w:t>
      </w:r>
      <w:r w:rsidRPr="00387BCA">
        <w:rPr>
          <w:rtl/>
        </w:rPr>
        <w:t>19</w:t>
      </w:r>
      <w:r w:rsidRPr="00291325">
        <w:rPr>
          <w:rtl/>
        </w:rPr>
        <w:t>(</w:t>
      </w:r>
      <w:r w:rsidR="008C50A9" w:rsidRPr="00387BCA">
        <w:rPr>
          <w:rtl/>
        </w:rPr>
        <w:t>3</w:t>
      </w:r>
      <w:r w:rsidR="008C50A9" w:rsidRPr="008C50A9">
        <w:rPr>
          <w:rtl/>
        </w:rPr>
        <w:t xml:space="preserve">) </w:t>
      </w:r>
      <w:r w:rsidRPr="00291325">
        <w:rPr>
          <w:rtl/>
        </w:rPr>
        <w:t xml:space="preserve">من الاتفاقية لا تسمح بفرض قيود معينة على حرية التعبير، بما يشمل حرية نقل المعلومات والأفكار، إلا بقدر ما ينص القانون على هذه القيود، وإلا إذا كانت ضرورية (أ) لاحترام حقوق الآخرين أو سمعتهم؛ أو </w:t>
      </w:r>
      <w:r>
        <w:rPr>
          <w:rtl/>
        </w:rPr>
        <w:t>(</w:t>
      </w:r>
      <w:r w:rsidRPr="00291325">
        <w:rPr>
          <w:rtl/>
        </w:rPr>
        <w:t xml:space="preserve">ب) حماية الأمن الوطني أو النظام العام، أو الصحة العامة أو الآداب العامة. وأخيراً، يجب ألا يكون أي تقييد لحرية التعبير مفرطاً </w:t>
      </w:r>
      <w:r>
        <w:rPr>
          <w:rtl/>
        </w:rPr>
        <w:t>ب</w:t>
      </w:r>
      <w:r w:rsidRPr="00291325">
        <w:rPr>
          <w:rtl/>
        </w:rPr>
        <w:t>طبيعته - أي أنه يجب أن يكون أقل التدابير تدخلاً من بين التدابير التي من شأنها تحقيق وظيفة الحماية ذات الصلة وأن يكون متناسباً مع المصلحة موضوع الحماية</w:t>
      </w:r>
      <w:r w:rsidR="008C50A9">
        <w:rPr>
          <w:rStyle w:val="FootnoteReference"/>
          <w:szCs w:val="24"/>
          <w:rtl/>
        </w:rPr>
        <w:t>(</w:t>
      </w:r>
      <w:r w:rsidR="008C50A9" w:rsidRPr="00387BCA">
        <w:rPr>
          <w:rStyle w:val="FootnoteReference"/>
          <w:szCs w:val="22"/>
          <w:rtl/>
          <w:lang w:val="en-US"/>
        </w:rPr>
        <w:footnoteReference w:id="15"/>
      </w:r>
      <w:r w:rsidR="008C50A9" w:rsidRPr="008C50A9">
        <w:rPr>
          <w:rStyle w:val="FootnoteReference"/>
          <w:szCs w:val="24"/>
          <w:rtl/>
        </w:rPr>
        <w:t>)</w:t>
      </w:r>
      <w:r w:rsidR="008C50A9" w:rsidRPr="008C50A9">
        <w:rPr>
          <w:rtl/>
        </w:rPr>
        <w:t xml:space="preserve">. </w:t>
      </w:r>
      <w:r w:rsidRPr="00291325">
        <w:rPr>
          <w:rtl/>
        </w:rPr>
        <w:t>وتذكر اللجنة بأن الدولة الطرف</w:t>
      </w:r>
      <w:r>
        <w:rPr>
          <w:rtl/>
        </w:rPr>
        <w:t xml:space="preserve"> تتحمل</w:t>
      </w:r>
      <w:r w:rsidRPr="00291325">
        <w:rPr>
          <w:rtl/>
        </w:rPr>
        <w:t xml:space="preserve"> مسؤولية أن تثبت وجه الضرورة والتناسب في القيود المفروضة على حقوق صاحب البلاغ التي تكفلها المادة </w:t>
      </w:r>
      <w:r w:rsidRPr="00387BCA">
        <w:rPr>
          <w:rtl/>
        </w:rPr>
        <w:t>19</w:t>
      </w:r>
      <w:r w:rsidRPr="00291325">
        <w:rPr>
          <w:rtl/>
        </w:rPr>
        <w:t xml:space="preserve"> من العهد</w:t>
      </w:r>
      <w:r w:rsidR="008C50A9">
        <w:rPr>
          <w:rStyle w:val="FootnoteReference"/>
          <w:szCs w:val="24"/>
          <w:rtl/>
        </w:rPr>
        <w:t>(</w:t>
      </w:r>
      <w:r w:rsidR="008C50A9" w:rsidRPr="00387BCA">
        <w:rPr>
          <w:rStyle w:val="FootnoteReference"/>
          <w:szCs w:val="22"/>
          <w:rtl/>
          <w:lang w:val="en-US"/>
        </w:rPr>
        <w:footnoteReference w:id="16"/>
      </w:r>
      <w:r w:rsidR="008C50A9" w:rsidRPr="008C50A9">
        <w:rPr>
          <w:rStyle w:val="FootnoteReference"/>
          <w:szCs w:val="24"/>
          <w:rtl/>
        </w:rPr>
        <w:t>)</w:t>
      </w:r>
      <w:r w:rsidR="008C50A9" w:rsidRPr="008C50A9">
        <w:rPr>
          <w:rtl/>
        </w:rPr>
        <w:t>.</w:t>
      </w:r>
    </w:p>
    <w:p w14:paraId="570725FC" w14:textId="6D47FFB0" w:rsidR="00AD7A2C" w:rsidRPr="00624AB3" w:rsidRDefault="00AD7A2C" w:rsidP="00AD7A2C">
      <w:pPr>
        <w:pStyle w:val="SingleTxtGA"/>
        <w:rPr>
          <w:lang w:val="en-US" w:eastAsia="zh-TW" w:bidi="en-GB"/>
        </w:rPr>
      </w:pPr>
      <w:r w:rsidRPr="00387BCA">
        <w:rPr>
          <w:rtl/>
        </w:rPr>
        <w:t>7</w:t>
      </w:r>
      <w:r w:rsidRPr="00291325">
        <w:rPr>
          <w:rtl/>
        </w:rPr>
        <w:t>-</w:t>
      </w:r>
      <w:r w:rsidRPr="00387BCA">
        <w:rPr>
          <w:rtl/>
        </w:rPr>
        <w:t>10</w:t>
      </w:r>
      <w:r w:rsidRPr="00291325">
        <w:rPr>
          <w:rtl/>
        </w:rPr>
        <w:tab/>
        <w:t>وتلاحظ اللجنة في هذه القضية أن فرض عقوبة على</w:t>
      </w:r>
      <w:r>
        <w:rPr>
          <w:rtl/>
        </w:rPr>
        <w:t xml:space="preserve"> صاحب البلاغ بسبب</w:t>
      </w:r>
      <w:r w:rsidRPr="00291325">
        <w:rPr>
          <w:rtl/>
        </w:rPr>
        <w:t xml:space="preserve"> اعتصام سلمي أجراه </w:t>
      </w:r>
      <w:r>
        <w:rPr>
          <w:rtl/>
        </w:rPr>
        <w:t>دون أن</w:t>
      </w:r>
      <w:r w:rsidRPr="00291325">
        <w:rPr>
          <w:rtl/>
        </w:rPr>
        <w:t xml:space="preserve"> يحصل على ترخيص مسبق من السلطات التنفيذية المحلية، ولا سيما فرض غرامة عليه، أمر يثير شكوكاً خطيرة بشأن وجه الضرورة والتناسب في القيود المفروضة على حقوق صاحب البلاغ المكفولة بموجب المادة </w:t>
      </w:r>
      <w:r w:rsidRPr="00387BCA">
        <w:rPr>
          <w:rtl/>
        </w:rPr>
        <w:t>19</w:t>
      </w:r>
      <w:r w:rsidRPr="00291325">
        <w:rPr>
          <w:rtl/>
        </w:rPr>
        <w:t xml:space="preserve"> من العهد. وتلاحظ اللجنة كذلك، فيما يتعلق برفض السلطات المحلية منح ترخيص لعقد التجمعات السلمية بغرض التعبير، أن قصر عقد تجمع عام على أماكن معينة محددة سلفاً لا يفي فيما يبدو بمعايير الضرورة والتناسب بموجب المادة </w:t>
      </w:r>
      <w:r w:rsidRPr="00387BCA">
        <w:rPr>
          <w:rtl/>
        </w:rPr>
        <w:t>19</w:t>
      </w:r>
      <w:r w:rsidRPr="00291325">
        <w:rPr>
          <w:rtl/>
        </w:rPr>
        <w:t xml:space="preserve"> من العهد. وفي الحالة قيد النظر، كان من المقرر أن </w:t>
      </w:r>
      <w:r>
        <w:rPr>
          <w:rtl/>
        </w:rPr>
        <w:t>ي</w:t>
      </w:r>
      <w:r w:rsidRPr="00291325">
        <w:rPr>
          <w:rtl/>
        </w:rPr>
        <w:t xml:space="preserve">قام المسيرة والاعتصام السلمي في منتزه المدينة. بيد أن اللجنة التنفيذية رفضت إصدار ترخيص على أساس أنه لا يمكن اعتبار المتنزه مكاناً مسموحاً بإقامة مسيرة فيه، لأنه </w:t>
      </w:r>
      <w:r>
        <w:rPr>
          <w:rtl/>
        </w:rPr>
        <w:t>غير مذكور</w:t>
      </w:r>
      <w:r w:rsidRPr="00291325">
        <w:rPr>
          <w:rtl/>
        </w:rPr>
        <w:t xml:space="preserve"> في الحكم ذي الصلة من قانون المناسبات العامة (الفقرة </w:t>
      </w:r>
      <w:r w:rsidRPr="00387BCA">
        <w:rPr>
          <w:rtl/>
        </w:rPr>
        <w:t>2</w:t>
      </w:r>
      <w:r w:rsidRPr="00291325">
        <w:rPr>
          <w:rtl/>
        </w:rPr>
        <w:t>-</w:t>
      </w:r>
      <w:r w:rsidRPr="00387BCA">
        <w:rPr>
          <w:rtl/>
        </w:rPr>
        <w:t>3</w:t>
      </w:r>
      <w:r w:rsidRPr="00291325">
        <w:rPr>
          <w:rtl/>
        </w:rPr>
        <w:t xml:space="preserve"> أعلاه</w:t>
      </w:r>
      <w:r w:rsidR="008C50A9" w:rsidRPr="008C50A9">
        <w:rPr>
          <w:rtl/>
        </w:rPr>
        <w:t xml:space="preserve">). </w:t>
      </w:r>
      <w:r w:rsidRPr="00291325">
        <w:rPr>
          <w:rtl/>
        </w:rPr>
        <w:t xml:space="preserve">وفيما يتعلق بالاعتصام، رفضت اللجنة التنفيذية </w:t>
      </w:r>
      <w:r>
        <w:rPr>
          <w:rtl/>
        </w:rPr>
        <w:t xml:space="preserve">منح </w:t>
      </w:r>
      <w:r w:rsidRPr="00291325">
        <w:rPr>
          <w:rtl/>
        </w:rPr>
        <w:t xml:space="preserve">الترخيص لأن صاحب البلاغ لم يقدم معلومات عن قائمة التدابير الرامية إلى ضمان النظام العام والسلامة وتقديم الخدمات الطبية أثناء الحدث وتنظيف الموقع بعد انتهائه (الفقرة </w:t>
      </w:r>
      <w:r w:rsidRPr="00387BCA">
        <w:rPr>
          <w:rtl/>
        </w:rPr>
        <w:t>2</w:t>
      </w:r>
      <w:r w:rsidRPr="00291325">
        <w:rPr>
          <w:rtl/>
        </w:rPr>
        <w:t>-</w:t>
      </w:r>
      <w:r w:rsidRPr="00387BCA">
        <w:rPr>
          <w:rtl/>
        </w:rPr>
        <w:t>5</w:t>
      </w:r>
      <w:r w:rsidRPr="00291325">
        <w:rPr>
          <w:rtl/>
        </w:rPr>
        <w:t xml:space="preserve"> أعلاه</w:t>
      </w:r>
      <w:r w:rsidR="008C50A9" w:rsidRPr="008C50A9">
        <w:rPr>
          <w:rtl/>
        </w:rPr>
        <w:t xml:space="preserve">). </w:t>
      </w:r>
      <w:r w:rsidRPr="00291325">
        <w:rPr>
          <w:rtl/>
        </w:rPr>
        <w:t xml:space="preserve">وتلاحظ اللجنة أيضاً أن الدولة الطرف لم تحتج بأي أسس محددة لدعم ضرورة القيود المفروضة على صاحب البلاغ على النحو الذي تقتضيه المادة </w:t>
      </w:r>
      <w:r w:rsidRPr="00387BCA">
        <w:rPr>
          <w:rtl/>
        </w:rPr>
        <w:t>19</w:t>
      </w:r>
      <w:r w:rsidRPr="00291325">
        <w:rPr>
          <w:rtl/>
        </w:rPr>
        <w:t>(</w:t>
      </w:r>
      <w:r w:rsidR="008C50A9" w:rsidRPr="00387BCA">
        <w:rPr>
          <w:rtl/>
        </w:rPr>
        <w:t>3</w:t>
      </w:r>
      <w:r w:rsidR="008C50A9" w:rsidRPr="008C50A9">
        <w:rPr>
          <w:rtl/>
        </w:rPr>
        <w:t xml:space="preserve">) </w:t>
      </w:r>
      <w:r w:rsidRPr="00291325">
        <w:rPr>
          <w:rtl/>
        </w:rPr>
        <w:t>من العهد</w:t>
      </w:r>
      <w:r w:rsidR="008C50A9">
        <w:rPr>
          <w:rStyle w:val="FootnoteReference"/>
          <w:szCs w:val="24"/>
          <w:rtl/>
        </w:rPr>
        <w:t>(</w:t>
      </w:r>
      <w:r w:rsidR="008C50A9" w:rsidRPr="00387BCA">
        <w:rPr>
          <w:rStyle w:val="FootnoteReference"/>
          <w:szCs w:val="22"/>
          <w:rtl/>
          <w:lang w:val="en-US"/>
        </w:rPr>
        <w:footnoteReference w:id="17"/>
      </w:r>
      <w:r w:rsidR="008C50A9" w:rsidRPr="008C50A9">
        <w:rPr>
          <w:rStyle w:val="FootnoteReference"/>
          <w:szCs w:val="24"/>
          <w:rtl/>
        </w:rPr>
        <w:t>)</w:t>
      </w:r>
      <w:r w:rsidR="008C50A9" w:rsidRPr="008C50A9">
        <w:rPr>
          <w:rtl/>
        </w:rPr>
        <w:t xml:space="preserve">. </w:t>
      </w:r>
      <w:r w:rsidRPr="00291325">
        <w:rPr>
          <w:rtl/>
        </w:rPr>
        <w:t xml:space="preserve">ولم تثبت الدولة الطرف كذلك أن التدابير التي اختيرت </w:t>
      </w:r>
      <w:r>
        <w:rPr>
          <w:rtl/>
        </w:rPr>
        <w:lastRenderedPageBreak/>
        <w:t>تشكل</w:t>
      </w:r>
      <w:r w:rsidRPr="00291325">
        <w:rPr>
          <w:rtl/>
        </w:rPr>
        <w:t xml:space="preserve"> بطبيعتها أقل التدابير تدخلاً أو أنها متناسبة مع المصلحة المراد حمايتها. وترى اللجنة، في ظل ظروف القضية، أن العقوبات والقيود المفروضة على صاحب البلاغ، رغم أنها تستند إلى القانون المحلي، لم تكن مبرَّرة عملاً بالشروط المنصوص عليها في المادة </w:t>
      </w:r>
      <w:r w:rsidRPr="00387BCA">
        <w:rPr>
          <w:rtl/>
        </w:rPr>
        <w:t>19</w:t>
      </w:r>
      <w:r w:rsidRPr="00291325">
        <w:rPr>
          <w:rtl/>
        </w:rPr>
        <w:t>(</w:t>
      </w:r>
      <w:r w:rsidR="008C50A9" w:rsidRPr="00387BCA">
        <w:rPr>
          <w:rtl/>
        </w:rPr>
        <w:t>3</w:t>
      </w:r>
      <w:r w:rsidR="008C50A9" w:rsidRPr="008C50A9">
        <w:rPr>
          <w:rtl/>
        </w:rPr>
        <w:t xml:space="preserve">) </w:t>
      </w:r>
      <w:r w:rsidRPr="00291325">
        <w:rPr>
          <w:rtl/>
        </w:rPr>
        <w:t>من العهد. و</w:t>
      </w:r>
      <w:r>
        <w:rPr>
          <w:rtl/>
        </w:rPr>
        <w:t>إذ لم تقدم</w:t>
      </w:r>
      <w:r w:rsidRPr="00291325">
        <w:rPr>
          <w:rtl/>
        </w:rPr>
        <w:t xml:space="preserve"> الدولة الطرف أي معلومات أو توضيحات إضافية، فإن اللجنة تخلص إلى أن حقوق صاحب البلاغ المنصوص عليها في المادة </w:t>
      </w:r>
      <w:r w:rsidRPr="00387BCA">
        <w:rPr>
          <w:rtl/>
        </w:rPr>
        <w:t>19</w:t>
      </w:r>
      <w:r w:rsidRPr="00291325">
        <w:rPr>
          <w:rtl/>
        </w:rPr>
        <w:t xml:space="preserve"> من العهد قد انتُهكت.</w:t>
      </w:r>
    </w:p>
    <w:p w14:paraId="48490ACA" w14:textId="7B231987" w:rsidR="00AD7A2C" w:rsidRPr="00291325" w:rsidRDefault="00AD7A2C" w:rsidP="00AD7A2C">
      <w:pPr>
        <w:pStyle w:val="SingleTxtGA"/>
        <w:rPr>
          <w:lang w:val="ar-SA" w:eastAsia="zh-TW" w:bidi="en-GB"/>
        </w:rPr>
      </w:pPr>
      <w:r w:rsidRPr="00387BCA">
        <w:rPr>
          <w:rtl/>
        </w:rPr>
        <w:t>8</w:t>
      </w:r>
      <w:r w:rsidRPr="00291325">
        <w:rPr>
          <w:rtl/>
        </w:rPr>
        <w:t>-</w:t>
      </w:r>
      <w:r w:rsidRPr="00291325">
        <w:rPr>
          <w:rtl/>
        </w:rPr>
        <w:tab/>
        <w:t xml:space="preserve">واللجنة، إذ تتصرف بموجب المادة </w:t>
      </w:r>
      <w:r w:rsidRPr="00387BCA">
        <w:rPr>
          <w:rtl/>
        </w:rPr>
        <w:t>5</w:t>
      </w:r>
      <w:r w:rsidRPr="00291325">
        <w:rPr>
          <w:rtl/>
        </w:rPr>
        <w:t>(</w:t>
      </w:r>
      <w:r w:rsidR="008C50A9" w:rsidRPr="00387BCA">
        <w:rPr>
          <w:rtl/>
        </w:rPr>
        <w:t>4</w:t>
      </w:r>
      <w:r w:rsidR="008C50A9" w:rsidRPr="008C50A9">
        <w:rPr>
          <w:rtl/>
        </w:rPr>
        <w:t xml:space="preserve">) </w:t>
      </w:r>
      <w:r w:rsidRPr="00291325">
        <w:rPr>
          <w:rtl/>
        </w:rPr>
        <w:t xml:space="preserve">من البروتوكول الاختياري، ترى أن الوقائع المعروضة عليها تكشف عن حدوث انتهاك من جانب الدولة الطرف لحقوق صاحب البلاغ بموجب المادتين </w:t>
      </w:r>
      <w:r w:rsidRPr="00387BCA">
        <w:rPr>
          <w:rtl/>
        </w:rPr>
        <w:t>19</w:t>
      </w:r>
      <w:r w:rsidRPr="00291325">
        <w:rPr>
          <w:rtl/>
        </w:rPr>
        <w:t xml:space="preserve"> و</w:t>
      </w:r>
      <w:r w:rsidRPr="00387BCA">
        <w:rPr>
          <w:rtl/>
        </w:rPr>
        <w:t>21</w:t>
      </w:r>
      <w:r w:rsidRPr="00291325">
        <w:rPr>
          <w:rtl/>
        </w:rPr>
        <w:t xml:space="preserve"> من العهد.</w:t>
      </w:r>
    </w:p>
    <w:p w14:paraId="352FC3D8" w14:textId="27D7F223" w:rsidR="00AD7A2C" w:rsidRPr="00C11734" w:rsidRDefault="00AD7A2C" w:rsidP="00AD7A2C">
      <w:pPr>
        <w:pStyle w:val="SingleTxtGA"/>
        <w:rPr>
          <w:rtl/>
          <w:lang w:val="en-US" w:eastAsia="zh-TW"/>
        </w:rPr>
      </w:pPr>
      <w:r w:rsidRPr="00387BCA">
        <w:rPr>
          <w:rtl/>
        </w:rPr>
        <w:t>9</w:t>
      </w:r>
      <w:r w:rsidRPr="00291325">
        <w:rPr>
          <w:rtl/>
        </w:rPr>
        <w:t>-</w:t>
      </w:r>
      <w:r w:rsidRPr="00291325">
        <w:rPr>
          <w:rtl/>
        </w:rPr>
        <w:tab/>
        <w:t xml:space="preserve">وعملاً بأحكام المادة </w:t>
      </w:r>
      <w:r w:rsidRPr="00387BCA">
        <w:rPr>
          <w:rtl/>
        </w:rPr>
        <w:t>2</w:t>
      </w:r>
      <w:r w:rsidRPr="00291325">
        <w:rPr>
          <w:rtl/>
        </w:rPr>
        <w:t>(</w:t>
      </w:r>
      <w:r w:rsidRPr="00387BCA">
        <w:rPr>
          <w:rtl/>
        </w:rPr>
        <w:t>3</w:t>
      </w:r>
      <w:r w:rsidRPr="00291325">
        <w:rPr>
          <w:rtl/>
        </w:rPr>
        <w:t>)(أ) من العهد، فإن الدولة الطرف ملزمة بتوفير سبيل انتصاف فعال لصاحب البلاغ. ويقتضي ذلك منها أن تقوم بتوفير كامل سبل الجبر للأفراد الذين انتُهكت حقوقهم المشمولة بالعهد. وبناءً على ذلك، يجب على الدولة الطرف، في جملة أمور، اتخاذ الإجراءات المناسبة لتقديم تعويض كاف لصاحب البلاغ، بما في ذلك رد قيمة الغرامة التي فُرضت عليه وأي تكلفة قانونية تكبدها. والدولة الطرف ملزمة أيضاً باتخاذ جميع الخطوات اللازمة لمنع حدوث انتهاكات مماثلة في المستقبل. وفي هذا الصدد، تلاحظ اللجنة أنها نظرت في قضايا مماثلة تتعلق بقوانين الدولة الطرف وممارساتها</w:t>
      </w:r>
      <w:r>
        <w:rPr>
          <w:rtl/>
        </w:rPr>
        <w:t xml:space="preserve"> نفسها</w:t>
      </w:r>
      <w:r w:rsidRPr="00291325">
        <w:rPr>
          <w:rtl/>
        </w:rPr>
        <w:t xml:space="preserve"> في عدد من البلاغات السابقة وأنه ينبغي من ثم للدولة الطرف مراجعة إطارها المعياري </w:t>
      </w:r>
      <w:r>
        <w:rPr>
          <w:rtl/>
        </w:rPr>
        <w:t xml:space="preserve">المتعلق </w:t>
      </w:r>
      <w:r w:rsidRPr="00291325">
        <w:rPr>
          <w:rtl/>
        </w:rPr>
        <w:t xml:space="preserve">بالأحداث العامة، وفقاً لالتزاماتها بموجب المادة </w:t>
      </w:r>
      <w:r w:rsidRPr="00387BCA">
        <w:rPr>
          <w:rtl/>
        </w:rPr>
        <w:t>2</w:t>
      </w:r>
      <w:r w:rsidRPr="00291325">
        <w:rPr>
          <w:rtl/>
        </w:rPr>
        <w:t>(</w:t>
      </w:r>
      <w:r w:rsidR="008C50A9" w:rsidRPr="00387BCA">
        <w:rPr>
          <w:rtl/>
        </w:rPr>
        <w:t>2</w:t>
      </w:r>
      <w:r w:rsidR="008C50A9" w:rsidRPr="008C50A9">
        <w:rPr>
          <w:rtl/>
        </w:rPr>
        <w:t xml:space="preserve">) </w:t>
      </w:r>
      <w:r w:rsidRPr="00291325">
        <w:rPr>
          <w:rtl/>
        </w:rPr>
        <w:t xml:space="preserve">من العهد، بما يكفل التمتع بالحقوق المنصوص عليها في المادتين </w:t>
      </w:r>
      <w:r w:rsidRPr="00387BCA">
        <w:rPr>
          <w:rtl/>
        </w:rPr>
        <w:t>19</w:t>
      </w:r>
      <w:r w:rsidRPr="00291325">
        <w:rPr>
          <w:rtl/>
        </w:rPr>
        <w:t xml:space="preserve"> و</w:t>
      </w:r>
      <w:r w:rsidRPr="00387BCA">
        <w:rPr>
          <w:rtl/>
        </w:rPr>
        <w:t>21</w:t>
      </w:r>
      <w:r w:rsidRPr="00291325">
        <w:rPr>
          <w:rtl/>
        </w:rPr>
        <w:t xml:space="preserve"> من العهد تمتعاً كاملاً في الدولة الطرف.</w:t>
      </w:r>
    </w:p>
    <w:p w14:paraId="047914DB" w14:textId="77777777" w:rsidR="00AD7A2C" w:rsidRPr="00291325" w:rsidRDefault="00AD7A2C" w:rsidP="00AD7A2C">
      <w:pPr>
        <w:pStyle w:val="SingleTxtGA"/>
        <w:rPr>
          <w:lang w:val="ar-SA" w:eastAsia="zh-TW" w:bidi="en-GB"/>
        </w:rPr>
      </w:pPr>
      <w:r w:rsidRPr="00387BCA">
        <w:rPr>
          <w:rtl/>
        </w:rPr>
        <w:t>10</w:t>
      </w:r>
      <w:r w:rsidRPr="00291325">
        <w:rPr>
          <w:rtl/>
        </w:rPr>
        <w:t>-</w:t>
      </w:r>
      <w:r w:rsidRPr="00291325">
        <w:rPr>
          <w:rtl/>
        </w:rPr>
        <w:tab/>
        <w:t xml:space="preserve">وإذ تضع اللجنة في اعتبارها أن الدولة الطرف، بانضمامها إلى البروتوكول الاختياري، قد اعترفت باختصاص اللجنة في تحديد ما إن كان وقع انتهاك للعهد أم لا، وأنها تعهّدت، عملاً بالمادة </w:t>
      </w:r>
      <w:r w:rsidRPr="00387BCA">
        <w:rPr>
          <w:rtl/>
        </w:rPr>
        <w:t>2</w:t>
      </w:r>
      <w:r w:rsidRPr="00291325">
        <w:rPr>
          <w:rtl/>
        </w:rPr>
        <w:t xml:space="preserve"> من العهد، بأن تكفل لجميع الأفراد الموجودين في إقليمها أو الخاضعين لولايتها الحقوق المعترف بها في العهد، وبأن توفّر لهم سبيل انتصاف فعالاً وقابلاً للإنفاذ إن ثبت حدوث انتهاك، فإنها تود أن تتلقى من الدولة الطرف في غضون </w:t>
      </w:r>
      <w:r w:rsidRPr="00387BCA">
        <w:rPr>
          <w:rtl/>
        </w:rPr>
        <w:t>180</w:t>
      </w:r>
      <w:r w:rsidRPr="00291325">
        <w:rPr>
          <w:rtl/>
        </w:rPr>
        <w:t xml:space="preserve"> يوماً معلومات عن التدابير التي اتخذتها لإنفاذ آراء اللجنة. ويُطلب إلى الدولة الطرف أيضاً نشر هذه الآراء وتعميمها على نطاق واسع بلغاتها الرسمية.</w:t>
      </w:r>
    </w:p>
    <w:p w14:paraId="3421D1CD" w14:textId="77777777" w:rsidR="00AD7A2C" w:rsidRPr="00291325" w:rsidRDefault="00AD7A2C" w:rsidP="00AD7A2C">
      <w:pPr>
        <w:spacing w:after="120" w:line="360" w:lineRule="exact"/>
        <w:jc w:val="center"/>
        <w:rPr>
          <w:sz w:val="22"/>
          <w:szCs w:val="24"/>
        </w:rPr>
      </w:pPr>
      <w:r w:rsidRPr="00291325">
        <w:rPr>
          <w:sz w:val="22"/>
          <w:szCs w:val="24"/>
          <w:u w:val="single"/>
        </w:rPr>
        <w:tab/>
      </w:r>
      <w:r w:rsidRPr="00291325">
        <w:rPr>
          <w:sz w:val="22"/>
          <w:szCs w:val="24"/>
          <w:u w:val="single"/>
        </w:rPr>
        <w:tab/>
      </w:r>
      <w:r w:rsidRPr="00291325">
        <w:rPr>
          <w:sz w:val="22"/>
          <w:szCs w:val="24"/>
          <w:u w:val="single"/>
        </w:rPr>
        <w:tab/>
      </w:r>
    </w:p>
    <w:sectPr w:rsidR="00AD7A2C" w:rsidRPr="00291325" w:rsidSect="007F7CE4">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AA2D3" w14:textId="77777777" w:rsidR="004F5ADD" w:rsidRPr="002901D9" w:rsidRDefault="004F5ADD" w:rsidP="00DC4D4B">
      <w:pPr>
        <w:spacing w:after="60" w:line="240" w:lineRule="auto"/>
        <w:ind w:left="57"/>
        <w:rPr>
          <w:i/>
          <w:iCs/>
        </w:rPr>
      </w:pPr>
      <w:r>
        <w:rPr>
          <w:rFonts w:hint="cs"/>
          <w:i/>
          <w:iCs/>
          <w:rtl/>
        </w:rPr>
        <w:t>الحواشي</w:t>
      </w:r>
    </w:p>
  </w:endnote>
  <w:endnote w:type="continuationSeparator" w:id="0">
    <w:p w14:paraId="19EE30B8" w14:textId="77777777" w:rsidR="004F5ADD" w:rsidRDefault="004F5ADD"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6CFB6" w14:textId="7FAB506B" w:rsidR="007A4714" w:rsidRPr="007A4714" w:rsidRDefault="007A4714" w:rsidP="007A4714">
    <w:pPr>
      <w:pStyle w:val="Footer"/>
      <w:tabs>
        <w:tab w:val="right" w:pos="9638"/>
      </w:tabs>
      <w:rPr>
        <w:b/>
        <w:sz w:val="18"/>
        <w:lang w:val="en-US"/>
      </w:rPr>
    </w:pPr>
    <w:r>
      <w:rPr>
        <w:lang w:val="en-US"/>
      </w:rPr>
      <w:t>GE.22-26170</w:t>
    </w:r>
    <w:r>
      <w:rPr>
        <w:lang w:val="en-US"/>
      </w:rPr>
      <w:tab/>
    </w:r>
    <w:r w:rsidRPr="007A4714">
      <w:rPr>
        <w:b/>
        <w:sz w:val="18"/>
        <w:lang w:val="en-US"/>
      </w:rPr>
      <w:fldChar w:fldCharType="begin"/>
    </w:r>
    <w:r w:rsidRPr="007A4714">
      <w:rPr>
        <w:b/>
        <w:sz w:val="18"/>
        <w:lang w:val="en-US"/>
      </w:rPr>
      <w:instrText xml:space="preserve"> PAGE  \* MERGEFORMAT </w:instrText>
    </w:r>
    <w:r w:rsidRPr="007A4714">
      <w:rPr>
        <w:b/>
        <w:sz w:val="18"/>
        <w:lang w:val="en-US"/>
      </w:rPr>
      <w:fldChar w:fldCharType="separate"/>
    </w:r>
    <w:r w:rsidRPr="007A4714">
      <w:rPr>
        <w:b/>
        <w:noProof/>
        <w:sz w:val="18"/>
        <w:lang w:val="en-US"/>
      </w:rPr>
      <w:t>2</w:t>
    </w:r>
    <w:r w:rsidRPr="007A4714">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C79B7" w14:textId="05252D33" w:rsidR="006959B0" w:rsidRPr="007A4714" w:rsidRDefault="007A4714" w:rsidP="007A4714">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GE.22-26170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93AE0" w14:textId="493B329C" w:rsidR="00DE50B1" w:rsidRPr="007A4714" w:rsidRDefault="007A4714" w:rsidP="007A4714">
    <w:pPr>
      <w:pStyle w:val="Footer"/>
      <w:spacing w:before="600"/>
      <w:ind w:left="567"/>
      <w:jc w:val="right"/>
      <w:rPr>
        <w:sz w:val="20"/>
        <w:lang w:val="en-US"/>
      </w:rPr>
    </w:pPr>
    <w:r>
      <w:rPr>
        <w:sz w:val="20"/>
        <w:lang w:val="en-US"/>
      </w:rPr>
      <w:t>GE.</w:t>
    </w:r>
    <w:r w:rsidR="00652221">
      <w:rPr>
        <w:noProof/>
      </w:rPr>
      <w:drawing>
        <wp:anchor distT="0" distB="0" distL="114300" distR="114300" simplePos="0" relativeHeight="251658240" behindDoc="1" locked="1" layoutInCell="0" allowOverlap="1" wp14:anchorId="1AFB4626" wp14:editId="6C07D30A">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1" name="Picture 1"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22-26170 (A)</w:t>
    </w:r>
    <w:r>
      <w:rPr>
        <w:noProof/>
        <w:sz w:val="20"/>
        <w:lang w:val="en-US"/>
      </w:rPr>
      <w:drawing>
        <wp:anchor distT="0" distB="0" distL="114300" distR="114300" simplePos="0" relativeHeight="251659264" behindDoc="0" locked="0" layoutInCell="1" allowOverlap="1" wp14:anchorId="1EE6934A" wp14:editId="395C0D40">
          <wp:simplePos x="0" y="0"/>
          <wp:positionH relativeFrom="margin">
            <wp:posOffset>0</wp:posOffset>
          </wp:positionH>
          <wp:positionV relativeFrom="margin">
            <wp:posOffset>8891905</wp:posOffset>
          </wp:positionV>
          <wp:extent cx="638175" cy="6381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A3411" w14:textId="77777777" w:rsidR="004F5ADD" w:rsidRPr="000437B8" w:rsidRDefault="004F5ADD" w:rsidP="00F10DAB">
      <w:pPr>
        <w:pStyle w:val="Footer"/>
        <w:bidi/>
        <w:spacing w:after="80" w:line="200" w:lineRule="exact"/>
        <w:ind w:left="680"/>
      </w:pPr>
      <w:r>
        <w:rPr>
          <w:rtl/>
        </w:rPr>
        <w:t>__________</w:t>
      </w:r>
    </w:p>
  </w:footnote>
  <w:footnote w:type="continuationSeparator" w:id="0">
    <w:p w14:paraId="7E0BD2C1" w14:textId="77777777" w:rsidR="004F5ADD" w:rsidRDefault="004F5ADD" w:rsidP="00656392">
      <w:pPr>
        <w:spacing w:line="240" w:lineRule="auto"/>
      </w:pPr>
      <w:r>
        <w:continuationSeparator/>
      </w:r>
    </w:p>
  </w:footnote>
  <w:footnote w:id="1">
    <w:p w14:paraId="57A42563" w14:textId="3E8E8010" w:rsidR="00675804" w:rsidRPr="00675804" w:rsidRDefault="00675804" w:rsidP="00CE3526">
      <w:pPr>
        <w:pStyle w:val="FootnoteText1"/>
        <w:rPr>
          <w:rtl/>
        </w:rPr>
      </w:pPr>
      <w:r>
        <w:rPr>
          <w:rtl/>
        </w:rPr>
        <w:t>*</w:t>
      </w:r>
      <w:r>
        <w:rPr>
          <w:rtl/>
        </w:rPr>
        <w:tab/>
      </w:r>
      <w:r w:rsidRPr="00675804">
        <w:rPr>
          <w:rtl/>
        </w:rPr>
        <w:t xml:space="preserve">اعتمدته اللجنة في دورتها </w:t>
      </w:r>
      <w:r w:rsidRPr="00387BCA">
        <w:rPr>
          <w:rtl/>
        </w:rPr>
        <w:t>135</w:t>
      </w:r>
      <w:r w:rsidRPr="00675804">
        <w:rPr>
          <w:rtl/>
        </w:rPr>
        <w:t xml:space="preserve"> (</w:t>
      </w:r>
      <w:r w:rsidRPr="00387BCA">
        <w:rPr>
          <w:rtl/>
        </w:rPr>
        <w:t>27</w:t>
      </w:r>
      <w:r w:rsidRPr="00675804">
        <w:rPr>
          <w:rtl/>
        </w:rPr>
        <w:t xml:space="preserve"> حزيران/يونيه - </w:t>
      </w:r>
      <w:r w:rsidRPr="00387BCA">
        <w:rPr>
          <w:rtl/>
        </w:rPr>
        <w:t>27</w:t>
      </w:r>
      <w:r w:rsidRPr="00675804">
        <w:rPr>
          <w:rtl/>
        </w:rPr>
        <w:t xml:space="preserve"> تموز/يوليه </w:t>
      </w:r>
      <w:r w:rsidRPr="00387BCA">
        <w:rPr>
          <w:rtl/>
        </w:rPr>
        <w:t>2022</w:t>
      </w:r>
      <w:r w:rsidR="008C50A9" w:rsidRPr="008C50A9">
        <w:rPr>
          <w:rtl/>
        </w:rPr>
        <w:t xml:space="preserve">). </w:t>
      </w:r>
    </w:p>
  </w:footnote>
  <w:footnote w:id="2">
    <w:p w14:paraId="7C26AB95" w14:textId="0EDCB397" w:rsidR="00675804" w:rsidRPr="00675804" w:rsidRDefault="00675804" w:rsidP="00CE3526">
      <w:pPr>
        <w:pStyle w:val="FootnoteText1"/>
        <w:rPr>
          <w:rtl/>
        </w:rPr>
      </w:pPr>
      <w:r>
        <w:rPr>
          <w:rtl/>
        </w:rPr>
        <w:t>**</w:t>
      </w:r>
      <w:r>
        <w:rPr>
          <w:rtl/>
        </w:rPr>
        <w:tab/>
      </w:r>
      <w:r w:rsidRPr="00675804">
        <w:rPr>
          <w:rtl/>
        </w:rPr>
        <w:t>شارك في دراسة البلاغ أعضاء اللجنة التالية أسماؤهم: تانيا ماريا عبدو روشول، ووفاء أشرف محرم بسيم، وعياض بن عاشور، وعارف بلقان، ومحجوب الهيبة، وفورويا شويتشي، وكارلوس غوميث مارتينيث، ومارسيا ف. ج. كران، ودانكان لاكي موهوموزا، وفوتيني بازارتزيس، وهيرنان كيسادا كابريرا، وفاسيلكا سانسين، وخوسيه مانويل سانتوس بيس، وسوه تشانغروك، وكوباوياه تشامدجا كباتشا، وإيلين تيغرودجا، وإيميرو تامرات إغيزو، وجينتيان زيبيري</w:t>
      </w:r>
      <w:r w:rsidR="008C50A9">
        <w:rPr>
          <w:rtl/>
        </w:rPr>
        <w:t xml:space="preserve">. </w:t>
      </w:r>
    </w:p>
  </w:footnote>
  <w:footnote w:id="3">
    <w:p w14:paraId="585CFA28" w14:textId="77777777" w:rsidR="008C50A9" w:rsidRPr="00FA4BC7" w:rsidRDefault="008C50A9" w:rsidP="00CE3526">
      <w:pPr>
        <w:pStyle w:val="FootnoteText"/>
        <w:tabs>
          <w:tab w:val="clear" w:pos="1021"/>
        </w:tabs>
        <w:bidi/>
        <w:spacing w:after="60" w:line="280" w:lineRule="exact"/>
        <w:ind w:left="1247" w:right="1247" w:hanging="567"/>
        <w:jc w:val="lowKashida"/>
        <w:textDirection w:val="tbRlV"/>
        <w:rPr>
          <w:szCs w:val="18"/>
          <w:lang w:val="ar-SA" w:eastAsia="zh-TW" w:bidi="en-GB"/>
        </w:rPr>
      </w:pPr>
      <w:r w:rsidRPr="00FA4BC7">
        <w:rPr>
          <w:rStyle w:val="FootnoteReference"/>
          <w:vertAlign w:val="baseline"/>
          <w:rtl/>
        </w:rPr>
        <w:t>(</w:t>
      </w:r>
      <w:r w:rsidRPr="00387BCA">
        <w:rPr>
          <w:rStyle w:val="FootnoteReference"/>
          <w:vertAlign w:val="baseline"/>
          <w:rtl/>
        </w:rPr>
        <w:footnoteRef/>
      </w:r>
      <w:r w:rsidRPr="00FA4BC7">
        <w:rPr>
          <w:rStyle w:val="FootnoteReference"/>
          <w:vertAlign w:val="baseline"/>
          <w:rtl/>
        </w:rPr>
        <w:t>)</w:t>
      </w:r>
      <w:r w:rsidRPr="00FA4BC7">
        <w:rPr>
          <w:szCs w:val="18"/>
          <w:rtl/>
        </w:rPr>
        <w:tab/>
        <w:t xml:space="preserve">أي ما يعادل حوالي </w:t>
      </w:r>
      <w:r w:rsidRPr="00387BCA">
        <w:rPr>
          <w:szCs w:val="18"/>
          <w:rtl/>
        </w:rPr>
        <w:t>130</w:t>
      </w:r>
      <w:r w:rsidRPr="00FA4BC7">
        <w:rPr>
          <w:szCs w:val="18"/>
          <w:rtl/>
        </w:rPr>
        <w:t xml:space="preserve"> دولاراً من دولارات الولايات المتحدة في وقت وقوع الأحداث</w:t>
      </w:r>
      <w:r>
        <w:rPr>
          <w:szCs w:val="18"/>
          <w:rtl/>
        </w:rPr>
        <w:t xml:space="preserve">. </w:t>
      </w:r>
    </w:p>
  </w:footnote>
  <w:footnote w:id="4">
    <w:p w14:paraId="59544C16" w14:textId="77777777" w:rsidR="008C50A9" w:rsidRPr="0012653E" w:rsidRDefault="008C50A9" w:rsidP="008C50A9">
      <w:pPr>
        <w:pStyle w:val="FootnoteText"/>
        <w:tabs>
          <w:tab w:val="clear" w:pos="1021"/>
        </w:tabs>
        <w:bidi/>
        <w:spacing w:after="60" w:line="280" w:lineRule="exact"/>
        <w:ind w:left="1247" w:right="1247" w:hanging="567"/>
        <w:jc w:val="lowKashida"/>
        <w:textDirection w:val="tbRlV"/>
        <w:rPr>
          <w:szCs w:val="18"/>
          <w:lang w:eastAsia="zh-TW" w:bidi="en-GB"/>
        </w:rPr>
      </w:pPr>
      <w:r w:rsidRPr="00FA4BC7">
        <w:rPr>
          <w:rStyle w:val="FootnoteReference"/>
          <w:vertAlign w:val="baseline"/>
          <w:rtl/>
        </w:rPr>
        <w:t>(</w:t>
      </w:r>
      <w:r w:rsidRPr="00387BCA">
        <w:rPr>
          <w:rStyle w:val="FootnoteReference"/>
          <w:vertAlign w:val="baseline"/>
          <w:rtl/>
        </w:rPr>
        <w:footnoteRef/>
      </w:r>
      <w:r w:rsidRPr="00FA4BC7">
        <w:rPr>
          <w:rStyle w:val="FootnoteReference"/>
          <w:vertAlign w:val="baseline"/>
          <w:rtl/>
        </w:rPr>
        <w:t>)</w:t>
      </w:r>
      <w:r w:rsidRPr="00FA4BC7">
        <w:rPr>
          <w:szCs w:val="18"/>
          <w:rtl/>
        </w:rPr>
        <w:tab/>
        <w:t xml:space="preserve">قضية </w:t>
      </w:r>
      <w:r w:rsidRPr="00387BCA">
        <w:rPr>
          <w:i/>
          <w:iCs/>
          <w:szCs w:val="18"/>
          <w:rtl/>
        </w:rPr>
        <w:t>أليكسييف ضد الاتحاد الروسي</w:t>
      </w:r>
      <w:r w:rsidRPr="00FA4BC7">
        <w:rPr>
          <w:szCs w:val="18"/>
          <w:rtl/>
        </w:rPr>
        <w:t xml:space="preserve"> (</w:t>
      </w:r>
      <w:hyperlink r:id="rId1" w:history="1">
        <w:r w:rsidRPr="008C50A9">
          <w:rPr>
            <w:rStyle w:val="Hyperlink"/>
          </w:rPr>
          <w:t>CCPR/C/</w:t>
        </w:r>
        <w:r w:rsidRPr="00387BCA">
          <w:rPr>
            <w:rStyle w:val="Hyperlink"/>
          </w:rPr>
          <w:t>109</w:t>
        </w:r>
        <w:r w:rsidRPr="008C50A9">
          <w:rPr>
            <w:rStyle w:val="Hyperlink"/>
          </w:rPr>
          <w:t>/D/</w:t>
        </w:r>
        <w:r w:rsidRPr="00387BCA">
          <w:rPr>
            <w:rStyle w:val="Hyperlink"/>
          </w:rPr>
          <w:t>1873</w:t>
        </w:r>
        <w:r w:rsidRPr="008C50A9">
          <w:rPr>
            <w:rStyle w:val="Hyperlink"/>
          </w:rPr>
          <w:t>/</w:t>
        </w:r>
        <w:r w:rsidRPr="00387BCA">
          <w:rPr>
            <w:rStyle w:val="Hyperlink"/>
          </w:rPr>
          <w:t>2009</w:t>
        </w:r>
      </w:hyperlink>
      <w:r w:rsidRPr="008C50A9">
        <w:rPr>
          <w:szCs w:val="18"/>
          <w:rtl/>
        </w:rPr>
        <w:t xml:space="preserve">)، </w:t>
      </w:r>
      <w:r w:rsidRPr="00FA4BC7">
        <w:rPr>
          <w:szCs w:val="18"/>
          <w:rtl/>
        </w:rPr>
        <w:t xml:space="preserve">الفقرة </w:t>
      </w:r>
      <w:r w:rsidRPr="00387BCA">
        <w:rPr>
          <w:szCs w:val="18"/>
          <w:rtl/>
        </w:rPr>
        <w:t>8</w:t>
      </w:r>
      <w:r w:rsidRPr="00FA4BC7">
        <w:rPr>
          <w:szCs w:val="18"/>
          <w:rtl/>
        </w:rPr>
        <w:t>-</w:t>
      </w:r>
      <w:r w:rsidRPr="00387BCA">
        <w:rPr>
          <w:szCs w:val="18"/>
          <w:rtl/>
        </w:rPr>
        <w:t>4</w:t>
      </w:r>
      <w:r w:rsidRPr="00FA4BC7">
        <w:rPr>
          <w:szCs w:val="18"/>
          <w:rtl/>
        </w:rPr>
        <w:t xml:space="preserve">؛ وقضية </w:t>
      </w:r>
      <w:r w:rsidRPr="00387BCA">
        <w:rPr>
          <w:i/>
          <w:iCs/>
          <w:szCs w:val="18"/>
          <w:rtl/>
        </w:rPr>
        <w:t>لوزينكو ضد بيلاروس</w:t>
      </w:r>
      <w:r w:rsidRPr="00FA4BC7">
        <w:rPr>
          <w:szCs w:val="18"/>
          <w:rtl/>
        </w:rPr>
        <w:t xml:space="preserve"> (</w:t>
      </w:r>
      <w:hyperlink r:id="rId2" w:history="1">
        <w:r w:rsidRPr="008C50A9">
          <w:rPr>
            <w:rStyle w:val="Hyperlink"/>
          </w:rPr>
          <w:t>CCPR/C/</w:t>
        </w:r>
        <w:r w:rsidRPr="00387BCA">
          <w:rPr>
            <w:rStyle w:val="Hyperlink"/>
          </w:rPr>
          <w:t>112</w:t>
        </w:r>
        <w:r w:rsidRPr="008C50A9">
          <w:rPr>
            <w:rStyle w:val="Hyperlink"/>
          </w:rPr>
          <w:t>/D/</w:t>
        </w:r>
        <w:r w:rsidRPr="00387BCA">
          <w:rPr>
            <w:rStyle w:val="Hyperlink"/>
          </w:rPr>
          <w:t>1929</w:t>
        </w:r>
        <w:r w:rsidRPr="008C50A9">
          <w:rPr>
            <w:rStyle w:val="Hyperlink"/>
          </w:rPr>
          <w:t>/</w:t>
        </w:r>
        <w:r w:rsidRPr="00387BCA">
          <w:rPr>
            <w:rStyle w:val="Hyperlink"/>
          </w:rPr>
          <w:t>2010</w:t>
        </w:r>
      </w:hyperlink>
      <w:r w:rsidRPr="008C50A9">
        <w:rPr>
          <w:szCs w:val="18"/>
          <w:rtl/>
        </w:rPr>
        <w:t xml:space="preserve">)، </w:t>
      </w:r>
      <w:r w:rsidRPr="00FA4BC7">
        <w:rPr>
          <w:szCs w:val="18"/>
          <w:rtl/>
        </w:rPr>
        <w:t xml:space="preserve">الفقرة </w:t>
      </w:r>
      <w:r w:rsidRPr="00387BCA">
        <w:rPr>
          <w:szCs w:val="18"/>
          <w:rtl/>
        </w:rPr>
        <w:t>6</w:t>
      </w:r>
      <w:r w:rsidRPr="00FA4BC7">
        <w:rPr>
          <w:szCs w:val="18"/>
          <w:rtl/>
        </w:rPr>
        <w:t>-</w:t>
      </w:r>
      <w:r w:rsidRPr="00387BCA">
        <w:rPr>
          <w:szCs w:val="18"/>
          <w:rtl/>
        </w:rPr>
        <w:t>3</w:t>
      </w:r>
      <w:r w:rsidRPr="00FA4BC7">
        <w:rPr>
          <w:szCs w:val="18"/>
          <w:rtl/>
        </w:rPr>
        <w:t xml:space="preserve">؛ وقضية </w:t>
      </w:r>
      <w:r w:rsidRPr="00387BCA">
        <w:rPr>
          <w:i/>
          <w:iCs/>
          <w:szCs w:val="18"/>
          <w:rtl/>
        </w:rPr>
        <w:t>سودالينكو ضد بيلاروس</w:t>
      </w:r>
      <w:r w:rsidRPr="00FA4BC7">
        <w:rPr>
          <w:szCs w:val="18"/>
          <w:rtl/>
        </w:rPr>
        <w:t xml:space="preserve"> (</w:t>
      </w:r>
      <w:hyperlink r:id="rId3" w:history="1">
        <w:r w:rsidRPr="008C50A9">
          <w:rPr>
            <w:rStyle w:val="Hyperlink"/>
          </w:rPr>
          <w:t>CCPR/C/</w:t>
        </w:r>
        <w:r w:rsidRPr="00387BCA">
          <w:rPr>
            <w:rStyle w:val="Hyperlink"/>
          </w:rPr>
          <w:t>115</w:t>
        </w:r>
        <w:r w:rsidRPr="008C50A9">
          <w:rPr>
            <w:rStyle w:val="Hyperlink"/>
          </w:rPr>
          <w:t>/D/</w:t>
        </w:r>
        <w:r w:rsidRPr="00387BCA">
          <w:rPr>
            <w:rStyle w:val="Hyperlink"/>
          </w:rPr>
          <w:t>2016</w:t>
        </w:r>
        <w:r w:rsidRPr="008C50A9">
          <w:rPr>
            <w:rStyle w:val="Hyperlink"/>
          </w:rPr>
          <w:t>/</w:t>
        </w:r>
        <w:r w:rsidRPr="00387BCA">
          <w:rPr>
            <w:rStyle w:val="Hyperlink"/>
          </w:rPr>
          <w:t>2010</w:t>
        </w:r>
      </w:hyperlink>
      <w:r w:rsidRPr="008C50A9">
        <w:rPr>
          <w:szCs w:val="18"/>
          <w:rtl/>
        </w:rPr>
        <w:t xml:space="preserve">)، </w:t>
      </w:r>
      <w:r w:rsidRPr="00FA4BC7">
        <w:rPr>
          <w:szCs w:val="18"/>
          <w:rtl/>
        </w:rPr>
        <w:t xml:space="preserve">الفقرة </w:t>
      </w:r>
      <w:r w:rsidRPr="00387BCA">
        <w:rPr>
          <w:szCs w:val="18"/>
          <w:rtl/>
        </w:rPr>
        <w:t>7</w:t>
      </w:r>
      <w:r w:rsidRPr="00FA4BC7">
        <w:rPr>
          <w:szCs w:val="18"/>
          <w:rtl/>
        </w:rPr>
        <w:t>-</w:t>
      </w:r>
      <w:r w:rsidRPr="00387BCA">
        <w:rPr>
          <w:szCs w:val="18"/>
          <w:rtl/>
        </w:rPr>
        <w:t>3</w:t>
      </w:r>
      <w:r w:rsidRPr="008C50A9">
        <w:rPr>
          <w:szCs w:val="18"/>
          <w:rtl/>
        </w:rPr>
        <w:t xml:space="preserve">. </w:t>
      </w:r>
    </w:p>
  </w:footnote>
  <w:footnote w:id="5">
    <w:p w14:paraId="56899544" w14:textId="77777777" w:rsidR="008C50A9" w:rsidRPr="00FA4BC7" w:rsidRDefault="008C50A9" w:rsidP="00CE3526">
      <w:pPr>
        <w:pStyle w:val="FootnoteText"/>
        <w:tabs>
          <w:tab w:val="clear" w:pos="1021"/>
        </w:tabs>
        <w:bidi/>
        <w:spacing w:after="60" w:line="280" w:lineRule="exact"/>
        <w:ind w:left="1247" w:right="1247" w:hanging="567"/>
        <w:jc w:val="lowKashida"/>
        <w:textDirection w:val="tbRlV"/>
        <w:rPr>
          <w:szCs w:val="18"/>
          <w:lang w:val="ar-SA" w:eastAsia="zh-TW" w:bidi="en-GB"/>
        </w:rPr>
      </w:pPr>
      <w:r w:rsidRPr="00FA4BC7">
        <w:rPr>
          <w:rStyle w:val="FootnoteReference"/>
          <w:vertAlign w:val="baseline"/>
          <w:rtl/>
        </w:rPr>
        <w:t>(</w:t>
      </w:r>
      <w:r w:rsidRPr="00387BCA">
        <w:rPr>
          <w:rStyle w:val="FootnoteReference"/>
          <w:vertAlign w:val="baseline"/>
          <w:rtl/>
        </w:rPr>
        <w:footnoteRef/>
      </w:r>
      <w:r w:rsidRPr="00FA4BC7">
        <w:rPr>
          <w:rStyle w:val="FootnoteReference"/>
          <w:vertAlign w:val="baseline"/>
          <w:rtl/>
        </w:rPr>
        <w:t>)</w:t>
      </w:r>
      <w:r w:rsidRPr="00FA4BC7">
        <w:rPr>
          <w:szCs w:val="18"/>
          <w:rtl/>
        </w:rPr>
        <w:tab/>
        <w:t xml:space="preserve">التعليق العام رقم </w:t>
      </w:r>
      <w:r w:rsidRPr="00387BCA">
        <w:rPr>
          <w:szCs w:val="18"/>
          <w:rtl/>
        </w:rPr>
        <w:t>37</w:t>
      </w:r>
      <w:r w:rsidRPr="00FA4BC7">
        <w:rPr>
          <w:szCs w:val="18"/>
          <w:rtl/>
        </w:rPr>
        <w:t>(</w:t>
      </w:r>
      <w:r w:rsidRPr="00387BCA">
        <w:rPr>
          <w:szCs w:val="18"/>
          <w:rtl/>
        </w:rPr>
        <w:t>2020</w:t>
      </w:r>
      <w:r w:rsidRPr="008C50A9">
        <w:rPr>
          <w:szCs w:val="18"/>
          <w:rtl/>
        </w:rPr>
        <w:t xml:space="preserve">)، </w:t>
      </w:r>
      <w:r w:rsidRPr="00FA4BC7">
        <w:rPr>
          <w:szCs w:val="18"/>
          <w:rtl/>
        </w:rPr>
        <w:t xml:space="preserve">الفقرة </w:t>
      </w:r>
      <w:r w:rsidRPr="00387BCA">
        <w:rPr>
          <w:szCs w:val="18"/>
          <w:rtl/>
        </w:rPr>
        <w:t>13</w:t>
      </w:r>
      <w:r w:rsidRPr="008C50A9">
        <w:rPr>
          <w:szCs w:val="18"/>
          <w:rtl/>
        </w:rPr>
        <w:t xml:space="preserve">. </w:t>
      </w:r>
    </w:p>
  </w:footnote>
  <w:footnote w:id="6">
    <w:p w14:paraId="6108E0AB" w14:textId="5721FBEC" w:rsidR="008C50A9" w:rsidRPr="00FA4BC7" w:rsidRDefault="008C50A9" w:rsidP="008C50A9">
      <w:pPr>
        <w:pStyle w:val="FootnoteText"/>
        <w:tabs>
          <w:tab w:val="clear" w:pos="1021"/>
        </w:tabs>
        <w:bidi/>
        <w:spacing w:after="60" w:line="280" w:lineRule="exact"/>
        <w:ind w:left="1247" w:right="1247" w:hanging="567"/>
        <w:jc w:val="lowKashida"/>
        <w:textDirection w:val="tbRlV"/>
        <w:rPr>
          <w:szCs w:val="18"/>
          <w:lang w:val="ar-SA" w:eastAsia="zh-TW" w:bidi="en-GB"/>
        </w:rPr>
      </w:pPr>
      <w:r w:rsidRPr="00FA4BC7">
        <w:rPr>
          <w:rStyle w:val="FootnoteReference"/>
          <w:vertAlign w:val="baseline"/>
          <w:rtl/>
        </w:rPr>
        <w:t>(</w:t>
      </w:r>
      <w:r w:rsidRPr="00387BCA">
        <w:rPr>
          <w:rStyle w:val="FootnoteReference"/>
          <w:vertAlign w:val="baseline"/>
          <w:rtl/>
        </w:rPr>
        <w:footnoteRef/>
      </w:r>
      <w:r w:rsidRPr="00FA4BC7">
        <w:rPr>
          <w:rStyle w:val="FootnoteReference"/>
          <w:vertAlign w:val="baseline"/>
          <w:rtl/>
        </w:rPr>
        <w:t>)</w:t>
      </w:r>
      <w:r w:rsidRPr="00FA4BC7">
        <w:rPr>
          <w:szCs w:val="18"/>
          <w:rtl/>
        </w:rPr>
        <w:tab/>
        <w:t xml:space="preserve">قضية </w:t>
      </w:r>
      <w:r w:rsidRPr="00387BCA">
        <w:rPr>
          <w:i/>
          <w:iCs/>
          <w:szCs w:val="18"/>
          <w:rtl/>
        </w:rPr>
        <w:t>كولمان ضد أستراليا</w:t>
      </w:r>
      <w:r w:rsidRPr="00FA4BC7">
        <w:rPr>
          <w:szCs w:val="18"/>
          <w:rtl/>
        </w:rPr>
        <w:t xml:space="preserve"> (</w:t>
      </w:r>
      <w:hyperlink r:id="rId4" w:history="1">
        <w:r w:rsidRPr="008C50A9">
          <w:rPr>
            <w:rStyle w:val="Hyperlink"/>
          </w:rPr>
          <w:t>CCPR/C/</w:t>
        </w:r>
        <w:r w:rsidRPr="00387BCA">
          <w:rPr>
            <w:rStyle w:val="Hyperlink"/>
          </w:rPr>
          <w:t>87</w:t>
        </w:r>
        <w:r w:rsidRPr="008C50A9">
          <w:rPr>
            <w:rStyle w:val="Hyperlink"/>
          </w:rPr>
          <w:t>/D/</w:t>
        </w:r>
        <w:r w:rsidRPr="00387BCA">
          <w:rPr>
            <w:rStyle w:val="Hyperlink"/>
          </w:rPr>
          <w:t>1157</w:t>
        </w:r>
        <w:r w:rsidRPr="008C50A9">
          <w:rPr>
            <w:rStyle w:val="Hyperlink"/>
          </w:rPr>
          <w:t>/</w:t>
        </w:r>
        <w:r w:rsidRPr="00387BCA">
          <w:rPr>
            <w:rStyle w:val="Hyperlink"/>
          </w:rPr>
          <w:t>2003</w:t>
        </w:r>
      </w:hyperlink>
      <w:r w:rsidRPr="008C50A9">
        <w:rPr>
          <w:szCs w:val="18"/>
          <w:rtl/>
        </w:rPr>
        <w:t xml:space="preserve">)، </w:t>
      </w:r>
      <w:r w:rsidRPr="00FA4BC7">
        <w:rPr>
          <w:szCs w:val="18"/>
          <w:rtl/>
        </w:rPr>
        <w:t xml:space="preserve">الفقرة </w:t>
      </w:r>
      <w:r w:rsidRPr="00387BCA">
        <w:rPr>
          <w:szCs w:val="18"/>
          <w:rtl/>
        </w:rPr>
        <w:t>6</w:t>
      </w:r>
      <w:r w:rsidRPr="00FA4BC7">
        <w:rPr>
          <w:szCs w:val="18"/>
          <w:rtl/>
        </w:rPr>
        <w:t>-</w:t>
      </w:r>
      <w:r w:rsidRPr="00387BCA">
        <w:rPr>
          <w:szCs w:val="18"/>
          <w:rtl/>
        </w:rPr>
        <w:t>4</w:t>
      </w:r>
      <w:r w:rsidRPr="00FA4BC7">
        <w:rPr>
          <w:szCs w:val="18"/>
          <w:rtl/>
        </w:rPr>
        <w:t xml:space="preserve">؛ وقضية </w:t>
      </w:r>
      <w:r w:rsidRPr="00387BCA">
        <w:rPr>
          <w:i/>
          <w:iCs/>
          <w:szCs w:val="18"/>
          <w:rtl/>
        </w:rPr>
        <w:t>ليفينوف ضد بيلاروس</w:t>
      </w:r>
      <w:r w:rsidRPr="00FA4BC7">
        <w:rPr>
          <w:szCs w:val="18"/>
          <w:rtl/>
        </w:rPr>
        <w:t xml:space="preserve"> (</w:t>
      </w:r>
      <w:hyperlink r:id="rId5" w:history="1">
        <w:r w:rsidRPr="008C50A9">
          <w:rPr>
            <w:rStyle w:val="Hyperlink"/>
          </w:rPr>
          <w:t>CCPR/C/</w:t>
        </w:r>
        <w:r w:rsidRPr="00387BCA">
          <w:rPr>
            <w:rStyle w:val="Hyperlink"/>
          </w:rPr>
          <w:t>117</w:t>
        </w:r>
        <w:r w:rsidRPr="008C50A9">
          <w:rPr>
            <w:rStyle w:val="Hyperlink"/>
          </w:rPr>
          <w:t>/D/</w:t>
        </w:r>
        <w:r w:rsidRPr="00387BCA">
          <w:rPr>
            <w:rStyle w:val="Hyperlink"/>
          </w:rPr>
          <w:t>2082</w:t>
        </w:r>
        <w:r w:rsidRPr="008C50A9">
          <w:rPr>
            <w:rStyle w:val="Hyperlink"/>
          </w:rPr>
          <w:t>/</w:t>
        </w:r>
        <w:r w:rsidRPr="00387BCA">
          <w:rPr>
            <w:rStyle w:val="Hyperlink"/>
          </w:rPr>
          <w:t>2011</w:t>
        </w:r>
      </w:hyperlink>
      <w:r w:rsidRPr="008C50A9">
        <w:rPr>
          <w:szCs w:val="18"/>
          <w:rtl/>
        </w:rPr>
        <w:t xml:space="preserve">)، </w:t>
      </w:r>
      <w:r w:rsidRPr="00FA4BC7">
        <w:rPr>
          <w:szCs w:val="18"/>
          <w:rtl/>
        </w:rPr>
        <w:t xml:space="preserve">الفقرة </w:t>
      </w:r>
      <w:r w:rsidRPr="00387BCA">
        <w:rPr>
          <w:szCs w:val="18"/>
          <w:rtl/>
        </w:rPr>
        <w:t>7</w:t>
      </w:r>
      <w:r w:rsidRPr="00FA4BC7">
        <w:rPr>
          <w:szCs w:val="18"/>
          <w:rtl/>
        </w:rPr>
        <w:t>-</w:t>
      </w:r>
      <w:r w:rsidRPr="00387BCA">
        <w:rPr>
          <w:szCs w:val="18"/>
          <w:rtl/>
        </w:rPr>
        <w:t>7</w:t>
      </w:r>
      <w:r w:rsidRPr="00FA4BC7">
        <w:rPr>
          <w:szCs w:val="18"/>
          <w:rtl/>
        </w:rPr>
        <w:t xml:space="preserve">؛ وقضية </w:t>
      </w:r>
      <w:r w:rsidRPr="00387BCA">
        <w:rPr>
          <w:i/>
          <w:iCs/>
          <w:szCs w:val="18"/>
          <w:rtl/>
        </w:rPr>
        <w:t xml:space="preserve">ليفينوف ضد بيلاروس </w:t>
      </w:r>
      <w:r w:rsidRPr="00FA4BC7">
        <w:rPr>
          <w:szCs w:val="18"/>
          <w:rtl/>
        </w:rPr>
        <w:t>(</w:t>
      </w:r>
      <w:hyperlink r:id="rId6" w:history="1">
        <w:r w:rsidRPr="008C50A9">
          <w:rPr>
            <w:rStyle w:val="Hyperlink"/>
          </w:rPr>
          <w:t>CCPR/C/</w:t>
        </w:r>
        <w:r w:rsidRPr="00387BCA">
          <w:rPr>
            <w:rStyle w:val="Hyperlink"/>
          </w:rPr>
          <w:t>105</w:t>
        </w:r>
        <w:r w:rsidRPr="008C50A9">
          <w:rPr>
            <w:rStyle w:val="Hyperlink"/>
          </w:rPr>
          <w:t>/D/</w:t>
        </w:r>
        <w:r w:rsidRPr="00387BCA">
          <w:rPr>
            <w:rStyle w:val="Hyperlink"/>
          </w:rPr>
          <w:t>1867</w:t>
        </w:r>
        <w:r w:rsidRPr="008C50A9">
          <w:rPr>
            <w:rStyle w:val="Hyperlink"/>
          </w:rPr>
          <w:t>/</w:t>
        </w:r>
        <w:r w:rsidRPr="00387BCA">
          <w:rPr>
            <w:rStyle w:val="Hyperlink"/>
          </w:rPr>
          <w:t>2009</w:t>
        </w:r>
      </w:hyperlink>
      <w:r w:rsidRPr="00FA4BC7">
        <w:rPr>
          <w:szCs w:val="18"/>
          <w:rtl/>
        </w:rPr>
        <w:t>، و</w:t>
      </w:r>
      <w:r w:rsidRPr="00387BCA">
        <w:rPr>
          <w:szCs w:val="18"/>
          <w:rtl/>
        </w:rPr>
        <w:t>1936</w:t>
      </w:r>
      <w:r w:rsidRPr="00FA4BC7">
        <w:rPr>
          <w:szCs w:val="18"/>
          <w:rtl/>
        </w:rPr>
        <w:t>/</w:t>
      </w:r>
      <w:r w:rsidRPr="00387BCA">
        <w:rPr>
          <w:szCs w:val="18"/>
          <w:rtl/>
        </w:rPr>
        <w:t>2010</w:t>
      </w:r>
      <w:r w:rsidRPr="00FA4BC7">
        <w:rPr>
          <w:szCs w:val="18"/>
          <w:rtl/>
        </w:rPr>
        <w:t>، و</w:t>
      </w:r>
      <w:r w:rsidRPr="00387BCA">
        <w:rPr>
          <w:szCs w:val="18"/>
          <w:rtl/>
        </w:rPr>
        <w:t>1975</w:t>
      </w:r>
      <w:r w:rsidRPr="00FA4BC7">
        <w:rPr>
          <w:szCs w:val="18"/>
          <w:rtl/>
        </w:rPr>
        <w:t>/</w:t>
      </w:r>
      <w:r w:rsidRPr="00387BCA">
        <w:rPr>
          <w:szCs w:val="18"/>
          <w:rtl/>
        </w:rPr>
        <w:t>2010</w:t>
      </w:r>
      <w:r w:rsidRPr="00FA4BC7">
        <w:rPr>
          <w:szCs w:val="18"/>
          <w:rtl/>
        </w:rPr>
        <w:t>، و</w:t>
      </w:r>
      <w:r w:rsidRPr="00387BCA">
        <w:rPr>
          <w:szCs w:val="18"/>
          <w:rtl/>
        </w:rPr>
        <w:t>1977</w:t>
      </w:r>
      <w:r w:rsidRPr="00FA4BC7">
        <w:rPr>
          <w:szCs w:val="18"/>
          <w:rtl/>
        </w:rPr>
        <w:t>-</w:t>
      </w:r>
      <w:r w:rsidRPr="00387BCA">
        <w:rPr>
          <w:szCs w:val="18"/>
          <w:rtl/>
        </w:rPr>
        <w:t>1981</w:t>
      </w:r>
      <w:r w:rsidRPr="00FA4BC7">
        <w:rPr>
          <w:szCs w:val="18"/>
          <w:rtl/>
        </w:rPr>
        <w:t>/</w:t>
      </w:r>
      <w:r w:rsidRPr="00387BCA">
        <w:rPr>
          <w:szCs w:val="18"/>
          <w:rtl/>
        </w:rPr>
        <w:t>2010</w:t>
      </w:r>
      <w:r w:rsidRPr="00FA4BC7">
        <w:rPr>
          <w:szCs w:val="18"/>
          <w:rtl/>
        </w:rPr>
        <w:t>، و</w:t>
      </w:r>
      <w:r w:rsidRPr="00387BCA">
        <w:rPr>
          <w:szCs w:val="18"/>
          <w:rtl/>
        </w:rPr>
        <w:t>2010</w:t>
      </w:r>
      <w:r w:rsidRPr="00FA4BC7">
        <w:rPr>
          <w:szCs w:val="18"/>
          <w:rtl/>
        </w:rPr>
        <w:t>/</w:t>
      </w:r>
      <w:r w:rsidRPr="00387BCA">
        <w:rPr>
          <w:szCs w:val="18"/>
          <w:rtl/>
        </w:rPr>
        <w:t>2010</w:t>
      </w:r>
      <w:r w:rsidRPr="00FA4BC7">
        <w:rPr>
          <w:szCs w:val="18"/>
          <w:rtl/>
        </w:rPr>
        <w:t xml:space="preserve"> الفقرة </w:t>
      </w:r>
      <w:r w:rsidRPr="00387BCA">
        <w:rPr>
          <w:szCs w:val="18"/>
          <w:rtl/>
        </w:rPr>
        <w:t>9</w:t>
      </w:r>
      <w:r w:rsidRPr="00FA4BC7">
        <w:rPr>
          <w:szCs w:val="18"/>
          <w:rtl/>
        </w:rPr>
        <w:t>-</w:t>
      </w:r>
      <w:r w:rsidRPr="00387BCA">
        <w:rPr>
          <w:szCs w:val="18"/>
          <w:rtl/>
        </w:rPr>
        <w:t>7</w:t>
      </w:r>
      <w:r w:rsidRPr="00FA4BC7">
        <w:rPr>
          <w:szCs w:val="18"/>
          <w:rtl/>
        </w:rPr>
        <w:t xml:space="preserve">؛ وقضية </w:t>
      </w:r>
      <w:r w:rsidRPr="00387BCA">
        <w:rPr>
          <w:i/>
          <w:iCs/>
          <w:szCs w:val="18"/>
          <w:rtl/>
        </w:rPr>
        <w:t>ليفينوف ضد بيلاروس</w:t>
      </w:r>
      <w:r w:rsidRPr="00FA4BC7">
        <w:rPr>
          <w:szCs w:val="18"/>
          <w:rtl/>
        </w:rPr>
        <w:t xml:space="preserve"> (</w:t>
      </w:r>
      <w:hyperlink r:id="rId7" w:history="1">
        <w:r w:rsidRPr="008C50A9">
          <w:rPr>
            <w:rStyle w:val="Hyperlink"/>
          </w:rPr>
          <w:t>CCPR/C/</w:t>
        </w:r>
        <w:r w:rsidRPr="00387BCA">
          <w:rPr>
            <w:rStyle w:val="Hyperlink"/>
          </w:rPr>
          <w:t>123</w:t>
        </w:r>
        <w:r w:rsidRPr="008C50A9">
          <w:rPr>
            <w:rStyle w:val="Hyperlink"/>
          </w:rPr>
          <w:t>/D/</w:t>
        </w:r>
        <w:r w:rsidRPr="00387BCA">
          <w:rPr>
            <w:rStyle w:val="Hyperlink"/>
          </w:rPr>
          <w:t>2235</w:t>
        </w:r>
        <w:r w:rsidRPr="008C50A9">
          <w:rPr>
            <w:rStyle w:val="Hyperlink"/>
          </w:rPr>
          <w:t>/</w:t>
        </w:r>
        <w:r w:rsidRPr="00387BCA">
          <w:rPr>
            <w:rStyle w:val="Hyperlink"/>
          </w:rPr>
          <w:t>2013</w:t>
        </w:r>
      </w:hyperlink>
      <w:r w:rsidRPr="008C50A9">
        <w:rPr>
          <w:szCs w:val="18"/>
          <w:rtl/>
        </w:rPr>
        <w:t xml:space="preserve">)، </w:t>
      </w:r>
      <w:r w:rsidRPr="00FA4BC7">
        <w:rPr>
          <w:szCs w:val="18"/>
          <w:rtl/>
        </w:rPr>
        <w:t xml:space="preserve">الفقرة </w:t>
      </w:r>
      <w:r w:rsidRPr="00387BCA">
        <w:rPr>
          <w:szCs w:val="18"/>
          <w:rtl/>
        </w:rPr>
        <w:t>5</w:t>
      </w:r>
      <w:r w:rsidRPr="00FA4BC7">
        <w:rPr>
          <w:szCs w:val="18"/>
          <w:rtl/>
        </w:rPr>
        <w:t>-</w:t>
      </w:r>
      <w:r w:rsidRPr="00387BCA">
        <w:rPr>
          <w:szCs w:val="18"/>
          <w:rtl/>
        </w:rPr>
        <w:t>7</w:t>
      </w:r>
      <w:r w:rsidRPr="008C50A9">
        <w:rPr>
          <w:szCs w:val="18"/>
          <w:rtl/>
        </w:rPr>
        <w:t xml:space="preserve">. </w:t>
      </w:r>
    </w:p>
  </w:footnote>
  <w:footnote w:id="7">
    <w:p w14:paraId="4BD0547C" w14:textId="77777777" w:rsidR="008C50A9" w:rsidRPr="00FA4BC7" w:rsidRDefault="008C50A9" w:rsidP="00CE3526">
      <w:pPr>
        <w:pStyle w:val="FootnoteText"/>
        <w:tabs>
          <w:tab w:val="clear" w:pos="1021"/>
        </w:tabs>
        <w:bidi/>
        <w:spacing w:after="60" w:line="280" w:lineRule="exact"/>
        <w:ind w:left="1247" w:right="1247" w:hanging="567"/>
        <w:jc w:val="lowKashida"/>
        <w:textDirection w:val="tbRlV"/>
        <w:rPr>
          <w:szCs w:val="18"/>
          <w:lang w:val="ar-SA" w:eastAsia="zh-TW" w:bidi="en-GB"/>
        </w:rPr>
      </w:pPr>
      <w:r w:rsidRPr="00FA4BC7">
        <w:rPr>
          <w:rStyle w:val="FootnoteReference"/>
          <w:vertAlign w:val="baseline"/>
          <w:rtl/>
        </w:rPr>
        <w:t>(</w:t>
      </w:r>
      <w:r w:rsidRPr="00387BCA">
        <w:rPr>
          <w:rStyle w:val="FootnoteReference"/>
          <w:vertAlign w:val="baseline"/>
          <w:rtl/>
        </w:rPr>
        <w:footnoteRef/>
      </w:r>
      <w:r w:rsidRPr="00FA4BC7">
        <w:rPr>
          <w:rStyle w:val="FootnoteReference"/>
          <w:vertAlign w:val="baseline"/>
          <w:rtl/>
        </w:rPr>
        <w:t>)</w:t>
      </w:r>
      <w:r w:rsidRPr="00FA4BC7">
        <w:rPr>
          <w:szCs w:val="18"/>
          <w:rtl/>
        </w:rPr>
        <w:tab/>
        <w:t xml:space="preserve">التعليق العام رقم </w:t>
      </w:r>
      <w:r w:rsidRPr="00387BCA">
        <w:rPr>
          <w:szCs w:val="18"/>
          <w:rtl/>
        </w:rPr>
        <w:t>37</w:t>
      </w:r>
      <w:r w:rsidRPr="00FA4BC7">
        <w:rPr>
          <w:szCs w:val="18"/>
          <w:rtl/>
        </w:rPr>
        <w:t>(</w:t>
      </w:r>
      <w:r w:rsidRPr="00387BCA">
        <w:rPr>
          <w:szCs w:val="18"/>
          <w:rtl/>
        </w:rPr>
        <w:t>2020</w:t>
      </w:r>
      <w:r w:rsidRPr="008C50A9">
        <w:rPr>
          <w:szCs w:val="18"/>
          <w:rtl/>
        </w:rPr>
        <w:t xml:space="preserve">)، </w:t>
      </w:r>
      <w:r w:rsidRPr="00FA4BC7">
        <w:rPr>
          <w:szCs w:val="18"/>
          <w:rtl/>
        </w:rPr>
        <w:t xml:space="preserve">الفقرة </w:t>
      </w:r>
      <w:r w:rsidRPr="00387BCA">
        <w:rPr>
          <w:szCs w:val="18"/>
          <w:rtl/>
        </w:rPr>
        <w:t>55</w:t>
      </w:r>
      <w:r w:rsidRPr="008C50A9">
        <w:rPr>
          <w:szCs w:val="18"/>
          <w:rtl/>
        </w:rPr>
        <w:t xml:space="preserve">. </w:t>
      </w:r>
    </w:p>
  </w:footnote>
  <w:footnote w:id="8">
    <w:p w14:paraId="340B6B24" w14:textId="77777777" w:rsidR="008C50A9" w:rsidRPr="00FA4BC7" w:rsidRDefault="008C50A9" w:rsidP="00CE3526">
      <w:pPr>
        <w:pStyle w:val="FootnoteText"/>
        <w:tabs>
          <w:tab w:val="clear" w:pos="1021"/>
        </w:tabs>
        <w:bidi/>
        <w:spacing w:after="60" w:line="280" w:lineRule="exact"/>
        <w:ind w:left="1247" w:right="1247" w:hanging="567"/>
        <w:jc w:val="lowKashida"/>
        <w:textDirection w:val="tbRlV"/>
        <w:rPr>
          <w:szCs w:val="18"/>
          <w:lang w:val="ar-SA" w:eastAsia="zh-TW" w:bidi="en-GB"/>
        </w:rPr>
      </w:pPr>
      <w:r w:rsidRPr="00FA4BC7">
        <w:rPr>
          <w:rStyle w:val="FootnoteReference"/>
          <w:vertAlign w:val="baseline"/>
          <w:rtl/>
        </w:rPr>
        <w:t>(</w:t>
      </w:r>
      <w:r w:rsidRPr="00387BCA">
        <w:rPr>
          <w:rStyle w:val="FootnoteReference"/>
          <w:vertAlign w:val="baseline"/>
          <w:rtl/>
        </w:rPr>
        <w:footnoteRef/>
      </w:r>
      <w:r w:rsidRPr="00FA4BC7">
        <w:rPr>
          <w:rStyle w:val="FootnoteReference"/>
          <w:vertAlign w:val="baseline"/>
          <w:rtl/>
        </w:rPr>
        <w:t>)</w:t>
      </w:r>
      <w:r w:rsidRPr="00FA4BC7">
        <w:rPr>
          <w:szCs w:val="18"/>
          <w:rtl/>
        </w:rPr>
        <w:tab/>
        <w:t xml:space="preserve">المرجع نفسه، الفقرة </w:t>
      </w:r>
      <w:r w:rsidRPr="00387BCA">
        <w:rPr>
          <w:szCs w:val="18"/>
          <w:rtl/>
        </w:rPr>
        <w:t>64</w:t>
      </w:r>
      <w:r w:rsidRPr="008C50A9">
        <w:rPr>
          <w:szCs w:val="18"/>
          <w:rtl/>
        </w:rPr>
        <w:t xml:space="preserve">. </w:t>
      </w:r>
    </w:p>
  </w:footnote>
  <w:footnote w:id="9">
    <w:p w14:paraId="713517AE" w14:textId="77777777" w:rsidR="008C50A9" w:rsidRPr="00FA4BC7" w:rsidRDefault="008C50A9" w:rsidP="00CE3526">
      <w:pPr>
        <w:pStyle w:val="FootnoteText"/>
        <w:tabs>
          <w:tab w:val="clear" w:pos="1021"/>
        </w:tabs>
        <w:bidi/>
        <w:spacing w:after="60" w:line="280" w:lineRule="exact"/>
        <w:ind w:left="1247" w:right="1247" w:hanging="567"/>
        <w:jc w:val="lowKashida"/>
        <w:textDirection w:val="tbRlV"/>
        <w:rPr>
          <w:szCs w:val="18"/>
          <w:lang w:val="ar-SA" w:eastAsia="zh-TW" w:bidi="en-GB"/>
        </w:rPr>
      </w:pPr>
      <w:r w:rsidRPr="00FA4BC7">
        <w:rPr>
          <w:rStyle w:val="FootnoteReference"/>
          <w:vertAlign w:val="baseline"/>
          <w:rtl/>
        </w:rPr>
        <w:t>(</w:t>
      </w:r>
      <w:r w:rsidRPr="00387BCA">
        <w:rPr>
          <w:rStyle w:val="FootnoteReference"/>
          <w:vertAlign w:val="baseline"/>
          <w:rtl/>
        </w:rPr>
        <w:footnoteRef/>
      </w:r>
      <w:r w:rsidRPr="00FA4BC7">
        <w:rPr>
          <w:rStyle w:val="FootnoteReference"/>
          <w:vertAlign w:val="baseline"/>
          <w:rtl/>
        </w:rPr>
        <w:t>)</w:t>
      </w:r>
      <w:r w:rsidRPr="00FA4BC7">
        <w:rPr>
          <w:szCs w:val="18"/>
          <w:rtl/>
        </w:rPr>
        <w:t xml:space="preserve"> </w:t>
      </w:r>
      <w:r w:rsidRPr="00FA4BC7">
        <w:rPr>
          <w:szCs w:val="18"/>
          <w:rtl/>
        </w:rPr>
        <w:tab/>
        <w:t xml:space="preserve">المرجع نفسه، الفقرة </w:t>
      </w:r>
      <w:r w:rsidRPr="00387BCA">
        <w:rPr>
          <w:szCs w:val="18"/>
          <w:rtl/>
        </w:rPr>
        <w:t>6</w:t>
      </w:r>
      <w:r w:rsidRPr="008C50A9">
        <w:rPr>
          <w:szCs w:val="18"/>
          <w:rtl/>
        </w:rPr>
        <w:t xml:space="preserve">. </w:t>
      </w:r>
    </w:p>
  </w:footnote>
  <w:footnote w:id="10">
    <w:p w14:paraId="70663306" w14:textId="77777777" w:rsidR="008C50A9" w:rsidRPr="00FA4BC7" w:rsidRDefault="008C50A9" w:rsidP="00CE3526">
      <w:pPr>
        <w:pStyle w:val="FootnoteText"/>
        <w:tabs>
          <w:tab w:val="clear" w:pos="1021"/>
        </w:tabs>
        <w:bidi/>
        <w:spacing w:after="60" w:line="280" w:lineRule="exact"/>
        <w:ind w:left="1247" w:right="1247" w:hanging="567"/>
        <w:jc w:val="lowKashida"/>
        <w:textDirection w:val="tbRlV"/>
        <w:rPr>
          <w:szCs w:val="18"/>
          <w:lang w:val="ar-SA" w:eastAsia="zh-TW" w:bidi="en-GB"/>
        </w:rPr>
      </w:pPr>
      <w:r w:rsidRPr="00FA4BC7">
        <w:rPr>
          <w:rStyle w:val="FootnoteReference"/>
          <w:vertAlign w:val="baseline"/>
          <w:rtl/>
        </w:rPr>
        <w:t>(</w:t>
      </w:r>
      <w:r w:rsidRPr="00387BCA">
        <w:rPr>
          <w:rStyle w:val="FootnoteReference"/>
          <w:vertAlign w:val="baseline"/>
          <w:rtl/>
        </w:rPr>
        <w:footnoteRef/>
      </w:r>
      <w:r w:rsidRPr="00FA4BC7">
        <w:rPr>
          <w:rStyle w:val="FootnoteReference"/>
          <w:vertAlign w:val="baseline"/>
          <w:rtl/>
        </w:rPr>
        <w:t>)</w:t>
      </w:r>
      <w:r w:rsidRPr="00FA4BC7">
        <w:rPr>
          <w:szCs w:val="18"/>
          <w:rtl/>
        </w:rPr>
        <w:tab/>
        <w:t xml:space="preserve">المرجع نفسه، الفقرة </w:t>
      </w:r>
      <w:r w:rsidRPr="00387BCA">
        <w:rPr>
          <w:szCs w:val="18"/>
          <w:rtl/>
        </w:rPr>
        <w:t>22</w:t>
      </w:r>
      <w:r w:rsidRPr="008C50A9">
        <w:rPr>
          <w:szCs w:val="18"/>
          <w:rtl/>
        </w:rPr>
        <w:t xml:space="preserve">. </w:t>
      </w:r>
    </w:p>
  </w:footnote>
  <w:footnote w:id="11">
    <w:p w14:paraId="52230158" w14:textId="77777777" w:rsidR="008C50A9" w:rsidRPr="00FA4BC7" w:rsidRDefault="008C50A9" w:rsidP="00CE3526">
      <w:pPr>
        <w:pStyle w:val="FootnoteText"/>
        <w:tabs>
          <w:tab w:val="clear" w:pos="1021"/>
        </w:tabs>
        <w:bidi/>
        <w:spacing w:after="60" w:line="280" w:lineRule="exact"/>
        <w:ind w:left="1247" w:right="1247" w:hanging="567"/>
        <w:jc w:val="lowKashida"/>
        <w:textDirection w:val="tbRlV"/>
        <w:rPr>
          <w:szCs w:val="18"/>
          <w:lang w:val="ar-SA" w:eastAsia="zh-TW" w:bidi="en-GB"/>
        </w:rPr>
      </w:pPr>
      <w:r w:rsidRPr="00FA4BC7">
        <w:rPr>
          <w:rStyle w:val="FootnoteReference"/>
          <w:vertAlign w:val="baseline"/>
          <w:rtl/>
        </w:rPr>
        <w:t>(</w:t>
      </w:r>
      <w:r w:rsidRPr="00387BCA">
        <w:rPr>
          <w:rStyle w:val="FootnoteReference"/>
          <w:vertAlign w:val="baseline"/>
          <w:rtl/>
        </w:rPr>
        <w:footnoteRef/>
      </w:r>
      <w:r w:rsidRPr="00FA4BC7">
        <w:rPr>
          <w:rStyle w:val="FootnoteReference"/>
          <w:vertAlign w:val="baseline"/>
          <w:rtl/>
        </w:rPr>
        <w:t>)</w:t>
      </w:r>
      <w:r w:rsidRPr="00FA4BC7">
        <w:rPr>
          <w:szCs w:val="18"/>
          <w:rtl/>
        </w:rPr>
        <w:tab/>
        <w:t xml:space="preserve">المرجع نفسه، الفقرة </w:t>
      </w:r>
      <w:r w:rsidRPr="00387BCA">
        <w:rPr>
          <w:szCs w:val="18"/>
          <w:rtl/>
        </w:rPr>
        <w:t>36</w:t>
      </w:r>
      <w:r w:rsidRPr="008C50A9">
        <w:rPr>
          <w:szCs w:val="18"/>
          <w:rtl/>
        </w:rPr>
        <w:t xml:space="preserve">. </w:t>
      </w:r>
    </w:p>
  </w:footnote>
  <w:footnote w:id="12">
    <w:p w14:paraId="1174F6AC" w14:textId="77777777" w:rsidR="008C50A9" w:rsidRPr="00FA4BC7" w:rsidRDefault="008C50A9" w:rsidP="008C50A9">
      <w:pPr>
        <w:pStyle w:val="FootnoteText"/>
        <w:tabs>
          <w:tab w:val="clear" w:pos="1021"/>
        </w:tabs>
        <w:bidi/>
        <w:spacing w:after="60" w:line="280" w:lineRule="exact"/>
        <w:ind w:left="1247" w:right="1247" w:hanging="567"/>
        <w:jc w:val="lowKashida"/>
        <w:textDirection w:val="tbRlV"/>
        <w:rPr>
          <w:szCs w:val="18"/>
          <w:lang w:val="ar-SA" w:eastAsia="zh-TW" w:bidi="en-GB"/>
        </w:rPr>
      </w:pPr>
      <w:r w:rsidRPr="00FA4BC7">
        <w:rPr>
          <w:rStyle w:val="FootnoteReference"/>
          <w:vertAlign w:val="baseline"/>
          <w:rtl/>
        </w:rPr>
        <w:t>(</w:t>
      </w:r>
      <w:r w:rsidRPr="00387BCA">
        <w:rPr>
          <w:rStyle w:val="FootnoteReference"/>
          <w:vertAlign w:val="baseline"/>
          <w:rtl/>
        </w:rPr>
        <w:footnoteRef/>
      </w:r>
      <w:r w:rsidRPr="00FA4BC7">
        <w:rPr>
          <w:rStyle w:val="FootnoteReference"/>
          <w:vertAlign w:val="baseline"/>
          <w:rtl/>
        </w:rPr>
        <w:t>)</w:t>
      </w:r>
      <w:r w:rsidRPr="00FA4BC7">
        <w:rPr>
          <w:szCs w:val="18"/>
          <w:rtl/>
        </w:rPr>
        <w:tab/>
        <w:t xml:space="preserve">قضية </w:t>
      </w:r>
      <w:r w:rsidRPr="00387BCA">
        <w:rPr>
          <w:i/>
          <w:iCs/>
          <w:szCs w:val="18"/>
          <w:rtl/>
        </w:rPr>
        <w:t>بوبلافني ضد بيلاروس</w:t>
      </w:r>
      <w:r w:rsidRPr="00FA4BC7">
        <w:rPr>
          <w:szCs w:val="18"/>
          <w:rtl/>
        </w:rPr>
        <w:t xml:space="preserve"> (</w:t>
      </w:r>
      <w:hyperlink r:id="rId8" w:history="1">
        <w:r w:rsidRPr="008C50A9">
          <w:rPr>
            <w:rStyle w:val="Hyperlink"/>
          </w:rPr>
          <w:t>CCPR/C/</w:t>
        </w:r>
        <w:r w:rsidRPr="00387BCA">
          <w:rPr>
            <w:rStyle w:val="Hyperlink"/>
          </w:rPr>
          <w:t>115</w:t>
        </w:r>
        <w:r w:rsidRPr="008C50A9">
          <w:rPr>
            <w:rStyle w:val="Hyperlink"/>
          </w:rPr>
          <w:t>/D/</w:t>
        </w:r>
        <w:r w:rsidRPr="00387BCA">
          <w:rPr>
            <w:rStyle w:val="Hyperlink"/>
          </w:rPr>
          <w:t>2019</w:t>
        </w:r>
        <w:r w:rsidRPr="008C50A9">
          <w:rPr>
            <w:rStyle w:val="Hyperlink"/>
          </w:rPr>
          <w:t>/</w:t>
        </w:r>
        <w:r w:rsidRPr="00387BCA">
          <w:rPr>
            <w:rStyle w:val="Hyperlink"/>
          </w:rPr>
          <w:t>2010</w:t>
        </w:r>
      </w:hyperlink>
      <w:r w:rsidRPr="008C50A9">
        <w:rPr>
          <w:szCs w:val="18"/>
          <w:rtl/>
        </w:rPr>
        <w:t xml:space="preserve">)، </w:t>
      </w:r>
      <w:r w:rsidRPr="00FA4BC7">
        <w:rPr>
          <w:szCs w:val="18"/>
          <w:rtl/>
        </w:rPr>
        <w:t xml:space="preserve">الفقرة </w:t>
      </w:r>
      <w:r w:rsidRPr="00387BCA">
        <w:rPr>
          <w:szCs w:val="18"/>
          <w:rtl/>
        </w:rPr>
        <w:t>8</w:t>
      </w:r>
      <w:r w:rsidRPr="00FA4BC7">
        <w:rPr>
          <w:szCs w:val="18"/>
          <w:rtl/>
        </w:rPr>
        <w:t>-</w:t>
      </w:r>
      <w:r w:rsidRPr="00387BCA">
        <w:rPr>
          <w:szCs w:val="18"/>
          <w:rtl/>
        </w:rPr>
        <w:t>4</w:t>
      </w:r>
      <w:r w:rsidRPr="008C50A9">
        <w:rPr>
          <w:szCs w:val="18"/>
          <w:rtl/>
        </w:rPr>
        <w:t xml:space="preserve">. </w:t>
      </w:r>
    </w:p>
  </w:footnote>
  <w:footnote w:id="13">
    <w:p w14:paraId="368F297E" w14:textId="77777777" w:rsidR="008C50A9" w:rsidRPr="00FA4BC7" w:rsidRDefault="008C50A9" w:rsidP="008C50A9">
      <w:pPr>
        <w:pStyle w:val="FootnoteText"/>
        <w:tabs>
          <w:tab w:val="clear" w:pos="1021"/>
        </w:tabs>
        <w:bidi/>
        <w:spacing w:after="60" w:line="280" w:lineRule="exact"/>
        <w:ind w:left="1247" w:right="1247" w:hanging="567"/>
        <w:jc w:val="lowKashida"/>
        <w:textDirection w:val="tbRlV"/>
        <w:rPr>
          <w:szCs w:val="18"/>
          <w:lang w:val="ar-SA" w:eastAsia="zh-TW" w:bidi="en-GB"/>
        </w:rPr>
      </w:pPr>
      <w:r w:rsidRPr="00FA4BC7">
        <w:rPr>
          <w:rStyle w:val="FootnoteReference"/>
          <w:vertAlign w:val="baseline"/>
          <w:rtl/>
        </w:rPr>
        <w:t>(</w:t>
      </w:r>
      <w:r w:rsidRPr="00387BCA">
        <w:rPr>
          <w:rStyle w:val="FootnoteReference"/>
          <w:vertAlign w:val="baseline"/>
          <w:rtl/>
        </w:rPr>
        <w:footnoteRef/>
      </w:r>
      <w:r w:rsidRPr="00FA4BC7">
        <w:rPr>
          <w:rStyle w:val="FootnoteReference"/>
          <w:vertAlign w:val="baseline"/>
          <w:rtl/>
        </w:rPr>
        <w:t>)</w:t>
      </w:r>
      <w:r w:rsidRPr="00FA4BC7">
        <w:rPr>
          <w:szCs w:val="18"/>
          <w:rtl/>
        </w:rPr>
        <w:t xml:space="preserve"> </w:t>
      </w:r>
      <w:r w:rsidRPr="00FA4BC7">
        <w:rPr>
          <w:szCs w:val="18"/>
          <w:rtl/>
        </w:rPr>
        <w:tab/>
        <w:t>انظر، على سبيل المثال، قضية </w:t>
      </w:r>
      <w:r w:rsidRPr="00387BCA">
        <w:rPr>
          <w:i/>
          <w:iCs/>
          <w:szCs w:val="18"/>
          <w:rtl/>
        </w:rPr>
        <w:t>مالي ضد بيلاروس</w:t>
      </w:r>
      <w:r w:rsidRPr="00FA4BC7">
        <w:rPr>
          <w:szCs w:val="18"/>
          <w:rtl/>
        </w:rPr>
        <w:t xml:space="preserve"> (</w:t>
      </w:r>
      <w:hyperlink r:id="rId9" w:history="1">
        <w:r w:rsidRPr="008C50A9">
          <w:rPr>
            <w:rStyle w:val="Hyperlink"/>
          </w:rPr>
          <w:t>CCPR/C/</w:t>
        </w:r>
        <w:r w:rsidRPr="00387BCA">
          <w:rPr>
            <w:rStyle w:val="Hyperlink"/>
          </w:rPr>
          <w:t>129</w:t>
        </w:r>
        <w:r w:rsidRPr="008C50A9">
          <w:rPr>
            <w:rStyle w:val="Hyperlink"/>
          </w:rPr>
          <w:t>/D/</w:t>
        </w:r>
        <w:r w:rsidRPr="00387BCA">
          <w:rPr>
            <w:rStyle w:val="Hyperlink"/>
          </w:rPr>
          <w:t>2404</w:t>
        </w:r>
        <w:r w:rsidRPr="008C50A9">
          <w:rPr>
            <w:rStyle w:val="Hyperlink"/>
          </w:rPr>
          <w:t>/</w:t>
        </w:r>
        <w:r w:rsidRPr="00387BCA">
          <w:rPr>
            <w:rStyle w:val="Hyperlink"/>
          </w:rPr>
          <w:t>2014</w:t>
        </w:r>
      </w:hyperlink>
      <w:r w:rsidRPr="008C50A9">
        <w:rPr>
          <w:szCs w:val="18"/>
          <w:rtl/>
        </w:rPr>
        <w:t xml:space="preserve">)، </w:t>
      </w:r>
      <w:r w:rsidRPr="00FA4BC7">
        <w:rPr>
          <w:szCs w:val="18"/>
          <w:rtl/>
        </w:rPr>
        <w:t xml:space="preserve">الفقرة </w:t>
      </w:r>
      <w:r w:rsidRPr="00387BCA">
        <w:rPr>
          <w:szCs w:val="18"/>
          <w:rtl/>
        </w:rPr>
        <w:t>9</w:t>
      </w:r>
      <w:r w:rsidRPr="00FA4BC7">
        <w:rPr>
          <w:szCs w:val="18"/>
          <w:rtl/>
        </w:rPr>
        <w:t>-</w:t>
      </w:r>
      <w:r w:rsidRPr="00387BCA">
        <w:rPr>
          <w:szCs w:val="18"/>
          <w:rtl/>
        </w:rPr>
        <w:t>7</w:t>
      </w:r>
      <w:r w:rsidRPr="00FA4BC7">
        <w:rPr>
          <w:szCs w:val="18"/>
          <w:rtl/>
        </w:rPr>
        <w:t xml:space="preserve">؛ وقضية </w:t>
      </w:r>
      <w:r w:rsidRPr="00387BCA">
        <w:rPr>
          <w:i/>
          <w:iCs/>
          <w:szCs w:val="18"/>
          <w:rtl/>
        </w:rPr>
        <w:t>تولتشينا وآخرون ضد بيلاروس</w:t>
      </w:r>
      <w:r w:rsidRPr="00FA4BC7">
        <w:rPr>
          <w:szCs w:val="18"/>
          <w:rtl/>
        </w:rPr>
        <w:t xml:space="preserve"> (</w:t>
      </w:r>
      <w:hyperlink r:id="rId10" w:history="1">
        <w:r w:rsidRPr="008C50A9">
          <w:rPr>
            <w:rStyle w:val="Hyperlink"/>
          </w:rPr>
          <w:t>CCPR/C/</w:t>
        </w:r>
        <w:r w:rsidRPr="00387BCA">
          <w:rPr>
            <w:rStyle w:val="Hyperlink"/>
          </w:rPr>
          <w:t>132</w:t>
        </w:r>
        <w:r w:rsidRPr="008C50A9">
          <w:rPr>
            <w:rStyle w:val="Hyperlink"/>
          </w:rPr>
          <w:t>/D/</w:t>
        </w:r>
        <w:r w:rsidRPr="00387BCA">
          <w:rPr>
            <w:rStyle w:val="Hyperlink"/>
          </w:rPr>
          <w:t>2857</w:t>
        </w:r>
        <w:r w:rsidRPr="008C50A9">
          <w:rPr>
            <w:rStyle w:val="Hyperlink"/>
          </w:rPr>
          <w:t>/</w:t>
        </w:r>
        <w:r w:rsidRPr="00387BCA">
          <w:rPr>
            <w:rStyle w:val="Hyperlink"/>
          </w:rPr>
          <w:t>2016</w:t>
        </w:r>
      </w:hyperlink>
      <w:r w:rsidRPr="008C50A9">
        <w:rPr>
          <w:szCs w:val="18"/>
          <w:rtl/>
        </w:rPr>
        <w:t xml:space="preserve">)، </w:t>
      </w:r>
      <w:r w:rsidRPr="00FA4BC7">
        <w:rPr>
          <w:szCs w:val="18"/>
          <w:rtl/>
        </w:rPr>
        <w:t xml:space="preserve">الفقرة </w:t>
      </w:r>
      <w:r w:rsidRPr="00387BCA">
        <w:rPr>
          <w:szCs w:val="18"/>
          <w:rtl/>
        </w:rPr>
        <w:t>7</w:t>
      </w:r>
      <w:r w:rsidRPr="00FA4BC7">
        <w:rPr>
          <w:szCs w:val="18"/>
          <w:rtl/>
        </w:rPr>
        <w:t>-</w:t>
      </w:r>
      <w:r w:rsidRPr="00387BCA">
        <w:rPr>
          <w:szCs w:val="18"/>
          <w:rtl/>
        </w:rPr>
        <w:t>6</w:t>
      </w:r>
      <w:r w:rsidRPr="00FA4BC7">
        <w:rPr>
          <w:szCs w:val="18"/>
          <w:rtl/>
        </w:rPr>
        <w:t xml:space="preserve">؛ وقضية </w:t>
      </w:r>
      <w:r w:rsidRPr="00387BCA">
        <w:rPr>
          <w:i/>
          <w:iCs/>
          <w:szCs w:val="18"/>
          <w:rtl/>
        </w:rPr>
        <w:t>زافادسكايا وآخرون ضد بيلاروس</w:t>
      </w:r>
      <w:r w:rsidRPr="00FA4BC7">
        <w:rPr>
          <w:szCs w:val="18"/>
          <w:rtl/>
        </w:rPr>
        <w:t xml:space="preserve"> (</w:t>
      </w:r>
      <w:hyperlink r:id="rId11" w:history="1">
        <w:r w:rsidRPr="008C50A9">
          <w:rPr>
            <w:rStyle w:val="Hyperlink"/>
          </w:rPr>
          <w:t>CCPR/C/</w:t>
        </w:r>
        <w:r w:rsidRPr="00387BCA">
          <w:rPr>
            <w:rStyle w:val="Hyperlink"/>
          </w:rPr>
          <w:t>132</w:t>
        </w:r>
        <w:r w:rsidRPr="008C50A9">
          <w:rPr>
            <w:rStyle w:val="Hyperlink"/>
          </w:rPr>
          <w:t>/D/</w:t>
        </w:r>
        <w:r w:rsidRPr="00387BCA">
          <w:rPr>
            <w:rStyle w:val="Hyperlink"/>
          </w:rPr>
          <w:t>2865</w:t>
        </w:r>
        <w:r w:rsidRPr="008C50A9">
          <w:rPr>
            <w:rStyle w:val="Hyperlink"/>
          </w:rPr>
          <w:t>/</w:t>
        </w:r>
        <w:r w:rsidRPr="00387BCA">
          <w:rPr>
            <w:rStyle w:val="Hyperlink"/>
          </w:rPr>
          <w:t>2016</w:t>
        </w:r>
      </w:hyperlink>
      <w:r w:rsidRPr="008C50A9">
        <w:rPr>
          <w:szCs w:val="18"/>
          <w:rtl/>
        </w:rPr>
        <w:t xml:space="preserve">)، </w:t>
      </w:r>
      <w:r w:rsidRPr="00FA4BC7">
        <w:rPr>
          <w:szCs w:val="18"/>
          <w:rtl/>
        </w:rPr>
        <w:t xml:space="preserve">الفقرة </w:t>
      </w:r>
      <w:r w:rsidRPr="00387BCA">
        <w:rPr>
          <w:szCs w:val="18"/>
          <w:rtl/>
        </w:rPr>
        <w:t>7</w:t>
      </w:r>
      <w:r w:rsidRPr="00FA4BC7">
        <w:rPr>
          <w:szCs w:val="18"/>
          <w:rtl/>
        </w:rPr>
        <w:t>-</w:t>
      </w:r>
      <w:r w:rsidRPr="00387BCA">
        <w:rPr>
          <w:szCs w:val="18"/>
          <w:rtl/>
        </w:rPr>
        <w:t>6</w:t>
      </w:r>
      <w:r w:rsidRPr="00FA4BC7">
        <w:rPr>
          <w:szCs w:val="18"/>
          <w:rtl/>
        </w:rPr>
        <w:t xml:space="preserve">؛ وقضية </w:t>
      </w:r>
      <w:r w:rsidRPr="00387BCA">
        <w:rPr>
          <w:i/>
          <w:iCs/>
          <w:szCs w:val="18"/>
          <w:rtl/>
        </w:rPr>
        <w:t>بوبوفا ضد الاتحاد الروسي</w:t>
      </w:r>
      <w:r w:rsidRPr="00FA4BC7">
        <w:rPr>
          <w:szCs w:val="18"/>
          <w:rtl/>
        </w:rPr>
        <w:t xml:space="preserve"> (</w:t>
      </w:r>
      <w:hyperlink r:id="rId12" w:history="1">
        <w:r w:rsidRPr="008C50A9">
          <w:rPr>
            <w:rStyle w:val="Hyperlink"/>
          </w:rPr>
          <w:t>CCPR/C/</w:t>
        </w:r>
        <w:r w:rsidRPr="00387BCA">
          <w:rPr>
            <w:rStyle w:val="Hyperlink"/>
          </w:rPr>
          <w:t>122</w:t>
        </w:r>
        <w:r w:rsidRPr="008C50A9">
          <w:rPr>
            <w:rStyle w:val="Hyperlink"/>
          </w:rPr>
          <w:t>/D/</w:t>
        </w:r>
        <w:r w:rsidRPr="00387BCA">
          <w:rPr>
            <w:rStyle w:val="Hyperlink"/>
          </w:rPr>
          <w:t>2217</w:t>
        </w:r>
        <w:r w:rsidRPr="008C50A9">
          <w:rPr>
            <w:rStyle w:val="Hyperlink"/>
          </w:rPr>
          <w:t>/</w:t>
        </w:r>
        <w:r w:rsidRPr="00387BCA">
          <w:rPr>
            <w:rStyle w:val="Hyperlink"/>
          </w:rPr>
          <w:t>2012</w:t>
        </w:r>
      </w:hyperlink>
      <w:r w:rsidRPr="008C50A9">
        <w:rPr>
          <w:szCs w:val="18"/>
          <w:rtl/>
        </w:rPr>
        <w:t xml:space="preserve">)، </w:t>
      </w:r>
      <w:r w:rsidRPr="00FA4BC7">
        <w:rPr>
          <w:szCs w:val="18"/>
          <w:rtl/>
        </w:rPr>
        <w:t xml:space="preserve">الفقرة </w:t>
      </w:r>
      <w:r w:rsidRPr="00387BCA">
        <w:rPr>
          <w:szCs w:val="18"/>
          <w:rtl/>
        </w:rPr>
        <w:t>7</w:t>
      </w:r>
      <w:r w:rsidRPr="00FA4BC7">
        <w:rPr>
          <w:szCs w:val="18"/>
          <w:rtl/>
        </w:rPr>
        <w:t>-</w:t>
      </w:r>
      <w:r w:rsidRPr="00387BCA">
        <w:rPr>
          <w:szCs w:val="18"/>
          <w:rtl/>
        </w:rPr>
        <w:t>6</w:t>
      </w:r>
      <w:r w:rsidRPr="00FA4BC7">
        <w:rPr>
          <w:szCs w:val="18"/>
          <w:rtl/>
        </w:rPr>
        <w:t xml:space="preserve">؛ وقضية </w:t>
      </w:r>
      <w:r w:rsidRPr="00387BCA">
        <w:rPr>
          <w:i/>
          <w:iCs/>
          <w:szCs w:val="18"/>
          <w:rtl/>
        </w:rPr>
        <w:t>صاديقوف ضد كازاخستان</w:t>
      </w:r>
      <w:r w:rsidRPr="00FA4BC7">
        <w:rPr>
          <w:szCs w:val="18"/>
          <w:rtl/>
        </w:rPr>
        <w:t xml:space="preserve"> (</w:t>
      </w:r>
      <w:hyperlink r:id="rId13" w:history="1">
        <w:r w:rsidRPr="008C50A9">
          <w:rPr>
            <w:rStyle w:val="Hyperlink"/>
          </w:rPr>
          <w:t>CCPR/C/</w:t>
        </w:r>
        <w:r w:rsidRPr="00387BCA">
          <w:rPr>
            <w:rStyle w:val="Hyperlink"/>
          </w:rPr>
          <w:t>129</w:t>
        </w:r>
        <w:r w:rsidRPr="008C50A9">
          <w:rPr>
            <w:rStyle w:val="Hyperlink"/>
          </w:rPr>
          <w:t>/D/</w:t>
        </w:r>
        <w:r w:rsidRPr="00387BCA">
          <w:rPr>
            <w:rStyle w:val="Hyperlink"/>
          </w:rPr>
          <w:t>2456</w:t>
        </w:r>
        <w:r w:rsidRPr="008C50A9">
          <w:rPr>
            <w:rStyle w:val="Hyperlink"/>
          </w:rPr>
          <w:t>/</w:t>
        </w:r>
        <w:r w:rsidRPr="00387BCA">
          <w:rPr>
            <w:rStyle w:val="Hyperlink"/>
          </w:rPr>
          <w:t>2014</w:t>
        </w:r>
      </w:hyperlink>
      <w:r w:rsidRPr="008C50A9">
        <w:rPr>
          <w:szCs w:val="18"/>
          <w:rtl/>
        </w:rPr>
        <w:t xml:space="preserve">)، </w:t>
      </w:r>
      <w:r w:rsidRPr="00FA4BC7">
        <w:rPr>
          <w:szCs w:val="18"/>
          <w:rtl/>
        </w:rPr>
        <w:t xml:space="preserve">الفقرة </w:t>
      </w:r>
      <w:r w:rsidRPr="00387BCA">
        <w:rPr>
          <w:szCs w:val="18"/>
          <w:rtl/>
        </w:rPr>
        <w:t>7</w:t>
      </w:r>
      <w:r w:rsidRPr="00FA4BC7">
        <w:rPr>
          <w:szCs w:val="18"/>
          <w:rtl/>
        </w:rPr>
        <w:t>-</w:t>
      </w:r>
      <w:r w:rsidRPr="00387BCA">
        <w:rPr>
          <w:szCs w:val="18"/>
          <w:rtl/>
        </w:rPr>
        <w:t>7</w:t>
      </w:r>
      <w:r w:rsidRPr="008C50A9">
        <w:rPr>
          <w:szCs w:val="18"/>
          <w:rtl/>
        </w:rPr>
        <w:t xml:space="preserve">. </w:t>
      </w:r>
    </w:p>
  </w:footnote>
  <w:footnote w:id="14">
    <w:p w14:paraId="7CD0265D" w14:textId="77777777" w:rsidR="008C50A9" w:rsidRPr="00FA4BC7" w:rsidRDefault="008C50A9" w:rsidP="00CE3526">
      <w:pPr>
        <w:pStyle w:val="FootnoteText"/>
        <w:tabs>
          <w:tab w:val="clear" w:pos="1021"/>
        </w:tabs>
        <w:bidi/>
        <w:spacing w:after="60" w:line="280" w:lineRule="exact"/>
        <w:ind w:left="1247" w:right="1247" w:hanging="567"/>
        <w:jc w:val="lowKashida"/>
        <w:textDirection w:val="tbRlV"/>
        <w:rPr>
          <w:szCs w:val="18"/>
          <w:lang w:val="ar-SA" w:eastAsia="zh-TW" w:bidi="en-GB"/>
        </w:rPr>
      </w:pPr>
      <w:r w:rsidRPr="00FA4BC7">
        <w:rPr>
          <w:rStyle w:val="FootnoteReference"/>
          <w:vertAlign w:val="baseline"/>
          <w:rtl/>
        </w:rPr>
        <w:t>(</w:t>
      </w:r>
      <w:r w:rsidRPr="00387BCA">
        <w:rPr>
          <w:rStyle w:val="FootnoteReference"/>
          <w:vertAlign w:val="baseline"/>
          <w:rtl/>
        </w:rPr>
        <w:footnoteRef/>
      </w:r>
      <w:r w:rsidRPr="00FA4BC7">
        <w:rPr>
          <w:rStyle w:val="FootnoteReference"/>
          <w:vertAlign w:val="baseline"/>
          <w:rtl/>
        </w:rPr>
        <w:t>)</w:t>
      </w:r>
      <w:r w:rsidRPr="00FA4BC7">
        <w:rPr>
          <w:szCs w:val="18"/>
          <w:rtl/>
        </w:rPr>
        <w:tab/>
        <w:t xml:space="preserve">التعليق العام رقم </w:t>
      </w:r>
      <w:r w:rsidRPr="00387BCA">
        <w:rPr>
          <w:szCs w:val="18"/>
          <w:rtl/>
        </w:rPr>
        <w:t>34</w:t>
      </w:r>
      <w:r w:rsidRPr="00FA4BC7">
        <w:rPr>
          <w:szCs w:val="18"/>
          <w:rtl/>
        </w:rPr>
        <w:t>(</w:t>
      </w:r>
      <w:r w:rsidRPr="00387BCA">
        <w:rPr>
          <w:szCs w:val="18"/>
          <w:rtl/>
        </w:rPr>
        <w:t>2011</w:t>
      </w:r>
      <w:r w:rsidRPr="008C50A9">
        <w:rPr>
          <w:szCs w:val="18"/>
          <w:rtl/>
        </w:rPr>
        <w:t xml:space="preserve">)، </w:t>
      </w:r>
      <w:r w:rsidRPr="00FA4BC7">
        <w:rPr>
          <w:szCs w:val="18"/>
          <w:rtl/>
        </w:rPr>
        <w:t xml:space="preserve">الفقرة </w:t>
      </w:r>
      <w:r w:rsidRPr="00387BCA">
        <w:rPr>
          <w:szCs w:val="18"/>
          <w:rtl/>
        </w:rPr>
        <w:t>2</w:t>
      </w:r>
      <w:r w:rsidRPr="008C50A9">
        <w:rPr>
          <w:szCs w:val="18"/>
          <w:rtl/>
        </w:rPr>
        <w:t xml:space="preserve">. </w:t>
      </w:r>
    </w:p>
  </w:footnote>
  <w:footnote w:id="15">
    <w:p w14:paraId="4DBD59F9" w14:textId="77777777" w:rsidR="008C50A9" w:rsidRPr="00FA4BC7" w:rsidRDefault="008C50A9" w:rsidP="00CE3526">
      <w:pPr>
        <w:pStyle w:val="FootnoteText"/>
        <w:tabs>
          <w:tab w:val="clear" w:pos="1021"/>
        </w:tabs>
        <w:bidi/>
        <w:spacing w:after="60" w:line="280" w:lineRule="exact"/>
        <w:ind w:left="1247" w:right="1247" w:hanging="567"/>
        <w:jc w:val="lowKashida"/>
        <w:textDirection w:val="tbRlV"/>
        <w:rPr>
          <w:szCs w:val="18"/>
          <w:lang w:val="ar-SA" w:eastAsia="zh-TW" w:bidi="en-GB"/>
        </w:rPr>
      </w:pPr>
      <w:r w:rsidRPr="00FA4BC7">
        <w:rPr>
          <w:rStyle w:val="FootnoteReference"/>
          <w:vertAlign w:val="baseline"/>
          <w:rtl/>
        </w:rPr>
        <w:t>(</w:t>
      </w:r>
      <w:r w:rsidRPr="00387BCA">
        <w:rPr>
          <w:rStyle w:val="FootnoteReference"/>
          <w:vertAlign w:val="baseline"/>
          <w:rtl/>
        </w:rPr>
        <w:footnoteRef/>
      </w:r>
      <w:r w:rsidRPr="00FA4BC7">
        <w:rPr>
          <w:rStyle w:val="FootnoteReference"/>
          <w:vertAlign w:val="baseline"/>
          <w:rtl/>
        </w:rPr>
        <w:t>)</w:t>
      </w:r>
      <w:r w:rsidRPr="00FA4BC7">
        <w:rPr>
          <w:szCs w:val="18"/>
          <w:rtl/>
        </w:rPr>
        <w:tab/>
        <w:t xml:space="preserve">المرجع نفسه، الفقرة </w:t>
      </w:r>
      <w:r w:rsidRPr="00387BCA">
        <w:rPr>
          <w:szCs w:val="18"/>
          <w:rtl/>
        </w:rPr>
        <w:t>34</w:t>
      </w:r>
      <w:r w:rsidRPr="008C50A9">
        <w:rPr>
          <w:szCs w:val="18"/>
          <w:rtl/>
        </w:rPr>
        <w:t xml:space="preserve">. </w:t>
      </w:r>
    </w:p>
  </w:footnote>
  <w:footnote w:id="16">
    <w:p w14:paraId="09015962" w14:textId="77777777" w:rsidR="008C50A9" w:rsidRPr="00FA4BC7" w:rsidRDefault="008C50A9" w:rsidP="008C50A9">
      <w:pPr>
        <w:pStyle w:val="FootnoteText"/>
        <w:tabs>
          <w:tab w:val="clear" w:pos="1021"/>
        </w:tabs>
        <w:bidi/>
        <w:spacing w:after="60" w:line="280" w:lineRule="exact"/>
        <w:ind w:left="1247" w:right="1247" w:hanging="567"/>
        <w:jc w:val="lowKashida"/>
        <w:textDirection w:val="tbRlV"/>
        <w:rPr>
          <w:szCs w:val="18"/>
          <w:lang w:val="ar-SA" w:eastAsia="zh-TW" w:bidi="en-GB"/>
        </w:rPr>
      </w:pPr>
      <w:r w:rsidRPr="00FA4BC7">
        <w:rPr>
          <w:rStyle w:val="FootnoteReference"/>
          <w:vertAlign w:val="baseline"/>
          <w:rtl/>
        </w:rPr>
        <w:t>(</w:t>
      </w:r>
      <w:r w:rsidRPr="00387BCA">
        <w:rPr>
          <w:rStyle w:val="FootnoteReference"/>
          <w:vertAlign w:val="baseline"/>
          <w:rtl/>
        </w:rPr>
        <w:footnoteRef/>
      </w:r>
      <w:r w:rsidRPr="00FA4BC7">
        <w:rPr>
          <w:rStyle w:val="FootnoteReference"/>
          <w:vertAlign w:val="baseline"/>
          <w:rtl/>
        </w:rPr>
        <w:t>)</w:t>
      </w:r>
      <w:r w:rsidRPr="00FA4BC7">
        <w:rPr>
          <w:szCs w:val="18"/>
          <w:rtl/>
        </w:rPr>
        <w:tab/>
        <w:t>قضية</w:t>
      </w:r>
      <w:r w:rsidRPr="00387BCA">
        <w:rPr>
          <w:i/>
          <w:iCs/>
          <w:szCs w:val="18"/>
          <w:rtl/>
        </w:rPr>
        <w:t xml:space="preserve"> أندروسينكو ضد بيلاروس</w:t>
      </w:r>
      <w:r w:rsidRPr="00FA4BC7">
        <w:rPr>
          <w:szCs w:val="18"/>
          <w:rtl/>
        </w:rPr>
        <w:t xml:space="preserve"> (</w:t>
      </w:r>
      <w:hyperlink r:id="rId14" w:history="1">
        <w:r w:rsidRPr="008C50A9">
          <w:rPr>
            <w:rStyle w:val="Hyperlink"/>
          </w:rPr>
          <w:t>CCPR/C/</w:t>
        </w:r>
        <w:r w:rsidRPr="00387BCA">
          <w:rPr>
            <w:rStyle w:val="Hyperlink"/>
          </w:rPr>
          <w:t>116</w:t>
        </w:r>
        <w:r w:rsidRPr="008C50A9">
          <w:rPr>
            <w:rStyle w:val="Hyperlink"/>
          </w:rPr>
          <w:t>/D/</w:t>
        </w:r>
        <w:r w:rsidRPr="00387BCA">
          <w:rPr>
            <w:rStyle w:val="Hyperlink"/>
          </w:rPr>
          <w:t>2092</w:t>
        </w:r>
        <w:r w:rsidRPr="008C50A9">
          <w:rPr>
            <w:rStyle w:val="Hyperlink"/>
          </w:rPr>
          <w:t>/</w:t>
        </w:r>
        <w:r w:rsidRPr="00387BCA">
          <w:rPr>
            <w:rStyle w:val="Hyperlink"/>
          </w:rPr>
          <w:t>2011</w:t>
        </w:r>
      </w:hyperlink>
      <w:r w:rsidRPr="008C50A9">
        <w:rPr>
          <w:szCs w:val="18"/>
          <w:rtl/>
        </w:rPr>
        <w:t xml:space="preserve">)، </w:t>
      </w:r>
      <w:r w:rsidRPr="00FA4BC7">
        <w:rPr>
          <w:szCs w:val="18"/>
          <w:rtl/>
        </w:rPr>
        <w:t xml:space="preserve">الفقرة </w:t>
      </w:r>
      <w:r w:rsidRPr="00387BCA">
        <w:rPr>
          <w:szCs w:val="18"/>
          <w:rtl/>
        </w:rPr>
        <w:t>7</w:t>
      </w:r>
      <w:r w:rsidRPr="00FA4BC7">
        <w:rPr>
          <w:szCs w:val="18"/>
          <w:rtl/>
        </w:rPr>
        <w:t>-</w:t>
      </w:r>
      <w:r w:rsidRPr="00387BCA">
        <w:rPr>
          <w:szCs w:val="18"/>
          <w:rtl/>
        </w:rPr>
        <w:t>3</w:t>
      </w:r>
      <w:r w:rsidRPr="008C50A9">
        <w:rPr>
          <w:szCs w:val="18"/>
          <w:rtl/>
        </w:rPr>
        <w:t xml:space="preserve">. </w:t>
      </w:r>
    </w:p>
  </w:footnote>
  <w:footnote w:id="17">
    <w:p w14:paraId="7E28F786" w14:textId="77777777" w:rsidR="008C50A9" w:rsidRPr="00FA4BC7" w:rsidRDefault="008C50A9" w:rsidP="008C50A9">
      <w:pPr>
        <w:pStyle w:val="FootnoteText"/>
        <w:tabs>
          <w:tab w:val="clear" w:pos="1021"/>
        </w:tabs>
        <w:bidi/>
        <w:spacing w:after="60" w:line="280" w:lineRule="exact"/>
        <w:ind w:left="1247" w:right="1247" w:hanging="567"/>
        <w:jc w:val="lowKashida"/>
        <w:textDirection w:val="tbRlV"/>
        <w:rPr>
          <w:szCs w:val="18"/>
          <w:lang w:val="ar-SA" w:eastAsia="zh-TW" w:bidi="en-GB"/>
        </w:rPr>
      </w:pPr>
      <w:r w:rsidRPr="00FA4BC7">
        <w:rPr>
          <w:rStyle w:val="FootnoteReference"/>
          <w:vertAlign w:val="baseline"/>
          <w:rtl/>
        </w:rPr>
        <w:t>(</w:t>
      </w:r>
      <w:r w:rsidRPr="00387BCA">
        <w:rPr>
          <w:rStyle w:val="FootnoteReference"/>
          <w:vertAlign w:val="baseline"/>
          <w:rtl/>
        </w:rPr>
        <w:footnoteRef/>
      </w:r>
      <w:r w:rsidRPr="00FA4BC7">
        <w:rPr>
          <w:rStyle w:val="FootnoteReference"/>
          <w:vertAlign w:val="baseline"/>
          <w:rtl/>
        </w:rPr>
        <w:t>)</w:t>
      </w:r>
      <w:r w:rsidRPr="00FA4BC7">
        <w:rPr>
          <w:szCs w:val="18"/>
          <w:rtl/>
        </w:rPr>
        <w:tab/>
        <w:t xml:space="preserve">انظر مثلاً قضية </w:t>
      </w:r>
      <w:r w:rsidRPr="00387BCA">
        <w:rPr>
          <w:i/>
          <w:iCs/>
          <w:szCs w:val="18"/>
          <w:rtl/>
        </w:rPr>
        <w:t>زالسكايا ضد بيلاروس</w:t>
      </w:r>
      <w:r w:rsidRPr="00FA4BC7">
        <w:rPr>
          <w:szCs w:val="18"/>
          <w:rtl/>
        </w:rPr>
        <w:t xml:space="preserve"> (</w:t>
      </w:r>
      <w:hyperlink r:id="rId15" w:history="1">
        <w:r w:rsidRPr="008C50A9">
          <w:rPr>
            <w:rStyle w:val="Hyperlink"/>
          </w:rPr>
          <w:t>CCPR/C/</w:t>
        </w:r>
        <w:r w:rsidRPr="00387BCA">
          <w:rPr>
            <w:rStyle w:val="Hyperlink"/>
          </w:rPr>
          <w:t>101</w:t>
        </w:r>
        <w:r w:rsidRPr="008C50A9">
          <w:rPr>
            <w:rStyle w:val="Hyperlink"/>
          </w:rPr>
          <w:t>/D/</w:t>
        </w:r>
        <w:r w:rsidRPr="00387BCA">
          <w:rPr>
            <w:rStyle w:val="Hyperlink"/>
          </w:rPr>
          <w:t>1604</w:t>
        </w:r>
        <w:r w:rsidRPr="008C50A9">
          <w:rPr>
            <w:rStyle w:val="Hyperlink"/>
          </w:rPr>
          <w:t>/</w:t>
        </w:r>
        <w:r w:rsidRPr="00387BCA">
          <w:rPr>
            <w:rStyle w:val="Hyperlink"/>
          </w:rPr>
          <w:t>2007</w:t>
        </w:r>
      </w:hyperlink>
      <w:r w:rsidRPr="008C50A9">
        <w:rPr>
          <w:szCs w:val="18"/>
          <w:rtl/>
        </w:rPr>
        <w:t xml:space="preserve">)، </w:t>
      </w:r>
      <w:r w:rsidRPr="00FA4BC7">
        <w:rPr>
          <w:szCs w:val="18"/>
          <w:rtl/>
        </w:rPr>
        <w:t xml:space="preserve">الفقرة </w:t>
      </w:r>
      <w:r w:rsidRPr="00387BCA">
        <w:rPr>
          <w:szCs w:val="18"/>
          <w:rtl/>
        </w:rPr>
        <w:t>10</w:t>
      </w:r>
      <w:r w:rsidRPr="00FA4BC7">
        <w:rPr>
          <w:szCs w:val="18"/>
          <w:rtl/>
        </w:rPr>
        <w:t>-</w:t>
      </w:r>
      <w:r w:rsidRPr="00387BCA">
        <w:rPr>
          <w:szCs w:val="18"/>
          <w:rtl/>
        </w:rPr>
        <w:t>5</w:t>
      </w:r>
      <w:r w:rsidRPr="008C50A9">
        <w:rPr>
          <w:szCs w:val="18"/>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3D1D9" w14:textId="05E02272" w:rsidR="007A4714" w:rsidRPr="007A4714" w:rsidRDefault="007A4714" w:rsidP="007A4714">
    <w:pPr>
      <w:pStyle w:val="Header"/>
      <w:spacing w:line="240" w:lineRule="auto"/>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AF65CC">
      <w:t>CCPR/C/135/D/2847/2016</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C0E41" w14:textId="5657C465" w:rsidR="007A4714" w:rsidRPr="007A4714" w:rsidRDefault="007A4714" w:rsidP="007A4714">
    <w:pPr>
      <w:pStyle w:val="Header"/>
      <w:bidi w:val="0"/>
      <w:spacing w:line="240" w:lineRule="auto"/>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AF65CC">
      <w:t>CCPR/C/135/D/2847/2016</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2"/>
  </w:num>
  <w:num w:numId="13">
    <w:abstractNumId w:val="11"/>
  </w:num>
  <w:num w:numId="14">
    <w:abstractNumId w:val="8"/>
  </w:num>
  <w:num w:numId="15">
    <w:abstractNumId w:val="5"/>
  </w:num>
  <w:num w:numId="16">
    <w:abstractNumId w:val="17"/>
  </w:num>
  <w:num w:numId="17">
    <w:abstractNumId w:val="4"/>
  </w:num>
  <w:num w:numId="18">
    <w:abstractNumId w:val="3"/>
  </w:num>
  <w:num w:numId="19">
    <w:abstractNumId w:val="16"/>
  </w:num>
  <w:num w:numId="20">
    <w:abstractNumId w:val="13"/>
  </w:num>
  <w:num w:numId="21">
    <w:abstractNumId w:val="1"/>
  </w:num>
  <w:num w:numId="22">
    <w:abstractNumId w:val="14"/>
  </w:num>
  <w:num w:numId="23">
    <w:abstractNumId w:val="0"/>
  </w:num>
  <w:num w:numId="24">
    <w:abstractNumId w:val="9"/>
  </w:num>
  <w:num w:numId="25">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9">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30">
    <w:abstractNumId w:val="7"/>
  </w:num>
  <w:num w:numId="31">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proofState w:spelling="clean" w:grammar="clean"/>
  <w:defaultTabStop w:val="567"/>
  <w:evenAndOddHeaders/>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ADD"/>
    <w:rsid w:val="000076D5"/>
    <w:rsid w:val="00043663"/>
    <w:rsid w:val="000437B8"/>
    <w:rsid w:val="000505CF"/>
    <w:rsid w:val="00093705"/>
    <w:rsid w:val="000D701C"/>
    <w:rsid w:val="000E2A71"/>
    <w:rsid w:val="0012653E"/>
    <w:rsid w:val="00130AEE"/>
    <w:rsid w:val="00145577"/>
    <w:rsid w:val="00160263"/>
    <w:rsid w:val="00181F96"/>
    <w:rsid w:val="001872B1"/>
    <w:rsid w:val="001A1371"/>
    <w:rsid w:val="001A3838"/>
    <w:rsid w:val="001B043F"/>
    <w:rsid w:val="001B346A"/>
    <w:rsid w:val="001D2880"/>
    <w:rsid w:val="001E1CAD"/>
    <w:rsid w:val="001E290D"/>
    <w:rsid w:val="002045C2"/>
    <w:rsid w:val="002144FA"/>
    <w:rsid w:val="0023469A"/>
    <w:rsid w:val="00243C8A"/>
    <w:rsid w:val="00267A0E"/>
    <w:rsid w:val="002901D9"/>
    <w:rsid w:val="002976C2"/>
    <w:rsid w:val="002A6BD8"/>
    <w:rsid w:val="003068BC"/>
    <w:rsid w:val="003260FF"/>
    <w:rsid w:val="00343553"/>
    <w:rsid w:val="00343D95"/>
    <w:rsid w:val="00363A18"/>
    <w:rsid w:val="00374341"/>
    <w:rsid w:val="00387BCA"/>
    <w:rsid w:val="003C2EF8"/>
    <w:rsid w:val="003D1062"/>
    <w:rsid w:val="003F2620"/>
    <w:rsid w:val="00402051"/>
    <w:rsid w:val="00410704"/>
    <w:rsid w:val="00420D7B"/>
    <w:rsid w:val="00450B21"/>
    <w:rsid w:val="00453B63"/>
    <w:rsid w:val="00455780"/>
    <w:rsid w:val="004B0A1C"/>
    <w:rsid w:val="004B27E0"/>
    <w:rsid w:val="004D298E"/>
    <w:rsid w:val="004F5ADD"/>
    <w:rsid w:val="005044B3"/>
    <w:rsid w:val="00517BC9"/>
    <w:rsid w:val="005440B0"/>
    <w:rsid w:val="0054472E"/>
    <w:rsid w:val="005662A9"/>
    <w:rsid w:val="005827D4"/>
    <w:rsid w:val="0058508B"/>
    <w:rsid w:val="0059622A"/>
    <w:rsid w:val="005B4FCC"/>
    <w:rsid w:val="005B51C4"/>
    <w:rsid w:val="005C0061"/>
    <w:rsid w:val="005C5878"/>
    <w:rsid w:val="005C7CEA"/>
    <w:rsid w:val="005D300E"/>
    <w:rsid w:val="005D3C0B"/>
    <w:rsid w:val="005E5217"/>
    <w:rsid w:val="005F0FA4"/>
    <w:rsid w:val="005F30EE"/>
    <w:rsid w:val="005F5271"/>
    <w:rsid w:val="0060473A"/>
    <w:rsid w:val="00617024"/>
    <w:rsid w:val="00624AB3"/>
    <w:rsid w:val="00652221"/>
    <w:rsid w:val="00656392"/>
    <w:rsid w:val="006645EC"/>
    <w:rsid w:val="00675804"/>
    <w:rsid w:val="00676C02"/>
    <w:rsid w:val="0068781D"/>
    <w:rsid w:val="006959B0"/>
    <w:rsid w:val="006B3E27"/>
    <w:rsid w:val="006B6507"/>
    <w:rsid w:val="006C104C"/>
    <w:rsid w:val="006C632E"/>
    <w:rsid w:val="00717FB3"/>
    <w:rsid w:val="00730446"/>
    <w:rsid w:val="00733704"/>
    <w:rsid w:val="0078071A"/>
    <w:rsid w:val="00787022"/>
    <w:rsid w:val="0078764B"/>
    <w:rsid w:val="00787E1E"/>
    <w:rsid w:val="007A4714"/>
    <w:rsid w:val="007C7D5F"/>
    <w:rsid w:val="007F7CE4"/>
    <w:rsid w:val="00824A3D"/>
    <w:rsid w:val="00842DAE"/>
    <w:rsid w:val="00852A9A"/>
    <w:rsid w:val="008B40F3"/>
    <w:rsid w:val="008C50A9"/>
    <w:rsid w:val="008E145B"/>
    <w:rsid w:val="008F49E1"/>
    <w:rsid w:val="008F66AA"/>
    <w:rsid w:val="008F6CBB"/>
    <w:rsid w:val="0090370F"/>
    <w:rsid w:val="009269D2"/>
    <w:rsid w:val="00942135"/>
    <w:rsid w:val="009521B0"/>
    <w:rsid w:val="00957437"/>
    <w:rsid w:val="00982139"/>
    <w:rsid w:val="009867A8"/>
    <w:rsid w:val="00991F44"/>
    <w:rsid w:val="009A0CFB"/>
    <w:rsid w:val="009A7E9F"/>
    <w:rsid w:val="009C17EC"/>
    <w:rsid w:val="009E5018"/>
    <w:rsid w:val="00A03700"/>
    <w:rsid w:val="00A053F2"/>
    <w:rsid w:val="00A12B37"/>
    <w:rsid w:val="00A54828"/>
    <w:rsid w:val="00A97E1F"/>
    <w:rsid w:val="00AB512E"/>
    <w:rsid w:val="00AB6758"/>
    <w:rsid w:val="00AB727F"/>
    <w:rsid w:val="00AD7A2C"/>
    <w:rsid w:val="00AF65CC"/>
    <w:rsid w:val="00B13763"/>
    <w:rsid w:val="00B22ED9"/>
    <w:rsid w:val="00B477A4"/>
    <w:rsid w:val="00B54045"/>
    <w:rsid w:val="00B63ADD"/>
    <w:rsid w:val="00BB09A0"/>
    <w:rsid w:val="00C11734"/>
    <w:rsid w:val="00C175A6"/>
    <w:rsid w:val="00C20DEF"/>
    <w:rsid w:val="00C316C0"/>
    <w:rsid w:val="00C41DCF"/>
    <w:rsid w:val="00C42AF7"/>
    <w:rsid w:val="00C438D7"/>
    <w:rsid w:val="00C62C20"/>
    <w:rsid w:val="00C81B50"/>
    <w:rsid w:val="00C902EF"/>
    <w:rsid w:val="00CB0011"/>
    <w:rsid w:val="00CB6622"/>
    <w:rsid w:val="00CD1801"/>
    <w:rsid w:val="00CE3526"/>
    <w:rsid w:val="00CF56F9"/>
    <w:rsid w:val="00CF65C6"/>
    <w:rsid w:val="00D00A89"/>
    <w:rsid w:val="00D10EF1"/>
    <w:rsid w:val="00D42810"/>
    <w:rsid w:val="00D60DD5"/>
    <w:rsid w:val="00D914A7"/>
    <w:rsid w:val="00DC4D4B"/>
    <w:rsid w:val="00DD13C3"/>
    <w:rsid w:val="00DD596E"/>
    <w:rsid w:val="00DD621E"/>
    <w:rsid w:val="00DE50B1"/>
    <w:rsid w:val="00DF0138"/>
    <w:rsid w:val="00DF0575"/>
    <w:rsid w:val="00E2228E"/>
    <w:rsid w:val="00E70E04"/>
    <w:rsid w:val="00E77E6C"/>
    <w:rsid w:val="00E83ED5"/>
    <w:rsid w:val="00EB61AC"/>
    <w:rsid w:val="00EC05A7"/>
    <w:rsid w:val="00EC4B6B"/>
    <w:rsid w:val="00EC68A5"/>
    <w:rsid w:val="00ED7442"/>
    <w:rsid w:val="00EF1EE5"/>
    <w:rsid w:val="00EF5C43"/>
    <w:rsid w:val="00F10DAB"/>
    <w:rsid w:val="00F12460"/>
    <w:rsid w:val="00F21ED3"/>
    <w:rsid w:val="00F46D42"/>
    <w:rsid w:val="00F763B4"/>
    <w:rsid w:val="00F900C3"/>
    <w:rsid w:val="00FA4BC7"/>
    <w:rsid w:val="00FC6EDD"/>
    <w:rsid w:val="00FD46E2"/>
    <w:rsid w:val="00FE502A"/>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D2E31EB"/>
  <w15:docId w15:val="{94F4B6AD-C2B5-4CAE-9574-3BD72D8CD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7EC"/>
    <w:pPr>
      <w:bidi/>
      <w:spacing w:line="240" w:lineRule="atLeast"/>
      <w:jc w:val="lowKashida"/>
    </w:pPr>
    <w:rPr>
      <w:rFonts w:ascii="Times New Roman" w:eastAsia="PMingLiU" w:hAnsi="Times New Roman" w:cs="Simplified Arabic"/>
      <w:szCs w:val="22"/>
      <w:lang w:eastAsia="en-US"/>
    </w:rPr>
  </w:style>
  <w:style w:type="paragraph" w:styleId="Heading1">
    <w:name w:val="heading 1"/>
    <w:aliases w:val="Table_GA,Table_G"/>
    <w:basedOn w:val="SingleTxtGA"/>
    <w:next w:val="Normal"/>
    <w:link w:val="Heading1Char"/>
    <w:qFormat/>
    <w:rsid w:val="009C17EC"/>
    <w:pPr>
      <w:bidi w:val="0"/>
      <w:outlineLvl w:val="0"/>
    </w:pPr>
  </w:style>
  <w:style w:type="paragraph" w:styleId="Heading2">
    <w:name w:val="heading 2"/>
    <w:basedOn w:val="Normal"/>
    <w:next w:val="Normal"/>
    <w:link w:val="Heading2Char"/>
    <w:uiPriority w:val="9"/>
    <w:unhideWhenUsed/>
    <w:rsid w:val="009C17EC"/>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9C17EC"/>
    <w:pPr>
      <w:keepNext/>
      <w:keepLines/>
      <w:spacing w:before="200"/>
      <w:outlineLvl w:val="2"/>
    </w:pPr>
    <w:rPr>
      <w:b/>
      <w:bCs/>
      <w:color w:val="4F81BD"/>
    </w:rPr>
  </w:style>
  <w:style w:type="paragraph" w:styleId="Heading4">
    <w:name w:val="heading 4"/>
    <w:basedOn w:val="Normal"/>
    <w:next w:val="Normal"/>
    <w:link w:val="Heading4Char"/>
    <w:uiPriority w:val="9"/>
    <w:unhideWhenUsed/>
    <w:rsid w:val="009C17EC"/>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9C17EC"/>
    <w:pPr>
      <w:keepNext/>
      <w:keepLines/>
      <w:spacing w:before="200"/>
      <w:outlineLvl w:val="4"/>
    </w:pPr>
    <w:rPr>
      <w:color w:val="243F60"/>
    </w:rPr>
  </w:style>
  <w:style w:type="paragraph" w:styleId="Heading6">
    <w:name w:val="heading 6"/>
    <w:basedOn w:val="Normal"/>
    <w:next w:val="Normal"/>
    <w:link w:val="Heading6Char"/>
    <w:uiPriority w:val="9"/>
    <w:unhideWhenUsed/>
    <w:rsid w:val="009C17EC"/>
    <w:pPr>
      <w:keepNext/>
      <w:keepLines/>
      <w:spacing w:before="200"/>
      <w:outlineLvl w:val="5"/>
    </w:pPr>
    <w:rPr>
      <w:i/>
      <w:iCs/>
      <w:color w:val="243F60"/>
    </w:rPr>
  </w:style>
  <w:style w:type="paragraph" w:styleId="Heading7">
    <w:name w:val="heading 7"/>
    <w:basedOn w:val="Normal"/>
    <w:next w:val="Normal"/>
    <w:link w:val="Heading7Char"/>
    <w:uiPriority w:val="9"/>
    <w:unhideWhenUsed/>
    <w:rsid w:val="009C17EC"/>
    <w:pPr>
      <w:keepNext/>
      <w:keepLines/>
      <w:spacing w:before="200"/>
      <w:outlineLvl w:val="6"/>
    </w:pPr>
    <w:rPr>
      <w:i/>
      <w:iCs/>
      <w:color w:val="404040"/>
    </w:rPr>
  </w:style>
  <w:style w:type="paragraph" w:styleId="Heading8">
    <w:name w:val="heading 8"/>
    <w:basedOn w:val="Normal"/>
    <w:next w:val="Normal"/>
    <w:link w:val="Heading8Char"/>
    <w:uiPriority w:val="9"/>
    <w:unhideWhenUsed/>
    <w:rsid w:val="009C17EC"/>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9C17EC"/>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9C17EC"/>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rsid w:val="009C17EC"/>
    <w:rPr>
      <w:rFonts w:ascii="Times New Roman" w:eastAsia="PMingLiU" w:hAnsi="Times New Roman" w:cs="Simplified Arabic"/>
      <w:sz w:val="18"/>
      <w:lang w:eastAsia="en-US"/>
    </w:rPr>
  </w:style>
  <w:style w:type="character" w:styleId="FootnoteReference">
    <w:name w:val="footnote reference"/>
    <w:aliases w:val="4_GA,4_G,ftref,footnote ref,16 Point,Superscript 6 Point,Fußnotenzeichen DISS,fr,BVI fnr,(NECG) Footnote Reference,Char Char Char Char Car Char,ب"/>
    <w:qFormat/>
    <w:rsid w:val="009C17EC"/>
    <w:rPr>
      <w:szCs w:val="18"/>
      <w:vertAlign w:val="superscript"/>
    </w:rPr>
  </w:style>
  <w:style w:type="paragraph" w:customStyle="1" w:styleId="HMGA">
    <w:name w:val="_ H __M_GA"/>
    <w:basedOn w:val="Normal"/>
    <w:next w:val="SingleTxtGA"/>
    <w:qFormat/>
    <w:rsid w:val="009C17EC"/>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9C17EC"/>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9C17EC"/>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9C17EC"/>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9C17EC"/>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9C17EC"/>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9C17EC"/>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9C17EC"/>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9C17EC"/>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9C17EC"/>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9C17EC"/>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9C17EC"/>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9C17EC"/>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9C17EC"/>
    <w:pPr>
      <w:numPr>
        <w:numId w:val="5"/>
      </w:numPr>
      <w:bidi w:val="0"/>
    </w:pPr>
    <w:rPr>
      <w:lang w:val="en-US"/>
    </w:rPr>
  </w:style>
  <w:style w:type="paragraph" w:customStyle="1" w:styleId="Roman1GA">
    <w:name w:val="_Roman 1_GA"/>
    <w:basedOn w:val="Bullet1GA"/>
    <w:qFormat/>
    <w:rsid w:val="009C17EC"/>
    <w:pPr>
      <w:numPr>
        <w:numId w:val="6"/>
      </w:numPr>
      <w:tabs>
        <w:tab w:val="clear" w:pos="2310"/>
        <w:tab w:val="left" w:pos="2486"/>
      </w:tabs>
      <w:ind w:left="2486" w:hanging="378"/>
    </w:pPr>
  </w:style>
  <w:style w:type="paragraph" w:customStyle="1" w:styleId="Roman2GA">
    <w:name w:val="_Roman 2_GA"/>
    <w:basedOn w:val="Bullet2GA"/>
    <w:qFormat/>
    <w:rsid w:val="009C17EC"/>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9C17EC"/>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9C17EC"/>
    <w:rPr>
      <w:rFonts w:ascii="Times New Roman" w:eastAsia="PMingLiU" w:hAnsi="Times New Roman" w:cs="Simplified Arabic"/>
      <w:sz w:val="18"/>
      <w:lang w:val="en-GB" w:eastAsia="en-US"/>
    </w:rPr>
  </w:style>
  <w:style w:type="character" w:customStyle="1" w:styleId="EndtnoteReference">
    <w:name w:val="Endtnote Reference"/>
    <w:aliases w:val="1_GA"/>
    <w:qFormat/>
    <w:rsid w:val="009C17EC"/>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9C17EC"/>
    <w:pPr>
      <w:suppressAutoHyphens/>
      <w:bidi w:val="0"/>
      <w:spacing w:line="240" w:lineRule="auto"/>
    </w:pPr>
    <w:rPr>
      <w:sz w:val="16"/>
      <w:lang w:val="en-GB"/>
    </w:rPr>
  </w:style>
  <w:style w:type="character" w:customStyle="1" w:styleId="FooterChar">
    <w:name w:val="Footer Char"/>
    <w:aliases w:val="3_GA Char,3_G Char"/>
    <w:link w:val="Footer"/>
    <w:rsid w:val="009C17EC"/>
    <w:rPr>
      <w:rFonts w:ascii="Times New Roman" w:eastAsia="PMingLiU" w:hAnsi="Times New Roman" w:cs="Simplified Arabic"/>
      <w:sz w:val="16"/>
      <w:szCs w:val="22"/>
      <w:lang w:val="en-GB" w:eastAsia="en-US"/>
    </w:rPr>
  </w:style>
  <w:style w:type="paragraph" w:customStyle="1" w:styleId="FootnoteText1">
    <w:name w:val="Footnote Text1"/>
    <w:aliases w:val="5_GA"/>
    <w:basedOn w:val="Normal"/>
    <w:qFormat/>
    <w:rsid w:val="009C17EC"/>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9C17EC"/>
    <w:pPr>
      <w:pBdr>
        <w:bottom w:val="single" w:sz="4" w:space="4" w:color="auto"/>
      </w:pBdr>
      <w:suppressAutoHyphens/>
    </w:pPr>
    <w:rPr>
      <w:b/>
      <w:bCs/>
      <w:sz w:val="18"/>
      <w:szCs w:val="18"/>
    </w:rPr>
  </w:style>
  <w:style w:type="character" w:customStyle="1" w:styleId="HeaderChar">
    <w:name w:val="Header Char"/>
    <w:aliases w:val="6_GA Char,6_G Char"/>
    <w:link w:val="Header"/>
    <w:uiPriority w:val="99"/>
    <w:rsid w:val="009C17EC"/>
    <w:rPr>
      <w:rFonts w:ascii="Times New Roman" w:eastAsia="PMingLiU" w:hAnsi="Times New Roman" w:cs="Simplified Arabic"/>
      <w:b/>
      <w:bCs/>
      <w:sz w:val="18"/>
      <w:szCs w:val="18"/>
      <w:lang w:eastAsia="en-US"/>
    </w:rPr>
  </w:style>
  <w:style w:type="character" w:customStyle="1" w:styleId="Heading1Char">
    <w:name w:val="Heading 1 Char"/>
    <w:aliases w:val="Table_GA Char,Table_G Char"/>
    <w:link w:val="Heading1"/>
    <w:rsid w:val="009C17EC"/>
    <w:rPr>
      <w:rFonts w:ascii="Times New Roman" w:eastAsia="PMingLiU" w:hAnsi="Times New Roman" w:cs="Simplified Arabic"/>
      <w:sz w:val="22"/>
      <w:szCs w:val="22"/>
      <w:lang w:val="en-GB" w:eastAsia="en-US"/>
    </w:rPr>
  </w:style>
  <w:style w:type="character" w:styleId="PageNumber">
    <w:name w:val="page number"/>
    <w:aliases w:val="7_GA,7_G"/>
    <w:qFormat/>
    <w:rsid w:val="009C17EC"/>
    <w:rPr>
      <w:rFonts w:ascii="Times New Roman Bold" w:hAnsi="Times New Roman Bold"/>
      <w:b/>
      <w:i w:val="0"/>
      <w:sz w:val="18"/>
      <w:szCs w:val="18"/>
    </w:rPr>
  </w:style>
  <w:style w:type="paragraph" w:customStyle="1" w:styleId="XXLargeGA">
    <w:name w:val="XXLarge_GA"/>
    <w:basedOn w:val="Normal"/>
    <w:next w:val="SingleTxtGA"/>
    <w:qFormat/>
    <w:rsid w:val="009C17EC"/>
    <w:pPr>
      <w:suppressAutoHyphens/>
      <w:spacing w:line="820" w:lineRule="exact"/>
    </w:pPr>
    <w:rPr>
      <w:spacing w:val="-8"/>
      <w:w w:val="96"/>
      <w:sz w:val="57"/>
      <w:szCs w:val="86"/>
      <w:lang w:val="en-GB"/>
    </w:rPr>
  </w:style>
  <w:style w:type="character" w:customStyle="1" w:styleId="Heading2Char">
    <w:name w:val="Heading 2 Char"/>
    <w:link w:val="Heading2"/>
    <w:uiPriority w:val="9"/>
    <w:rsid w:val="009C17EC"/>
    <w:rPr>
      <w:rFonts w:ascii="Times New Roman" w:eastAsia="PMingLiU" w:hAnsi="Times New Roman" w:cs="Simplified Arabic"/>
      <w:b/>
      <w:bCs/>
      <w:color w:val="4F81BD"/>
      <w:sz w:val="26"/>
      <w:szCs w:val="26"/>
      <w:lang w:eastAsia="en-US"/>
    </w:rPr>
  </w:style>
  <w:style w:type="character" w:styleId="BookTitle">
    <w:name w:val="Book Title"/>
    <w:uiPriority w:val="33"/>
    <w:rsid w:val="009C17EC"/>
    <w:rPr>
      <w:b/>
      <w:bCs/>
      <w:smallCaps/>
      <w:spacing w:val="5"/>
    </w:rPr>
  </w:style>
  <w:style w:type="character" w:customStyle="1" w:styleId="Heading3Char">
    <w:name w:val="Heading 3 Char"/>
    <w:link w:val="Heading3"/>
    <w:uiPriority w:val="9"/>
    <w:rsid w:val="009C17EC"/>
    <w:rPr>
      <w:rFonts w:ascii="Times New Roman" w:eastAsia="PMingLiU" w:hAnsi="Times New Roman" w:cs="Simplified Arabic"/>
      <w:b/>
      <w:bCs/>
      <w:color w:val="4F81BD"/>
      <w:szCs w:val="22"/>
      <w:lang w:eastAsia="en-US"/>
    </w:rPr>
  </w:style>
  <w:style w:type="character" w:customStyle="1" w:styleId="Heading4Char">
    <w:name w:val="Heading 4 Char"/>
    <w:link w:val="Heading4"/>
    <w:uiPriority w:val="9"/>
    <w:rsid w:val="009C17EC"/>
    <w:rPr>
      <w:rFonts w:ascii="Times New Roman" w:eastAsia="PMingLiU" w:hAnsi="Times New Roman" w:cs="Simplified Arabic"/>
      <w:b/>
      <w:bCs/>
      <w:i/>
      <w:iCs/>
      <w:color w:val="4F81BD"/>
      <w:szCs w:val="22"/>
      <w:lang w:eastAsia="en-US"/>
    </w:rPr>
  </w:style>
  <w:style w:type="character" w:customStyle="1" w:styleId="Heading5Char">
    <w:name w:val="Heading 5 Char"/>
    <w:link w:val="Heading5"/>
    <w:uiPriority w:val="9"/>
    <w:rsid w:val="009C17EC"/>
    <w:rPr>
      <w:rFonts w:ascii="Times New Roman" w:eastAsia="PMingLiU" w:hAnsi="Times New Roman" w:cs="Simplified Arabic"/>
      <w:color w:val="243F60"/>
      <w:szCs w:val="22"/>
      <w:lang w:eastAsia="en-US"/>
    </w:rPr>
  </w:style>
  <w:style w:type="character" w:customStyle="1" w:styleId="Heading6Char">
    <w:name w:val="Heading 6 Char"/>
    <w:link w:val="Heading6"/>
    <w:uiPriority w:val="9"/>
    <w:rsid w:val="009C17EC"/>
    <w:rPr>
      <w:rFonts w:ascii="Times New Roman" w:eastAsia="PMingLiU" w:hAnsi="Times New Roman" w:cs="Simplified Arabic"/>
      <w:i/>
      <w:iCs/>
      <w:color w:val="243F60"/>
      <w:szCs w:val="22"/>
      <w:lang w:eastAsia="en-US"/>
    </w:rPr>
  </w:style>
  <w:style w:type="character" w:customStyle="1" w:styleId="Heading7Char">
    <w:name w:val="Heading 7 Char"/>
    <w:link w:val="Heading7"/>
    <w:uiPriority w:val="9"/>
    <w:rsid w:val="009C17EC"/>
    <w:rPr>
      <w:rFonts w:ascii="Times New Roman" w:eastAsia="PMingLiU" w:hAnsi="Times New Roman" w:cs="Simplified Arabic"/>
      <w:i/>
      <w:iCs/>
      <w:color w:val="404040"/>
      <w:szCs w:val="22"/>
      <w:lang w:eastAsia="en-US"/>
    </w:rPr>
  </w:style>
  <w:style w:type="character" w:customStyle="1" w:styleId="Heading8Char">
    <w:name w:val="Heading 8 Char"/>
    <w:link w:val="Heading8"/>
    <w:uiPriority w:val="9"/>
    <w:rsid w:val="009C17EC"/>
    <w:rPr>
      <w:rFonts w:ascii="Times New Roman" w:eastAsia="PMingLiU" w:hAnsi="Times New Roman" w:cs="Simplified Arabic"/>
      <w:color w:val="404040"/>
      <w:lang w:eastAsia="en-US"/>
    </w:rPr>
  </w:style>
  <w:style w:type="character" w:customStyle="1" w:styleId="Heading9Char">
    <w:name w:val="Heading 9 Char"/>
    <w:link w:val="Heading9"/>
    <w:uiPriority w:val="9"/>
    <w:rsid w:val="009C17EC"/>
    <w:rPr>
      <w:rFonts w:ascii="Times New Roman" w:eastAsia="PMingLiU" w:hAnsi="Times New Roman" w:cs="Simplified Arabic"/>
      <w:i/>
      <w:iCs/>
      <w:color w:val="404040"/>
      <w:lang w:eastAsia="en-US"/>
    </w:rPr>
  </w:style>
  <w:style w:type="paragraph" w:styleId="Title">
    <w:name w:val="Title"/>
    <w:basedOn w:val="Normal"/>
    <w:next w:val="Normal"/>
    <w:link w:val="TitleChar"/>
    <w:uiPriority w:val="10"/>
    <w:rsid w:val="009C17EC"/>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9C17EC"/>
    <w:rPr>
      <w:rFonts w:ascii="Times New Roman" w:eastAsia="PMingLiU"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9C17EC"/>
    <w:pPr>
      <w:numPr>
        <w:ilvl w:val="1"/>
      </w:numPr>
    </w:pPr>
    <w:rPr>
      <w:i/>
      <w:iCs/>
      <w:color w:val="4F81BD"/>
      <w:spacing w:val="15"/>
      <w:sz w:val="24"/>
      <w:szCs w:val="24"/>
    </w:rPr>
  </w:style>
  <w:style w:type="character" w:customStyle="1" w:styleId="SubtitleChar">
    <w:name w:val="Subtitle Char"/>
    <w:link w:val="Subtitle"/>
    <w:uiPriority w:val="11"/>
    <w:rsid w:val="009C17EC"/>
    <w:rPr>
      <w:rFonts w:ascii="Times New Roman" w:eastAsia="PMingLiU" w:hAnsi="Times New Roman" w:cs="Simplified Arabic"/>
      <w:i/>
      <w:iCs/>
      <w:color w:val="4F81BD"/>
      <w:spacing w:val="15"/>
      <w:sz w:val="24"/>
      <w:szCs w:val="24"/>
      <w:lang w:eastAsia="en-US"/>
    </w:rPr>
  </w:style>
  <w:style w:type="character" w:styleId="SubtleEmphasis">
    <w:name w:val="Subtle Emphasis"/>
    <w:uiPriority w:val="19"/>
    <w:rsid w:val="009C17EC"/>
    <w:rPr>
      <w:i/>
      <w:iCs/>
      <w:color w:val="808080"/>
    </w:rPr>
  </w:style>
  <w:style w:type="table" w:styleId="ColorfulGrid-Accent6">
    <w:name w:val="Colorful Grid Accent 6"/>
    <w:basedOn w:val="TableNormal"/>
    <w:uiPriority w:val="73"/>
    <w:rsid w:val="009C17EC"/>
    <w:rPr>
      <w:rFonts w:eastAsia="PMingLiU"/>
      <w:color w:val="00000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9C17EC"/>
    <w:rPr>
      <w:i/>
      <w:iCs/>
    </w:rPr>
  </w:style>
  <w:style w:type="character" w:styleId="IntenseEmphasis">
    <w:name w:val="Intense Emphasis"/>
    <w:uiPriority w:val="21"/>
    <w:rsid w:val="009C17EC"/>
    <w:rPr>
      <w:b/>
      <w:bCs/>
      <w:i/>
      <w:iCs/>
      <w:color w:val="4F81BD"/>
    </w:rPr>
  </w:style>
  <w:style w:type="character" w:styleId="Strong">
    <w:name w:val="Strong"/>
    <w:uiPriority w:val="22"/>
    <w:rsid w:val="009C17EC"/>
    <w:rPr>
      <w:b/>
      <w:bCs/>
    </w:rPr>
  </w:style>
  <w:style w:type="paragraph" w:styleId="Quote">
    <w:name w:val="Quote"/>
    <w:basedOn w:val="Normal"/>
    <w:next w:val="Normal"/>
    <w:link w:val="QuoteChar"/>
    <w:uiPriority w:val="29"/>
    <w:rsid w:val="009C17EC"/>
    <w:rPr>
      <w:i/>
      <w:iCs/>
      <w:color w:val="000000"/>
    </w:rPr>
  </w:style>
  <w:style w:type="character" w:customStyle="1" w:styleId="QuoteChar">
    <w:name w:val="Quote Char"/>
    <w:link w:val="Quote"/>
    <w:uiPriority w:val="29"/>
    <w:rsid w:val="009C17EC"/>
    <w:rPr>
      <w:rFonts w:ascii="Times New Roman" w:eastAsia="PMingLiU" w:hAnsi="Times New Roman" w:cs="Simplified Arabic"/>
      <w:i/>
      <w:iCs/>
      <w:color w:val="000000"/>
      <w:szCs w:val="22"/>
      <w:lang w:eastAsia="en-US"/>
    </w:rPr>
  </w:style>
  <w:style w:type="paragraph" w:styleId="IntenseQuote">
    <w:name w:val="Intense Quote"/>
    <w:basedOn w:val="Normal"/>
    <w:next w:val="Normal"/>
    <w:link w:val="IntenseQuoteChar"/>
    <w:uiPriority w:val="30"/>
    <w:rsid w:val="009C17E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C17EC"/>
    <w:rPr>
      <w:rFonts w:ascii="Times New Roman" w:eastAsia="PMingLiU" w:hAnsi="Times New Roman" w:cs="Simplified Arabic"/>
      <w:b/>
      <w:bCs/>
      <w:i/>
      <w:iCs/>
      <w:color w:val="4F81BD"/>
      <w:szCs w:val="22"/>
      <w:lang w:eastAsia="en-US"/>
    </w:rPr>
  </w:style>
  <w:style w:type="character" w:styleId="SubtleReference">
    <w:name w:val="Subtle Reference"/>
    <w:uiPriority w:val="31"/>
    <w:rsid w:val="009C17EC"/>
    <w:rPr>
      <w:smallCaps/>
      <w:color w:val="C0504D"/>
      <w:u w:val="single"/>
    </w:rPr>
  </w:style>
  <w:style w:type="character" w:styleId="IntenseReference">
    <w:name w:val="Intense Reference"/>
    <w:uiPriority w:val="32"/>
    <w:rsid w:val="009C17EC"/>
    <w:rPr>
      <w:b/>
      <w:bCs/>
      <w:smallCaps/>
      <w:color w:val="C0504D"/>
      <w:spacing w:val="5"/>
      <w:u w:val="single"/>
    </w:rPr>
  </w:style>
  <w:style w:type="paragraph" w:styleId="ListParagraph">
    <w:name w:val="List Paragraph"/>
    <w:basedOn w:val="Normal"/>
    <w:uiPriority w:val="34"/>
    <w:rsid w:val="009C17EC"/>
    <w:pPr>
      <w:ind w:left="720"/>
      <w:contextualSpacing/>
    </w:pPr>
  </w:style>
  <w:style w:type="table" w:styleId="MediumShading1-Accent4">
    <w:name w:val="Medium Shading 1 Accent 4"/>
    <w:basedOn w:val="TableNormal"/>
    <w:uiPriority w:val="63"/>
    <w:rsid w:val="009C17EC"/>
    <w:rPr>
      <w:rFonts w:eastAsia="PMingLiU"/>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9C17EC"/>
    <w:rPr>
      <w:rFonts w:eastAsia="MS Mincho"/>
      <w:sz w:val="18"/>
      <w:vertAlign w:val="superscript"/>
    </w:rPr>
  </w:style>
  <w:style w:type="table" w:styleId="TableGrid">
    <w:name w:val="Table Grid"/>
    <w:basedOn w:val="TableNormal"/>
    <w:rsid w:val="009C17EC"/>
    <w:pPr>
      <w:bidi/>
      <w:jc w:val="lowKashida"/>
    </w:pPr>
    <w:rPr>
      <w:rFonts w:ascii="Times New Roman" w:eastAsia="PMingLiU"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17EC"/>
    <w:pPr>
      <w:spacing w:line="240" w:lineRule="auto"/>
    </w:pPr>
    <w:rPr>
      <w:sz w:val="16"/>
      <w:szCs w:val="16"/>
    </w:rPr>
  </w:style>
  <w:style w:type="character" w:customStyle="1" w:styleId="BalloonTextChar">
    <w:name w:val="Balloon Text Char"/>
    <w:link w:val="BalloonText"/>
    <w:uiPriority w:val="99"/>
    <w:semiHidden/>
    <w:rsid w:val="009C17EC"/>
    <w:rPr>
      <w:rFonts w:ascii="Times New Roman" w:eastAsia="PMingLiU" w:hAnsi="Times New Roman" w:cs="Simplified Arabic"/>
      <w:sz w:val="16"/>
      <w:szCs w:val="16"/>
      <w:lang w:eastAsia="en-US"/>
    </w:rPr>
  </w:style>
  <w:style w:type="character" w:styleId="Hyperlink">
    <w:name w:val="Hyperlink"/>
    <w:uiPriority w:val="99"/>
    <w:unhideWhenUsed/>
    <w:rsid w:val="009C17EC"/>
    <w:rPr>
      <w:color w:val="0000FF"/>
      <w:u w:val="none"/>
    </w:rPr>
  </w:style>
  <w:style w:type="paragraph" w:styleId="TOC1">
    <w:name w:val="toc 1"/>
    <w:basedOn w:val="Normal"/>
    <w:link w:val="TOC1Char"/>
    <w:autoRedefine/>
    <w:uiPriority w:val="39"/>
    <w:unhideWhenUsed/>
    <w:rsid w:val="009C17EC"/>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9C17EC"/>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9C17EC"/>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9C17EC"/>
    <w:rPr>
      <w:rFonts w:eastAsia="DengXian"/>
      <w:color w:val="auto"/>
      <w:sz w:val="20"/>
      <w:szCs w:val="20"/>
      <w:u w:val="none"/>
      <w:lang w:eastAsia="zh-CN" w:bidi="ar-EG"/>
    </w:rPr>
  </w:style>
  <w:style w:type="paragraph" w:styleId="TOC4">
    <w:name w:val="toc 4"/>
    <w:basedOn w:val="Normal"/>
    <w:link w:val="TOC4Char"/>
    <w:autoRedefine/>
    <w:uiPriority w:val="39"/>
    <w:unhideWhenUsed/>
    <w:rsid w:val="009C17EC"/>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9C17EC"/>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9C17EC"/>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9C17EC"/>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Cs w:val="28"/>
      <w:lang w:eastAsia="en-US"/>
    </w:rPr>
  </w:style>
  <w:style w:type="table" w:customStyle="1" w:styleId="TABLEA">
    <w:name w:val="TABLE_A"/>
    <w:basedOn w:val="TableNormal"/>
    <w:uiPriority w:val="99"/>
    <w:rsid w:val="009C17EC"/>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9C17EC"/>
    <w:rPr>
      <w:rFonts w:ascii="Times New Roman" w:eastAsia="PMingLiU" w:hAnsi="Times New Roman" w:cs="Simplified Arabic"/>
      <w:sz w:val="22"/>
      <w:szCs w:val="22"/>
      <w:lang w:val="en-GB" w:eastAsia="en-US"/>
    </w:rPr>
  </w:style>
  <w:style w:type="character" w:styleId="UnresolvedMention">
    <w:name w:val="Unresolved Mention"/>
    <w:basedOn w:val="DefaultParagraphFont"/>
    <w:uiPriority w:val="99"/>
    <w:semiHidden/>
    <w:unhideWhenUsed/>
    <w:rsid w:val="009C17EC"/>
    <w:rPr>
      <w:color w:val="605E5C"/>
      <w:shd w:val="clear" w:color="auto" w:fill="E1DFDD"/>
    </w:rPr>
  </w:style>
  <w:style w:type="character" w:customStyle="1" w:styleId="TOC1Char">
    <w:name w:val="TOC 1 Char"/>
    <w:basedOn w:val="DefaultParagraphFont"/>
    <w:link w:val="TOC1"/>
    <w:uiPriority w:val="39"/>
    <w:rsid w:val="009C17EC"/>
    <w:rPr>
      <w:rFonts w:ascii="Times New Roman" w:eastAsia="PMingLiU" w:hAnsi="Times New Roman" w:cs="Simplified Arabic"/>
      <w:noProof/>
      <w:lang w:val="fr-CH" w:bidi="ar-EG"/>
    </w:rPr>
  </w:style>
  <w:style w:type="character" w:customStyle="1" w:styleId="TOC2Char">
    <w:name w:val="TOC 2 Char"/>
    <w:basedOn w:val="DefaultParagraphFont"/>
    <w:link w:val="TOC2"/>
    <w:uiPriority w:val="39"/>
    <w:rsid w:val="009C17EC"/>
    <w:rPr>
      <w:rFonts w:ascii="Times New Roman" w:eastAsia="PMingLiU" w:hAnsi="Times New Roman" w:cs="Simplified Arabic"/>
      <w:noProof/>
      <w:lang w:val="fr-CH" w:eastAsia="en-US"/>
    </w:rPr>
  </w:style>
  <w:style w:type="character" w:customStyle="1" w:styleId="TOC3Char">
    <w:name w:val="TOC 3 Char"/>
    <w:basedOn w:val="TOC2Char"/>
    <w:link w:val="TOC3"/>
    <w:uiPriority w:val="39"/>
    <w:rsid w:val="009C17EC"/>
    <w:rPr>
      <w:rFonts w:ascii="Times New Roman" w:eastAsia="PMingLiU" w:hAnsi="Times New Roman" w:cs="Simplified Arabic"/>
      <w:noProof/>
      <w:lang w:val="fr-CH" w:eastAsia="en-US" w:bidi="ar-EG"/>
    </w:rPr>
  </w:style>
  <w:style w:type="character" w:customStyle="1" w:styleId="TOC4Char">
    <w:name w:val="TOC 4 Char"/>
    <w:basedOn w:val="DefaultParagraphFont"/>
    <w:link w:val="TOC4"/>
    <w:uiPriority w:val="39"/>
    <w:rsid w:val="009C17EC"/>
    <w:rPr>
      <w:rFonts w:ascii="Times New Roman" w:eastAsia="PMingLiU" w:hAnsi="Times New Roman" w:cs="Simplified Arabic"/>
      <w:noProof/>
      <w:lang w:val="en-GB" w:eastAsia="en-US"/>
    </w:rPr>
  </w:style>
  <w:style w:type="character" w:customStyle="1" w:styleId="TOC5Char">
    <w:name w:val="TOC 5 Char"/>
    <w:basedOn w:val="DefaultParagraphFont"/>
    <w:link w:val="TOC5"/>
    <w:uiPriority w:val="39"/>
    <w:rsid w:val="009C17EC"/>
    <w:rPr>
      <w:rFonts w:ascii="Times New Roman" w:eastAsia="PMingLiU" w:hAnsi="Times New Roman" w:cs="Simplified Arabic"/>
      <w:noProof/>
      <w:lang w:val="en-GB" w:eastAsia="en-US"/>
    </w:rPr>
  </w:style>
  <w:style w:type="character" w:customStyle="1" w:styleId="TOC6Char">
    <w:name w:val="TOC 6 Char"/>
    <w:basedOn w:val="DefaultParagraphFont"/>
    <w:link w:val="TOC6"/>
    <w:uiPriority w:val="39"/>
    <w:rsid w:val="009C17EC"/>
    <w:rPr>
      <w:rFonts w:ascii="Times New Roman" w:eastAsia="PMingLiU" w:hAnsi="Times New Roman" w:cs="Simplified Arabic"/>
      <w:lang w:val="en-GB" w:eastAsia="en-US"/>
    </w:rPr>
  </w:style>
  <w:style w:type="paragraph" w:customStyle="1" w:styleId="SessionDate">
    <w:name w:val="Session_Date"/>
    <w:basedOn w:val="Normal"/>
    <w:qFormat/>
    <w:rsid w:val="009C17EC"/>
    <w:pPr>
      <w:spacing w:before="240" w:after="240" w:line="460" w:lineRule="exact"/>
      <w:ind w:left="1247"/>
    </w:pPr>
    <w:rPr>
      <w:b/>
      <w:bCs/>
      <w:sz w:val="32"/>
      <w:szCs w:val="44"/>
    </w:rPr>
  </w:style>
  <w:style w:type="paragraph" w:customStyle="1" w:styleId="SessionNumber">
    <w:name w:val="Session_Number"/>
    <w:basedOn w:val="Normal"/>
    <w:qFormat/>
    <w:rsid w:val="009C17EC"/>
    <w:pPr>
      <w:spacing w:line="480" w:lineRule="exact"/>
      <w:ind w:left="1247"/>
    </w:pPr>
    <w:rPr>
      <w:b/>
      <w:bCs/>
      <w:sz w:val="28"/>
      <w:szCs w:val="38"/>
    </w:rPr>
  </w:style>
  <w:style w:type="paragraph" w:customStyle="1" w:styleId="CityandYear">
    <w:name w:val="City and Year"/>
    <w:basedOn w:val="SingleTxtGA"/>
    <w:qFormat/>
    <w:rsid w:val="009C17EC"/>
    <w:pPr>
      <w:spacing w:line="480" w:lineRule="exact"/>
    </w:pPr>
    <w:rPr>
      <w:b/>
      <w:bCs/>
      <w:sz w:val="30"/>
      <w:szCs w:val="38"/>
      <w:lang w:eastAsia="ar-SA"/>
    </w:rPr>
  </w:style>
  <w:style w:type="paragraph" w:customStyle="1" w:styleId="NormalA">
    <w:name w:val="Normal_A"/>
    <w:basedOn w:val="Normal"/>
    <w:qFormat/>
    <w:rsid w:val="009C17EC"/>
  </w:style>
  <w:style w:type="paragraph" w:customStyle="1" w:styleId="H1G">
    <w:name w:val="_ H_1_G"/>
    <w:basedOn w:val="Normal"/>
    <w:next w:val="Normal"/>
    <w:qFormat/>
    <w:rsid w:val="009C17EC"/>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SingleTxtG">
    <w:name w:val="_ Single Txt_G"/>
    <w:basedOn w:val="Normal"/>
    <w:link w:val="SingleTxtGChar"/>
    <w:qFormat/>
    <w:rsid w:val="009C17EC"/>
    <w:pPr>
      <w:suppressAutoHyphens/>
      <w:bidi w:val="0"/>
      <w:spacing w:after="120"/>
      <w:ind w:left="1134" w:right="1134"/>
      <w:jc w:val="both"/>
    </w:pPr>
    <w:rPr>
      <w:szCs w:val="20"/>
      <w:lang w:val="en-GB"/>
    </w:rPr>
  </w:style>
  <w:style w:type="paragraph" w:customStyle="1" w:styleId="HChG">
    <w:name w:val="_ H _Ch_G"/>
    <w:basedOn w:val="Normal"/>
    <w:next w:val="Normal"/>
    <w:qFormat/>
    <w:rsid w:val="009C17EC"/>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qFormat/>
    <w:rsid w:val="009C17EC"/>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9C17EC"/>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9C17EC"/>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9C17EC"/>
    <w:rPr>
      <w:sz w:val="44"/>
      <w:szCs w:val="44"/>
      <w:lang w:val="en-US" w:bidi="ar-DZ"/>
    </w:rPr>
  </w:style>
  <w:style w:type="paragraph" w:customStyle="1" w:styleId="FootnoteGA0">
    <w:name w:val="Footnote_GA"/>
    <w:basedOn w:val="Normal"/>
    <w:qFormat/>
    <w:rsid w:val="009C17EC"/>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9C17EC"/>
    <w:pPr>
      <w:keepNext/>
      <w:keepLines/>
      <w:spacing w:after="120" w:line="400" w:lineRule="exact"/>
      <w:outlineLvl w:val="0"/>
    </w:pPr>
    <w:rPr>
      <w:b/>
      <w:bCs/>
      <w:kern w:val="14"/>
      <w:sz w:val="24"/>
      <w:szCs w:val="32"/>
    </w:rPr>
  </w:style>
  <w:style w:type="paragraph" w:customStyle="1" w:styleId="HCh">
    <w:name w:val="_ H _Ch"/>
    <w:basedOn w:val="H1"/>
    <w:next w:val="SingleTxt"/>
    <w:qFormat/>
    <w:rsid w:val="009C17EC"/>
    <w:pPr>
      <w:spacing w:line="440" w:lineRule="exact"/>
    </w:pPr>
    <w:rPr>
      <w:spacing w:val="-2"/>
      <w:sz w:val="28"/>
      <w:szCs w:val="36"/>
    </w:rPr>
  </w:style>
  <w:style w:type="character" w:styleId="CommentReference">
    <w:name w:val="annotation reference"/>
    <w:uiPriority w:val="99"/>
    <w:semiHidden/>
    <w:rsid w:val="009C17EC"/>
    <w:rPr>
      <w:sz w:val="6"/>
      <w:szCs w:val="9"/>
    </w:rPr>
  </w:style>
  <w:style w:type="paragraph" w:customStyle="1" w:styleId="HM">
    <w:name w:val="_ H __M"/>
    <w:basedOn w:val="HCh"/>
    <w:next w:val="Normal"/>
    <w:qFormat/>
    <w:rsid w:val="009C17EC"/>
    <w:pPr>
      <w:suppressAutoHyphens/>
      <w:spacing w:line="520" w:lineRule="exact"/>
    </w:pPr>
    <w:rPr>
      <w:spacing w:val="-3"/>
      <w:sz w:val="34"/>
      <w:szCs w:val="48"/>
    </w:rPr>
  </w:style>
  <w:style w:type="paragraph" w:customStyle="1" w:styleId="SingleTxt">
    <w:name w:val="__Single Txt"/>
    <w:basedOn w:val="Normal"/>
    <w:qFormat/>
    <w:rsid w:val="009C17EC"/>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9C17EC"/>
    <w:pPr>
      <w:suppressAutoHyphens/>
      <w:spacing w:line="360" w:lineRule="exact"/>
      <w:outlineLvl w:val="1"/>
    </w:pPr>
    <w:rPr>
      <w:spacing w:val="2"/>
      <w:sz w:val="20"/>
      <w:szCs w:val="28"/>
    </w:rPr>
  </w:style>
  <w:style w:type="paragraph" w:customStyle="1" w:styleId="H4">
    <w:name w:val="_ H_4"/>
    <w:basedOn w:val="Normal"/>
    <w:next w:val="Normal"/>
    <w:qFormat/>
    <w:rsid w:val="009C17EC"/>
    <w:pPr>
      <w:keepNext/>
      <w:keepLines/>
      <w:spacing w:after="120" w:line="360" w:lineRule="exact"/>
      <w:outlineLvl w:val="3"/>
    </w:pPr>
    <w:rPr>
      <w:i/>
      <w:iCs/>
      <w:kern w:val="14"/>
      <w:szCs w:val="28"/>
    </w:rPr>
  </w:style>
  <w:style w:type="paragraph" w:customStyle="1" w:styleId="H56">
    <w:name w:val="_ H_5/6"/>
    <w:basedOn w:val="Normal"/>
    <w:next w:val="Normal"/>
    <w:qFormat/>
    <w:rsid w:val="009C17EC"/>
    <w:pPr>
      <w:keepNext/>
      <w:keepLines/>
      <w:spacing w:after="120" w:line="360" w:lineRule="exact"/>
      <w:outlineLvl w:val="4"/>
    </w:pPr>
    <w:rPr>
      <w:kern w:val="14"/>
      <w:szCs w:val="28"/>
    </w:rPr>
  </w:style>
  <w:style w:type="paragraph" w:customStyle="1" w:styleId="DualTxt">
    <w:name w:val="__Dual Txt"/>
    <w:basedOn w:val="Normal"/>
    <w:qFormat/>
    <w:rsid w:val="009C17EC"/>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9C17EC"/>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9C17EC"/>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9C17EC"/>
    <w:pPr>
      <w:spacing w:after="120" w:line="440" w:lineRule="exact"/>
      <w:jc w:val="center"/>
    </w:pPr>
    <w:rPr>
      <w:b/>
      <w:bCs/>
      <w:sz w:val="25"/>
      <w:szCs w:val="38"/>
    </w:rPr>
  </w:style>
  <w:style w:type="paragraph" w:customStyle="1" w:styleId="JH1">
    <w:name w:val="J_H_1"/>
    <w:basedOn w:val="JCH"/>
    <w:qFormat/>
    <w:rsid w:val="009C17EC"/>
    <w:pPr>
      <w:spacing w:line="420" w:lineRule="exact"/>
    </w:pPr>
    <w:rPr>
      <w:sz w:val="23"/>
      <w:szCs w:val="34"/>
    </w:rPr>
  </w:style>
  <w:style w:type="paragraph" w:customStyle="1" w:styleId="JH2">
    <w:name w:val="J_H_2"/>
    <w:basedOn w:val="JH1"/>
    <w:qFormat/>
    <w:rsid w:val="009C17EC"/>
    <w:pPr>
      <w:spacing w:line="400" w:lineRule="exact"/>
    </w:pPr>
    <w:rPr>
      <w:sz w:val="20"/>
      <w:szCs w:val="30"/>
    </w:rPr>
  </w:style>
  <w:style w:type="paragraph" w:customStyle="1" w:styleId="JSmall">
    <w:name w:val="J_Small"/>
    <w:basedOn w:val="JSingleTxt"/>
    <w:next w:val="JSingleTxt"/>
    <w:qFormat/>
    <w:rsid w:val="009C17EC"/>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9C17EC"/>
    <w:pPr>
      <w:tabs>
        <w:tab w:val="right" w:leader="dot" w:pos="360"/>
      </w:tabs>
      <w:spacing w:line="310" w:lineRule="exact"/>
      <w:jc w:val="right"/>
    </w:pPr>
    <w:rPr>
      <w:spacing w:val="5"/>
      <w:w w:val="104"/>
      <w:kern w:val="14"/>
      <w:sz w:val="17"/>
      <w:szCs w:val="25"/>
    </w:rPr>
  </w:style>
  <w:style w:type="character" w:styleId="LineNumber">
    <w:name w:val="line number"/>
    <w:qFormat/>
    <w:rsid w:val="009C17EC"/>
    <w:rPr>
      <w:sz w:val="14"/>
      <w:szCs w:val="16"/>
    </w:rPr>
  </w:style>
  <w:style w:type="paragraph" w:customStyle="1" w:styleId="SmallX">
    <w:name w:val="SmallX"/>
    <w:basedOn w:val="Small"/>
    <w:next w:val="Normal"/>
    <w:qFormat/>
    <w:rsid w:val="009C17EC"/>
    <w:pPr>
      <w:spacing w:line="240" w:lineRule="exact"/>
    </w:pPr>
    <w:rPr>
      <w:spacing w:val="6"/>
      <w:w w:val="106"/>
      <w:sz w:val="14"/>
      <w:szCs w:val="21"/>
    </w:rPr>
  </w:style>
  <w:style w:type="paragraph" w:customStyle="1" w:styleId="XLarge">
    <w:name w:val="XLarge"/>
    <w:basedOn w:val="HM"/>
    <w:qFormat/>
    <w:rsid w:val="009C17EC"/>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9C17EC"/>
    <w:pPr>
      <w:spacing w:line="820" w:lineRule="exact"/>
    </w:pPr>
    <w:rPr>
      <w:spacing w:val="-8"/>
      <w:w w:val="96"/>
      <w:sz w:val="57"/>
      <w:szCs w:val="86"/>
    </w:rPr>
  </w:style>
  <w:style w:type="paragraph" w:customStyle="1" w:styleId="Distribution">
    <w:name w:val="Distribution"/>
    <w:basedOn w:val="Normal"/>
    <w:next w:val="Normal"/>
    <w:qFormat/>
    <w:rsid w:val="009C17EC"/>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9C17EC"/>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9C17EC"/>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9C17EC"/>
    <w:pPr>
      <w:tabs>
        <w:tab w:val="center" w:pos="4320"/>
        <w:tab w:val="right" w:pos="8640"/>
      </w:tabs>
      <w:spacing w:line="210" w:lineRule="exact"/>
      <w:jc w:val="right"/>
    </w:pPr>
    <w:rPr>
      <w:rFonts w:ascii="Times New Roman" w:eastAsia="PMingLiU" w:hAnsi="Times New Roman" w:cs="Simplified Arabic"/>
      <w:w w:val="103"/>
      <w:kern w:val="14"/>
      <w:szCs w:val="30"/>
      <w:lang w:eastAsia="en-US"/>
    </w:rPr>
  </w:style>
  <w:style w:type="paragraph" w:customStyle="1" w:styleId="Session">
    <w:name w:val="Session"/>
    <w:basedOn w:val="H23"/>
    <w:qFormat/>
    <w:rsid w:val="009C17EC"/>
    <w:pPr>
      <w:tabs>
        <w:tab w:val="left" w:pos="662"/>
        <w:tab w:val="left" w:pos="1267"/>
        <w:tab w:val="left" w:pos="1987"/>
        <w:tab w:val="left" w:pos="2650"/>
      </w:tabs>
      <w:spacing w:after="0"/>
      <w:ind w:left="662" w:hanging="662"/>
    </w:pPr>
  </w:style>
  <w:style w:type="paragraph" w:customStyle="1" w:styleId="Committee">
    <w:name w:val="Committee"/>
    <w:basedOn w:val="H1"/>
    <w:qFormat/>
    <w:rsid w:val="009C17EC"/>
    <w:pPr>
      <w:tabs>
        <w:tab w:val="left" w:pos="662"/>
        <w:tab w:val="left" w:pos="1267"/>
        <w:tab w:val="left" w:pos="1987"/>
        <w:tab w:val="left" w:pos="2650"/>
      </w:tabs>
      <w:ind w:right="1264"/>
    </w:pPr>
  </w:style>
  <w:style w:type="paragraph" w:customStyle="1" w:styleId="AgendaItemNormal">
    <w:name w:val="Agenda_Item_Normal"/>
    <w:next w:val="Normal"/>
    <w:qFormat/>
    <w:rsid w:val="009C17EC"/>
    <w:pPr>
      <w:spacing w:line="360" w:lineRule="exact"/>
      <w:jc w:val="both"/>
    </w:pPr>
    <w:rPr>
      <w:rFonts w:ascii="Times New Roman" w:eastAsia="PMingLiU" w:hAnsi="Times New Roman" w:cs="Simplified Arabic"/>
      <w:w w:val="103"/>
      <w:kern w:val="14"/>
      <w:szCs w:val="28"/>
      <w:lang w:eastAsia="en-US"/>
    </w:rPr>
  </w:style>
  <w:style w:type="paragraph" w:customStyle="1" w:styleId="Sponsors">
    <w:name w:val="Sponsors"/>
    <w:basedOn w:val="H23"/>
    <w:next w:val="Normal"/>
    <w:qFormat/>
    <w:rsid w:val="009C17EC"/>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9C17EC"/>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9C17EC"/>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9C17EC"/>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9C17EC"/>
    <w:rPr>
      <w:i w:val="0"/>
      <w:color w:val="0000FF"/>
      <w:u w:val="none"/>
    </w:rPr>
  </w:style>
  <w:style w:type="paragraph" w:customStyle="1" w:styleId="Bullet1">
    <w:name w:val="Bullet 1"/>
    <w:basedOn w:val="Normal"/>
    <w:qFormat/>
    <w:rsid w:val="009C17EC"/>
    <w:pPr>
      <w:numPr>
        <w:numId w:val="18"/>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9C17EC"/>
    <w:pPr>
      <w:numPr>
        <w:numId w:val="19"/>
      </w:numPr>
      <w:spacing w:after="120" w:line="360" w:lineRule="exact"/>
      <w:ind w:right="1264"/>
    </w:pPr>
    <w:rPr>
      <w:kern w:val="14"/>
      <w:szCs w:val="28"/>
    </w:rPr>
  </w:style>
  <w:style w:type="paragraph" w:customStyle="1" w:styleId="Bullet3">
    <w:name w:val="Bullet 3"/>
    <w:basedOn w:val="SingleTxt"/>
    <w:qFormat/>
    <w:rsid w:val="009C17EC"/>
    <w:pPr>
      <w:numPr>
        <w:numId w:val="20"/>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9C17EC"/>
    <w:pPr>
      <w:ind w:right="5760"/>
      <w:outlineLvl w:val="1"/>
    </w:pPr>
    <w:rPr>
      <w:spacing w:val="2"/>
      <w:sz w:val="20"/>
      <w:szCs w:val="28"/>
    </w:rPr>
  </w:style>
  <w:style w:type="paragraph" w:customStyle="1" w:styleId="STitleM">
    <w:name w:val="S_Title_M"/>
    <w:basedOn w:val="Normal"/>
    <w:next w:val="Normal"/>
    <w:qFormat/>
    <w:rsid w:val="009C17EC"/>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9C17EC"/>
    <w:pPr>
      <w:spacing w:line="600" w:lineRule="exact"/>
      <w:ind w:left="1267" w:right="1267"/>
    </w:pPr>
    <w:rPr>
      <w:w w:val="103"/>
      <w:sz w:val="60"/>
      <w:szCs w:val="60"/>
    </w:rPr>
  </w:style>
  <w:style w:type="paragraph" w:customStyle="1" w:styleId="STitleL">
    <w:name w:val="S_Title_L"/>
    <w:basedOn w:val="XLarge"/>
    <w:next w:val="Normal"/>
    <w:qFormat/>
    <w:rsid w:val="009C17EC"/>
    <w:rPr>
      <w:spacing w:val="-8"/>
      <w:w w:val="96"/>
      <w:sz w:val="57"/>
    </w:rPr>
  </w:style>
  <w:style w:type="paragraph" w:styleId="CommentText">
    <w:name w:val="annotation text"/>
    <w:basedOn w:val="Normal"/>
    <w:link w:val="CommentTextChar"/>
    <w:uiPriority w:val="99"/>
    <w:semiHidden/>
    <w:unhideWhenUsed/>
    <w:rsid w:val="009C17EC"/>
    <w:pPr>
      <w:spacing w:line="240" w:lineRule="auto"/>
    </w:pPr>
    <w:rPr>
      <w:kern w:val="14"/>
    </w:rPr>
  </w:style>
  <w:style w:type="character" w:customStyle="1" w:styleId="CommentTextChar">
    <w:name w:val="Comment Text Char"/>
    <w:basedOn w:val="DefaultParagraphFont"/>
    <w:link w:val="CommentText"/>
    <w:uiPriority w:val="99"/>
    <w:semiHidden/>
    <w:rsid w:val="009C17EC"/>
    <w:rPr>
      <w:rFonts w:ascii="Times New Roman" w:eastAsia="PMingLiU" w:hAnsi="Times New Roman" w:cs="Simplified Arabic"/>
      <w:kern w:val="14"/>
      <w:szCs w:val="22"/>
      <w:lang w:eastAsia="en-US"/>
    </w:rPr>
  </w:style>
  <w:style w:type="paragraph" w:styleId="CommentSubject">
    <w:name w:val="annotation subject"/>
    <w:basedOn w:val="CommentText"/>
    <w:next w:val="CommentText"/>
    <w:link w:val="CommentSubjectChar"/>
    <w:uiPriority w:val="99"/>
    <w:semiHidden/>
    <w:unhideWhenUsed/>
    <w:rsid w:val="009C17EC"/>
    <w:rPr>
      <w:b/>
      <w:bCs/>
    </w:rPr>
  </w:style>
  <w:style w:type="character" w:customStyle="1" w:styleId="CommentSubjectChar">
    <w:name w:val="Comment Subject Char"/>
    <w:basedOn w:val="CommentTextChar"/>
    <w:link w:val="CommentSubject"/>
    <w:uiPriority w:val="99"/>
    <w:semiHidden/>
    <w:rsid w:val="009C17EC"/>
    <w:rPr>
      <w:rFonts w:ascii="Times New Roman" w:eastAsia="PMingLiU" w:hAnsi="Times New Roman" w:cs="Simplified Arabic"/>
      <w:b/>
      <w:bCs/>
      <w:kern w:val="14"/>
      <w:szCs w:val="22"/>
      <w:lang w:eastAsia="en-US"/>
    </w:rPr>
  </w:style>
  <w:style w:type="paragraph" w:customStyle="1" w:styleId="Bullet1G">
    <w:name w:val="_Bullet 1_G"/>
    <w:basedOn w:val="Normal"/>
    <w:qFormat/>
    <w:rsid w:val="009C17EC"/>
    <w:pPr>
      <w:numPr>
        <w:numId w:val="21"/>
      </w:numPr>
      <w:bidi w:val="0"/>
      <w:spacing w:after="120"/>
      <w:ind w:right="1134"/>
      <w:jc w:val="both"/>
    </w:pPr>
    <w:rPr>
      <w:sz w:val="22"/>
    </w:rPr>
  </w:style>
  <w:style w:type="character" w:customStyle="1" w:styleId="SingleTxtGChar">
    <w:name w:val="_ Single Txt_G Char"/>
    <w:link w:val="SingleTxtG"/>
    <w:rsid w:val="009C17EC"/>
    <w:rPr>
      <w:rFonts w:ascii="Times New Roman" w:eastAsia="PMingLiU" w:hAnsi="Times New Roman" w:cs="Simplified Arabic"/>
      <w:lang w:val="en-GB" w:eastAsia="en-US"/>
    </w:rPr>
  </w:style>
  <w:style w:type="paragraph" w:customStyle="1" w:styleId="Preparedby">
    <w:name w:val="Prepared by:"/>
    <w:basedOn w:val="H23GA"/>
    <w:qFormat/>
    <w:rsid w:val="009C17EC"/>
    <w:rPr>
      <w:sz w:val="32"/>
      <w:szCs w:val="32"/>
    </w:rPr>
  </w:style>
  <w:style w:type="paragraph" w:customStyle="1" w:styleId="ParaNoG">
    <w:name w:val="_ParaNo._G"/>
    <w:basedOn w:val="SingleTxtG"/>
    <w:rsid w:val="009C17EC"/>
    <w:pPr>
      <w:numPr>
        <w:numId w:val="28"/>
      </w:numPr>
      <w:tabs>
        <w:tab w:val="left" w:pos="1134"/>
        <w:tab w:val="left" w:pos="1701"/>
        <w:tab w:val="left" w:pos="2268"/>
        <w:tab w:val="left" w:pos="2835"/>
      </w:tabs>
      <w:suppressAutoHyphens w:val="0"/>
    </w:pPr>
    <w:rPr>
      <w:rFonts w:hint="cs"/>
      <w:szCs w:val="30"/>
      <w:lang w:val="fr-FR" w:eastAsia="fr-FR"/>
    </w:rPr>
  </w:style>
  <w:style w:type="paragraph" w:customStyle="1" w:styleId="HMG">
    <w:name w:val="_ H __M_G"/>
    <w:basedOn w:val="Normal"/>
    <w:next w:val="Normal"/>
    <w:qFormat/>
    <w:rsid w:val="009C17EC"/>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9C17EC"/>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9C17EC"/>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9C17EC"/>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9C17EC"/>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9C17EC"/>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9C17EC"/>
    <w:pPr>
      <w:numPr>
        <w:numId w:val="24"/>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9C17EC"/>
    <w:rPr>
      <w:rFonts w:asciiTheme="minorHAnsi" w:eastAsiaTheme="minorEastAsia" w:hAnsiTheme="minorHAnsi" w:cstheme="minorBidi"/>
      <w:sz w:val="24"/>
      <w:szCs w:val="24"/>
      <w:lang w:val="fr-FR" w:eastAsia="fr-FR"/>
    </w:rPr>
  </w:style>
  <w:style w:type="paragraph" w:customStyle="1" w:styleId="Default">
    <w:name w:val="Default"/>
    <w:semiHidden/>
    <w:rsid w:val="009C17EC"/>
    <w:pPr>
      <w:autoSpaceDE w:val="0"/>
      <w:autoSpaceDN w:val="0"/>
      <w:adjustRightInd w:val="0"/>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9C17EC"/>
  </w:style>
  <w:style w:type="character" w:customStyle="1" w:styleId="preferred">
    <w:name w:val="preferred"/>
    <w:basedOn w:val="DefaultParagraphFont"/>
    <w:rsid w:val="009C17EC"/>
  </w:style>
  <w:style w:type="character" w:customStyle="1" w:styleId="admitted">
    <w:name w:val="admitted"/>
    <w:basedOn w:val="DefaultParagraphFont"/>
    <w:rsid w:val="009C1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undocs.org/ar/CCPR/C/115/D/2019/2010" TargetMode="External"/><Relationship Id="rId13" Type="http://schemas.openxmlformats.org/officeDocument/2006/relationships/hyperlink" Target="https://undocs.org/ar/CCPR/C/129/D/2456/2014" TargetMode="External"/><Relationship Id="rId3" Type="http://schemas.openxmlformats.org/officeDocument/2006/relationships/hyperlink" Target="https://undocs.org/ar/CCPR/C/115/D/2016/2010" TargetMode="External"/><Relationship Id="rId7" Type="http://schemas.openxmlformats.org/officeDocument/2006/relationships/hyperlink" Target="https://undocs.org/ar/CCPR/C/123/D/2235/2013" TargetMode="External"/><Relationship Id="rId12" Type="http://schemas.openxmlformats.org/officeDocument/2006/relationships/hyperlink" Target="https://undocs.org/ar/CCPR/C/122/D/2217/2012" TargetMode="External"/><Relationship Id="rId2" Type="http://schemas.openxmlformats.org/officeDocument/2006/relationships/hyperlink" Target="https://undocs.org/ar/CCPR/C/112/D/1929/2010" TargetMode="External"/><Relationship Id="rId1" Type="http://schemas.openxmlformats.org/officeDocument/2006/relationships/hyperlink" Target="https://undocs.org/ar/CCPR/C/109/D/1873/2009" TargetMode="External"/><Relationship Id="rId6" Type="http://schemas.openxmlformats.org/officeDocument/2006/relationships/hyperlink" Target="https://undocs.org/ar/CCPR/C/105/D/1867/2009" TargetMode="External"/><Relationship Id="rId11" Type="http://schemas.openxmlformats.org/officeDocument/2006/relationships/hyperlink" Target="https://undocs.org/ar/CCPR/C/132/D/2865/2016" TargetMode="External"/><Relationship Id="rId5" Type="http://schemas.openxmlformats.org/officeDocument/2006/relationships/hyperlink" Target="https://undocs.org/ar/CCPR/C/117/D/2082/2011" TargetMode="External"/><Relationship Id="rId15" Type="http://schemas.openxmlformats.org/officeDocument/2006/relationships/hyperlink" Target="https://undocs.org/ar/CCPR/C/101/D/1604/2007" TargetMode="External"/><Relationship Id="rId10" Type="http://schemas.openxmlformats.org/officeDocument/2006/relationships/hyperlink" Target="https://undocs.org/ar/CCPR/C/132/D/2857/2016" TargetMode="External"/><Relationship Id="rId4" Type="http://schemas.openxmlformats.org/officeDocument/2006/relationships/hyperlink" Target="https://undocs.org/ar/CCPR/C/87/D/1157/2003" TargetMode="External"/><Relationship Id="rId9" Type="http://schemas.openxmlformats.org/officeDocument/2006/relationships/hyperlink" Target="https://undocs.org/ar/CCPR/C/129/D/2404/2014" TargetMode="External"/><Relationship Id="rId14" Type="http://schemas.openxmlformats.org/officeDocument/2006/relationships/hyperlink" Target="https://undocs.org/ar/CCPR/C/116/D/2092/2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B3873-BCCC-420E-8601-D67A16A86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2879</Words>
  <Characters>16413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CCPR/C/135/D/2847/2016</vt:lpstr>
    </vt:vector>
  </TitlesOfParts>
  <Company>DCM</Company>
  <LinksUpToDate>false</LinksUpToDate>
  <CharactersWithSpaces>19254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CCPR/C/135/D/2847/2016</dc:title>
  <dc:subject>GE.2226170(A)</dc:subject>
  <dc:creator>Ihab RIZ - </dc:creator>
  <cp:keywords>GE.(A)</cp:keywords>
  <dc:description>General_x000d_
_x000d_
Arabic_x000d_
English</dc:description>
  <cp:lastModifiedBy>Jamila Chedad</cp:lastModifiedBy>
  <cp:revision>3</cp:revision>
  <cp:lastPrinted>2022-12-14T13:44:00Z</cp:lastPrinted>
  <dcterms:created xsi:type="dcterms:W3CDTF">2022-12-14T13:44:00Z</dcterms:created>
  <dcterms:modified xsi:type="dcterms:W3CDTF">2022-12-14T13:44:00Z</dcterms:modified>
  <cp:category>Finale</cp:category>
</cp:coreProperties>
</file>