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31E308F3" w14:textId="77777777" w:rsidTr="005B51C4">
        <w:trPr>
          <w:trHeight w:hRule="exact" w:val="851"/>
        </w:trPr>
        <w:tc>
          <w:tcPr>
            <w:tcW w:w="1274" w:type="dxa"/>
            <w:tcBorders>
              <w:bottom w:val="single" w:sz="4" w:space="0" w:color="auto"/>
            </w:tcBorders>
            <w:shd w:val="clear" w:color="auto" w:fill="auto"/>
          </w:tcPr>
          <w:p w14:paraId="18552F21" w14:textId="77777777" w:rsidR="006B3E27" w:rsidRPr="00C175A6" w:rsidRDefault="006B3E27" w:rsidP="003E1FD6">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16FDB758"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1E6F60D8" w14:textId="02167A09" w:rsidR="006B3E27" w:rsidRPr="00467039" w:rsidRDefault="00467039" w:rsidP="00467039">
            <w:pPr>
              <w:bidi w:val="0"/>
              <w:rPr>
                <w:szCs w:val="20"/>
              </w:rPr>
            </w:pPr>
            <w:r w:rsidRPr="00F11B28">
              <w:rPr>
                <w:sz w:val="40"/>
                <w:szCs w:val="20"/>
              </w:rPr>
              <w:t>CCPR</w:t>
            </w:r>
            <w:r w:rsidRPr="00F11B28">
              <w:rPr>
                <w:szCs w:val="20"/>
              </w:rPr>
              <w:t>/C/134/D/2755/2016</w:t>
            </w:r>
          </w:p>
        </w:tc>
      </w:tr>
      <w:tr w:rsidR="006B3E27" w:rsidRPr="00C175A6" w14:paraId="390413A7" w14:textId="77777777" w:rsidTr="005B51C4">
        <w:trPr>
          <w:trHeight w:hRule="exact" w:val="2835"/>
        </w:trPr>
        <w:tc>
          <w:tcPr>
            <w:tcW w:w="1274" w:type="dxa"/>
            <w:tcBorders>
              <w:top w:val="single" w:sz="4" w:space="0" w:color="auto"/>
              <w:bottom w:val="single" w:sz="12" w:space="0" w:color="auto"/>
            </w:tcBorders>
            <w:shd w:val="clear" w:color="auto" w:fill="auto"/>
          </w:tcPr>
          <w:p w14:paraId="6DDB1AE1"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66A4FA0D" wp14:editId="6219C599">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09A32A52" w14:textId="77777777" w:rsidR="006B3E27" w:rsidRPr="00F11B28" w:rsidRDefault="00ED7442" w:rsidP="00730446">
            <w:pPr>
              <w:spacing w:before="120" w:after="40" w:line="640" w:lineRule="exact"/>
              <w:ind w:left="57"/>
              <w:rPr>
                <w:b/>
                <w:bCs/>
                <w:sz w:val="46"/>
                <w:szCs w:val="46"/>
              </w:rPr>
            </w:pPr>
            <w:r w:rsidRPr="00F11B28">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52DCDE88" w14:textId="3B67A498" w:rsidR="00407392" w:rsidRPr="00407392" w:rsidRDefault="00407392" w:rsidP="00407392">
            <w:pPr>
              <w:bidi w:val="0"/>
              <w:spacing w:before="240" w:line="240" w:lineRule="auto"/>
              <w:jc w:val="left"/>
              <w:rPr>
                <w:rFonts w:eastAsia="SimSun" w:cs="Times New Roman"/>
                <w:szCs w:val="20"/>
                <w:lang w:val="en-GB" w:eastAsia="zh-CN"/>
              </w:rPr>
            </w:pPr>
            <w:r w:rsidRPr="00407392">
              <w:rPr>
                <w:rFonts w:eastAsia="SimSun" w:cs="Times New Roman"/>
                <w:szCs w:val="20"/>
                <w:lang w:val="en-GB" w:eastAsia="zh-CN"/>
              </w:rPr>
              <w:t>Dist</w:t>
            </w:r>
            <w:r w:rsidR="00F11B28" w:rsidRPr="00407392">
              <w:rPr>
                <w:rFonts w:eastAsia="SimSun" w:cs="Times New Roman"/>
                <w:color w:val="000000"/>
                <w:szCs w:val="20"/>
                <w:lang w:val="en-GB" w:eastAsia="zh-CN"/>
              </w:rPr>
              <w:t>r.:</w:t>
            </w:r>
            <w:r w:rsidRPr="00407392">
              <w:rPr>
                <w:rFonts w:eastAsia="SimSun" w:cs="Times New Roman"/>
                <w:szCs w:val="20"/>
                <w:lang w:val="en-GB" w:eastAsia="zh-CN"/>
              </w:rPr>
              <w:t xml:space="preserve"> General</w:t>
            </w:r>
          </w:p>
          <w:p w14:paraId="7E51F805" w14:textId="77777777" w:rsidR="00407392" w:rsidRPr="00407392" w:rsidRDefault="00407392" w:rsidP="00407392">
            <w:pPr>
              <w:bidi w:val="0"/>
              <w:spacing w:line="240" w:lineRule="auto"/>
              <w:jc w:val="left"/>
              <w:rPr>
                <w:rFonts w:eastAsia="SimSun" w:cs="Times New Roman"/>
                <w:szCs w:val="20"/>
                <w:lang w:val="en-GB" w:eastAsia="zh-CN"/>
              </w:rPr>
            </w:pPr>
            <w:r w:rsidRPr="00407392">
              <w:rPr>
                <w:rFonts w:eastAsia="SimSun" w:cs="Times New Roman"/>
                <w:szCs w:val="20"/>
                <w:lang w:val="en-GB" w:eastAsia="zh-CN"/>
              </w:rPr>
              <w:t>17 May 2022</w:t>
            </w:r>
          </w:p>
          <w:p w14:paraId="29A4D83F" w14:textId="039E4136" w:rsidR="00407392" w:rsidRPr="00407392" w:rsidRDefault="006B1C07" w:rsidP="00407392">
            <w:pPr>
              <w:bidi w:val="0"/>
              <w:spacing w:line="240" w:lineRule="auto"/>
              <w:jc w:val="left"/>
              <w:rPr>
                <w:rFonts w:eastAsia="SimSun" w:cs="Times New Roman"/>
                <w:szCs w:val="20"/>
                <w:lang w:val="en-GB" w:eastAsia="zh-CN"/>
              </w:rPr>
            </w:pPr>
            <w:r>
              <w:rPr>
                <w:rFonts w:eastAsia="SimSun" w:cs="Times New Roman"/>
                <w:szCs w:val="20"/>
                <w:lang w:val="en-GB" w:eastAsia="zh-CN"/>
              </w:rPr>
              <w:t>Arabic</w:t>
            </w:r>
          </w:p>
          <w:p w14:paraId="142DB84D" w14:textId="1A339879" w:rsidR="00467039" w:rsidRPr="00407392" w:rsidRDefault="00407392" w:rsidP="00407392">
            <w:pPr>
              <w:bidi w:val="0"/>
              <w:spacing w:line="240" w:lineRule="exact"/>
              <w:jc w:val="left"/>
              <w:rPr>
                <w:szCs w:val="20"/>
                <w:lang w:val="en-GB"/>
              </w:rPr>
            </w:pPr>
            <w:r w:rsidRPr="00407392">
              <w:rPr>
                <w:rFonts w:eastAsia="SimSun" w:cs="Times New Roman"/>
                <w:szCs w:val="20"/>
                <w:lang w:val="en-GB" w:eastAsia="zh-CN"/>
              </w:rPr>
              <w:t>Origina</w:t>
            </w:r>
            <w:r w:rsidR="00F11B28" w:rsidRPr="00F11B28">
              <w:rPr>
                <w:rFonts w:eastAsia="SimSun" w:cs="Times New Roman"/>
                <w:color w:val="000000"/>
                <w:szCs w:val="20"/>
                <w:lang w:val="en-GB" w:eastAsia="zh-CN"/>
              </w:rPr>
              <w:t xml:space="preserve">l: </w:t>
            </w:r>
            <w:r w:rsidRPr="00407392">
              <w:rPr>
                <w:rFonts w:eastAsia="SimSun" w:cs="Times New Roman"/>
                <w:szCs w:val="20"/>
                <w:lang w:val="en-GB" w:eastAsia="zh-CN"/>
              </w:rPr>
              <w:t>English</w:t>
            </w:r>
          </w:p>
        </w:tc>
      </w:tr>
    </w:tbl>
    <w:p w14:paraId="51CE1440" w14:textId="77777777" w:rsidR="00407392" w:rsidRPr="00F11B28" w:rsidRDefault="00407392" w:rsidP="006B1C07">
      <w:pPr>
        <w:pStyle w:val="SingleTxtGA"/>
        <w:spacing w:before="120"/>
        <w:ind w:left="0"/>
        <w:rPr>
          <w:b/>
          <w:bCs/>
          <w:sz w:val="26"/>
          <w:szCs w:val="26"/>
        </w:rPr>
      </w:pPr>
      <w:r w:rsidRPr="00F11B28">
        <w:rPr>
          <w:b/>
          <w:bCs/>
          <w:sz w:val="26"/>
          <w:szCs w:val="26"/>
          <w:rtl/>
        </w:rPr>
        <w:t>اللجنة المعنية بحقوق الإنسان</w:t>
      </w:r>
    </w:p>
    <w:p w14:paraId="69EBC6D8" w14:textId="33F2062E" w:rsidR="00407392" w:rsidRPr="00F11B28" w:rsidRDefault="00407392" w:rsidP="006B1C07">
      <w:pPr>
        <w:pStyle w:val="HChGA"/>
      </w:pPr>
      <w:r w:rsidRPr="00F11B28">
        <w:rPr>
          <w:rtl/>
        </w:rPr>
        <w:tab/>
      </w:r>
      <w:r w:rsidRPr="00F11B28">
        <w:rPr>
          <w:rtl/>
        </w:rPr>
        <w:tab/>
        <w:t>آراء اعتمدتها اللجنة بموجب المادة 5(</w:t>
      </w:r>
      <w:r w:rsidR="00F11B28" w:rsidRPr="00F11B28">
        <w:rPr>
          <w:color w:val="000000"/>
          <w:rtl/>
        </w:rPr>
        <w:t xml:space="preserve">4) </w:t>
      </w:r>
      <w:r w:rsidRPr="00F11B28">
        <w:rPr>
          <w:rtl/>
        </w:rPr>
        <w:t>من البروتوكول الاختياري، بشأن البلاغ رقم 2755</w:t>
      </w:r>
      <w:r w:rsidR="006B1C07" w:rsidRPr="00F11B28">
        <w:rPr>
          <w:rFonts w:hint="cs"/>
          <w:rtl/>
        </w:rPr>
        <w:t>/</w:t>
      </w:r>
      <w:r w:rsidR="006B1C07" w:rsidRPr="00F11B28">
        <w:rPr>
          <w:rtl/>
        </w:rPr>
        <w:t>2016</w:t>
      </w:r>
      <w:r w:rsidR="006B1C07" w:rsidRPr="00F11B28">
        <w:rPr>
          <w:rStyle w:val="FootnoteReference"/>
          <w:sz w:val="22"/>
          <w:szCs w:val="22"/>
          <w:vertAlign w:val="baseline"/>
          <w:rtl/>
        </w:rPr>
        <w:footnoteReference w:customMarkFollows="1" w:id="1"/>
        <w:t>*</w:t>
      </w:r>
      <w:r w:rsidR="006B1C07" w:rsidRPr="00F11B28">
        <w:rPr>
          <w:rFonts w:hint="cs"/>
          <w:rtl/>
        </w:rPr>
        <w:t xml:space="preserve"> </w:t>
      </w:r>
      <w:r w:rsidR="006B1C07" w:rsidRPr="00F11B28">
        <w:rPr>
          <w:rStyle w:val="FootnoteReference"/>
          <w:sz w:val="22"/>
          <w:szCs w:val="22"/>
          <w:vertAlign w:val="baseline"/>
          <w:rtl/>
        </w:rPr>
        <w:footnoteReference w:customMarkFollows="1" w:id="2"/>
        <w:t>**</w:t>
      </w:r>
    </w:p>
    <w:p w14:paraId="15384661" w14:textId="2881B302" w:rsidR="00407392" w:rsidRPr="00407392" w:rsidRDefault="00407392" w:rsidP="00407392">
      <w:pPr>
        <w:pStyle w:val="SingleTxtGA"/>
        <w:tabs>
          <w:tab w:val="clear" w:pos="1928"/>
          <w:tab w:val="clear" w:pos="2608"/>
          <w:tab w:val="clear" w:pos="3289"/>
          <w:tab w:val="clear" w:pos="3969"/>
          <w:tab w:val="clear" w:pos="4649"/>
          <w:tab w:val="clear" w:pos="5330"/>
        </w:tabs>
        <w:ind w:left="4649" w:hanging="2721"/>
      </w:pPr>
      <w:r w:rsidRPr="00F11B28">
        <w:rPr>
          <w:i/>
          <w:iCs/>
          <w:rtl/>
        </w:rPr>
        <w:t xml:space="preserve">بلاغ </w:t>
      </w:r>
      <w:r w:rsidRPr="00F11B28">
        <w:rPr>
          <w:i/>
          <w:iCs/>
          <w:rtl/>
        </w:rPr>
        <w:t>مقدم من:</w:t>
      </w:r>
      <w:r>
        <w:rPr>
          <w:rtl/>
        </w:rPr>
        <w:tab/>
      </w:r>
      <w:r w:rsidRPr="00407392">
        <w:rPr>
          <w:rtl/>
        </w:rPr>
        <w:t xml:space="preserve">يوري </w:t>
      </w:r>
      <w:proofErr w:type="spellStart"/>
      <w:r w:rsidRPr="00407392">
        <w:rPr>
          <w:rtl/>
        </w:rPr>
        <w:t>بيلسكي</w:t>
      </w:r>
      <w:proofErr w:type="spellEnd"/>
      <w:r w:rsidRPr="00407392">
        <w:rPr>
          <w:rtl/>
        </w:rPr>
        <w:t xml:space="preserve"> (لا يمثله محام أو محامية)</w:t>
      </w:r>
    </w:p>
    <w:p w14:paraId="2AF0BF05" w14:textId="7488E167" w:rsidR="00407392" w:rsidRPr="00407392" w:rsidRDefault="00407392" w:rsidP="00407392">
      <w:pPr>
        <w:pStyle w:val="SingleTxtGA"/>
        <w:tabs>
          <w:tab w:val="clear" w:pos="1928"/>
          <w:tab w:val="clear" w:pos="2608"/>
          <w:tab w:val="clear" w:pos="3289"/>
          <w:tab w:val="clear" w:pos="3969"/>
          <w:tab w:val="clear" w:pos="4649"/>
          <w:tab w:val="clear" w:pos="5330"/>
        </w:tabs>
        <w:ind w:left="4649" w:hanging="2721"/>
      </w:pPr>
      <w:r w:rsidRPr="00F11B28">
        <w:rPr>
          <w:i/>
          <w:iCs/>
          <w:rtl/>
        </w:rPr>
        <w:t>الشخص المدعى أنه ضحية:</w:t>
      </w:r>
      <w:r>
        <w:rPr>
          <w:rtl/>
        </w:rPr>
        <w:tab/>
      </w:r>
      <w:r w:rsidRPr="00407392">
        <w:rPr>
          <w:rtl/>
        </w:rPr>
        <w:t>صاحب البلاغ</w:t>
      </w:r>
    </w:p>
    <w:p w14:paraId="70DCFD1A" w14:textId="5F0E911C" w:rsidR="00407392" w:rsidRPr="00407392" w:rsidRDefault="00407392" w:rsidP="00407392">
      <w:pPr>
        <w:pStyle w:val="SingleTxtGA"/>
        <w:tabs>
          <w:tab w:val="clear" w:pos="1928"/>
          <w:tab w:val="clear" w:pos="2608"/>
          <w:tab w:val="clear" w:pos="3289"/>
          <w:tab w:val="clear" w:pos="3969"/>
          <w:tab w:val="clear" w:pos="4649"/>
          <w:tab w:val="clear" w:pos="5330"/>
        </w:tabs>
        <w:ind w:left="4649" w:hanging="2721"/>
      </w:pPr>
      <w:r w:rsidRPr="00F11B28">
        <w:rPr>
          <w:i/>
          <w:iCs/>
          <w:rtl/>
        </w:rPr>
        <w:t>الدولة الطرف:</w:t>
      </w:r>
      <w:r>
        <w:rPr>
          <w:rtl/>
        </w:rPr>
        <w:tab/>
      </w:r>
      <w:r w:rsidRPr="00407392">
        <w:rPr>
          <w:rtl/>
        </w:rPr>
        <w:t>بيلاروس</w:t>
      </w:r>
    </w:p>
    <w:p w14:paraId="68E6C9ED" w14:textId="56B677B4" w:rsidR="00407392" w:rsidRPr="00407392" w:rsidRDefault="00407392" w:rsidP="00407392">
      <w:pPr>
        <w:pStyle w:val="SingleTxtGA"/>
        <w:tabs>
          <w:tab w:val="clear" w:pos="1928"/>
          <w:tab w:val="clear" w:pos="2608"/>
          <w:tab w:val="clear" w:pos="3289"/>
          <w:tab w:val="clear" w:pos="3969"/>
          <w:tab w:val="clear" w:pos="4649"/>
          <w:tab w:val="clear" w:pos="5330"/>
        </w:tabs>
        <w:ind w:left="4649" w:hanging="2721"/>
      </w:pPr>
      <w:r w:rsidRPr="00F11B28">
        <w:rPr>
          <w:i/>
          <w:iCs/>
          <w:rtl/>
        </w:rPr>
        <w:t>تاريخ تقديم البلاغ:</w:t>
      </w:r>
      <w:r>
        <w:rPr>
          <w:rtl/>
        </w:rPr>
        <w:tab/>
      </w:r>
      <w:r w:rsidRPr="00F11B28">
        <w:rPr>
          <w:rtl/>
        </w:rPr>
        <w:t>28</w:t>
      </w:r>
      <w:r w:rsidRPr="00407392">
        <w:rPr>
          <w:rtl/>
        </w:rPr>
        <w:t xml:space="preserve"> كانون الثاني/يناير </w:t>
      </w:r>
      <w:r w:rsidRPr="00F11B28">
        <w:rPr>
          <w:rtl/>
        </w:rPr>
        <w:t>2016</w:t>
      </w:r>
      <w:r w:rsidRPr="00407392">
        <w:rPr>
          <w:rtl/>
        </w:rPr>
        <w:t xml:space="preserve"> (تاريخ الرسالة الأولى)</w:t>
      </w:r>
    </w:p>
    <w:p w14:paraId="78DD701F" w14:textId="3CA0253D" w:rsidR="00407392" w:rsidRPr="00407392" w:rsidRDefault="00407392" w:rsidP="00407392">
      <w:pPr>
        <w:pStyle w:val="SingleTxtGA"/>
        <w:tabs>
          <w:tab w:val="clear" w:pos="1928"/>
          <w:tab w:val="clear" w:pos="2608"/>
          <w:tab w:val="clear" w:pos="3289"/>
          <w:tab w:val="clear" w:pos="3969"/>
          <w:tab w:val="clear" w:pos="4649"/>
          <w:tab w:val="clear" w:pos="5330"/>
        </w:tabs>
        <w:ind w:left="4649" w:hanging="2721"/>
      </w:pPr>
      <w:r w:rsidRPr="00F11B28">
        <w:rPr>
          <w:i/>
          <w:iCs/>
          <w:rtl/>
        </w:rPr>
        <w:t>الوثائق المرجعية:</w:t>
      </w:r>
      <w:r>
        <w:rPr>
          <w:rtl/>
        </w:rPr>
        <w:tab/>
      </w:r>
      <w:r w:rsidRPr="006B1C07">
        <w:rPr>
          <w:spacing w:val="-4"/>
          <w:rtl/>
        </w:rPr>
        <w:t xml:space="preserve">القرار المتخذ بموجب المادة </w:t>
      </w:r>
      <w:r w:rsidRPr="00F11B28">
        <w:rPr>
          <w:spacing w:val="-4"/>
          <w:rtl/>
        </w:rPr>
        <w:t>92</w:t>
      </w:r>
      <w:r w:rsidRPr="006B1C07">
        <w:rPr>
          <w:spacing w:val="-4"/>
          <w:rtl/>
        </w:rPr>
        <w:t xml:space="preserve"> من النظام الداخلي للجنة،</w:t>
      </w:r>
      <w:r w:rsidRPr="00407392">
        <w:rPr>
          <w:rtl/>
        </w:rPr>
        <w:t xml:space="preserve"> والمحال إلى الدولة الطرف في </w:t>
      </w:r>
      <w:r w:rsidRPr="00F11B28">
        <w:rPr>
          <w:rtl/>
        </w:rPr>
        <w:t>23</w:t>
      </w:r>
      <w:r w:rsidRPr="00407392">
        <w:rPr>
          <w:rtl/>
        </w:rPr>
        <w:t xml:space="preserve"> آذار/مارس </w:t>
      </w:r>
      <w:r w:rsidRPr="00F11B28">
        <w:rPr>
          <w:rtl/>
        </w:rPr>
        <w:t>2016</w:t>
      </w:r>
      <w:r w:rsidRPr="00407392">
        <w:rPr>
          <w:rtl/>
        </w:rPr>
        <w:t xml:space="preserve"> (لم يصدر في شكل وثيقة)</w:t>
      </w:r>
    </w:p>
    <w:p w14:paraId="62234C19" w14:textId="2B88D5C4" w:rsidR="00407392" w:rsidRPr="00407392" w:rsidRDefault="00407392" w:rsidP="00407392">
      <w:pPr>
        <w:pStyle w:val="SingleTxtGA"/>
        <w:tabs>
          <w:tab w:val="clear" w:pos="1928"/>
          <w:tab w:val="clear" w:pos="2608"/>
          <w:tab w:val="clear" w:pos="3289"/>
          <w:tab w:val="clear" w:pos="3969"/>
          <w:tab w:val="clear" w:pos="4649"/>
          <w:tab w:val="clear" w:pos="5330"/>
        </w:tabs>
        <w:ind w:left="4649" w:hanging="2721"/>
      </w:pPr>
      <w:r w:rsidRPr="00F11B28">
        <w:rPr>
          <w:i/>
          <w:iCs/>
          <w:rtl/>
        </w:rPr>
        <w:t>تاريخ اعتماد الآراء:</w:t>
      </w:r>
      <w:r>
        <w:rPr>
          <w:rtl/>
        </w:rPr>
        <w:tab/>
      </w:r>
      <w:r w:rsidRPr="00F11B28">
        <w:rPr>
          <w:rtl/>
        </w:rPr>
        <w:t>24</w:t>
      </w:r>
      <w:r w:rsidRPr="00407392">
        <w:rPr>
          <w:rtl/>
        </w:rPr>
        <w:t xml:space="preserve"> آذار/مارس </w:t>
      </w:r>
      <w:r w:rsidRPr="00F11B28">
        <w:rPr>
          <w:rtl/>
        </w:rPr>
        <w:t>2022</w:t>
      </w:r>
    </w:p>
    <w:p w14:paraId="7F2B3837" w14:textId="510EC9E5" w:rsidR="00407392" w:rsidRPr="00407392" w:rsidRDefault="00407392" w:rsidP="00407392">
      <w:pPr>
        <w:pStyle w:val="SingleTxtGA"/>
        <w:tabs>
          <w:tab w:val="clear" w:pos="1928"/>
          <w:tab w:val="clear" w:pos="2608"/>
          <w:tab w:val="clear" w:pos="3289"/>
          <w:tab w:val="clear" w:pos="3969"/>
          <w:tab w:val="clear" w:pos="4649"/>
          <w:tab w:val="clear" w:pos="5330"/>
        </w:tabs>
        <w:ind w:left="4649" w:hanging="2721"/>
      </w:pPr>
      <w:r w:rsidRPr="00F11B28">
        <w:rPr>
          <w:i/>
          <w:iCs/>
          <w:rtl/>
        </w:rPr>
        <w:t>الموضوع:</w:t>
      </w:r>
      <w:r>
        <w:rPr>
          <w:rtl/>
        </w:rPr>
        <w:tab/>
      </w:r>
      <w:r w:rsidRPr="00407392">
        <w:rPr>
          <w:rtl/>
        </w:rPr>
        <w:t>رفض السلطات الترخيص لاجتماعات؛ حرية التعبير</w:t>
      </w:r>
    </w:p>
    <w:p w14:paraId="38188DB7" w14:textId="00401337" w:rsidR="00407392" w:rsidRPr="00407392" w:rsidRDefault="00407392" w:rsidP="00407392">
      <w:pPr>
        <w:pStyle w:val="SingleTxtGA"/>
        <w:tabs>
          <w:tab w:val="clear" w:pos="1928"/>
          <w:tab w:val="clear" w:pos="2608"/>
          <w:tab w:val="clear" w:pos="3289"/>
          <w:tab w:val="clear" w:pos="3969"/>
          <w:tab w:val="clear" w:pos="4649"/>
          <w:tab w:val="clear" w:pos="5330"/>
        </w:tabs>
        <w:ind w:left="4649" w:hanging="2721"/>
      </w:pPr>
      <w:r w:rsidRPr="00F11B28">
        <w:rPr>
          <w:i/>
          <w:iCs/>
          <w:rtl/>
        </w:rPr>
        <w:t>المسائل الإجرائية:</w:t>
      </w:r>
      <w:r>
        <w:rPr>
          <w:rtl/>
        </w:rPr>
        <w:tab/>
      </w:r>
      <w:r w:rsidRPr="00407392">
        <w:rPr>
          <w:rtl/>
        </w:rPr>
        <w:t>استنفاد سبل الانتصاف الداخلية</w:t>
      </w:r>
    </w:p>
    <w:p w14:paraId="21018983" w14:textId="76F4DBB0" w:rsidR="00407392" w:rsidRPr="00407392" w:rsidRDefault="00407392" w:rsidP="00407392">
      <w:pPr>
        <w:pStyle w:val="SingleTxtGA"/>
        <w:tabs>
          <w:tab w:val="clear" w:pos="1928"/>
          <w:tab w:val="clear" w:pos="2608"/>
          <w:tab w:val="clear" w:pos="3289"/>
          <w:tab w:val="clear" w:pos="3969"/>
          <w:tab w:val="clear" w:pos="4649"/>
          <w:tab w:val="clear" w:pos="5330"/>
        </w:tabs>
        <w:ind w:left="4649" w:hanging="2721"/>
      </w:pPr>
      <w:r w:rsidRPr="00F11B28">
        <w:rPr>
          <w:i/>
          <w:iCs/>
          <w:rtl/>
        </w:rPr>
        <w:t>المسائل الموضوعية:</w:t>
      </w:r>
      <w:r>
        <w:rPr>
          <w:rtl/>
        </w:rPr>
        <w:tab/>
      </w:r>
      <w:r w:rsidRPr="00407392">
        <w:rPr>
          <w:rtl/>
        </w:rPr>
        <w:t xml:space="preserve">المحاكمة العادلة؛ حرية التجمع؛ حرية التعبير </w:t>
      </w:r>
    </w:p>
    <w:p w14:paraId="53052CDF" w14:textId="615B3581" w:rsidR="00407392" w:rsidRPr="00407392" w:rsidRDefault="00407392" w:rsidP="00407392">
      <w:pPr>
        <w:pStyle w:val="SingleTxtGA"/>
        <w:tabs>
          <w:tab w:val="clear" w:pos="1928"/>
          <w:tab w:val="clear" w:pos="2608"/>
          <w:tab w:val="clear" w:pos="3289"/>
          <w:tab w:val="clear" w:pos="3969"/>
          <w:tab w:val="clear" w:pos="4649"/>
          <w:tab w:val="clear" w:pos="5330"/>
        </w:tabs>
        <w:ind w:left="4649" w:hanging="2721"/>
      </w:pPr>
      <w:r w:rsidRPr="00F11B28">
        <w:rPr>
          <w:i/>
          <w:iCs/>
          <w:rtl/>
        </w:rPr>
        <w:t>مواد العهد:</w:t>
      </w:r>
      <w:r>
        <w:rPr>
          <w:rtl/>
        </w:rPr>
        <w:tab/>
      </w:r>
      <w:r w:rsidRPr="00F11B28">
        <w:rPr>
          <w:rtl/>
        </w:rPr>
        <w:t>14</w:t>
      </w:r>
      <w:r w:rsidRPr="00407392">
        <w:rPr>
          <w:rtl/>
        </w:rPr>
        <w:t>(</w:t>
      </w:r>
      <w:r w:rsidR="00F11B28" w:rsidRPr="00F11B28">
        <w:rPr>
          <w:color w:val="000000"/>
          <w:rtl/>
        </w:rPr>
        <w:t xml:space="preserve">1) </w:t>
      </w:r>
      <w:r w:rsidRPr="00407392">
        <w:rPr>
          <w:rtl/>
        </w:rPr>
        <w:t>و</w:t>
      </w:r>
      <w:r w:rsidRPr="00F11B28">
        <w:rPr>
          <w:rtl/>
        </w:rPr>
        <w:t>19</w:t>
      </w:r>
      <w:r w:rsidRPr="00407392">
        <w:rPr>
          <w:rtl/>
        </w:rPr>
        <w:t>(</w:t>
      </w:r>
      <w:r w:rsidR="00F11B28" w:rsidRPr="00F11B28">
        <w:rPr>
          <w:color w:val="000000"/>
          <w:rtl/>
        </w:rPr>
        <w:t xml:space="preserve">2) </w:t>
      </w:r>
      <w:r w:rsidRPr="00407392">
        <w:rPr>
          <w:rtl/>
        </w:rPr>
        <w:t>و</w:t>
      </w:r>
      <w:r w:rsidRPr="00F11B28">
        <w:rPr>
          <w:rtl/>
        </w:rPr>
        <w:t>21</w:t>
      </w:r>
    </w:p>
    <w:p w14:paraId="08974F64" w14:textId="1F85E871" w:rsidR="00407392" w:rsidRDefault="00407392" w:rsidP="00407392">
      <w:pPr>
        <w:pStyle w:val="SingleTxtGA"/>
        <w:tabs>
          <w:tab w:val="clear" w:pos="1928"/>
          <w:tab w:val="clear" w:pos="2608"/>
          <w:tab w:val="clear" w:pos="3289"/>
          <w:tab w:val="clear" w:pos="3969"/>
          <w:tab w:val="clear" w:pos="4649"/>
          <w:tab w:val="clear" w:pos="5330"/>
        </w:tabs>
        <w:ind w:left="4649" w:hanging="2721"/>
        <w:rPr>
          <w:rtl/>
        </w:rPr>
      </w:pPr>
      <w:r w:rsidRPr="00F11B28">
        <w:rPr>
          <w:i/>
          <w:iCs/>
          <w:rtl/>
        </w:rPr>
        <w:t xml:space="preserve">مواد البروتوكول </w:t>
      </w:r>
      <w:r w:rsidRPr="00F11B28">
        <w:rPr>
          <w:i/>
          <w:iCs/>
          <w:rtl/>
        </w:rPr>
        <w:t>الاختياري:</w:t>
      </w:r>
      <w:r>
        <w:rPr>
          <w:rtl/>
        </w:rPr>
        <w:tab/>
      </w:r>
      <w:r w:rsidRPr="00F11B28">
        <w:rPr>
          <w:rtl/>
        </w:rPr>
        <w:t>2</w:t>
      </w:r>
      <w:r>
        <w:rPr>
          <w:rtl/>
        </w:rPr>
        <w:t xml:space="preserve"> و</w:t>
      </w:r>
      <w:r w:rsidRPr="00F11B28">
        <w:rPr>
          <w:rtl/>
        </w:rPr>
        <w:t>3</w:t>
      </w:r>
      <w:r>
        <w:rPr>
          <w:rtl/>
        </w:rPr>
        <w:t xml:space="preserve"> و</w:t>
      </w:r>
      <w:r w:rsidRPr="00F11B28">
        <w:rPr>
          <w:rtl/>
        </w:rPr>
        <w:t>5</w:t>
      </w:r>
      <w:r>
        <w:rPr>
          <w:rtl/>
        </w:rPr>
        <w:t>(</w:t>
      </w:r>
      <w:r w:rsidRPr="00F11B28">
        <w:rPr>
          <w:rtl/>
        </w:rPr>
        <w:t>2</w:t>
      </w:r>
      <w:r>
        <w:rPr>
          <w:rtl/>
        </w:rPr>
        <w:t>)(ب)</w:t>
      </w:r>
    </w:p>
    <w:p w14:paraId="2FCD63C7" w14:textId="5CE159A6" w:rsidR="00407392" w:rsidRDefault="00407392" w:rsidP="00407392">
      <w:pPr>
        <w:pStyle w:val="SingleTxtGA"/>
      </w:pPr>
      <w:r w:rsidRPr="00F11B28">
        <w:rPr>
          <w:rtl/>
        </w:rPr>
        <w:t>1</w:t>
      </w:r>
      <w:r>
        <w:rPr>
          <w:rtl/>
        </w:rPr>
        <w:t>-</w:t>
      </w:r>
      <w:r>
        <w:rPr>
          <w:rtl/>
        </w:rPr>
        <w:tab/>
        <w:t xml:space="preserve">صاحب البلاغ هو السيد يوري </w:t>
      </w:r>
      <w:proofErr w:type="spellStart"/>
      <w:r>
        <w:rPr>
          <w:rtl/>
        </w:rPr>
        <w:t>بيلسكي</w:t>
      </w:r>
      <w:proofErr w:type="spellEnd"/>
      <w:r>
        <w:rPr>
          <w:rtl/>
        </w:rPr>
        <w:t xml:space="preserve">، وهو مواطن بيلاروسي وُلد عام </w:t>
      </w:r>
      <w:r w:rsidRPr="00F11B28">
        <w:rPr>
          <w:rtl/>
        </w:rPr>
        <w:t>196</w:t>
      </w:r>
      <w:r w:rsidR="00F11B28" w:rsidRPr="00F11B28">
        <w:rPr>
          <w:color w:val="000000"/>
          <w:rtl/>
        </w:rPr>
        <w:t xml:space="preserve">5. </w:t>
      </w:r>
      <w:r>
        <w:rPr>
          <w:rtl/>
        </w:rPr>
        <w:t xml:space="preserve">ويدّعي أن الدولة الطرف انتهكت حقوقه المكفولة بموجب المواد </w:t>
      </w:r>
      <w:r w:rsidRPr="00F11B28">
        <w:rPr>
          <w:rtl/>
        </w:rPr>
        <w:t>14</w:t>
      </w:r>
      <w:r>
        <w:rPr>
          <w:rtl/>
        </w:rPr>
        <w:t>(</w:t>
      </w:r>
      <w:r w:rsidR="00F11B28" w:rsidRPr="00F11B28">
        <w:rPr>
          <w:color w:val="000000"/>
          <w:rtl/>
        </w:rPr>
        <w:t xml:space="preserve">1) </w:t>
      </w:r>
      <w:r>
        <w:rPr>
          <w:rtl/>
        </w:rPr>
        <w:t>و</w:t>
      </w:r>
      <w:r w:rsidRPr="00F11B28">
        <w:rPr>
          <w:rtl/>
        </w:rPr>
        <w:t>19</w:t>
      </w:r>
      <w:r>
        <w:rPr>
          <w:rtl/>
        </w:rPr>
        <w:t>(</w:t>
      </w:r>
      <w:r w:rsidR="00F11B28" w:rsidRPr="00F11B28">
        <w:rPr>
          <w:color w:val="000000"/>
          <w:rtl/>
        </w:rPr>
        <w:t xml:space="preserve">2) </w:t>
      </w:r>
      <w:r>
        <w:rPr>
          <w:rtl/>
        </w:rPr>
        <w:t>و</w:t>
      </w:r>
      <w:r w:rsidRPr="00F11B28">
        <w:rPr>
          <w:rtl/>
        </w:rPr>
        <w:t>21</w:t>
      </w:r>
      <w:r>
        <w:rPr>
          <w:rtl/>
        </w:rPr>
        <w:t xml:space="preserve"> من العهد. وقد دخل البروتوكول الاختياري حيز النفاذ بالنسبة لبيلاروس في </w:t>
      </w:r>
      <w:r w:rsidRPr="00F11B28">
        <w:rPr>
          <w:rtl/>
        </w:rPr>
        <w:t>30</w:t>
      </w:r>
      <w:r>
        <w:rPr>
          <w:rtl/>
        </w:rPr>
        <w:t xml:space="preserve"> كانون الأول/ديسمبر </w:t>
      </w:r>
      <w:r w:rsidRPr="00F11B28">
        <w:rPr>
          <w:rtl/>
        </w:rPr>
        <w:t>199</w:t>
      </w:r>
      <w:r w:rsidR="00F11B28" w:rsidRPr="00F11B28">
        <w:rPr>
          <w:color w:val="000000"/>
          <w:rtl/>
        </w:rPr>
        <w:t xml:space="preserve">2. </w:t>
      </w:r>
      <w:r>
        <w:rPr>
          <w:rtl/>
        </w:rPr>
        <w:t>وهو لا يمثله محام أو محامية.</w:t>
      </w:r>
    </w:p>
    <w:p w14:paraId="7579A8D3" w14:textId="77777777" w:rsidR="00407392" w:rsidRPr="00F11B28" w:rsidRDefault="00407392" w:rsidP="006B1C07">
      <w:pPr>
        <w:pStyle w:val="H23GA"/>
      </w:pPr>
      <w:r w:rsidRPr="00F11B28">
        <w:rPr>
          <w:rtl/>
        </w:rPr>
        <w:lastRenderedPageBreak/>
        <w:tab/>
      </w:r>
      <w:r w:rsidRPr="00F11B28">
        <w:rPr>
          <w:rtl/>
        </w:rPr>
        <w:tab/>
        <w:t>الوقائع كما عرضها صاحب البلاغ</w:t>
      </w:r>
    </w:p>
    <w:p w14:paraId="574E9732" w14:textId="7FE06612" w:rsidR="00407392" w:rsidRDefault="00407392" w:rsidP="00407392">
      <w:pPr>
        <w:pStyle w:val="SingleTxtGA"/>
      </w:pPr>
      <w:r w:rsidRPr="00F11B28">
        <w:rPr>
          <w:rtl/>
        </w:rPr>
        <w:t>2</w:t>
      </w:r>
      <w:r>
        <w:rPr>
          <w:rtl/>
        </w:rPr>
        <w:t>-</w:t>
      </w:r>
      <w:r w:rsidRPr="00F11B28">
        <w:rPr>
          <w:rtl/>
        </w:rPr>
        <w:t>1</w:t>
      </w:r>
      <w:r>
        <w:rPr>
          <w:rtl/>
        </w:rPr>
        <w:tab/>
        <w:t xml:space="preserve">في </w:t>
      </w:r>
      <w:r w:rsidRPr="00F11B28">
        <w:rPr>
          <w:rtl/>
        </w:rPr>
        <w:t>4</w:t>
      </w:r>
      <w:r>
        <w:rPr>
          <w:rtl/>
        </w:rPr>
        <w:t xml:space="preserve"> كانون الأول/ديسمبر </w:t>
      </w:r>
      <w:r w:rsidRPr="00F11B28">
        <w:rPr>
          <w:rtl/>
        </w:rPr>
        <w:t>2014</w:t>
      </w:r>
      <w:r>
        <w:rPr>
          <w:rtl/>
        </w:rPr>
        <w:t xml:space="preserve">، قدّم صاحب البلاغ طلبات إلى إدارة شرطة المقاطعة، ومستشفى </w:t>
      </w:r>
      <w:proofErr w:type="spellStart"/>
      <w:r>
        <w:rPr>
          <w:rtl/>
        </w:rPr>
        <w:t>بولوتسك</w:t>
      </w:r>
      <w:proofErr w:type="spellEnd"/>
      <w:r>
        <w:rPr>
          <w:rtl/>
        </w:rPr>
        <w:t xml:space="preserve"> المركزي، ومجلس صيانة المساكن والمرافق العامة في </w:t>
      </w:r>
      <w:proofErr w:type="spellStart"/>
      <w:r>
        <w:rPr>
          <w:rtl/>
        </w:rPr>
        <w:t>بولوتسك</w:t>
      </w:r>
      <w:proofErr w:type="spellEnd"/>
      <w:r>
        <w:rPr>
          <w:rtl/>
        </w:rPr>
        <w:t xml:space="preserve"> للاستفادة من خدماتها أثناء الاعتصام السلمي المقرر في </w:t>
      </w:r>
      <w:r w:rsidRPr="00F11B28">
        <w:rPr>
          <w:rtl/>
        </w:rPr>
        <w:t>30</w:t>
      </w:r>
      <w:r>
        <w:rPr>
          <w:rtl/>
        </w:rPr>
        <w:t xml:space="preserve"> كانون الأول/ديسمبر </w:t>
      </w:r>
      <w:r w:rsidRPr="00F11B28">
        <w:rPr>
          <w:rtl/>
        </w:rPr>
        <w:t>2014</w:t>
      </w:r>
      <w:r>
        <w:rPr>
          <w:rtl/>
        </w:rPr>
        <w:t xml:space="preserve">، وبعده. ورفضت المؤسسات الثلاث جميعها تقديم خدماتها لعدد من الأسباب. وقد ردّ المستشفى المركزي بأن توفير الخدمات الطبية المدفوعة الأجر أثناء الأحداث الجماهيرية يخضع لقرار صادر عن مجلس وزراء بيلاروس ومن ثم لا يمكن توفيرها؛ ورفض مجلس صيانة المساكن والمرافق العامة في </w:t>
      </w:r>
      <w:proofErr w:type="spellStart"/>
      <w:r>
        <w:rPr>
          <w:rtl/>
        </w:rPr>
        <w:t>بولوتسك</w:t>
      </w:r>
      <w:proofErr w:type="spellEnd"/>
      <w:r>
        <w:rPr>
          <w:rtl/>
        </w:rPr>
        <w:t xml:space="preserve"> توفير خدماته بسبب أشغال إعادة التطوير المجتمعي الجارية</w:t>
      </w:r>
      <w:r w:rsidR="00F11B28" w:rsidRPr="00F11B28">
        <w:rPr>
          <w:rStyle w:val="FootnoteReference"/>
          <w:szCs w:val="22"/>
          <w:rtl/>
          <w:lang w:val="en-US"/>
        </w:rPr>
        <w:t>(</w:t>
      </w:r>
      <w:r w:rsidR="00F11B28" w:rsidRPr="00F11B28">
        <w:rPr>
          <w:rStyle w:val="FootnoteReference"/>
          <w:szCs w:val="22"/>
          <w:lang w:val="en-US"/>
        </w:rPr>
        <w:footnoteReference w:id="3"/>
      </w:r>
      <w:r w:rsidR="00F11B28" w:rsidRPr="00F11B28">
        <w:rPr>
          <w:color w:val="000000"/>
          <w:vertAlign w:val="superscript"/>
          <w:rtl/>
        </w:rPr>
        <w:t>)</w:t>
      </w:r>
      <w:r w:rsidR="00F11B28" w:rsidRPr="00F11B28">
        <w:rPr>
          <w:color w:val="000000"/>
          <w:rtl/>
        </w:rPr>
        <w:t xml:space="preserve">. </w:t>
      </w:r>
      <w:r>
        <w:rPr>
          <w:rtl/>
        </w:rPr>
        <w:t xml:space="preserve">أما إدارة شرطة المقاطعة فقد رفضت طلبه بسبب تزامن ذلك مع الأحداث الجماهيرية المقررة بمناسبة احتفالات رأس السنة الجديدة وعيد الميلاد. </w:t>
      </w:r>
    </w:p>
    <w:p w14:paraId="7D0B2C68" w14:textId="67956EB3" w:rsidR="00407392" w:rsidRDefault="00407392" w:rsidP="00407392">
      <w:pPr>
        <w:pStyle w:val="SingleTxtGA"/>
      </w:pPr>
      <w:r w:rsidRPr="00F11B28">
        <w:rPr>
          <w:rtl/>
        </w:rPr>
        <w:t>2</w:t>
      </w:r>
      <w:r>
        <w:rPr>
          <w:rtl/>
        </w:rPr>
        <w:t>-</w:t>
      </w:r>
      <w:r w:rsidRPr="00F11B28">
        <w:rPr>
          <w:rtl/>
        </w:rPr>
        <w:t>2</w:t>
      </w:r>
      <w:r>
        <w:rPr>
          <w:rtl/>
        </w:rPr>
        <w:tab/>
        <w:t xml:space="preserve">وفي </w:t>
      </w:r>
      <w:r w:rsidRPr="00F11B28">
        <w:rPr>
          <w:rtl/>
        </w:rPr>
        <w:t>15</w:t>
      </w:r>
      <w:r>
        <w:rPr>
          <w:rtl/>
        </w:rPr>
        <w:t xml:space="preserve"> كانون الأول/ديسمبر </w:t>
      </w:r>
      <w:r w:rsidRPr="00F11B28">
        <w:rPr>
          <w:rtl/>
        </w:rPr>
        <w:t>2014</w:t>
      </w:r>
      <w:r>
        <w:rPr>
          <w:rtl/>
        </w:rPr>
        <w:t>، قدّم صاحب البلاغ طلب</w:t>
      </w:r>
      <w:r w:rsidR="006B1C07">
        <w:rPr>
          <w:rtl/>
        </w:rPr>
        <w:t xml:space="preserve">اً </w:t>
      </w:r>
      <w:r>
        <w:rPr>
          <w:rtl/>
        </w:rPr>
        <w:t xml:space="preserve">إلى اللجنة التنفيذية لمقاطعة </w:t>
      </w:r>
      <w:proofErr w:type="spellStart"/>
      <w:r>
        <w:rPr>
          <w:rtl/>
        </w:rPr>
        <w:t>بولوتسك</w:t>
      </w:r>
      <w:proofErr w:type="spellEnd"/>
      <w:r>
        <w:rPr>
          <w:rtl/>
        </w:rPr>
        <w:t xml:space="preserve"> من أجل الترخيص له بتنظيم اعتصام سلمي في </w:t>
      </w:r>
      <w:r w:rsidRPr="00F11B28">
        <w:rPr>
          <w:rtl/>
        </w:rPr>
        <w:t>30</w:t>
      </w:r>
      <w:r>
        <w:rPr>
          <w:rtl/>
        </w:rPr>
        <w:t xml:space="preserve"> كانون الأول/ديسمبر </w:t>
      </w:r>
      <w:r w:rsidRPr="00F11B28">
        <w:rPr>
          <w:rtl/>
        </w:rPr>
        <w:t>2014</w:t>
      </w:r>
      <w:r>
        <w:rPr>
          <w:rtl/>
        </w:rPr>
        <w:t xml:space="preserve"> بغرض جمع التوقيعات لدعم إنشاء جمعية عامة لحماية حقوق المستهلكين</w:t>
      </w:r>
      <w:r w:rsidR="00F11B28" w:rsidRPr="00F11B28">
        <w:rPr>
          <w:rStyle w:val="FootnoteReference"/>
          <w:szCs w:val="22"/>
          <w:rtl/>
          <w:lang w:val="en-US"/>
        </w:rPr>
        <w:t>(</w:t>
      </w:r>
      <w:r w:rsidR="00F11B28" w:rsidRPr="00F11B28">
        <w:rPr>
          <w:rStyle w:val="FootnoteReference"/>
          <w:szCs w:val="22"/>
          <w:lang w:val="en-US"/>
        </w:rPr>
        <w:footnoteReference w:id="4"/>
      </w:r>
      <w:r w:rsidR="00F11B28" w:rsidRPr="00F11B28">
        <w:rPr>
          <w:color w:val="000000"/>
          <w:vertAlign w:val="superscript"/>
          <w:rtl/>
        </w:rPr>
        <w:t>)</w:t>
      </w:r>
      <w:r w:rsidR="00F11B28" w:rsidRPr="00F11B28">
        <w:rPr>
          <w:color w:val="000000"/>
          <w:rtl/>
        </w:rPr>
        <w:t xml:space="preserve">. </w:t>
      </w:r>
      <w:r>
        <w:rPr>
          <w:rtl/>
        </w:rPr>
        <w:t>وكان من المقرر أن ينظّم الاعتصام السلمي بالقرب من دار السينما "رودينا"، وهو موقع سبق أن حددته اللجنة التنفيذية كمنطقة مخصصة تحديد</w:t>
      </w:r>
      <w:r w:rsidR="006B1C07">
        <w:rPr>
          <w:rtl/>
        </w:rPr>
        <w:t xml:space="preserve">اً </w:t>
      </w:r>
      <w:r>
        <w:rPr>
          <w:rtl/>
        </w:rPr>
        <w:t xml:space="preserve">لتنظيم التجمعات السلمية في المدينة. </w:t>
      </w:r>
    </w:p>
    <w:p w14:paraId="30B38A6B" w14:textId="77777777" w:rsidR="00407392" w:rsidRDefault="00407392" w:rsidP="00407392">
      <w:pPr>
        <w:pStyle w:val="SingleTxtGA"/>
      </w:pPr>
      <w:r w:rsidRPr="00F11B28">
        <w:rPr>
          <w:rtl/>
        </w:rPr>
        <w:t>2</w:t>
      </w:r>
      <w:r>
        <w:rPr>
          <w:rtl/>
        </w:rPr>
        <w:t>-</w:t>
      </w:r>
      <w:r w:rsidRPr="00F11B28">
        <w:rPr>
          <w:rtl/>
        </w:rPr>
        <w:t>3</w:t>
      </w:r>
      <w:r>
        <w:rPr>
          <w:rtl/>
        </w:rPr>
        <w:tab/>
      </w:r>
      <w:r w:rsidRPr="006B1C07">
        <w:rPr>
          <w:spacing w:val="-4"/>
          <w:rtl/>
        </w:rPr>
        <w:t xml:space="preserve">وفي </w:t>
      </w:r>
      <w:r w:rsidRPr="00F11B28">
        <w:rPr>
          <w:spacing w:val="-4"/>
          <w:rtl/>
        </w:rPr>
        <w:t>24</w:t>
      </w:r>
      <w:r w:rsidRPr="006B1C07">
        <w:rPr>
          <w:spacing w:val="-4"/>
          <w:rtl/>
        </w:rPr>
        <w:t xml:space="preserve"> كانون الأول/ديسمبر </w:t>
      </w:r>
      <w:r w:rsidRPr="00F11B28">
        <w:rPr>
          <w:spacing w:val="-4"/>
          <w:rtl/>
        </w:rPr>
        <w:t>2014</w:t>
      </w:r>
      <w:r w:rsidRPr="006B1C07">
        <w:rPr>
          <w:spacing w:val="-4"/>
          <w:rtl/>
        </w:rPr>
        <w:t>، رفضت اللجنة التنفيذية للمقاطعة الترخيص بتنظيم الاعتصام</w:t>
      </w:r>
      <w:r>
        <w:rPr>
          <w:rtl/>
        </w:rPr>
        <w:t xml:space="preserve"> </w:t>
      </w:r>
      <w:r w:rsidRPr="006B1C07">
        <w:rPr>
          <w:spacing w:val="-4"/>
          <w:rtl/>
        </w:rPr>
        <w:t>لأن صاحب البلاغ لم يحصل على الدعم اللازم من إدارة شرطة المقاطعة لضمان الأمن والنظام العام ومن</w:t>
      </w:r>
      <w:r>
        <w:rPr>
          <w:rtl/>
        </w:rPr>
        <w:t xml:space="preserve"> مستشفى </w:t>
      </w:r>
      <w:proofErr w:type="spellStart"/>
      <w:r>
        <w:rPr>
          <w:rtl/>
        </w:rPr>
        <w:t>بولوتسك</w:t>
      </w:r>
      <w:proofErr w:type="spellEnd"/>
      <w:r>
        <w:rPr>
          <w:rtl/>
        </w:rPr>
        <w:t xml:space="preserve"> المركزي لتوفير الخدمات الطبية أثناء الاعتصام، كما ينص على ذلك القرار رقم </w:t>
      </w:r>
      <w:r w:rsidRPr="00F11B28">
        <w:rPr>
          <w:rtl/>
        </w:rPr>
        <w:t>167</w:t>
      </w:r>
      <w:r>
        <w:rPr>
          <w:rtl/>
        </w:rPr>
        <w:t xml:space="preserve"> المؤرخ </w:t>
      </w:r>
      <w:r w:rsidRPr="00F11B28">
        <w:rPr>
          <w:rtl/>
        </w:rPr>
        <w:t>15</w:t>
      </w:r>
      <w:r>
        <w:rPr>
          <w:rtl/>
        </w:rPr>
        <w:t xml:space="preserve"> آذار/مارس </w:t>
      </w:r>
      <w:r w:rsidRPr="00F11B28">
        <w:rPr>
          <w:rtl/>
        </w:rPr>
        <w:t>2013</w:t>
      </w:r>
      <w:r>
        <w:rPr>
          <w:rtl/>
        </w:rPr>
        <w:t xml:space="preserve"> "بشأن الأحداث الجماهيرية".</w:t>
      </w:r>
    </w:p>
    <w:p w14:paraId="72D1EF6D" w14:textId="77777777" w:rsidR="00407392" w:rsidRDefault="00407392" w:rsidP="00407392">
      <w:pPr>
        <w:pStyle w:val="SingleTxtGA"/>
      </w:pPr>
      <w:r w:rsidRPr="00F11B28">
        <w:rPr>
          <w:rtl/>
        </w:rPr>
        <w:t>2</w:t>
      </w:r>
      <w:r>
        <w:rPr>
          <w:rtl/>
        </w:rPr>
        <w:t>-</w:t>
      </w:r>
      <w:r w:rsidRPr="00F11B28">
        <w:rPr>
          <w:rtl/>
        </w:rPr>
        <w:t>4</w:t>
      </w:r>
      <w:r>
        <w:rPr>
          <w:rtl/>
        </w:rPr>
        <w:tab/>
        <w:t xml:space="preserve">وفي </w:t>
      </w:r>
      <w:r w:rsidRPr="00F11B28">
        <w:rPr>
          <w:rtl/>
        </w:rPr>
        <w:t>15</w:t>
      </w:r>
      <w:r>
        <w:rPr>
          <w:rtl/>
        </w:rPr>
        <w:t xml:space="preserve"> كانون الثاني/يناير </w:t>
      </w:r>
      <w:r w:rsidRPr="00F11B28">
        <w:rPr>
          <w:rtl/>
        </w:rPr>
        <w:t>2015</w:t>
      </w:r>
      <w:r>
        <w:rPr>
          <w:rtl/>
        </w:rPr>
        <w:t xml:space="preserve">، استأنف صاحب البلاغ قرار اللجنة التنفيذية للمقاطعة لدى محكمة </w:t>
      </w:r>
      <w:proofErr w:type="spellStart"/>
      <w:r>
        <w:rPr>
          <w:rtl/>
        </w:rPr>
        <w:t>بولوتسك</w:t>
      </w:r>
      <w:proofErr w:type="spellEnd"/>
      <w:r>
        <w:rPr>
          <w:rtl/>
        </w:rPr>
        <w:t xml:space="preserve"> المحلية مدعياً انتهاك حقوقه في حرية التعبير والتجمع السلمي المكفولة بدستور بيلاروس وبالمادتين </w:t>
      </w:r>
      <w:r w:rsidRPr="00F11B28">
        <w:rPr>
          <w:rtl/>
        </w:rPr>
        <w:t>19</w:t>
      </w:r>
      <w:r>
        <w:rPr>
          <w:rtl/>
        </w:rPr>
        <w:t xml:space="preserve"> و</w:t>
      </w:r>
      <w:r w:rsidRPr="00F11B28">
        <w:rPr>
          <w:rtl/>
        </w:rPr>
        <w:t>21</w:t>
      </w:r>
      <w:r>
        <w:rPr>
          <w:rtl/>
        </w:rPr>
        <w:t xml:space="preserve"> من العهد. وفي </w:t>
      </w:r>
      <w:r w:rsidRPr="00F11B28">
        <w:rPr>
          <w:rtl/>
        </w:rPr>
        <w:t>9</w:t>
      </w:r>
      <w:r>
        <w:rPr>
          <w:rtl/>
        </w:rPr>
        <w:t xml:space="preserve"> شباط/فبراير </w:t>
      </w:r>
      <w:r w:rsidRPr="00F11B28">
        <w:rPr>
          <w:rtl/>
        </w:rPr>
        <w:t>2015</w:t>
      </w:r>
      <w:r>
        <w:rPr>
          <w:rtl/>
        </w:rPr>
        <w:t xml:space="preserve">، خلصت المحكمة إلى أن قرار اللجنة التنفيذية امتثل أحكام القانون المتعلق بالأحداث الجماهيرية العامة، ورفضت من ثم الاستئناف. </w:t>
      </w:r>
    </w:p>
    <w:p w14:paraId="7ADB3084" w14:textId="30F717C3" w:rsidR="00407392" w:rsidRDefault="00407392" w:rsidP="00407392">
      <w:pPr>
        <w:pStyle w:val="SingleTxtGA"/>
      </w:pPr>
      <w:r w:rsidRPr="00F11B28">
        <w:rPr>
          <w:rtl/>
        </w:rPr>
        <w:t>2</w:t>
      </w:r>
      <w:r>
        <w:rPr>
          <w:rtl/>
        </w:rPr>
        <w:t>-</w:t>
      </w:r>
      <w:r w:rsidRPr="00F11B28">
        <w:rPr>
          <w:rtl/>
        </w:rPr>
        <w:t>5</w:t>
      </w:r>
      <w:r>
        <w:rPr>
          <w:rtl/>
        </w:rPr>
        <w:tab/>
        <w:t xml:space="preserve">وفي </w:t>
      </w:r>
      <w:r w:rsidRPr="00F11B28">
        <w:rPr>
          <w:rtl/>
        </w:rPr>
        <w:t>9</w:t>
      </w:r>
      <w:r>
        <w:rPr>
          <w:rtl/>
        </w:rPr>
        <w:t xml:space="preserve"> آذار/مارس </w:t>
      </w:r>
      <w:r w:rsidRPr="00F11B28">
        <w:rPr>
          <w:rtl/>
        </w:rPr>
        <w:t>2015</w:t>
      </w:r>
      <w:r>
        <w:rPr>
          <w:rtl/>
        </w:rPr>
        <w:t>، قدّم صاحب البلاغ طعن</w:t>
      </w:r>
      <w:r w:rsidR="006B1C07">
        <w:rPr>
          <w:rtl/>
        </w:rPr>
        <w:t xml:space="preserve">اً </w:t>
      </w:r>
      <w:r>
        <w:rPr>
          <w:rtl/>
        </w:rPr>
        <w:t xml:space="preserve">بنقض قرار محكمة </w:t>
      </w:r>
      <w:proofErr w:type="spellStart"/>
      <w:r>
        <w:rPr>
          <w:rtl/>
        </w:rPr>
        <w:t>بولوتسك</w:t>
      </w:r>
      <w:proofErr w:type="spellEnd"/>
      <w:r>
        <w:rPr>
          <w:rtl/>
        </w:rPr>
        <w:t xml:space="preserve"> المحلية أمام محكمة </w:t>
      </w:r>
      <w:proofErr w:type="spellStart"/>
      <w:r>
        <w:rPr>
          <w:rtl/>
        </w:rPr>
        <w:t>فيتبسك</w:t>
      </w:r>
      <w:proofErr w:type="spellEnd"/>
      <w:r>
        <w:rPr>
          <w:rtl/>
        </w:rPr>
        <w:t xml:space="preserve"> الإقليمية، وقد رُفض في </w:t>
      </w:r>
      <w:r w:rsidRPr="00F11B28">
        <w:rPr>
          <w:rtl/>
        </w:rPr>
        <w:t>9</w:t>
      </w:r>
      <w:r>
        <w:rPr>
          <w:rtl/>
        </w:rPr>
        <w:t xml:space="preserve"> نيسان/أبريل </w:t>
      </w:r>
      <w:r w:rsidRPr="00F11B28">
        <w:rPr>
          <w:rtl/>
        </w:rPr>
        <w:t>201</w:t>
      </w:r>
      <w:r w:rsidR="00F11B28" w:rsidRPr="00F11B28">
        <w:rPr>
          <w:color w:val="000000"/>
          <w:rtl/>
        </w:rPr>
        <w:t xml:space="preserve">5. </w:t>
      </w:r>
    </w:p>
    <w:p w14:paraId="45E124F9" w14:textId="77777777" w:rsidR="00407392" w:rsidRDefault="00407392" w:rsidP="00407392">
      <w:pPr>
        <w:pStyle w:val="SingleTxtGA"/>
      </w:pPr>
      <w:r w:rsidRPr="00F11B28">
        <w:rPr>
          <w:rtl/>
        </w:rPr>
        <w:t>2</w:t>
      </w:r>
      <w:r>
        <w:rPr>
          <w:rtl/>
        </w:rPr>
        <w:t>-</w:t>
      </w:r>
      <w:r w:rsidRPr="00F11B28">
        <w:rPr>
          <w:rtl/>
        </w:rPr>
        <w:t>6</w:t>
      </w:r>
      <w:r>
        <w:rPr>
          <w:rtl/>
        </w:rPr>
        <w:tab/>
      </w:r>
      <w:r w:rsidRPr="006B1C07">
        <w:rPr>
          <w:spacing w:val="-4"/>
          <w:rtl/>
        </w:rPr>
        <w:t>وطعون أخرى قدمها صاحب البلاغ بموجب إجراءات المراجعة القضائية الرقابية إلى رئيس محكمة</w:t>
      </w:r>
      <w:r>
        <w:rPr>
          <w:rtl/>
        </w:rPr>
        <w:t xml:space="preserve"> </w:t>
      </w:r>
      <w:proofErr w:type="spellStart"/>
      <w:r>
        <w:rPr>
          <w:rtl/>
        </w:rPr>
        <w:t>فيتبسك</w:t>
      </w:r>
      <w:proofErr w:type="spellEnd"/>
      <w:r>
        <w:rPr>
          <w:rtl/>
        </w:rPr>
        <w:t xml:space="preserve"> الإقليمية في </w:t>
      </w:r>
      <w:r w:rsidRPr="00F11B28">
        <w:rPr>
          <w:rtl/>
        </w:rPr>
        <w:t>9</w:t>
      </w:r>
      <w:r>
        <w:rPr>
          <w:rtl/>
        </w:rPr>
        <w:t xml:space="preserve"> تموز/يوليه </w:t>
      </w:r>
      <w:r w:rsidRPr="00F11B28">
        <w:rPr>
          <w:rtl/>
        </w:rPr>
        <w:t>2015</w:t>
      </w:r>
      <w:r>
        <w:rPr>
          <w:rtl/>
        </w:rPr>
        <w:t xml:space="preserve">، وإلى رئيس المحكمة العليا في </w:t>
      </w:r>
      <w:r w:rsidRPr="00F11B28">
        <w:rPr>
          <w:rtl/>
        </w:rPr>
        <w:t>16</w:t>
      </w:r>
      <w:r>
        <w:rPr>
          <w:rtl/>
        </w:rPr>
        <w:t xml:space="preserve"> أيلول/سبتمبر </w:t>
      </w:r>
      <w:r w:rsidRPr="00F11B28">
        <w:rPr>
          <w:rtl/>
        </w:rPr>
        <w:t>2015</w:t>
      </w:r>
      <w:r>
        <w:rPr>
          <w:rtl/>
        </w:rPr>
        <w:t xml:space="preserve">، رُفضت في </w:t>
      </w:r>
      <w:r w:rsidRPr="00F11B28">
        <w:rPr>
          <w:rtl/>
        </w:rPr>
        <w:t>3</w:t>
      </w:r>
      <w:r>
        <w:rPr>
          <w:rtl/>
        </w:rPr>
        <w:t xml:space="preserve"> آب/أغسطس، و</w:t>
      </w:r>
      <w:r w:rsidRPr="00F11B28">
        <w:rPr>
          <w:rtl/>
        </w:rPr>
        <w:t>2</w:t>
      </w:r>
      <w:r>
        <w:rPr>
          <w:rtl/>
        </w:rPr>
        <w:t xml:space="preserve"> تشرين الثاني/نوفمبر </w:t>
      </w:r>
      <w:r w:rsidRPr="00F11B28">
        <w:rPr>
          <w:rtl/>
        </w:rPr>
        <w:t>2015</w:t>
      </w:r>
      <w:r>
        <w:rPr>
          <w:rtl/>
        </w:rPr>
        <w:t xml:space="preserve">، على التوالي. </w:t>
      </w:r>
    </w:p>
    <w:p w14:paraId="69544962" w14:textId="77777777" w:rsidR="00407392" w:rsidRDefault="00407392" w:rsidP="00407392">
      <w:pPr>
        <w:pStyle w:val="SingleTxtGA"/>
      </w:pPr>
      <w:r w:rsidRPr="00F11B28">
        <w:rPr>
          <w:rtl/>
        </w:rPr>
        <w:t>2</w:t>
      </w:r>
      <w:r>
        <w:rPr>
          <w:rtl/>
        </w:rPr>
        <w:t>-</w:t>
      </w:r>
      <w:r w:rsidRPr="00F11B28">
        <w:rPr>
          <w:rtl/>
        </w:rPr>
        <w:t>7</w:t>
      </w:r>
      <w:r>
        <w:rPr>
          <w:rtl/>
        </w:rPr>
        <w:tab/>
        <w:t xml:space="preserve">ويدفع صاحب البلاغ </w:t>
      </w:r>
      <w:bookmarkStart w:id="0" w:name="_GoBack"/>
      <w:bookmarkEnd w:id="0"/>
      <w:r>
        <w:rPr>
          <w:rtl/>
        </w:rPr>
        <w:t xml:space="preserve">بأنه استنفد جميع سبل الانتصاف المحلية المتاحة والفعالة. </w:t>
      </w:r>
    </w:p>
    <w:p w14:paraId="61902824" w14:textId="77777777" w:rsidR="00407392" w:rsidRPr="00F11B28" w:rsidRDefault="00407392" w:rsidP="006B1C07">
      <w:pPr>
        <w:pStyle w:val="H23GA"/>
      </w:pPr>
      <w:r w:rsidRPr="00F11B28">
        <w:rPr>
          <w:rtl/>
        </w:rPr>
        <w:tab/>
      </w:r>
      <w:r w:rsidRPr="00F11B28">
        <w:rPr>
          <w:rtl/>
        </w:rPr>
        <w:tab/>
        <w:t>الشكوى</w:t>
      </w:r>
    </w:p>
    <w:p w14:paraId="7260CA5C" w14:textId="60C69665" w:rsidR="00407392" w:rsidRDefault="00407392" w:rsidP="00407392">
      <w:pPr>
        <w:pStyle w:val="SingleTxtGA"/>
      </w:pPr>
      <w:r w:rsidRPr="00F11B28">
        <w:rPr>
          <w:rtl/>
        </w:rPr>
        <w:t>3</w:t>
      </w:r>
      <w:r>
        <w:rPr>
          <w:rtl/>
        </w:rPr>
        <w:t>-</w:t>
      </w:r>
      <w:r w:rsidRPr="00F11B28">
        <w:rPr>
          <w:rtl/>
        </w:rPr>
        <w:t>1</w:t>
      </w:r>
      <w:r>
        <w:rPr>
          <w:rtl/>
        </w:rPr>
        <w:tab/>
      </w:r>
      <w:r w:rsidRPr="006B1C07">
        <w:rPr>
          <w:spacing w:val="-4"/>
          <w:rtl/>
        </w:rPr>
        <w:t>يدّعي صاحب البلاغ أن حقه في حرية التعبير والتجمع قد قُيّد، مما يشكّل انتهاك</w:t>
      </w:r>
      <w:r w:rsidR="006B1C07">
        <w:rPr>
          <w:spacing w:val="-4"/>
          <w:rtl/>
        </w:rPr>
        <w:t xml:space="preserve">اً </w:t>
      </w:r>
      <w:r w:rsidRPr="006B1C07">
        <w:rPr>
          <w:spacing w:val="-4"/>
          <w:rtl/>
        </w:rPr>
        <w:t xml:space="preserve">للمادتين </w:t>
      </w:r>
      <w:r w:rsidRPr="00F11B28">
        <w:rPr>
          <w:spacing w:val="-4"/>
          <w:rtl/>
        </w:rPr>
        <w:t>19</w:t>
      </w:r>
      <w:r w:rsidRPr="006B1C07">
        <w:rPr>
          <w:spacing w:val="-4"/>
          <w:rtl/>
        </w:rPr>
        <w:t>(</w:t>
      </w:r>
      <w:r w:rsidR="00F11B28" w:rsidRPr="00F11B28">
        <w:rPr>
          <w:color w:val="000000"/>
          <w:spacing w:val="-4"/>
          <w:rtl/>
        </w:rPr>
        <w:t xml:space="preserve">2) </w:t>
      </w:r>
      <w:r>
        <w:rPr>
          <w:rtl/>
        </w:rPr>
        <w:t>و</w:t>
      </w:r>
      <w:r w:rsidRPr="00F11B28">
        <w:rPr>
          <w:rtl/>
        </w:rPr>
        <w:t>21</w:t>
      </w:r>
      <w:r>
        <w:rPr>
          <w:rtl/>
        </w:rPr>
        <w:t xml:space="preserve"> من العهد، حيث لم يرخص له بتنظيم اعتصام سلمي لجمع التوقيعات بهدف دعم إنشاء جمعية عامة لحماية حقوق المستهلكين. </w:t>
      </w:r>
    </w:p>
    <w:p w14:paraId="06403119" w14:textId="1BBAAB98" w:rsidR="00407392" w:rsidRPr="006B1C07" w:rsidRDefault="00407392" w:rsidP="00407392">
      <w:pPr>
        <w:pStyle w:val="SingleTxtGA"/>
        <w:rPr>
          <w:spacing w:val="-4"/>
        </w:rPr>
      </w:pPr>
      <w:r w:rsidRPr="00F11B28">
        <w:rPr>
          <w:rtl/>
        </w:rPr>
        <w:lastRenderedPageBreak/>
        <w:t>3</w:t>
      </w:r>
      <w:r>
        <w:rPr>
          <w:rtl/>
        </w:rPr>
        <w:t>-</w:t>
      </w:r>
      <w:r w:rsidRPr="00F11B28">
        <w:rPr>
          <w:rtl/>
        </w:rPr>
        <w:t>2</w:t>
      </w:r>
      <w:r>
        <w:rPr>
          <w:rtl/>
        </w:rPr>
        <w:tab/>
      </w:r>
      <w:r w:rsidRPr="006B1C07">
        <w:rPr>
          <w:spacing w:val="-4"/>
          <w:rtl/>
        </w:rPr>
        <w:t>ويدّعي صاحب البلاغ أيض</w:t>
      </w:r>
      <w:r w:rsidR="006B1C07">
        <w:rPr>
          <w:spacing w:val="-4"/>
          <w:rtl/>
        </w:rPr>
        <w:t xml:space="preserve">اً </w:t>
      </w:r>
      <w:r w:rsidRPr="006B1C07">
        <w:rPr>
          <w:spacing w:val="-4"/>
          <w:rtl/>
        </w:rPr>
        <w:t xml:space="preserve">حدوث انتهاك للمادة </w:t>
      </w:r>
      <w:r w:rsidRPr="00F11B28">
        <w:rPr>
          <w:spacing w:val="-4"/>
          <w:rtl/>
        </w:rPr>
        <w:t>14</w:t>
      </w:r>
      <w:r w:rsidRPr="006B1C07">
        <w:rPr>
          <w:spacing w:val="-4"/>
          <w:rtl/>
        </w:rPr>
        <w:t>(</w:t>
      </w:r>
      <w:r w:rsidR="00F11B28" w:rsidRPr="00F11B28">
        <w:rPr>
          <w:color w:val="000000"/>
          <w:spacing w:val="-4"/>
          <w:rtl/>
        </w:rPr>
        <w:t xml:space="preserve">1) </w:t>
      </w:r>
      <w:r w:rsidRPr="006B1C07">
        <w:rPr>
          <w:spacing w:val="-4"/>
          <w:rtl/>
        </w:rPr>
        <w:t>من العهد، مشير</w:t>
      </w:r>
      <w:r w:rsidR="006B1C07">
        <w:rPr>
          <w:spacing w:val="-4"/>
          <w:rtl/>
        </w:rPr>
        <w:t xml:space="preserve">اً </w:t>
      </w:r>
      <w:r w:rsidRPr="006B1C07">
        <w:rPr>
          <w:spacing w:val="-4"/>
          <w:rtl/>
        </w:rPr>
        <w:t xml:space="preserve">إلى أن المحاكم لم تكن نزيهة ومحايدة ومختصة، وأن قراراتها تأثرت بالسلطة التنفيذية بما يتعارض مع الالتزامات الدولية لبيلاروس. </w:t>
      </w:r>
    </w:p>
    <w:p w14:paraId="67A8415B" w14:textId="77777777" w:rsidR="00407392" w:rsidRDefault="00407392" w:rsidP="00407392">
      <w:pPr>
        <w:pStyle w:val="SingleTxtGA"/>
      </w:pPr>
      <w:r w:rsidRPr="00F11B28">
        <w:rPr>
          <w:rtl/>
        </w:rPr>
        <w:t>3</w:t>
      </w:r>
      <w:r>
        <w:rPr>
          <w:rtl/>
        </w:rPr>
        <w:t>-</w:t>
      </w:r>
      <w:r w:rsidRPr="00F11B28">
        <w:rPr>
          <w:rtl/>
        </w:rPr>
        <w:t>3</w:t>
      </w:r>
      <w:r>
        <w:rPr>
          <w:rtl/>
        </w:rPr>
        <w:tab/>
      </w:r>
      <w:r w:rsidRPr="00A42A0B">
        <w:rPr>
          <w:spacing w:val="-2"/>
          <w:rtl/>
        </w:rPr>
        <w:t>ويطلب صاحب البلاغ إلى اللجنة أن توصي الدولة الطرف بمواءمة تشريعاتها التي تنظم حرية التعبير</w:t>
      </w:r>
      <w:r w:rsidRPr="006B1C07">
        <w:rPr>
          <w:spacing w:val="-4"/>
          <w:rtl/>
        </w:rPr>
        <w:t xml:space="preserve"> والتجمع السلمي مع المعايير الدولية المنصوص عليها في المادتين </w:t>
      </w:r>
      <w:r w:rsidRPr="00F11B28">
        <w:rPr>
          <w:spacing w:val="-4"/>
          <w:rtl/>
        </w:rPr>
        <w:t>19</w:t>
      </w:r>
      <w:r w:rsidRPr="006B1C07">
        <w:rPr>
          <w:spacing w:val="-4"/>
          <w:rtl/>
        </w:rPr>
        <w:t xml:space="preserve"> و</w:t>
      </w:r>
      <w:r w:rsidRPr="00F11B28">
        <w:rPr>
          <w:spacing w:val="-4"/>
          <w:rtl/>
        </w:rPr>
        <w:t>21</w:t>
      </w:r>
      <w:r w:rsidRPr="006B1C07">
        <w:rPr>
          <w:spacing w:val="-4"/>
          <w:rtl/>
        </w:rPr>
        <w:t xml:space="preserve"> من العهد؛ ومنع حدوث</w:t>
      </w:r>
      <w:r>
        <w:rPr>
          <w:rtl/>
        </w:rPr>
        <w:t xml:space="preserve"> انتهاكات مماثلة في المستقبل؛ وتقديم جبر مالي ومعنوي مناسب لأصحاب البلاغ.</w:t>
      </w:r>
    </w:p>
    <w:p w14:paraId="3CE01F85" w14:textId="77777777" w:rsidR="00407392" w:rsidRPr="00F11B28" w:rsidRDefault="00407392" w:rsidP="006B1C07">
      <w:pPr>
        <w:pStyle w:val="H23GA"/>
      </w:pPr>
      <w:r w:rsidRPr="00F11B28">
        <w:rPr>
          <w:rtl/>
        </w:rPr>
        <w:tab/>
      </w:r>
      <w:r w:rsidRPr="00F11B28">
        <w:rPr>
          <w:rtl/>
        </w:rPr>
        <w:tab/>
        <w:t>ملاحظات الدولة الطرف بشأن مقبولية البلاغ وأسسه الموضوعية</w:t>
      </w:r>
    </w:p>
    <w:p w14:paraId="7D25F486" w14:textId="6162515F" w:rsidR="00407392" w:rsidRDefault="00407392" w:rsidP="00407392">
      <w:pPr>
        <w:pStyle w:val="SingleTxtGA"/>
      </w:pPr>
      <w:r w:rsidRPr="00F11B28">
        <w:rPr>
          <w:rtl/>
        </w:rPr>
        <w:t>4</w:t>
      </w:r>
      <w:r>
        <w:rPr>
          <w:rtl/>
        </w:rPr>
        <w:t>-</w:t>
      </w:r>
      <w:r w:rsidRPr="00F11B28">
        <w:rPr>
          <w:rtl/>
        </w:rPr>
        <w:t>1</w:t>
      </w:r>
      <w:r>
        <w:rPr>
          <w:rtl/>
        </w:rPr>
        <w:tab/>
      </w:r>
      <w:r w:rsidRPr="006B1C07">
        <w:rPr>
          <w:spacing w:val="-4"/>
          <w:rtl/>
        </w:rPr>
        <w:t xml:space="preserve">في مذكرة شفوية مؤرخة </w:t>
      </w:r>
      <w:r w:rsidRPr="00F11B28">
        <w:rPr>
          <w:spacing w:val="-4"/>
          <w:rtl/>
        </w:rPr>
        <w:t>10</w:t>
      </w:r>
      <w:r w:rsidRPr="006B1C07">
        <w:rPr>
          <w:spacing w:val="-4"/>
          <w:rtl/>
        </w:rPr>
        <w:t xml:space="preserve"> آب/أغسطس </w:t>
      </w:r>
      <w:r w:rsidRPr="00F11B28">
        <w:rPr>
          <w:spacing w:val="-4"/>
          <w:rtl/>
        </w:rPr>
        <w:t>2016</w:t>
      </w:r>
      <w:r w:rsidRPr="006B1C07">
        <w:rPr>
          <w:spacing w:val="-4"/>
          <w:rtl/>
        </w:rPr>
        <w:t>، قدّمت الدولة الطرف ملاحظاتها بشأن المقبولية</w:t>
      </w:r>
      <w:r>
        <w:rPr>
          <w:rtl/>
        </w:rPr>
        <w:t xml:space="preserve"> والأسس الموضوعية للبلاغ وأشارت إلى أن اللجنة التنفيذية لمقاطعة </w:t>
      </w:r>
      <w:proofErr w:type="spellStart"/>
      <w:r>
        <w:rPr>
          <w:rtl/>
        </w:rPr>
        <w:t>بولوتسك</w:t>
      </w:r>
      <w:proofErr w:type="spellEnd"/>
      <w:r>
        <w:rPr>
          <w:rtl/>
        </w:rPr>
        <w:t xml:space="preserve"> رفضت في </w:t>
      </w:r>
      <w:r w:rsidRPr="00F11B28">
        <w:rPr>
          <w:rtl/>
        </w:rPr>
        <w:t>24</w:t>
      </w:r>
      <w:r>
        <w:rPr>
          <w:rtl/>
        </w:rPr>
        <w:t xml:space="preserve"> كانون الأول/ديسمبر </w:t>
      </w:r>
      <w:r w:rsidRPr="00F11B28">
        <w:rPr>
          <w:rtl/>
        </w:rPr>
        <w:t>2016</w:t>
      </w:r>
      <w:r>
        <w:rPr>
          <w:rtl/>
        </w:rPr>
        <w:t xml:space="preserve"> طلب صاحب البلاغ تنظيم اعتصام لأنه لم يمتثل أحكام قانون الأحداث الجماهيرية الذي ينظم إقامة المناسبات العامة. وفي هذا السياق، تلاحظ الدولة الطرف أن صاحب البلاغ لم يقدم أي</w:t>
      </w:r>
      <w:r w:rsidR="00F11B28">
        <w:rPr>
          <w:rFonts w:hint="cs"/>
          <w:rtl/>
        </w:rPr>
        <w:t> </w:t>
      </w:r>
      <w:r>
        <w:rPr>
          <w:rtl/>
        </w:rPr>
        <w:t xml:space="preserve">عقد مبرم مع الجهات المعنية بتقديم الخدمات في المدن لضمان الخدمات الطبية أثناء الحدث، وتنظيف الموقع فيما بعد. وتوضح الدولة الطرف أن مقدمي هذه الخدمات لم يكونوا قادرين على تقديم خدماتهم بسبب مشاركتهم في الأحداث المرتبطة باحتفالات رأس السنة الجديدة وعيد الميلاد. </w:t>
      </w:r>
    </w:p>
    <w:p w14:paraId="3422B643" w14:textId="77777777" w:rsidR="00407392" w:rsidRDefault="00407392" w:rsidP="00407392">
      <w:pPr>
        <w:pStyle w:val="SingleTxtGA"/>
      </w:pPr>
      <w:r w:rsidRPr="00F11B28">
        <w:rPr>
          <w:rtl/>
        </w:rPr>
        <w:t>4</w:t>
      </w:r>
      <w:r>
        <w:rPr>
          <w:rtl/>
        </w:rPr>
        <w:t>-</w:t>
      </w:r>
      <w:r w:rsidRPr="00F11B28">
        <w:rPr>
          <w:rtl/>
        </w:rPr>
        <w:t>2</w:t>
      </w:r>
      <w:r>
        <w:rPr>
          <w:rtl/>
        </w:rPr>
        <w:tab/>
        <w:t xml:space="preserve">وتلاحظ الدولة الطرف أن أحكام التشريع الوطني بشأن الحق في التجمع السلمي وحرية التعبير تتسق مع أحكام دستور بيلاروس، ولا يتعارض مع المادتين </w:t>
      </w:r>
      <w:r w:rsidRPr="00F11B28">
        <w:rPr>
          <w:rtl/>
        </w:rPr>
        <w:t>19</w:t>
      </w:r>
      <w:r>
        <w:rPr>
          <w:rtl/>
        </w:rPr>
        <w:t xml:space="preserve"> و</w:t>
      </w:r>
      <w:r w:rsidRPr="00F11B28">
        <w:rPr>
          <w:rtl/>
        </w:rPr>
        <w:t>21</w:t>
      </w:r>
      <w:r>
        <w:rPr>
          <w:rtl/>
        </w:rPr>
        <w:t xml:space="preserve"> من العهد التي تسمح لكل دولة بفرض ما هو ضروري في المجتمعات الديمقراطية من قيود على ممارسة الفرد لحقوقه وحرياته، وما يخدم </w:t>
      </w:r>
      <w:r w:rsidRPr="006B1C07">
        <w:rPr>
          <w:spacing w:val="-2"/>
          <w:rtl/>
        </w:rPr>
        <w:t>مصلحة الأمن الوطني أو السلامة العامة أو النظام العام، أو يخدم حماية الصحة العامة أو الأخلاق العامة</w:t>
      </w:r>
      <w:r>
        <w:rPr>
          <w:rtl/>
        </w:rPr>
        <w:t xml:space="preserve"> أو حماية حقوق الآخرين وحرياتهم. </w:t>
      </w:r>
    </w:p>
    <w:p w14:paraId="32B6EC4D" w14:textId="0ADD390A" w:rsidR="00407392" w:rsidRDefault="00407392" w:rsidP="00407392">
      <w:pPr>
        <w:pStyle w:val="SingleTxtGA"/>
      </w:pPr>
      <w:r w:rsidRPr="00F11B28">
        <w:rPr>
          <w:rtl/>
        </w:rPr>
        <w:t>4</w:t>
      </w:r>
      <w:r>
        <w:rPr>
          <w:rtl/>
        </w:rPr>
        <w:t>-</w:t>
      </w:r>
      <w:r w:rsidRPr="00F11B28">
        <w:rPr>
          <w:rtl/>
        </w:rPr>
        <w:t>3</w:t>
      </w:r>
      <w:r>
        <w:rPr>
          <w:rtl/>
        </w:rPr>
        <w:tab/>
        <w:t xml:space="preserve">وتلاحظ الدولة الطرف كذلك أن محكمة </w:t>
      </w:r>
      <w:proofErr w:type="spellStart"/>
      <w:r>
        <w:rPr>
          <w:rtl/>
        </w:rPr>
        <w:t>بولوتسك</w:t>
      </w:r>
      <w:proofErr w:type="spellEnd"/>
      <w:r>
        <w:rPr>
          <w:rtl/>
        </w:rPr>
        <w:t xml:space="preserve"> المحلية أيدت قرار اللجنة التنفيذية للمقاطعة في </w:t>
      </w:r>
      <w:r w:rsidRPr="00F11B28">
        <w:rPr>
          <w:rtl/>
        </w:rPr>
        <w:t>9</w:t>
      </w:r>
      <w:r>
        <w:rPr>
          <w:rtl/>
        </w:rPr>
        <w:t xml:space="preserve"> شباط/فبراير </w:t>
      </w:r>
      <w:r w:rsidRPr="00F11B28">
        <w:rPr>
          <w:rtl/>
        </w:rPr>
        <w:t>2015</w:t>
      </w:r>
      <w:r>
        <w:rPr>
          <w:rtl/>
        </w:rPr>
        <w:t xml:space="preserve"> وأن محكمة </w:t>
      </w:r>
      <w:proofErr w:type="spellStart"/>
      <w:r>
        <w:rPr>
          <w:rtl/>
        </w:rPr>
        <w:t>فيتبسك</w:t>
      </w:r>
      <w:proofErr w:type="spellEnd"/>
      <w:r>
        <w:rPr>
          <w:rtl/>
        </w:rPr>
        <w:t xml:space="preserve"> الإقليمية رفضت أيض</w:t>
      </w:r>
      <w:r w:rsidR="006B1C07">
        <w:rPr>
          <w:rtl/>
        </w:rPr>
        <w:t xml:space="preserve">اً </w:t>
      </w:r>
      <w:r>
        <w:rPr>
          <w:rtl/>
        </w:rPr>
        <w:t xml:space="preserve">في </w:t>
      </w:r>
      <w:r w:rsidRPr="00F11B28">
        <w:rPr>
          <w:rtl/>
        </w:rPr>
        <w:t>9</w:t>
      </w:r>
      <w:r>
        <w:rPr>
          <w:rtl/>
        </w:rPr>
        <w:t xml:space="preserve"> نيسان/أبريل طعن صاحب البلاغ في هذا القرار. ورُفضت أيضاً طعون أخرى لصاحب البلاغ في إطار إجراء المراجعة القضائية الرقابية.</w:t>
      </w:r>
    </w:p>
    <w:p w14:paraId="2E941626" w14:textId="6D614288" w:rsidR="00407392" w:rsidRDefault="00407392" w:rsidP="00407392">
      <w:pPr>
        <w:pStyle w:val="SingleTxtGA"/>
      </w:pPr>
      <w:r w:rsidRPr="00F11B28">
        <w:rPr>
          <w:rtl/>
        </w:rPr>
        <w:t>4</w:t>
      </w:r>
      <w:r>
        <w:rPr>
          <w:rtl/>
        </w:rPr>
        <w:t>-</w:t>
      </w:r>
      <w:r w:rsidRPr="00F11B28">
        <w:rPr>
          <w:rtl/>
        </w:rPr>
        <w:t>4</w:t>
      </w:r>
      <w:r>
        <w:rPr>
          <w:rtl/>
        </w:rPr>
        <w:tab/>
        <w:t>وبالإشارة إلى مقبولية البلاغ، تلاحظ الدولة الطرف أن صاحب البلاغ لم يستنفد جميع سبل الانتصاف المحلية المتاحة لأنه لم يقدم التماس</w:t>
      </w:r>
      <w:r w:rsidR="006B1C07">
        <w:rPr>
          <w:rtl/>
        </w:rPr>
        <w:t xml:space="preserve">اً </w:t>
      </w:r>
      <w:r>
        <w:rPr>
          <w:rtl/>
        </w:rPr>
        <w:t xml:space="preserve">إلى المحكمة العليا أو مكتب المدعي العام لإجراء مراجعة قضائية رقابية. </w:t>
      </w:r>
    </w:p>
    <w:p w14:paraId="022270EC" w14:textId="19CCAF01" w:rsidR="00407392" w:rsidRDefault="00407392" w:rsidP="00407392">
      <w:pPr>
        <w:pStyle w:val="SingleTxtGA"/>
      </w:pPr>
      <w:r w:rsidRPr="00F11B28">
        <w:rPr>
          <w:rtl/>
        </w:rPr>
        <w:t>4</w:t>
      </w:r>
      <w:r>
        <w:rPr>
          <w:rtl/>
        </w:rPr>
        <w:t>-</w:t>
      </w:r>
      <w:r w:rsidRPr="00F11B28">
        <w:rPr>
          <w:rtl/>
        </w:rPr>
        <w:t>5</w:t>
      </w:r>
      <w:r>
        <w:rPr>
          <w:rtl/>
        </w:rPr>
        <w:tab/>
        <w:t>وأخير</w:t>
      </w:r>
      <w:r w:rsidR="006B1C07">
        <w:rPr>
          <w:rtl/>
        </w:rPr>
        <w:t>اً،</w:t>
      </w:r>
      <w:r>
        <w:rPr>
          <w:rtl/>
        </w:rPr>
        <w:t xml:space="preserve"> وتعليق</w:t>
      </w:r>
      <w:r w:rsidR="006B1C07">
        <w:rPr>
          <w:rtl/>
        </w:rPr>
        <w:t xml:space="preserve">اً </w:t>
      </w:r>
      <w:r>
        <w:rPr>
          <w:rtl/>
        </w:rPr>
        <w:t xml:space="preserve">على مدى فعالية إجراءات المراجعة القضائية الرقابية، تلاحظ الدولة الطرف أنه </w:t>
      </w:r>
      <w:r w:rsidRPr="00F11B28">
        <w:rPr>
          <w:spacing w:val="-2"/>
          <w:rtl/>
        </w:rPr>
        <w:t>في النصف الأول من عام 2016، جرت الموافقة على 111 طعن</w:t>
      </w:r>
      <w:r w:rsidR="006B1C07" w:rsidRPr="00F11B28">
        <w:rPr>
          <w:spacing w:val="-2"/>
          <w:rtl/>
        </w:rPr>
        <w:t xml:space="preserve">اً </w:t>
      </w:r>
      <w:r w:rsidRPr="00F11B28">
        <w:rPr>
          <w:spacing w:val="-2"/>
          <w:rtl/>
        </w:rPr>
        <w:t>من أصل 984 طعن</w:t>
      </w:r>
      <w:r w:rsidR="006B1C07" w:rsidRPr="00F11B28">
        <w:rPr>
          <w:spacing w:val="-2"/>
          <w:rtl/>
        </w:rPr>
        <w:t xml:space="preserve">اً </w:t>
      </w:r>
      <w:r w:rsidRPr="00F11B28">
        <w:rPr>
          <w:spacing w:val="-2"/>
          <w:rtl/>
        </w:rPr>
        <w:t>قُدّم في إطار إجراء</w:t>
      </w:r>
      <w:r>
        <w:rPr>
          <w:rtl/>
        </w:rPr>
        <w:t xml:space="preserve"> المراجعة القضائية الرقابية، لكي تعيد المحكمة العليا النظر فيها.</w:t>
      </w:r>
    </w:p>
    <w:p w14:paraId="7E52BB4A" w14:textId="77777777" w:rsidR="00407392" w:rsidRPr="00F11B28" w:rsidRDefault="00407392" w:rsidP="006B1C07">
      <w:pPr>
        <w:pStyle w:val="H23GA"/>
      </w:pPr>
      <w:r w:rsidRPr="00F11B28">
        <w:rPr>
          <w:rtl/>
        </w:rPr>
        <w:tab/>
      </w:r>
      <w:r w:rsidRPr="00F11B28">
        <w:rPr>
          <w:rtl/>
        </w:rPr>
        <w:tab/>
        <w:t>تعليقات صاحب البلاغ على ملاحظات الدولة الطرف</w:t>
      </w:r>
    </w:p>
    <w:p w14:paraId="31D73055" w14:textId="79CC3E16" w:rsidR="00F11B28" w:rsidRPr="00F11B28" w:rsidRDefault="00407392" w:rsidP="00407392">
      <w:pPr>
        <w:pStyle w:val="SingleTxtGA"/>
        <w:rPr>
          <w:color w:val="000000"/>
        </w:rPr>
      </w:pPr>
      <w:r w:rsidRPr="00F11B28">
        <w:rPr>
          <w:rtl/>
        </w:rPr>
        <w:t>5</w:t>
      </w:r>
      <w:r>
        <w:rPr>
          <w:rtl/>
        </w:rPr>
        <w:t>-</w:t>
      </w:r>
      <w:r w:rsidRPr="00F11B28">
        <w:rPr>
          <w:rtl/>
        </w:rPr>
        <w:t>1</w:t>
      </w:r>
      <w:r>
        <w:rPr>
          <w:rtl/>
        </w:rPr>
        <w:tab/>
        <w:t xml:space="preserve">في </w:t>
      </w:r>
      <w:r w:rsidRPr="00F11B28">
        <w:rPr>
          <w:rtl/>
        </w:rPr>
        <w:t>9</w:t>
      </w:r>
      <w:r>
        <w:rPr>
          <w:rtl/>
        </w:rPr>
        <w:t xml:space="preserve"> كانون الأول/ديسمبر </w:t>
      </w:r>
      <w:r w:rsidRPr="00F11B28">
        <w:rPr>
          <w:rtl/>
        </w:rPr>
        <w:t>2016</w:t>
      </w:r>
      <w:r>
        <w:rPr>
          <w:rtl/>
        </w:rPr>
        <w:t xml:space="preserve">، أشار صاحب البلاغ إلى الاجتهادات القضائية للجنة ولاحظ أن القيود المفروضة على حريته في التجمع تستند إلى أحكام القانون المحلي وتشمل الشروط المرهقة المتمثلة في الحصول على </w:t>
      </w:r>
      <w:proofErr w:type="gramStart"/>
      <w:r>
        <w:rPr>
          <w:rtl/>
        </w:rPr>
        <w:t>ثلاثة</w:t>
      </w:r>
      <w:proofErr w:type="gramEnd"/>
      <w:r>
        <w:rPr>
          <w:rtl/>
        </w:rPr>
        <w:t xml:space="preserve"> التزامات خطية من ثلاث جهات إدارية مختلفة، مما قد يجعل حقه في التظاهر وهميا</w:t>
      </w:r>
      <w:r w:rsidR="006B1C07">
        <w:rPr>
          <w:rFonts w:hint="cs"/>
          <w:rtl/>
        </w:rPr>
        <w:t>ً</w:t>
      </w:r>
      <w:r w:rsidR="00F11B28" w:rsidRPr="00F11B28">
        <w:rPr>
          <w:rStyle w:val="FootnoteReference"/>
          <w:szCs w:val="22"/>
          <w:rtl/>
          <w:lang w:val="en-US"/>
        </w:rPr>
        <w:t>(</w:t>
      </w:r>
      <w:r w:rsidR="00F11B28" w:rsidRPr="00F11B28">
        <w:rPr>
          <w:rStyle w:val="FootnoteReference"/>
          <w:szCs w:val="22"/>
          <w:lang w:val="en-US"/>
        </w:rPr>
        <w:footnoteReference w:id="5"/>
      </w:r>
      <w:r w:rsidR="00F11B28" w:rsidRPr="00F11B28">
        <w:rPr>
          <w:color w:val="000000"/>
          <w:vertAlign w:val="superscript"/>
          <w:rtl/>
        </w:rPr>
        <w:t>)</w:t>
      </w:r>
      <w:r w:rsidR="00F11B28" w:rsidRPr="00F11B28">
        <w:rPr>
          <w:color w:val="000000"/>
          <w:rtl/>
        </w:rPr>
        <w:t>.</w:t>
      </w:r>
    </w:p>
    <w:p w14:paraId="5F330168" w14:textId="66224CF7" w:rsidR="00F11B28" w:rsidRPr="00F11B28" w:rsidRDefault="00407392" w:rsidP="00A42A0B">
      <w:pPr>
        <w:pStyle w:val="SingleTxtGA"/>
        <w:spacing w:line="346" w:lineRule="exact"/>
        <w:rPr>
          <w:color w:val="000000"/>
        </w:rPr>
      </w:pPr>
      <w:r w:rsidRPr="00F11B28">
        <w:rPr>
          <w:rtl/>
        </w:rPr>
        <w:lastRenderedPageBreak/>
        <w:t>5</w:t>
      </w:r>
      <w:r>
        <w:rPr>
          <w:rtl/>
        </w:rPr>
        <w:t>-</w:t>
      </w:r>
      <w:r w:rsidRPr="00F11B28">
        <w:rPr>
          <w:rtl/>
        </w:rPr>
        <w:t>2</w:t>
      </w:r>
      <w:r>
        <w:rPr>
          <w:rtl/>
        </w:rPr>
        <w:tab/>
        <w:t>وأشار صاحب البلاغ كذلك إلى الآراء التي اعتمدتها اللجنة وذكّرت فيها بأنه عندما تفرض دولة طرف قيوداً بهدف التوفيق بين حق الفرد في التجمع والمصالح العامة السالفة الذكر، ينبغي أن تستهدي بهدف تيسير إعمال هذا الحق بدلاً من السعي إلى تقييده تقييداً غير ضروري وغير متناسب. ويجب أن يمتثل أي قيد على ممارسة الحق في حرية التجمع امتثال</w:t>
      </w:r>
      <w:r w:rsidR="006B1C07">
        <w:rPr>
          <w:rtl/>
        </w:rPr>
        <w:t xml:space="preserve">اً </w:t>
      </w:r>
      <w:r>
        <w:rPr>
          <w:rtl/>
        </w:rPr>
        <w:t>صارم</w:t>
      </w:r>
      <w:r w:rsidR="006B1C07">
        <w:rPr>
          <w:rtl/>
        </w:rPr>
        <w:t xml:space="preserve">اً </w:t>
      </w:r>
      <w:r>
        <w:rPr>
          <w:rtl/>
        </w:rPr>
        <w:t>لمعياري الضرورة والتناسب</w:t>
      </w:r>
      <w:r w:rsidR="00F11B28" w:rsidRPr="00F11B28">
        <w:rPr>
          <w:rStyle w:val="FootnoteReference"/>
          <w:szCs w:val="22"/>
          <w:rtl/>
          <w:lang w:val="en-US"/>
        </w:rPr>
        <w:t>(</w:t>
      </w:r>
      <w:r w:rsidR="00F11B28" w:rsidRPr="00F11B28">
        <w:rPr>
          <w:rStyle w:val="FootnoteReference"/>
          <w:szCs w:val="22"/>
          <w:lang w:val="en-US"/>
        </w:rPr>
        <w:footnoteReference w:id="6"/>
      </w:r>
      <w:r w:rsidR="00F11B28" w:rsidRPr="00F11B28">
        <w:rPr>
          <w:color w:val="000000"/>
          <w:vertAlign w:val="superscript"/>
          <w:rtl/>
        </w:rPr>
        <w:t>)</w:t>
      </w:r>
      <w:r w:rsidR="00F11B28" w:rsidRPr="00F11B28">
        <w:rPr>
          <w:color w:val="000000"/>
          <w:rtl/>
        </w:rPr>
        <w:t>.</w:t>
      </w:r>
    </w:p>
    <w:p w14:paraId="3B24E9EF" w14:textId="42C9E99E" w:rsidR="00407392" w:rsidRPr="00A42A0B" w:rsidRDefault="00407392" w:rsidP="00A42A0B">
      <w:pPr>
        <w:pStyle w:val="SingleTxtGA"/>
        <w:spacing w:line="346" w:lineRule="exact"/>
        <w:rPr>
          <w:spacing w:val="-4"/>
        </w:rPr>
      </w:pPr>
      <w:r w:rsidRPr="00F11B28">
        <w:rPr>
          <w:spacing w:val="-4"/>
          <w:rtl/>
        </w:rPr>
        <w:t>5</w:t>
      </w:r>
      <w:r w:rsidRPr="00A42A0B">
        <w:rPr>
          <w:spacing w:val="-4"/>
          <w:rtl/>
        </w:rPr>
        <w:t>-</w:t>
      </w:r>
      <w:r w:rsidRPr="00F11B28">
        <w:rPr>
          <w:spacing w:val="-4"/>
          <w:rtl/>
        </w:rPr>
        <w:t>3</w:t>
      </w:r>
      <w:r w:rsidRPr="00A42A0B">
        <w:rPr>
          <w:spacing w:val="-4"/>
          <w:rtl/>
        </w:rPr>
        <w:tab/>
        <w:t xml:space="preserve">وبالإشارة إلى ملاحظات الدولة الطرف بشأن المراجعة القضائية الرقابية، يدفع صاحب البلاغ بأنه طعن في القرارات الصادرة في إطار تلك الإجراءات أمام رئيس المحكمة العليا في بيلاروس، غير أن نائب الرئيس رفض طعنه. ويدّعي في هذا السياق، أن الدولة الطرف لم توضح إلى أي من النواب الخمسة كان ينبغي التوجه لكي يعيد رئيس المحكمة النظر في الطعن. ويدفع صاحب البلاغ بأنه لا يعتبر إجراءات المراجعة القضائية الرقابية سبيل انتصاف فعالاً في ظل غياب أي تفسير من الدولة الطرف في هذا الصدد. </w:t>
      </w:r>
    </w:p>
    <w:p w14:paraId="122F4C12" w14:textId="02575868" w:rsidR="00407392" w:rsidRPr="00F11B28" w:rsidRDefault="00407392" w:rsidP="006B1C07">
      <w:pPr>
        <w:pStyle w:val="H23GA"/>
      </w:pPr>
      <w:r w:rsidRPr="00F11B28">
        <w:rPr>
          <w:rtl/>
        </w:rPr>
        <w:tab/>
      </w:r>
      <w:r w:rsidRPr="00F11B28">
        <w:rPr>
          <w:rtl/>
        </w:rPr>
        <w:tab/>
        <w:t>المسائل والإجراءات المعروضة على اللجنة</w:t>
      </w:r>
    </w:p>
    <w:p w14:paraId="3B8604A3" w14:textId="77777777" w:rsidR="00407392" w:rsidRPr="00F11B28" w:rsidRDefault="00407392" w:rsidP="006B1C07">
      <w:pPr>
        <w:pStyle w:val="H4GA"/>
      </w:pPr>
      <w:r w:rsidRPr="00F11B28">
        <w:rPr>
          <w:rtl/>
        </w:rPr>
        <w:tab/>
      </w:r>
      <w:r w:rsidRPr="00F11B28">
        <w:rPr>
          <w:rtl/>
        </w:rPr>
        <w:tab/>
        <w:t>النظر في المقبولية</w:t>
      </w:r>
    </w:p>
    <w:p w14:paraId="1F6CC09A" w14:textId="77777777" w:rsidR="00407392" w:rsidRDefault="00407392" w:rsidP="00A42A0B">
      <w:pPr>
        <w:pStyle w:val="SingleTxtGA"/>
        <w:spacing w:line="346" w:lineRule="exact"/>
      </w:pPr>
      <w:r w:rsidRPr="00F11B28">
        <w:rPr>
          <w:rtl/>
        </w:rPr>
        <w:t>6</w:t>
      </w:r>
      <w:r>
        <w:rPr>
          <w:rtl/>
        </w:rPr>
        <w:t>-</w:t>
      </w:r>
      <w:r w:rsidRPr="00F11B28">
        <w:rPr>
          <w:rtl/>
        </w:rPr>
        <w:t>1</w:t>
      </w:r>
      <w:r>
        <w:rPr>
          <w:rtl/>
        </w:rPr>
        <w:tab/>
        <w:t xml:space="preserve">قبل النظر في أي ادعاء يرد في بلاغ ما، يتعين على اللجنة أن تقرر، وفقاً للمادة </w:t>
      </w:r>
      <w:r w:rsidRPr="00F11B28">
        <w:rPr>
          <w:rtl/>
        </w:rPr>
        <w:t>97</w:t>
      </w:r>
      <w:r>
        <w:rPr>
          <w:rtl/>
        </w:rPr>
        <w:t xml:space="preserve"> من نظامها الداخلي، ما إذا كان البلاغ مقبولاً أم لا بموجب البروتوكول الاختياري.</w:t>
      </w:r>
    </w:p>
    <w:p w14:paraId="2A259030" w14:textId="77777777" w:rsidR="00407392" w:rsidRDefault="00407392" w:rsidP="00A42A0B">
      <w:pPr>
        <w:pStyle w:val="SingleTxtGA"/>
        <w:spacing w:line="346" w:lineRule="exact"/>
      </w:pPr>
      <w:r w:rsidRPr="00F11B28">
        <w:rPr>
          <w:rtl/>
        </w:rPr>
        <w:t>6</w:t>
      </w:r>
      <w:r>
        <w:rPr>
          <w:rtl/>
        </w:rPr>
        <w:t>-</w:t>
      </w:r>
      <w:r w:rsidRPr="00F11B28">
        <w:rPr>
          <w:rtl/>
        </w:rPr>
        <w:t>2</w:t>
      </w:r>
      <w:r>
        <w:rPr>
          <w:rtl/>
        </w:rPr>
        <w:tab/>
        <w:t xml:space="preserve">وقد تأكّدت اللجنة، وفقاً لما تقتضيه المادة </w:t>
      </w:r>
      <w:r w:rsidRPr="00F11B28">
        <w:rPr>
          <w:rtl/>
        </w:rPr>
        <w:t>5</w:t>
      </w:r>
      <w:r>
        <w:rPr>
          <w:rtl/>
        </w:rPr>
        <w:t>(</w:t>
      </w:r>
      <w:r w:rsidRPr="00F11B28">
        <w:rPr>
          <w:rtl/>
        </w:rPr>
        <w:t>2</w:t>
      </w:r>
      <w:r>
        <w:rPr>
          <w:rtl/>
        </w:rPr>
        <w:t>)(أ) من البروتوكول الاختياري، من أن المسألة نفسها ليست قيد البحث في إطار أي إجراء آخر من إجراءات التحقيق الدولي أو التسوية الدولية.</w:t>
      </w:r>
    </w:p>
    <w:p w14:paraId="7E195CC6" w14:textId="447EF12F" w:rsidR="00407392" w:rsidRPr="00A42A0B" w:rsidRDefault="00407392" w:rsidP="00A42A0B">
      <w:pPr>
        <w:pStyle w:val="SingleTxtGA"/>
        <w:spacing w:line="346" w:lineRule="exact"/>
        <w:rPr>
          <w:spacing w:val="-4"/>
        </w:rPr>
      </w:pPr>
      <w:r w:rsidRPr="00F11B28">
        <w:rPr>
          <w:spacing w:val="-4"/>
          <w:rtl/>
        </w:rPr>
        <w:t>6</w:t>
      </w:r>
      <w:r w:rsidRPr="00A42A0B">
        <w:rPr>
          <w:spacing w:val="-4"/>
          <w:rtl/>
        </w:rPr>
        <w:t>-</w:t>
      </w:r>
      <w:r w:rsidRPr="00F11B28">
        <w:rPr>
          <w:spacing w:val="-4"/>
          <w:rtl/>
        </w:rPr>
        <w:t>3</w:t>
      </w:r>
      <w:r w:rsidRPr="00A42A0B">
        <w:rPr>
          <w:spacing w:val="-4"/>
          <w:rtl/>
        </w:rPr>
        <w:tab/>
        <w:t>وتحيط اللجنة علماً بحجة الدولة الطرف بأن صاحب البلاغ لم يلتمس من رئيس المحكمة العليا أو</w:t>
      </w:r>
      <w:r w:rsidR="00F11B28">
        <w:rPr>
          <w:spacing w:val="-4"/>
        </w:rPr>
        <w:t> </w:t>
      </w:r>
      <w:r w:rsidRPr="00A42A0B">
        <w:rPr>
          <w:spacing w:val="-4"/>
          <w:rtl/>
        </w:rPr>
        <w:t xml:space="preserve">مكتب المدعي العام مراجعة قضائية رقابية لقرارات المحاكم الوطنية. وترى اللجنة في هذا السياق، أن تقديم طلبات إلى رئيس إحدى المحاكم لإجراء مراجعة قضائية رقابية لقرارات المحاكم التي دخلت حيز النفاذ وتخضع للسلطة التقديرية للقاضي يشكل سبيل انتصاف استثنائياً، وأن على الدولة الطرف أن تثبت وجود احتمال معقول أن تتيح هذه الطلبات سبيل انتصاف فعالاً في سياق ظروف القضية. وتشير اللجنة كذلك إلى حجة صاحب البلاغ أنه قدم فعلاً، لكن دون جدوى، طلب طعن في هذه القرارات في إطار إجراءات المراجعة القضائية الرقابية، لاسيما إلى رئيس محكمة </w:t>
      </w:r>
      <w:proofErr w:type="spellStart"/>
      <w:r w:rsidRPr="00A42A0B">
        <w:rPr>
          <w:spacing w:val="-4"/>
          <w:rtl/>
        </w:rPr>
        <w:t>فيتسبك</w:t>
      </w:r>
      <w:proofErr w:type="spellEnd"/>
      <w:r w:rsidRPr="00A42A0B">
        <w:rPr>
          <w:spacing w:val="-4"/>
          <w:rtl/>
        </w:rPr>
        <w:t xml:space="preserve"> الإقليمية، ورئيس المحكمة العليا في بيلاروس، وقدّم جميع المواد ذات الصلة في هذا الصدد. وتذكّر اللجنة كذلك باجتهاداتها القضائية التي جاء فيها أن التماس مراجعة قضائية </w:t>
      </w:r>
      <w:r w:rsidRPr="00A42A0B">
        <w:rPr>
          <w:rtl/>
        </w:rPr>
        <w:t>رقابية من مكتب المدعي العام، وهو إجراء يخضع للسلطة التقديرية للادعاء العام، من أجل طلب مراجعة قرارات</w:t>
      </w:r>
      <w:r w:rsidRPr="00A42A0B">
        <w:rPr>
          <w:spacing w:val="-4"/>
          <w:rtl/>
        </w:rPr>
        <w:t xml:space="preserve"> محكمة دخلت حيز النفاذ، يشكّل سبيل انتصاف استثنائي</w:t>
      </w:r>
      <w:r w:rsidR="006B1C07" w:rsidRPr="00A42A0B">
        <w:rPr>
          <w:spacing w:val="-4"/>
          <w:rtl/>
        </w:rPr>
        <w:t xml:space="preserve">اً </w:t>
      </w:r>
      <w:r w:rsidRPr="00A42A0B">
        <w:rPr>
          <w:spacing w:val="-4"/>
          <w:rtl/>
        </w:rPr>
        <w:t xml:space="preserve">وبالتالي ليس سبيل انتصاف يتعيّن استنفاده لأغراض الفقرة </w:t>
      </w:r>
      <w:r w:rsidRPr="00F11B28">
        <w:rPr>
          <w:spacing w:val="-4"/>
          <w:rtl/>
        </w:rPr>
        <w:t>2</w:t>
      </w:r>
      <w:r w:rsidRPr="00A42A0B">
        <w:rPr>
          <w:spacing w:val="-4"/>
          <w:rtl/>
        </w:rPr>
        <w:t xml:space="preserve">(ب) المادة </w:t>
      </w:r>
      <w:r w:rsidRPr="00F11B28">
        <w:rPr>
          <w:spacing w:val="-4"/>
          <w:rtl/>
        </w:rPr>
        <w:t>5</w:t>
      </w:r>
      <w:r w:rsidRPr="00A42A0B">
        <w:rPr>
          <w:spacing w:val="-4"/>
          <w:rtl/>
        </w:rPr>
        <w:t xml:space="preserve"> من البروتوكول الاختياري</w:t>
      </w:r>
      <w:r w:rsidR="00F11B28" w:rsidRPr="00F11B28">
        <w:rPr>
          <w:rStyle w:val="FootnoteReference"/>
          <w:spacing w:val="-4"/>
          <w:szCs w:val="22"/>
          <w:rtl/>
          <w:lang w:val="en-US"/>
        </w:rPr>
        <w:t>(</w:t>
      </w:r>
      <w:r w:rsidR="00F11B28" w:rsidRPr="00F11B28">
        <w:rPr>
          <w:rStyle w:val="FootnoteReference"/>
          <w:spacing w:val="-4"/>
          <w:szCs w:val="22"/>
          <w:lang w:val="en-US"/>
        </w:rPr>
        <w:footnoteReference w:id="7"/>
      </w:r>
      <w:r w:rsidR="00F11B28" w:rsidRPr="00F11B28">
        <w:rPr>
          <w:color w:val="000000"/>
          <w:spacing w:val="-4"/>
          <w:vertAlign w:val="superscript"/>
          <w:rtl/>
        </w:rPr>
        <w:t>)</w:t>
      </w:r>
      <w:r w:rsidR="00F11B28" w:rsidRPr="00F11B28">
        <w:rPr>
          <w:color w:val="000000"/>
          <w:spacing w:val="-4"/>
          <w:rtl/>
        </w:rPr>
        <w:t xml:space="preserve">. </w:t>
      </w:r>
      <w:r w:rsidRPr="00A42A0B">
        <w:rPr>
          <w:spacing w:val="-4"/>
          <w:rtl/>
        </w:rPr>
        <w:t xml:space="preserve">وتلاحظ اللجنة أن صاحب البلاغ قد استنفد في هذه الحالة جميع سبل الانتصاف المحلية المتاحة، بما فيها السبل التي تشكّل إجراءات مراجعة رقابية، وعليه، ترى اللجنة أن المادة </w:t>
      </w:r>
      <w:r w:rsidRPr="00F11B28">
        <w:rPr>
          <w:spacing w:val="-4"/>
          <w:rtl/>
        </w:rPr>
        <w:t>5</w:t>
      </w:r>
      <w:r w:rsidRPr="00A42A0B">
        <w:rPr>
          <w:spacing w:val="-4"/>
          <w:rtl/>
        </w:rPr>
        <w:t>(</w:t>
      </w:r>
      <w:r w:rsidRPr="00F11B28">
        <w:rPr>
          <w:spacing w:val="-4"/>
          <w:rtl/>
        </w:rPr>
        <w:t>2</w:t>
      </w:r>
      <w:r w:rsidRPr="00A42A0B">
        <w:rPr>
          <w:spacing w:val="-4"/>
          <w:rtl/>
        </w:rPr>
        <w:t xml:space="preserve">)(ب) من البروتوكول الاختياري لا تستبعدها من دراسة هذا البلاغ. </w:t>
      </w:r>
    </w:p>
    <w:p w14:paraId="2E0901E1" w14:textId="1B0D066D" w:rsidR="00407392" w:rsidRDefault="00407392" w:rsidP="00A42A0B">
      <w:pPr>
        <w:pStyle w:val="SingleTxtGA"/>
        <w:spacing w:line="346" w:lineRule="exact"/>
      </w:pPr>
      <w:r w:rsidRPr="00F11B28">
        <w:rPr>
          <w:rtl/>
        </w:rPr>
        <w:t>6</w:t>
      </w:r>
      <w:r>
        <w:rPr>
          <w:rtl/>
        </w:rPr>
        <w:t>-</w:t>
      </w:r>
      <w:r w:rsidRPr="00F11B28">
        <w:rPr>
          <w:rtl/>
        </w:rPr>
        <w:t>4</w:t>
      </w:r>
      <w:r>
        <w:rPr>
          <w:rtl/>
        </w:rPr>
        <w:tab/>
        <w:t xml:space="preserve">وتلاحظ اللجنة ادّعاء صاحب البلاغ انتهاك حقوقه بموجب المادة </w:t>
      </w:r>
      <w:r w:rsidRPr="00F11B28">
        <w:rPr>
          <w:rtl/>
        </w:rPr>
        <w:t>14</w:t>
      </w:r>
      <w:r>
        <w:rPr>
          <w:rtl/>
        </w:rPr>
        <w:t>(</w:t>
      </w:r>
      <w:r w:rsidR="00F11B28" w:rsidRPr="00F11B28">
        <w:rPr>
          <w:color w:val="000000"/>
          <w:rtl/>
        </w:rPr>
        <w:t xml:space="preserve">1) </w:t>
      </w:r>
      <w:r>
        <w:rPr>
          <w:rtl/>
        </w:rPr>
        <w:t xml:space="preserve">من العهد لأن المحاكم المحلية لم تكن نزيهة ومحايدة ومختصة وتأثرت قراراتها بالسلطة التنفيذية. غير أن اللجنة ترى أن صاحب البلاغ لم يقدم أدلة كافية تدعم هذا الادعاء لأغراض المقبولية، مادام ملف القضية لا يحتوي على أي معلومات أخرى ذات صلة في هذا الصدد. وبناءً عليه، تستنتج اللجنة أن هذا الجزء من البلاغ غير مقبول بموجب المادة </w:t>
      </w:r>
      <w:r w:rsidRPr="00F11B28">
        <w:rPr>
          <w:rtl/>
        </w:rPr>
        <w:t>2</w:t>
      </w:r>
      <w:r>
        <w:rPr>
          <w:rtl/>
        </w:rPr>
        <w:t xml:space="preserve"> من البروتوكول الاختياري.</w:t>
      </w:r>
    </w:p>
    <w:p w14:paraId="2A99E896" w14:textId="7C7E4695" w:rsidR="00407392" w:rsidRDefault="00407392" w:rsidP="00407392">
      <w:pPr>
        <w:pStyle w:val="SingleTxtGA"/>
      </w:pPr>
      <w:r w:rsidRPr="00F11B28">
        <w:rPr>
          <w:rtl/>
        </w:rPr>
        <w:lastRenderedPageBreak/>
        <w:t>6</w:t>
      </w:r>
      <w:r>
        <w:rPr>
          <w:rtl/>
        </w:rPr>
        <w:t>-</w:t>
      </w:r>
      <w:r w:rsidRPr="00F11B28">
        <w:rPr>
          <w:rtl/>
        </w:rPr>
        <w:t>5</w:t>
      </w:r>
      <w:r>
        <w:rPr>
          <w:rtl/>
        </w:rPr>
        <w:tab/>
        <w:t>وتلاحظ اللجنة أخير</w:t>
      </w:r>
      <w:r w:rsidR="006B1C07">
        <w:rPr>
          <w:rtl/>
        </w:rPr>
        <w:t xml:space="preserve">اً </w:t>
      </w:r>
      <w:r>
        <w:rPr>
          <w:rtl/>
        </w:rPr>
        <w:t xml:space="preserve">أن ما تبقى من ادعاءات صاحب البلاغ كما قدمها تثير قضايا بموجب المادتين </w:t>
      </w:r>
      <w:r w:rsidRPr="00F11B28">
        <w:rPr>
          <w:rtl/>
        </w:rPr>
        <w:t>19</w:t>
      </w:r>
      <w:r>
        <w:rPr>
          <w:rtl/>
        </w:rPr>
        <w:t>(</w:t>
      </w:r>
      <w:r w:rsidR="00F11B28" w:rsidRPr="00F11B28">
        <w:rPr>
          <w:color w:val="000000"/>
          <w:rtl/>
        </w:rPr>
        <w:t xml:space="preserve">2) </w:t>
      </w:r>
      <w:r>
        <w:rPr>
          <w:rtl/>
        </w:rPr>
        <w:t>و</w:t>
      </w:r>
      <w:r w:rsidRPr="00F11B28">
        <w:rPr>
          <w:rtl/>
        </w:rPr>
        <w:t>21</w:t>
      </w:r>
      <w:r>
        <w:rPr>
          <w:rtl/>
        </w:rPr>
        <w:t xml:space="preserve"> من العهد، وترى أنها ثبتت بما يكفي لأغراض المقبولية، وتنتقل إلى النظر في الأسس الموضوعية.</w:t>
      </w:r>
    </w:p>
    <w:p w14:paraId="6D7C7FC8" w14:textId="77777777" w:rsidR="00407392" w:rsidRPr="00F11B28" w:rsidRDefault="00407392" w:rsidP="006B1C07">
      <w:pPr>
        <w:pStyle w:val="H4GA"/>
      </w:pPr>
      <w:r w:rsidRPr="00F11B28">
        <w:rPr>
          <w:rtl/>
        </w:rPr>
        <w:tab/>
      </w:r>
      <w:r w:rsidRPr="00F11B28">
        <w:rPr>
          <w:rtl/>
        </w:rPr>
        <w:tab/>
        <w:t>النظر في الأسس الموضوعية</w:t>
      </w:r>
    </w:p>
    <w:p w14:paraId="5C3F0BD3" w14:textId="4796920B" w:rsidR="00407392" w:rsidRDefault="00407392" w:rsidP="00407392">
      <w:pPr>
        <w:pStyle w:val="SingleTxtGA"/>
      </w:pPr>
      <w:r w:rsidRPr="00F11B28">
        <w:rPr>
          <w:rtl/>
        </w:rPr>
        <w:t>7</w:t>
      </w:r>
      <w:r>
        <w:rPr>
          <w:rtl/>
        </w:rPr>
        <w:t>-</w:t>
      </w:r>
      <w:r w:rsidRPr="00F11B28">
        <w:rPr>
          <w:rtl/>
        </w:rPr>
        <w:t>1</w:t>
      </w:r>
      <w:r>
        <w:rPr>
          <w:rtl/>
        </w:rPr>
        <w:tab/>
      </w:r>
      <w:r w:rsidRPr="006B1C07">
        <w:rPr>
          <w:spacing w:val="-4"/>
          <w:rtl/>
        </w:rPr>
        <w:t>نظرت اللجنة في البلاغ في ضوء جميع المعلومات التي أتاحها لها الطرفان، على النحو المنصوص</w:t>
      </w:r>
      <w:r>
        <w:rPr>
          <w:rtl/>
        </w:rPr>
        <w:t xml:space="preserve"> عليه في المادة </w:t>
      </w:r>
      <w:r w:rsidRPr="00F11B28">
        <w:rPr>
          <w:rtl/>
        </w:rPr>
        <w:t>5</w:t>
      </w:r>
      <w:r>
        <w:rPr>
          <w:rtl/>
        </w:rPr>
        <w:t>(</w:t>
      </w:r>
      <w:r w:rsidR="00F11B28" w:rsidRPr="00F11B28">
        <w:rPr>
          <w:color w:val="000000"/>
          <w:rtl/>
        </w:rPr>
        <w:t xml:space="preserve">1) </w:t>
      </w:r>
      <w:r>
        <w:rPr>
          <w:rtl/>
        </w:rPr>
        <w:t>من البروتوكول الاختياري.</w:t>
      </w:r>
    </w:p>
    <w:p w14:paraId="79B57457" w14:textId="0C319767" w:rsidR="00407392" w:rsidRDefault="00407392" w:rsidP="00407392">
      <w:pPr>
        <w:pStyle w:val="SingleTxtGA"/>
      </w:pPr>
      <w:r w:rsidRPr="00F11B28">
        <w:rPr>
          <w:rtl/>
        </w:rPr>
        <w:t>7</w:t>
      </w:r>
      <w:r>
        <w:rPr>
          <w:rtl/>
        </w:rPr>
        <w:t>-</w:t>
      </w:r>
      <w:r w:rsidRPr="00F11B28">
        <w:rPr>
          <w:rtl/>
        </w:rPr>
        <w:t>2</w:t>
      </w:r>
      <w:r>
        <w:rPr>
          <w:rtl/>
        </w:rPr>
        <w:tab/>
        <w:t xml:space="preserve">وتلاحظ اللجنة أن صاحب البلاغ يدعي أن حقه في حرية التعبير والتجمع قد قُيّد، مما يشكّل </w:t>
      </w:r>
      <w:r w:rsidRPr="00A42A0B">
        <w:rPr>
          <w:spacing w:val="-2"/>
          <w:rtl/>
        </w:rPr>
        <w:t>انتهاك</w:t>
      </w:r>
      <w:r w:rsidR="006B1C07" w:rsidRPr="00A42A0B">
        <w:rPr>
          <w:spacing w:val="-2"/>
          <w:rtl/>
        </w:rPr>
        <w:t xml:space="preserve">اً </w:t>
      </w:r>
      <w:r w:rsidRPr="00A42A0B">
        <w:rPr>
          <w:spacing w:val="-2"/>
          <w:rtl/>
        </w:rPr>
        <w:t xml:space="preserve">للمادتين </w:t>
      </w:r>
      <w:r w:rsidRPr="00F11B28">
        <w:rPr>
          <w:spacing w:val="-2"/>
          <w:rtl/>
        </w:rPr>
        <w:t>19</w:t>
      </w:r>
      <w:r w:rsidRPr="00A42A0B">
        <w:rPr>
          <w:spacing w:val="-2"/>
          <w:rtl/>
        </w:rPr>
        <w:t>(</w:t>
      </w:r>
      <w:r w:rsidR="00F11B28" w:rsidRPr="00F11B28">
        <w:rPr>
          <w:color w:val="000000"/>
          <w:spacing w:val="-2"/>
          <w:rtl/>
        </w:rPr>
        <w:t xml:space="preserve">2) </w:t>
      </w:r>
      <w:r w:rsidRPr="00A42A0B">
        <w:rPr>
          <w:spacing w:val="-2"/>
          <w:rtl/>
        </w:rPr>
        <w:t>و</w:t>
      </w:r>
      <w:r w:rsidRPr="00F11B28">
        <w:rPr>
          <w:spacing w:val="-2"/>
          <w:rtl/>
        </w:rPr>
        <w:t>21</w:t>
      </w:r>
      <w:r w:rsidRPr="00A42A0B">
        <w:rPr>
          <w:spacing w:val="-2"/>
          <w:rtl/>
        </w:rPr>
        <w:t xml:space="preserve"> من العهد، حيث لم يرخص له بتنظيم اعتصام سلمي لجمع التوقيعات بغرض</w:t>
      </w:r>
      <w:r>
        <w:rPr>
          <w:rtl/>
        </w:rPr>
        <w:t xml:space="preserve"> دعم إنشاء جمعية عامة لحماية حقوق المستهلكين. وترى اللجنة أن القضية المعروضة عليها تتمثل في البت فيما إذا كان حظر الاعتصام العام المفروض على صاحب البلاغ من قبل اللجنة التنفيذية لمقاطعة </w:t>
      </w:r>
      <w:proofErr w:type="spellStart"/>
      <w:r>
        <w:rPr>
          <w:rtl/>
        </w:rPr>
        <w:t>بولوتسك</w:t>
      </w:r>
      <w:proofErr w:type="spellEnd"/>
      <w:r>
        <w:rPr>
          <w:rtl/>
        </w:rPr>
        <w:t xml:space="preserve"> يشكل انتهاك</w:t>
      </w:r>
      <w:r w:rsidR="006B1C07">
        <w:rPr>
          <w:rtl/>
        </w:rPr>
        <w:t xml:space="preserve">اً </w:t>
      </w:r>
      <w:r>
        <w:rPr>
          <w:rtl/>
        </w:rPr>
        <w:t xml:space="preserve">لحقوقه بموجب المادتين </w:t>
      </w:r>
      <w:r w:rsidRPr="00F11B28">
        <w:rPr>
          <w:rtl/>
        </w:rPr>
        <w:t>19</w:t>
      </w:r>
      <w:r>
        <w:rPr>
          <w:rtl/>
        </w:rPr>
        <w:t xml:space="preserve"> و</w:t>
      </w:r>
      <w:r w:rsidRPr="00F11B28">
        <w:rPr>
          <w:rtl/>
        </w:rPr>
        <w:t>21</w:t>
      </w:r>
      <w:r>
        <w:rPr>
          <w:rtl/>
        </w:rPr>
        <w:t xml:space="preserve"> من العهد.</w:t>
      </w:r>
    </w:p>
    <w:p w14:paraId="413D33E1" w14:textId="7F944A9B" w:rsidR="00407392" w:rsidRDefault="00407392" w:rsidP="00407392">
      <w:pPr>
        <w:pStyle w:val="SingleTxtGA"/>
      </w:pPr>
      <w:r w:rsidRPr="00F11B28">
        <w:rPr>
          <w:rtl/>
        </w:rPr>
        <w:t>7</w:t>
      </w:r>
      <w:r>
        <w:rPr>
          <w:rtl/>
        </w:rPr>
        <w:t>-</w:t>
      </w:r>
      <w:r w:rsidRPr="00F11B28">
        <w:rPr>
          <w:rtl/>
        </w:rPr>
        <w:t>3</w:t>
      </w:r>
      <w:r>
        <w:rPr>
          <w:rtl/>
        </w:rPr>
        <w:tab/>
        <w:t>وتحيط اللجنة علم</w:t>
      </w:r>
      <w:r w:rsidR="006B1C07">
        <w:rPr>
          <w:rtl/>
        </w:rPr>
        <w:t xml:space="preserve">اً </w:t>
      </w:r>
      <w:r>
        <w:rPr>
          <w:rtl/>
        </w:rPr>
        <w:t xml:space="preserve">بادعاء صاحب البلاغ أن حقه في حرية التجمع السلمي قد قُيّد بصورة غير قانونية، لأنه لم يُمنح جميع الخدمات والتراخيص اللازمة لتنظيم اعتصام سلمي لجمع التوقيعات بغرض دعم إنشاء جمعية عامة لحماية حقوق المستهلكين. ولذلك فإن المسألة المعروضة على اللجنة هي تحديد ما إذا كان الحظر الذي فرضته سلطات المقاطعة على صاحب البلاغ لعقد اجتماع سلمي بغرض التعبير، يشكل انتهاكاً للمادة </w:t>
      </w:r>
      <w:r w:rsidRPr="00F11B28">
        <w:rPr>
          <w:rtl/>
        </w:rPr>
        <w:t>21</w:t>
      </w:r>
      <w:r>
        <w:rPr>
          <w:rtl/>
        </w:rPr>
        <w:t xml:space="preserve"> من العهد.</w:t>
      </w:r>
    </w:p>
    <w:p w14:paraId="6816B24A" w14:textId="5A943A3C" w:rsidR="00F11B28" w:rsidRPr="00F11B28" w:rsidRDefault="00407392" w:rsidP="00407392">
      <w:pPr>
        <w:pStyle w:val="SingleTxtGA"/>
        <w:rPr>
          <w:color w:val="000000"/>
        </w:rPr>
      </w:pPr>
      <w:r w:rsidRPr="00F11B28">
        <w:rPr>
          <w:rtl/>
        </w:rPr>
        <w:t>7</w:t>
      </w:r>
      <w:r>
        <w:rPr>
          <w:rtl/>
        </w:rPr>
        <w:t>-</w:t>
      </w:r>
      <w:r w:rsidRPr="00F11B28">
        <w:rPr>
          <w:rtl/>
        </w:rPr>
        <w:t>4</w:t>
      </w:r>
      <w:r>
        <w:rPr>
          <w:rtl/>
        </w:rPr>
        <w:tab/>
        <w:t xml:space="preserve">وذكرت اللجنة في تعليقها العام رقم </w:t>
      </w:r>
      <w:r w:rsidRPr="00F11B28">
        <w:rPr>
          <w:rtl/>
        </w:rPr>
        <w:t>37</w:t>
      </w:r>
      <w:r>
        <w:rPr>
          <w:rtl/>
        </w:rPr>
        <w:t>(</w:t>
      </w:r>
      <w:r w:rsidRPr="00F11B28">
        <w:rPr>
          <w:rtl/>
        </w:rPr>
        <w:t>202</w:t>
      </w:r>
      <w:r w:rsidR="00F11B28" w:rsidRPr="00F11B28">
        <w:rPr>
          <w:color w:val="000000"/>
          <w:rtl/>
        </w:rPr>
        <w:t xml:space="preserve">0) </w:t>
      </w:r>
      <w:r>
        <w:rPr>
          <w:rtl/>
        </w:rPr>
        <w:t>أنه يجوز تنظيم التجمعات السلمية، من حيث المبدأ، في جميع الأماكن التي يمكن للناس الوصول إليها أو التي ينبغي أن تتاح لهم إمكانية الوصول إليها، مثل الساحات العامة والشوارع</w:t>
      </w:r>
      <w:r w:rsidR="00F11B28" w:rsidRPr="00F11B28">
        <w:rPr>
          <w:rStyle w:val="FootnoteReference"/>
          <w:szCs w:val="22"/>
          <w:rtl/>
          <w:lang w:val="en-US"/>
        </w:rPr>
        <w:t>(</w:t>
      </w:r>
      <w:r w:rsidR="00F11B28" w:rsidRPr="00F11B28">
        <w:rPr>
          <w:rStyle w:val="FootnoteReference"/>
          <w:szCs w:val="22"/>
          <w:lang w:val="en-US"/>
        </w:rPr>
        <w:footnoteReference w:id="8"/>
      </w:r>
      <w:r w:rsidR="00F11B28" w:rsidRPr="00F11B28">
        <w:rPr>
          <w:color w:val="000000"/>
          <w:vertAlign w:val="superscript"/>
          <w:rtl/>
        </w:rPr>
        <w:t>)</w:t>
      </w:r>
      <w:r w:rsidR="00F11B28" w:rsidRPr="00F11B28">
        <w:rPr>
          <w:color w:val="000000"/>
          <w:rtl/>
        </w:rPr>
        <w:t>.</w:t>
      </w:r>
      <w:r w:rsidR="00F11B28" w:rsidRPr="00F11B28">
        <w:rPr>
          <w:color w:val="000000"/>
          <w:rtl/>
        </w:rPr>
        <w:t xml:space="preserve"> </w:t>
      </w:r>
      <w:r>
        <w:rPr>
          <w:rtl/>
        </w:rPr>
        <w:t xml:space="preserve">وينبغي عدم إبعاد التجمعات السلمية إلى مناطق نائية يتعذر فيها </w:t>
      </w:r>
      <w:r w:rsidRPr="006B1C07">
        <w:rPr>
          <w:spacing w:val="-2"/>
          <w:rtl/>
        </w:rPr>
        <w:t>جذب اهتمام الفئات المستهدفة أو عامة الناس بصورة فعالة. وعلى العموم، لا يمكن فرض حظر كلّي على</w:t>
      </w:r>
      <w:r>
        <w:rPr>
          <w:rtl/>
        </w:rPr>
        <w:t xml:space="preserve"> </w:t>
      </w:r>
      <w:r w:rsidRPr="006B1C07">
        <w:rPr>
          <w:spacing w:val="-2"/>
          <w:rtl/>
        </w:rPr>
        <w:t>جميع التجمعات في العاصمة أو في جميع الأماكن العامة باستثناء مكان واحد محدد داخل المدينة أو خارج</w:t>
      </w:r>
      <w:r>
        <w:rPr>
          <w:rtl/>
        </w:rPr>
        <w:t xml:space="preserve"> </w:t>
      </w:r>
      <w:r w:rsidRPr="006B1C07">
        <w:rPr>
          <w:spacing w:val="-2"/>
          <w:rtl/>
        </w:rPr>
        <w:t>وسط المدينة، أو في جميع شوارع المدينة. وتلاحظ اللجنة كذلك أن الشروط التي تلزم منظمي التجمع السلمي</w:t>
      </w:r>
      <w:r>
        <w:rPr>
          <w:rtl/>
        </w:rPr>
        <w:t xml:space="preserve"> </w:t>
      </w:r>
      <w:r w:rsidRPr="006B1C07">
        <w:rPr>
          <w:spacing w:val="-2"/>
          <w:rtl/>
        </w:rPr>
        <w:t>أو المشاركين فيه إما بترتيب ضبط النظام أو الأمن، أو تقديم المساعدة الطبية أو التنظيف، أو أي خدمات</w:t>
      </w:r>
      <w:r>
        <w:rPr>
          <w:rtl/>
        </w:rPr>
        <w:t xml:space="preserve"> </w:t>
      </w:r>
      <w:r w:rsidRPr="006B1C07">
        <w:rPr>
          <w:spacing w:val="-2"/>
          <w:rtl/>
        </w:rPr>
        <w:t xml:space="preserve">عامة أخرى مرتبطة بالتجمعات السلمية، أو بالمساهمة في دفع تكاليف ذلك، لا تتفق مع أحكام المادة </w:t>
      </w:r>
      <w:r w:rsidRPr="00F11B28">
        <w:rPr>
          <w:rtl/>
        </w:rPr>
        <w:t>21</w:t>
      </w:r>
      <w:r w:rsidR="00F11B28" w:rsidRPr="00F11B28">
        <w:rPr>
          <w:rStyle w:val="FootnoteReference"/>
          <w:szCs w:val="22"/>
          <w:rtl/>
          <w:lang w:val="en-US"/>
        </w:rPr>
        <w:t>(</w:t>
      </w:r>
      <w:r w:rsidR="00F11B28" w:rsidRPr="00F11B28">
        <w:rPr>
          <w:rStyle w:val="FootnoteReference"/>
          <w:szCs w:val="22"/>
          <w:lang w:val="en-US"/>
        </w:rPr>
        <w:footnoteReference w:id="9"/>
      </w:r>
      <w:r w:rsidR="00F11B28" w:rsidRPr="00F11B28">
        <w:rPr>
          <w:color w:val="000000"/>
          <w:vertAlign w:val="superscript"/>
          <w:rtl/>
        </w:rPr>
        <w:t>)</w:t>
      </w:r>
      <w:r w:rsidR="00F11B28" w:rsidRPr="00F11B28">
        <w:rPr>
          <w:color w:val="000000"/>
          <w:rtl/>
        </w:rPr>
        <w:t>.</w:t>
      </w:r>
    </w:p>
    <w:p w14:paraId="51C05E01" w14:textId="5A685914" w:rsidR="00F11B28" w:rsidRPr="00F11B28" w:rsidRDefault="00407392" w:rsidP="00407392">
      <w:pPr>
        <w:pStyle w:val="SingleTxtGA"/>
        <w:rPr>
          <w:color w:val="000000"/>
        </w:rPr>
      </w:pPr>
      <w:r w:rsidRPr="00F11B28">
        <w:rPr>
          <w:rtl/>
        </w:rPr>
        <w:t>7</w:t>
      </w:r>
      <w:r>
        <w:rPr>
          <w:rtl/>
        </w:rPr>
        <w:t>-</w:t>
      </w:r>
      <w:r w:rsidRPr="00F11B28">
        <w:rPr>
          <w:rtl/>
        </w:rPr>
        <w:t>5</w:t>
      </w:r>
      <w:r>
        <w:rPr>
          <w:rtl/>
        </w:rPr>
        <w:tab/>
      </w:r>
      <w:r w:rsidRPr="006B1C07">
        <w:rPr>
          <w:spacing w:val="-4"/>
          <w:rtl/>
        </w:rPr>
        <w:t xml:space="preserve">وتذكّر اللجنة بأن الحق في التجمع السلمي، الذي تكفله المادة </w:t>
      </w:r>
      <w:r w:rsidRPr="00F11B28">
        <w:rPr>
          <w:spacing w:val="-4"/>
          <w:rtl/>
        </w:rPr>
        <w:t>21</w:t>
      </w:r>
      <w:r w:rsidRPr="006B1C07">
        <w:rPr>
          <w:spacing w:val="-4"/>
          <w:rtl/>
        </w:rPr>
        <w:t xml:space="preserve"> من العهد، حق أساسي من حقوق</w:t>
      </w:r>
      <w:r w:rsidRPr="006B1C07">
        <w:rPr>
          <w:spacing w:val="-2"/>
          <w:rtl/>
        </w:rPr>
        <w:t xml:space="preserve"> الإنسان ضروري لتعبير الفرد علن</w:t>
      </w:r>
      <w:r w:rsidR="006B1C07">
        <w:rPr>
          <w:spacing w:val="-2"/>
          <w:rtl/>
        </w:rPr>
        <w:t xml:space="preserve">اً </w:t>
      </w:r>
      <w:r w:rsidRPr="006B1C07">
        <w:rPr>
          <w:spacing w:val="-2"/>
          <w:rtl/>
        </w:rPr>
        <w:t>عن آرائه ووجهات نظره ولا غنى عنه في مجتمع ديمقراطي. وتحمي</w:t>
      </w:r>
      <w:r>
        <w:rPr>
          <w:rtl/>
        </w:rPr>
        <w:t xml:space="preserve"> المادة </w:t>
      </w:r>
      <w:r w:rsidRPr="00F11B28">
        <w:rPr>
          <w:rtl/>
        </w:rPr>
        <w:t>21</w:t>
      </w:r>
      <w:r>
        <w:rPr>
          <w:rtl/>
        </w:rPr>
        <w:t xml:space="preserve"> من العهد التجمعات السلمية أينما عُقدت، سواء في الهواء الطلق أو في الأماكن المغلقة أو</w:t>
      </w:r>
      <w:r w:rsidR="00A42A0B">
        <w:rPr>
          <w:rFonts w:hint="cs"/>
          <w:rtl/>
        </w:rPr>
        <w:t> </w:t>
      </w:r>
      <w:r>
        <w:rPr>
          <w:rtl/>
        </w:rPr>
        <w:t xml:space="preserve">عبر </w:t>
      </w:r>
      <w:r w:rsidRPr="00A42A0B">
        <w:rPr>
          <w:spacing w:val="-4"/>
          <w:rtl/>
        </w:rPr>
        <w:t>الإنترنت؛ أوفي الفضاءات العامة والخاصة؛ أو فيهما معاً. وقد تتّخذ هذه التجمعات أشكالاً عديدة، بما فيها</w:t>
      </w:r>
      <w:r>
        <w:rPr>
          <w:rtl/>
        </w:rPr>
        <w:t xml:space="preserve"> المظاهرات والاحتجاجات والاجتماعات والمواكب والتجمعات والاعتصامات والوقفات على ضوء </w:t>
      </w:r>
      <w:r w:rsidRPr="006B1C07">
        <w:rPr>
          <w:spacing w:val="-4"/>
          <w:rtl/>
        </w:rPr>
        <w:t xml:space="preserve">الشموع والتجمعات المفاجئة. وهي محمية بموجب المادة </w:t>
      </w:r>
      <w:r w:rsidRPr="00F11B28">
        <w:rPr>
          <w:spacing w:val="-4"/>
          <w:rtl/>
        </w:rPr>
        <w:t>21</w:t>
      </w:r>
      <w:r w:rsidRPr="006B1C07">
        <w:rPr>
          <w:spacing w:val="-4"/>
          <w:rtl/>
        </w:rPr>
        <w:t xml:space="preserve"> سواء أكانت ثابتة، مثل الاعتصامات، أو</w:t>
      </w:r>
      <w:r>
        <w:rPr>
          <w:rtl/>
        </w:rPr>
        <w:t xml:space="preserve"> متنقلة، مثل المواكب أو المسيرات</w:t>
      </w:r>
      <w:r w:rsidR="00F11B28" w:rsidRPr="00F11B28">
        <w:rPr>
          <w:rStyle w:val="FootnoteReference"/>
          <w:szCs w:val="22"/>
          <w:rtl/>
          <w:lang w:val="en-US"/>
        </w:rPr>
        <w:t>(</w:t>
      </w:r>
      <w:r w:rsidR="00F11B28" w:rsidRPr="00F11B28">
        <w:rPr>
          <w:rStyle w:val="FootnoteReference"/>
          <w:szCs w:val="22"/>
          <w:lang w:val="en-US"/>
        </w:rPr>
        <w:footnoteReference w:id="10"/>
      </w:r>
      <w:r w:rsidR="00F11B28" w:rsidRPr="00F11B28">
        <w:rPr>
          <w:color w:val="000000"/>
          <w:vertAlign w:val="superscript"/>
          <w:rtl/>
        </w:rPr>
        <w:t>)</w:t>
      </w:r>
      <w:r w:rsidR="00F11B28" w:rsidRPr="00F11B28">
        <w:rPr>
          <w:color w:val="000000"/>
          <w:rtl/>
        </w:rPr>
        <w:t>.</w:t>
      </w:r>
      <w:r w:rsidR="00F11B28" w:rsidRPr="00F11B28">
        <w:rPr>
          <w:color w:val="000000"/>
          <w:rtl/>
        </w:rPr>
        <w:t xml:space="preserve"> </w:t>
      </w:r>
      <w:r>
        <w:rPr>
          <w:rtl/>
        </w:rPr>
        <w:t xml:space="preserve">ويكون لمنظمي التجمع عموماً الحق في اختيار الموقع بالقرب من جمهورهم المستهدف بصراً وسمعاً، ولا يجوز أن يقيّد هذا الحق إلا إذا: (أ) فُرض وفقاً للقانون؛ و(ب) كان ضرورياً للمجتمع الديمقراطي ولصالح الأمن القومي والسلامة العامة والنظام العام وحماية الصحة أو الآداب العامة </w:t>
      </w:r>
      <w:r>
        <w:rPr>
          <w:rtl/>
        </w:rPr>
        <w:lastRenderedPageBreak/>
        <w:t>أو حماية حقوق وحريات الآخرين</w:t>
      </w:r>
      <w:r w:rsidR="00F11B28" w:rsidRPr="00F11B28">
        <w:rPr>
          <w:rStyle w:val="FootnoteReference"/>
          <w:szCs w:val="22"/>
          <w:rtl/>
          <w:lang w:val="en-US"/>
        </w:rPr>
        <w:t>(</w:t>
      </w:r>
      <w:r w:rsidR="00F11B28" w:rsidRPr="00F11B28">
        <w:rPr>
          <w:rStyle w:val="FootnoteReference"/>
          <w:szCs w:val="22"/>
          <w:lang w:val="en-US"/>
        </w:rPr>
        <w:footnoteReference w:id="11"/>
      </w:r>
      <w:r w:rsidR="00F11B28" w:rsidRPr="00F11B28">
        <w:rPr>
          <w:color w:val="000000"/>
          <w:vertAlign w:val="superscript"/>
          <w:rtl/>
        </w:rPr>
        <w:t>)</w:t>
      </w:r>
      <w:r w:rsidR="00F11B28" w:rsidRPr="00F11B28">
        <w:rPr>
          <w:color w:val="000000"/>
          <w:rtl/>
        </w:rPr>
        <w:t xml:space="preserve">. </w:t>
      </w:r>
      <w:r>
        <w:rPr>
          <w:rtl/>
        </w:rPr>
        <w:t>وعندما تفرض دولة طرف قيوداً بهدف التوفيق بين حق الفرد في التجمع والمصالح العامة السالفة الذكر، ينبغي أن تستهدي بالهدف الذي يقضي بتيسير إعمال هذا الحق بدلاً من السعي إلى تقييده تقييداً غير ضروري وغير متناسب</w:t>
      </w:r>
      <w:r w:rsidR="00F11B28" w:rsidRPr="00F11B28">
        <w:rPr>
          <w:rStyle w:val="FootnoteReference"/>
          <w:szCs w:val="22"/>
          <w:rtl/>
          <w:lang w:val="en-US"/>
        </w:rPr>
        <w:t>(</w:t>
      </w:r>
      <w:r w:rsidR="00F11B28" w:rsidRPr="00F11B28">
        <w:rPr>
          <w:rStyle w:val="FootnoteReference"/>
          <w:szCs w:val="22"/>
          <w:lang w:val="en-US"/>
        </w:rPr>
        <w:footnoteReference w:id="12"/>
      </w:r>
      <w:r w:rsidR="00F11B28" w:rsidRPr="00F11B28">
        <w:rPr>
          <w:color w:val="000000"/>
          <w:vertAlign w:val="superscript"/>
          <w:rtl/>
        </w:rPr>
        <w:t>)</w:t>
      </w:r>
      <w:r w:rsidR="00F11B28" w:rsidRPr="00F11B28">
        <w:rPr>
          <w:color w:val="000000"/>
          <w:rtl/>
        </w:rPr>
        <w:t xml:space="preserve">. </w:t>
      </w:r>
      <w:r>
        <w:rPr>
          <w:rtl/>
        </w:rPr>
        <w:t xml:space="preserve">وبناء على ذلك، يقع على عاتق الدولة الطرف التزام تبرير تقييدها الحقَّ الذي تحميه المادة </w:t>
      </w:r>
      <w:r w:rsidRPr="00F11B28">
        <w:rPr>
          <w:rtl/>
        </w:rPr>
        <w:t>21</w:t>
      </w:r>
      <w:r>
        <w:rPr>
          <w:rtl/>
        </w:rPr>
        <w:t xml:space="preserve"> من العهد</w:t>
      </w:r>
      <w:r w:rsidR="00F11B28" w:rsidRPr="00F11B28">
        <w:rPr>
          <w:rStyle w:val="FootnoteReference"/>
          <w:szCs w:val="22"/>
          <w:rtl/>
          <w:lang w:val="en-US"/>
        </w:rPr>
        <w:t>(</w:t>
      </w:r>
      <w:r w:rsidR="00F11B28" w:rsidRPr="00F11B28">
        <w:rPr>
          <w:rStyle w:val="FootnoteReference"/>
          <w:szCs w:val="22"/>
          <w:lang w:val="en-US"/>
        </w:rPr>
        <w:footnoteReference w:id="13"/>
      </w:r>
      <w:r w:rsidR="00F11B28" w:rsidRPr="00F11B28">
        <w:rPr>
          <w:color w:val="000000"/>
          <w:vertAlign w:val="superscript"/>
          <w:rtl/>
        </w:rPr>
        <w:t>)</w:t>
      </w:r>
      <w:r w:rsidR="00F11B28" w:rsidRPr="00F11B28">
        <w:rPr>
          <w:color w:val="000000"/>
          <w:rtl/>
        </w:rPr>
        <w:t>.</w:t>
      </w:r>
    </w:p>
    <w:p w14:paraId="107EDA97" w14:textId="30DBFC5D" w:rsidR="00F11B28" w:rsidRPr="00F11B28" w:rsidRDefault="00407392" w:rsidP="00407392">
      <w:pPr>
        <w:pStyle w:val="SingleTxtGA"/>
        <w:rPr>
          <w:color w:val="000000"/>
        </w:rPr>
      </w:pPr>
      <w:r w:rsidRPr="00F11B28">
        <w:rPr>
          <w:rtl/>
        </w:rPr>
        <w:t>7</w:t>
      </w:r>
      <w:r>
        <w:rPr>
          <w:rtl/>
        </w:rPr>
        <w:t>-</w:t>
      </w:r>
      <w:r w:rsidRPr="00F11B28">
        <w:rPr>
          <w:rtl/>
        </w:rPr>
        <w:t>6</w:t>
      </w:r>
      <w:r>
        <w:rPr>
          <w:rtl/>
        </w:rPr>
        <w:tab/>
        <w:t>وفي هذه القضية، يجب على اللجنة أن تنظر فيما إذا كانت القيود المفروضة على حق صاحب البلاغ في التجمع السلمي، رغم أنه كان مقرر</w:t>
      </w:r>
      <w:r w:rsidR="006B1C07">
        <w:rPr>
          <w:rtl/>
        </w:rPr>
        <w:t xml:space="preserve">اً </w:t>
      </w:r>
      <w:r>
        <w:rPr>
          <w:rtl/>
        </w:rPr>
        <w:t xml:space="preserve">تنظيم الاعتصام السلمي بالقرب من موقع سبق أن حددته اللجنة التنفيذية للمدينة كمنطقة مخصصة على وجه التحديد لتنظيم التجمعات السلمية في المدينة، مبررة بمقتضى أي معيار من المعايير المبيّنة في الجملة الثانية من المادة </w:t>
      </w:r>
      <w:r w:rsidRPr="00F11B28">
        <w:rPr>
          <w:rtl/>
        </w:rPr>
        <w:t>21</w:t>
      </w:r>
      <w:r>
        <w:rPr>
          <w:rtl/>
        </w:rPr>
        <w:t xml:space="preserve"> من العهد. وفي ضوء المعلومات المتاحة في الملف، رُفض طلب صاحب البلاغ تنظيم اعتصام سلمي لأن صاحب البلاغ لم يقدم أي عقد مبرم مع الجهات المعنية المقدمة للخدمات في المدن لضمان الخدمات الطبية أثناء الحدث وتنظيف الموقع بعد ذلك. وفي هذا السياق، تلاحظ اللجنة أن لا السلطات التنفيذية لمقاطعة </w:t>
      </w:r>
      <w:proofErr w:type="spellStart"/>
      <w:r>
        <w:rPr>
          <w:rtl/>
        </w:rPr>
        <w:t>بولوتسك</w:t>
      </w:r>
      <w:proofErr w:type="spellEnd"/>
      <w:r>
        <w:rPr>
          <w:rtl/>
        </w:rPr>
        <w:t xml:space="preserve"> ولا المحاكم المحلية قدمت عملياً أي تبرير أو توضيح للكيفية التي كان سينتهك بها اعتصام صاحب البلاغ، في الواقع العملي، الأمن الوطني أو السلامة العامة أو النظام العام أو حماية الصحة العامة أو الآداب العامة أو</w:t>
      </w:r>
      <w:r w:rsidR="006B1C07">
        <w:rPr>
          <w:rFonts w:hint="cs"/>
          <w:rtl/>
        </w:rPr>
        <w:t> </w:t>
      </w:r>
      <w:r>
        <w:rPr>
          <w:rtl/>
        </w:rPr>
        <w:t xml:space="preserve">حقوق الغير وحرياتهم، وفق ما تنص عليه المادة </w:t>
      </w:r>
      <w:r w:rsidRPr="00F11B28">
        <w:rPr>
          <w:rtl/>
        </w:rPr>
        <w:t>21</w:t>
      </w:r>
      <w:r>
        <w:rPr>
          <w:rtl/>
        </w:rPr>
        <w:t xml:space="preserve"> من العهد. ولم تثبت الدولة الطرف أنها اتخذت أي تدابير بديلة لتيسير ممارسة صاحب البلاغ حقوقه بمقتضى المادة </w:t>
      </w:r>
      <w:r w:rsidRPr="00F11B28">
        <w:rPr>
          <w:rtl/>
        </w:rPr>
        <w:t>2</w:t>
      </w:r>
      <w:r w:rsidR="00F11B28" w:rsidRPr="00F11B28">
        <w:rPr>
          <w:color w:val="000000"/>
          <w:rtl/>
        </w:rPr>
        <w:t>1.</w:t>
      </w:r>
    </w:p>
    <w:p w14:paraId="24D81227" w14:textId="2BFDDB2F" w:rsidR="00F11B28" w:rsidRPr="00F11B28" w:rsidRDefault="00407392" w:rsidP="00407392">
      <w:pPr>
        <w:pStyle w:val="SingleTxtGA"/>
        <w:rPr>
          <w:color w:val="000000"/>
        </w:rPr>
      </w:pPr>
      <w:r w:rsidRPr="00F11B28">
        <w:rPr>
          <w:rtl/>
        </w:rPr>
        <w:t>7</w:t>
      </w:r>
      <w:r>
        <w:rPr>
          <w:rtl/>
        </w:rPr>
        <w:t>-</w:t>
      </w:r>
      <w:r w:rsidRPr="00F11B28">
        <w:rPr>
          <w:rtl/>
        </w:rPr>
        <w:t>7</w:t>
      </w:r>
      <w:r>
        <w:rPr>
          <w:rtl/>
        </w:rPr>
        <w:tab/>
      </w:r>
      <w:r w:rsidRPr="006B1C07">
        <w:rPr>
          <w:spacing w:val="-2"/>
          <w:rtl/>
        </w:rPr>
        <w:t xml:space="preserve">وبما أن الدولة الطرف لم تقدم أي توضيحات إضافية، فإن اللجنة تخلص إلى أنها انتهكت حقوق </w:t>
      </w:r>
      <w:r>
        <w:rPr>
          <w:rtl/>
        </w:rPr>
        <w:t xml:space="preserve">صاحب البلاغ المنصوص عليها في المادة </w:t>
      </w:r>
      <w:r w:rsidRPr="00F11B28">
        <w:rPr>
          <w:rtl/>
        </w:rPr>
        <w:t>21</w:t>
      </w:r>
      <w:r>
        <w:rPr>
          <w:rtl/>
        </w:rPr>
        <w:t xml:space="preserve"> من العهد</w:t>
      </w:r>
      <w:r w:rsidR="00F11B28" w:rsidRPr="00F11B28">
        <w:rPr>
          <w:rStyle w:val="FootnoteReference"/>
          <w:szCs w:val="22"/>
          <w:rtl/>
          <w:lang w:val="en-US"/>
        </w:rPr>
        <w:t>(</w:t>
      </w:r>
      <w:r w:rsidR="00F11B28" w:rsidRPr="00F11B28">
        <w:rPr>
          <w:rStyle w:val="FootnoteReference"/>
          <w:szCs w:val="22"/>
          <w:lang w:val="en-US"/>
        </w:rPr>
        <w:footnoteReference w:id="14"/>
      </w:r>
      <w:r w:rsidR="00F11B28" w:rsidRPr="00F11B28">
        <w:rPr>
          <w:color w:val="000000"/>
          <w:vertAlign w:val="superscript"/>
          <w:rtl/>
        </w:rPr>
        <w:t>)</w:t>
      </w:r>
      <w:r w:rsidR="00F11B28" w:rsidRPr="00F11B28">
        <w:rPr>
          <w:color w:val="000000"/>
          <w:rtl/>
        </w:rPr>
        <w:t>.</w:t>
      </w:r>
    </w:p>
    <w:p w14:paraId="4AB08D10" w14:textId="103D344B" w:rsidR="00407392" w:rsidRDefault="00407392" w:rsidP="00407392">
      <w:pPr>
        <w:pStyle w:val="SingleTxtGA"/>
      </w:pPr>
      <w:r w:rsidRPr="00F11B28">
        <w:rPr>
          <w:rtl/>
        </w:rPr>
        <w:t>7</w:t>
      </w:r>
      <w:r>
        <w:rPr>
          <w:rtl/>
        </w:rPr>
        <w:t>-</w:t>
      </w:r>
      <w:r w:rsidRPr="00F11B28">
        <w:rPr>
          <w:rtl/>
        </w:rPr>
        <w:t>8</w:t>
      </w:r>
      <w:r>
        <w:rPr>
          <w:rtl/>
        </w:rPr>
        <w:tab/>
        <w:t>وتحيط اللجنة علم</w:t>
      </w:r>
      <w:r w:rsidR="006B1C07">
        <w:rPr>
          <w:rtl/>
        </w:rPr>
        <w:t xml:space="preserve">اً </w:t>
      </w:r>
      <w:r>
        <w:rPr>
          <w:rtl/>
        </w:rPr>
        <w:t>كذلك بادعاء صاحب البلاغ أن حقه في حرية التعبير قد قُيّد بصورة غير قانونية، لأنه لم يمنح الترخيص لتنظيم اعتصام سلمي لجمع التوقيعات بغرض دعم إنشاء جمعية عامة لحماية حقوق المستهلكين. ولذلك فإن المسألة المعروضة على اللجنة هي تحديد ما إذا كان الحظر الذي فرضته السلطات التنفيذية للمقاطعة على صاحب البلاغ لعقده اجتماع</w:t>
      </w:r>
      <w:r w:rsidR="006B1C07">
        <w:rPr>
          <w:rtl/>
        </w:rPr>
        <w:t xml:space="preserve">اً </w:t>
      </w:r>
      <w:r>
        <w:rPr>
          <w:rtl/>
        </w:rPr>
        <w:t>سلمي</w:t>
      </w:r>
      <w:r w:rsidR="006B1C07">
        <w:rPr>
          <w:rtl/>
        </w:rPr>
        <w:t xml:space="preserve">اً </w:t>
      </w:r>
      <w:r>
        <w:rPr>
          <w:rtl/>
        </w:rPr>
        <w:t xml:space="preserve">بغرض التعبير، يشكل انتهاكاً للمادة </w:t>
      </w:r>
      <w:r w:rsidRPr="00F11B28">
        <w:rPr>
          <w:rtl/>
        </w:rPr>
        <w:t>19</w:t>
      </w:r>
      <w:r>
        <w:rPr>
          <w:rtl/>
        </w:rPr>
        <w:t xml:space="preserve"> من العهد.</w:t>
      </w:r>
    </w:p>
    <w:p w14:paraId="72207DF8" w14:textId="5585B4B6" w:rsidR="00407392" w:rsidRDefault="00407392" w:rsidP="00407392">
      <w:pPr>
        <w:pStyle w:val="SingleTxtGA"/>
      </w:pPr>
      <w:r w:rsidRPr="00F11B28">
        <w:rPr>
          <w:rtl/>
        </w:rPr>
        <w:t>7</w:t>
      </w:r>
      <w:r>
        <w:rPr>
          <w:rtl/>
        </w:rPr>
        <w:t>-</w:t>
      </w:r>
      <w:r w:rsidRPr="00F11B28">
        <w:rPr>
          <w:rtl/>
        </w:rPr>
        <w:t>9</w:t>
      </w:r>
      <w:r>
        <w:rPr>
          <w:rtl/>
        </w:rPr>
        <w:tab/>
        <w:t xml:space="preserve">وتذكّر اللجنة في هذا الصدد بتعليقها العام رقم </w:t>
      </w:r>
      <w:r w:rsidRPr="00F11B28">
        <w:rPr>
          <w:rtl/>
        </w:rPr>
        <w:t>34</w:t>
      </w:r>
      <w:r>
        <w:rPr>
          <w:rtl/>
        </w:rPr>
        <w:t>(</w:t>
      </w:r>
      <w:r w:rsidRPr="00F11B28">
        <w:rPr>
          <w:rtl/>
        </w:rPr>
        <w:t>201</w:t>
      </w:r>
      <w:r w:rsidR="00F11B28" w:rsidRPr="00F11B28">
        <w:rPr>
          <w:color w:val="000000"/>
          <w:rtl/>
        </w:rPr>
        <w:t xml:space="preserve">1) </w:t>
      </w:r>
      <w:r>
        <w:rPr>
          <w:rtl/>
        </w:rPr>
        <w:t>حيث أشارت، في جملة أمور، إلى أن حرية التعبير عنصر لا غنى عنه من عناصر أي مجتمع، ويشكل حجر الزاوية لكل مجتمع تسوده الحرية والديمقراطية</w:t>
      </w:r>
      <w:r w:rsidR="00F11B28" w:rsidRPr="00F11B28">
        <w:rPr>
          <w:rStyle w:val="FootnoteReference"/>
          <w:szCs w:val="22"/>
          <w:rtl/>
          <w:lang w:val="en-US"/>
        </w:rPr>
        <w:t>(</w:t>
      </w:r>
      <w:r w:rsidR="00F11B28" w:rsidRPr="00F11B28">
        <w:rPr>
          <w:rStyle w:val="FootnoteReference"/>
          <w:szCs w:val="22"/>
          <w:lang w:val="en-US"/>
        </w:rPr>
        <w:footnoteReference w:id="15"/>
      </w:r>
      <w:r w:rsidR="00F11B28" w:rsidRPr="00F11B28">
        <w:rPr>
          <w:color w:val="000000"/>
          <w:vertAlign w:val="superscript"/>
          <w:rtl/>
        </w:rPr>
        <w:t>)</w:t>
      </w:r>
      <w:r w:rsidR="00F11B28" w:rsidRPr="00F11B28">
        <w:rPr>
          <w:color w:val="000000"/>
          <w:rtl/>
        </w:rPr>
        <w:t>.</w:t>
      </w:r>
      <w:r w:rsidR="00F11B28" w:rsidRPr="00F11B28">
        <w:rPr>
          <w:color w:val="000000"/>
          <w:rtl/>
        </w:rPr>
        <w:t xml:space="preserve"> </w:t>
      </w:r>
      <w:r>
        <w:rPr>
          <w:rtl/>
        </w:rPr>
        <w:t xml:space="preserve">وتلاحظ أن المادة </w:t>
      </w:r>
      <w:r w:rsidRPr="00F11B28">
        <w:rPr>
          <w:rtl/>
        </w:rPr>
        <w:t>19</w:t>
      </w:r>
      <w:r>
        <w:rPr>
          <w:rtl/>
        </w:rPr>
        <w:t>(</w:t>
      </w:r>
      <w:r w:rsidR="00F11B28" w:rsidRPr="00F11B28">
        <w:rPr>
          <w:color w:val="000000"/>
          <w:rtl/>
        </w:rPr>
        <w:t xml:space="preserve">3) </w:t>
      </w:r>
      <w:r>
        <w:rPr>
          <w:rtl/>
        </w:rPr>
        <w:t xml:space="preserve">من الاتفاقية لا تجيز فرض قيود معينة على حرية التعبير، بما فيها حرية نقل المعلومات والأفكار، إلا في حدود ما ينص عليه القانون، وإلا إن كانت ضرورية (أ) لاحترام حقوق الغيْر أو سمعتهم أو (ب) لحماية الأمن الوطني أو النظام العام أو الصحة العامة أو الآداب العامة. وأخيراً، يجب ألا يكون أي تقييد لحرية التعبير مفرطاً في طبيعته - أي أنه يجب أن يكون أقل التدابير تدخلاً من بين التدابير التي من شأنها تحقيق وظيفة الحماية ذات الصلة وأن يكون </w:t>
      </w:r>
      <w:r>
        <w:rPr>
          <w:rtl/>
        </w:rPr>
        <w:lastRenderedPageBreak/>
        <w:t>متناسباً مع المصلحة موضوع الحماية</w:t>
      </w:r>
      <w:r w:rsidR="00F11B28" w:rsidRPr="00F11B28">
        <w:rPr>
          <w:rStyle w:val="FootnoteReference"/>
          <w:szCs w:val="22"/>
          <w:rtl/>
          <w:lang w:val="en-US"/>
        </w:rPr>
        <w:t>(</w:t>
      </w:r>
      <w:r w:rsidR="00F11B28" w:rsidRPr="00F11B28">
        <w:rPr>
          <w:rStyle w:val="FootnoteReference"/>
          <w:szCs w:val="22"/>
          <w:lang w:val="en-US"/>
        </w:rPr>
        <w:footnoteReference w:id="16"/>
      </w:r>
      <w:r w:rsidR="00F11B28" w:rsidRPr="00F11B28">
        <w:rPr>
          <w:color w:val="000000"/>
          <w:vertAlign w:val="superscript"/>
          <w:rtl/>
        </w:rPr>
        <w:t>)</w:t>
      </w:r>
      <w:r w:rsidR="00F11B28" w:rsidRPr="00F11B28">
        <w:rPr>
          <w:color w:val="000000"/>
          <w:rtl/>
        </w:rPr>
        <w:t xml:space="preserve">. </w:t>
      </w:r>
      <w:r>
        <w:rPr>
          <w:rtl/>
        </w:rPr>
        <w:t xml:space="preserve">وتذكر اللجنة بأنه تقع على عاتق الدولة الطرف مسؤولية إثبات </w:t>
      </w:r>
      <w:r w:rsidRPr="00A42A0B">
        <w:rPr>
          <w:spacing w:val="-2"/>
          <w:rtl/>
        </w:rPr>
        <w:t xml:space="preserve">وجه الضرورة والتناسب في القيود المفروضة على حقوق صاحب البلاغ التي تكفلها المادة </w:t>
      </w:r>
      <w:r w:rsidRPr="00F11B28">
        <w:rPr>
          <w:spacing w:val="-2"/>
          <w:rtl/>
        </w:rPr>
        <w:t>19</w:t>
      </w:r>
      <w:r w:rsidRPr="00A42A0B">
        <w:rPr>
          <w:spacing w:val="-2"/>
          <w:rtl/>
        </w:rPr>
        <w:t xml:space="preserve"> من العهد</w:t>
      </w:r>
      <w:r w:rsidR="00F11B28" w:rsidRPr="00F11B28">
        <w:rPr>
          <w:rStyle w:val="FootnoteReference"/>
          <w:szCs w:val="22"/>
          <w:rtl/>
          <w:lang w:val="en-US"/>
        </w:rPr>
        <w:t>(</w:t>
      </w:r>
      <w:r w:rsidR="00F11B28" w:rsidRPr="00F11B28">
        <w:rPr>
          <w:rStyle w:val="FootnoteReference"/>
          <w:szCs w:val="22"/>
          <w:lang w:val="en-US"/>
        </w:rPr>
        <w:footnoteReference w:id="17"/>
      </w:r>
      <w:r w:rsidR="00F11B28" w:rsidRPr="00F11B28">
        <w:rPr>
          <w:color w:val="000000"/>
          <w:vertAlign w:val="superscript"/>
          <w:rtl/>
        </w:rPr>
        <w:t>)</w:t>
      </w:r>
      <w:r w:rsidR="00F11B28" w:rsidRPr="00F11B28">
        <w:rPr>
          <w:color w:val="000000"/>
          <w:rtl/>
        </w:rPr>
        <w:t xml:space="preserve">. </w:t>
      </w:r>
    </w:p>
    <w:p w14:paraId="638D8728" w14:textId="762787D5" w:rsidR="00407392" w:rsidRDefault="00407392" w:rsidP="00407392">
      <w:pPr>
        <w:pStyle w:val="SingleTxtGA"/>
      </w:pPr>
      <w:r w:rsidRPr="00F11B28">
        <w:rPr>
          <w:rtl/>
        </w:rPr>
        <w:t>7</w:t>
      </w:r>
      <w:r>
        <w:rPr>
          <w:rtl/>
        </w:rPr>
        <w:t>-</w:t>
      </w:r>
      <w:r w:rsidRPr="00F11B28">
        <w:rPr>
          <w:rtl/>
        </w:rPr>
        <w:t>10</w:t>
      </w:r>
      <w:r>
        <w:rPr>
          <w:rtl/>
        </w:rPr>
        <w:tab/>
        <w:t xml:space="preserve">وتلاحظ اللجنة أن تقييد تنظيم الاعتصامات في بعض الأماكن المحددة سلفاً لا يستوفي، على ما يبدو، معياري الضرورة والتناسب بموجب المادة </w:t>
      </w:r>
      <w:r w:rsidRPr="00F11B28">
        <w:rPr>
          <w:rtl/>
        </w:rPr>
        <w:t>19</w:t>
      </w:r>
      <w:r>
        <w:rPr>
          <w:rtl/>
        </w:rPr>
        <w:t xml:space="preserve"> من العهد. وفي هذه القضية، كان من المقرر أن ينظم الاعتصام السلمي بالقرب من دار السينما "رودينا"، وهو موقع سبق أن حددته اللجنة التنفيذية للمدينة كمنطقة مخصصة على وجه التحديد في المدينة لتنظيم التجمعات السلمية (الفقرة </w:t>
      </w:r>
      <w:r w:rsidRPr="00F11B28">
        <w:rPr>
          <w:rtl/>
        </w:rPr>
        <w:t>2</w:t>
      </w:r>
      <w:r>
        <w:rPr>
          <w:rtl/>
        </w:rPr>
        <w:t>-</w:t>
      </w:r>
      <w:r w:rsidRPr="00F11B28">
        <w:rPr>
          <w:rtl/>
        </w:rPr>
        <w:t>2</w:t>
      </w:r>
      <w:r>
        <w:rPr>
          <w:rtl/>
        </w:rPr>
        <w:t xml:space="preserve"> أعلاه</w:t>
      </w:r>
      <w:r w:rsidR="00F11B28" w:rsidRPr="00F11B28">
        <w:rPr>
          <w:color w:val="000000"/>
          <w:rtl/>
        </w:rPr>
        <w:t xml:space="preserve">). </w:t>
      </w:r>
      <w:r>
        <w:rPr>
          <w:rtl/>
        </w:rPr>
        <w:t xml:space="preserve">بيد أنه، وعلى الرغم من ذلك، رفضت اللجنة التنفيذية للمقاطعة الترخيص للاعتصام لأن صاحب البلاغ لم يحصل على الدعم ذي الصلة من مقدمي خدمات المدينة (الفقرة </w:t>
      </w:r>
      <w:r w:rsidRPr="00F11B28">
        <w:rPr>
          <w:rtl/>
        </w:rPr>
        <w:t>2</w:t>
      </w:r>
      <w:r>
        <w:rPr>
          <w:rtl/>
        </w:rPr>
        <w:t>-</w:t>
      </w:r>
      <w:r w:rsidRPr="00F11B28">
        <w:rPr>
          <w:rtl/>
        </w:rPr>
        <w:t>3</w:t>
      </w:r>
      <w:r>
        <w:rPr>
          <w:rtl/>
        </w:rPr>
        <w:t xml:space="preserve"> أعلاه</w:t>
      </w:r>
      <w:r w:rsidR="00F11B28" w:rsidRPr="00F11B28">
        <w:rPr>
          <w:color w:val="000000"/>
          <w:rtl/>
        </w:rPr>
        <w:t xml:space="preserve">). </w:t>
      </w:r>
      <w:r>
        <w:rPr>
          <w:rtl/>
        </w:rPr>
        <w:t>وتلاحظ اللجنة أن لا الدولة الطرف ولا محاكمها الوطنية قدّمت أي توضيح عن السبب الذي يجعل القيود المفروضة ضرورية لخدمة هدف مشروع، والأقل تدخلاً من بين التدابير التي من شأنها تحقيق وظيفة الحماية ذات الصلة ومتناسبة مع المصلحة موضوع الحماية</w:t>
      </w:r>
      <w:r w:rsidR="00F11B28" w:rsidRPr="00F11B28">
        <w:rPr>
          <w:rStyle w:val="FootnoteReference"/>
          <w:szCs w:val="22"/>
          <w:rtl/>
          <w:lang w:val="en-US"/>
        </w:rPr>
        <w:t>(</w:t>
      </w:r>
      <w:r w:rsidR="00F11B28" w:rsidRPr="00F11B28">
        <w:rPr>
          <w:rStyle w:val="FootnoteReference"/>
          <w:szCs w:val="22"/>
          <w:lang w:val="en-US"/>
        </w:rPr>
        <w:footnoteReference w:id="18"/>
      </w:r>
      <w:r w:rsidR="00F11B28" w:rsidRPr="00F11B28">
        <w:rPr>
          <w:color w:val="000000"/>
          <w:vertAlign w:val="superscript"/>
          <w:rtl/>
        </w:rPr>
        <w:t>)</w:t>
      </w:r>
      <w:r w:rsidR="00F11B28" w:rsidRPr="00F11B28">
        <w:rPr>
          <w:color w:val="000000"/>
          <w:rtl/>
        </w:rPr>
        <w:t xml:space="preserve">. </w:t>
      </w:r>
      <w:r>
        <w:rPr>
          <w:rtl/>
        </w:rPr>
        <w:t xml:space="preserve">وبالنظر إلى ملابسات هذه القضية، ترى اللجنة أن القيود المفروضة على صاحب البلاغ، رغم استنادها إلى القانون الوطني، غير مبررة لأغراض المادة </w:t>
      </w:r>
      <w:r w:rsidRPr="00F11B28">
        <w:rPr>
          <w:rtl/>
        </w:rPr>
        <w:t>19</w:t>
      </w:r>
      <w:r>
        <w:rPr>
          <w:rtl/>
        </w:rPr>
        <w:t>(</w:t>
      </w:r>
      <w:r w:rsidR="00F11B28" w:rsidRPr="00F11B28">
        <w:rPr>
          <w:color w:val="000000"/>
          <w:rtl/>
        </w:rPr>
        <w:t xml:space="preserve">3) </w:t>
      </w:r>
      <w:r>
        <w:rPr>
          <w:rtl/>
        </w:rPr>
        <w:t xml:space="preserve">من العهد. وبما أن </w:t>
      </w:r>
      <w:r w:rsidRPr="00F11B28">
        <w:rPr>
          <w:spacing w:val="-2"/>
          <w:rtl/>
        </w:rPr>
        <w:t>الدولة الطرف لم تقدم أي معلومات أو توضيحات إضافية، فإن اللجنة تخلص إلى أن حقوق صاحب البلاغ</w:t>
      </w:r>
      <w:r>
        <w:rPr>
          <w:rtl/>
        </w:rPr>
        <w:t xml:space="preserve"> المنصوص عليها في المادة </w:t>
      </w:r>
      <w:r w:rsidRPr="00F11B28">
        <w:rPr>
          <w:rtl/>
        </w:rPr>
        <w:t>19</w:t>
      </w:r>
      <w:r>
        <w:rPr>
          <w:rtl/>
        </w:rPr>
        <w:t xml:space="preserve"> من العهد قد انتُهكت.</w:t>
      </w:r>
    </w:p>
    <w:p w14:paraId="4786F14F" w14:textId="78510022" w:rsidR="00407392" w:rsidRDefault="00407392" w:rsidP="00407392">
      <w:pPr>
        <w:pStyle w:val="SingleTxtGA"/>
      </w:pPr>
      <w:r w:rsidRPr="00F11B28">
        <w:rPr>
          <w:rtl/>
        </w:rPr>
        <w:t>8</w:t>
      </w:r>
      <w:r>
        <w:rPr>
          <w:rtl/>
        </w:rPr>
        <w:t>-</w:t>
      </w:r>
      <w:r>
        <w:rPr>
          <w:rtl/>
        </w:rPr>
        <w:tab/>
        <w:t xml:space="preserve">وترى اللجنة، بناء على المادة </w:t>
      </w:r>
      <w:r w:rsidRPr="00F11B28">
        <w:rPr>
          <w:rtl/>
        </w:rPr>
        <w:t>5</w:t>
      </w:r>
      <w:r>
        <w:rPr>
          <w:rtl/>
        </w:rPr>
        <w:t>(</w:t>
      </w:r>
      <w:r w:rsidR="00F11B28" w:rsidRPr="00F11B28">
        <w:rPr>
          <w:color w:val="000000"/>
          <w:rtl/>
        </w:rPr>
        <w:t xml:space="preserve">4) </w:t>
      </w:r>
      <w:r>
        <w:rPr>
          <w:rtl/>
        </w:rPr>
        <w:t xml:space="preserve">من البروتوكول الاختياري، أن الوقائع المعروضة عليها تكشف عن انتهاك الدولة الطرف لحقوق صاحب البلاغ بموجب المادتين </w:t>
      </w:r>
      <w:r w:rsidRPr="00F11B28">
        <w:rPr>
          <w:rtl/>
        </w:rPr>
        <w:t>19</w:t>
      </w:r>
      <w:r>
        <w:rPr>
          <w:rtl/>
        </w:rPr>
        <w:t xml:space="preserve"> و</w:t>
      </w:r>
      <w:r w:rsidRPr="00F11B28">
        <w:rPr>
          <w:rtl/>
        </w:rPr>
        <w:t>21</w:t>
      </w:r>
      <w:r>
        <w:rPr>
          <w:rtl/>
        </w:rPr>
        <w:t xml:space="preserve"> من العهد. </w:t>
      </w:r>
    </w:p>
    <w:p w14:paraId="1EE42D22" w14:textId="1FCB74F5" w:rsidR="00407392" w:rsidRDefault="00407392" w:rsidP="00407392">
      <w:pPr>
        <w:pStyle w:val="SingleTxtGA"/>
      </w:pPr>
      <w:r w:rsidRPr="00F11B28">
        <w:rPr>
          <w:rtl/>
        </w:rPr>
        <w:t>9</w:t>
      </w:r>
      <w:r>
        <w:rPr>
          <w:rtl/>
        </w:rPr>
        <w:t>-</w:t>
      </w:r>
      <w:r>
        <w:rPr>
          <w:rtl/>
        </w:rPr>
        <w:tab/>
        <w:t xml:space="preserve">وعملاً بأحكام المادة </w:t>
      </w:r>
      <w:r w:rsidRPr="00F11B28">
        <w:rPr>
          <w:rtl/>
        </w:rPr>
        <w:t>2</w:t>
      </w:r>
      <w:r>
        <w:rPr>
          <w:rtl/>
        </w:rPr>
        <w:t>(</w:t>
      </w:r>
      <w:r w:rsidRPr="00F11B28">
        <w:rPr>
          <w:rtl/>
        </w:rPr>
        <w:t>3</w:t>
      </w:r>
      <w:r>
        <w:rPr>
          <w:rtl/>
        </w:rPr>
        <w:t xml:space="preserve">)(أ) من العهد، فإن الدولة الطرف ملزمة بتوفير سبيل انتصاف فعال لصاحب البلاغ. وهذا يتطلب منها أن تمنح تعويضاً كاملاً للأفراد الذين انتُهكت حقوقهم المكفولة بالعهد. وبناءً على ذلك، يتعين على الدولة الطرف، في جملة أمور، تقديم تعويض كاف لصاحب البلاغ. والدولة الطرف ملزمة أيضاً باتخاذ جميع الخطوات اللازمة لمنع حدوث انتهاكات مماثلة في المستقبل. وفي هذا الصدد، تلاحظ اللجنة أنها نظرت في قضايا مماثلة تتعلق بنفس قوانين الدولة الطرف وممارساتها في عدد من البلاغات السابقة وأنه ينبغي من ثم للدولة الطرف مراجعة إطارها المعياري بشأن الأحداث العامة، </w:t>
      </w:r>
      <w:r w:rsidRPr="006B1C07">
        <w:rPr>
          <w:spacing w:val="-2"/>
          <w:rtl/>
        </w:rPr>
        <w:t xml:space="preserve">وفقاً لالتزاماتها بموجب المادة </w:t>
      </w:r>
      <w:r w:rsidRPr="00F11B28">
        <w:rPr>
          <w:spacing w:val="-2"/>
          <w:rtl/>
        </w:rPr>
        <w:t>2</w:t>
      </w:r>
      <w:r w:rsidRPr="006B1C07">
        <w:rPr>
          <w:spacing w:val="-2"/>
          <w:rtl/>
        </w:rPr>
        <w:t>(</w:t>
      </w:r>
      <w:r w:rsidR="00F11B28" w:rsidRPr="00F11B28">
        <w:rPr>
          <w:color w:val="000000"/>
          <w:spacing w:val="-2"/>
          <w:rtl/>
        </w:rPr>
        <w:t xml:space="preserve">2) </w:t>
      </w:r>
      <w:r w:rsidRPr="006B1C07">
        <w:rPr>
          <w:spacing w:val="-2"/>
          <w:rtl/>
        </w:rPr>
        <w:t xml:space="preserve">من العهد، بما يكفل التمتع بالحقوق المنصوص عليها في المادتين </w:t>
      </w:r>
      <w:r w:rsidRPr="00F11B28">
        <w:rPr>
          <w:spacing w:val="-2"/>
          <w:rtl/>
        </w:rPr>
        <w:t>19</w:t>
      </w:r>
      <w:r>
        <w:rPr>
          <w:rtl/>
        </w:rPr>
        <w:t xml:space="preserve"> و</w:t>
      </w:r>
      <w:r w:rsidRPr="00F11B28">
        <w:rPr>
          <w:rtl/>
        </w:rPr>
        <w:t>21</w:t>
      </w:r>
      <w:r>
        <w:rPr>
          <w:rtl/>
        </w:rPr>
        <w:t xml:space="preserve"> من العهد تمتعاً كاملاً في الدولة الطرف.</w:t>
      </w:r>
    </w:p>
    <w:p w14:paraId="32A42521" w14:textId="77777777" w:rsidR="00407392" w:rsidRDefault="00407392" w:rsidP="00407392">
      <w:pPr>
        <w:pStyle w:val="SingleTxtGA"/>
      </w:pPr>
      <w:r w:rsidRPr="00F11B28">
        <w:rPr>
          <w:rtl/>
        </w:rPr>
        <w:t>10</w:t>
      </w:r>
      <w:r>
        <w:rPr>
          <w:rtl/>
        </w:rPr>
        <w:t>-</w:t>
      </w:r>
      <w:r>
        <w:rPr>
          <w:rtl/>
        </w:rPr>
        <w:tab/>
      </w:r>
      <w:r w:rsidRPr="00A42A0B">
        <w:rPr>
          <w:spacing w:val="-4"/>
          <w:rtl/>
        </w:rPr>
        <w:t>وإذ تأخذ اللجنة في اعتبارها أن الدولة الطرف، بانضمامها إلى البروتوكول الاختياري، قد اعترفت</w:t>
      </w:r>
      <w:r>
        <w:rPr>
          <w:rtl/>
        </w:rPr>
        <w:t xml:space="preserve"> باختصاص اللجنة في تحديد ما إن كان وقع انتهاك للعهد أم لا، وأنها تعهّدت، عملاً بالمادة </w:t>
      </w:r>
      <w:r w:rsidRPr="00F11B28">
        <w:rPr>
          <w:rtl/>
        </w:rPr>
        <w:t>2</w:t>
      </w:r>
      <w:r>
        <w:rPr>
          <w:rtl/>
        </w:rPr>
        <w:t xml:space="preserve"> من العهد، بأن تكفل لجميع الأفراد الموجودين في إقليمها أو الخاضعين لولايتها الحقوق المعترف بها في العهد، وبأن توفّر لهم سبيل انتصاف فعالاً وقابلاً للإنفاذ إن ثبت حدوث انتهاك، فإنها تود أن تتلقى من الدولة الطرف في غضون </w:t>
      </w:r>
      <w:r w:rsidRPr="00F11B28">
        <w:rPr>
          <w:rtl/>
        </w:rPr>
        <w:t>180</w:t>
      </w:r>
      <w:r>
        <w:rPr>
          <w:rtl/>
        </w:rPr>
        <w:t xml:space="preserve"> يوماً معلومات عن التدابير التي اتخذتها لإنفاذ آراء اللجنة. ويُطلب إلى الدولة الطرف أيضاً نشر هذه الآراء وتعميمها على نطاق واسع بلغاتها الرسمية.</w:t>
      </w:r>
    </w:p>
    <w:p w14:paraId="022B0942" w14:textId="480EC8E5" w:rsidR="00407392" w:rsidRPr="00407392" w:rsidRDefault="00407392" w:rsidP="00407392">
      <w:pPr>
        <w:pStyle w:val="SingleTxtGA"/>
        <w:jc w:val="center"/>
        <w:rPr>
          <w:u w:val="single"/>
          <w:rtl/>
        </w:rPr>
      </w:pPr>
      <w:r>
        <w:rPr>
          <w:u w:val="single"/>
          <w:rtl/>
        </w:rPr>
        <w:tab/>
      </w:r>
      <w:r>
        <w:rPr>
          <w:u w:val="single"/>
          <w:rtl/>
        </w:rPr>
        <w:tab/>
      </w:r>
      <w:r>
        <w:rPr>
          <w:u w:val="single"/>
          <w:rtl/>
        </w:rPr>
        <w:tab/>
      </w:r>
    </w:p>
    <w:sectPr w:rsidR="00407392" w:rsidRPr="00407392" w:rsidSect="00467039">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03B89" w14:textId="77777777" w:rsidR="00D7049F" w:rsidRPr="002901D9" w:rsidRDefault="00D7049F" w:rsidP="00DC4D4B">
      <w:pPr>
        <w:spacing w:after="60" w:line="240" w:lineRule="auto"/>
        <w:ind w:left="57"/>
        <w:rPr>
          <w:i/>
          <w:iCs/>
        </w:rPr>
      </w:pPr>
      <w:r>
        <w:rPr>
          <w:rFonts w:hint="cs"/>
          <w:i/>
          <w:iCs/>
          <w:rtl/>
        </w:rPr>
        <w:t>الحواشي</w:t>
      </w:r>
    </w:p>
  </w:endnote>
  <w:endnote w:type="continuationSeparator" w:id="0">
    <w:p w14:paraId="32C2A457" w14:textId="77777777" w:rsidR="00D7049F" w:rsidRDefault="00D7049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E245C" w14:textId="77777777" w:rsidR="003E1FD6" w:rsidRPr="003E1FD6" w:rsidRDefault="003E1FD6" w:rsidP="003E1FD6">
    <w:pPr>
      <w:pStyle w:val="Footer"/>
      <w:tabs>
        <w:tab w:val="right" w:pos="9638"/>
      </w:tabs>
      <w:rPr>
        <w:b/>
        <w:sz w:val="18"/>
        <w:lang w:val="en-US"/>
      </w:rPr>
    </w:pPr>
    <w:r>
      <w:rPr>
        <w:lang w:val="en-US"/>
      </w:rPr>
      <w:t>GE.22-07329</w:t>
    </w:r>
    <w:r>
      <w:rPr>
        <w:lang w:val="en-US"/>
      </w:rPr>
      <w:tab/>
    </w:r>
    <w:r w:rsidRPr="003E1FD6">
      <w:rPr>
        <w:b/>
        <w:sz w:val="18"/>
        <w:lang w:val="en-US"/>
      </w:rPr>
      <w:fldChar w:fldCharType="begin"/>
    </w:r>
    <w:r w:rsidRPr="003E1FD6">
      <w:rPr>
        <w:b/>
        <w:sz w:val="18"/>
        <w:lang w:val="en-US"/>
      </w:rPr>
      <w:instrText xml:space="preserve"> PAGE  \* MERGEFORMAT </w:instrText>
    </w:r>
    <w:r w:rsidRPr="003E1FD6">
      <w:rPr>
        <w:b/>
        <w:sz w:val="18"/>
        <w:lang w:val="en-US"/>
      </w:rPr>
      <w:fldChar w:fldCharType="separate"/>
    </w:r>
    <w:r w:rsidRPr="003E1FD6">
      <w:rPr>
        <w:b/>
        <w:noProof/>
        <w:sz w:val="18"/>
        <w:lang w:val="en-US"/>
      </w:rPr>
      <w:t>2</w:t>
    </w:r>
    <w:r w:rsidRPr="003E1FD6">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E1F38" w14:textId="77777777" w:rsidR="006959B0" w:rsidRPr="003E1FD6" w:rsidRDefault="003E1FD6" w:rsidP="003E1FD6">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GE.22-07329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FC944" w14:textId="77777777" w:rsidR="00DE50B1" w:rsidRPr="003E1FD6" w:rsidRDefault="003E1FD6" w:rsidP="003E1FD6">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138682CE" wp14:editId="2A54D6F4">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22-07329 (A)</w:t>
    </w:r>
    <w:r>
      <w:rPr>
        <w:noProof/>
        <w:sz w:val="20"/>
        <w:lang w:val="en-US"/>
      </w:rPr>
      <w:drawing>
        <wp:anchor distT="0" distB="0" distL="114300" distR="114300" simplePos="0" relativeHeight="251659264" behindDoc="0" locked="0" layoutInCell="1" allowOverlap="1" wp14:anchorId="13C71860" wp14:editId="57FEC429">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9B120" w14:textId="77777777" w:rsidR="00D7049F" w:rsidRPr="008A49D2" w:rsidRDefault="00D7049F"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6712339E" w14:textId="77777777" w:rsidR="00D7049F" w:rsidRDefault="00D7049F" w:rsidP="00656392">
      <w:pPr>
        <w:spacing w:line="240" w:lineRule="auto"/>
      </w:pPr>
      <w:r>
        <w:continuationSeparator/>
      </w:r>
    </w:p>
  </w:footnote>
  <w:footnote w:id="1">
    <w:p w14:paraId="5815D38B" w14:textId="38B5FC66" w:rsidR="006B1C07" w:rsidRPr="006B1C07" w:rsidRDefault="006B1C07" w:rsidP="006B1C07">
      <w:pPr>
        <w:pStyle w:val="FootnoteText1"/>
        <w:rPr>
          <w:rFonts w:hint="cs"/>
          <w:rtl/>
        </w:rPr>
      </w:pPr>
      <w:r>
        <w:rPr>
          <w:rtl/>
        </w:rPr>
        <w:t>*</w:t>
      </w:r>
      <w:r>
        <w:rPr>
          <w:rtl/>
        </w:rPr>
        <w:tab/>
      </w:r>
      <w:r w:rsidRPr="006B1C07">
        <w:rPr>
          <w:rtl/>
        </w:rPr>
        <w:t xml:space="preserve">اعتمدته اللجنة في دورتها </w:t>
      </w:r>
      <w:r w:rsidRPr="00F11B28">
        <w:rPr>
          <w:rtl/>
        </w:rPr>
        <w:t>134</w:t>
      </w:r>
      <w:r w:rsidRPr="006B1C07">
        <w:rPr>
          <w:rtl/>
        </w:rPr>
        <w:t xml:space="preserve"> (</w:t>
      </w:r>
      <w:r w:rsidRPr="00F11B28">
        <w:rPr>
          <w:rtl/>
        </w:rPr>
        <w:t>28</w:t>
      </w:r>
      <w:r w:rsidRPr="006B1C07">
        <w:rPr>
          <w:rtl/>
        </w:rPr>
        <w:t xml:space="preserve"> شباط/فبراير - </w:t>
      </w:r>
      <w:r w:rsidRPr="00F11B28">
        <w:rPr>
          <w:rtl/>
        </w:rPr>
        <w:t>25</w:t>
      </w:r>
      <w:r w:rsidRPr="006B1C07">
        <w:rPr>
          <w:rtl/>
        </w:rPr>
        <w:t xml:space="preserve"> آذار/مارس </w:t>
      </w:r>
      <w:r w:rsidRPr="00F11B28">
        <w:rPr>
          <w:rtl/>
        </w:rPr>
        <w:t>2022</w:t>
      </w:r>
      <w:r w:rsidR="00F11B28" w:rsidRPr="00F11B28">
        <w:rPr>
          <w:color w:val="000000"/>
          <w:rtl/>
        </w:rPr>
        <w:t>)</w:t>
      </w:r>
      <w:r w:rsidR="00F11B28" w:rsidRPr="00F11B28">
        <w:rPr>
          <w:color w:val="000000"/>
          <w:rtl/>
        </w:rPr>
        <w:t xml:space="preserve">. </w:t>
      </w:r>
    </w:p>
  </w:footnote>
  <w:footnote w:id="2">
    <w:p w14:paraId="474C6615" w14:textId="585CCB79" w:rsidR="006B1C07" w:rsidRPr="006B1C07" w:rsidRDefault="006B1C07" w:rsidP="006B1C07">
      <w:pPr>
        <w:pStyle w:val="FootnoteText1"/>
        <w:rPr>
          <w:rFonts w:hint="cs"/>
          <w:rtl/>
        </w:rPr>
      </w:pPr>
      <w:r>
        <w:rPr>
          <w:rtl/>
        </w:rPr>
        <w:t>**</w:t>
      </w:r>
      <w:r>
        <w:rPr>
          <w:rtl/>
        </w:rPr>
        <w:tab/>
      </w:r>
      <w:r w:rsidRPr="006B1C07">
        <w:rPr>
          <w:spacing w:val="-4"/>
          <w:rtl/>
        </w:rPr>
        <w:t xml:space="preserve">شارك في دراسة هذا البلاغ أعضاء اللجنة التالية أسماؤهم: تانيا ماريا أبدو </w:t>
      </w:r>
      <w:proofErr w:type="spellStart"/>
      <w:r w:rsidRPr="006B1C07">
        <w:rPr>
          <w:spacing w:val="-4"/>
          <w:rtl/>
        </w:rPr>
        <w:t>روتشول</w:t>
      </w:r>
      <w:proofErr w:type="spellEnd"/>
      <w:r w:rsidRPr="006B1C07">
        <w:rPr>
          <w:spacing w:val="-4"/>
          <w:rtl/>
        </w:rPr>
        <w:t>، ووفاء أشرف محرم بسيم، وعياض بن عاشور،</w:t>
      </w:r>
      <w:r w:rsidRPr="006B1C07">
        <w:rPr>
          <w:rtl/>
        </w:rPr>
        <w:t xml:space="preserve"> وعارف بلقان، والمحجوب الهيبة، </w:t>
      </w:r>
      <w:proofErr w:type="spellStart"/>
      <w:r w:rsidRPr="006B1C07">
        <w:rPr>
          <w:rtl/>
        </w:rPr>
        <w:t>وفورويا</w:t>
      </w:r>
      <w:proofErr w:type="spellEnd"/>
      <w:r w:rsidRPr="006B1C07">
        <w:rPr>
          <w:rtl/>
        </w:rPr>
        <w:t xml:space="preserve"> </w:t>
      </w:r>
      <w:proofErr w:type="spellStart"/>
      <w:r w:rsidRPr="006B1C07">
        <w:rPr>
          <w:rtl/>
        </w:rPr>
        <w:t>سويتشي</w:t>
      </w:r>
      <w:proofErr w:type="spellEnd"/>
      <w:r w:rsidRPr="006B1C07">
        <w:rPr>
          <w:rtl/>
        </w:rPr>
        <w:t xml:space="preserve">، وكارلوس غوميز مارتينيز، </w:t>
      </w:r>
      <w:proofErr w:type="spellStart"/>
      <w:r w:rsidRPr="006B1C07">
        <w:rPr>
          <w:rtl/>
        </w:rPr>
        <w:t>ومارسيا</w:t>
      </w:r>
      <w:proofErr w:type="spellEnd"/>
      <w:r w:rsidRPr="006B1C07">
        <w:rPr>
          <w:rtl/>
        </w:rPr>
        <w:t xml:space="preserve"> ف. ج. كران، </w:t>
      </w:r>
      <w:proofErr w:type="spellStart"/>
      <w:r w:rsidRPr="006B1C07">
        <w:rPr>
          <w:rtl/>
        </w:rPr>
        <w:t>ودنكان</w:t>
      </w:r>
      <w:proofErr w:type="spellEnd"/>
      <w:r w:rsidRPr="006B1C07">
        <w:rPr>
          <w:rtl/>
        </w:rPr>
        <w:t xml:space="preserve"> </w:t>
      </w:r>
      <w:proofErr w:type="spellStart"/>
      <w:r w:rsidRPr="006B1C07">
        <w:rPr>
          <w:rtl/>
        </w:rPr>
        <w:t>لاكي</w:t>
      </w:r>
      <w:proofErr w:type="spellEnd"/>
      <w:r w:rsidRPr="006B1C07">
        <w:rPr>
          <w:rtl/>
        </w:rPr>
        <w:t xml:space="preserve"> </w:t>
      </w:r>
      <w:proofErr w:type="spellStart"/>
      <w:r w:rsidRPr="006B1C07">
        <w:rPr>
          <w:rtl/>
        </w:rPr>
        <w:t>موهوموزا</w:t>
      </w:r>
      <w:proofErr w:type="spellEnd"/>
      <w:r w:rsidRPr="006B1C07">
        <w:rPr>
          <w:rtl/>
        </w:rPr>
        <w:t xml:space="preserve">، وفوتيني </w:t>
      </w:r>
      <w:proofErr w:type="spellStart"/>
      <w:r w:rsidRPr="006B1C07">
        <w:rPr>
          <w:rtl/>
        </w:rPr>
        <w:t>بازارتزيس</w:t>
      </w:r>
      <w:proofErr w:type="spellEnd"/>
      <w:r w:rsidRPr="006B1C07">
        <w:rPr>
          <w:rtl/>
        </w:rPr>
        <w:t xml:space="preserve">، </w:t>
      </w:r>
      <w:proofErr w:type="spellStart"/>
      <w:r w:rsidRPr="006B1C07">
        <w:rPr>
          <w:rtl/>
        </w:rPr>
        <w:t>وفاسيلكا</w:t>
      </w:r>
      <w:proofErr w:type="spellEnd"/>
      <w:r w:rsidRPr="006B1C07">
        <w:rPr>
          <w:rtl/>
        </w:rPr>
        <w:t xml:space="preserve"> </w:t>
      </w:r>
      <w:proofErr w:type="spellStart"/>
      <w:r w:rsidRPr="006B1C07">
        <w:rPr>
          <w:rtl/>
        </w:rPr>
        <w:t>سانشين</w:t>
      </w:r>
      <w:proofErr w:type="spellEnd"/>
      <w:r w:rsidRPr="006B1C07">
        <w:rPr>
          <w:rtl/>
        </w:rPr>
        <w:t xml:space="preserve">، وخوسيه مانويل سانتوس </w:t>
      </w:r>
      <w:proofErr w:type="spellStart"/>
      <w:r w:rsidRPr="006B1C07">
        <w:rPr>
          <w:rtl/>
        </w:rPr>
        <w:t>باييس</w:t>
      </w:r>
      <w:proofErr w:type="spellEnd"/>
      <w:r w:rsidRPr="006B1C07">
        <w:rPr>
          <w:rtl/>
        </w:rPr>
        <w:t xml:space="preserve">، </w:t>
      </w:r>
      <w:proofErr w:type="spellStart"/>
      <w:r w:rsidRPr="006B1C07">
        <w:rPr>
          <w:rtl/>
        </w:rPr>
        <w:t>وسوه</w:t>
      </w:r>
      <w:proofErr w:type="spellEnd"/>
      <w:r w:rsidRPr="006B1C07">
        <w:rPr>
          <w:rtl/>
        </w:rPr>
        <w:t xml:space="preserve"> </w:t>
      </w:r>
      <w:proofErr w:type="spellStart"/>
      <w:r w:rsidRPr="006B1C07">
        <w:rPr>
          <w:rtl/>
        </w:rPr>
        <w:t>تشانغروك</w:t>
      </w:r>
      <w:proofErr w:type="spellEnd"/>
      <w:r w:rsidRPr="006B1C07">
        <w:rPr>
          <w:rtl/>
        </w:rPr>
        <w:t xml:space="preserve">، </w:t>
      </w:r>
      <w:proofErr w:type="spellStart"/>
      <w:r w:rsidRPr="006B1C07">
        <w:rPr>
          <w:rtl/>
        </w:rPr>
        <w:t>وكوبايواه</w:t>
      </w:r>
      <w:proofErr w:type="spellEnd"/>
      <w:r w:rsidRPr="006B1C07">
        <w:rPr>
          <w:rtl/>
        </w:rPr>
        <w:t xml:space="preserve"> </w:t>
      </w:r>
      <w:proofErr w:type="spellStart"/>
      <w:r w:rsidRPr="006B1C07">
        <w:rPr>
          <w:rtl/>
        </w:rPr>
        <w:t>تشامدجا</w:t>
      </w:r>
      <w:proofErr w:type="spellEnd"/>
      <w:r w:rsidRPr="006B1C07">
        <w:rPr>
          <w:rtl/>
        </w:rPr>
        <w:t xml:space="preserve"> </w:t>
      </w:r>
      <w:proofErr w:type="spellStart"/>
      <w:r w:rsidRPr="006B1C07">
        <w:rPr>
          <w:rtl/>
        </w:rPr>
        <w:t>كباتشا</w:t>
      </w:r>
      <w:proofErr w:type="spellEnd"/>
      <w:r w:rsidRPr="006B1C07">
        <w:rPr>
          <w:rtl/>
        </w:rPr>
        <w:t>، وهيلين</w:t>
      </w:r>
      <w:r>
        <w:rPr>
          <w:rFonts w:hint="cs"/>
          <w:rtl/>
        </w:rPr>
        <w:t> </w:t>
      </w:r>
      <w:proofErr w:type="spellStart"/>
      <w:r w:rsidRPr="006B1C07">
        <w:rPr>
          <w:rtl/>
        </w:rPr>
        <w:t>تيغرودجا</w:t>
      </w:r>
      <w:proofErr w:type="spellEnd"/>
      <w:r w:rsidRPr="006B1C07">
        <w:rPr>
          <w:rtl/>
        </w:rPr>
        <w:t xml:space="preserve">، </w:t>
      </w:r>
      <w:proofErr w:type="spellStart"/>
      <w:r w:rsidRPr="006B1C07">
        <w:rPr>
          <w:rtl/>
        </w:rPr>
        <w:t>وإمميرو</w:t>
      </w:r>
      <w:proofErr w:type="spellEnd"/>
      <w:r w:rsidRPr="006B1C07">
        <w:rPr>
          <w:rtl/>
        </w:rPr>
        <w:t xml:space="preserve"> </w:t>
      </w:r>
      <w:proofErr w:type="spellStart"/>
      <w:r w:rsidRPr="006B1C07">
        <w:rPr>
          <w:rtl/>
        </w:rPr>
        <w:t>تامرات</w:t>
      </w:r>
      <w:proofErr w:type="spellEnd"/>
      <w:r w:rsidRPr="006B1C07">
        <w:rPr>
          <w:rtl/>
        </w:rPr>
        <w:t xml:space="preserve"> </w:t>
      </w:r>
      <w:proofErr w:type="spellStart"/>
      <w:r w:rsidRPr="006B1C07">
        <w:rPr>
          <w:rtl/>
        </w:rPr>
        <w:t>إغيزو</w:t>
      </w:r>
      <w:proofErr w:type="spellEnd"/>
      <w:r w:rsidRPr="006B1C07">
        <w:rPr>
          <w:rtl/>
        </w:rPr>
        <w:t xml:space="preserve">، </w:t>
      </w:r>
      <w:proofErr w:type="spellStart"/>
      <w:r w:rsidRPr="006B1C07">
        <w:rPr>
          <w:rtl/>
        </w:rPr>
        <w:t>وجنتيان</w:t>
      </w:r>
      <w:proofErr w:type="spellEnd"/>
      <w:r w:rsidRPr="006B1C07">
        <w:rPr>
          <w:rtl/>
        </w:rPr>
        <w:t xml:space="preserve"> </w:t>
      </w:r>
      <w:proofErr w:type="spellStart"/>
      <w:r w:rsidRPr="006B1C07">
        <w:rPr>
          <w:rtl/>
        </w:rPr>
        <w:t>زيبيري</w:t>
      </w:r>
      <w:proofErr w:type="spellEnd"/>
      <w:r w:rsidR="00F11B28">
        <w:rPr>
          <w:rtl/>
        </w:rPr>
        <w:t xml:space="preserve">. </w:t>
      </w:r>
    </w:p>
  </w:footnote>
  <w:footnote w:id="3">
    <w:p w14:paraId="5EB8C430" w14:textId="77777777" w:rsidR="00F11B28" w:rsidRPr="00407392" w:rsidRDefault="00F11B28" w:rsidP="00407392">
      <w:pPr>
        <w:pStyle w:val="FootnoteText1"/>
        <w:textDirection w:val="tbRlV"/>
        <w:rPr>
          <w:spacing w:val="-4"/>
        </w:rPr>
      </w:pPr>
      <w:r w:rsidRPr="00407392">
        <w:rPr>
          <w:spacing w:val="-4"/>
          <w:rtl/>
        </w:rPr>
        <w:t>(</w:t>
      </w:r>
      <w:r w:rsidRPr="00F11B28">
        <w:rPr>
          <w:rStyle w:val="FootnoteReference"/>
          <w:spacing w:val="-4"/>
          <w:vertAlign w:val="baseline"/>
        </w:rPr>
        <w:footnoteRef/>
      </w:r>
      <w:r w:rsidRPr="00407392">
        <w:rPr>
          <w:spacing w:val="-4"/>
          <w:rtl/>
        </w:rPr>
        <w:t>)</w:t>
      </w:r>
      <w:r w:rsidRPr="00407392">
        <w:rPr>
          <w:spacing w:val="-4"/>
        </w:rPr>
        <w:tab/>
      </w:r>
      <w:r w:rsidRPr="00407392">
        <w:rPr>
          <w:spacing w:val="-4"/>
          <w:rtl/>
        </w:rPr>
        <w:t xml:space="preserve">يشار إلى القرار رقم </w:t>
      </w:r>
      <w:r w:rsidRPr="00F11B28">
        <w:rPr>
          <w:spacing w:val="-4"/>
          <w:rtl/>
        </w:rPr>
        <w:t>182</w:t>
      </w:r>
      <w:r w:rsidRPr="00407392">
        <w:rPr>
          <w:spacing w:val="-4"/>
          <w:rtl/>
        </w:rPr>
        <w:t xml:space="preserve"> المؤرخ </w:t>
      </w:r>
      <w:r w:rsidRPr="00F11B28">
        <w:rPr>
          <w:spacing w:val="-4"/>
          <w:rtl/>
        </w:rPr>
        <w:t>15</w:t>
      </w:r>
      <w:r w:rsidRPr="00407392">
        <w:rPr>
          <w:spacing w:val="-4"/>
          <w:rtl/>
        </w:rPr>
        <w:t xml:space="preserve"> شباط/فبراير </w:t>
      </w:r>
      <w:r w:rsidRPr="00F11B28">
        <w:rPr>
          <w:spacing w:val="-4"/>
          <w:rtl/>
        </w:rPr>
        <w:t>2009</w:t>
      </w:r>
      <w:r w:rsidRPr="00407392">
        <w:rPr>
          <w:spacing w:val="-4"/>
          <w:rtl/>
        </w:rPr>
        <w:t xml:space="preserve"> "بشأن توفير مؤسسات الرعاية الصحية الحكومية خدمات مدفوعة الأجر". </w:t>
      </w:r>
    </w:p>
  </w:footnote>
  <w:footnote w:id="4">
    <w:p w14:paraId="6AC4C1CF" w14:textId="77777777" w:rsidR="00F11B28" w:rsidRPr="00407392" w:rsidRDefault="00F11B28" w:rsidP="00407392">
      <w:pPr>
        <w:pStyle w:val="FootnoteText1"/>
        <w:textDirection w:val="tbRlV"/>
      </w:pPr>
      <w:r w:rsidRPr="00407392">
        <w:rPr>
          <w:rtl/>
        </w:rPr>
        <w:t>(</w:t>
      </w:r>
      <w:r w:rsidRPr="00F11B28">
        <w:rPr>
          <w:rStyle w:val="FootnoteReference"/>
          <w:vertAlign w:val="baseline"/>
        </w:rPr>
        <w:footnoteRef/>
      </w:r>
      <w:r w:rsidRPr="00407392">
        <w:rPr>
          <w:rtl/>
        </w:rPr>
        <w:t>)</w:t>
      </w:r>
      <w:r>
        <w:tab/>
      </w:r>
      <w:r>
        <w:rPr>
          <w:rtl/>
        </w:rPr>
        <w:t xml:space="preserve">يدفع صاحب البلاغ بأن اللجنة التنفيذية لمدينة </w:t>
      </w:r>
      <w:proofErr w:type="spellStart"/>
      <w:r>
        <w:rPr>
          <w:rtl/>
        </w:rPr>
        <w:t>بولوتسك</w:t>
      </w:r>
      <w:proofErr w:type="spellEnd"/>
      <w:r>
        <w:rPr>
          <w:rtl/>
        </w:rPr>
        <w:t xml:space="preserve"> رفضت في وقت سابق تسجيل هذه الجمعية العمومية</w:t>
      </w:r>
      <w:r>
        <w:rPr>
          <w:rtl/>
        </w:rPr>
        <w:t xml:space="preserve">. </w:t>
      </w:r>
    </w:p>
  </w:footnote>
  <w:footnote w:id="5">
    <w:p w14:paraId="2B76C037" w14:textId="77777777" w:rsidR="00F11B28" w:rsidRPr="00407392" w:rsidRDefault="00F11B28" w:rsidP="00F11B28">
      <w:pPr>
        <w:pStyle w:val="FootnoteText1"/>
        <w:textDirection w:val="tbRlV"/>
      </w:pPr>
      <w:r w:rsidRPr="00407392">
        <w:rPr>
          <w:rtl/>
        </w:rPr>
        <w:t>(</w:t>
      </w:r>
      <w:r w:rsidRPr="00F11B28">
        <w:rPr>
          <w:rStyle w:val="FootnoteReference"/>
          <w:vertAlign w:val="baseline"/>
        </w:rPr>
        <w:footnoteRef/>
      </w:r>
      <w:r w:rsidRPr="00407392">
        <w:rPr>
          <w:rtl/>
        </w:rPr>
        <w:t>)</w:t>
      </w:r>
      <w:r>
        <w:tab/>
      </w:r>
      <w:r>
        <w:rPr>
          <w:rtl/>
        </w:rPr>
        <w:t xml:space="preserve">يشار إلى قضية </w:t>
      </w:r>
      <w:proofErr w:type="spellStart"/>
      <w:r w:rsidRPr="00F11B28">
        <w:rPr>
          <w:i/>
          <w:iCs/>
          <w:rtl/>
        </w:rPr>
        <w:t>بولياكوف</w:t>
      </w:r>
      <w:proofErr w:type="spellEnd"/>
      <w:r w:rsidRPr="00F11B28">
        <w:rPr>
          <w:i/>
          <w:iCs/>
          <w:rtl/>
        </w:rPr>
        <w:t xml:space="preserve"> ضد بيلاروس</w:t>
      </w:r>
      <w:r>
        <w:rPr>
          <w:rtl/>
        </w:rPr>
        <w:t xml:space="preserve"> </w:t>
      </w:r>
      <w:r w:rsidRPr="00407392">
        <w:rPr>
          <w:rtl/>
        </w:rPr>
        <w:t>(</w:t>
      </w:r>
      <w:hyperlink r:id="rId1" w:history="1">
        <w:r w:rsidRPr="00F11B28">
          <w:rPr>
            <w:rStyle w:val="Hyperlink"/>
            <w:lang w:val="en-AU"/>
          </w:rPr>
          <w:t>CCPR/C/111/D/2030/2011</w:t>
        </w:r>
      </w:hyperlink>
      <w:r w:rsidRPr="00F11B28">
        <w:rPr>
          <w:color w:val="000000"/>
          <w:rtl/>
        </w:rPr>
        <w:t xml:space="preserve">)، </w:t>
      </w:r>
      <w:r>
        <w:rPr>
          <w:rtl/>
        </w:rPr>
        <w:t xml:space="preserve">الفقرة </w:t>
      </w:r>
      <w:r w:rsidRPr="00F11B28">
        <w:rPr>
          <w:rtl/>
        </w:rPr>
        <w:t>8</w:t>
      </w:r>
      <w:r w:rsidRPr="00407392">
        <w:rPr>
          <w:rtl/>
        </w:rPr>
        <w:t>-</w:t>
      </w:r>
      <w:r w:rsidRPr="00F11B28">
        <w:rPr>
          <w:color w:val="000000"/>
          <w:rtl/>
        </w:rPr>
        <w:t>3</w:t>
      </w:r>
      <w:r w:rsidRPr="00F11B28">
        <w:rPr>
          <w:color w:val="000000"/>
          <w:rtl/>
        </w:rPr>
        <w:t xml:space="preserve">. </w:t>
      </w:r>
    </w:p>
  </w:footnote>
  <w:footnote w:id="6">
    <w:p w14:paraId="4CEF7C1E" w14:textId="77777777" w:rsidR="00F11B28" w:rsidRPr="00407392" w:rsidRDefault="00F11B28" w:rsidP="00F11B28">
      <w:pPr>
        <w:pStyle w:val="FootnoteText1"/>
        <w:textDirection w:val="tbRlV"/>
      </w:pPr>
      <w:r w:rsidRPr="00407392">
        <w:rPr>
          <w:rtl/>
        </w:rPr>
        <w:t>(</w:t>
      </w:r>
      <w:r w:rsidRPr="00F11B28">
        <w:rPr>
          <w:rStyle w:val="FootnoteReference"/>
          <w:vertAlign w:val="baseline"/>
        </w:rPr>
        <w:footnoteRef/>
      </w:r>
      <w:r w:rsidRPr="00407392">
        <w:rPr>
          <w:rtl/>
        </w:rPr>
        <w:t>)</w:t>
      </w:r>
      <w:r>
        <w:tab/>
      </w:r>
      <w:r>
        <w:rPr>
          <w:rtl/>
        </w:rPr>
        <w:t xml:space="preserve">يشار إلى قضية </w:t>
      </w:r>
      <w:proofErr w:type="spellStart"/>
      <w:r w:rsidRPr="00F11B28">
        <w:rPr>
          <w:i/>
          <w:iCs/>
          <w:rtl/>
        </w:rPr>
        <w:t>سيكيركو</w:t>
      </w:r>
      <w:proofErr w:type="spellEnd"/>
      <w:r w:rsidRPr="00F11B28">
        <w:rPr>
          <w:i/>
          <w:iCs/>
          <w:rtl/>
        </w:rPr>
        <w:t xml:space="preserve"> ضد بيلاروس</w:t>
      </w:r>
      <w:r>
        <w:rPr>
          <w:rtl/>
        </w:rPr>
        <w:t xml:space="preserve"> </w:t>
      </w:r>
      <w:r w:rsidRPr="00407392">
        <w:rPr>
          <w:rtl/>
        </w:rPr>
        <w:t>(</w:t>
      </w:r>
      <w:hyperlink r:id="rId2" w:history="1">
        <w:r w:rsidRPr="00F11B28">
          <w:rPr>
            <w:rStyle w:val="Hyperlink"/>
            <w:lang w:val="en-AU"/>
          </w:rPr>
          <w:t>CCPR/C/109/D/1851/2008</w:t>
        </w:r>
      </w:hyperlink>
      <w:r w:rsidRPr="00F11B28">
        <w:rPr>
          <w:color w:val="000000"/>
          <w:rtl/>
        </w:rPr>
        <w:t xml:space="preserve">)، </w:t>
      </w:r>
      <w:r>
        <w:rPr>
          <w:rtl/>
        </w:rPr>
        <w:t xml:space="preserve">الفقرة </w:t>
      </w:r>
      <w:r w:rsidRPr="00F11B28">
        <w:rPr>
          <w:rtl/>
        </w:rPr>
        <w:t>9</w:t>
      </w:r>
      <w:r w:rsidRPr="00407392">
        <w:rPr>
          <w:rtl/>
        </w:rPr>
        <w:t>-</w:t>
      </w:r>
      <w:r w:rsidRPr="00F11B28">
        <w:rPr>
          <w:color w:val="000000"/>
          <w:rtl/>
        </w:rPr>
        <w:t>6</w:t>
      </w:r>
      <w:r w:rsidRPr="00F11B28">
        <w:rPr>
          <w:color w:val="000000"/>
          <w:rtl/>
        </w:rPr>
        <w:t xml:space="preserve">. </w:t>
      </w:r>
    </w:p>
  </w:footnote>
  <w:footnote w:id="7">
    <w:p w14:paraId="332E2BC5" w14:textId="77777777" w:rsidR="00F11B28" w:rsidRPr="00407392" w:rsidRDefault="00F11B28" w:rsidP="00F11B28">
      <w:pPr>
        <w:pStyle w:val="FootnoteText1"/>
        <w:textDirection w:val="tbRlV"/>
      </w:pPr>
      <w:r w:rsidRPr="00407392">
        <w:rPr>
          <w:rtl/>
        </w:rPr>
        <w:t>(</w:t>
      </w:r>
      <w:r w:rsidRPr="00F11B28">
        <w:rPr>
          <w:rStyle w:val="FootnoteReference"/>
          <w:vertAlign w:val="baseline"/>
        </w:rPr>
        <w:footnoteRef/>
      </w:r>
      <w:r w:rsidRPr="00407392">
        <w:rPr>
          <w:rtl/>
        </w:rPr>
        <w:t>)</w:t>
      </w:r>
      <w:r>
        <w:tab/>
      </w:r>
      <w:r>
        <w:rPr>
          <w:rtl/>
        </w:rPr>
        <w:t xml:space="preserve">قضية </w:t>
      </w:r>
      <w:proofErr w:type="spellStart"/>
      <w:r w:rsidRPr="00F11B28">
        <w:rPr>
          <w:i/>
          <w:iCs/>
          <w:rtl/>
        </w:rPr>
        <w:t>أليكسييف</w:t>
      </w:r>
      <w:proofErr w:type="spellEnd"/>
      <w:r w:rsidRPr="00F11B28">
        <w:rPr>
          <w:i/>
          <w:iCs/>
          <w:rtl/>
        </w:rPr>
        <w:t xml:space="preserve"> ضد الاتحاد الروسي</w:t>
      </w:r>
      <w:r>
        <w:rPr>
          <w:rtl/>
        </w:rPr>
        <w:t xml:space="preserve"> </w:t>
      </w:r>
      <w:r w:rsidRPr="00407392">
        <w:rPr>
          <w:rtl/>
        </w:rPr>
        <w:t>(</w:t>
      </w:r>
      <w:hyperlink r:id="rId3" w:history="1">
        <w:r w:rsidRPr="00F11B28">
          <w:rPr>
            <w:rStyle w:val="Hyperlink"/>
            <w:lang w:val="en-AU"/>
          </w:rPr>
          <w:t>CCPR/C/109/D/1873/2009</w:t>
        </w:r>
      </w:hyperlink>
      <w:r w:rsidRPr="00F11B28">
        <w:rPr>
          <w:color w:val="000000"/>
          <w:rtl/>
        </w:rPr>
        <w:t xml:space="preserve">)، </w:t>
      </w:r>
      <w:r>
        <w:rPr>
          <w:rtl/>
        </w:rPr>
        <w:t xml:space="preserve">الفقرة </w:t>
      </w:r>
      <w:r w:rsidRPr="00F11B28">
        <w:rPr>
          <w:rtl/>
        </w:rPr>
        <w:t>8</w:t>
      </w:r>
      <w:r w:rsidRPr="00407392">
        <w:rPr>
          <w:rtl/>
        </w:rPr>
        <w:t>-</w:t>
      </w:r>
      <w:r w:rsidRPr="00F11B28">
        <w:rPr>
          <w:rtl/>
        </w:rPr>
        <w:t>4</w:t>
      </w:r>
      <w:r>
        <w:rPr>
          <w:rtl/>
        </w:rPr>
        <w:t xml:space="preserve">؛ وقضية </w:t>
      </w:r>
      <w:proofErr w:type="spellStart"/>
      <w:r w:rsidRPr="00F11B28">
        <w:rPr>
          <w:i/>
          <w:iCs/>
          <w:rtl/>
        </w:rPr>
        <w:t>لوزينكو</w:t>
      </w:r>
      <w:proofErr w:type="spellEnd"/>
      <w:r w:rsidRPr="00F11B28">
        <w:rPr>
          <w:i/>
          <w:iCs/>
          <w:rtl/>
        </w:rPr>
        <w:t xml:space="preserve"> ضد بيلاروس</w:t>
      </w:r>
      <w:r>
        <w:rPr>
          <w:rtl/>
        </w:rPr>
        <w:t xml:space="preserve"> </w:t>
      </w:r>
      <w:r w:rsidRPr="00407392">
        <w:rPr>
          <w:rtl/>
        </w:rPr>
        <w:t>(</w:t>
      </w:r>
      <w:hyperlink r:id="rId4" w:history="1">
        <w:r w:rsidRPr="00F11B28">
          <w:rPr>
            <w:rStyle w:val="Hyperlink"/>
            <w:lang w:val="en-AU"/>
          </w:rPr>
          <w:t>CCPR/C/112/D/1929/2010</w:t>
        </w:r>
      </w:hyperlink>
      <w:r w:rsidRPr="00F11B28">
        <w:rPr>
          <w:color w:val="000000"/>
          <w:rtl/>
        </w:rPr>
        <w:t xml:space="preserve">)، </w:t>
      </w:r>
      <w:r>
        <w:rPr>
          <w:rtl/>
        </w:rPr>
        <w:t xml:space="preserve">الفقرة </w:t>
      </w:r>
      <w:r w:rsidRPr="00F11B28">
        <w:rPr>
          <w:rtl/>
        </w:rPr>
        <w:t>6</w:t>
      </w:r>
      <w:r w:rsidRPr="00407392">
        <w:rPr>
          <w:rtl/>
        </w:rPr>
        <w:t>-</w:t>
      </w:r>
      <w:r w:rsidRPr="00F11B28">
        <w:rPr>
          <w:rtl/>
        </w:rPr>
        <w:t>3</w:t>
      </w:r>
      <w:r>
        <w:rPr>
          <w:rtl/>
        </w:rPr>
        <w:t xml:space="preserve">؛ وقضية </w:t>
      </w:r>
      <w:proofErr w:type="spellStart"/>
      <w:r w:rsidRPr="00F11B28">
        <w:rPr>
          <w:i/>
          <w:iCs/>
          <w:rtl/>
        </w:rPr>
        <w:t>سودالينكو</w:t>
      </w:r>
      <w:proofErr w:type="spellEnd"/>
      <w:r w:rsidRPr="00F11B28">
        <w:rPr>
          <w:i/>
          <w:iCs/>
          <w:rtl/>
        </w:rPr>
        <w:t xml:space="preserve"> ضد بيلاروس</w:t>
      </w:r>
      <w:r>
        <w:rPr>
          <w:rtl/>
        </w:rPr>
        <w:t xml:space="preserve"> </w:t>
      </w:r>
      <w:r w:rsidRPr="00407392">
        <w:rPr>
          <w:rtl/>
        </w:rPr>
        <w:t>(</w:t>
      </w:r>
      <w:hyperlink r:id="rId5" w:history="1">
        <w:r w:rsidRPr="00F11B28">
          <w:rPr>
            <w:rStyle w:val="Hyperlink"/>
            <w:lang w:val="en-AU"/>
          </w:rPr>
          <w:t>CCPR/C/115/D/2016/2010</w:t>
        </w:r>
      </w:hyperlink>
      <w:r w:rsidRPr="00F11B28">
        <w:rPr>
          <w:color w:val="000000"/>
          <w:rtl/>
        </w:rPr>
        <w:t xml:space="preserve">)، </w:t>
      </w:r>
      <w:r>
        <w:rPr>
          <w:rtl/>
        </w:rPr>
        <w:t xml:space="preserve">الفقرة </w:t>
      </w:r>
      <w:r w:rsidRPr="00F11B28">
        <w:rPr>
          <w:rtl/>
        </w:rPr>
        <w:t>7</w:t>
      </w:r>
      <w:r w:rsidRPr="00407392">
        <w:rPr>
          <w:rtl/>
        </w:rPr>
        <w:t>-</w:t>
      </w:r>
      <w:r w:rsidRPr="00F11B28">
        <w:rPr>
          <w:color w:val="000000"/>
          <w:rtl/>
        </w:rPr>
        <w:t xml:space="preserve">3. </w:t>
      </w:r>
    </w:p>
  </w:footnote>
  <w:footnote w:id="8">
    <w:p w14:paraId="1CC87301" w14:textId="77777777" w:rsidR="00F11B28" w:rsidRPr="00407392" w:rsidRDefault="00F11B28" w:rsidP="00407392">
      <w:pPr>
        <w:pStyle w:val="FootnoteText1"/>
        <w:textDirection w:val="tbRlV"/>
      </w:pPr>
      <w:r w:rsidRPr="00407392">
        <w:rPr>
          <w:rtl/>
        </w:rPr>
        <w:t>(</w:t>
      </w:r>
      <w:r w:rsidRPr="00F11B28">
        <w:rPr>
          <w:rStyle w:val="FootnoteReference"/>
          <w:vertAlign w:val="baseline"/>
        </w:rPr>
        <w:footnoteRef/>
      </w:r>
      <w:r w:rsidRPr="00407392">
        <w:rPr>
          <w:rtl/>
        </w:rPr>
        <w:t>)</w:t>
      </w:r>
      <w:r>
        <w:tab/>
      </w:r>
      <w:r>
        <w:rPr>
          <w:rtl/>
        </w:rPr>
        <w:t xml:space="preserve">الفقرة </w:t>
      </w:r>
      <w:r w:rsidRPr="00F11B28">
        <w:rPr>
          <w:rtl/>
        </w:rPr>
        <w:t>5</w:t>
      </w:r>
      <w:r w:rsidRPr="00F11B28">
        <w:rPr>
          <w:color w:val="000000"/>
          <w:rtl/>
        </w:rPr>
        <w:t>5</w:t>
      </w:r>
      <w:r w:rsidRPr="00F11B28">
        <w:rPr>
          <w:color w:val="000000"/>
          <w:rtl/>
        </w:rPr>
        <w:t xml:space="preserve">. </w:t>
      </w:r>
    </w:p>
  </w:footnote>
  <w:footnote w:id="9">
    <w:p w14:paraId="038AECF0" w14:textId="77777777" w:rsidR="00F11B28" w:rsidRPr="00407392" w:rsidRDefault="00F11B28" w:rsidP="00407392">
      <w:pPr>
        <w:pStyle w:val="FootnoteText1"/>
        <w:textDirection w:val="tbRlV"/>
      </w:pPr>
      <w:r w:rsidRPr="00407392">
        <w:rPr>
          <w:rtl/>
        </w:rPr>
        <w:t>(</w:t>
      </w:r>
      <w:r w:rsidRPr="00F11B28">
        <w:rPr>
          <w:rStyle w:val="FootnoteReference"/>
          <w:vertAlign w:val="baseline"/>
        </w:rPr>
        <w:footnoteRef/>
      </w:r>
      <w:r w:rsidRPr="00407392">
        <w:rPr>
          <w:rtl/>
        </w:rPr>
        <w:t>)</w:t>
      </w:r>
      <w:r>
        <w:tab/>
      </w:r>
      <w:r>
        <w:rPr>
          <w:rtl/>
        </w:rPr>
        <w:t xml:space="preserve">التعليق العام رقم </w:t>
      </w:r>
      <w:r w:rsidRPr="00F11B28">
        <w:rPr>
          <w:rtl/>
        </w:rPr>
        <w:t>37</w:t>
      </w:r>
      <w:r w:rsidRPr="00407392">
        <w:rPr>
          <w:rtl/>
        </w:rPr>
        <w:t>(</w:t>
      </w:r>
      <w:r w:rsidRPr="00F11B28">
        <w:rPr>
          <w:rtl/>
        </w:rPr>
        <w:t>2020</w:t>
      </w:r>
      <w:r w:rsidRPr="00F11B28">
        <w:rPr>
          <w:color w:val="000000"/>
          <w:rtl/>
        </w:rPr>
        <w:t xml:space="preserve">)، </w:t>
      </w:r>
      <w:r>
        <w:rPr>
          <w:rtl/>
        </w:rPr>
        <w:t xml:space="preserve">الفقرة </w:t>
      </w:r>
      <w:r w:rsidRPr="00F11B28">
        <w:rPr>
          <w:rtl/>
        </w:rPr>
        <w:t>6</w:t>
      </w:r>
      <w:r w:rsidRPr="00F11B28">
        <w:rPr>
          <w:color w:val="000000"/>
          <w:rtl/>
        </w:rPr>
        <w:t>4</w:t>
      </w:r>
      <w:r w:rsidRPr="00F11B28">
        <w:rPr>
          <w:color w:val="000000"/>
          <w:rtl/>
        </w:rPr>
        <w:t xml:space="preserve">. </w:t>
      </w:r>
    </w:p>
  </w:footnote>
  <w:footnote w:id="10">
    <w:p w14:paraId="55A05D64" w14:textId="77777777" w:rsidR="00F11B28" w:rsidRPr="00407392" w:rsidRDefault="00F11B28" w:rsidP="00407392">
      <w:pPr>
        <w:pStyle w:val="FootnoteText1"/>
        <w:textDirection w:val="tbRlV"/>
      </w:pPr>
      <w:r w:rsidRPr="00407392">
        <w:rPr>
          <w:rtl/>
        </w:rPr>
        <w:t>(</w:t>
      </w:r>
      <w:r w:rsidRPr="00F11B28">
        <w:rPr>
          <w:rStyle w:val="FootnoteReference"/>
          <w:vertAlign w:val="baseline"/>
        </w:rPr>
        <w:footnoteRef/>
      </w:r>
      <w:r w:rsidRPr="00407392">
        <w:rPr>
          <w:rtl/>
        </w:rPr>
        <w:t>)</w:t>
      </w:r>
      <w:r>
        <w:tab/>
      </w:r>
      <w:r>
        <w:rPr>
          <w:rtl/>
        </w:rPr>
        <w:t xml:space="preserve">المرجع نفسه، الفقرة </w:t>
      </w:r>
      <w:r w:rsidRPr="00F11B28">
        <w:rPr>
          <w:color w:val="000000"/>
          <w:rtl/>
        </w:rPr>
        <w:t>6</w:t>
      </w:r>
      <w:r w:rsidRPr="00F11B28">
        <w:rPr>
          <w:color w:val="000000"/>
          <w:rtl/>
        </w:rPr>
        <w:t xml:space="preserve">. </w:t>
      </w:r>
    </w:p>
  </w:footnote>
  <w:footnote w:id="11">
    <w:p w14:paraId="54E99CC6" w14:textId="77777777" w:rsidR="00F11B28" w:rsidRPr="00407392" w:rsidRDefault="00F11B28" w:rsidP="00407392">
      <w:pPr>
        <w:pStyle w:val="FootnoteText1"/>
        <w:textDirection w:val="tbRlV"/>
      </w:pPr>
      <w:r w:rsidRPr="00407392">
        <w:rPr>
          <w:rtl/>
        </w:rPr>
        <w:t>(</w:t>
      </w:r>
      <w:r w:rsidRPr="00F11B28">
        <w:rPr>
          <w:rStyle w:val="FootnoteReference"/>
          <w:vertAlign w:val="baseline"/>
        </w:rPr>
        <w:footnoteRef/>
      </w:r>
      <w:r w:rsidRPr="00407392">
        <w:rPr>
          <w:rtl/>
        </w:rPr>
        <w:t>)</w:t>
      </w:r>
      <w:r>
        <w:tab/>
      </w:r>
      <w:r>
        <w:rPr>
          <w:rtl/>
        </w:rPr>
        <w:t xml:space="preserve">المرجع نفسه، الفقرة </w:t>
      </w:r>
      <w:r w:rsidRPr="00F11B28">
        <w:rPr>
          <w:rtl/>
        </w:rPr>
        <w:t>2</w:t>
      </w:r>
      <w:r w:rsidRPr="00F11B28">
        <w:rPr>
          <w:color w:val="000000"/>
          <w:rtl/>
        </w:rPr>
        <w:t>2</w:t>
      </w:r>
      <w:r w:rsidRPr="00F11B28">
        <w:rPr>
          <w:color w:val="000000"/>
          <w:rtl/>
        </w:rPr>
        <w:t xml:space="preserve">. </w:t>
      </w:r>
    </w:p>
  </w:footnote>
  <w:footnote w:id="12">
    <w:p w14:paraId="4BD05548" w14:textId="77777777" w:rsidR="00F11B28" w:rsidRPr="00407392" w:rsidRDefault="00F11B28" w:rsidP="00407392">
      <w:pPr>
        <w:pStyle w:val="FootnoteText1"/>
        <w:textDirection w:val="tbRlV"/>
      </w:pPr>
      <w:r w:rsidRPr="00407392">
        <w:rPr>
          <w:rtl/>
        </w:rPr>
        <w:t>(</w:t>
      </w:r>
      <w:r w:rsidRPr="00F11B28">
        <w:rPr>
          <w:rStyle w:val="FootnoteReference"/>
          <w:vertAlign w:val="baseline"/>
        </w:rPr>
        <w:footnoteRef/>
      </w:r>
      <w:r w:rsidRPr="00407392">
        <w:rPr>
          <w:rtl/>
        </w:rPr>
        <w:t>)</w:t>
      </w:r>
      <w:r>
        <w:tab/>
      </w:r>
      <w:r>
        <w:rPr>
          <w:rtl/>
        </w:rPr>
        <w:t xml:space="preserve">المرجع نفسه، الفقرة </w:t>
      </w:r>
      <w:r w:rsidRPr="00F11B28">
        <w:rPr>
          <w:rtl/>
        </w:rPr>
        <w:t>3</w:t>
      </w:r>
      <w:r w:rsidRPr="00F11B28">
        <w:rPr>
          <w:color w:val="000000"/>
          <w:rtl/>
        </w:rPr>
        <w:t>6</w:t>
      </w:r>
      <w:r w:rsidRPr="00F11B28">
        <w:rPr>
          <w:color w:val="000000"/>
          <w:rtl/>
        </w:rPr>
        <w:t xml:space="preserve">. </w:t>
      </w:r>
    </w:p>
  </w:footnote>
  <w:footnote w:id="13">
    <w:p w14:paraId="702E3525" w14:textId="77777777" w:rsidR="00F11B28" w:rsidRPr="00407392" w:rsidRDefault="00F11B28" w:rsidP="00F11B28">
      <w:pPr>
        <w:pStyle w:val="FootnoteText1"/>
        <w:textDirection w:val="tbRlV"/>
      </w:pPr>
      <w:r w:rsidRPr="00407392">
        <w:rPr>
          <w:rtl/>
        </w:rPr>
        <w:t>(</w:t>
      </w:r>
      <w:r w:rsidRPr="00F11B28">
        <w:rPr>
          <w:rStyle w:val="FootnoteReference"/>
          <w:vertAlign w:val="baseline"/>
        </w:rPr>
        <w:footnoteRef/>
      </w:r>
      <w:r w:rsidRPr="00407392">
        <w:rPr>
          <w:rtl/>
        </w:rPr>
        <w:t>)</w:t>
      </w:r>
      <w:r>
        <w:tab/>
      </w:r>
      <w:r>
        <w:rPr>
          <w:rtl/>
        </w:rPr>
        <w:t xml:space="preserve">انظر قضية </w:t>
      </w:r>
      <w:proofErr w:type="spellStart"/>
      <w:r w:rsidRPr="00F11B28">
        <w:rPr>
          <w:i/>
          <w:iCs/>
          <w:rtl/>
        </w:rPr>
        <w:t>بوبلافني</w:t>
      </w:r>
      <w:proofErr w:type="spellEnd"/>
      <w:r w:rsidRPr="00F11B28">
        <w:rPr>
          <w:i/>
          <w:iCs/>
          <w:rtl/>
        </w:rPr>
        <w:t xml:space="preserve"> ضد بيلاروس</w:t>
      </w:r>
      <w:r>
        <w:rPr>
          <w:rtl/>
        </w:rPr>
        <w:t xml:space="preserve"> </w:t>
      </w:r>
      <w:r w:rsidRPr="00407392">
        <w:rPr>
          <w:rtl/>
        </w:rPr>
        <w:t>(</w:t>
      </w:r>
      <w:hyperlink r:id="rId6" w:history="1">
        <w:r w:rsidRPr="00F11B28">
          <w:rPr>
            <w:rStyle w:val="Hyperlink"/>
            <w:lang w:val="en-AU"/>
          </w:rPr>
          <w:t>CCPR/C/115/D/2019/2010</w:t>
        </w:r>
      </w:hyperlink>
      <w:r w:rsidRPr="00F11B28">
        <w:rPr>
          <w:color w:val="000000"/>
          <w:rtl/>
        </w:rPr>
        <w:t xml:space="preserve">)، </w:t>
      </w:r>
      <w:r>
        <w:rPr>
          <w:rtl/>
        </w:rPr>
        <w:t xml:space="preserve">الفقرة </w:t>
      </w:r>
      <w:r w:rsidRPr="00F11B28">
        <w:rPr>
          <w:rtl/>
        </w:rPr>
        <w:t>8</w:t>
      </w:r>
      <w:r w:rsidRPr="00407392">
        <w:rPr>
          <w:rtl/>
        </w:rPr>
        <w:t>-</w:t>
      </w:r>
      <w:r w:rsidRPr="00F11B28">
        <w:rPr>
          <w:color w:val="000000"/>
          <w:rtl/>
        </w:rPr>
        <w:t xml:space="preserve">4. </w:t>
      </w:r>
    </w:p>
  </w:footnote>
  <w:footnote w:id="14">
    <w:p w14:paraId="44CE69CC" w14:textId="01BF36C4" w:rsidR="00F11B28" w:rsidRPr="00407392" w:rsidRDefault="00F11B28" w:rsidP="00F11B28">
      <w:pPr>
        <w:pStyle w:val="FootnoteText1"/>
        <w:textDirection w:val="tbRlV"/>
      </w:pPr>
      <w:r w:rsidRPr="00407392">
        <w:rPr>
          <w:rtl/>
        </w:rPr>
        <w:t>(</w:t>
      </w:r>
      <w:r w:rsidRPr="00F11B28">
        <w:rPr>
          <w:rStyle w:val="FootnoteReference"/>
          <w:vertAlign w:val="baseline"/>
        </w:rPr>
        <w:footnoteRef/>
      </w:r>
      <w:r w:rsidRPr="00407392">
        <w:rPr>
          <w:rtl/>
        </w:rPr>
        <w:t>)</w:t>
      </w:r>
      <w:r>
        <w:tab/>
      </w:r>
      <w:r>
        <w:rPr>
          <w:rtl/>
        </w:rPr>
        <w:t xml:space="preserve">انظر، مثلاً، </w:t>
      </w:r>
      <w:proofErr w:type="spellStart"/>
      <w:r w:rsidRPr="00F11B28">
        <w:rPr>
          <w:i/>
          <w:iCs/>
          <w:rtl/>
        </w:rPr>
        <w:t>بوبوفا</w:t>
      </w:r>
      <w:proofErr w:type="spellEnd"/>
      <w:r w:rsidRPr="00F11B28">
        <w:rPr>
          <w:i/>
          <w:iCs/>
          <w:rtl/>
        </w:rPr>
        <w:t xml:space="preserve"> ضد الاتحاد الروسي</w:t>
      </w:r>
      <w:r>
        <w:rPr>
          <w:rtl/>
        </w:rPr>
        <w:t xml:space="preserve"> </w:t>
      </w:r>
      <w:r w:rsidRPr="00407392">
        <w:rPr>
          <w:rtl/>
        </w:rPr>
        <w:t>(</w:t>
      </w:r>
      <w:hyperlink r:id="rId7" w:history="1">
        <w:r w:rsidRPr="00F11B28">
          <w:rPr>
            <w:rStyle w:val="Hyperlink"/>
            <w:lang w:val="en-AU"/>
          </w:rPr>
          <w:t>CCPR/C/122/D/2217/2012</w:t>
        </w:r>
      </w:hyperlink>
      <w:r w:rsidRPr="00F11B28">
        <w:rPr>
          <w:color w:val="000000"/>
          <w:rtl/>
        </w:rPr>
        <w:t xml:space="preserve">)، </w:t>
      </w:r>
      <w:r>
        <w:rPr>
          <w:rtl/>
        </w:rPr>
        <w:t xml:space="preserve">الفقرة </w:t>
      </w:r>
      <w:r w:rsidRPr="00F11B28">
        <w:rPr>
          <w:color w:val="000000"/>
          <w:rtl/>
        </w:rPr>
        <w:t>8</w:t>
      </w:r>
      <w:r>
        <w:rPr>
          <w:rFonts w:hint="cs"/>
          <w:color w:val="000000"/>
          <w:rtl/>
        </w:rPr>
        <w:t>؛</w:t>
      </w:r>
      <w:r w:rsidRPr="00F11B28">
        <w:rPr>
          <w:color w:val="000000"/>
          <w:rtl/>
        </w:rPr>
        <w:t xml:space="preserve"> </w:t>
      </w:r>
      <w:r>
        <w:rPr>
          <w:rtl/>
        </w:rPr>
        <w:t xml:space="preserve">وقضية </w:t>
      </w:r>
      <w:r w:rsidRPr="00F11B28">
        <w:rPr>
          <w:i/>
          <w:iCs/>
          <w:rtl/>
        </w:rPr>
        <w:t>مالاي ضد بيلاروس</w:t>
      </w:r>
      <w:r>
        <w:rPr>
          <w:rtl/>
        </w:rPr>
        <w:t xml:space="preserve"> </w:t>
      </w:r>
      <w:r w:rsidRPr="00407392">
        <w:rPr>
          <w:rtl/>
        </w:rPr>
        <w:t>(</w:t>
      </w:r>
      <w:hyperlink r:id="rId8" w:history="1">
        <w:r w:rsidRPr="00F11B28">
          <w:rPr>
            <w:rStyle w:val="Hyperlink"/>
            <w:lang w:val="en-AU"/>
          </w:rPr>
          <w:t>CCPR/C/129/D/2404/2014</w:t>
        </w:r>
      </w:hyperlink>
      <w:r w:rsidRPr="00F11B28">
        <w:rPr>
          <w:color w:val="000000"/>
          <w:rtl/>
        </w:rPr>
        <w:t xml:space="preserve">)، </w:t>
      </w:r>
      <w:r>
        <w:rPr>
          <w:rtl/>
        </w:rPr>
        <w:t xml:space="preserve">الفقرة </w:t>
      </w:r>
      <w:r w:rsidRPr="00F11B28">
        <w:rPr>
          <w:rtl/>
        </w:rPr>
        <w:t>9</w:t>
      </w:r>
      <w:r w:rsidRPr="00407392">
        <w:rPr>
          <w:rtl/>
        </w:rPr>
        <w:t>-</w:t>
      </w:r>
      <w:r w:rsidRPr="00F11B28">
        <w:rPr>
          <w:color w:val="000000"/>
          <w:rtl/>
        </w:rPr>
        <w:t>7</w:t>
      </w:r>
      <w:r>
        <w:rPr>
          <w:rFonts w:hint="cs"/>
          <w:color w:val="000000"/>
          <w:rtl/>
        </w:rPr>
        <w:t>؛</w:t>
      </w:r>
      <w:r w:rsidRPr="00F11B28">
        <w:rPr>
          <w:color w:val="000000"/>
          <w:rtl/>
        </w:rPr>
        <w:t xml:space="preserve"> </w:t>
      </w:r>
      <w:r>
        <w:rPr>
          <w:rtl/>
        </w:rPr>
        <w:t xml:space="preserve">وقضية </w:t>
      </w:r>
      <w:proofErr w:type="spellStart"/>
      <w:r w:rsidRPr="00F11B28">
        <w:rPr>
          <w:i/>
          <w:iCs/>
          <w:rtl/>
        </w:rPr>
        <w:t>صاديقوف</w:t>
      </w:r>
      <w:proofErr w:type="spellEnd"/>
      <w:r w:rsidRPr="00F11B28">
        <w:rPr>
          <w:i/>
          <w:iCs/>
          <w:rtl/>
        </w:rPr>
        <w:t xml:space="preserve"> ضد كازاخستان</w:t>
      </w:r>
      <w:r>
        <w:rPr>
          <w:rtl/>
        </w:rPr>
        <w:t xml:space="preserve"> </w:t>
      </w:r>
      <w:r w:rsidRPr="00407392">
        <w:rPr>
          <w:rtl/>
        </w:rPr>
        <w:t>(</w:t>
      </w:r>
      <w:hyperlink r:id="rId9" w:history="1">
        <w:r w:rsidRPr="00F11B28">
          <w:rPr>
            <w:rStyle w:val="Hyperlink"/>
            <w:lang w:val="en-AU"/>
          </w:rPr>
          <w:t>CCPR/C/129/D/2456/2014</w:t>
        </w:r>
      </w:hyperlink>
      <w:r w:rsidRPr="00F11B28">
        <w:rPr>
          <w:color w:val="000000"/>
          <w:rtl/>
        </w:rPr>
        <w:t xml:space="preserve">)، </w:t>
      </w:r>
      <w:r>
        <w:rPr>
          <w:rtl/>
        </w:rPr>
        <w:t xml:space="preserve">الفقرة </w:t>
      </w:r>
      <w:r w:rsidRPr="00F11B28">
        <w:rPr>
          <w:rtl/>
        </w:rPr>
        <w:t>8</w:t>
      </w:r>
      <w:r>
        <w:rPr>
          <w:rtl/>
        </w:rPr>
        <w:t xml:space="preserve">؛ وقضية </w:t>
      </w:r>
      <w:proofErr w:type="spellStart"/>
      <w:r w:rsidRPr="00F11B28">
        <w:rPr>
          <w:i/>
          <w:iCs/>
          <w:rtl/>
        </w:rPr>
        <w:t>تولشينا</w:t>
      </w:r>
      <w:proofErr w:type="spellEnd"/>
      <w:r w:rsidRPr="00F11B28">
        <w:rPr>
          <w:i/>
          <w:iCs/>
          <w:rtl/>
        </w:rPr>
        <w:t xml:space="preserve"> وآخرون ضد بيلاروس</w:t>
      </w:r>
      <w:r>
        <w:rPr>
          <w:rtl/>
        </w:rPr>
        <w:t xml:space="preserve"> </w:t>
      </w:r>
      <w:r w:rsidRPr="00407392">
        <w:rPr>
          <w:rtl/>
        </w:rPr>
        <w:t>(</w:t>
      </w:r>
      <w:hyperlink r:id="rId10" w:history="1">
        <w:r w:rsidRPr="00F11B28">
          <w:rPr>
            <w:rStyle w:val="Hyperlink"/>
            <w:lang w:val="en-AU"/>
          </w:rPr>
          <w:t>CCPR/C/132/D/2857/2016</w:t>
        </w:r>
      </w:hyperlink>
      <w:r w:rsidRPr="00F11B28">
        <w:rPr>
          <w:color w:val="000000"/>
          <w:rtl/>
        </w:rPr>
        <w:t xml:space="preserve">)، </w:t>
      </w:r>
      <w:r>
        <w:rPr>
          <w:rtl/>
        </w:rPr>
        <w:t xml:space="preserve">الفقرة </w:t>
      </w:r>
      <w:r w:rsidRPr="00F11B28">
        <w:rPr>
          <w:rtl/>
        </w:rPr>
        <w:t>6</w:t>
      </w:r>
      <w:r w:rsidRPr="00407392">
        <w:rPr>
          <w:rtl/>
        </w:rPr>
        <w:t>-</w:t>
      </w:r>
      <w:r w:rsidRPr="00F11B28">
        <w:rPr>
          <w:rtl/>
        </w:rPr>
        <w:t>7</w:t>
      </w:r>
      <w:r>
        <w:rPr>
          <w:rtl/>
        </w:rPr>
        <w:t xml:space="preserve">؛ وقضية </w:t>
      </w:r>
      <w:proofErr w:type="spellStart"/>
      <w:r w:rsidRPr="00F11B28">
        <w:rPr>
          <w:i/>
          <w:iCs/>
          <w:rtl/>
        </w:rPr>
        <w:t>زافادزكايا</w:t>
      </w:r>
      <w:proofErr w:type="spellEnd"/>
      <w:r w:rsidRPr="00F11B28">
        <w:rPr>
          <w:i/>
          <w:iCs/>
          <w:rtl/>
        </w:rPr>
        <w:t xml:space="preserve"> وآخرون ضد بيلاروس</w:t>
      </w:r>
      <w:r>
        <w:rPr>
          <w:rtl/>
        </w:rPr>
        <w:t xml:space="preserve"> </w:t>
      </w:r>
      <w:r w:rsidRPr="00407392">
        <w:rPr>
          <w:rtl/>
        </w:rPr>
        <w:t>(</w:t>
      </w:r>
      <w:hyperlink r:id="rId11" w:history="1">
        <w:r w:rsidRPr="00F11B28">
          <w:rPr>
            <w:rStyle w:val="Hyperlink"/>
            <w:lang w:val="en-AU"/>
          </w:rPr>
          <w:t>CCPR/C/132/D/2865/2016</w:t>
        </w:r>
      </w:hyperlink>
      <w:r w:rsidRPr="00F11B28">
        <w:rPr>
          <w:color w:val="000000"/>
          <w:rtl/>
        </w:rPr>
        <w:t xml:space="preserve">)، </w:t>
      </w:r>
      <w:r>
        <w:rPr>
          <w:rtl/>
        </w:rPr>
        <w:t xml:space="preserve">الفقرة </w:t>
      </w:r>
      <w:r w:rsidRPr="00F11B28">
        <w:rPr>
          <w:rtl/>
        </w:rPr>
        <w:t>6</w:t>
      </w:r>
      <w:r w:rsidRPr="00407392">
        <w:rPr>
          <w:rtl/>
        </w:rPr>
        <w:t>-</w:t>
      </w:r>
      <w:r w:rsidRPr="00F11B28">
        <w:rPr>
          <w:color w:val="000000"/>
          <w:rtl/>
        </w:rPr>
        <w:t>7</w:t>
      </w:r>
      <w:r w:rsidRPr="00F11B28">
        <w:rPr>
          <w:color w:val="000000"/>
          <w:rtl/>
        </w:rPr>
        <w:t xml:space="preserve">. </w:t>
      </w:r>
    </w:p>
  </w:footnote>
  <w:footnote w:id="15">
    <w:p w14:paraId="0E60B4FC" w14:textId="77777777" w:rsidR="00F11B28" w:rsidRPr="00407392" w:rsidRDefault="00F11B28" w:rsidP="00407392">
      <w:pPr>
        <w:pStyle w:val="FootnoteText1"/>
        <w:textDirection w:val="tbRlV"/>
      </w:pPr>
      <w:r w:rsidRPr="00407392">
        <w:rPr>
          <w:rtl/>
        </w:rPr>
        <w:t>(</w:t>
      </w:r>
      <w:r w:rsidRPr="00F11B28">
        <w:rPr>
          <w:rStyle w:val="FootnoteReference"/>
          <w:vertAlign w:val="baseline"/>
        </w:rPr>
        <w:footnoteRef/>
      </w:r>
      <w:r w:rsidRPr="00407392">
        <w:rPr>
          <w:rtl/>
        </w:rPr>
        <w:t>)</w:t>
      </w:r>
      <w:r>
        <w:tab/>
      </w:r>
      <w:r>
        <w:rPr>
          <w:rtl/>
        </w:rPr>
        <w:t xml:space="preserve">الفقرة </w:t>
      </w:r>
      <w:r w:rsidRPr="00F11B28">
        <w:rPr>
          <w:color w:val="000000"/>
          <w:rtl/>
        </w:rPr>
        <w:t>2</w:t>
      </w:r>
      <w:r w:rsidRPr="00F11B28">
        <w:rPr>
          <w:color w:val="000000"/>
          <w:rtl/>
        </w:rPr>
        <w:t xml:space="preserve">. </w:t>
      </w:r>
    </w:p>
  </w:footnote>
  <w:footnote w:id="16">
    <w:p w14:paraId="23AC3EF2" w14:textId="77777777" w:rsidR="00F11B28" w:rsidRPr="00407392" w:rsidRDefault="00F11B28" w:rsidP="00407392">
      <w:pPr>
        <w:pStyle w:val="FootnoteText1"/>
        <w:textDirection w:val="tbRlV"/>
      </w:pPr>
      <w:r w:rsidRPr="00407392">
        <w:rPr>
          <w:rtl/>
        </w:rPr>
        <w:t>(</w:t>
      </w:r>
      <w:r w:rsidRPr="00F11B28">
        <w:rPr>
          <w:rStyle w:val="FootnoteReference"/>
          <w:vertAlign w:val="baseline"/>
        </w:rPr>
        <w:footnoteRef/>
      </w:r>
      <w:r w:rsidRPr="00407392">
        <w:rPr>
          <w:rtl/>
        </w:rPr>
        <w:t>)</w:t>
      </w:r>
      <w:r>
        <w:tab/>
      </w:r>
      <w:r>
        <w:rPr>
          <w:rtl/>
        </w:rPr>
        <w:t xml:space="preserve">التعليق العام رقم </w:t>
      </w:r>
      <w:r w:rsidRPr="00F11B28">
        <w:rPr>
          <w:rtl/>
        </w:rPr>
        <w:t>34</w:t>
      </w:r>
      <w:r w:rsidRPr="00407392">
        <w:rPr>
          <w:rtl/>
        </w:rPr>
        <w:t>(</w:t>
      </w:r>
      <w:r w:rsidRPr="00F11B28">
        <w:rPr>
          <w:rtl/>
        </w:rPr>
        <w:t>2011</w:t>
      </w:r>
      <w:r w:rsidRPr="00F11B28">
        <w:rPr>
          <w:color w:val="000000"/>
          <w:rtl/>
        </w:rPr>
        <w:t xml:space="preserve">)، </w:t>
      </w:r>
      <w:r>
        <w:rPr>
          <w:rtl/>
        </w:rPr>
        <w:t xml:space="preserve">الفقرة </w:t>
      </w:r>
      <w:r w:rsidRPr="00F11B28">
        <w:rPr>
          <w:rtl/>
        </w:rPr>
        <w:t>3</w:t>
      </w:r>
      <w:r w:rsidRPr="00F11B28">
        <w:rPr>
          <w:color w:val="000000"/>
          <w:rtl/>
        </w:rPr>
        <w:t>4</w:t>
      </w:r>
      <w:r w:rsidRPr="00F11B28">
        <w:rPr>
          <w:color w:val="000000"/>
          <w:rtl/>
        </w:rPr>
        <w:t xml:space="preserve">. </w:t>
      </w:r>
    </w:p>
  </w:footnote>
  <w:footnote w:id="17">
    <w:p w14:paraId="05728A1B" w14:textId="77777777" w:rsidR="00F11B28" w:rsidRPr="00407392" w:rsidRDefault="00F11B28" w:rsidP="00F11B28">
      <w:pPr>
        <w:pStyle w:val="FootnoteText1"/>
        <w:textDirection w:val="tbRlV"/>
      </w:pPr>
      <w:r w:rsidRPr="00407392">
        <w:rPr>
          <w:rtl/>
        </w:rPr>
        <w:t>(</w:t>
      </w:r>
      <w:r w:rsidRPr="00F11B28">
        <w:rPr>
          <w:rStyle w:val="FootnoteReference"/>
          <w:vertAlign w:val="baseline"/>
        </w:rPr>
        <w:footnoteRef/>
      </w:r>
      <w:r w:rsidRPr="00407392">
        <w:rPr>
          <w:rtl/>
        </w:rPr>
        <w:t>)</w:t>
      </w:r>
      <w:r>
        <w:tab/>
      </w:r>
      <w:r>
        <w:rPr>
          <w:rtl/>
        </w:rPr>
        <w:t xml:space="preserve">قضية </w:t>
      </w:r>
      <w:proofErr w:type="spellStart"/>
      <w:r w:rsidRPr="00F11B28">
        <w:rPr>
          <w:i/>
          <w:iCs/>
          <w:rtl/>
        </w:rPr>
        <w:t>أندروسينكو</w:t>
      </w:r>
      <w:proofErr w:type="spellEnd"/>
      <w:r w:rsidRPr="00F11B28">
        <w:rPr>
          <w:i/>
          <w:iCs/>
          <w:rtl/>
        </w:rPr>
        <w:t xml:space="preserve"> ضد بيلاروس</w:t>
      </w:r>
      <w:r>
        <w:rPr>
          <w:rtl/>
        </w:rPr>
        <w:t xml:space="preserve"> </w:t>
      </w:r>
      <w:r w:rsidRPr="00407392">
        <w:rPr>
          <w:rtl/>
        </w:rPr>
        <w:t>(</w:t>
      </w:r>
      <w:hyperlink r:id="rId12" w:history="1">
        <w:r w:rsidRPr="00F11B28">
          <w:rPr>
            <w:rStyle w:val="Hyperlink"/>
            <w:lang w:val="en-AU"/>
          </w:rPr>
          <w:t>CCPR/C/116/D/2092/2011</w:t>
        </w:r>
      </w:hyperlink>
      <w:r w:rsidRPr="00F11B28">
        <w:rPr>
          <w:color w:val="000000"/>
          <w:rtl/>
        </w:rPr>
        <w:t xml:space="preserve">)، </w:t>
      </w:r>
      <w:r>
        <w:rPr>
          <w:rtl/>
        </w:rPr>
        <w:t xml:space="preserve">الفقرة </w:t>
      </w:r>
      <w:r w:rsidRPr="00F11B28">
        <w:rPr>
          <w:rtl/>
        </w:rPr>
        <w:t>7</w:t>
      </w:r>
      <w:r w:rsidRPr="00407392">
        <w:rPr>
          <w:rtl/>
        </w:rPr>
        <w:t>-</w:t>
      </w:r>
      <w:r w:rsidRPr="00F11B28">
        <w:rPr>
          <w:color w:val="000000"/>
          <w:rtl/>
        </w:rPr>
        <w:t>3</w:t>
      </w:r>
      <w:r w:rsidRPr="00F11B28">
        <w:rPr>
          <w:color w:val="000000"/>
          <w:rtl/>
        </w:rPr>
        <w:t xml:space="preserve">. </w:t>
      </w:r>
    </w:p>
  </w:footnote>
  <w:footnote w:id="18">
    <w:p w14:paraId="6592FF32" w14:textId="77777777" w:rsidR="00F11B28" w:rsidRPr="00407392" w:rsidRDefault="00F11B28" w:rsidP="00407392">
      <w:pPr>
        <w:pStyle w:val="FootnoteText1"/>
        <w:textDirection w:val="tbRlV"/>
      </w:pPr>
      <w:r w:rsidRPr="00407392">
        <w:rPr>
          <w:rtl/>
        </w:rPr>
        <w:t>(</w:t>
      </w:r>
      <w:r w:rsidRPr="00F11B28">
        <w:rPr>
          <w:rStyle w:val="FootnoteReference"/>
          <w:vertAlign w:val="baseline"/>
        </w:rPr>
        <w:footnoteRef/>
      </w:r>
      <w:r w:rsidRPr="00407392">
        <w:rPr>
          <w:rtl/>
        </w:rPr>
        <w:t>)</w:t>
      </w:r>
      <w:r>
        <w:tab/>
      </w:r>
      <w:r>
        <w:rPr>
          <w:rtl/>
        </w:rPr>
        <w:t xml:space="preserve">التعليق العام رقم </w:t>
      </w:r>
      <w:r w:rsidRPr="00F11B28">
        <w:rPr>
          <w:rtl/>
        </w:rPr>
        <w:t>34</w:t>
      </w:r>
      <w:r w:rsidRPr="00407392">
        <w:rPr>
          <w:rtl/>
        </w:rPr>
        <w:t>(</w:t>
      </w:r>
      <w:r w:rsidRPr="00F11B28">
        <w:rPr>
          <w:rtl/>
        </w:rPr>
        <w:t>2011</w:t>
      </w:r>
      <w:r w:rsidRPr="00F11B28">
        <w:rPr>
          <w:color w:val="000000"/>
          <w:rtl/>
        </w:rPr>
        <w:t xml:space="preserve">)، </w:t>
      </w:r>
      <w:r>
        <w:rPr>
          <w:rtl/>
        </w:rPr>
        <w:t xml:space="preserve">الفقرة </w:t>
      </w:r>
      <w:r w:rsidRPr="00F11B28">
        <w:rPr>
          <w:rtl/>
        </w:rPr>
        <w:t>2</w:t>
      </w:r>
      <w:r w:rsidRPr="00F11B28">
        <w:rPr>
          <w:color w:val="000000"/>
          <w:rtl/>
        </w:rPr>
        <w:t>2</w:t>
      </w:r>
      <w:r w:rsidRPr="00F11B28">
        <w:rPr>
          <w:color w:val="000000"/>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FDDB1" w14:textId="77777777" w:rsidR="003E1FD6" w:rsidRPr="003E1FD6" w:rsidRDefault="003E1FD6" w:rsidP="003E1FD6">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CCPR/C/134/D/2755/2016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47B9" w14:textId="77777777" w:rsidR="003E1FD6" w:rsidRPr="003E1FD6" w:rsidRDefault="003E1FD6" w:rsidP="003E1FD6">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CCPR/C/134/D/2755/2016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9F"/>
    <w:rsid w:val="000076D5"/>
    <w:rsid w:val="00043663"/>
    <w:rsid w:val="000437B8"/>
    <w:rsid w:val="000505CF"/>
    <w:rsid w:val="00066369"/>
    <w:rsid w:val="000D701C"/>
    <w:rsid w:val="000E2A71"/>
    <w:rsid w:val="00145577"/>
    <w:rsid w:val="00160263"/>
    <w:rsid w:val="00181F96"/>
    <w:rsid w:val="001872B1"/>
    <w:rsid w:val="001A1371"/>
    <w:rsid w:val="001B043F"/>
    <w:rsid w:val="001B346A"/>
    <w:rsid w:val="001E1CAD"/>
    <w:rsid w:val="001E290D"/>
    <w:rsid w:val="002144FA"/>
    <w:rsid w:val="0023469A"/>
    <w:rsid w:val="00243C8A"/>
    <w:rsid w:val="00267A0E"/>
    <w:rsid w:val="002901D9"/>
    <w:rsid w:val="002976C2"/>
    <w:rsid w:val="003068BC"/>
    <w:rsid w:val="003260FF"/>
    <w:rsid w:val="00343D95"/>
    <w:rsid w:val="00363A18"/>
    <w:rsid w:val="00374341"/>
    <w:rsid w:val="003D1062"/>
    <w:rsid w:val="003E1FD6"/>
    <w:rsid w:val="003F6B01"/>
    <w:rsid w:val="00402051"/>
    <w:rsid w:val="00407392"/>
    <w:rsid w:val="00420D7B"/>
    <w:rsid w:val="00450B21"/>
    <w:rsid w:val="00453B63"/>
    <w:rsid w:val="00455780"/>
    <w:rsid w:val="0046323F"/>
    <w:rsid w:val="00467039"/>
    <w:rsid w:val="004A1F9C"/>
    <w:rsid w:val="004B0A1C"/>
    <w:rsid w:val="004B27E0"/>
    <w:rsid w:val="004D298E"/>
    <w:rsid w:val="005044B3"/>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21120"/>
    <w:rsid w:val="00652221"/>
    <w:rsid w:val="00656392"/>
    <w:rsid w:val="006645EC"/>
    <w:rsid w:val="0068781D"/>
    <w:rsid w:val="006959B0"/>
    <w:rsid w:val="006B1C07"/>
    <w:rsid w:val="006B3E27"/>
    <w:rsid w:val="006B6507"/>
    <w:rsid w:val="006C104C"/>
    <w:rsid w:val="006C632E"/>
    <w:rsid w:val="00717FB3"/>
    <w:rsid w:val="00730446"/>
    <w:rsid w:val="00733704"/>
    <w:rsid w:val="0078071A"/>
    <w:rsid w:val="00787022"/>
    <w:rsid w:val="00787E1E"/>
    <w:rsid w:val="00852A9A"/>
    <w:rsid w:val="008A49D2"/>
    <w:rsid w:val="008F49E1"/>
    <w:rsid w:val="0090370F"/>
    <w:rsid w:val="009269D2"/>
    <w:rsid w:val="00942135"/>
    <w:rsid w:val="009521B0"/>
    <w:rsid w:val="00957437"/>
    <w:rsid w:val="00982139"/>
    <w:rsid w:val="009867A8"/>
    <w:rsid w:val="00991F44"/>
    <w:rsid w:val="00996849"/>
    <w:rsid w:val="009A0CFB"/>
    <w:rsid w:val="009A7E9F"/>
    <w:rsid w:val="009C17EC"/>
    <w:rsid w:val="009E5018"/>
    <w:rsid w:val="00A03700"/>
    <w:rsid w:val="00A053F2"/>
    <w:rsid w:val="00A12B37"/>
    <w:rsid w:val="00A42A0B"/>
    <w:rsid w:val="00A54828"/>
    <w:rsid w:val="00A97E1F"/>
    <w:rsid w:val="00AB512E"/>
    <w:rsid w:val="00AB6758"/>
    <w:rsid w:val="00AB727F"/>
    <w:rsid w:val="00B13763"/>
    <w:rsid w:val="00B477A4"/>
    <w:rsid w:val="00B54045"/>
    <w:rsid w:val="00B63ADD"/>
    <w:rsid w:val="00BB09A0"/>
    <w:rsid w:val="00C175A6"/>
    <w:rsid w:val="00C41DCF"/>
    <w:rsid w:val="00C42AF7"/>
    <w:rsid w:val="00C438D7"/>
    <w:rsid w:val="00C62C20"/>
    <w:rsid w:val="00C81B50"/>
    <w:rsid w:val="00C902EF"/>
    <w:rsid w:val="00CB0011"/>
    <w:rsid w:val="00CB6622"/>
    <w:rsid w:val="00CD1801"/>
    <w:rsid w:val="00CF56F9"/>
    <w:rsid w:val="00CF65C6"/>
    <w:rsid w:val="00D00A89"/>
    <w:rsid w:val="00D10EF1"/>
    <w:rsid w:val="00D42810"/>
    <w:rsid w:val="00D60DD5"/>
    <w:rsid w:val="00D7049F"/>
    <w:rsid w:val="00D914A7"/>
    <w:rsid w:val="00DC4D4B"/>
    <w:rsid w:val="00DD13C3"/>
    <w:rsid w:val="00DD596E"/>
    <w:rsid w:val="00DD621E"/>
    <w:rsid w:val="00DE50B1"/>
    <w:rsid w:val="00DF0138"/>
    <w:rsid w:val="00DF0575"/>
    <w:rsid w:val="00E2228E"/>
    <w:rsid w:val="00E70E04"/>
    <w:rsid w:val="00E77E6C"/>
    <w:rsid w:val="00E8340E"/>
    <w:rsid w:val="00E83ED5"/>
    <w:rsid w:val="00EC05A7"/>
    <w:rsid w:val="00EC4B6B"/>
    <w:rsid w:val="00EC68A5"/>
    <w:rsid w:val="00ED7442"/>
    <w:rsid w:val="00EF1EE5"/>
    <w:rsid w:val="00EF5C43"/>
    <w:rsid w:val="00F10DAB"/>
    <w:rsid w:val="00F11B28"/>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B835F4"/>
  <w15:docId w15:val="{200789CC-FD9E-48D9-AE87-AD295788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CPR/C/129/D/2404/2014" TargetMode="External"/><Relationship Id="rId3" Type="http://schemas.openxmlformats.org/officeDocument/2006/relationships/hyperlink" Target="https://undocs.org/ar/CCPR/C/109/D/1873/2009" TargetMode="External"/><Relationship Id="rId7" Type="http://schemas.openxmlformats.org/officeDocument/2006/relationships/hyperlink" Target="https://undocs.org/ar/CCPR/C/122/D/2217/2012" TargetMode="External"/><Relationship Id="rId12" Type="http://schemas.openxmlformats.org/officeDocument/2006/relationships/hyperlink" Target="https://undocs.org/ar/CCPR/C/116/D/2092/2011" TargetMode="External"/><Relationship Id="rId2" Type="http://schemas.openxmlformats.org/officeDocument/2006/relationships/hyperlink" Target="https://undocs.org/ar/CCPR/C/109/D/1851/2008" TargetMode="External"/><Relationship Id="rId1" Type="http://schemas.openxmlformats.org/officeDocument/2006/relationships/hyperlink" Target="https://undocs.org/ar/CCPR/C/111/D/2030/2011" TargetMode="External"/><Relationship Id="rId6" Type="http://schemas.openxmlformats.org/officeDocument/2006/relationships/hyperlink" Target="https://undocs.org/ar/CCPR/C/115/D/2019/2010" TargetMode="External"/><Relationship Id="rId11" Type="http://schemas.openxmlformats.org/officeDocument/2006/relationships/hyperlink" Target="https://undocs.org/ar/CCPR/C/132/D/2865/2016" TargetMode="External"/><Relationship Id="rId5" Type="http://schemas.openxmlformats.org/officeDocument/2006/relationships/hyperlink" Target="https://undocs.org/ar/CCPR/C/115/D/2016/2010" TargetMode="External"/><Relationship Id="rId10" Type="http://schemas.openxmlformats.org/officeDocument/2006/relationships/hyperlink" Target="https://undocs.org/ar/CCPR/C/132/D/2857/2016" TargetMode="External"/><Relationship Id="rId4" Type="http://schemas.openxmlformats.org/officeDocument/2006/relationships/hyperlink" Target="https://undocs.org/ar/CCPR/C/112/D/1929/2010" TargetMode="External"/><Relationship Id="rId9" Type="http://schemas.openxmlformats.org/officeDocument/2006/relationships/hyperlink" Target="https://undocs.org/ar/CCPR/C/129/D/2456/2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F1DC5-6A41-457F-90B8-49496800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1926</Words>
  <Characters>15235</Characters>
  <Application>Microsoft Office Word</Application>
  <DocSecurity>0</DocSecurity>
  <Lines>1692</Lines>
  <Paragraphs>1072</Paragraphs>
  <ScaleCrop>false</ScaleCrop>
  <HeadingPairs>
    <vt:vector size="2" baseType="variant">
      <vt:variant>
        <vt:lpstr>Title</vt:lpstr>
      </vt:variant>
      <vt:variant>
        <vt:i4>1</vt:i4>
      </vt:variant>
    </vt:vector>
  </HeadingPairs>
  <TitlesOfParts>
    <vt:vector size="1" baseType="lpstr">
      <vt:lpstr>CCPR/C/134/D/2755/2016</vt:lpstr>
    </vt:vector>
  </TitlesOfParts>
  <Company>DCM</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CCPR/C/134/D/2755/2016</dc:title>
  <dc:subject>GE.2207329(A)</dc:subject>
  <dc:creator>Gamal MAHMOUD - RFATH</dc:creator>
  <cp:keywords>GE.2234337(A)</cp:keywords>
  <dc:description>Distr.: General_x000d_
17 May 2022_x000d_
Original: English</dc:description>
  <cp:lastModifiedBy>Gamal MAHMOUD</cp:lastModifiedBy>
  <cp:revision>2</cp:revision>
  <dcterms:created xsi:type="dcterms:W3CDTF">2022-06-03T17:19:00Z</dcterms:created>
  <dcterms:modified xsi:type="dcterms:W3CDTF">2022-06-03T17:19:00Z</dcterms:modified>
  <cp:category>Finale</cp:category>
</cp:coreProperties>
</file>