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B6B0E0D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21EFA8" w14:textId="77777777" w:rsidR="002D5AAC" w:rsidRDefault="002D5AAC" w:rsidP="00A34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9F3B36E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45377407" w14:textId="70C00908" w:rsidR="002D5AAC" w:rsidRDefault="00A345A0" w:rsidP="00A345A0">
            <w:pPr>
              <w:jc w:val="right"/>
            </w:pPr>
            <w:r w:rsidRPr="00A345A0">
              <w:rPr>
                <w:sz w:val="40"/>
              </w:rPr>
              <w:t>CCPR</w:t>
            </w:r>
            <w:r>
              <w:t>/C/131/D/2960/2017</w:t>
            </w:r>
          </w:p>
        </w:tc>
      </w:tr>
      <w:tr w:rsidR="002D5AAC" w:rsidRPr="00765736" w14:paraId="5434D9AD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06FCEF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3A4AC1" wp14:editId="0B52A19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22528A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36566BA" w14:textId="72EA9782" w:rsidR="002D5AAC" w:rsidRPr="00A345A0" w:rsidRDefault="00A345A0" w:rsidP="00BC3629">
            <w:pPr>
              <w:spacing w:before="240"/>
              <w:rPr>
                <w:lang w:val="en-US"/>
              </w:rPr>
            </w:pPr>
            <w:r w:rsidRPr="00A345A0">
              <w:rPr>
                <w:lang w:val="en-US"/>
              </w:rPr>
              <w:t xml:space="preserve">Distr.: </w:t>
            </w:r>
            <w:r w:rsidRPr="00A345A0">
              <w:rPr>
                <w:rFonts w:eastAsia="Times New Roman" w:cs="Times New Roman"/>
                <w:szCs w:val="20"/>
                <w:lang w:val="en-GB"/>
              </w:rPr>
              <w:t>General</w:t>
            </w:r>
          </w:p>
          <w:p w14:paraId="08ACF1C3" w14:textId="34D8D2B6" w:rsidR="00A345A0" w:rsidRPr="00A345A0" w:rsidRDefault="00A345A0" w:rsidP="00A345A0">
            <w:pPr>
              <w:spacing w:line="240" w:lineRule="exact"/>
              <w:rPr>
                <w:lang w:val="en-US"/>
              </w:rPr>
            </w:pPr>
            <w:r w:rsidRPr="00A345A0">
              <w:rPr>
                <w:rFonts w:eastAsia="Times New Roman" w:cs="Times New Roman"/>
                <w:szCs w:val="20"/>
                <w:lang w:val="en-GB"/>
              </w:rPr>
              <w:t>18 May 2021</w:t>
            </w:r>
          </w:p>
          <w:p w14:paraId="0A526C03" w14:textId="77777777" w:rsidR="00A345A0" w:rsidRPr="00A345A0" w:rsidRDefault="00A345A0" w:rsidP="00A345A0">
            <w:pPr>
              <w:spacing w:line="240" w:lineRule="exact"/>
              <w:rPr>
                <w:lang w:val="en-US"/>
              </w:rPr>
            </w:pPr>
            <w:r w:rsidRPr="00A345A0">
              <w:rPr>
                <w:lang w:val="en-US"/>
              </w:rPr>
              <w:t>Russian</w:t>
            </w:r>
          </w:p>
          <w:p w14:paraId="27C53952" w14:textId="69D26AEB" w:rsidR="00A345A0" w:rsidRPr="00A345A0" w:rsidRDefault="00A345A0" w:rsidP="00A345A0">
            <w:pPr>
              <w:spacing w:line="240" w:lineRule="exact"/>
              <w:rPr>
                <w:lang w:val="en-US"/>
              </w:rPr>
            </w:pPr>
            <w:r w:rsidRPr="00A345A0">
              <w:rPr>
                <w:lang w:val="en-US"/>
              </w:rPr>
              <w:t>Original: English</w:t>
            </w:r>
          </w:p>
        </w:tc>
      </w:tr>
    </w:tbl>
    <w:p w14:paraId="1D65A2FB" w14:textId="77777777" w:rsidR="00A345A0" w:rsidRPr="00A345A0" w:rsidRDefault="00A345A0" w:rsidP="00A345A0">
      <w:pPr>
        <w:spacing w:before="120"/>
        <w:rPr>
          <w:b/>
          <w:sz w:val="24"/>
          <w:szCs w:val="24"/>
        </w:rPr>
      </w:pPr>
      <w:r w:rsidRPr="00A345A0">
        <w:rPr>
          <w:b/>
          <w:bCs/>
          <w:sz w:val="24"/>
          <w:szCs w:val="24"/>
        </w:rPr>
        <w:t>Комитет по правам человека</w:t>
      </w:r>
    </w:p>
    <w:p w14:paraId="5F2A2B7C" w14:textId="2C259FDF" w:rsidR="00A345A0" w:rsidRPr="00A345A0" w:rsidRDefault="00A345A0" w:rsidP="00A345A0">
      <w:pPr>
        <w:pStyle w:val="HChG"/>
        <w:rPr>
          <w:b w:val="0"/>
          <w:bCs/>
          <w:position w:val="6"/>
          <w:szCs w:val="28"/>
        </w:rPr>
      </w:pPr>
      <w:r>
        <w:tab/>
      </w:r>
      <w:r>
        <w:tab/>
        <w:t>Решение, принятое Комитетом в соответствии</w:t>
      </w:r>
      <w:r>
        <w:br/>
        <w:t>с Факультативным протоколом относительно</w:t>
      </w:r>
      <w:r>
        <w:br/>
        <w:t>сообщения № 2960/2017</w:t>
      </w:r>
      <w:r w:rsidRPr="00B851C8">
        <w:rPr>
          <w:rStyle w:val="aa"/>
          <w:b w:val="0"/>
          <w:bCs/>
          <w:position w:val="6"/>
          <w:sz w:val="20"/>
          <w:vertAlign w:val="baseline"/>
        </w:rPr>
        <w:footnoteReference w:customMarkFollows="1" w:id="1"/>
        <w:t>*</w:t>
      </w:r>
      <w:r w:rsidRPr="00B851C8">
        <w:rPr>
          <w:b w:val="0"/>
          <w:bCs/>
          <w:position w:val="6"/>
          <w:sz w:val="20"/>
        </w:rPr>
        <w:t xml:space="preserve"> </w:t>
      </w:r>
      <w:r w:rsidRPr="00B851C8">
        <w:rPr>
          <w:rStyle w:val="aa"/>
          <w:b w:val="0"/>
          <w:bCs/>
          <w:position w:val="6"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A345A0" w:rsidRPr="0064331C" w14:paraId="2B87348A" w14:textId="77777777" w:rsidTr="00A345A0">
        <w:tc>
          <w:tcPr>
            <w:tcW w:w="2936" w:type="dxa"/>
            <w:hideMark/>
          </w:tcPr>
          <w:p w14:paraId="2B1B0A89" w14:textId="45131C31" w:rsidR="00A345A0" w:rsidRPr="0064331C" w:rsidRDefault="00A345A0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476FEA95" w14:textId="3726C798" w:rsidR="00A345A0" w:rsidRPr="0064331C" w:rsidRDefault="00A345A0" w:rsidP="00A345A0">
            <w:pPr>
              <w:pStyle w:val="SingleTxtG"/>
              <w:ind w:left="0" w:right="0"/>
              <w:jc w:val="left"/>
            </w:pPr>
            <w:r>
              <w:t>Н</w:t>
            </w:r>
            <w:r w:rsidRPr="00A345A0">
              <w:rPr>
                <w:rFonts w:eastAsiaTheme="minorHAnsi" w:cstheme="minorBidi"/>
                <w:szCs w:val="22"/>
              </w:rPr>
              <w:t>.</w:t>
            </w:r>
            <w:r>
              <w:rPr>
                <w:rFonts w:eastAsiaTheme="minorHAnsi" w:cstheme="minorBidi"/>
                <w:szCs w:val="22"/>
                <w:lang w:val="en-US"/>
              </w:rPr>
              <w:t> </w:t>
            </w:r>
            <w:r w:rsidRPr="00A345A0">
              <w:rPr>
                <w:rFonts w:eastAsiaTheme="minorHAnsi" w:cstheme="minorBidi"/>
                <w:szCs w:val="22"/>
              </w:rPr>
              <w:t>У. (представлен</w:t>
            </w:r>
            <w:r>
              <w:t xml:space="preserve"> Леонидом Судаленко)</w:t>
            </w:r>
          </w:p>
        </w:tc>
      </w:tr>
      <w:tr w:rsidR="00A345A0" w:rsidRPr="0064331C" w14:paraId="3FE207F6" w14:textId="77777777" w:rsidTr="00A345A0">
        <w:tc>
          <w:tcPr>
            <w:tcW w:w="2936" w:type="dxa"/>
            <w:hideMark/>
          </w:tcPr>
          <w:p w14:paraId="7CF766E0" w14:textId="77777777" w:rsidR="00A345A0" w:rsidRPr="0064331C" w:rsidRDefault="00A345A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3A3289EC" w14:textId="1023CECB" w:rsidR="00A345A0" w:rsidRPr="0064331C" w:rsidRDefault="00A345A0">
            <w:pPr>
              <w:spacing w:after="120"/>
            </w:pPr>
            <w:r>
              <w:t>автор</w:t>
            </w:r>
          </w:p>
        </w:tc>
      </w:tr>
      <w:tr w:rsidR="00A345A0" w:rsidRPr="0064331C" w14:paraId="2962A14B" w14:textId="77777777" w:rsidTr="00A345A0">
        <w:tc>
          <w:tcPr>
            <w:tcW w:w="2936" w:type="dxa"/>
            <w:hideMark/>
          </w:tcPr>
          <w:p w14:paraId="5D58516A" w14:textId="77777777" w:rsidR="00A345A0" w:rsidRPr="0064331C" w:rsidRDefault="00A345A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203842AD" w14:textId="1D199965" w:rsidR="00A345A0" w:rsidRPr="0064331C" w:rsidRDefault="00A345A0">
            <w:pPr>
              <w:spacing w:after="120"/>
            </w:pPr>
            <w:r>
              <w:t>Беларусь</w:t>
            </w:r>
          </w:p>
        </w:tc>
      </w:tr>
      <w:tr w:rsidR="00A345A0" w:rsidRPr="0064331C" w14:paraId="76CD3A13" w14:textId="77777777" w:rsidTr="00A345A0">
        <w:tc>
          <w:tcPr>
            <w:tcW w:w="2936" w:type="dxa"/>
            <w:hideMark/>
          </w:tcPr>
          <w:p w14:paraId="47D287CC" w14:textId="77777777" w:rsidR="00A345A0" w:rsidRPr="0064331C" w:rsidRDefault="00A345A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72B076DF" w14:textId="675F5A0D" w:rsidR="00A345A0" w:rsidRPr="0064331C" w:rsidRDefault="00A345A0">
            <w:pPr>
              <w:spacing w:after="120"/>
            </w:pPr>
            <w:r>
              <w:t>4 января 2017 года (первоначальное представление)</w:t>
            </w:r>
          </w:p>
        </w:tc>
      </w:tr>
      <w:tr w:rsidR="00A345A0" w:rsidRPr="0064331C" w14:paraId="49C9A27A" w14:textId="77777777" w:rsidTr="00A345A0">
        <w:tc>
          <w:tcPr>
            <w:tcW w:w="2936" w:type="dxa"/>
            <w:hideMark/>
          </w:tcPr>
          <w:p w14:paraId="3A39EEDA" w14:textId="77777777" w:rsidR="00A345A0" w:rsidRPr="0064331C" w:rsidRDefault="00A345A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14:paraId="5B8CF616" w14:textId="78060CC4" w:rsidR="00A345A0" w:rsidRPr="0064331C" w:rsidRDefault="00A345A0">
            <w:pPr>
              <w:spacing w:after="120"/>
            </w:pPr>
            <w:r>
              <w:t>решение, принятое в соответствии</w:t>
            </w:r>
            <w:r>
              <w:br/>
              <w:t>с правилом 92 правил процедуры Комитета и препровожденное государству-участнику 23 февраля 2017 года (в виде документа</w:t>
            </w:r>
            <w:r>
              <w:br/>
              <w:t>не издавалось)</w:t>
            </w:r>
          </w:p>
        </w:tc>
      </w:tr>
      <w:tr w:rsidR="00A345A0" w:rsidRPr="0064331C" w14:paraId="0513CB52" w14:textId="77777777" w:rsidTr="00A345A0">
        <w:tc>
          <w:tcPr>
            <w:tcW w:w="2936" w:type="dxa"/>
          </w:tcPr>
          <w:p w14:paraId="28DF7C5D" w14:textId="0C478C37" w:rsidR="00A345A0" w:rsidRPr="0064331C" w:rsidRDefault="00A345A0">
            <w:pPr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Дата принятия решения:</w:t>
            </w:r>
          </w:p>
        </w:tc>
        <w:tc>
          <w:tcPr>
            <w:tcW w:w="3874" w:type="dxa"/>
          </w:tcPr>
          <w:p w14:paraId="20B2C3F1" w14:textId="4B8723AE" w:rsidR="00A345A0" w:rsidRPr="0064331C" w:rsidRDefault="00A345A0">
            <w:pPr>
              <w:spacing w:after="120"/>
            </w:pPr>
            <w:r>
              <w:t>25 марта 2021 года</w:t>
            </w:r>
          </w:p>
        </w:tc>
      </w:tr>
      <w:tr w:rsidR="00A345A0" w:rsidRPr="0064331C" w14:paraId="796DF737" w14:textId="77777777" w:rsidTr="00A345A0">
        <w:tc>
          <w:tcPr>
            <w:tcW w:w="2936" w:type="dxa"/>
            <w:hideMark/>
          </w:tcPr>
          <w:p w14:paraId="65FBB882" w14:textId="4EE11D99" w:rsidR="00A345A0" w:rsidRPr="0064331C" w:rsidRDefault="00A345A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</w:t>
            </w:r>
            <w:r w:rsidR="00B851C8">
              <w:rPr>
                <w:i/>
                <w:iCs/>
              </w:rPr>
              <w:t>а</w:t>
            </w:r>
            <w:r w:rsidRPr="0064331C">
              <w:rPr>
                <w:i/>
                <w:iCs/>
              </w:rPr>
              <w:t xml:space="preserve"> сообщения:</w:t>
            </w:r>
          </w:p>
        </w:tc>
        <w:tc>
          <w:tcPr>
            <w:tcW w:w="3874" w:type="dxa"/>
          </w:tcPr>
          <w:p w14:paraId="04E251EF" w14:textId="0A6BC41D" w:rsidR="00A345A0" w:rsidRPr="0064331C" w:rsidRDefault="00A345A0">
            <w:pPr>
              <w:spacing w:after="120"/>
            </w:pPr>
            <w:r>
              <w:t>отказ СМИ опубликовать предвыборную программу автора; отсутствие доступа</w:t>
            </w:r>
            <w:r>
              <w:br/>
              <w:t>к суду</w:t>
            </w:r>
          </w:p>
        </w:tc>
      </w:tr>
      <w:tr w:rsidR="00A345A0" w:rsidRPr="0064331C" w14:paraId="1CDDB9FF" w14:textId="77777777" w:rsidTr="00A345A0">
        <w:tc>
          <w:tcPr>
            <w:tcW w:w="2936" w:type="dxa"/>
            <w:hideMark/>
          </w:tcPr>
          <w:p w14:paraId="0AB1FE6E" w14:textId="52B17FFB" w:rsidR="00A345A0" w:rsidRPr="0064331C" w:rsidRDefault="00A345A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</w:t>
            </w:r>
            <w:r w:rsidR="00B851C8">
              <w:rPr>
                <w:i/>
                <w:iCs/>
              </w:rPr>
              <w:t>й</w:t>
            </w:r>
            <w:r w:rsidRPr="0064331C">
              <w:rPr>
                <w:i/>
                <w:iCs/>
              </w:rPr>
              <w:t xml:space="preserve"> вопрос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697A88C4" w14:textId="7E3DFA96" w:rsidR="00A345A0" w:rsidRPr="0064331C" w:rsidRDefault="00A345A0">
            <w:pPr>
              <w:spacing w:after="120"/>
            </w:pPr>
            <w:r>
              <w:t>исчерпание внутренних средств правовой защиты</w:t>
            </w:r>
          </w:p>
        </w:tc>
      </w:tr>
      <w:tr w:rsidR="00A345A0" w:rsidRPr="0064331C" w14:paraId="16A74C57" w14:textId="77777777" w:rsidTr="00A345A0">
        <w:tc>
          <w:tcPr>
            <w:tcW w:w="2936" w:type="dxa"/>
            <w:hideMark/>
          </w:tcPr>
          <w:p w14:paraId="0135299B" w14:textId="77777777" w:rsidR="00A345A0" w:rsidRPr="0064331C" w:rsidRDefault="00A345A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6F89DB19" w14:textId="1811FFC1" w:rsidR="00A345A0" w:rsidRPr="0064331C" w:rsidRDefault="00B851C8">
            <w:pPr>
              <w:spacing w:after="120"/>
            </w:pPr>
            <w:r>
              <w:t>доступ к суду; свобода выражения мнений; голосование и выборы; дискриминация</w:t>
            </w:r>
            <w:r>
              <w:br/>
              <w:t>по политическим или иным убеждениям</w:t>
            </w:r>
          </w:p>
        </w:tc>
      </w:tr>
      <w:tr w:rsidR="00A345A0" w:rsidRPr="0064331C" w14:paraId="5DA7C2CE" w14:textId="77777777" w:rsidTr="00A345A0">
        <w:tc>
          <w:tcPr>
            <w:tcW w:w="2936" w:type="dxa"/>
            <w:hideMark/>
          </w:tcPr>
          <w:p w14:paraId="2B28672B" w14:textId="77777777" w:rsidR="00A345A0" w:rsidRPr="0064331C" w:rsidRDefault="00A345A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480AB3FD" w14:textId="5C4F2F2A" w:rsidR="00A345A0" w:rsidRPr="0064331C" w:rsidRDefault="00B851C8">
            <w:pPr>
              <w:spacing w:after="120"/>
            </w:pPr>
            <w:r>
              <w:t>пункт 1 статьи 14; 19, 25 и 26</w:t>
            </w:r>
          </w:p>
        </w:tc>
      </w:tr>
      <w:tr w:rsidR="00A345A0" w:rsidRPr="0064331C" w14:paraId="7F80FBDA" w14:textId="77777777" w:rsidTr="00A345A0">
        <w:tc>
          <w:tcPr>
            <w:tcW w:w="2936" w:type="dxa"/>
            <w:hideMark/>
          </w:tcPr>
          <w:p w14:paraId="07E94722" w14:textId="77777777" w:rsidR="00A345A0" w:rsidRPr="0064331C" w:rsidRDefault="00A345A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4" w:type="dxa"/>
          </w:tcPr>
          <w:p w14:paraId="1B5AA537" w14:textId="6EB2FB91" w:rsidR="00A345A0" w:rsidRPr="0064331C" w:rsidRDefault="00B851C8">
            <w:pPr>
              <w:spacing w:after="120"/>
            </w:pPr>
            <w:r>
              <w:t>2, 3 и 5 (пункт 2 b))</w:t>
            </w:r>
          </w:p>
        </w:tc>
      </w:tr>
    </w:tbl>
    <w:p w14:paraId="6D5AB5CF" w14:textId="0FFF8F62" w:rsidR="00A345A0" w:rsidRPr="00B07502" w:rsidRDefault="00A345A0" w:rsidP="00A345A0">
      <w:pPr>
        <w:pStyle w:val="SingleTxtG"/>
        <w:spacing w:before="240"/>
      </w:pPr>
      <w:r>
        <w:t>1.</w:t>
      </w:r>
      <w:r>
        <w:tab/>
        <w:t>Автором сообщения является гражданин Беларуси Н.</w:t>
      </w:r>
      <w:r w:rsidR="00B851C8">
        <w:t> </w:t>
      </w:r>
      <w:r>
        <w:t>У., 1969 года рождения. Он утверждает, что государство-участник нарушило его права по пункту 1 статьи 14</w:t>
      </w:r>
      <w:r w:rsidR="0039070D">
        <w:br/>
      </w:r>
      <w:r>
        <w:t>и статьям 19, 25 и 26 Пакта. Факультативный протокол вступил в силу для Беларуси 30 декабря 1992 года. Автор представлен адвокатом.</w:t>
      </w:r>
    </w:p>
    <w:p w14:paraId="4BFDAB21" w14:textId="77777777" w:rsidR="00A345A0" w:rsidRPr="00B07502" w:rsidRDefault="00A345A0" w:rsidP="00A345A0">
      <w:pPr>
        <w:pStyle w:val="H23G"/>
        <w:ind w:left="0" w:firstLine="0"/>
      </w:pPr>
      <w:r>
        <w:lastRenderedPageBreak/>
        <w:tab/>
      </w:r>
      <w:r>
        <w:tab/>
      </w:r>
      <w:r>
        <w:rPr>
          <w:bCs/>
        </w:rPr>
        <w:t>Факты в изложении автора</w:t>
      </w:r>
    </w:p>
    <w:p w14:paraId="5D9ADE3D" w14:textId="5B12209F" w:rsidR="00A345A0" w:rsidRPr="00B07502" w:rsidRDefault="00A345A0" w:rsidP="00A345A0">
      <w:pPr>
        <w:pStyle w:val="SingleTxtG"/>
      </w:pPr>
      <w:r>
        <w:t>2.1</w:t>
      </w:r>
      <w:r>
        <w:tab/>
        <w:t xml:space="preserve">Автор является членом оппозиционной политической партии </w:t>
      </w:r>
      <w:r w:rsidR="0039070D">
        <w:t>—</w:t>
      </w:r>
      <w:r>
        <w:t xml:space="preserve"> Объединенной гражданской партии. Во время парламентских выборов 2016 года члены Объединенной гражданской партии, включая автора, баллотировались в качестве кандидатов в депутаты. Автор в качестве кандидата по Сморгонскому избирательному округу №</w:t>
      </w:r>
      <w:r w:rsidR="0039070D">
        <w:t> </w:t>
      </w:r>
      <w:r>
        <w:t xml:space="preserve">59 обратился в газету </w:t>
      </w:r>
      <w:r w:rsidR="0039070D">
        <w:t>«</w:t>
      </w:r>
      <w:r>
        <w:t>Островецкая правда</w:t>
      </w:r>
      <w:r w:rsidR="0039070D">
        <w:t>»</w:t>
      </w:r>
      <w:r>
        <w:t xml:space="preserve"> и телерадиокомпании </w:t>
      </w:r>
      <w:r w:rsidR="0039070D">
        <w:t>«</w:t>
      </w:r>
      <w:r>
        <w:t>Гродно</w:t>
      </w:r>
      <w:r w:rsidR="0039070D">
        <w:t>»</w:t>
      </w:r>
      <w:r>
        <w:t xml:space="preserve"> с просьбой опубликовать и выпустить в эфир его предвыборную программу и обращение к избирателям, в котором он представил информацию о кампании своей партии </w:t>
      </w:r>
      <w:r w:rsidR="0039070D">
        <w:t>«</w:t>
      </w:r>
      <w:r>
        <w:t>За свободные выборы!</w:t>
      </w:r>
      <w:r w:rsidR="0039070D">
        <w:t>»</w:t>
      </w:r>
      <w:r>
        <w:t xml:space="preserve"> и указал, что выборы в Беларуси не являются ни свободными, ни прозрачными. </w:t>
      </w:r>
      <w:r w:rsidR="0039070D">
        <w:t>«</w:t>
      </w:r>
      <w:r>
        <w:t>Гродно</w:t>
      </w:r>
      <w:r w:rsidR="0039070D">
        <w:t>»</w:t>
      </w:r>
      <w:r>
        <w:t xml:space="preserve"> является структурным подразделением Национальной государственной телерадиокомпании Беларуси. Обе медиакомпании без объяснения причин отказались публиковать или выпустить в эфир программу и обращение автора. 26 августа 2016 года автор направил электронное письмо руководству </w:t>
      </w:r>
      <w:r w:rsidR="0039070D">
        <w:t>«</w:t>
      </w:r>
      <w:r>
        <w:t>Гродно</w:t>
      </w:r>
      <w:r w:rsidR="0039070D">
        <w:t>»</w:t>
      </w:r>
      <w:r>
        <w:t xml:space="preserve"> с вопросом о причинах невыпуска в эфир его обращения к избирателям, но безрезультатно. Автор утверждает, что вышеупомянутые действия привели к нарушению его права выражать свое мнение и делиться им с избирателями.</w:t>
      </w:r>
    </w:p>
    <w:p w14:paraId="194CAE6B" w14:textId="6C1D38E8" w:rsidR="00A345A0" w:rsidRPr="00B07502" w:rsidRDefault="00A345A0" w:rsidP="00A345A0">
      <w:pPr>
        <w:pStyle w:val="SingleTxtG"/>
      </w:pPr>
      <w:r>
        <w:t>2.2</w:t>
      </w:r>
      <w:r>
        <w:tab/>
        <w:t>Поскольку программа автора содержала открытую критику действующего режима, он считает, что отказ в ее публикации был актом дискриминации по причине его оппозиционных политических взглядов и что он подвергся политической цензуре. По вышеуказанным причинам 7 сентября 2016 года он подал жалобу в Островецкий районный суд Гродненской области. 8 сентября 2016 года суд отказал в принятии искового заявления в рамках гражданского производства по мотиву неподсудности. Суд сослался на Избирательный кодекс, который предусматривает внесудебный механизм рассмотрения жалоб, связанных с выборами. Согласно пункту 1 статьи 74 Избирательного кодекса, все кандидаты на парламентских выборах имеют право на равный доступ к средствам массовой информации. Нарушение этого права может быть обжаловано в окружную, территориальную и центральную избирательные комиссии. Поданная автором апелляция в Гродненский областной суд была отклонена</w:t>
      </w:r>
      <w:r w:rsidR="0039070D">
        <w:br/>
      </w:r>
      <w:r>
        <w:t>28 сентября 2016 года по тем же мотивам. Его надзорные жалобы были отклонены председателем Гродненского областного суда 1 ноября и Верховным судом 21 декабря 2016 года.</w:t>
      </w:r>
      <w:bookmarkStart w:id="1" w:name="_Hlk59359657"/>
      <w:bookmarkEnd w:id="1"/>
    </w:p>
    <w:p w14:paraId="2DCBF3B2" w14:textId="77777777" w:rsidR="00A345A0" w:rsidRPr="00B07502" w:rsidRDefault="00A345A0" w:rsidP="00A345A0">
      <w:pPr>
        <w:pStyle w:val="H23G"/>
      </w:pPr>
      <w:r>
        <w:tab/>
      </w:r>
      <w:r>
        <w:tab/>
      </w:r>
      <w:r>
        <w:rPr>
          <w:bCs/>
        </w:rPr>
        <w:t>Жалоба</w:t>
      </w:r>
    </w:p>
    <w:p w14:paraId="0450CFAE" w14:textId="4E0EA77C" w:rsidR="00A345A0" w:rsidRPr="00B07502" w:rsidRDefault="00A345A0" w:rsidP="00A345A0">
      <w:pPr>
        <w:pStyle w:val="SingleTxtG"/>
      </w:pPr>
      <w:r>
        <w:t>3.</w:t>
      </w:r>
      <w:r>
        <w:tab/>
        <w:t>Автор утверждает, что отказ государственных средств массовой информации опубликовать его предвыборную программу и обращение, а также невозможность рассмотрения его жалоб компетентным, независимым и беспристрастным судом, созданным на основании закона, нарушили его права по пункту 1 статьи 14</w:t>
      </w:r>
      <w:r w:rsidR="0039070D">
        <w:br/>
      </w:r>
      <w:r>
        <w:t>и статьям 19, 25 и 26 Пакта.</w:t>
      </w:r>
    </w:p>
    <w:p w14:paraId="2B3BFBC9" w14:textId="77777777" w:rsidR="00A345A0" w:rsidRPr="00B07502" w:rsidRDefault="00A345A0" w:rsidP="00A345A0">
      <w:pPr>
        <w:pStyle w:val="H23G"/>
      </w:pPr>
      <w:r>
        <w:tab/>
      </w:r>
      <w:r>
        <w:tab/>
      </w:r>
      <w:r>
        <w:rPr>
          <w:bCs/>
        </w:rPr>
        <w:t>Замечания государства-участника относительно приемлемости</w:t>
      </w:r>
    </w:p>
    <w:p w14:paraId="373722FD" w14:textId="50396A24" w:rsidR="00A345A0" w:rsidRPr="00B07502" w:rsidRDefault="00A345A0" w:rsidP="00A345A0">
      <w:pPr>
        <w:pStyle w:val="SingleTxtG"/>
      </w:pPr>
      <w:r>
        <w:t>4.1</w:t>
      </w:r>
      <w:r>
        <w:tab/>
        <w:t>В вербальной ноте от 20 апреля 2017 года государство-участник представило свои замечания в отношении приемлемости и существа сообщения, заявив, что автор не исчерпал имеющиеся внутренние средства правовой защиты. Государство-участник сообщает, что в соответствии с Постановлением №</w:t>
      </w:r>
      <w:r w:rsidR="0039070D">
        <w:t> </w:t>
      </w:r>
      <w:r>
        <w:t>32 Центральной комиссии Республики Беларусь по выборам и проведению республиканских референдумов</w:t>
      </w:r>
      <w:r w:rsidR="0039070D">
        <w:br/>
      </w:r>
      <w:r>
        <w:t>от 26 июня 2016 года, автор, как кандидат на выборах в Национальное собрание Беларуси, имел доступ к бесплатному вещанию и публикации своей предвыборной программы в средствах массовой информации.</w:t>
      </w:r>
    </w:p>
    <w:p w14:paraId="59461D00" w14:textId="05C702F5" w:rsidR="00A345A0" w:rsidRPr="00B07502" w:rsidRDefault="00A345A0" w:rsidP="00A345A0">
      <w:pPr>
        <w:pStyle w:val="SingleTxtG"/>
      </w:pPr>
      <w:r>
        <w:t>4.2</w:t>
      </w:r>
      <w:r>
        <w:tab/>
        <w:t xml:space="preserve">19 августа 2016 года автор представил свою предвыборную программу для публикации в газете </w:t>
      </w:r>
      <w:r w:rsidR="0039070D">
        <w:t>«</w:t>
      </w:r>
      <w:r>
        <w:t>Островецкая правда</w:t>
      </w:r>
      <w:r w:rsidR="0039070D">
        <w:t>»</w:t>
      </w:r>
      <w:r>
        <w:t>. 22 августа 2016 года он записал свое обращение для трансляции по телевидению и радио. Его программа и запись содержали информацию, утверждающую, что другой кандидат по тому же избирательному округу г-н К. совершил экономические преступления. Однако автор не представил никаких доказательств в поддержку этих утверждений. В результате руководство данного СМИ попросило автора внести изменения в свою предвыборную программу и обращение. Однако автор не сделал этого.</w:t>
      </w:r>
    </w:p>
    <w:p w14:paraId="71D361B6" w14:textId="77777777" w:rsidR="00A345A0" w:rsidRPr="00B07502" w:rsidRDefault="00A345A0" w:rsidP="00A345A0">
      <w:pPr>
        <w:pStyle w:val="SingleTxtG"/>
      </w:pPr>
      <w:r>
        <w:lastRenderedPageBreak/>
        <w:t>4.3</w:t>
      </w:r>
      <w:r>
        <w:tab/>
        <w:t>Государство-участник утверждает, что статья 74 Избирательного кодекса предусматривает внесудебный механизм рассмотрения жалоб, связанных с нарушением права кандидатов в депутаты на вещание и публикацию. Отсутствие в Избирательном кодексе возможности оспорить данный вид нарушения в суде оправдывается непродолжительностью избирательных кампаний и необходимостью быстрого и упрощенного способа рассмотрения претензий, не влияющих непосредственно на процесс и исход выборов.</w:t>
      </w:r>
    </w:p>
    <w:p w14:paraId="555885B7" w14:textId="0289B91A" w:rsidR="00A345A0" w:rsidRPr="00B07502" w:rsidRDefault="00A345A0" w:rsidP="00A345A0">
      <w:pPr>
        <w:pStyle w:val="SingleTxtG"/>
      </w:pPr>
      <w:r>
        <w:t>4.4</w:t>
      </w:r>
      <w:r>
        <w:tab/>
        <w:t xml:space="preserve">Автор подал две жалобы в окружную избирательную комиссию и две жалобы в центральную избирательную комиссию на отказ </w:t>
      </w:r>
      <w:r w:rsidR="0039070D">
        <w:t>«</w:t>
      </w:r>
      <w:r>
        <w:t>Островецкой правды</w:t>
      </w:r>
      <w:r w:rsidR="0039070D">
        <w:t>»</w:t>
      </w:r>
      <w:r>
        <w:t xml:space="preserve"> опубликовать его предвыборную программу. Ни одна из комиссий не нашла доказательств того, что действия газеты были незаконными. Автор не жаловался на то, что телекомпания не выпустила в эфир его обращение.</w:t>
      </w:r>
    </w:p>
    <w:p w14:paraId="400EAE66" w14:textId="2D83D5FB" w:rsidR="00A345A0" w:rsidRPr="00B07502" w:rsidRDefault="00A345A0" w:rsidP="00A345A0">
      <w:pPr>
        <w:pStyle w:val="SingleTxtG"/>
      </w:pPr>
      <w:r>
        <w:t>4.5</w:t>
      </w:r>
      <w:r>
        <w:tab/>
        <w:t>Государство-участник также представило подробную информацию о судебном разбирательстве, согласующуюся с утверждениями автора (пункт 2.2). Государство-участник утверждает, что заявления автора о том, что ходатайство о пересмотре судебных решений в порядке надзора не является эффективным средством правовой защиты, ошибочны. В 2016 году прокуратура принесла 2957 кассационных протестов. По состоянию на 1 января 2017 года суды удовлетворили в общей сложности</w:t>
      </w:r>
      <w:r w:rsidR="00C97314">
        <w:br/>
      </w:r>
      <w:r>
        <w:t>1567 таких протестов. В рамках процедуры принесения протеста в порядке надзора было подано 298 протестов, 218 из которых были удовлетворены.</w:t>
      </w:r>
    </w:p>
    <w:p w14:paraId="0E454EA2" w14:textId="77777777" w:rsidR="00A345A0" w:rsidRPr="00B07502" w:rsidRDefault="00A345A0" w:rsidP="00A345A0">
      <w:pPr>
        <w:pStyle w:val="H23G"/>
      </w:pPr>
      <w:r>
        <w:tab/>
      </w:r>
      <w:r>
        <w:tab/>
      </w:r>
      <w:r>
        <w:rPr>
          <w:bCs/>
        </w:rPr>
        <w:t>Комментарии автора к замечаниям государства-участника относительно приемлемости сообщения</w:t>
      </w:r>
    </w:p>
    <w:p w14:paraId="13E64C95" w14:textId="78485230" w:rsidR="00A345A0" w:rsidRPr="00B07502" w:rsidRDefault="00A345A0" w:rsidP="00A345A0">
      <w:pPr>
        <w:pStyle w:val="SingleTxtG"/>
      </w:pPr>
      <w:r>
        <w:t>5.1</w:t>
      </w:r>
      <w:r>
        <w:tab/>
        <w:t>18 мая и 21 июня 2017 года автор представил свои комментарии к замечаниям государства-участника, утверждая, что он не получил от руководства СМИ никаких конкретных объяснений, почему представленная им информация не была выпущена в эфир и опубликована. Его запрос по электронной почте по этому поводу остался без ответа со стороны телекомпании, а ответ газеты содержал общее заявление о том, что содержание его предвыборной программы не соответствует статьям 47 и 75 Избирательного кодекса. О причинах отказа, на которые ссылается государство-участник, он впервые узнал из замечаний государства-участника. Что касается заявления государства-участника о том, что критика в адрес кандидата-соперника не была подкреплена доказательствами, автор утверждает, что другой кандидат мог защитить свои права самостоятельно, в том числе в суде; однако этот другой кандидат не предъявил никаких претензий к автору. Автор утверждает, что он подкрепил свои утверждения, направив в указанное СМИ копию постановления органов внутренних дел в отношении этого другого кандидата. Автор утверждает, что основной причиной того, что его программа и обращение не были опубликованы, являлась критика им действующего режима.</w:t>
      </w:r>
    </w:p>
    <w:p w14:paraId="0514BEA8" w14:textId="624C3671" w:rsidR="00A345A0" w:rsidRPr="00B07502" w:rsidRDefault="00A345A0" w:rsidP="00A345A0">
      <w:pPr>
        <w:pStyle w:val="SingleTxtG"/>
      </w:pPr>
      <w:r>
        <w:t>5.2</w:t>
      </w:r>
      <w:r>
        <w:tab/>
        <w:t>Автор утверждает, что в данных о прокурорских протестах, принесенных в суды в 2016 году, не указано, сколько из них касались гражданских и политических прав по статьям 14, 19, 25 и 26 Пакта.</w:t>
      </w:r>
      <w:r w:rsidR="00C97314">
        <w:t xml:space="preserve"> </w:t>
      </w:r>
    </w:p>
    <w:p w14:paraId="07E2F44C" w14:textId="77777777" w:rsidR="00A345A0" w:rsidRPr="00B07502" w:rsidRDefault="00A345A0" w:rsidP="00A345A0">
      <w:pPr>
        <w:pStyle w:val="H23G"/>
      </w:pPr>
      <w:r>
        <w:tab/>
      </w:r>
      <w:r>
        <w:tab/>
      </w:r>
      <w:r>
        <w:tab/>
      </w:r>
      <w:r>
        <w:rPr>
          <w:bCs/>
        </w:rPr>
        <w:t>Вопросы и процедура их рассмотрения в Комитете</w:t>
      </w:r>
    </w:p>
    <w:p w14:paraId="28C2C31B" w14:textId="77777777" w:rsidR="00A345A0" w:rsidRPr="00B07502" w:rsidRDefault="00A345A0" w:rsidP="00A345A0">
      <w:pPr>
        <w:pStyle w:val="H4G"/>
      </w:pPr>
      <w:r>
        <w:tab/>
      </w:r>
      <w:r>
        <w:tab/>
      </w:r>
      <w:r>
        <w:rPr>
          <w:iCs/>
        </w:rPr>
        <w:t>Соображения относительно приемлемости</w:t>
      </w:r>
    </w:p>
    <w:p w14:paraId="52C39ED3" w14:textId="77777777" w:rsidR="00A345A0" w:rsidRPr="00B07502" w:rsidRDefault="00A345A0" w:rsidP="00A345A0">
      <w:pPr>
        <w:pStyle w:val="SingleTxtG"/>
      </w:pPr>
      <w:r>
        <w:t>6.1</w:t>
      </w:r>
      <w:r>
        <w:tab/>
        <w:t>Согласно правилу 97 своих правил процедуры, прежде чем рассматривать содержащиеся в сообщение жалобы, Комитет должен установить, является ли данное сообщение приемлемым в соответствии с Факультативным протоколом к Пакту.</w:t>
      </w:r>
    </w:p>
    <w:p w14:paraId="35B0F173" w14:textId="1C0F543A" w:rsidR="00A345A0" w:rsidRPr="00B07502" w:rsidRDefault="00A345A0" w:rsidP="00A345A0">
      <w:pPr>
        <w:pStyle w:val="SingleTxtG"/>
      </w:pPr>
      <w:r>
        <w:t>6.2</w:t>
      </w:r>
      <w:r>
        <w:tab/>
        <w:t>В соответствии с пунктом 2 а) статьи 5 Факультативного протокола Комитет не рассматривает никаких сообщений от какого-либо лица, если он не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602B98B9" w14:textId="32AB013F" w:rsidR="00A345A0" w:rsidRPr="00B07502" w:rsidRDefault="00A345A0" w:rsidP="00A345A0">
      <w:pPr>
        <w:pStyle w:val="SingleTxtG"/>
      </w:pPr>
      <w:r>
        <w:t>6.3</w:t>
      </w:r>
      <w:r>
        <w:tab/>
        <w:t>Комитет в первую очередь отмечает утверждение автора о том, что отказ национальных судов рассматривать его жалобы по мотиву неподсудности лишил его доступа к суду в нарушение пункта 1 статьи 14 Пакта. Комитет ссылается</w:t>
      </w:r>
      <w:r w:rsidR="00C97314">
        <w:br/>
      </w:r>
      <w:r>
        <w:lastRenderedPageBreak/>
        <w:t xml:space="preserve">на пункты 16 и 17 своего замечания общего порядка № 32 (2007) о праве на равенство перед судами и трибуналами и на справедливое судебное разбирательство, в которых он дает определение понятию «гражданский процесс», охватываемому статьей 14 (1) Пакта. Согласно данному определению, понятие «гражданского процесса» охватывает судебные процедуры, призванные определять права и обязанности в отношении договоров, имущества и гражданских правонарушений в области гражданского права, а также эквивалентные понятия в области административного права. Комитет отмечает, что жалобы касаются избирательного процесса, который не влечет за собой никаких частных или административных прав или обязанностей для автора. Это не может рассматриваться как </w:t>
      </w:r>
      <w:r w:rsidR="00C97314">
        <w:t>«</w:t>
      </w:r>
      <w:r>
        <w:t>гражданский процесс</w:t>
      </w:r>
      <w:r w:rsidR="00C97314">
        <w:t>»</w:t>
      </w:r>
      <w:r>
        <w:t xml:space="preserve"> и, следовательно, не подпадает под действие статьи пункта 1 статьи 14 Пакта. Соответственно, эта часть сообщения является неприемлемой </w:t>
      </w:r>
      <w:r w:rsidRPr="00C97314">
        <w:t>ratione materiae</w:t>
      </w:r>
      <w:r>
        <w:t xml:space="preserve"> в соответствии со статьей 3 Факультативного протокола к Пакту.</w:t>
      </w:r>
    </w:p>
    <w:p w14:paraId="038EEA25" w14:textId="2C301B16" w:rsidR="00A345A0" w:rsidRPr="00B07502" w:rsidRDefault="00A345A0" w:rsidP="00A345A0">
      <w:pPr>
        <w:pStyle w:val="SingleTxtG"/>
      </w:pPr>
      <w:r>
        <w:t>6.4</w:t>
      </w:r>
      <w:r>
        <w:tab/>
        <w:t>Комитет далее принимает к сведению возражение государства-участника в отношении того, что автор не подал апелляцию в рамках надзорного производства в прокуратуру. В этой связи Комитет ссылается на свою предыдущую практику, согласно которой обращение в прокуратуру с ходатайством о пересмотре в порядке надзора, который может быть инициирован в порядке дискреционных полномочий прокурора с целью пересмотра вступивших в силу судебных решений, не является средством правовой защиты, которое должно быть исчерпано для целей пункта 2) b) статьи 5 Факультативного протокола</w:t>
      </w:r>
      <w:r w:rsidRPr="00BB1C28">
        <w:rPr>
          <w:rStyle w:val="aa"/>
        </w:rPr>
        <w:footnoteReference w:id="3"/>
      </w:r>
      <w:r w:rsidR="00C97314">
        <w:t>.</w:t>
      </w:r>
      <w:r>
        <w:t xml:space="preserve"> Кроме того, Комитет считает этот аргумент неуместным в данном конкретном случае, принимая во внимание, что суды не обладали юрисдикцией в отношении жалоб автора, поскольку таковую имели только окружные, территориальные и центральные избирательные комиссии.</w:t>
      </w:r>
    </w:p>
    <w:p w14:paraId="1CB9475D" w14:textId="0177AE7D" w:rsidR="00A345A0" w:rsidRPr="00B07502" w:rsidRDefault="00A345A0" w:rsidP="00A345A0">
      <w:pPr>
        <w:pStyle w:val="SingleTxtG"/>
      </w:pPr>
      <w:r>
        <w:t>6.5</w:t>
      </w:r>
      <w:r>
        <w:tab/>
        <w:t>Комитет отмечает в этой связи замечание государства-участника о том, что статья</w:t>
      </w:r>
      <w:r w:rsidR="00C97314">
        <w:t> </w:t>
      </w:r>
      <w:r>
        <w:t xml:space="preserve">74 Избирательного кодекса устанавливает внесудебный механизм рассмотрения жалоб, связанных с нарушением права кандидатов в депутаты парламента на вещание и публикацию. Государство-участник отмечает, что на деле автор дважды обращался в рамках этого механизма в окружную избирательную комиссию и дважды в центральную избирательную комиссию по поводу отказа газеты </w:t>
      </w:r>
      <w:r w:rsidR="00C97314">
        <w:t>«</w:t>
      </w:r>
      <w:r>
        <w:t>Островецкая правда</w:t>
      </w:r>
      <w:r w:rsidR="00C97314">
        <w:t>»</w:t>
      </w:r>
      <w:r>
        <w:t xml:space="preserve"> опубликовать его предвыборную программу, и рассмотрение его жалоб избирательными комиссиями не выявило ничего противозаконного в этом отказе. Выводы избирательных комиссий остались не опровергнутыми автором, поскольку он лишь жалуется на то, что не знал точных причин, по которым его информация не была выпущена в эфир или опубликована (пункт 5.1). С учетом этих обстоятельств Комитет считает, что пункт 2 b) статьи 5 Факультативного протокола</w:t>
      </w:r>
      <w:r w:rsidR="00C97314">
        <w:br/>
      </w:r>
      <w:r>
        <w:t>не препятствует рассмотрению им настоящего сообщения.</w:t>
      </w:r>
    </w:p>
    <w:p w14:paraId="0AF37DED" w14:textId="77777777" w:rsidR="00A345A0" w:rsidRPr="00B07502" w:rsidRDefault="00A345A0" w:rsidP="00A345A0">
      <w:pPr>
        <w:pStyle w:val="SingleTxtG"/>
      </w:pPr>
      <w:r>
        <w:t>6.6</w:t>
      </w:r>
      <w:r>
        <w:tab/>
        <w:t>Наконец, Комитет принимает к сведению утверждение автора о том, что отказ средств массовой информации опубликовать и выпустить в эфир его предвыборную информацию нарушил его права, предусмотренные статьями 19, 25 и 26 Пакта. Комитет отмечает в этой связи, что утверждения автора носят весьма общий характер. Комитет также отмечает, что автор не оспаривает замечание государства-участника о том, что избирательные комиссии не выявили ничего противозаконного в действиях газеты, и не высказывает никаких претензий в отношении предвзятости или отказа в правосудии в работе избирательных комиссий. В свете этих замечаний и в отсутствие какой-либо дополнительной соответствующей информации Комитет приходит к выводу о том, что автор не смог в достаточной степени обосновать свои утверждения для целей приемлемости. Соответственно, эта часть сообщения является неприемлемой в соответствии со статьей 2 Факультативного протокола.</w:t>
      </w:r>
    </w:p>
    <w:p w14:paraId="3A3296FC" w14:textId="35036906" w:rsidR="00A345A0" w:rsidRPr="00B07502" w:rsidRDefault="00A345A0" w:rsidP="00C97314">
      <w:pPr>
        <w:pStyle w:val="SingleTxtG"/>
        <w:pageBreakBefore/>
      </w:pPr>
      <w:r>
        <w:lastRenderedPageBreak/>
        <w:t>7.</w:t>
      </w:r>
      <w:r>
        <w:tab/>
        <w:t>Поэтому Комитет постановляет:</w:t>
      </w:r>
    </w:p>
    <w:p w14:paraId="41D709A1" w14:textId="43C53447" w:rsidR="00A345A0" w:rsidRPr="00B07502" w:rsidRDefault="00462E45" w:rsidP="00A345A0">
      <w:pPr>
        <w:pStyle w:val="SingleTxtG"/>
      </w:pPr>
      <w:r>
        <w:tab/>
      </w:r>
      <w:r w:rsidR="00A345A0">
        <w:t>a)</w:t>
      </w:r>
      <w:r w:rsidR="00A345A0">
        <w:tab/>
        <w:t>признать сообщение неприемлемым в соответствии со статьями</w:t>
      </w:r>
      <w:r>
        <w:t> </w:t>
      </w:r>
      <w:r w:rsidR="00A345A0">
        <w:t>2 и 3 Факультативного протокола;</w:t>
      </w:r>
    </w:p>
    <w:p w14:paraId="71993549" w14:textId="7F7351F8" w:rsidR="00A345A0" w:rsidRPr="00B07502" w:rsidRDefault="00462E45" w:rsidP="00A345A0">
      <w:pPr>
        <w:pStyle w:val="SingleTxtG"/>
      </w:pPr>
      <w:r>
        <w:tab/>
      </w:r>
      <w:r w:rsidR="00A345A0">
        <w:t>b)</w:t>
      </w:r>
      <w:r w:rsidR="00A345A0">
        <w:tab/>
        <w:t>довести настоящее решение до сведения государства-участника и автора.</w:t>
      </w:r>
    </w:p>
    <w:p w14:paraId="1D9E1C85" w14:textId="77777777" w:rsidR="00A345A0" w:rsidRPr="00B07502" w:rsidRDefault="00A345A0" w:rsidP="00A345A0">
      <w:pPr>
        <w:pStyle w:val="SingleTxtG"/>
        <w:spacing w:before="240" w:after="0"/>
        <w:jc w:val="center"/>
        <w:rPr>
          <w:u w:val="single"/>
        </w:rPr>
      </w:pPr>
      <w:r w:rsidRPr="00B07502">
        <w:rPr>
          <w:u w:val="single"/>
        </w:rPr>
        <w:tab/>
      </w:r>
      <w:r w:rsidRPr="00B07502">
        <w:rPr>
          <w:u w:val="single"/>
        </w:rPr>
        <w:tab/>
      </w:r>
      <w:r w:rsidRPr="00B07502">
        <w:rPr>
          <w:u w:val="single"/>
        </w:rPr>
        <w:tab/>
      </w:r>
      <w:r w:rsidRPr="00B07502">
        <w:rPr>
          <w:u w:val="single"/>
        </w:rPr>
        <w:tab/>
      </w:r>
    </w:p>
    <w:sectPr w:rsidR="00A345A0" w:rsidRPr="00B07502" w:rsidSect="00A345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C6ADA" w14:textId="77777777" w:rsidR="008F433A" w:rsidRPr="00A312BC" w:rsidRDefault="008F433A" w:rsidP="00A312BC"/>
  </w:endnote>
  <w:endnote w:type="continuationSeparator" w:id="0">
    <w:p w14:paraId="6B57D5F5" w14:textId="77777777" w:rsidR="008F433A" w:rsidRPr="00A312BC" w:rsidRDefault="008F43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B2D2" w14:textId="36F11834" w:rsidR="00A345A0" w:rsidRPr="00A345A0" w:rsidRDefault="00A345A0">
    <w:pPr>
      <w:pStyle w:val="a8"/>
    </w:pPr>
    <w:r w:rsidRPr="00A345A0">
      <w:rPr>
        <w:b/>
        <w:sz w:val="18"/>
      </w:rPr>
      <w:fldChar w:fldCharType="begin"/>
    </w:r>
    <w:r w:rsidRPr="00A345A0">
      <w:rPr>
        <w:b/>
        <w:sz w:val="18"/>
      </w:rPr>
      <w:instrText xml:space="preserve"> PAGE  \* MERGEFORMAT </w:instrText>
    </w:r>
    <w:r w:rsidRPr="00A345A0">
      <w:rPr>
        <w:b/>
        <w:sz w:val="18"/>
      </w:rPr>
      <w:fldChar w:fldCharType="separate"/>
    </w:r>
    <w:r w:rsidRPr="00A345A0">
      <w:rPr>
        <w:b/>
        <w:noProof/>
        <w:sz w:val="18"/>
      </w:rPr>
      <w:t>2</w:t>
    </w:r>
    <w:r w:rsidRPr="00A345A0">
      <w:rPr>
        <w:b/>
        <w:sz w:val="18"/>
      </w:rPr>
      <w:fldChar w:fldCharType="end"/>
    </w:r>
    <w:r>
      <w:rPr>
        <w:b/>
        <w:sz w:val="18"/>
      </w:rPr>
      <w:tab/>
    </w:r>
    <w:r>
      <w:t>GE.21-06519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B221" w14:textId="28312208" w:rsidR="00A345A0" w:rsidRPr="00A345A0" w:rsidRDefault="00A345A0" w:rsidP="00A345A0">
    <w:pPr>
      <w:pStyle w:val="a8"/>
      <w:tabs>
        <w:tab w:val="clear" w:pos="9639"/>
        <w:tab w:val="right" w:pos="9638"/>
      </w:tabs>
      <w:rPr>
        <w:b/>
        <w:sz w:val="18"/>
      </w:rPr>
    </w:pPr>
    <w:r>
      <w:t>GE.21-06519</w:t>
    </w:r>
    <w:r>
      <w:tab/>
    </w:r>
    <w:r w:rsidRPr="00A345A0">
      <w:rPr>
        <w:b/>
        <w:sz w:val="18"/>
      </w:rPr>
      <w:fldChar w:fldCharType="begin"/>
    </w:r>
    <w:r w:rsidRPr="00A345A0">
      <w:rPr>
        <w:b/>
        <w:sz w:val="18"/>
      </w:rPr>
      <w:instrText xml:space="preserve"> PAGE  \* MERGEFORMAT </w:instrText>
    </w:r>
    <w:r w:rsidRPr="00A345A0">
      <w:rPr>
        <w:b/>
        <w:sz w:val="18"/>
      </w:rPr>
      <w:fldChar w:fldCharType="separate"/>
    </w:r>
    <w:r w:rsidRPr="00A345A0">
      <w:rPr>
        <w:b/>
        <w:noProof/>
        <w:sz w:val="18"/>
      </w:rPr>
      <w:t>3</w:t>
    </w:r>
    <w:r w:rsidRPr="00A345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528E" w14:textId="0757F0E2" w:rsidR="00042B72" w:rsidRPr="00A345A0" w:rsidRDefault="00A345A0" w:rsidP="00A345A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8D1C12" wp14:editId="306EEA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21-06519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B85810" wp14:editId="24D9992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030621  140621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B84D" w14:textId="77777777" w:rsidR="008F433A" w:rsidRPr="001075E9" w:rsidRDefault="008F43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C68221" w14:textId="77777777" w:rsidR="008F433A" w:rsidRDefault="008F43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B8DC7A" w14:textId="39DF6CA4" w:rsidR="00A345A0" w:rsidRPr="00B07502" w:rsidRDefault="00A345A0" w:rsidP="00A345A0">
      <w:pPr>
        <w:pStyle w:val="ad"/>
      </w:pPr>
      <w:r>
        <w:tab/>
        <w:t>*</w:t>
      </w:r>
      <w:r>
        <w:tab/>
        <w:t>Принято Комитетом на его 131-й сессии (1</w:t>
      </w:r>
      <w:r w:rsidR="00462E45" w:rsidRPr="00B76E19">
        <w:t>‒</w:t>
      </w:r>
      <w:r>
        <w:t>26 марта 2021 года).</w:t>
      </w:r>
    </w:p>
  </w:footnote>
  <w:footnote w:id="2">
    <w:p w14:paraId="2FEF1D12" w14:textId="5CED4384" w:rsidR="00A345A0" w:rsidRPr="00B07502" w:rsidRDefault="00A345A0" w:rsidP="00B851C8">
      <w:pPr>
        <w:pStyle w:val="ad"/>
        <w:spacing w:after="120"/>
      </w:pPr>
      <w:r>
        <w:tab/>
        <w:t>**</w:t>
      </w:r>
      <w:r>
        <w:tab/>
      </w:r>
      <w:bookmarkStart w:id="0" w:name="_Hlk74560804"/>
      <w:proofErr w:type="spellStart"/>
      <w:r>
        <w:t>Тан</w:t>
      </w:r>
      <w:r w:rsidR="00C10A94">
        <w:t>и</w:t>
      </w:r>
      <w:r>
        <w:t>я</w:t>
      </w:r>
      <w:proofErr w:type="spellEnd"/>
      <w:r>
        <w:t xml:space="preserve"> 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</w:t>
      </w:r>
      <w:r w:rsidR="00765736">
        <w:t>ь</w:t>
      </w:r>
      <w:proofErr w:type="spellEnd"/>
      <w:r>
        <w:t xml:space="preserve">, </w:t>
      </w:r>
      <w:proofErr w:type="spellStart"/>
      <w:r>
        <w:t>Вафаа</w:t>
      </w:r>
      <w:proofErr w:type="spellEnd"/>
      <w:r>
        <w:t xml:space="preserve"> Ашраф </w:t>
      </w:r>
      <w:proofErr w:type="spellStart"/>
      <w:r>
        <w:t>Мохаррам</w:t>
      </w:r>
      <w:proofErr w:type="spellEnd"/>
      <w:r>
        <w:t xml:space="preserve"> Бассим, Яд Бен Ашур, Ариф Б</w:t>
      </w:r>
      <w:r w:rsidR="00765736">
        <w:t>а</w:t>
      </w:r>
      <w:r>
        <w:t xml:space="preserve">лкан, </w:t>
      </w:r>
      <w:proofErr w:type="spellStart"/>
      <w:r>
        <w:t>Махджуб</w:t>
      </w:r>
      <w:proofErr w:type="spellEnd"/>
      <w:r>
        <w:t xml:space="preserve"> эль-</w:t>
      </w:r>
      <w:proofErr w:type="spellStart"/>
      <w:r>
        <w:t>Хайба</w:t>
      </w:r>
      <w:proofErr w:type="spellEnd"/>
      <w:r>
        <w:t xml:space="preserve">, </w:t>
      </w:r>
      <w:proofErr w:type="spellStart"/>
      <w:r>
        <w:t>Фуруя</w:t>
      </w:r>
      <w:proofErr w:type="spellEnd"/>
      <w:r>
        <w:t xml:space="preserve"> Сюити, Карлос Гомес Мартинес, Марсия В.</w:t>
      </w:r>
      <w:r w:rsidR="00B851C8">
        <w:t> </w:t>
      </w:r>
      <w:r>
        <w:t xml:space="preserve">Дж. Кран,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</w:t>
      </w:r>
      <w:r w:rsidR="00C10A94">
        <w:t>з</w:t>
      </w:r>
      <w:r>
        <w:t>ис</w:t>
      </w:r>
      <w:proofErr w:type="spellEnd"/>
      <w:r>
        <w:t xml:space="preserve">, Эрнан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>, Жозе Мануэл Сантуш Паиш, Со Чанрок, Кобоя Чамджа Кпача, Элен Тигруджа, Имеру Тамрат Йигезу</w:t>
      </w:r>
      <w:r w:rsidR="00B851C8">
        <w:br/>
      </w:r>
      <w:r>
        <w:t xml:space="preserve">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</w:t>
      </w:r>
      <w:r w:rsidR="00105E16">
        <w:t>ю</w:t>
      </w:r>
      <w:r>
        <w:t>бери</w:t>
      </w:r>
      <w:proofErr w:type="spellEnd"/>
      <w:r>
        <w:t>.</w:t>
      </w:r>
    </w:p>
    <w:bookmarkEnd w:id="0"/>
  </w:footnote>
  <w:footnote w:id="3">
    <w:p w14:paraId="033B12D6" w14:textId="1C372B5B" w:rsidR="00A345A0" w:rsidRPr="00B07502" w:rsidRDefault="00A345A0" w:rsidP="00A345A0">
      <w:pPr>
        <w:pStyle w:val="ad"/>
      </w:pPr>
      <w:r>
        <w:tab/>
      </w:r>
      <w:r w:rsidRPr="00BB1C28">
        <w:rPr>
          <w:rStyle w:val="aa"/>
        </w:rPr>
        <w:footnoteRef/>
      </w:r>
      <w:r>
        <w:tab/>
      </w:r>
      <w:r>
        <w:rPr>
          <w:i/>
          <w:iCs/>
        </w:rPr>
        <w:t>Алексеев против Российской Федерации</w:t>
      </w:r>
      <w:r>
        <w:t xml:space="preserve"> (CCPR/C/109/D/1873/2009), п</w:t>
      </w:r>
      <w:r w:rsidR="00C97314">
        <w:t>.</w:t>
      </w:r>
      <w:r>
        <w:t xml:space="preserve"> 8.4; </w:t>
      </w:r>
      <w:r>
        <w:rPr>
          <w:i/>
          <w:iCs/>
        </w:rPr>
        <w:t xml:space="preserve">Лозенко против Беларуси </w:t>
      </w:r>
      <w:r>
        <w:t>(CCPR/C/112/D/1929/2010), п</w:t>
      </w:r>
      <w:r w:rsidR="00C97314">
        <w:t>.</w:t>
      </w:r>
      <w:r>
        <w:t xml:space="preserve"> 6.3; </w:t>
      </w:r>
      <w:r>
        <w:rPr>
          <w:i/>
          <w:iCs/>
        </w:rPr>
        <w:t>Судаленко против Беларуси</w:t>
      </w:r>
      <w:r>
        <w:t xml:space="preserve"> (CCPR/C/115/</w:t>
      </w:r>
      <w:r w:rsidR="00C97314">
        <w:t xml:space="preserve"> </w:t>
      </w:r>
      <w:r>
        <w:t>D/2016/2010), п</w:t>
      </w:r>
      <w:r w:rsidR="00C97314">
        <w:t>.</w:t>
      </w:r>
      <w:r>
        <w:t xml:space="preserve"> 7.3; </w:t>
      </w:r>
      <w:r>
        <w:rPr>
          <w:i/>
          <w:iCs/>
        </w:rPr>
        <w:t>Корешков против Беларуси</w:t>
      </w:r>
      <w:r>
        <w:t xml:space="preserve"> (CCPR/C/121/D/2168/2012), п</w:t>
      </w:r>
      <w:r w:rsidR="00C97314">
        <w:t>.</w:t>
      </w:r>
      <w:r>
        <w:t xml:space="preserve"> 7.3; и </w:t>
      </w:r>
      <w:r>
        <w:rPr>
          <w:i/>
          <w:iCs/>
        </w:rPr>
        <w:t>Абромчик против Беларуси</w:t>
      </w:r>
      <w:r>
        <w:t xml:space="preserve"> (CCPR/C/122/D/2228/2012), п</w:t>
      </w:r>
      <w:r w:rsidR="00462E45">
        <w:t>.</w:t>
      </w:r>
      <w:r>
        <w:t xml:space="preserve"> 9.3.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D55A" w14:textId="01927DFB" w:rsidR="00A345A0" w:rsidRPr="00A345A0" w:rsidRDefault="00CF736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ED3612">
      <w:t>CCPR/C/131/D/2960/2017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806F" w14:textId="1710B74C" w:rsidR="00A345A0" w:rsidRPr="00A345A0" w:rsidRDefault="00CF7369" w:rsidP="00A345A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D3612">
      <w:t>CCPR/C/131/D/2960/2017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3A"/>
    <w:rsid w:val="00033EE1"/>
    <w:rsid w:val="000358F2"/>
    <w:rsid w:val="00042B72"/>
    <w:rsid w:val="000558BD"/>
    <w:rsid w:val="000B57E7"/>
    <w:rsid w:val="000B6373"/>
    <w:rsid w:val="000F09DF"/>
    <w:rsid w:val="000F61B2"/>
    <w:rsid w:val="00105E16"/>
    <w:rsid w:val="001075E9"/>
    <w:rsid w:val="00180183"/>
    <w:rsid w:val="0018024D"/>
    <w:rsid w:val="0018649F"/>
    <w:rsid w:val="00196389"/>
    <w:rsid w:val="001B3EF6"/>
    <w:rsid w:val="001C7A89"/>
    <w:rsid w:val="002055AD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070D"/>
    <w:rsid w:val="003958D0"/>
    <w:rsid w:val="003B00E5"/>
    <w:rsid w:val="00407B78"/>
    <w:rsid w:val="00424203"/>
    <w:rsid w:val="00452493"/>
    <w:rsid w:val="00454E07"/>
    <w:rsid w:val="00462E45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65736"/>
    <w:rsid w:val="00787D3A"/>
    <w:rsid w:val="00791B9D"/>
    <w:rsid w:val="00825F8D"/>
    <w:rsid w:val="00834B71"/>
    <w:rsid w:val="0086445C"/>
    <w:rsid w:val="00894693"/>
    <w:rsid w:val="008A08D7"/>
    <w:rsid w:val="008B6909"/>
    <w:rsid w:val="008F433A"/>
    <w:rsid w:val="00906890"/>
    <w:rsid w:val="00911BE4"/>
    <w:rsid w:val="00931A71"/>
    <w:rsid w:val="00934EF8"/>
    <w:rsid w:val="00951972"/>
    <w:rsid w:val="009608F3"/>
    <w:rsid w:val="009918E2"/>
    <w:rsid w:val="009A24AC"/>
    <w:rsid w:val="009D21FD"/>
    <w:rsid w:val="00A14DA8"/>
    <w:rsid w:val="00A312BC"/>
    <w:rsid w:val="00A345A0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851C8"/>
    <w:rsid w:val="00BC18B2"/>
    <w:rsid w:val="00BC3629"/>
    <w:rsid w:val="00BD33EE"/>
    <w:rsid w:val="00BF1A04"/>
    <w:rsid w:val="00C0177C"/>
    <w:rsid w:val="00C106D6"/>
    <w:rsid w:val="00C10A94"/>
    <w:rsid w:val="00C46D5A"/>
    <w:rsid w:val="00C60F0C"/>
    <w:rsid w:val="00C805C9"/>
    <w:rsid w:val="00C92939"/>
    <w:rsid w:val="00C97314"/>
    <w:rsid w:val="00CA1679"/>
    <w:rsid w:val="00CB151C"/>
    <w:rsid w:val="00CE5A1A"/>
    <w:rsid w:val="00CF55F6"/>
    <w:rsid w:val="00D33D63"/>
    <w:rsid w:val="00D85DE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D3612"/>
    <w:rsid w:val="00EF1360"/>
    <w:rsid w:val="00EF3220"/>
    <w:rsid w:val="00F4099C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E73D0D"/>
  <w15:docId w15:val="{30D01283-2A8D-4699-A8F6-C8E5560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A345A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5</Pages>
  <Words>1713</Words>
  <Characters>11180</Characters>
  <Application>Microsoft Office Word</Application>
  <DocSecurity>0</DocSecurity>
  <Lines>1597</Lines>
  <Paragraphs>477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CCPR/C/131/D/2960/2017</vt:lpstr>
      <vt:lpstr>A/</vt:lpstr>
      <vt:lpstr>A/</vt:lpstr>
    </vt:vector>
  </TitlesOfParts>
  <Company>DCM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CCPR/C/131/D/2960/2017</dc:title>
  <dc:subject/>
  <dc:creator>Anna KISSELEVA</dc:creator>
  <cp:keywords/>
  <cp:lastModifiedBy>Anna Kisseleva</cp:lastModifiedBy>
  <cp:revision>3</cp:revision>
  <cp:lastPrinted>2021-06-14T09:08:00Z</cp:lastPrinted>
  <dcterms:created xsi:type="dcterms:W3CDTF">2021-06-14T09:08:00Z</dcterms:created>
  <dcterms:modified xsi:type="dcterms:W3CDTF">2021-06-14T09:08:00Z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