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6952D5C0" w14:textId="77777777" w:rsidTr="005B51C4">
        <w:trPr>
          <w:trHeight w:hRule="exact" w:val="851"/>
        </w:trPr>
        <w:tc>
          <w:tcPr>
            <w:tcW w:w="1274" w:type="dxa"/>
            <w:tcBorders>
              <w:bottom w:val="single" w:sz="4" w:space="0" w:color="auto"/>
            </w:tcBorders>
            <w:shd w:val="clear" w:color="auto" w:fill="auto"/>
          </w:tcPr>
          <w:p w14:paraId="562E7960" w14:textId="77777777" w:rsidR="006B3E27" w:rsidRPr="00C175A6" w:rsidRDefault="006B3E27" w:rsidP="003A0C7D">
            <w:pPr>
              <w:kinsoku w:val="0"/>
              <w:overflowPunct w:val="0"/>
              <w:autoSpaceDE w:val="0"/>
              <w:autoSpaceDN w:val="0"/>
              <w:adjustRightInd w:val="0"/>
              <w:snapToGrid w:val="0"/>
              <w:jc w:val="center"/>
              <w:rPr>
                <w:rFonts w:hint="cs"/>
                <w:sz w:val="56"/>
                <w:szCs w:val="56"/>
                <w:lang w:eastAsia="zh-TW"/>
              </w:rPr>
            </w:pPr>
          </w:p>
        </w:tc>
        <w:tc>
          <w:tcPr>
            <w:tcW w:w="4537" w:type="dxa"/>
            <w:tcBorders>
              <w:bottom w:val="single" w:sz="4" w:space="0" w:color="auto"/>
            </w:tcBorders>
            <w:shd w:val="clear" w:color="auto" w:fill="auto"/>
            <w:vAlign w:val="bottom"/>
          </w:tcPr>
          <w:p w14:paraId="4FF33E9A"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41B574E9" w14:textId="6015A607" w:rsidR="006B3E27" w:rsidRPr="00FC4CF0" w:rsidRDefault="00FC4CF0" w:rsidP="00FC4CF0">
            <w:pPr>
              <w:bidi w:val="0"/>
              <w:rPr>
                <w:szCs w:val="20"/>
              </w:rPr>
            </w:pPr>
            <w:r w:rsidRPr="001E69EC">
              <w:rPr>
                <w:sz w:val="40"/>
                <w:szCs w:val="20"/>
              </w:rPr>
              <w:t>CCPR</w:t>
            </w:r>
            <w:r w:rsidRPr="001E69EC">
              <w:rPr>
                <w:szCs w:val="20"/>
              </w:rPr>
              <w:t>/C/</w:t>
            </w:r>
            <w:r w:rsidRPr="00737919">
              <w:rPr>
                <w:szCs w:val="20"/>
              </w:rPr>
              <w:t>136</w:t>
            </w:r>
            <w:r w:rsidRPr="001E69EC">
              <w:rPr>
                <w:szCs w:val="20"/>
              </w:rPr>
              <w:t>/D/</w:t>
            </w:r>
            <w:r w:rsidRPr="00737919">
              <w:rPr>
                <w:szCs w:val="20"/>
              </w:rPr>
              <w:t>2754</w:t>
            </w:r>
            <w:r w:rsidRPr="001E69EC">
              <w:rPr>
                <w:szCs w:val="20"/>
              </w:rPr>
              <w:t>/</w:t>
            </w:r>
            <w:r w:rsidRPr="00737919">
              <w:rPr>
                <w:szCs w:val="20"/>
              </w:rPr>
              <w:t>2016</w:t>
            </w:r>
          </w:p>
        </w:tc>
      </w:tr>
      <w:tr w:rsidR="006B3E27" w:rsidRPr="00C175A6" w14:paraId="6CFBADD5" w14:textId="77777777" w:rsidTr="005B51C4">
        <w:trPr>
          <w:trHeight w:hRule="exact" w:val="2835"/>
        </w:trPr>
        <w:tc>
          <w:tcPr>
            <w:tcW w:w="1274" w:type="dxa"/>
            <w:tcBorders>
              <w:top w:val="single" w:sz="4" w:space="0" w:color="auto"/>
              <w:bottom w:val="single" w:sz="12" w:space="0" w:color="auto"/>
            </w:tcBorders>
            <w:shd w:val="clear" w:color="auto" w:fill="auto"/>
          </w:tcPr>
          <w:p w14:paraId="29DF0F0D"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1485A9AD" wp14:editId="66CB04F2">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6D513991" w14:textId="77777777" w:rsidR="006B3E27" w:rsidRPr="00737919" w:rsidRDefault="00ED7442" w:rsidP="00730446">
            <w:pPr>
              <w:spacing w:before="120" w:after="40" w:line="640" w:lineRule="exact"/>
              <w:ind w:left="57"/>
              <w:rPr>
                <w:b/>
                <w:bCs/>
                <w:sz w:val="46"/>
                <w:szCs w:val="46"/>
              </w:rPr>
            </w:pPr>
            <w:r w:rsidRPr="00737919">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06386AC6" w14:textId="6083C6D9" w:rsidR="006B3E27" w:rsidRDefault="00FC4CF0" w:rsidP="004B27E0">
            <w:pPr>
              <w:bidi w:val="0"/>
              <w:spacing w:before="240"/>
              <w:rPr>
                <w:szCs w:val="20"/>
              </w:rPr>
            </w:pPr>
            <w:r>
              <w:rPr>
                <w:szCs w:val="20"/>
              </w:rPr>
              <w:t>Dist</w:t>
            </w:r>
            <w:r w:rsidR="001E69EC" w:rsidRPr="001E69EC">
              <w:rPr>
                <w:szCs w:val="20"/>
              </w:rPr>
              <w:t>r.:</w:t>
            </w:r>
            <w:r>
              <w:rPr>
                <w:szCs w:val="20"/>
              </w:rPr>
              <w:t xml:space="preserve"> General</w:t>
            </w:r>
          </w:p>
          <w:p w14:paraId="1D71EDC8" w14:textId="6845FEDC" w:rsidR="00FC4CF0" w:rsidRDefault="001E69EC" w:rsidP="00FC4CF0">
            <w:pPr>
              <w:bidi w:val="0"/>
              <w:spacing w:line="240" w:lineRule="exact"/>
              <w:jc w:val="left"/>
              <w:rPr>
                <w:szCs w:val="20"/>
              </w:rPr>
            </w:pPr>
            <w:r w:rsidRPr="00737919">
              <w:rPr>
                <w:szCs w:val="20"/>
              </w:rPr>
              <w:t>12</w:t>
            </w:r>
            <w:r>
              <w:rPr>
                <w:szCs w:val="20"/>
              </w:rPr>
              <w:t xml:space="preserve"> December </w:t>
            </w:r>
            <w:r w:rsidR="00FC4CF0" w:rsidRPr="00737919">
              <w:rPr>
                <w:szCs w:val="20"/>
              </w:rPr>
              <w:t>2022</w:t>
            </w:r>
          </w:p>
          <w:p w14:paraId="6C5D30C9" w14:textId="77777777" w:rsidR="00FC4CF0" w:rsidRDefault="00FC4CF0" w:rsidP="00FC4CF0">
            <w:pPr>
              <w:bidi w:val="0"/>
              <w:spacing w:line="240" w:lineRule="exact"/>
              <w:jc w:val="left"/>
              <w:rPr>
                <w:szCs w:val="20"/>
              </w:rPr>
            </w:pPr>
            <w:r>
              <w:rPr>
                <w:szCs w:val="20"/>
              </w:rPr>
              <w:t>Arabic</w:t>
            </w:r>
          </w:p>
          <w:p w14:paraId="601A5354" w14:textId="39A8EDB0" w:rsidR="00FC4CF0" w:rsidRPr="00FC4CF0" w:rsidRDefault="00FC4CF0" w:rsidP="00FC4CF0">
            <w:pPr>
              <w:bidi w:val="0"/>
              <w:spacing w:line="240" w:lineRule="exact"/>
              <w:jc w:val="left"/>
              <w:rPr>
                <w:szCs w:val="20"/>
              </w:rPr>
            </w:pPr>
            <w:r>
              <w:rPr>
                <w:szCs w:val="20"/>
              </w:rPr>
              <w:t>Origina</w:t>
            </w:r>
            <w:r w:rsidR="001E69EC" w:rsidRPr="001E69EC">
              <w:rPr>
                <w:szCs w:val="20"/>
              </w:rPr>
              <w:t xml:space="preserve">l: </w:t>
            </w:r>
            <w:r>
              <w:rPr>
                <w:szCs w:val="20"/>
              </w:rPr>
              <w:t>English</w:t>
            </w:r>
          </w:p>
        </w:tc>
      </w:tr>
    </w:tbl>
    <w:p w14:paraId="0188845E" w14:textId="77777777" w:rsidR="001E69EC" w:rsidRPr="00737919" w:rsidRDefault="001E69EC" w:rsidP="001E69EC">
      <w:pPr>
        <w:spacing w:before="120"/>
        <w:textDirection w:val="tbRlV"/>
        <w:rPr>
          <w:b/>
          <w:sz w:val="26"/>
          <w:szCs w:val="26"/>
          <w:lang w:eastAsia="zh-TW" w:bidi="en-GB"/>
        </w:rPr>
      </w:pPr>
      <w:r w:rsidRPr="00737919">
        <w:rPr>
          <w:b/>
          <w:bCs/>
          <w:sz w:val="26"/>
          <w:szCs w:val="26"/>
          <w:rtl/>
        </w:rPr>
        <w:t>اللجنة المعنية بحقوق الإنسان</w:t>
      </w:r>
    </w:p>
    <w:p w14:paraId="6D4AC6C3" w14:textId="4FCB2424" w:rsidR="001E69EC" w:rsidRPr="00737919" w:rsidRDefault="001E69EC" w:rsidP="001E69EC">
      <w:pPr>
        <w:pStyle w:val="HChGA"/>
        <w:rPr>
          <w:sz w:val="34"/>
          <w:szCs w:val="34"/>
          <w:lang w:val="en-US" w:eastAsia="zh-TW" w:bidi="en-GB"/>
        </w:rPr>
      </w:pPr>
      <w:r w:rsidRPr="00737919">
        <w:rPr>
          <w:rtl/>
        </w:rPr>
        <w:tab/>
      </w:r>
      <w:r w:rsidRPr="00737919">
        <w:rPr>
          <w:rtl/>
        </w:rPr>
        <w:tab/>
        <w:t xml:space="preserve">آراء اعتمدتها اللجنة بموجب المادة </w:t>
      </w:r>
      <w:r w:rsidRPr="00737919">
        <w:rPr>
          <w:rFonts w:ascii="Simplified Arabic"/>
          <w:rtl/>
        </w:rPr>
        <w:t>5(4)</w:t>
      </w:r>
      <w:r w:rsidRPr="00737919">
        <w:rPr>
          <w:rtl/>
        </w:rPr>
        <w:t xml:space="preserve"> من البروتوكول الاختياري، بشأن البلاغ رقم </w:t>
      </w:r>
      <w:r w:rsidRPr="00737919">
        <w:rPr>
          <w:rFonts w:ascii="Simplified Arabic"/>
          <w:rtl/>
        </w:rPr>
        <w:t>2754/2016</w:t>
      </w:r>
      <w:r w:rsidRPr="00737919">
        <w:rPr>
          <w:rStyle w:val="FootnoteReference"/>
          <w:sz w:val="24"/>
          <w:szCs w:val="24"/>
          <w:vertAlign w:val="baseline"/>
          <w:rtl/>
          <w:lang w:val="en-US" w:eastAsia="zh-TW"/>
        </w:rPr>
        <w:footnoteReference w:customMarkFollows="1" w:id="1"/>
        <w:t>*</w:t>
      </w:r>
      <w:r w:rsidRPr="00737919">
        <w:rPr>
          <w:rStyle w:val="FootnoteReference"/>
          <w:rFonts w:hint="cs"/>
          <w:sz w:val="24"/>
          <w:szCs w:val="24"/>
          <w:vertAlign w:val="baseline"/>
          <w:rtl/>
          <w:lang w:val="en-US" w:eastAsia="zh-TW"/>
        </w:rPr>
        <w:t xml:space="preserve"> </w:t>
      </w:r>
      <w:r w:rsidRPr="00737919">
        <w:rPr>
          <w:rStyle w:val="FootnoteReference"/>
          <w:sz w:val="24"/>
          <w:szCs w:val="24"/>
          <w:vertAlign w:val="baseline"/>
          <w:rtl/>
          <w:lang w:val="en-US" w:eastAsia="zh-TW"/>
        </w:rPr>
        <w:footnoteReference w:customMarkFollows="1" w:id="2"/>
        <w:t>**</w:t>
      </w:r>
      <w:r w:rsidRPr="00737919">
        <w:rPr>
          <w:rStyle w:val="FootnoteReference"/>
          <w:rFonts w:hint="cs"/>
          <w:sz w:val="24"/>
          <w:szCs w:val="24"/>
          <w:vertAlign w:val="baseline"/>
          <w:rtl/>
          <w:lang w:val="en-US" w:eastAsia="zh-TW"/>
        </w:rPr>
        <w:t xml:space="preserve"> </w:t>
      </w:r>
      <w:r w:rsidRPr="00737919">
        <w:rPr>
          <w:rStyle w:val="FootnoteReference"/>
          <w:sz w:val="24"/>
          <w:szCs w:val="24"/>
          <w:vertAlign w:val="baseline"/>
          <w:rtl/>
          <w:lang w:val="en-US" w:eastAsia="zh-TW"/>
        </w:rPr>
        <w:footnoteReference w:customMarkFollows="1" w:id="3"/>
        <w:t>***</w:t>
      </w:r>
    </w:p>
    <w:p w14:paraId="68B82505" w14:textId="40BD4D57" w:rsidR="001E69EC" w:rsidRPr="001E69EC" w:rsidRDefault="001E69EC" w:rsidP="001E69EC">
      <w:pPr>
        <w:pStyle w:val="SingleTxtGA"/>
        <w:tabs>
          <w:tab w:val="clear" w:pos="1928"/>
          <w:tab w:val="clear" w:pos="2608"/>
          <w:tab w:val="clear" w:pos="3289"/>
          <w:tab w:val="clear" w:pos="3969"/>
          <w:tab w:val="clear" w:pos="4649"/>
          <w:tab w:val="clear" w:pos="5330"/>
        </w:tabs>
        <w:ind w:left="4649" w:hanging="2721"/>
      </w:pPr>
      <w:r w:rsidRPr="00737919">
        <w:rPr>
          <w:i/>
          <w:iCs/>
          <w:rtl/>
        </w:rPr>
        <w:t>بلاغ مقدم من:</w:t>
      </w:r>
      <w:r>
        <w:rPr>
          <w:rtl/>
        </w:rPr>
        <w:tab/>
      </w:r>
      <w:r w:rsidRPr="001E69EC">
        <w:rPr>
          <w:rtl/>
        </w:rPr>
        <w:t>ج. س. ك. ن. (يمثله المحامي نيلز - إيريك هانسن)</w:t>
      </w:r>
    </w:p>
    <w:p w14:paraId="7B7111B2" w14:textId="6E58C7CC" w:rsidR="001E69EC" w:rsidRPr="001E69EC" w:rsidRDefault="001E69EC" w:rsidP="001E69EC">
      <w:pPr>
        <w:pStyle w:val="SingleTxtGA"/>
        <w:tabs>
          <w:tab w:val="clear" w:pos="1928"/>
          <w:tab w:val="clear" w:pos="2608"/>
          <w:tab w:val="clear" w:pos="3289"/>
          <w:tab w:val="clear" w:pos="3969"/>
          <w:tab w:val="clear" w:pos="4649"/>
          <w:tab w:val="clear" w:pos="5330"/>
        </w:tabs>
        <w:ind w:left="4649" w:hanging="2721"/>
      </w:pPr>
      <w:r w:rsidRPr="00737919">
        <w:rPr>
          <w:i/>
          <w:iCs/>
          <w:rtl/>
        </w:rPr>
        <w:t>الشخص المدعى أنه ضحية:</w:t>
      </w:r>
      <w:r>
        <w:rPr>
          <w:rtl/>
        </w:rPr>
        <w:tab/>
      </w:r>
      <w:r w:rsidRPr="001E69EC">
        <w:rPr>
          <w:rtl/>
        </w:rPr>
        <w:t>صاحب البلاغ</w:t>
      </w:r>
    </w:p>
    <w:p w14:paraId="3BC0D48C" w14:textId="4651D289" w:rsidR="001E69EC" w:rsidRPr="001E69EC" w:rsidRDefault="001E69EC" w:rsidP="001E69EC">
      <w:pPr>
        <w:pStyle w:val="SingleTxtGA"/>
        <w:tabs>
          <w:tab w:val="clear" w:pos="1928"/>
          <w:tab w:val="clear" w:pos="2608"/>
          <w:tab w:val="clear" w:pos="3289"/>
          <w:tab w:val="clear" w:pos="3969"/>
          <w:tab w:val="clear" w:pos="4649"/>
          <w:tab w:val="clear" w:pos="5330"/>
        </w:tabs>
        <w:ind w:left="4649" w:hanging="2721"/>
      </w:pPr>
      <w:r w:rsidRPr="00737919">
        <w:rPr>
          <w:i/>
          <w:iCs/>
          <w:rtl/>
        </w:rPr>
        <w:t>الدولة الطرف:</w:t>
      </w:r>
      <w:r>
        <w:rPr>
          <w:rtl/>
        </w:rPr>
        <w:tab/>
      </w:r>
      <w:r w:rsidRPr="001E69EC">
        <w:rPr>
          <w:rtl/>
        </w:rPr>
        <w:t>الدانمرك</w:t>
      </w:r>
    </w:p>
    <w:p w14:paraId="6FA6D480" w14:textId="50E63E00" w:rsidR="001E69EC" w:rsidRPr="001E69EC" w:rsidRDefault="001E69EC" w:rsidP="001E69EC">
      <w:pPr>
        <w:pStyle w:val="SingleTxtGA"/>
        <w:tabs>
          <w:tab w:val="clear" w:pos="1928"/>
          <w:tab w:val="clear" w:pos="2608"/>
          <w:tab w:val="clear" w:pos="3289"/>
          <w:tab w:val="clear" w:pos="3969"/>
          <w:tab w:val="clear" w:pos="4649"/>
          <w:tab w:val="clear" w:pos="5330"/>
        </w:tabs>
        <w:ind w:left="4649" w:hanging="2721"/>
      </w:pPr>
      <w:r w:rsidRPr="00737919">
        <w:rPr>
          <w:i/>
          <w:iCs/>
          <w:rtl/>
        </w:rPr>
        <w:t>تاريخ تقديم البلاغ:</w:t>
      </w:r>
      <w:r>
        <w:rPr>
          <w:rtl/>
        </w:rPr>
        <w:tab/>
      </w:r>
      <w:r w:rsidRPr="00737919">
        <w:rPr>
          <w:rtl/>
        </w:rPr>
        <w:t>10</w:t>
      </w:r>
      <w:r w:rsidRPr="001E69EC">
        <w:rPr>
          <w:rtl/>
        </w:rPr>
        <w:t xml:space="preserve"> آذار/مارس </w:t>
      </w:r>
      <w:r w:rsidRPr="00737919">
        <w:rPr>
          <w:rtl/>
        </w:rPr>
        <w:t>2016</w:t>
      </w:r>
      <w:r w:rsidRPr="001E69EC">
        <w:rPr>
          <w:rtl/>
        </w:rPr>
        <w:t xml:space="preserve"> (تاريخ الرسالة الأولى)</w:t>
      </w:r>
    </w:p>
    <w:p w14:paraId="6E3323F0" w14:textId="3B155385" w:rsidR="001E69EC" w:rsidRPr="001E69EC" w:rsidRDefault="001E69EC" w:rsidP="001E69EC">
      <w:pPr>
        <w:pStyle w:val="SingleTxtGA"/>
        <w:tabs>
          <w:tab w:val="clear" w:pos="1928"/>
          <w:tab w:val="clear" w:pos="2608"/>
          <w:tab w:val="clear" w:pos="3289"/>
          <w:tab w:val="clear" w:pos="3969"/>
          <w:tab w:val="clear" w:pos="4649"/>
          <w:tab w:val="clear" w:pos="5330"/>
        </w:tabs>
        <w:ind w:left="4649" w:hanging="2721"/>
      </w:pPr>
      <w:r w:rsidRPr="00737919">
        <w:rPr>
          <w:i/>
          <w:iCs/>
          <w:rtl/>
        </w:rPr>
        <w:t>الوثائق المرجعية:</w:t>
      </w:r>
      <w:r>
        <w:rPr>
          <w:rtl/>
        </w:rPr>
        <w:tab/>
      </w:r>
      <w:r w:rsidRPr="001E69EC">
        <w:rPr>
          <w:rtl/>
        </w:rPr>
        <w:t xml:space="preserve">القرار المتخذ عملاً بالمادة </w:t>
      </w:r>
      <w:r w:rsidRPr="00737919">
        <w:rPr>
          <w:rtl/>
        </w:rPr>
        <w:t>92</w:t>
      </w:r>
      <w:r w:rsidRPr="001E69EC">
        <w:rPr>
          <w:rtl/>
        </w:rPr>
        <w:t xml:space="preserve"> من النظام الداخلي للجنة، المحال إلى الدولة الطرف في </w:t>
      </w:r>
      <w:r w:rsidRPr="00737919">
        <w:rPr>
          <w:rtl/>
        </w:rPr>
        <w:t>23</w:t>
      </w:r>
      <w:r w:rsidRPr="001E69EC">
        <w:rPr>
          <w:rtl/>
        </w:rPr>
        <w:t xml:space="preserve"> آذار/مارس </w:t>
      </w:r>
      <w:r w:rsidRPr="00737919">
        <w:rPr>
          <w:rtl/>
        </w:rPr>
        <w:t>2016</w:t>
      </w:r>
      <w:r w:rsidRPr="001E69EC">
        <w:rPr>
          <w:rtl/>
        </w:rPr>
        <w:t xml:space="preserve"> (لم يصدر في شكل وثيقة)</w:t>
      </w:r>
    </w:p>
    <w:p w14:paraId="3AF6AEB1" w14:textId="60BBB6CD" w:rsidR="001E69EC" w:rsidRPr="001E69EC" w:rsidRDefault="001E69EC" w:rsidP="001E69EC">
      <w:pPr>
        <w:pStyle w:val="SingleTxtGA"/>
        <w:tabs>
          <w:tab w:val="clear" w:pos="1928"/>
          <w:tab w:val="clear" w:pos="2608"/>
          <w:tab w:val="clear" w:pos="3289"/>
          <w:tab w:val="clear" w:pos="3969"/>
          <w:tab w:val="clear" w:pos="4649"/>
          <w:tab w:val="clear" w:pos="5330"/>
        </w:tabs>
        <w:ind w:left="4649" w:hanging="2721"/>
      </w:pPr>
      <w:r w:rsidRPr="00737919">
        <w:rPr>
          <w:i/>
          <w:iCs/>
          <w:rtl/>
        </w:rPr>
        <w:t>تاريخ اعتماد الآراء:</w:t>
      </w:r>
      <w:r>
        <w:rPr>
          <w:rtl/>
        </w:rPr>
        <w:tab/>
      </w:r>
      <w:r w:rsidRPr="00737919">
        <w:rPr>
          <w:rtl/>
        </w:rPr>
        <w:t>25</w:t>
      </w:r>
      <w:r w:rsidRPr="001E69EC">
        <w:rPr>
          <w:rtl/>
        </w:rPr>
        <w:t xml:space="preserve"> تشرين الأول/أكتوبر </w:t>
      </w:r>
      <w:r w:rsidRPr="00737919">
        <w:rPr>
          <w:rtl/>
        </w:rPr>
        <w:t>2022</w:t>
      </w:r>
    </w:p>
    <w:p w14:paraId="2498838F" w14:textId="4625CAFA" w:rsidR="001E69EC" w:rsidRPr="001E69EC" w:rsidRDefault="001E69EC" w:rsidP="001E69EC">
      <w:pPr>
        <w:pStyle w:val="SingleTxtGA"/>
        <w:tabs>
          <w:tab w:val="clear" w:pos="1928"/>
          <w:tab w:val="clear" w:pos="2608"/>
          <w:tab w:val="clear" w:pos="3289"/>
          <w:tab w:val="clear" w:pos="3969"/>
          <w:tab w:val="clear" w:pos="4649"/>
          <w:tab w:val="clear" w:pos="5330"/>
        </w:tabs>
        <w:ind w:left="4649" w:hanging="2721"/>
      </w:pPr>
      <w:r w:rsidRPr="00737919">
        <w:rPr>
          <w:i/>
          <w:iCs/>
          <w:rtl/>
        </w:rPr>
        <w:t>الموضوع:</w:t>
      </w:r>
      <w:r>
        <w:rPr>
          <w:rtl/>
        </w:rPr>
        <w:tab/>
      </w:r>
      <w:r w:rsidRPr="001E69EC">
        <w:rPr>
          <w:rtl/>
        </w:rPr>
        <w:t>رفض طلب لمنح الجنسية عن طريق التجنُّس</w:t>
      </w:r>
    </w:p>
    <w:p w14:paraId="09FBD4D4" w14:textId="3CBF3661" w:rsidR="001E69EC" w:rsidRPr="001E69EC" w:rsidRDefault="001E69EC" w:rsidP="001E69EC">
      <w:pPr>
        <w:pStyle w:val="SingleTxtGA"/>
        <w:tabs>
          <w:tab w:val="clear" w:pos="1928"/>
          <w:tab w:val="clear" w:pos="2608"/>
          <w:tab w:val="clear" w:pos="3289"/>
          <w:tab w:val="clear" w:pos="3969"/>
          <w:tab w:val="clear" w:pos="4649"/>
          <w:tab w:val="clear" w:pos="5330"/>
        </w:tabs>
        <w:ind w:left="4649" w:hanging="2721"/>
      </w:pPr>
      <w:r w:rsidRPr="00737919">
        <w:rPr>
          <w:i/>
          <w:iCs/>
          <w:rtl/>
        </w:rPr>
        <w:t>المسائل الإجرائية:</w:t>
      </w:r>
      <w:r>
        <w:rPr>
          <w:rtl/>
        </w:rPr>
        <w:tab/>
      </w:r>
      <w:r w:rsidRPr="001E69EC">
        <w:rPr>
          <w:rtl/>
        </w:rPr>
        <w:t>استنفاد سبل الانتصاف المحلية؛ ومستوى دعم الادعاءات بالأدلة</w:t>
      </w:r>
    </w:p>
    <w:p w14:paraId="1D206E42" w14:textId="76C646F8" w:rsidR="001E69EC" w:rsidRPr="001E69EC" w:rsidRDefault="001E69EC" w:rsidP="001E69EC">
      <w:pPr>
        <w:pStyle w:val="SingleTxtGA"/>
        <w:tabs>
          <w:tab w:val="clear" w:pos="1928"/>
          <w:tab w:val="clear" w:pos="2608"/>
          <w:tab w:val="clear" w:pos="3289"/>
          <w:tab w:val="clear" w:pos="3969"/>
          <w:tab w:val="clear" w:pos="4649"/>
          <w:tab w:val="clear" w:pos="5330"/>
        </w:tabs>
        <w:ind w:left="4649" w:hanging="2721"/>
      </w:pPr>
      <w:r w:rsidRPr="00737919">
        <w:rPr>
          <w:i/>
          <w:iCs/>
          <w:rtl/>
        </w:rPr>
        <w:t>المسائل الموضوعية:</w:t>
      </w:r>
      <w:r>
        <w:rPr>
          <w:rtl/>
        </w:rPr>
        <w:tab/>
      </w:r>
      <w:r w:rsidRPr="001E69EC">
        <w:rPr>
          <w:rtl/>
        </w:rPr>
        <w:t>التمييز على أساس الإعاقة</w:t>
      </w:r>
    </w:p>
    <w:p w14:paraId="00329805" w14:textId="3CE15FF4" w:rsidR="001E69EC" w:rsidRPr="001E69EC" w:rsidRDefault="001E69EC" w:rsidP="001E69EC">
      <w:pPr>
        <w:pStyle w:val="SingleTxtGA"/>
        <w:tabs>
          <w:tab w:val="clear" w:pos="1928"/>
          <w:tab w:val="clear" w:pos="2608"/>
          <w:tab w:val="clear" w:pos="3289"/>
          <w:tab w:val="clear" w:pos="3969"/>
          <w:tab w:val="clear" w:pos="4649"/>
          <w:tab w:val="clear" w:pos="5330"/>
        </w:tabs>
        <w:ind w:left="4649" w:hanging="2721"/>
      </w:pPr>
      <w:r w:rsidRPr="00737919">
        <w:rPr>
          <w:i/>
          <w:iCs/>
          <w:rtl/>
        </w:rPr>
        <w:t>مواد العهد:</w:t>
      </w:r>
      <w:r>
        <w:rPr>
          <w:rtl/>
        </w:rPr>
        <w:tab/>
      </w:r>
      <w:r w:rsidRPr="00737919">
        <w:rPr>
          <w:rtl/>
        </w:rPr>
        <w:t>2</w:t>
      </w:r>
      <w:r w:rsidRPr="001E69EC">
        <w:rPr>
          <w:rtl/>
        </w:rPr>
        <w:t>(</w:t>
      </w:r>
      <w:r w:rsidRPr="00737919">
        <w:rPr>
          <w:rtl/>
        </w:rPr>
        <w:t>1</w:t>
      </w:r>
      <w:r w:rsidRPr="001E69EC">
        <w:rPr>
          <w:rtl/>
        </w:rPr>
        <w:t>) و</w:t>
      </w:r>
      <w:r w:rsidRPr="00737919">
        <w:rPr>
          <w:rtl/>
        </w:rPr>
        <w:t>26</w:t>
      </w:r>
    </w:p>
    <w:p w14:paraId="2FFEBA94" w14:textId="5D901A8C" w:rsidR="001E69EC" w:rsidRPr="001E69EC" w:rsidRDefault="001E69EC" w:rsidP="001E69EC">
      <w:pPr>
        <w:pStyle w:val="SingleTxtGA"/>
        <w:tabs>
          <w:tab w:val="clear" w:pos="1928"/>
          <w:tab w:val="clear" w:pos="2608"/>
          <w:tab w:val="clear" w:pos="3289"/>
          <w:tab w:val="clear" w:pos="3969"/>
          <w:tab w:val="clear" w:pos="4649"/>
          <w:tab w:val="clear" w:pos="5330"/>
        </w:tabs>
        <w:ind w:left="4649" w:hanging="2721"/>
      </w:pPr>
      <w:r w:rsidRPr="00737919">
        <w:rPr>
          <w:i/>
          <w:iCs/>
          <w:rtl/>
        </w:rPr>
        <w:t>مواد البروتوكول الاختياري:</w:t>
      </w:r>
      <w:r>
        <w:rPr>
          <w:rtl/>
        </w:rPr>
        <w:tab/>
      </w:r>
      <w:r w:rsidRPr="00737919">
        <w:rPr>
          <w:rtl/>
        </w:rPr>
        <w:t>2</w:t>
      </w:r>
      <w:r w:rsidRPr="001E69EC">
        <w:rPr>
          <w:rtl/>
        </w:rPr>
        <w:t xml:space="preserve"> و</w:t>
      </w:r>
      <w:r w:rsidRPr="00737919">
        <w:rPr>
          <w:rtl/>
        </w:rPr>
        <w:t>5</w:t>
      </w:r>
      <w:r w:rsidRPr="001E69EC">
        <w:rPr>
          <w:rtl/>
        </w:rPr>
        <w:t>(</w:t>
      </w:r>
      <w:r w:rsidRPr="00737919">
        <w:rPr>
          <w:rtl/>
        </w:rPr>
        <w:t>2</w:t>
      </w:r>
      <w:r w:rsidRPr="001E69EC">
        <w:rPr>
          <w:rtl/>
        </w:rPr>
        <w:t>)(ب)</w:t>
      </w:r>
    </w:p>
    <w:p w14:paraId="5A489389" w14:textId="739E1D20" w:rsidR="001E69EC" w:rsidRPr="001E69EC" w:rsidRDefault="001E69EC" w:rsidP="00A24026">
      <w:pPr>
        <w:pStyle w:val="SingleTxtGA"/>
        <w:spacing w:before="240"/>
        <w:rPr>
          <w:rFonts w:eastAsiaTheme="minorEastAsia"/>
          <w:lang w:val="ar-SA" w:eastAsia="zh-TW" w:bidi="en-GB"/>
        </w:rPr>
      </w:pPr>
      <w:r w:rsidRPr="00737919">
        <w:rPr>
          <w:rFonts w:eastAsiaTheme="minorEastAsia"/>
          <w:rtl/>
          <w:lang w:bidi="ar-EG"/>
        </w:rPr>
        <w:t>1</w:t>
      </w:r>
      <w:r w:rsidRPr="001E69EC">
        <w:rPr>
          <w:rFonts w:eastAsiaTheme="minorEastAsia"/>
          <w:rtl/>
          <w:lang w:bidi="ar-EG"/>
        </w:rPr>
        <w:t>-</w:t>
      </w:r>
      <w:r w:rsidRPr="001E69EC">
        <w:rPr>
          <w:rFonts w:eastAsiaTheme="minorEastAsia"/>
          <w:rtl/>
        </w:rPr>
        <w:tab/>
        <w:t xml:space="preserve">يُدعى صاحب البلاغ ج. س. ك. ن، وهو فلسطيني عديم الجنسية مولود في عام </w:t>
      </w:r>
      <w:r w:rsidRPr="00737919">
        <w:rPr>
          <w:rFonts w:eastAsiaTheme="minorEastAsia"/>
          <w:rtl/>
        </w:rPr>
        <w:t>1956</w:t>
      </w:r>
      <w:r w:rsidRPr="001E69EC">
        <w:rPr>
          <w:rFonts w:eastAsiaTheme="minorEastAsia"/>
          <w:rtl/>
        </w:rPr>
        <w:t xml:space="preserve">. يدَّعي أن الدولة الطرف قد انتهكت الحقوق المكفولة له بموجب المادة </w:t>
      </w:r>
      <w:r w:rsidRPr="00737919">
        <w:rPr>
          <w:rFonts w:eastAsiaTheme="minorEastAsia"/>
          <w:rtl/>
        </w:rPr>
        <w:t>26</w:t>
      </w:r>
      <w:r w:rsidRPr="001E69EC">
        <w:rPr>
          <w:rFonts w:eastAsiaTheme="minorEastAsia"/>
          <w:rtl/>
        </w:rPr>
        <w:t xml:space="preserve">، مقروءة بالاقتران </w:t>
      </w:r>
      <w:r w:rsidRPr="001E69EC">
        <w:rPr>
          <w:rFonts w:eastAsiaTheme="minorEastAsia"/>
          <w:rtl/>
        </w:rPr>
        <w:lastRenderedPageBreak/>
        <w:t>مع</w:t>
      </w:r>
      <w:r w:rsidR="00960D21">
        <w:rPr>
          <w:rFonts w:eastAsiaTheme="minorEastAsia" w:hint="cs"/>
          <w:rtl/>
        </w:rPr>
        <w:t> </w:t>
      </w:r>
      <w:r w:rsidRPr="001E69EC">
        <w:rPr>
          <w:rFonts w:eastAsiaTheme="minorEastAsia"/>
          <w:rtl/>
        </w:rPr>
        <w:t>المادة</w:t>
      </w:r>
      <w:r>
        <w:rPr>
          <w:rFonts w:eastAsiaTheme="minorEastAsia" w:hint="cs"/>
          <w:rtl/>
        </w:rPr>
        <w:t> </w:t>
      </w:r>
      <w:r w:rsidRPr="00737919">
        <w:rPr>
          <w:rFonts w:eastAsiaTheme="minorEastAsia"/>
          <w:rtl/>
        </w:rPr>
        <w:t>2</w:t>
      </w:r>
      <w:r w:rsidRPr="001E69EC">
        <w:rPr>
          <w:rFonts w:eastAsiaTheme="minorEastAsia"/>
          <w:rtl/>
        </w:rPr>
        <w:t>(</w:t>
      </w:r>
      <w:r w:rsidRPr="00737919">
        <w:rPr>
          <w:rFonts w:eastAsiaTheme="minorEastAsia"/>
          <w:rtl/>
        </w:rPr>
        <w:t>1</w:t>
      </w:r>
      <w:r w:rsidRPr="001E69EC">
        <w:rPr>
          <w:rFonts w:eastAsiaTheme="minorEastAsia"/>
          <w:rtl/>
        </w:rPr>
        <w:t xml:space="preserve">) من العهد. وقد دخل البروتوكول الاختياري حيز النفاذ بالنسبة إلى الدولة الطرف في </w:t>
      </w:r>
      <w:r w:rsidRPr="00737919">
        <w:rPr>
          <w:rFonts w:eastAsiaTheme="minorEastAsia"/>
          <w:rtl/>
        </w:rPr>
        <w:t>23</w:t>
      </w:r>
      <w:r w:rsidRPr="001E69EC">
        <w:rPr>
          <w:rFonts w:eastAsiaTheme="minorEastAsia"/>
          <w:rtl/>
        </w:rPr>
        <w:t xml:space="preserve"> آذار/مارس </w:t>
      </w:r>
      <w:r w:rsidRPr="00737919">
        <w:rPr>
          <w:rFonts w:eastAsiaTheme="minorEastAsia"/>
          <w:rtl/>
        </w:rPr>
        <w:t>1976</w:t>
      </w:r>
      <w:r w:rsidRPr="001E69EC">
        <w:rPr>
          <w:rFonts w:eastAsiaTheme="minorEastAsia"/>
          <w:rtl/>
        </w:rPr>
        <w:t>. ويمثل صاحب البلاغ محام.</w:t>
      </w:r>
    </w:p>
    <w:p w14:paraId="2D50D9D8" w14:textId="77777777" w:rsidR="001E69EC" w:rsidRPr="00737919" w:rsidRDefault="001E69EC" w:rsidP="001E69EC">
      <w:pPr>
        <w:pStyle w:val="H23GA"/>
        <w:rPr>
          <w:lang w:val="ar-SA" w:eastAsia="zh-TW" w:bidi="en-GB"/>
        </w:rPr>
      </w:pPr>
      <w:r w:rsidRPr="00737919">
        <w:rPr>
          <w:rtl/>
        </w:rPr>
        <w:tab/>
      </w:r>
      <w:r w:rsidRPr="00737919">
        <w:rPr>
          <w:rtl/>
        </w:rPr>
        <w:tab/>
        <w:t>الوقائع كما عرضها صاحب البلاغ</w:t>
      </w:r>
    </w:p>
    <w:p w14:paraId="11C1FC9A" w14:textId="00A30457" w:rsidR="001E69EC" w:rsidRPr="001E69EC" w:rsidRDefault="001E69EC" w:rsidP="001E69EC">
      <w:pPr>
        <w:pStyle w:val="SingleTxtGA"/>
        <w:rPr>
          <w:rFonts w:eastAsiaTheme="minorEastAsia"/>
          <w:lang w:val="ar-SA" w:eastAsia="zh-TW" w:bidi="en-GB"/>
        </w:rPr>
      </w:pPr>
      <w:r w:rsidRPr="00737919">
        <w:rPr>
          <w:rFonts w:eastAsiaTheme="minorEastAsia"/>
          <w:rtl/>
        </w:rPr>
        <w:t>2</w:t>
      </w:r>
      <w:r w:rsidRPr="001E69EC">
        <w:rPr>
          <w:rFonts w:eastAsiaTheme="minorEastAsia"/>
          <w:rtl/>
        </w:rPr>
        <w:t>-</w:t>
      </w:r>
      <w:r w:rsidRPr="00737919">
        <w:rPr>
          <w:rFonts w:eastAsiaTheme="minorEastAsia"/>
          <w:rtl/>
        </w:rPr>
        <w:t>1</w:t>
      </w:r>
      <w:r w:rsidRPr="001E69EC">
        <w:rPr>
          <w:rFonts w:eastAsiaTheme="minorEastAsia"/>
          <w:rtl/>
        </w:rPr>
        <w:tab/>
        <w:t xml:space="preserve">وصل صاحب البلاغ إلى الدانمرك في عام </w:t>
      </w:r>
      <w:r w:rsidRPr="00737919">
        <w:rPr>
          <w:rFonts w:eastAsiaTheme="minorEastAsia"/>
          <w:rtl/>
        </w:rPr>
        <w:t>1991</w:t>
      </w:r>
      <w:r w:rsidRPr="001E69EC">
        <w:rPr>
          <w:rFonts w:eastAsiaTheme="minorEastAsia"/>
          <w:rtl/>
        </w:rPr>
        <w:t xml:space="preserve"> ومُنح تصريح إقامة. وفي عام </w:t>
      </w:r>
      <w:r w:rsidRPr="00737919">
        <w:rPr>
          <w:rFonts w:eastAsiaTheme="minorEastAsia"/>
          <w:rtl/>
        </w:rPr>
        <w:t>2002</w:t>
      </w:r>
      <w:r w:rsidRPr="001E69EC">
        <w:rPr>
          <w:rFonts w:eastAsiaTheme="minorEastAsia"/>
          <w:rtl/>
        </w:rPr>
        <w:t xml:space="preserve">، مُنح صفة اللاجئ وتصريح إقامة دائمة. وأقام صاحب البلاغ معظم حياته في الدانمرك. وزوجته وأطفاله مواطنون دنماركيون. ويشير صاحب البلاغ إلى أنه قد شُخِّص بالإصابة </w:t>
      </w:r>
      <w:proofErr w:type="spellStart"/>
      <w:r w:rsidRPr="001E69EC">
        <w:rPr>
          <w:rFonts w:eastAsiaTheme="minorEastAsia"/>
          <w:rtl/>
        </w:rPr>
        <w:t>بالاكتراب</w:t>
      </w:r>
      <w:proofErr w:type="spellEnd"/>
      <w:r w:rsidRPr="001E69EC">
        <w:rPr>
          <w:rFonts w:eastAsiaTheme="minorEastAsia"/>
          <w:rtl/>
        </w:rPr>
        <w:t xml:space="preserve"> المزمن التالي للصدمة</w:t>
      </w:r>
      <w:r>
        <w:rPr>
          <w:rFonts w:eastAsiaTheme="minorEastAsia"/>
          <w:vertAlign w:val="superscript"/>
          <w:rtl/>
        </w:rPr>
        <w:t>(</w:t>
      </w:r>
      <w:r w:rsidRPr="00737919">
        <w:rPr>
          <w:rStyle w:val="FootnoteReference"/>
          <w:rFonts w:eastAsiaTheme="minorEastAsia"/>
          <w:sz w:val="22"/>
          <w:lang w:val="en-US"/>
        </w:rPr>
        <w:footnoteReference w:id="4"/>
      </w:r>
      <w:r w:rsidRPr="001B491C">
        <w:rPr>
          <w:rStyle w:val="FootnoteReference"/>
          <w:rFonts w:eastAsiaTheme="minorEastAsia"/>
          <w:sz w:val="22"/>
          <w:rtl/>
        </w:rPr>
        <w:t>)</w:t>
      </w:r>
      <w:r w:rsidRPr="001E69EC">
        <w:rPr>
          <w:rFonts w:eastAsiaTheme="minorEastAsia"/>
          <w:rtl/>
        </w:rPr>
        <w:t> من جراء ما تعرض له من تعذيب قبل وصوله إلى الدولة الطرف.</w:t>
      </w:r>
    </w:p>
    <w:p w14:paraId="5A045E36" w14:textId="605517BB" w:rsidR="001E69EC" w:rsidRPr="001E69EC" w:rsidRDefault="001E69EC" w:rsidP="001E69EC">
      <w:pPr>
        <w:pStyle w:val="SingleTxtGA"/>
        <w:rPr>
          <w:rFonts w:eastAsiaTheme="minorEastAsia"/>
          <w:lang w:val="en-US" w:eastAsia="zh-TW" w:bidi="en-GB"/>
        </w:rPr>
      </w:pPr>
      <w:r w:rsidRPr="00737919">
        <w:rPr>
          <w:rFonts w:eastAsiaTheme="minorEastAsia"/>
          <w:rtl/>
        </w:rPr>
        <w:t>2</w:t>
      </w:r>
      <w:r w:rsidRPr="001E69EC">
        <w:rPr>
          <w:rFonts w:eastAsiaTheme="minorEastAsia"/>
          <w:rtl/>
        </w:rPr>
        <w:t>-</w:t>
      </w:r>
      <w:r w:rsidRPr="00737919">
        <w:rPr>
          <w:rFonts w:eastAsiaTheme="minorEastAsia"/>
          <w:rtl/>
        </w:rPr>
        <w:t>2</w:t>
      </w:r>
      <w:r w:rsidRPr="001E69EC">
        <w:rPr>
          <w:rFonts w:eastAsiaTheme="minorEastAsia"/>
          <w:rtl/>
        </w:rPr>
        <w:tab/>
        <w:t xml:space="preserve">وبسبب اعتلال صحته النفسية، لم يتمكن صاحب البلاغ من تعلم أكثر من المستوى الأساسي في اللغة الدانمركية. وهو يشير إلى أن أحد شروط الحصول على الجنسية في الدولة الطرف هو تحقيق مستوى معين من الإلمام باللغة الدانمركية. إلا أنه لا يزال يرغب في أن يصبح مواطناً دانمركياً وقد قدم طلباً للحصول على الجنسية عن طريق التجنس في الدولة الطرف في عام </w:t>
      </w:r>
      <w:r w:rsidRPr="00737919">
        <w:rPr>
          <w:rFonts w:eastAsiaTheme="minorEastAsia"/>
          <w:rtl/>
        </w:rPr>
        <w:t>2005</w:t>
      </w:r>
      <w:r w:rsidRPr="001E69EC">
        <w:rPr>
          <w:rFonts w:eastAsiaTheme="minorEastAsia"/>
          <w:rtl/>
        </w:rPr>
        <w:t xml:space="preserve">، مع طلب إعفائه من شرط </w:t>
      </w:r>
      <w:bookmarkStart w:id="0" w:name="_Hlk126832334"/>
      <w:r w:rsidRPr="001E69EC">
        <w:rPr>
          <w:rFonts w:eastAsiaTheme="minorEastAsia"/>
          <w:rtl/>
        </w:rPr>
        <w:t xml:space="preserve">الكفاءة اللغوية </w:t>
      </w:r>
      <w:bookmarkEnd w:id="0"/>
      <w:r w:rsidRPr="001E69EC">
        <w:rPr>
          <w:rFonts w:eastAsiaTheme="minorEastAsia"/>
          <w:rtl/>
        </w:rPr>
        <w:t>استناداً إلى حالته الطبية. ويشير إلى أن طلبه قد رُفض بسبب اللوائح السارية في الدولة الطرف آنذاك.</w:t>
      </w:r>
    </w:p>
    <w:p w14:paraId="749F1548" w14:textId="6C14C746" w:rsidR="001E69EC" w:rsidRPr="001E69EC" w:rsidRDefault="001E69EC" w:rsidP="001E69EC">
      <w:pPr>
        <w:pStyle w:val="SingleTxtGA"/>
        <w:rPr>
          <w:rFonts w:eastAsiaTheme="minorEastAsia"/>
          <w:lang w:val="ar-SA" w:eastAsia="zh-TW" w:bidi="en-GB"/>
        </w:rPr>
      </w:pPr>
      <w:r w:rsidRPr="00737919">
        <w:rPr>
          <w:rFonts w:eastAsiaTheme="minorEastAsia"/>
          <w:rtl/>
        </w:rPr>
        <w:t>2</w:t>
      </w:r>
      <w:r w:rsidRPr="001E69EC">
        <w:rPr>
          <w:rFonts w:eastAsiaTheme="minorEastAsia"/>
          <w:rtl/>
        </w:rPr>
        <w:t>-</w:t>
      </w:r>
      <w:r w:rsidRPr="00737919">
        <w:rPr>
          <w:rFonts w:eastAsiaTheme="minorEastAsia"/>
          <w:rtl/>
        </w:rPr>
        <w:t>3</w:t>
      </w:r>
      <w:r w:rsidRPr="001E69EC">
        <w:rPr>
          <w:rFonts w:eastAsiaTheme="minorEastAsia"/>
          <w:rtl/>
        </w:rPr>
        <w:tab/>
        <w:t xml:space="preserve">وفي عام </w:t>
      </w:r>
      <w:r w:rsidRPr="00737919">
        <w:rPr>
          <w:rFonts w:eastAsiaTheme="minorEastAsia"/>
          <w:rtl/>
        </w:rPr>
        <w:t>2013</w:t>
      </w:r>
      <w:r w:rsidRPr="001E69EC">
        <w:rPr>
          <w:rFonts w:eastAsiaTheme="minorEastAsia"/>
          <w:rtl/>
        </w:rPr>
        <w:t xml:space="preserve">، وبعد إجراء انتخابات عامة، سُنَّت لوائح جديدة للتجنس في التعميم رقم </w:t>
      </w:r>
      <w:r w:rsidRPr="00737919">
        <w:rPr>
          <w:rFonts w:eastAsiaTheme="minorEastAsia"/>
          <w:rtl/>
        </w:rPr>
        <w:t>9253</w:t>
      </w:r>
      <w:r w:rsidRPr="001E69EC">
        <w:rPr>
          <w:rFonts w:eastAsiaTheme="minorEastAsia"/>
          <w:rtl/>
        </w:rPr>
        <w:t xml:space="preserve"> المؤرخ </w:t>
      </w:r>
      <w:r w:rsidRPr="00737919">
        <w:rPr>
          <w:rFonts w:eastAsiaTheme="minorEastAsia"/>
          <w:rtl/>
        </w:rPr>
        <w:t>6</w:t>
      </w:r>
      <w:r w:rsidRPr="001E69EC">
        <w:rPr>
          <w:rFonts w:eastAsiaTheme="minorEastAsia"/>
          <w:rtl/>
        </w:rPr>
        <w:t xml:space="preserve"> حزيران/يونيه </w:t>
      </w:r>
      <w:r w:rsidRPr="00737919">
        <w:rPr>
          <w:rFonts w:eastAsiaTheme="minorEastAsia"/>
          <w:rtl/>
        </w:rPr>
        <w:t>2013</w:t>
      </w:r>
      <w:r w:rsidRPr="001E69EC">
        <w:rPr>
          <w:rFonts w:eastAsiaTheme="minorEastAsia"/>
          <w:rtl/>
        </w:rPr>
        <w:t xml:space="preserve"> المتعلق بالتجنيس، تضمنت إعفاءً من شرط إجادة اللغة الدانمركية للأشخاص ذوي الإعاقة. وعقب هذا التغيير في اللوائح، قدم صاحب البلاغ طلباً جديداً للحصول على الجنسية عن طريق التجنُّس في </w:t>
      </w:r>
      <w:r w:rsidRPr="00737919">
        <w:rPr>
          <w:rFonts w:eastAsiaTheme="minorEastAsia"/>
          <w:rtl/>
        </w:rPr>
        <w:t>26</w:t>
      </w:r>
      <w:r w:rsidRPr="001E69EC">
        <w:rPr>
          <w:rFonts w:eastAsiaTheme="minorEastAsia"/>
          <w:rtl/>
        </w:rPr>
        <w:t xml:space="preserve"> تشرين الثاني/نوفمبر </w:t>
      </w:r>
      <w:r w:rsidRPr="00737919">
        <w:rPr>
          <w:rFonts w:eastAsiaTheme="minorEastAsia"/>
          <w:rtl/>
        </w:rPr>
        <w:t>2013</w:t>
      </w:r>
      <w:r w:rsidRPr="001E69EC">
        <w:rPr>
          <w:rFonts w:eastAsiaTheme="minorEastAsia"/>
          <w:rtl/>
        </w:rPr>
        <w:t xml:space="preserve">. وأُبلغ في رسالة مؤرخة </w:t>
      </w:r>
      <w:r w:rsidRPr="00737919">
        <w:rPr>
          <w:rFonts w:eastAsiaTheme="minorEastAsia"/>
          <w:rtl/>
        </w:rPr>
        <w:t>23</w:t>
      </w:r>
      <w:r w:rsidRPr="001E69EC">
        <w:rPr>
          <w:rFonts w:eastAsiaTheme="minorEastAsia"/>
          <w:rtl/>
        </w:rPr>
        <w:t xml:space="preserve"> حزيران/</w:t>
      </w:r>
      <w:r>
        <w:rPr>
          <w:rFonts w:eastAsiaTheme="minorEastAsia" w:hint="cs"/>
          <w:rtl/>
        </w:rPr>
        <w:t xml:space="preserve"> </w:t>
      </w:r>
      <w:r w:rsidRPr="001E69EC">
        <w:rPr>
          <w:rFonts w:eastAsiaTheme="minorEastAsia"/>
          <w:rtl/>
        </w:rPr>
        <w:t xml:space="preserve">يونيه </w:t>
      </w:r>
      <w:r w:rsidRPr="00737919">
        <w:rPr>
          <w:rFonts w:eastAsiaTheme="minorEastAsia"/>
          <w:rtl/>
        </w:rPr>
        <w:t>2015</w:t>
      </w:r>
      <w:r w:rsidRPr="001E69EC">
        <w:rPr>
          <w:rFonts w:eastAsiaTheme="minorEastAsia"/>
          <w:rtl/>
        </w:rPr>
        <w:t xml:space="preserve"> من وزارة العدل بأن طلبه لم يزل معلقاً. وفي تلك الرسالة، أبلغ أيض</w:t>
      </w:r>
      <w:r w:rsidR="00A03399">
        <w:rPr>
          <w:rFonts w:eastAsiaTheme="minorEastAsia"/>
          <w:rtl/>
        </w:rPr>
        <w:t xml:space="preserve">اً </w:t>
      </w:r>
      <w:r w:rsidRPr="001E69EC">
        <w:rPr>
          <w:rFonts w:eastAsiaTheme="minorEastAsia"/>
          <w:rtl/>
        </w:rPr>
        <w:t xml:space="preserve">بأنه نظراً لإجراء انتخابات عامة في </w:t>
      </w:r>
      <w:r w:rsidRPr="00737919">
        <w:rPr>
          <w:rFonts w:eastAsiaTheme="minorEastAsia"/>
          <w:rtl/>
        </w:rPr>
        <w:t>18</w:t>
      </w:r>
      <w:r w:rsidRPr="001E69EC">
        <w:rPr>
          <w:rFonts w:eastAsiaTheme="minorEastAsia"/>
          <w:rtl/>
        </w:rPr>
        <w:t xml:space="preserve"> حزيران/يونيه </w:t>
      </w:r>
      <w:r w:rsidRPr="00737919">
        <w:rPr>
          <w:rFonts w:eastAsiaTheme="minorEastAsia"/>
          <w:rtl/>
        </w:rPr>
        <w:t>2015</w:t>
      </w:r>
      <w:r w:rsidRPr="001E69EC">
        <w:rPr>
          <w:rFonts w:eastAsiaTheme="minorEastAsia"/>
          <w:rtl/>
        </w:rPr>
        <w:t xml:space="preserve">، فقد تُسن قواعد جديدة فيما يتعلق بطلبات الحصول على الجنسية عن طريق التجنس. ويشير صاحب البلاغ إلى أن لوائح جديدة اعتُمدت بالفعل في </w:t>
      </w:r>
      <w:r w:rsidRPr="00737919">
        <w:rPr>
          <w:rFonts w:eastAsiaTheme="minorEastAsia"/>
          <w:rtl/>
        </w:rPr>
        <w:t>5</w:t>
      </w:r>
      <w:r w:rsidRPr="001E69EC">
        <w:rPr>
          <w:rFonts w:eastAsiaTheme="minorEastAsia"/>
          <w:rtl/>
        </w:rPr>
        <w:t xml:space="preserve"> تشرين الأول/أكتوبر </w:t>
      </w:r>
      <w:r w:rsidRPr="00737919">
        <w:rPr>
          <w:rFonts w:eastAsiaTheme="minorEastAsia"/>
          <w:rtl/>
        </w:rPr>
        <w:t>2016</w:t>
      </w:r>
      <w:r w:rsidRPr="001E69EC">
        <w:rPr>
          <w:rFonts w:eastAsiaTheme="minorEastAsia"/>
          <w:rtl/>
        </w:rPr>
        <w:t xml:space="preserve"> من خلال التعميم رقم </w:t>
      </w:r>
      <w:r w:rsidRPr="00737919">
        <w:rPr>
          <w:rFonts w:eastAsiaTheme="minorEastAsia"/>
          <w:rtl/>
        </w:rPr>
        <w:t>10873</w:t>
      </w:r>
      <w:r w:rsidRPr="001E69EC">
        <w:rPr>
          <w:rFonts w:eastAsiaTheme="minorEastAsia"/>
          <w:rtl/>
        </w:rPr>
        <w:t xml:space="preserve"> المتعلق بالتجنس والمؤرخ </w:t>
      </w:r>
      <w:r w:rsidRPr="00737919">
        <w:rPr>
          <w:rFonts w:eastAsiaTheme="minorEastAsia"/>
          <w:rtl/>
        </w:rPr>
        <w:t>13</w:t>
      </w:r>
      <w:r w:rsidRPr="001E69EC">
        <w:rPr>
          <w:rFonts w:eastAsiaTheme="minorEastAsia"/>
          <w:rtl/>
        </w:rPr>
        <w:t xml:space="preserve"> تشرين الأول/</w:t>
      </w:r>
      <w:r>
        <w:rPr>
          <w:rFonts w:eastAsiaTheme="minorEastAsia" w:hint="cs"/>
          <w:rtl/>
        </w:rPr>
        <w:t xml:space="preserve">     </w:t>
      </w:r>
      <w:r w:rsidRPr="001E69EC">
        <w:rPr>
          <w:rFonts w:eastAsiaTheme="minorEastAsia"/>
          <w:rtl/>
        </w:rPr>
        <w:t xml:space="preserve">أكتوبر </w:t>
      </w:r>
      <w:r w:rsidRPr="00737919">
        <w:rPr>
          <w:rFonts w:eastAsiaTheme="minorEastAsia"/>
          <w:rtl/>
        </w:rPr>
        <w:t>2015</w:t>
      </w:r>
      <w:r w:rsidRPr="001E69EC">
        <w:rPr>
          <w:rFonts w:eastAsiaTheme="minorEastAsia"/>
          <w:rtl/>
        </w:rPr>
        <w:t xml:space="preserve">. ويدعي أن اللوائح الجديدة دخلت حيز النفاذ وطُبقت بأثر رجعي على أي طلبات لم تكن قد بُتَّ فيها بعد، بما في ذلك طلبه. </w:t>
      </w:r>
      <w:bookmarkStart w:id="1" w:name="_Hlk121145752"/>
      <w:bookmarkEnd w:id="1"/>
    </w:p>
    <w:p w14:paraId="160058EE" w14:textId="03FE16A5" w:rsidR="001E69EC" w:rsidRPr="001E69EC" w:rsidRDefault="001E69EC" w:rsidP="001E69EC">
      <w:pPr>
        <w:pStyle w:val="SingleTxtGA"/>
        <w:rPr>
          <w:rFonts w:eastAsiaTheme="minorEastAsia"/>
          <w:lang w:val="ar-SA" w:eastAsia="zh-TW" w:bidi="en-GB"/>
        </w:rPr>
      </w:pPr>
      <w:r w:rsidRPr="00737919">
        <w:rPr>
          <w:rFonts w:eastAsiaTheme="minorEastAsia"/>
          <w:rtl/>
        </w:rPr>
        <w:t>2</w:t>
      </w:r>
      <w:r w:rsidRPr="001E69EC">
        <w:rPr>
          <w:rFonts w:eastAsiaTheme="minorEastAsia"/>
          <w:rtl/>
        </w:rPr>
        <w:t>-</w:t>
      </w:r>
      <w:r w:rsidRPr="00737919">
        <w:rPr>
          <w:rFonts w:eastAsiaTheme="minorEastAsia"/>
          <w:rtl/>
        </w:rPr>
        <w:t>4</w:t>
      </w:r>
      <w:r w:rsidRPr="001E69EC">
        <w:rPr>
          <w:rFonts w:eastAsiaTheme="minorEastAsia"/>
          <w:rtl/>
        </w:rPr>
        <w:tab/>
        <w:t xml:space="preserve">وفي </w:t>
      </w:r>
      <w:r w:rsidRPr="00737919">
        <w:rPr>
          <w:rFonts w:eastAsiaTheme="minorEastAsia"/>
          <w:rtl/>
        </w:rPr>
        <w:t>27</w:t>
      </w:r>
      <w:r w:rsidRPr="001E69EC">
        <w:rPr>
          <w:rFonts w:eastAsiaTheme="minorEastAsia"/>
          <w:rtl/>
        </w:rPr>
        <w:t xml:space="preserve"> تشرين الأول/أكتوبر </w:t>
      </w:r>
      <w:r w:rsidRPr="00737919">
        <w:rPr>
          <w:rFonts w:eastAsiaTheme="minorEastAsia"/>
          <w:rtl/>
        </w:rPr>
        <w:t>2015</w:t>
      </w:r>
      <w:r w:rsidRPr="001E69EC">
        <w:rPr>
          <w:rFonts w:eastAsiaTheme="minorEastAsia"/>
          <w:rtl/>
        </w:rPr>
        <w:t>، أبلغت وزارة الهجرة والإدماج والإسكان صاحب البلاغ برفض طلبه الحصول على الجنسية الدانمركية. وأُبلغ بأنه لم يستوف شرط الكفاءة اللغوية</w:t>
      </w:r>
      <w:r>
        <w:rPr>
          <w:rFonts w:eastAsiaTheme="minorEastAsia"/>
          <w:rtl/>
        </w:rPr>
        <w:t xml:space="preserve"> </w:t>
      </w:r>
      <w:r w:rsidRPr="001E69EC">
        <w:rPr>
          <w:rFonts w:eastAsiaTheme="minorEastAsia"/>
          <w:rtl/>
        </w:rPr>
        <w:t xml:space="preserve">وشرط تقديم دليل على اجتيازه اختبار المواطنة على النحو المنصوص عليه في المادة </w:t>
      </w:r>
      <w:r w:rsidRPr="00737919">
        <w:rPr>
          <w:rFonts w:eastAsiaTheme="minorEastAsia"/>
          <w:rtl/>
        </w:rPr>
        <w:t>24</w:t>
      </w:r>
      <w:r w:rsidRPr="001E69EC">
        <w:rPr>
          <w:rFonts w:eastAsiaTheme="minorEastAsia"/>
          <w:rtl/>
        </w:rPr>
        <w:t>(</w:t>
      </w:r>
      <w:r w:rsidRPr="00737919">
        <w:rPr>
          <w:rFonts w:eastAsiaTheme="minorEastAsia"/>
          <w:rtl/>
        </w:rPr>
        <w:t>1</w:t>
      </w:r>
      <w:r w:rsidRPr="001E69EC">
        <w:rPr>
          <w:rFonts w:eastAsiaTheme="minorEastAsia"/>
          <w:rtl/>
        </w:rPr>
        <w:t>)-(</w:t>
      </w:r>
      <w:r w:rsidRPr="00737919">
        <w:rPr>
          <w:rFonts w:eastAsiaTheme="minorEastAsia"/>
          <w:rtl/>
        </w:rPr>
        <w:t>2</w:t>
      </w:r>
      <w:r w:rsidRPr="001E69EC">
        <w:rPr>
          <w:rFonts w:eastAsiaTheme="minorEastAsia"/>
          <w:rtl/>
        </w:rPr>
        <w:t>) من التعميم رقم</w:t>
      </w:r>
      <w:r>
        <w:rPr>
          <w:rFonts w:eastAsiaTheme="minorEastAsia" w:hint="cs"/>
          <w:rtl/>
        </w:rPr>
        <w:t> </w:t>
      </w:r>
      <w:r w:rsidRPr="00737919">
        <w:rPr>
          <w:rFonts w:eastAsiaTheme="minorEastAsia"/>
          <w:rtl/>
        </w:rPr>
        <w:t>9253</w:t>
      </w:r>
      <w:r w:rsidRPr="001E69EC">
        <w:rPr>
          <w:rFonts w:eastAsiaTheme="minorEastAsia"/>
          <w:rtl/>
        </w:rPr>
        <w:t>. وأُبلغ أيض</w:t>
      </w:r>
      <w:r w:rsidR="00A03399">
        <w:rPr>
          <w:rFonts w:eastAsiaTheme="minorEastAsia"/>
          <w:rtl/>
        </w:rPr>
        <w:t xml:space="preserve">اً </w:t>
      </w:r>
      <w:r w:rsidRPr="001E69EC">
        <w:rPr>
          <w:rFonts w:eastAsiaTheme="minorEastAsia"/>
          <w:rtl/>
        </w:rPr>
        <w:t xml:space="preserve">بأنه نظراً لحالته الصحية، فقد عُرضت قضيته على اللجنة البرلمانية المعنية بالتجنيس، وطُلب إليها أن تقرر ما إذا كان يمكن منح إعفاء من شرط تقديم دليل على الكفاءة اللغوية واجتياز اختبار المواطنة. وأُبلغ في الرسالة بأن لجنة التجنيس عقدت اجتماعاً في </w:t>
      </w:r>
      <w:r w:rsidRPr="00737919">
        <w:rPr>
          <w:rFonts w:eastAsiaTheme="minorEastAsia"/>
          <w:rtl/>
        </w:rPr>
        <w:t>20</w:t>
      </w:r>
      <w:r w:rsidRPr="001E69EC">
        <w:rPr>
          <w:rFonts w:eastAsiaTheme="minorEastAsia"/>
          <w:rtl/>
        </w:rPr>
        <w:t xml:space="preserve"> آب/أغسطس </w:t>
      </w:r>
      <w:r w:rsidRPr="00737919">
        <w:rPr>
          <w:rFonts w:eastAsiaTheme="minorEastAsia"/>
          <w:rtl/>
        </w:rPr>
        <w:t>2015</w:t>
      </w:r>
      <w:r w:rsidRPr="001E69EC">
        <w:rPr>
          <w:rFonts w:eastAsiaTheme="minorEastAsia"/>
          <w:rtl/>
        </w:rPr>
        <w:t xml:space="preserve"> وقدَّرت أنه لا يمكن، في حالة صاحب البلاغ، منح إعفاء من شرط تقديم دليل على مهارات الكفاءة اللغوية</w:t>
      </w:r>
      <w:r>
        <w:rPr>
          <w:rFonts w:eastAsiaTheme="minorEastAsia"/>
          <w:rtl/>
        </w:rPr>
        <w:t xml:space="preserve"> </w:t>
      </w:r>
      <w:r w:rsidRPr="001E69EC">
        <w:rPr>
          <w:rFonts w:eastAsiaTheme="minorEastAsia"/>
          <w:rtl/>
        </w:rPr>
        <w:t xml:space="preserve">واجتياز اختبار المواطنة وفقاً للتعميم. وأُبلغ كذلك بأن قرارات لجنة التجنيس لا تخضع لأحكام قانون الإدارة العامة المتعلق بتعليل القرارات، وأن الوزارة لا تستطيع تقديم أي تفاصيل عن نظر لجنة التجنيس </w:t>
      </w:r>
      <w:r w:rsidRPr="001E69EC">
        <w:rPr>
          <w:rFonts w:eastAsiaTheme="minorEastAsia"/>
          <w:rtl/>
        </w:rPr>
        <w:lastRenderedPageBreak/>
        <w:t>في قضيته نظراً لسرية إجراءات اللجنة. وأُبلغ أيض</w:t>
      </w:r>
      <w:r w:rsidR="00A03399">
        <w:rPr>
          <w:rFonts w:eastAsiaTheme="minorEastAsia"/>
          <w:rtl/>
        </w:rPr>
        <w:t xml:space="preserve">اً </w:t>
      </w:r>
      <w:r w:rsidRPr="001E69EC">
        <w:rPr>
          <w:rFonts w:eastAsiaTheme="minorEastAsia"/>
          <w:rtl/>
        </w:rPr>
        <w:t xml:space="preserve">بأن القرارات التي تتخذها لجنة التجنيس </w:t>
      </w:r>
      <w:r>
        <w:rPr>
          <w:rFonts w:eastAsiaTheme="minorEastAsia" w:hint="cs"/>
          <w:rtl/>
        </w:rPr>
        <w:t>"</w:t>
      </w:r>
      <w:r w:rsidRPr="001E69EC">
        <w:rPr>
          <w:rFonts w:eastAsiaTheme="minorEastAsia"/>
          <w:rtl/>
        </w:rPr>
        <w:t>ليست قابلة للاستئناف أمام أي سلطة أخرى</w:t>
      </w:r>
      <w:r>
        <w:rPr>
          <w:rFonts w:eastAsiaTheme="minorEastAsia" w:hint="cs"/>
          <w:rtl/>
        </w:rPr>
        <w:t>"</w:t>
      </w:r>
      <w:r w:rsidRPr="001E69EC">
        <w:rPr>
          <w:rFonts w:eastAsiaTheme="minorEastAsia"/>
          <w:rtl/>
        </w:rPr>
        <w:t>. ومن ثم فهو يدعي أنه لم تتح له سبل انتصاف فعالة للطعن في رفض طلبه الحص</w:t>
      </w:r>
      <w:r w:rsidR="00473537">
        <w:rPr>
          <w:rFonts w:eastAsiaTheme="minorEastAsia" w:hint="cs"/>
          <w:rtl/>
        </w:rPr>
        <w:t>و</w:t>
      </w:r>
      <w:r w:rsidRPr="001E69EC">
        <w:rPr>
          <w:rFonts w:eastAsiaTheme="minorEastAsia"/>
          <w:rtl/>
        </w:rPr>
        <w:t>ل على الجن</w:t>
      </w:r>
      <w:r w:rsidR="00473537">
        <w:rPr>
          <w:rFonts w:eastAsiaTheme="minorEastAsia" w:hint="cs"/>
          <w:rtl/>
        </w:rPr>
        <w:t>س</w:t>
      </w:r>
      <w:r w:rsidRPr="001E69EC">
        <w:rPr>
          <w:rFonts w:eastAsiaTheme="minorEastAsia"/>
          <w:rtl/>
        </w:rPr>
        <w:t>ية.</w:t>
      </w:r>
      <w:bookmarkStart w:id="2" w:name="_Hlk121143297"/>
      <w:bookmarkStart w:id="3" w:name="_Hlk121143600"/>
      <w:bookmarkEnd w:id="2"/>
      <w:bookmarkEnd w:id="3"/>
    </w:p>
    <w:p w14:paraId="266059FC" w14:textId="77777777" w:rsidR="001E69EC" w:rsidRPr="00737919" w:rsidRDefault="001E69EC" w:rsidP="00A03399">
      <w:pPr>
        <w:pStyle w:val="H23GA"/>
        <w:rPr>
          <w:lang w:val="en-US" w:eastAsia="zh-TW" w:bidi="en-GB"/>
        </w:rPr>
      </w:pPr>
      <w:r w:rsidRPr="00737919">
        <w:rPr>
          <w:rtl/>
        </w:rPr>
        <w:tab/>
      </w:r>
      <w:r w:rsidRPr="00737919">
        <w:rPr>
          <w:rtl/>
        </w:rPr>
        <w:tab/>
        <w:t>الشكوى</w:t>
      </w:r>
    </w:p>
    <w:p w14:paraId="5968E2E0" w14:textId="4B45AF38" w:rsidR="001E69EC" w:rsidRPr="001E69EC" w:rsidRDefault="001E69EC" w:rsidP="001E69EC">
      <w:pPr>
        <w:pStyle w:val="SingleTxtGA"/>
        <w:rPr>
          <w:rFonts w:eastAsiaTheme="minorEastAsia"/>
          <w:lang w:val="ar-SA" w:eastAsia="zh-TW" w:bidi="en-GB"/>
        </w:rPr>
      </w:pPr>
      <w:r w:rsidRPr="00737919">
        <w:rPr>
          <w:rFonts w:eastAsiaTheme="minorEastAsia"/>
          <w:rtl/>
        </w:rPr>
        <w:t>3</w:t>
      </w:r>
      <w:r w:rsidRPr="001E69EC">
        <w:rPr>
          <w:rFonts w:eastAsiaTheme="minorEastAsia"/>
          <w:rtl/>
        </w:rPr>
        <w:t>-</w:t>
      </w:r>
      <w:r w:rsidRPr="001E69EC">
        <w:rPr>
          <w:rFonts w:eastAsiaTheme="minorEastAsia"/>
          <w:rtl/>
        </w:rPr>
        <w:tab/>
        <w:t xml:space="preserve">يدعي صاحب البلاغ أن الحقوق المكفولة له بموجب المادة </w:t>
      </w:r>
      <w:r w:rsidRPr="00737919">
        <w:rPr>
          <w:rFonts w:eastAsiaTheme="minorEastAsia"/>
          <w:rtl/>
        </w:rPr>
        <w:t>26</w:t>
      </w:r>
      <w:r w:rsidRPr="001E69EC">
        <w:rPr>
          <w:rFonts w:eastAsiaTheme="minorEastAsia"/>
          <w:rtl/>
        </w:rPr>
        <w:t>، مقروءة بالاقتران مع المادة</w:t>
      </w:r>
      <w:r w:rsidR="00A24026">
        <w:rPr>
          <w:rFonts w:eastAsiaTheme="minorEastAsia" w:hint="cs"/>
          <w:rtl/>
        </w:rPr>
        <w:t> </w:t>
      </w:r>
      <w:r w:rsidRPr="00737919">
        <w:rPr>
          <w:rFonts w:eastAsiaTheme="minorEastAsia"/>
          <w:rtl/>
        </w:rPr>
        <w:t>2</w:t>
      </w:r>
      <w:r w:rsidRPr="001E69EC">
        <w:rPr>
          <w:rFonts w:eastAsiaTheme="minorEastAsia"/>
          <w:rtl/>
        </w:rPr>
        <w:t>(</w:t>
      </w:r>
      <w:r w:rsidRPr="00737919">
        <w:rPr>
          <w:rFonts w:eastAsiaTheme="minorEastAsia"/>
          <w:rtl/>
        </w:rPr>
        <w:t>1</w:t>
      </w:r>
      <w:r w:rsidRPr="001E69EC">
        <w:rPr>
          <w:rFonts w:eastAsiaTheme="minorEastAsia"/>
          <w:rtl/>
        </w:rPr>
        <w:t>)، من العهد قد انتُهكت برفض سلطات الدولة الطرف منحه إعفاء من شرط الكفاءة اللغوية</w:t>
      </w:r>
      <w:r>
        <w:rPr>
          <w:rFonts w:eastAsiaTheme="minorEastAsia"/>
          <w:rtl/>
        </w:rPr>
        <w:t xml:space="preserve"> </w:t>
      </w:r>
      <w:r w:rsidRPr="001E69EC">
        <w:rPr>
          <w:rFonts w:eastAsiaTheme="minorEastAsia"/>
          <w:rtl/>
        </w:rPr>
        <w:t>ورفض طلبه للحصول على الجنسية لاحقاً. وهو يدعي أن هذا الرفض مثَّل تمييزاً استناداً إلى حالة الإعاقة التي يعاني منها. ويشير إلى أنه قدم أدلة واضحة على تشخيصه الطبي الذي يمنعه من بلوغ المستوى ال</w:t>
      </w:r>
      <w:r w:rsidR="00F07D92">
        <w:rPr>
          <w:rFonts w:eastAsiaTheme="minorEastAsia" w:hint="cs"/>
          <w:rtl/>
        </w:rPr>
        <w:t>م</w:t>
      </w:r>
      <w:r w:rsidRPr="001E69EC">
        <w:rPr>
          <w:rFonts w:eastAsiaTheme="minorEastAsia"/>
          <w:rtl/>
        </w:rPr>
        <w:t>طلوب في تعلم اللغة الدانمركية، ويرى بناءً على ذلك أن قرار رفض طلب التجنس الذي قدمه هو قرار تعسفي وتمييزي. ويدفع بأن اللوائح المحلية غير متناسبة ولا تسعى إلى تحقيق هدف مشروع. ويشير صاحب البلاغ إلى الاجتهاد القانوني للجنة في قضية</w:t>
      </w:r>
      <w:r w:rsidRPr="00737919">
        <w:rPr>
          <w:rFonts w:eastAsiaTheme="minorEastAsia"/>
          <w:i/>
          <w:iCs/>
          <w:rtl/>
        </w:rPr>
        <w:t xml:space="preserve"> ك. ضد الدانمرك</w:t>
      </w:r>
      <w:r>
        <w:rPr>
          <w:rFonts w:eastAsiaTheme="minorEastAsia"/>
          <w:vertAlign w:val="superscript"/>
          <w:rtl/>
        </w:rPr>
        <w:t>(</w:t>
      </w:r>
      <w:r w:rsidRPr="00737919">
        <w:rPr>
          <w:rStyle w:val="FootnoteReference"/>
          <w:rFonts w:eastAsiaTheme="minorEastAsia"/>
          <w:sz w:val="22"/>
          <w:lang w:val="en-US"/>
        </w:rPr>
        <w:footnoteReference w:id="5"/>
      </w:r>
      <w:r w:rsidRPr="001B491C">
        <w:rPr>
          <w:rStyle w:val="FootnoteReference"/>
          <w:rFonts w:eastAsiaTheme="minorEastAsia"/>
          <w:sz w:val="22"/>
          <w:rtl/>
        </w:rPr>
        <w:t>)</w:t>
      </w:r>
      <w:r w:rsidRPr="001E69EC">
        <w:rPr>
          <w:rFonts w:eastAsiaTheme="minorEastAsia"/>
          <w:rtl/>
        </w:rPr>
        <w:t>، الذي خلصت فيه إلى</w:t>
      </w:r>
      <w:r w:rsidR="00A24026">
        <w:rPr>
          <w:rFonts w:eastAsiaTheme="minorEastAsia" w:hint="cs"/>
          <w:rtl/>
        </w:rPr>
        <w:t> </w:t>
      </w:r>
      <w:r w:rsidRPr="001E69EC">
        <w:rPr>
          <w:rFonts w:eastAsiaTheme="minorEastAsia"/>
          <w:rtl/>
        </w:rPr>
        <w:t xml:space="preserve">حدوث انتهاك للمادة </w:t>
      </w:r>
      <w:r w:rsidRPr="00737919">
        <w:rPr>
          <w:rFonts w:eastAsiaTheme="minorEastAsia"/>
          <w:rtl/>
        </w:rPr>
        <w:t>26</w:t>
      </w:r>
      <w:r w:rsidRPr="001E69EC">
        <w:rPr>
          <w:rFonts w:eastAsiaTheme="minorEastAsia"/>
          <w:rtl/>
        </w:rPr>
        <w:t xml:space="preserve"> من العهد في قضية يدفع صاحب البلاغ بتشابهها مع هذه القضية من حيث</w:t>
      </w:r>
      <w:r w:rsidR="00A24026">
        <w:rPr>
          <w:rFonts w:eastAsiaTheme="minorEastAsia" w:hint="cs"/>
          <w:rtl/>
        </w:rPr>
        <w:t> </w:t>
      </w:r>
      <w:r w:rsidRPr="001E69EC">
        <w:rPr>
          <w:rFonts w:eastAsiaTheme="minorEastAsia"/>
          <w:rtl/>
        </w:rPr>
        <w:t>الوقائع.</w:t>
      </w:r>
    </w:p>
    <w:p w14:paraId="27D48C69" w14:textId="77777777" w:rsidR="001E69EC" w:rsidRPr="00737919" w:rsidRDefault="001E69EC" w:rsidP="00A24026">
      <w:pPr>
        <w:pStyle w:val="H23GA"/>
        <w:rPr>
          <w:lang w:val="ar-SA" w:eastAsia="zh-TW" w:bidi="en-GB"/>
        </w:rPr>
      </w:pPr>
      <w:r w:rsidRPr="00737919">
        <w:rPr>
          <w:rtl/>
        </w:rPr>
        <w:tab/>
      </w:r>
      <w:r w:rsidRPr="00737919">
        <w:rPr>
          <w:rtl/>
        </w:rPr>
        <w:tab/>
        <w:t>ملاحظات الدولة الطرف بشأن مقبولية البلاغ وأسسه الموضوعية</w:t>
      </w:r>
    </w:p>
    <w:p w14:paraId="201B543D" w14:textId="77777777" w:rsidR="001E69EC" w:rsidRPr="00737919" w:rsidRDefault="001E69EC" w:rsidP="001E69EC">
      <w:pPr>
        <w:pStyle w:val="SingleTxtGA"/>
        <w:rPr>
          <w:rFonts w:eastAsiaTheme="minorEastAsia"/>
          <w:bCs/>
          <w:lang w:val="ar-SA" w:eastAsia="zh-TW" w:bidi="en-GB"/>
        </w:rPr>
      </w:pPr>
      <w:r w:rsidRPr="00737919">
        <w:rPr>
          <w:rFonts w:eastAsiaTheme="minorEastAsia"/>
          <w:rtl/>
        </w:rPr>
        <w:t>4</w:t>
      </w:r>
      <w:r w:rsidRPr="001E69EC">
        <w:rPr>
          <w:rFonts w:eastAsiaTheme="minorEastAsia"/>
          <w:rtl/>
        </w:rPr>
        <w:t>-</w:t>
      </w:r>
      <w:r w:rsidRPr="00737919">
        <w:rPr>
          <w:rFonts w:eastAsiaTheme="minorEastAsia"/>
          <w:rtl/>
        </w:rPr>
        <w:t>1</w:t>
      </w:r>
      <w:r w:rsidRPr="001E69EC">
        <w:rPr>
          <w:rFonts w:eastAsiaTheme="minorEastAsia"/>
          <w:rtl/>
        </w:rPr>
        <w:tab/>
        <w:t xml:space="preserve">في </w:t>
      </w:r>
      <w:r w:rsidRPr="00737919">
        <w:rPr>
          <w:rFonts w:eastAsiaTheme="minorEastAsia"/>
          <w:rtl/>
        </w:rPr>
        <w:t>23</w:t>
      </w:r>
      <w:r w:rsidRPr="001E69EC">
        <w:rPr>
          <w:rFonts w:eastAsiaTheme="minorEastAsia"/>
          <w:rtl/>
        </w:rPr>
        <w:t xml:space="preserve"> أيار/مايو </w:t>
      </w:r>
      <w:r w:rsidRPr="00737919">
        <w:rPr>
          <w:rFonts w:eastAsiaTheme="minorEastAsia"/>
          <w:rtl/>
        </w:rPr>
        <w:t>2016</w:t>
      </w:r>
      <w:r w:rsidRPr="001E69EC">
        <w:rPr>
          <w:rFonts w:eastAsiaTheme="minorEastAsia"/>
          <w:rtl/>
        </w:rPr>
        <w:t xml:space="preserve">، أبدت الدولة الطرف ملاحظاتها بشأن مقبولية البلاغ وأسسه الموضوعية. وتدفع بأنه ينبغي اعتبار البلاغ غير مقبول لعدم استنفاد سبل الانتصاف المحلية بموجب المادة </w:t>
      </w:r>
      <w:r w:rsidRPr="00737919">
        <w:rPr>
          <w:rFonts w:eastAsiaTheme="minorEastAsia"/>
          <w:rtl/>
        </w:rPr>
        <w:t>5</w:t>
      </w:r>
      <w:r w:rsidRPr="001E69EC">
        <w:rPr>
          <w:rFonts w:eastAsiaTheme="minorEastAsia"/>
          <w:rtl/>
        </w:rPr>
        <w:t>(</w:t>
      </w:r>
      <w:r w:rsidRPr="00737919">
        <w:rPr>
          <w:rFonts w:eastAsiaTheme="minorEastAsia"/>
          <w:rtl/>
        </w:rPr>
        <w:t>2</w:t>
      </w:r>
      <w:r w:rsidRPr="001E69EC">
        <w:rPr>
          <w:rFonts w:eastAsiaTheme="minorEastAsia"/>
          <w:rtl/>
        </w:rPr>
        <w:t xml:space="preserve">)(ب) من البروتوكول الاختياري واعتباره ظاهر البطلان بموجب المادة </w:t>
      </w:r>
      <w:r w:rsidRPr="00737919">
        <w:rPr>
          <w:rFonts w:eastAsiaTheme="minorEastAsia"/>
          <w:rtl/>
        </w:rPr>
        <w:t>2</w:t>
      </w:r>
      <w:r w:rsidRPr="001E69EC">
        <w:rPr>
          <w:rFonts w:eastAsiaTheme="minorEastAsia"/>
          <w:rtl/>
        </w:rPr>
        <w:t xml:space="preserve"> من البروتوكول الاختياري. في المقابل، تدفع الدولة الطرف بأن البلاغ ليس له أي أساس موضوعي.</w:t>
      </w:r>
    </w:p>
    <w:p w14:paraId="537B758F" w14:textId="3DE0C32D" w:rsidR="001E69EC" w:rsidRPr="00737919" w:rsidRDefault="001E69EC" w:rsidP="001E69EC">
      <w:pPr>
        <w:pStyle w:val="SingleTxtGA"/>
        <w:rPr>
          <w:rFonts w:eastAsiaTheme="minorEastAsia"/>
          <w:bCs/>
          <w:lang w:val="ar-SA" w:eastAsia="zh-TW" w:bidi="en-GB"/>
        </w:rPr>
      </w:pPr>
      <w:r w:rsidRPr="00737919">
        <w:rPr>
          <w:rFonts w:eastAsiaTheme="minorEastAsia"/>
          <w:rtl/>
        </w:rPr>
        <w:t>4</w:t>
      </w:r>
      <w:r w:rsidRPr="001E69EC">
        <w:rPr>
          <w:rFonts w:eastAsiaTheme="minorEastAsia"/>
          <w:rtl/>
        </w:rPr>
        <w:t>-</w:t>
      </w:r>
      <w:r w:rsidRPr="00737919">
        <w:rPr>
          <w:rFonts w:eastAsiaTheme="minorEastAsia"/>
          <w:rtl/>
        </w:rPr>
        <w:t>2</w:t>
      </w:r>
      <w:r w:rsidRPr="001E69EC">
        <w:rPr>
          <w:rFonts w:eastAsiaTheme="minorEastAsia"/>
          <w:rtl/>
        </w:rPr>
        <w:tab/>
        <w:t xml:space="preserve">وتوضح الدولة الطرف أن صاحب البلاغ دخل الدانمرك في </w:t>
      </w:r>
      <w:r w:rsidRPr="00737919">
        <w:rPr>
          <w:rFonts w:eastAsiaTheme="minorEastAsia"/>
          <w:rtl/>
        </w:rPr>
        <w:t>31</w:t>
      </w:r>
      <w:r w:rsidRPr="001E69EC">
        <w:rPr>
          <w:rFonts w:eastAsiaTheme="minorEastAsia"/>
          <w:rtl/>
        </w:rPr>
        <w:t xml:space="preserve"> كانون الثاني/يناير </w:t>
      </w:r>
      <w:r w:rsidRPr="00737919">
        <w:rPr>
          <w:rFonts w:eastAsiaTheme="minorEastAsia"/>
          <w:rtl/>
        </w:rPr>
        <w:t>1992</w:t>
      </w:r>
      <w:r w:rsidRPr="001E69EC">
        <w:rPr>
          <w:rFonts w:eastAsiaTheme="minorEastAsia"/>
          <w:rtl/>
        </w:rPr>
        <w:t xml:space="preserve"> بعد أن مُنح تصريح إقامة لدواعي لمِّ الشمل. وفي </w:t>
      </w:r>
      <w:r w:rsidRPr="00737919">
        <w:rPr>
          <w:rFonts w:eastAsiaTheme="minorEastAsia"/>
          <w:rtl/>
        </w:rPr>
        <w:t>6</w:t>
      </w:r>
      <w:r w:rsidRPr="001E69EC">
        <w:rPr>
          <w:rFonts w:eastAsiaTheme="minorEastAsia"/>
          <w:rtl/>
        </w:rPr>
        <w:t xml:space="preserve"> أيار/مايو </w:t>
      </w:r>
      <w:r w:rsidRPr="00737919">
        <w:rPr>
          <w:rFonts w:eastAsiaTheme="minorEastAsia"/>
          <w:rtl/>
        </w:rPr>
        <w:t>1998</w:t>
      </w:r>
      <w:r w:rsidRPr="001E69EC">
        <w:rPr>
          <w:rFonts w:eastAsiaTheme="minorEastAsia"/>
          <w:rtl/>
        </w:rPr>
        <w:t xml:space="preserve">، قدم صاحب البلاغ طلباً للحصول على اللجوء. ومُنح اللجوء في </w:t>
      </w:r>
      <w:r w:rsidRPr="00737919">
        <w:rPr>
          <w:rFonts w:eastAsiaTheme="minorEastAsia"/>
          <w:rtl/>
        </w:rPr>
        <w:t>6</w:t>
      </w:r>
      <w:r w:rsidRPr="001E69EC">
        <w:rPr>
          <w:rFonts w:eastAsiaTheme="minorEastAsia"/>
          <w:rtl/>
        </w:rPr>
        <w:t xml:space="preserve"> كانون الثاني/يناير </w:t>
      </w:r>
      <w:r w:rsidRPr="00737919">
        <w:rPr>
          <w:rFonts w:eastAsiaTheme="minorEastAsia"/>
          <w:rtl/>
        </w:rPr>
        <w:t>1999</w:t>
      </w:r>
      <w:r w:rsidRPr="001E69EC">
        <w:rPr>
          <w:rFonts w:eastAsiaTheme="minorEastAsia"/>
          <w:rtl/>
        </w:rPr>
        <w:t xml:space="preserve">. وفي </w:t>
      </w:r>
      <w:r w:rsidRPr="00737919">
        <w:rPr>
          <w:rFonts w:eastAsiaTheme="minorEastAsia"/>
          <w:rtl/>
        </w:rPr>
        <w:t>8</w:t>
      </w:r>
      <w:r w:rsidRPr="001E69EC">
        <w:rPr>
          <w:rFonts w:eastAsiaTheme="minorEastAsia"/>
          <w:rtl/>
        </w:rPr>
        <w:t xml:space="preserve"> شباط/فبراير </w:t>
      </w:r>
      <w:r w:rsidRPr="00737919">
        <w:rPr>
          <w:rFonts w:eastAsiaTheme="minorEastAsia"/>
          <w:rtl/>
        </w:rPr>
        <w:t>2002</w:t>
      </w:r>
      <w:r w:rsidRPr="001E69EC">
        <w:rPr>
          <w:rFonts w:eastAsiaTheme="minorEastAsia"/>
          <w:rtl/>
        </w:rPr>
        <w:t>، أصبح تصريح إقامته</w:t>
      </w:r>
      <w:r w:rsidR="00960D21">
        <w:rPr>
          <w:rFonts w:eastAsiaTheme="minorEastAsia" w:hint="cs"/>
          <w:rtl/>
        </w:rPr>
        <w:t> </w:t>
      </w:r>
      <w:r w:rsidRPr="001E69EC">
        <w:rPr>
          <w:rFonts w:eastAsiaTheme="minorEastAsia"/>
          <w:rtl/>
        </w:rPr>
        <w:t xml:space="preserve">دائماً. </w:t>
      </w:r>
    </w:p>
    <w:p w14:paraId="219D5196" w14:textId="497EF268" w:rsidR="001E69EC" w:rsidRPr="00737919" w:rsidRDefault="001E69EC" w:rsidP="001E69EC">
      <w:pPr>
        <w:pStyle w:val="SingleTxtGA"/>
        <w:rPr>
          <w:rFonts w:eastAsiaTheme="minorEastAsia"/>
          <w:bCs/>
          <w:lang w:val="ar-SA" w:eastAsia="zh-TW" w:bidi="en-GB"/>
        </w:rPr>
      </w:pPr>
      <w:r w:rsidRPr="00737919">
        <w:rPr>
          <w:rFonts w:eastAsiaTheme="minorEastAsia"/>
          <w:rtl/>
        </w:rPr>
        <w:t>4</w:t>
      </w:r>
      <w:r w:rsidRPr="001E69EC">
        <w:rPr>
          <w:rFonts w:eastAsiaTheme="minorEastAsia"/>
          <w:rtl/>
        </w:rPr>
        <w:t>-</w:t>
      </w:r>
      <w:r w:rsidRPr="00737919">
        <w:rPr>
          <w:rFonts w:eastAsiaTheme="minorEastAsia"/>
          <w:rtl/>
        </w:rPr>
        <w:t>3</w:t>
      </w:r>
      <w:r w:rsidRPr="001E69EC">
        <w:rPr>
          <w:rFonts w:eastAsiaTheme="minorEastAsia"/>
          <w:rtl/>
        </w:rPr>
        <w:tab/>
        <w:t xml:space="preserve">وفي </w:t>
      </w:r>
      <w:r w:rsidRPr="00737919">
        <w:rPr>
          <w:rFonts w:eastAsiaTheme="minorEastAsia"/>
          <w:rtl/>
        </w:rPr>
        <w:t>14</w:t>
      </w:r>
      <w:r w:rsidRPr="001E69EC">
        <w:rPr>
          <w:rFonts w:eastAsiaTheme="minorEastAsia"/>
          <w:rtl/>
        </w:rPr>
        <w:t xml:space="preserve"> كانون الأول/ديسمبر </w:t>
      </w:r>
      <w:r w:rsidRPr="00737919">
        <w:rPr>
          <w:rFonts w:eastAsiaTheme="minorEastAsia"/>
          <w:rtl/>
        </w:rPr>
        <w:t>2005</w:t>
      </w:r>
      <w:r w:rsidRPr="001E69EC">
        <w:rPr>
          <w:rFonts w:eastAsiaTheme="minorEastAsia"/>
          <w:rtl/>
        </w:rPr>
        <w:t xml:space="preserve">، قدم صاحب البلاغ طلباً إلى شرطة </w:t>
      </w:r>
      <w:proofErr w:type="spellStart"/>
      <w:r w:rsidRPr="001E69EC">
        <w:rPr>
          <w:rFonts w:eastAsiaTheme="minorEastAsia"/>
          <w:rtl/>
        </w:rPr>
        <w:t>يورينغ</w:t>
      </w:r>
      <w:proofErr w:type="spellEnd"/>
      <w:r w:rsidRPr="001E69EC">
        <w:rPr>
          <w:rFonts w:eastAsiaTheme="minorEastAsia"/>
          <w:rtl/>
        </w:rPr>
        <w:t xml:space="preserve"> للحصول على الجنسية الدانمركية عن طريق التجنس. وأرفق بالطلب إثباتاً لمستوى إجادته للغة الدانمركية وإقراراً</w:t>
      </w:r>
      <w:r w:rsidR="00A24026">
        <w:rPr>
          <w:rFonts w:eastAsiaTheme="minorEastAsia" w:hint="cs"/>
          <w:rtl/>
        </w:rPr>
        <w:t> </w:t>
      </w:r>
      <w:r w:rsidRPr="001E69EC">
        <w:rPr>
          <w:rFonts w:eastAsiaTheme="minorEastAsia"/>
          <w:rtl/>
        </w:rPr>
        <w:t>متعلقاً بالجرائم وأحكام الإدانة. ووفق</w:t>
      </w:r>
      <w:r w:rsidR="00A03399">
        <w:rPr>
          <w:rFonts w:eastAsiaTheme="minorEastAsia"/>
          <w:rtl/>
        </w:rPr>
        <w:t xml:space="preserve">اً </w:t>
      </w:r>
      <w:r w:rsidRPr="001E69EC">
        <w:rPr>
          <w:rFonts w:eastAsiaTheme="minorEastAsia"/>
          <w:rtl/>
        </w:rPr>
        <w:t xml:space="preserve">لتقرير أعدته شرطة </w:t>
      </w:r>
      <w:proofErr w:type="spellStart"/>
      <w:r w:rsidRPr="001E69EC">
        <w:rPr>
          <w:rFonts w:eastAsiaTheme="minorEastAsia"/>
          <w:rtl/>
        </w:rPr>
        <w:t>يورينغ</w:t>
      </w:r>
      <w:proofErr w:type="spellEnd"/>
      <w:r w:rsidRPr="001E69EC">
        <w:rPr>
          <w:rFonts w:eastAsiaTheme="minorEastAsia"/>
          <w:rtl/>
        </w:rPr>
        <w:t xml:space="preserve"> عن مقابلة معه، فقد كان صاحب البلاغ يتحدث اللغة الدانمركية ويفهمها ويقرأها. وفي </w:t>
      </w:r>
      <w:r w:rsidRPr="00737919">
        <w:rPr>
          <w:rFonts w:eastAsiaTheme="minorEastAsia"/>
          <w:rtl/>
        </w:rPr>
        <w:t>12</w:t>
      </w:r>
      <w:r w:rsidRPr="001E69EC">
        <w:rPr>
          <w:rFonts w:eastAsiaTheme="minorEastAsia"/>
          <w:rtl/>
        </w:rPr>
        <w:t xml:space="preserve"> تموز/يوليه </w:t>
      </w:r>
      <w:r w:rsidRPr="00737919">
        <w:rPr>
          <w:rFonts w:eastAsiaTheme="minorEastAsia"/>
          <w:rtl/>
        </w:rPr>
        <w:t>2007</w:t>
      </w:r>
      <w:r w:rsidRPr="001E69EC">
        <w:rPr>
          <w:rFonts w:eastAsiaTheme="minorEastAsia"/>
          <w:rtl/>
        </w:rPr>
        <w:t>، رفضت وزارة شؤون اللاجئين</w:t>
      </w:r>
      <w:r w:rsidR="00A24026">
        <w:rPr>
          <w:rFonts w:eastAsiaTheme="minorEastAsia" w:hint="cs"/>
          <w:rtl/>
        </w:rPr>
        <w:t> </w:t>
      </w:r>
      <w:r w:rsidRPr="001E69EC">
        <w:rPr>
          <w:rFonts w:eastAsiaTheme="minorEastAsia"/>
          <w:rtl/>
        </w:rPr>
        <w:t xml:space="preserve">والهجرة والإدماج طلب صاحب البلاغ استناداً إلى إدانته في </w:t>
      </w:r>
      <w:r w:rsidRPr="00737919">
        <w:rPr>
          <w:rFonts w:eastAsiaTheme="minorEastAsia"/>
          <w:rtl/>
        </w:rPr>
        <w:t>4</w:t>
      </w:r>
      <w:r w:rsidRPr="001E69EC">
        <w:rPr>
          <w:rFonts w:eastAsiaTheme="minorEastAsia"/>
          <w:rtl/>
        </w:rPr>
        <w:t xml:space="preserve"> شباط/فبراير </w:t>
      </w:r>
      <w:r w:rsidRPr="00737919">
        <w:rPr>
          <w:rFonts w:eastAsiaTheme="minorEastAsia"/>
          <w:rtl/>
        </w:rPr>
        <w:t>1998</w:t>
      </w:r>
      <w:r w:rsidRPr="001E69EC">
        <w:rPr>
          <w:rFonts w:eastAsiaTheme="minorEastAsia"/>
          <w:rtl/>
        </w:rPr>
        <w:t xml:space="preserve"> بانتهاك للقانون</w:t>
      </w:r>
      <w:r w:rsidR="00A03399">
        <w:rPr>
          <w:rFonts w:eastAsiaTheme="minorEastAsia" w:hint="cs"/>
          <w:rtl/>
        </w:rPr>
        <w:t> </w:t>
      </w:r>
      <w:r w:rsidRPr="001E69EC">
        <w:rPr>
          <w:rFonts w:eastAsiaTheme="minorEastAsia"/>
          <w:rtl/>
        </w:rPr>
        <w:t>الجنائي. وأُبلغ صاحب البلاغ بأنه، وفقاً للوائح التجنيس التي كانت سارية آنذاك، ستفرض فترة</w:t>
      </w:r>
      <w:r w:rsidR="00A24026">
        <w:rPr>
          <w:rFonts w:eastAsiaTheme="minorEastAsia" w:hint="cs"/>
          <w:rtl/>
        </w:rPr>
        <w:t> </w:t>
      </w:r>
      <w:r w:rsidRPr="001E69EC">
        <w:rPr>
          <w:rFonts w:eastAsiaTheme="minorEastAsia"/>
          <w:rtl/>
        </w:rPr>
        <w:t xml:space="preserve">انتظار مدتها </w:t>
      </w:r>
      <w:r w:rsidRPr="00737919">
        <w:rPr>
          <w:rFonts w:eastAsiaTheme="minorEastAsia"/>
          <w:rtl/>
        </w:rPr>
        <w:t>10</w:t>
      </w:r>
      <w:r w:rsidRPr="001E69EC">
        <w:rPr>
          <w:rFonts w:eastAsiaTheme="minorEastAsia"/>
          <w:rtl/>
        </w:rPr>
        <w:t xml:space="preserve"> سنوات بعد إدانته الجنائية، وأنه لا يمكنه بذلك إعادة تقديم طلب التجنس قبل تموز/يوليه </w:t>
      </w:r>
      <w:r w:rsidRPr="00737919">
        <w:rPr>
          <w:rFonts w:eastAsiaTheme="minorEastAsia"/>
          <w:rtl/>
        </w:rPr>
        <w:t>2009</w:t>
      </w:r>
      <w:r w:rsidRPr="001E69EC">
        <w:rPr>
          <w:rFonts w:eastAsiaTheme="minorEastAsia"/>
          <w:rtl/>
        </w:rPr>
        <w:t>.</w:t>
      </w:r>
    </w:p>
    <w:p w14:paraId="0D1EF507" w14:textId="46F506B6" w:rsidR="001E69EC" w:rsidRPr="00737919" w:rsidRDefault="001E69EC" w:rsidP="001E69EC">
      <w:pPr>
        <w:pStyle w:val="SingleTxtGA"/>
        <w:rPr>
          <w:rFonts w:eastAsiaTheme="minorEastAsia"/>
          <w:bCs/>
          <w:lang w:val="ar-SA" w:eastAsia="zh-TW" w:bidi="en-GB"/>
        </w:rPr>
      </w:pPr>
      <w:r w:rsidRPr="00737919">
        <w:rPr>
          <w:rFonts w:eastAsiaTheme="minorEastAsia"/>
          <w:rtl/>
        </w:rPr>
        <w:t>4</w:t>
      </w:r>
      <w:r w:rsidRPr="001E69EC">
        <w:rPr>
          <w:rFonts w:eastAsiaTheme="minorEastAsia"/>
          <w:rtl/>
        </w:rPr>
        <w:t>-</w:t>
      </w:r>
      <w:r w:rsidRPr="00737919">
        <w:rPr>
          <w:rFonts w:eastAsiaTheme="minorEastAsia"/>
          <w:rtl/>
        </w:rPr>
        <w:t>4</w:t>
      </w:r>
      <w:r w:rsidRPr="001E69EC">
        <w:rPr>
          <w:rFonts w:eastAsiaTheme="minorEastAsia"/>
          <w:rtl/>
        </w:rPr>
        <w:tab/>
        <w:t xml:space="preserve">وفي </w:t>
      </w:r>
      <w:r w:rsidRPr="00737919">
        <w:rPr>
          <w:rFonts w:eastAsiaTheme="minorEastAsia"/>
          <w:rtl/>
        </w:rPr>
        <w:t>26</w:t>
      </w:r>
      <w:r w:rsidRPr="001E69EC">
        <w:rPr>
          <w:rFonts w:eastAsiaTheme="minorEastAsia"/>
          <w:rtl/>
        </w:rPr>
        <w:t xml:space="preserve"> تشرين الثاني/نوفمبر </w:t>
      </w:r>
      <w:r w:rsidRPr="00737919">
        <w:rPr>
          <w:rFonts w:eastAsiaTheme="minorEastAsia"/>
          <w:rtl/>
        </w:rPr>
        <w:t>2013</w:t>
      </w:r>
      <w:r w:rsidRPr="001E69EC">
        <w:rPr>
          <w:rFonts w:eastAsiaTheme="minorEastAsia"/>
          <w:rtl/>
        </w:rPr>
        <w:t xml:space="preserve">، طلب صاحب البلاغ إعادة فتح طلب التجنس الذي قدمه. وقدم شهادة طبية صادرة في </w:t>
      </w:r>
      <w:r w:rsidRPr="00737919">
        <w:rPr>
          <w:rFonts w:eastAsiaTheme="minorEastAsia"/>
          <w:rtl/>
        </w:rPr>
        <w:t>4</w:t>
      </w:r>
      <w:r w:rsidRPr="001E69EC">
        <w:rPr>
          <w:rFonts w:eastAsiaTheme="minorEastAsia"/>
          <w:rtl/>
        </w:rPr>
        <w:t xml:space="preserve"> تشرين الثاني/نوفمبر </w:t>
      </w:r>
      <w:r w:rsidRPr="00737919">
        <w:rPr>
          <w:rFonts w:eastAsiaTheme="minorEastAsia"/>
          <w:rtl/>
        </w:rPr>
        <w:t>2013</w:t>
      </w:r>
      <w:r w:rsidRPr="001E69EC">
        <w:rPr>
          <w:rFonts w:eastAsiaTheme="minorEastAsia"/>
          <w:rtl/>
        </w:rPr>
        <w:t xml:space="preserve">، تفيد بأنه شُخِّص بإصابته </w:t>
      </w:r>
      <w:proofErr w:type="spellStart"/>
      <w:r w:rsidRPr="001E69EC">
        <w:rPr>
          <w:rFonts w:eastAsiaTheme="minorEastAsia"/>
          <w:rtl/>
        </w:rPr>
        <w:t>بالاكتراب</w:t>
      </w:r>
      <w:proofErr w:type="spellEnd"/>
      <w:r w:rsidRPr="001E69EC">
        <w:rPr>
          <w:rFonts w:eastAsiaTheme="minorEastAsia"/>
          <w:rtl/>
        </w:rPr>
        <w:t xml:space="preserve"> التالي للصدمة، وأنه يتلقى العلاج في مركز إعادة تأهيل اللاجئين، واعتُبر غير قادر على أداء مهام متصلة بالعمل، ولا سيما الوظائف المرتبطة بالأداء الفكري التي تتطلب تركيز الانتباه. ووفق</w:t>
      </w:r>
      <w:r w:rsidR="00A03399">
        <w:rPr>
          <w:rFonts w:eastAsiaTheme="minorEastAsia"/>
          <w:rtl/>
        </w:rPr>
        <w:t xml:space="preserve">اً </w:t>
      </w:r>
      <w:r w:rsidRPr="001E69EC">
        <w:rPr>
          <w:rFonts w:eastAsiaTheme="minorEastAsia"/>
          <w:rtl/>
        </w:rPr>
        <w:t xml:space="preserve">للشهادة، </w:t>
      </w:r>
      <w:r w:rsidRPr="001E69EC">
        <w:rPr>
          <w:rFonts w:eastAsiaTheme="minorEastAsia"/>
          <w:rtl/>
        </w:rPr>
        <w:lastRenderedPageBreak/>
        <w:t>فقد</w:t>
      </w:r>
      <w:r w:rsidR="00A03399">
        <w:rPr>
          <w:rFonts w:eastAsiaTheme="minorEastAsia" w:hint="cs"/>
          <w:rtl/>
        </w:rPr>
        <w:t> </w:t>
      </w:r>
      <w:r w:rsidRPr="001E69EC">
        <w:rPr>
          <w:rFonts w:eastAsiaTheme="minorEastAsia"/>
          <w:rtl/>
        </w:rPr>
        <w:t>كان صاحب البلاغ قادراً في السابق على التواصل باللغة الدانمركية دون مشاكل، ولكنه يبدو الآن متردداً ومشتت الانتباه مع وجود ضعف في الذاكرة.</w:t>
      </w:r>
      <w:bookmarkStart w:id="4" w:name="_Hlk121145621"/>
      <w:bookmarkEnd w:id="4"/>
    </w:p>
    <w:p w14:paraId="77AAC3F0" w14:textId="0CD82D16" w:rsidR="001E69EC" w:rsidRPr="00737919" w:rsidRDefault="001E69EC" w:rsidP="001E69EC">
      <w:pPr>
        <w:pStyle w:val="SingleTxtGA"/>
        <w:rPr>
          <w:rFonts w:eastAsiaTheme="minorEastAsia"/>
          <w:bCs/>
          <w:lang w:val="ar-SA" w:eastAsia="zh-TW" w:bidi="en-GB"/>
        </w:rPr>
      </w:pPr>
      <w:r w:rsidRPr="00737919">
        <w:rPr>
          <w:rFonts w:eastAsiaTheme="minorEastAsia"/>
          <w:rtl/>
        </w:rPr>
        <w:t>4</w:t>
      </w:r>
      <w:r w:rsidRPr="001E69EC">
        <w:rPr>
          <w:rFonts w:eastAsiaTheme="minorEastAsia"/>
          <w:rtl/>
        </w:rPr>
        <w:t>-</w:t>
      </w:r>
      <w:r w:rsidRPr="00737919">
        <w:rPr>
          <w:rFonts w:eastAsiaTheme="minorEastAsia"/>
          <w:rtl/>
        </w:rPr>
        <w:t>5</w:t>
      </w:r>
      <w:r w:rsidRPr="001E69EC">
        <w:rPr>
          <w:rFonts w:eastAsiaTheme="minorEastAsia"/>
          <w:rtl/>
        </w:rPr>
        <w:tab/>
        <w:t xml:space="preserve">وفي </w:t>
      </w:r>
      <w:r w:rsidRPr="00737919">
        <w:rPr>
          <w:rFonts w:eastAsiaTheme="minorEastAsia"/>
          <w:rtl/>
        </w:rPr>
        <w:t>16</w:t>
      </w:r>
      <w:r w:rsidRPr="001E69EC">
        <w:rPr>
          <w:rFonts w:eastAsiaTheme="minorEastAsia"/>
          <w:rtl/>
        </w:rPr>
        <w:t xml:space="preserve"> شباط/فبراير </w:t>
      </w:r>
      <w:r w:rsidRPr="00737919">
        <w:rPr>
          <w:rFonts w:eastAsiaTheme="minorEastAsia"/>
          <w:rtl/>
        </w:rPr>
        <w:t>2015</w:t>
      </w:r>
      <w:r w:rsidRPr="001E69EC">
        <w:rPr>
          <w:rFonts w:eastAsiaTheme="minorEastAsia"/>
          <w:rtl/>
        </w:rPr>
        <w:t>، طلبت وزارة العدل إلى صاحب البلاغ أن يقدم دليل</w:t>
      </w:r>
      <w:r w:rsidR="00A03399">
        <w:rPr>
          <w:rFonts w:eastAsiaTheme="minorEastAsia"/>
          <w:rtl/>
        </w:rPr>
        <w:t xml:space="preserve">اً </w:t>
      </w:r>
      <w:r w:rsidRPr="001E69EC">
        <w:rPr>
          <w:rFonts w:eastAsiaTheme="minorEastAsia"/>
          <w:rtl/>
        </w:rPr>
        <w:t xml:space="preserve">على اجتيازه امتحان اللغة الدانمركية من </w:t>
      </w:r>
      <w:r w:rsidRPr="001B491C">
        <w:rPr>
          <w:rFonts w:eastAsiaTheme="minorEastAsia"/>
          <w:rtl/>
        </w:rPr>
        <w:t>المستوى الثاني</w:t>
      </w:r>
      <w:r w:rsidRPr="001E69EC">
        <w:rPr>
          <w:rFonts w:eastAsiaTheme="minorEastAsia"/>
          <w:rtl/>
        </w:rPr>
        <w:t xml:space="preserve"> واختبار المواطنة وفق</w:t>
      </w:r>
      <w:r w:rsidR="00A03399">
        <w:rPr>
          <w:rFonts w:eastAsiaTheme="minorEastAsia"/>
          <w:rtl/>
        </w:rPr>
        <w:t xml:space="preserve">اً </w:t>
      </w:r>
      <w:r w:rsidRPr="001E69EC">
        <w:rPr>
          <w:rFonts w:eastAsiaTheme="minorEastAsia"/>
          <w:rtl/>
        </w:rPr>
        <w:t xml:space="preserve">للتعميم رقم </w:t>
      </w:r>
      <w:r w:rsidRPr="00737919">
        <w:rPr>
          <w:rFonts w:eastAsiaTheme="minorEastAsia"/>
          <w:rtl/>
        </w:rPr>
        <w:t>9253</w:t>
      </w:r>
      <w:r w:rsidRPr="001E69EC">
        <w:rPr>
          <w:rFonts w:eastAsiaTheme="minorEastAsia"/>
          <w:rtl/>
        </w:rPr>
        <w:t>. وأبلغته أيض</w:t>
      </w:r>
      <w:r w:rsidR="00A03399">
        <w:rPr>
          <w:rFonts w:eastAsiaTheme="minorEastAsia"/>
          <w:rtl/>
        </w:rPr>
        <w:t xml:space="preserve">اً </w:t>
      </w:r>
      <w:r w:rsidRPr="001E69EC">
        <w:rPr>
          <w:rFonts w:eastAsiaTheme="minorEastAsia"/>
          <w:rtl/>
        </w:rPr>
        <w:t xml:space="preserve">بأن لجنة التجنيس يُقدَّم إليها، متى اقتضت ذلك ظروف استثنائية، طلب للإعفاء من هذين الشرطين، وطلبت إلى صاحب البلاغ أن يقدم أدلة طبية تكميلية وإقراراً رسمياً بشأن ما إذا كان قد حضر برنامج اللغة الدانمركية من </w:t>
      </w:r>
      <w:r w:rsidRPr="001B491C">
        <w:rPr>
          <w:rFonts w:eastAsiaTheme="minorEastAsia"/>
          <w:rtl/>
        </w:rPr>
        <w:t>المستوى الثاني</w:t>
      </w:r>
      <w:r w:rsidRPr="001E69EC">
        <w:rPr>
          <w:rFonts w:eastAsiaTheme="minorEastAsia"/>
          <w:rtl/>
        </w:rPr>
        <w:t xml:space="preserve"> وحاول التقدم لامتحان اللغة الدانمركية من </w:t>
      </w:r>
      <w:r w:rsidRPr="001B491C">
        <w:rPr>
          <w:rFonts w:eastAsiaTheme="minorEastAsia"/>
          <w:rtl/>
        </w:rPr>
        <w:t>المستوى الثاني</w:t>
      </w:r>
      <w:r w:rsidRPr="001E69EC">
        <w:rPr>
          <w:rFonts w:eastAsiaTheme="minorEastAsia"/>
          <w:rtl/>
        </w:rPr>
        <w:t xml:space="preserve"> واختبار المواطنة. وفي </w:t>
      </w:r>
      <w:r w:rsidRPr="00737919">
        <w:rPr>
          <w:rFonts w:eastAsiaTheme="minorEastAsia"/>
          <w:rtl/>
        </w:rPr>
        <w:t>9</w:t>
      </w:r>
      <w:r w:rsidRPr="001E69EC">
        <w:rPr>
          <w:rFonts w:eastAsiaTheme="minorEastAsia"/>
          <w:rtl/>
        </w:rPr>
        <w:t xml:space="preserve"> آذار/مارس </w:t>
      </w:r>
      <w:r w:rsidRPr="00737919">
        <w:rPr>
          <w:rFonts w:eastAsiaTheme="minorEastAsia"/>
          <w:rtl/>
        </w:rPr>
        <w:t>2015</w:t>
      </w:r>
      <w:r w:rsidRPr="001E69EC">
        <w:rPr>
          <w:rFonts w:eastAsiaTheme="minorEastAsia"/>
          <w:rtl/>
        </w:rPr>
        <w:t xml:space="preserve">، تلقت الوزارة إقراراً رسمياً من صاحب البلاغ وشهادة تبين أنه اجتاز </w:t>
      </w:r>
      <w:r w:rsidRPr="001B491C">
        <w:rPr>
          <w:rFonts w:eastAsiaTheme="minorEastAsia"/>
          <w:rtl/>
        </w:rPr>
        <w:t>الاختبار العام الأول</w:t>
      </w:r>
      <w:r w:rsidRPr="001E69EC">
        <w:rPr>
          <w:rFonts w:eastAsiaTheme="minorEastAsia"/>
          <w:rtl/>
        </w:rPr>
        <w:t xml:space="preserve">، ولكن بدا من الإقرار أنه لم يلتحق ببرنامج اللغة الدانمركية </w:t>
      </w:r>
      <w:r w:rsidRPr="001B491C">
        <w:rPr>
          <w:rFonts w:eastAsiaTheme="minorEastAsia"/>
          <w:rtl/>
        </w:rPr>
        <w:t>من المستوى الثاني</w:t>
      </w:r>
      <w:r w:rsidRPr="001E69EC">
        <w:rPr>
          <w:rFonts w:eastAsiaTheme="minorEastAsia"/>
          <w:rtl/>
        </w:rPr>
        <w:t xml:space="preserve"> ولا</w:t>
      </w:r>
      <w:r w:rsidR="00A03399">
        <w:rPr>
          <w:rFonts w:eastAsiaTheme="minorEastAsia" w:hint="cs"/>
          <w:rtl/>
        </w:rPr>
        <w:t> </w:t>
      </w:r>
      <w:r w:rsidRPr="001E69EC">
        <w:rPr>
          <w:rFonts w:eastAsiaTheme="minorEastAsia"/>
          <w:rtl/>
        </w:rPr>
        <w:t xml:space="preserve">حاول التقدم لامتحان اللغة الدانمركية </w:t>
      </w:r>
      <w:r w:rsidRPr="001B491C">
        <w:rPr>
          <w:rFonts w:eastAsiaTheme="minorEastAsia"/>
          <w:rtl/>
        </w:rPr>
        <w:t>من المستوى الثاني</w:t>
      </w:r>
      <w:r w:rsidRPr="001E69EC">
        <w:rPr>
          <w:rFonts w:eastAsiaTheme="minorEastAsia"/>
          <w:rtl/>
        </w:rPr>
        <w:t xml:space="preserve"> ولا اختبار المواطنة. وفي </w:t>
      </w:r>
      <w:r w:rsidRPr="00737919">
        <w:rPr>
          <w:rFonts w:eastAsiaTheme="minorEastAsia"/>
          <w:rtl/>
        </w:rPr>
        <w:t>12</w:t>
      </w:r>
      <w:r w:rsidRPr="001E69EC">
        <w:rPr>
          <w:rFonts w:eastAsiaTheme="minorEastAsia"/>
          <w:rtl/>
        </w:rPr>
        <w:t xml:space="preserve"> آذار/</w:t>
      </w:r>
      <w:r w:rsidR="00A03399">
        <w:rPr>
          <w:rFonts w:eastAsiaTheme="minorEastAsia" w:hint="cs"/>
          <w:rtl/>
        </w:rPr>
        <w:t xml:space="preserve">     </w:t>
      </w:r>
      <w:r w:rsidRPr="001E69EC">
        <w:rPr>
          <w:rFonts w:eastAsiaTheme="minorEastAsia"/>
          <w:rtl/>
        </w:rPr>
        <w:t xml:space="preserve">مارس </w:t>
      </w:r>
      <w:r w:rsidRPr="00737919">
        <w:rPr>
          <w:rFonts w:eastAsiaTheme="minorEastAsia"/>
          <w:rtl/>
        </w:rPr>
        <w:t>2015</w:t>
      </w:r>
      <w:r w:rsidRPr="001E69EC">
        <w:rPr>
          <w:rFonts w:eastAsiaTheme="minorEastAsia"/>
          <w:rtl/>
        </w:rPr>
        <w:t xml:space="preserve">، تلقت الوزارة سجلين نفسيين مؤرخين </w:t>
      </w:r>
      <w:r w:rsidRPr="00737919">
        <w:rPr>
          <w:rFonts w:eastAsiaTheme="minorEastAsia"/>
          <w:rtl/>
        </w:rPr>
        <w:t>21</w:t>
      </w:r>
      <w:r w:rsidRPr="001E69EC">
        <w:rPr>
          <w:rFonts w:eastAsiaTheme="minorEastAsia"/>
          <w:rtl/>
        </w:rPr>
        <w:t xml:space="preserve"> شباط/فبراير </w:t>
      </w:r>
      <w:r w:rsidRPr="00737919">
        <w:rPr>
          <w:rFonts w:eastAsiaTheme="minorEastAsia"/>
          <w:rtl/>
        </w:rPr>
        <w:t>2012</w:t>
      </w:r>
      <w:r w:rsidRPr="001E69EC">
        <w:rPr>
          <w:rFonts w:eastAsiaTheme="minorEastAsia"/>
          <w:rtl/>
        </w:rPr>
        <w:t xml:space="preserve"> و</w:t>
      </w:r>
      <w:r w:rsidRPr="00737919">
        <w:rPr>
          <w:rFonts w:eastAsiaTheme="minorEastAsia"/>
          <w:rtl/>
        </w:rPr>
        <w:t>17</w:t>
      </w:r>
      <w:r w:rsidRPr="001E69EC">
        <w:rPr>
          <w:rFonts w:eastAsiaTheme="minorEastAsia"/>
          <w:rtl/>
        </w:rPr>
        <w:t xml:space="preserve"> نيسان/أبريل </w:t>
      </w:r>
      <w:r w:rsidRPr="00737919">
        <w:rPr>
          <w:rFonts w:eastAsiaTheme="minorEastAsia"/>
          <w:rtl/>
        </w:rPr>
        <w:t>2012</w:t>
      </w:r>
      <w:r w:rsidRPr="001E69EC">
        <w:rPr>
          <w:rFonts w:eastAsiaTheme="minorEastAsia"/>
          <w:rtl/>
        </w:rPr>
        <w:t xml:space="preserve">، وشهادة من طبيب نفسي مؤرخة </w:t>
      </w:r>
      <w:r w:rsidRPr="00737919">
        <w:rPr>
          <w:rFonts w:eastAsiaTheme="minorEastAsia"/>
          <w:rtl/>
        </w:rPr>
        <w:t>19</w:t>
      </w:r>
      <w:r w:rsidRPr="001E69EC">
        <w:rPr>
          <w:rFonts w:eastAsiaTheme="minorEastAsia"/>
          <w:rtl/>
        </w:rPr>
        <w:t xml:space="preserve"> تشرين الأول/أكتوبر </w:t>
      </w:r>
      <w:r w:rsidRPr="00737919">
        <w:rPr>
          <w:rFonts w:eastAsiaTheme="minorEastAsia"/>
          <w:rtl/>
        </w:rPr>
        <w:t>2012</w:t>
      </w:r>
      <w:r w:rsidRPr="001E69EC">
        <w:rPr>
          <w:rFonts w:eastAsiaTheme="minorEastAsia"/>
          <w:rtl/>
        </w:rPr>
        <w:t xml:space="preserve">، ووصفاً لمسار العلاج مؤرخاً </w:t>
      </w:r>
      <w:r w:rsidRPr="00737919">
        <w:rPr>
          <w:rFonts w:eastAsiaTheme="minorEastAsia"/>
          <w:rtl/>
        </w:rPr>
        <w:t>15</w:t>
      </w:r>
      <w:r w:rsidRPr="001E69EC">
        <w:rPr>
          <w:rFonts w:eastAsiaTheme="minorEastAsia"/>
          <w:rtl/>
        </w:rPr>
        <w:t xml:space="preserve"> أيار/مايو </w:t>
      </w:r>
      <w:r w:rsidRPr="00737919">
        <w:rPr>
          <w:rFonts w:eastAsiaTheme="minorEastAsia"/>
          <w:rtl/>
        </w:rPr>
        <w:t>2014</w:t>
      </w:r>
      <w:r w:rsidRPr="001E69EC">
        <w:rPr>
          <w:rFonts w:eastAsiaTheme="minorEastAsia"/>
          <w:rtl/>
        </w:rPr>
        <w:t xml:space="preserve">، وملحوظات متصلة باستشارة طبية مؤرخة </w:t>
      </w:r>
      <w:r w:rsidRPr="00737919">
        <w:rPr>
          <w:rFonts w:eastAsiaTheme="minorEastAsia"/>
          <w:rtl/>
        </w:rPr>
        <w:t>13</w:t>
      </w:r>
      <w:r w:rsidRPr="001E69EC">
        <w:rPr>
          <w:rFonts w:eastAsiaTheme="minorEastAsia"/>
          <w:rtl/>
        </w:rPr>
        <w:t xml:space="preserve"> حزيران/يونيه </w:t>
      </w:r>
      <w:r w:rsidRPr="00737919">
        <w:rPr>
          <w:rFonts w:eastAsiaTheme="minorEastAsia"/>
          <w:rtl/>
        </w:rPr>
        <w:t>2014</w:t>
      </w:r>
      <w:r w:rsidRPr="001E69EC">
        <w:rPr>
          <w:rFonts w:eastAsiaTheme="minorEastAsia"/>
          <w:rtl/>
        </w:rPr>
        <w:t xml:space="preserve">، وشهادة طبية مؤرخة </w:t>
      </w:r>
      <w:r w:rsidRPr="00737919">
        <w:rPr>
          <w:rFonts w:eastAsiaTheme="minorEastAsia"/>
          <w:rtl/>
        </w:rPr>
        <w:t>11</w:t>
      </w:r>
      <w:r w:rsidRPr="001E69EC">
        <w:rPr>
          <w:rFonts w:eastAsiaTheme="minorEastAsia"/>
          <w:rtl/>
        </w:rPr>
        <w:t xml:space="preserve"> آذار/مارس </w:t>
      </w:r>
      <w:r w:rsidRPr="00737919">
        <w:rPr>
          <w:rFonts w:eastAsiaTheme="minorEastAsia"/>
          <w:rtl/>
        </w:rPr>
        <w:t>2015</w:t>
      </w:r>
      <w:r w:rsidRPr="001E69EC">
        <w:rPr>
          <w:rFonts w:eastAsiaTheme="minorEastAsia"/>
          <w:rtl/>
        </w:rPr>
        <w:t xml:space="preserve">. وتلاحظ الدولة الطرف أن أحدث شهادة طبية يتبين فيها أن صاحب البلاغ قد شخصت إصابته </w:t>
      </w:r>
      <w:proofErr w:type="spellStart"/>
      <w:r w:rsidRPr="001E69EC">
        <w:rPr>
          <w:rFonts w:eastAsiaTheme="minorEastAsia"/>
          <w:rtl/>
        </w:rPr>
        <w:t>بالاكتراب</w:t>
      </w:r>
      <w:proofErr w:type="spellEnd"/>
      <w:r w:rsidRPr="001E69EC">
        <w:rPr>
          <w:rFonts w:eastAsiaTheme="minorEastAsia"/>
          <w:rtl/>
        </w:rPr>
        <w:t xml:space="preserve"> اللاحق للصدمة وآلام مزمنة، مع صعوبات في تركيز الانتباه، وضعف في الذاكرة، وانخفاض القدرة على تكوين المنظور والتعلم. ووفق</w:t>
      </w:r>
      <w:r w:rsidR="00A03399">
        <w:rPr>
          <w:rFonts w:eastAsiaTheme="minorEastAsia"/>
          <w:rtl/>
        </w:rPr>
        <w:t xml:space="preserve">اً </w:t>
      </w:r>
      <w:r w:rsidRPr="001E69EC">
        <w:rPr>
          <w:rFonts w:eastAsiaTheme="minorEastAsia"/>
          <w:rtl/>
        </w:rPr>
        <w:t>لشهادة الممارس العام، فقد ارتأى أن حضور صاحب البلاغ لدروس هو أمر غير واقعي، ناهيك عن الاستفادة من أي نوع من التعليم، وبالتالي لا يمكن توقع أن يتمكن من المشاركة في أي اختبار.</w:t>
      </w:r>
      <w:bookmarkStart w:id="5" w:name="_Hlk121145938"/>
      <w:bookmarkStart w:id="6" w:name="_Hlk121145914"/>
      <w:bookmarkStart w:id="7" w:name="_Hlk121146048"/>
      <w:bookmarkStart w:id="8" w:name="_Hlk121146080"/>
      <w:bookmarkEnd w:id="5"/>
      <w:bookmarkEnd w:id="6"/>
      <w:bookmarkEnd w:id="7"/>
      <w:bookmarkEnd w:id="8"/>
    </w:p>
    <w:p w14:paraId="374D80CF" w14:textId="6B09EF8C" w:rsidR="001E69EC" w:rsidRPr="00737919" w:rsidRDefault="001E69EC" w:rsidP="001E69EC">
      <w:pPr>
        <w:pStyle w:val="SingleTxtGA"/>
        <w:rPr>
          <w:rFonts w:eastAsiaTheme="minorEastAsia"/>
          <w:bCs/>
          <w:lang w:val="ar-SA" w:eastAsia="zh-TW" w:bidi="en-GB"/>
        </w:rPr>
      </w:pPr>
      <w:r w:rsidRPr="00737919">
        <w:rPr>
          <w:rFonts w:eastAsiaTheme="minorEastAsia"/>
          <w:rtl/>
        </w:rPr>
        <w:t>4</w:t>
      </w:r>
      <w:r w:rsidRPr="001E69EC">
        <w:rPr>
          <w:rFonts w:eastAsiaTheme="minorEastAsia"/>
          <w:rtl/>
        </w:rPr>
        <w:t>-</w:t>
      </w:r>
      <w:r w:rsidRPr="00737919">
        <w:rPr>
          <w:rFonts w:eastAsiaTheme="minorEastAsia"/>
          <w:rtl/>
        </w:rPr>
        <w:t>6</w:t>
      </w:r>
      <w:r w:rsidRPr="001E69EC">
        <w:rPr>
          <w:rFonts w:eastAsiaTheme="minorEastAsia"/>
          <w:rtl/>
        </w:rPr>
        <w:tab/>
        <w:t xml:space="preserve">وفي </w:t>
      </w:r>
      <w:r w:rsidRPr="00737919">
        <w:rPr>
          <w:rFonts w:eastAsiaTheme="minorEastAsia"/>
          <w:rtl/>
        </w:rPr>
        <w:t>20</w:t>
      </w:r>
      <w:r w:rsidRPr="001E69EC">
        <w:rPr>
          <w:rFonts w:eastAsiaTheme="minorEastAsia"/>
          <w:rtl/>
        </w:rPr>
        <w:t xml:space="preserve"> آذار/مارس </w:t>
      </w:r>
      <w:r w:rsidRPr="00737919">
        <w:rPr>
          <w:rFonts w:eastAsiaTheme="minorEastAsia"/>
          <w:rtl/>
        </w:rPr>
        <w:t>2015</w:t>
      </w:r>
      <w:r w:rsidRPr="001E69EC">
        <w:rPr>
          <w:rFonts w:eastAsiaTheme="minorEastAsia"/>
          <w:rtl/>
        </w:rPr>
        <w:t>، أخطرت وزارة العدل صاحب البلاغ بأنه لم يستوف شرطي تقديم إثبات على إجادة اللغة الدانمركية ولا اجتياز اختبار المواطنة على النحو المنصوص عليه في التعميم رقم</w:t>
      </w:r>
      <w:r w:rsidR="00A03399">
        <w:rPr>
          <w:rFonts w:eastAsiaTheme="minorEastAsia" w:hint="cs"/>
          <w:rtl/>
        </w:rPr>
        <w:t> </w:t>
      </w:r>
      <w:r w:rsidRPr="00737919">
        <w:rPr>
          <w:rFonts w:eastAsiaTheme="minorEastAsia"/>
          <w:rtl/>
        </w:rPr>
        <w:t>9253</w:t>
      </w:r>
      <w:r w:rsidRPr="001E69EC">
        <w:rPr>
          <w:rFonts w:eastAsiaTheme="minorEastAsia"/>
          <w:rtl/>
        </w:rPr>
        <w:t>. وطلبت إليه أيضاً أن يقدم أدلة طبية تكميلية تثبت عدم قدرته على اكتساب المستوى المطلوب من المهارات اللغوية ودليل</w:t>
      </w:r>
      <w:r w:rsidR="00A03399">
        <w:rPr>
          <w:rFonts w:eastAsiaTheme="minorEastAsia"/>
          <w:rtl/>
        </w:rPr>
        <w:t xml:space="preserve">اً </w:t>
      </w:r>
      <w:r w:rsidRPr="001E69EC">
        <w:rPr>
          <w:rFonts w:eastAsiaTheme="minorEastAsia"/>
          <w:rtl/>
        </w:rPr>
        <w:t xml:space="preserve">على أن إعاقته الطويلة الأمد هي السبب في عدم محاولته التسجيل في الاختبارين المطلوبين. وفي </w:t>
      </w:r>
      <w:r w:rsidRPr="00737919">
        <w:rPr>
          <w:rFonts w:eastAsiaTheme="minorEastAsia"/>
          <w:rtl/>
        </w:rPr>
        <w:t>15</w:t>
      </w:r>
      <w:r w:rsidRPr="001E69EC">
        <w:rPr>
          <w:rFonts w:eastAsiaTheme="minorEastAsia"/>
          <w:rtl/>
        </w:rPr>
        <w:t xml:space="preserve"> نيسان/أبريل </w:t>
      </w:r>
      <w:r w:rsidRPr="00737919">
        <w:rPr>
          <w:rFonts w:eastAsiaTheme="minorEastAsia"/>
          <w:rtl/>
        </w:rPr>
        <w:t>2015</w:t>
      </w:r>
      <w:r w:rsidRPr="001E69EC">
        <w:rPr>
          <w:rFonts w:eastAsiaTheme="minorEastAsia"/>
          <w:rtl/>
        </w:rPr>
        <w:t>، تلقت الوزارة رأياً طبياً مؤرخ</w:t>
      </w:r>
      <w:r w:rsidR="00A03399">
        <w:rPr>
          <w:rFonts w:eastAsiaTheme="minorEastAsia"/>
          <w:rtl/>
        </w:rPr>
        <w:t xml:space="preserve">اً </w:t>
      </w:r>
      <w:r w:rsidRPr="00737919">
        <w:rPr>
          <w:rFonts w:eastAsiaTheme="minorEastAsia"/>
          <w:rtl/>
        </w:rPr>
        <w:t>14</w:t>
      </w:r>
      <w:r w:rsidRPr="001E69EC">
        <w:rPr>
          <w:rFonts w:eastAsiaTheme="minorEastAsia"/>
          <w:rtl/>
        </w:rPr>
        <w:t xml:space="preserve"> نيسان/أبريل </w:t>
      </w:r>
      <w:r w:rsidRPr="00737919">
        <w:rPr>
          <w:rFonts w:eastAsiaTheme="minorEastAsia"/>
          <w:rtl/>
        </w:rPr>
        <w:t>2014</w:t>
      </w:r>
      <w:r w:rsidRPr="001E69EC">
        <w:rPr>
          <w:rFonts w:eastAsiaTheme="minorEastAsia"/>
          <w:rtl/>
        </w:rPr>
        <w:t xml:space="preserve"> من الممارس العام القائم على علاج صاحب البلاغ، يفيد بأن مهارات صاحب البلاغ في التواصل الشفوي باللغة الدانمركية تراجعت بشدة خلال السنوات الست إلى السبع الماضية. ولوحظ أن الحالة الصحية لصاحب البلاغ والصعوبات الشديدة التي يواجهها في التركيز وضعف الذاكرة وصعوبات التعلم وانخفاض القدرة على التحمل هي الأسباب التي حالت دون تمكنه من المشاركة في برنامج من شأنه تحسين مهاراته أو التمكن من إجراء الاختبارين المطلوبين. وفي </w:t>
      </w:r>
      <w:r w:rsidRPr="00737919">
        <w:rPr>
          <w:rFonts w:eastAsiaTheme="minorEastAsia"/>
          <w:rtl/>
        </w:rPr>
        <w:t>27</w:t>
      </w:r>
      <w:r w:rsidRPr="001E69EC">
        <w:rPr>
          <w:rFonts w:eastAsiaTheme="minorEastAsia"/>
          <w:rtl/>
        </w:rPr>
        <w:t xml:space="preserve"> تشرين الأول/أكتوبر </w:t>
      </w:r>
      <w:r w:rsidRPr="00737919">
        <w:rPr>
          <w:rFonts w:eastAsiaTheme="minorEastAsia"/>
          <w:rtl/>
        </w:rPr>
        <w:t>2015</w:t>
      </w:r>
      <w:r w:rsidRPr="001E69EC">
        <w:rPr>
          <w:rFonts w:eastAsiaTheme="minorEastAsia"/>
          <w:rtl/>
        </w:rPr>
        <w:t>، أبلغت وزارة الهجرة والإدماج والإسكان</w:t>
      </w:r>
      <w:r>
        <w:rPr>
          <w:rFonts w:eastAsiaTheme="minorEastAsia"/>
          <w:vertAlign w:val="superscript"/>
          <w:rtl/>
        </w:rPr>
        <w:t>(</w:t>
      </w:r>
      <w:r w:rsidRPr="00737919">
        <w:rPr>
          <w:rStyle w:val="FootnoteReference"/>
          <w:rFonts w:eastAsiaTheme="minorEastAsia"/>
          <w:sz w:val="22"/>
          <w:lang w:val="en-US"/>
        </w:rPr>
        <w:footnoteReference w:id="6"/>
      </w:r>
      <w:r w:rsidRPr="001B491C">
        <w:rPr>
          <w:rStyle w:val="FootnoteReference"/>
          <w:rFonts w:eastAsiaTheme="minorEastAsia"/>
          <w:sz w:val="22"/>
          <w:rtl/>
        </w:rPr>
        <w:t>)</w:t>
      </w:r>
      <w:r w:rsidRPr="001E69EC">
        <w:rPr>
          <w:rFonts w:eastAsiaTheme="minorEastAsia"/>
          <w:rtl/>
        </w:rPr>
        <w:t xml:space="preserve"> صاحب البلاغ بأن طلب التجنس الذي قدمه قد رُفض (الفقرة </w:t>
      </w:r>
      <w:r w:rsidRPr="00737919">
        <w:rPr>
          <w:rFonts w:eastAsiaTheme="minorEastAsia"/>
          <w:rtl/>
        </w:rPr>
        <w:t>2</w:t>
      </w:r>
      <w:r w:rsidRPr="001E69EC">
        <w:rPr>
          <w:rFonts w:eastAsiaTheme="minorEastAsia"/>
          <w:rtl/>
        </w:rPr>
        <w:t>-</w:t>
      </w:r>
      <w:r w:rsidRPr="00737919">
        <w:rPr>
          <w:rFonts w:eastAsiaTheme="minorEastAsia"/>
          <w:rtl/>
        </w:rPr>
        <w:t>4</w:t>
      </w:r>
      <w:r w:rsidRPr="001E69EC">
        <w:rPr>
          <w:rFonts w:eastAsiaTheme="minorEastAsia"/>
          <w:rtl/>
        </w:rPr>
        <w:t xml:space="preserve"> أعلاه).</w:t>
      </w:r>
    </w:p>
    <w:p w14:paraId="43DBEC9C" w14:textId="1D232CFF" w:rsidR="001E69EC" w:rsidRPr="00737919" w:rsidRDefault="001E69EC" w:rsidP="001E69EC">
      <w:pPr>
        <w:pStyle w:val="SingleTxtGA"/>
        <w:rPr>
          <w:rFonts w:eastAsiaTheme="minorEastAsia"/>
          <w:bCs/>
          <w:lang w:val="ar-SA" w:eastAsia="zh-TW" w:bidi="en-GB"/>
        </w:rPr>
      </w:pPr>
      <w:r w:rsidRPr="00737919">
        <w:rPr>
          <w:rFonts w:eastAsiaTheme="minorEastAsia"/>
          <w:rtl/>
        </w:rPr>
        <w:t>4</w:t>
      </w:r>
      <w:r w:rsidRPr="001E69EC">
        <w:rPr>
          <w:rFonts w:eastAsiaTheme="minorEastAsia"/>
          <w:rtl/>
        </w:rPr>
        <w:t>-</w:t>
      </w:r>
      <w:r w:rsidRPr="00737919">
        <w:rPr>
          <w:rFonts w:eastAsiaTheme="minorEastAsia"/>
          <w:rtl/>
        </w:rPr>
        <w:t>7</w:t>
      </w:r>
      <w:r w:rsidRPr="001E69EC">
        <w:rPr>
          <w:rFonts w:eastAsiaTheme="minorEastAsia"/>
          <w:rtl/>
        </w:rPr>
        <w:tab/>
        <w:t xml:space="preserve">وتقدم الدولة الطرف معلومات عن تشريعاتها المحلية المتعلقة بالتجنيس. وتشير إلى أن التجنيس يُشترط له، بموجب المادة </w:t>
      </w:r>
      <w:r w:rsidRPr="00737919">
        <w:rPr>
          <w:rFonts w:eastAsiaTheme="minorEastAsia"/>
          <w:rtl/>
        </w:rPr>
        <w:t>24</w:t>
      </w:r>
      <w:r w:rsidRPr="001E69EC">
        <w:rPr>
          <w:rFonts w:eastAsiaTheme="minorEastAsia"/>
          <w:rtl/>
        </w:rPr>
        <w:t>(</w:t>
      </w:r>
      <w:r w:rsidRPr="00737919">
        <w:rPr>
          <w:rFonts w:eastAsiaTheme="minorEastAsia"/>
          <w:rtl/>
        </w:rPr>
        <w:t>1</w:t>
      </w:r>
      <w:r w:rsidRPr="001E69EC">
        <w:rPr>
          <w:rFonts w:eastAsiaTheme="minorEastAsia"/>
          <w:rtl/>
        </w:rPr>
        <w:t>)-(</w:t>
      </w:r>
      <w:r w:rsidRPr="00737919">
        <w:rPr>
          <w:rFonts w:eastAsiaTheme="minorEastAsia"/>
          <w:rtl/>
        </w:rPr>
        <w:t>2</w:t>
      </w:r>
      <w:r w:rsidRPr="001E69EC">
        <w:rPr>
          <w:rFonts w:eastAsiaTheme="minorEastAsia"/>
          <w:rtl/>
        </w:rPr>
        <w:t xml:space="preserve">) من التعميم رقم </w:t>
      </w:r>
      <w:r w:rsidRPr="00737919">
        <w:rPr>
          <w:rFonts w:eastAsiaTheme="minorEastAsia"/>
          <w:rtl/>
        </w:rPr>
        <w:t>9253</w:t>
      </w:r>
      <w:r w:rsidRPr="001E69EC">
        <w:rPr>
          <w:rFonts w:eastAsiaTheme="minorEastAsia"/>
          <w:rtl/>
        </w:rPr>
        <w:t xml:space="preserve">، تقديم دليل على إجادة اللغة الدانمركية في شكل شهادة تفيد اجتياز امتحان اللغة الدانمركية من </w:t>
      </w:r>
      <w:r w:rsidRPr="001B491C">
        <w:rPr>
          <w:rFonts w:eastAsiaTheme="minorEastAsia"/>
          <w:rtl/>
        </w:rPr>
        <w:t>المستوى الثاني</w:t>
      </w:r>
      <w:r w:rsidRPr="001E69EC">
        <w:rPr>
          <w:rFonts w:eastAsiaTheme="minorEastAsia"/>
          <w:rtl/>
        </w:rPr>
        <w:t xml:space="preserve"> واجتياز اختبار المواطنة، الذي يركز على جوانب الحياة اليومية والمشاركة السياسية للمواطنين في المجتمع. وبموجب المادة </w:t>
      </w:r>
      <w:r w:rsidRPr="00737919">
        <w:rPr>
          <w:rFonts w:eastAsiaTheme="minorEastAsia"/>
          <w:rtl/>
        </w:rPr>
        <w:t>24</w:t>
      </w:r>
      <w:r w:rsidRPr="001E69EC">
        <w:rPr>
          <w:rFonts w:eastAsiaTheme="minorEastAsia"/>
          <w:rtl/>
        </w:rPr>
        <w:t>(</w:t>
      </w:r>
      <w:r w:rsidRPr="00737919">
        <w:rPr>
          <w:rFonts w:eastAsiaTheme="minorEastAsia"/>
          <w:rtl/>
        </w:rPr>
        <w:t>3</w:t>
      </w:r>
      <w:r w:rsidRPr="001E69EC">
        <w:rPr>
          <w:rFonts w:eastAsiaTheme="minorEastAsia"/>
          <w:rtl/>
        </w:rPr>
        <w:t xml:space="preserve">) من التعميم، تُقدم مسألة ما إذا كان يمكن الإعفاء من هذين الشرطين إلى لجنة التجنيس إذا شُخِّص مقدم </w:t>
      </w:r>
      <w:r w:rsidRPr="001E69EC">
        <w:rPr>
          <w:rFonts w:eastAsiaTheme="minorEastAsia"/>
          <w:rtl/>
        </w:rPr>
        <w:lastRenderedPageBreak/>
        <w:t xml:space="preserve">الطلب تشخيصاً طبياً بالإصابة بإعاقة بدنية أو عقلية أو حسية أو ذهنية طويلة الأمد وعجَز بناءً عليه عن استيفاء شرطي المادة </w:t>
      </w:r>
      <w:r w:rsidRPr="00737919">
        <w:rPr>
          <w:rFonts w:eastAsiaTheme="minorEastAsia"/>
          <w:rtl/>
        </w:rPr>
        <w:t>24</w:t>
      </w:r>
      <w:r w:rsidRPr="001E69EC">
        <w:rPr>
          <w:rFonts w:eastAsiaTheme="minorEastAsia"/>
          <w:rtl/>
        </w:rPr>
        <w:t>(</w:t>
      </w:r>
      <w:r w:rsidRPr="00737919">
        <w:rPr>
          <w:rFonts w:eastAsiaTheme="minorEastAsia"/>
          <w:rtl/>
        </w:rPr>
        <w:t>1</w:t>
      </w:r>
      <w:r w:rsidRPr="001E69EC">
        <w:rPr>
          <w:rFonts w:eastAsiaTheme="minorEastAsia"/>
          <w:rtl/>
        </w:rPr>
        <w:t>)-(</w:t>
      </w:r>
      <w:r w:rsidRPr="00737919">
        <w:rPr>
          <w:rFonts w:eastAsiaTheme="minorEastAsia"/>
          <w:rtl/>
        </w:rPr>
        <w:t>2</w:t>
      </w:r>
      <w:r w:rsidRPr="001E69EC">
        <w:rPr>
          <w:rFonts w:eastAsiaTheme="minorEastAsia"/>
          <w:rtl/>
        </w:rPr>
        <w:t xml:space="preserve">) من التعميم. </w:t>
      </w:r>
      <w:bookmarkStart w:id="9" w:name="_Hlk121209194"/>
      <w:bookmarkEnd w:id="9"/>
    </w:p>
    <w:p w14:paraId="6711008D" w14:textId="331CCB3C" w:rsidR="001E69EC" w:rsidRPr="00737919" w:rsidRDefault="001E69EC" w:rsidP="001E69EC">
      <w:pPr>
        <w:pStyle w:val="SingleTxtGA"/>
        <w:rPr>
          <w:rFonts w:eastAsiaTheme="minorEastAsia"/>
          <w:bCs/>
          <w:lang w:val="ar-SA" w:eastAsia="zh-TW" w:bidi="en-GB"/>
        </w:rPr>
      </w:pPr>
      <w:r w:rsidRPr="00737919">
        <w:rPr>
          <w:rFonts w:eastAsiaTheme="minorEastAsia"/>
          <w:rtl/>
        </w:rPr>
        <w:t>4</w:t>
      </w:r>
      <w:r w:rsidRPr="001E69EC">
        <w:rPr>
          <w:rFonts w:eastAsiaTheme="minorEastAsia"/>
          <w:rtl/>
        </w:rPr>
        <w:t>-</w:t>
      </w:r>
      <w:r w:rsidRPr="00737919">
        <w:rPr>
          <w:rFonts w:eastAsiaTheme="minorEastAsia"/>
          <w:rtl/>
        </w:rPr>
        <w:t>8</w:t>
      </w:r>
      <w:r w:rsidRPr="001E69EC">
        <w:rPr>
          <w:rFonts w:eastAsiaTheme="minorEastAsia"/>
          <w:rtl/>
        </w:rPr>
        <w:tab/>
        <w:t xml:space="preserve">وتشير الدولة الطرف إلى أنه لا يجوز، عملاً بالمادة </w:t>
      </w:r>
      <w:r w:rsidRPr="00737919">
        <w:rPr>
          <w:rFonts w:eastAsiaTheme="minorEastAsia"/>
          <w:rtl/>
        </w:rPr>
        <w:t>44</w:t>
      </w:r>
      <w:r w:rsidRPr="001E69EC">
        <w:rPr>
          <w:rFonts w:eastAsiaTheme="minorEastAsia"/>
          <w:rtl/>
        </w:rPr>
        <w:t>(</w:t>
      </w:r>
      <w:r w:rsidRPr="00737919">
        <w:rPr>
          <w:rFonts w:eastAsiaTheme="minorEastAsia"/>
          <w:rtl/>
        </w:rPr>
        <w:t>1</w:t>
      </w:r>
      <w:r w:rsidRPr="001E69EC">
        <w:rPr>
          <w:rFonts w:eastAsiaTheme="minorEastAsia"/>
          <w:rtl/>
        </w:rPr>
        <w:t xml:space="preserve">) من الدستور، تجنيس أي شخص إلا بموجب قانون. ومنذ عام </w:t>
      </w:r>
      <w:r w:rsidRPr="00737919">
        <w:rPr>
          <w:rFonts w:eastAsiaTheme="minorEastAsia"/>
          <w:rtl/>
        </w:rPr>
        <w:t>1849</w:t>
      </w:r>
      <w:r w:rsidRPr="001E69EC">
        <w:rPr>
          <w:rFonts w:eastAsiaTheme="minorEastAsia"/>
          <w:rtl/>
        </w:rPr>
        <w:t xml:space="preserve">، تُمنح الجنسية بموجب قوانين تنص على أسماء كل فرد من مقدمي طلبات التجنس. وتقوم وزارة الهجرة والإدماج والإسكان بإعداد مشاريع القوانين، ثم تتناولها لجنة التجنيس ويناقشها </w:t>
      </w:r>
      <w:proofErr w:type="gramStart"/>
      <w:r w:rsidRPr="001E69EC">
        <w:rPr>
          <w:rFonts w:eastAsiaTheme="minorEastAsia"/>
          <w:rtl/>
        </w:rPr>
        <w:t>البرلمان</w:t>
      </w:r>
      <w:proofErr w:type="gramEnd"/>
      <w:r w:rsidRPr="001E69EC">
        <w:rPr>
          <w:rFonts w:eastAsiaTheme="minorEastAsia"/>
          <w:rtl/>
        </w:rPr>
        <w:t xml:space="preserve"> ويقرها. وعادة ما تقدم الحكومة مشاريع القوانين إلى </w:t>
      </w:r>
      <w:proofErr w:type="gramStart"/>
      <w:r w:rsidRPr="001E69EC">
        <w:rPr>
          <w:rFonts w:eastAsiaTheme="minorEastAsia"/>
          <w:rtl/>
        </w:rPr>
        <w:t>البرلمان</w:t>
      </w:r>
      <w:proofErr w:type="gramEnd"/>
      <w:r w:rsidRPr="001E69EC">
        <w:rPr>
          <w:rFonts w:eastAsiaTheme="minorEastAsia"/>
          <w:rtl/>
        </w:rPr>
        <w:t xml:space="preserve"> في نيسان/أبريل وتشرين الأول/أكتوبر من كل عام. ولكي يُدرَج اسم مقدم الطلب في مشروع قانون، عليه إما أن يلبي الشروط العامة المنصوص عليها في المبادئ التوجيهية للتجنيس أو الحصول على إعفاء من لجنة التجنيس. وتتألف لجنة التجنيس من </w:t>
      </w:r>
      <w:r w:rsidRPr="00737919">
        <w:rPr>
          <w:rFonts w:eastAsiaTheme="minorEastAsia"/>
          <w:rtl/>
        </w:rPr>
        <w:t>17</w:t>
      </w:r>
      <w:r w:rsidRPr="001E69EC">
        <w:rPr>
          <w:rFonts w:eastAsiaTheme="minorEastAsia"/>
          <w:rtl/>
        </w:rPr>
        <w:t xml:space="preserve"> عضوا، جميعهم أعضاء في </w:t>
      </w:r>
      <w:proofErr w:type="gramStart"/>
      <w:r w:rsidRPr="001E69EC">
        <w:rPr>
          <w:rFonts w:eastAsiaTheme="minorEastAsia"/>
          <w:rtl/>
        </w:rPr>
        <w:t>البرلمان</w:t>
      </w:r>
      <w:proofErr w:type="gramEnd"/>
      <w:r w:rsidRPr="001E69EC">
        <w:rPr>
          <w:rFonts w:eastAsiaTheme="minorEastAsia"/>
          <w:rtl/>
        </w:rPr>
        <w:t xml:space="preserve">. ويتناسب عدد المقاعد المخصصة لكل حزب سياسي في لجنة التجنيس إلى حد كبير مع عدد المقاعد البرلمانية التي يشغلها الحزب. وتتخذ القرارات بالتصويت بأغلبية بسيطة، وتتولى وزارة الهجرة والإدماج والإسكان إعداد مشاريع قوانين التجنيس وقراءات مشاريع القوانين في </w:t>
      </w:r>
      <w:proofErr w:type="gramStart"/>
      <w:r w:rsidRPr="001E69EC">
        <w:rPr>
          <w:rFonts w:eastAsiaTheme="minorEastAsia"/>
          <w:rtl/>
        </w:rPr>
        <w:t>البرلمان</w:t>
      </w:r>
      <w:proofErr w:type="gramEnd"/>
      <w:r w:rsidRPr="001E69EC">
        <w:rPr>
          <w:rFonts w:eastAsiaTheme="minorEastAsia"/>
          <w:rtl/>
        </w:rPr>
        <w:t xml:space="preserve"> في إطار العملية التشريعية المنصوص عليها في المادة </w:t>
      </w:r>
      <w:r w:rsidRPr="00737919">
        <w:rPr>
          <w:rFonts w:eastAsiaTheme="minorEastAsia"/>
          <w:rtl/>
        </w:rPr>
        <w:t>44</w:t>
      </w:r>
      <w:r w:rsidRPr="001E69EC">
        <w:rPr>
          <w:rFonts w:eastAsiaTheme="minorEastAsia"/>
          <w:rtl/>
        </w:rPr>
        <w:t xml:space="preserve"> من الدستور. ومن ثم فإن البت فيما إذا كان ينبغي إدراج شخص ما في مشروع قانون التجنيس وبالتالي حصوله على الجنسية هو حق حصري للهيئة التشريعية ولا يمكن وصفه بأنه عملية إدارية. ونتيجة لذلك، لا يُعتبر أن لجنة التجنيس ووزارة الهجرة والإدماج والإسكان تؤديان مهام الإدارة العامة في معالجة طلبات التجنس، بما في ذلك رفض طلبات التجنس للأشخاص الذين لا يستوفون الشروط التنظيمية، وقرارات تقديم الطلبات إلى لجنة التجنيس أو رفض تقديمها، فضل</w:t>
      </w:r>
      <w:r w:rsidR="00A03399">
        <w:rPr>
          <w:rFonts w:eastAsiaTheme="minorEastAsia"/>
          <w:rtl/>
        </w:rPr>
        <w:t xml:space="preserve">اً </w:t>
      </w:r>
      <w:r w:rsidRPr="001E69EC">
        <w:rPr>
          <w:rFonts w:eastAsiaTheme="minorEastAsia"/>
          <w:rtl/>
        </w:rPr>
        <w:t xml:space="preserve">عن قرارات تلك اللجنة. على العكس من ذلك، تُصنف هذه التقييمات على أنها إعداد قانون. وعند تقديم حالة إلى لجنة التجنيس، لا يُخطَر مقدم الطلب ولا وزارة الهجرة والإدماج والإسكان بالأسباب التي دفعت اللجنة إلى قبول أو رفض الإعفاء من الشروط المدرجة في مشروع قانون التجنيس. بيد أن </w:t>
      </w:r>
      <w:proofErr w:type="gramStart"/>
      <w:r w:rsidRPr="001E69EC">
        <w:rPr>
          <w:rFonts w:eastAsiaTheme="minorEastAsia"/>
          <w:rtl/>
        </w:rPr>
        <w:t>البرلمان</w:t>
      </w:r>
      <w:proofErr w:type="gramEnd"/>
      <w:r w:rsidRPr="001E69EC">
        <w:rPr>
          <w:rFonts w:eastAsiaTheme="minorEastAsia"/>
          <w:rtl/>
        </w:rPr>
        <w:t xml:space="preserve"> قرر أن تُراعى أحكام قانون الإدارة العامة وغيره من مبادئ الإدارة العامة قدر الإمكان في اتخاذ القرارات أثناء نظر وزارة الهجرة والإدماج والإسكان في طلبات التجنس. وقد أعرب </w:t>
      </w:r>
      <w:proofErr w:type="gramStart"/>
      <w:r w:rsidRPr="001E69EC">
        <w:rPr>
          <w:rFonts w:eastAsiaTheme="minorEastAsia"/>
          <w:rtl/>
        </w:rPr>
        <w:t>البرلمان</w:t>
      </w:r>
      <w:proofErr w:type="gramEnd"/>
      <w:r w:rsidRPr="001E69EC">
        <w:rPr>
          <w:rFonts w:eastAsiaTheme="minorEastAsia"/>
          <w:rtl/>
        </w:rPr>
        <w:t xml:space="preserve"> عن هذا الرأي في قراره رقم </w:t>
      </w:r>
      <w:r w:rsidRPr="00737919">
        <w:rPr>
          <w:rFonts w:eastAsiaTheme="minorEastAsia"/>
          <w:rtl/>
        </w:rPr>
        <w:t>36</w:t>
      </w:r>
      <w:r w:rsidRPr="001E69EC">
        <w:rPr>
          <w:rFonts w:eastAsiaTheme="minorEastAsia"/>
          <w:rtl/>
        </w:rPr>
        <w:t xml:space="preserve"> المؤرخ </w:t>
      </w:r>
      <w:r w:rsidRPr="00737919">
        <w:rPr>
          <w:rFonts w:eastAsiaTheme="minorEastAsia"/>
          <w:rtl/>
        </w:rPr>
        <w:t>15</w:t>
      </w:r>
      <w:r w:rsidRPr="001E69EC">
        <w:rPr>
          <w:rFonts w:eastAsiaTheme="minorEastAsia"/>
          <w:rtl/>
        </w:rPr>
        <w:t xml:space="preserve"> كانون الثاني/يناير </w:t>
      </w:r>
      <w:r w:rsidRPr="00737919">
        <w:rPr>
          <w:rFonts w:eastAsiaTheme="minorEastAsia"/>
          <w:rtl/>
        </w:rPr>
        <w:t>1998</w:t>
      </w:r>
      <w:r w:rsidRPr="001E69EC">
        <w:rPr>
          <w:rFonts w:eastAsiaTheme="minorEastAsia"/>
          <w:rtl/>
        </w:rPr>
        <w:t>، الذي أوعز البرلمان بموجبه إلى الوزارة بالامتثال للاتفاقيات الدولية وضمان مراعاة أحكام قانون الإدارة العامة وغيره من مبادئ الإدارة العامة عند إعداد مشاريع قوانين التجنيس.</w:t>
      </w:r>
      <w:bookmarkStart w:id="10" w:name="_Hlk109927352"/>
      <w:bookmarkEnd w:id="10"/>
    </w:p>
    <w:p w14:paraId="124EFFEF" w14:textId="7D3DD3AE" w:rsidR="001E69EC" w:rsidRPr="00737919" w:rsidRDefault="001E69EC" w:rsidP="001E69EC">
      <w:pPr>
        <w:pStyle w:val="SingleTxtGA"/>
        <w:rPr>
          <w:rFonts w:eastAsiaTheme="minorEastAsia"/>
          <w:bCs/>
          <w:lang w:val="en-US" w:eastAsia="zh-TW" w:bidi="en-GB"/>
        </w:rPr>
      </w:pPr>
      <w:r w:rsidRPr="00737919">
        <w:rPr>
          <w:rFonts w:eastAsiaTheme="minorEastAsia"/>
          <w:rtl/>
        </w:rPr>
        <w:t>4</w:t>
      </w:r>
      <w:r w:rsidRPr="001E69EC">
        <w:rPr>
          <w:rFonts w:eastAsiaTheme="minorEastAsia"/>
          <w:rtl/>
        </w:rPr>
        <w:t>-</w:t>
      </w:r>
      <w:r w:rsidRPr="00737919">
        <w:rPr>
          <w:rFonts w:eastAsiaTheme="minorEastAsia"/>
          <w:rtl/>
        </w:rPr>
        <w:t>9</w:t>
      </w:r>
      <w:r w:rsidRPr="001E69EC">
        <w:rPr>
          <w:rFonts w:eastAsiaTheme="minorEastAsia"/>
          <w:rtl/>
        </w:rPr>
        <w:tab/>
        <w:t>وترى الدولة الطرف أن البلاغ ينبغي اعتباره غير مقبول لعدم استنفاد سبل الانتصاف المحلية.</w:t>
      </w:r>
      <w:r w:rsidR="00405491">
        <w:rPr>
          <w:rFonts w:eastAsiaTheme="minorEastAsia" w:hint="cs"/>
          <w:rtl/>
        </w:rPr>
        <w:t> </w:t>
      </w:r>
      <w:r w:rsidRPr="001E69EC">
        <w:rPr>
          <w:rFonts w:eastAsiaTheme="minorEastAsia" w:hint="cs"/>
          <w:rtl/>
        </w:rPr>
        <w:t>وتحيط</w:t>
      </w:r>
      <w:r w:rsidRPr="001E69EC">
        <w:rPr>
          <w:rFonts w:eastAsiaTheme="minorEastAsia"/>
          <w:rtl/>
        </w:rPr>
        <w:t xml:space="preserve"> </w:t>
      </w:r>
      <w:r w:rsidRPr="001E69EC">
        <w:rPr>
          <w:rFonts w:eastAsiaTheme="minorEastAsia" w:hint="cs"/>
          <w:rtl/>
        </w:rPr>
        <w:t>علما</w:t>
      </w:r>
      <w:r w:rsidRPr="001E69EC">
        <w:rPr>
          <w:rFonts w:eastAsiaTheme="minorEastAsia"/>
          <w:rtl/>
        </w:rPr>
        <w:t>ً بادعاء صاحب البلاغ بأن رسالة الرفض الموجهة من وزارة الهجرة والإدماج والإسكان في</w:t>
      </w:r>
      <w:r w:rsidR="00A03399">
        <w:rPr>
          <w:rFonts w:eastAsiaTheme="minorEastAsia" w:hint="cs"/>
          <w:rtl/>
        </w:rPr>
        <w:t> </w:t>
      </w:r>
      <w:r w:rsidRPr="00737919">
        <w:rPr>
          <w:rFonts w:eastAsiaTheme="minorEastAsia"/>
          <w:rtl/>
        </w:rPr>
        <w:t>27</w:t>
      </w:r>
      <w:r w:rsidRPr="001E69EC">
        <w:rPr>
          <w:rFonts w:eastAsiaTheme="minorEastAsia"/>
          <w:rtl/>
        </w:rPr>
        <w:t xml:space="preserve"> تشرين الأول/أكتوبر </w:t>
      </w:r>
      <w:r w:rsidRPr="00737919">
        <w:rPr>
          <w:rFonts w:eastAsiaTheme="minorEastAsia"/>
          <w:rtl/>
        </w:rPr>
        <w:t>2015</w:t>
      </w:r>
      <w:r w:rsidRPr="001E69EC">
        <w:rPr>
          <w:rFonts w:eastAsiaTheme="minorEastAsia"/>
          <w:rtl/>
        </w:rPr>
        <w:t xml:space="preserve"> أبلغته بأنه لا يحق له الطعن في القرار السلبي المتعلق بطلب التجنس الذي قدمه. وتلاحظ الدولة الطرف أن رسالة الرفض المؤرخة </w:t>
      </w:r>
      <w:r w:rsidRPr="00737919">
        <w:rPr>
          <w:rFonts w:eastAsiaTheme="minorEastAsia"/>
          <w:rtl/>
        </w:rPr>
        <w:t>27</w:t>
      </w:r>
      <w:r w:rsidRPr="001E69EC">
        <w:rPr>
          <w:rFonts w:eastAsiaTheme="minorEastAsia"/>
          <w:rtl/>
        </w:rPr>
        <w:t xml:space="preserve"> تشرين الأول/</w:t>
      </w:r>
      <w:r w:rsidR="00405491">
        <w:rPr>
          <w:rFonts w:eastAsiaTheme="minorEastAsia" w:hint="cs"/>
          <w:rtl/>
        </w:rPr>
        <w:t xml:space="preserve">      </w:t>
      </w:r>
      <w:r w:rsidRPr="001E69EC">
        <w:rPr>
          <w:rFonts w:eastAsiaTheme="minorEastAsia"/>
          <w:rtl/>
        </w:rPr>
        <w:t xml:space="preserve">أكتوبر </w:t>
      </w:r>
      <w:r w:rsidRPr="00737919">
        <w:rPr>
          <w:rFonts w:eastAsiaTheme="minorEastAsia"/>
          <w:rtl/>
        </w:rPr>
        <w:t>2015</w:t>
      </w:r>
      <w:r w:rsidRPr="001E69EC">
        <w:rPr>
          <w:rFonts w:eastAsiaTheme="minorEastAsia"/>
          <w:rtl/>
        </w:rPr>
        <w:t xml:space="preserve"> يُستنتَج منها عدم جواز الطعن في القرارات التي تتخذها لجنة التجنيس أمام </w:t>
      </w:r>
      <w:r>
        <w:rPr>
          <w:rFonts w:eastAsiaTheme="minorEastAsia" w:hint="cs"/>
          <w:rtl/>
        </w:rPr>
        <w:t>"</w:t>
      </w:r>
      <w:r w:rsidRPr="001E69EC">
        <w:rPr>
          <w:rFonts w:eastAsiaTheme="minorEastAsia"/>
          <w:rtl/>
        </w:rPr>
        <w:t>أي سلطة أخرى</w:t>
      </w:r>
      <w:r>
        <w:rPr>
          <w:rFonts w:eastAsiaTheme="minorEastAsia" w:hint="cs"/>
          <w:rtl/>
        </w:rPr>
        <w:t>"</w:t>
      </w:r>
      <w:r w:rsidRPr="001E69EC">
        <w:rPr>
          <w:rFonts w:eastAsiaTheme="minorEastAsia"/>
          <w:rtl/>
        </w:rPr>
        <w:t>. بيد أنها تشير إلى أن مقدم الطلب يظل له الحق، وفق</w:t>
      </w:r>
      <w:r w:rsidR="00405491">
        <w:rPr>
          <w:rFonts w:eastAsiaTheme="minorEastAsia"/>
          <w:rtl/>
        </w:rPr>
        <w:t xml:space="preserve">اً </w:t>
      </w:r>
      <w:r w:rsidRPr="001E69EC">
        <w:rPr>
          <w:rFonts w:eastAsiaTheme="minorEastAsia"/>
          <w:rtl/>
        </w:rPr>
        <w:t xml:space="preserve">لحكم أصدرته المحكمة العليا في </w:t>
      </w:r>
      <w:r w:rsidRPr="00737919">
        <w:rPr>
          <w:rFonts w:eastAsiaTheme="minorEastAsia"/>
          <w:rtl/>
        </w:rPr>
        <w:t>13</w:t>
      </w:r>
      <w:r w:rsidRPr="001E69EC">
        <w:rPr>
          <w:rFonts w:eastAsiaTheme="minorEastAsia"/>
          <w:rtl/>
        </w:rPr>
        <w:t xml:space="preserve"> أيلول/سبتمبر </w:t>
      </w:r>
      <w:r w:rsidRPr="00737919">
        <w:rPr>
          <w:rFonts w:eastAsiaTheme="minorEastAsia"/>
          <w:rtl/>
        </w:rPr>
        <w:t>2013</w:t>
      </w:r>
      <w:r w:rsidRPr="001E69EC">
        <w:rPr>
          <w:rFonts w:eastAsiaTheme="minorEastAsia"/>
          <w:rtl/>
        </w:rPr>
        <w:t xml:space="preserve">، في طلب مراجعة قضائية بموجب المادة </w:t>
      </w:r>
      <w:r w:rsidRPr="00737919">
        <w:rPr>
          <w:rFonts w:eastAsiaTheme="minorEastAsia"/>
          <w:rtl/>
        </w:rPr>
        <w:t>63</w:t>
      </w:r>
      <w:r w:rsidRPr="001E69EC">
        <w:rPr>
          <w:rFonts w:eastAsiaTheme="minorEastAsia"/>
          <w:rtl/>
        </w:rPr>
        <w:t xml:space="preserve"> من الدستور فيما يتعلق بعملية تقديم طلب للتجنس. وقد ذكرت المحكمة العليا في هذا الحكم أن الدولة الطرف قبلت عدداً من الالتزامات بموجب القانون الدولي وافتُرض الامتثال لتلك الالتزامات عندما مارس </w:t>
      </w:r>
      <w:proofErr w:type="gramStart"/>
      <w:r w:rsidRPr="001E69EC">
        <w:rPr>
          <w:rFonts w:eastAsiaTheme="minorEastAsia"/>
          <w:rtl/>
        </w:rPr>
        <w:t>البرلمان</w:t>
      </w:r>
      <w:proofErr w:type="gramEnd"/>
      <w:r w:rsidRPr="001E69EC">
        <w:rPr>
          <w:rFonts w:eastAsiaTheme="minorEastAsia"/>
          <w:rtl/>
        </w:rPr>
        <w:t xml:space="preserve"> ولجنة التجنيس سلطتهما التقديرية فيما يتعلق بقرار ما إذا كان ينبغي منح الجنسية الدانمركية لمقدم الطلب. وذكرت المحكمة العليا كذلك أن مقدمي الطلبات غير المدرجين في قانون التجنيس يمكنهم أن </w:t>
      </w:r>
      <w:r>
        <w:rPr>
          <w:rFonts w:eastAsiaTheme="minorEastAsia" w:hint="cs"/>
          <w:rtl/>
        </w:rPr>
        <w:t>"</w:t>
      </w:r>
      <w:r w:rsidRPr="001E69EC">
        <w:rPr>
          <w:rFonts w:eastAsiaTheme="minorEastAsia"/>
          <w:rtl/>
        </w:rPr>
        <w:t>يطلبوا إلى المحاكم مراجعة ما</w:t>
      </w:r>
      <w:r w:rsidR="00405491">
        <w:rPr>
          <w:rFonts w:eastAsiaTheme="minorEastAsia" w:hint="cs"/>
          <w:rtl/>
        </w:rPr>
        <w:t> </w:t>
      </w:r>
      <w:r w:rsidRPr="001E69EC">
        <w:rPr>
          <w:rFonts w:eastAsiaTheme="minorEastAsia"/>
          <w:rtl/>
        </w:rPr>
        <w:t>إذا</w:t>
      </w:r>
      <w:r w:rsidR="00405491">
        <w:rPr>
          <w:rFonts w:eastAsiaTheme="minorEastAsia" w:hint="cs"/>
          <w:rtl/>
        </w:rPr>
        <w:t> </w:t>
      </w:r>
      <w:r w:rsidRPr="001E69EC">
        <w:rPr>
          <w:rFonts w:eastAsiaTheme="minorEastAsia"/>
          <w:rtl/>
        </w:rPr>
        <w:t xml:space="preserve">كانت الالتزامات بموجب القانون الدولي قد انتُهكت، وما إذا كان لمقدمي الطلبات حق في التعويض عن الأضرار في هذا الصدد. ولا تتعارض هذه المراجعة القضائية مع سلطة الحكومة أو </w:t>
      </w:r>
      <w:proofErr w:type="gramStart"/>
      <w:r w:rsidRPr="001E69EC">
        <w:rPr>
          <w:rFonts w:eastAsiaTheme="minorEastAsia"/>
          <w:rtl/>
        </w:rPr>
        <w:t>البرلمان</w:t>
      </w:r>
      <w:proofErr w:type="gramEnd"/>
      <w:r w:rsidRPr="001E69EC">
        <w:rPr>
          <w:rFonts w:eastAsiaTheme="minorEastAsia"/>
          <w:rtl/>
        </w:rPr>
        <w:t xml:space="preserve"> بموجب المادتين </w:t>
      </w:r>
      <w:r w:rsidRPr="00737919">
        <w:rPr>
          <w:rFonts w:eastAsiaTheme="minorEastAsia"/>
          <w:rtl/>
        </w:rPr>
        <w:t>21</w:t>
      </w:r>
      <w:r w:rsidRPr="001E69EC">
        <w:rPr>
          <w:rFonts w:eastAsiaTheme="minorEastAsia"/>
          <w:rtl/>
        </w:rPr>
        <w:t xml:space="preserve"> و</w:t>
      </w:r>
      <w:r w:rsidRPr="00737919">
        <w:rPr>
          <w:rFonts w:eastAsiaTheme="minorEastAsia"/>
          <w:rtl/>
        </w:rPr>
        <w:t>41</w:t>
      </w:r>
      <w:r w:rsidRPr="001E69EC">
        <w:rPr>
          <w:rFonts w:eastAsiaTheme="minorEastAsia"/>
          <w:rtl/>
        </w:rPr>
        <w:t>(</w:t>
      </w:r>
      <w:r w:rsidRPr="00737919">
        <w:rPr>
          <w:rFonts w:eastAsiaTheme="minorEastAsia"/>
          <w:rtl/>
        </w:rPr>
        <w:t>1</w:t>
      </w:r>
      <w:r w:rsidRPr="001E69EC">
        <w:rPr>
          <w:rFonts w:eastAsiaTheme="minorEastAsia"/>
          <w:rtl/>
        </w:rPr>
        <w:t xml:space="preserve">) من الدستور بشأن تقديم مشاريع القوانين أو بموجب المادة </w:t>
      </w:r>
      <w:r w:rsidRPr="00737919">
        <w:rPr>
          <w:rFonts w:eastAsiaTheme="minorEastAsia"/>
          <w:rtl/>
        </w:rPr>
        <w:t>44</w:t>
      </w:r>
      <w:r w:rsidRPr="001E69EC">
        <w:rPr>
          <w:rFonts w:eastAsiaTheme="minorEastAsia"/>
          <w:rtl/>
        </w:rPr>
        <w:t>(</w:t>
      </w:r>
      <w:r w:rsidRPr="00737919">
        <w:rPr>
          <w:rFonts w:eastAsiaTheme="minorEastAsia"/>
          <w:rtl/>
        </w:rPr>
        <w:t>1</w:t>
      </w:r>
      <w:r w:rsidRPr="001E69EC">
        <w:rPr>
          <w:rFonts w:eastAsiaTheme="minorEastAsia"/>
          <w:rtl/>
        </w:rPr>
        <w:t xml:space="preserve">) من الدستور. وفي المقابل، تمنع هذه الأحكام أي مراجعة قضائية للمطالبات تفيد بأن مقدم الطلب يجب أن يكون مدرجاً </w:t>
      </w:r>
      <w:r w:rsidRPr="001E69EC">
        <w:rPr>
          <w:rFonts w:eastAsiaTheme="minorEastAsia"/>
          <w:rtl/>
        </w:rPr>
        <w:lastRenderedPageBreak/>
        <w:t>في مشروع قانون التجنيس أو يجب منحه الجنسية بموجب القانون</w:t>
      </w:r>
      <w:r>
        <w:rPr>
          <w:rFonts w:eastAsiaTheme="minorEastAsia" w:hint="cs"/>
          <w:rtl/>
        </w:rPr>
        <w:t>"</w:t>
      </w:r>
      <w:r w:rsidRPr="001E69EC">
        <w:rPr>
          <w:rFonts w:eastAsiaTheme="minorEastAsia"/>
          <w:rtl/>
        </w:rPr>
        <w:t xml:space="preserve">. وتجادل الدولة الطرف بأن هذا البلاغ يتعلق بمسألة احتمال الإخلال بالتزاماتها بموجب المادة </w:t>
      </w:r>
      <w:r w:rsidRPr="00737919">
        <w:rPr>
          <w:rFonts w:eastAsiaTheme="minorEastAsia"/>
          <w:rtl/>
        </w:rPr>
        <w:t>26</w:t>
      </w:r>
      <w:r w:rsidRPr="001E69EC">
        <w:rPr>
          <w:rFonts w:eastAsiaTheme="minorEastAsia"/>
          <w:rtl/>
        </w:rPr>
        <w:t xml:space="preserve">، مقروءة بالاقتران مع المادة </w:t>
      </w:r>
      <w:r w:rsidRPr="00737919">
        <w:rPr>
          <w:rFonts w:eastAsiaTheme="minorEastAsia"/>
          <w:rtl/>
        </w:rPr>
        <w:t>2</w:t>
      </w:r>
      <w:r w:rsidRPr="001E69EC">
        <w:rPr>
          <w:rFonts w:eastAsiaTheme="minorEastAsia"/>
          <w:rtl/>
        </w:rPr>
        <w:t>(</w:t>
      </w:r>
      <w:r w:rsidRPr="00737919">
        <w:rPr>
          <w:rFonts w:eastAsiaTheme="minorEastAsia"/>
          <w:rtl/>
        </w:rPr>
        <w:t>1</w:t>
      </w:r>
      <w:r w:rsidRPr="001E69EC">
        <w:rPr>
          <w:rFonts w:eastAsiaTheme="minorEastAsia"/>
          <w:rtl/>
        </w:rPr>
        <w:t xml:space="preserve">)، من العهد فيما يتصل برفض لجنة التجنيس إعفاء صاحب البلاغ من شرط تقديم دليل على إجادته للغة الدانمركية. وتدفع بأن صاحب البلاغ كان بإمكانه، بناءً على ذلك، أن يرفع دعوى أمام المحاكم الدانمركية مدعياً أن رفض منحه إعفاء من شرط تقديم أدلة على إجادة اللغة الدانمركية كان تعسفاً يتنافى مع الحقوق التي يكفلها له العهد. </w:t>
      </w:r>
      <w:bookmarkStart w:id="11" w:name="_Hlk121208791"/>
      <w:bookmarkEnd w:id="11"/>
    </w:p>
    <w:p w14:paraId="7BBD3E13" w14:textId="7141C8CB" w:rsidR="001E69EC" w:rsidRPr="00737919" w:rsidRDefault="001E69EC" w:rsidP="001E69EC">
      <w:pPr>
        <w:pStyle w:val="SingleTxtGA"/>
        <w:rPr>
          <w:rFonts w:eastAsiaTheme="minorEastAsia"/>
          <w:bCs/>
          <w:lang w:val="ar-SA" w:eastAsia="zh-TW" w:bidi="en-GB"/>
        </w:rPr>
      </w:pPr>
      <w:r w:rsidRPr="00737919">
        <w:rPr>
          <w:rFonts w:eastAsiaTheme="minorEastAsia"/>
          <w:rtl/>
        </w:rPr>
        <w:t>4</w:t>
      </w:r>
      <w:r w:rsidRPr="001E69EC">
        <w:rPr>
          <w:rFonts w:eastAsiaTheme="minorEastAsia"/>
          <w:rtl/>
        </w:rPr>
        <w:t>-</w:t>
      </w:r>
      <w:r w:rsidRPr="00737919">
        <w:rPr>
          <w:rFonts w:eastAsiaTheme="minorEastAsia"/>
          <w:rtl/>
        </w:rPr>
        <w:t>10</w:t>
      </w:r>
      <w:r w:rsidRPr="001E69EC">
        <w:rPr>
          <w:rFonts w:eastAsiaTheme="minorEastAsia"/>
          <w:rtl/>
        </w:rPr>
        <w:tab/>
        <w:t>وتدفع الدولة الطرف بأن صاحب البلاغ لم يستنفد سبل الانتصاف المحلية نظراً إلى أنه لم يعرض على المحاكم مسألة احتمال انتهاك الدولة الطرف لالتزاماتها بموجب العهد فيما يتعلق برفض لجنة التجنيس إعفاءه من شرط تقديم دليل على إجادته اللغة الدانمركية قبل تقديم بلاغه إلى هذه اللجنة. وتدفع أيض</w:t>
      </w:r>
      <w:r w:rsidR="00405491">
        <w:rPr>
          <w:rFonts w:eastAsiaTheme="minorEastAsia"/>
          <w:rtl/>
        </w:rPr>
        <w:t xml:space="preserve">اً </w:t>
      </w:r>
      <w:r w:rsidRPr="001E69EC">
        <w:rPr>
          <w:rFonts w:eastAsiaTheme="minorEastAsia"/>
          <w:rtl/>
        </w:rPr>
        <w:t xml:space="preserve">بأن هذا البلاغ يختلف اختلافاً حاسماً عن قضية </w:t>
      </w:r>
      <w:r w:rsidRPr="00737919">
        <w:rPr>
          <w:rFonts w:eastAsiaTheme="minorEastAsia"/>
          <w:i/>
          <w:iCs/>
          <w:rtl/>
        </w:rPr>
        <w:t>ك. ضد الدانمرك</w:t>
      </w:r>
      <w:r w:rsidRPr="001E69EC">
        <w:rPr>
          <w:rFonts w:eastAsiaTheme="minorEastAsia"/>
          <w:rtl/>
        </w:rPr>
        <w:t> نظر</w:t>
      </w:r>
      <w:r w:rsidR="00405491">
        <w:rPr>
          <w:rFonts w:eastAsiaTheme="minorEastAsia"/>
          <w:rtl/>
        </w:rPr>
        <w:t xml:space="preserve">اً </w:t>
      </w:r>
      <w:r w:rsidRPr="001E69EC">
        <w:rPr>
          <w:rFonts w:eastAsiaTheme="minorEastAsia"/>
          <w:rtl/>
        </w:rPr>
        <w:t>إلى أن قرار المحكمة العليا لم يكن قد صدر بعد عند تقديم صاحب البلاغ في تلك القضية شكواه إلى اللجنة.</w:t>
      </w:r>
    </w:p>
    <w:p w14:paraId="26035F55" w14:textId="5BFDAD19" w:rsidR="001E69EC" w:rsidRPr="00737919" w:rsidRDefault="001E69EC" w:rsidP="001E69EC">
      <w:pPr>
        <w:pStyle w:val="SingleTxtGA"/>
        <w:rPr>
          <w:rFonts w:eastAsiaTheme="minorEastAsia"/>
          <w:bCs/>
          <w:lang w:val="en-US" w:eastAsia="zh-TW" w:bidi="en-GB"/>
        </w:rPr>
      </w:pPr>
      <w:r w:rsidRPr="00737919">
        <w:rPr>
          <w:rFonts w:eastAsiaTheme="minorEastAsia"/>
          <w:rtl/>
        </w:rPr>
        <w:t>4</w:t>
      </w:r>
      <w:r w:rsidRPr="001E69EC">
        <w:rPr>
          <w:rFonts w:eastAsiaTheme="minorEastAsia"/>
          <w:rtl/>
        </w:rPr>
        <w:t>-</w:t>
      </w:r>
      <w:r w:rsidRPr="00737919">
        <w:rPr>
          <w:rFonts w:eastAsiaTheme="minorEastAsia"/>
          <w:rtl/>
        </w:rPr>
        <w:t>11</w:t>
      </w:r>
      <w:r w:rsidRPr="001E69EC">
        <w:rPr>
          <w:rFonts w:eastAsiaTheme="minorEastAsia"/>
          <w:rtl/>
        </w:rPr>
        <w:tab/>
        <w:t>وفيما يتعلق بالأسس الموضوعية للبلاغ، تجادل الدولة الطرف بأن العهد لا يسبغ حقاً محدداً في الجنسية، ناهيك عن جنسية معينة، وأن القانون الدولي لا ينشئ أي التزام قائم بذاته على الدول بمنح الجنسية للأشخاص المقيمين بصفة دائمة في إقليمها. بل يحق للدول بموجب القانون الدولي أن تحدد الأشخاص الذين تمنحهم جنسيتها عن طريق التجنيس، وأن تحدد في هذا الصدد شروط الحصول على</w:t>
      </w:r>
      <w:r w:rsidR="00405491">
        <w:rPr>
          <w:rFonts w:eastAsiaTheme="minorEastAsia" w:hint="cs"/>
          <w:rtl/>
        </w:rPr>
        <w:t> </w:t>
      </w:r>
      <w:r w:rsidRPr="001E69EC">
        <w:rPr>
          <w:rFonts w:eastAsiaTheme="minorEastAsia"/>
          <w:rtl/>
        </w:rPr>
        <w:t xml:space="preserve">الجنسية. </w:t>
      </w:r>
    </w:p>
    <w:p w14:paraId="6A6D003D" w14:textId="5DD18DF2" w:rsidR="001E69EC" w:rsidRPr="00737919" w:rsidRDefault="001E69EC" w:rsidP="001E69EC">
      <w:pPr>
        <w:pStyle w:val="SingleTxtGA"/>
        <w:rPr>
          <w:rFonts w:eastAsiaTheme="minorEastAsia"/>
          <w:bCs/>
          <w:lang w:val="ar-SA" w:eastAsia="zh-TW" w:bidi="en-GB"/>
        </w:rPr>
      </w:pPr>
      <w:r w:rsidRPr="00737919">
        <w:rPr>
          <w:rFonts w:eastAsiaTheme="minorEastAsia"/>
          <w:rtl/>
        </w:rPr>
        <w:t>4</w:t>
      </w:r>
      <w:r w:rsidRPr="001E69EC">
        <w:rPr>
          <w:rFonts w:eastAsiaTheme="minorEastAsia"/>
          <w:rtl/>
        </w:rPr>
        <w:t>-</w:t>
      </w:r>
      <w:r w:rsidRPr="00737919">
        <w:rPr>
          <w:rFonts w:eastAsiaTheme="minorEastAsia"/>
          <w:rtl/>
        </w:rPr>
        <w:t>12</w:t>
      </w:r>
      <w:r w:rsidRPr="001E69EC">
        <w:rPr>
          <w:rFonts w:eastAsiaTheme="minorEastAsia"/>
          <w:rtl/>
        </w:rPr>
        <w:tab/>
        <w:t xml:space="preserve">وتشير الدولة الطرف إلى أن المبادئ التوجيهية العامة المتعلقة بشروط إدراج مقدمي الطلبات في مشاريع قوانين التجنيس منصوص عليها في التعميم المنطبق بشأن التجنيس، الذي وافقت عليه أغلبية </w:t>
      </w:r>
      <w:proofErr w:type="gramStart"/>
      <w:r w:rsidRPr="001E69EC">
        <w:rPr>
          <w:rFonts w:eastAsiaTheme="minorEastAsia"/>
          <w:rtl/>
        </w:rPr>
        <w:t>البرلمان</w:t>
      </w:r>
      <w:proofErr w:type="gramEnd"/>
      <w:r w:rsidRPr="001E69EC">
        <w:rPr>
          <w:rFonts w:eastAsiaTheme="minorEastAsia"/>
          <w:rtl/>
        </w:rPr>
        <w:t xml:space="preserve">. وفي حالة صاحب البلاغ، فإن النص المنطبق هو التعميم رقم </w:t>
      </w:r>
      <w:r w:rsidRPr="00737919">
        <w:rPr>
          <w:rFonts w:eastAsiaTheme="minorEastAsia"/>
          <w:rtl/>
        </w:rPr>
        <w:t>9253</w:t>
      </w:r>
      <w:r w:rsidRPr="001E69EC">
        <w:rPr>
          <w:rFonts w:eastAsiaTheme="minorEastAsia"/>
          <w:rtl/>
        </w:rPr>
        <w:t>. ولهذا السبب، لا صحة لادعاء صاحب البلاغ في بلاغه أن طلب التجنس الذي قدمه نُظر فيه بموجب أحكام التعميم رقم</w:t>
      </w:r>
      <w:r w:rsidR="00405491">
        <w:rPr>
          <w:rFonts w:eastAsiaTheme="minorEastAsia" w:hint="cs"/>
          <w:rtl/>
        </w:rPr>
        <w:t> </w:t>
      </w:r>
      <w:r w:rsidRPr="00737919">
        <w:rPr>
          <w:rFonts w:eastAsiaTheme="minorEastAsia"/>
          <w:rtl/>
        </w:rPr>
        <w:t>10873</w:t>
      </w:r>
      <w:r w:rsidRPr="001E69EC">
        <w:rPr>
          <w:rFonts w:eastAsiaTheme="minorEastAsia"/>
          <w:rtl/>
        </w:rPr>
        <w:t xml:space="preserve"> لأن التعميم رقم </w:t>
      </w:r>
      <w:r w:rsidRPr="00737919">
        <w:rPr>
          <w:rFonts w:eastAsiaTheme="minorEastAsia"/>
          <w:rtl/>
        </w:rPr>
        <w:t>9253</w:t>
      </w:r>
      <w:r w:rsidRPr="001E69EC">
        <w:rPr>
          <w:rFonts w:eastAsiaTheme="minorEastAsia"/>
          <w:rtl/>
        </w:rPr>
        <w:t xml:space="preserve"> كان لا يزال سارياً عند نظر لجنة التجنيس في طلب صاحب البلاغ. وتلاحظ الدولة الطرف أنها اختارت ألا يكون لديها قانون عام للجنسية تمنح بموجبه السلطات الإدارية الجنسية. وبدل</w:t>
      </w:r>
      <w:r w:rsidR="00405491">
        <w:rPr>
          <w:rFonts w:eastAsiaTheme="minorEastAsia"/>
          <w:rtl/>
        </w:rPr>
        <w:t xml:space="preserve">اً </w:t>
      </w:r>
      <w:r w:rsidRPr="001E69EC">
        <w:rPr>
          <w:rFonts w:eastAsiaTheme="minorEastAsia"/>
          <w:rtl/>
        </w:rPr>
        <w:t>من ذلك، فإن منح الجنسية الدانمركية من خلال التجنيس هو امتياز حصري للسلطة التشريعية.</w:t>
      </w:r>
    </w:p>
    <w:p w14:paraId="72AF257C" w14:textId="460F3BD4" w:rsidR="001E69EC" w:rsidRPr="00737919" w:rsidRDefault="001E69EC" w:rsidP="001E69EC">
      <w:pPr>
        <w:pStyle w:val="SingleTxtGA"/>
        <w:rPr>
          <w:rFonts w:eastAsiaTheme="minorEastAsia"/>
          <w:bCs/>
          <w:lang w:val="ar-SA" w:eastAsia="zh-TW" w:bidi="en-GB"/>
        </w:rPr>
      </w:pPr>
      <w:r w:rsidRPr="00737919">
        <w:rPr>
          <w:rFonts w:eastAsiaTheme="minorEastAsia"/>
          <w:rtl/>
        </w:rPr>
        <w:t>4</w:t>
      </w:r>
      <w:r w:rsidRPr="001E69EC">
        <w:rPr>
          <w:rFonts w:eastAsiaTheme="minorEastAsia"/>
          <w:rtl/>
        </w:rPr>
        <w:t>-</w:t>
      </w:r>
      <w:r w:rsidRPr="00737919">
        <w:rPr>
          <w:rFonts w:eastAsiaTheme="minorEastAsia"/>
          <w:rtl/>
        </w:rPr>
        <w:t>13</w:t>
      </w:r>
      <w:r w:rsidRPr="001E69EC">
        <w:rPr>
          <w:rFonts w:eastAsiaTheme="minorEastAsia"/>
          <w:rtl/>
        </w:rPr>
        <w:tab/>
        <w:t xml:space="preserve">وتدفع الدولة الطرف بأن الدول تتمتع بهامش واسع من السلطة التقديرية عند وضع الشروط التي تراها ضرورية للحصول على الجنسية لضمان وجود صلة حقيقية بين الدولة والأفراد الذين يطلبون الحصول على جنسيتها. وقد اختار </w:t>
      </w:r>
      <w:proofErr w:type="gramStart"/>
      <w:r w:rsidRPr="001E69EC">
        <w:rPr>
          <w:rFonts w:eastAsiaTheme="minorEastAsia"/>
          <w:rtl/>
        </w:rPr>
        <w:t>البرلمان</w:t>
      </w:r>
      <w:proofErr w:type="gramEnd"/>
      <w:r w:rsidRPr="001E69EC">
        <w:rPr>
          <w:rFonts w:eastAsiaTheme="minorEastAsia"/>
          <w:rtl/>
        </w:rPr>
        <w:t>، لدى وضع هذه الشروط، أن يولي اهتمام</w:t>
      </w:r>
      <w:r w:rsidR="00405491">
        <w:rPr>
          <w:rFonts w:eastAsiaTheme="minorEastAsia"/>
          <w:rtl/>
        </w:rPr>
        <w:t xml:space="preserve">اً </w:t>
      </w:r>
      <w:r w:rsidRPr="001E69EC">
        <w:rPr>
          <w:rFonts w:eastAsiaTheme="minorEastAsia"/>
          <w:rtl/>
        </w:rPr>
        <w:t>خاصة بمهارات اللغة الدانمركية. وهو يرى أن مهارات اللغة الدانمركية، مقترنة بمعرفة المجتمع الدانمركي وثقافته وتاريخه، تتسم بأهمية حاسمة للاندماج في المجتمع الدانمركي، ولذلك يجب اعتبار هذين الشرطين مشروعين. وللسبب نفسه، لا تُمنح الإعفاءات إلا في حالات استثنائية. وتشدد الدولة الطرف أيض</w:t>
      </w:r>
      <w:r w:rsidR="00405491">
        <w:rPr>
          <w:rFonts w:eastAsiaTheme="minorEastAsia"/>
          <w:rtl/>
        </w:rPr>
        <w:t xml:space="preserve">اً </w:t>
      </w:r>
      <w:r w:rsidRPr="001E69EC">
        <w:rPr>
          <w:rFonts w:eastAsiaTheme="minorEastAsia"/>
          <w:rtl/>
        </w:rPr>
        <w:t xml:space="preserve">على أن الأشخاص الذين يحملون تصاريح إقامة دائمة سارية يتمتعون بنفس الحقوق التي يتمتع بها المواطنون </w:t>
      </w:r>
      <w:proofErr w:type="spellStart"/>
      <w:r w:rsidRPr="001E69EC">
        <w:rPr>
          <w:rFonts w:eastAsiaTheme="minorEastAsia"/>
          <w:rtl/>
        </w:rPr>
        <w:t>الدانمركيون</w:t>
      </w:r>
      <w:proofErr w:type="spellEnd"/>
      <w:r w:rsidRPr="001E69EC">
        <w:rPr>
          <w:rFonts w:eastAsiaTheme="minorEastAsia"/>
          <w:rtl/>
        </w:rPr>
        <w:t xml:space="preserve"> في معظم جوانب الحياة في المجتمع. وعلى هذا الأساس، تكون معظم الحقوق والمسؤوليات المنصوص عليها في التشريعات الدانمركية مرهونة بالإقامة في الدانمرك وليس بجنسية الشخص المعني. </w:t>
      </w:r>
    </w:p>
    <w:p w14:paraId="443DF384" w14:textId="1B175AE8" w:rsidR="001E69EC" w:rsidRPr="00737919" w:rsidRDefault="001E69EC" w:rsidP="001E69EC">
      <w:pPr>
        <w:pStyle w:val="SingleTxtGA"/>
        <w:rPr>
          <w:rFonts w:eastAsiaTheme="minorEastAsia"/>
          <w:bCs/>
          <w:lang w:val="ar-SA" w:eastAsia="zh-TW" w:bidi="en-GB"/>
        </w:rPr>
      </w:pPr>
      <w:r w:rsidRPr="00737919">
        <w:rPr>
          <w:rFonts w:eastAsiaTheme="minorEastAsia"/>
          <w:rtl/>
        </w:rPr>
        <w:t>4</w:t>
      </w:r>
      <w:r w:rsidRPr="001E69EC">
        <w:rPr>
          <w:rFonts w:eastAsiaTheme="minorEastAsia"/>
          <w:rtl/>
        </w:rPr>
        <w:t>-</w:t>
      </w:r>
      <w:r w:rsidRPr="00737919">
        <w:rPr>
          <w:rFonts w:eastAsiaTheme="minorEastAsia"/>
          <w:rtl/>
        </w:rPr>
        <w:t>14</w:t>
      </w:r>
      <w:r w:rsidRPr="001E69EC">
        <w:rPr>
          <w:rFonts w:eastAsiaTheme="minorEastAsia"/>
          <w:rtl/>
        </w:rPr>
        <w:tab/>
        <w:t xml:space="preserve">وتعترض الدولة الطرف على ادعاء صاحب البلاغ أنه حرم من الحق في المساواة أمام القانون وتدفع بأنه لم يقدم أي دليل يشير إلى أن مقدمي الطلبات الآخرين ذوي الأوضاع المشابهة لوضعه </w:t>
      </w:r>
      <w:proofErr w:type="spellStart"/>
      <w:r w:rsidRPr="001E69EC">
        <w:rPr>
          <w:rFonts w:eastAsiaTheme="minorEastAsia"/>
          <w:rtl/>
        </w:rPr>
        <w:t>لقيوا</w:t>
      </w:r>
      <w:proofErr w:type="spellEnd"/>
      <w:r w:rsidRPr="001E69EC">
        <w:rPr>
          <w:rFonts w:eastAsiaTheme="minorEastAsia"/>
          <w:rtl/>
        </w:rPr>
        <w:t xml:space="preserve"> معاملة أفضل منه. وتجادل بأن إثبات إجادة اللغة الدانمركية شرط مشروع ومتناسب مع الحصول على الجنسية الدانمركية. وعلاوة على ذلك، فإن شروط الإدراج في مشروع قانون التجنيس، المنصوص عليها في التعميم رقم </w:t>
      </w:r>
      <w:r w:rsidRPr="00737919">
        <w:rPr>
          <w:rFonts w:eastAsiaTheme="minorEastAsia"/>
          <w:rtl/>
        </w:rPr>
        <w:t>9253</w:t>
      </w:r>
      <w:r w:rsidRPr="001E69EC">
        <w:rPr>
          <w:rFonts w:eastAsiaTheme="minorEastAsia"/>
          <w:rtl/>
        </w:rPr>
        <w:t>، فضل</w:t>
      </w:r>
      <w:r w:rsidR="00405491">
        <w:rPr>
          <w:rFonts w:eastAsiaTheme="minorEastAsia"/>
          <w:rtl/>
        </w:rPr>
        <w:t xml:space="preserve">اً </w:t>
      </w:r>
      <w:r w:rsidRPr="001E69EC">
        <w:rPr>
          <w:rFonts w:eastAsiaTheme="minorEastAsia"/>
          <w:rtl/>
        </w:rPr>
        <w:t xml:space="preserve">عن الظروف الاستثنائية التي يمكن منح الإعفاءات فيها، شفافة وموصوفة بوضوح وتسري على جميع المتقدمين للحصول على الجنسية عن طريق التجنس على قدم المساواة، بمن </w:t>
      </w:r>
      <w:r w:rsidRPr="001E69EC">
        <w:rPr>
          <w:rFonts w:eastAsiaTheme="minorEastAsia"/>
          <w:rtl/>
        </w:rPr>
        <w:lastRenderedPageBreak/>
        <w:t xml:space="preserve">فيهم صاحب البلاغ. وتشير الدولة الطرف إلى أن مسألة ما إذا كان ينبغي منح إعفاء من شرط تقديم دليل على إجادة اللغة الدانمركية لا تُعرض على لجنة التجنيس، كما ينص التعميم رقم </w:t>
      </w:r>
      <w:r w:rsidRPr="00737919">
        <w:rPr>
          <w:rFonts w:eastAsiaTheme="minorEastAsia"/>
          <w:rtl/>
        </w:rPr>
        <w:t>9253</w:t>
      </w:r>
      <w:r w:rsidRPr="001E69EC">
        <w:rPr>
          <w:rFonts w:eastAsiaTheme="minorEastAsia"/>
          <w:rtl/>
        </w:rPr>
        <w:t>، إلا عندما تستدعي ذلك ظروف استثنائية في الحالات المرضية الشديدة. ولا تتوافر مثل هذه الظروف الاستثنائية إلا</w:t>
      </w:r>
      <w:r w:rsidR="00405491">
        <w:rPr>
          <w:rFonts w:eastAsiaTheme="minorEastAsia" w:hint="cs"/>
          <w:rtl/>
        </w:rPr>
        <w:t> </w:t>
      </w:r>
      <w:r w:rsidRPr="001E69EC">
        <w:rPr>
          <w:rFonts w:eastAsiaTheme="minorEastAsia"/>
          <w:rtl/>
        </w:rPr>
        <w:t xml:space="preserve">في عدد محدود من الطلبات. وعلاوة على ذلك، لا يمنح الإعفاء إلا في قلة من الحالات المعروضة على لجنة التجنيس. </w:t>
      </w:r>
      <w:bookmarkStart w:id="12" w:name="_Hlk121209219"/>
      <w:bookmarkEnd w:id="12"/>
    </w:p>
    <w:p w14:paraId="17B3F755" w14:textId="77777777" w:rsidR="001E69EC" w:rsidRPr="00737919" w:rsidRDefault="001E69EC" w:rsidP="001E69EC">
      <w:pPr>
        <w:pStyle w:val="SingleTxtGA"/>
        <w:rPr>
          <w:rFonts w:eastAsiaTheme="minorEastAsia"/>
          <w:bCs/>
          <w:lang w:val="ar-SA" w:eastAsia="zh-TW" w:bidi="en-GB"/>
        </w:rPr>
      </w:pPr>
      <w:r w:rsidRPr="00737919">
        <w:rPr>
          <w:rFonts w:eastAsiaTheme="minorEastAsia"/>
          <w:rtl/>
        </w:rPr>
        <w:t>4</w:t>
      </w:r>
      <w:r w:rsidRPr="001E69EC">
        <w:rPr>
          <w:rFonts w:eastAsiaTheme="minorEastAsia"/>
          <w:rtl/>
        </w:rPr>
        <w:t>-</w:t>
      </w:r>
      <w:r w:rsidRPr="00737919">
        <w:rPr>
          <w:rFonts w:eastAsiaTheme="minorEastAsia"/>
          <w:rtl/>
        </w:rPr>
        <w:t>15</w:t>
      </w:r>
      <w:r w:rsidRPr="001E69EC">
        <w:rPr>
          <w:rFonts w:eastAsiaTheme="minorEastAsia"/>
          <w:rtl/>
        </w:rPr>
        <w:tab/>
        <w:t xml:space="preserve">وتجادل الدولة الطرف بأن طلب التجنيس الذي قدمه صاحب البلاغ قد عولج بنفس الطريقة التي عولجت بها جميع طلبات التجنس الأخرى المقدمة من مقدمي الطلبات ذوي الأوضاع المشابهة لوضع صاحب البلاغ. وقام كل من لجنة التجنيس ووزارة الهجرة والإدماج والإسكان بتقييم واف لطلب الإعفاء من شرط تقديم دليل على إجادة اللغة الدانمركية. وتشير الدولة الطرف إلى أن عدم اتفاق صاحب البلاغ مع تقدير لجنة التجنيس أن حالة صاحب البلاغ لا تشكل حالة استثنائية تبرر الإعفاء من امتحان الكفاءة اللغوية لا يعني أن قرار لجنة التجنيس كان قراراً تمييزياً. وتجادل الدولة الطرف بأن صاحب البلاغ لم يبين الأسس التي بُني عليها زعمه التمييز في حالته؛ كما أنه لم يقدم أي دليل يشير إلى أن مقدمي الطلبات الآخرين ذوي الأوضاع المشابهة لوضعه </w:t>
      </w:r>
      <w:proofErr w:type="spellStart"/>
      <w:r w:rsidRPr="001E69EC">
        <w:rPr>
          <w:rFonts w:eastAsiaTheme="minorEastAsia"/>
          <w:rtl/>
        </w:rPr>
        <w:t>لقيوا</w:t>
      </w:r>
      <w:proofErr w:type="spellEnd"/>
      <w:r w:rsidRPr="001E69EC">
        <w:rPr>
          <w:rFonts w:eastAsiaTheme="minorEastAsia"/>
          <w:rtl/>
        </w:rPr>
        <w:t xml:space="preserve"> معاملة أفضل منه. </w:t>
      </w:r>
    </w:p>
    <w:p w14:paraId="6E242C54" w14:textId="5C8CA089" w:rsidR="001E69EC" w:rsidRPr="00737919" w:rsidRDefault="001E69EC" w:rsidP="0034180D">
      <w:pPr>
        <w:pStyle w:val="SingleTxtGA"/>
        <w:rPr>
          <w:bCs/>
          <w:lang w:val="ar-SA" w:eastAsia="zh-TW" w:bidi="en-GB"/>
        </w:rPr>
      </w:pPr>
      <w:r w:rsidRPr="00737919">
        <w:rPr>
          <w:rtl/>
        </w:rPr>
        <w:t>4</w:t>
      </w:r>
      <w:r w:rsidRPr="001E69EC">
        <w:rPr>
          <w:rtl/>
        </w:rPr>
        <w:t>-</w:t>
      </w:r>
      <w:r w:rsidRPr="00737919">
        <w:rPr>
          <w:rtl/>
        </w:rPr>
        <w:t>16</w:t>
      </w:r>
      <w:r w:rsidRPr="001E69EC">
        <w:rPr>
          <w:rtl/>
        </w:rPr>
        <w:tab/>
        <w:t>وأخيرا، تشير الدولة الطرف إلى أنها، فيما يتعلق بالنظر في طلبات التجنس بموجب قانون، تولي الاعتبار الواجب للظروف الخاصة للأشخاص المعترف بهم بوصفهم لاجئين، والأشخاص الذين تتشابه أوضاعهم مع أوضاع هؤلاء الأفراد، والأشخاص عديمي الجنسية. فعلى سبيل المثال، يمكن إدراج أسماء هؤلاء الأشخاص في مشروع قانون التجنيس بعد ثماني سنوات متتالية من الإقامة في الدانمرك، مقابل الشرط العام المتمثل في الإقامة تسع سنوات متتالية. وفيما يتعلق بشرط تقديم دليل على إجادة اللغة الدانمركية، تشير الدولة الطرف إلى أنها تدرك أن اللاجئين المصابين بصدمات نفسية قد يحتاجون إلى مساعدة خاصة لإكمال برنامج تعليم اللغة الدانمركية. وفي مثل هذه الحالات، يتم تكييف الفصول الدراسية خصيص</w:t>
      </w:r>
      <w:r w:rsidR="00405491">
        <w:rPr>
          <w:rtl/>
        </w:rPr>
        <w:t xml:space="preserve">اً </w:t>
      </w:r>
      <w:r w:rsidRPr="001E69EC">
        <w:rPr>
          <w:rtl/>
        </w:rPr>
        <w:t>لهذه المجموعة من المتقدمين. وتلاحظ أيض</w:t>
      </w:r>
      <w:r w:rsidR="00405491">
        <w:rPr>
          <w:rtl/>
        </w:rPr>
        <w:t xml:space="preserve">اً </w:t>
      </w:r>
      <w:r w:rsidRPr="001E69EC">
        <w:rPr>
          <w:rtl/>
        </w:rPr>
        <w:t xml:space="preserve">أن من الممكن تقديم طلب للحصول على إعفاء من إجراءات الاختبار العامة لإتاحة وقت أطول للاختبار، ووجود شخص آخر للمساعدة، واستخدام التكنولوجيا المساعدة وغيرها من التدابير العملية فيما يتعلق بالاختبارات من قبيل امتحان اللغة الدانمركية </w:t>
      </w:r>
      <w:r w:rsidRPr="001B491C">
        <w:rPr>
          <w:rtl/>
        </w:rPr>
        <w:t>من المستوى الثاني واختبار</w:t>
      </w:r>
      <w:r w:rsidRPr="001E69EC">
        <w:rPr>
          <w:rtl/>
        </w:rPr>
        <w:t xml:space="preserve"> المواطنة. إلا أن هذا الإعفاء لا يجوز أن يخفض مستوى الاختبار أو أن يكون له تأثير على تقييم أداء مقدم الطلب.</w:t>
      </w:r>
    </w:p>
    <w:p w14:paraId="7CC5720C" w14:textId="77777777" w:rsidR="001E69EC" w:rsidRPr="00737919" w:rsidRDefault="001E69EC" w:rsidP="00405491">
      <w:pPr>
        <w:pStyle w:val="H23GA"/>
        <w:rPr>
          <w:lang w:val="ar-SA" w:eastAsia="zh-TW" w:bidi="en-GB"/>
        </w:rPr>
      </w:pPr>
      <w:r w:rsidRPr="00737919">
        <w:rPr>
          <w:rtl/>
        </w:rPr>
        <w:tab/>
      </w:r>
      <w:r w:rsidRPr="00737919">
        <w:rPr>
          <w:rtl/>
        </w:rPr>
        <w:tab/>
        <w:t>تعليقات صاحب البلاغ على ملاحظات الدولة الطرف بشأن مقبولية البلاغ وأسسه الموضوعية</w:t>
      </w:r>
    </w:p>
    <w:p w14:paraId="3DB526FA" w14:textId="77777777" w:rsidR="001E69EC" w:rsidRPr="00737919" w:rsidRDefault="001E69EC" w:rsidP="001E69EC">
      <w:pPr>
        <w:pStyle w:val="SingleTxtGA"/>
        <w:rPr>
          <w:rFonts w:eastAsiaTheme="minorEastAsia"/>
          <w:bCs/>
          <w:lang w:val="ar-SA" w:eastAsia="zh-TW" w:bidi="en-GB"/>
        </w:rPr>
      </w:pPr>
      <w:r w:rsidRPr="00737919">
        <w:rPr>
          <w:rFonts w:eastAsiaTheme="minorEastAsia"/>
          <w:rtl/>
        </w:rPr>
        <w:t>5</w:t>
      </w:r>
      <w:r w:rsidRPr="001E69EC">
        <w:rPr>
          <w:rFonts w:eastAsiaTheme="minorEastAsia"/>
          <w:rtl/>
        </w:rPr>
        <w:t>-</w:t>
      </w:r>
      <w:r w:rsidRPr="00737919">
        <w:rPr>
          <w:rFonts w:eastAsiaTheme="minorEastAsia"/>
          <w:rtl/>
        </w:rPr>
        <w:t>1</w:t>
      </w:r>
      <w:r w:rsidRPr="001E69EC">
        <w:rPr>
          <w:rFonts w:eastAsiaTheme="minorEastAsia"/>
          <w:rtl/>
        </w:rPr>
        <w:tab/>
        <w:t xml:space="preserve">في </w:t>
      </w:r>
      <w:r w:rsidRPr="00737919">
        <w:rPr>
          <w:rFonts w:eastAsiaTheme="minorEastAsia"/>
          <w:rtl/>
        </w:rPr>
        <w:t>2</w:t>
      </w:r>
      <w:r w:rsidRPr="001E69EC">
        <w:rPr>
          <w:rFonts w:eastAsiaTheme="minorEastAsia"/>
          <w:rtl/>
        </w:rPr>
        <w:t xml:space="preserve"> أيلول/سبتمبر </w:t>
      </w:r>
      <w:r w:rsidRPr="00737919">
        <w:rPr>
          <w:rFonts w:eastAsiaTheme="minorEastAsia"/>
          <w:rtl/>
        </w:rPr>
        <w:t>2019</w:t>
      </w:r>
      <w:r w:rsidRPr="001E69EC">
        <w:rPr>
          <w:rFonts w:eastAsiaTheme="minorEastAsia"/>
          <w:rtl/>
        </w:rPr>
        <w:t>، قدم صاحب البلاغ تعليقاته على ملاحظات الدولة الطرف. ويصرُّ فيها على أن البلاغ مقبول.</w:t>
      </w:r>
    </w:p>
    <w:p w14:paraId="69A51EF5" w14:textId="77777777" w:rsidR="001E69EC" w:rsidRPr="00737919" w:rsidRDefault="001E69EC" w:rsidP="001E69EC">
      <w:pPr>
        <w:pStyle w:val="SingleTxtGA"/>
        <w:rPr>
          <w:rFonts w:eastAsiaTheme="minorEastAsia"/>
          <w:bCs/>
          <w:lang w:val="ar-SA" w:eastAsia="zh-TW" w:bidi="en-GB"/>
        </w:rPr>
      </w:pPr>
      <w:r w:rsidRPr="00737919">
        <w:rPr>
          <w:rFonts w:eastAsiaTheme="minorEastAsia"/>
          <w:rtl/>
        </w:rPr>
        <w:t>5</w:t>
      </w:r>
      <w:r w:rsidRPr="001E69EC">
        <w:rPr>
          <w:rFonts w:eastAsiaTheme="minorEastAsia"/>
          <w:rtl/>
        </w:rPr>
        <w:t>-</w:t>
      </w:r>
      <w:r w:rsidRPr="00737919">
        <w:rPr>
          <w:rFonts w:eastAsiaTheme="minorEastAsia"/>
          <w:rtl/>
        </w:rPr>
        <w:t>2</w:t>
      </w:r>
      <w:r w:rsidRPr="001E69EC">
        <w:rPr>
          <w:rFonts w:eastAsiaTheme="minorEastAsia"/>
          <w:rtl/>
        </w:rPr>
        <w:tab/>
        <w:t xml:space="preserve">ويكرر صاحب البلاغ ادعاءه بأنه شخص يعاني من إعاقة وأن رفض طلبه الحصول على الجنسية دون إمكانية إعفائه من شرط اللغة كان لذلك قراراً تمييزياً. ويدفع بأن رفض طلب التجنس الذي قدمه كان، بناءً على ذلك، تعسفياً وتمييزياً. </w:t>
      </w:r>
    </w:p>
    <w:p w14:paraId="7EA18A8C" w14:textId="63D2CB68" w:rsidR="001E69EC" w:rsidRPr="00737919" w:rsidRDefault="001E69EC" w:rsidP="001E69EC">
      <w:pPr>
        <w:pStyle w:val="SingleTxtGA"/>
        <w:rPr>
          <w:rFonts w:eastAsiaTheme="minorEastAsia"/>
          <w:bCs/>
          <w:lang w:val="ar-SA" w:eastAsia="zh-TW" w:bidi="en-GB"/>
        </w:rPr>
      </w:pPr>
      <w:r w:rsidRPr="00737919">
        <w:rPr>
          <w:rFonts w:eastAsiaTheme="minorEastAsia"/>
          <w:rtl/>
        </w:rPr>
        <w:t>5</w:t>
      </w:r>
      <w:r w:rsidRPr="001E69EC">
        <w:rPr>
          <w:rFonts w:eastAsiaTheme="minorEastAsia"/>
          <w:rtl/>
        </w:rPr>
        <w:t>-</w:t>
      </w:r>
      <w:r w:rsidRPr="00737919">
        <w:rPr>
          <w:rFonts w:eastAsiaTheme="minorEastAsia"/>
          <w:rtl/>
        </w:rPr>
        <w:t>3</w:t>
      </w:r>
      <w:r w:rsidRPr="001E69EC">
        <w:rPr>
          <w:rFonts w:eastAsiaTheme="minorEastAsia"/>
          <w:rtl/>
        </w:rPr>
        <w:tab/>
        <w:t>ويكرر صاحب البلاغ دفعه بأنه لم يكن متاح</w:t>
      </w:r>
      <w:r w:rsidR="00405491">
        <w:rPr>
          <w:rFonts w:eastAsiaTheme="minorEastAsia"/>
          <w:rtl/>
        </w:rPr>
        <w:t xml:space="preserve">اً </w:t>
      </w:r>
      <w:r w:rsidRPr="001E69EC">
        <w:rPr>
          <w:rFonts w:eastAsiaTheme="minorEastAsia"/>
          <w:rtl/>
        </w:rPr>
        <w:t xml:space="preserve">له أي سبل انتصاف محلية فعالة. ويجادل بأن حكم المحكمة العليا لعام </w:t>
      </w:r>
      <w:r w:rsidRPr="00737919">
        <w:rPr>
          <w:rFonts w:eastAsiaTheme="minorEastAsia"/>
          <w:rtl/>
        </w:rPr>
        <w:t>2013</w:t>
      </w:r>
      <w:r w:rsidRPr="001E69EC">
        <w:rPr>
          <w:rFonts w:eastAsiaTheme="minorEastAsia"/>
          <w:rtl/>
        </w:rPr>
        <w:t xml:space="preserve"> لا ينطبق على قضيته لأن القضية المعروضة على المحكمة العليا </w:t>
      </w:r>
      <w:r>
        <w:rPr>
          <w:rFonts w:eastAsiaTheme="minorEastAsia" w:hint="cs"/>
          <w:rtl/>
        </w:rPr>
        <w:t>"</w:t>
      </w:r>
      <w:r w:rsidRPr="001E69EC">
        <w:rPr>
          <w:rFonts w:eastAsiaTheme="minorEastAsia"/>
          <w:rtl/>
        </w:rPr>
        <w:t>لم</w:t>
      </w:r>
      <w:r>
        <w:rPr>
          <w:rFonts w:eastAsiaTheme="minorEastAsia" w:hint="cs"/>
          <w:rtl/>
        </w:rPr>
        <w:t> </w:t>
      </w:r>
      <w:r w:rsidRPr="001E69EC">
        <w:rPr>
          <w:rFonts w:eastAsiaTheme="minorEastAsia"/>
          <w:rtl/>
        </w:rPr>
        <w:t xml:space="preserve">تكن قضية محل نظر </w:t>
      </w:r>
      <w:proofErr w:type="gramStart"/>
      <w:r w:rsidRPr="001E69EC">
        <w:rPr>
          <w:rFonts w:eastAsiaTheme="minorEastAsia"/>
          <w:rtl/>
        </w:rPr>
        <w:t>البرلمان</w:t>
      </w:r>
      <w:proofErr w:type="gramEnd"/>
      <w:r w:rsidRPr="001E69EC">
        <w:rPr>
          <w:rFonts w:eastAsiaTheme="minorEastAsia"/>
          <w:rtl/>
        </w:rPr>
        <w:t xml:space="preserve"> الدانمركي وإنما محل نظر الوزارة ’فحسب‘</w:t>
      </w:r>
      <w:r>
        <w:rPr>
          <w:rFonts w:eastAsiaTheme="minorEastAsia" w:hint="cs"/>
          <w:rtl/>
        </w:rPr>
        <w:t>"</w:t>
      </w:r>
      <w:r w:rsidRPr="001E69EC">
        <w:rPr>
          <w:rFonts w:eastAsiaTheme="minorEastAsia"/>
          <w:rtl/>
        </w:rPr>
        <w:t xml:space="preserve"> وتتعلق بقرار اتخذته وزارة شؤون اللاجئين والهجرة والإدماج بمفردها. وعلاوة على ذلك، يشير صاحب البلاغ إلى أنه لم يكن في إمكانه على أي حال أن يطلب إجراء مراجعة قضائية للقرار السلبي لأنه لم يكن على علم بمبرر اللجنة في حالته، نظر</w:t>
      </w:r>
      <w:r w:rsidR="00405491">
        <w:rPr>
          <w:rFonts w:eastAsiaTheme="minorEastAsia"/>
          <w:rtl/>
        </w:rPr>
        <w:t xml:space="preserve">اً </w:t>
      </w:r>
      <w:r w:rsidRPr="001E69EC">
        <w:rPr>
          <w:rFonts w:eastAsiaTheme="minorEastAsia"/>
          <w:rtl/>
        </w:rPr>
        <w:t>لسرية المداولات التي تُجرى في لجنة التجنيس.</w:t>
      </w:r>
    </w:p>
    <w:p w14:paraId="4D3C77B9" w14:textId="4813B50E" w:rsidR="001E69EC" w:rsidRPr="00737919" w:rsidRDefault="001E69EC" w:rsidP="001E69EC">
      <w:pPr>
        <w:pStyle w:val="SingleTxtGA"/>
        <w:rPr>
          <w:rFonts w:eastAsiaTheme="minorEastAsia"/>
          <w:bCs/>
          <w:iCs/>
          <w:lang w:val="ar-SA" w:eastAsia="zh-TW" w:bidi="en-GB"/>
        </w:rPr>
      </w:pPr>
      <w:r w:rsidRPr="00737919">
        <w:rPr>
          <w:rFonts w:eastAsiaTheme="minorEastAsia"/>
          <w:rtl/>
        </w:rPr>
        <w:lastRenderedPageBreak/>
        <w:t>5</w:t>
      </w:r>
      <w:r w:rsidRPr="001E69EC">
        <w:rPr>
          <w:rFonts w:eastAsiaTheme="minorEastAsia"/>
          <w:rtl/>
        </w:rPr>
        <w:t>-</w:t>
      </w:r>
      <w:r w:rsidRPr="00737919">
        <w:rPr>
          <w:rFonts w:eastAsiaTheme="minorEastAsia"/>
          <w:rtl/>
        </w:rPr>
        <w:t>4</w:t>
      </w:r>
      <w:r w:rsidRPr="001E69EC">
        <w:rPr>
          <w:rFonts w:eastAsiaTheme="minorEastAsia"/>
          <w:rtl/>
        </w:rPr>
        <w:tab/>
        <w:t>ويوافق صاحب البلاغ على قول الدولة الطرف إنه يجوز للدولة الطرف أن تدرج شروطاً للتجنيس. لكنه يشير إلى أن هذه الشروط لا يمكن أن تكون تمييزية. ويجادل بأن المبادئ التوجيهية الواردة</w:t>
      </w:r>
      <w:r>
        <w:rPr>
          <w:rFonts w:eastAsiaTheme="minorEastAsia" w:hint="cs"/>
          <w:rtl/>
        </w:rPr>
        <w:t> </w:t>
      </w:r>
      <w:r w:rsidRPr="001E69EC">
        <w:rPr>
          <w:rFonts w:eastAsiaTheme="minorEastAsia"/>
          <w:rtl/>
        </w:rPr>
        <w:t xml:space="preserve">في التعميم رقم </w:t>
      </w:r>
      <w:r w:rsidRPr="00737919">
        <w:rPr>
          <w:rFonts w:eastAsiaTheme="minorEastAsia"/>
          <w:rtl/>
        </w:rPr>
        <w:t>9253</w:t>
      </w:r>
      <w:r w:rsidRPr="001E69EC">
        <w:rPr>
          <w:rFonts w:eastAsiaTheme="minorEastAsia"/>
          <w:rtl/>
        </w:rPr>
        <w:t xml:space="preserve"> لم تُتبع في حالته لأن أعضاء لجنة التجنيس، إذ اجتمعوا في </w:t>
      </w:r>
      <w:r w:rsidRPr="00737919">
        <w:rPr>
          <w:rFonts w:eastAsiaTheme="minorEastAsia"/>
          <w:rtl/>
        </w:rPr>
        <w:t>20</w:t>
      </w:r>
      <w:r w:rsidRPr="001E69EC">
        <w:rPr>
          <w:rFonts w:eastAsiaTheme="minorEastAsia"/>
          <w:rtl/>
        </w:rPr>
        <w:t xml:space="preserve"> آب/أغسطس </w:t>
      </w:r>
      <w:r w:rsidRPr="00737919">
        <w:rPr>
          <w:rFonts w:eastAsiaTheme="minorEastAsia"/>
          <w:rtl/>
        </w:rPr>
        <w:t>2015</w:t>
      </w:r>
      <w:r w:rsidRPr="001E69EC">
        <w:rPr>
          <w:rFonts w:eastAsiaTheme="minorEastAsia"/>
          <w:rtl/>
        </w:rPr>
        <w:t xml:space="preserve">، </w:t>
      </w:r>
      <w:r>
        <w:rPr>
          <w:rFonts w:eastAsiaTheme="minorEastAsia" w:hint="cs"/>
          <w:rtl/>
        </w:rPr>
        <w:t>"</w:t>
      </w:r>
      <w:r w:rsidRPr="001E69EC">
        <w:rPr>
          <w:rFonts w:eastAsiaTheme="minorEastAsia"/>
          <w:rtl/>
        </w:rPr>
        <w:t>ابتدعوا قواعد جديدة</w:t>
      </w:r>
      <w:r>
        <w:rPr>
          <w:rFonts w:eastAsiaTheme="minorEastAsia" w:hint="cs"/>
          <w:rtl/>
        </w:rPr>
        <w:t>"</w:t>
      </w:r>
      <w:r w:rsidRPr="001E69EC">
        <w:rPr>
          <w:rFonts w:eastAsiaTheme="minorEastAsia"/>
          <w:rtl/>
        </w:rPr>
        <w:t xml:space="preserve"> بعد انتقال السلطة عقب الانتخابات العامة التي أُجريت في حزيران/يونيه </w:t>
      </w:r>
      <w:r w:rsidRPr="00737919">
        <w:rPr>
          <w:rFonts w:eastAsiaTheme="minorEastAsia"/>
          <w:rtl/>
        </w:rPr>
        <w:t>2015</w:t>
      </w:r>
      <w:r w:rsidRPr="001E69EC">
        <w:rPr>
          <w:rFonts w:eastAsiaTheme="minorEastAsia"/>
          <w:rtl/>
        </w:rPr>
        <w:t xml:space="preserve">. ويدعي أن الأغلبية الجديدة قررت أن </w:t>
      </w:r>
      <w:r>
        <w:rPr>
          <w:rFonts w:eastAsiaTheme="minorEastAsia" w:hint="cs"/>
          <w:rtl/>
        </w:rPr>
        <w:t>"</w:t>
      </w:r>
      <w:r w:rsidRPr="001E69EC">
        <w:rPr>
          <w:rFonts w:eastAsiaTheme="minorEastAsia"/>
          <w:rtl/>
        </w:rPr>
        <w:t>تغير القواعد</w:t>
      </w:r>
      <w:r>
        <w:rPr>
          <w:rFonts w:eastAsiaTheme="minorEastAsia" w:hint="cs"/>
          <w:rtl/>
        </w:rPr>
        <w:t>"</w:t>
      </w:r>
      <w:r w:rsidRPr="001E69EC">
        <w:rPr>
          <w:rFonts w:eastAsiaTheme="minorEastAsia"/>
          <w:rtl/>
        </w:rPr>
        <w:t>، على النحو الذي صيغ لاحق</w:t>
      </w:r>
      <w:r w:rsidR="00405491">
        <w:rPr>
          <w:rFonts w:eastAsiaTheme="minorEastAsia"/>
          <w:rtl/>
        </w:rPr>
        <w:t xml:space="preserve">اً </w:t>
      </w:r>
      <w:r w:rsidRPr="001E69EC">
        <w:rPr>
          <w:rFonts w:eastAsiaTheme="minorEastAsia"/>
          <w:rtl/>
        </w:rPr>
        <w:t xml:space="preserve">في التعميم رقم </w:t>
      </w:r>
      <w:r w:rsidRPr="00737919">
        <w:rPr>
          <w:rFonts w:eastAsiaTheme="minorEastAsia"/>
          <w:rtl/>
        </w:rPr>
        <w:t>10873</w:t>
      </w:r>
      <w:r w:rsidRPr="001E69EC">
        <w:rPr>
          <w:rFonts w:eastAsiaTheme="minorEastAsia"/>
          <w:rtl/>
        </w:rPr>
        <w:t xml:space="preserve">. ويدعي أن ذلك ثبت عندما دار نقاش محتدم علناً بشأن المبادئ التوجيهية الجديدة الصادرة في تشرين الأول/أكتوبر </w:t>
      </w:r>
      <w:r w:rsidRPr="00737919">
        <w:rPr>
          <w:rFonts w:eastAsiaTheme="minorEastAsia"/>
          <w:rtl/>
        </w:rPr>
        <w:t>2015</w:t>
      </w:r>
      <w:r w:rsidRPr="001E69EC">
        <w:rPr>
          <w:rFonts w:eastAsiaTheme="minorEastAsia"/>
          <w:rtl/>
        </w:rPr>
        <w:t>. ويحيط علماً بقول الدولة الطرف إنه لم يقدم أي دليل يشير إلى أن مقدمي الطلبات الآخرين الذين كانوا في وضع مشابه لوضعه عوملوا معاملة أفضل منه. وفي هذا الصدد، يشير صاحب البلاغ إلى قضيتين سابقتين أُوقف النظر فيهما بعد أن مُنح صاحباهما الجنسية الدانمركية وقد كانا، شأنهما شأن صاحب البلاغ، قد شُخِّص</w:t>
      </w:r>
      <w:r w:rsidR="00405491">
        <w:rPr>
          <w:rFonts w:eastAsiaTheme="minorEastAsia"/>
          <w:rtl/>
        </w:rPr>
        <w:t xml:space="preserve">اً </w:t>
      </w:r>
      <w:r w:rsidRPr="001E69EC">
        <w:rPr>
          <w:rFonts w:eastAsiaTheme="minorEastAsia"/>
          <w:rtl/>
        </w:rPr>
        <w:t xml:space="preserve">بإصابتهما </w:t>
      </w:r>
      <w:proofErr w:type="spellStart"/>
      <w:r w:rsidRPr="001E69EC">
        <w:rPr>
          <w:rFonts w:eastAsiaTheme="minorEastAsia"/>
          <w:rtl/>
        </w:rPr>
        <w:t>بالاكتراب</w:t>
      </w:r>
      <w:proofErr w:type="spellEnd"/>
      <w:r w:rsidRPr="001E69EC">
        <w:rPr>
          <w:rFonts w:eastAsiaTheme="minorEastAsia"/>
          <w:rtl/>
        </w:rPr>
        <w:t xml:space="preserve"> التالي للصدمة. ويدعي صاحب البلاغ أن الفرق الوحيد بين هاتين القضيتين وقضيته هو أن قضيته صدر الحكم فيها بعد الانتخابات العامة لعام </w:t>
      </w:r>
      <w:r w:rsidRPr="00737919">
        <w:rPr>
          <w:rFonts w:eastAsiaTheme="minorEastAsia"/>
          <w:rtl/>
        </w:rPr>
        <w:t>2015</w:t>
      </w:r>
      <w:r w:rsidRPr="001E69EC">
        <w:rPr>
          <w:rFonts w:eastAsiaTheme="minorEastAsia"/>
          <w:rtl/>
        </w:rPr>
        <w:t>.</w:t>
      </w:r>
    </w:p>
    <w:p w14:paraId="24D71DCA" w14:textId="23C9D8D6" w:rsidR="001E69EC" w:rsidRPr="00737919" w:rsidRDefault="001E69EC" w:rsidP="001E69EC">
      <w:pPr>
        <w:pStyle w:val="H23GA"/>
        <w:rPr>
          <w:lang w:val="ar-SA" w:eastAsia="zh-TW" w:bidi="en-GB"/>
        </w:rPr>
      </w:pPr>
      <w:r w:rsidRPr="00737919">
        <w:rPr>
          <w:rtl/>
        </w:rPr>
        <w:tab/>
      </w:r>
      <w:r w:rsidRPr="00737919">
        <w:rPr>
          <w:rtl/>
        </w:rPr>
        <w:tab/>
        <w:t>معلومات إضافية مقدمة من الدولة الطرف</w:t>
      </w:r>
    </w:p>
    <w:p w14:paraId="6B9E9304" w14:textId="7C2422BE" w:rsidR="001E69EC" w:rsidRPr="00737919" w:rsidRDefault="001E69EC" w:rsidP="001E69EC">
      <w:pPr>
        <w:pStyle w:val="SingleTxtGA"/>
        <w:rPr>
          <w:rFonts w:eastAsiaTheme="minorEastAsia"/>
          <w:bCs/>
          <w:iCs/>
          <w:lang w:val="ar-SA" w:eastAsia="zh-TW" w:bidi="en-GB"/>
        </w:rPr>
      </w:pPr>
      <w:r w:rsidRPr="00737919">
        <w:rPr>
          <w:rFonts w:eastAsiaTheme="minorEastAsia"/>
          <w:rtl/>
        </w:rPr>
        <w:t>6</w:t>
      </w:r>
      <w:r w:rsidRPr="001E69EC">
        <w:rPr>
          <w:rFonts w:eastAsiaTheme="minorEastAsia"/>
          <w:rtl/>
        </w:rPr>
        <w:t>-</w:t>
      </w:r>
      <w:r w:rsidRPr="00737919">
        <w:rPr>
          <w:rFonts w:eastAsiaTheme="minorEastAsia"/>
          <w:rtl/>
        </w:rPr>
        <w:t>1</w:t>
      </w:r>
      <w:r w:rsidRPr="001E69EC">
        <w:rPr>
          <w:rFonts w:eastAsiaTheme="minorEastAsia"/>
          <w:rtl/>
        </w:rPr>
        <w:tab/>
        <w:t xml:space="preserve">في </w:t>
      </w:r>
      <w:r w:rsidRPr="00737919">
        <w:rPr>
          <w:rFonts w:eastAsiaTheme="minorEastAsia"/>
          <w:rtl/>
        </w:rPr>
        <w:t>3</w:t>
      </w:r>
      <w:r w:rsidRPr="001E69EC">
        <w:rPr>
          <w:rFonts w:eastAsiaTheme="minorEastAsia"/>
          <w:rtl/>
        </w:rPr>
        <w:t xml:space="preserve"> آذار/مارس </w:t>
      </w:r>
      <w:r w:rsidRPr="00737919">
        <w:rPr>
          <w:rFonts w:eastAsiaTheme="minorEastAsia"/>
          <w:rtl/>
        </w:rPr>
        <w:t>2017</w:t>
      </w:r>
      <w:r w:rsidRPr="001E69EC">
        <w:rPr>
          <w:rFonts w:eastAsiaTheme="minorEastAsia"/>
          <w:rtl/>
        </w:rPr>
        <w:t>، قدمت الدولة الطرف ملاحظات إضافية بشأن البلاغ. وكررت أن البلاغ ينبغ</w:t>
      </w:r>
      <w:r w:rsidR="009861A8">
        <w:rPr>
          <w:rFonts w:eastAsiaTheme="minorEastAsia" w:hint="cs"/>
          <w:rtl/>
        </w:rPr>
        <w:t>ي</w:t>
      </w:r>
      <w:r w:rsidRPr="001E69EC">
        <w:rPr>
          <w:rFonts w:eastAsiaTheme="minorEastAsia"/>
          <w:rtl/>
        </w:rPr>
        <w:t xml:space="preserve"> اعتباره غير مقبول لعدم استنفاد سبل الانتصاف المحلية. وتشير الدولة الطرف إلى ملاحظاتها المؤرخة </w:t>
      </w:r>
      <w:r w:rsidRPr="00737919">
        <w:rPr>
          <w:rFonts w:eastAsiaTheme="minorEastAsia"/>
          <w:rtl/>
        </w:rPr>
        <w:t>23</w:t>
      </w:r>
      <w:r w:rsidRPr="001E69EC">
        <w:rPr>
          <w:rFonts w:eastAsiaTheme="minorEastAsia"/>
          <w:rtl/>
        </w:rPr>
        <w:t xml:space="preserve"> أيار/مايو </w:t>
      </w:r>
      <w:r w:rsidRPr="00737919">
        <w:rPr>
          <w:rFonts w:eastAsiaTheme="minorEastAsia"/>
          <w:rtl/>
        </w:rPr>
        <w:t>2016</w:t>
      </w:r>
      <w:r w:rsidRPr="001E69EC">
        <w:rPr>
          <w:rFonts w:eastAsiaTheme="minorEastAsia"/>
          <w:rtl/>
        </w:rPr>
        <w:t xml:space="preserve"> وتدفع بأنه يُستنتج من حكم المحكمة العليا الصادر في </w:t>
      </w:r>
      <w:r w:rsidRPr="00737919">
        <w:rPr>
          <w:rFonts w:eastAsiaTheme="minorEastAsia"/>
          <w:rtl/>
        </w:rPr>
        <w:t>13</w:t>
      </w:r>
      <w:r w:rsidRPr="001E69EC">
        <w:rPr>
          <w:rFonts w:eastAsiaTheme="minorEastAsia"/>
          <w:rtl/>
        </w:rPr>
        <w:t xml:space="preserve"> أيلول/سبتمبر </w:t>
      </w:r>
      <w:r w:rsidRPr="00737919">
        <w:rPr>
          <w:rFonts w:eastAsiaTheme="minorEastAsia"/>
          <w:rtl/>
        </w:rPr>
        <w:t>2013</w:t>
      </w:r>
      <w:r w:rsidRPr="001E69EC">
        <w:rPr>
          <w:rFonts w:eastAsiaTheme="minorEastAsia"/>
          <w:rtl/>
        </w:rPr>
        <w:t xml:space="preserve"> أنه يمكن لمقدم الطلب الذي لم يدرج في مشروع قانون التجنيس أن يطلب من المحاكم مراجعة ما إذا كانت التزامات الدولة الطرف بموجب القانون الدولي قد انتهكت عندما مارس</w:t>
      </w:r>
      <w:r w:rsidR="00405491">
        <w:rPr>
          <w:rFonts w:eastAsiaTheme="minorEastAsia" w:hint="cs"/>
          <w:rtl/>
        </w:rPr>
        <w:t> </w:t>
      </w:r>
      <w:proofErr w:type="gramStart"/>
      <w:r w:rsidRPr="001E69EC">
        <w:rPr>
          <w:rFonts w:eastAsiaTheme="minorEastAsia"/>
          <w:rtl/>
        </w:rPr>
        <w:t>البرلمان</w:t>
      </w:r>
      <w:proofErr w:type="gramEnd"/>
      <w:r w:rsidRPr="001E69EC">
        <w:rPr>
          <w:rFonts w:eastAsiaTheme="minorEastAsia"/>
          <w:rtl/>
        </w:rPr>
        <w:t xml:space="preserve"> أو لجنة التجنيس سلطتهما التقديرية فيما يتعلق بالبت في مسألة منح الجنسية الدانمركية لمقدم الطلب. </w:t>
      </w:r>
    </w:p>
    <w:p w14:paraId="3D7AE8FB" w14:textId="7123BEB8" w:rsidR="001E69EC" w:rsidRPr="00737919" w:rsidRDefault="001E69EC" w:rsidP="001E69EC">
      <w:pPr>
        <w:pStyle w:val="SingleTxtGA"/>
        <w:rPr>
          <w:rFonts w:eastAsiaTheme="minorEastAsia"/>
          <w:bCs/>
          <w:iCs/>
          <w:lang w:val="en-US" w:eastAsia="zh-TW" w:bidi="en-GB"/>
        </w:rPr>
      </w:pPr>
      <w:r w:rsidRPr="00737919">
        <w:rPr>
          <w:rFonts w:eastAsiaTheme="minorEastAsia"/>
          <w:rtl/>
        </w:rPr>
        <w:t>6</w:t>
      </w:r>
      <w:r w:rsidRPr="001E69EC">
        <w:rPr>
          <w:rFonts w:eastAsiaTheme="minorEastAsia"/>
          <w:rtl/>
        </w:rPr>
        <w:t>-</w:t>
      </w:r>
      <w:r w:rsidRPr="00737919">
        <w:rPr>
          <w:rFonts w:eastAsiaTheme="minorEastAsia"/>
          <w:rtl/>
        </w:rPr>
        <w:t>2</w:t>
      </w:r>
      <w:r w:rsidRPr="001E69EC">
        <w:rPr>
          <w:rFonts w:eastAsiaTheme="minorEastAsia"/>
          <w:rtl/>
        </w:rPr>
        <w:tab/>
        <w:t xml:space="preserve">وتشير الدولة الطرف إلى قرار صادر عن المحكمة الأوروبية لحقوق الإنسان في قضية </w:t>
      </w:r>
      <w:proofErr w:type="spellStart"/>
      <w:r w:rsidRPr="00737919">
        <w:rPr>
          <w:rFonts w:eastAsiaTheme="minorEastAsia"/>
          <w:i/>
          <w:iCs/>
          <w:rtl/>
        </w:rPr>
        <w:t>نازاري</w:t>
      </w:r>
      <w:proofErr w:type="spellEnd"/>
      <w:r w:rsidR="00A24026" w:rsidRPr="00737919">
        <w:rPr>
          <w:rFonts w:eastAsiaTheme="minorEastAsia" w:hint="cs"/>
          <w:i/>
          <w:iCs/>
          <w:rtl/>
        </w:rPr>
        <w:t> </w:t>
      </w:r>
      <w:r w:rsidRPr="00737919">
        <w:rPr>
          <w:rFonts w:eastAsiaTheme="minorEastAsia"/>
          <w:i/>
          <w:iCs/>
          <w:rtl/>
        </w:rPr>
        <w:t>ضد الدانمرك</w:t>
      </w:r>
      <w:r>
        <w:rPr>
          <w:rFonts w:eastAsiaTheme="minorEastAsia"/>
          <w:vertAlign w:val="superscript"/>
          <w:rtl/>
        </w:rPr>
        <w:t>(</w:t>
      </w:r>
      <w:r w:rsidRPr="00737919">
        <w:rPr>
          <w:rStyle w:val="FootnoteReference"/>
          <w:rFonts w:eastAsiaTheme="minorEastAsia"/>
          <w:sz w:val="22"/>
          <w:lang w:val="en-US"/>
        </w:rPr>
        <w:footnoteReference w:id="7"/>
      </w:r>
      <w:r w:rsidRPr="001B491C">
        <w:rPr>
          <w:rStyle w:val="FootnoteReference"/>
          <w:rFonts w:eastAsiaTheme="minorEastAsia"/>
          <w:sz w:val="22"/>
          <w:rtl/>
        </w:rPr>
        <w:t>)</w:t>
      </w:r>
      <w:r w:rsidRPr="00737919">
        <w:rPr>
          <w:rFonts w:eastAsiaTheme="minorEastAsia"/>
          <w:b/>
          <w:rtl/>
        </w:rPr>
        <w:t>،</w:t>
      </w:r>
      <w:r w:rsidRPr="001E69EC">
        <w:rPr>
          <w:rFonts w:eastAsiaTheme="minorEastAsia"/>
          <w:rtl/>
        </w:rPr>
        <w:t xml:space="preserve"> التي كانت تتعلق أيض</w:t>
      </w:r>
      <w:r w:rsidR="00405491">
        <w:rPr>
          <w:rFonts w:eastAsiaTheme="minorEastAsia"/>
          <w:rtl/>
        </w:rPr>
        <w:t xml:space="preserve">اً </w:t>
      </w:r>
      <w:r w:rsidRPr="001E69EC">
        <w:rPr>
          <w:rFonts w:eastAsiaTheme="minorEastAsia"/>
          <w:rtl/>
        </w:rPr>
        <w:t>بقرار اتخذته لجنة التجنيس. وفي هذه القضية، أُبلغ مقدم الطلب بأن لجنة التجنيس خلصت إلى أنه غير مؤهل للإدراج في مشروع القانون التالي المتعلق بالتجنيس وأنه لا</w:t>
      </w:r>
      <w:r w:rsidR="00405491">
        <w:rPr>
          <w:rFonts w:eastAsiaTheme="minorEastAsia" w:hint="cs"/>
          <w:rtl/>
        </w:rPr>
        <w:t> </w:t>
      </w:r>
      <w:r w:rsidRPr="001E69EC">
        <w:rPr>
          <w:rFonts w:eastAsiaTheme="minorEastAsia"/>
          <w:rtl/>
        </w:rPr>
        <w:t>يمكن أن يتوقع أن يُنظر في طلب آخر له في غضون السنوات الخمس التالية. وعلاوة على ذلك، ذكرت الدولة الطرف أنه لا يمكن تقديم أي أسباب للقرار ولا يمكن الطعن في القرار أمام أي سلطة أخرى. وأحاطت المحكمة الأوروبية لحقوق الإنسان علم</w:t>
      </w:r>
      <w:r w:rsidR="00405491">
        <w:rPr>
          <w:rFonts w:eastAsiaTheme="minorEastAsia"/>
          <w:rtl/>
        </w:rPr>
        <w:t xml:space="preserve">اً </w:t>
      </w:r>
      <w:r w:rsidRPr="001E69EC">
        <w:rPr>
          <w:rFonts w:eastAsiaTheme="minorEastAsia"/>
          <w:rtl/>
        </w:rPr>
        <w:t>في قرارها بالحكم الصادر عن المحكمة العليا في عام</w:t>
      </w:r>
      <w:r w:rsidR="00405491">
        <w:rPr>
          <w:rFonts w:eastAsiaTheme="minorEastAsia" w:hint="cs"/>
          <w:rtl/>
        </w:rPr>
        <w:t> </w:t>
      </w:r>
      <w:r w:rsidRPr="00737919">
        <w:rPr>
          <w:rFonts w:eastAsiaTheme="minorEastAsia"/>
          <w:rtl/>
        </w:rPr>
        <w:t>2013</w:t>
      </w:r>
      <w:r w:rsidRPr="001E69EC">
        <w:rPr>
          <w:rFonts w:eastAsiaTheme="minorEastAsia"/>
          <w:rtl/>
        </w:rPr>
        <w:t xml:space="preserve"> وخلصت إلى أنها مقتنعة بأن إجراء مراجعة من جانب المحكمة بموجب المادة </w:t>
      </w:r>
      <w:r w:rsidRPr="00737919">
        <w:rPr>
          <w:rFonts w:eastAsiaTheme="minorEastAsia"/>
          <w:rtl/>
        </w:rPr>
        <w:t>63</w:t>
      </w:r>
      <w:r w:rsidRPr="001E69EC">
        <w:rPr>
          <w:rFonts w:eastAsiaTheme="minorEastAsia"/>
          <w:rtl/>
        </w:rPr>
        <w:t>(</w:t>
      </w:r>
      <w:r w:rsidRPr="00737919">
        <w:rPr>
          <w:rFonts w:eastAsiaTheme="minorEastAsia"/>
          <w:rtl/>
        </w:rPr>
        <w:t>1</w:t>
      </w:r>
      <w:r w:rsidRPr="001E69EC">
        <w:rPr>
          <w:rFonts w:eastAsiaTheme="minorEastAsia"/>
          <w:rtl/>
        </w:rPr>
        <w:t>) من الدستور يمثل سبيل انتصاف أكيداً بما فيه الكفاية، ليس فقط من الناحية النظرية وإنما من الناحية العملية أيضاً. وخلصت إلى أن سبيل الانتصاف ذاك كان متاحاً لمقدم الطلب في تلك القضية وأنه كان سيشمل تقييماً للأسس الموضوعية، وأن إذا صدر حكم لصالح مقدم الطلب فسيكون ملزم</w:t>
      </w:r>
      <w:r w:rsidR="00405491">
        <w:rPr>
          <w:rFonts w:eastAsiaTheme="minorEastAsia"/>
          <w:rtl/>
        </w:rPr>
        <w:t xml:space="preserve">اً </w:t>
      </w:r>
      <w:r w:rsidRPr="001E69EC">
        <w:rPr>
          <w:rFonts w:eastAsiaTheme="minorEastAsia"/>
          <w:rtl/>
        </w:rPr>
        <w:t>للسلطات، بما في ذلك الوزارة المختصة، إذا ما قدم طلباً جديداً للتجنيس. وعليه، تدفع الدولة الطرف بأن البلاغ ينبغي اعتباره غير مقبول لعدم استنفاد سبل الانتصاف المحلية لأن وقت تقديم صاحب البلاغ بلاغه إلى اللجنة، كان ثمة سبل انتصاف فعالة في المحاكم الدانمركية تسمح لصاحب البلاغ بجبر الضرر الناشئ عن انتهاك مزعوم للحقوق المكفولة له بموجب العهد.</w:t>
      </w:r>
    </w:p>
    <w:p w14:paraId="2F48A7A5" w14:textId="04D8D7DA" w:rsidR="001E69EC" w:rsidRPr="00737919" w:rsidRDefault="001E69EC" w:rsidP="001E69EC">
      <w:pPr>
        <w:pStyle w:val="SingleTxtGA"/>
        <w:rPr>
          <w:rFonts w:eastAsiaTheme="minorEastAsia"/>
          <w:bCs/>
          <w:iCs/>
          <w:lang w:val="ar-SA" w:eastAsia="zh-TW" w:bidi="en-GB"/>
        </w:rPr>
      </w:pPr>
      <w:r w:rsidRPr="00737919">
        <w:rPr>
          <w:rFonts w:eastAsiaTheme="minorEastAsia"/>
          <w:rtl/>
        </w:rPr>
        <w:lastRenderedPageBreak/>
        <w:t>6</w:t>
      </w:r>
      <w:r w:rsidRPr="001E69EC">
        <w:rPr>
          <w:rFonts w:eastAsiaTheme="minorEastAsia"/>
          <w:rtl/>
        </w:rPr>
        <w:t>-</w:t>
      </w:r>
      <w:r w:rsidRPr="00737919">
        <w:rPr>
          <w:rFonts w:eastAsiaTheme="minorEastAsia"/>
          <w:rtl/>
        </w:rPr>
        <w:t>3</w:t>
      </w:r>
      <w:r w:rsidRPr="001E69EC">
        <w:rPr>
          <w:rFonts w:eastAsiaTheme="minorEastAsia"/>
          <w:rtl/>
        </w:rPr>
        <w:tab/>
        <w:t xml:space="preserve">وتكرر الدولة الطرف أن الطلب الذي قدمه صاحب البلاغ لتجديد طلبه الحصول على الجنسية قد نُظر فيه في إطار التعميم رقم </w:t>
      </w:r>
      <w:r w:rsidRPr="00737919">
        <w:rPr>
          <w:rFonts w:eastAsiaTheme="minorEastAsia"/>
          <w:rtl/>
        </w:rPr>
        <w:t>9253</w:t>
      </w:r>
      <w:r w:rsidRPr="001E69EC">
        <w:rPr>
          <w:rFonts w:eastAsiaTheme="minorEastAsia"/>
          <w:rtl/>
        </w:rPr>
        <w:t>، خلاف</w:t>
      </w:r>
      <w:r w:rsidR="00405491">
        <w:rPr>
          <w:rFonts w:eastAsiaTheme="minorEastAsia"/>
          <w:rtl/>
        </w:rPr>
        <w:t xml:space="preserve">اً </w:t>
      </w:r>
      <w:r w:rsidRPr="001E69EC">
        <w:rPr>
          <w:rFonts w:eastAsiaTheme="minorEastAsia"/>
          <w:rtl/>
        </w:rPr>
        <w:t>لأقوال صاحب البلاغ.</w:t>
      </w:r>
    </w:p>
    <w:p w14:paraId="11544334" w14:textId="073DAE61" w:rsidR="001E69EC" w:rsidRPr="00737919" w:rsidRDefault="001E69EC" w:rsidP="001E69EC">
      <w:pPr>
        <w:pStyle w:val="SingleTxtGA"/>
        <w:rPr>
          <w:rFonts w:eastAsiaTheme="minorEastAsia"/>
          <w:bCs/>
          <w:iCs/>
          <w:lang w:val="ar-SA" w:eastAsia="zh-TW" w:bidi="en-GB"/>
        </w:rPr>
      </w:pPr>
      <w:r w:rsidRPr="00737919">
        <w:rPr>
          <w:rFonts w:eastAsiaTheme="minorEastAsia"/>
          <w:rtl/>
        </w:rPr>
        <w:t>6</w:t>
      </w:r>
      <w:r w:rsidRPr="001E69EC">
        <w:rPr>
          <w:rFonts w:eastAsiaTheme="minorEastAsia"/>
          <w:rtl/>
        </w:rPr>
        <w:t>-</w:t>
      </w:r>
      <w:r w:rsidRPr="00737919">
        <w:rPr>
          <w:rFonts w:eastAsiaTheme="minorEastAsia"/>
          <w:rtl/>
        </w:rPr>
        <w:t>4</w:t>
      </w:r>
      <w:r w:rsidRPr="001E69EC">
        <w:rPr>
          <w:rFonts w:eastAsiaTheme="minorEastAsia"/>
          <w:rtl/>
        </w:rPr>
        <w:tab/>
        <w:t xml:space="preserve">وتجادل الدولة الطرف كذلك بأن الانتخابات العامة التي جرت في حزيران/يونيه </w:t>
      </w:r>
      <w:r w:rsidRPr="00737919">
        <w:rPr>
          <w:rFonts w:eastAsiaTheme="minorEastAsia"/>
          <w:rtl/>
        </w:rPr>
        <w:t>2015</w:t>
      </w:r>
      <w:r w:rsidRPr="001E69EC">
        <w:rPr>
          <w:rFonts w:eastAsiaTheme="minorEastAsia"/>
          <w:rtl/>
        </w:rPr>
        <w:t xml:space="preserve"> وما</w:t>
      </w:r>
      <w:r w:rsidR="00426A1C">
        <w:rPr>
          <w:rFonts w:eastAsiaTheme="minorEastAsia" w:hint="cs"/>
          <w:rtl/>
        </w:rPr>
        <w:t> </w:t>
      </w:r>
      <w:r w:rsidRPr="001E69EC">
        <w:rPr>
          <w:rFonts w:eastAsiaTheme="minorEastAsia"/>
          <w:rtl/>
        </w:rPr>
        <w:t>تلاها من تغيير في التكوين السياسي للبرلمان لا يمكن اعتبارها معاملة تعسفية وتمييزية تشكل انتهاك</w:t>
      </w:r>
      <w:r w:rsidR="00405491">
        <w:rPr>
          <w:rFonts w:eastAsiaTheme="minorEastAsia"/>
          <w:rtl/>
        </w:rPr>
        <w:t xml:space="preserve">اً </w:t>
      </w:r>
      <w:r w:rsidRPr="001E69EC">
        <w:rPr>
          <w:rFonts w:eastAsiaTheme="minorEastAsia"/>
          <w:rtl/>
        </w:rPr>
        <w:t xml:space="preserve">للمادة </w:t>
      </w:r>
      <w:r w:rsidRPr="00737919">
        <w:rPr>
          <w:rFonts w:eastAsiaTheme="minorEastAsia"/>
          <w:rtl/>
        </w:rPr>
        <w:t>26</w:t>
      </w:r>
      <w:r w:rsidRPr="001E69EC">
        <w:rPr>
          <w:rFonts w:eastAsiaTheme="minorEastAsia"/>
          <w:rtl/>
        </w:rPr>
        <w:t xml:space="preserve"> من العهد. وتدفع بأن ادعاء صاحب البلاغ التمييز يستند حصراً إلى أن لجنة التجنيس لم</w:t>
      </w:r>
      <w:r w:rsidR="00405491">
        <w:rPr>
          <w:rFonts w:eastAsiaTheme="minorEastAsia" w:hint="cs"/>
          <w:rtl/>
        </w:rPr>
        <w:t> </w:t>
      </w:r>
      <w:r w:rsidRPr="001E69EC">
        <w:rPr>
          <w:rFonts w:eastAsiaTheme="minorEastAsia"/>
          <w:rtl/>
        </w:rPr>
        <w:t>تشاطره رأيه بشأن منحه إعفاءً.</w:t>
      </w:r>
    </w:p>
    <w:p w14:paraId="68A2E8B2" w14:textId="77777777" w:rsidR="001E69EC" w:rsidRPr="00737919" w:rsidRDefault="001E69EC" w:rsidP="00405491">
      <w:pPr>
        <w:pStyle w:val="H23GA"/>
        <w:rPr>
          <w:lang w:val="ar-SA" w:eastAsia="zh-TW" w:bidi="en-GB"/>
        </w:rPr>
      </w:pPr>
      <w:r w:rsidRPr="00737919">
        <w:rPr>
          <w:rtl/>
        </w:rPr>
        <w:tab/>
      </w:r>
      <w:r w:rsidRPr="00737919">
        <w:rPr>
          <w:rtl/>
        </w:rPr>
        <w:tab/>
        <w:t>المسائل والإجراءات المعروضة على اللجنة</w:t>
      </w:r>
    </w:p>
    <w:p w14:paraId="4CC5E774" w14:textId="77777777" w:rsidR="001E69EC" w:rsidRPr="00737919" w:rsidRDefault="001E69EC" w:rsidP="00405491">
      <w:pPr>
        <w:pStyle w:val="H4GA"/>
        <w:rPr>
          <w:lang w:val="ar-SA" w:eastAsia="zh-TW" w:bidi="en-GB"/>
        </w:rPr>
      </w:pPr>
      <w:r w:rsidRPr="00737919">
        <w:rPr>
          <w:rtl/>
        </w:rPr>
        <w:tab/>
      </w:r>
      <w:r w:rsidRPr="00737919">
        <w:rPr>
          <w:rtl/>
        </w:rPr>
        <w:tab/>
        <w:t>النظر في المقبولية</w:t>
      </w:r>
    </w:p>
    <w:p w14:paraId="5F4D3178" w14:textId="77777777" w:rsidR="001E69EC" w:rsidRPr="00737919" w:rsidRDefault="001E69EC" w:rsidP="001E69EC">
      <w:pPr>
        <w:pStyle w:val="SingleTxtGA"/>
        <w:rPr>
          <w:rFonts w:eastAsiaTheme="minorEastAsia"/>
          <w:bCs/>
          <w:iCs/>
          <w:lang w:val="ar-SA" w:eastAsia="zh-TW" w:bidi="en-GB"/>
        </w:rPr>
      </w:pPr>
      <w:r w:rsidRPr="00737919">
        <w:rPr>
          <w:rFonts w:eastAsiaTheme="minorEastAsia"/>
          <w:rtl/>
        </w:rPr>
        <w:t>7</w:t>
      </w:r>
      <w:r w:rsidRPr="001E69EC">
        <w:rPr>
          <w:rFonts w:eastAsiaTheme="minorEastAsia"/>
          <w:rtl/>
        </w:rPr>
        <w:t>-</w:t>
      </w:r>
      <w:r w:rsidRPr="00737919">
        <w:rPr>
          <w:rFonts w:eastAsiaTheme="minorEastAsia"/>
          <w:rtl/>
        </w:rPr>
        <w:t>1</w:t>
      </w:r>
      <w:r w:rsidRPr="001E69EC">
        <w:rPr>
          <w:rFonts w:eastAsiaTheme="minorEastAsia"/>
          <w:rtl/>
        </w:rPr>
        <w:tab/>
        <w:t xml:space="preserve">قبل النظر في أي ادعاء يرد في بلاغ ما، يجب على اللجنة أن تقرر، وفقاً للمادة </w:t>
      </w:r>
      <w:r w:rsidRPr="00737919">
        <w:rPr>
          <w:rFonts w:eastAsiaTheme="minorEastAsia"/>
          <w:rtl/>
        </w:rPr>
        <w:t>97</w:t>
      </w:r>
      <w:r w:rsidRPr="001E69EC">
        <w:rPr>
          <w:rFonts w:eastAsiaTheme="minorEastAsia"/>
          <w:rtl/>
        </w:rPr>
        <w:t xml:space="preserve"> من نظامها الداخلي، ما إذا كان البلاغ مقبولاً أم لا بموجب البروتوكول الاختياري.</w:t>
      </w:r>
    </w:p>
    <w:p w14:paraId="2F6FAAC0" w14:textId="77777777" w:rsidR="001E69EC" w:rsidRPr="00737919" w:rsidRDefault="001E69EC" w:rsidP="001E69EC">
      <w:pPr>
        <w:pStyle w:val="SingleTxtGA"/>
        <w:rPr>
          <w:rFonts w:eastAsiaTheme="minorEastAsia"/>
          <w:bCs/>
          <w:iCs/>
          <w:lang w:val="ar-SA" w:eastAsia="zh-TW" w:bidi="en-GB"/>
        </w:rPr>
      </w:pPr>
      <w:r w:rsidRPr="00737919">
        <w:rPr>
          <w:rFonts w:eastAsiaTheme="minorEastAsia"/>
          <w:rtl/>
        </w:rPr>
        <w:t>7</w:t>
      </w:r>
      <w:r w:rsidRPr="001E69EC">
        <w:rPr>
          <w:rFonts w:eastAsiaTheme="minorEastAsia"/>
          <w:rtl/>
        </w:rPr>
        <w:t>-</w:t>
      </w:r>
      <w:r w:rsidRPr="00737919">
        <w:rPr>
          <w:rFonts w:eastAsiaTheme="minorEastAsia"/>
          <w:rtl/>
        </w:rPr>
        <w:t>2</w:t>
      </w:r>
      <w:r w:rsidRPr="001E69EC">
        <w:rPr>
          <w:rFonts w:eastAsiaTheme="minorEastAsia"/>
          <w:rtl/>
        </w:rPr>
        <w:tab/>
        <w:t xml:space="preserve">وقد تحقَّقت اللجنة، على النحو المطلوب بموجب المادة </w:t>
      </w:r>
      <w:r w:rsidRPr="00737919">
        <w:rPr>
          <w:rFonts w:eastAsiaTheme="minorEastAsia"/>
          <w:rtl/>
        </w:rPr>
        <w:t>5</w:t>
      </w:r>
      <w:r w:rsidRPr="001E69EC">
        <w:rPr>
          <w:rFonts w:eastAsiaTheme="minorEastAsia"/>
          <w:rtl/>
        </w:rPr>
        <w:t>(</w:t>
      </w:r>
      <w:r w:rsidRPr="00737919">
        <w:rPr>
          <w:rFonts w:eastAsiaTheme="minorEastAsia"/>
          <w:rtl/>
        </w:rPr>
        <w:t>2</w:t>
      </w:r>
      <w:r w:rsidRPr="001E69EC">
        <w:rPr>
          <w:rFonts w:eastAsiaTheme="minorEastAsia"/>
          <w:rtl/>
        </w:rPr>
        <w:t>)(أ) من البروتوكول الاختياري، من أن المسألة نفسها ليست قيد البحث بموجب إجراء آخر من إجراءات التحقيق الدولي أو التسوية الدولية.</w:t>
      </w:r>
    </w:p>
    <w:p w14:paraId="69F65FA3" w14:textId="2D70F698" w:rsidR="001E69EC" w:rsidRPr="00737919" w:rsidRDefault="001E69EC" w:rsidP="001E69EC">
      <w:pPr>
        <w:pStyle w:val="SingleTxtGA"/>
        <w:rPr>
          <w:rFonts w:eastAsiaTheme="minorEastAsia"/>
          <w:bCs/>
          <w:iCs/>
          <w:lang w:val="ar-SA" w:eastAsia="zh-TW" w:bidi="en-GB"/>
        </w:rPr>
      </w:pPr>
      <w:r w:rsidRPr="00737919">
        <w:rPr>
          <w:rFonts w:eastAsiaTheme="minorEastAsia"/>
          <w:rtl/>
        </w:rPr>
        <w:t>7</w:t>
      </w:r>
      <w:r w:rsidRPr="001E69EC">
        <w:rPr>
          <w:rFonts w:eastAsiaTheme="minorEastAsia"/>
          <w:rtl/>
        </w:rPr>
        <w:t>-</w:t>
      </w:r>
      <w:r w:rsidRPr="00737919">
        <w:rPr>
          <w:rFonts w:eastAsiaTheme="minorEastAsia"/>
          <w:rtl/>
        </w:rPr>
        <w:t>3</w:t>
      </w:r>
      <w:r w:rsidRPr="001E69EC">
        <w:rPr>
          <w:rFonts w:eastAsiaTheme="minorEastAsia"/>
          <w:rtl/>
        </w:rPr>
        <w:tab/>
        <w:t xml:space="preserve">وتحيط اللجنة علماً بدفع الدولة الطرف بأن البلاغ ينبغي اعتباره غير مقبول لعدم استنفاد سبل الانتصاف المحلية. </w:t>
      </w:r>
      <w:r w:rsidRPr="001E69EC">
        <w:rPr>
          <w:rFonts w:eastAsiaTheme="minorEastAsia" w:hint="cs"/>
          <w:rtl/>
        </w:rPr>
        <w:t>وتحيط</w:t>
      </w:r>
      <w:r w:rsidRPr="001E69EC">
        <w:rPr>
          <w:rFonts w:eastAsiaTheme="minorEastAsia"/>
          <w:rtl/>
        </w:rPr>
        <w:t xml:space="preserve"> </w:t>
      </w:r>
      <w:r w:rsidRPr="001E69EC">
        <w:rPr>
          <w:rFonts w:eastAsiaTheme="minorEastAsia" w:hint="cs"/>
          <w:rtl/>
        </w:rPr>
        <w:t>علما</w:t>
      </w:r>
      <w:r w:rsidRPr="001E69EC">
        <w:rPr>
          <w:rFonts w:eastAsiaTheme="minorEastAsia"/>
          <w:rtl/>
        </w:rPr>
        <w:t xml:space="preserve">ً بادعاء صاحب البلاغ الذي لا جدال فيه ومفاده أنه أُبلغ، في رسالة رفض طلب التجنس المؤرخة </w:t>
      </w:r>
      <w:r w:rsidRPr="00737919">
        <w:rPr>
          <w:rFonts w:eastAsiaTheme="minorEastAsia"/>
          <w:rtl/>
        </w:rPr>
        <w:t>27</w:t>
      </w:r>
      <w:r w:rsidRPr="001E69EC">
        <w:rPr>
          <w:rFonts w:eastAsiaTheme="minorEastAsia"/>
          <w:rtl/>
        </w:rPr>
        <w:t xml:space="preserve"> تشرين الأول/أكتوبر </w:t>
      </w:r>
      <w:r w:rsidRPr="00737919">
        <w:rPr>
          <w:rFonts w:eastAsiaTheme="minorEastAsia"/>
          <w:rtl/>
        </w:rPr>
        <w:t>2015</w:t>
      </w:r>
      <w:r w:rsidRPr="001E69EC">
        <w:rPr>
          <w:rFonts w:eastAsiaTheme="minorEastAsia"/>
          <w:rtl/>
        </w:rPr>
        <w:t xml:space="preserve"> الموجهة من وزارة الهجرة والإدماج والإسكان، بأن القرارات التي تتخذها لجنة التجنيس لا يمكن الطعن فيها أمام </w:t>
      </w:r>
      <w:r>
        <w:rPr>
          <w:rFonts w:eastAsiaTheme="minorEastAsia" w:hint="cs"/>
          <w:rtl/>
        </w:rPr>
        <w:t>"</w:t>
      </w:r>
      <w:r w:rsidRPr="001E69EC">
        <w:rPr>
          <w:rFonts w:eastAsiaTheme="minorEastAsia"/>
          <w:rtl/>
        </w:rPr>
        <w:t>أي سلطة أخرى</w:t>
      </w:r>
      <w:r>
        <w:rPr>
          <w:rFonts w:eastAsiaTheme="minorEastAsia" w:hint="cs"/>
          <w:rtl/>
        </w:rPr>
        <w:t>"</w:t>
      </w:r>
      <w:r w:rsidRPr="001E69EC">
        <w:rPr>
          <w:rFonts w:eastAsiaTheme="minorEastAsia"/>
          <w:rtl/>
        </w:rPr>
        <w:t>. وتحيط اللجنة علماً بدفع الدولة الطرف بأن مقدمي الطلبات ممن يتشابه وضعهم مع وضع صاحب البلاغ يظل في إمكانهم، وفق</w:t>
      </w:r>
      <w:r w:rsidR="00405491">
        <w:rPr>
          <w:rFonts w:eastAsiaTheme="minorEastAsia"/>
          <w:rtl/>
        </w:rPr>
        <w:t xml:space="preserve">اً </w:t>
      </w:r>
      <w:r w:rsidRPr="001E69EC">
        <w:rPr>
          <w:rFonts w:eastAsiaTheme="minorEastAsia"/>
          <w:rtl/>
        </w:rPr>
        <w:t xml:space="preserve">لحكم أصدرته المحكمة العليا في عام </w:t>
      </w:r>
      <w:r w:rsidRPr="00737919">
        <w:rPr>
          <w:rFonts w:eastAsiaTheme="minorEastAsia"/>
          <w:rtl/>
        </w:rPr>
        <w:t>2013</w:t>
      </w:r>
      <w:r w:rsidRPr="001E69EC">
        <w:rPr>
          <w:rFonts w:eastAsiaTheme="minorEastAsia"/>
          <w:rtl/>
        </w:rPr>
        <w:t xml:space="preserve">، أن يطلبوا المراجعة القضائية بموجب المادة </w:t>
      </w:r>
      <w:r w:rsidRPr="00737919">
        <w:rPr>
          <w:rFonts w:eastAsiaTheme="minorEastAsia"/>
          <w:rtl/>
        </w:rPr>
        <w:t>63</w:t>
      </w:r>
      <w:r w:rsidRPr="001E69EC">
        <w:rPr>
          <w:rFonts w:eastAsiaTheme="minorEastAsia"/>
          <w:rtl/>
        </w:rPr>
        <w:t xml:space="preserve"> من الدستور، ويُطلب بموجبها إلى المحاكم المحلية إعادة النظر فيما إذا كانت التزامات الدولة الطرف بموجب القانون الدولي قد انتهكت عند معالجة طلب التجنس. وتحيط اللجنة علماً كذلك بادعاء صاحب البلاغ أن الحكم الذي أصدرته المحكمة العليا كان يتعلق بقرار اتخذته وزارة شؤون اللاجئين والهجرة والإدماج وليس بقرار اتخذه </w:t>
      </w:r>
      <w:proofErr w:type="gramStart"/>
      <w:r w:rsidRPr="001E69EC">
        <w:rPr>
          <w:rFonts w:eastAsiaTheme="minorEastAsia"/>
          <w:rtl/>
        </w:rPr>
        <w:t>البرلمان</w:t>
      </w:r>
      <w:proofErr w:type="gramEnd"/>
      <w:r w:rsidRPr="001E69EC">
        <w:rPr>
          <w:rFonts w:eastAsiaTheme="minorEastAsia"/>
          <w:rtl/>
        </w:rPr>
        <w:t>، وتحيط علماً بدفعه بناءً على ذلك بأن ذلك الحكم لا صلة له ببلاغه. إلا أن اللجنة تشير إلى أن حكم المحكمة العليا يُستنتج منه أنه يمكن لمقدم الطلب الذي لم يدرج في مشروع قانون التجنيس أن يطلب من المحاكم مراجعة ما إذا كانت التزامات الدولة الطرف بموجب</w:t>
      </w:r>
      <w:r w:rsidR="00405491">
        <w:rPr>
          <w:rFonts w:eastAsiaTheme="minorEastAsia" w:hint="cs"/>
          <w:rtl/>
        </w:rPr>
        <w:t> </w:t>
      </w:r>
      <w:r w:rsidRPr="001E69EC">
        <w:rPr>
          <w:rFonts w:eastAsiaTheme="minorEastAsia"/>
          <w:rtl/>
        </w:rPr>
        <w:t xml:space="preserve">القانون الدولي قد انتهكت عندما مارس </w:t>
      </w:r>
      <w:proofErr w:type="gramStart"/>
      <w:r w:rsidRPr="001E69EC">
        <w:rPr>
          <w:rFonts w:eastAsiaTheme="minorEastAsia"/>
          <w:rtl/>
        </w:rPr>
        <w:t>البرلمان</w:t>
      </w:r>
      <w:proofErr w:type="gramEnd"/>
      <w:r w:rsidRPr="001E69EC">
        <w:rPr>
          <w:rFonts w:eastAsiaTheme="minorEastAsia"/>
          <w:rtl/>
        </w:rPr>
        <w:t xml:space="preserve"> أو لجنة التجنيس سلطتهما التقديرية فيما يتعلق بالبت في مسألة منح الجنسية الدانمركية لمقدم الطلب. وعليه، يبدو أن هذا الحكم ينطبق على قضية صاحب البلاغ.</w:t>
      </w:r>
    </w:p>
    <w:p w14:paraId="2BBFF2E4" w14:textId="3659A3E3" w:rsidR="001E69EC" w:rsidRPr="001E69EC" w:rsidRDefault="001E69EC" w:rsidP="001E69EC">
      <w:pPr>
        <w:pStyle w:val="SingleTxtGA"/>
        <w:rPr>
          <w:rFonts w:eastAsiaTheme="minorEastAsia"/>
          <w:lang w:val="ar-SA" w:eastAsia="zh-TW" w:bidi="en-GB"/>
        </w:rPr>
      </w:pPr>
      <w:r w:rsidRPr="00737919">
        <w:rPr>
          <w:rFonts w:eastAsiaTheme="minorEastAsia"/>
          <w:rtl/>
        </w:rPr>
        <w:t>7</w:t>
      </w:r>
      <w:r w:rsidRPr="001E69EC">
        <w:rPr>
          <w:rFonts w:eastAsiaTheme="minorEastAsia"/>
          <w:rtl/>
        </w:rPr>
        <w:t>-</w:t>
      </w:r>
      <w:r w:rsidRPr="00737919">
        <w:rPr>
          <w:rFonts w:eastAsiaTheme="minorEastAsia"/>
          <w:rtl/>
        </w:rPr>
        <w:t>4</w:t>
      </w:r>
      <w:r w:rsidRPr="001E69EC">
        <w:rPr>
          <w:rFonts w:eastAsiaTheme="minorEastAsia"/>
          <w:rtl/>
        </w:rPr>
        <w:tab/>
        <w:t xml:space="preserve">وتشير اللجنة إلى أن صاحب البلاغ، لذلك، ربما كان في إمكانه من الناحية النظرية أن يطلب إجراء مراجعة قضائية. بيد أنها تلاحظ أن وزارة الهجرة والإدماج والإسكان أبلغته صراحة بأن القرار السلبي المتعلق بطلبه التجنس لا يمكن الطعن فيه أمام </w:t>
      </w:r>
      <w:r>
        <w:rPr>
          <w:rFonts w:eastAsiaTheme="minorEastAsia" w:hint="cs"/>
          <w:rtl/>
        </w:rPr>
        <w:t>"</w:t>
      </w:r>
      <w:r w:rsidRPr="001E69EC">
        <w:rPr>
          <w:rFonts w:eastAsiaTheme="minorEastAsia"/>
          <w:rtl/>
        </w:rPr>
        <w:t>أي سلطة أخرى</w:t>
      </w:r>
      <w:r>
        <w:rPr>
          <w:rFonts w:eastAsiaTheme="minorEastAsia" w:hint="cs"/>
          <w:rtl/>
        </w:rPr>
        <w:t>"</w:t>
      </w:r>
      <w:r w:rsidRPr="001E69EC">
        <w:rPr>
          <w:rFonts w:eastAsiaTheme="minorEastAsia"/>
          <w:rtl/>
        </w:rPr>
        <w:t xml:space="preserve">. وترى اللجنة أنه عندما تقدم سلطات الدولة الطرف المكلفة بمعالجة الطلب المعني معلومات من هذا القبيل بشأن توافر سبل الانتصاف المحلية، يجب أن يكون في إمكان أصحاب البلاغ الاعتماد على المعلومات المقدمة. وتحيط علماً أيضاً بالمعلومات التي قدمها الطرفان ومفادها أنه عند عرض حالة أمام لجنة التجنيس، لا يُخطَر مقدم الطلب ولا وزارة الهجرة والإدماج والإسكان بالأسباب التي دفعت اللجنة إلى قبول أو رفض الإعفاء من شروط الإدراج في مشروع قانون التجنيس، كما تحيط علماً بدفع صاحب البلاغ بأنه، إذ لم يبلغ بسبب رفض اللجنة، لم يكن بإمكانه أن يطلب إجراء مراجعة قضائية للقرار السلبي على أي حال. وترى اللجنة، في هذا </w:t>
      </w:r>
      <w:r w:rsidRPr="001E69EC">
        <w:rPr>
          <w:rFonts w:eastAsiaTheme="minorEastAsia"/>
          <w:rtl/>
        </w:rPr>
        <w:lastRenderedPageBreak/>
        <w:t xml:space="preserve">الصدد، أن عدم تعليل القرار البرلماني برفض طلب التجنس لم يترك لصاحب البلاغ أي إمكانية فعلية ومعقولة للاحتجاج بتعرضه للتمييز على أساس الإعاقة. </w:t>
      </w:r>
    </w:p>
    <w:p w14:paraId="7DD5E646" w14:textId="77777777" w:rsidR="001E69EC" w:rsidRPr="00737919" w:rsidRDefault="001E69EC" w:rsidP="001E69EC">
      <w:pPr>
        <w:pStyle w:val="SingleTxtGA"/>
        <w:rPr>
          <w:rFonts w:eastAsiaTheme="minorEastAsia"/>
          <w:bCs/>
          <w:iCs/>
          <w:lang w:val="ar-SA" w:eastAsia="zh-TW" w:bidi="en-GB"/>
        </w:rPr>
      </w:pPr>
      <w:r w:rsidRPr="00737919">
        <w:rPr>
          <w:rFonts w:eastAsiaTheme="minorEastAsia"/>
          <w:rtl/>
        </w:rPr>
        <w:t>7</w:t>
      </w:r>
      <w:r w:rsidRPr="001E69EC">
        <w:rPr>
          <w:rFonts w:eastAsiaTheme="minorEastAsia"/>
          <w:rtl/>
        </w:rPr>
        <w:t>-</w:t>
      </w:r>
      <w:r w:rsidRPr="00737919">
        <w:rPr>
          <w:rFonts w:eastAsiaTheme="minorEastAsia"/>
          <w:rtl/>
        </w:rPr>
        <w:t>5</w:t>
      </w:r>
      <w:r w:rsidRPr="001E69EC">
        <w:rPr>
          <w:rFonts w:eastAsiaTheme="minorEastAsia"/>
          <w:rtl/>
        </w:rPr>
        <w:tab/>
        <w:t xml:space="preserve">وفي ضوء المعلومات الواردة في الرسالة المؤرخة </w:t>
      </w:r>
      <w:r w:rsidRPr="00737919">
        <w:rPr>
          <w:rFonts w:eastAsiaTheme="minorEastAsia"/>
          <w:rtl/>
        </w:rPr>
        <w:t>27</w:t>
      </w:r>
      <w:r w:rsidRPr="001E69EC">
        <w:rPr>
          <w:rFonts w:eastAsiaTheme="minorEastAsia"/>
          <w:rtl/>
        </w:rPr>
        <w:t xml:space="preserve"> تشرين الأول/أكتوبر </w:t>
      </w:r>
      <w:r w:rsidRPr="00737919">
        <w:rPr>
          <w:rFonts w:eastAsiaTheme="minorEastAsia"/>
          <w:rtl/>
        </w:rPr>
        <w:t>2015</w:t>
      </w:r>
      <w:r w:rsidRPr="001E69EC">
        <w:rPr>
          <w:rFonts w:eastAsiaTheme="minorEastAsia"/>
          <w:rtl/>
        </w:rPr>
        <w:t xml:space="preserve"> الموجهة من وزارة الهجرة والإدماج والإسكان، ومفادها أن صاحب البلاغ لم يكن متاح له الطعن في قرار لجنة التجنيس رفض طلبه، وفي ضوء عدم وجود معلومات عن الأسباب الكامنة وراء هذا القرار، ترى اللجنة أن المراجعة القضائية لقرار لجنة التجنيس لم تكن سبيل انتصاف فعالاً لصاحب البلاغ بشكل ملموس. وبناء على ذلك، ترى اللجنة أن المادة </w:t>
      </w:r>
      <w:r w:rsidRPr="00737919">
        <w:rPr>
          <w:rFonts w:eastAsiaTheme="minorEastAsia"/>
          <w:rtl/>
        </w:rPr>
        <w:t>5</w:t>
      </w:r>
      <w:r w:rsidRPr="001E69EC">
        <w:rPr>
          <w:rFonts w:eastAsiaTheme="minorEastAsia"/>
          <w:rtl/>
        </w:rPr>
        <w:t>(</w:t>
      </w:r>
      <w:r w:rsidRPr="00737919">
        <w:rPr>
          <w:rFonts w:eastAsiaTheme="minorEastAsia"/>
          <w:rtl/>
        </w:rPr>
        <w:t>2</w:t>
      </w:r>
      <w:r w:rsidRPr="001E69EC">
        <w:rPr>
          <w:rFonts w:eastAsiaTheme="minorEastAsia"/>
          <w:rtl/>
        </w:rPr>
        <w:t xml:space="preserve">)(ب) من البروتوكول الاختياري لا تمنعها من النظر في هذا البلاغ. </w:t>
      </w:r>
    </w:p>
    <w:p w14:paraId="11EFF648" w14:textId="538DA9A1" w:rsidR="001E69EC" w:rsidRPr="00737919" w:rsidRDefault="001E69EC" w:rsidP="001E69EC">
      <w:pPr>
        <w:pStyle w:val="SingleTxtGA"/>
        <w:rPr>
          <w:rFonts w:eastAsiaTheme="minorEastAsia"/>
          <w:bCs/>
          <w:iCs/>
          <w:lang w:val="ar-SA" w:eastAsia="zh-TW" w:bidi="en-GB"/>
        </w:rPr>
      </w:pPr>
      <w:r w:rsidRPr="00737919">
        <w:rPr>
          <w:rFonts w:eastAsiaTheme="minorEastAsia"/>
          <w:rtl/>
        </w:rPr>
        <w:t>7</w:t>
      </w:r>
      <w:r w:rsidRPr="001E69EC">
        <w:rPr>
          <w:rFonts w:eastAsiaTheme="minorEastAsia"/>
          <w:rtl/>
        </w:rPr>
        <w:t>-</w:t>
      </w:r>
      <w:r w:rsidRPr="00737919">
        <w:rPr>
          <w:rFonts w:eastAsiaTheme="minorEastAsia"/>
          <w:rtl/>
        </w:rPr>
        <w:t>6</w:t>
      </w:r>
      <w:r w:rsidRPr="001E69EC">
        <w:rPr>
          <w:rFonts w:eastAsiaTheme="minorEastAsia"/>
          <w:rtl/>
        </w:rPr>
        <w:tab/>
        <w:t xml:space="preserve">وتشير اللجنة إلى أن صاحب البلاغ قدم بلاغه بموجب المادة </w:t>
      </w:r>
      <w:r w:rsidRPr="00737919">
        <w:rPr>
          <w:rFonts w:eastAsiaTheme="minorEastAsia"/>
          <w:rtl/>
        </w:rPr>
        <w:t>26</w:t>
      </w:r>
      <w:r w:rsidRPr="001E69EC">
        <w:rPr>
          <w:rFonts w:eastAsiaTheme="minorEastAsia"/>
          <w:rtl/>
        </w:rPr>
        <w:t xml:space="preserve"> بالاقتران مع المادة </w:t>
      </w:r>
      <w:r w:rsidRPr="00737919">
        <w:rPr>
          <w:rFonts w:eastAsiaTheme="minorEastAsia"/>
          <w:rtl/>
        </w:rPr>
        <w:t>2</w:t>
      </w:r>
      <w:r w:rsidRPr="001E69EC">
        <w:rPr>
          <w:rFonts w:eastAsiaTheme="minorEastAsia"/>
          <w:rtl/>
        </w:rPr>
        <w:t>(</w:t>
      </w:r>
      <w:r w:rsidRPr="00737919">
        <w:rPr>
          <w:rFonts w:eastAsiaTheme="minorEastAsia"/>
          <w:rtl/>
        </w:rPr>
        <w:t>1</w:t>
      </w:r>
      <w:r w:rsidRPr="001E69EC">
        <w:rPr>
          <w:rFonts w:eastAsiaTheme="minorEastAsia"/>
          <w:rtl/>
        </w:rPr>
        <w:t xml:space="preserve">)، من العهد. وبينما تذكِّر اللجنة بسوابقها القضائية التي تنص فيها على أنه لا يمكن للأفراد الاحتجاج بالمادة </w:t>
      </w:r>
      <w:r w:rsidRPr="00737919">
        <w:rPr>
          <w:rFonts w:eastAsiaTheme="minorEastAsia"/>
          <w:rtl/>
        </w:rPr>
        <w:t>2</w:t>
      </w:r>
      <w:r w:rsidRPr="001E69EC">
        <w:rPr>
          <w:rFonts w:eastAsiaTheme="minorEastAsia"/>
          <w:rtl/>
        </w:rPr>
        <w:t xml:space="preserve"> إلا بالاقتران بمواد موضوعية أخرى من العهد، فإنها لا ترى أن النظر فيما إذا كانت الدولة الطرف قد انتهكت التزاماتها بعدم التمييز بموجب المادة </w:t>
      </w:r>
      <w:r w:rsidRPr="00737919">
        <w:rPr>
          <w:rFonts w:eastAsiaTheme="minorEastAsia"/>
          <w:rtl/>
        </w:rPr>
        <w:t>2</w:t>
      </w:r>
      <w:r w:rsidRPr="001E69EC">
        <w:rPr>
          <w:rFonts w:eastAsiaTheme="minorEastAsia"/>
          <w:rtl/>
        </w:rPr>
        <w:t>(</w:t>
      </w:r>
      <w:r w:rsidRPr="00737919">
        <w:rPr>
          <w:rFonts w:eastAsiaTheme="minorEastAsia"/>
          <w:rtl/>
        </w:rPr>
        <w:t>1</w:t>
      </w:r>
      <w:r w:rsidRPr="001E69EC">
        <w:rPr>
          <w:rFonts w:eastAsiaTheme="minorEastAsia"/>
          <w:rtl/>
        </w:rPr>
        <w:t xml:space="preserve">)، مقروءة بالاقتران مع المادة </w:t>
      </w:r>
      <w:r w:rsidRPr="00737919">
        <w:rPr>
          <w:rFonts w:eastAsiaTheme="minorEastAsia"/>
          <w:rtl/>
        </w:rPr>
        <w:t>26</w:t>
      </w:r>
      <w:r w:rsidRPr="001E69EC">
        <w:rPr>
          <w:rFonts w:eastAsiaTheme="minorEastAsia"/>
          <w:rtl/>
        </w:rPr>
        <w:t xml:space="preserve">، يختلف عن النظر في انتهاك حقوق صاحب البلاغ بموجب المادة </w:t>
      </w:r>
      <w:r w:rsidRPr="00737919">
        <w:rPr>
          <w:rFonts w:eastAsiaTheme="minorEastAsia"/>
          <w:rtl/>
        </w:rPr>
        <w:t>26</w:t>
      </w:r>
      <w:r w:rsidRPr="0034180D">
        <w:rPr>
          <w:rFonts w:eastAsiaTheme="minorEastAsia"/>
          <w:vertAlign w:val="superscript"/>
          <w:rtl/>
        </w:rPr>
        <w:t>(</w:t>
      </w:r>
      <w:r w:rsidRPr="00737919">
        <w:rPr>
          <w:rFonts w:eastAsiaTheme="minorEastAsia"/>
          <w:vertAlign w:val="superscript"/>
          <w:lang w:val="en-US"/>
        </w:rPr>
        <w:footnoteReference w:id="8"/>
      </w:r>
      <w:r w:rsidRPr="00737919">
        <w:rPr>
          <w:rFonts w:eastAsiaTheme="minorEastAsia"/>
          <w:vertAlign w:val="superscript"/>
          <w:rtl/>
        </w:rPr>
        <w:t>)</w:t>
      </w:r>
      <w:r w:rsidRPr="00737919">
        <w:rPr>
          <w:rFonts w:eastAsiaTheme="minorEastAsia"/>
          <w:b/>
          <w:i/>
          <w:rtl/>
        </w:rPr>
        <w:t>.</w:t>
      </w:r>
      <w:r w:rsidRPr="001E69EC">
        <w:rPr>
          <w:rFonts w:eastAsiaTheme="minorEastAsia"/>
          <w:rtl/>
        </w:rPr>
        <w:t xml:space="preserve"> ولذلك، لا ترى اللجنة داعياً للنظر في ادعاء صاحب البلاغ في إطار المادة </w:t>
      </w:r>
      <w:r w:rsidRPr="00737919">
        <w:rPr>
          <w:rFonts w:eastAsiaTheme="minorEastAsia"/>
          <w:rtl/>
        </w:rPr>
        <w:t>2</w:t>
      </w:r>
      <w:r w:rsidRPr="001E69EC">
        <w:rPr>
          <w:rFonts w:eastAsiaTheme="minorEastAsia"/>
          <w:rtl/>
        </w:rPr>
        <w:t>(</w:t>
      </w:r>
      <w:r w:rsidRPr="00737919">
        <w:rPr>
          <w:rFonts w:eastAsiaTheme="minorEastAsia"/>
          <w:rtl/>
        </w:rPr>
        <w:t>1</w:t>
      </w:r>
      <w:r w:rsidRPr="001E69EC">
        <w:rPr>
          <w:rFonts w:eastAsiaTheme="minorEastAsia"/>
          <w:rtl/>
        </w:rPr>
        <w:t>) من العهد.</w:t>
      </w:r>
    </w:p>
    <w:p w14:paraId="3DC7DC88" w14:textId="768B478E" w:rsidR="001E69EC" w:rsidRPr="00737919" w:rsidRDefault="001E69EC" w:rsidP="001E69EC">
      <w:pPr>
        <w:pStyle w:val="SingleTxtGA"/>
        <w:rPr>
          <w:rFonts w:eastAsiaTheme="minorEastAsia"/>
          <w:bCs/>
          <w:iCs/>
          <w:lang w:val="ar-SA" w:eastAsia="zh-TW" w:bidi="en-GB"/>
        </w:rPr>
      </w:pPr>
      <w:r w:rsidRPr="00737919">
        <w:rPr>
          <w:rFonts w:eastAsiaTheme="minorEastAsia"/>
          <w:rtl/>
        </w:rPr>
        <w:t>7</w:t>
      </w:r>
      <w:r w:rsidRPr="001E69EC">
        <w:rPr>
          <w:rFonts w:eastAsiaTheme="minorEastAsia"/>
          <w:rtl/>
        </w:rPr>
        <w:t>-</w:t>
      </w:r>
      <w:r w:rsidRPr="00737919">
        <w:rPr>
          <w:rFonts w:eastAsiaTheme="minorEastAsia"/>
          <w:rtl/>
        </w:rPr>
        <w:t>7</w:t>
      </w:r>
      <w:r w:rsidRPr="001E69EC">
        <w:rPr>
          <w:rFonts w:eastAsiaTheme="minorEastAsia"/>
          <w:rtl/>
        </w:rPr>
        <w:tab/>
        <w:t>وتحيط اللجنة علم</w:t>
      </w:r>
      <w:r w:rsidR="00405491">
        <w:rPr>
          <w:rFonts w:eastAsiaTheme="minorEastAsia"/>
          <w:rtl/>
        </w:rPr>
        <w:t xml:space="preserve">اً </w:t>
      </w:r>
      <w:r w:rsidRPr="001E69EC">
        <w:rPr>
          <w:rFonts w:eastAsiaTheme="minorEastAsia"/>
          <w:rtl/>
        </w:rPr>
        <w:t>أيض</w:t>
      </w:r>
      <w:r w:rsidR="00405491">
        <w:rPr>
          <w:rFonts w:eastAsiaTheme="minorEastAsia"/>
          <w:rtl/>
        </w:rPr>
        <w:t xml:space="preserve">اً </w:t>
      </w:r>
      <w:r w:rsidRPr="001E69EC">
        <w:rPr>
          <w:rFonts w:eastAsiaTheme="minorEastAsia"/>
          <w:rtl/>
        </w:rPr>
        <w:t xml:space="preserve">بدفع الدولة الطرف بأن البلاغ ينبغي أن يُعتبر غير مقبول لبطلانه الظاهر. إلا أنها تشير إلى ادعاء صاحب البلاغ أن حقوقه بموجب المادة </w:t>
      </w:r>
      <w:r w:rsidRPr="00737919">
        <w:rPr>
          <w:rFonts w:eastAsiaTheme="minorEastAsia"/>
          <w:rtl/>
        </w:rPr>
        <w:t>26</w:t>
      </w:r>
      <w:r w:rsidRPr="001E69EC">
        <w:rPr>
          <w:rFonts w:eastAsiaTheme="minorEastAsia"/>
          <w:rtl/>
        </w:rPr>
        <w:t xml:space="preserve"> من العهد قد انتهكت برفض سلطات الدولة الطرف منحه إعفاء على أساس الإعاقة من شرط الكفاءة اللغوية واختبار المواطنة وما</w:t>
      </w:r>
      <w:r w:rsidR="00405491">
        <w:rPr>
          <w:rFonts w:eastAsiaTheme="minorEastAsia" w:hint="cs"/>
          <w:rtl/>
        </w:rPr>
        <w:t> </w:t>
      </w:r>
      <w:r w:rsidRPr="001E69EC">
        <w:rPr>
          <w:rFonts w:eastAsiaTheme="minorEastAsia"/>
          <w:rtl/>
        </w:rPr>
        <w:t xml:space="preserve">أعقب ذلك من رفض طلبه للحصول على الجنسية عن طريق التجنس. وترى اللجنة أن صاحب البلاغ قدَّم، لأغراض المقبولية، ما يكفي من الأدلة لدعم ادعاءاته، وتعلن مقبوليتها بموجب المادة </w:t>
      </w:r>
      <w:r w:rsidRPr="00737919">
        <w:rPr>
          <w:rFonts w:eastAsiaTheme="minorEastAsia"/>
          <w:rtl/>
        </w:rPr>
        <w:t>26</w:t>
      </w:r>
      <w:r w:rsidRPr="001E69EC">
        <w:rPr>
          <w:rFonts w:eastAsiaTheme="minorEastAsia"/>
          <w:rtl/>
        </w:rPr>
        <w:t xml:space="preserve"> من العهد وتنتقل إلى النظر في أسسها الموضوعية.</w:t>
      </w:r>
    </w:p>
    <w:p w14:paraId="376425F9" w14:textId="77777777" w:rsidR="001E69EC" w:rsidRPr="00737919" w:rsidRDefault="001E69EC" w:rsidP="00405491">
      <w:pPr>
        <w:pStyle w:val="H4GA"/>
        <w:rPr>
          <w:lang w:val="ar-SA" w:eastAsia="zh-TW" w:bidi="en-GB"/>
        </w:rPr>
      </w:pPr>
      <w:r w:rsidRPr="00737919">
        <w:rPr>
          <w:rtl/>
        </w:rPr>
        <w:tab/>
      </w:r>
      <w:r w:rsidRPr="00737919">
        <w:rPr>
          <w:rtl/>
        </w:rPr>
        <w:tab/>
        <w:t>النظر في الأسس الموضوعية</w:t>
      </w:r>
    </w:p>
    <w:p w14:paraId="18118FC3" w14:textId="47C924EF" w:rsidR="001E69EC" w:rsidRPr="00737919" w:rsidRDefault="001E69EC" w:rsidP="001E69EC">
      <w:pPr>
        <w:pStyle w:val="SingleTxtGA"/>
        <w:rPr>
          <w:rFonts w:eastAsiaTheme="minorEastAsia"/>
          <w:bCs/>
          <w:iCs/>
          <w:lang w:val="ar-SA" w:eastAsia="zh-TW" w:bidi="en-GB"/>
        </w:rPr>
      </w:pPr>
      <w:r w:rsidRPr="00737919">
        <w:rPr>
          <w:rFonts w:eastAsiaTheme="minorEastAsia"/>
          <w:rtl/>
        </w:rPr>
        <w:t>8</w:t>
      </w:r>
      <w:r w:rsidRPr="001E69EC">
        <w:rPr>
          <w:rFonts w:eastAsiaTheme="minorEastAsia"/>
          <w:rtl/>
        </w:rPr>
        <w:t>-</w:t>
      </w:r>
      <w:r w:rsidRPr="00737919">
        <w:rPr>
          <w:rFonts w:eastAsiaTheme="minorEastAsia"/>
          <w:rtl/>
        </w:rPr>
        <w:t>1</w:t>
      </w:r>
      <w:r w:rsidRPr="001E69EC">
        <w:rPr>
          <w:rFonts w:eastAsiaTheme="minorEastAsia"/>
          <w:rtl/>
        </w:rPr>
        <w:tab/>
        <w:t xml:space="preserve">نظرت اللجنة في البلاغ في ضوء جميع المعلومات التي قدمها إليها الطرفان، وفقاً للمادة </w:t>
      </w:r>
      <w:r w:rsidRPr="00737919">
        <w:rPr>
          <w:rFonts w:eastAsiaTheme="minorEastAsia"/>
          <w:rtl/>
        </w:rPr>
        <w:t>5</w:t>
      </w:r>
      <w:r w:rsidRPr="001E69EC">
        <w:rPr>
          <w:rFonts w:eastAsiaTheme="minorEastAsia"/>
          <w:rtl/>
        </w:rPr>
        <w:t>(</w:t>
      </w:r>
      <w:r w:rsidRPr="00737919">
        <w:rPr>
          <w:rFonts w:eastAsiaTheme="minorEastAsia"/>
          <w:rtl/>
        </w:rPr>
        <w:t>1</w:t>
      </w:r>
      <w:r w:rsidRPr="001E69EC">
        <w:rPr>
          <w:rFonts w:eastAsiaTheme="minorEastAsia"/>
          <w:rtl/>
        </w:rPr>
        <w:t>) من البروتوكول الاختياري.</w:t>
      </w:r>
    </w:p>
    <w:p w14:paraId="74C4D832" w14:textId="74E9A46E" w:rsidR="001E69EC" w:rsidRPr="00737919" w:rsidRDefault="001E69EC" w:rsidP="001E69EC">
      <w:pPr>
        <w:pStyle w:val="SingleTxtGA"/>
        <w:rPr>
          <w:rFonts w:eastAsiaTheme="minorEastAsia"/>
          <w:bCs/>
          <w:iCs/>
          <w:lang w:val="ar-SA" w:eastAsia="zh-TW" w:bidi="en-GB"/>
        </w:rPr>
      </w:pPr>
      <w:r w:rsidRPr="00737919">
        <w:rPr>
          <w:rFonts w:eastAsiaTheme="minorEastAsia"/>
          <w:rtl/>
        </w:rPr>
        <w:t>8</w:t>
      </w:r>
      <w:r w:rsidRPr="001E69EC">
        <w:rPr>
          <w:rFonts w:eastAsiaTheme="minorEastAsia"/>
          <w:rtl/>
        </w:rPr>
        <w:t>-</w:t>
      </w:r>
      <w:r w:rsidRPr="00737919">
        <w:rPr>
          <w:rFonts w:eastAsiaTheme="minorEastAsia"/>
          <w:rtl/>
        </w:rPr>
        <w:t>2</w:t>
      </w:r>
      <w:r w:rsidRPr="001E69EC">
        <w:rPr>
          <w:rFonts w:eastAsiaTheme="minorEastAsia"/>
          <w:rtl/>
        </w:rPr>
        <w:tab/>
        <w:t xml:space="preserve">وتشير اللجنة إلى ادعاء صاحب البلاغ أن حقوقه بموجب المادة </w:t>
      </w:r>
      <w:r w:rsidRPr="00737919">
        <w:rPr>
          <w:rFonts w:eastAsiaTheme="minorEastAsia"/>
          <w:rtl/>
        </w:rPr>
        <w:t>26</w:t>
      </w:r>
      <w:r w:rsidRPr="001E69EC">
        <w:rPr>
          <w:rFonts w:eastAsiaTheme="minorEastAsia"/>
          <w:rtl/>
        </w:rPr>
        <w:t xml:space="preserve"> من العهد قد انتهكت برفض سلطات الدولة الطرف منحه إعفاءً من شرط الكفاءة اللغوية واختبار الجنسية، على أساس الإعاقة، وما أعقب ذلك من رفض طلبه للحصول على الجنسية عن طريق التجنس. وتحيط علماً بقوله إنه قدم أدلة واضحة على تشخيصه الطبي الذي يمنعه من بلوغ المستوى المطلوب من تعلم اللغة الدانمركية، وبرؤيته أن قرار رفض طلبه للتجنس هو، بناءً على ذلك، قرار تعسفي وتمييزي. وتحيط اللجنة علماً كذلك بدفع الدولة الطرف بأن الدول تتمتع بسلطة تقديرية عند وضع الشروط التي تراها ضرورية للحصول على الجنسية لضمان وجود صلة حقيقية بين الدولة والأفراد الذين يطلبون الحصول على جنسيتها. وتحيط علم</w:t>
      </w:r>
      <w:r w:rsidR="00405491">
        <w:rPr>
          <w:rFonts w:eastAsiaTheme="minorEastAsia"/>
          <w:rtl/>
        </w:rPr>
        <w:t xml:space="preserve">اً </w:t>
      </w:r>
      <w:r w:rsidRPr="001E69EC">
        <w:rPr>
          <w:rFonts w:eastAsiaTheme="minorEastAsia"/>
          <w:rtl/>
        </w:rPr>
        <w:t>أيض</w:t>
      </w:r>
      <w:r w:rsidR="00405491">
        <w:rPr>
          <w:rFonts w:eastAsiaTheme="minorEastAsia"/>
          <w:rtl/>
        </w:rPr>
        <w:t xml:space="preserve">اً </w:t>
      </w:r>
      <w:r w:rsidRPr="001E69EC">
        <w:rPr>
          <w:rFonts w:eastAsiaTheme="minorEastAsia"/>
          <w:rtl/>
        </w:rPr>
        <w:t xml:space="preserve">بقول الدولة الطرف إن لجنة التجنيس ووزارة الهجرة والإدماج والإسكان أجريتا تقييماً وافياً لطلب صاحب البلاغ الإعفاء من اختباري اللغة والمواطنة. </w:t>
      </w:r>
    </w:p>
    <w:p w14:paraId="3EA6E462" w14:textId="4255FA82" w:rsidR="001E69EC" w:rsidRPr="00737919" w:rsidRDefault="001E69EC" w:rsidP="001E69EC">
      <w:pPr>
        <w:pStyle w:val="SingleTxtGA"/>
        <w:rPr>
          <w:rFonts w:eastAsiaTheme="minorEastAsia"/>
          <w:bCs/>
          <w:iCs/>
          <w:lang w:val="ar-SA" w:eastAsia="zh-TW" w:bidi="en-GB"/>
        </w:rPr>
      </w:pPr>
      <w:r w:rsidRPr="00737919">
        <w:rPr>
          <w:rFonts w:eastAsiaTheme="minorEastAsia"/>
          <w:rtl/>
        </w:rPr>
        <w:t>8</w:t>
      </w:r>
      <w:r w:rsidRPr="001E69EC">
        <w:rPr>
          <w:rFonts w:eastAsiaTheme="minorEastAsia"/>
          <w:rtl/>
        </w:rPr>
        <w:t>-</w:t>
      </w:r>
      <w:r w:rsidRPr="00737919">
        <w:rPr>
          <w:rFonts w:eastAsiaTheme="minorEastAsia"/>
          <w:rtl/>
        </w:rPr>
        <w:t>3</w:t>
      </w:r>
      <w:r w:rsidRPr="001E69EC">
        <w:rPr>
          <w:rFonts w:eastAsiaTheme="minorEastAsia"/>
          <w:rtl/>
        </w:rPr>
        <w:tab/>
        <w:t xml:space="preserve">والمسألة المطروحة على اللجنة هي ما إذا كانت الدولة الطرف، برفضها منح صاحب البلاغ إعفاء من شرط الكفاءة اللغوية واختبار المواطنة لكي يحصل على الجنسية، قد انتهكت الحقوق المكفولة له بموجب المادة </w:t>
      </w:r>
      <w:r w:rsidRPr="00737919">
        <w:rPr>
          <w:rFonts w:eastAsiaTheme="minorEastAsia"/>
          <w:rtl/>
        </w:rPr>
        <w:t>26</w:t>
      </w:r>
      <w:r w:rsidRPr="001E69EC">
        <w:rPr>
          <w:rFonts w:eastAsiaTheme="minorEastAsia"/>
          <w:rtl/>
        </w:rPr>
        <w:t xml:space="preserve"> من العهد. وتشير اللجنة إلى أن صاحب البلاغ لا يطعن في الشروط اللغوية </w:t>
      </w:r>
      <w:r w:rsidRPr="001E69EC">
        <w:rPr>
          <w:rFonts w:eastAsiaTheme="minorEastAsia"/>
          <w:rtl/>
        </w:rPr>
        <w:lastRenderedPageBreak/>
        <w:t>للتجنيس بوجه عام، وإنما يرى فقط أن هذا الشرط قد طُبق عليه تطبيقاً تعسفياً وتمييزياً. وتلاحظ اللجنة أن هذه المسألة تتعلق بتطبيق التشريعات المحلية وتقييم الوقائع والأدلة، وهو أمر يخص الهيئات الوطنية من حيث المبدأ، ما لم يتسن التأكد من أن الإجراءات المحلية كانت تعسفية أو بلغت حد الحرمان من العدالة</w:t>
      </w:r>
      <w:r>
        <w:rPr>
          <w:rFonts w:eastAsiaTheme="minorEastAsia"/>
          <w:vertAlign w:val="superscript"/>
          <w:rtl/>
        </w:rPr>
        <w:t>(</w:t>
      </w:r>
      <w:r w:rsidRPr="00737919">
        <w:rPr>
          <w:rFonts w:eastAsiaTheme="minorEastAsia"/>
          <w:vertAlign w:val="superscript"/>
          <w:lang w:val="en-US"/>
        </w:rPr>
        <w:footnoteReference w:id="9"/>
      </w:r>
      <w:r w:rsidRPr="001B491C">
        <w:rPr>
          <w:rFonts w:eastAsiaTheme="minorEastAsia"/>
          <w:vertAlign w:val="superscript"/>
          <w:rtl/>
        </w:rPr>
        <w:t>)</w:t>
      </w:r>
      <w:r w:rsidRPr="001E69EC">
        <w:rPr>
          <w:rFonts w:eastAsiaTheme="minorEastAsia"/>
          <w:rtl/>
        </w:rPr>
        <w:t>. بيد أن عدم تعليل القرار البرلماني برفض طلب التجنس الذي قدمه صاحب البلاغ في هذه القضية يجبر اللجنة على إجراء تقييم مباشر ومستقل للعناصر الوقائعية للقضية في مقابل التشريع المحلي من أجل تحديد ما إذا كانت معالجة هذا الطلب تمييزية على أساس الإعاقة الموثَّقة لصاحب البلاغ.</w:t>
      </w:r>
    </w:p>
    <w:p w14:paraId="776FC85C" w14:textId="4C80A5C0" w:rsidR="001E69EC" w:rsidRPr="00737919" w:rsidRDefault="001E69EC" w:rsidP="001E69EC">
      <w:pPr>
        <w:pStyle w:val="SingleTxtGA"/>
        <w:rPr>
          <w:rFonts w:eastAsiaTheme="minorEastAsia"/>
          <w:bCs/>
          <w:iCs/>
          <w:lang w:val="ar-SA" w:eastAsia="zh-TW" w:bidi="en-GB"/>
        </w:rPr>
      </w:pPr>
      <w:r w:rsidRPr="00737919">
        <w:rPr>
          <w:rFonts w:eastAsiaTheme="minorEastAsia"/>
          <w:rtl/>
        </w:rPr>
        <w:t>8</w:t>
      </w:r>
      <w:r w:rsidRPr="001E69EC">
        <w:rPr>
          <w:rFonts w:eastAsiaTheme="minorEastAsia"/>
          <w:rtl/>
        </w:rPr>
        <w:t>-</w:t>
      </w:r>
      <w:r w:rsidRPr="00737919">
        <w:rPr>
          <w:rFonts w:eastAsiaTheme="minorEastAsia"/>
          <w:rtl/>
        </w:rPr>
        <w:t>4</w:t>
      </w:r>
      <w:r w:rsidRPr="001E69EC">
        <w:rPr>
          <w:rFonts w:eastAsiaTheme="minorEastAsia"/>
          <w:rtl/>
        </w:rPr>
        <w:tab/>
        <w:t xml:space="preserve">وتذكَّر اللجنة بتعليقها العام رقم </w:t>
      </w:r>
      <w:r w:rsidRPr="00737919">
        <w:rPr>
          <w:rFonts w:eastAsiaTheme="minorEastAsia"/>
          <w:rtl/>
        </w:rPr>
        <w:t>18</w:t>
      </w:r>
      <w:r w:rsidRPr="001E69EC">
        <w:rPr>
          <w:rFonts w:eastAsiaTheme="minorEastAsia"/>
          <w:rtl/>
        </w:rPr>
        <w:t>(</w:t>
      </w:r>
      <w:r w:rsidRPr="00737919">
        <w:rPr>
          <w:rFonts w:eastAsiaTheme="minorEastAsia"/>
          <w:rtl/>
        </w:rPr>
        <w:t>1989</w:t>
      </w:r>
      <w:r w:rsidRPr="001E69EC">
        <w:rPr>
          <w:rFonts w:eastAsiaTheme="minorEastAsia"/>
          <w:rtl/>
        </w:rPr>
        <w:t xml:space="preserve">)، الذي تعرِّف فيه التمييز على أنه </w:t>
      </w:r>
      <w:r>
        <w:rPr>
          <w:rFonts w:eastAsiaTheme="minorEastAsia" w:hint="cs"/>
          <w:rtl/>
        </w:rPr>
        <w:t>"</w:t>
      </w:r>
      <w:r w:rsidRPr="001E69EC">
        <w:rPr>
          <w:rFonts w:eastAsiaTheme="minorEastAsia"/>
          <w:rtl/>
        </w:rPr>
        <w:t>أي تفرقة أو</w:t>
      </w:r>
      <w:r>
        <w:rPr>
          <w:rFonts w:eastAsiaTheme="minorEastAsia" w:hint="cs"/>
          <w:rtl/>
        </w:rPr>
        <w:t> </w:t>
      </w:r>
      <w:r w:rsidRPr="001E69EC">
        <w:rPr>
          <w:rFonts w:eastAsiaTheme="minorEastAsia"/>
          <w:rtl/>
        </w:rPr>
        <w:t>استبعاد أو تقييد أو تفضيل يقوم لأي سبب، كالعرق أو اللون أو الجنس أو اللغة أو الدين أو الرأي السياسي أو غير السياسي أو الأصل القومي أو الاجتماعي أو الثروة أو النسب أو غير ذلك، مما</w:t>
      </w:r>
      <w:r w:rsidR="00405491">
        <w:rPr>
          <w:rFonts w:eastAsiaTheme="minorEastAsia" w:hint="cs"/>
          <w:rtl/>
        </w:rPr>
        <w:t> </w:t>
      </w:r>
      <w:r w:rsidRPr="001E69EC">
        <w:rPr>
          <w:rFonts w:eastAsiaTheme="minorEastAsia"/>
          <w:rtl/>
        </w:rPr>
        <w:t>يستهدف أو يستتبع تعطيل أو عرقلة الاعتراف لجميع الأشخاص، على قدم المساواة، بجميع الحقوق والحريات أو التمتع بها أو ممارستها</w:t>
      </w:r>
      <w:r w:rsidRPr="00737919">
        <w:rPr>
          <w:rFonts w:eastAsiaTheme="minorEastAsia"/>
          <w:vertAlign w:val="superscript"/>
          <w:rtl/>
        </w:rPr>
        <w:t>(</w:t>
      </w:r>
      <w:r w:rsidRPr="00737919">
        <w:rPr>
          <w:rFonts w:eastAsiaTheme="minorEastAsia"/>
          <w:vertAlign w:val="superscript"/>
          <w:lang w:val="en-US"/>
        </w:rPr>
        <w:footnoteReference w:id="10"/>
      </w:r>
      <w:r w:rsidRPr="00737919">
        <w:rPr>
          <w:rFonts w:eastAsiaTheme="minorEastAsia"/>
          <w:vertAlign w:val="superscript"/>
          <w:rtl/>
        </w:rPr>
        <w:t>)</w:t>
      </w:r>
      <w:r w:rsidRPr="00737919">
        <w:rPr>
          <w:rFonts w:eastAsiaTheme="minorEastAsia" w:hint="cs"/>
          <w:b/>
          <w:i/>
          <w:rtl/>
        </w:rPr>
        <w:t>"</w:t>
      </w:r>
      <w:r w:rsidRPr="00737919">
        <w:rPr>
          <w:rFonts w:eastAsiaTheme="minorEastAsia"/>
          <w:b/>
          <w:i/>
          <w:rtl/>
        </w:rPr>
        <w:t>.</w:t>
      </w:r>
      <w:r>
        <w:rPr>
          <w:rFonts w:eastAsiaTheme="minorEastAsia" w:hint="cs"/>
          <w:rtl/>
        </w:rPr>
        <w:t xml:space="preserve"> </w:t>
      </w:r>
      <w:r w:rsidRPr="001E69EC">
        <w:rPr>
          <w:rFonts w:eastAsiaTheme="minorEastAsia"/>
          <w:rtl/>
        </w:rPr>
        <w:t xml:space="preserve">وتذكِّر اللجنة كذلك بأن المادة </w:t>
      </w:r>
      <w:r w:rsidRPr="00737919">
        <w:rPr>
          <w:rFonts w:eastAsiaTheme="minorEastAsia"/>
          <w:rtl/>
        </w:rPr>
        <w:t>26</w:t>
      </w:r>
      <w:r w:rsidRPr="001E69EC">
        <w:rPr>
          <w:rFonts w:eastAsiaTheme="minorEastAsia"/>
          <w:rtl/>
        </w:rPr>
        <w:t xml:space="preserve"> تنص على حق مستقل يحظر التمييز في القانون أو في أي ميدان في الواقع تنظمه السلطات العامة وتحميه، وأن تطبيق مبدأ عدم التمييز الوارد في تلك المادة لا يقتصر على الحقوق المنصوص عليها في العهد</w:t>
      </w:r>
      <w:r w:rsidRPr="0034180D">
        <w:rPr>
          <w:rFonts w:eastAsiaTheme="minorEastAsia"/>
          <w:vertAlign w:val="superscript"/>
          <w:rtl/>
        </w:rPr>
        <w:t>(</w:t>
      </w:r>
      <w:r w:rsidRPr="00737919">
        <w:rPr>
          <w:rFonts w:eastAsiaTheme="minorEastAsia"/>
          <w:vertAlign w:val="superscript"/>
          <w:lang w:val="en-US"/>
        </w:rPr>
        <w:footnoteReference w:id="11"/>
      </w:r>
      <w:r w:rsidRPr="00737919">
        <w:rPr>
          <w:rFonts w:eastAsiaTheme="minorEastAsia"/>
          <w:vertAlign w:val="superscript"/>
          <w:rtl/>
        </w:rPr>
        <w:t>)</w:t>
      </w:r>
      <w:r w:rsidRPr="00737919">
        <w:rPr>
          <w:rFonts w:eastAsiaTheme="minorEastAsia"/>
          <w:b/>
          <w:i/>
          <w:rtl/>
        </w:rPr>
        <w:t>.</w:t>
      </w:r>
      <w:r w:rsidRPr="001E69EC">
        <w:rPr>
          <w:rFonts w:eastAsiaTheme="minorEastAsia"/>
          <w:rtl/>
        </w:rPr>
        <w:t xml:space="preserve"> وعندما تعتمد دولة طرف تشريعاً معيناً، يجب أن يكون هذا التشريع متمشياً مع متطلبات المادة </w:t>
      </w:r>
      <w:r w:rsidRPr="00737919">
        <w:rPr>
          <w:rFonts w:eastAsiaTheme="minorEastAsia"/>
          <w:rtl/>
        </w:rPr>
        <w:t>26</w:t>
      </w:r>
      <w:r w:rsidRPr="001E69EC">
        <w:rPr>
          <w:rFonts w:eastAsiaTheme="minorEastAsia"/>
          <w:rtl/>
        </w:rPr>
        <w:t>، بمعنى ألا يكون محتواه تمييزياً</w:t>
      </w:r>
      <w:r w:rsidRPr="0034180D">
        <w:rPr>
          <w:rFonts w:eastAsiaTheme="minorEastAsia"/>
          <w:vertAlign w:val="superscript"/>
          <w:rtl/>
        </w:rPr>
        <w:t>(</w:t>
      </w:r>
      <w:r w:rsidRPr="00737919">
        <w:rPr>
          <w:rFonts w:eastAsiaTheme="minorEastAsia"/>
          <w:vertAlign w:val="superscript"/>
          <w:lang w:val="en-US"/>
        </w:rPr>
        <w:footnoteReference w:id="12"/>
      </w:r>
      <w:r w:rsidRPr="00737919">
        <w:rPr>
          <w:rFonts w:eastAsiaTheme="minorEastAsia"/>
          <w:vertAlign w:val="superscript"/>
          <w:rtl/>
        </w:rPr>
        <w:t>)</w:t>
      </w:r>
      <w:r w:rsidRPr="00737919">
        <w:rPr>
          <w:rFonts w:eastAsiaTheme="minorEastAsia"/>
          <w:b/>
          <w:i/>
          <w:rtl/>
        </w:rPr>
        <w:t>.</w:t>
      </w:r>
      <w:r w:rsidRPr="001E69EC">
        <w:rPr>
          <w:rFonts w:eastAsiaTheme="minorEastAsia"/>
          <w:rtl/>
        </w:rPr>
        <w:t xml:space="preserve"> وتذكِّر اللجنة أيضاً بأن حظر التمييز ينطبق على المجالين العام والخاص على حد السواء، وأن انتهاك المادة </w:t>
      </w:r>
      <w:r w:rsidRPr="00737919">
        <w:rPr>
          <w:rFonts w:eastAsiaTheme="minorEastAsia"/>
          <w:rtl/>
        </w:rPr>
        <w:t>26</w:t>
      </w:r>
      <w:r w:rsidRPr="001E69EC">
        <w:rPr>
          <w:rFonts w:eastAsiaTheme="minorEastAsia"/>
          <w:rtl/>
        </w:rPr>
        <w:t xml:space="preserve"> قد ينجم عن قاعدة أو تدبير يبدو محايداً أو لا ينطوي على أي نية للتمييز، لكن له أثر تمييزي</w:t>
      </w:r>
      <w:r w:rsidRPr="0034180D">
        <w:rPr>
          <w:rFonts w:eastAsiaTheme="minorEastAsia"/>
          <w:vertAlign w:val="superscript"/>
          <w:rtl/>
        </w:rPr>
        <w:t>(</w:t>
      </w:r>
      <w:r w:rsidRPr="00737919">
        <w:rPr>
          <w:rFonts w:eastAsiaTheme="minorEastAsia"/>
          <w:vertAlign w:val="superscript"/>
          <w:lang w:val="en-US"/>
        </w:rPr>
        <w:footnoteReference w:id="13"/>
      </w:r>
      <w:r w:rsidRPr="00737919">
        <w:rPr>
          <w:rFonts w:eastAsiaTheme="minorEastAsia"/>
          <w:vertAlign w:val="superscript"/>
          <w:rtl/>
        </w:rPr>
        <w:t>)</w:t>
      </w:r>
      <w:r w:rsidRPr="00737919">
        <w:rPr>
          <w:rFonts w:eastAsiaTheme="minorEastAsia"/>
          <w:b/>
          <w:i/>
          <w:rtl/>
        </w:rPr>
        <w:t>.</w:t>
      </w:r>
      <w:r w:rsidRPr="001E69EC">
        <w:rPr>
          <w:rFonts w:eastAsiaTheme="minorEastAsia"/>
          <w:rtl/>
        </w:rPr>
        <w:t xml:space="preserve"> ومع ذلك، لا يُعتبر كل استبعاد أو تفرقة أو تقييد على أساس الأسس المذكورة في العهد تمييزاً ما دامت قائمة على معايير معقولة وموضوعية، وتسعى إلى تحقيق هدف مشروع بموجب العهد</w:t>
      </w:r>
      <w:r w:rsidRPr="0034180D">
        <w:rPr>
          <w:rFonts w:eastAsiaTheme="minorEastAsia"/>
          <w:vertAlign w:val="superscript"/>
          <w:rtl/>
        </w:rPr>
        <w:t>(</w:t>
      </w:r>
      <w:r w:rsidRPr="00737919">
        <w:rPr>
          <w:rFonts w:eastAsiaTheme="minorEastAsia"/>
          <w:vertAlign w:val="superscript"/>
          <w:lang w:val="en-US"/>
        </w:rPr>
        <w:footnoteReference w:id="14"/>
      </w:r>
      <w:r w:rsidRPr="00737919">
        <w:rPr>
          <w:rFonts w:eastAsiaTheme="minorEastAsia"/>
          <w:vertAlign w:val="superscript"/>
          <w:rtl/>
        </w:rPr>
        <w:t>)</w:t>
      </w:r>
      <w:r w:rsidRPr="00737919">
        <w:rPr>
          <w:rFonts w:eastAsiaTheme="minorEastAsia"/>
          <w:b/>
          <w:i/>
          <w:rtl/>
        </w:rPr>
        <w:t>.</w:t>
      </w:r>
    </w:p>
    <w:p w14:paraId="0EF0FCCB" w14:textId="7C5126D9" w:rsidR="001E69EC" w:rsidRPr="00737919" w:rsidRDefault="001E69EC" w:rsidP="001E69EC">
      <w:pPr>
        <w:pStyle w:val="SingleTxtGA"/>
        <w:rPr>
          <w:rFonts w:eastAsiaTheme="minorEastAsia"/>
          <w:bCs/>
          <w:iCs/>
          <w:lang w:val="ar-SA" w:eastAsia="zh-TW" w:bidi="en-GB"/>
        </w:rPr>
      </w:pPr>
      <w:r w:rsidRPr="00737919">
        <w:rPr>
          <w:rFonts w:eastAsiaTheme="minorEastAsia"/>
          <w:rtl/>
        </w:rPr>
        <w:t>8</w:t>
      </w:r>
      <w:r w:rsidRPr="001E69EC">
        <w:rPr>
          <w:rFonts w:eastAsiaTheme="minorEastAsia"/>
          <w:rtl/>
        </w:rPr>
        <w:t>-</w:t>
      </w:r>
      <w:r w:rsidRPr="00737919">
        <w:rPr>
          <w:rFonts w:eastAsiaTheme="minorEastAsia"/>
          <w:rtl/>
        </w:rPr>
        <w:t>5</w:t>
      </w:r>
      <w:r w:rsidRPr="001E69EC">
        <w:rPr>
          <w:rFonts w:eastAsiaTheme="minorEastAsia"/>
          <w:rtl/>
        </w:rPr>
        <w:tab/>
        <w:t>وتذكِّر اللجنة بأن لا العهد يحدد بصفة عامة ولا القانون الدولي معايير منح الجنسية عن طريق التجنس، وأن الدولة حرة في تحديد تلك المعايير</w:t>
      </w:r>
      <w:r w:rsidRPr="0034180D">
        <w:rPr>
          <w:rFonts w:eastAsiaTheme="minorEastAsia"/>
          <w:vertAlign w:val="superscript"/>
          <w:rtl/>
        </w:rPr>
        <w:t>(</w:t>
      </w:r>
      <w:r w:rsidRPr="00737919">
        <w:rPr>
          <w:rFonts w:eastAsiaTheme="minorEastAsia"/>
          <w:vertAlign w:val="superscript"/>
          <w:lang w:val="en-US"/>
        </w:rPr>
        <w:footnoteReference w:id="15"/>
      </w:r>
      <w:r w:rsidRPr="00737919">
        <w:rPr>
          <w:rFonts w:eastAsiaTheme="minorEastAsia"/>
          <w:vertAlign w:val="superscript"/>
          <w:rtl/>
        </w:rPr>
        <w:t>)</w:t>
      </w:r>
      <w:r w:rsidRPr="001E69EC">
        <w:rPr>
          <w:rFonts w:eastAsiaTheme="minorEastAsia"/>
          <w:rtl/>
        </w:rPr>
        <w:t xml:space="preserve">. إلا أن سلطات الدول الأطراف عليها، عند اعتماد التشريعات وتنفيذها، أن تحترم التزاماتها بموجب المادة </w:t>
      </w:r>
      <w:r w:rsidRPr="00737919">
        <w:rPr>
          <w:rFonts w:eastAsiaTheme="minorEastAsia"/>
          <w:rtl/>
        </w:rPr>
        <w:t>26</w:t>
      </w:r>
      <w:r w:rsidRPr="001E69EC">
        <w:rPr>
          <w:rFonts w:eastAsiaTheme="minorEastAsia"/>
          <w:rtl/>
        </w:rPr>
        <w:t xml:space="preserve"> من العهد. </w:t>
      </w:r>
    </w:p>
    <w:p w14:paraId="4E1EB4AA" w14:textId="4FD0BE72" w:rsidR="001E69EC" w:rsidRPr="00737919" w:rsidRDefault="001E69EC" w:rsidP="001E69EC">
      <w:pPr>
        <w:pStyle w:val="SingleTxtGA"/>
        <w:rPr>
          <w:rFonts w:eastAsiaTheme="minorEastAsia"/>
          <w:bCs/>
          <w:iCs/>
          <w:lang w:val="ar-SA" w:eastAsia="zh-TW" w:bidi="en-GB"/>
        </w:rPr>
      </w:pPr>
      <w:r w:rsidRPr="00737919">
        <w:rPr>
          <w:rFonts w:eastAsiaTheme="minorEastAsia"/>
          <w:rtl/>
        </w:rPr>
        <w:t>8</w:t>
      </w:r>
      <w:r w:rsidRPr="001E69EC">
        <w:rPr>
          <w:rFonts w:eastAsiaTheme="minorEastAsia"/>
          <w:rtl/>
        </w:rPr>
        <w:t>-</w:t>
      </w:r>
      <w:r w:rsidRPr="00737919">
        <w:rPr>
          <w:rFonts w:eastAsiaTheme="minorEastAsia"/>
          <w:rtl/>
        </w:rPr>
        <w:t>6</w:t>
      </w:r>
      <w:r w:rsidRPr="001E69EC">
        <w:rPr>
          <w:rFonts w:eastAsiaTheme="minorEastAsia"/>
          <w:rtl/>
        </w:rPr>
        <w:tab/>
        <w:t xml:space="preserve">وتحيط اللجنة علماً بادعاء صاحب البلاغ أن عدم منح سلطات الدولة الطرف إياه إعفاء من امتحان الكفاءة اللغوية واختبار المواطنة، على أساس إعاقته، مثل تمييزاً وتعسفاً. وتلاحظ اللجنة أن صاحب البلاغ طلب إعفاءه من الشرطين المذكورين بموجب التعميم رقم </w:t>
      </w:r>
      <w:r w:rsidRPr="00737919">
        <w:rPr>
          <w:rFonts w:eastAsiaTheme="minorEastAsia"/>
          <w:rtl/>
        </w:rPr>
        <w:t>9253</w:t>
      </w:r>
      <w:r w:rsidRPr="001E69EC">
        <w:rPr>
          <w:rFonts w:eastAsiaTheme="minorEastAsia"/>
          <w:rtl/>
        </w:rPr>
        <w:t xml:space="preserve">. وتلاحظ اللجنة كذلك أن، في هذه القضية، لا جدال في أن صاحب البلاغ قد شُخص بأنه يعاني من </w:t>
      </w:r>
      <w:proofErr w:type="spellStart"/>
      <w:r w:rsidRPr="001E69EC">
        <w:rPr>
          <w:rFonts w:eastAsiaTheme="minorEastAsia"/>
          <w:rtl/>
        </w:rPr>
        <w:t>الاكتراب</w:t>
      </w:r>
      <w:proofErr w:type="spellEnd"/>
      <w:r w:rsidRPr="001E69EC">
        <w:rPr>
          <w:rFonts w:eastAsiaTheme="minorEastAsia"/>
          <w:rtl/>
        </w:rPr>
        <w:t xml:space="preserve"> المزمن التالي للصدمة، الذي وُصف في العديد من الشهادات الطبية المقدمة مع طلب التجنس</w:t>
      </w:r>
      <w:r w:rsidRPr="0034180D">
        <w:rPr>
          <w:rFonts w:eastAsiaTheme="minorEastAsia"/>
          <w:vertAlign w:val="superscript"/>
          <w:rtl/>
        </w:rPr>
        <w:t>(</w:t>
      </w:r>
      <w:r w:rsidRPr="00737919">
        <w:rPr>
          <w:rFonts w:eastAsiaTheme="minorEastAsia"/>
          <w:vertAlign w:val="superscript"/>
          <w:lang w:val="en-US"/>
        </w:rPr>
        <w:footnoteReference w:id="16"/>
      </w:r>
      <w:r w:rsidRPr="00737919">
        <w:rPr>
          <w:rFonts w:eastAsiaTheme="minorEastAsia"/>
          <w:vertAlign w:val="superscript"/>
          <w:rtl/>
        </w:rPr>
        <w:t>)</w:t>
      </w:r>
      <w:r w:rsidRPr="001E69EC">
        <w:rPr>
          <w:rFonts w:eastAsiaTheme="minorEastAsia"/>
          <w:rtl/>
        </w:rPr>
        <w:t xml:space="preserve"> بأنه إعاقة طويلة </w:t>
      </w:r>
      <w:r w:rsidRPr="00721DCA">
        <w:rPr>
          <w:rFonts w:eastAsiaTheme="minorEastAsia"/>
          <w:spacing w:val="-4"/>
          <w:rtl/>
        </w:rPr>
        <w:t>الأجل تؤثر سلباً على وظائفه المعرفية ومهاراته اللغوية في اللغتين الدانمركية والعربية. ووفق</w:t>
      </w:r>
      <w:r w:rsidR="00405491" w:rsidRPr="00721DCA">
        <w:rPr>
          <w:rFonts w:eastAsiaTheme="minorEastAsia"/>
          <w:spacing w:val="-4"/>
          <w:rtl/>
        </w:rPr>
        <w:t xml:space="preserve">اً </w:t>
      </w:r>
      <w:r w:rsidRPr="00721DCA">
        <w:rPr>
          <w:rFonts w:eastAsiaTheme="minorEastAsia"/>
          <w:spacing w:val="-4"/>
          <w:rtl/>
        </w:rPr>
        <w:t>للشهادات الطبية،</w:t>
      </w:r>
      <w:r w:rsidRPr="001E69EC">
        <w:rPr>
          <w:rFonts w:eastAsiaTheme="minorEastAsia"/>
          <w:rtl/>
        </w:rPr>
        <w:t xml:space="preserve"> </w:t>
      </w:r>
      <w:r w:rsidRPr="001E69EC">
        <w:rPr>
          <w:rFonts w:eastAsiaTheme="minorEastAsia"/>
          <w:rtl/>
        </w:rPr>
        <w:lastRenderedPageBreak/>
        <w:t xml:space="preserve">فقد شُخص أيضاً بأنه يعاني من صعوبات في تركيز الانتباه، وضعف في الذاكرة، وانخفاض القدرة على تكوين المنظور والتعلم، ولذلك اعتبر طبيبه المعالج أنه من غير الواقعي أن يحضر صاحب البلاغ دروساً في اللغة أو أن يشارك في امتحان للكفاءة اللغوية. وتلاحظ اللجنة أن صاحب البلاغ، استناداً إلى تشخيصه الطبي، قدم طلباً للإعفاء من امتحان الكفاءة اللغوية واختبار المواطنة. وتشير إلى أن وزارة الهجرة والإدماج والإسكان أبلغته في </w:t>
      </w:r>
      <w:r w:rsidRPr="00737919">
        <w:rPr>
          <w:rFonts w:eastAsiaTheme="minorEastAsia"/>
          <w:rtl/>
        </w:rPr>
        <w:t>27</w:t>
      </w:r>
      <w:r w:rsidRPr="001E69EC">
        <w:rPr>
          <w:rFonts w:eastAsiaTheme="minorEastAsia"/>
          <w:rtl/>
        </w:rPr>
        <w:t xml:space="preserve"> تشرين الأول/أكتوبر </w:t>
      </w:r>
      <w:r w:rsidRPr="00737919">
        <w:rPr>
          <w:rFonts w:eastAsiaTheme="minorEastAsia"/>
          <w:rtl/>
        </w:rPr>
        <w:t>2015</w:t>
      </w:r>
      <w:r w:rsidRPr="001E69EC">
        <w:rPr>
          <w:rFonts w:eastAsiaTheme="minorEastAsia"/>
          <w:rtl/>
        </w:rPr>
        <w:t xml:space="preserve"> أن طلبه للتجنس قد رفض وأنه اعتبر غير مستوفٍ لشرط الكفاءة اللغوية وشرط تقديم دليل على اجتياز اختبار المواطنة على النحو المنصوص عليه في المادة </w:t>
      </w:r>
      <w:r w:rsidRPr="00737919">
        <w:rPr>
          <w:rFonts w:eastAsiaTheme="minorEastAsia"/>
          <w:rtl/>
        </w:rPr>
        <w:t>24</w:t>
      </w:r>
      <w:r w:rsidRPr="001E69EC">
        <w:rPr>
          <w:rFonts w:eastAsiaTheme="minorEastAsia"/>
          <w:rtl/>
        </w:rPr>
        <w:t>(</w:t>
      </w:r>
      <w:r w:rsidRPr="00737919">
        <w:rPr>
          <w:rFonts w:eastAsiaTheme="minorEastAsia"/>
          <w:rtl/>
        </w:rPr>
        <w:t>1</w:t>
      </w:r>
      <w:r w:rsidRPr="001E69EC">
        <w:rPr>
          <w:rFonts w:eastAsiaTheme="minorEastAsia"/>
          <w:rtl/>
        </w:rPr>
        <w:t>)-(</w:t>
      </w:r>
      <w:r w:rsidRPr="00737919">
        <w:rPr>
          <w:rFonts w:eastAsiaTheme="minorEastAsia"/>
          <w:rtl/>
        </w:rPr>
        <w:t>2</w:t>
      </w:r>
      <w:r w:rsidRPr="001E69EC">
        <w:rPr>
          <w:rFonts w:eastAsiaTheme="minorEastAsia"/>
          <w:rtl/>
        </w:rPr>
        <w:t xml:space="preserve">) من التعميم رقم </w:t>
      </w:r>
      <w:r w:rsidRPr="00737919">
        <w:rPr>
          <w:rFonts w:eastAsiaTheme="minorEastAsia"/>
          <w:rtl/>
        </w:rPr>
        <w:t>9253</w:t>
      </w:r>
      <w:r w:rsidRPr="001E69EC">
        <w:rPr>
          <w:rFonts w:eastAsiaTheme="minorEastAsia"/>
          <w:rtl/>
        </w:rPr>
        <w:t xml:space="preserve">. وفي هذا الصدد، تحيط اللجنة علماً بدفع صاحب البلاغ بأن التعميم رقم </w:t>
      </w:r>
      <w:r w:rsidRPr="00737919">
        <w:rPr>
          <w:rFonts w:eastAsiaTheme="minorEastAsia"/>
          <w:rtl/>
        </w:rPr>
        <w:t>10873</w:t>
      </w:r>
      <w:r w:rsidRPr="001E69EC">
        <w:rPr>
          <w:rFonts w:eastAsiaTheme="minorEastAsia"/>
          <w:rtl/>
        </w:rPr>
        <w:t xml:space="preserve"> طُبق بأثر رجعي على طلبه وأن طلبه لم ينظر فيه بموجب التعميم رقم </w:t>
      </w:r>
      <w:r w:rsidRPr="00737919">
        <w:rPr>
          <w:rFonts w:eastAsiaTheme="minorEastAsia"/>
          <w:rtl/>
        </w:rPr>
        <w:t>9253</w:t>
      </w:r>
      <w:r w:rsidRPr="001E69EC">
        <w:rPr>
          <w:rFonts w:eastAsiaTheme="minorEastAsia"/>
          <w:rtl/>
        </w:rPr>
        <w:t xml:space="preserve">، الذي كان سارياً وقت تقديم طلبه. غير أن اللجنة تلاحظ أن طلب صاحب البلاغ نُظر فيه بموجب التعميم رقم </w:t>
      </w:r>
      <w:r w:rsidRPr="00737919">
        <w:rPr>
          <w:rFonts w:eastAsiaTheme="minorEastAsia"/>
          <w:rtl/>
        </w:rPr>
        <w:t>9253</w:t>
      </w:r>
      <w:r w:rsidRPr="001E69EC">
        <w:rPr>
          <w:rFonts w:eastAsiaTheme="minorEastAsia"/>
          <w:rtl/>
        </w:rPr>
        <w:t xml:space="preserve">، وفقاً لما ورد في رسالة وزارة الهجرة والإدماج والإسكان التي أُبلغ فيها صاحب البلاغ بالقرار السلبي المتعلق بطلبه. </w:t>
      </w:r>
    </w:p>
    <w:p w14:paraId="0B05AB16" w14:textId="12A624F4" w:rsidR="001E69EC" w:rsidRPr="00737919" w:rsidRDefault="001E69EC" w:rsidP="001E69EC">
      <w:pPr>
        <w:pStyle w:val="SingleTxtGA"/>
        <w:rPr>
          <w:rFonts w:eastAsiaTheme="minorEastAsia"/>
          <w:bCs/>
          <w:iCs/>
          <w:lang w:val="ar-SA" w:eastAsia="zh-TW" w:bidi="en-GB"/>
        </w:rPr>
      </w:pPr>
      <w:r w:rsidRPr="00737919">
        <w:rPr>
          <w:rFonts w:eastAsiaTheme="minorEastAsia"/>
          <w:rtl/>
        </w:rPr>
        <w:t>8</w:t>
      </w:r>
      <w:r w:rsidRPr="001E69EC">
        <w:rPr>
          <w:rFonts w:eastAsiaTheme="minorEastAsia"/>
          <w:rtl/>
        </w:rPr>
        <w:t>-</w:t>
      </w:r>
      <w:r w:rsidRPr="00737919">
        <w:rPr>
          <w:rFonts w:eastAsiaTheme="minorEastAsia"/>
          <w:rtl/>
        </w:rPr>
        <w:t>7</w:t>
      </w:r>
      <w:r w:rsidRPr="001E69EC">
        <w:rPr>
          <w:rFonts w:eastAsiaTheme="minorEastAsia"/>
          <w:rtl/>
        </w:rPr>
        <w:tab/>
        <w:t xml:space="preserve">وتحيط اللجنة علماً كذلك بحجة صاحب البلاغ الدامغة والتي مفادها أنه أُبلغ، في الرسالة الموجهة من وزارة الهجرة والإدماج والإسكان، بأن قرارات لجنة التجنيس لا تخضع لأحكام قانون الإدارة العامة المتعلق بتعليل القرارات، وأن الوزارة لا تستطيع تزويد صاحب البلاغ بأي تفاصيل تتعلق بنظر لجنة التجنيس في قضيته، نظراً لسرية إجراءات تلك اللجنة. وتذكِّر اللجنة في هذا الصدد بأن المادة </w:t>
      </w:r>
      <w:r w:rsidRPr="00737919">
        <w:rPr>
          <w:rFonts w:eastAsiaTheme="minorEastAsia"/>
          <w:rtl/>
        </w:rPr>
        <w:t>26</w:t>
      </w:r>
      <w:r w:rsidRPr="001E69EC">
        <w:rPr>
          <w:rFonts w:eastAsiaTheme="minorEastAsia"/>
          <w:rtl/>
        </w:rPr>
        <w:t xml:space="preserve"> تشترط وجود تبرير معقول وموضوعي وهدف مشروع للتفريق الذي يتصل بخصائص الفرد المذكورة في المادة </w:t>
      </w:r>
      <w:r w:rsidRPr="00737919">
        <w:rPr>
          <w:rFonts w:eastAsiaTheme="minorEastAsia"/>
          <w:rtl/>
        </w:rPr>
        <w:t>26</w:t>
      </w:r>
      <w:r w:rsidRPr="001E69EC">
        <w:rPr>
          <w:rFonts w:eastAsiaTheme="minorEastAsia"/>
          <w:rtl/>
        </w:rPr>
        <w:t xml:space="preserve">، بما في ذلك فئة </w:t>
      </w:r>
      <w:r>
        <w:rPr>
          <w:rFonts w:eastAsiaTheme="minorEastAsia" w:hint="cs"/>
          <w:rtl/>
        </w:rPr>
        <w:t>"</w:t>
      </w:r>
      <w:r w:rsidRPr="001E69EC">
        <w:rPr>
          <w:rFonts w:eastAsiaTheme="minorEastAsia"/>
          <w:rtl/>
        </w:rPr>
        <w:t>غير ذلك</w:t>
      </w:r>
      <w:r>
        <w:rPr>
          <w:rFonts w:eastAsiaTheme="minorEastAsia" w:hint="cs"/>
          <w:rtl/>
        </w:rPr>
        <w:t>"</w:t>
      </w:r>
      <w:r w:rsidRPr="001E69EC">
        <w:rPr>
          <w:rFonts w:eastAsiaTheme="minorEastAsia"/>
          <w:rtl/>
        </w:rPr>
        <w:t>، مثل الإعاقة</w:t>
      </w:r>
      <w:r w:rsidRPr="0034180D">
        <w:rPr>
          <w:rFonts w:eastAsiaTheme="minorEastAsia"/>
          <w:vertAlign w:val="superscript"/>
          <w:rtl/>
        </w:rPr>
        <w:t>(</w:t>
      </w:r>
      <w:r w:rsidRPr="00737919">
        <w:rPr>
          <w:rFonts w:eastAsiaTheme="minorEastAsia"/>
          <w:vertAlign w:val="superscript"/>
          <w:lang w:val="en-US"/>
        </w:rPr>
        <w:footnoteReference w:id="17"/>
      </w:r>
      <w:r w:rsidRPr="00737919">
        <w:rPr>
          <w:rFonts w:eastAsiaTheme="minorEastAsia"/>
          <w:vertAlign w:val="superscript"/>
          <w:rtl/>
        </w:rPr>
        <w:t>)</w:t>
      </w:r>
      <w:r w:rsidRPr="00737919">
        <w:rPr>
          <w:rFonts w:eastAsiaTheme="minorEastAsia"/>
          <w:b/>
          <w:i/>
          <w:rtl/>
        </w:rPr>
        <w:t>.</w:t>
      </w:r>
      <w:r w:rsidRPr="001E69EC">
        <w:rPr>
          <w:rFonts w:eastAsiaTheme="minorEastAsia"/>
          <w:rtl/>
        </w:rPr>
        <w:t xml:space="preserve"> وترى اللجنة أن الدولة الطرف، بعدم تزويدها صاحب البلاغ بأي معلومات عن تعليل قرارها المتعلق بطلبه أو أسباب رفض طلبه الإعفاء من شرط الكفاءة اللغوية</w:t>
      </w:r>
      <w:r>
        <w:rPr>
          <w:rFonts w:eastAsiaTheme="minorEastAsia"/>
          <w:rtl/>
        </w:rPr>
        <w:t xml:space="preserve"> </w:t>
      </w:r>
      <w:r w:rsidRPr="001E69EC">
        <w:rPr>
          <w:rFonts w:eastAsiaTheme="minorEastAsia"/>
          <w:rtl/>
        </w:rPr>
        <w:t>واختبار المواطنة استناداً إلى حالته الصحية الطبية، لم تثبت أن رفض منح الإعفاء استند إلى أسباب معقولة وموضوعية</w:t>
      </w:r>
      <w:r w:rsidRPr="0034180D">
        <w:rPr>
          <w:rFonts w:eastAsiaTheme="minorEastAsia"/>
          <w:vertAlign w:val="superscript"/>
          <w:rtl/>
        </w:rPr>
        <w:t>(</w:t>
      </w:r>
      <w:r w:rsidRPr="00737919">
        <w:rPr>
          <w:rFonts w:eastAsiaTheme="minorEastAsia"/>
          <w:vertAlign w:val="superscript"/>
          <w:lang w:val="en-US"/>
        </w:rPr>
        <w:footnoteReference w:id="18"/>
      </w:r>
      <w:r w:rsidRPr="00737919">
        <w:rPr>
          <w:rFonts w:eastAsiaTheme="minorEastAsia"/>
          <w:vertAlign w:val="superscript"/>
          <w:rtl/>
        </w:rPr>
        <w:t>)</w:t>
      </w:r>
      <w:r w:rsidRPr="00737919">
        <w:rPr>
          <w:rFonts w:eastAsiaTheme="minorEastAsia"/>
          <w:b/>
          <w:i/>
          <w:rtl/>
        </w:rPr>
        <w:t>.</w:t>
      </w:r>
      <w:r w:rsidRPr="001E69EC">
        <w:rPr>
          <w:rFonts w:eastAsiaTheme="minorEastAsia"/>
          <w:rtl/>
        </w:rPr>
        <w:t xml:space="preserve"> وعلاوة على ذلك، فإن عدم تقديم معلومات عن الأسباب الكامنة وراء القرار وما يترتب على ذلك من انعدام الشفافية في الإجراءات يجعل من الصعب جداً، إن لم يكن من المستحيل، على صاحب البلاغ أن يقدم المزيد من الوثائق أو يتقدم بطلب جديد للحصول على الجنسية عن طريق التجنس. وترى اللجنة أن كون لجنة التجنيس جزءاً من الهيئة التشريعية لا يعفي الدولة الطرف من اتخاذ التدابير اللازمة لضمان إعلام صاحب البلاغ، ولو بإيجاز، بالأسباب الموضوعية لقرار لجنة التجنيس</w:t>
      </w:r>
      <w:r w:rsidRPr="0034180D">
        <w:rPr>
          <w:rFonts w:eastAsiaTheme="minorEastAsia"/>
          <w:vertAlign w:val="superscript"/>
          <w:rtl/>
        </w:rPr>
        <w:t>(</w:t>
      </w:r>
      <w:r w:rsidRPr="00737919">
        <w:rPr>
          <w:rFonts w:eastAsiaTheme="minorEastAsia"/>
          <w:vertAlign w:val="superscript"/>
          <w:lang w:val="en-US"/>
        </w:rPr>
        <w:footnoteReference w:id="19"/>
      </w:r>
      <w:r w:rsidRPr="00737919">
        <w:rPr>
          <w:rFonts w:eastAsiaTheme="minorEastAsia"/>
          <w:vertAlign w:val="superscript"/>
          <w:rtl/>
        </w:rPr>
        <w:t>)</w:t>
      </w:r>
      <w:r w:rsidRPr="00737919">
        <w:rPr>
          <w:rFonts w:eastAsiaTheme="minorEastAsia"/>
          <w:b/>
          <w:i/>
          <w:rtl/>
        </w:rPr>
        <w:t xml:space="preserve">. </w:t>
      </w:r>
      <w:r w:rsidRPr="001E69EC">
        <w:rPr>
          <w:rFonts w:eastAsiaTheme="minorEastAsia"/>
          <w:rtl/>
        </w:rPr>
        <w:t xml:space="preserve">وترى أن الدولة الطرف، في غياب تبرير من هذا القبيل، لم تثبت أن قرارها بعدم منح صاحب البلاغ إعفاء استند إلى أسباب معقولة وموضوعية. وبناء على ذلك، تقرر اللجنة أن الوقائع المعروضة عليها تكشف عن حدوث انتهاك لحقوق صاحب البلاغ التي تكفلها المادة </w:t>
      </w:r>
      <w:r w:rsidRPr="00737919">
        <w:rPr>
          <w:rFonts w:eastAsiaTheme="minorEastAsia"/>
          <w:rtl/>
        </w:rPr>
        <w:t>26</w:t>
      </w:r>
      <w:r w:rsidRPr="001E69EC">
        <w:rPr>
          <w:rFonts w:eastAsiaTheme="minorEastAsia"/>
          <w:rtl/>
        </w:rPr>
        <w:t xml:space="preserve"> من العهد. </w:t>
      </w:r>
    </w:p>
    <w:p w14:paraId="73812FD9" w14:textId="7FE6F5BC" w:rsidR="001E69EC" w:rsidRPr="00737919" w:rsidRDefault="001E69EC" w:rsidP="001E69EC">
      <w:pPr>
        <w:pStyle w:val="SingleTxtGA"/>
        <w:rPr>
          <w:rFonts w:eastAsiaTheme="minorEastAsia"/>
          <w:bCs/>
          <w:iCs/>
          <w:lang w:val="ar-SA" w:eastAsia="zh-TW" w:bidi="en-GB"/>
        </w:rPr>
      </w:pPr>
      <w:r w:rsidRPr="00737919">
        <w:rPr>
          <w:rFonts w:eastAsiaTheme="minorEastAsia"/>
          <w:rtl/>
        </w:rPr>
        <w:t>9</w:t>
      </w:r>
      <w:r w:rsidRPr="001E69EC">
        <w:rPr>
          <w:rFonts w:eastAsiaTheme="minorEastAsia"/>
          <w:rtl/>
        </w:rPr>
        <w:t>-</w:t>
      </w:r>
      <w:r w:rsidRPr="001E69EC">
        <w:rPr>
          <w:rFonts w:eastAsiaTheme="minorEastAsia"/>
          <w:rtl/>
        </w:rPr>
        <w:tab/>
        <w:t xml:space="preserve">واللجنة، إذ تتصرف وفقاً للمادة </w:t>
      </w:r>
      <w:r w:rsidRPr="00737919">
        <w:rPr>
          <w:rFonts w:eastAsiaTheme="minorEastAsia"/>
          <w:rtl/>
        </w:rPr>
        <w:t>5</w:t>
      </w:r>
      <w:r w:rsidRPr="001E69EC">
        <w:rPr>
          <w:rFonts w:eastAsiaTheme="minorEastAsia"/>
          <w:rtl/>
        </w:rPr>
        <w:t>(</w:t>
      </w:r>
      <w:r w:rsidRPr="00737919">
        <w:rPr>
          <w:rFonts w:eastAsiaTheme="minorEastAsia"/>
          <w:rtl/>
        </w:rPr>
        <w:t>4</w:t>
      </w:r>
      <w:r w:rsidRPr="001E69EC">
        <w:rPr>
          <w:rFonts w:eastAsiaTheme="minorEastAsia"/>
          <w:rtl/>
        </w:rPr>
        <w:t xml:space="preserve">) من البروتوكول الاختياري، ترى أن المعلومات المعروضة عليها تكشف عن انتهاك الدولة الطرف للمادة </w:t>
      </w:r>
      <w:r w:rsidRPr="00737919">
        <w:rPr>
          <w:rFonts w:eastAsiaTheme="minorEastAsia"/>
          <w:rtl/>
        </w:rPr>
        <w:t>26</w:t>
      </w:r>
      <w:r w:rsidRPr="001E69EC">
        <w:rPr>
          <w:rFonts w:eastAsiaTheme="minorEastAsia"/>
          <w:rtl/>
        </w:rPr>
        <w:t xml:space="preserve"> من العهد. </w:t>
      </w:r>
    </w:p>
    <w:p w14:paraId="3E159543" w14:textId="77777777" w:rsidR="001E69EC" w:rsidRPr="00737919" w:rsidRDefault="001E69EC" w:rsidP="001E69EC">
      <w:pPr>
        <w:pStyle w:val="SingleTxtGA"/>
        <w:rPr>
          <w:rFonts w:eastAsiaTheme="minorEastAsia"/>
          <w:bCs/>
          <w:iCs/>
          <w:lang w:val="ar-SA" w:eastAsia="zh-TW" w:bidi="en-GB"/>
        </w:rPr>
      </w:pPr>
      <w:r w:rsidRPr="00737919">
        <w:rPr>
          <w:rFonts w:eastAsiaTheme="minorEastAsia"/>
          <w:rtl/>
        </w:rPr>
        <w:t>10</w:t>
      </w:r>
      <w:r w:rsidRPr="001E69EC">
        <w:rPr>
          <w:rFonts w:eastAsiaTheme="minorEastAsia"/>
          <w:rtl/>
        </w:rPr>
        <w:t>-</w:t>
      </w:r>
      <w:r w:rsidRPr="001E69EC">
        <w:rPr>
          <w:rFonts w:eastAsiaTheme="minorEastAsia"/>
          <w:rtl/>
        </w:rPr>
        <w:tab/>
        <w:t xml:space="preserve">وعملاً بأحكام المادة </w:t>
      </w:r>
      <w:r w:rsidRPr="00737919">
        <w:rPr>
          <w:rFonts w:eastAsiaTheme="minorEastAsia"/>
          <w:rtl/>
        </w:rPr>
        <w:t>2</w:t>
      </w:r>
      <w:r w:rsidRPr="001E69EC">
        <w:rPr>
          <w:rFonts w:eastAsiaTheme="minorEastAsia"/>
          <w:rtl/>
        </w:rPr>
        <w:t>(</w:t>
      </w:r>
      <w:r w:rsidRPr="00737919">
        <w:rPr>
          <w:rFonts w:eastAsiaTheme="minorEastAsia"/>
          <w:rtl/>
        </w:rPr>
        <w:t>3</w:t>
      </w:r>
      <w:r w:rsidRPr="001E69EC">
        <w:rPr>
          <w:rFonts w:eastAsiaTheme="minorEastAsia"/>
          <w:rtl/>
        </w:rPr>
        <w:t xml:space="preserve">)(أ) من العهد، فإن الدولة الطرف ملزمة بتوفير سبيل انتصاف فعال لصاحب البلاغ. وهذا يتطلب منها أن تمنح تعويضاً كاملاً للأفراد الذين انتُهكت حقوقهم المكفولة بالعهد. وتبعاً لذلك، فإن الدولة الطرف ملزمة، في جملة أمور أخرى، باتخاذ الخطوات المناسبة لتقديم تعويض مناسب وإعادة النظر في طلب صاحب البلاغ مع أخذ النتائج التي توصلت إليها اللجنة في الاعتبار. والدولة الطرف ملزمة أيضاً باتخاذ جميع الخطوات اللازمة لمنع حدوث انتهاكات مماثلة في المستقبل. </w:t>
      </w:r>
    </w:p>
    <w:p w14:paraId="1EA69866" w14:textId="78313799" w:rsidR="007555A9" w:rsidRPr="00737919" w:rsidRDefault="001E69EC" w:rsidP="007555A9">
      <w:pPr>
        <w:pStyle w:val="SingleTxtGA"/>
        <w:rPr>
          <w:rFonts w:eastAsiaTheme="minorEastAsia"/>
          <w:bCs/>
          <w:rtl/>
        </w:rPr>
      </w:pPr>
      <w:r w:rsidRPr="00737919">
        <w:rPr>
          <w:rFonts w:eastAsiaTheme="minorEastAsia"/>
          <w:rtl/>
        </w:rPr>
        <w:lastRenderedPageBreak/>
        <w:t>11</w:t>
      </w:r>
      <w:r w:rsidRPr="001E69EC">
        <w:rPr>
          <w:rFonts w:eastAsiaTheme="minorEastAsia"/>
          <w:rtl/>
        </w:rPr>
        <w:t>-</w:t>
      </w:r>
      <w:r w:rsidRPr="001E69EC">
        <w:rPr>
          <w:rFonts w:eastAsiaTheme="minorEastAsia"/>
          <w:rtl/>
        </w:rPr>
        <w:tab/>
        <w:t>ونظر</w:t>
      </w:r>
      <w:r w:rsidR="00405491">
        <w:rPr>
          <w:rFonts w:eastAsiaTheme="minorEastAsia"/>
          <w:rtl/>
        </w:rPr>
        <w:t xml:space="preserve">اً </w:t>
      </w:r>
      <w:r w:rsidRPr="001E69EC">
        <w:rPr>
          <w:rFonts w:eastAsiaTheme="minorEastAsia"/>
          <w:rtl/>
        </w:rPr>
        <w:t xml:space="preserve">إلى أن الدولة الطرف أقرَّت، بانضمامها إلى البروتوكول الاختياري، باختصاص اللجنة بالبتِّ فيما إذا كان العهد قد انتُهك أم لا، وتعهدت، بمقتضى المادة </w:t>
      </w:r>
      <w:r w:rsidRPr="00737919">
        <w:rPr>
          <w:rFonts w:eastAsiaTheme="minorEastAsia"/>
          <w:rtl/>
        </w:rPr>
        <w:t>2</w:t>
      </w:r>
      <w:r w:rsidRPr="001E69EC">
        <w:rPr>
          <w:rFonts w:eastAsiaTheme="minorEastAsia"/>
          <w:rtl/>
        </w:rPr>
        <w:t xml:space="preserve"> من العهد، بأن تكفل لجميع الأفراد الموجودين في إقليمها أو الخاضعين لولايتها الحقوق المعترف بها في العهد وأن توفر لهم سبيل انتصاف فعالاً وقابلاً للإنفاذ في حالة ثبوت الانتهاك، فإن اللجنة تود أن تتلقى معلومات من الدولة الطرف، في غضون </w:t>
      </w:r>
      <w:r w:rsidRPr="00737919">
        <w:rPr>
          <w:rFonts w:eastAsiaTheme="minorEastAsia"/>
          <w:rtl/>
        </w:rPr>
        <w:t>180</w:t>
      </w:r>
      <w:r w:rsidRPr="001E69EC">
        <w:rPr>
          <w:rFonts w:eastAsiaTheme="minorEastAsia"/>
          <w:rtl/>
        </w:rPr>
        <w:t xml:space="preserve"> يوماً، عن التدابير المتخذة لإنفاذ آراء اللجنة. وتطلب إلى الدولة الطرف أيضاً أن تنشر هذه الآراء وتوزعها على نطاق واسع باللغة الرسمية للدولة الطرف.</w:t>
      </w:r>
    </w:p>
    <w:p w14:paraId="132EF1C7" w14:textId="4AEB473A" w:rsidR="007555A9" w:rsidRPr="00737919" w:rsidRDefault="007555A9" w:rsidP="007555A9">
      <w:pPr>
        <w:pStyle w:val="SingleTxtGA"/>
        <w:rPr>
          <w:rFonts w:eastAsiaTheme="minorEastAsia"/>
          <w:bCs/>
          <w:rtl/>
        </w:rPr>
      </w:pPr>
    </w:p>
    <w:p w14:paraId="268D1BD3" w14:textId="77777777" w:rsidR="00AB1D9A" w:rsidRPr="00737919" w:rsidRDefault="00AB1D9A" w:rsidP="007555A9">
      <w:pPr>
        <w:pStyle w:val="SingleTxtGA"/>
        <w:rPr>
          <w:rFonts w:eastAsiaTheme="minorEastAsia"/>
          <w:bCs/>
          <w:rtl/>
        </w:rPr>
        <w:sectPr w:rsidR="00AB1D9A" w:rsidRPr="00737919" w:rsidSect="00FC4CF0">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pPr>
    </w:p>
    <w:p w14:paraId="0950780F" w14:textId="4B051FED" w:rsidR="001E69EC" w:rsidRPr="00737919" w:rsidRDefault="001E69EC" w:rsidP="00A24026">
      <w:pPr>
        <w:pStyle w:val="HChGA"/>
        <w:spacing w:before="120"/>
        <w:rPr>
          <w:lang w:val="en-US" w:eastAsia="zh-TW" w:bidi="en-GB"/>
        </w:rPr>
      </w:pPr>
      <w:r w:rsidRPr="00737919">
        <w:rPr>
          <w:rtl/>
        </w:rPr>
        <w:lastRenderedPageBreak/>
        <w:t>المرفق الأول</w:t>
      </w:r>
    </w:p>
    <w:p w14:paraId="6F1A8CCC" w14:textId="77777777" w:rsidR="001E69EC" w:rsidRPr="00737919" w:rsidRDefault="001E69EC" w:rsidP="00A24026">
      <w:pPr>
        <w:pStyle w:val="HChGA"/>
        <w:rPr>
          <w:lang w:val="ar-SA" w:eastAsia="zh-TW" w:bidi="en-GB"/>
        </w:rPr>
      </w:pPr>
      <w:r w:rsidRPr="00737919">
        <w:rPr>
          <w:rtl/>
        </w:rPr>
        <w:tab/>
      </w:r>
      <w:r w:rsidRPr="00737919">
        <w:rPr>
          <w:rtl/>
        </w:rPr>
        <w:tab/>
        <w:t xml:space="preserve">رأي فردي لعضو اللجنة </w:t>
      </w:r>
      <w:proofErr w:type="spellStart"/>
      <w:r w:rsidRPr="00737919">
        <w:rPr>
          <w:rtl/>
        </w:rPr>
        <w:t>جينتيان</w:t>
      </w:r>
      <w:proofErr w:type="spellEnd"/>
      <w:r w:rsidRPr="00737919">
        <w:rPr>
          <w:rtl/>
        </w:rPr>
        <w:t xml:space="preserve"> زبيري (متفق)</w:t>
      </w:r>
    </w:p>
    <w:p w14:paraId="68985489" w14:textId="77777777" w:rsidR="001E69EC" w:rsidRPr="001E69EC" w:rsidRDefault="001E69EC" w:rsidP="001E69EC">
      <w:pPr>
        <w:pStyle w:val="SingleTxtGA"/>
        <w:rPr>
          <w:rFonts w:eastAsiaTheme="minorEastAsia"/>
          <w:lang w:val="ar-SA" w:eastAsia="zh-TW" w:bidi="en-GB"/>
        </w:rPr>
      </w:pPr>
      <w:r w:rsidRPr="00737919">
        <w:rPr>
          <w:rFonts w:eastAsiaTheme="minorEastAsia"/>
          <w:rtl/>
        </w:rPr>
        <w:t>1</w:t>
      </w:r>
      <w:r w:rsidRPr="001E69EC">
        <w:rPr>
          <w:rFonts w:eastAsiaTheme="minorEastAsia"/>
          <w:rtl/>
        </w:rPr>
        <w:t>-</w:t>
      </w:r>
      <w:r w:rsidRPr="001E69EC">
        <w:rPr>
          <w:rFonts w:eastAsiaTheme="minorEastAsia"/>
          <w:rtl/>
        </w:rPr>
        <w:tab/>
        <w:t xml:space="preserve">أتفق مع النتيجة التي توصلت إليها اللجنة ومفادها أن حقوق صاحب البلاغ بموجب المادة </w:t>
      </w:r>
      <w:r w:rsidRPr="00737919">
        <w:rPr>
          <w:rFonts w:eastAsiaTheme="minorEastAsia"/>
          <w:rtl/>
        </w:rPr>
        <w:t>26</w:t>
      </w:r>
      <w:r w:rsidRPr="001E69EC">
        <w:rPr>
          <w:rFonts w:eastAsiaTheme="minorEastAsia"/>
          <w:rtl/>
        </w:rPr>
        <w:t xml:space="preserve"> من العهد قد انتُهكت. ويتناول هذا الرأي الفردي مسألة التعويض المناسب، مع وضع هذا النوع من سبل الانتصاف في السياق الأعم لممارسة اللجنة. </w:t>
      </w:r>
    </w:p>
    <w:p w14:paraId="36EFF14C" w14:textId="77777777" w:rsidR="001E69EC" w:rsidRPr="00737919" w:rsidRDefault="001E69EC" w:rsidP="00405491">
      <w:pPr>
        <w:pStyle w:val="H23GA"/>
        <w:rPr>
          <w:lang w:val="ar-SA" w:eastAsia="zh-TW" w:bidi="en-GB"/>
        </w:rPr>
      </w:pPr>
      <w:r w:rsidRPr="00737919">
        <w:rPr>
          <w:rtl/>
        </w:rPr>
        <w:tab/>
      </w:r>
      <w:r w:rsidRPr="00737919">
        <w:rPr>
          <w:rtl/>
        </w:rPr>
        <w:tab/>
        <w:t>سبل الانتصاف</w:t>
      </w:r>
    </w:p>
    <w:p w14:paraId="2E08CF2C" w14:textId="0618EFFA" w:rsidR="001E69EC" w:rsidRPr="001E69EC" w:rsidRDefault="001E69EC" w:rsidP="001E69EC">
      <w:pPr>
        <w:pStyle w:val="SingleTxtGA"/>
        <w:rPr>
          <w:rFonts w:eastAsiaTheme="minorEastAsia"/>
          <w:lang w:val="ar-SA" w:eastAsia="zh-TW" w:bidi="en-GB"/>
        </w:rPr>
      </w:pPr>
      <w:r w:rsidRPr="00737919">
        <w:rPr>
          <w:rFonts w:eastAsiaTheme="minorEastAsia"/>
          <w:rtl/>
        </w:rPr>
        <w:t>2</w:t>
      </w:r>
      <w:r w:rsidRPr="001E69EC">
        <w:rPr>
          <w:rFonts w:eastAsiaTheme="minorEastAsia"/>
          <w:rtl/>
        </w:rPr>
        <w:t>-</w:t>
      </w:r>
      <w:r w:rsidRPr="001E69EC">
        <w:rPr>
          <w:rFonts w:eastAsiaTheme="minorEastAsia"/>
          <w:rtl/>
        </w:rPr>
        <w:tab/>
        <w:t>أشارت اللجنة إلى أن الدولة الطرف ينبغي أن تقدم إلى صاحب البلاغ الجبر الكامل، بما في ذلك التعويض المناسب، وتعيد النظر في طلبه، مع أخذ النتائج التي توصلت إليها اللجنة في الاعتبار</w:t>
      </w:r>
      <w:r w:rsidRPr="00737919">
        <w:rPr>
          <w:rFonts w:eastAsiaTheme="minorEastAsia"/>
          <w:vertAlign w:val="superscript"/>
          <w:rtl/>
        </w:rPr>
        <w:t>(</w:t>
      </w:r>
      <w:r w:rsidRPr="00737919">
        <w:rPr>
          <w:rStyle w:val="FootnoteReference"/>
          <w:rFonts w:eastAsiaTheme="minorEastAsia"/>
          <w:sz w:val="22"/>
          <w:lang w:val="en-US"/>
        </w:rPr>
        <w:footnoteReference w:id="20"/>
      </w:r>
      <w:r w:rsidRPr="00737919">
        <w:rPr>
          <w:rStyle w:val="FootnoteReference"/>
          <w:rFonts w:eastAsiaTheme="minorEastAsia"/>
          <w:sz w:val="22"/>
          <w:rtl/>
        </w:rPr>
        <w:t>)</w:t>
      </w:r>
      <w:r w:rsidRPr="00737919">
        <w:rPr>
          <w:rFonts w:eastAsiaTheme="minorEastAsia"/>
          <w:b/>
          <w:i/>
          <w:rtl/>
        </w:rPr>
        <w:t>.</w:t>
      </w:r>
      <w:r w:rsidRPr="001E69EC">
        <w:rPr>
          <w:rFonts w:eastAsiaTheme="minorEastAsia"/>
          <w:rtl/>
        </w:rPr>
        <w:t xml:space="preserve"> وفي حين أن إعادة النظر في طلب صاحب البلاغ تتعلق مباشرة بالانتهاك الذي ترى اللجنة حدوثه، فمن غير الواضح ما الذي يشكل تعويضاً مناسباً في هذه الحالة؟ وفضل</w:t>
      </w:r>
      <w:r w:rsidR="00405491">
        <w:rPr>
          <w:rFonts w:eastAsiaTheme="minorEastAsia"/>
          <w:rtl/>
        </w:rPr>
        <w:t xml:space="preserve">اً </w:t>
      </w:r>
      <w:r w:rsidRPr="001E69EC">
        <w:rPr>
          <w:rFonts w:eastAsiaTheme="minorEastAsia"/>
          <w:rtl/>
        </w:rPr>
        <w:t xml:space="preserve">عن ذلك، فإن سبيل الانتصاف هذا يضيف عنصراً لم يطلبه صاحب البلاغ صراحةً. </w:t>
      </w:r>
    </w:p>
    <w:p w14:paraId="2300874E" w14:textId="4E329BB7" w:rsidR="001E69EC" w:rsidRPr="001E69EC" w:rsidRDefault="001E69EC" w:rsidP="001E69EC">
      <w:pPr>
        <w:pStyle w:val="SingleTxtGA"/>
        <w:rPr>
          <w:rFonts w:eastAsiaTheme="minorEastAsia"/>
          <w:lang w:val="ar-SA" w:eastAsia="zh-TW" w:bidi="en-GB"/>
        </w:rPr>
      </w:pPr>
      <w:r w:rsidRPr="00737919">
        <w:rPr>
          <w:rFonts w:eastAsiaTheme="minorEastAsia"/>
          <w:rtl/>
        </w:rPr>
        <w:t>3</w:t>
      </w:r>
      <w:r w:rsidRPr="001E69EC">
        <w:rPr>
          <w:rFonts w:eastAsiaTheme="minorEastAsia"/>
          <w:rtl/>
        </w:rPr>
        <w:t>-</w:t>
      </w:r>
      <w:r w:rsidRPr="001E69EC">
        <w:rPr>
          <w:rFonts w:eastAsiaTheme="minorEastAsia"/>
          <w:rtl/>
        </w:rPr>
        <w:tab/>
        <w:t>ووفق</w:t>
      </w:r>
      <w:r w:rsidR="00405491">
        <w:rPr>
          <w:rFonts w:eastAsiaTheme="minorEastAsia"/>
          <w:rtl/>
        </w:rPr>
        <w:t xml:space="preserve">اً </w:t>
      </w:r>
      <w:r w:rsidRPr="001E69EC">
        <w:rPr>
          <w:rFonts w:eastAsiaTheme="minorEastAsia"/>
          <w:rtl/>
        </w:rPr>
        <w:t>للمبادئ التوجيهية التي وضعتها اللجنة بشأن تدابير الجبر بموجب البروتوكول الاختياري الملحق بالعهد الدولي الخاص بالحقوق المدنية والسياسية، عندما ترى اللجنة أن بلاغاً فردياً يكشف عن حدوث انتهاكات للحقوق التي يكفلها العهد، فإنها تضع تدابير ترمي إلى توفير الجبر الكامل للضحايا (رد</w:t>
      </w:r>
      <w:r w:rsidR="00405491">
        <w:rPr>
          <w:rFonts w:eastAsiaTheme="minorEastAsia" w:hint="cs"/>
          <w:rtl/>
        </w:rPr>
        <w:t> </w:t>
      </w:r>
      <w:r w:rsidRPr="001E69EC">
        <w:rPr>
          <w:rFonts w:eastAsiaTheme="minorEastAsia"/>
          <w:rtl/>
        </w:rPr>
        <w:t>الحقوق، والتعويض، وإعادة التأهيل، وتدابير الترضية)، فضل</w:t>
      </w:r>
      <w:r w:rsidR="00405491">
        <w:rPr>
          <w:rFonts w:eastAsiaTheme="minorEastAsia"/>
          <w:rtl/>
        </w:rPr>
        <w:t xml:space="preserve">اً </w:t>
      </w:r>
      <w:r w:rsidRPr="001E69EC">
        <w:rPr>
          <w:rFonts w:eastAsiaTheme="minorEastAsia"/>
          <w:rtl/>
        </w:rPr>
        <w:t>عن تدابير رامية إلى منع تكرار حدوث انتهاكات مماثلة في المستقبل (ضمانات عدم التكرار)</w:t>
      </w:r>
      <w:r>
        <w:rPr>
          <w:rFonts w:eastAsiaTheme="minorEastAsia"/>
          <w:vertAlign w:val="superscript"/>
          <w:rtl/>
        </w:rPr>
        <w:t>(</w:t>
      </w:r>
      <w:r w:rsidRPr="00737919">
        <w:rPr>
          <w:rFonts w:eastAsiaTheme="minorEastAsia"/>
          <w:vertAlign w:val="superscript"/>
          <w:lang w:val="en-US"/>
        </w:rPr>
        <w:footnoteReference w:id="21"/>
      </w:r>
      <w:r w:rsidRPr="001B491C">
        <w:rPr>
          <w:rFonts w:eastAsiaTheme="minorEastAsia"/>
          <w:vertAlign w:val="superscript"/>
          <w:rtl/>
        </w:rPr>
        <w:t>)</w:t>
      </w:r>
      <w:r w:rsidRPr="001E69EC">
        <w:rPr>
          <w:rFonts w:eastAsiaTheme="minorEastAsia"/>
          <w:rtl/>
        </w:rPr>
        <w:t>. وعند معالجة البلاغات، تنصح اللجنة أصحاب البلاغات بأن يدرجوا في بلاغاتهم إشارة إلى أنواع الجبر التي يسعون إلى الحصول عليها. وعندئذ يُطلب إلى الدول الأطراف أن تعلق على هذا الجانب من البلاغات تحديداً</w:t>
      </w:r>
      <w:r>
        <w:rPr>
          <w:rFonts w:eastAsiaTheme="minorEastAsia"/>
          <w:vertAlign w:val="superscript"/>
          <w:rtl/>
        </w:rPr>
        <w:t>(</w:t>
      </w:r>
      <w:r w:rsidRPr="00737919">
        <w:rPr>
          <w:rFonts w:eastAsiaTheme="minorEastAsia"/>
          <w:vertAlign w:val="superscript"/>
          <w:lang w:val="en-US"/>
        </w:rPr>
        <w:footnoteReference w:id="22"/>
      </w:r>
      <w:r w:rsidRPr="001B491C">
        <w:rPr>
          <w:rFonts w:eastAsiaTheme="minorEastAsia"/>
          <w:vertAlign w:val="superscript"/>
          <w:rtl/>
        </w:rPr>
        <w:t>)</w:t>
      </w:r>
      <w:r w:rsidRPr="001E69EC">
        <w:rPr>
          <w:rFonts w:eastAsiaTheme="minorEastAsia"/>
          <w:rtl/>
        </w:rPr>
        <w:t>. وينبغي للجنة، عند البت في تدابير الجبر المناسبة، أن تأخذ في الاعتبار الظروف المحددة للبلاغ</w:t>
      </w:r>
      <w:r>
        <w:rPr>
          <w:rFonts w:eastAsiaTheme="minorEastAsia"/>
          <w:vertAlign w:val="superscript"/>
          <w:rtl/>
        </w:rPr>
        <w:t>(</w:t>
      </w:r>
      <w:r w:rsidRPr="00737919">
        <w:rPr>
          <w:rFonts w:eastAsiaTheme="minorEastAsia"/>
          <w:vertAlign w:val="superscript"/>
          <w:lang w:val="en-US"/>
        </w:rPr>
        <w:footnoteReference w:id="23"/>
      </w:r>
      <w:r w:rsidRPr="001B491C">
        <w:rPr>
          <w:rFonts w:eastAsiaTheme="minorEastAsia"/>
          <w:vertAlign w:val="superscript"/>
          <w:rtl/>
        </w:rPr>
        <w:t>)</w:t>
      </w:r>
      <w:r w:rsidRPr="001E69EC">
        <w:rPr>
          <w:rFonts w:eastAsiaTheme="minorEastAsia"/>
          <w:rtl/>
        </w:rPr>
        <w:t>. وفي حين يتعين على اللجنة أن تنظر في كل حالة في أنواع سبل الانتصاف التي تكفل الجبر الكامل، يبدو أن تلك السبل في هذه الحالة</w:t>
      </w:r>
      <w:r w:rsidR="00405491">
        <w:rPr>
          <w:rFonts w:eastAsiaTheme="minorEastAsia" w:hint="cs"/>
          <w:rtl/>
        </w:rPr>
        <w:t> </w:t>
      </w:r>
      <w:r w:rsidRPr="001E69EC">
        <w:rPr>
          <w:rFonts w:eastAsiaTheme="minorEastAsia"/>
          <w:rtl/>
        </w:rPr>
        <w:t xml:space="preserve">تتمثل أساساً، إن لم يكن حصراً، في إعادة النظر في طلب صاحب البلاغ. وكان من الممكن أن يكون سبيل انتصاف مناسب آخر في هذه الحالة هو تغطية التكاليف والأتعاب القانونية التي تكبدها صاحب البلاغ. </w:t>
      </w:r>
    </w:p>
    <w:p w14:paraId="66537747" w14:textId="77777777" w:rsidR="001E69EC" w:rsidRPr="00737919" w:rsidRDefault="001E69EC" w:rsidP="00405491">
      <w:pPr>
        <w:pStyle w:val="H23GA"/>
        <w:rPr>
          <w:lang w:val="ar-SA" w:eastAsia="zh-TW" w:bidi="en-GB"/>
        </w:rPr>
      </w:pPr>
      <w:r w:rsidRPr="00737919">
        <w:rPr>
          <w:rtl/>
        </w:rPr>
        <w:tab/>
      </w:r>
      <w:r w:rsidRPr="00737919">
        <w:rPr>
          <w:rtl/>
        </w:rPr>
        <w:tab/>
        <w:t xml:space="preserve">التعويض المناسب </w:t>
      </w:r>
    </w:p>
    <w:p w14:paraId="2B13C49F" w14:textId="726BF0A3" w:rsidR="001E69EC" w:rsidRPr="001E69EC" w:rsidRDefault="001E69EC" w:rsidP="001E69EC">
      <w:pPr>
        <w:pStyle w:val="SingleTxtGA"/>
        <w:rPr>
          <w:rFonts w:eastAsiaTheme="minorEastAsia"/>
          <w:lang w:val="ar-SA" w:eastAsia="zh-TW" w:bidi="en-GB"/>
        </w:rPr>
      </w:pPr>
      <w:r w:rsidRPr="00737919">
        <w:rPr>
          <w:rFonts w:eastAsiaTheme="minorEastAsia"/>
          <w:rtl/>
        </w:rPr>
        <w:t>4</w:t>
      </w:r>
      <w:r w:rsidRPr="001E69EC">
        <w:rPr>
          <w:rFonts w:eastAsiaTheme="minorEastAsia"/>
          <w:rtl/>
        </w:rPr>
        <w:t>-</w:t>
      </w:r>
      <w:r w:rsidRPr="001E69EC">
        <w:rPr>
          <w:rFonts w:eastAsiaTheme="minorEastAsia"/>
          <w:rtl/>
        </w:rPr>
        <w:tab/>
        <w:t xml:space="preserve">يمثل التعويض المناسب مصطلحاً فضفاضاً تستخدمه اللجنة بصفة منتظمة في آرائها. وتشير اللجنة، تحت عنوان </w:t>
      </w:r>
      <w:r>
        <w:rPr>
          <w:rFonts w:eastAsiaTheme="minorEastAsia" w:hint="cs"/>
          <w:rtl/>
        </w:rPr>
        <w:t>"</w:t>
      </w:r>
      <w:r w:rsidRPr="001E69EC">
        <w:rPr>
          <w:rFonts w:eastAsiaTheme="minorEastAsia"/>
          <w:rtl/>
        </w:rPr>
        <w:t>التعويض</w:t>
      </w:r>
      <w:r>
        <w:rPr>
          <w:rFonts w:eastAsiaTheme="minorEastAsia" w:hint="cs"/>
          <w:rtl/>
        </w:rPr>
        <w:t>"</w:t>
      </w:r>
      <w:r w:rsidRPr="001E69EC">
        <w:rPr>
          <w:rFonts w:eastAsiaTheme="minorEastAsia"/>
          <w:rtl/>
        </w:rPr>
        <w:t xml:space="preserve"> في المبادئ التوجيهية المتعلقة بتدابير الجبر، إلى أنها لا تحدد مبالغ مالية كقاعدة عامة</w:t>
      </w:r>
      <w:r>
        <w:rPr>
          <w:rFonts w:eastAsiaTheme="minorEastAsia"/>
          <w:vertAlign w:val="superscript"/>
          <w:rtl/>
        </w:rPr>
        <w:t>(</w:t>
      </w:r>
      <w:r w:rsidRPr="00737919">
        <w:rPr>
          <w:rFonts w:eastAsiaTheme="minorEastAsia"/>
          <w:vertAlign w:val="superscript"/>
          <w:lang w:val="en-US"/>
        </w:rPr>
        <w:footnoteReference w:id="24"/>
      </w:r>
      <w:r w:rsidRPr="001B491C">
        <w:rPr>
          <w:rFonts w:eastAsiaTheme="minorEastAsia"/>
          <w:vertAlign w:val="superscript"/>
          <w:rtl/>
        </w:rPr>
        <w:t>)</w:t>
      </w:r>
      <w:r w:rsidRPr="001E69EC">
        <w:rPr>
          <w:rFonts w:eastAsiaTheme="minorEastAsia"/>
          <w:rtl/>
        </w:rPr>
        <w:t>. وينبغي للجنة، عند الاقتضاء، أن تنص صراحة على أن التعويض ينبغي أن يغطي الضرر المادي والمعنوي (أو غير المادي) على حد السواء</w:t>
      </w:r>
      <w:r>
        <w:rPr>
          <w:rFonts w:eastAsiaTheme="minorEastAsia"/>
          <w:vertAlign w:val="superscript"/>
          <w:rtl/>
        </w:rPr>
        <w:t>(</w:t>
      </w:r>
      <w:r w:rsidRPr="00737919">
        <w:rPr>
          <w:rFonts w:eastAsiaTheme="minorEastAsia"/>
          <w:vertAlign w:val="superscript"/>
          <w:lang w:val="en-US"/>
        </w:rPr>
        <w:footnoteReference w:id="25"/>
      </w:r>
      <w:r w:rsidRPr="001B491C">
        <w:rPr>
          <w:rFonts w:eastAsiaTheme="minorEastAsia"/>
          <w:vertAlign w:val="superscript"/>
          <w:rtl/>
        </w:rPr>
        <w:t>)</w:t>
      </w:r>
      <w:r w:rsidRPr="001E69EC">
        <w:rPr>
          <w:rFonts w:eastAsiaTheme="minorEastAsia"/>
          <w:rtl/>
        </w:rPr>
        <w:t xml:space="preserve">. ومع تقديم بعض التوجيه للجنة والأطراف </w:t>
      </w:r>
      <w:r w:rsidRPr="001E69EC">
        <w:rPr>
          <w:rFonts w:eastAsiaTheme="minorEastAsia"/>
          <w:rtl/>
        </w:rPr>
        <w:lastRenderedPageBreak/>
        <w:t>في إجراءات الشكاوى الفردية، فإن المبلغ المستحق كتعويض مناسب عن مختلف أنواع الانتهاكات يظل غير محدد.</w:t>
      </w:r>
    </w:p>
    <w:p w14:paraId="306ADBD5" w14:textId="573C5008" w:rsidR="001E69EC" w:rsidRPr="001E69EC" w:rsidRDefault="001E69EC" w:rsidP="001E69EC">
      <w:pPr>
        <w:pStyle w:val="SingleTxtGA"/>
        <w:rPr>
          <w:rFonts w:eastAsiaTheme="minorEastAsia"/>
          <w:lang w:val="ar-SA" w:eastAsia="zh-TW" w:bidi="en-GB"/>
        </w:rPr>
      </w:pPr>
      <w:r w:rsidRPr="00737919">
        <w:rPr>
          <w:rFonts w:eastAsiaTheme="minorEastAsia"/>
          <w:rtl/>
        </w:rPr>
        <w:t>5</w:t>
      </w:r>
      <w:r w:rsidRPr="001E69EC">
        <w:rPr>
          <w:rFonts w:eastAsiaTheme="minorEastAsia"/>
          <w:rtl/>
        </w:rPr>
        <w:t>-</w:t>
      </w:r>
      <w:r w:rsidRPr="001E69EC">
        <w:rPr>
          <w:rFonts w:eastAsiaTheme="minorEastAsia"/>
          <w:rtl/>
        </w:rPr>
        <w:tab/>
        <w:t>وتوضح المبادئ الأساسية والمبادئ التوجيهية بشأن الحق في الانتصاف والجبر لضحايا الانتهاكات الجسيمة للقانون الدولي لحقوق الإنسان والانتهاكات الخطيرة للقانون الدولي الإنساني أنه ينبغي دفع التعويض عن أي ضرر يمكن تقييمه اقتصادياً، حسب الاقتضاء وبما يتناسب مع جسامة الانتهاك وظروف كل حالة ناجمة عن انتهاكات جسيمة للقانون الدولي لحقوق الإنسان والانتهاكات الخطيرة للقانون الدولي الإنساني، من قبيل ما يلي: (أ) الضرر البدني أو العقلي؛ (ب) الفرص الضائعة، بما فيها فرص العمل والتعليم والمنافع الاجتماعية؛ (ج) الأضرار المادية وخسائر الإيرادات، بما فيها خسائر الإيرادات المحتملة؛ (د) الضرر المعنوي؛ (ه‍ـ) التكاليف المترتبة على المساعدة القانونية أو مساعدة الخبراء والأدوية والخدمات الطبية والنفسية والاجتماعية</w:t>
      </w:r>
      <w:r>
        <w:rPr>
          <w:rFonts w:eastAsiaTheme="minorEastAsia"/>
          <w:vertAlign w:val="superscript"/>
          <w:rtl/>
        </w:rPr>
        <w:t>(</w:t>
      </w:r>
      <w:r w:rsidRPr="00737919">
        <w:rPr>
          <w:rFonts w:eastAsiaTheme="minorEastAsia"/>
          <w:vertAlign w:val="superscript"/>
          <w:lang w:val="en-US"/>
        </w:rPr>
        <w:footnoteReference w:id="26"/>
      </w:r>
      <w:r w:rsidRPr="001B491C">
        <w:rPr>
          <w:rFonts w:eastAsiaTheme="minorEastAsia"/>
          <w:vertAlign w:val="superscript"/>
          <w:rtl/>
        </w:rPr>
        <w:t>)</w:t>
      </w:r>
      <w:r w:rsidRPr="001E69EC">
        <w:rPr>
          <w:rFonts w:eastAsiaTheme="minorEastAsia"/>
          <w:rtl/>
        </w:rPr>
        <w:t>. وإلى جانب المبادئ التوجيهية المتعلقة بتدابير الجبر، ينبغي أن تسترشد الأطراف في الإجراءات بالمبادئ الأساسية والمبادئ التوجيهية بشأن الحق في الانتصاف والجبر</w:t>
      </w:r>
      <w:r w:rsidR="002C48CA">
        <w:rPr>
          <w:rFonts w:eastAsiaTheme="minorEastAsia" w:hint="cs"/>
          <w:rtl/>
        </w:rPr>
        <w:t> </w:t>
      </w:r>
      <w:r w:rsidRPr="001E69EC">
        <w:rPr>
          <w:rFonts w:eastAsiaTheme="minorEastAsia"/>
          <w:rtl/>
        </w:rPr>
        <w:t xml:space="preserve">في بيان التعويض المطلوب، كما ينبغي أن تسترشد بها اللجنة عند تقييم ما يمكن أن يشكل تعويضاً مناسباً. </w:t>
      </w:r>
    </w:p>
    <w:p w14:paraId="0E804C94" w14:textId="77777777" w:rsidR="001E69EC" w:rsidRPr="001E69EC" w:rsidRDefault="001E69EC" w:rsidP="001E69EC">
      <w:pPr>
        <w:pStyle w:val="SingleTxtGA"/>
        <w:rPr>
          <w:rFonts w:eastAsiaTheme="minorEastAsia"/>
          <w:lang w:val="ar-SA" w:eastAsia="zh-TW" w:bidi="en-GB"/>
        </w:rPr>
      </w:pPr>
      <w:r w:rsidRPr="00737919">
        <w:rPr>
          <w:rFonts w:eastAsiaTheme="minorEastAsia"/>
          <w:rtl/>
        </w:rPr>
        <w:t>6</w:t>
      </w:r>
      <w:r w:rsidRPr="001E69EC">
        <w:rPr>
          <w:rFonts w:eastAsiaTheme="minorEastAsia"/>
          <w:rtl/>
        </w:rPr>
        <w:t>-</w:t>
      </w:r>
      <w:r w:rsidRPr="001E69EC">
        <w:rPr>
          <w:rFonts w:eastAsiaTheme="minorEastAsia"/>
          <w:rtl/>
        </w:rPr>
        <w:tab/>
        <w:t xml:space="preserve">وعندما تشير اللجنة في آرائها إلى التعويض المناسب باعتباره سبيل انتصاف، يبقى على الدول الأطراف وأصحاب البلاغات تحديد ما يمكن أن يشكل تعويضاً مناسباً في كل حالة بعينها، عن طريق التفاوض أو البت من جانب محكمة محلية أو بطريقة مناسبة أخرى. وفي حين أن هذا يوفر بعض المرونة، وهو أمر هام جداً بالنظر إلى تنوع الممارسات المتبعة في الدول الأطراف في البروتوكول الاختياري، فقد يكون من المستصوب أن تطلب اللجنة من الأطراف الماثلة أمامها أن تذكر في بلاغاتها ما يمكن أن يشكل تعويضاً مناسباً، إذا خلصت إلى حدوث انتهاك. وحتى إذا لم تشر اللجنة في نهاية المطاف إلى مبلغ محدد كتعويض مناسب في آرائها، فإن الأطراف الماثلة أمامها سيكون لديها نقطة انطلاق تبدأ منها في تنفيذ الآراء. </w:t>
      </w:r>
    </w:p>
    <w:p w14:paraId="6B068734" w14:textId="73AF2335" w:rsidR="001E69EC" w:rsidRPr="00FF1114" w:rsidRDefault="001E69EC" w:rsidP="001E69EC">
      <w:pPr>
        <w:pStyle w:val="SingleTxtGA"/>
        <w:rPr>
          <w:rFonts w:eastAsiaTheme="minorEastAsia"/>
          <w:lang w:val="en-US" w:eastAsia="zh-TW" w:bidi="en-GB"/>
        </w:rPr>
      </w:pPr>
      <w:r w:rsidRPr="00737919">
        <w:rPr>
          <w:rFonts w:eastAsiaTheme="minorEastAsia"/>
          <w:rtl/>
        </w:rPr>
        <w:t>7</w:t>
      </w:r>
      <w:r w:rsidRPr="001E69EC">
        <w:rPr>
          <w:rFonts w:eastAsiaTheme="minorEastAsia"/>
          <w:rtl/>
        </w:rPr>
        <w:t>-</w:t>
      </w:r>
      <w:r w:rsidRPr="001E69EC">
        <w:rPr>
          <w:rFonts w:eastAsiaTheme="minorEastAsia"/>
          <w:rtl/>
        </w:rPr>
        <w:tab/>
        <w:t>وتزداد بوضوح حاجة اللجنة إلى اعتماد نهج أكثر استباقية بالنظر إلى أن آراءها لا تنطبق بشكل مباشر عادة، ولا تؤدي بالضرورة إلى إعادة فتح ملف القضية تلقائياً، وتُعتمَد بعد سنوات عديدة من</w:t>
      </w:r>
      <w:r w:rsidR="00405491">
        <w:rPr>
          <w:rFonts w:eastAsiaTheme="minorEastAsia" w:hint="cs"/>
          <w:rtl/>
        </w:rPr>
        <w:t> </w:t>
      </w:r>
      <w:r w:rsidRPr="001E69EC">
        <w:rPr>
          <w:rFonts w:eastAsiaTheme="minorEastAsia"/>
          <w:rtl/>
        </w:rPr>
        <w:t>الانتهاك. وبالنظر إلى أن اللجنة تتابع تنفيذ آرائها، فإذا لم تتمكن الدول الأطراف وأصحاب البلاغات من الاتفاق في غضون فترة زمنية معقولة على ما يشكل تعويضاً مناسباً، يمكن للجنة أن تقرر التدخل وحسم المسألة.</w:t>
      </w:r>
    </w:p>
    <w:p w14:paraId="747DD3FE" w14:textId="77777777" w:rsidR="001E69EC" w:rsidRPr="00737919" w:rsidRDefault="001E69EC" w:rsidP="00405491">
      <w:pPr>
        <w:pStyle w:val="H23GA"/>
        <w:rPr>
          <w:lang w:val="ar-SA" w:eastAsia="zh-TW" w:bidi="en-GB"/>
        </w:rPr>
      </w:pPr>
      <w:r w:rsidRPr="00737919">
        <w:rPr>
          <w:rtl/>
        </w:rPr>
        <w:tab/>
      </w:r>
      <w:r w:rsidRPr="00737919">
        <w:rPr>
          <w:rtl/>
        </w:rPr>
        <w:tab/>
        <w:t>ملاحظات ختامية</w:t>
      </w:r>
    </w:p>
    <w:p w14:paraId="2A02C3E3" w14:textId="77777777" w:rsidR="00AB1D9A" w:rsidRDefault="001E69EC" w:rsidP="007555A9">
      <w:pPr>
        <w:pStyle w:val="SingleTxtGA"/>
        <w:rPr>
          <w:rFonts w:eastAsiaTheme="minorEastAsia"/>
          <w:rtl/>
        </w:rPr>
      </w:pPr>
      <w:r w:rsidRPr="00737919">
        <w:rPr>
          <w:rFonts w:eastAsiaTheme="minorEastAsia"/>
          <w:rtl/>
        </w:rPr>
        <w:t>8</w:t>
      </w:r>
      <w:r w:rsidRPr="001E69EC">
        <w:rPr>
          <w:rFonts w:eastAsiaTheme="minorEastAsia"/>
          <w:rtl/>
        </w:rPr>
        <w:t>-</w:t>
      </w:r>
      <w:r w:rsidRPr="001E69EC">
        <w:rPr>
          <w:rFonts w:eastAsiaTheme="minorEastAsia"/>
          <w:rtl/>
        </w:rPr>
        <w:tab/>
        <w:t>توخي</w:t>
      </w:r>
      <w:r w:rsidR="00405491">
        <w:rPr>
          <w:rFonts w:eastAsiaTheme="minorEastAsia"/>
          <w:rtl/>
        </w:rPr>
        <w:t xml:space="preserve">اً </w:t>
      </w:r>
      <w:r w:rsidRPr="001E69EC">
        <w:rPr>
          <w:rFonts w:eastAsiaTheme="minorEastAsia"/>
          <w:rtl/>
        </w:rPr>
        <w:t>لمزيد من الفعالية والسرعة في تنفيذ آراء اللجنة، قد تحتاج اللجنة إلى الذهاب إلى أبعد من ممارستها الحالية المتمثلة في الإشارة إلى التعويض المناسب كسبيل انتصاف. فينبغي للجنة أن تطلب إلى الأطراف بيان ما يمكن أن يشكل تعويضاً مناسباً قبل اعتماد آرائها وأن تحتفظ بإمكانية تحديد ذلك أثناء عملية المتابعة، إذا ثبت أن الأطراف غير قادرة على حسم المسألة في غضون فترة زمنية معقولة.</w:t>
      </w:r>
    </w:p>
    <w:p w14:paraId="70106737" w14:textId="3F8D41D1" w:rsidR="00AB1D9A" w:rsidRDefault="00AB1D9A" w:rsidP="007555A9">
      <w:pPr>
        <w:pStyle w:val="SingleTxtGA"/>
        <w:rPr>
          <w:rFonts w:eastAsiaTheme="minorEastAsia"/>
          <w:rtl/>
        </w:rPr>
      </w:pPr>
    </w:p>
    <w:p w14:paraId="382085FF" w14:textId="77777777" w:rsidR="00A24026" w:rsidRDefault="00A24026" w:rsidP="007555A9">
      <w:pPr>
        <w:pStyle w:val="SingleTxtGA"/>
        <w:rPr>
          <w:rFonts w:eastAsiaTheme="minorEastAsia"/>
          <w:rtl/>
        </w:rPr>
        <w:sectPr w:rsidR="00A24026" w:rsidSect="00AB1D9A">
          <w:headerReference w:type="default" r:id="rId14"/>
          <w:footerReference w:type="default" r:id="rId15"/>
          <w:headerReference w:type="first" r:id="rId16"/>
          <w:footerReference w:type="first" r:id="rId17"/>
          <w:footnotePr>
            <w:numRestart w:val="eachSect"/>
          </w:footnotePr>
          <w:endnotePr>
            <w:numFmt w:val="decimal"/>
          </w:endnotePr>
          <w:pgSz w:w="11907" w:h="16840" w:code="9"/>
          <w:pgMar w:top="1417" w:right="1134" w:bottom="1134" w:left="1134" w:header="850" w:footer="567" w:gutter="0"/>
          <w:cols w:space="720"/>
          <w:bidi/>
          <w:docGrid w:linePitch="360"/>
        </w:sectPr>
      </w:pPr>
    </w:p>
    <w:p w14:paraId="57E8A8B9" w14:textId="4721A053" w:rsidR="001E69EC" w:rsidRPr="00737919" w:rsidRDefault="001E69EC" w:rsidP="00A24026">
      <w:pPr>
        <w:pStyle w:val="HChGA"/>
        <w:spacing w:before="120"/>
        <w:rPr>
          <w:lang w:val="ar-SA" w:eastAsia="zh-TW" w:bidi="en-GB"/>
        </w:rPr>
      </w:pPr>
      <w:r w:rsidRPr="00737919">
        <w:rPr>
          <w:rtl/>
        </w:rPr>
        <w:lastRenderedPageBreak/>
        <w:t>المرفق الثاني</w:t>
      </w:r>
    </w:p>
    <w:p w14:paraId="139DAE28" w14:textId="77777777" w:rsidR="001E69EC" w:rsidRPr="00737919" w:rsidRDefault="001E69EC" w:rsidP="00405491">
      <w:pPr>
        <w:pStyle w:val="HChGA"/>
        <w:rPr>
          <w:lang w:val="ar-SA" w:eastAsia="zh-TW" w:bidi="en-GB"/>
        </w:rPr>
      </w:pPr>
      <w:r w:rsidRPr="00737919">
        <w:rPr>
          <w:rtl/>
        </w:rPr>
        <w:tab/>
      </w:r>
      <w:r w:rsidRPr="00737919">
        <w:rPr>
          <w:rtl/>
        </w:rPr>
        <w:tab/>
        <w:t xml:space="preserve">رأي فردي لعضو اللجنة </w:t>
      </w:r>
      <w:proofErr w:type="spellStart"/>
      <w:r w:rsidRPr="00737919">
        <w:rPr>
          <w:rtl/>
        </w:rPr>
        <w:t>فاسيلكا</w:t>
      </w:r>
      <w:proofErr w:type="spellEnd"/>
      <w:r w:rsidRPr="00737919">
        <w:rPr>
          <w:rtl/>
        </w:rPr>
        <w:t xml:space="preserve"> </w:t>
      </w:r>
      <w:proofErr w:type="spellStart"/>
      <w:r w:rsidRPr="00737919">
        <w:rPr>
          <w:rtl/>
        </w:rPr>
        <w:t>سانسين</w:t>
      </w:r>
      <w:proofErr w:type="spellEnd"/>
      <w:r w:rsidRPr="00737919">
        <w:rPr>
          <w:rtl/>
        </w:rPr>
        <w:t xml:space="preserve"> (مخالف)</w:t>
      </w:r>
    </w:p>
    <w:p w14:paraId="232EEC0E" w14:textId="01A07BC2" w:rsidR="001E69EC" w:rsidRPr="001E69EC" w:rsidRDefault="001E69EC" w:rsidP="001E69EC">
      <w:pPr>
        <w:pStyle w:val="SingleTxtGA"/>
        <w:rPr>
          <w:rFonts w:eastAsiaTheme="minorEastAsia"/>
          <w:lang w:val="ar-SA" w:eastAsia="zh-TW" w:bidi="en-GB"/>
        </w:rPr>
      </w:pPr>
      <w:r w:rsidRPr="00737919">
        <w:rPr>
          <w:rFonts w:eastAsiaTheme="minorEastAsia"/>
          <w:rtl/>
        </w:rPr>
        <w:t>1</w:t>
      </w:r>
      <w:r w:rsidRPr="001E69EC">
        <w:rPr>
          <w:rFonts w:eastAsiaTheme="minorEastAsia"/>
          <w:rtl/>
        </w:rPr>
        <w:t>-</w:t>
      </w:r>
      <w:r w:rsidRPr="001E69EC">
        <w:rPr>
          <w:rFonts w:eastAsiaTheme="minorEastAsia"/>
          <w:rtl/>
        </w:rPr>
        <w:tab/>
        <w:t>يؤسفني أنني لا أستطيع أن أؤيد أغلبية أعضاء اللجنة فيما خلصوا إليه من عدم وجود ما يمنع اللجنة من النظر في هذا البلاغ.</w:t>
      </w:r>
    </w:p>
    <w:p w14:paraId="46FB9F74" w14:textId="21388347" w:rsidR="001E69EC" w:rsidRPr="001E69EC" w:rsidRDefault="001E69EC" w:rsidP="001E69EC">
      <w:pPr>
        <w:pStyle w:val="SingleTxtGA"/>
        <w:rPr>
          <w:rFonts w:eastAsiaTheme="minorEastAsia"/>
          <w:lang w:val="ar-SA" w:eastAsia="zh-TW" w:bidi="en-GB"/>
        </w:rPr>
      </w:pPr>
      <w:r w:rsidRPr="00737919">
        <w:rPr>
          <w:rFonts w:eastAsiaTheme="minorEastAsia"/>
          <w:rtl/>
        </w:rPr>
        <w:t>2</w:t>
      </w:r>
      <w:r w:rsidRPr="001E69EC">
        <w:rPr>
          <w:rFonts w:eastAsiaTheme="minorEastAsia"/>
          <w:rtl/>
        </w:rPr>
        <w:t>-</w:t>
      </w:r>
      <w:r w:rsidRPr="001E69EC">
        <w:rPr>
          <w:rFonts w:eastAsiaTheme="minorEastAsia"/>
          <w:rtl/>
        </w:rPr>
        <w:tab/>
        <w:t xml:space="preserve">فالمادة </w:t>
      </w:r>
      <w:r w:rsidRPr="00737919">
        <w:rPr>
          <w:rFonts w:eastAsiaTheme="minorEastAsia"/>
          <w:rtl/>
        </w:rPr>
        <w:t>2</w:t>
      </w:r>
      <w:r w:rsidRPr="001E69EC">
        <w:rPr>
          <w:rFonts w:eastAsiaTheme="minorEastAsia"/>
          <w:rtl/>
        </w:rPr>
        <w:t xml:space="preserve"> من البروتوكول الاختياري تقضي بأن على الأفراد الذين يقدمون بلاغات إلى اللجنة أن يستنفدوا قبل ذلك جميع سبل الانتصاف المحلية المتاحة. وعلاوة على ذلك، فإن هذا الشرط الأساسي لمقبولية بلاغ، الوارد أيض</w:t>
      </w:r>
      <w:r w:rsidR="00405491">
        <w:rPr>
          <w:rFonts w:eastAsiaTheme="minorEastAsia"/>
          <w:rtl/>
        </w:rPr>
        <w:t xml:space="preserve">اً </w:t>
      </w:r>
      <w:r w:rsidRPr="001E69EC">
        <w:rPr>
          <w:rFonts w:eastAsiaTheme="minorEastAsia"/>
          <w:rtl/>
        </w:rPr>
        <w:t xml:space="preserve">في المادة </w:t>
      </w:r>
      <w:r w:rsidRPr="00737919">
        <w:rPr>
          <w:rFonts w:eastAsiaTheme="minorEastAsia"/>
          <w:rtl/>
        </w:rPr>
        <w:t>5</w:t>
      </w:r>
      <w:r w:rsidRPr="001E69EC">
        <w:rPr>
          <w:rFonts w:eastAsiaTheme="minorEastAsia"/>
          <w:rtl/>
        </w:rPr>
        <w:t>(</w:t>
      </w:r>
      <w:r w:rsidRPr="00737919">
        <w:rPr>
          <w:rFonts w:eastAsiaTheme="minorEastAsia"/>
          <w:rtl/>
        </w:rPr>
        <w:t>2</w:t>
      </w:r>
      <w:r w:rsidRPr="001E69EC">
        <w:rPr>
          <w:rFonts w:eastAsiaTheme="minorEastAsia"/>
          <w:rtl/>
        </w:rPr>
        <w:t>)(ب) من البروتوكول الاختياري، يحول دون نظر اللجنة في أي بلاغ فردي ما لم تتأكد من أن صاحبه استنفد جميع سبل الانتصاف المحلية المتاحة. والهدف من هذه القاعدة الأساسية هو إتاحة الفرصة الأولى أمام الدولة الطرف المدعى عليها لتصحيح الضرر المزعوم إذا</w:t>
      </w:r>
      <w:r w:rsidR="00405491">
        <w:rPr>
          <w:rFonts w:eastAsiaTheme="minorEastAsia" w:hint="cs"/>
          <w:rtl/>
        </w:rPr>
        <w:t> </w:t>
      </w:r>
      <w:r w:rsidRPr="001E69EC">
        <w:rPr>
          <w:rFonts w:eastAsiaTheme="minorEastAsia"/>
          <w:rtl/>
        </w:rPr>
        <w:t>ثبت حدوث انتهاك للعهد. ولا ينبغي التغاضي عن هذا الشرط ما لم يتبين بالأدلة الدامغة أن سبل الانتصاف لا توفر فرصة معقولة للانتصاف وأنها غير متاحة لصاحب البلاغ بحكم الواقع</w:t>
      </w:r>
      <w:r>
        <w:rPr>
          <w:rFonts w:eastAsiaTheme="minorEastAsia"/>
          <w:vertAlign w:val="superscript"/>
          <w:rtl/>
        </w:rPr>
        <w:t>(</w:t>
      </w:r>
      <w:r w:rsidRPr="00737919">
        <w:rPr>
          <w:rFonts w:eastAsiaTheme="minorEastAsia"/>
          <w:vertAlign w:val="superscript"/>
          <w:lang w:val="en-US"/>
        </w:rPr>
        <w:footnoteReference w:id="27"/>
      </w:r>
      <w:r w:rsidRPr="001B491C">
        <w:rPr>
          <w:rFonts w:eastAsiaTheme="minorEastAsia"/>
          <w:vertAlign w:val="superscript"/>
          <w:rtl/>
        </w:rPr>
        <w:t>)</w:t>
      </w:r>
      <w:r w:rsidRPr="001E69EC">
        <w:rPr>
          <w:rFonts w:eastAsiaTheme="minorEastAsia"/>
          <w:rtl/>
        </w:rPr>
        <w:t>.</w:t>
      </w:r>
    </w:p>
    <w:p w14:paraId="7D4A8689" w14:textId="04B8703C" w:rsidR="001E69EC" w:rsidRPr="001E69EC" w:rsidRDefault="001E69EC" w:rsidP="001E69EC">
      <w:pPr>
        <w:pStyle w:val="SingleTxtGA"/>
        <w:rPr>
          <w:rFonts w:eastAsiaTheme="minorEastAsia"/>
          <w:lang w:val="ar-SA" w:eastAsia="zh-TW" w:bidi="en-GB"/>
        </w:rPr>
      </w:pPr>
      <w:r w:rsidRPr="00737919">
        <w:rPr>
          <w:rFonts w:eastAsiaTheme="minorEastAsia"/>
          <w:rtl/>
        </w:rPr>
        <w:t>3</w:t>
      </w:r>
      <w:r w:rsidRPr="001E69EC">
        <w:rPr>
          <w:rFonts w:eastAsiaTheme="minorEastAsia"/>
          <w:rtl/>
        </w:rPr>
        <w:t>-</w:t>
      </w:r>
      <w:r w:rsidRPr="001E69EC">
        <w:rPr>
          <w:rFonts w:eastAsiaTheme="minorEastAsia"/>
          <w:rtl/>
        </w:rPr>
        <w:tab/>
        <w:t xml:space="preserve">وفي الحالات التي تعتبر دولة طرف، في ردها على بلاغ ما، أن سبل الانتصاف المحلية لم تُستنفَد، فإن عليها أن تحدد سبل الانتصاف المتاحة والفعالة التي لم </w:t>
      </w:r>
      <w:proofErr w:type="spellStart"/>
      <w:r w:rsidRPr="001E69EC">
        <w:rPr>
          <w:rFonts w:eastAsiaTheme="minorEastAsia"/>
          <w:rtl/>
        </w:rPr>
        <w:t>يستنفدها</w:t>
      </w:r>
      <w:proofErr w:type="spellEnd"/>
      <w:r w:rsidRPr="001E69EC">
        <w:rPr>
          <w:rFonts w:eastAsiaTheme="minorEastAsia"/>
          <w:rtl/>
        </w:rPr>
        <w:t xml:space="preserve"> صاحب البلاغ</w:t>
      </w:r>
      <w:r>
        <w:rPr>
          <w:rFonts w:eastAsiaTheme="minorEastAsia"/>
          <w:vertAlign w:val="superscript"/>
          <w:rtl/>
        </w:rPr>
        <w:t>(</w:t>
      </w:r>
      <w:r w:rsidRPr="00737919">
        <w:rPr>
          <w:rFonts w:eastAsiaTheme="minorEastAsia"/>
          <w:vertAlign w:val="superscript"/>
          <w:lang w:val="en-US"/>
        </w:rPr>
        <w:footnoteReference w:id="28"/>
      </w:r>
      <w:r w:rsidRPr="001B491C">
        <w:rPr>
          <w:rFonts w:eastAsiaTheme="minorEastAsia"/>
          <w:vertAlign w:val="superscript"/>
          <w:rtl/>
        </w:rPr>
        <w:t>)</w:t>
      </w:r>
      <w:r w:rsidRPr="001E69EC">
        <w:rPr>
          <w:rFonts w:eastAsiaTheme="minorEastAsia"/>
          <w:rtl/>
        </w:rPr>
        <w:t xml:space="preserve">. </w:t>
      </w:r>
    </w:p>
    <w:p w14:paraId="2F183E97" w14:textId="4D92AE4E" w:rsidR="001E69EC" w:rsidRPr="001E69EC" w:rsidRDefault="001E69EC" w:rsidP="001E69EC">
      <w:pPr>
        <w:pStyle w:val="SingleTxtGA"/>
        <w:rPr>
          <w:rFonts w:eastAsiaTheme="minorEastAsia"/>
          <w:lang w:val="ar-SA" w:eastAsia="zh-TW" w:bidi="en-GB"/>
        </w:rPr>
      </w:pPr>
      <w:r w:rsidRPr="00737919">
        <w:rPr>
          <w:rFonts w:eastAsiaTheme="minorEastAsia"/>
          <w:rtl/>
        </w:rPr>
        <w:t>4</w:t>
      </w:r>
      <w:r w:rsidRPr="001E69EC">
        <w:rPr>
          <w:rFonts w:eastAsiaTheme="minorEastAsia"/>
          <w:rtl/>
        </w:rPr>
        <w:t>-</w:t>
      </w:r>
      <w:r w:rsidRPr="001E69EC">
        <w:rPr>
          <w:rFonts w:eastAsiaTheme="minorEastAsia"/>
          <w:rtl/>
        </w:rPr>
        <w:tab/>
        <w:t xml:space="preserve">وفي هذه الحالة، لا جدال في أن رسالة الرفض المؤرخة </w:t>
      </w:r>
      <w:r w:rsidRPr="00737919">
        <w:rPr>
          <w:rFonts w:eastAsiaTheme="minorEastAsia"/>
          <w:rtl/>
        </w:rPr>
        <w:t>27</w:t>
      </w:r>
      <w:r w:rsidRPr="001E69EC">
        <w:rPr>
          <w:rFonts w:eastAsiaTheme="minorEastAsia"/>
          <w:rtl/>
        </w:rPr>
        <w:t xml:space="preserve"> تشرين الأول/أكتوبر </w:t>
      </w:r>
      <w:r w:rsidRPr="00737919">
        <w:rPr>
          <w:rFonts w:eastAsiaTheme="minorEastAsia"/>
          <w:rtl/>
        </w:rPr>
        <w:t>2015</w:t>
      </w:r>
      <w:r w:rsidRPr="001E69EC">
        <w:rPr>
          <w:rFonts w:eastAsiaTheme="minorEastAsia"/>
          <w:rtl/>
        </w:rPr>
        <w:t xml:space="preserve"> الموجهة من وزارة الهجرة والإدماج والإسكان بشأن طلب صاحب البلاغ التجنس أبلغته بأن القرارات التي تتخذها لجنة التجنيس لا يمكن الطعن فيها أمام </w:t>
      </w:r>
      <w:r>
        <w:rPr>
          <w:rFonts w:eastAsiaTheme="minorEastAsia" w:hint="cs"/>
          <w:rtl/>
        </w:rPr>
        <w:t>"</w:t>
      </w:r>
      <w:r w:rsidRPr="001E69EC">
        <w:rPr>
          <w:rFonts w:eastAsiaTheme="minorEastAsia"/>
          <w:rtl/>
        </w:rPr>
        <w:t>أي سلطة أخرى</w:t>
      </w:r>
      <w:r>
        <w:rPr>
          <w:rFonts w:eastAsiaTheme="minorEastAsia" w:hint="cs"/>
          <w:rtl/>
        </w:rPr>
        <w:t>"</w:t>
      </w:r>
      <w:r w:rsidRPr="001E69EC">
        <w:rPr>
          <w:rFonts w:eastAsiaTheme="minorEastAsia"/>
          <w:rtl/>
        </w:rPr>
        <w:t xml:space="preserve">. ومع ذلك، فإن الدولة الطرف، في رأيي، قدمت حجة مقنعة مفادها أن وفقاً لحكم صدر عن المحكمة العليا في عام </w:t>
      </w:r>
      <w:r w:rsidRPr="00737919">
        <w:rPr>
          <w:rFonts w:eastAsiaTheme="minorEastAsia"/>
          <w:rtl/>
        </w:rPr>
        <w:t>2013</w:t>
      </w:r>
      <w:r w:rsidRPr="001E69EC">
        <w:rPr>
          <w:rFonts w:eastAsiaTheme="minorEastAsia"/>
          <w:rtl/>
        </w:rPr>
        <w:t xml:space="preserve">، يظل في إمكان مقدم الطلب في حالة مثل حالة صاحب البلاغ أن يطلب المراجعة القضائية بموجب المادة </w:t>
      </w:r>
      <w:r w:rsidRPr="00737919">
        <w:rPr>
          <w:rFonts w:eastAsiaTheme="minorEastAsia"/>
          <w:rtl/>
        </w:rPr>
        <w:t>63</w:t>
      </w:r>
      <w:r w:rsidRPr="001E69EC">
        <w:rPr>
          <w:rFonts w:eastAsiaTheme="minorEastAsia"/>
          <w:rtl/>
        </w:rPr>
        <w:t xml:space="preserve"> من الدستور، ويطلب إلى المحاكم المحلية أن تعيد النظر فيما إذا كانت التزامات الدولة الطرف بموجب القانون الدولي قد انتهكت في معالجة طلب التجنس (الفقرة </w:t>
      </w:r>
      <w:r w:rsidRPr="00737919">
        <w:rPr>
          <w:rFonts w:eastAsiaTheme="minorEastAsia"/>
          <w:rtl/>
        </w:rPr>
        <w:t>4</w:t>
      </w:r>
      <w:r w:rsidRPr="001E69EC">
        <w:rPr>
          <w:rFonts w:eastAsiaTheme="minorEastAsia"/>
          <w:rtl/>
        </w:rPr>
        <w:t>-</w:t>
      </w:r>
      <w:r w:rsidRPr="00737919">
        <w:rPr>
          <w:rFonts w:eastAsiaTheme="minorEastAsia"/>
          <w:rtl/>
        </w:rPr>
        <w:t>9</w:t>
      </w:r>
      <w:r w:rsidRPr="001E69EC">
        <w:rPr>
          <w:rFonts w:eastAsiaTheme="minorEastAsia"/>
          <w:rtl/>
        </w:rPr>
        <w:t xml:space="preserve"> أعلاه)، وهو ما يدل على إمكانية إجراء مراجعة قضائية محلية، بل وأنها متاحة بحكم الواقع أيضاً للآخرين ذوي الحالات المماثلة.</w:t>
      </w:r>
    </w:p>
    <w:p w14:paraId="5025F468" w14:textId="32B6EBF4" w:rsidR="001E69EC" w:rsidRPr="0034180D" w:rsidRDefault="001E69EC" w:rsidP="001E69EC">
      <w:pPr>
        <w:pStyle w:val="SingleTxtGA"/>
        <w:rPr>
          <w:rFonts w:eastAsiaTheme="minorEastAsia"/>
          <w:lang w:val="en-US" w:eastAsia="zh-TW" w:bidi="en-GB"/>
        </w:rPr>
      </w:pPr>
      <w:r w:rsidRPr="00737919">
        <w:rPr>
          <w:rFonts w:eastAsiaTheme="minorEastAsia"/>
          <w:rtl/>
        </w:rPr>
        <w:t>5</w:t>
      </w:r>
      <w:r w:rsidRPr="001E69EC">
        <w:rPr>
          <w:rFonts w:eastAsiaTheme="minorEastAsia"/>
          <w:rtl/>
        </w:rPr>
        <w:t>-</w:t>
      </w:r>
      <w:r w:rsidRPr="001E69EC">
        <w:rPr>
          <w:rFonts w:eastAsiaTheme="minorEastAsia"/>
          <w:rtl/>
        </w:rPr>
        <w:tab/>
        <w:t xml:space="preserve">وفي الفقرتين </w:t>
      </w:r>
      <w:r w:rsidRPr="00737919">
        <w:rPr>
          <w:rFonts w:eastAsiaTheme="minorEastAsia"/>
          <w:rtl/>
        </w:rPr>
        <w:t>7</w:t>
      </w:r>
      <w:r w:rsidRPr="001E69EC">
        <w:rPr>
          <w:rFonts w:eastAsiaTheme="minorEastAsia"/>
          <w:rtl/>
        </w:rPr>
        <w:t>-</w:t>
      </w:r>
      <w:r w:rsidRPr="00737919">
        <w:rPr>
          <w:rFonts w:eastAsiaTheme="minorEastAsia"/>
          <w:rtl/>
        </w:rPr>
        <w:t>3</w:t>
      </w:r>
      <w:r w:rsidRPr="001E69EC">
        <w:rPr>
          <w:rFonts w:eastAsiaTheme="minorEastAsia"/>
          <w:rtl/>
        </w:rPr>
        <w:t xml:space="preserve"> و</w:t>
      </w:r>
      <w:r w:rsidRPr="00737919">
        <w:rPr>
          <w:rFonts w:eastAsiaTheme="minorEastAsia"/>
          <w:rtl/>
        </w:rPr>
        <w:t>7</w:t>
      </w:r>
      <w:r w:rsidRPr="001E69EC">
        <w:rPr>
          <w:rFonts w:eastAsiaTheme="minorEastAsia"/>
          <w:rtl/>
        </w:rPr>
        <w:t>-</w:t>
      </w:r>
      <w:r w:rsidRPr="00737919">
        <w:rPr>
          <w:rFonts w:eastAsiaTheme="minorEastAsia"/>
          <w:rtl/>
        </w:rPr>
        <w:t>4</w:t>
      </w:r>
      <w:r w:rsidRPr="001E69EC">
        <w:rPr>
          <w:rFonts w:eastAsiaTheme="minorEastAsia"/>
          <w:rtl/>
        </w:rPr>
        <w:t xml:space="preserve"> من هذه الآراء، أشارت اللجنة إلى أن حكم المحكمة العليا ينطبق فيما</w:t>
      </w:r>
      <w:r>
        <w:rPr>
          <w:rFonts w:eastAsiaTheme="minorEastAsia" w:hint="cs"/>
          <w:rtl/>
        </w:rPr>
        <w:t> </w:t>
      </w:r>
      <w:r w:rsidRPr="001E69EC">
        <w:rPr>
          <w:rFonts w:eastAsiaTheme="minorEastAsia"/>
          <w:rtl/>
        </w:rPr>
        <w:t>يبدو على حالة صاحب البلاغ، مما يتيح لصاحب البلاغ، من الناحية النظرية، طلب إجراء مراجعة</w:t>
      </w:r>
      <w:r>
        <w:rPr>
          <w:rFonts w:eastAsiaTheme="minorEastAsia" w:hint="cs"/>
          <w:rtl/>
        </w:rPr>
        <w:t> </w:t>
      </w:r>
      <w:r w:rsidRPr="001E69EC">
        <w:rPr>
          <w:rFonts w:eastAsiaTheme="minorEastAsia"/>
          <w:rtl/>
        </w:rPr>
        <w:t>قضائية.</w:t>
      </w:r>
    </w:p>
    <w:p w14:paraId="5B1E138B" w14:textId="5814D832" w:rsidR="001E69EC" w:rsidRPr="001E69EC" w:rsidRDefault="001E69EC" w:rsidP="001E69EC">
      <w:pPr>
        <w:pStyle w:val="SingleTxtGA"/>
        <w:rPr>
          <w:rFonts w:eastAsiaTheme="minorEastAsia"/>
          <w:lang w:val="ar-SA" w:eastAsia="zh-TW" w:bidi="en-GB"/>
        </w:rPr>
      </w:pPr>
      <w:r w:rsidRPr="00737919">
        <w:rPr>
          <w:rFonts w:eastAsiaTheme="minorEastAsia"/>
          <w:rtl/>
        </w:rPr>
        <w:t>6</w:t>
      </w:r>
      <w:r w:rsidRPr="001E69EC">
        <w:rPr>
          <w:rFonts w:eastAsiaTheme="minorEastAsia"/>
          <w:rtl/>
        </w:rPr>
        <w:t>-</w:t>
      </w:r>
      <w:r w:rsidRPr="001E69EC">
        <w:rPr>
          <w:rFonts w:eastAsiaTheme="minorEastAsia"/>
          <w:rtl/>
        </w:rPr>
        <w:tab/>
        <w:t xml:space="preserve">إلا أن أغلبية أعضاء اللجنة مضوا بعد ذلك، خطأً في رأيي، إلى استنتاج أن ما تبيَّن من افتقار إلى الحق في الاستئناف أمام </w:t>
      </w:r>
      <w:r>
        <w:rPr>
          <w:rFonts w:eastAsiaTheme="minorEastAsia" w:hint="cs"/>
          <w:rtl/>
        </w:rPr>
        <w:t>"أ</w:t>
      </w:r>
      <w:r w:rsidRPr="001E69EC">
        <w:rPr>
          <w:rFonts w:eastAsiaTheme="minorEastAsia"/>
          <w:rtl/>
        </w:rPr>
        <w:t>ي سلطة أخرى</w:t>
      </w:r>
      <w:r>
        <w:rPr>
          <w:rFonts w:eastAsiaTheme="minorEastAsia" w:hint="cs"/>
          <w:rtl/>
        </w:rPr>
        <w:t>"</w:t>
      </w:r>
      <w:r w:rsidRPr="001E69EC">
        <w:rPr>
          <w:rFonts w:eastAsiaTheme="minorEastAsia"/>
          <w:rtl/>
        </w:rPr>
        <w:t xml:space="preserve"> فيما يتعلق بالقرار السلبي الصادر عن وزارة الهجرة والإدماج والإسكان يحول دون دفع صاحب البلاغ بالمعاملة التمييزية أمام السلطات القضائية المحلية. والواقع أن القرار المتعلق بالتجنيس بوصفه عملاً سيادياً للدولة لا يمكن الطعن فيه عندما يتخذ وفقاً للالتزامات القانونية الدولية للدولة الطرف. ومع ذلك، لا يُمنع الأفراد بأي حال من الأحوال من تقديم دعاوى أمام المحاكم المحلية يدعون فيها أن سلطات الدولة تعاملهم معاملة تمييزية تتنافى مع الالتزامات القانونية الدولية للدولة الطرف. </w:t>
      </w:r>
    </w:p>
    <w:p w14:paraId="2BE0AC90" w14:textId="5D17B119" w:rsidR="001E69EC" w:rsidRPr="00A24026" w:rsidRDefault="001E69EC" w:rsidP="001E69EC">
      <w:pPr>
        <w:pStyle w:val="SingleTxtGA"/>
        <w:rPr>
          <w:rFonts w:eastAsiaTheme="minorEastAsia"/>
          <w:lang w:val="en-US" w:eastAsia="zh-TW" w:bidi="en-GB"/>
        </w:rPr>
      </w:pPr>
      <w:r w:rsidRPr="00737919">
        <w:rPr>
          <w:rFonts w:eastAsiaTheme="minorEastAsia"/>
          <w:rtl/>
        </w:rPr>
        <w:lastRenderedPageBreak/>
        <w:t>7</w:t>
      </w:r>
      <w:r w:rsidRPr="001E69EC">
        <w:rPr>
          <w:rFonts w:eastAsiaTheme="minorEastAsia"/>
          <w:rtl/>
        </w:rPr>
        <w:t>-</w:t>
      </w:r>
      <w:r w:rsidRPr="001E69EC">
        <w:rPr>
          <w:rFonts w:eastAsiaTheme="minorEastAsia"/>
          <w:rtl/>
        </w:rPr>
        <w:tab/>
        <w:t xml:space="preserve">وعدم إخطار مقدم الطلب ولا الوزارة بالأسباب التي دعت لجنة التجنيس إلى قبول أو رفض الإعفاء من الشروط اللازمة للإدراج في مشروع قانون التجنس لا ينبغي أن يكون عاملاً حاسماً في توافر سبل الانتصاف المحلية لصاحب البلاغ بحكم الواقع، ولا سيما عندما يمثله محام، كما هو الحال في هذه الحالة. وقد رأت أغلبية أعضاء اللجنة أن عدم وجود معلومات عن تعليل لجنة التجنيس لم يترك لصاحب البلاغ أي إمكانية فعلية ومعقولة للاحتجاج بالتمييز على أساس إعاقته (الفقرة </w:t>
      </w:r>
      <w:r w:rsidRPr="00737919">
        <w:rPr>
          <w:rFonts w:eastAsiaTheme="minorEastAsia"/>
          <w:rtl/>
        </w:rPr>
        <w:t>7</w:t>
      </w:r>
      <w:r w:rsidRPr="001E69EC">
        <w:rPr>
          <w:rFonts w:eastAsiaTheme="minorEastAsia"/>
          <w:rtl/>
        </w:rPr>
        <w:t>-</w:t>
      </w:r>
      <w:r w:rsidRPr="00737919">
        <w:rPr>
          <w:rFonts w:eastAsiaTheme="minorEastAsia"/>
          <w:rtl/>
        </w:rPr>
        <w:t>4</w:t>
      </w:r>
      <w:r w:rsidRPr="001E69EC">
        <w:rPr>
          <w:rFonts w:eastAsiaTheme="minorEastAsia"/>
          <w:rtl/>
        </w:rPr>
        <w:t xml:space="preserve"> أعلاه) وخلصت إلى أن المراجعة القضائية لقرار لجنة التجنيس لم تكن سبيل انتصاف فعالاً لصاحب البلاغ بشكل ملموس (الفقرة </w:t>
      </w:r>
      <w:r w:rsidRPr="00737919">
        <w:rPr>
          <w:rFonts w:eastAsiaTheme="minorEastAsia"/>
          <w:rtl/>
        </w:rPr>
        <w:t>7</w:t>
      </w:r>
      <w:r w:rsidRPr="001E69EC">
        <w:rPr>
          <w:rFonts w:eastAsiaTheme="minorEastAsia"/>
          <w:rtl/>
        </w:rPr>
        <w:t>-</w:t>
      </w:r>
      <w:r w:rsidRPr="00737919">
        <w:rPr>
          <w:rFonts w:eastAsiaTheme="minorEastAsia"/>
          <w:rtl/>
        </w:rPr>
        <w:t>5</w:t>
      </w:r>
      <w:r w:rsidRPr="001E69EC">
        <w:rPr>
          <w:rFonts w:eastAsiaTheme="minorEastAsia"/>
          <w:rtl/>
        </w:rPr>
        <w:t xml:space="preserve"> أعلاه). </w:t>
      </w:r>
    </w:p>
    <w:p w14:paraId="6548EDD2" w14:textId="70F1ECD0" w:rsidR="001E69EC" w:rsidRPr="001E69EC" w:rsidRDefault="001E69EC" w:rsidP="001E69EC">
      <w:pPr>
        <w:pStyle w:val="SingleTxtGA"/>
        <w:rPr>
          <w:rFonts w:eastAsiaTheme="minorEastAsia"/>
          <w:lang w:val="ar-SA" w:eastAsia="zh-TW" w:bidi="en-GB"/>
        </w:rPr>
      </w:pPr>
      <w:r w:rsidRPr="00737919">
        <w:rPr>
          <w:rFonts w:eastAsiaTheme="minorEastAsia"/>
          <w:rtl/>
        </w:rPr>
        <w:t>8</w:t>
      </w:r>
      <w:r w:rsidRPr="001E69EC">
        <w:rPr>
          <w:rFonts w:eastAsiaTheme="minorEastAsia"/>
          <w:rtl/>
        </w:rPr>
        <w:t>-</w:t>
      </w:r>
      <w:r w:rsidRPr="001E69EC">
        <w:rPr>
          <w:rFonts w:eastAsiaTheme="minorEastAsia"/>
          <w:rtl/>
        </w:rPr>
        <w:tab/>
        <w:t xml:space="preserve">ومن المهم ملاحظة أن الدولة الطرف دفعت أيضاً (الفقرة </w:t>
      </w:r>
      <w:r w:rsidRPr="00737919">
        <w:rPr>
          <w:rFonts w:eastAsiaTheme="minorEastAsia"/>
          <w:rtl/>
        </w:rPr>
        <w:t>4</w:t>
      </w:r>
      <w:r w:rsidRPr="001E69EC">
        <w:rPr>
          <w:rFonts w:eastAsiaTheme="minorEastAsia"/>
          <w:rtl/>
        </w:rPr>
        <w:t>-</w:t>
      </w:r>
      <w:r w:rsidRPr="00737919">
        <w:rPr>
          <w:rFonts w:eastAsiaTheme="minorEastAsia"/>
          <w:rtl/>
        </w:rPr>
        <w:t>9</w:t>
      </w:r>
      <w:r w:rsidRPr="001E69EC">
        <w:rPr>
          <w:rFonts w:eastAsiaTheme="minorEastAsia"/>
          <w:rtl/>
        </w:rPr>
        <w:t xml:space="preserve"> أعلاه) بأن هذا البلاغ يتعلق بمسألة احتمال إخلالها بالتزاماتها بموجب المادة </w:t>
      </w:r>
      <w:r w:rsidRPr="00737919">
        <w:rPr>
          <w:rFonts w:eastAsiaTheme="minorEastAsia"/>
          <w:rtl/>
        </w:rPr>
        <w:t>26</w:t>
      </w:r>
      <w:r w:rsidRPr="001E69EC">
        <w:rPr>
          <w:rFonts w:eastAsiaTheme="minorEastAsia"/>
          <w:rtl/>
        </w:rPr>
        <w:t xml:space="preserve">، مقروءة بالاقتران مع المادة </w:t>
      </w:r>
      <w:r w:rsidRPr="00737919">
        <w:rPr>
          <w:rFonts w:eastAsiaTheme="minorEastAsia"/>
          <w:rtl/>
        </w:rPr>
        <w:t>2</w:t>
      </w:r>
      <w:r w:rsidRPr="001E69EC">
        <w:rPr>
          <w:rFonts w:eastAsiaTheme="minorEastAsia"/>
          <w:rtl/>
        </w:rPr>
        <w:t>(</w:t>
      </w:r>
      <w:r w:rsidRPr="00737919">
        <w:rPr>
          <w:rFonts w:eastAsiaTheme="minorEastAsia"/>
          <w:rtl/>
        </w:rPr>
        <w:t>1</w:t>
      </w:r>
      <w:r w:rsidRPr="001E69EC">
        <w:rPr>
          <w:rFonts w:eastAsiaTheme="minorEastAsia"/>
          <w:rtl/>
        </w:rPr>
        <w:t xml:space="preserve">) من العهد، وأنه كان بإمكان صاحب البلاغ بالتالي أن يرفع دعوى أمام المحاكم الدانمركية، مدعياً أن رفض منحه إعفاءً من شرط تقديم دليل على إجادته اللغة الدانمركية يمثل تعسفاً يتنافى مع الحقوق التي يكفلها له العهد. </w:t>
      </w:r>
    </w:p>
    <w:p w14:paraId="39D88581" w14:textId="0C16D483" w:rsidR="001E69EC" w:rsidRPr="001E69EC" w:rsidRDefault="001E69EC" w:rsidP="001E69EC">
      <w:pPr>
        <w:pStyle w:val="SingleTxtGA"/>
        <w:rPr>
          <w:rFonts w:eastAsiaTheme="minorEastAsia"/>
          <w:lang w:val="ar-SA" w:eastAsia="zh-TW" w:bidi="en-GB"/>
        </w:rPr>
      </w:pPr>
      <w:r w:rsidRPr="00737919">
        <w:rPr>
          <w:rFonts w:eastAsiaTheme="minorEastAsia"/>
          <w:rtl/>
        </w:rPr>
        <w:t>9</w:t>
      </w:r>
      <w:r w:rsidRPr="001E69EC">
        <w:rPr>
          <w:rFonts w:eastAsiaTheme="minorEastAsia"/>
          <w:rtl/>
        </w:rPr>
        <w:t>-</w:t>
      </w:r>
      <w:r w:rsidRPr="001E69EC">
        <w:rPr>
          <w:rFonts w:eastAsiaTheme="minorEastAsia"/>
          <w:rtl/>
        </w:rPr>
        <w:tab/>
        <w:t xml:space="preserve">وأنا مقتنع بأن صاحب البلاغ كان لديه إمكانية وعليه واجب استنفاد جميع سبل الانتصاف المحلية المتاحة، قبل أن يستفيد من تقييم اللجنة. وكان بإمكانه أن يقدم إلى المحاكم الدانمركية نفس الحجج التي عُرضت على اللجنة على أقل تقدير، والتي خلصت اللجنة على أساسها إلى حدوث انتهاك لحقوق صاحب البلاغ التي تكفلها المادة </w:t>
      </w:r>
      <w:r w:rsidRPr="00737919">
        <w:rPr>
          <w:rFonts w:eastAsiaTheme="minorEastAsia"/>
          <w:rtl/>
        </w:rPr>
        <w:t>26</w:t>
      </w:r>
      <w:r w:rsidRPr="001E69EC">
        <w:rPr>
          <w:rFonts w:eastAsiaTheme="minorEastAsia"/>
          <w:rtl/>
        </w:rPr>
        <w:t xml:space="preserve"> من العهد (الفقرة </w:t>
      </w:r>
      <w:r w:rsidRPr="00737919">
        <w:rPr>
          <w:rFonts w:eastAsiaTheme="minorEastAsia"/>
          <w:rtl/>
        </w:rPr>
        <w:t>9</w:t>
      </w:r>
      <w:r w:rsidRPr="001E69EC">
        <w:rPr>
          <w:rFonts w:eastAsiaTheme="minorEastAsia"/>
          <w:rtl/>
        </w:rPr>
        <w:t xml:space="preserve"> أعلاه)، وطلبت إلى الدولة الطرف أن تقدم إلى صاحب البلاغ الجبر الكامل، بما في ذلك التعويض المناسب وإعادة النظر في طلبه، مع أخذ النتائج التي توصلت إليها اللجنة في الاعتبار (الفقرة </w:t>
      </w:r>
      <w:r w:rsidRPr="00737919">
        <w:rPr>
          <w:rFonts w:eastAsiaTheme="minorEastAsia"/>
          <w:rtl/>
        </w:rPr>
        <w:t>10</w:t>
      </w:r>
      <w:r w:rsidRPr="001E69EC">
        <w:rPr>
          <w:rFonts w:eastAsiaTheme="minorEastAsia"/>
          <w:rtl/>
        </w:rPr>
        <w:t>). وفي رأيي أن هذا الاستنتاج لا يتفق مع موقف الأغلبية القائل بأن عدم وجود معلومات عن تعليل لجنة التجنيس حال دون احتجاج صاحب البلاغ بالتعسف والتمييز أمام السلطات المحلية.</w:t>
      </w:r>
    </w:p>
    <w:p w14:paraId="42867523" w14:textId="62E35D42" w:rsidR="001E69EC" w:rsidRDefault="001E69EC" w:rsidP="001E69EC">
      <w:pPr>
        <w:pStyle w:val="SingleTxtGA"/>
        <w:rPr>
          <w:rFonts w:eastAsiaTheme="minorEastAsia"/>
          <w:lang w:val="en-US" w:eastAsia="zh-TW" w:bidi="en-GB"/>
        </w:rPr>
      </w:pPr>
      <w:r w:rsidRPr="00737919">
        <w:rPr>
          <w:rFonts w:eastAsiaTheme="minorEastAsia"/>
          <w:rtl/>
        </w:rPr>
        <w:t>10</w:t>
      </w:r>
      <w:r w:rsidRPr="001E69EC">
        <w:rPr>
          <w:rFonts w:eastAsiaTheme="minorEastAsia"/>
          <w:rtl/>
        </w:rPr>
        <w:t>-</w:t>
      </w:r>
      <w:r w:rsidRPr="001E69EC">
        <w:rPr>
          <w:rFonts w:eastAsiaTheme="minorEastAsia"/>
          <w:rtl/>
        </w:rPr>
        <w:tab/>
        <w:t>وختاماً، كان ينبغي للجنة أن تخلص إلى أن هذا البلاغ غير مقبول وأن تمتنع عن الحلول محل السلطات القضائية المحلية، التي هي من حيث المبدأ أقدر بكثير على إجراء تقييم كامل لجميع الأدلة والمعلومات في الحالات الفردية. ومن المهم التذكير بأن الدول الأطراف في البروتوكول الاختياري لم تقبل باختصاص اللجنة بتقييم البلاغات الفردية إلا بعد أن تتاح للدول الأطراف فرصة القيام بذلك هي نفسها.</w:t>
      </w:r>
    </w:p>
    <w:p w14:paraId="3B2D3219" w14:textId="4FE7CC49" w:rsidR="00A24026" w:rsidRPr="00A24026" w:rsidRDefault="00A24026" w:rsidP="00A24026">
      <w:pPr>
        <w:pStyle w:val="SingleTxtGA"/>
        <w:jc w:val="center"/>
        <w:rPr>
          <w:u w:val="single"/>
          <w:rtl/>
          <w:lang w:eastAsia="zh-TW"/>
        </w:rPr>
      </w:pPr>
      <w:r>
        <w:rPr>
          <w:u w:val="single"/>
          <w:rtl/>
          <w:lang w:eastAsia="zh-TW"/>
        </w:rPr>
        <w:tab/>
      </w:r>
      <w:r>
        <w:rPr>
          <w:u w:val="single"/>
          <w:rtl/>
          <w:lang w:eastAsia="zh-TW"/>
        </w:rPr>
        <w:tab/>
      </w:r>
      <w:r>
        <w:rPr>
          <w:u w:val="single"/>
          <w:rtl/>
          <w:lang w:eastAsia="zh-TW"/>
        </w:rPr>
        <w:tab/>
      </w:r>
    </w:p>
    <w:sectPr w:rsidR="00A24026" w:rsidRPr="00A24026" w:rsidSect="00A24026">
      <w:headerReference w:type="even" r:id="rId18"/>
      <w:headerReference w:type="default" r:id="rId19"/>
      <w:footerReference w:type="even" r:id="rId20"/>
      <w:footerReference w:type="default" r:id="rId21"/>
      <w:footnotePr>
        <w:numRestart w:val="eachSect"/>
      </w:footnotePr>
      <w:endnotePr>
        <w:numFmt w:val="decimal"/>
      </w:endnotePr>
      <w:pgSz w:w="11907" w:h="16840" w:code="9"/>
      <w:pgMar w:top="1417" w:right="1134" w:bottom="1134" w:left="1134" w:header="850"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3884F" w14:textId="77777777" w:rsidR="00E22478" w:rsidRPr="002901D9" w:rsidRDefault="00E22478" w:rsidP="00DC4D4B">
      <w:pPr>
        <w:spacing w:after="60" w:line="240" w:lineRule="auto"/>
        <w:ind w:left="57"/>
        <w:rPr>
          <w:i/>
          <w:iCs/>
        </w:rPr>
      </w:pPr>
      <w:r>
        <w:rPr>
          <w:rFonts w:hint="cs"/>
          <w:i/>
          <w:iCs/>
          <w:rtl/>
        </w:rPr>
        <w:t>الحواشي</w:t>
      </w:r>
    </w:p>
  </w:endnote>
  <w:endnote w:type="continuationSeparator" w:id="0">
    <w:p w14:paraId="6C6DD999" w14:textId="77777777" w:rsidR="00E22478" w:rsidRDefault="00E2247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5E47" w14:textId="34AC4EE0" w:rsidR="003A0C7D" w:rsidRPr="00AB1D9A" w:rsidRDefault="00AB1D9A" w:rsidP="00AB1D9A">
    <w:pPr>
      <w:pStyle w:val="Footer"/>
      <w:tabs>
        <w:tab w:val="right" w:pos="9638"/>
      </w:tabs>
      <w:rPr>
        <w:b/>
        <w:sz w:val="18"/>
        <w:lang w:val="en-US"/>
      </w:rPr>
    </w:pPr>
    <w:r w:rsidRPr="00721DCA">
      <w:rPr>
        <w:rFonts w:cs="Times New Roman"/>
        <w:szCs w:val="16"/>
        <w:lang w:val="en-US"/>
      </w:rPr>
      <w:t>GE</w:t>
    </w:r>
    <w:r w:rsidRPr="00721DCA">
      <w:rPr>
        <w:rFonts w:cs="Times New Roman"/>
        <w:szCs w:val="16"/>
        <w:rtl/>
        <w:lang w:val="en-US"/>
      </w:rPr>
      <w:t>.</w:t>
    </w:r>
    <w:r w:rsidRPr="00721DCA">
      <w:rPr>
        <w:rFonts w:cs="Times New Roman"/>
        <w:szCs w:val="16"/>
        <w:lang w:val="en-US"/>
      </w:rPr>
      <w:t>22</w:t>
    </w:r>
    <w:r w:rsidRPr="00721DCA">
      <w:rPr>
        <w:rFonts w:cs="Times New Roman"/>
        <w:szCs w:val="16"/>
        <w:rtl/>
        <w:lang w:val="en-US"/>
      </w:rPr>
      <w:t>-</w:t>
    </w:r>
    <w:r w:rsidRPr="00721DCA">
      <w:rPr>
        <w:rFonts w:cs="Times New Roman"/>
        <w:szCs w:val="16"/>
        <w:lang w:val="en-US"/>
      </w:rPr>
      <w:t>27250</w:t>
    </w:r>
    <w:r>
      <w:rPr>
        <w:rtl/>
        <w:lang w:val="en-US"/>
      </w:rPr>
      <w:tab/>
    </w:r>
    <w:r>
      <w:rPr>
        <w:b/>
        <w:sz w:val="18"/>
        <w:rtl/>
        <w:lang w:val="en-US"/>
      </w:rPr>
      <w:fldChar w:fldCharType="begin"/>
    </w:r>
    <w:r>
      <w:rPr>
        <w:b/>
        <w:sz w:val="18"/>
        <w:rtl/>
        <w:lang w:val="en-US"/>
      </w:rPr>
      <w:instrText xml:space="preserve"> </w:instrText>
    </w:r>
    <w:r>
      <w:rPr>
        <w:b/>
        <w:sz w:val="18"/>
        <w:lang w:val="en-US"/>
      </w:rPr>
      <w:instrText>PAGE</w:instrText>
    </w:r>
    <w:r>
      <w:rPr>
        <w:b/>
        <w:sz w:val="18"/>
        <w:rtl/>
        <w:lang w:val="en-US"/>
      </w:rPr>
      <w:instrText xml:space="preserve">  \* </w:instrText>
    </w:r>
    <w:r>
      <w:rPr>
        <w:b/>
        <w:sz w:val="18"/>
        <w:lang w:val="en-US"/>
      </w:rPr>
      <w:instrText>MERGEFORMAT</w:instrText>
    </w:r>
    <w:r>
      <w:rPr>
        <w:b/>
        <w:sz w:val="18"/>
        <w:rtl/>
        <w:lang w:val="en-US"/>
      </w:rPr>
      <w:instrText xml:space="preserve"> </w:instrText>
    </w:r>
    <w:r>
      <w:rPr>
        <w:b/>
        <w:sz w:val="18"/>
        <w:rtl/>
        <w:lang w:val="en-US"/>
      </w:rPr>
      <w:fldChar w:fldCharType="separate"/>
    </w:r>
    <w:r>
      <w:rPr>
        <w:b/>
        <w:noProof/>
        <w:sz w:val="18"/>
        <w:lang w:val="en-US"/>
      </w:rPr>
      <w:t>15</w:t>
    </w:r>
    <w:r>
      <w:rPr>
        <w:b/>
        <w:sz w:val="18"/>
        <w:rtl/>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37F9" w14:textId="23703768" w:rsidR="006959B0" w:rsidRPr="003A0C7D" w:rsidRDefault="003A0C7D" w:rsidP="003A0C7D">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GE.22-27250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8EB2" w14:textId="07C66672" w:rsidR="00DE50B1" w:rsidRPr="003A0C7D" w:rsidRDefault="003A0C7D" w:rsidP="003A0C7D">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3E50F814" wp14:editId="244BF28E">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68" name="Picture 68"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22-27250 (A)</w:t>
    </w:r>
    <w:r>
      <w:rPr>
        <w:noProof/>
        <w:sz w:val="20"/>
        <w:lang w:val="en-US"/>
      </w:rPr>
      <w:drawing>
        <wp:anchor distT="0" distB="0" distL="114300" distR="114300" simplePos="0" relativeHeight="251659264" behindDoc="0" locked="0" layoutInCell="1" allowOverlap="1" wp14:anchorId="19D1C057" wp14:editId="757A6793">
          <wp:simplePos x="0" y="0"/>
          <wp:positionH relativeFrom="margin">
            <wp:posOffset>0</wp:posOffset>
          </wp:positionH>
          <wp:positionV relativeFrom="margin">
            <wp:posOffset>8891905</wp:posOffset>
          </wp:positionV>
          <wp:extent cx="638175" cy="638175"/>
          <wp:effectExtent l="0" t="0" r="9525" b="9525"/>
          <wp:wrapNone/>
          <wp:docPr id="69"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AF0F" w14:textId="6740B1AF" w:rsidR="00AB1D9A" w:rsidRPr="00AB1D9A" w:rsidRDefault="00AB1D9A" w:rsidP="00AB1D9A">
    <w:pPr>
      <w:pStyle w:val="Footer"/>
      <w:tabs>
        <w:tab w:val="right" w:pos="9638"/>
      </w:tabs>
      <w:rPr>
        <w:b/>
        <w:sz w:val="18"/>
        <w:lang w:val="en-US"/>
      </w:rPr>
    </w:pPr>
    <w:r>
      <w:rPr>
        <w:b/>
        <w:sz w:val="18"/>
        <w:lang w:val="en-US"/>
      </w:rPr>
      <w:fldChar w:fldCharType="begin"/>
    </w:r>
    <w:r>
      <w:rPr>
        <w:b/>
        <w:sz w:val="18"/>
        <w:rtl/>
        <w:lang w:val="en-US"/>
      </w:rPr>
      <w:instrText xml:space="preserve"> </w:instrText>
    </w:r>
    <w:r>
      <w:rPr>
        <w:b/>
        <w:sz w:val="18"/>
        <w:lang w:val="en-US"/>
      </w:rPr>
      <w:instrText>PAGE</w:instrText>
    </w:r>
    <w:r>
      <w:rPr>
        <w:b/>
        <w:sz w:val="18"/>
        <w:rtl/>
        <w:lang w:val="en-US"/>
      </w:rPr>
      <w:instrText xml:space="preserve">  \* </w:instrText>
    </w:r>
    <w:r>
      <w:rPr>
        <w:b/>
        <w:sz w:val="18"/>
        <w:lang w:val="en-US"/>
      </w:rPr>
      <w:instrText>MERGEFORMAT</w:instrText>
    </w:r>
    <w:r>
      <w:rPr>
        <w:b/>
        <w:sz w:val="18"/>
        <w:rtl/>
        <w:lang w:val="en-US"/>
      </w:rPr>
      <w:instrText xml:space="preserve"> </w:instrText>
    </w:r>
    <w:r>
      <w:rPr>
        <w:b/>
        <w:sz w:val="18"/>
        <w:lang w:val="en-US"/>
      </w:rPr>
      <w:fldChar w:fldCharType="separate"/>
    </w:r>
    <w:r>
      <w:rPr>
        <w:b/>
        <w:noProof/>
        <w:sz w:val="18"/>
        <w:lang w:val="en-US"/>
      </w:rPr>
      <w:t>1</w:t>
    </w:r>
    <w:r>
      <w:rPr>
        <w:b/>
        <w:sz w:val="18"/>
        <w:lang w:val="en-US"/>
      </w:rPr>
      <w:fldChar w:fldCharType="end"/>
    </w:r>
    <w:r>
      <w:rPr>
        <w:b/>
        <w:sz w:val="18"/>
        <w:rtl/>
        <w:lang w:val="en-US"/>
      </w:rPr>
      <w:tab/>
    </w:r>
    <w:r w:rsidRPr="00721DCA">
      <w:rPr>
        <w:rFonts w:cs="Times New Roman"/>
        <w:szCs w:val="16"/>
        <w:lang w:val="en-US"/>
      </w:rPr>
      <w:t>GE</w:t>
    </w:r>
    <w:r w:rsidRPr="00721DCA">
      <w:rPr>
        <w:rFonts w:cs="Times New Roman"/>
        <w:szCs w:val="16"/>
        <w:rtl/>
        <w:lang w:val="en-US"/>
      </w:rPr>
      <w:t>.</w:t>
    </w:r>
    <w:r w:rsidRPr="00721DCA">
      <w:rPr>
        <w:rFonts w:cs="Times New Roman"/>
        <w:szCs w:val="16"/>
        <w:lang w:val="en-US"/>
      </w:rPr>
      <w:t>22</w:t>
    </w:r>
    <w:r w:rsidRPr="00721DCA">
      <w:rPr>
        <w:rFonts w:cs="Times New Roman"/>
        <w:szCs w:val="16"/>
        <w:rtl/>
        <w:lang w:val="en-US"/>
      </w:rPr>
      <w:t>-</w:t>
    </w:r>
    <w:r w:rsidRPr="00721DCA">
      <w:rPr>
        <w:rFonts w:cs="Times New Roman"/>
        <w:szCs w:val="16"/>
        <w:lang w:val="en-US"/>
      </w:rPr>
      <w:t>27250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C9D8" w14:textId="77777777" w:rsidR="00AB1D9A" w:rsidRPr="003A0C7D" w:rsidRDefault="00AB1D9A" w:rsidP="003A0C7D">
    <w:pPr>
      <w:pStyle w:val="Footer"/>
      <w:spacing w:before="600"/>
      <w:ind w:left="567"/>
      <w:jc w:val="right"/>
      <w:rPr>
        <w:sz w:val="20"/>
        <w:lang w:val="en-US"/>
      </w:rPr>
    </w:pPr>
    <w:r>
      <w:rPr>
        <w:sz w:val="20"/>
        <w:lang w:val="en-US"/>
      </w:rPr>
      <w:t>GE.</w:t>
    </w:r>
    <w:r>
      <w:rPr>
        <w:noProof/>
      </w:rPr>
      <w:drawing>
        <wp:anchor distT="0" distB="0" distL="114300" distR="114300" simplePos="0" relativeHeight="251661312" behindDoc="1" locked="1" layoutInCell="0" allowOverlap="1" wp14:anchorId="46F15A28" wp14:editId="341C7F95">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70" name="Picture 70"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22-27250 (A)</w:t>
    </w:r>
    <w:r>
      <w:rPr>
        <w:noProof/>
        <w:sz w:val="20"/>
        <w:lang w:val="en-US"/>
      </w:rPr>
      <w:drawing>
        <wp:anchor distT="0" distB="0" distL="114300" distR="114300" simplePos="0" relativeHeight="251662336" behindDoc="0" locked="0" layoutInCell="1" allowOverlap="1" wp14:anchorId="445742CE" wp14:editId="62AAC435">
          <wp:simplePos x="0" y="0"/>
          <wp:positionH relativeFrom="margin">
            <wp:posOffset>0</wp:posOffset>
          </wp:positionH>
          <wp:positionV relativeFrom="margin">
            <wp:posOffset>8891905</wp:posOffset>
          </wp:positionV>
          <wp:extent cx="638175" cy="638175"/>
          <wp:effectExtent l="0" t="0" r="9525" b="9525"/>
          <wp:wrapNone/>
          <wp:docPr id="7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F22F" w14:textId="7CC16152" w:rsidR="00A24026" w:rsidRPr="00A24026" w:rsidRDefault="00A24026" w:rsidP="00A24026">
    <w:pPr>
      <w:pStyle w:val="Footer"/>
      <w:tabs>
        <w:tab w:val="right" w:pos="9638"/>
      </w:tabs>
      <w:rPr>
        <w:b/>
        <w:sz w:val="18"/>
        <w:lang w:val="en-US"/>
      </w:rPr>
    </w:pPr>
    <w:r w:rsidRPr="00721DCA">
      <w:rPr>
        <w:rFonts w:cs="Times New Roman"/>
        <w:szCs w:val="16"/>
        <w:lang w:val="en-US"/>
      </w:rPr>
      <w:t>GE</w:t>
    </w:r>
    <w:r w:rsidRPr="00721DCA">
      <w:rPr>
        <w:rFonts w:cs="Times New Roman"/>
        <w:szCs w:val="16"/>
        <w:rtl/>
        <w:lang w:val="en-US"/>
      </w:rPr>
      <w:t>.</w:t>
    </w:r>
    <w:r w:rsidRPr="00721DCA">
      <w:rPr>
        <w:rFonts w:cs="Times New Roman"/>
        <w:szCs w:val="16"/>
        <w:lang w:val="en-US"/>
      </w:rPr>
      <w:t>22</w:t>
    </w:r>
    <w:r w:rsidRPr="00721DCA">
      <w:rPr>
        <w:rFonts w:cs="Times New Roman"/>
        <w:szCs w:val="16"/>
        <w:rtl/>
        <w:lang w:val="en-US"/>
      </w:rPr>
      <w:t>-</w:t>
    </w:r>
    <w:r w:rsidRPr="00721DCA">
      <w:rPr>
        <w:rFonts w:cs="Times New Roman"/>
        <w:szCs w:val="16"/>
        <w:lang w:val="en-US"/>
      </w:rPr>
      <w:t>27250</w:t>
    </w:r>
    <w:r>
      <w:rPr>
        <w:rtl/>
        <w:lang w:val="en-US"/>
      </w:rPr>
      <w:tab/>
    </w:r>
    <w:r>
      <w:rPr>
        <w:b/>
        <w:sz w:val="18"/>
        <w:rtl/>
        <w:lang w:val="en-US"/>
      </w:rPr>
      <w:fldChar w:fldCharType="begin"/>
    </w:r>
    <w:r>
      <w:rPr>
        <w:b/>
        <w:sz w:val="18"/>
        <w:rtl/>
        <w:lang w:val="en-US"/>
      </w:rPr>
      <w:instrText xml:space="preserve"> </w:instrText>
    </w:r>
    <w:r>
      <w:rPr>
        <w:b/>
        <w:sz w:val="18"/>
        <w:lang w:val="en-US"/>
      </w:rPr>
      <w:instrText>PAGE</w:instrText>
    </w:r>
    <w:r>
      <w:rPr>
        <w:b/>
        <w:sz w:val="18"/>
        <w:rtl/>
        <w:lang w:val="en-US"/>
      </w:rPr>
      <w:instrText xml:space="preserve">  \* </w:instrText>
    </w:r>
    <w:r>
      <w:rPr>
        <w:b/>
        <w:sz w:val="18"/>
        <w:lang w:val="en-US"/>
      </w:rPr>
      <w:instrText>MERGEFORMAT</w:instrText>
    </w:r>
    <w:r>
      <w:rPr>
        <w:b/>
        <w:sz w:val="18"/>
        <w:rtl/>
        <w:lang w:val="en-US"/>
      </w:rPr>
      <w:instrText xml:space="preserve"> </w:instrText>
    </w:r>
    <w:r>
      <w:rPr>
        <w:b/>
        <w:sz w:val="18"/>
        <w:rtl/>
        <w:lang w:val="en-US"/>
      </w:rPr>
      <w:fldChar w:fldCharType="separate"/>
    </w:r>
    <w:r>
      <w:rPr>
        <w:b/>
        <w:noProof/>
        <w:sz w:val="18"/>
        <w:lang w:val="en-US"/>
      </w:rPr>
      <w:t>17</w:t>
    </w:r>
    <w:r>
      <w:rPr>
        <w:b/>
        <w:sz w:val="18"/>
        <w:rtl/>
        <w:lang w:val="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7F70" w14:textId="619DDFFD" w:rsidR="00A24026" w:rsidRPr="00A24026" w:rsidRDefault="00A24026" w:rsidP="00A24026">
    <w:pPr>
      <w:pStyle w:val="Footer"/>
      <w:tabs>
        <w:tab w:val="right" w:pos="9638"/>
      </w:tabs>
      <w:rPr>
        <w:b/>
        <w:sz w:val="18"/>
        <w:lang w:val="en-US"/>
      </w:rPr>
    </w:pPr>
    <w:r>
      <w:rPr>
        <w:b/>
        <w:sz w:val="18"/>
        <w:lang w:val="en-US"/>
      </w:rPr>
      <w:fldChar w:fldCharType="begin"/>
    </w:r>
    <w:r>
      <w:rPr>
        <w:b/>
        <w:sz w:val="18"/>
        <w:rtl/>
        <w:lang w:val="en-US"/>
      </w:rPr>
      <w:instrText xml:space="preserve"> </w:instrText>
    </w:r>
    <w:r>
      <w:rPr>
        <w:b/>
        <w:sz w:val="18"/>
        <w:lang w:val="en-US"/>
      </w:rPr>
      <w:instrText>PAGE</w:instrText>
    </w:r>
    <w:r>
      <w:rPr>
        <w:b/>
        <w:sz w:val="18"/>
        <w:rtl/>
        <w:lang w:val="en-US"/>
      </w:rPr>
      <w:instrText xml:space="preserve">  \* </w:instrText>
    </w:r>
    <w:r>
      <w:rPr>
        <w:b/>
        <w:sz w:val="18"/>
        <w:lang w:val="en-US"/>
      </w:rPr>
      <w:instrText>MERGEFORMAT</w:instrText>
    </w:r>
    <w:r>
      <w:rPr>
        <w:b/>
        <w:sz w:val="18"/>
        <w:rtl/>
        <w:lang w:val="en-US"/>
      </w:rPr>
      <w:instrText xml:space="preserve"> </w:instrText>
    </w:r>
    <w:r>
      <w:rPr>
        <w:b/>
        <w:sz w:val="18"/>
        <w:lang w:val="en-US"/>
      </w:rPr>
      <w:fldChar w:fldCharType="separate"/>
    </w:r>
    <w:r>
      <w:rPr>
        <w:b/>
        <w:noProof/>
        <w:sz w:val="18"/>
        <w:lang w:val="en-US"/>
      </w:rPr>
      <w:t>1</w:t>
    </w:r>
    <w:r>
      <w:rPr>
        <w:b/>
        <w:sz w:val="18"/>
        <w:lang w:val="en-US"/>
      </w:rPr>
      <w:fldChar w:fldCharType="end"/>
    </w:r>
    <w:r>
      <w:rPr>
        <w:b/>
        <w:sz w:val="18"/>
        <w:rtl/>
        <w:lang w:val="en-US"/>
      </w:rPr>
      <w:tab/>
    </w:r>
    <w:r w:rsidRPr="00721DCA">
      <w:rPr>
        <w:rFonts w:cs="Times New Roman"/>
        <w:szCs w:val="16"/>
        <w:lang w:val="en-US"/>
      </w:rPr>
      <w:t>GE</w:t>
    </w:r>
    <w:r w:rsidRPr="00721DCA">
      <w:rPr>
        <w:rFonts w:cs="Times New Roman"/>
        <w:szCs w:val="16"/>
        <w:rtl/>
        <w:lang w:val="en-US"/>
      </w:rPr>
      <w:t>.</w:t>
    </w:r>
    <w:r w:rsidRPr="00721DCA">
      <w:rPr>
        <w:rFonts w:cs="Times New Roman"/>
        <w:szCs w:val="16"/>
        <w:lang w:val="en-US"/>
      </w:rPr>
      <w:t>22</w:t>
    </w:r>
    <w:r w:rsidRPr="00721DCA">
      <w:rPr>
        <w:rFonts w:cs="Times New Roman"/>
        <w:szCs w:val="16"/>
        <w:rtl/>
        <w:lang w:val="en-US"/>
      </w:rPr>
      <w:t>-</w:t>
    </w:r>
    <w:r w:rsidRPr="00721DCA">
      <w:rPr>
        <w:rFonts w:cs="Times New Roman"/>
        <w:szCs w:val="16"/>
        <w:lang w:val="en-US"/>
      </w:rPr>
      <w:t>27250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9B379" w14:textId="77777777" w:rsidR="00E22478" w:rsidRPr="008A49D2" w:rsidRDefault="00E22478"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2B389D36" w14:textId="77777777" w:rsidR="00E22478" w:rsidRDefault="00E22478" w:rsidP="00656392">
      <w:pPr>
        <w:spacing w:line="240" w:lineRule="auto"/>
      </w:pPr>
      <w:r>
        <w:continuationSeparator/>
      </w:r>
    </w:p>
  </w:footnote>
  <w:footnote w:id="1">
    <w:p w14:paraId="58FA0AEC" w14:textId="6A33CAA7" w:rsidR="001E69EC" w:rsidRPr="001E69EC" w:rsidRDefault="001E69EC" w:rsidP="001E69EC">
      <w:pPr>
        <w:pStyle w:val="FootnoteText1"/>
        <w:rPr>
          <w:rFonts w:eastAsiaTheme="minorEastAsia"/>
          <w:rtl/>
        </w:rPr>
      </w:pPr>
      <w:r w:rsidRPr="001E69EC">
        <w:rPr>
          <w:rFonts w:eastAsiaTheme="minorEastAsia"/>
          <w:rtl/>
        </w:rPr>
        <w:t>*</w:t>
      </w:r>
      <w:r w:rsidRPr="001E69EC">
        <w:rPr>
          <w:rFonts w:eastAsiaTheme="minorEastAsia"/>
          <w:rtl/>
        </w:rPr>
        <w:tab/>
        <w:t xml:space="preserve">اعتمدتها اللجنة في دورتها </w:t>
      </w:r>
      <w:r w:rsidRPr="00737919">
        <w:rPr>
          <w:rFonts w:eastAsiaTheme="minorEastAsia"/>
          <w:rtl/>
        </w:rPr>
        <w:t>136</w:t>
      </w:r>
      <w:r w:rsidRPr="001E69EC">
        <w:rPr>
          <w:rFonts w:eastAsiaTheme="minorEastAsia"/>
          <w:rtl/>
        </w:rPr>
        <w:t xml:space="preserve"> (</w:t>
      </w:r>
      <w:r w:rsidRPr="00737919">
        <w:rPr>
          <w:rFonts w:eastAsiaTheme="minorEastAsia"/>
          <w:rtl/>
        </w:rPr>
        <w:t>10</w:t>
      </w:r>
      <w:r w:rsidRPr="001E69EC">
        <w:rPr>
          <w:rFonts w:eastAsiaTheme="minorEastAsia"/>
          <w:rtl/>
        </w:rPr>
        <w:t xml:space="preserve"> تشرين الأول/أكتوبر -</w:t>
      </w:r>
      <w:r w:rsidR="004826B9">
        <w:rPr>
          <w:rFonts w:eastAsiaTheme="minorEastAsia" w:hint="cs"/>
          <w:rtl/>
        </w:rPr>
        <w:t xml:space="preserve"> </w:t>
      </w:r>
      <w:r w:rsidRPr="00737919">
        <w:rPr>
          <w:rFonts w:eastAsiaTheme="minorEastAsia"/>
          <w:rtl/>
        </w:rPr>
        <w:t>4</w:t>
      </w:r>
      <w:r w:rsidRPr="001E69EC">
        <w:rPr>
          <w:rFonts w:eastAsiaTheme="minorEastAsia"/>
          <w:rtl/>
        </w:rPr>
        <w:t xml:space="preserve"> تشرين الثاني/نوفمبر </w:t>
      </w:r>
      <w:r w:rsidRPr="00737919">
        <w:rPr>
          <w:rFonts w:eastAsiaTheme="minorEastAsia"/>
          <w:rtl/>
        </w:rPr>
        <w:t>2022</w:t>
      </w:r>
      <w:r w:rsidRPr="001E69EC">
        <w:rPr>
          <w:rFonts w:eastAsiaTheme="minorEastAsia"/>
          <w:rtl/>
        </w:rPr>
        <w:t xml:space="preserve">). </w:t>
      </w:r>
    </w:p>
  </w:footnote>
  <w:footnote w:id="2">
    <w:p w14:paraId="5603447E" w14:textId="60432277" w:rsidR="001E69EC" w:rsidRPr="001E69EC" w:rsidRDefault="001E69EC" w:rsidP="001E69EC">
      <w:pPr>
        <w:pStyle w:val="FootnoteText1"/>
        <w:rPr>
          <w:rFonts w:eastAsiaTheme="minorEastAsia"/>
          <w:rtl/>
        </w:rPr>
      </w:pPr>
      <w:r w:rsidRPr="001E69EC">
        <w:rPr>
          <w:rFonts w:eastAsiaTheme="minorEastAsia"/>
          <w:rtl/>
        </w:rPr>
        <w:t>**</w:t>
      </w:r>
      <w:r w:rsidRPr="001E69EC">
        <w:rPr>
          <w:rFonts w:eastAsiaTheme="minorEastAsia"/>
          <w:rtl/>
        </w:rPr>
        <w:tab/>
        <w:t xml:space="preserve">شارك في دراسة هذا البلاغ أعضاء اللجنة التالية أسماؤهم: وفاء أشرف محرم بسيم، وعياض بن عاشور، وعارف بلقان، والمحجوب الهيبة، </w:t>
      </w:r>
      <w:proofErr w:type="spellStart"/>
      <w:r w:rsidRPr="001E69EC">
        <w:rPr>
          <w:rFonts w:eastAsiaTheme="minorEastAsia"/>
          <w:rtl/>
        </w:rPr>
        <w:t>وفورويا</w:t>
      </w:r>
      <w:proofErr w:type="spellEnd"/>
      <w:r w:rsidRPr="001E69EC">
        <w:rPr>
          <w:rFonts w:eastAsiaTheme="minorEastAsia"/>
          <w:rtl/>
        </w:rPr>
        <w:t xml:space="preserve"> </w:t>
      </w:r>
      <w:proofErr w:type="spellStart"/>
      <w:r w:rsidRPr="001E69EC">
        <w:rPr>
          <w:rFonts w:eastAsiaTheme="minorEastAsia"/>
          <w:rtl/>
        </w:rPr>
        <w:t>شويتشي</w:t>
      </w:r>
      <w:proofErr w:type="spellEnd"/>
      <w:r w:rsidRPr="001E69EC">
        <w:rPr>
          <w:rFonts w:eastAsiaTheme="minorEastAsia"/>
          <w:rtl/>
        </w:rPr>
        <w:t xml:space="preserve">، وكارلوس غوميث </w:t>
      </w:r>
      <w:proofErr w:type="spellStart"/>
      <w:r w:rsidRPr="001E69EC">
        <w:rPr>
          <w:rFonts w:eastAsiaTheme="minorEastAsia"/>
          <w:rtl/>
        </w:rPr>
        <w:t>مارتينيث</w:t>
      </w:r>
      <w:proofErr w:type="spellEnd"/>
      <w:r w:rsidRPr="001E69EC">
        <w:rPr>
          <w:rFonts w:eastAsiaTheme="minorEastAsia"/>
          <w:rtl/>
        </w:rPr>
        <w:t xml:space="preserve">، </w:t>
      </w:r>
      <w:proofErr w:type="spellStart"/>
      <w:r w:rsidRPr="001E69EC">
        <w:rPr>
          <w:rFonts w:eastAsiaTheme="minorEastAsia"/>
          <w:rtl/>
        </w:rPr>
        <w:t>ودانكان</w:t>
      </w:r>
      <w:proofErr w:type="spellEnd"/>
      <w:r w:rsidRPr="001E69EC">
        <w:rPr>
          <w:rFonts w:eastAsiaTheme="minorEastAsia"/>
          <w:rtl/>
        </w:rPr>
        <w:t xml:space="preserve"> </w:t>
      </w:r>
      <w:proofErr w:type="spellStart"/>
      <w:r w:rsidRPr="001E69EC">
        <w:rPr>
          <w:rFonts w:eastAsiaTheme="minorEastAsia"/>
          <w:rtl/>
        </w:rPr>
        <w:t>لاكي</w:t>
      </w:r>
      <w:proofErr w:type="spellEnd"/>
      <w:r w:rsidRPr="001E69EC">
        <w:rPr>
          <w:rFonts w:eastAsiaTheme="minorEastAsia"/>
          <w:rtl/>
        </w:rPr>
        <w:t xml:space="preserve"> </w:t>
      </w:r>
      <w:proofErr w:type="spellStart"/>
      <w:r w:rsidRPr="001E69EC">
        <w:rPr>
          <w:rFonts w:eastAsiaTheme="minorEastAsia"/>
          <w:rtl/>
        </w:rPr>
        <w:t>موهوموزا</w:t>
      </w:r>
      <w:proofErr w:type="spellEnd"/>
      <w:r w:rsidRPr="001E69EC">
        <w:rPr>
          <w:rFonts w:eastAsiaTheme="minorEastAsia"/>
          <w:rtl/>
        </w:rPr>
        <w:t xml:space="preserve">، </w:t>
      </w:r>
      <w:proofErr w:type="spellStart"/>
      <w:r w:rsidRPr="001E69EC">
        <w:rPr>
          <w:rFonts w:eastAsiaTheme="minorEastAsia"/>
          <w:rtl/>
        </w:rPr>
        <w:t>وهيرنان</w:t>
      </w:r>
      <w:proofErr w:type="spellEnd"/>
      <w:r w:rsidRPr="001E69EC">
        <w:rPr>
          <w:rFonts w:eastAsiaTheme="minorEastAsia"/>
          <w:rtl/>
        </w:rPr>
        <w:t xml:space="preserve"> </w:t>
      </w:r>
      <w:proofErr w:type="spellStart"/>
      <w:r w:rsidRPr="001E69EC">
        <w:rPr>
          <w:rFonts w:eastAsiaTheme="minorEastAsia"/>
          <w:rtl/>
        </w:rPr>
        <w:t>كيسادا</w:t>
      </w:r>
      <w:proofErr w:type="spellEnd"/>
      <w:r w:rsidRPr="001E69EC">
        <w:rPr>
          <w:rFonts w:eastAsiaTheme="minorEastAsia"/>
          <w:rtl/>
        </w:rPr>
        <w:t xml:space="preserve"> </w:t>
      </w:r>
      <w:proofErr w:type="spellStart"/>
      <w:r w:rsidRPr="001E69EC">
        <w:rPr>
          <w:rFonts w:eastAsiaTheme="minorEastAsia"/>
          <w:rtl/>
        </w:rPr>
        <w:t>كابريرا</w:t>
      </w:r>
      <w:proofErr w:type="spellEnd"/>
      <w:r w:rsidRPr="001E69EC">
        <w:rPr>
          <w:rFonts w:eastAsiaTheme="minorEastAsia"/>
          <w:rtl/>
        </w:rPr>
        <w:t xml:space="preserve">، </w:t>
      </w:r>
      <w:proofErr w:type="spellStart"/>
      <w:r w:rsidRPr="001E69EC">
        <w:rPr>
          <w:rFonts w:eastAsiaTheme="minorEastAsia"/>
          <w:rtl/>
        </w:rPr>
        <w:t>وفاسيلكا</w:t>
      </w:r>
      <w:proofErr w:type="spellEnd"/>
      <w:r w:rsidRPr="001E69EC">
        <w:rPr>
          <w:rFonts w:eastAsiaTheme="minorEastAsia"/>
          <w:rtl/>
        </w:rPr>
        <w:t xml:space="preserve"> </w:t>
      </w:r>
      <w:proofErr w:type="spellStart"/>
      <w:r w:rsidRPr="001E69EC">
        <w:rPr>
          <w:rFonts w:eastAsiaTheme="minorEastAsia"/>
          <w:rtl/>
        </w:rPr>
        <w:t>سانسين</w:t>
      </w:r>
      <w:proofErr w:type="spellEnd"/>
      <w:r w:rsidRPr="001E69EC">
        <w:rPr>
          <w:rFonts w:eastAsiaTheme="minorEastAsia"/>
          <w:rtl/>
        </w:rPr>
        <w:t xml:space="preserve">، وخوسيه مانويل سانتوس </w:t>
      </w:r>
      <w:proofErr w:type="spellStart"/>
      <w:r w:rsidRPr="001E69EC">
        <w:rPr>
          <w:rFonts w:eastAsiaTheme="minorEastAsia"/>
          <w:rtl/>
        </w:rPr>
        <w:t>بايس</w:t>
      </w:r>
      <w:proofErr w:type="spellEnd"/>
      <w:r w:rsidRPr="001E69EC">
        <w:rPr>
          <w:rFonts w:eastAsiaTheme="minorEastAsia"/>
          <w:rtl/>
        </w:rPr>
        <w:t xml:space="preserve">، </w:t>
      </w:r>
      <w:proofErr w:type="spellStart"/>
      <w:r w:rsidRPr="001E69EC">
        <w:rPr>
          <w:rFonts w:eastAsiaTheme="minorEastAsia"/>
          <w:rtl/>
        </w:rPr>
        <w:t>وسوه</w:t>
      </w:r>
      <w:proofErr w:type="spellEnd"/>
      <w:r w:rsidRPr="001E69EC">
        <w:rPr>
          <w:rFonts w:eastAsiaTheme="minorEastAsia"/>
          <w:rtl/>
        </w:rPr>
        <w:t xml:space="preserve"> </w:t>
      </w:r>
      <w:proofErr w:type="spellStart"/>
      <w:r w:rsidRPr="001E69EC">
        <w:rPr>
          <w:rFonts w:eastAsiaTheme="minorEastAsia"/>
          <w:rtl/>
        </w:rPr>
        <w:t>شانغروك</w:t>
      </w:r>
      <w:proofErr w:type="spellEnd"/>
      <w:r w:rsidRPr="001E69EC">
        <w:rPr>
          <w:rFonts w:eastAsiaTheme="minorEastAsia"/>
          <w:rtl/>
        </w:rPr>
        <w:t xml:space="preserve">، </w:t>
      </w:r>
      <w:proofErr w:type="spellStart"/>
      <w:r w:rsidRPr="001E69EC">
        <w:rPr>
          <w:rFonts w:eastAsiaTheme="minorEastAsia"/>
          <w:rtl/>
        </w:rPr>
        <w:t>وكوباوياه</w:t>
      </w:r>
      <w:proofErr w:type="spellEnd"/>
      <w:r w:rsidRPr="001E69EC">
        <w:rPr>
          <w:rFonts w:eastAsiaTheme="minorEastAsia"/>
          <w:rtl/>
        </w:rPr>
        <w:t xml:space="preserve"> </w:t>
      </w:r>
      <w:proofErr w:type="spellStart"/>
      <w:r w:rsidRPr="001E69EC">
        <w:rPr>
          <w:rFonts w:eastAsiaTheme="minorEastAsia"/>
          <w:rtl/>
        </w:rPr>
        <w:t>تشامدجا</w:t>
      </w:r>
      <w:proofErr w:type="spellEnd"/>
      <w:r w:rsidRPr="001E69EC">
        <w:rPr>
          <w:rFonts w:eastAsiaTheme="minorEastAsia"/>
          <w:rtl/>
        </w:rPr>
        <w:t xml:space="preserve"> </w:t>
      </w:r>
      <w:proofErr w:type="spellStart"/>
      <w:r w:rsidRPr="001E69EC">
        <w:rPr>
          <w:rFonts w:eastAsiaTheme="minorEastAsia"/>
          <w:rtl/>
        </w:rPr>
        <w:t>كباتشا</w:t>
      </w:r>
      <w:proofErr w:type="spellEnd"/>
      <w:r w:rsidRPr="001E69EC">
        <w:rPr>
          <w:rFonts w:eastAsiaTheme="minorEastAsia"/>
          <w:rtl/>
        </w:rPr>
        <w:t xml:space="preserve">، وإيلين </w:t>
      </w:r>
      <w:proofErr w:type="spellStart"/>
      <w:r w:rsidRPr="001E69EC">
        <w:rPr>
          <w:rFonts w:eastAsiaTheme="minorEastAsia"/>
          <w:rtl/>
        </w:rPr>
        <w:t>تيغرودجا</w:t>
      </w:r>
      <w:proofErr w:type="spellEnd"/>
      <w:r w:rsidRPr="001E69EC">
        <w:rPr>
          <w:rFonts w:eastAsiaTheme="minorEastAsia"/>
          <w:rtl/>
        </w:rPr>
        <w:t xml:space="preserve">، </w:t>
      </w:r>
      <w:proofErr w:type="spellStart"/>
      <w:r w:rsidRPr="001E69EC">
        <w:rPr>
          <w:rFonts w:eastAsiaTheme="minorEastAsia"/>
          <w:rtl/>
        </w:rPr>
        <w:t>وإيميرو</w:t>
      </w:r>
      <w:proofErr w:type="spellEnd"/>
      <w:r w:rsidRPr="001E69EC">
        <w:rPr>
          <w:rFonts w:eastAsiaTheme="minorEastAsia"/>
          <w:rtl/>
        </w:rPr>
        <w:t xml:space="preserve"> </w:t>
      </w:r>
      <w:proofErr w:type="spellStart"/>
      <w:r w:rsidRPr="001E69EC">
        <w:rPr>
          <w:rFonts w:eastAsiaTheme="minorEastAsia"/>
          <w:rtl/>
        </w:rPr>
        <w:t>تامرات</w:t>
      </w:r>
      <w:proofErr w:type="spellEnd"/>
      <w:r w:rsidRPr="001E69EC">
        <w:rPr>
          <w:rFonts w:eastAsiaTheme="minorEastAsia"/>
          <w:rtl/>
        </w:rPr>
        <w:t xml:space="preserve"> </w:t>
      </w:r>
      <w:proofErr w:type="spellStart"/>
      <w:r w:rsidRPr="001E69EC">
        <w:rPr>
          <w:rFonts w:eastAsiaTheme="minorEastAsia"/>
          <w:rtl/>
        </w:rPr>
        <w:t>إغيزو</w:t>
      </w:r>
      <w:proofErr w:type="spellEnd"/>
      <w:r w:rsidRPr="001E69EC">
        <w:rPr>
          <w:rFonts w:eastAsiaTheme="minorEastAsia"/>
          <w:rtl/>
        </w:rPr>
        <w:t xml:space="preserve">، </w:t>
      </w:r>
      <w:proofErr w:type="spellStart"/>
      <w:r w:rsidRPr="001E69EC">
        <w:rPr>
          <w:rFonts w:eastAsiaTheme="minorEastAsia"/>
          <w:rtl/>
        </w:rPr>
        <w:t>وجينتيان</w:t>
      </w:r>
      <w:proofErr w:type="spellEnd"/>
      <w:r w:rsidRPr="001E69EC">
        <w:rPr>
          <w:rFonts w:eastAsiaTheme="minorEastAsia"/>
          <w:rtl/>
        </w:rPr>
        <w:t xml:space="preserve"> زبيري</w:t>
      </w:r>
      <w:r>
        <w:rPr>
          <w:rFonts w:eastAsiaTheme="minorEastAsia"/>
          <w:rtl/>
        </w:rPr>
        <w:t xml:space="preserve">. </w:t>
      </w:r>
    </w:p>
  </w:footnote>
  <w:footnote w:id="3">
    <w:p w14:paraId="194A8B35" w14:textId="4D0CE5E1" w:rsidR="001E69EC" w:rsidRPr="001E69EC" w:rsidRDefault="001E69EC" w:rsidP="001E69EC">
      <w:pPr>
        <w:pStyle w:val="FootnoteText1"/>
        <w:rPr>
          <w:rFonts w:eastAsiaTheme="minorEastAsia"/>
          <w:rtl/>
        </w:rPr>
      </w:pPr>
      <w:r w:rsidRPr="001E69EC">
        <w:rPr>
          <w:rFonts w:eastAsiaTheme="minorEastAsia"/>
          <w:rtl/>
        </w:rPr>
        <w:t>***</w:t>
      </w:r>
      <w:r w:rsidRPr="001E69EC">
        <w:rPr>
          <w:rFonts w:eastAsiaTheme="minorEastAsia"/>
          <w:rtl/>
        </w:rPr>
        <w:tab/>
        <w:t xml:space="preserve">أُرفق بهذه الآراء رأي فردي لعضو اللجنة </w:t>
      </w:r>
      <w:proofErr w:type="spellStart"/>
      <w:r w:rsidRPr="001E69EC">
        <w:rPr>
          <w:rFonts w:eastAsiaTheme="minorEastAsia"/>
          <w:rtl/>
        </w:rPr>
        <w:t>جينتيان</w:t>
      </w:r>
      <w:proofErr w:type="spellEnd"/>
      <w:r w:rsidRPr="001E69EC">
        <w:rPr>
          <w:rFonts w:eastAsiaTheme="minorEastAsia"/>
          <w:rtl/>
        </w:rPr>
        <w:t xml:space="preserve"> زبيري (متفق) ورأي فردي لعضو اللجنة </w:t>
      </w:r>
      <w:proofErr w:type="spellStart"/>
      <w:r w:rsidRPr="001E69EC">
        <w:rPr>
          <w:rFonts w:eastAsiaTheme="minorEastAsia"/>
          <w:rtl/>
        </w:rPr>
        <w:t>فاسيلكا</w:t>
      </w:r>
      <w:proofErr w:type="spellEnd"/>
      <w:r w:rsidRPr="001E69EC">
        <w:rPr>
          <w:rFonts w:eastAsiaTheme="minorEastAsia"/>
          <w:rtl/>
        </w:rPr>
        <w:t xml:space="preserve"> </w:t>
      </w:r>
      <w:proofErr w:type="spellStart"/>
      <w:r w:rsidRPr="001E69EC">
        <w:rPr>
          <w:rFonts w:eastAsiaTheme="minorEastAsia"/>
          <w:rtl/>
        </w:rPr>
        <w:t>سانسين</w:t>
      </w:r>
      <w:proofErr w:type="spellEnd"/>
      <w:r w:rsidRPr="001E69EC">
        <w:rPr>
          <w:rFonts w:eastAsiaTheme="minorEastAsia"/>
          <w:rtl/>
        </w:rPr>
        <w:t xml:space="preserve"> (مخالف). </w:t>
      </w:r>
    </w:p>
  </w:footnote>
  <w:footnote w:id="4">
    <w:p w14:paraId="33C103F2" w14:textId="5323C388" w:rsidR="001E69EC" w:rsidRPr="00721DCA" w:rsidRDefault="001E69EC" w:rsidP="001E69EC">
      <w:pPr>
        <w:pStyle w:val="FootnoteText1"/>
        <w:textDirection w:val="tbRlV"/>
        <w:rPr>
          <w:rFonts w:eastAsiaTheme="minorEastAsia"/>
          <w:lang w:eastAsia="zh-TW" w:bidi="en-GB"/>
        </w:rPr>
      </w:pPr>
      <w:r w:rsidRPr="001E69EC">
        <w:rPr>
          <w:rFonts w:eastAsiaTheme="minorEastAsia"/>
          <w:rtl/>
        </w:rPr>
        <w:t>(</w:t>
      </w:r>
      <w:r w:rsidRPr="00737919">
        <w:rPr>
          <w:rStyle w:val="FootnoteReference"/>
          <w:rFonts w:eastAsiaTheme="minorEastAsia"/>
          <w:vertAlign w:val="baseline"/>
        </w:rPr>
        <w:footnoteRef/>
      </w:r>
      <w:r w:rsidRPr="001B491C">
        <w:rPr>
          <w:rStyle w:val="FootnoteReference"/>
          <w:rFonts w:eastAsiaTheme="minorEastAsia"/>
          <w:vertAlign w:val="baseline"/>
          <w:rtl/>
        </w:rPr>
        <w:t>)</w:t>
      </w:r>
      <w:r w:rsidRPr="001E69EC">
        <w:rPr>
          <w:rFonts w:eastAsiaTheme="minorEastAsia"/>
          <w:rtl/>
        </w:rPr>
        <w:tab/>
        <w:t xml:space="preserve">يشير صاحب البلاغ إلى شهادة طبية مؤرخة </w:t>
      </w:r>
      <w:r w:rsidRPr="00737919">
        <w:rPr>
          <w:rFonts w:eastAsiaTheme="minorEastAsia"/>
          <w:rtl/>
        </w:rPr>
        <w:t>13</w:t>
      </w:r>
      <w:r w:rsidRPr="001E69EC">
        <w:rPr>
          <w:rFonts w:eastAsiaTheme="minorEastAsia"/>
          <w:rtl/>
        </w:rPr>
        <w:t xml:space="preserve"> آذار/مارس </w:t>
      </w:r>
      <w:r w:rsidRPr="00737919">
        <w:rPr>
          <w:rFonts w:eastAsiaTheme="minorEastAsia"/>
          <w:rtl/>
        </w:rPr>
        <w:t>2015</w:t>
      </w:r>
      <w:r w:rsidRPr="001E69EC">
        <w:rPr>
          <w:rFonts w:eastAsiaTheme="minorEastAsia"/>
          <w:rtl/>
        </w:rPr>
        <w:t xml:space="preserve"> تفيد بأن صاحب البلاغ قد شُخص بالإصابة </w:t>
      </w:r>
      <w:proofErr w:type="spellStart"/>
      <w:r w:rsidRPr="001E69EC">
        <w:rPr>
          <w:rFonts w:eastAsiaTheme="minorEastAsia"/>
          <w:rtl/>
        </w:rPr>
        <w:t>بالاكتراب</w:t>
      </w:r>
      <w:proofErr w:type="spellEnd"/>
      <w:r w:rsidRPr="001E69EC">
        <w:rPr>
          <w:rFonts w:eastAsiaTheme="minorEastAsia"/>
          <w:rtl/>
        </w:rPr>
        <w:t xml:space="preserve"> التالي للصدمة الذي اعتُبر </w:t>
      </w:r>
      <w:r>
        <w:rPr>
          <w:rFonts w:eastAsiaTheme="minorEastAsia" w:hint="cs"/>
          <w:rtl/>
        </w:rPr>
        <w:t>"</w:t>
      </w:r>
      <w:r w:rsidRPr="001E69EC">
        <w:rPr>
          <w:rFonts w:eastAsiaTheme="minorEastAsia"/>
          <w:rtl/>
        </w:rPr>
        <w:t>عاهة/إعاقة طويلة الأمد</w:t>
      </w:r>
      <w:r>
        <w:rPr>
          <w:rFonts w:eastAsiaTheme="minorEastAsia" w:hint="cs"/>
          <w:rtl/>
        </w:rPr>
        <w:t>"</w:t>
      </w:r>
      <w:r w:rsidRPr="001E69EC">
        <w:rPr>
          <w:rFonts w:eastAsiaTheme="minorEastAsia"/>
          <w:rtl/>
        </w:rPr>
        <w:t xml:space="preserve">، مع خلل في التركيز والذاكرة وصفاء الذهن والقدرة على التعلم بسبب اضطراب النوم والآلام المزمنة وسرعة الإنهاك الذهني. وتوصف حالته بأنها ساءت في عام </w:t>
      </w:r>
      <w:r w:rsidRPr="00737919">
        <w:rPr>
          <w:rFonts w:eastAsiaTheme="minorEastAsia"/>
          <w:rtl/>
        </w:rPr>
        <w:t>2009</w:t>
      </w:r>
      <w:r w:rsidRPr="001E69EC">
        <w:rPr>
          <w:rFonts w:eastAsiaTheme="minorEastAsia"/>
          <w:rtl/>
        </w:rPr>
        <w:t>، مع تراجع الوظائف المعرفية، مما أثر على مهاراته اللغوية في اللغتين الدانمركية والعربية. وتوصف حالته الصحية العقلية بأنها مزمنة مع عدم حدوث تحسن في حالته الصحية بالعلاج النفسي</w:t>
      </w:r>
      <w:r>
        <w:rPr>
          <w:rFonts w:eastAsiaTheme="minorEastAsia"/>
          <w:rtl/>
        </w:rPr>
        <w:t xml:space="preserve">. </w:t>
      </w:r>
    </w:p>
  </w:footnote>
  <w:footnote w:id="5">
    <w:p w14:paraId="71ABC5A2" w14:textId="77777777" w:rsidR="001E69EC" w:rsidRPr="001E69EC" w:rsidRDefault="001E69EC" w:rsidP="001E69EC">
      <w:pPr>
        <w:pStyle w:val="FootnoteText1"/>
        <w:textDirection w:val="tbRlV"/>
        <w:rPr>
          <w:rFonts w:eastAsiaTheme="minorEastAsia"/>
          <w:lang w:val="ar-SA" w:eastAsia="zh-TW" w:bidi="en-GB"/>
        </w:rPr>
      </w:pPr>
      <w:r w:rsidRPr="001E69EC">
        <w:rPr>
          <w:rFonts w:eastAsiaTheme="minorEastAsia"/>
          <w:rtl/>
        </w:rPr>
        <w:t>(</w:t>
      </w:r>
      <w:r w:rsidRPr="00737919">
        <w:rPr>
          <w:rStyle w:val="FootnoteReference"/>
          <w:rFonts w:eastAsiaTheme="minorEastAsia"/>
          <w:vertAlign w:val="baseline"/>
        </w:rPr>
        <w:footnoteRef/>
      </w:r>
      <w:r w:rsidRPr="001B491C">
        <w:rPr>
          <w:rStyle w:val="FootnoteReference"/>
          <w:rFonts w:eastAsiaTheme="minorEastAsia"/>
          <w:vertAlign w:val="baseline"/>
          <w:rtl/>
        </w:rPr>
        <w:t>)</w:t>
      </w:r>
      <w:r w:rsidRPr="001B491C">
        <w:rPr>
          <w:rStyle w:val="FootnoteReference"/>
          <w:rFonts w:eastAsiaTheme="minorEastAsia"/>
          <w:vertAlign w:val="baseline"/>
          <w:rtl/>
        </w:rPr>
        <w:tab/>
      </w:r>
      <w:hyperlink r:id="rId1" w:history="1">
        <w:r w:rsidRPr="001E69EC">
          <w:rPr>
            <w:rStyle w:val="Hyperlink"/>
          </w:rPr>
          <w:t>CCPR/C/</w:t>
        </w:r>
        <w:r w:rsidRPr="00737919">
          <w:rPr>
            <w:rStyle w:val="Hyperlink"/>
          </w:rPr>
          <w:t>113</w:t>
        </w:r>
        <w:r w:rsidRPr="001E69EC">
          <w:rPr>
            <w:rStyle w:val="Hyperlink"/>
          </w:rPr>
          <w:t>/D/</w:t>
        </w:r>
        <w:r w:rsidRPr="00737919">
          <w:rPr>
            <w:rStyle w:val="Hyperlink"/>
          </w:rPr>
          <w:t>2001</w:t>
        </w:r>
        <w:r w:rsidRPr="001E69EC">
          <w:rPr>
            <w:rStyle w:val="Hyperlink"/>
          </w:rPr>
          <w:t>/</w:t>
        </w:r>
        <w:r w:rsidRPr="00737919">
          <w:rPr>
            <w:rStyle w:val="Hyperlink"/>
          </w:rPr>
          <w:t>2010</w:t>
        </w:r>
      </w:hyperlink>
      <w:r w:rsidRPr="001E69EC">
        <w:rPr>
          <w:rFonts w:eastAsiaTheme="minorEastAsia"/>
          <w:rtl/>
        </w:rPr>
        <w:t xml:space="preserve">. </w:t>
      </w:r>
    </w:p>
  </w:footnote>
  <w:footnote w:id="6">
    <w:p w14:paraId="69E62241" w14:textId="77777777" w:rsidR="001E69EC" w:rsidRPr="001E69EC" w:rsidRDefault="001E69EC" w:rsidP="001E69EC">
      <w:pPr>
        <w:pStyle w:val="FootnoteText1"/>
        <w:textDirection w:val="tbRlV"/>
        <w:rPr>
          <w:rFonts w:eastAsiaTheme="minorEastAsia"/>
          <w:lang w:val="ar-SA" w:eastAsia="zh-TW" w:bidi="en-GB"/>
        </w:rPr>
      </w:pPr>
      <w:r w:rsidRPr="001E69EC">
        <w:rPr>
          <w:rFonts w:eastAsiaTheme="minorEastAsia"/>
          <w:rtl/>
        </w:rPr>
        <w:t>(</w:t>
      </w:r>
      <w:r w:rsidRPr="00737919">
        <w:rPr>
          <w:rStyle w:val="FootnoteReference"/>
          <w:rFonts w:eastAsiaTheme="minorEastAsia"/>
          <w:vertAlign w:val="baseline"/>
        </w:rPr>
        <w:footnoteRef/>
      </w:r>
      <w:r w:rsidRPr="001B491C">
        <w:rPr>
          <w:rStyle w:val="FootnoteReference"/>
          <w:rFonts w:eastAsiaTheme="minorEastAsia"/>
          <w:vertAlign w:val="baseline"/>
          <w:rtl/>
        </w:rPr>
        <w:t>)</w:t>
      </w:r>
      <w:r w:rsidRPr="001B491C">
        <w:rPr>
          <w:rStyle w:val="FootnoteReference"/>
          <w:rFonts w:eastAsiaTheme="minorEastAsia"/>
          <w:vertAlign w:val="baseline"/>
          <w:rtl/>
        </w:rPr>
        <w:tab/>
      </w:r>
      <w:r w:rsidRPr="001E69EC">
        <w:rPr>
          <w:rFonts w:eastAsiaTheme="minorEastAsia"/>
          <w:rtl/>
        </w:rPr>
        <w:t xml:space="preserve">تذكُر الدولة الطرف أن سلطة النظر في طلبات التجنس نُقلت في </w:t>
      </w:r>
      <w:r w:rsidRPr="00737919">
        <w:rPr>
          <w:rFonts w:eastAsiaTheme="minorEastAsia"/>
          <w:rtl/>
        </w:rPr>
        <w:t>28</w:t>
      </w:r>
      <w:r w:rsidRPr="001E69EC">
        <w:rPr>
          <w:rFonts w:eastAsiaTheme="minorEastAsia"/>
          <w:rtl/>
        </w:rPr>
        <w:t xml:space="preserve"> حزيران/يونيه </w:t>
      </w:r>
      <w:r w:rsidRPr="00737919">
        <w:rPr>
          <w:rFonts w:eastAsiaTheme="minorEastAsia"/>
          <w:rtl/>
        </w:rPr>
        <w:t>2015</w:t>
      </w:r>
      <w:r w:rsidRPr="001E69EC">
        <w:rPr>
          <w:rFonts w:eastAsiaTheme="minorEastAsia"/>
          <w:rtl/>
        </w:rPr>
        <w:t xml:space="preserve"> من وزارة العدل إلى وزارة الهجرة والإدماج والإسكان</w:t>
      </w:r>
      <w:r>
        <w:rPr>
          <w:rFonts w:eastAsiaTheme="minorEastAsia"/>
          <w:rtl/>
        </w:rPr>
        <w:t xml:space="preserve">. </w:t>
      </w:r>
    </w:p>
  </w:footnote>
  <w:footnote w:id="7">
    <w:p w14:paraId="50AEAE6F" w14:textId="0ED9FEF3" w:rsidR="001E69EC" w:rsidRPr="001E69EC" w:rsidRDefault="001E69EC" w:rsidP="001E69EC">
      <w:pPr>
        <w:pStyle w:val="FootnoteText1"/>
        <w:textDirection w:val="tbRlV"/>
        <w:rPr>
          <w:rFonts w:eastAsiaTheme="minorEastAsia"/>
          <w:lang w:eastAsia="zh-TW" w:bidi="en-GB"/>
        </w:rPr>
      </w:pPr>
      <w:r w:rsidRPr="001E69EC">
        <w:rPr>
          <w:rFonts w:eastAsiaTheme="minorEastAsia"/>
          <w:rtl/>
        </w:rPr>
        <w:t>(</w:t>
      </w:r>
      <w:r w:rsidRPr="00737919">
        <w:rPr>
          <w:rStyle w:val="FootnoteReference"/>
          <w:rFonts w:eastAsiaTheme="minorEastAsia"/>
          <w:vertAlign w:val="baseline"/>
        </w:rPr>
        <w:footnoteRef/>
      </w:r>
      <w:r w:rsidRPr="001B491C">
        <w:rPr>
          <w:rStyle w:val="FootnoteReference"/>
          <w:rFonts w:eastAsiaTheme="minorEastAsia"/>
          <w:vertAlign w:val="baseline"/>
          <w:rtl/>
        </w:rPr>
        <w:t>)</w:t>
      </w:r>
      <w:r w:rsidRPr="001B491C">
        <w:rPr>
          <w:rStyle w:val="FootnoteReference"/>
          <w:rFonts w:eastAsiaTheme="minorEastAsia"/>
          <w:vertAlign w:val="baseline"/>
          <w:rtl/>
        </w:rPr>
        <w:tab/>
      </w:r>
      <w:r w:rsidR="002F07E9" w:rsidRPr="00635CD1">
        <w:t xml:space="preserve">European Court of Human Rights, </w:t>
      </w:r>
      <w:r w:rsidR="002F07E9" w:rsidRPr="00737919">
        <w:rPr>
          <w:bCs/>
          <w:i/>
          <w:iCs/>
        </w:rPr>
        <w:t>Nazari v. Denmark</w:t>
      </w:r>
      <w:r w:rsidR="002F07E9" w:rsidRPr="00635CD1">
        <w:t>, a</w:t>
      </w:r>
      <w:r w:rsidR="002F07E9" w:rsidRPr="00737919">
        <w:rPr>
          <w:bCs/>
          <w:iCs/>
        </w:rPr>
        <w:t>pplication No. 64372/11, Decision, 6 September 2016</w:t>
      </w:r>
      <w:r w:rsidRPr="001E69EC">
        <w:rPr>
          <w:rFonts w:eastAsiaTheme="minorEastAsia"/>
          <w:rtl/>
        </w:rPr>
        <w:t xml:space="preserve">. </w:t>
      </w:r>
    </w:p>
  </w:footnote>
  <w:footnote w:id="8">
    <w:p w14:paraId="6050FDC4" w14:textId="77777777" w:rsidR="001E69EC" w:rsidRPr="001E69EC" w:rsidRDefault="001E69EC" w:rsidP="001E69EC">
      <w:pPr>
        <w:pStyle w:val="FootnoteText1"/>
        <w:textDirection w:val="tbRlV"/>
        <w:rPr>
          <w:rFonts w:eastAsiaTheme="minorEastAsia"/>
          <w:lang w:val="ar-SA" w:eastAsia="zh-TW" w:bidi="en-GB"/>
        </w:rPr>
      </w:pPr>
      <w:r w:rsidRPr="001E69EC">
        <w:rPr>
          <w:rFonts w:eastAsiaTheme="minorEastAsia"/>
          <w:rtl/>
        </w:rPr>
        <w:t>(</w:t>
      </w:r>
      <w:r w:rsidRPr="00737919">
        <w:rPr>
          <w:rFonts w:eastAsiaTheme="minorEastAsia"/>
        </w:rPr>
        <w:footnoteRef/>
      </w:r>
      <w:r w:rsidRPr="001B491C">
        <w:rPr>
          <w:rFonts w:eastAsiaTheme="minorEastAsia"/>
          <w:rtl/>
        </w:rPr>
        <w:t>)</w:t>
      </w:r>
      <w:r w:rsidRPr="001B491C">
        <w:rPr>
          <w:rFonts w:eastAsiaTheme="minorEastAsia"/>
          <w:rtl/>
        </w:rPr>
        <w:tab/>
      </w:r>
      <w:r w:rsidRPr="001E69EC">
        <w:rPr>
          <w:rFonts w:eastAsiaTheme="minorEastAsia"/>
          <w:rtl/>
        </w:rPr>
        <w:t xml:space="preserve">قضية </w:t>
      </w:r>
      <w:r w:rsidRPr="00737919">
        <w:rPr>
          <w:rFonts w:eastAsiaTheme="minorEastAsia"/>
          <w:i/>
          <w:iCs/>
          <w:rtl/>
        </w:rPr>
        <w:t xml:space="preserve">ج. ضد أستراليا </w:t>
      </w:r>
      <w:r w:rsidRPr="001E69EC">
        <w:rPr>
          <w:rFonts w:eastAsiaTheme="minorEastAsia"/>
          <w:rtl/>
        </w:rPr>
        <w:t>(</w:t>
      </w:r>
      <w:hyperlink r:id="rId2" w:history="1">
        <w:r w:rsidRPr="001E69EC">
          <w:rPr>
            <w:rStyle w:val="Hyperlink"/>
          </w:rPr>
          <w:t>CCPR/C/</w:t>
        </w:r>
        <w:r w:rsidRPr="00737919">
          <w:rPr>
            <w:rStyle w:val="Hyperlink"/>
          </w:rPr>
          <w:t>119</w:t>
        </w:r>
        <w:r w:rsidRPr="001E69EC">
          <w:rPr>
            <w:rStyle w:val="Hyperlink"/>
          </w:rPr>
          <w:t>/D/</w:t>
        </w:r>
        <w:r w:rsidRPr="00737919">
          <w:rPr>
            <w:rStyle w:val="Hyperlink"/>
          </w:rPr>
          <w:t>2172</w:t>
        </w:r>
        <w:r w:rsidRPr="001E69EC">
          <w:rPr>
            <w:rStyle w:val="Hyperlink"/>
          </w:rPr>
          <w:t>/</w:t>
        </w:r>
        <w:r w:rsidRPr="00737919">
          <w:rPr>
            <w:rStyle w:val="Hyperlink"/>
          </w:rPr>
          <w:t>2012</w:t>
        </w:r>
      </w:hyperlink>
      <w:r w:rsidRPr="001E69EC">
        <w:rPr>
          <w:rFonts w:eastAsiaTheme="minorEastAsia"/>
          <w:rtl/>
        </w:rPr>
        <w:t xml:space="preserve">)، الفقرة </w:t>
      </w:r>
      <w:r w:rsidRPr="00737919">
        <w:rPr>
          <w:rFonts w:eastAsiaTheme="minorEastAsia"/>
          <w:rtl/>
        </w:rPr>
        <w:t>6</w:t>
      </w:r>
      <w:r w:rsidRPr="001E69EC">
        <w:rPr>
          <w:rFonts w:eastAsiaTheme="minorEastAsia"/>
          <w:rtl/>
        </w:rPr>
        <w:t>-</w:t>
      </w:r>
      <w:r w:rsidRPr="00737919">
        <w:rPr>
          <w:rFonts w:eastAsiaTheme="minorEastAsia"/>
          <w:rtl/>
        </w:rPr>
        <w:t>7</w:t>
      </w:r>
      <w:r w:rsidRPr="001E69EC">
        <w:rPr>
          <w:rFonts w:eastAsiaTheme="minorEastAsia"/>
          <w:rtl/>
        </w:rPr>
        <w:t xml:space="preserve">؛ وقضية </w:t>
      </w:r>
      <w:proofErr w:type="spellStart"/>
      <w:r w:rsidRPr="00737919">
        <w:rPr>
          <w:rFonts w:eastAsiaTheme="minorEastAsia"/>
          <w:i/>
          <w:iCs/>
          <w:rtl/>
        </w:rPr>
        <w:t>بولياكوف</w:t>
      </w:r>
      <w:proofErr w:type="spellEnd"/>
      <w:r w:rsidRPr="00737919">
        <w:rPr>
          <w:rFonts w:eastAsiaTheme="minorEastAsia"/>
          <w:i/>
          <w:iCs/>
          <w:rtl/>
        </w:rPr>
        <w:t xml:space="preserve"> ضد بيلاروس</w:t>
      </w:r>
      <w:r w:rsidRPr="001E69EC">
        <w:rPr>
          <w:rFonts w:eastAsiaTheme="minorEastAsia"/>
          <w:rtl/>
        </w:rPr>
        <w:t xml:space="preserve"> (</w:t>
      </w:r>
      <w:hyperlink r:id="rId3" w:history="1">
        <w:r w:rsidRPr="001E69EC">
          <w:rPr>
            <w:rStyle w:val="Hyperlink"/>
          </w:rPr>
          <w:t>CCPR/C/</w:t>
        </w:r>
        <w:r w:rsidRPr="00737919">
          <w:rPr>
            <w:rStyle w:val="Hyperlink"/>
          </w:rPr>
          <w:t>111</w:t>
        </w:r>
        <w:r w:rsidRPr="001E69EC">
          <w:rPr>
            <w:rStyle w:val="Hyperlink"/>
          </w:rPr>
          <w:t>/D/</w:t>
        </w:r>
        <w:r w:rsidRPr="00737919">
          <w:rPr>
            <w:rStyle w:val="Hyperlink"/>
          </w:rPr>
          <w:t>2030</w:t>
        </w:r>
        <w:r w:rsidRPr="001E69EC">
          <w:rPr>
            <w:rStyle w:val="Hyperlink"/>
          </w:rPr>
          <w:t>/</w:t>
        </w:r>
        <w:r w:rsidRPr="00737919">
          <w:rPr>
            <w:rStyle w:val="Hyperlink"/>
          </w:rPr>
          <w:t>2011</w:t>
        </w:r>
      </w:hyperlink>
      <w:r w:rsidRPr="001E69EC">
        <w:rPr>
          <w:rFonts w:eastAsiaTheme="minorEastAsia"/>
          <w:rtl/>
        </w:rPr>
        <w:t xml:space="preserve">)، الفقرة </w:t>
      </w:r>
      <w:r w:rsidRPr="00737919">
        <w:rPr>
          <w:rFonts w:eastAsiaTheme="minorEastAsia"/>
          <w:rtl/>
        </w:rPr>
        <w:t>7</w:t>
      </w:r>
      <w:r w:rsidRPr="001E69EC">
        <w:rPr>
          <w:rFonts w:eastAsiaTheme="minorEastAsia"/>
          <w:rtl/>
        </w:rPr>
        <w:t>-</w:t>
      </w:r>
      <w:r w:rsidRPr="00737919">
        <w:rPr>
          <w:rFonts w:eastAsiaTheme="minorEastAsia"/>
          <w:rtl/>
        </w:rPr>
        <w:t>4</w:t>
      </w:r>
      <w:r w:rsidRPr="001E69EC">
        <w:rPr>
          <w:rFonts w:eastAsiaTheme="minorEastAsia"/>
          <w:rtl/>
        </w:rPr>
        <w:t xml:space="preserve">. </w:t>
      </w:r>
    </w:p>
  </w:footnote>
  <w:footnote w:id="9">
    <w:p w14:paraId="545DE1A7" w14:textId="41F054ED" w:rsidR="001E69EC" w:rsidRPr="001E69EC" w:rsidRDefault="001E69EC" w:rsidP="001E69EC">
      <w:pPr>
        <w:pStyle w:val="FootnoteText1"/>
        <w:textDirection w:val="tbRlV"/>
        <w:rPr>
          <w:rFonts w:eastAsiaTheme="minorEastAsia"/>
          <w:lang w:val="ar-SA" w:eastAsia="zh-TW" w:bidi="en-GB"/>
        </w:rPr>
      </w:pPr>
      <w:r w:rsidRPr="001E69EC">
        <w:rPr>
          <w:rFonts w:eastAsiaTheme="minorEastAsia"/>
          <w:rtl/>
        </w:rPr>
        <w:t>(</w:t>
      </w:r>
      <w:r w:rsidRPr="00737919">
        <w:rPr>
          <w:rStyle w:val="FootnoteReference"/>
          <w:rFonts w:eastAsiaTheme="minorEastAsia"/>
          <w:vertAlign w:val="baseline"/>
        </w:rPr>
        <w:footnoteRef/>
      </w:r>
      <w:r w:rsidRPr="001B491C">
        <w:rPr>
          <w:rStyle w:val="FootnoteReference"/>
          <w:rFonts w:eastAsiaTheme="minorEastAsia"/>
          <w:vertAlign w:val="baseline"/>
          <w:rtl/>
        </w:rPr>
        <w:t>)</w:t>
      </w:r>
      <w:r w:rsidRPr="001E69EC">
        <w:rPr>
          <w:rFonts w:eastAsiaTheme="minorEastAsia"/>
          <w:rtl/>
        </w:rPr>
        <w:tab/>
        <w:t xml:space="preserve">قضية </w:t>
      </w:r>
      <w:r w:rsidRPr="00737919">
        <w:rPr>
          <w:rFonts w:eastAsiaTheme="minorEastAsia"/>
          <w:i/>
          <w:iCs/>
          <w:rtl/>
        </w:rPr>
        <w:t>سيمز ضد جامايكا</w:t>
      </w:r>
      <w:r w:rsidRPr="001E69EC">
        <w:rPr>
          <w:rFonts w:eastAsiaTheme="minorEastAsia"/>
          <w:rtl/>
        </w:rPr>
        <w:t xml:space="preserve"> (</w:t>
      </w:r>
      <w:hyperlink r:id="rId4" w:history="1">
        <w:r w:rsidRPr="001E69EC">
          <w:rPr>
            <w:rStyle w:val="Hyperlink"/>
          </w:rPr>
          <w:t>CCPR/C/</w:t>
        </w:r>
        <w:r w:rsidRPr="00737919">
          <w:rPr>
            <w:rStyle w:val="Hyperlink"/>
          </w:rPr>
          <w:t>53</w:t>
        </w:r>
        <w:r w:rsidRPr="001E69EC">
          <w:rPr>
            <w:rStyle w:val="Hyperlink"/>
          </w:rPr>
          <w:t>/D/</w:t>
        </w:r>
        <w:r w:rsidRPr="00737919">
          <w:rPr>
            <w:rStyle w:val="Hyperlink"/>
          </w:rPr>
          <w:t>541</w:t>
        </w:r>
        <w:r w:rsidRPr="001E69EC">
          <w:rPr>
            <w:rStyle w:val="Hyperlink"/>
          </w:rPr>
          <w:t>/</w:t>
        </w:r>
        <w:r w:rsidRPr="00737919">
          <w:rPr>
            <w:rStyle w:val="Hyperlink"/>
          </w:rPr>
          <w:t>1993</w:t>
        </w:r>
      </w:hyperlink>
      <w:r w:rsidRPr="001E69EC">
        <w:rPr>
          <w:rFonts w:eastAsiaTheme="minorEastAsia"/>
          <w:rtl/>
        </w:rPr>
        <w:t xml:space="preserve">)، الفقرة </w:t>
      </w:r>
      <w:r w:rsidRPr="00737919">
        <w:rPr>
          <w:rFonts w:eastAsiaTheme="minorEastAsia"/>
          <w:rtl/>
        </w:rPr>
        <w:t>6</w:t>
      </w:r>
      <w:r w:rsidRPr="001E69EC">
        <w:rPr>
          <w:rFonts w:eastAsiaTheme="minorEastAsia"/>
          <w:rtl/>
        </w:rPr>
        <w:t>-</w:t>
      </w:r>
      <w:r w:rsidRPr="00737919">
        <w:rPr>
          <w:rFonts w:eastAsiaTheme="minorEastAsia"/>
          <w:rtl/>
        </w:rPr>
        <w:t>2</w:t>
      </w:r>
      <w:r w:rsidRPr="001E69EC">
        <w:rPr>
          <w:rFonts w:eastAsiaTheme="minorEastAsia"/>
          <w:rtl/>
        </w:rPr>
        <w:t xml:space="preserve">؛ وقضية </w:t>
      </w:r>
      <w:proofErr w:type="spellStart"/>
      <w:r w:rsidRPr="00737919">
        <w:rPr>
          <w:rFonts w:eastAsiaTheme="minorEastAsia"/>
          <w:i/>
          <w:iCs/>
          <w:rtl/>
        </w:rPr>
        <w:t>آرنتس</w:t>
      </w:r>
      <w:proofErr w:type="spellEnd"/>
      <w:r w:rsidRPr="00737919">
        <w:rPr>
          <w:rFonts w:eastAsiaTheme="minorEastAsia"/>
          <w:i/>
          <w:iCs/>
          <w:rtl/>
        </w:rPr>
        <w:t xml:space="preserve"> وآخرون ضد ألمانيا</w:t>
      </w:r>
      <w:r w:rsidRPr="001E69EC">
        <w:rPr>
          <w:rFonts w:eastAsiaTheme="minorEastAsia"/>
          <w:rtl/>
        </w:rPr>
        <w:t xml:space="preserve">، </w:t>
      </w:r>
      <w:r w:rsidRPr="002F07E9">
        <w:rPr>
          <w:rFonts w:eastAsiaTheme="minorEastAsia"/>
          <w:spacing w:val="-4"/>
          <w:rtl/>
        </w:rPr>
        <w:t>(</w:t>
      </w:r>
      <w:hyperlink r:id="rId5" w:history="1">
        <w:r w:rsidRPr="002F07E9">
          <w:rPr>
            <w:rStyle w:val="Hyperlink"/>
            <w:spacing w:val="-4"/>
          </w:rPr>
          <w:t>CCPR/C/</w:t>
        </w:r>
        <w:r w:rsidRPr="00737919">
          <w:rPr>
            <w:rStyle w:val="Hyperlink"/>
            <w:spacing w:val="-4"/>
          </w:rPr>
          <w:t>80</w:t>
        </w:r>
        <w:r w:rsidRPr="002F07E9">
          <w:rPr>
            <w:rStyle w:val="Hyperlink"/>
            <w:spacing w:val="-4"/>
          </w:rPr>
          <w:t>/D/</w:t>
        </w:r>
        <w:r w:rsidRPr="00737919">
          <w:rPr>
            <w:rStyle w:val="Hyperlink"/>
            <w:spacing w:val="-4"/>
          </w:rPr>
          <w:t>1138</w:t>
        </w:r>
        <w:r w:rsidRPr="002F07E9">
          <w:rPr>
            <w:rStyle w:val="Hyperlink"/>
            <w:spacing w:val="-4"/>
          </w:rPr>
          <w:t>/</w:t>
        </w:r>
        <w:r w:rsidRPr="00737919">
          <w:rPr>
            <w:rStyle w:val="Hyperlink"/>
            <w:spacing w:val="-4"/>
          </w:rPr>
          <w:t>2002</w:t>
        </w:r>
      </w:hyperlink>
      <w:r w:rsidRPr="002F07E9">
        <w:rPr>
          <w:rFonts w:eastAsiaTheme="minorEastAsia"/>
          <w:spacing w:val="-4"/>
          <w:rtl/>
        </w:rPr>
        <w:t xml:space="preserve">)، الفقرة </w:t>
      </w:r>
      <w:r w:rsidRPr="00737919">
        <w:rPr>
          <w:rFonts w:eastAsiaTheme="minorEastAsia"/>
          <w:spacing w:val="-4"/>
          <w:rtl/>
        </w:rPr>
        <w:t>8</w:t>
      </w:r>
      <w:r w:rsidRPr="002F07E9">
        <w:rPr>
          <w:rFonts w:eastAsiaTheme="minorEastAsia"/>
          <w:spacing w:val="-4"/>
          <w:rtl/>
        </w:rPr>
        <w:t>-</w:t>
      </w:r>
      <w:r w:rsidRPr="00737919">
        <w:rPr>
          <w:rFonts w:eastAsiaTheme="minorEastAsia"/>
          <w:spacing w:val="-4"/>
          <w:rtl/>
        </w:rPr>
        <w:t>6</w:t>
      </w:r>
      <w:r w:rsidRPr="002F07E9">
        <w:rPr>
          <w:rFonts w:eastAsiaTheme="minorEastAsia"/>
          <w:spacing w:val="-4"/>
          <w:rtl/>
        </w:rPr>
        <w:t xml:space="preserve">؛ وقضية </w:t>
      </w:r>
      <w:proofErr w:type="spellStart"/>
      <w:r w:rsidRPr="00737919">
        <w:rPr>
          <w:rFonts w:eastAsiaTheme="minorEastAsia"/>
          <w:i/>
          <w:iCs/>
          <w:spacing w:val="-4"/>
          <w:rtl/>
        </w:rPr>
        <w:t>أروتيونيان</w:t>
      </w:r>
      <w:proofErr w:type="spellEnd"/>
      <w:r w:rsidRPr="00737919">
        <w:rPr>
          <w:rFonts w:eastAsiaTheme="minorEastAsia"/>
          <w:i/>
          <w:iCs/>
          <w:spacing w:val="-4"/>
          <w:rtl/>
        </w:rPr>
        <w:t xml:space="preserve"> ضد أوزبكستان </w:t>
      </w:r>
      <w:r w:rsidRPr="002F07E9">
        <w:rPr>
          <w:rFonts w:eastAsiaTheme="minorEastAsia"/>
          <w:spacing w:val="-4"/>
          <w:rtl/>
        </w:rPr>
        <w:t>(</w:t>
      </w:r>
      <w:hyperlink r:id="rId6" w:history="1">
        <w:r w:rsidRPr="002F07E9">
          <w:rPr>
            <w:rStyle w:val="Hyperlink"/>
            <w:spacing w:val="-4"/>
          </w:rPr>
          <w:t>CCPR/C/</w:t>
        </w:r>
        <w:r w:rsidRPr="00737919">
          <w:rPr>
            <w:rStyle w:val="Hyperlink"/>
            <w:spacing w:val="-4"/>
          </w:rPr>
          <w:t>80</w:t>
        </w:r>
        <w:r w:rsidRPr="002F07E9">
          <w:rPr>
            <w:rStyle w:val="Hyperlink"/>
            <w:spacing w:val="-4"/>
          </w:rPr>
          <w:t>/D/</w:t>
        </w:r>
        <w:r w:rsidRPr="00737919">
          <w:rPr>
            <w:rStyle w:val="Hyperlink"/>
            <w:spacing w:val="-4"/>
          </w:rPr>
          <w:t>917</w:t>
        </w:r>
        <w:r w:rsidRPr="002F07E9">
          <w:rPr>
            <w:rStyle w:val="Hyperlink"/>
            <w:spacing w:val="-4"/>
          </w:rPr>
          <w:t>/</w:t>
        </w:r>
        <w:r w:rsidRPr="00737919">
          <w:rPr>
            <w:rStyle w:val="Hyperlink"/>
            <w:spacing w:val="-4"/>
          </w:rPr>
          <w:t>2000</w:t>
        </w:r>
      </w:hyperlink>
      <w:r w:rsidRPr="002F07E9">
        <w:rPr>
          <w:rFonts w:eastAsiaTheme="minorEastAsia"/>
          <w:spacing w:val="-4"/>
          <w:rtl/>
        </w:rPr>
        <w:t xml:space="preserve">)، الفقرة </w:t>
      </w:r>
      <w:r w:rsidRPr="00737919">
        <w:rPr>
          <w:rFonts w:eastAsiaTheme="minorEastAsia"/>
          <w:spacing w:val="-4"/>
          <w:rtl/>
        </w:rPr>
        <w:t>5</w:t>
      </w:r>
      <w:r w:rsidRPr="002F07E9">
        <w:rPr>
          <w:rFonts w:eastAsiaTheme="minorEastAsia"/>
          <w:spacing w:val="-4"/>
          <w:rtl/>
        </w:rPr>
        <w:t>-</w:t>
      </w:r>
      <w:r w:rsidRPr="00737919">
        <w:rPr>
          <w:rFonts w:eastAsiaTheme="minorEastAsia"/>
          <w:spacing w:val="-4"/>
          <w:rtl/>
        </w:rPr>
        <w:t>7</w:t>
      </w:r>
      <w:r w:rsidRPr="002F07E9">
        <w:rPr>
          <w:rFonts w:eastAsiaTheme="minorEastAsia"/>
          <w:spacing w:val="-4"/>
          <w:rtl/>
        </w:rPr>
        <w:t>؛</w:t>
      </w:r>
      <w:r w:rsidRPr="001E69EC">
        <w:rPr>
          <w:rFonts w:eastAsiaTheme="minorEastAsia"/>
          <w:rtl/>
        </w:rPr>
        <w:t xml:space="preserve"> وقضية </w:t>
      </w:r>
      <w:r w:rsidRPr="00737919">
        <w:rPr>
          <w:rFonts w:eastAsiaTheme="minorEastAsia"/>
          <w:i/>
          <w:iCs/>
          <w:rtl/>
        </w:rPr>
        <w:t xml:space="preserve">فيرنانديز </w:t>
      </w:r>
      <w:proofErr w:type="spellStart"/>
      <w:r w:rsidRPr="00737919">
        <w:rPr>
          <w:rFonts w:eastAsiaTheme="minorEastAsia"/>
          <w:i/>
          <w:iCs/>
          <w:rtl/>
        </w:rPr>
        <w:t>مورسيا</w:t>
      </w:r>
      <w:proofErr w:type="spellEnd"/>
      <w:r w:rsidRPr="00737919">
        <w:rPr>
          <w:rFonts w:eastAsiaTheme="minorEastAsia"/>
          <w:i/>
          <w:iCs/>
          <w:rtl/>
        </w:rPr>
        <w:t xml:space="preserve"> ضد إسبانيا</w:t>
      </w:r>
      <w:r w:rsidRPr="001E69EC">
        <w:rPr>
          <w:rFonts w:eastAsiaTheme="minorEastAsia"/>
          <w:rtl/>
        </w:rPr>
        <w:t>(</w:t>
      </w:r>
      <w:hyperlink r:id="rId7" w:history="1">
        <w:r w:rsidRPr="001E69EC">
          <w:rPr>
            <w:rStyle w:val="Hyperlink"/>
          </w:rPr>
          <w:t>CCPR/C/</w:t>
        </w:r>
        <w:r w:rsidRPr="00737919">
          <w:rPr>
            <w:rStyle w:val="Hyperlink"/>
          </w:rPr>
          <w:t>92</w:t>
        </w:r>
        <w:r w:rsidRPr="001E69EC">
          <w:rPr>
            <w:rStyle w:val="Hyperlink"/>
          </w:rPr>
          <w:t>/D/</w:t>
        </w:r>
        <w:r w:rsidRPr="00737919">
          <w:rPr>
            <w:rStyle w:val="Hyperlink"/>
          </w:rPr>
          <w:t>1528</w:t>
        </w:r>
        <w:r w:rsidRPr="001E69EC">
          <w:rPr>
            <w:rStyle w:val="Hyperlink"/>
          </w:rPr>
          <w:t>/</w:t>
        </w:r>
        <w:r w:rsidRPr="00737919">
          <w:rPr>
            <w:rStyle w:val="Hyperlink"/>
          </w:rPr>
          <w:t>2006</w:t>
        </w:r>
      </w:hyperlink>
      <w:r w:rsidRPr="001E69EC">
        <w:rPr>
          <w:rFonts w:eastAsiaTheme="minorEastAsia"/>
          <w:rtl/>
        </w:rPr>
        <w:t xml:space="preserve">)، الفقرة </w:t>
      </w:r>
      <w:r w:rsidRPr="00737919">
        <w:rPr>
          <w:rFonts w:eastAsiaTheme="minorEastAsia"/>
          <w:rtl/>
        </w:rPr>
        <w:t>4</w:t>
      </w:r>
      <w:r w:rsidRPr="001E69EC">
        <w:rPr>
          <w:rFonts w:eastAsiaTheme="minorEastAsia"/>
          <w:rtl/>
        </w:rPr>
        <w:t>-</w:t>
      </w:r>
      <w:r w:rsidRPr="00737919">
        <w:rPr>
          <w:rFonts w:eastAsiaTheme="minorEastAsia"/>
          <w:rtl/>
        </w:rPr>
        <w:t>3</w:t>
      </w:r>
      <w:r w:rsidRPr="001E69EC">
        <w:rPr>
          <w:rFonts w:eastAsiaTheme="minorEastAsia"/>
          <w:rtl/>
        </w:rPr>
        <w:t xml:space="preserve">. </w:t>
      </w:r>
    </w:p>
  </w:footnote>
  <w:footnote w:id="10">
    <w:p w14:paraId="409EC77D" w14:textId="77777777" w:rsidR="001E69EC" w:rsidRPr="001E69EC" w:rsidRDefault="001E69EC" w:rsidP="001E69EC">
      <w:pPr>
        <w:pStyle w:val="FootnoteText1"/>
        <w:textDirection w:val="tbRlV"/>
        <w:rPr>
          <w:rFonts w:eastAsiaTheme="minorEastAsia"/>
          <w:lang w:val="ar-SA" w:eastAsia="zh-TW" w:bidi="en-GB"/>
        </w:rPr>
      </w:pPr>
      <w:r w:rsidRPr="001E69EC">
        <w:rPr>
          <w:rFonts w:eastAsiaTheme="minorEastAsia"/>
          <w:rtl/>
        </w:rPr>
        <w:t>(</w:t>
      </w:r>
      <w:r w:rsidRPr="00737919">
        <w:rPr>
          <w:rStyle w:val="FootnoteReference"/>
          <w:rFonts w:eastAsiaTheme="minorEastAsia"/>
          <w:vertAlign w:val="baseline"/>
        </w:rPr>
        <w:footnoteRef/>
      </w:r>
      <w:r w:rsidRPr="001B491C">
        <w:rPr>
          <w:rStyle w:val="FootnoteReference"/>
          <w:rFonts w:eastAsiaTheme="minorEastAsia"/>
          <w:vertAlign w:val="baseline"/>
          <w:rtl/>
        </w:rPr>
        <w:t>)</w:t>
      </w:r>
      <w:r w:rsidRPr="001B491C">
        <w:rPr>
          <w:rStyle w:val="FootnoteReference"/>
          <w:rFonts w:eastAsiaTheme="minorEastAsia"/>
          <w:vertAlign w:val="baseline"/>
          <w:rtl/>
        </w:rPr>
        <w:tab/>
      </w:r>
      <w:r w:rsidRPr="001E69EC">
        <w:rPr>
          <w:rFonts w:eastAsiaTheme="minorEastAsia"/>
          <w:rtl/>
        </w:rPr>
        <w:t xml:space="preserve">التعليق العام رقم </w:t>
      </w:r>
      <w:r w:rsidRPr="00737919">
        <w:rPr>
          <w:rFonts w:eastAsiaTheme="minorEastAsia"/>
          <w:rtl/>
        </w:rPr>
        <w:t>18</w:t>
      </w:r>
      <w:r w:rsidRPr="001E69EC">
        <w:rPr>
          <w:rFonts w:eastAsiaTheme="minorEastAsia"/>
          <w:rtl/>
        </w:rPr>
        <w:t>(</w:t>
      </w:r>
      <w:r w:rsidRPr="00737919">
        <w:rPr>
          <w:rFonts w:eastAsiaTheme="minorEastAsia"/>
          <w:rtl/>
        </w:rPr>
        <w:t>1989</w:t>
      </w:r>
      <w:r w:rsidRPr="001E69EC">
        <w:rPr>
          <w:rFonts w:eastAsiaTheme="minorEastAsia"/>
          <w:rtl/>
        </w:rPr>
        <w:t xml:space="preserve">)، الفقرة </w:t>
      </w:r>
      <w:r w:rsidRPr="00737919">
        <w:rPr>
          <w:rFonts w:eastAsiaTheme="minorEastAsia"/>
          <w:rtl/>
        </w:rPr>
        <w:t>7</w:t>
      </w:r>
      <w:r w:rsidRPr="001E69EC">
        <w:rPr>
          <w:rFonts w:eastAsiaTheme="minorEastAsia"/>
          <w:rtl/>
        </w:rPr>
        <w:t xml:space="preserve">. </w:t>
      </w:r>
    </w:p>
  </w:footnote>
  <w:footnote w:id="11">
    <w:p w14:paraId="5C8E8E50" w14:textId="77777777" w:rsidR="001E69EC" w:rsidRPr="001E69EC" w:rsidRDefault="001E69EC" w:rsidP="001E69EC">
      <w:pPr>
        <w:pStyle w:val="FootnoteText1"/>
        <w:textDirection w:val="tbRlV"/>
        <w:rPr>
          <w:rFonts w:eastAsiaTheme="minorEastAsia"/>
          <w:lang w:val="ar-SA" w:eastAsia="zh-TW" w:bidi="en-GB"/>
        </w:rPr>
      </w:pPr>
      <w:r w:rsidRPr="001E69EC">
        <w:rPr>
          <w:rFonts w:eastAsiaTheme="minorEastAsia"/>
          <w:rtl/>
        </w:rPr>
        <w:t>(</w:t>
      </w:r>
      <w:r w:rsidRPr="00737919">
        <w:rPr>
          <w:rStyle w:val="FootnoteReference"/>
          <w:rFonts w:eastAsiaTheme="minorEastAsia"/>
          <w:vertAlign w:val="baseline"/>
        </w:rPr>
        <w:footnoteRef/>
      </w:r>
      <w:r w:rsidRPr="001B491C">
        <w:rPr>
          <w:rStyle w:val="FootnoteReference"/>
          <w:rFonts w:eastAsiaTheme="minorEastAsia"/>
          <w:vertAlign w:val="baseline"/>
          <w:rtl/>
        </w:rPr>
        <w:t>)</w:t>
      </w:r>
      <w:r w:rsidRPr="001B491C">
        <w:rPr>
          <w:rStyle w:val="FootnoteReference"/>
          <w:rFonts w:eastAsiaTheme="minorEastAsia"/>
          <w:vertAlign w:val="baseline"/>
          <w:rtl/>
        </w:rPr>
        <w:tab/>
      </w:r>
      <w:r w:rsidRPr="001E69EC">
        <w:rPr>
          <w:rFonts w:eastAsiaTheme="minorEastAsia"/>
          <w:rtl/>
        </w:rPr>
        <w:t xml:space="preserve">المرجع نفسه، الفقرة </w:t>
      </w:r>
      <w:r w:rsidRPr="00737919">
        <w:rPr>
          <w:rFonts w:eastAsiaTheme="minorEastAsia"/>
          <w:rtl/>
        </w:rPr>
        <w:t>12</w:t>
      </w:r>
      <w:r w:rsidRPr="001E69EC">
        <w:rPr>
          <w:rFonts w:eastAsiaTheme="minorEastAsia"/>
          <w:rtl/>
        </w:rPr>
        <w:t xml:space="preserve">. </w:t>
      </w:r>
    </w:p>
  </w:footnote>
  <w:footnote w:id="12">
    <w:p w14:paraId="5D100916" w14:textId="77777777" w:rsidR="001E69EC" w:rsidRPr="001E69EC" w:rsidRDefault="001E69EC" w:rsidP="001E69EC">
      <w:pPr>
        <w:pStyle w:val="FootnoteText1"/>
        <w:textDirection w:val="tbRlV"/>
        <w:rPr>
          <w:rFonts w:eastAsiaTheme="minorEastAsia"/>
          <w:lang w:val="ar-SA" w:eastAsia="zh-TW" w:bidi="en-GB"/>
        </w:rPr>
      </w:pPr>
      <w:r w:rsidRPr="001E69EC">
        <w:rPr>
          <w:rFonts w:eastAsiaTheme="minorEastAsia"/>
          <w:rtl/>
        </w:rPr>
        <w:t>(</w:t>
      </w:r>
      <w:r w:rsidRPr="00737919">
        <w:rPr>
          <w:rStyle w:val="FootnoteReference"/>
          <w:rFonts w:eastAsiaTheme="minorEastAsia"/>
          <w:vertAlign w:val="baseline"/>
        </w:rPr>
        <w:footnoteRef/>
      </w:r>
      <w:r w:rsidRPr="001B491C">
        <w:rPr>
          <w:rStyle w:val="FootnoteReference"/>
          <w:rFonts w:eastAsiaTheme="minorEastAsia"/>
          <w:vertAlign w:val="baseline"/>
          <w:rtl/>
        </w:rPr>
        <w:t>)</w:t>
      </w:r>
      <w:r w:rsidRPr="001B491C">
        <w:rPr>
          <w:rStyle w:val="FootnoteReference"/>
          <w:rFonts w:eastAsiaTheme="minorEastAsia"/>
          <w:vertAlign w:val="baseline"/>
          <w:rtl/>
        </w:rPr>
        <w:tab/>
      </w:r>
      <w:r w:rsidRPr="001E69EC">
        <w:rPr>
          <w:rFonts w:eastAsiaTheme="minorEastAsia"/>
          <w:rtl/>
        </w:rPr>
        <w:t>قضية</w:t>
      </w:r>
      <w:r w:rsidRPr="00737919">
        <w:rPr>
          <w:rFonts w:eastAsiaTheme="minorEastAsia"/>
          <w:i/>
          <w:iCs/>
          <w:rtl/>
        </w:rPr>
        <w:t xml:space="preserve"> </w:t>
      </w:r>
      <w:proofErr w:type="spellStart"/>
      <w:r w:rsidRPr="00737919">
        <w:rPr>
          <w:rFonts w:eastAsiaTheme="minorEastAsia"/>
          <w:i/>
          <w:iCs/>
          <w:rtl/>
        </w:rPr>
        <w:t>بروكس</w:t>
      </w:r>
      <w:proofErr w:type="spellEnd"/>
      <w:r w:rsidRPr="00737919">
        <w:rPr>
          <w:rFonts w:eastAsiaTheme="minorEastAsia"/>
          <w:i/>
          <w:iCs/>
          <w:rtl/>
        </w:rPr>
        <w:t xml:space="preserve"> ضد هولندا</w:t>
      </w:r>
      <w:r w:rsidRPr="001E69EC">
        <w:rPr>
          <w:rFonts w:eastAsiaTheme="minorEastAsia"/>
          <w:rtl/>
        </w:rPr>
        <w:t xml:space="preserve">، البلاغ رقم </w:t>
      </w:r>
      <w:r w:rsidRPr="00737919">
        <w:rPr>
          <w:rFonts w:eastAsiaTheme="minorEastAsia"/>
          <w:rtl/>
        </w:rPr>
        <w:t>172</w:t>
      </w:r>
      <w:r w:rsidRPr="001E69EC">
        <w:rPr>
          <w:rFonts w:eastAsiaTheme="minorEastAsia"/>
          <w:rtl/>
        </w:rPr>
        <w:t>/</w:t>
      </w:r>
      <w:r w:rsidRPr="00737919">
        <w:rPr>
          <w:rFonts w:eastAsiaTheme="minorEastAsia"/>
          <w:rtl/>
        </w:rPr>
        <w:t>1984</w:t>
      </w:r>
      <w:r w:rsidRPr="001E69EC">
        <w:rPr>
          <w:rFonts w:eastAsiaTheme="minorEastAsia"/>
          <w:rtl/>
        </w:rPr>
        <w:t xml:space="preserve">، الفقرة </w:t>
      </w:r>
      <w:r w:rsidRPr="00737919">
        <w:rPr>
          <w:rFonts w:eastAsiaTheme="minorEastAsia"/>
          <w:rtl/>
        </w:rPr>
        <w:t>12</w:t>
      </w:r>
      <w:r w:rsidRPr="001E69EC">
        <w:rPr>
          <w:rFonts w:eastAsiaTheme="minorEastAsia"/>
          <w:rtl/>
        </w:rPr>
        <w:t>-</w:t>
      </w:r>
      <w:r w:rsidRPr="00737919">
        <w:rPr>
          <w:rFonts w:eastAsiaTheme="minorEastAsia"/>
          <w:rtl/>
        </w:rPr>
        <w:t>4</w:t>
      </w:r>
      <w:r w:rsidRPr="001E69EC">
        <w:rPr>
          <w:rFonts w:eastAsiaTheme="minorEastAsia"/>
          <w:rtl/>
        </w:rPr>
        <w:t xml:space="preserve">؛ وقضية </w:t>
      </w:r>
      <w:r w:rsidRPr="00737919">
        <w:rPr>
          <w:rFonts w:eastAsiaTheme="minorEastAsia"/>
          <w:i/>
          <w:iCs/>
          <w:rtl/>
        </w:rPr>
        <w:t>ك. ضد الدانمرك</w:t>
      </w:r>
      <w:r w:rsidRPr="001E69EC">
        <w:rPr>
          <w:rFonts w:eastAsiaTheme="minorEastAsia"/>
          <w:rtl/>
        </w:rPr>
        <w:t xml:space="preserve">، الفقرة </w:t>
      </w:r>
      <w:r w:rsidRPr="00737919">
        <w:rPr>
          <w:rFonts w:eastAsiaTheme="minorEastAsia"/>
          <w:rtl/>
        </w:rPr>
        <w:t>7</w:t>
      </w:r>
      <w:r w:rsidRPr="001E69EC">
        <w:rPr>
          <w:rFonts w:eastAsiaTheme="minorEastAsia"/>
          <w:rtl/>
        </w:rPr>
        <w:t>-</w:t>
      </w:r>
      <w:r w:rsidRPr="00737919">
        <w:rPr>
          <w:rFonts w:eastAsiaTheme="minorEastAsia"/>
          <w:rtl/>
        </w:rPr>
        <w:t>2</w:t>
      </w:r>
      <w:r w:rsidRPr="001E69EC">
        <w:rPr>
          <w:rFonts w:eastAsiaTheme="minorEastAsia"/>
          <w:rtl/>
        </w:rPr>
        <w:t xml:space="preserve">. </w:t>
      </w:r>
    </w:p>
  </w:footnote>
  <w:footnote w:id="13">
    <w:p w14:paraId="0A358E8C" w14:textId="77777777" w:rsidR="001E69EC" w:rsidRPr="001E69EC" w:rsidRDefault="001E69EC" w:rsidP="001E69EC">
      <w:pPr>
        <w:pStyle w:val="FootnoteText1"/>
        <w:textDirection w:val="tbRlV"/>
        <w:rPr>
          <w:rFonts w:eastAsiaTheme="minorEastAsia"/>
          <w:lang w:val="ar-SA" w:eastAsia="zh-TW" w:bidi="en-GB"/>
        </w:rPr>
      </w:pPr>
      <w:r w:rsidRPr="001E69EC">
        <w:rPr>
          <w:rFonts w:eastAsiaTheme="minorEastAsia"/>
          <w:rtl/>
        </w:rPr>
        <w:t>(</w:t>
      </w:r>
      <w:r w:rsidRPr="00737919">
        <w:rPr>
          <w:rStyle w:val="FootnoteReference"/>
          <w:rFonts w:eastAsiaTheme="minorEastAsia"/>
          <w:vertAlign w:val="baseline"/>
        </w:rPr>
        <w:footnoteRef/>
      </w:r>
      <w:r w:rsidRPr="001B491C">
        <w:rPr>
          <w:rStyle w:val="FootnoteReference"/>
          <w:rFonts w:eastAsiaTheme="minorEastAsia"/>
          <w:vertAlign w:val="baseline"/>
          <w:rtl/>
        </w:rPr>
        <w:t>)</w:t>
      </w:r>
      <w:r w:rsidRPr="001B491C">
        <w:rPr>
          <w:rStyle w:val="FootnoteReference"/>
          <w:rFonts w:eastAsiaTheme="minorEastAsia"/>
          <w:vertAlign w:val="baseline"/>
          <w:rtl/>
        </w:rPr>
        <w:tab/>
      </w:r>
      <w:r w:rsidRPr="001E69EC">
        <w:rPr>
          <w:rFonts w:eastAsiaTheme="minorEastAsia"/>
          <w:rtl/>
        </w:rPr>
        <w:t xml:space="preserve">قضية </w:t>
      </w:r>
      <w:proofErr w:type="spellStart"/>
      <w:r w:rsidRPr="00737919">
        <w:rPr>
          <w:rFonts w:eastAsiaTheme="minorEastAsia"/>
          <w:i/>
          <w:iCs/>
          <w:rtl/>
        </w:rPr>
        <w:t>ألتهامر</w:t>
      </w:r>
      <w:proofErr w:type="spellEnd"/>
      <w:r w:rsidRPr="00737919">
        <w:rPr>
          <w:rFonts w:eastAsiaTheme="minorEastAsia"/>
          <w:i/>
          <w:iCs/>
          <w:rtl/>
        </w:rPr>
        <w:t xml:space="preserve"> وآخرون ضد النمسا</w:t>
      </w:r>
      <w:r w:rsidRPr="001E69EC">
        <w:rPr>
          <w:rFonts w:eastAsiaTheme="minorEastAsia"/>
          <w:rtl/>
        </w:rPr>
        <w:t xml:space="preserve"> (</w:t>
      </w:r>
      <w:hyperlink r:id="rId8" w:history="1">
        <w:r w:rsidRPr="001E69EC">
          <w:rPr>
            <w:rStyle w:val="Hyperlink"/>
          </w:rPr>
          <w:t>CCPR/C/</w:t>
        </w:r>
        <w:r w:rsidRPr="00737919">
          <w:rPr>
            <w:rStyle w:val="Hyperlink"/>
          </w:rPr>
          <w:t>78</w:t>
        </w:r>
        <w:r w:rsidRPr="001E69EC">
          <w:rPr>
            <w:rStyle w:val="Hyperlink"/>
          </w:rPr>
          <w:t>/D/</w:t>
        </w:r>
        <w:r w:rsidRPr="00737919">
          <w:rPr>
            <w:rStyle w:val="Hyperlink"/>
          </w:rPr>
          <w:t>998</w:t>
        </w:r>
        <w:r w:rsidRPr="001E69EC">
          <w:rPr>
            <w:rStyle w:val="Hyperlink"/>
          </w:rPr>
          <w:t>/</w:t>
        </w:r>
        <w:r w:rsidRPr="00737919">
          <w:rPr>
            <w:rStyle w:val="Hyperlink"/>
          </w:rPr>
          <w:t>2001</w:t>
        </w:r>
      </w:hyperlink>
      <w:r w:rsidRPr="001E69EC">
        <w:rPr>
          <w:rFonts w:eastAsiaTheme="minorEastAsia"/>
          <w:rtl/>
        </w:rPr>
        <w:t xml:space="preserve">)، الفقرة </w:t>
      </w:r>
      <w:r w:rsidRPr="00737919">
        <w:rPr>
          <w:rFonts w:eastAsiaTheme="minorEastAsia"/>
          <w:rtl/>
        </w:rPr>
        <w:t>10</w:t>
      </w:r>
      <w:r w:rsidRPr="001E69EC">
        <w:rPr>
          <w:rFonts w:eastAsiaTheme="minorEastAsia"/>
          <w:rtl/>
        </w:rPr>
        <w:t>-</w:t>
      </w:r>
      <w:r w:rsidRPr="00737919">
        <w:rPr>
          <w:rFonts w:eastAsiaTheme="minorEastAsia"/>
          <w:rtl/>
        </w:rPr>
        <w:t>2</w:t>
      </w:r>
      <w:r w:rsidRPr="001E69EC">
        <w:rPr>
          <w:rFonts w:eastAsiaTheme="minorEastAsia"/>
          <w:rtl/>
        </w:rPr>
        <w:t xml:space="preserve">. </w:t>
      </w:r>
    </w:p>
  </w:footnote>
  <w:footnote w:id="14">
    <w:p w14:paraId="35C208AF" w14:textId="5EF4FE1F" w:rsidR="001E69EC" w:rsidRPr="002C48CA" w:rsidRDefault="001E69EC" w:rsidP="001E69EC">
      <w:pPr>
        <w:pStyle w:val="FootnoteText1"/>
        <w:textDirection w:val="tbRlV"/>
        <w:rPr>
          <w:rFonts w:eastAsiaTheme="minorEastAsia"/>
          <w:rtl/>
          <w:lang w:eastAsia="zh-TW"/>
        </w:rPr>
      </w:pPr>
      <w:r w:rsidRPr="001E69EC">
        <w:rPr>
          <w:rFonts w:eastAsiaTheme="minorEastAsia"/>
          <w:rtl/>
        </w:rPr>
        <w:t>(</w:t>
      </w:r>
      <w:r w:rsidRPr="00737919">
        <w:rPr>
          <w:rStyle w:val="FootnoteReference"/>
          <w:rFonts w:eastAsiaTheme="minorEastAsia"/>
          <w:vertAlign w:val="baseline"/>
        </w:rPr>
        <w:footnoteRef/>
      </w:r>
      <w:r w:rsidRPr="001B491C">
        <w:rPr>
          <w:rStyle w:val="FootnoteReference"/>
          <w:rFonts w:eastAsiaTheme="minorEastAsia"/>
          <w:vertAlign w:val="baseline"/>
          <w:rtl/>
        </w:rPr>
        <w:t>)</w:t>
      </w:r>
      <w:r w:rsidRPr="001B491C">
        <w:rPr>
          <w:rStyle w:val="FootnoteReference"/>
          <w:rFonts w:eastAsiaTheme="minorEastAsia"/>
          <w:vertAlign w:val="baseline"/>
          <w:rtl/>
        </w:rPr>
        <w:tab/>
      </w:r>
      <w:r w:rsidRPr="001E69EC">
        <w:rPr>
          <w:rFonts w:eastAsiaTheme="minorEastAsia"/>
          <w:rtl/>
        </w:rPr>
        <w:t xml:space="preserve">قضية </w:t>
      </w:r>
      <w:proofErr w:type="spellStart"/>
      <w:r w:rsidRPr="00737919">
        <w:rPr>
          <w:rFonts w:eastAsiaTheme="minorEastAsia"/>
          <w:i/>
          <w:iCs/>
          <w:rtl/>
        </w:rPr>
        <w:t>أونيل</w:t>
      </w:r>
      <w:proofErr w:type="spellEnd"/>
      <w:r w:rsidRPr="00737919">
        <w:rPr>
          <w:rFonts w:eastAsiaTheme="minorEastAsia"/>
          <w:i/>
          <w:iCs/>
          <w:rtl/>
        </w:rPr>
        <w:t xml:space="preserve"> وكوين ضد أيرلندا</w:t>
      </w:r>
      <w:r w:rsidRPr="001E69EC">
        <w:rPr>
          <w:rFonts w:eastAsiaTheme="minorEastAsia"/>
          <w:rtl/>
        </w:rPr>
        <w:t xml:space="preserve"> (</w:t>
      </w:r>
      <w:hyperlink r:id="rId9" w:history="1">
        <w:r w:rsidRPr="001E69EC">
          <w:rPr>
            <w:rStyle w:val="Hyperlink"/>
          </w:rPr>
          <w:t>CCPR/C/</w:t>
        </w:r>
        <w:r w:rsidRPr="00737919">
          <w:rPr>
            <w:rStyle w:val="Hyperlink"/>
          </w:rPr>
          <w:t>87</w:t>
        </w:r>
        <w:r w:rsidRPr="001E69EC">
          <w:rPr>
            <w:rStyle w:val="Hyperlink"/>
          </w:rPr>
          <w:t>/D/</w:t>
        </w:r>
        <w:r w:rsidRPr="00737919">
          <w:rPr>
            <w:rStyle w:val="Hyperlink"/>
          </w:rPr>
          <w:t>1314</w:t>
        </w:r>
        <w:r w:rsidRPr="001E69EC">
          <w:rPr>
            <w:rStyle w:val="Hyperlink"/>
          </w:rPr>
          <w:t>/</w:t>
        </w:r>
        <w:r w:rsidRPr="00737919">
          <w:rPr>
            <w:rStyle w:val="Hyperlink"/>
          </w:rPr>
          <w:t>2004</w:t>
        </w:r>
      </w:hyperlink>
      <w:r w:rsidRPr="001E69EC">
        <w:rPr>
          <w:rFonts w:eastAsiaTheme="minorEastAsia"/>
          <w:rtl/>
        </w:rPr>
        <w:t xml:space="preserve">)، الفقرة </w:t>
      </w:r>
      <w:r w:rsidRPr="00737919">
        <w:rPr>
          <w:rFonts w:eastAsiaTheme="minorEastAsia"/>
          <w:rtl/>
        </w:rPr>
        <w:t>8</w:t>
      </w:r>
      <w:r w:rsidRPr="001E69EC">
        <w:rPr>
          <w:rFonts w:eastAsiaTheme="minorEastAsia"/>
          <w:rtl/>
        </w:rPr>
        <w:t>-</w:t>
      </w:r>
      <w:r w:rsidRPr="00737919">
        <w:rPr>
          <w:rFonts w:eastAsiaTheme="minorEastAsia"/>
          <w:rtl/>
        </w:rPr>
        <w:t>3</w:t>
      </w:r>
      <w:r w:rsidRPr="001E69EC">
        <w:rPr>
          <w:rFonts w:eastAsiaTheme="minorEastAsia"/>
          <w:rtl/>
        </w:rPr>
        <w:t xml:space="preserve">؛ وقضية </w:t>
      </w:r>
      <w:proofErr w:type="spellStart"/>
      <w:r w:rsidRPr="00737919">
        <w:rPr>
          <w:rFonts w:eastAsiaTheme="minorEastAsia"/>
          <w:i/>
          <w:iCs/>
          <w:rtl/>
        </w:rPr>
        <w:t>ياكر</w:t>
      </w:r>
      <w:proofErr w:type="spellEnd"/>
      <w:r w:rsidRPr="00737919">
        <w:rPr>
          <w:rFonts w:eastAsiaTheme="minorEastAsia"/>
          <w:i/>
          <w:iCs/>
          <w:rtl/>
        </w:rPr>
        <w:t xml:space="preserve"> ضد فرنسا</w:t>
      </w:r>
      <w:r w:rsidRPr="001E69EC">
        <w:rPr>
          <w:rFonts w:eastAsiaTheme="minorEastAsia"/>
          <w:rtl/>
        </w:rPr>
        <w:t xml:space="preserve"> </w:t>
      </w:r>
      <w:r w:rsidRPr="002F07E9">
        <w:rPr>
          <w:rFonts w:eastAsiaTheme="minorEastAsia"/>
          <w:spacing w:val="-4"/>
          <w:rtl/>
        </w:rPr>
        <w:t>(</w:t>
      </w:r>
      <w:hyperlink r:id="rId10" w:history="1">
        <w:r w:rsidRPr="002F07E9">
          <w:rPr>
            <w:rStyle w:val="Hyperlink"/>
            <w:spacing w:val="-4"/>
          </w:rPr>
          <w:t>CCPR/C/</w:t>
        </w:r>
        <w:r w:rsidRPr="00737919">
          <w:rPr>
            <w:rStyle w:val="Hyperlink"/>
            <w:spacing w:val="-4"/>
          </w:rPr>
          <w:t>123</w:t>
        </w:r>
        <w:r w:rsidRPr="002F07E9">
          <w:rPr>
            <w:rStyle w:val="Hyperlink"/>
            <w:spacing w:val="-4"/>
          </w:rPr>
          <w:t>/D/</w:t>
        </w:r>
        <w:r w:rsidRPr="00737919">
          <w:rPr>
            <w:rStyle w:val="Hyperlink"/>
            <w:spacing w:val="-4"/>
          </w:rPr>
          <w:t>2747</w:t>
        </w:r>
        <w:r w:rsidRPr="002F07E9">
          <w:rPr>
            <w:rStyle w:val="Hyperlink"/>
            <w:spacing w:val="-4"/>
          </w:rPr>
          <w:t>/</w:t>
        </w:r>
        <w:r w:rsidRPr="00737919">
          <w:rPr>
            <w:rStyle w:val="Hyperlink"/>
            <w:spacing w:val="-4"/>
          </w:rPr>
          <w:t>2016</w:t>
        </w:r>
      </w:hyperlink>
      <w:r w:rsidRPr="002F07E9">
        <w:rPr>
          <w:rFonts w:eastAsiaTheme="minorEastAsia"/>
          <w:spacing w:val="-4"/>
          <w:rtl/>
        </w:rPr>
        <w:t xml:space="preserve">)، الفقرة </w:t>
      </w:r>
      <w:r w:rsidRPr="00737919">
        <w:rPr>
          <w:rFonts w:eastAsiaTheme="minorEastAsia"/>
          <w:spacing w:val="-4"/>
          <w:rtl/>
        </w:rPr>
        <w:t>8</w:t>
      </w:r>
      <w:r w:rsidRPr="002F07E9">
        <w:rPr>
          <w:rFonts w:eastAsiaTheme="minorEastAsia"/>
          <w:spacing w:val="-4"/>
          <w:rtl/>
        </w:rPr>
        <w:t>-</w:t>
      </w:r>
      <w:r w:rsidRPr="00737919">
        <w:rPr>
          <w:rFonts w:eastAsiaTheme="minorEastAsia"/>
          <w:spacing w:val="-4"/>
          <w:rtl/>
        </w:rPr>
        <w:t>14</w:t>
      </w:r>
      <w:r w:rsidRPr="002F07E9">
        <w:rPr>
          <w:rFonts w:eastAsiaTheme="minorEastAsia"/>
          <w:spacing w:val="-4"/>
          <w:rtl/>
        </w:rPr>
        <w:t xml:space="preserve">؛ وقضية </w:t>
      </w:r>
      <w:proofErr w:type="spellStart"/>
      <w:r w:rsidRPr="00737919">
        <w:rPr>
          <w:rFonts w:eastAsiaTheme="minorEastAsia"/>
          <w:i/>
          <w:iCs/>
          <w:spacing w:val="-4"/>
          <w:rtl/>
        </w:rPr>
        <w:t>حباج</w:t>
      </w:r>
      <w:proofErr w:type="spellEnd"/>
      <w:r w:rsidRPr="00737919">
        <w:rPr>
          <w:rFonts w:eastAsiaTheme="minorEastAsia"/>
          <w:i/>
          <w:iCs/>
          <w:spacing w:val="-4"/>
          <w:rtl/>
        </w:rPr>
        <w:t xml:space="preserve"> ضد فرنسا</w:t>
      </w:r>
      <w:r w:rsidRPr="002F07E9">
        <w:rPr>
          <w:rFonts w:eastAsiaTheme="minorEastAsia"/>
          <w:spacing w:val="-4"/>
          <w:rtl/>
        </w:rPr>
        <w:t xml:space="preserve"> (</w:t>
      </w:r>
      <w:hyperlink r:id="rId11" w:history="1">
        <w:r w:rsidRPr="002F07E9">
          <w:rPr>
            <w:rStyle w:val="Hyperlink"/>
            <w:spacing w:val="-4"/>
          </w:rPr>
          <w:t>CCPR/C/</w:t>
        </w:r>
        <w:r w:rsidRPr="00737919">
          <w:rPr>
            <w:rStyle w:val="Hyperlink"/>
            <w:spacing w:val="-4"/>
          </w:rPr>
          <w:t>123</w:t>
        </w:r>
        <w:r w:rsidRPr="002F07E9">
          <w:rPr>
            <w:rStyle w:val="Hyperlink"/>
            <w:spacing w:val="-4"/>
          </w:rPr>
          <w:t>/D/</w:t>
        </w:r>
        <w:r w:rsidRPr="00737919">
          <w:rPr>
            <w:rStyle w:val="Hyperlink"/>
            <w:spacing w:val="-4"/>
          </w:rPr>
          <w:t>2807</w:t>
        </w:r>
        <w:r w:rsidRPr="002F07E9">
          <w:rPr>
            <w:rStyle w:val="Hyperlink"/>
            <w:spacing w:val="-4"/>
          </w:rPr>
          <w:t>/</w:t>
        </w:r>
        <w:r w:rsidRPr="00737919">
          <w:rPr>
            <w:rStyle w:val="Hyperlink"/>
            <w:spacing w:val="-4"/>
          </w:rPr>
          <w:t>2016</w:t>
        </w:r>
      </w:hyperlink>
      <w:r w:rsidRPr="002F07E9">
        <w:rPr>
          <w:rFonts w:eastAsiaTheme="minorEastAsia"/>
          <w:spacing w:val="-4"/>
          <w:rtl/>
        </w:rPr>
        <w:t xml:space="preserve">)، الفقرة </w:t>
      </w:r>
      <w:r w:rsidRPr="00737919">
        <w:rPr>
          <w:rFonts w:eastAsiaTheme="minorEastAsia"/>
          <w:spacing w:val="-4"/>
          <w:rtl/>
        </w:rPr>
        <w:t>7</w:t>
      </w:r>
      <w:r w:rsidRPr="002F07E9">
        <w:rPr>
          <w:rFonts w:eastAsiaTheme="minorEastAsia"/>
          <w:spacing w:val="-4"/>
          <w:rtl/>
        </w:rPr>
        <w:t>-</w:t>
      </w:r>
      <w:r w:rsidRPr="00737919">
        <w:rPr>
          <w:rFonts w:eastAsiaTheme="minorEastAsia"/>
          <w:spacing w:val="-4"/>
          <w:rtl/>
        </w:rPr>
        <w:t>14</w:t>
      </w:r>
      <w:r w:rsidRPr="002F07E9">
        <w:rPr>
          <w:rFonts w:eastAsiaTheme="minorEastAsia"/>
          <w:spacing w:val="-4"/>
          <w:rtl/>
        </w:rPr>
        <w:t>؛ وقضية</w:t>
      </w:r>
      <w:r w:rsidRPr="001E69EC">
        <w:rPr>
          <w:rFonts w:eastAsiaTheme="minorEastAsia"/>
          <w:rtl/>
        </w:rPr>
        <w:t xml:space="preserve"> </w:t>
      </w:r>
      <w:proofErr w:type="spellStart"/>
      <w:r w:rsidRPr="00737919">
        <w:rPr>
          <w:rFonts w:eastAsiaTheme="minorEastAsia"/>
          <w:i/>
          <w:iCs/>
          <w:rtl/>
        </w:rPr>
        <w:t>جينيرو</w:t>
      </w:r>
      <w:proofErr w:type="spellEnd"/>
      <w:r w:rsidRPr="00737919">
        <w:rPr>
          <w:rFonts w:eastAsiaTheme="minorEastAsia"/>
          <w:i/>
          <w:iCs/>
          <w:rtl/>
        </w:rPr>
        <w:t xml:space="preserve"> ضد إيطاليا </w:t>
      </w:r>
      <w:r w:rsidRPr="001E69EC">
        <w:rPr>
          <w:rFonts w:eastAsiaTheme="minorEastAsia"/>
          <w:rtl/>
        </w:rPr>
        <w:t>(</w:t>
      </w:r>
      <w:hyperlink r:id="rId12" w:history="1">
        <w:r w:rsidRPr="001E69EC">
          <w:rPr>
            <w:rStyle w:val="Hyperlink"/>
          </w:rPr>
          <w:t>CCPR/C/</w:t>
        </w:r>
        <w:r w:rsidRPr="00737919">
          <w:rPr>
            <w:rStyle w:val="Hyperlink"/>
          </w:rPr>
          <w:t>128</w:t>
        </w:r>
        <w:r w:rsidRPr="001E69EC">
          <w:rPr>
            <w:rStyle w:val="Hyperlink"/>
          </w:rPr>
          <w:t>/D/</w:t>
        </w:r>
        <w:r w:rsidRPr="00737919">
          <w:rPr>
            <w:rStyle w:val="Hyperlink"/>
          </w:rPr>
          <w:t>2979</w:t>
        </w:r>
        <w:r w:rsidRPr="001E69EC">
          <w:rPr>
            <w:rStyle w:val="Hyperlink"/>
          </w:rPr>
          <w:t>/</w:t>
        </w:r>
        <w:r w:rsidRPr="00737919">
          <w:rPr>
            <w:rStyle w:val="Hyperlink"/>
          </w:rPr>
          <w:t>2017</w:t>
        </w:r>
      </w:hyperlink>
      <w:r w:rsidRPr="001E69EC">
        <w:rPr>
          <w:rFonts w:eastAsiaTheme="minorEastAsia"/>
          <w:rtl/>
        </w:rPr>
        <w:t xml:space="preserve">)، الفقرة </w:t>
      </w:r>
      <w:r w:rsidRPr="00737919">
        <w:rPr>
          <w:rFonts w:eastAsiaTheme="minorEastAsia"/>
          <w:rtl/>
        </w:rPr>
        <w:t>7</w:t>
      </w:r>
      <w:r w:rsidRPr="001E69EC">
        <w:rPr>
          <w:rFonts w:eastAsiaTheme="minorEastAsia"/>
          <w:rtl/>
        </w:rPr>
        <w:t>-</w:t>
      </w:r>
      <w:r w:rsidRPr="00737919">
        <w:rPr>
          <w:rFonts w:eastAsiaTheme="minorEastAsia"/>
          <w:rtl/>
        </w:rPr>
        <w:t>3</w:t>
      </w:r>
      <w:r w:rsidRPr="001E69EC">
        <w:rPr>
          <w:rFonts w:eastAsiaTheme="minorEastAsia"/>
          <w:rtl/>
        </w:rPr>
        <w:t xml:space="preserve">. </w:t>
      </w:r>
    </w:p>
  </w:footnote>
  <w:footnote w:id="15">
    <w:p w14:paraId="7233FD10" w14:textId="77777777" w:rsidR="001E69EC" w:rsidRPr="001E69EC" w:rsidRDefault="001E69EC" w:rsidP="001E69EC">
      <w:pPr>
        <w:pStyle w:val="FootnoteText1"/>
        <w:textDirection w:val="tbRlV"/>
        <w:rPr>
          <w:rFonts w:eastAsiaTheme="minorEastAsia"/>
          <w:color w:val="333333"/>
          <w:lang w:val="ar-SA" w:eastAsia="zh-TW" w:bidi="en-GB"/>
        </w:rPr>
      </w:pPr>
      <w:r w:rsidRPr="001E69EC">
        <w:rPr>
          <w:rFonts w:eastAsiaTheme="minorEastAsia"/>
          <w:rtl/>
        </w:rPr>
        <w:t>(</w:t>
      </w:r>
      <w:r w:rsidRPr="00737919">
        <w:rPr>
          <w:rStyle w:val="FootnoteReference"/>
          <w:rFonts w:eastAsiaTheme="minorEastAsia"/>
          <w:vertAlign w:val="baseline"/>
        </w:rPr>
        <w:footnoteRef/>
      </w:r>
      <w:r w:rsidRPr="001B491C">
        <w:rPr>
          <w:rStyle w:val="FootnoteReference"/>
          <w:rFonts w:eastAsiaTheme="minorEastAsia"/>
          <w:vertAlign w:val="baseline"/>
          <w:rtl/>
        </w:rPr>
        <w:t>)</w:t>
      </w:r>
      <w:r w:rsidRPr="001B491C">
        <w:rPr>
          <w:rStyle w:val="FootnoteReference"/>
          <w:rFonts w:eastAsiaTheme="minorEastAsia"/>
          <w:vertAlign w:val="baseline"/>
          <w:rtl/>
        </w:rPr>
        <w:tab/>
      </w:r>
      <w:r w:rsidRPr="001E69EC">
        <w:rPr>
          <w:rFonts w:eastAsiaTheme="minorEastAsia"/>
          <w:rtl/>
        </w:rPr>
        <w:t xml:space="preserve">قضية </w:t>
      </w:r>
      <w:proofErr w:type="spellStart"/>
      <w:r w:rsidRPr="00737919">
        <w:rPr>
          <w:rFonts w:eastAsiaTheme="minorEastAsia"/>
          <w:i/>
          <w:iCs/>
          <w:rtl/>
        </w:rPr>
        <w:t>بورزوف</w:t>
      </w:r>
      <w:proofErr w:type="spellEnd"/>
      <w:r w:rsidRPr="00737919">
        <w:rPr>
          <w:rFonts w:eastAsiaTheme="minorEastAsia"/>
          <w:i/>
          <w:iCs/>
          <w:rtl/>
        </w:rPr>
        <w:t xml:space="preserve"> ضد إستونيا</w:t>
      </w:r>
      <w:r w:rsidRPr="001E69EC">
        <w:rPr>
          <w:rFonts w:eastAsiaTheme="minorEastAsia"/>
          <w:rtl/>
        </w:rPr>
        <w:t>(</w:t>
      </w:r>
      <w:hyperlink r:id="rId13" w:history="1">
        <w:r w:rsidRPr="001E69EC">
          <w:rPr>
            <w:rStyle w:val="Hyperlink"/>
          </w:rPr>
          <w:t>CCPR/C/</w:t>
        </w:r>
        <w:r w:rsidRPr="00737919">
          <w:rPr>
            <w:rStyle w:val="Hyperlink"/>
          </w:rPr>
          <w:t>81</w:t>
        </w:r>
        <w:r w:rsidRPr="001E69EC">
          <w:rPr>
            <w:rStyle w:val="Hyperlink"/>
          </w:rPr>
          <w:t>/D/</w:t>
        </w:r>
        <w:r w:rsidRPr="00737919">
          <w:rPr>
            <w:rStyle w:val="Hyperlink"/>
          </w:rPr>
          <w:t>1136</w:t>
        </w:r>
        <w:r w:rsidRPr="001E69EC">
          <w:rPr>
            <w:rStyle w:val="Hyperlink"/>
          </w:rPr>
          <w:t>/</w:t>
        </w:r>
        <w:r w:rsidRPr="00737919">
          <w:rPr>
            <w:rStyle w:val="Hyperlink"/>
          </w:rPr>
          <w:t>2002</w:t>
        </w:r>
      </w:hyperlink>
      <w:r w:rsidRPr="001E69EC">
        <w:rPr>
          <w:rFonts w:eastAsiaTheme="minorEastAsia"/>
          <w:rtl/>
        </w:rPr>
        <w:t xml:space="preserve">)، الفقرة </w:t>
      </w:r>
      <w:r w:rsidRPr="00737919">
        <w:rPr>
          <w:rFonts w:eastAsiaTheme="minorEastAsia"/>
          <w:rtl/>
        </w:rPr>
        <w:t>7</w:t>
      </w:r>
      <w:r w:rsidRPr="001E69EC">
        <w:rPr>
          <w:rFonts w:eastAsiaTheme="minorEastAsia"/>
          <w:rtl/>
        </w:rPr>
        <w:t>-</w:t>
      </w:r>
      <w:r w:rsidRPr="00737919">
        <w:rPr>
          <w:rFonts w:eastAsiaTheme="minorEastAsia"/>
          <w:rtl/>
        </w:rPr>
        <w:t>4</w:t>
      </w:r>
      <w:r w:rsidRPr="001E69EC">
        <w:rPr>
          <w:rFonts w:eastAsiaTheme="minorEastAsia"/>
          <w:rtl/>
        </w:rPr>
        <w:t xml:space="preserve">؛ وقضية </w:t>
      </w:r>
      <w:r w:rsidRPr="00737919">
        <w:rPr>
          <w:rFonts w:eastAsiaTheme="minorEastAsia"/>
          <w:i/>
          <w:iCs/>
          <w:rtl/>
        </w:rPr>
        <w:t>ك. ضد الدانمرك</w:t>
      </w:r>
      <w:r w:rsidRPr="001E69EC">
        <w:rPr>
          <w:rFonts w:eastAsiaTheme="minorEastAsia"/>
          <w:rtl/>
        </w:rPr>
        <w:t xml:space="preserve">، الفقرة </w:t>
      </w:r>
      <w:r w:rsidRPr="00737919">
        <w:rPr>
          <w:rFonts w:eastAsiaTheme="minorEastAsia"/>
          <w:rtl/>
        </w:rPr>
        <w:t>7</w:t>
      </w:r>
      <w:r w:rsidRPr="001E69EC">
        <w:rPr>
          <w:rFonts w:eastAsiaTheme="minorEastAsia"/>
          <w:rtl/>
        </w:rPr>
        <w:t>-</w:t>
      </w:r>
      <w:r w:rsidRPr="00737919">
        <w:rPr>
          <w:rFonts w:eastAsiaTheme="minorEastAsia"/>
          <w:rtl/>
        </w:rPr>
        <w:t>3</w:t>
      </w:r>
      <w:r w:rsidRPr="001E69EC">
        <w:rPr>
          <w:rFonts w:eastAsiaTheme="minorEastAsia"/>
          <w:rtl/>
        </w:rPr>
        <w:t xml:space="preserve">. </w:t>
      </w:r>
    </w:p>
  </w:footnote>
  <w:footnote w:id="16">
    <w:p w14:paraId="7830B9A1" w14:textId="77777777" w:rsidR="001E69EC" w:rsidRPr="001E69EC" w:rsidRDefault="001E69EC" w:rsidP="001E69EC">
      <w:pPr>
        <w:pStyle w:val="FootnoteText1"/>
        <w:textDirection w:val="tbRlV"/>
        <w:rPr>
          <w:rFonts w:eastAsiaTheme="minorEastAsia"/>
          <w:lang w:val="ar-SA" w:eastAsia="zh-TW" w:bidi="en-GB"/>
        </w:rPr>
      </w:pPr>
      <w:r w:rsidRPr="001E69EC">
        <w:rPr>
          <w:rFonts w:eastAsiaTheme="minorEastAsia"/>
          <w:rtl/>
        </w:rPr>
        <w:t>(</w:t>
      </w:r>
      <w:r w:rsidRPr="00737919">
        <w:rPr>
          <w:rStyle w:val="FootnoteReference"/>
          <w:rFonts w:eastAsiaTheme="minorEastAsia"/>
          <w:vertAlign w:val="baseline"/>
        </w:rPr>
        <w:footnoteRef/>
      </w:r>
      <w:r w:rsidRPr="001B491C">
        <w:rPr>
          <w:rStyle w:val="FootnoteReference"/>
          <w:rFonts w:eastAsiaTheme="minorEastAsia"/>
          <w:vertAlign w:val="baseline"/>
          <w:rtl/>
        </w:rPr>
        <w:t>)</w:t>
      </w:r>
      <w:r w:rsidRPr="001B491C">
        <w:rPr>
          <w:rStyle w:val="FootnoteReference"/>
          <w:rFonts w:eastAsiaTheme="minorEastAsia"/>
          <w:vertAlign w:val="baseline"/>
          <w:rtl/>
        </w:rPr>
        <w:tab/>
      </w:r>
      <w:r w:rsidRPr="001E69EC">
        <w:rPr>
          <w:rFonts w:eastAsiaTheme="minorEastAsia"/>
          <w:rtl/>
        </w:rPr>
        <w:t xml:space="preserve">الفقرات </w:t>
      </w:r>
      <w:r w:rsidRPr="00737919">
        <w:rPr>
          <w:rFonts w:eastAsiaTheme="minorEastAsia"/>
          <w:rtl/>
        </w:rPr>
        <w:t>2</w:t>
      </w:r>
      <w:r w:rsidRPr="001E69EC">
        <w:rPr>
          <w:rFonts w:eastAsiaTheme="minorEastAsia"/>
          <w:rtl/>
        </w:rPr>
        <w:t>-</w:t>
      </w:r>
      <w:r w:rsidRPr="00737919">
        <w:rPr>
          <w:rFonts w:eastAsiaTheme="minorEastAsia"/>
          <w:rtl/>
        </w:rPr>
        <w:t>1</w:t>
      </w:r>
      <w:r w:rsidRPr="001E69EC">
        <w:rPr>
          <w:rFonts w:eastAsiaTheme="minorEastAsia"/>
          <w:rtl/>
        </w:rPr>
        <w:t xml:space="preserve"> و</w:t>
      </w:r>
      <w:r w:rsidRPr="00737919">
        <w:rPr>
          <w:rFonts w:eastAsiaTheme="minorEastAsia"/>
          <w:rtl/>
        </w:rPr>
        <w:t>4</w:t>
      </w:r>
      <w:r w:rsidRPr="001E69EC">
        <w:rPr>
          <w:rFonts w:eastAsiaTheme="minorEastAsia"/>
          <w:rtl/>
        </w:rPr>
        <w:t>-</w:t>
      </w:r>
      <w:r w:rsidRPr="00737919">
        <w:rPr>
          <w:rFonts w:eastAsiaTheme="minorEastAsia"/>
          <w:rtl/>
        </w:rPr>
        <w:t>4</w:t>
      </w:r>
      <w:r w:rsidRPr="001E69EC">
        <w:rPr>
          <w:rFonts w:eastAsiaTheme="minorEastAsia"/>
          <w:rtl/>
        </w:rPr>
        <w:t xml:space="preserve"> إلى </w:t>
      </w:r>
      <w:r w:rsidRPr="00737919">
        <w:rPr>
          <w:rFonts w:eastAsiaTheme="minorEastAsia"/>
          <w:rtl/>
        </w:rPr>
        <w:t>4</w:t>
      </w:r>
      <w:r w:rsidRPr="001E69EC">
        <w:rPr>
          <w:rFonts w:eastAsiaTheme="minorEastAsia"/>
          <w:rtl/>
        </w:rPr>
        <w:t>-</w:t>
      </w:r>
      <w:r w:rsidRPr="00737919">
        <w:rPr>
          <w:rFonts w:eastAsiaTheme="minorEastAsia"/>
          <w:rtl/>
        </w:rPr>
        <w:t>6</w:t>
      </w:r>
      <w:r w:rsidRPr="001E69EC">
        <w:rPr>
          <w:rFonts w:eastAsiaTheme="minorEastAsia"/>
          <w:rtl/>
        </w:rPr>
        <w:t xml:space="preserve"> أعلاه</w:t>
      </w:r>
      <w:r>
        <w:rPr>
          <w:rFonts w:eastAsiaTheme="minorEastAsia"/>
          <w:rtl/>
        </w:rPr>
        <w:t xml:space="preserve">. </w:t>
      </w:r>
    </w:p>
  </w:footnote>
  <w:footnote w:id="17">
    <w:p w14:paraId="0B9BFA59" w14:textId="3BC26110" w:rsidR="001E69EC" w:rsidRPr="001E69EC" w:rsidRDefault="001E69EC" w:rsidP="001E69EC">
      <w:pPr>
        <w:pStyle w:val="FootnoteText1"/>
        <w:textDirection w:val="tbRlV"/>
        <w:rPr>
          <w:rFonts w:eastAsiaTheme="minorEastAsia"/>
          <w:lang w:val="ar-SA" w:eastAsia="zh-TW" w:bidi="en-GB"/>
        </w:rPr>
      </w:pPr>
      <w:r w:rsidRPr="001E69EC">
        <w:rPr>
          <w:rFonts w:eastAsiaTheme="minorEastAsia"/>
          <w:rtl/>
        </w:rPr>
        <w:t>(</w:t>
      </w:r>
      <w:r w:rsidRPr="00737919">
        <w:rPr>
          <w:rStyle w:val="FootnoteReference"/>
          <w:rFonts w:eastAsiaTheme="minorEastAsia"/>
          <w:vertAlign w:val="baseline"/>
        </w:rPr>
        <w:footnoteRef/>
      </w:r>
      <w:r w:rsidRPr="001B491C">
        <w:rPr>
          <w:rStyle w:val="FootnoteReference"/>
          <w:rFonts w:eastAsiaTheme="minorEastAsia"/>
          <w:vertAlign w:val="baseline"/>
          <w:rtl/>
        </w:rPr>
        <w:t>)</w:t>
      </w:r>
      <w:r w:rsidRPr="001B491C">
        <w:rPr>
          <w:rStyle w:val="FootnoteReference"/>
          <w:rFonts w:eastAsiaTheme="minorEastAsia"/>
          <w:vertAlign w:val="baseline"/>
          <w:rtl/>
        </w:rPr>
        <w:tab/>
      </w:r>
      <w:r w:rsidRPr="001E69EC">
        <w:rPr>
          <w:rFonts w:eastAsiaTheme="minorEastAsia"/>
          <w:rtl/>
        </w:rPr>
        <w:t xml:space="preserve">التعليق العام رقم </w:t>
      </w:r>
      <w:r w:rsidRPr="00737919">
        <w:rPr>
          <w:rFonts w:eastAsiaTheme="minorEastAsia"/>
          <w:rtl/>
        </w:rPr>
        <w:t>18</w:t>
      </w:r>
      <w:r w:rsidRPr="001E69EC">
        <w:rPr>
          <w:rFonts w:eastAsiaTheme="minorEastAsia"/>
          <w:rtl/>
        </w:rPr>
        <w:t>(</w:t>
      </w:r>
      <w:r w:rsidRPr="00737919">
        <w:rPr>
          <w:rFonts w:eastAsiaTheme="minorEastAsia"/>
          <w:rtl/>
        </w:rPr>
        <w:t>1989</w:t>
      </w:r>
      <w:r w:rsidRPr="001E69EC">
        <w:rPr>
          <w:rFonts w:eastAsiaTheme="minorEastAsia"/>
          <w:rtl/>
        </w:rPr>
        <w:t xml:space="preserve">)، الفقرة </w:t>
      </w:r>
      <w:r w:rsidRPr="00737919">
        <w:rPr>
          <w:rFonts w:eastAsiaTheme="minorEastAsia"/>
          <w:rtl/>
        </w:rPr>
        <w:t>13</w:t>
      </w:r>
      <w:r w:rsidRPr="001E69EC">
        <w:rPr>
          <w:rFonts w:eastAsiaTheme="minorEastAsia"/>
          <w:rtl/>
        </w:rPr>
        <w:t xml:space="preserve">؛ وقضية </w:t>
      </w:r>
      <w:proofErr w:type="spellStart"/>
      <w:r w:rsidRPr="00737919">
        <w:rPr>
          <w:rFonts w:eastAsiaTheme="minorEastAsia"/>
          <w:i/>
          <w:iCs/>
          <w:rtl/>
        </w:rPr>
        <w:t>بورزوف</w:t>
      </w:r>
      <w:proofErr w:type="spellEnd"/>
      <w:r w:rsidRPr="00737919">
        <w:rPr>
          <w:rFonts w:eastAsiaTheme="minorEastAsia"/>
          <w:i/>
          <w:iCs/>
          <w:rtl/>
        </w:rPr>
        <w:t xml:space="preserve"> ضد إستونيا</w:t>
      </w:r>
      <w:r w:rsidRPr="001E69EC">
        <w:rPr>
          <w:rFonts w:eastAsiaTheme="minorEastAsia"/>
          <w:rtl/>
        </w:rPr>
        <w:t xml:space="preserve">، الفقرة </w:t>
      </w:r>
      <w:r w:rsidRPr="00737919">
        <w:rPr>
          <w:rFonts w:eastAsiaTheme="minorEastAsia"/>
          <w:rtl/>
        </w:rPr>
        <w:t>7</w:t>
      </w:r>
      <w:r w:rsidRPr="001E69EC">
        <w:rPr>
          <w:rFonts w:eastAsiaTheme="minorEastAsia"/>
          <w:rtl/>
        </w:rPr>
        <w:t>-</w:t>
      </w:r>
      <w:r w:rsidRPr="00737919">
        <w:rPr>
          <w:rFonts w:eastAsiaTheme="minorEastAsia"/>
          <w:rtl/>
        </w:rPr>
        <w:t>3</w:t>
      </w:r>
      <w:r w:rsidRPr="001E69EC">
        <w:rPr>
          <w:rFonts w:eastAsiaTheme="minorEastAsia"/>
          <w:rtl/>
        </w:rPr>
        <w:t xml:space="preserve">؛ وقضية </w:t>
      </w:r>
      <w:r w:rsidRPr="00737919">
        <w:rPr>
          <w:rFonts w:eastAsiaTheme="minorEastAsia"/>
          <w:i/>
          <w:iCs/>
          <w:rtl/>
        </w:rPr>
        <w:t>ك. ضد الدانمرك</w:t>
      </w:r>
      <w:r w:rsidRPr="001E69EC">
        <w:rPr>
          <w:rFonts w:eastAsiaTheme="minorEastAsia"/>
          <w:rtl/>
        </w:rPr>
        <w:t>، الفقرة</w:t>
      </w:r>
      <w:r w:rsidR="002F07E9">
        <w:rPr>
          <w:rFonts w:eastAsiaTheme="minorEastAsia" w:hint="cs"/>
          <w:rtl/>
        </w:rPr>
        <w:t> </w:t>
      </w:r>
      <w:r w:rsidRPr="00737919">
        <w:rPr>
          <w:rFonts w:eastAsiaTheme="minorEastAsia"/>
          <w:rtl/>
        </w:rPr>
        <w:t>7</w:t>
      </w:r>
      <w:r w:rsidRPr="001E69EC">
        <w:rPr>
          <w:rFonts w:eastAsiaTheme="minorEastAsia"/>
          <w:rtl/>
        </w:rPr>
        <w:t>-</w:t>
      </w:r>
      <w:r w:rsidRPr="00737919">
        <w:rPr>
          <w:rFonts w:eastAsiaTheme="minorEastAsia"/>
          <w:rtl/>
        </w:rPr>
        <w:t>3</w:t>
      </w:r>
      <w:r w:rsidRPr="001E69EC">
        <w:rPr>
          <w:rFonts w:eastAsiaTheme="minorEastAsia"/>
          <w:rtl/>
        </w:rPr>
        <w:t xml:space="preserve">. </w:t>
      </w:r>
    </w:p>
  </w:footnote>
  <w:footnote w:id="18">
    <w:p w14:paraId="745D2CAD" w14:textId="77777777" w:rsidR="001E69EC" w:rsidRPr="002F07E9" w:rsidRDefault="001E69EC" w:rsidP="001E69EC">
      <w:pPr>
        <w:pStyle w:val="FootnoteText1"/>
        <w:textDirection w:val="tbRlV"/>
        <w:rPr>
          <w:rFonts w:eastAsiaTheme="minorEastAsia"/>
          <w:lang w:eastAsia="zh-TW" w:bidi="en-GB"/>
        </w:rPr>
      </w:pPr>
      <w:r w:rsidRPr="001E69EC">
        <w:rPr>
          <w:rFonts w:eastAsiaTheme="minorEastAsia"/>
          <w:rtl/>
        </w:rPr>
        <w:t>(</w:t>
      </w:r>
      <w:r w:rsidRPr="00737919">
        <w:rPr>
          <w:rStyle w:val="FootnoteReference"/>
          <w:rFonts w:eastAsiaTheme="minorEastAsia"/>
          <w:vertAlign w:val="baseline"/>
        </w:rPr>
        <w:footnoteRef/>
      </w:r>
      <w:r w:rsidRPr="001B491C">
        <w:rPr>
          <w:rStyle w:val="FootnoteReference"/>
          <w:rFonts w:eastAsiaTheme="minorEastAsia"/>
          <w:vertAlign w:val="baseline"/>
          <w:rtl/>
        </w:rPr>
        <w:t>)</w:t>
      </w:r>
      <w:r w:rsidRPr="001B491C">
        <w:rPr>
          <w:rStyle w:val="FootnoteReference"/>
          <w:rFonts w:eastAsiaTheme="minorEastAsia"/>
          <w:vertAlign w:val="baseline"/>
          <w:rtl/>
        </w:rPr>
        <w:tab/>
      </w:r>
      <w:r w:rsidRPr="001E69EC">
        <w:rPr>
          <w:rFonts w:eastAsiaTheme="minorEastAsia"/>
          <w:rtl/>
        </w:rPr>
        <w:t xml:space="preserve">قضية </w:t>
      </w:r>
      <w:r w:rsidRPr="00737919">
        <w:rPr>
          <w:rFonts w:eastAsiaTheme="minorEastAsia"/>
          <w:i/>
          <w:iCs/>
          <w:rtl/>
        </w:rPr>
        <w:t>ك. ضد الدانمرك</w:t>
      </w:r>
      <w:r w:rsidRPr="001E69EC">
        <w:rPr>
          <w:rFonts w:eastAsiaTheme="minorEastAsia"/>
          <w:rtl/>
        </w:rPr>
        <w:t xml:space="preserve">، الفقرة </w:t>
      </w:r>
      <w:r w:rsidRPr="00737919">
        <w:rPr>
          <w:rFonts w:eastAsiaTheme="minorEastAsia"/>
          <w:rtl/>
        </w:rPr>
        <w:t>7</w:t>
      </w:r>
      <w:r w:rsidRPr="001E69EC">
        <w:rPr>
          <w:rFonts w:eastAsiaTheme="minorEastAsia"/>
          <w:rtl/>
        </w:rPr>
        <w:t>-</w:t>
      </w:r>
      <w:r w:rsidRPr="00737919">
        <w:rPr>
          <w:rFonts w:eastAsiaTheme="minorEastAsia"/>
          <w:rtl/>
        </w:rPr>
        <w:t>5</w:t>
      </w:r>
      <w:r w:rsidRPr="001E69EC">
        <w:rPr>
          <w:rFonts w:eastAsiaTheme="minorEastAsia"/>
          <w:rtl/>
        </w:rPr>
        <w:t xml:space="preserve">. </w:t>
      </w:r>
    </w:p>
  </w:footnote>
  <w:footnote w:id="19">
    <w:p w14:paraId="50CABE4F" w14:textId="77777777" w:rsidR="001E69EC" w:rsidRPr="001E69EC" w:rsidRDefault="001E69EC" w:rsidP="001E69EC">
      <w:pPr>
        <w:pStyle w:val="FootnoteText1"/>
        <w:textDirection w:val="tbRlV"/>
        <w:rPr>
          <w:rFonts w:eastAsiaTheme="minorEastAsia"/>
          <w:lang w:val="ar-SA" w:eastAsia="zh-TW" w:bidi="en-GB"/>
        </w:rPr>
      </w:pPr>
      <w:r w:rsidRPr="001E69EC">
        <w:rPr>
          <w:rFonts w:eastAsiaTheme="minorEastAsia"/>
          <w:rtl/>
        </w:rPr>
        <w:t>(</w:t>
      </w:r>
      <w:r w:rsidRPr="00737919">
        <w:rPr>
          <w:rStyle w:val="FootnoteReference"/>
          <w:rFonts w:eastAsiaTheme="minorEastAsia"/>
          <w:vertAlign w:val="baseline"/>
        </w:rPr>
        <w:footnoteRef/>
      </w:r>
      <w:r w:rsidRPr="001B491C">
        <w:rPr>
          <w:rStyle w:val="FootnoteReference"/>
          <w:rFonts w:eastAsiaTheme="minorEastAsia"/>
          <w:vertAlign w:val="baseline"/>
          <w:rtl/>
        </w:rPr>
        <w:t>)</w:t>
      </w:r>
      <w:r w:rsidRPr="001E69EC">
        <w:rPr>
          <w:rFonts w:eastAsiaTheme="minorEastAsia"/>
          <w:rtl/>
        </w:rPr>
        <w:tab/>
        <w:t>المرجع نفسه</w:t>
      </w:r>
      <w:r>
        <w:rPr>
          <w:rFonts w:eastAsiaTheme="minorEastAsia"/>
          <w:rtl/>
        </w:rPr>
        <w:t xml:space="preserve">. </w:t>
      </w:r>
    </w:p>
  </w:footnote>
  <w:footnote w:id="20">
    <w:p w14:paraId="57A173C2" w14:textId="77777777" w:rsidR="001E69EC" w:rsidRPr="001E69EC" w:rsidRDefault="001E69EC" w:rsidP="001E69EC">
      <w:pPr>
        <w:pStyle w:val="FootnoteText1"/>
        <w:textDirection w:val="tbRlV"/>
        <w:rPr>
          <w:rFonts w:eastAsiaTheme="minorEastAsia"/>
          <w:lang w:val="ar-SA" w:eastAsia="zh-TW" w:bidi="en-GB"/>
        </w:rPr>
      </w:pPr>
      <w:r w:rsidRPr="001E69EC">
        <w:rPr>
          <w:rFonts w:eastAsiaTheme="minorEastAsia"/>
          <w:rtl/>
        </w:rPr>
        <w:t>(</w:t>
      </w:r>
      <w:r w:rsidRPr="00737919">
        <w:rPr>
          <w:rStyle w:val="FootnoteReference"/>
          <w:rFonts w:eastAsiaTheme="minorEastAsia"/>
          <w:vertAlign w:val="baseline"/>
        </w:rPr>
        <w:footnoteRef/>
      </w:r>
      <w:r w:rsidRPr="001B491C">
        <w:rPr>
          <w:rStyle w:val="FootnoteReference"/>
          <w:rFonts w:eastAsiaTheme="minorEastAsia"/>
          <w:vertAlign w:val="baseline"/>
          <w:rtl/>
        </w:rPr>
        <w:t>)</w:t>
      </w:r>
      <w:r w:rsidRPr="001E69EC">
        <w:rPr>
          <w:rFonts w:eastAsiaTheme="minorEastAsia"/>
          <w:rtl/>
        </w:rPr>
        <w:tab/>
        <w:t xml:space="preserve">الفقرة </w:t>
      </w:r>
      <w:r w:rsidRPr="00737919">
        <w:rPr>
          <w:rFonts w:eastAsiaTheme="minorEastAsia"/>
          <w:rtl/>
        </w:rPr>
        <w:t>10</w:t>
      </w:r>
      <w:r w:rsidRPr="001E69EC">
        <w:rPr>
          <w:rFonts w:eastAsiaTheme="minorEastAsia"/>
          <w:rtl/>
        </w:rPr>
        <w:t xml:space="preserve"> من هذه الآراء. </w:t>
      </w:r>
    </w:p>
  </w:footnote>
  <w:footnote w:id="21">
    <w:p w14:paraId="61C3FD2B" w14:textId="068C9DF1" w:rsidR="001E69EC" w:rsidRPr="001E69EC" w:rsidRDefault="001E69EC" w:rsidP="001E69EC">
      <w:pPr>
        <w:pStyle w:val="FootnoteText1"/>
        <w:textDirection w:val="tbRlV"/>
        <w:rPr>
          <w:rFonts w:eastAsiaTheme="minorEastAsia"/>
          <w:lang w:val="ar-SA" w:eastAsia="zh-TW" w:bidi="en-GB"/>
        </w:rPr>
      </w:pPr>
      <w:r w:rsidRPr="001E69EC">
        <w:rPr>
          <w:rFonts w:eastAsiaTheme="minorEastAsia"/>
          <w:rtl/>
        </w:rPr>
        <w:t>(</w:t>
      </w:r>
      <w:r w:rsidRPr="00737919">
        <w:rPr>
          <w:rStyle w:val="FootnoteReference"/>
          <w:rFonts w:eastAsiaTheme="minorEastAsia"/>
          <w:vertAlign w:val="baseline"/>
        </w:rPr>
        <w:footnoteRef/>
      </w:r>
      <w:r w:rsidRPr="001B491C">
        <w:rPr>
          <w:rStyle w:val="FootnoteReference"/>
          <w:rFonts w:eastAsiaTheme="minorEastAsia"/>
          <w:vertAlign w:val="baseline"/>
          <w:rtl/>
        </w:rPr>
        <w:t>)</w:t>
      </w:r>
      <w:r w:rsidRPr="001B491C">
        <w:rPr>
          <w:rStyle w:val="FootnoteReference"/>
          <w:rFonts w:eastAsiaTheme="minorEastAsia"/>
          <w:vertAlign w:val="baseline"/>
          <w:rtl/>
        </w:rPr>
        <w:tab/>
      </w:r>
      <w:hyperlink r:id="rId14" w:history="1">
        <w:r w:rsidRPr="001E69EC">
          <w:rPr>
            <w:rStyle w:val="Hyperlink"/>
          </w:rPr>
          <w:t>CCPR/C/</w:t>
        </w:r>
        <w:r w:rsidRPr="00737919">
          <w:rPr>
            <w:rStyle w:val="Hyperlink"/>
          </w:rPr>
          <w:t>158</w:t>
        </w:r>
      </w:hyperlink>
      <w:r w:rsidRPr="001E69EC">
        <w:rPr>
          <w:rFonts w:eastAsiaTheme="minorEastAsia"/>
          <w:rtl/>
        </w:rPr>
        <w:t xml:space="preserve">، الفقرة </w:t>
      </w:r>
      <w:r w:rsidRPr="00737919">
        <w:rPr>
          <w:rFonts w:eastAsiaTheme="minorEastAsia"/>
          <w:rtl/>
        </w:rPr>
        <w:t>2</w:t>
      </w:r>
      <w:r w:rsidRPr="001E69EC">
        <w:rPr>
          <w:rFonts w:eastAsiaTheme="minorEastAsia"/>
          <w:rtl/>
        </w:rPr>
        <w:t xml:space="preserve">. </w:t>
      </w:r>
    </w:p>
  </w:footnote>
  <w:footnote w:id="22">
    <w:p w14:paraId="6C4F9E51" w14:textId="31723D85" w:rsidR="001E69EC" w:rsidRPr="00405491" w:rsidRDefault="001E69EC" w:rsidP="001E69EC">
      <w:pPr>
        <w:pStyle w:val="FootnoteText1"/>
        <w:textDirection w:val="tbRlV"/>
        <w:rPr>
          <w:rFonts w:eastAsiaTheme="minorEastAsia"/>
          <w:lang w:eastAsia="zh-TW" w:bidi="en-GB"/>
        </w:rPr>
      </w:pPr>
      <w:r w:rsidRPr="001E69EC">
        <w:rPr>
          <w:rFonts w:eastAsiaTheme="minorEastAsia"/>
          <w:rtl/>
        </w:rPr>
        <w:t>(</w:t>
      </w:r>
      <w:r w:rsidRPr="00737919">
        <w:rPr>
          <w:rStyle w:val="FootnoteReference"/>
          <w:rFonts w:eastAsiaTheme="minorEastAsia"/>
          <w:vertAlign w:val="baseline"/>
        </w:rPr>
        <w:footnoteRef/>
      </w:r>
      <w:r w:rsidRPr="001B491C">
        <w:rPr>
          <w:rStyle w:val="FootnoteReference"/>
          <w:rFonts w:eastAsiaTheme="minorEastAsia"/>
          <w:vertAlign w:val="baseline"/>
          <w:rtl/>
        </w:rPr>
        <w:t>)</w:t>
      </w:r>
      <w:r w:rsidRPr="001B491C">
        <w:rPr>
          <w:rStyle w:val="FootnoteReference"/>
          <w:rFonts w:eastAsiaTheme="minorEastAsia"/>
          <w:vertAlign w:val="baseline"/>
          <w:rtl/>
        </w:rPr>
        <w:tab/>
      </w:r>
      <w:r w:rsidRPr="001E69EC">
        <w:rPr>
          <w:rFonts w:eastAsiaTheme="minorEastAsia"/>
          <w:rtl/>
        </w:rPr>
        <w:t xml:space="preserve">المرجع نفسه، الفقرة </w:t>
      </w:r>
      <w:r w:rsidRPr="00737919">
        <w:rPr>
          <w:rFonts w:eastAsiaTheme="minorEastAsia"/>
          <w:rtl/>
        </w:rPr>
        <w:t>4</w:t>
      </w:r>
      <w:r w:rsidRPr="001E69EC">
        <w:rPr>
          <w:rFonts w:eastAsiaTheme="minorEastAsia"/>
          <w:rtl/>
        </w:rPr>
        <w:t xml:space="preserve">. </w:t>
      </w:r>
    </w:p>
  </w:footnote>
  <w:footnote w:id="23">
    <w:p w14:paraId="0CB802E4" w14:textId="06AEF415" w:rsidR="001E69EC" w:rsidRPr="001E69EC" w:rsidRDefault="001E69EC" w:rsidP="001E69EC">
      <w:pPr>
        <w:pStyle w:val="FootnoteText1"/>
        <w:textDirection w:val="tbRlV"/>
        <w:rPr>
          <w:rFonts w:eastAsiaTheme="minorEastAsia"/>
          <w:lang w:val="ar-SA" w:eastAsia="zh-TW" w:bidi="en-GB"/>
        </w:rPr>
      </w:pPr>
      <w:r w:rsidRPr="001E69EC">
        <w:rPr>
          <w:rFonts w:eastAsiaTheme="minorEastAsia"/>
          <w:rtl/>
        </w:rPr>
        <w:t>(</w:t>
      </w:r>
      <w:r w:rsidRPr="00737919">
        <w:rPr>
          <w:rStyle w:val="FootnoteReference"/>
          <w:rFonts w:eastAsiaTheme="minorEastAsia"/>
          <w:vertAlign w:val="baseline"/>
        </w:rPr>
        <w:footnoteRef/>
      </w:r>
      <w:r w:rsidRPr="001B491C">
        <w:rPr>
          <w:rStyle w:val="FootnoteReference"/>
          <w:rFonts w:eastAsiaTheme="minorEastAsia"/>
          <w:vertAlign w:val="baseline"/>
          <w:rtl/>
        </w:rPr>
        <w:t>)</w:t>
      </w:r>
      <w:r w:rsidRPr="001B491C">
        <w:rPr>
          <w:rStyle w:val="FootnoteReference"/>
          <w:rFonts w:eastAsiaTheme="minorEastAsia"/>
          <w:vertAlign w:val="baseline"/>
          <w:rtl/>
        </w:rPr>
        <w:tab/>
      </w:r>
      <w:r w:rsidRPr="001E69EC">
        <w:rPr>
          <w:rFonts w:eastAsiaTheme="minorEastAsia"/>
          <w:rtl/>
        </w:rPr>
        <w:t xml:space="preserve">المرجع نفسه، الفقرة </w:t>
      </w:r>
      <w:r w:rsidRPr="00737919">
        <w:rPr>
          <w:rFonts w:eastAsiaTheme="minorEastAsia"/>
          <w:rtl/>
        </w:rPr>
        <w:t>5</w:t>
      </w:r>
      <w:r w:rsidRPr="001E69EC">
        <w:rPr>
          <w:rFonts w:eastAsiaTheme="minorEastAsia"/>
          <w:rtl/>
        </w:rPr>
        <w:t xml:space="preserve">. </w:t>
      </w:r>
    </w:p>
  </w:footnote>
  <w:footnote w:id="24">
    <w:p w14:paraId="6CBDDFA6" w14:textId="00D6782A" w:rsidR="001E69EC" w:rsidRPr="001E69EC" w:rsidRDefault="001E69EC" w:rsidP="001E69EC">
      <w:pPr>
        <w:pStyle w:val="FootnoteText1"/>
        <w:textDirection w:val="tbRlV"/>
        <w:rPr>
          <w:rFonts w:eastAsiaTheme="minorEastAsia"/>
          <w:lang w:val="ar-SA" w:eastAsia="zh-TW" w:bidi="en-GB"/>
        </w:rPr>
      </w:pPr>
      <w:r w:rsidRPr="001E69EC">
        <w:rPr>
          <w:rFonts w:eastAsiaTheme="minorEastAsia"/>
          <w:rtl/>
        </w:rPr>
        <w:t>(</w:t>
      </w:r>
      <w:r w:rsidRPr="00737919">
        <w:rPr>
          <w:rStyle w:val="FootnoteReference"/>
          <w:rFonts w:eastAsiaTheme="minorEastAsia"/>
          <w:vertAlign w:val="baseline"/>
        </w:rPr>
        <w:footnoteRef/>
      </w:r>
      <w:r w:rsidRPr="001B491C">
        <w:rPr>
          <w:rStyle w:val="FootnoteReference"/>
          <w:rFonts w:eastAsiaTheme="minorEastAsia"/>
          <w:vertAlign w:val="baseline"/>
          <w:rtl/>
        </w:rPr>
        <w:t>)</w:t>
      </w:r>
      <w:r w:rsidRPr="001B491C">
        <w:rPr>
          <w:rStyle w:val="FootnoteReference"/>
          <w:rFonts w:eastAsiaTheme="minorEastAsia"/>
          <w:vertAlign w:val="baseline"/>
          <w:rtl/>
        </w:rPr>
        <w:tab/>
      </w:r>
      <w:r w:rsidRPr="001E69EC">
        <w:rPr>
          <w:rFonts w:eastAsiaTheme="minorEastAsia"/>
          <w:rtl/>
        </w:rPr>
        <w:t xml:space="preserve">المرجع نفسه، الفقرة </w:t>
      </w:r>
      <w:r w:rsidRPr="00737919">
        <w:rPr>
          <w:rFonts w:eastAsiaTheme="minorEastAsia"/>
          <w:rtl/>
        </w:rPr>
        <w:t>9</w:t>
      </w:r>
      <w:r w:rsidRPr="001E69EC">
        <w:rPr>
          <w:rFonts w:eastAsiaTheme="minorEastAsia"/>
          <w:rtl/>
        </w:rPr>
        <w:t xml:space="preserve">. </w:t>
      </w:r>
    </w:p>
  </w:footnote>
  <w:footnote w:id="25">
    <w:p w14:paraId="3DFB6129" w14:textId="3ECC8F04" w:rsidR="001E69EC" w:rsidRPr="001E69EC" w:rsidRDefault="001E69EC" w:rsidP="001E69EC">
      <w:pPr>
        <w:pStyle w:val="FootnoteText1"/>
        <w:textDirection w:val="tbRlV"/>
        <w:rPr>
          <w:rFonts w:eastAsiaTheme="minorEastAsia"/>
          <w:lang w:val="ar-SA" w:eastAsia="zh-TW" w:bidi="en-GB"/>
        </w:rPr>
      </w:pPr>
      <w:r w:rsidRPr="001E69EC">
        <w:rPr>
          <w:rFonts w:eastAsiaTheme="minorEastAsia"/>
          <w:rtl/>
        </w:rPr>
        <w:t>(</w:t>
      </w:r>
      <w:r w:rsidRPr="00737919">
        <w:rPr>
          <w:rStyle w:val="FootnoteReference"/>
          <w:rFonts w:eastAsiaTheme="minorEastAsia"/>
          <w:vertAlign w:val="baseline"/>
        </w:rPr>
        <w:footnoteRef/>
      </w:r>
      <w:r w:rsidRPr="001B491C">
        <w:rPr>
          <w:rStyle w:val="FootnoteReference"/>
          <w:rFonts w:eastAsiaTheme="minorEastAsia"/>
          <w:vertAlign w:val="baseline"/>
          <w:rtl/>
        </w:rPr>
        <w:t>)</w:t>
      </w:r>
      <w:r w:rsidRPr="001B491C">
        <w:rPr>
          <w:rStyle w:val="FootnoteReference"/>
          <w:rFonts w:eastAsiaTheme="minorEastAsia"/>
          <w:vertAlign w:val="baseline"/>
          <w:rtl/>
        </w:rPr>
        <w:tab/>
      </w:r>
      <w:r w:rsidRPr="001E69EC">
        <w:rPr>
          <w:rFonts w:eastAsiaTheme="minorEastAsia"/>
          <w:rtl/>
        </w:rPr>
        <w:t xml:space="preserve">المرجع نفسه، الفقرة </w:t>
      </w:r>
      <w:r w:rsidRPr="00737919">
        <w:rPr>
          <w:rFonts w:eastAsiaTheme="minorEastAsia"/>
          <w:rtl/>
        </w:rPr>
        <w:t>10</w:t>
      </w:r>
      <w:r w:rsidRPr="001E69EC">
        <w:rPr>
          <w:rFonts w:eastAsiaTheme="minorEastAsia"/>
          <w:rtl/>
        </w:rPr>
        <w:t xml:space="preserve">. </w:t>
      </w:r>
    </w:p>
  </w:footnote>
  <w:footnote w:id="26">
    <w:p w14:paraId="395E43F5" w14:textId="6456A561" w:rsidR="001E69EC" w:rsidRPr="001E69EC" w:rsidRDefault="001E69EC" w:rsidP="001E69EC">
      <w:pPr>
        <w:pStyle w:val="FootnoteText1"/>
        <w:textDirection w:val="tbRlV"/>
        <w:rPr>
          <w:rFonts w:eastAsiaTheme="minorEastAsia"/>
          <w:lang w:val="ar-SA" w:eastAsia="zh-TW" w:bidi="en-GB"/>
        </w:rPr>
      </w:pPr>
      <w:r w:rsidRPr="001E69EC">
        <w:rPr>
          <w:rFonts w:eastAsiaTheme="minorEastAsia"/>
          <w:rtl/>
        </w:rPr>
        <w:t>(</w:t>
      </w:r>
      <w:r w:rsidRPr="00737919">
        <w:rPr>
          <w:rStyle w:val="FootnoteReference"/>
          <w:rFonts w:eastAsiaTheme="minorEastAsia"/>
          <w:vertAlign w:val="baseline"/>
        </w:rPr>
        <w:footnoteRef/>
      </w:r>
      <w:r w:rsidRPr="001B491C">
        <w:rPr>
          <w:rStyle w:val="FootnoteReference"/>
          <w:rFonts w:eastAsiaTheme="minorEastAsia"/>
          <w:vertAlign w:val="baseline"/>
          <w:rtl/>
        </w:rPr>
        <w:t>)</w:t>
      </w:r>
      <w:r w:rsidRPr="001B491C">
        <w:rPr>
          <w:rStyle w:val="FootnoteReference"/>
          <w:rFonts w:eastAsiaTheme="minorEastAsia"/>
          <w:vertAlign w:val="baseline"/>
          <w:rtl/>
        </w:rPr>
        <w:tab/>
      </w:r>
      <w:r w:rsidRPr="001E69EC">
        <w:rPr>
          <w:rFonts w:eastAsiaTheme="minorEastAsia"/>
          <w:rtl/>
        </w:rPr>
        <w:t xml:space="preserve">قرار الجمعية العامة </w:t>
      </w:r>
      <w:r w:rsidRPr="00737919">
        <w:rPr>
          <w:rFonts w:eastAsiaTheme="minorEastAsia"/>
          <w:rtl/>
        </w:rPr>
        <w:t>60</w:t>
      </w:r>
      <w:r w:rsidRPr="001E69EC">
        <w:rPr>
          <w:rFonts w:eastAsiaTheme="minorEastAsia"/>
          <w:rtl/>
        </w:rPr>
        <w:t>/</w:t>
      </w:r>
      <w:r w:rsidRPr="00737919">
        <w:rPr>
          <w:rFonts w:eastAsiaTheme="minorEastAsia"/>
          <w:rtl/>
        </w:rPr>
        <w:t>147</w:t>
      </w:r>
      <w:r w:rsidRPr="001E69EC">
        <w:rPr>
          <w:rFonts w:eastAsiaTheme="minorEastAsia"/>
          <w:rtl/>
        </w:rPr>
        <w:t xml:space="preserve">، المرفق، الفقرة </w:t>
      </w:r>
      <w:r w:rsidRPr="00737919">
        <w:rPr>
          <w:rFonts w:eastAsiaTheme="minorEastAsia"/>
          <w:rtl/>
        </w:rPr>
        <w:t>20</w:t>
      </w:r>
      <w:r w:rsidRPr="001E69EC">
        <w:rPr>
          <w:rFonts w:eastAsiaTheme="minorEastAsia"/>
          <w:rtl/>
        </w:rPr>
        <w:t xml:space="preserve">. </w:t>
      </w:r>
    </w:p>
  </w:footnote>
  <w:footnote w:id="27">
    <w:p w14:paraId="3FB78450" w14:textId="77777777" w:rsidR="001E69EC" w:rsidRPr="001E69EC" w:rsidRDefault="001E69EC" w:rsidP="001E69EC">
      <w:pPr>
        <w:pStyle w:val="FootnoteText1"/>
        <w:textDirection w:val="tbRlV"/>
        <w:rPr>
          <w:rFonts w:eastAsiaTheme="minorEastAsia"/>
          <w:lang w:val="ar-SA" w:eastAsia="zh-TW" w:bidi="en-GB"/>
        </w:rPr>
      </w:pPr>
      <w:r w:rsidRPr="001E69EC">
        <w:rPr>
          <w:rFonts w:eastAsiaTheme="minorEastAsia"/>
          <w:rtl/>
        </w:rPr>
        <w:t>(</w:t>
      </w:r>
      <w:r w:rsidRPr="00737919">
        <w:rPr>
          <w:rStyle w:val="FootnoteReference"/>
          <w:rFonts w:eastAsiaTheme="minorEastAsia"/>
          <w:vertAlign w:val="baseline"/>
        </w:rPr>
        <w:footnoteRef/>
      </w:r>
      <w:r w:rsidRPr="001B491C">
        <w:rPr>
          <w:rStyle w:val="FootnoteReference"/>
          <w:rFonts w:eastAsiaTheme="minorEastAsia"/>
          <w:vertAlign w:val="baseline"/>
          <w:rtl/>
        </w:rPr>
        <w:t>)</w:t>
      </w:r>
      <w:r w:rsidRPr="001B491C">
        <w:rPr>
          <w:rStyle w:val="FootnoteReference"/>
          <w:rFonts w:eastAsiaTheme="minorEastAsia"/>
          <w:vertAlign w:val="baseline"/>
          <w:rtl/>
        </w:rPr>
        <w:tab/>
      </w:r>
      <w:r w:rsidRPr="001E69EC">
        <w:rPr>
          <w:rFonts w:eastAsiaTheme="minorEastAsia"/>
          <w:rtl/>
        </w:rPr>
        <w:t>انظر، على سبيل المثال، قضية </w:t>
      </w:r>
      <w:r w:rsidRPr="00737919">
        <w:rPr>
          <w:rFonts w:eastAsiaTheme="minorEastAsia"/>
          <w:i/>
          <w:iCs/>
          <w:rtl/>
        </w:rPr>
        <w:t xml:space="preserve">د. ج. وآخرون ضد الفلبين </w:t>
      </w:r>
      <w:r w:rsidRPr="001E69EC">
        <w:rPr>
          <w:rFonts w:eastAsiaTheme="minorEastAsia"/>
          <w:rtl/>
        </w:rPr>
        <w:t>(</w:t>
      </w:r>
      <w:hyperlink r:id="rId15" w:history="1">
        <w:r w:rsidRPr="001E69EC">
          <w:rPr>
            <w:rStyle w:val="Hyperlink"/>
          </w:rPr>
          <w:t>CCPR/C/</w:t>
        </w:r>
        <w:r w:rsidRPr="00737919">
          <w:rPr>
            <w:rStyle w:val="Hyperlink"/>
          </w:rPr>
          <w:t>128</w:t>
        </w:r>
        <w:r w:rsidRPr="001E69EC">
          <w:rPr>
            <w:rStyle w:val="Hyperlink"/>
          </w:rPr>
          <w:t>/D/</w:t>
        </w:r>
        <w:r w:rsidRPr="00737919">
          <w:rPr>
            <w:rStyle w:val="Hyperlink"/>
          </w:rPr>
          <w:t>2568</w:t>
        </w:r>
        <w:r w:rsidRPr="001E69EC">
          <w:rPr>
            <w:rStyle w:val="Hyperlink"/>
          </w:rPr>
          <w:t>/</w:t>
        </w:r>
        <w:r w:rsidRPr="00737919">
          <w:rPr>
            <w:rStyle w:val="Hyperlink"/>
          </w:rPr>
          <w:t>2015</w:t>
        </w:r>
      </w:hyperlink>
      <w:r w:rsidRPr="001E69EC">
        <w:rPr>
          <w:rFonts w:eastAsiaTheme="minorEastAsia"/>
          <w:rtl/>
        </w:rPr>
        <w:t xml:space="preserve">)، الفقرة </w:t>
      </w:r>
      <w:r w:rsidRPr="00737919">
        <w:rPr>
          <w:rFonts w:eastAsiaTheme="minorEastAsia"/>
          <w:rtl/>
        </w:rPr>
        <w:t>6</w:t>
      </w:r>
      <w:r w:rsidRPr="001E69EC">
        <w:rPr>
          <w:rFonts w:eastAsiaTheme="minorEastAsia"/>
          <w:rtl/>
        </w:rPr>
        <w:t>-</w:t>
      </w:r>
      <w:r w:rsidRPr="00737919">
        <w:rPr>
          <w:rFonts w:eastAsiaTheme="minorEastAsia"/>
          <w:rtl/>
        </w:rPr>
        <w:t>3</w:t>
      </w:r>
      <w:r w:rsidRPr="001E69EC">
        <w:rPr>
          <w:rFonts w:eastAsiaTheme="minorEastAsia"/>
          <w:rtl/>
        </w:rPr>
        <w:t xml:space="preserve">؛ وقضية </w:t>
      </w:r>
      <w:r w:rsidRPr="00737919">
        <w:rPr>
          <w:rFonts w:eastAsiaTheme="minorEastAsia"/>
          <w:i/>
          <w:iCs/>
          <w:rtl/>
        </w:rPr>
        <w:t xml:space="preserve">بيلي وآخرون ضد أستراليا </w:t>
      </w:r>
      <w:r w:rsidRPr="001E69EC">
        <w:rPr>
          <w:rFonts w:eastAsiaTheme="minorEastAsia"/>
          <w:rtl/>
        </w:rPr>
        <w:t>(</w:t>
      </w:r>
      <w:hyperlink r:id="rId16" w:history="1">
        <w:r w:rsidRPr="001E69EC">
          <w:rPr>
            <w:rStyle w:val="Hyperlink"/>
          </w:rPr>
          <w:t>CCPR/C/</w:t>
        </w:r>
        <w:r w:rsidRPr="00737919">
          <w:rPr>
            <w:rStyle w:val="Hyperlink"/>
          </w:rPr>
          <w:t>135</w:t>
        </w:r>
        <w:r w:rsidRPr="001E69EC">
          <w:rPr>
            <w:rStyle w:val="Hyperlink"/>
          </w:rPr>
          <w:t>/D/</w:t>
        </w:r>
        <w:r w:rsidRPr="00737919">
          <w:rPr>
            <w:rStyle w:val="Hyperlink"/>
          </w:rPr>
          <w:t>3624</w:t>
        </w:r>
        <w:r w:rsidRPr="001E69EC">
          <w:rPr>
            <w:rStyle w:val="Hyperlink"/>
          </w:rPr>
          <w:t>/</w:t>
        </w:r>
        <w:r w:rsidRPr="00737919">
          <w:rPr>
            <w:rStyle w:val="Hyperlink"/>
          </w:rPr>
          <w:t>2019</w:t>
        </w:r>
      </w:hyperlink>
      <w:r w:rsidRPr="001E69EC">
        <w:rPr>
          <w:rFonts w:eastAsiaTheme="minorEastAsia"/>
          <w:rtl/>
        </w:rPr>
        <w:t xml:space="preserve">)، الفقرة </w:t>
      </w:r>
      <w:r w:rsidRPr="00737919">
        <w:rPr>
          <w:rFonts w:eastAsiaTheme="minorEastAsia"/>
          <w:rtl/>
        </w:rPr>
        <w:t>7</w:t>
      </w:r>
      <w:r w:rsidRPr="001E69EC">
        <w:rPr>
          <w:rFonts w:eastAsiaTheme="minorEastAsia"/>
          <w:rtl/>
        </w:rPr>
        <w:t>-</w:t>
      </w:r>
      <w:r w:rsidRPr="00737919">
        <w:rPr>
          <w:rFonts w:eastAsiaTheme="minorEastAsia"/>
          <w:rtl/>
        </w:rPr>
        <w:t>3</w:t>
      </w:r>
      <w:r w:rsidRPr="001E69EC">
        <w:rPr>
          <w:rFonts w:eastAsiaTheme="minorEastAsia"/>
          <w:rtl/>
        </w:rPr>
        <w:t xml:space="preserve">. </w:t>
      </w:r>
    </w:p>
  </w:footnote>
  <w:footnote w:id="28">
    <w:p w14:paraId="1EA2E85F" w14:textId="77777777" w:rsidR="001E69EC" w:rsidRPr="001E69EC" w:rsidRDefault="001E69EC" w:rsidP="001E69EC">
      <w:pPr>
        <w:pStyle w:val="FootnoteText1"/>
        <w:textDirection w:val="tbRlV"/>
        <w:rPr>
          <w:rFonts w:eastAsiaTheme="minorEastAsia"/>
          <w:lang w:val="ar-SA" w:eastAsia="zh-TW" w:bidi="en-GB"/>
        </w:rPr>
      </w:pPr>
      <w:r w:rsidRPr="001E69EC">
        <w:rPr>
          <w:rFonts w:eastAsiaTheme="minorEastAsia"/>
          <w:rtl/>
        </w:rPr>
        <w:t>(</w:t>
      </w:r>
      <w:r w:rsidRPr="00737919">
        <w:rPr>
          <w:rStyle w:val="FootnoteReference"/>
          <w:rFonts w:eastAsiaTheme="minorEastAsia"/>
          <w:vertAlign w:val="baseline"/>
        </w:rPr>
        <w:footnoteRef/>
      </w:r>
      <w:r w:rsidRPr="001B491C">
        <w:rPr>
          <w:rStyle w:val="FootnoteReference"/>
          <w:rFonts w:eastAsiaTheme="minorEastAsia"/>
          <w:vertAlign w:val="baseline"/>
          <w:rtl/>
        </w:rPr>
        <w:t>)</w:t>
      </w:r>
      <w:r w:rsidRPr="001B491C">
        <w:rPr>
          <w:rStyle w:val="FootnoteReference"/>
          <w:rFonts w:eastAsiaTheme="minorEastAsia"/>
          <w:vertAlign w:val="baseline"/>
          <w:rtl/>
        </w:rPr>
        <w:tab/>
      </w:r>
      <w:r w:rsidRPr="001E69EC">
        <w:rPr>
          <w:rFonts w:eastAsiaTheme="minorEastAsia"/>
          <w:rtl/>
        </w:rPr>
        <w:t xml:space="preserve">تعليق اللجنة العام رقم </w:t>
      </w:r>
      <w:r w:rsidRPr="00737919">
        <w:rPr>
          <w:rFonts w:eastAsiaTheme="minorEastAsia"/>
          <w:rtl/>
        </w:rPr>
        <w:t>33</w:t>
      </w:r>
      <w:r w:rsidRPr="001E69EC">
        <w:rPr>
          <w:rFonts w:eastAsiaTheme="minorEastAsia"/>
          <w:rtl/>
        </w:rPr>
        <w:t>(</w:t>
      </w:r>
      <w:r w:rsidRPr="00737919">
        <w:rPr>
          <w:rFonts w:eastAsiaTheme="minorEastAsia"/>
          <w:rtl/>
        </w:rPr>
        <w:t>2008</w:t>
      </w:r>
      <w:r w:rsidRPr="001E69EC">
        <w:rPr>
          <w:rFonts w:eastAsiaTheme="minorEastAsia"/>
          <w:rtl/>
        </w:rPr>
        <w:t xml:space="preserve">)، الفقرة </w:t>
      </w:r>
      <w:r w:rsidRPr="00737919">
        <w:rPr>
          <w:rFonts w:eastAsiaTheme="minorEastAsia"/>
          <w:rtl/>
        </w:rPr>
        <w:t>5</w:t>
      </w:r>
      <w:r w:rsidRPr="001E69EC">
        <w:rPr>
          <w:rFonts w:eastAsiaTheme="minorEastAsia"/>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1000" w14:textId="2E338FF3" w:rsidR="003A0C7D" w:rsidRPr="003A0C7D" w:rsidRDefault="003A0C7D" w:rsidP="003A0C7D">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D702C">
      <w:t>CCPR/C/136/D/2754/2016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20A5" w14:textId="4FADDEA7" w:rsidR="003A0C7D" w:rsidRPr="003A0C7D" w:rsidRDefault="003A0C7D" w:rsidP="003A0C7D">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D702C">
      <w:t>CCPR/C/136/D/2754/2016</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A3A0" w14:textId="27F5FF18" w:rsidR="00AB1D9A" w:rsidRPr="00AB1D9A" w:rsidRDefault="00AB1D9A" w:rsidP="00AB1D9A">
    <w:pPr>
      <w:pStyle w:val="Header"/>
      <w:jc w:val="right"/>
    </w:pPr>
    <w:r>
      <w:rPr>
        <w:rtl/>
      </w:rPr>
      <w:fldChar w:fldCharType="begin"/>
    </w:r>
    <w:r>
      <w:rPr>
        <w:rtl/>
      </w:rPr>
      <w:instrText xml:space="preserve"> </w:instrText>
    </w:r>
    <w:r>
      <w:rPr>
        <w:rFonts w:hint="cs"/>
      </w:rPr>
      <w:instrText>TITLE</w:instrText>
    </w:r>
    <w:r>
      <w:rPr>
        <w:rFonts w:hint="cs"/>
        <w:rtl/>
      </w:rPr>
      <w:instrText xml:space="preserve">  \* </w:instrText>
    </w:r>
    <w:r>
      <w:rPr>
        <w:rFonts w:hint="cs"/>
      </w:rPr>
      <w:instrText>MERGEFORMAT</w:instrText>
    </w:r>
    <w:r>
      <w:rPr>
        <w:rtl/>
      </w:rPr>
      <w:instrText xml:space="preserve"> </w:instrText>
    </w:r>
    <w:r>
      <w:rPr>
        <w:rtl/>
      </w:rPr>
      <w:fldChar w:fldCharType="separate"/>
    </w:r>
    <w:r w:rsidR="004D702C">
      <w:t>CCPR/C/136/D/2754/2016</w:t>
    </w:r>
    <w:r>
      <w:rPr>
        <w:rt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E1AC" w14:textId="1ED1C7BD" w:rsidR="00AB1D9A" w:rsidRPr="00AB1D9A" w:rsidRDefault="00AB1D9A" w:rsidP="00AB1D9A">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D702C">
      <w:t>CCPR/C/136/D/2754/2016</w:t>
    </w:r>
    <w:r>
      <w:rPr>
        <w:rt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81AD" w14:textId="1AE5243E" w:rsidR="00A24026" w:rsidRPr="00A24026" w:rsidRDefault="00A24026" w:rsidP="00A24026">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D702C">
      <w:t>CCPR/C/136/D/2754/2016</w:t>
    </w:r>
    <w:r>
      <w:rPr>
        <w:rt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52F8" w14:textId="5F296E68" w:rsidR="00A24026" w:rsidRPr="00A24026" w:rsidRDefault="00A24026" w:rsidP="00A24026">
    <w:pPr>
      <w:pStyle w:val="Header"/>
      <w:jc w:val="right"/>
    </w:pPr>
    <w:r>
      <w:rPr>
        <w:rtl/>
      </w:rPr>
      <w:fldChar w:fldCharType="begin"/>
    </w:r>
    <w:r>
      <w:rPr>
        <w:rtl/>
      </w:rPr>
      <w:instrText xml:space="preserve"> </w:instrText>
    </w:r>
    <w:r>
      <w:rPr>
        <w:rFonts w:hint="cs"/>
      </w:rPr>
      <w:instrText>TITLE</w:instrText>
    </w:r>
    <w:r>
      <w:rPr>
        <w:rFonts w:hint="cs"/>
        <w:rtl/>
      </w:rPr>
      <w:instrText xml:space="preserve">  \* </w:instrText>
    </w:r>
    <w:r>
      <w:rPr>
        <w:rFonts w:hint="cs"/>
      </w:rPr>
      <w:instrText>MERGEFORMAT</w:instrText>
    </w:r>
    <w:r>
      <w:rPr>
        <w:rtl/>
      </w:rPr>
      <w:instrText xml:space="preserve"> </w:instrText>
    </w:r>
    <w:r>
      <w:rPr>
        <w:rtl/>
      </w:rPr>
      <w:fldChar w:fldCharType="separate"/>
    </w:r>
    <w:r w:rsidR="004D702C">
      <w:t>CCPR/C/136/D/2754/2016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636685505">
    <w:abstractNumId w:val="15"/>
  </w:num>
  <w:num w:numId="2" w16cid:durableId="563181597">
    <w:abstractNumId w:val="12"/>
  </w:num>
  <w:num w:numId="3" w16cid:durableId="2083484624">
    <w:abstractNumId w:val="2"/>
  </w:num>
  <w:num w:numId="4" w16cid:durableId="1821651345">
    <w:abstractNumId w:val="11"/>
  </w:num>
  <w:num w:numId="5" w16cid:durableId="1974403865">
    <w:abstractNumId w:val="8"/>
  </w:num>
  <w:num w:numId="6" w16cid:durableId="1024593689">
    <w:abstractNumId w:val="5"/>
  </w:num>
  <w:num w:numId="7" w16cid:durableId="1316497144">
    <w:abstractNumId w:val="17"/>
  </w:num>
  <w:num w:numId="8" w16cid:durableId="806552144">
    <w:abstractNumId w:val="2"/>
  </w:num>
  <w:num w:numId="9" w16cid:durableId="1590044113">
    <w:abstractNumId w:val="11"/>
  </w:num>
  <w:num w:numId="10" w16cid:durableId="26368420">
    <w:abstractNumId w:val="5"/>
  </w:num>
  <w:num w:numId="11" w16cid:durableId="1310013213">
    <w:abstractNumId w:val="17"/>
  </w:num>
  <w:num w:numId="12" w16cid:durableId="122507104">
    <w:abstractNumId w:val="2"/>
  </w:num>
  <w:num w:numId="13" w16cid:durableId="1317030717">
    <w:abstractNumId w:val="11"/>
  </w:num>
  <w:num w:numId="14" w16cid:durableId="1060323093">
    <w:abstractNumId w:val="8"/>
  </w:num>
  <w:num w:numId="15" w16cid:durableId="1483811883">
    <w:abstractNumId w:val="5"/>
  </w:num>
  <w:num w:numId="16" w16cid:durableId="783841852">
    <w:abstractNumId w:val="17"/>
  </w:num>
  <w:num w:numId="17" w16cid:durableId="38670143">
    <w:abstractNumId w:val="4"/>
  </w:num>
  <w:num w:numId="18" w16cid:durableId="43723619">
    <w:abstractNumId w:val="3"/>
  </w:num>
  <w:num w:numId="19" w16cid:durableId="23602076">
    <w:abstractNumId w:val="16"/>
  </w:num>
  <w:num w:numId="20" w16cid:durableId="575625147">
    <w:abstractNumId w:val="13"/>
  </w:num>
  <w:num w:numId="21" w16cid:durableId="1226914197">
    <w:abstractNumId w:val="1"/>
  </w:num>
  <w:num w:numId="22" w16cid:durableId="281496176">
    <w:abstractNumId w:val="14"/>
  </w:num>
  <w:num w:numId="23" w16cid:durableId="869993190">
    <w:abstractNumId w:val="0"/>
  </w:num>
  <w:num w:numId="24" w16cid:durableId="1017852023">
    <w:abstractNumId w:val="9"/>
  </w:num>
  <w:num w:numId="25" w16cid:durableId="337462932">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16cid:durableId="8185707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0094047">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1607499593">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9" w16cid:durableId="483468094">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30" w16cid:durableId="231549615">
    <w:abstractNumId w:val="7"/>
  </w:num>
  <w:num w:numId="31" w16cid:durableId="35324353">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16cid:durableId="3701514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78"/>
    <w:rsid w:val="000076D5"/>
    <w:rsid w:val="00043663"/>
    <w:rsid w:val="000437B8"/>
    <w:rsid w:val="000505CF"/>
    <w:rsid w:val="00086097"/>
    <w:rsid w:val="00087E2F"/>
    <w:rsid w:val="000D2E14"/>
    <w:rsid w:val="000D701C"/>
    <w:rsid w:val="000E2A71"/>
    <w:rsid w:val="00145577"/>
    <w:rsid w:val="00160263"/>
    <w:rsid w:val="00181F96"/>
    <w:rsid w:val="001872B1"/>
    <w:rsid w:val="001A1371"/>
    <w:rsid w:val="001B043F"/>
    <w:rsid w:val="001B346A"/>
    <w:rsid w:val="001B491C"/>
    <w:rsid w:val="001E1CAD"/>
    <w:rsid w:val="001E290D"/>
    <w:rsid w:val="001E69EC"/>
    <w:rsid w:val="002144FA"/>
    <w:rsid w:val="0023469A"/>
    <w:rsid w:val="00243C8A"/>
    <w:rsid w:val="00267A0E"/>
    <w:rsid w:val="002901D9"/>
    <w:rsid w:val="002976C2"/>
    <w:rsid w:val="002C48CA"/>
    <w:rsid w:val="002F07E9"/>
    <w:rsid w:val="003068BC"/>
    <w:rsid w:val="00316B5B"/>
    <w:rsid w:val="003260FF"/>
    <w:rsid w:val="0034180D"/>
    <w:rsid w:val="00343D95"/>
    <w:rsid w:val="00363A18"/>
    <w:rsid w:val="00374341"/>
    <w:rsid w:val="003A0C7D"/>
    <w:rsid w:val="003B4237"/>
    <w:rsid w:val="003D1062"/>
    <w:rsid w:val="00402051"/>
    <w:rsid w:val="00405491"/>
    <w:rsid w:val="00420D7B"/>
    <w:rsid w:val="00426A1C"/>
    <w:rsid w:val="00450B21"/>
    <w:rsid w:val="00453B63"/>
    <w:rsid w:val="00455780"/>
    <w:rsid w:val="0046323F"/>
    <w:rsid w:val="00473537"/>
    <w:rsid w:val="004826B9"/>
    <w:rsid w:val="004B0A1C"/>
    <w:rsid w:val="004B27E0"/>
    <w:rsid w:val="004D298E"/>
    <w:rsid w:val="004D702C"/>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77C80"/>
    <w:rsid w:val="0068781D"/>
    <w:rsid w:val="006959B0"/>
    <w:rsid w:val="006B3E27"/>
    <w:rsid w:val="006B6507"/>
    <w:rsid w:val="006C104C"/>
    <w:rsid w:val="006C632E"/>
    <w:rsid w:val="00717FB3"/>
    <w:rsid w:val="00721DCA"/>
    <w:rsid w:val="00730446"/>
    <w:rsid w:val="00733704"/>
    <w:rsid w:val="00737919"/>
    <w:rsid w:val="007555A9"/>
    <w:rsid w:val="0078071A"/>
    <w:rsid w:val="00787022"/>
    <w:rsid w:val="00787E1E"/>
    <w:rsid w:val="007F667B"/>
    <w:rsid w:val="008274DC"/>
    <w:rsid w:val="00852A9A"/>
    <w:rsid w:val="008A49D2"/>
    <w:rsid w:val="008F49E1"/>
    <w:rsid w:val="0090370F"/>
    <w:rsid w:val="009077C3"/>
    <w:rsid w:val="009269D2"/>
    <w:rsid w:val="00942135"/>
    <w:rsid w:val="009521B0"/>
    <w:rsid w:val="00957437"/>
    <w:rsid w:val="00960D21"/>
    <w:rsid w:val="00982139"/>
    <w:rsid w:val="009861A8"/>
    <w:rsid w:val="009867A8"/>
    <w:rsid w:val="00991F44"/>
    <w:rsid w:val="00996849"/>
    <w:rsid w:val="009A0CFB"/>
    <w:rsid w:val="009A7E9F"/>
    <w:rsid w:val="009C17EC"/>
    <w:rsid w:val="009E5018"/>
    <w:rsid w:val="00A03399"/>
    <w:rsid w:val="00A03700"/>
    <w:rsid w:val="00A053F2"/>
    <w:rsid w:val="00A12B37"/>
    <w:rsid w:val="00A24026"/>
    <w:rsid w:val="00A54828"/>
    <w:rsid w:val="00A7376D"/>
    <w:rsid w:val="00A97E1F"/>
    <w:rsid w:val="00AB1D9A"/>
    <w:rsid w:val="00AB512E"/>
    <w:rsid w:val="00AB6758"/>
    <w:rsid w:val="00AB727F"/>
    <w:rsid w:val="00B11253"/>
    <w:rsid w:val="00B13763"/>
    <w:rsid w:val="00B477A4"/>
    <w:rsid w:val="00B54045"/>
    <w:rsid w:val="00B63ADD"/>
    <w:rsid w:val="00BB09A0"/>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2228E"/>
    <w:rsid w:val="00E22478"/>
    <w:rsid w:val="00E70E04"/>
    <w:rsid w:val="00E77E6C"/>
    <w:rsid w:val="00E83ED5"/>
    <w:rsid w:val="00EC05A7"/>
    <w:rsid w:val="00EC4B6B"/>
    <w:rsid w:val="00EC68A5"/>
    <w:rsid w:val="00ED7442"/>
    <w:rsid w:val="00EF1EE5"/>
    <w:rsid w:val="00EF5C43"/>
    <w:rsid w:val="00F07D92"/>
    <w:rsid w:val="00F10DAB"/>
    <w:rsid w:val="00F46D42"/>
    <w:rsid w:val="00F763B4"/>
    <w:rsid w:val="00F900C3"/>
    <w:rsid w:val="00FC4CF0"/>
    <w:rsid w:val="00FC6EDD"/>
    <w:rsid w:val="00FD46E2"/>
    <w:rsid w:val="00FE502A"/>
    <w:rsid w:val="00FF111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E895B7"/>
  <w15:docId w15:val="{A0066CB7-08C0-41E5-AF8A-BEA3E4E5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237"/>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3B4237"/>
    <w:pPr>
      <w:bidi w:val="0"/>
      <w:outlineLvl w:val="0"/>
    </w:pPr>
  </w:style>
  <w:style w:type="paragraph" w:styleId="Heading2">
    <w:name w:val="heading 2"/>
    <w:basedOn w:val="Normal"/>
    <w:next w:val="Normal"/>
    <w:link w:val="Heading2Char"/>
    <w:uiPriority w:val="9"/>
    <w:unhideWhenUsed/>
    <w:rsid w:val="003B4237"/>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3B4237"/>
    <w:pPr>
      <w:keepNext/>
      <w:keepLines/>
      <w:spacing w:before="200"/>
      <w:outlineLvl w:val="2"/>
    </w:pPr>
    <w:rPr>
      <w:b/>
      <w:bCs/>
      <w:color w:val="4F81BD"/>
    </w:rPr>
  </w:style>
  <w:style w:type="paragraph" w:styleId="Heading4">
    <w:name w:val="heading 4"/>
    <w:basedOn w:val="Normal"/>
    <w:next w:val="Normal"/>
    <w:link w:val="Heading4Char"/>
    <w:uiPriority w:val="9"/>
    <w:unhideWhenUsed/>
    <w:rsid w:val="003B4237"/>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3B4237"/>
    <w:pPr>
      <w:keepNext/>
      <w:keepLines/>
      <w:spacing w:before="200"/>
      <w:outlineLvl w:val="4"/>
    </w:pPr>
    <w:rPr>
      <w:color w:val="243F60"/>
    </w:rPr>
  </w:style>
  <w:style w:type="paragraph" w:styleId="Heading6">
    <w:name w:val="heading 6"/>
    <w:basedOn w:val="Normal"/>
    <w:next w:val="Normal"/>
    <w:link w:val="Heading6Char"/>
    <w:uiPriority w:val="9"/>
    <w:unhideWhenUsed/>
    <w:rsid w:val="003B4237"/>
    <w:pPr>
      <w:keepNext/>
      <w:keepLines/>
      <w:spacing w:before="200"/>
      <w:outlineLvl w:val="5"/>
    </w:pPr>
    <w:rPr>
      <w:i/>
      <w:iCs/>
      <w:color w:val="243F60"/>
    </w:rPr>
  </w:style>
  <w:style w:type="paragraph" w:styleId="Heading7">
    <w:name w:val="heading 7"/>
    <w:basedOn w:val="Normal"/>
    <w:next w:val="Normal"/>
    <w:link w:val="Heading7Char"/>
    <w:uiPriority w:val="9"/>
    <w:unhideWhenUsed/>
    <w:rsid w:val="003B4237"/>
    <w:pPr>
      <w:keepNext/>
      <w:keepLines/>
      <w:spacing w:before="200"/>
      <w:outlineLvl w:val="6"/>
    </w:pPr>
    <w:rPr>
      <w:i/>
      <w:iCs/>
      <w:color w:val="404040"/>
    </w:rPr>
  </w:style>
  <w:style w:type="paragraph" w:styleId="Heading8">
    <w:name w:val="heading 8"/>
    <w:basedOn w:val="Normal"/>
    <w:next w:val="Normal"/>
    <w:link w:val="Heading8Char"/>
    <w:uiPriority w:val="9"/>
    <w:unhideWhenUsed/>
    <w:rsid w:val="003B4237"/>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3B4237"/>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3B4237"/>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3B4237"/>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3B4237"/>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3B4237"/>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3B4237"/>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3B4237"/>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3B4237"/>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3B4237"/>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3B4237"/>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3B4237"/>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3B4237"/>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3B4237"/>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3B4237"/>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3B4237"/>
    <w:pPr>
      <w:numPr>
        <w:numId w:val="5"/>
      </w:numPr>
      <w:bidi w:val="0"/>
    </w:pPr>
    <w:rPr>
      <w:lang w:val="en-US"/>
    </w:rPr>
  </w:style>
  <w:style w:type="paragraph" w:customStyle="1" w:styleId="Roman1GA">
    <w:name w:val="_Roman 1_GA"/>
    <w:basedOn w:val="Bullet1GA"/>
    <w:qFormat/>
    <w:rsid w:val="003B4237"/>
    <w:pPr>
      <w:numPr>
        <w:numId w:val="6"/>
      </w:numPr>
      <w:tabs>
        <w:tab w:val="clear" w:pos="2310"/>
        <w:tab w:val="left" w:pos="2486"/>
      </w:tabs>
      <w:ind w:left="2486" w:hanging="378"/>
    </w:pPr>
  </w:style>
  <w:style w:type="paragraph" w:customStyle="1" w:styleId="Roman2GA">
    <w:name w:val="_Roman 2_GA"/>
    <w:basedOn w:val="Bullet2GA"/>
    <w:qFormat/>
    <w:rsid w:val="003B4237"/>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3B4237"/>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3B4237"/>
    <w:rPr>
      <w:rFonts w:ascii="Times New Roman" w:eastAsia="PMingLiU" w:hAnsi="Times New Roman" w:cs="Simplified Arabic"/>
      <w:sz w:val="18"/>
      <w:lang w:val="en-GB" w:eastAsia="en-US"/>
    </w:rPr>
  </w:style>
  <w:style w:type="character" w:customStyle="1" w:styleId="EndtnoteReference">
    <w:name w:val="Endtnote Reference"/>
    <w:aliases w:val="1_GA"/>
    <w:qFormat/>
    <w:rsid w:val="003B4237"/>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3B4237"/>
    <w:pPr>
      <w:suppressAutoHyphens/>
      <w:bidi w:val="0"/>
      <w:spacing w:line="240" w:lineRule="auto"/>
    </w:pPr>
    <w:rPr>
      <w:sz w:val="16"/>
      <w:lang w:val="en-GB"/>
    </w:rPr>
  </w:style>
  <w:style w:type="character" w:customStyle="1" w:styleId="FooterChar">
    <w:name w:val="Footer Char"/>
    <w:aliases w:val="3_GA Char,3_G Char"/>
    <w:link w:val="Footer"/>
    <w:rsid w:val="003B4237"/>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3B4237"/>
    <w:pPr>
      <w:spacing w:after="60" w:line="280" w:lineRule="exact"/>
      <w:ind w:left="1247" w:right="1247" w:hanging="567"/>
    </w:pPr>
    <w:rPr>
      <w:sz w:val="18"/>
      <w:szCs w:val="18"/>
    </w:rPr>
  </w:style>
  <w:style w:type="paragraph" w:styleId="Header">
    <w:name w:val="header"/>
    <w:aliases w:val="6_GA,6_G"/>
    <w:basedOn w:val="Normal"/>
    <w:link w:val="HeaderChar"/>
    <w:qFormat/>
    <w:rsid w:val="003B4237"/>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rsid w:val="003B4237"/>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3B4237"/>
    <w:rPr>
      <w:rFonts w:ascii="Times New Roman" w:eastAsia="PMingLiU" w:hAnsi="Times New Roman" w:cs="Simplified Arabic"/>
      <w:sz w:val="22"/>
      <w:szCs w:val="22"/>
      <w:lang w:val="en-GB" w:eastAsia="en-US"/>
    </w:rPr>
  </w:style>
  <w:style w:type="character" w:styleId="PageNumber">
    <w:name w:val="page number"/>
    <w:aliases w:val="7_GA,7_G"/>
    <w:qFormat/>
    <w:rsid w:val="003B4237"/>
    <w:rPr>
      <w:rFonts w:ascii="Times New Roman Bold" w:hAnsi="Times New Roman Bold"/>
      <w:b/>
      <w:i w:val="0"/>
      <w:sz w:val="18"/>
      <w:szCs w:val="18"/>
    </w:rPr>
  </w:style>
  <w:style w:type="paragraph" w:customStyle="1" w:styleId="XXLargeGA">
    <w:name w:val="XXLarge_GA"/>
    <w:basedOn w:val="Normal"/>
    <w:next w:val="SingleTxtGA"/>
    <w:qFormat/>
    <w:rsid w:val="003B4237"/>
    <w:pPr>
      <w:suppressAutoHyphens/>
      <w:spacing w:line="820" w:lineRule="exact"/>
    </w:pPr>
    <w:rPr>
      <w:spacing w:val="-8"/>
      <w:w w:val="96"/>
      <w:sz w:val="57"/>
      <w:szCs w:val="86"/>
      <w:lang w:val="en-GB"/>
    </w:rPr>
  </w:style>
  <w:style w:type="character" w:customStyle="1" w:styleId="Heading2Char">
    <w:name w:val="Heading 2 Char"/>
    <w:link w:val="Heading2"/>
    <w:uiPriority w:val="9"/>
    <w:rsid w:val="003B4237"/>
    <w:rPr>
      <w:rFonts w:ascii="Times New Roman" w:eastAsia="PMingLiU" w:hAnsi="Times New Roman" w:cs="Simplified Arabic"/>
      <w:b/>
      <w:bCs/>
      <w:color w:val="4F81BD"/>
      <w:sz w:val="26"/>
      <w:szCs w:val="26"/>
      <w:lang w:eastAsia="en-US"/>
    </w:rPr>
  </w:style>
  <w:style w:type="character" w:customStyle="1" w:styleId="Heading3Char">
    <w:name w:val="Heading 3 Char"/>
    <w:link w:val="Heading3"/>
    <w:uiPriority w:val="9"/>
    <w:rsid w:val="003B4237"/>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3B4237"/>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3B4237"/>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3B4237"/>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3B4237"/>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3B4237"/>
    <w:rPr>
      <w:rFonts w:ascii="Times New Roman" w:eastAsia="PMingLiU" w:hAnsi="Times New Roman" w:cs="Simplified Arabic"/>
      <w:color w:val="404040"/>
      <w:lang w:eastAsia="en-US"/>
    </w:rPr>
  </w:style>
  <w:style w:type="character" w:customStyle="1" w:styleId="Heading9Char">
    <w:name w:val="Heading 9 Char"/>
    <w:link w:val="Heading9"/>
    <w:uiPriority w:val="9"/>
    <w:rsid w:val="003B4237"/>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3B4237"/>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3B4237"/>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3B4237"/>
    <w:pPr>
      <w:numPr>
        <w:ilvl w:val="1"/>
      </w:numPr>
    </w:pPr>
    <w:rPr>
      <w:i/>
      <w:iCs/>
      <w:color w:val="4F81BD"/>
      <w:spacing w:val="15"/>
      <w:sz w:val="24"/>
      <w:szCs w:val="24"/>
    </w:rPr>
  </w:style>
  <w:style w:type="character" w:customStyle="1" w:styleId="SubtitleChar">
    <w:name w:val="Subtitle Char"/>
    <w:link w:val="Subtitle"/>
    <w:uiPriority w:val="11"/>
    <w:rsid w:val="003B4237"/>
    <w:rPr>
      <w:rFonts w:ascii="Times New Roman" w:eastAsia="PMingLiU" w:hAnsi="Times New Roman" w:cs="Simplified Arabic"/>
      <w:i/>
      <w:iCs/>
      <w:color w:val="4F81BD"/>
      <w:spacing w:val="15"/>
      <w:sz w:val="24"/>
      <w:szCs w:val="24"/>
      <w:lang w:eastAsia="en-US"/>
    </w:rPr>
  </w:style>
  <w:style w:type="character" w:styleId="Strong">
    <w:name w:val="Strong"/>
    <w:uiPriority w:val="22"/>
    <w:rsid w:val="003B4237"/>
    <w:rPr>
      <w:b/>
      <w:bCs/>
    </w:rPr>
  </w:style>
  <w:style w:type="table" w:styleId="TableGrid">
    <w:name w:val="Table Grid"/>
    <w:basedOn w:val="TableNormal"/>
    <w:rsid w:val="003B4237"/>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4237"/>
    <w:rPr>
      <w:color w:val="0000FF"/>
      <w:u w:val="none"/>
    </w:rPr>
  </w:style>
  <w:style w:type="paragraph" w:styleId="TOC1">
    <w:name w:val="toc 1"/>
    <w:basedOn w:val="Normal"/>
    <w:link w:val="TOC1Char"/>
    <w:autoRedefine/>
    <w:uiPriority w:val="39"/>
    <w:unhideWhenUsed/>
    <w:rsid w:val="003B4237"/>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3B4237"/>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3B4237"/>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3B4237"/>
    <w:rPr>
      <w:rFonts w:eastAsia="DengXian"/>
      <w:color w:val="auto"/>
      <w:sz w:val="20"/>
      <w:szCs w:val="20"/>
      <w:u w:val="none"/>
      <w:lang w:eastAsia="zh-CN" w:bidi="ar-EG"/>
    </w:rPr>
  </w:style>
  <w:style w:type="paragraph" w:styleId="TOC4">
    <w:name w:val="toc 4"/>
    <w:basedOn w:val="Normal"/>
    <w:link w:val="TOC4Char"/>
    <w:autoRedefine/>
    <w:uiPriority w:val="39"/>
    <w:unhideWhenUsed/>
    <w:rsid w:val="003B4237"/>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3B4237"/>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3B4237"/>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3B4237"/>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3B4237"/>
    <w:rPr>
      <w:rFonts w:ascii="Times New Roman" w:eastAsia="PMingLiU" w:hAnsi="Times New Roman" w:cs="Simplified Arabic"/>
      <w:sz w:val="22"/>
      <w:szCs w:val="22"/>
      <w:lang w:val="en-GB" w:eastAsia="en-US"/>
    </w:rPr>
  </w:style>
  <w:style w:type="character" w:customStyle="1" w:styleId="TOC1Char">
    <w:name w:val="TOC 1 Char"/>
    <w:basedOn w:val="DefaultParagraphFont"/>
    <w:link w:val="TOC1"/>
    <w:uiPriority w:val="39"/>
    <w:rsid w:val="003B4237"/>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3B4237"/>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3B4237"/>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3B4237"/>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3B4237"/>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3B4237"/>
    <w:rPr>
      <w:rFonts w:ascii="Times New Roman" w:eastAsia="PMingLiU" w:hAnsi="Times New Roman" w:cs="Simplified Arabic"/>
      <w:lang w:val="en-GB" w:eastAsia="en-US"/>
    </w:rPr>
  </w:style>
  <w:style w:type="paragraph" w:customStyle="1" w:styleId="NormalA">
    <w:name w:val="Normal_A"/>
    <w:basedOn w:val="Normal"/>
    <w:qFormat/>
    <w:rsid w:val="003B4237"/>
  </w:style>
  <w:style w:type="paragraph" w:customStyle="1" w:styleId="FootnoteGA">
    <w:name w:val="_Footnote_GA"/>
    <w:basedOn w:val="Normal"/>
    <w:qFormat/>
    <w:rsid w:val="003B4237"/>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3B4237"/>
    <w:rPr>
      <w:sz w:val="44"/>
      <w:szCs w:val="44"/>
      <w:lang w:val="en-US" w:bidi="ar-DZ"/>
    </w:rPr>
  </w:style>
  <w:style w:type="paragraph" w:customStyle="1" w:styleId="FootnoteGA0">
    <w:name w:val="Footnote_GA"/>
    <w:basedOn w:val="Normal"/>
    <w:qFormat/>
    <w:rsid w:val="003B4237"/>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3B4237"/>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3B4237"/>
    <w:pPr>
      <w:spacing w:line="240" w:lineRule="exact"/>
    </w:pPr>
    <w:rPr>
      <w:spacing w:val="6"/>
      <w:w w:val="106"/>
      <w:sz w:val="14"/>
      <w:szCs w:val="21"/>
    </w:rPr>
  </w:style>
  <w:style w:type="paragraph" w:customStyle="1" w:styleId="Original">
    <w:name w:val="Original"/>
    <w:basedOn w:val="Normal"/>
    <w:next w:val="Normal"/>
    <w:qFormat/>
    <w:rsid w:val="003B4237"/>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3B4237"/>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3B4237"/>
    <w:rPr>
      <w:rFonts w:asciiTheme="minorHAnsi" w:eastAsiaTheme="minorEastAsia" w:hAnsiTheme="minorHAnsi" w:cstheme="minorBidi"/>
      <w:sz w:val="24"/>
      <w:szCs w:val="24"/>
      <w:lang w:val="fr-FR" w:eastAsia="fr-FR"/>
    </w:rPr>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3B4237"/>
    <w:rPr>
      <w:lang w:val="en-US" w:eastAsia="zh-TW"/>
    </w:rPr>
  </w:style>
  <w:style w:type="paragraph" w:customStyle="1" w:styleId="STitleMGA">
    <w:name w:val="S_Title_M_GA"/>
    <w:basedOn w:val="SMGA"/>
    <w:qFormat/>
    <w:rsid w:val="003B4237"/>
    <w:rPr>
      <w:lang w:eastAsia="zh-TW"/>
    </w:rPr>
  </w:style>
  <w:style w:type="paragraph" w:customStyle="1" w:styleId="STitleSGA">
    <w:name w:val="S_Title_S_GA"/>
    <w:basedOn w:val="SSGA"/>
    <w:qFormat/>
    <w:rsid w:val="003B4237"/>
    <w:rPr>
      <w:lang w:eastAsia="zh-TW"/>
    </w:rPr>
  </w:style>
  <w:style w:type="paragraph" w:customStyle="1" w:styleId="HChG">
    <w:name w:val="_ H _Ch_G"/>
    <w:basedOn w:val="Normal"/>
    <w:next w:val="Normal"/>
    <w:qFormat/>
    <w:rsid w:val="001E69EC"/>
    <w:pPr>
      <w:keepNext/>
      <w:keepLines/>
      <w:tabs>
        <w:tab w:val="right" w:pos="851"/>
      </w:tabs>
      <w:suppressAutoHyphens/>
      <w:bidi w:val="0"/>
      <w:spacing w:before="360" w:after="240" w:line="300" w:lineRule="exact"/>
      <w:ind w:left="1134" w:right="1134" w:hanging="1134"/>
      <w:jc w:val="left"/>
      <w:outlineLvl w:val="1"/>
    </w:pPr>
    <w:rPr>
      <w:rFonts w:eastAsia="SimSun" w:hAnsiTheme="minorHAnsi" w:hint="cs"/>
      <w:b/>
      <w:sz w:val="28"/>
      <w:szCs w:val="30"/>
      <w:lang w:val="en-GB" w:eastAsia="zh-CN"/>
    </w:rPr>
  </w:style>
  <w:style w:type="paragraph" w:customStyle="1" w:styleId="H23G">
    <w:name w:val="_ H_2/3_G"/>
    <w:basedOn w:val="Normal"/>
    <w:next w:val="Normal"/>
    <w:qFormat/>
    <w:rsid w:val="001E69EC"/>
    <w:pPr>
      <w:keepNext/>
      <w:keepLines/>
      <w:tabs>
        <w:tab w:val="right" w:pos="851"/>
      </w:tabs>
      <w:suppressAutoHyphens/>
      <w:bidi w:val="0"/>
      <w:spacing w:before="240" w:after="120" w:line="240" w:lineRule="exact"/>
      <w:ind w:left="1134" w:right="1134" w:hanging="1134"/>
      <w:jc w:val="left"/>
      <w:outlineLvl w:val="3"/>
    </w:pPr>
    <w:rPr>
      <w:rFonts w:eastAsia="SimSun" w:hAnsiTheme="minorHAnsi" w:hint="cs"/>
      <w:b/>
      <w:szCs w:val="30"/>
      <w:lang w:val="en-GB" w:eastAsia="zh-CN"/>
    </w:rPr>
  </w:style>
  <w:style w:type="paragraph" w:customStyle="1" w:styleId="H4G">
    <w:name w:val="_ H_4_G"/>
    <w:basedOn w:val="Normal"/>
    <w:next w:val="Normal"/>
    <w:qFormat/>
    <w:rsid w:val="001E69EC"/>
    <w:pPr>
      <w:keepNext/>
      <w:keepLines/>
      <w:tabs>
        <w:tab w:val="right" w:pos="851"/>
      </w:tabs>
      <w:suppressAutoHyphens/>
      <w:bidi w:val="0"/>
      <w:spacing w:before="240" w:after="120" w:line="240" w:lineRule="exact"/>
      <w:ind w:left="1134" w:right="1134" w:hanging="1134"/>
      <w:jc w:val="left"/>
      <w:outlineLvl w:val="4"/>
    </w:pPr>
    <w:rPr>
      <w:rFonts w:eastAsia="SimSun" w:hAnsiTheme="minorHAnsi" w:hint="cs"/>
      <w:i/>
      <w:szCs w:val="30"/>
      <w:lang w:val="en-GB" w:eastAsia="zh-CN"/>
    </w:rPr>
  </w:style>
  <w:style w:type="paragraph" w:customStyle="1" w:styleId="SingleTxtG">
    <w:name w:val="_ Single Txt_G"/>
    <w:basedOn w:val="Normal"/>
    <w:link w:val="SingleTxtGChar"/>
    <w:qFormat/>
    <w:rsid w:val="001E69EC"/>
    <w:pPr>
      <w:tabs>
        <w:tab w:val="left" w:pos="1701"/>
        <w:tab w:val="left" w:pos="2268"/>
      </w:tabs>
      <w:suppressAutoHyphens/>
      <w:bidi w:val="0"/>
      <w:spacing w:after="120"/>
      <w:ind w:left="1134" w:right="1134"/>
      <w:jc w:val="both"/>
    </w:pPr>
    <w:rPr>
      <w:rFonts w:eastAsia="SimSun" w:hAnsiTheme="minorHAnsi"/>
      <w:szCs w:val="30"/>
      <w:lang w:val="en-GB" w:eastAsia="zh-CN"/>
    </w:rPr>
  </w:style>
  <w:style w:type="paragraph" w:styleId="FootnoteText">
    <w:name w:val="footnote text"/>
    <w:aliases w:val="5_G"/>
    <w:basedOn w:val="Normal"/>
    <w:link w:val="FootnoteTextChar"/>
    <w:rsid w:val="001E69EC"/>
    <w:pPr>
      <w:tabs>
        <w:tab w:val="right" w:pos="1021"/>
      </w:tabs>
      <w:suppressAutoHyphens/>
      <w:bidi w:val="0"/>
      <w:spacing w:line="220" w:lineRule="exact"/>
      <w:ind w:left="1134" w:right="1134" w:hanging="1134"/>
      <w:jc w:val="left"/>
    </w:pPr>
    <w:rPr>
      <w:rFonts w:eastAsia="SimSun" w:hAnsiTheme="minorHAnsi" w:hint="cs"/>
      <w:sz w:val="18"/>
      <w:szCs w:val="30"/>
      <w:lang w:val="en-GB" w:eastAsia="zh-CN"/>
    </w:rPr>
  </w:style>
  <w:style w:type="character" w:customStyle="1" w:styleId="FootnoteTextChar">
    <w:name w:val="Footnote Text Char"/>
    <w:aliases w:val="5_G Char"/>
    <w:basedOn w:val="DefaultParagraphFont"/>
    <w:link w:val="FootnoteText"/>
    <w:rsid w:val="001E69EC"/>
    <w:rPr>
      <w:rFonts w:ascii="Times New Roman" w:eastAsia="SimSun" w:hAnsiTheme="minorHAnsi" w:cs="Simplified Arabic"/>
      <w:sz w:val="18"/>
      <w:szCs w:val="30"/>
      <w:lang w:val="en-GB" w:eastAsia="zh-CN"/>
    </w:rPr>
  </w:style>
  <w:style w:type="character" w:styleId="FootnoteReference">
    <w:name w:val="footnote reference"/>
    <w:aliases w:val="4_G"/>
    <w:rsid w:val="001E69EC"/>
    <w:rPr>
      <w:rFonts w:ascii="Times New Roman" w:hAnsi="Times New Roman"/>
      <w:sz w:val="18"/>
      <w:vertAlign w:val="superscript"/>
    </w:rPr>
  </w:style>
  <w:style w:type="character" w:customStyle="1" w:styleId="SingleTxtGChar">
    <w:name w:val="_ Single Txt_G Char"/>
    <w:basedOn w:val="DefaultParagraphFont"/>
    <w:link w:val="SingleTxtG"/>
    <w:locked/>
    <w:rsid w:val="001E69EC"/>
    <w:rPr>
      <w:rFonts w:ascii="Times New Roman" w:eastAsia="SimSun" w:hAnsiTheme="minorHAnsi" w:cs="Simplified Arabic"/>
      <w:szCs w:val="30"/>
      <w:lang w:val="en-GB" w:eastAsia="zh-CN"/>
    </w:rPr>
  </w:style>
  <w:style w:type="character" w:styleId="UnresolvedMention">
    <w:name w:val="Unresolved Mention"/>
    <w:basedOn w:val="DefaultParagraphFont"/>
    <w:uiPriority w:val="99"/>
    <w:semiHidden/>
    <w:unhideWhenUsed/>
    <w:rsid w:val="001E6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CPR/C/78/D/998/2001" TargetMode="External"/><Relationship Id="rId13" Type="http://schemas.openxmlformats.org/officeDocument/2006/relationships/hyperlink" Target="https://undocs.org/ar/CCPR/C/81/D/1136/2002" TargetMode="External"/><Relationship Id="rId3" Type="http://schemas.openxmlformats.org/officeDocument/2006/relationships/hyperlink" Target="https://undocs.org/ar/CCPR/C/111/D/2030/2011" TargetMode="External"/><Relationship Id="rId7" Type="http://schemas.openxmlformats.org/officeDocument/2006/relationships/hyperlink" Target="https://undocs.org/ar/CCPR/C/92/D/1528/2006" TargetMode="External"/><Relationship Id="rId12" Type="http://schemas.openxmlformats.org/officeDocument/2006/relationships/hyperlink" Target="https://undocs.org/ar/CCPR/C/128/D/2979/2017" TargetMode="External"/><Relationship Id="rId2" Type="http://schemas.openxmlformats.org/officeDocument/2006/relationships/hyperlink" Target="https://undocs.org/ar/CCPR/C/119/D/2172/2012" TargetMode="External"/><Relationship Id="rId16" Type="http://schemas.openxmlformats.org/officeDocument/2006/relationships/hyperlink" Target="https://undocs.org/ar/CCPR/C/135/D/3624/2019" TargetMode="External"/><Relationship Id="rId1" Type="http://schemas.openxmlformats.org/officeDocument/2006/relationships/hyperlink" Target="https://undocs.org/ar/CCPR/C/113/D/2001/2010" TargetMode="External"/><Relationship Id="rId6" Type="http://schemas.openxmlformats.org/officeDocument/2006/relationships/hyperlink" Target="https://undocs.org/ar/CCPR/C/80/D/917/2000" TargetMode="External"/><Relationship Id="rId11" Type="http://schemas.openxmlformats.org/officeDocument/2006/relationships/hyperlink" Target="https://undocs.org/ar/CCPR/C/123/D/2807/2016" TargetMode="External"/><Relationship Id="rId5" Type="http://schemas.openxmlformats.org/officeDocument/2006/relationships/hyperlink" Target="https://undocs.org/ar/CCPR/C/80/D/1138/2002" TargetMode="External"/><Relationship Id="rId15" Type="http://schemas.openxmlformats.org/officeDocument/2006/relationships/hyperlink" Target="https://undocs.org/ar/CCPR/C/128/D/2568/2015" TargetMode="External"/><Relationship Id="rId10" Type="http://schemas.openxmlformats.org/officeDocument/2006/relationships/hyperlink" Target="https://undocs.org/ar/CCPR/C/123/D/2747/2016" TargetMode="External"/><Relationship Id="rId4" Type="http://schemas.openxmlformats.org/officeDocument/2006/relationships/hyperlink" Target="https://undocs.org/ar/CCPR/C/53/D/541/1993" TargetMode="External"/><Relationship Id="rId9" Type="http://schemas.openxmlformats.org/officeDocument/2006/relationships/hyperlink" Target="https://undocs.org/ar/CCPR/C/87/D/1314/2004" TargetMode="External"/><Relationship Id="rId14" Type="http://schemas.openxmlformats.org/officeDocument/2006/relationships/hyperlink" Target="https://undocs.org/ar/CCPR/C/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7339</Words>
  <Characters>35809</Characters>
  <Application>Microsoft Office Word</Application>
  <DocSecurity>0</DocSecurity>
  <Lines>531</Lines>
  <Paragraphs>100</Paragraphs>
  <ScaleCrop>false</ScaleCrop>
  <HeadingPairs>
    <vt:vector size="2" baseType="variant">
      <vt:variant>
        <vt:lpstr>Title</vt:lpstr>
      </vt:variant>
      <vt:variant>
        <vt:i4>1</vt:i4>
      </vt:variant>
    </vt:vector>
  </HeadingPairs>
  <TitlesOfParts>
    <vt:vector size="1" baseType="lpstr">
      <vt:lpstr>CCPR/C/136/D/2754/2016</vt:lpstr>
    </vt:vector>
  </TitlesOfParts>
  <Company>DCM</Company>
  <LinksUpToDate>false</LinksUpToDate>
  <CharactersWithSpaces>43093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CCPR/C/136/D/2754/2016</dc:title>
  <dc:subject>GE.2227250(A)</dc:subject>
  <dc:creator>Muntaha BUHNAM - </dc:creator>
  <cp:keywords>GE. 2260400(A)</cp:keywords>
  <dc:description>Distr.: General
12 December 2022
Arabic
Original: English</dc:description>
  <cp:lastModifiedBy>Ibrahim Balan</cp:lastModifiedBy>
  <cp:revision>3</cp:revision>
  <cp:lastPrinted>2023-02-10T11:09:00Z</cp:lastPrinted>
  <dcterms:created xsi:type="dcterms:W3CDTF">2023-02-10T11:09:00Z</dcterms:created>
  <dcterms:modified xsi:type="dcterms:W3CDTF">2023-02-10T11:13:00Z</dcterms:modified>
  <cp:category>Finale</cp:category>
</cp:coreProperties>
</file>