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4AD7CC9" w14:textId="77777777" w:rsidTr="005B51C4">
        <w:trPr>
          <w:trHeight w:hRule="exact" w:val="851"/>
        </w:trPr>
        <w:tc>
          <w:tcPr>
            <w:tcW w:w="1274" w:type="dxa"/>
            <w:tcBorders>
              <w:bottom w:val="single" w:sz="4" w:space="0" w:color="auto"/>
            </w:tcBorders>
            <w:shd w:val="clear" w:color="auto" w:fill="auto"/>
          </w:tcPr>
          <w:p w14:paraId="757B5FC6" w14:textId="77777777" w:rsidR="006B3E27" w:rsidRPr="00C175A6" w:rsidRDefault="006B3E27" w:rsidP="005F2E37">
            <w:pPr>
              <w:kinsoku w:val="0"/>
              <w:overflowPunct w:val="0"/>
              <w:autoSpaceDE w:val="0"/>
              <w:autoSpaceDN w:val="0"/>
              <w:adjustRightInd w:val="0"/>
              <w:snapToGrid w:val="0"/>
              <w:jc w:val="center"/>
              <w:rPr>
                <w:sz w:val="56"/>
                <w:szCs w:val="56"/>
              </w:rPr>
            </w:pPr>
          </w:p>
        </w:tc>
        <w:tc>
          <w:tcPr>
            <w:tcW w:w="4537" w:type="dxa"/>
            <w:tcBorders>
              <w:bottom w:val="single" w:sz="4" w:space="0" w:color="auto"/>
            </w:tcBorders>
            <w:shd w:val="clear" w:color="auto" w:fill="auto"/>
            <w:vAlign w:val="bottom"/>
          </w:tcPr>
          <w:p w14:paraId="19163461"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3E4340D" w14:textId="680627A2" w:rsidR="006B3E27" w:rsidRPr="001A2691" w:rsidRDefault="001A2691" w:rsidP="001A2691">
            <w:pPr>
              <w:bidi w:val="0"/>
              <w:rPr>
                <w:szCs w:val="20"/>
              </w:rPr>
            </w:pPr>
            <w:r w:rsidRPr="00136789">
              <w:rPr>
                <w:sz w:val="40"/>
                <w:szCs w:val="20"/>
              </w:rPr>
              <w:t>CCPR</w:t>
            </w:r>
            <w:r w:rsidRPr="00136789">
              <w:rPr>
                <w:szCs w:val="20"/>
              </w:rPr>
              <w:t>/C/</w:t>
            </w:r>
            <w:r w:rsidRPr="009E6058">
              <w:rPr>
                <w:szCs w:val="20"/>
              </w:rPr>
              <w:t>134</w:t>
            </w:r>
            <w:r w:rsidRPr="00136789">
              <w:rPr>
                <w:szCs w:val="20"/>
              </w:rPr>
              <w:t>/D/</w:t>
            </w:r>
            <w:r w:rsidRPr="009E6058">
              <w:rPr>
                <w:szCs w:val="20"/>
              </w:rPr>
              <w:t>2864</w:t>
            </w:r>
            <w:r w:rsidRPr="00136789">
              <w:rPr>
                <w:szCs w:val="20"/>
              </w:rPr>
              <w:t>/</w:t>
            </w:r>
            <w:r w:rsidRPr="009E6058">
              <w:rPr>
                <w:szCs w:val="20"/>
              </w:rPr>
              <w:t>2016</w:t>
            </w:r>
          </w:p>
        </w:tc>
      </w:tr>
      <w:tr w:rsidR="006B3E27" w:rsidRPr="00C175A6" w14:paraId="2A0BD007" w14:textId="77777777" w:rsidTr="005B51C4">
        <w:trPr>
          <w:trHeight w:hRule="exact" w:val="2835"/>
        </w:trPr>
        <w:tc>
          <w:tcPr>
            <w:tcW w:w="1274" w:type="dxa"/>
            <w:tcBorders>
              <w:top w:val="single" w:sz="4" w:space="0" w:color="auto"/>
              <w:bottom w:val="single" w:sz="12" w:space="0" w:color="auto"/>
            </w:tcBorders>
            <w:shd w:val="clear" w:color="auto" w:fill="auto"/>
          </w:tcPr>
          <w:p w14:paraId="6E990F59"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6A5C0832" wp14:editId="67B34F5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00EEAB7E" w14:textId="77777777" w:rsidR="006B3E27" w:rsidRPr="009E6058" w:rsidRDefault="00ED7442" w:rsidP="00730446">
            <w:pPr>
              <w:spacing w:before="120" w:after="40" w:line="640" w:lineRule="exact"/>
              <w:ind w:left="57"/>
              <w:rPr>
                <w:b/>
                <w:bCs/>
                <w:sz w:val="46"/>
                <w:szCs w:val="46"/>
              </w:rPr>
            </w:pPr>
            <w:r w:rsidRPr="009E6058">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81988A7" w14:textId="00A30712" w:rsidR="006B3E27" w:rsidRDefault="001A2691" w:rsidP="004B27E0">
            <w:pPr>
              <w:bidi w:val="0"/>
              <w:spacing w:before="240"/>
              <w:rPr>
                <w:szCs w:val="20"/>
              </w:rPr>
            </w:pPr>
            <w:r>
              <w:rPr>
                <w:szCs w:val="20"/>
              </w:rPr>
              <w:t>Dist</w:t>
            </w:r>
            <w:r w:rsidR="00136789" w:rsidRPr="00136789">
              <w:rPr>
                <w:szCs w:val="20"/>
              </w:rPr>
              <w:t>r.:</w:t>
            </w:r>
            <w:r>
              <w:rPr>
                <w:szCs w:val="20"/>
              </w:rPr>
              <w:t xml:space="preserve"> General</w:t>
            </w:r>
          </w:p>
          <w:p w14:paraId="29C39948" w14:textId="42589D18" w:rsidR="001A2691" w:rsidRDefault="00F419FD" w:rsidP="001A2691">
            <w:pPr>
              <w:bidi w:val="0"/>
              <w:spacing w:line="240" w:lineRule="exact"/>
              <w:jc w:val="left"/>
              <w:rPr>
                <w:szCs w:val="20"/>
              </w:rPr>
            </w:pPr>
            <w:r w:rsidRPr="009E6058">
              <w:rPr>
                <w:szCs w:val="20"/>
              </w:rPr>
              <w:t>29</w:t>
            </w:r>
            <w:r w:rsidRPr="00F419FD">
              <w:rPr>
                <w:szCs w:val="20"/>
              </w:rPr>
              <w:t xml:space="preserve"> August </w:t>
            </w:r>
            <w:r w:rsidRPr="009E6058">
              <w:rPr>
                <w:szCs w:val="20"/>
              </w:rPr>
              <w:t>2022</w:t>
            </w:r>
          </w:p>
          <w:p w14:paraId="07FBA3F1" w14:textId="77777777" w:rsidR="001A2691" w:rsidRDefault="001A2691" w:rsidP="001A2691">
            <w:pPr>
              <w:bidi w:val="0"/>
              <w:spacing w:line="240" w:lineRule="exact"/>
              <w:jc w:val="left"/>
              <w:rPr>
                <w:szCs w:val="20"/>
              </w:rPr>
            </w:pPr>
            <w:r>
              <w:rPr>
                <w:szCs w:val="20"/>
              </w:rPr>
              <w:t>Arabic</w:t>
            </w:r>
          </w:p>
          <w:p w14:paraId="5F35B273" w14:textId="27DBDD0D" w:rsidR="001A2691" w:rsidRPr="001A2691" w:rsidRDefault="001A2691" w:rsidP="001A2691">
            <w:pPr>
              <w:bidi w:val="0"/>
              <w:spacing w:line="240" w:lineRule="exact"/>
              <w:jc w:val="left"/>
              <w:rPr>
                <w:szCs w:val="20"/>
              </w:rPr>
            </w:pPr>
            <w:r>
              <w:rPr>
                <w:szCs w:val="20"/>
              </w:rPr>
              <w:t>Origina</w:t>
            </w:r>
            <w:r w:rsidR="00136789" w:rsidRPr="00136789">
              <w:rPr>
                <w:szCs w:val="20"/>
              </w:rPr>
              <w:t xml:space="preserve">l: </w:t>
            </w:r>
            <w:r>
              <w:rPr>
                <w:szCs w:val="20"/>
              </w:rPr>
              <w:t>English</w:t>
            </w:r>
          </w:p>
        </w:tc>
      </w:tr>
    </w:tbl>
    <w:p w14:paraId="102DDA7A" w14:textId="77777777" w:rsidR="00F419FD" w:rsidRPr="009E6058" w:rsidRDefault="00F419FD" w:rsidP="00F419FD">
      <w:pPr>
        <w:spacing w:before="120" w:after="120" w:line="360" w:lineRule="exact"/>
        <w:rPr>
          <w:b/>
          <w:bCs/>
          <w:sz w:val="24"/>
          <w:szCs w:val="26"/>
        </w:rPr>
      </w:pPr>
      <w:r w:rsidRPr="009E6058">
        <w:rPr>
          <w:b/>
          <w:bCs/>
          <w:sz w:val="24"/>
          <w:szCs w:val="26"/>
          <w:rtl/>
        </w:rPr>
        <w:t>اللجنة المعنية بحقوق الإنسان</w:t>
      </w:r>
    </w:p>
    <w:p w14:paraId="4A2329D3" w14:textId="69F9088E" w:rsidR="00F419FD" w:rsidRPr="009E6058" w:rsidRDefault="00F419FD" w:rsidP="00C45740">
      <w:pPr>
        <w:pStyle w:val="HChGA"/>
        <w:spacing w:before="320" w:after="200"/>
      </w:pPr>
      <w:r w:rsidRPr="009E6058">
        <w:rPr>
          <w:rtl/>
        </w:rPr>
        <w:tab/>
      </w:r>
      <w:r w:rsidRPr="009E6058">
        <w:rPr>
          <w:rtl/>
        </w:rPr>
        <w:tab/>
        <w:t>الآراء التي اعتمدتها اللّجنة بموجب المادة 5(</w:t>
      </w:r>
      <w:r w:rsidR="00136789" w:rsidRPr="009E6058">
        <w:rPr>
          <w:rtl/>
        </w:rPr>
        <w:t xml:space="preserve">4) </w:t>
      </w:r>
      <w:r w:rsidRPr="009E6058">
        <w:rPr>
          <w:rtl/>
        </w:rPr>
        <w:t>من البروتوكول الاختياري، بشأن البلاغ رقم 2864/2016</w:t>
      </w:r>
      <w:r w:rsidRPr="009E6058">
        <w:rPr>
          <w:sz w:val="22"/>
          <w:szCs w:val="22"/>
          <w:rtl/>
        </w:rPr>
        <w:footnoteReference w:customMarkFollows="1" w:id="1"/>
        <w:t>*</w:t>
      </w:r>
      <w:r w:rsidRPr="009E6058">
        <w:rPr>
          <w:rFonts w:hint="cs"/>
          <w:sz w:val="22"/>
          <w:szCs w:val="22"/>
          <w:rtl/>
        </w:rPr>
        <w:t xml:space="preserve"> </w:t>
      </w:r>
      <w:r w:rsidRPr="009E6058">
        <w:rPr>
          <w:sz w:val="22"/>
          <w:szCs w:val="22"/>
          <w:rtl/>
        </w:rPr>
        <w:footnoteReference w:customMarkFollows="1" w:id="2"/>
        <w:t>**</w:t>
      </w:r>
    </w:p>
    <w:p w14:paraId="420863A3" w14:textId="45ECC3C5"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بلاغ مقدم من:</w:t>
      </w:r>
      <w:r>
        <w:rPr>
          <w:rtl/>
        </w:rPr>
        <w:tab/>
      </w:r>
      <w:r w:rsidRPr="00F419FD">
        <w:rPr>
          <w:rtl/>
        </w:rPr>
        <w:t>نينا إركاييفا (تمثلها جمعية الكرامة العامة)</w:t>
      </w:r>
    </w:p>
    <w:p w14:paraId="56E331D7" w14:textId="1BEA5887"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الشخص المدعى أنه ضحية:</w:t>
      </w:r>
      <w:r>
        <w:rPr>
          <w:rtl/>
        </w:rPr>
        <w:tab/>
      </w:r>
      <w:r w:rsidRPr="00F419FD">
        <w:rPr>
          <w:rtl/>
        </w:rPr>
        <w:t>صاحبة البلاغ</w:t>
      </w:r>
    </w:p>
    <w:p w14:paraId="64FBE5D6" w14:textId="40126208"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الدولة الطرف:</w:t>
      </w:r>
      <w:r>
        <w:rPr>
          <w:rtl/>
        </w:rPr>
        <w:tab/>
      </w:r>
      <w:r w:rsidRPr="00F419FD">
        <w:rPr>
          <w:rtl/>
        </w:rPr>
        <w:t>كازاخستان</w:t>
      </w:r>
    </w:p>
    <w:p w14:paraId="2EAD2FB0" w14:textId="6DCC8B21" w:rsidR="00F419FD" w:rsidRPr="00E42922" w:rsidRDefault="00F419FD" w:rsidP="00E42922">
      <w:pPr>
        <w:pStyle w:val="SingleTxtGA"/>
        <w:tabs>
          <w:tab w:val="clear" w:pos="1928"/>
          <w:tab w:val="clear" w:pos="2608"/>
          <w:tab w:val="clear" w:pos="3289"/>
          <w:tab w:val="clear" w:pos="3969"/>
          <w:tab w:val="clear" w:pos="4649"/>
          <w:tab w:val="clear" w:pos="5330"/>
        </w:tabs>
        <w:ind w:left="4650" w:hanging="2722"/>
        <w:rPr>
          <w:spacing w:val="-7"/>
        </w:rPr>
      </w:pPr>
      <w:r w:rsidRPr="009E6058">
        <w:rPr>
          <w:i/>
          <w:iCs/>
          <w:spacing w:val="-7"/>
          <w:rtl/>
        </w:rPr>
        <w:t>تاريخ تقديم البلاغ:</w:t>
      </w:r>
      <w:r w:rsidRPr="00E42922">
        <w:rPr>
          <w:spacing w:val="-7"/>
          <w:rtl/>
        </w:rPr>
        <w:tab/>
      </w:r>
      <w:r w:rsidRPr="009E6058">
        <w:rPr>
          <w:spacing w:val="-7"/>
          <w:rtl/>
        </w:rPr>
        <w:t>10</w:t>
      </w:r>
      <w:r w:rsidRPr="00E42922">
        <w:rPr>
          <w:spacing w:val="-7"/>
          <w:rtl/>
        </w:rPr>
        <w:t xml:space="preserve"> تشرين الأوّل/أكتوبر</w:t>
      </w:r>
      <w:r w:rsidR="00E42922" w:rsidRPr="00E42922">
        <w:rPr>
          <w:rFonts w:hint="cs"/>
          <w:spacing w:val="-7"/>
          <w:rtl/>
        </w:rPr>
        <w:t xml:space="preserve"> </w:t>
      </w:r>
      <w:r w:rsidRPr="009E6058">
        <w:rPr>
          <w:spacing w:val="-7"/>
          <w:rtl/>
        </w:rPr>
        <w:t>2016</w:t>
      </w:r>
      <w:r w:rsidRPr="00E42922">
        <w:rPr>
          <w:spacing w:val="-7"/>
          <w:rtl/>
        </w:rPr>
        <w:t xml:space="preserve"> (تاريخ تقديم الرسالة الأولى)</w:t>
      </w:r>
    </w:p>
    <w:p w14:paraId="450B50D3" w14:textId="5B02760F" w:rsidR="00F419FD" w:rsidRPr="00E42922" w:rsidRDefault="00F419FD" w:rsidP="00E42922">
      <w:pPr>
        <w:pStyle w:val="SingleTxtGA"/>
        <w:tabs>
          <w:tab w:val="clear" w:pos="1928"/>
          <w:tab w:val="clear" w:pos="2608"/>
          <w:tab w:val="clear" w:pos="3289"/>
          <w:tab w:val="clear" w:pos="3969"/>
          <w:tab w:val="clear" w:pos="4649"/>
          <w:tab w:val="clear" w:pos="5330"/>
        </w:tabs>
        <w:ind w:left="4650" w:hanging="2722"/>
        <w:rPr>
          <w:spacing w:val="-2"/>
        </w:rPr>
      </w:pPr>
      <w:r w:rsidRPr="009E6058">
        <w:rPr>
          <w:i/>
          <w:iCs/>
          <w:spacing w:val="-2"/>
          <w:rtl/>
        </w:rPr>
        <w:t>الوثائق المرجعية:</w:t>
      </w:r>
      <w:r w:rsidRPr="00E42922">
        <w:rPr>
          <w:spacing w:val="-2"/>
          <w:rtl/>
        </w:rPr>
        <w:tab/>
        <w:t xml:space="preserve">القرار المتّخذ بموجب المادة </w:t>
      </w:r>
      <w:r w:rsidRPr="009E6058">
        <w:rPr>
          <w:spacing w:val="-2"/>
          <w:rtl/>
        </w:rPr>
        <w:t>92</w:t>
      </w:r>
      <w:r w:rsidRPr="00E42922">
        <w:rPr>
          <w:spacing w:val="-2"/>
          <w:rtl/>
        </w:rPr>
        <w:t xml:space="preserve"> من النظام الداخلي للّجنة، والمحال إلى الدولة الطرف في </w:t>
      </w:r>
      <w:r w:rsidRPr="009E6058">
        <w:rPr>
          <w:spacing w:val="-2"/>
          <w:rtl/>
        </w:rPr>
        <w:t>22</w:t>
      </w:r>
      <w:r w:rsidRPr="00E42922">
        <w:rPr>
          <w:spacing w:val="-2"/>
          <w:rtl/>
        </w:rPr>
        <w:t xml:space="preserve"> تشرين الثاني/</w:t>
      </w:r>
      <w:r w:rsidR="00E42922">
        <w:rPr>
          <w:rFonts w:hint="cs"/>
          <w:spacing w:val="-2"/>
          <w:rtl/>
        </w:rPr>
        <w:t xml:space="preserve"> </w:t>
      </w:r>
      <w:r w:rsidRPr="00E42922">
        <w:rPr>
          <w:spacing w:val="-2"/>
          <w:rtl/>
        </w:rPr>
        <w:t xml:space="preserve">نوفمبر </w:t>
      </w:r>
      <w:r w:rsidRPr="009E6058">
        <w:rPr>
          <w:spacing w:val="-2"/>
          <w:rtl/>
        </w:rPr>
        <w:t>2016</w:t>
      </w:r>
      <w:r w:rsidRPr="00E42922">
        <w:rPr>
          <w:spacing w:val="-2"/>
          <w:rtl/>
        </w:rPr>
        <w:t xml:space="preserve"> (لم يصدر في شكل وثيقة)</w:t>
      </w:r>
    </w:p>
    <w:p w14:paraId="5E2878FB" w14:textId="2EB8B346"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تاريخ اعتماد الآراء:</w:t>
      </w:r>
      <w:r>
        <w:rPr>
          <w:rtl/>
        </w:rPr>
        <w:tab/>
      </w:r>
      <w:r w:rsidRPr="009E6058">
        <w:rPr>
          <w:rtl/>
        </w:rPr>
        <w:t>15</w:t>
      </w:r>
      <w:r w:rsidRPr="00F419FD">
        <w:rPr>
          <w:rtl/>
        </w:rPr>
        <w:t xml:space="preserve"> آذار/مارس </w:t>
      </w:r>
      <w:r w:rsidRPr="009E6058">
        <w:rPr>
          <w:rtl/>
        </w:rPr>
        <w:t>2022</w:t>
      </w:r>
    </w:p>
    <w:p w14:paraId="51B61637" w14:textId="363A0F08"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الموضوع:</w:t>
      </w:r>
      <w:r>
        <w:rPr>
          <w:rtl/>
        </w:rPr>
        <w:tab/>
      </w:r>
      <w:r w:rsidRPr="00F419FD">
        <w:rPr>
          <w:rtl/>
        </w:rPr>
        <w:t xml:space="preserve">رفض التصريح لصاحبة البلاغ بتنفيذ اعتصام فردي. </w:t>
      </w:r>
    </w:p>
    <w:p w14:paraId="517F1E6F" w14:textId="128BA8DE"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المسائل الإجرائية:</w:t>
      </w:r>
      <w:r>
        <w:rPr>
          <w:rtl/>
        </w:rPr>
        <w:tab/>
      </w:r>
      <w:r w:rsidRPr="00F419FD">
        <w:rPr>
          <w:rtl/>
        </w:rPr>
        <w:t>عدم استنفاد سبل الانتصاف المحلية</w:t>
      </w:r>
    </w:p>
    <w:p w14:paraId="14BF7C17" w14:textId="5D1B7BD0" w:rsidR="00F419FD" w:rsidRPr="00E42922" w:rsidRDefault="00F419FD" w:rsidP="00E42922">
      <w:pPr>
        <w:pStyle w:val="SingleTxtGA"/>
        <w:tabs>
          <w:tab w:val="clear" w:pos="1928"/>
          <w:tab w:val="clear" w:pos="2608"/>
          <w:tab w:val="clear" w:pos="3289"/>
          <w:tab w:val="clear" w:pos="3969"/>
          <w:tab w:val="clear" w:pos="4649"/>
          <w:tab w:val="clear" w:pos="5330"/>
        </w:tabs>
        <w:ind w:left="4650" w:hanging="2722"/>
        <w:rPr>
          <w:spacing w:val="-2"/>
        </w:rPr>
      </w:pPr>
      <w:r w:rsidRPr="009E6058">
        <w:rPr>
          <w:i/>
          <w:iCs/>
          <w:spacing w:val="-2"/>
          <w:rtl/>
        </w:rPr>
        <w:t>المسائل الموضوعية:</w:t>
      </w:r>
      <w:r w:rsidRPr="00E42922">
        <w:rPr>
          <w:spacing w:val="-2"/>
          <w:rtl/>
        </w:rPr>
        <w:tab/>
        <w:t>حرية التعبير، وحرية التجمّع، والتمييز، والمحاكمة العادلة</w:t>
      </w:r>
    </w:p>
    <w:p w14:paraId="11084A30" w14:textId="7F09FC0E"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مواد العهد:</w:t>
      </w:r>
      <w:r>
        <w:rPr>
          <w:rtl/>
        </w:rPr>
        <w:tab/>
      </w:r>
      <w:r w:rsidRPr="009E6058">
        <w:rPr>
          <w:rtl/>
        </w:rPr>
        <w:t>2</w:t>
      </w:r>
      <w:r w:rsidRPr="00F419FD">
        <w:rPr>
          <w:rtl/>
        </w:rPr>
        <w:t xml:space="preserve"> و</w:t>
      </w:r>
      <w:r w:rsidRPr="009E6058">
        <w:rPr>
          <w:rtl/>
        </w:rPr>
        <w:t>14</w:t>
      </w:r>
      <w:r w:rsidRPr="00F419FD">
        <w:rPr>
          <w:rtl/>
        </w:rPr>
        <w:t>(</w:t>
      </w:r>
      <w:r w:rsidR="00136789" w:rsidRPr="009E6058">
        <w:rPr>
          <w:rtl/>
        </w:rPr>
        <w:t>1</w:t>
      </w:r>
      <w:r w:rsidR="00136789" w:rsidRPr="00136789">
        <w:rPr>
          <w:rtl/>
        </w:rPr>
        <w:t xml:space="preserve">) </w:t>
      </w:r>
      <w:r w:rsidRPr="00F419FD">
        <w:rPr>
          <w:rtl/>
        </w:rPr>
        <w:t>و</w:t>
      </w:r>
      <w:r w:rsidRPr="009E6058">
        <w:rPr>
          <w:rtl/>
        </w:rPr>
        <w:t>19</w:t>
      </w:r>
      <w:r w:rsidRPr="00F419FD">
        <w:rPr>
          <w:rtl/>
        </w:rPr>
        <w:t xml:space="preserve"> و</w:t>
      </w:r>
      <w:r w:rsidRPr="009E6058">
        <w:rPr>
          <w:rtl/>
        </w:rPr>
        <w:t>21</w:t>
      </w:r>
      <w:r>
        <w:rPr>
          <w:rtl/>
        </w:rPr>
        <w:t xml:space="preserve"> و</w:t>
      </w:r>
      <w:r w:rsidRPr="009E6058">
        <w:rPr>
          <w:rtl/>
        </w:rPr>
        <w:t>26</w:t>
      </w:r>
    </w:p>
    <w:p w14:paraId="0612C006" w14:textId="11794AD2" w:rsidR="00F419FD" w:rsidRPr="00F419FD" w:rsidRDefault="00F419FD" w:rsidP="00E42922">
      <w:pPr>
        <w:pStyle w:val="SingleTxtGA"/>
        <w:tabs>
          <w:tab w:val="clear" w:pos="1928"/>
          <w:tab w:val="clear" w:pos="2608"/>
          <w:tab w:val="clear" w:pos="3289"/>
          <w:tab w:val="clear" w:pos="3969"/>
          <w:tab w:val="clear" w:pos="4649"/>
          <w:tab w:val="clear" w:pos="5330"/>
        </w:tabs>
        <w:ind w:left="4650" w:hanging="2722"/>
      </w:pPr>
      <w:r w:rsidRPr="009E6058">
        <w:rPr>
          <w:i/>
          <w:iCs/>
          <w:rtl/>
        </w:rPr>
        <w:t>مواد البروتوكول الاختياري:</w:t>
      </w:r>
      <w:r>
        <w:rPr>
          <w:rtl/>
        </w:rPr>
        <w:tab/>
      </w:r>
      <w:r w:rsidRPr="009E6058">
        <w:rPr>
          <w:rtl/>
        </w:rPr>
        <w:t>5</w:t>
      </w:r>
      <w:r w:rsidRPr="00F419FD">
        <w:rPr>
          <w:rtl/>
        </w:rPr>
        <w:t>(</w:t>
      </w:r>
      <w:r w:rsidRPr="009E6058">
        <w:rPr>
          <w:rtl/>
        </w:rPr>
        <w:t>2</w:t>
      </w:r>
      <w:r w:rsidRPr="00F419FD">
        <w:rPr>
          <w:rtl/>
        </w:rPr>
        <w:t>)(ب)</w:t>
      </w:r>
    </w:p>
    <w:p w14:paraId="185D5C95" w14:textId="1AE3AB03" w:rsidR="00F419FD" w:rsidRPr="00DA0BE4" w:rsidRDefault="00F419FD" w:rsidP="00C45740">
      <w:pPr>
        <w:pStyle w:val="SingleTxtGA"/>
        <w:spacing w:before="240" w:after="100"/>
        <w:rPr>
          <w:spacing w:val="-2"/>
        </w:rPr>
      </w:pPr>
      <w:r w:rsidRPr="009E6058">
        <w:rPr>
          <w:spacing w:val="-2"/>
          <w:rtl/>
        </w:rPr>
        <w:t>1</w:t>
      </w:r>
      <w:r w:rsidRPr="00DA0BE4">
        <w:rPr>
          <w:spacing w:val="-2"/>
          <w:rtl/>
        </w:rPr>
        <w:t>-</w:t>
      </w:r>
      <w:r w:rsidRPr="00DA0BE4">
        <w:rPr>
          <w:spacing w:val="-2"/>
          <w:rtl/>
        </w:rPr>
        <w:tab/>
        <w:t>صاحبة البلاغ هي نينا إركا</w:t>
      </w:r>
      <w:r w:rsidR="00C45740">
        <w:rPr>
          <w:rFonts w:hint="cs"/>
          <w:spacing w:val="-2"/>
          <w:rtl/>
        </w:rPr>
        <w:t>ي</w:t>
      </w:r>
      <w:r w:rsidRPr="00DA0BE4">
        <w:rPr>
          <w:spacing w:val="-2"/>
          <w:rtl/>
        </w:rPr>
        <w:t xml:space="preserve">يفا، مواطنة كازاخستانية ولدت في عام </w:t>
      </w:r>
      <w:r w:rsidRPr="009E6058">
        <w:rPr>
          <w:spacing w:val="-2"/>
          <w:rtl/>
        </w:rPr>
        <w:t>196</w:t>
      </w:r>
      <w:r w:rsidR="00136789" w:rsidRPr="009E6058">
        <w:rPr>
          <w:spacing w:val="-2"/>
          <w:rtl/>
        </w:rPr>
        <w:t>1</w:t>
      </w:r>
      <w:r w:rsidR="00136789" w:rsidRPr="00136789">
        <w:rPr>
          <w:spacing w:val="-2"/>
          <w:rtl/>
        </w:rPr>
        <w:t xml:space="preserve">. </w:t>
      </w:r>
      <w:r w:rsidRPr="00DA0BE4">
        <w:rPr>
          <w:spacing w:val="-2"/>
          <w:rtl/>
        </w:rPr>
        <w:t xml:space="preserve">وهي تدّعي أن الدولة الطرف انتهكت حقوقها بموجب المواد </w:t>
      </w:r>
      <w:r w:rsidRPr="009E6058">
        <w:rPr>
          <w:spacing w:val="-2"/>
          <w:rtl/>
        </w:rPr>
        <w:t>2</w:t>
      </w:r>
      <w:r w:rsidRPr="00DA0BE4">
        <w:rPr>
          <w:spacing w:val="-2"/>
          <w:rtl/>
        </w:rPr>
        <w:t xml:space="preserve"> و</w:t>
      </w:r>
      <w:r w:rsidRPr="009E6058">
        <w:rPr>
          <w:spacing w:val="-2"/>
          <w:rtl/>
        </w:rPr>
        <w:t>14</w:t>
      </w:r>
      <w:r w:rsidRPr="00DA0BE4">
        <w:rPr>
          <w:spacing w:val="-2"/>
          <w:rtl/>
        </w:rPr>
        <w:t>(</w:t>
      </w:r>
      <w:r w:rsidR="00136789" w:rsidRPr="009E6058">
        <w:rPr>
          <w:spacing w:val="-2"/>
          <w:rtl/>
        </w:rPr>
        <w:t>1</w:t>
      </w:r>
      <w:r w:rsidR="00136789" w:rsidRPr="00136789">
        <w:rPr>
          <w:spacing w:val="-2"/>
          <w:rtl/>
        </w:rPr>
        <w:t xml:space="preserve">) </w:t>
      </w:r>
      <w:r w:rsidRPr="00DA0BE4">
        <w:rPr>
          <w:spacing w:val="-2"/>
          <w:rtl/>
        </w:rPr>
        <w:t>و</w:t>
      </w:r>
      <w:r w:rsidRPr="009E6058">
        <w:rPr>
          <w:spacing w:val="-2"/>
          <w:rtl/>
        </w:rPr>
        <w:t>19</w:t>
      </w:r>
      <w:r w:rsidRPr="00DA0BE4">
        <w:rPr>
          <w:spacing w:val="-2"/>
          <w:rtl/>
        </w:rPr>
        <w:t xml:space="preserve"> و</w:t>
      </w:r>
      <w:r w:rsidRPr="009E6058">
        <w:rPr>
          <w:spacing w:val="-2"/>
          <w:rtl/>
        </w:rPr>
        <w:t>21</w:t>
      </w:r>
      <w:r w:rsidRPr="00DA0BE4">
        <w:rPr>
          <w:spacing w:val="-2"/>
          <w:rtl/>
        </w:rPr>
        <w:t xml:space="preserve"> و</w:t>
      </w:r>
      <w:r w:rsidRPr="009E6058">
        <w:rPr>
          <w:spacing w:val="-2"/>
          <w:rtl/>
        </w:rPr>
        <w:t>26</w:t>
      </w:r>
      <w:r w:rsidRPr="00DA0BE4">
        <w:rPr>
          <w:spacing w:val="-2"/>
          <w:rtl/>
        </w:rPr>
        <w:t xml:space="preserve"> مقروءة بالاقتران مع المادة </w:t>
      </w:r>
      <w:r w:rsidRPr="009E6058">
        <w:rPr>
          <w:spacing w:val="-2"/>
          <w:rtl/>
        </w:rPr>
        <w:t>2</w:t>
      </w:r>
      <w:r w:rsidRPr="00DA0BE4">
        <w:rPr>
          <w:spacing w:val="-2"/>
          <w:rtl/>
        </w:rPr>
        <w:t xml:space="preserve"> من العهد. وقد دخل البروتوكول الاختياري حيز النفاذ بالنسبة إلى الدولة الطرف في </w:t>
      </w:r>
      <w:r w:rsidRPr="009E6058">
        <w:rPr>
          <w:spacing w:val="-2"/>
          <w:rtl/>
        </w:rPr>
        <w:t>30</w:t>
      </w:r>
      <w:r w:rsidRPr="00DA0BE4">
        <w:rPr>
          <w:spacing w:val="-2"/>
          <w:rtl/>
        </w:rPr>
        <w:t xml:space="preserve"> أيلول/سبتمبر </w:t>
      </w:r>
      <w:r w:rsidRPr="009E6058">
        <w:rPr>
          <w:spacing w:val="-2"/>
          <w:rtl/>
        </w:rPr>
        <w:t>200</w:t>
      </w:r>
      <w:r w:rsidR="00136789" w:rsidRPr="009E6058">
        <w:rPr>
          <w:spacing w:val="-2"/>
          <w:rtl/>
        </w:rPr>
        <w:t>9</w:t>
      </w:r>
      <w:r w:rsidR="00136789" w:rsidRPr="00136789">
        <w:rPr>
          <w:spacing w:val="-2"/>
          <w:rtl/>
        </w:rPr>
        <w:t xml:space="preserve">. </w:t>
      </w:r>
      <w:r w:rsidRPr="00DA0BE4">
        <w:rPr>
          <w:spacing w:val="-2"/>
          <w:rtl/>
        </w:rPr>
        <w:t xml:space="preserve">ويمثل صاحبَة البلاغ محام. </w:t>
      </w:r>
    </w:p>
    <w:p w14:paraId="50B56EA9" w14:textId="77777777" w:rsidR="00F419FD" w:rsidRPr="009E6058" w:rsidRDefault="00F419FD" w:rsidP="00F419FD">
      <w:pPr>
        <w:pStyle w:val="H23GA"/>
      </w:pPr>
      <w:r w:rsidRPr="009E6058">
        <w:rPr>
          <w:rtl/>
        </w:rPr>
        <w:lastRenderedPageBreak/>
        <w:tab/>
      </w:r>
      <w:r w:rsidRPr="009E6058">
        <w:rPr>
          <w:rtl/>
        </w:rPr>
        <w:tab/>
        <w:t>الوقائع كما عرضتها صاحبة البلاغ</w:t>
      </w:r>
    </w:p>
    <w:p w14:paraId="5B631B84" w14:textId="727F5B6F" w:rsidR="00F419FD" w:rsidRPr="00F419FD" w:rsidRDefault="00C45740" w:rsidP="00F419FD">
      <w:pPr>
        <w:pStyle w:val="SingleTxtGA"/>
      </w:pPr>
      <w:r>
        <w:rPr>
          <w:rFonts w:hint="cs"/>
          <w:rtl/>
        </w:rPr>
        <w:t>2-1</w:t>
      </w:r>
      <w:r w:rsidR="00F419FD" w:rsidRPr="00F419FD">
        <w:rPr>
          <w:rtl/>
        </w:rPr>
        <w:tab/>
        <w:t xml:space="preserve">تؤكد صاحبة البلاغ أنها شاهدت في كانون الأول/ديسمبر </w:t>
      </w:r>
      <w:r w:rsidR="00F419FD" w:rsidRPr="009E6058">
        <w:rPr>
          <w:rtl/>
        </w:rPr>
        <w:t>2014</w:t>
      </w:r>
      <w:r w:rsidR="00F419FD" w:rsidRPr="00F419FD">
        <w:rPr>
          <w:rtl/>
        </w:rPr>
        <w:t>، في مدينة كاراغاندا، لوحة إعلانية تروج لخدمات مركز فيكتوريا لإعادة التأهيل، الذي وعد بتقديم المساعدة لضحايا "التأثير الديني السلبي". وشعرت صاحبة البلاغ بالإهانة بسبب الكلمات التي وردت على اللوحة الإعلانية، فالتمست في</w:t>
      </w:r>
      <w:r w:rsidR="00DA0BE4">
        <w:rPr>
          <w:rFonts w:hint="cs"/>
          <w:rtl/>
        </w:rPr>
        <w:t> </w:t>
      </w:r>
      <w:r w:rsidR="00F419FD" w:rsidRPr="009E6058">
        <w:rPr>
          <w:rtl/>
        </w:rPr>
        <w:t>15</w:t>
      </w:r>
      <w:r w:rsidR="00F419FD" w:rsidRPr="00F419FD">
        <w:rPr>
          <w:rtl/>
        </w:rPr>
        <w:t xml:space="preserve"> كانون الأول/ديسمبر </w:t>
      </w:r>
      <w:r w:rsidR="00F419FD" w:rsidRPr="009E6058">
        <w:rPr>
          <w:rtl/>
        </w:rPr>
        <w:t>2014</w:t>
      </w:r>
      <w:r w:rsidR="00F419FD" w:rsidRPr="00F419FD">
        <w:rPr>
          <w:rtl/>
        </w:rPr>
        <w:t xml:space="preserve"> من بلدية كاراغاندا تصريحا</w:t>
      </w:r>
      <w:r w:rsidR="00DA0BE4">
        <w:rPr>
          <w:rFonts w:hint="cs"/>
          <w:rtl/>
        </w:rPr>
        <w:t>ً</w:t>
      </w:r>
      <w:r w:rsidR="00F419FD" w:rsidRPr="00F419FD">
        <w:rPr>
          <w:rtl/>
        </w:rPr>
        <w:t xml:space="preserve"> بتنظيم اعتصام فردي بالقرب من متجر يوبيليني في كاراغاندا، في الموقع الذي شاهدت فيه اللوحة الإعلانية المعنية، بهدف دعم "حرية الدين والضمير بوصفهما عنصرين هامين في بناء مجتمع ديمقراطي". وفي </w:t>
      </w:r>
      <w:r w:rsidR="00F419FD" w:rsidRPr="009E6058">
        <w:rPr>
          <w:rtl/>
        </w:rPr>
        <w:t>23</w:t>
      </w:r>
      <w:r w:rsidR="00F419FD" w:rsidRPr="00F419FD">
        <w:rPr>
          <w:rtl/>
        </w:rPr>
        <w:t xml:space="preserve"> كانون الأول/ديسمبر </w:t>
      </w:r>
      <w:r w:rsidR="00F419FD" w:rsidRPr="009E6058">
        <w:rPr>
          <w:rtl/>
        </w:rPr>
        <w:t>2014</w:t>
      </w:r>
      <w:r w:rsidR="00F419FD" w:rsidRPr="00F419FD">
        <w:rPr>
          <w:rtl/>
        </w:rPr>
        <w:t>، رفض رئيس البلدية طلبها، مستشهدا</w:t>
      </w:r>
      <w:r w:rsidR="00DA0BE4">
        <w:rPr>
          <w:rFonts w:hint="cs"/>
          <w:rtl/>
        </w:rPr>
        <w:t>ً</w:t>
      </w:r>
      <w:r w:rsidR="00F419FD" w:rsidRPr="00F419FD">
        <w:rPr>
          <w:rtl/>
        </w:rPr>
        <w:t xml:space="preserve"> بالقرار رقم </w:t>
      </w:r>
      <w:r w:rsidR="00F419FD" w:rsidRPr="009E6058">
        <w:rPr>
          <w:rtl/>
        </w:rPr>
        <w:t>3</w:t>
      </w:r>
      <w:r w:rsidR="00F419FD" w:rsidRPr="00F419FD">
        <w:rPr>
          <w:rtl/>
        </w:rPr>
        <w:t xml:space="preserve"> الصادر عن البلدية في </w:t>
      </w:r>
      <w:r w:rsidR="00F419FD" w:rsidRPr="009E6058">
        <w:rPr>
          <w:rtl/>
        </w:rPr>
        <w:t>13</w:t>
      </w:r>
      <w:r w:rsidR="00F419FD" w:rsidRPr="00F419FD">
        <w:rPr>
          <w:rtl/>
        </w:rPr>
        <w:t xml:space="preserve"> تموز/يوليه </w:t>
      </w:r>
      <w:r w:rsidR="00F419FD" w:rsidRPr="009E6058">
        <w:rPr>
          <w:rtl/>
        </w:rPr>
        <w:t>200</w:t>
      </w:r>
      <w:r w:rsidR="00136789" w:rsidRPr="009E6058">
        <w:rPr>
          <w:rtl/>
        </w:rPr>
        <w:t>7</w:t>
      </w:r>
      <w:r w:rsidR="00136789" w:rsidRPr="00136789">
        <w:rPr>
          <w:rtl/>
        </w:rPr>
        <w:t xml:space="preserve">. </w:t>
      </w:r>
    </w:p>
    <w:p w14:paraId="042373CB" w14:textId="77777777" w:rsidR="00F419FD" w:rsidRPr="00F419FD" w:rsidRDefault="00F419FD" w:rsidP="00F419FD">
      <w:pPr>
        <w:pStyle w:val="SingleTxtGA"/>
      </w:pPr>
      <w:r w:rsidRPr="009E6058">
        <w:rPr>
          <w:rtl/>
        </w:rPr>
        <w:t>2</w:t>
      </w:r>
      <w:r w:rsidRPr="00F419FD">
        <w:rPr>
          <w:rtl/>
        </w:rPr>
        <w:t>-</w:t>
      </w:r>
      <w:r w:rsidRPr="009E6058">
        <w:rPr>
          <w:rtl/>
        </w:rPr>
        <w:t>2</w:t>
      </w:r>
      <w:r w:rsidRPr="00F419FD">
        <w:rPr>
          <w:rtl/>
        </w:rPr>
        <w:tab/>
        <w:t xml:space="preserve">وينص القرار رقم </w:t>
      </w:r>
      <w:r w:rsidRPr="009E6058">
        <w:rPr>
          <w:rtl/>
        </w:rPr>
        <w:t>3</w:t>
      </w:r>
      <w:r w:rsidRPr="00F419FD">
        <w:rPr>
          <w:rtl/>
        </w:rPr>
        <w:t xml:space="preserve"> على أن الأحداث العامة مثل الاعتصامات والمظاهرات التي يقوم بها المواطنون العاديون لا تقام إلا بالقرب من ملعب لايتيشيك في ضواحي المدينة. إلاّ أنّ القرار نفسه يسمح للمسؤولين الحكوميين بعقد فعالياتهم في وسط المدينة. واستأنفت صاحبة البلاغ هذا القرار السلبي أمام محكمة كازيكبيكبي المحلية. ورفضت المحاكم ادعاءات صاحبة البلاغ في المرحلة الابتدائيّة والاستئناف والنقض في </w:t>
      </w:r>
      <w:r w:rsidRPr="009E6058">
        <w:rPr>
          <w:rtl/>
        </w:rPr>
        <w:t>17</w:t>
      </w:r>
      <w:r w:rsidRPr="00F419FD">
        <w:rPr>
          <w:rtl/>
        </w:rPr>
        <w:t xml:space="preserve"> شباط/فبراير و</w:t>
      </w:r>
      <w:r w:rsidRPr="009E6058">
        <w:rPr>
          <w:rtl/>
        </w:rPr>
        <w:t>30</w:t>
      </w:r>
      <w:r w:rsidRPr="00F419FD">
        <w:rPr>
          <w:rtl/>
        </w:rPr>
        <w:t xml:space="preserve"> نيسان/أبريل و</w:t>
      </w:r>
      <w:r w:rsidRPr="009E6058">
        <w:rPr>
          <w:rtl/>
        </w:rPr>
        <w:t>2</w:t>
      </w:r>
      <w:r w:rsidRPr="00F419FD">
        <w:rPr>
          <w:rtl/>
        </w:rPr>
        <w:t xml:space="preserve"> كانون الأول/ديسمبر </w:t>
      </w:r>
      <w:r w:rsidRPr="009E6058">
        <w:rPr>
          <w:rtl/>
        </w:rPr>
        <w:t>2015</w:t>
      </w:r>
      <w:r w:rsidRPr="00F419FD">
        <w:rPr>
          <w:rtl/>
        </w:rPr>
        <w:t xml:space="preserve"> على التوالي. وأيّدت المحاكم قرارات البلدية ولم تجد أي انتهاكات لحقوق صاحبة البلاغ في المساواة وعدم التمييز. </w:t>
      </w:r>
    </w:p>
    <w:p w14:paraId="5F1DE83E" w14:textId="35B42B54" w:rsidR="00F419FD" w:rsidRPr="00F419FD" w:rsidRDefault="00F419FD" w:rsidP="00F419FD">
      <w:pPr>
        <w:pStyle w:val="SingleTxtGA"/>
      </w:pPr>
      <w:r w:rsidRPr="009E6058">
        <w:rPr>
          <w:rtl/>
        </w:rPr>
        <w:t>2</w:t>
      </w:r>
      <w:r w:rsidRPr="00F419FD">
        <w:rPr>
          <w:rtl/>
        </w:rPr>
        <w:t>-</w:t>
      </w:r>
      <w:r w:rsidRPr="009E6058">
        <w:rPr>
          <w:rtl/>
        </w:rPr>
        <w:t>3</w:t>
      </w:r>
      <w:r w:rsidRPr="00F419FD">
        <w:rPr>
          <w:rtl/>
        </w:rPr>
        <w:tab/>
        <w:t>وتقر صاحبة البلاغ بأن للبلدية الحق في إدارة المظاهرات. لكنها تدعي أن ملعب لايتيشيك يقع في ضواحي المدينة</w:t>
      </w:r>
      <w:r>
        <w:rPr>
          <w:rtl/>
        </w:rPr>
        <w:t>،</w:t>
      </w:r>
      <w:r w:rsidRPr="00F419FD">
        <w:rPr>
          <w:rtl/>
        </w:rPr>
        <w:t xml:space="preserve"> وأنّه ملعب مهجور</w:t>
      </w:r>
      <w:r>
        <w:rPr>
          <w:rtl/>
        </w:rPr>
        <w:t>،</w:t>
      </w:r>
      <w:r w:rsidRPr="00F419FD">
        <w:rPr>
          <w:rtl/>
        </w:rPr>
        <w:t xml:space="preserve"> لم يُستخدم لفترة طويلة</w:t>
      </w:r>
      <w:r>
        <w:rPr>
          <w:rtl/>
        </w:rPr>
        <w:t>،</w:t>
      </w:r>
      <w:r w:rsidRPr="00F419FD">
        <w:rPr>
          <w:rtl/>
        </w:rPr>
        <w:t xml:space="preserve"> ولم يُنظف من الثلوج وليس مخصصا</w:t>
      </w:r>
      <w:r w:rsidR="00DA0BE4">
        <w:rPr>
          <w:rFonts w:hint="cs"/>
          <w:rtl/>
        </w:rPr>
        <w:t>ً</w:t>
      </w:r>
      <w:r w:rsidRPr="00F419FD">
        <w:rPr>
          <w:rtl/>
        </w:rPr>
        <w:t xml:space="preserve"> للمظاهرات. وتدّعي صاحبة البلاغ أنه لن يحضر أحد المظاهرات هناك. وتزعم صاحبة البلاغ أن هذه القيود تعسفية وتهدف إلى تقييد حقها في تنظيم اعتصام سلمي. كما أنّ هذه القيود لم توضع</w:t>
      </w:r>
      <w:r>
        <w:rPr>
          <w:rtl/>
        </w:rPr>
        <w:t xml:space="preserve"> </w:t>
      </w:r>
      <w:r w:rsidRPr="00F419FD">
        <w:rPr>
          <w:rtl/>
        </w:rPr>
        <w:t>لحفظ مصالح الأمن القومي، أو السلامة العامة، أو النظام العام، أو لحماية الصحة العامة، أو الأخلاق</w:t>
      </w:r>
      <w:r>
        <w:rPr>
          <w:rtl/>
        </w:rPr>
        <w:t>،</w:t>
      </w:r>
      <w:r w:rsidRPr="00F419FD">
        <w:rPr>
          <w:rtl/>
        </w:rPr>
        <w:t xml:space="preserve"> أو حقوق الآخرين وحرياتهم. </w:t>
      </w:r>
    </w:p>
    <w:p w14:paraId="196386E4" w14:textId="77777777" w:rsidR="00F419FD" w:rsidRPr="009E6058" w:rsidRDefault="00F419FD" w:rsidP="00F419FD">
      <w:pPr>
        <w:pStyle w:val="H23GA"/>
      </w:pPr>
      <w:r w:rsidRPr="009E6058">
        <w:rPr>
          <w:rtl/>
        </w:rPr>
        <w:tab/>
      </w:r>
      <w:r w:rsidRPr="009E6058">
        <w:rPr>
          <w:rtl/>
        </w:rPr>
        <w:tab/>
        <w:t>الشكوى</w:t>
      </w:r>
    </w:p>
    <w:p w14:paraId="1A3A8FAE" w14:textId="50F22308" w:rsidR="00F419FD" w:rsidRPr="00F419FD" w:rsidRDefault="00F419FD" w:rsidP="00F419FD">
      <w:pPr>
        <w:pStyle w:val="SingleTxtGA"/>
      </w:pPr>
      <w:r w:rsidRPr="009E6058">
        <w:rPr>
          <w:rtl/>
        </w:rPr>
        <w:t>3</w:t>
      </w:r>
      <w:r w:rsidRPr="00F419FD">
        <w:rPr>
          <w:rtl/>
        </w:rPr>
        <w:t>-</w:t>
      </w:r>
      <w:r w:rsidRPr="009E6058">
        <w:rPr>
          <w:rtl/>
        </w:rPr>
        <w:t>1</w:t>
      </w:r>
      <w:r w:rsidRPr="00F419FD">
        <w:rPr>
          <w:rtl/>
        </w:rPr>
        <w:tab/>
        <w:t xml:space="preserve">تدعي صاحبة البلاغ أن حقوقها بموجب المادة </w:t>
      </w:r>
      <w:r w:rsidRPr="009E6058">
        <w:rPr>
          <w:rtl/>
        </w:rPr>
        <w:t>14</w:t>
      </w:r>
      <w:r w:rsidRPr="00F419FD">
        <w:rPr>
          <w:rtl/>
        </w:rPr>
        <w:t xml:space="preserve"> قد انتهكت، لأن الدولة الطرف لم تكفل نزاهة المحاكم</w:t>
      </w:r>
      <w:r>
        <w:rPr>
          <w:rtl/>
        </w:rPr>
        <w:t xml:space="preserve"> و</w:t>
      </w:r>
      <w:r w:rsidRPr="00F419FD">
        <w:rPr>
          <w:rtl/>
        </w:rPr>
        <w:t>استقلالها</w:t>
      </w:r>
      <w:r>
        <w:rPr>
          <w:rtl/>
        </w:rPr>
        <w:t xml:space="preserve"> و</w:t>
      </w:r>
      <w:r w:rsidRPr="00F419FD">
        <w:rPr>
          <w:rtl/>
        </w:rPr>
        <w:t xml:space="preserve">عدلها. وخلال جلسات الاستماع، قدّم ممثلو مكتب المدعي العام "استنتاجاتهم"، ولما كانت المحاكم تعتبر هذه الآراء "ذات أولوية" فإن ذلك ينتهك حقوق صاحبة البلاغ المكفولة بموجب المادة </w:t>
      </w:r>
      <w:r w:rsidRPr="009E6058">
        <w:rPr>
          <w:rtl/>
        </w:rPr>
        <w:t>14</w:t>
      </w:r>
      <w:r w:rsidRPr="00F419FD">
        <w:rPr>
          <w:rtl/>
        </w:rPr>
        <w:t>(</w:t>
      </w:r>
      <w:r w:rsidR="00136789" w:rsidRPr="009E6058">
        <w:rPr>
          <w:rtl/>
        </w:rPr>
        <w:t>1</w:t>
      </w:r>
      <w:r w:rsidR="00136789" w:rsidRPr="00136789">
        <w:rPr>
          <w:rtl/>
        </w:rPr>
        <w:t xml:space="preserve">) </w:t>
      </w:r>
      <w:r w:rsidRPr="00F419FD">
        <w:rPr>
          <w:rtl/>
        </w:rPr>
        <w:t xml:space="preserve">من العهد. </w:t>
      </w:r>
    </w:p>
    <w:p w14:paraId="53A6B830" w14:textId="63C3AFC6" w:rsidR="00F419FD" w:rsidRPr="00F419FD" w:rsidRDefault="00F419FD" w:rsidP="00F419FD">
      <w:pPr>
        <w:pStyle w:val="SingleTxtGA"/>
      </w:pPr>
      <w:r w:rsidRPr="009E6058">
        <w:rPr>
          <w:rtl/>
        </w:rPr>
        <w:t>3</w:t>
      </w:r>
      <w:r w:rsidRPr="00F419FD">
        <w:rPr>
          <w:rtl/>
        </w:rPr>
        <w:t>-</w:t>
      </w:r>
      <w:r w:rsidRPr="009E6058">
        <w:rPr>
          <w:rtl/>
        </w:rPr>
        <w:t>2</w:t>
      </w:r>
      <w:r w:rsidRPr="00F419FD">
        <w:rPr>
          <w:rtl/>
        </w:rPr>
        <w:tab/>
        <w:t xml:space="preserve">وتدعي صاحبة البلاغ أن الدولة الطرف قيدت حقها في حرية التعبير بموجب المادة </w:t>
      </w:r>
      <w:r w:rsidRPr="009E6058">
        <w:rPr>
          <w:rtl/>
        </w:rPr>
        <w:t>19</w:t>
      </w:r>
      <w:r w:rsidRPr="00F419FD">
        <w:rPr>
          <w:rtl/>
        </w:rPr>
        <w:t xml:space="preserve"> من العهد، لأنها كانت تخطط للاحتجاج على محتويات اللوحة الإعلانية التي شاهدتها. وأضافت أنّ تقييد حقوقها ليس ضروريّا</w:t>
      </w:r>
      <w:r w:rsidR="00DA0BE4">
        <w:rPr>
          <w:rFonts w:hint="cs"/>
          <w:rtl/>
        </w:rPr>
        <w:t>ً</w:t>
      </w:r>
      <w:r w:rsidRPr="00F419FD">
        <w:rPr>
          <w:rtl/>
        </w:rPr>
        <w:t xml:space="preserve"> لتحقيق الأهداف التي احتجت بها الدولة الطرف. وعلاوة على ذلك، فإن منعها من الاعتصام سلميا</w:t>
      </w:r>
      <w:r w:rsidR="00DA0BE4">
        <w:rPr>
          <w:rFonts w:hint="cs"/>
          <w:rtl/>
        </w:rPr>
        <w:t>ً</w:t>
      </w:r>
      <w:r w:rsidRPr="00F419FD">
        <w:rPr>
          <w:rtl/>
        </w:rPr>
        <w:t xml:space="preserve"> في المكان المقترح يعني أن حقوقها بموجب المادة </w:t>
      </w:r>
      <w:r w:rsidRPr="009E6058">
        <w:rPr>
          <w:rtl/>
        </w:rPr>
        <w:t>21</w:t>
      </w:r>
      <w:r w:rsidRPr="00F419FD">
        <w:rPr>
          <w:rtl/>
        </w:rPr>
        <w:t xml:space="preserve"> من العهد قد انتهكت أيضا</w:t>
      </w:r>
      <w:r w:rsidR="002A014A">
        <w:rPr>
          <w:rFonts w:hint="cs"/>
          <w:rtl/>
        </w:rPr>
        <w:t>ً</w:t>
      </w:r>
      <w:r w:rsidRPr="00F419FD">
        <w:rPr>
          <w:rtl/>
        </w:rPr>
        <w:t xml:space="preserve">. </w:t>
      </w:r>
    </w:p>
    <w:p w14:paraId="3DF4E932" w14:textId="5F7C2401" w:rsidR="00F419FD" w:rsidRPr="00DA0BE4" w:rsidRDefault="00F419FD" w:rsidP="00F419FD">
      <w:pPr>
        <w:pStyle w:val="SingleTxtGA"/>
        <w:rPr>
          <w:spacing w:val="-2"/>
        </w:rPr>
      </w:pPr>
      <w:r w:rsidRPr="009E6058">
        <w:rPr>
          <w:spacing w:val="-2"/>
          <w:rtl/>
        </w:rPr>
        <w:t>3</w:t>
      </w:r>
      <w:r w:rsidRPr="00DA0BE4">
        <w:rPr>
          <w:spacing w:val="-2"/>
          <w:rtl/>
        </w:rPr>
        <w:t>-</w:t>
      </w:r>
      <w:r w:rsidRPr="009E6058">
        <w:rPr>
          <w:spacing w:val="-2"/>
          <w:rtl/>
        </w:rPr>
        <w:t>3</w:t>
      </w:r>
      <w:r w:rsidRPr="00DA0BE4">
        <w:rPr>
          <w:spacing w:val="-2"/>
          <w:rtl/>
        </w:rPr>
        <w:tab/>
        <w:t>وتميز سلطات الدولة الطرف أيضا</w:t>
      </w:r>
      <w:r w:rsidR="00DA0BE4">
        <w:rPr>
          <w:rFonts w:hint="cs"/>
          <w:spacing w:val="-2"/>
          <w:rtl/>
        </w:rPr>
        <w:t>ً</w:t>
      </w:r>
      <w:r w:rsidRPr="00DA0BE4">
        <w:rPr>
          <w:spacing w:val="-2"/>
          <w:rtl/>
        </w:rPr>
        <w:t xml:space="preserve"> ضد المواطنين على أساس كونهم موظفين حكوميين أو</w:t>
      </w:r>
      <w:r w:rsidR="00DA0BE4">
        <w:rPr>
          <w:rFonts w:hint="cs"/>
          <w:spacing w:val="-2"/>
          <w:rtl/>
        </w:rPr>
        <w:t> </w:t>
      </w:r>
      <w:r w:rsidRPr="00DA0BE4">
        <w:rPr>
          <w:spacing w:val="-2"/>
          <w:rtl/>
        </w:rPr>
        <w:t>مواطنين عاديين. ويتضح ذلك من القاعدة التي تجيز للمسؤولين الحكوميين تنظيم الأحداث في وسط كاراغاندا، وتفرض على المنظمات غير الحكومية أن تعقد فعالياتها بالقرب من ملعب لايتيشيك، ممّا يشكل انتهاكا</w:t>
      </w:r>
      <w:r w:rsidR="00DA0BE4">
        <w:rPr>
          <w:rFonts w:hint="cs"/>
          <w:spacing w:val="-2"/>
          <w:rtl/>
        </w:rPr>
        <w:t>ً</w:t>
      </w:r>
      <w:r w:rsidRPr="00DA0BE4">
        <w:rPr>
          <w:spacing w:val="-2"/>
          <w:rtl/>
        </w:rPr>
        <w:t xml:space="preserve"> لحقوق صاحبة البلاغ بموجب المادة </w:t>
      </w:r>
      <w:r w:rsidRPr="009E6058">
        <w:rPr>
          <w:spacing w:val="-2"/>
          <w:rtl/>
        </w:rPr>
        <w:t>26</w:t>
      </w:r>
      <w:r w:rsidRPr="00DA0BE4">
        <w:rPr>
          <w:spacing w:val="-2"/>
          <w:rtl/>
        </w:rPr>
        <w:t xml:space="preserve"> من العهد. وتنتهك هذه المعاملة أيضا</w:t>
      </w:r>
      <w:r w:rsidR="00DA0BE4">
        <w:rPr>
          <w:rFonts w:hint="cs"/>
          <w:spacing w:val="-2"/>
          <w:rtl/>
        </w:rPr>
        <w:t>ً</w:t>
      </w:r>
      <w:r w:rsidRPr="00DA0BE4">
        <w:rPr>
          <w:spacing w:val="-2"/>
          <w:rtl/>
        </w:rPr>
        <w:t xml:space="preserve"> المادة </w:t>
      </w:r>
      <w:r w:rsidRPr="009E6058">
        <w:rPr>
          <w:spacing w:val="-2"/>
          <w:rtl/>
        </w:rPr>
        <w:t>2</w:t>
      </w:r>
      <w:r w:rsidRPr="00DA0BE4">
        <w:rPr>
          <w:spacing w:val="-2"/>
          <w:rtl/>
        </w:rPr>
        <w:t xml:space="preserve"> من العهد.</w:t>
      </w:r>
    </w:p>
    <w:p w14:paraId="77A3023F" w14:textId="77777777" w:rsidR="00F419FD" w:rsidRPr="009E6058" w:rsidRDefault="00F419FD" w:rsidP="00F419FD">
      <w:pPr>
        <w:pStyle w:val="H23GA"/>
      </w:pPr>
      <w:r w:rsidRPr="009E6058">
        <w:rPr>
          <w:rtl/>
        </w:rPr>
        <w:lastRenderedPageBreak/>
        <w:tab/>
      </w:r>
      <w:r w:rsidRPr="009E6058">
        <w:rPr>
          <w:rtl/>
        </w:rPr>
        <w:tab/>
        <w:t>ملاحظات الدولة الطرف بشأن مقبولية البلاغ وأسسه الموضوعية</w:t>
      </w:r>
    </w:p>
    <w:p w14:paraId="439A17FB" w14:textId="387E2464" w:rsidR="00F419FD" w:rsidRPr="00F419FD" w:rsidRDefault="00F419FD" w:rsidP="00F419FD">
      <w:pPr>
        <w:pStyle w:val="SingleTxtGA"/>
      </w:pPr>
      <w:r w:rsidRPr="009E6058">
        <w:rPr>
          <w:rtl/>
        </w:rPr>
        <w:t>4</w:t>
      </w:r>
      <w:r w:rsidRPr="00F419FD">
        <w:rPr>
          <w:rtl/>
        </w:rPr>
        <w:t>-</w:t>
      </w:r>
      <w:r w:rsidRPr="009E6058">
        <w:rPr>
          <w:rtl/>
        </w:rPr>
        <w:t>1</w:t>
      </w:r>
      <w:r w:rsidRPr="00F419FD">
        <w:rPr>
          <w:rtl/>
        </w:rPr>
        <w:tab/>
        <w:t xml:space="preserve">في </w:t>
      </w:r>
      <w:r w:rsidRPr="009E6058">
        <w:rPr>
          <w:rtl/>
        </w:rPr>
        <w:t>30</w:t>
      </w:r>
      <w:r w:rsidRPr="00F419FD">
        <w:rPr>
          <w:rtl/>
        </w:rPr>
        <w:t xml:space="preserve"> كانون الثاني/يناير </w:t>
      </w:r>
      <w:r w:rsidRPr="009E6058">
        <w:rPr>
          <w:rtl/>
        </w:rPr>
        <w:t>2017</w:t>
      </w:r>
      <w:r w:rsidRPr="00F419FD">
        <w:rPr>
          <w:rtl/>
        </w:rPr>
        <w:t xml:space="preserve">، قدمت الدولة الطرف ملاحظاتها بشأن مقبولية البلاغ وأسسه الموضوعية. وتؤكد الدولة الطرف أن صاحبة البلاغ طلبت في </w:t>
      </w:r>
      <w:r w:rsidRPr="009E6058">
        <w:rPr>
          <w:rtl/>
        </w:rPr>
        <w:t>15</w:t>
      </w:r>
      <w:r w:rsidRPr="00F419FD">
        <w:rPr>
          <w:rtl/>
        </w:rPr>
        <w:t xml:space="preserve"> كانون الأول/ديسمبر </w:t>
      </w:r>
      <w:r w:rsidRPr="009E6058">
        <w:rPr>
          <w:rtl/>
        </w:rPr>
        <w:t>2014</w:t>
      </w:r>
      <w:r w:rsidRPr="00F419FD">
        <w:rPr>
          <w:rtl/>
        </w:rPr>
        <w:t xml:space="preserve"> تصريحا</w:t>
      </w:r>
      <w:r w:rsidR="00DA0BE4">
        <w:rPr>
          <w:rFonts w:hint="cs"/>
          <w:rtl/>
        </w:rPr>
        <w:t>ً</w:t>
      </w:r>
      <w:r w:rsidRPr="00F419FD">
        <w:rPr>
          <w:rtl/>
        </w:rPr>
        <w:t xml:space="preserve"> من بلدية كاراغاندا لتنظيم احتجاج فردي بالقرب من متجر يوبيليني. ورفضت سلطات مدينة كاراغاندا إصدار التصريح، مشيرة إلى أن جميع الأحداث العامة يجب أن تقام بالقرب من ملعب لايتيشيك. وطعنت صاحبة البلاغ في هذا القرار أمام محكمة كازيكبيكبي المحلية، التي رفضت استئنافاتها. كما رفضت المحكمة العليا في كازاخستان في </w:t>
      </w:r>
      <w:r w:rsidRPr="009E6058">
        <w:rPr>
          <w:rtl/>
        </w:rPr>
        <w:t>11</w:t>
      </w:r>
      <w:r w:rsidRPr="00F419FD">
        <w:rPr>
          <w:rtl/>
        </w:rPr>
        <w:t xml:space="preserve"> نيسان/أبريل و</w:t>
      </w:r>
      <w:r w:rsidRPr="009E6058">
        <w:rPr>
          <w:rtl/>
        </w:rPr>
        <w:t>20</w:t>
      </w:r>
      <w:r w:rsidRPr="00F419FD">
        <w:rPr>
          <w:rtl/>
        </w:rPr>
        <w:t xml:space="preserve"> حزيران/يونيه </w:t>
      </w:r>
      <w:r w:rsidRPr="009E6058">
        <w:rPr>
          <w:rtl/>
        </w:rPr>
        <w:t>2016</w:t>
      </w:r>
      <w:r w:rsidRPr="00F419FD">
        <w:rPr>
          <w:rtl/>
        </w:rPr>
        <w:t xml:space="preserve"> الاستماع إلى استئناف صاحبة البلاغ بموجب إجراءات النقض. </w:t>
      </w:r>
    </w:p>
    <w:p w14:paraId="0996E402" w14:textId="061D9F2F" w:rsidR="00F419FD" w:rsidRPr="00F419FD" w:rsidRDefault="00F419FD" w:rsidP="00F419FD">
      <w:pPr>
        <w:pStyle w:val="SingleTxtGA"/>
      </w:pPr>
      <w:r w:rsidRPr="009E6058">
        <w:rPr>
          <w:rtl/>
        </w:rPr>
        <w:t>4</w:t>
      </w:r>
      <w:r w:rsidRPr="00F419FD">
        <w:rPr>
          <w:rtl/>
        </w:rPr>
        <w:t>-</w:t>
      </w:r>
      <w:r w:rsidRPr="009E6058">
        <w:rPr>
          <w:rtl/>
        </w:rPr>
        <w:t>2</w:t>
      </w:r>
      <w:r w:rsidRPr="00F419FD">
        <w:rPr>
          <w:rtl/>
        </w:rPr>
        <w:tab/>
        <w:t xml:space="preserve">وواصلت صاحبة البلاغ استئناف هذه القرارات وطلبت إلى مكتب المدعي العام في كازاخستان تقديم طلب (احتجاج) إلى المحكمة العليا في كازاخستان. وفي </w:t>
      </w:r>
      <w:r w:rsidRPr="009E6058">
        <w:rPr>
          <w:rtl/>
        </w:rPr>
        <w:t>23</w:t>
      </w:r>
      <w:r w:rsidRPr="00F419FD">
        <w:rPr>
          <w:rtl/>
        </w:rPr>
        <w:t xml:space="preserve"> آب/أغسطس </w:t>
      </w:r>
      <w:r w:rsidRPr="009E6058">
        <w:rPr>
          <w:rtl/>
        </w:rPr>
        <w:t>2016</w:t>
      </w:r>
      <w:r w:rsidRPr="00F419FD">
        <w:rPr>
          <w:rtl/>
        </w:rPr>
        <w:t>، رفض نائب المدعي العام الطلب. ولصاحبة البلاغ الحق في تقديم استئناف آخر إلى المدعي العام، ولكنها لم تمارس سبيل الانتصاف هذا غير محدود المدّة. ولم تقدم صاحبة البلاغ في مرافعتها حججا</w:t>
      </w:r>
      <w:r w:rsidR="00DA0BE4">
        <w:rPr>
          <w:rFonts w:hint="cs"/>
          <w:rtl/>
        </w:rPr>
        <w:t>ً</w:t>
      </w:r>
      <w:r w:rsidRPr="00F419FD">
        <w:rPr>
          <w:rtl/>
        </w:rPr>
        <w:t xml:space="preserve"> كافية تفيد بأن سبيل الانتصاف هذا غير فعال، ووفقا</w:t>
      </w:r>
      <w:r w:rsidR="00DA0BE4">
        <w:rPr>
          <w:rFonts w:hint="cs"/>
          <w:rtl/>
        </w:rPr>
        <w:t>ً</w:t>
      </w:r>
      <w:r w:rsidRPr="00F419FD">
        <w:rPr>
          <w:rtl/>
        </w:rPr>
        <w:t xml:space="preserve"> لاجتهادات اللجنة، فإن مجرد الشكوك بشأن فعالية سبل الانتصاف لا</w:t>
      </w:r>
      <w:r w:rsidR="00DA0BE4">
        <w:rPr>
          <w:rFonts w:hint="cs"/>
          <w:rtl/>
        </w:rPr>
        <w:t> </w:t>
      </w:r>
      <w:r w:rsidRPr="00F419FD">
        <w:rPr>
          <w:rtl/>
        </w:rPr>
        <w:t xml:space="preserve">يعفي صاحبة البلاغ من الوفاء بالتزاماتها بشأن استنفاد سبل الانتصاف المحلية. </w:t>
      </w:r>
    </w:p>
    <w:p w14:paraId="7CB5E2CF" w14:textId="39707317" w:rsidR="00F419FD" w:rsidRPr="00F419FD" w:rsidRDefault="00F419FD" w:rsidP="00F419FD">
      <w:pPr>
        <w:pStyle w:val="SingleTxtGA"/>
      </w:pPr>
      <w:r w:rsidRPr="009E6058">
        <w:rPr>
          <w:rtl/>
        </w:rPr>
        <w:t>4</w:t>
      </w:r>
      <w:r w:rsidRPr="00F419FD">
        <w:rPr>
          <w:rtl/>
        </w:rPr>
        <w:t>-</w:t>
      </w:r>
      <w:r w:rsidRPr="009E6058">
        <w:rPr>
          <w:rtl/>
        </w:rPr>
        <w:t>3</w:t>
      </w:r>
      <w:r w:rsidRPr="00F419FD">
        <w:rPr>
          <w:rtl/>
        </w:rPr>
        <w:tab/>
        <w:t>أمّا بالنسبة</w:t>
      </w:r>
      <w:r>
        <w:rPr>
          <w:rtl/>
        </w:rPr>
        <w:t xml:space="preserve"> </w:t>
      </w:r>
      <w:r w:rsidRPr="00F419FD">
        <w:rPr>
          <w:rtl/>
        </w:rPr>
        <w:t>إلى الأسس الموضوعية للبلاغ، فإن قانون تنظيم التجمعات السلمية وعقدها يسمح للسلطات المحلية بفرض شروط إضافية تنظّم التجمعات السلمية، مع مراعاة "الظروف المحلية".</w:t>
      </w:r>
      <w:r>
        <w:rPr>
          <w:rtl/>
        </w:rPr>
        <w:t xml:space="preserve"> و</w:t>
      </w:r>
      <w:r w:rsidRPr="00F419FD">
        <w:rPr>
          <w:rtl/>
        </w:rPr>
        <w:t>أخذت البلدية المحلية في الاعتبار، عند اعتماد هذه التدابير، ضرورة حماية حقوق الآخرين وحرياتهم، ومتطلبات الأمن العام،</w:t>
      </w:r>
      <w:r>
        <w:rPr>
          <w:rtl/>
        </w:rPr>
        <w:t xml:space="preserve"> و</w:t>
      </w:r>
      <w:r w:rsidRPr="00F419FD">
        <w:rPr>
          <w:rtl/>
        </w:rPr>
        <w:t>ضرورة حسن سير وسائل النقل. وطلبت صاحبة البلاغ إقامة الحدث في "جزء حيوي" من المدينة، وحيث كان من الممكن أن يشكّل هذا الحدث، إذا ما نُظِّم، تهديدا</w:t>
      </w:r>
      <w:r w:rsidR="00DA0BE4">
        <w:rPr>
          <w:rFonts w:hint="cs"/>
          <w:rtl/>
        </w:rPr>
        <w:t>ً</w:t>
      </w:r>
      <w:r w:rsidRPr="00F419FD">
        <w:rPr>
          <w:rtl/>
        </w:rPr>
        <w:t xml:space="preserve"> للنظام العام وللسكان ولصاحبة البلاغ نفسها. وأخذت المحاكم هذه الظروف في الحسبان واعتبرت، في جملة أمور، أن سيارات الإسعاف كانت ستواجه صعوبات في الوصول إلى الموقع، عند الحاجة لها. </w:t>
      </w:r>
    </w:p>
    <w:p w14:paraId="68CB2757" w14:textId="612A1078" w:rsidR="00F419FD" w:rsidRPr="00F419FD" w:rsidRDefault="00F419FD" w:rsidP="00F419FD">
      <w:pPr>
        <w:pStyle w:val="SingleTxtGA"/>
      </w:pPr>
      <w:r w:rsidRPr="009E6058">
        <w:rPr>
          <w:rtl/>
        </w:rPr>
        <w:t>4</w:t>
      </w:r>
      <w:r w:rsidRPr="00F419FD">
        <w:rPr>
          <w:rtl/>
        </w:rPr>
        <w:t>-</w:t>
      </w:r>
      <w:r w:rsidRPr="009E6058">
        <w:rPr>
          <w:rtl/>
        </w:rPr>
        <w:t>4</w:t>
      </w:r>
      <w:r w:rsidRPr="00F419FD">
        <w:rPr>
          <w:rtl/>
        </w:rPr>
        <w:tab/>
        <w:t xml:space="preserve">ولم تكن حجج صاحبة البلاغ بشأن افتقار المحاكم إلى الاستقلالية والنزاهة والإنصاف بسبب حضور المدعي العام أثناء جلسات الاستماع مدعومة بأدلّة. فالمادة </w:t>
      </w:r>
      <w:r w:rsidRPr="009E6058">
        <w:rPr>
          <w:rtl/>
        </w:rPr>
        <w:t>54</w:t>
      </w:r>
      <w:r w:rsidRPr="00F419FD">
        <w:rPr>
          <w:rtl/>
        </w:rPr>
        <w:t>(</w:t>
      </w:r>
      <w:r w:rsidR="00136789" w:rsidRPr="009E6058">
        <w:rPr>
          <w:rtl/>
        </w:rPr>
        <w:t>2</w:t>
      </w:r>
      <w:r w:rsidR="00136789" w:rsidRPr="00136789">
        <w:rPr>
          <w:rtl/>
        </w:rPr>
        <w:t xml:space="preserve">) </w:t>
      </w:r>
      <w:r w:rsidRPr="00F419FD">
        <w:rPr>
          <w:rtl/>
        </w:rPr>
        <w:t xml:space="preserve">من قانون الإجراءات المدنية في كازاخستان تنص على حضور المدعي العام الإجراءات. </w:t>
      </w:r>
    </w:p>
    <w:p w14:paraId="54B13675" w14:textId="44BF5129" w:rsidR="00F419FD" w:rsidRPr="00F419FD" w:rsidRDefault="00F419FD" w:rsidP="00F419FD">
      <w:pPr>
        <w:pStyle w:val="SingleTxtGA"/>
      </w:pPr>
      <w:r w:rsidRPr="009E6058">
        <w:rPr>
          <w:rtl/>
        </w:rPr>
        <w:t>4</w:t>
      </w:r>
      <w:r w:rsidRPr="00F419FD">
        <w:rPr>
          <w:rtl/>
        </w:rPr>
        <w:t>-</w:t>
      </w:r>
      <w:r w:rsidRPr="009E6058">
        <w:rPr>
          <w:rtl/>
        </w:rPr>
        <w:t>5</w:t>
      </w:r>
      <w:r w:rsidRPr="00F419FD">
        <w:rPr>
          <w:rtl/>
        </w:rPr>
        <w:tab/>
        <w:t>وتدفع الدولة الطرف كذلك بأن التشريع المتعلق بالتجمعات السلمية في كازاخستان يمتثل امتثالا</w:t>
      </w:r>
      <w:r w:rsidR="00DA0BE4">
        <w:rPr>
          <w:rFonts w:hint="cs"/>
          <w:rtl/>
        </w:rPr>
        <w:t>ً</w:t>
      </w:r>
      <w:r w:rsidRPr="00F419FD">
        <w:rPr>
          <w:rtl/>
        </w:rPr>
        <w:t xml:space="preserve"> تاما</w:t>
      </w:r>
      <w:r w:rsidR="00DA0BE4">
        <w:rPr>
          <w:rFonts w:hint="cs"/>
          <w:rtl/>
        </w:rPr>
        <w:t>ً</w:t>
      </w:r>
      <w:r w:rsidRPr="00F419FD">
        <w:rPr>
          <w:rtl/>
        </w:rPr>
        <w:t xml:space="preserve"> للمعايير القانونية الدولية وأن المادة </w:t>
      </w:r>
      <w:r w:rsidRPr="009E6058">
        <w:rPr>
          <w:rtl/>
        </w:rPr>
        <w:t>32</w:t>
      </w:r>
      <w:r w:rsidRPr="00F419FD">
        <w:rPr>
          <w:rtl/>
        </w:rPr>
        <w:t xml:space="preserve"> من دستور كازاخستان تحمي حق جميع المواطنين في التجمع السلمي. ويمكن لأي شخص تقديم التماس إلى السلطات المحلية وعقد حدث سلمي بعد الحصول على تصريح. وتتماشى هذه الشروط مع أحكام المادّة </w:t>
      </w:r>
      <w:r w:rsidRPr="009E6058">
        <w:rPr>
          <w:rtl/>
        </w:rPr>
        <w:t>21</w:t>
      </w:r>
      <w:r w:rsidRPr="00F419FD">
        <w:rPr>
          <w:rtl/>
        </w:rPr>
        <w:t xml:space="preserve"> من العهد التي تنصّ على أنّه يجوز تقييد الحقوق لخدمة مصالح الأمن القومي أو السلامة العامة أو النظام العام، أو لحماية الصحة العامة أو الآداب العامة، أو لحماية حقوق الآخرين وحرياتهم.</w:t>
      </w:r>
      <w:r>
        <w:rPr>
          <w:rtl/>
        </w:rPr>
        <w:t xml:space="preserve"> و</w:t>
      </w:r>
      <w:r w:rsidRPr="00F419FD">
        <w:rPr>
          <w:rtl/>
        </w:rPr>
        <w:t xml:space="preserve">أقرّت اللجنة الأوروبية للديمقراطية من خلال القانون (لجنة البندقية) في جلستها العامّة المعقودة يومي </w:t>
      </w:r>
      <w:r w:rsidRPr="009E6058">
        <w:rPr>
          <w:rtl/>
        </w:rPr>
        <w:t>16</w:t>
      </w:r>
      <w:r w:rsidRPr="00F419FD">
        <w:rPr>
          <w:rtl/>
        </w:rPr>
        <w:t xml:space="preserve"> و</w:t>
      </w:r>
      <w:r w:rsidRPr="009E6058">
        <w:rPr>
          <w:rtl/>
        </w:rPr>
        <w:t>17</w:t>
      </w:r>
      <w:r w:rsidRPr="00F419FD">
        <w:rPr>
          <w:rtl/>
        </w:rPr>
        <w:t xml:space="preserve"> آذار/مارس </w:t>
      </w:r>
      <w:r w:rsidRPr="009E6058">
        <w:rPr>
          <w:rtl/>
        </w:rPr>
        <w:t>2012</w:t>
      </w:r>
      <w:r w:rsidRPr="00F419FD">
        <w:rPr>
          <w:rtl/>
        </w:rPr>
        <w:t xml:space="preserve"> أنّ "بعض القضايا" المرتبطة بإدارة الأحداث العامة يجب أن تترك لتقدير السلطات المحلية. ورأت المحكمة الأوروبية لحقوق الإنسان في قرارها الصادر في قضية </w:t>
      </w:r>
      <w:r w:rsidRPr="005558A7">
        <w:rPr>
          <w:i/>
          <w:iCs/>
          <w:rtl/>
        </w:rPr>
        <w:t>صنداي تايمز</w:t>
      </w:r>
      <w:r w:rsidR="005558A7" w:rsidRPr="005558A7">
        <w:rPr>
          <w:rFonts w:hint="cs"/>
          <w:i/>
          <w:iCs/>
          <w:rtl/>
        </w:rPr>
        <w:t xml:space="preserve"> </w:t>
      </w:r>
      <w:r w:rsidR="005558A7" w:rsidRPr="005558A7">
        <w:rPr>
          <w:i/>
          <w:iCs/>
          <w:rtl/>
        </w:rPr>
        <w:t>(</w:t>
      </w:r>
      <w:r w:rsidR="005558A7" w:rsidRPr="005558A7">
        <w:rPr>
          <w:i/>
          <w:iCs/>
        </w:rPr>
        <w:t>Sunday Time</w:t>
      </w:r>
      <w:r w:rsidR="00136789" w:rsidRPr="00136789">
        <w:rPr>
          <w:i/>
          <w:iCs/>
        </w:rPr>
        <w:t>s</w:t>
      </w:r>
      <w:r w:rsidR="00136789" w:rsidRPr="00136789">
        <w:rPr>
          <w:i/>
          <w:iCs/>
          <w:rtl/>
        </w:rPr>
        <w:t xml:space="preserve">) </w:t>
      </w:r>
      <w:r w:rsidRPr="005558A7">
        <w:rPr>
          <w:i/>
          <w:iCs/>
          <w:rtl/>
        </w:rPr>
        <w:t>ضد المملكة المتحدة</w:t>
      </w:r>
      <w:r w:rsidRPr="00F419FD">
        <w:rPr>
          <w:rtl/>
        </w:rPr>
        <w:t xml:space="preserve"> أن القانون ينبغي أن يسمح بقدر من المرونة، معترفة بأنه من المستحيل التنبؤ باليقين القانوني المطلق</w:t>
      </w:r>
      <w:r w:rsidR="00136789" w:rsidRPr="009E6058">
        <w:rPr>
          <w:vertAlign w:val="superscript"/>
          <w:rtl/>
        </w:rPr>
        <w:t>(</w:t>
      </w:r>
      <w:r w:rsidR="00136789" w:rsidRPr="009E6058">
        <w:rPr>
          <w:vertAlign w:val="superscript"/>
          <w:lang w:val="en-US"/>
        </w:rPr>
        <w:footnoteReference w:id="3"/>
      </w:r>
      <w:r w:rsidR="00136789" w:rsidRPr="009E6058">
        <w:rPr>
          <w:vertAlign w:val="superscript"/>
          <w:rtl/>
        </w:rPr>
        <w:t>)</w:t>
      </w:r>
      <w:r w:rsidR="00136789" w:rsidRPr="00136789">
        <w:rPr>
          <w:rtl/>
        </w:rPr>
        <w:t xml:space="preserve">. </w:t>
      </w:r>
    </w:p>
    <w:p w14:paraId="2D82F807" w14:textId="762FC48E" w:rsidR="00F419FD" w:rsidRPr="000517EB" w:rsidRDefault="00F419FD" w:rsidP="00F419FD">
      <w:pPr>
        <w:pStyle w:val="SingleTxtGA"/>
        <w:rPr>
          <w:spacing w:val="-6"/>
        </w:rPr>
      </w:pPr>
      <w:r w:rsidRPr="009E6058">
        <w:rPr>
          <w:spacing w:val="-6"/>
          <w:rtl/>
        </w:rPr>
        <w:lastRenderedPageBreak/>
        <w:t>4</w:t>
      </w:r>
      <w:r w:rsidRPr="000517EB">
        <w:rPr>
          <w:spacing w:val="-6"/>
          <w:rtl/>
        </w:rPr>
        <w:t>-</w:t>
      </w:r>
      <w:r w:rsidRPr="009E6058">
        <w:rPr>
          <w:spacing w:val="-6"/>
          <w:rtl/>
        </w:rPr>
        <w:t>6</w:t>
      </w:r>
      <w:r w:rsidRPr="000517EB">
        <w:rPr>
          <w:spacing w:val="-6"/>
          <w:rtl/>
        </w:rPr>
        <w:tab/>
        <w:t xml:space="preserve">وتفيد الدولة الطرف بأن </w:t>
      </w:r>
      <w:r w:rsidRPr="009E6058">
        <w:rPr>
          <w:spacing w:val="-6"/>
          <w:rtl/>
        </w:rPr>
        <w:t>146</w:t>
      </w:r>
      <w:r w:rsidRPr="000517EB">
        <w:rPr>
          <w:spacing w:val="-6"/>
          <w:rtl/>
        </w:rPr>
        <w:t xml:space="preserve"> من الأحداث العامة نُظِّمت في كازاخستان وشارك فيها أكثر من</w:t>
      </w:r>
      <w:r w:rsidR="000517EB" w:rsidRPr="000517EB">
        <w:rPr>
          <w:rFonts w:hint="cs"/>
          <w:spacing w:val="-6"/>
          <w:rtl/>
        </w:rPr>
        <w:t> </w:t>
      </w:r>
      <w:r w:rsidRPr="009E6058">
        <w:rPr>
          <w:spacing w:val="-6"/>
          <w:rtl/>
        </w:rPr>
        <w:t>000</w:t>
      </w:r>
      <w:r w:rsidRPr="000517EB">
        <w:rPr>
          <w:spacing w:val="-6"/>
          <w:rtl/>
        </w:rPr>
        <w:t xml:space="preserve"> </w:t>
      </w:r>
      <w:r w:rsidRPr="009E6058">
        <w:rPr>
          <w:spacing w:val="-6"/>
          <w:rtl/>
        </w:rPr>
        <w:t>5</w:t>
      </w:r>
      <w:r w:rsidRPr="000517EB">
        <w:rPr>
          <w:spacing w:val="-6"/>
          <w:rtl/>
        </w:rPr>
        <w:t xml:space="preserve"> شخص في عام </w:t>
      </w:r>
      <w:r w:rsidRPr="009E6058">
        <w:rPr>
          <w:spacing w:val="-6"/>
          <w:rtl/>
        </w:rPr>
        <w:t>201</w:t>
      </w:r>
      <w:r w:rsidR="00136789" w:rsidRPr="009E6058">
        <w:rPr>
          <w:spacing w:val="-6"/>
          <w:rtl/>
        </w:rPr>
        <w:t>5</w:t>
      </w:r>
      <w:r w:rsidR="00136789" w:rsidRPr="00136789">
        <w:rPr>
          <w:spacing w:val="-6"/>
          <w:rtl/>
        </w:rPr>
        <w:t xml:space="preserve">. </w:t>
      </w:r>
      <w:r w:rsidRPr="000517EB">
        <w:rPr>
          <w:spacing w:val="-6"/>
          <w:rtl/>
        </w:rPr>
        <w:t xml:space="preserve">واعتمدت السلطات المحلية أكثر من </w:t>
      </w:r>
      <w:r w:rsidRPr="009E6058">
        <w:rPr>
          <w:spacing w:val="-6"/>
          <w:rtl/>
        </w:rPr>
        <w:t>200</w:t>
      </w:r>
      <w:r w:rsidRPr="000517EB">
        <w:rPr>
          <w:spacing w:val="-6"/>
          <w:rtl/>
        </w:rPr>
        <w:t xml:space="preserve"> لائحة تنظيميّة تحدد أكثر من </w:t>
      </w:r>
      <w:r w:rsidRPr="009E6058">
        <w:rPr>
          <w:spacing w:val="-6"/>
          <w:rtl/>
        </w:rPr>
        <w:t>500</w:t>
      </w:r>
      <w:r w:rsidRPr="000517EB">
        <w:rPr>
          <w:spacing w:val="-6"/>
          <w:rtl/>
        </w:rPr>
        <w:t xml:space="preserve"> موقع لأحداث من هذا القبيل وأكثر من </w:t>
      </w:r>
      <w:r w:rsidRPr="009E6058">
        <w:rPr>
          <w:spacing w:val="-6"/>
          <w:rtl/>
        </w:rPr>
        <w:t>340</w:t>
      </w:r>
      <w:r w:rsidRPr="000517EB">
        <w:rPr>
          <w:spacing w:val="-6"/>
          <w:rtl/>
        </w:rPr>
        <w:t xml:space="preserve"> طريقاً للمظاهرات السلمية. فإن تَعذّر، لأسباب شتى، تنظيم الحدث في الوقت والساعة المطلوبين، تقدم السلطات المحلية حلولاً بديلة. ويحق لمنظمي الأحداث العامة تقديم شكوى إلى الجهاز القضائي الذي يتولى النظر فيها في غضون إطار زمني قصير. وتنص المادة </w:t>
      </w:r>
      <w:r w:rsidRPr="009E6058">
        <w:rPr>
          <w:spacing w:val="-6"/>
          <w:rtl/>
        </w:rPr>
        <w:t>155</w:t>
      </w:r>
      <w:r w:rsidRPr="000517EB">
        <w:rPr>
          <w:spacing w:val="-6"/>
          <w:rtl/>
        </w:rPr>
        <w:t xml:space="preserve"> من القانون الجنائي في كازاخستان على معاقبة أيّ شخص يمنع فرداً بصورة غير قانونية من تنظيم حدث كهذا. </w:t>
      </w:r>
    </w:p>
    <w:p w14:paraId="1471F000" w14:textId="46A6E999" w:rsidR="00F419FD" w:rsidRPr="00F419FD" w:rsidRDefault="00F419FD" w:rsidP="00F419FD">
      <w:pPr>
        <w:pStyle w:val="SingleTxtGA"/>
      </w:pPr>
      <w:r w:rsidRPr="009E6058">
        <w:rPr>
          <w:rtl/>
        </w:rPr>
        <w:t>4</w:t>
      </w:r>
      <w:r w:rsidRPr="00F419FD">
        <w:rPr>
          <w:rtl/>
        </w:rPr>
        <w:t>-</w:t>
      </w:r>
      <w:r w:rsidRPr="009E6058">
        <w:rPr>
          <w:rtl/>
        </w:rPr>
        <w:t>7</w:t>
      </w:r>
      <w:r w:rsidRPr="00F419FD">
        <w:rPr>
          <w:rtl/>
        </w:rPr>
        <w:tab/>
        <w:t xml:space="preserve">ويمارَس حق التجمع السلمي ممارسة فعلية في </w:t>
      </w:r>
      <w:r w:rsidR="00C45740" w:rsidRPr="00F419FD">
        <w:rPr>
          <w:rtl/>
        </w:rPr>
        <w:t>كاراغاندا</w:t>
      </w:r>
      <w:r w:rsidRPr="00F419FD">
        <w:rPr>
          <w:rtl/>
        </w:rPr>
        <w:t>. فعلى سبيل المثال، عقدت منظمة تدعى ليفي كومونيستي اجتماعا</w:t>
      </w:r>
      <w:r w:rsidR="00DA0BE4">
        <w:rPr>
          <w:rFonts w:hint="cs"/>
          <w:rtl/>
        </w:rPr>
        <w:t>ً</w:t>
      </w:r>
      <w:r w:rsidRPr="00F419FD">
        <w:rPr>
          <w:rtl/>
        </w:rPr>
        <w:t xml:space="preserve"> بالقرب من ملعب لايتيشيك في </w:t>
      </w:r>
      <w:r w:rsidRPr="009E6058">
        <w:rPr>
          <w:rtl/>
        </w:rPr>
        <w:t>17</w:t>
      </w:r>
      <w:r w:rsidRPr="00F419FD">
        <w:rPr>
          <w:rtl/>
        </w:rPr>
        <w:t xml:space="preserve"> آذار/مارس </w:t>
      </w:r>
      <w:r w:rsidRPr="009E6058">
        <w:rPr>
          <w:rtl/>
        </w:rPr>
        <w:t>201</w:t>
      </w:r>
      <w:r w:rsidR="00136789" w:rsidRPr="009E6058">
        <w:rPr>
          <w:rtl/>
        </w:rPr>
        <w:t>5</w:t>
      </w:r>
      <w:r w:rsidR="00136789" w:rsidRPr="00136789">
        <w:rPr>
          <w:rtl/>
        </w:rPr>
        <w:t xml:space="preserve">. </w:t>
      </w:r>
      <w:r w:rsidRPr="00F419FD">
        <w:rPr>
          <w:rtl/>
        </w:rPr>
        <w:t xml:space="preserve">كما عقدت اجتماعات أخرى في عامي </w:t>
      </w:r>
      <w:r w:rsidRPr="009E6058">
        <w:rPr>
          <w:rtl/>
        </w:rPr>
        <w:t>2015</w:t>
      </w:r>
      <w:r w:rsidRPr="00F419FD">
        <w:rPr>
          <w:rtl/>
        </w:rPr>
        <w:t xml:space="preserve"> و</w:t>
      </w:r>
      <w:r w:rsidRPr="009E6058">
        <w:rPr>
          <w:rtl/>
        </w:rPr>
        <w:t>2016</w:t>
      </w:r>
      <w:r w:rsidRPr="00F419FD">
        <w:rPr>
          <w:rtl/>
        </w:rPr>
        <w:t xml:space="preserve"> أيضا</w:t>
      </w:r>
      <w:r w:rsidR="00DA0BE4">
        <w:rPr>
          <w:rFonts w:hint="cs"/>
          <w:rtl/>
        </w:rPr>
        <w:t>ً</w:t>
      </w:r>
      <w:r w:rsidRPr="00F419FD">
        <w:rPr>
          <w:rtl/>
        </w:rPr>
        <w:t xml:space="preserve">. لذلك، فإن ادعاء صاحبة البلاغ الذي مفاده أن قرار البلدية، المؤرخ </w:t>
      </w:r>
      <w:r w:rsidRPr="009E6058">
        <w:rPr>
          <w:rtl/>
        </w:rPr>
        <w:t>13</w:t>
      </w:r>
      <w:r w:rsidRPr="00F419FD">
        <w:rPr>
          <w:rtl/>
        </w:rPr>
        <w:t xml:space="preserve"> تموز/يوليه </w:t>
      </w:r>
      <w:r w:rsidRPr="009E6058">
        <w:rPr>
          <w:rtl/>
        </w:rPr>
        <w:t>2007</w:t>
      </w:r>
      <w:r w:rsidRPr="00F419FD">
        <w:rPr>
          <w:rtl/>
        </w:rPr>
        <w:t>، هو قرار ذو طابع تمييزي، ادعاء خاطئ. ووفقا</w:t>
      </w:r>
      <w:r w:rsidR="00DA0BE4">
        <w:rPr>
          <w:rFonts w:hint="cs"/>
          <w:rtl/>
        </w:rPr>
        <w:t>ً</w:t>
      </w:r>
      <w:r w:rsidRPr="00F419FD">
        <w:rPr>
          <w:rtl/>
        </w:rPr>
        <w:t xml:space="preserve"> لذلك القرار، توصي البلدية فقط بموقع الحدث المقترح. ومع ذلك، أُلغي هذا القرار</w:t>
      </w:r>
      <w:r>
        <w:rPr>
          <w:rtl/>
        </w:rPr>
        <w:t xml:space="preserve"> و</w:t>
      </w:r>
      <w:r w:rsidRPr="00F419FD">
        <w:rPr>
          <w:rtl/>
        </w:rPr>
        <w:t xml:space="preserve">استعيض عنه بالقرار رقم </w:t>
      </w:r>
      <w:r w:rsidRPr="009E6058">
        <w:rPr>
          <w:rtl/>
        </w:rPr>
        <w:t>40</w:t>
      </w:r>
      <w:r w:rsidRPr="00F419FD">
        <w:rPr>
          <w:rtl/>
        </w:rPr>
        <w:t xml:space="preserve"> المؤرخ </w:t>
      </w:r>
      <w:r w:rsidRPr="009E6058">
        <w:rPr>
          <w:rtl/>
        </w:rPr>
        <w:t>24</w:t>
      </w:r>
      <w:r w:rsidRPr="00F419FD">
        <w:rPr>
          <w:rtl/>
        </w:rPr>
        <w:t xml:space="preserve"> آب/أغسطس </w:t>
      </w:r>
      <w:r w:rsidRPr="009E6058">
        <w:rPr>
          <w:rtl/>
        </w:rPr>
        <w:t>201</w:t>
      </w:r>
      <w:r w:rsidR="00136789" w:rsidRPr="009E6058">
        <w:rPr>
          <w:rtl/>
        </w:rPr>
        <w:t>6</w:t>
      </w:r>
      <w:r w:rsidR="00136789" w:rsidRPr="00136789">
        <w:rPr>
          <w:rtl/>
        </w:rPr>
        <w:t xml:space="preserve">. </w:t>
      </w:r>
      <w:r w:rsidRPr="00F419FD">
        <w:rPr>
          <w:rtl/>
        </w:rPr>
        <w:t xml:space="preserve">ويطرح الإجراء الجديد خمسة مواقع محتملة للتجمعات السلمية وطريقين للمظاهرات، بما في ذلك وسط المدينة. </w:t>
      </w:r>
    </w:p>
    <w:p w14:paraId="7210E01A" w14:textId="0CD6D2C3" w:rsidR="00F419FD" w:rsidRPr="00F419FD" w:rsidRDefault="00F419FD" w:rsidP="00F419FD">
      <w:pPr>
        <w:pStyle w:val="SingleTxtGA"/>
      </w:pPr>
      <w:r w:rsidRPr="009E6058">
        <w:rPr>
          <w:rtl/>
        </w:rPr>
        <w:t>4</w:t>
      </w:r>
      <w:r w:rsidRPr="00F419FD">
        <w:rPr>
          <w:rtl/>
        </w:rPr>
        <w:t>-</w:t>
      </w:r>
      <w:r w:rsidRPr="009E6058">
        <w:rPr>
          <w:rtl/>
        </w:rPr>
        <w:t>8</w:t>
      </w:r>
      <w:r w:rsidRPr="00F419FD">
        <w:rPr>
          <w:rtl/>
        </w:rPr>
        <w:tab/>
        <w:t>وبناء على ما</w:t>
      </w:r>
      <w:r w:rsidR="00DA0BE4">
        <w:rPr>
          <w:rFonts w:hint="cs"/>
          <w:rtl/>
        </w:rPr>
        <w:t xml:space="preserve"> </w:t>
      </w:r>
      <w:r w:rsidRPr="00F419FD">
        <w:rPr>
          <w:rtl/>
        </w:rPr>
        <w:t xml:space="preserve">سبق، ينبغي اعتبار ادّعاءات صاحبة البلاغ غير مقبولة وغير مدعومة بأدلة. </w:t>
      </w:r>
    </w:p>
    <w:p w14:paraId="0C7236D1" w14:textId="77777777" w:rsidR="00F419FD" w:rsidRPr="009E6058" w:rsidRDefault="00F419FD" w:rsidP="00F419FD">
      <w:pPr>
        <w:pStyle w:val="H23GA"/>
      </w:pPr>
      <w:r w:rsidRPr="009E6058">
        <w:rPr>
          <w:rtl/>
        </w:rPr>
        <w:tab/>
      </w:r>
      <w:r w:rsidRPr="009E6058">
        <w:rPr>
          <w:rtl/>
        </w:rPr>
        <w:tab/>
        <w:t xml:space="preserve">تعليقات صاحبة البلاغ على ملاحظات الدولة الطرف </w:t>
      </w:r>
    </w:p>
    <w:p w14:paraId="14AD9CA9" w14:textId="653B1ACA" w:rsidR="00F419FD" w:rsidRPr="00F419FD" w:rsidRDefault="00F419FD" w:rsidP="00F419FD">
      <w:pPr>
        <w:pStyle w:val="SingleTxtGA"/>
      </w:pPr>
      <w:r w:rsidRPr="009E6058">
        <w:rPr>
          <w:rtl/>
        </w:rPr>
        <w:t>5</w:t>
      </w:r>
      <w:r w:rsidRPr="00F419FD">
        <w:rPr>
          <w:rtl/>
        </w:rPr>
        <w:t>-</w:t>
      </w:r>
      <w:r w:rsidRPr="009E6058">
        <w:rPr>
          <w:rtl/>
        </w:rPr>
        <w:t>1</w:t>
      </w:r>
      <w:r w:rsidRPr="00F419FD">
        <w:rPr>
          <w:rtl/>
        </w:rPr>
        <w:tab/>
        <w:t xml:space="preserve">في </w:t>
      </w:r>
      <w:r w:rsidRPr="009E6058">
        <w:rPr>
          <w:rtl/>
        </w:rPr>
        <w:t>27</w:t>
      </w:r>
      <w:r w:rsidRPr="00F419FD">
        <w:rPr>
          <w:rtl/>
        </w:rPr>
        <w:t xml:space="preserve"> نيسان/أبريل </w:t>
      </w:r>
      <w:r w:rsidRPr="009E6058">
        <w:rPr>
          <w:rtl/>
        </w:rPr>
        <w:t>2017</w:t>
      </w:r>
      <w:r w:rsidRPr="00F419FD">
        <w:rPr>
          <w:rtl/>
        </w:rPr>
        <w:t>، قدمت صاحبة البلاغ تعليقاتها على ملاحظات الدولة الطرف بشأن المقبولية والأسس الموضوعية. وتدّعي صاحبة البلاغ أن الطلب الموجه إلى المدعي العام بتقديم احتجاج إلى المحكمة العليا، لا يعتبر سبيل انتصاف فعالا</w:t>
      </w:r>
      <w:r w:rsidR="002A014A">
        <w:rPr>
          <w:rFonts w:hint="cs"/>
          <w:rtl/>
        </w:rPr>
        <w:t>ً</w:t>
      </w:r>
      <w:r w:rsidRPr="00F419FD">
        <w:rPr>
          <w:rtl/>
        </w:rPr>
        <w:t>. وعلى أية حال، فقد قدمت بالفعل التماسا</w:t>
      </w:r>
      <w:r w:rsidR="00DA0BE4">
        <w:rPr>
          <w:rFonts w:hint="cs"/>
          <w:rtl/>
        </w:rPr>
        <w:t>ً</w:t>
      </w:r>
      <w:r w:rsidRPr="00F419FD">
        <w:rPr>
          <w:rtl/>
        </w:rPr>
        <w:t xml:space="preserve"> إلى المدعي العام، ولكنّه رُفض.</w:t>
      </w:r>
      <w:r>
        <w:rPr>
          <w:rtl/>
        </w:rPr>
        <w:t xml:space="preserve"> و</w:t>
      </w:r>
      <w:r w:rsidRPr="00F419FD">
        <w:rPr>
          <w:rtl/>
        </w:rPr>
        <w:t>تقدّمت صاحبة البلاغ</w:t>
      </w:r>
      <w:r>
        <w:rPr>
          <w:rtl/>
        </w:rPr>
        <w:t xml:space="preserve"> </w:t>
      </w:r>
      <w:r w:rsidRPr="00F419FD">
        <w:rPr>
          <w:rtl/>
        </w:rPr>
        <w:t>بشكاوى على أربعة مستويات مختلفة من سلطات الدولة الطرف</w:t>
      </w:r>
      <w:r>
        <w:rPr>
          <w:rtl/>
        </w:rPr>
        <w:t>،</w:t>
      </w:r>
      <w:r w:rsidR="00DA0BE4">
        <w:rPr>
          <w:rFonts w:hint="cs"/>
          <w:rtl/>
        </w:rPr>
        <w:t xml:space="preserve"> </w:t>
      </w:r>
      <w:r w:rsidRPr="00F419FD">
        <w:rPr>
          <w:rtl/>
        </w:rPr>
        <w:t xml:space="preserve">بما في ذلك مكتب المدعي العام، إلاّ أنّ جميع هذه السلطات رفضت ادعاءاتها. </w:t>
      </w:r>
    </w:p>
    <w:p w14:paraId="635FC3BA" w14:textId="286040E2" w:rsidR="00F419FD" w:rsidRPr="00F419FD" w:rsidRDefault="00F419FD" w:rsidP="00F419FD">
      <w:pPr>
        <w:pStyle w:val="SingleTxtGA"/>
      </w:pPr>
      <w:r w:rsidRPr="009E6058">
        <w:rPr>
          <w:rtl/>
        </w:rPr>
        <w:t>5</w:t>
      </w:r>
      <w:r w:rsidRPr="00F419FD">
        <w:rPr>
          <w:rtl/>
        </w:rPr>
        <w:t>-</w:t>
      </w:r>
      <w:r w:rsidRPr="009E6058">
        <w:rPr>
          <w:rtl/>
        </w:rPr>
        <w:t>2</w:t>
      </w:r>
      <w:r w:rsidRPr="00F419FD">
        <w:rPr>
          <w:rtl/>
        </w:rPr>
        <w:tab/>
        <w:t>وتدفع صاحبة البلاغ بأن القانون يسمح بالفعل للبلديات المحلية بإدارة التجمعات السلمية. ولكنّ البلديّات تتحكّم في الطريقة التي تقام بها الأحداث بدلا</w:t>
      </w:r>
      <w:r w:rsidR="00DA0BE4">
        <w:rPr>
          <w:rFonts w:hint="cs"/>
          <w:rtl/>
        </w:rPr>
        <w:t>ً</w:t>
      </w:r>
      <w:r w:rsidRPr="00F419FD">
        <w:rPr>
          <w:rtl/>
        </w:rPr>
        <w:t xml:space="preserve"> من إدارة طريقة تنظيمها. وينبغي على السلطات السماح للمنظمين بحسم المسائل المتعلقة بالتاريخ والتوقيت والمكان وعدد المشاركين والموضوعات المثارة وغيرها. وبالإضافة إلى ذلك، لا يحق للسلطات المحلية التمييز بين الأحداث العامة "غير الحكومية" والأحداث التي تنظمها السلطات نفسها، والتي تعقد في وسط المدينة. </w:t>
      </w:r>
    </w:p>
    <w:p w14:paraId="6BE4A995" w14:textId="69B0520E" w:rsidR="00F419FD" w:rsidRPr="00F419FD" w:rsidRDefault="00F419FD" w:rsidP="00F419FD">
      <w:pPr>
        <w:pStyle w:val="SingleTxtGA"/>
      </w:pPr>
      <w:r w:rsidRPr="009E6058">
        <w:rPr>
          <w:rtl/>
        </w:rPr>
        <w:t>5</w:t>
      </w:r>
      <w:r w:rsidRPr="00F419FD">
        <w:rPr>
          <w:rtl/>
        </w:rPr>
        <w:t>-</w:t>
      </w:r>
      <w:r w:rsidRPr="009E6058">
        <w:rPr>
          <w:rtl/>
        </w:rPr>
        <w:t>3</w:t>
      </w:r>
      <w:r w:rsidRPr="00F419FD">
        <w:rPr>
          <w:rtl/>
        </w:rPr>
        <w:tab/>
        <w:t>ولا تعتبر حجج الدولة الطرف التي مفادها أن الحدث الذي خططت له صاحبة البلاغ من شأنه أن يعوق بطريقة أو بأخرى حركة المرور ووصول سيارات الإسعاف، ذات صلة، لأن صاحبة البلاغ طلبت تنفيذ اعتصام فردي على الرصيف. وينبغي أن تكون القيود التي تفرضها الحكومة على الأحداث متناسبة</w:t>
      </w:r>
      <w:r>
        <w:rPr>
          <w:rtl/>
        </w:rPr>
        <w:t>،</w:t>
      </w:r>
      <w:r w:rsidR="00DA0BE4">
        <w:rPr>
          <w:rFonts w:hint="cs"/>
          <w:rtl/>
        </w:rPr>
        <w:t xml:space="preserve"> </w:t>
      </w:r>
      <w:r w:rsidRPr="00F419FD">
        <w:rPr>
          <w:rtl/>
        </w:rPr>
        <w:t>في أي حال، مع الخطر الذي تشكله، إلاّ أنّ الدولة الطرف رفضت ببساطة طلب صاحبة البلاغ دون النظر في هذه العوامل. واختارت صاحبة البلاغ ذلك الموقع تحديدا</w:t>
      </w:r>
      <w:r w:rsidR="00DA0BE4">
        <w:rPr>
          <w:rFonts w:hint="cs"/>
          <w:rtl/>
        </w:rPr>
        <w:t>ً</w:t>
      </w:r>
      <w:r w:rsidRPr="00F419FD">
        <w:rPr>
          <w:rtl/>
        </w:rPr>
        <w:t xml:space="preserve"> لأنه يقع بالقرب من اللوحة الإعلانية التي كانت تعتزم الاحتجاج على النصّ المضمن فيها. ومن غير المعقول، في سيناريو هذا البلاغ، إقامة الحدث بالقرب من ملعب بعيد عن المركز.</w:t>
      </w:r>
    </w:p>
    <w:p w14:paraId="3E4AB25D" w14:textId="77777777" w:rsidR="00F419FD" w:rsidRPr="000517EB" w:rsidRDefault="00F419FD" w:rsidP="00F419FD">
      <w:pPr>
        <w:pStyle w:val="SingleTxtGA"/>
        <w:rPr>
          <w:spacing w:val="-4"/>
        </w:rPr>
      </w:pPr>
      <w:r w:rsidRPr="009E6058">
        <w:rPr>
          <w:spacing w:val="-4"/>
          <w:rtl/>
        </w:rPr>
        <w:t>5</w:t>
      </w:r>
      <w:r w:rsidRPr="000517EB">
        <w:rPr>
          <w:spacing w:val="-4"/>
          <w:rtl/>
        </w:rPr>
        <w:t>-</w:t>
      </w:r>
      <w:r w:rsidRPr="009E6058">
        <w:rPr>
          <w:spacing w:val="-4"/>
          <w:rtl/>
        </w:rPr>
        <w:t>4</w:t>
      </w:r>
      <w:r w:rsidRPr="000517EB">
        <w:rPr>
          <w:spacing w:val="-4"/>
          <w:rtl/>
        </w:rPr>
        <w:tab/>
        <w:t xml:space="preserve">وتدفع صاحبة البلاغ كذلك بأن نفس الموقع الذي طلبت استخدامه، كانت قد استخدمته في وقت سابق مجموعات أخرى، على غرار مجموعات الأعمال التجارية الصغيرة والمتوسطة الحجم والمزارعين، مع مشاركة مجموعات كبيرة من الأشخاص في الأحداث. زد على ذلك أنّ السلطات تمكنت، عند الضرورة، من إيقاف حركة المرور بالقرب من الموقع، كما هو الحال أثناء الأحداث الرياضية، لتوفير ظروف آمنة للمشاركين. </w:t>
      </w:r>
    </w:p>
    <w:p w14:paraId="52A96FBA" w14:textId="2C48BFC6" w:rsidR="00F419FD" w:rsidRPr="00F419FD" w:rsidRDefault="00F419FD" w:rsidP="00F419FD">
      <w:pPr>
        <w:pStyle w:val="SingleTxtGA"/>
      </w:pPr>
      <w:r w:rsidRPr="009E6058">
        <w:rPr>
          <w:rtl/>
        </w:rPr>
        <w:lastRenderedPageBreak/>
        <w:t>5</w:t>
      </w:r>
      <w:r w:rsidRPr="00F419FD">
        <w:rPr>
          <w:rtl/>
        </w:rPr>
        <w:t>-</w:t>
      </w:r>
      <w:r w:rsidRPr="009E6058">
        <w:rPr>
          <w:rtl/>
        </w:rPr>
        <w:t>5</w:t>
      </w:r>
      <w:r w:rsidRPr="00F419FD">
        <w:rPr>
          <w:rtl/>
        </w:rPr>
        <w:tab/>
        <w:t>وكما ذكر سابقا</w:t>
      </w:r>
      <w:r w:rsidR="00DA0BE4">
        <w:rPr>
          <w:rFonts w:hint="cs"/>
          <w:rtl/>
        </w:rPr>
        <w:t>ً</w:t>
      </w:r>
      <w:r w:rsidRPr="00F419FD">
        <w:rPr>
          <w:rtl/>
        </w:rPr>
        <w:t xml:space="preserve">، فإن قانون الأحداث العامة يسمح للسلطات المحلية بإدارة تنظيم هذه الأحداث، ولكن هذا لا يعني أن القانون يسمح لها بتقييد المواقع الي يمكن فيها تنظيم هذه الأحداث. وتحدد المادة </w:t>
      </w:r>
      <w:r w:rsidRPr="009E6058">
        <w:rPr>
          <w:rtl/>
        </w:rPr>
        <w:t>7</w:t>
      </w:r>
      <w:r w:rsidRPr="00F419FD">
        <w:rPr>
          <w:rtl/>
        </w:rPr>
        <w:t xml:space="preserve"> من قانون الأحداث العامة بالفعل قائمة الأماكن التي لا يسمح فيها إقامة الأحداث العامة، مثل مراكز النقل والبنية التحتية لإمدادات المياه وما إلى ذلك. ولا يبدد القرار الجديد رقم </w:t>
      </w:r>
      <w:r w:rsidRPr="009E6058">
        <w:rPr>
          <w:rtl/>
        </w:rPr>
        <w:t>40</w:t>
      </w:r>
      <w:r w:rsidRPr="00F419FD">
        <w:rPr>
          <w:rtl/>
        </w:rPr>
        <w:t xml:space="preserve"> الصادر عن بلدية كاراغاندا، المؤرخ </w:t>
      </w:r>
      <w:r w:rsidRPr="009E6058">
        <w:rPr>
          <w:rtl/>
        </w:rPr>
        <w:t>24</w:t>
      </w:r>
      <w:r w:rsidRPr="00F419FD">
        <w:rPr>
          <w:rtl/>
        </w:rPr>
        <w:t xml:space="preserve"> آب/أغسطس </w:t>
      </w:r>
      <w:r w:rsidRPr="009E6058">
        <w:rPr>
          <w:rtl/>
        </w:rPr>
        <w:t>2016</w:t>
      </w:r>
      <w:r w:rsidRPr="00F419FD">
        <w:rPr>
          <w:rtl/>
        </w:rPr>
        <w:t xml:space="preserve">، هذه المخاوف. وعلى الرغم من أن هذا القرار لا صلة له بالأحداث المعنية في هذا البلاغ، فإن صاحبة البلاغ تدفع بأن القرار الجديد لا يذكر سوى خمسة مواقع يمكن أن تقام فيها الأحداث. </w:t>
      </w:r>
    </w:p>
    <w:p w14:paraId="49301986" w14:textId="77777777" w:rsidR="00F419FD" w:rsidRPr="00F419FD" w:rsidRDefault="00F419FD" w:rsidP="00F419FD">
      <w:pPr>
        <w:pStyle w:val="SingleTxtGA"/>
      </w:pPr>
      <w:r w:rsidRPr="009E6058">
        <w:rPr>
          <w:rtl/>
        </w:rPr>
        <w:t>5</w:t>
      </w:r>
      <w:r w:rsidRPr="00F419FD">
        <w:rPr>
          <w:rtl/>
        </w:rPr>
        <w:t>-</w:t>
      </w:r>
      <w:r w:rsidRPr="009E6058">
        <w:rPr>
          <w:rtl/>
        </w:rPr>
        <w:t>6</w:t>
      </w:r>
      <w:r w:rsidRPr="00F419FD">
        <w:rPr>
          <w:rtl/>
        </w:rPr>
        <w:tab/>
        <w:t>وبينما تشير سلطات الدولة الطرف إلى عدد من الأحداث العامة التي نظمت على النحو المخطط له، تدفع</w:t>
      </w:r>
      <w:r w:rsidRPr="00F419FD" w:rsidDel="004813C0">
        <w:rPr>
          <w:rtl/>
        </w:rPr>
        <w:t xml:space="preserve"> </w:t>
      </w:r>
      <w:r w:rsidRPr="00F419FD">
        <w:rPr>
          <w:rtl/>
        </w:rPr>
        <w:t xml:space="preserve">صاحبة البلاغ بأنه كانت هناك حالات متعددة رفضت فيها السلطات المحلية السماح بإقامة مثل هذه التجمعات العامة. ففي </w:t>
      </w:r>
      <w:r w:rsidRPr="009E6058">
        <w:rPr>
          <w:rtl/>
        </w:rPr>
        <w:t>21</w:t>
      </w:r>
      <w:r w:rsidRPr="00F419FD">
        <w:rPr>
          <w:rtl/>
        </w:rPr>
        <w:t xml:space="preserve"> مايو/أيار </w:t>
      </w:r>
      <w:r w:rsidRPr="009E6058">
        <w:rPr>
          <w:rtl/>
        </w:rPr>
        <w:t>2016</w:t>
      </w:r>
      <w:r w:rsidRPr="00F419FD">
        <w:rPr>
          <w:rtl/>
        </w:rPr>
        <w:t xml:space="preserve">، رفضت السلطات السماح بتنظيم احتجاجات متعلقة بما يسمى بقضايا الأراضي. وفي نوفمبر/تشرين الثاني </w:t>
      </w:r>
      <w:r w:rsidRPr="009E6058">
        <w:rPr>
          <w:rtl/>
        </w:rPr>
        <w:t>2016</w:t>
      </w:r>
      <w:r w:rsidRPr="00F419FD">
        <w:rPr>
          <w:rtl/>
        </w:rPr>
        <w:t xml:space="preserve">، حكم على اثنين من المدافعين عن حقوق الإنسان بالسجن لمدة خمس سنوات. </w:t>
      </w:r>
    </w:p>
    <w:p w14:paraId="554FF32F" w14:textId="77777777" w:rsidR="00F419FD" w:rsidRPr="009E6058" w:rsidRDefault="00F419FD" w:rsidP="00F419FD">
      <w:pPr>
        <w:pStyle w:val="H23GA"/>
      </w:pPr>
      <w:r w:rsidRPr="009E6058">
        <w:rPr>
          <w:rtl/>
        </w:rPr>
        <w:tab/>
      </w:r>
      <w:r w:rsidRPr="009E6058">
        <w:rPr>
          <w:rtl/>
        </w:rPr>
        <w:tab/>
        <w:t>المسائل والإجراءات المعروضة على اللجنة</w:t>
      </w:r>
    </w:p>
    <w:p w14:paraId="7731332E" w14:textId="77777777" w:rsidR="00F419FD" w:rsidRPr="009E6058" w:rsidRDefault="00F419FD" w:rsidP="00F419FD">
      <w:pPr>
        <w:pStyle w:val="H4GA"/>
      </w:pPr>
      <w:r w:rsidRPr="009E6058">
        <w:rPr>
          <w:rtl/>
        </w:rPr>
        <w:tab/>
      </w:r>
      <w:r w:rsidRPr="009E6058">
        <w:rPr>
          <w:rtl/>
        </w:rPr>
        <w:tab/>
        <w:t>النظر في المقبولية</w:t>
      </w:r>
    </w:p>
    <w:p w14:paraId="35855523" w14:textId="77777777" w:rsidR="00F419FD" w:rsidRPr="00F419FD" w:rsidRDefault="00F419FD" w:rsidP="00F419FD">
      <w:pPr>
        <w:pStyle w:val="SingleTxtGA"/>
      </w:pPr>
      <w:r w:rsidRPr="009E6058">
        <w:rPr>
          <w:rtl/>
        </w:rPr>
        <w:t>6</w:t>
      </w:r>
      <w:r w:rsidRPr="00F419FD">
        <w:rPr>
          <w:rtl/>
        </w:rPr>
        <w:t>-</w:t>
      </w:r>
      <w:r w:rsidRPr="009E6058">
        <w:rPr>
          <w:rtl/>
        </w:rPr>
        <w:t>1</w:t>
      </w:r>
      <w:r w:rsidRPr="00F419FD">
        <w:rPr>
          <w:rtl/>
        </w:rPr>
        <w:tab/>
        <w:t xml:space="preserve">قبل النظر في أي ادعاء يرد في بلاغ ما، يجب على اللجنة أن تقرر، وفقاً للمادة </w:t>
      </w:r>
      <w:r w:rsidRPr="009E6058">
        <w:rPr>
          <w:rtl/>
        </w:rPr>
        <w:t>97</w:t>
      </w:r>
      <w:r w:rsidRPr="00F419FD">
        <w:rPr>
          <w:rtl/>
        </w:rPr>
        <w:t xml:space="preserve"> من نظامها الداخلي، ما إن كان البلاغ مقبولاً أم لا بمقتضى البروتوكول الاختياري.</w:t>
      </w:r>
    </w:p>
    <w:p w14:paraId="571FE912" w14:textId="77777777" w:rsidR="00F419FD" w:rsidRPr="00F419FD" w:rsidRDefault="00F419FD" w:rsidP="00F419FD">
      <w:pPr>
        <w:pStyle w:val="SingleTxtGA"/>
      </w:pPr>
      <w:r w:rsidRPr="009E6058">
        <w:rPr>
          <w:rtl/>
        </w:rPr>
        <w:t>6</w:t>
      </w:r>
      <w:r w:rsidRPr="00F419FD">
        <w:rPr>
          <w:rtl/>
        </w:rPr>
        <w:t>-</w:t>
      </w:r>
      <w:r w:rsidRPr="009E6058">
        <w:rPr>
          <w:rtl/>
        </w:rPr>
        <w:t>2</w:t>
      </w:r>
      <w:r w:rsidRPr="00F419FD">
        <w:rPr>
          <w:rtl/>
        </w:rPr>
        <w:tab/>
        <w:t xml:space="preserve">وقد تحقَّقت اللجنة، على النحو المطلوب بموجب المادة </w:t>
      </w:r>
      <w:r w:rsidRPr="009E6058">
        <w:rPr>
          <w:rtl/>
        </w:rPr>
        <w:t>5</w:t>
      </w:r>
      <w:r w:rsidRPr="00F419FD">
        <w:rPr>
          <w:rtl/>
        </w:rPr>
        <w:t>(</w:t>
      </w:r>
      <w:r w:rsidRPr="009E6058">
        <w:rPr>
          <w:rtl/>
        </w:rPr>
        <w:t>2</w:t>
      </w:r>
      <w:r w:rsidRPr="00F419FD">
        <w:rPr>
          <w:rtl/>
        </w:rPr>
        <w:t xml:space="preserve">)(أ) من البروتوكول الاختياري، من أن المسألة نفسها ليست قيد البحث بموجب إجراء آخر من إجراءات التحقيق الدولي أو التسوية الدولية. </w:t>
      </w:r>
    </w:p>
    <w:p w14:paraId="7E3D2AB5" w14:textId="12ABB2FF" w:rsidR="00F419FD" w:rsidRPr="00F419FD" w:rsidRDefault="00F419FD" w:rsidP="00F419FD">
      <w:pPr>
        <w:pStyle w:val="SingleTxtGA"/>
      </w:pPr>
      <w:r w:rsidRPr="009E6058">
        <w:rPr>
          <w:rtl/>
        </w:rPr>
        <w:t>6</w:t>
      </w:r>
      <w:r w:rsidRPr="00F419FD">
        <w:rPr>
          <w:rtl/>
        </w:rPr>
        <w:t>-</w:t>
      </w:r>
      <w:r w:rsidRPr="009E6058">
        <w:rPr>
          <w:rtl/>
        </w:rPr>
        <w:t>3</w:t>
      </w:r>
      <w:r w:rsidRPr="00F419FD">
        <w:rPr>
          <w:rtl/>
        </w:rPr>
        <w:tab/>
        <w:t>وتحيط اللجنة علماً بادعاء الدولة الطرف أن صاحبة البلاغ لم تستنفد سبل الانتصاف المحليّة بعدم اللجوء إلى المدّعي العام من أجل التدخّل وعدم طلب إجراء مراجعة رقابية للقرارات القضائية، كما</w:t>
      </w:r>
      <w:r w:rsidR="00DA0BE4">
        <w:rPr>
          <w:rFonts w:hint="cs"/>
          <w:rtl/>
        </w:rPr>
        <w:t> </w:t>
      </w:r>
      <w:r w:rsidRPr="00F419FD">
        <w:rPr>
          <w:rtl/>
        </w:rPr>
        <w:t>كان متاحا</w:t>
      </w:r>
      <w:r w:rsidR="00DA0BE4">
        <w:rPr>
          <w:rFonts w:hint="cs"/>
          <w:rtl/>
        </w:rPr>
        <w:t>ً</w:t>
      </w:r>
      <w:r w:rsidRPr="00F419FD">
        <w:rPr>
          <w:rtl/>
        </w:rPr>
        <w:t xml:space="preserve"> لها. وتذكّر اللجنة </w:t>
      </w:r>
      <w:r w:rsidR="002A014A" w:rsidRPr="00F419FD">
        <w:rPr>
          <w:rFonts w:hint="cs"/>
          <w:rtl/>
        </w:rPr>
        <w:t>باجتهاداته</w:t>
      </w:r>
      <w:r w:rsidR="002A014A" w:rsidRPr="00F419FD">
        <w:rPr>
          <w:rtl/>
        </w:rPr>
        <w:t>ا</w:t>
      </w:r>
      <w:r w:rsidRPr="00F419FD">
        <w:rPr>
          <w:rtl/>
        </w:rPr>
        <w:t xml:space="preserve"> التي رأت فيها أن تقديم التماس إلى مكتب المدعي العام لطلب إجراء مراجعة لقرارات المحاكم التي أصبحت نافذة، يتوقف على السلطة التقديرية للمدعي العام ويشكل سبيل انتصاف استثنائياً. ولذلك يجب على الدولة الطرف أن تثبت وجود احتمال معقول أن توفر هذه الطلبات سبيل انتصاف فعالاً في ضوء ملابسات القضية</w:t>
      </w:r>
      <w:r w:rsidR="00136789" w:rsidRPr="009E6058">
        <w:rPr>
          <w:vertAlign w:val="superscript"/>
          <w:rtl/>
        </w:rPr>
        <w:t>(</w:t>
      </w:r>
      <w:r w:rsidR="00136789" w:rsidRPr="009E6058">
        <w:rPr>
          <w:vertAlign w:val="superscript"/>
          <w:lang w:val="en-US"/>
        </w:rPr>
        <w:footnoteReference w:id="4"/>
      </w:r>
      <w:r w:rsidR="00136789" w:rsidRPr="009E6058">
        <w:rPr>
          <w:vertAlign w:val="superscript"/>
          <w:rtl/>
        </w:rPr>
        <w:t>)</w:t>
      </w:r>
      <w:r w:rsidR="00136789" w:rsidRPr="00136789">
        <w:rPr>
          <w:rtl/>
        </w:rPr>
        <w:t xml:space="preserve">. </w:t>
      </w:r>
      <w:r w:rsidRPr="00F419FD">
        <w:rPr>
          <w:rtl/>
        </w:rPr>
        <w:t>وتلاحظ اللجنة أن صاحبة البلاغ قدمت التماسا</w:t>
      </w:r>
      <w:r w:rsidR="002A014A">
        <w:rPr>
          <w:rFonts w:hint="cs"/>
          <w:rtl/>
        </w:rPr>
        <w:t>ً</w:t>
      </w:r>
      <w:r w:rsidRPr="00F419FD">
        <w:rPr>
          <w:rtl/>
        </w:rPr>
        <w:t xml:space="preserve"> إلى مكتب المدعي العام لإجراء مراجعة قضائية رقابية وأن هذا الالتماس رفض. وترى اللجنة أن الدولة الطرف لم تثبت بما يكفي من الأدلة أن تقديم مزيد من الطعون إلى النيابة العامة للمطالبة بالمراجعة القضائية الرقابية كان من شأنه أن يشكل سبيل انتصاف فعالاً في قضية صاحبة البلاغ. وبناءً على ذلك، تخلص اللجنة إلى أن ليس هناك في المادة </w:t>
      </w:r>
      <w:r w:rsidRPr="009E6058">
        <w:rPr>
          <w:rtl/>
        </w:rPr>
        <w:t>5</w:t>
      </w:r>
      <w:r w:rsidRPr="00F419FD">
        <w:rPr>
          <w:rtl/>
        </w:rPr>
        <w:t>(</w:t>
      </w:r>
      <w:r w:rsidRPr="009E6058">
        <w:rPr>
          <w:rtl/>
        </w:rPr>
        <w:t>2</w:t>
      </w:r>
      <w:r w:rsidRPr="00F419FD">
        <w:rPr>
          <w:rtl/>
        </w:rPr>
        <w:t>)(ب) من البروتوكول الاختياري ما يمنعها من النظر في هذا البلاغ.</w:t>
      </w:r>
    </w:p>
    <w:p w14:paraId="0B9C536C" w14:textId="771A65A3" w:rsidR="00F419FD" w:rsidRPr="00F419FD" w:rsidRDefault="00F419FD" w:rsidP="00F419FD">
      <w:pPr>
        <w:pStyle w:val="SingleTxtGA"/>
      </w:pPr>
      <w:r w:rsidRPr="009E6058">
        <w:rPr>
          <w:rtl/>
        </w:rPr>
        <w:lastRenderedPageBreak/>
        <w:t>6</w:t>
      </w:r>
      <w:r w:rsidRPr="00F419FD">
        <w:rPr>
          <w:rtl/>
        </w:rPr>
        <w:t>-</w:t>
      </w:r>
      <w:r w:rsidRPr="009E6058">
        <w:rPr>
          <w:rtl/>
        </w:rPr>
        <w:t>4</w:t>
      </w:r>
      <w:r w:rsidRPr="00F419FD">
        <w:rPr>
          <w:rtl/>
        </w:rPr>
        <w:tab/>
        <w:t>وتحيط اللجنة علما</w:t>
      </w:r>
      <w:r w:rsidR="002A014A">
        <w:rPr>
          <w:rFonts w:hint="cs"/>
          <w:rtl/>
        </w:rPr>
        <w:t>ً</w:t>
      </w:r>
      <w:r w:rsidRPr="00F419FD">
        <w:rPr>
          <w:rtl/>
        </w:rPr>
        <w:t xml:space="preserve"> بادعاءات صاحبة البلاغ بموجب المواد </w:t>
      </w:r>
      <w:r w:rsidRPr="009E6058">
        <w:rPr>
          <w:rtl/>
        </w:rPr>
        <w:t>14</w:t>
      </w:r>
      <w:r w:rsidRPr="00F419FD">
        <w:rPr>
          <w:rtl/>
        </w:rPr>
        <w:t>(</w:t>
      </w:r>
      <w:r w:rsidR="00136789" w:rsidRPr="009E6058">
        <w:rPr>
          <w:rtl/>
        </w:rPr>
        <w:t>1</w:t>
      </w:r>
      <w:r w:rsidR="00136789" w:rsidRPr="00136789">
        <w:rPr>
          <w:rtl/>
        </w:rPr>
        <w:t xml:space="preserve">) </w:t>
      </w:r>
      <w:r w:rsidRPr="00F419FD">
        <w:rPr>
          <w:rtl/>
        </w:rPr>
        <w:t>و</w:t>
      </w:r>
      <w:r w:rsidRPr="009E6058">
        <w:rPr>
          <w:rtl/>
        </w:rPr>
        <w:t>21</w:t>
      </w:r>
      <w:r w:rsidR="00136789" w:rsidRPr="009E6058">
        <w:rPr>
          <w:vertAlign w:val="superscript"/>
          <w:rtl/>
        </w:rPr>
        <w:t>(</w:t>
      </w:r>
      <w:r w:rsidR="00136789" w:rsidRPr="009E6058">
        <w:rPr>
          <w:vertAlign w:val="superscript"/>
          <w:lang w:val="en-US"/>
        </w:rPr>
        <w:footnoteReference w:id="5"/>
      </w:r>
      <w:r w:rsidR="005558A7" w:rsidRPr="009E6058">
        <w:rPr>
          <w:vertAlign w:val="superscript"/>
          <w:rtl/>
        </w:rPr>
        <w:t>)</w:t>
      </w:r>
      <w:r w:rsidRPr="00F419FD">
        <w:rPr>
          <w:rtl/>
        </w:rPr>
        <w:t>و</w:t>
      </w:r>
      <w:r w:rsidRPr="009E6058">
        <w:rPr>
          <w:rtl/>
        </w:rPr>
        <w:t>26</w:t>
      </w:r>
      <w:r w:rsidRPr="00F419FD">
        <w:rPr>
          <w:rtl/>
        </w:rPr>
        <w:t xml:space="preserve">، مقروءة بالاقتران مع المادة </w:t>
      </w:r>
      <w:r w:rsidRPr="009E6058">
        <w:rPr>
          <w:rtl/>
        </w:rPr>
        <w:t>2</w:t>
      </w:r>
      <w:r w:rsidRPr="00F419FD">
        <w:rPr>
          <w:rtl/>
        </w:rPr>
        <w:t xml:space="preserve"> من العهد، بأن الدولة الطرف انتهكت حقها في قضاء مستقل وفي التجمع السلمي، وأنها تعرضت للتمييز على أساس مركزها كمواطنة عادية. بيد أن اللجنة ترى أن صاحبة البلاغ لم تدعم هذه الادعاءات بأدلة كافية لغرض المقبولية، ولذلك تعتبر أن الادعاءات غير مقبولة بموجب المادتين </w:t>
      </w:r>
      <w:r w:rsidRPr="009E6058">
        <w:rPr>
          <w:rtl/>
        </w:rPr>
        <w:t>2</w:t>
      </w:r>
      <w:r w:rsidRPr="00F419FD">
        <w:rPr>
          <w:rtl/>
        </w:rPr>
        <w:t xml:space="preserve"> و</w:t>
      </w:r>
      <w:r w:rsidRPr="009E6058">
        <w:rPr>
          <w:rtl/>
        </w:rPr>
        <w:t>5</w:t>
      </w:r>
      <w:r w:rsidRPr="00F419FD">
        <w:rPr>
          <w:rtl/>
        </w:rPr>
        <w:t>(</w:t>
      </w:r>
      <w:r w:rsidRPr="009E6058">
        <w:rPr>
          <w:rtl/>
        </w:rPr>
        <w:t>2</w:t>
      </w:r>
      <w:r w:rsidRPr="00F419FD">
        <w:rPr>
          <w:rtl/>
        </w:rPr>
        <w:t>)(ب) من البروتوكول الاختياري</w:t>
      </w:r>
    </w:p>
    <w:p w14:paraId="07391ED8" w14:textId="77777777" w:rsidR="00F419FD" w:rsidRPr="00F419FD" w:rsidRDefault="00F419FD" w:rsidP="00F419FD">
      <w:pPr>
        <w:pStyle w:val="SingleTxtGA"/>
      </w:pPr>
      <w:r w:rsidRPr="009E6058">
        <w:rPr>
          <w:rtl/>
        </w:rPr>
        <w:t>6</w:t>
      </w:r>
      <w:r w:rsidRPr="00F419FD">
        <w:rPr>
          <w:rtl/>
        </w:rPr>
        <w:t>-</w:t>
      </w:r>
      <w:r w:rsidRPr="009E6058">
        <w:rPr>
          <w:rtl/>
        </w:rPr>
        <w:t>5</w:t>
      </w:r>
      <w:r w:rsidRPr="00F419FD">
        <w:rPr>
          <w:rtl/>
        </w:rPr>
        <w:tab/>
        <w:t xml:space="preserve">وترى اللجنة أن ادعاءات صاحبة البلاغ، التي تثير قضايا تندرج في إطار المادة </w:t>
      </w:r>
      <w:r w:rsidRPr="009E6058">
        <w:rPr>
          <w:rtl/>
        </w:rPr>
        <w:t>19</w:t>
      </w:r>
      <w:r w:rsidRPr="00F419FD">
        <w:rPr>
          <w:rtl/>
        </w:rPr>
        <w:t xml:space="preserve"> من العهد، قد دُعمت بما يكفي من الأدلة لأغراض المقبولية، وتشرع في النظر في أسسها الموضوعية. </w:t>
      </w:r>
    </w:p>
    <w:p w14:paraId="3560F852" w14:textId="77777777" w:rsidR="00F419FD" w:rsidRPr="009E6058" w:rsidRDefault="00F419FD" w:rsidP="00F419FD">
      <w:pPr>
        <w:pStyle w:val="H4GA"/>
      </w:pPr>
      <w:r w:rsidRPr="009E6058">
        <w:rPr>
          <w:rtl/>
        </w:rPr>
        <w:tab/>
      </w:r>
      <w:r w:rsidRPr="009E6058">
        <w:rPr>
          <w:rtl/>
        </w:rPr>
        <w:tab/>
        <w:t>النظر في الأسس الموضوعية</w:t>
      </w:r>
    </w:p>
    <w:p w14:paraId="64232FF0" w14:textId="61EFBCDE" w:rsidR="00F419FD" w:rsidRPr="00F419FD" w:rsidRDefault="00F419FD" w:rsidP="00F419FD">
      <w:pPr>
        <w:pStyle w:val="SingleTxtGA"/>
      </w:pPr>
      <w:r w:rsidRPr="009E6058">
        <w:rPr>
          <w:rtl/>
        </w:rPr>
        <w:t>7</w:t>
      </w:r>
      <w:r w:rsidRPr="00F419FD">
        <w:rPr>
          <w:rtl/>
        </w:rPr>
        <w:t>-</w:t>
      </w:r>
      <w:r w:rsidRPr="009E6058">
        <w:rPr>
          <w:rtl/>
        </w:rPr>
        <w:t>1</w:t>
      </w:r>
      <w:r w:rsidRPr="00F419FD">
        <w:rPr>
          <w:rtl/>
        </w:rPr>
        <w:tab/>
        <w:t xml:space="preserve">نظرت اللجنة في القضية في ضوء جميع المعلومات التي أتاحها لها الطرفان، وفقاً للمادة </w:t>
      </w:r>
      <w:r w:rsidRPr="009E6058">
        <w:rPr>
          <w:rtl/>
        </w:rPr>
        <w:t>5</w:t>
      </w:r>
      <w:r w:rsidRPr="00F419FD">
        <w:rPr>
          <w:rtl/>
        </w:rPr>
        <w:t>(</w:t>
      </w:r>
      <w:r w:rsidR="00136789" w:rsidRPr="009E6058">
        <w:rPr>
          <w:rtl/>
        </w:rPr>
        <w:t>1</w:t>
      </w:r>
      <w:r w:rsidR="00136789" w:rsidRPr="00136789">
        <w:rPr>
          <w:rtl/>
        </w:rPr>
        <w:t xml:space="preserve">) </w:t>
      </w:r>
      <w:r w:rsidRPr="00F419FD">
        <w:rPr>
          <w:rtl/>
        </w:rPr>
        <w:t>من البروتوكول الاختياري.</w:t>
      </w:r>
    </w:p>
    <w:p w14:paraId="34F2F556" w14:textId="4C68A4B3" w:rsidR="00F419FD" w:rsidRPr="00F419FD" w:rsidRDefault="00F419FD" w:rsidP="00F419FD">
      <w:pPr>
        <w:pStyle w:val="SingleTxtGA"/>
      </w:pPr>
      <w:r w:rsidRPr="009E6058">
        <w:rPr>
          <w:rtl/>
        </w:rPr>
        <w:t>7</w:t>
      </w:r>
      <w:r w:rsidRPr="00F419FD">
        <w:rPr>
          <w:rtl/>
        </w:rPr>
        <w:t>-</w:t>
      </w:r>
      <w:r w:rsidRPr="009E6058">
        <w:rPr>
          <w:rtl/>
        </w:rPr>
        <w:t>2</w:t>
      </w:r>
      <w:r w:rsidRPr="00F419FD">
        <w:rPr>
          <w:rtl/>
        </w:rPr>
        <w:tab/>
        <w:t>وتحيط اللجنة علما</w:t>
      </w:r>
      <w:r w:rsidR="002A014A">
        <w:rPr>
          <w:rFonts w:hint="cs"/>
          <w:rtl/>
        </w:rPr>
        <w:t>ً</w:t>
      </w:r>
      <w:r w:rsidRPr="00F419FD">
        <w:rPr>
          <w:rtl/>
        </w:rPr>
        <w:t xml:space="preserve"> بادعاءات صاحبة البلاغ بأن حقوقها في حرية التعبير قد قيدت، في انتهاك للمادة </w:t>
      </w:r>
      <w:r w:rsidRPr="009E6058">
        <w:rPr>
          <w:rtl/>
        </w:rPr>
        <w:t>19</w:t>
      </w:r>
      <w:r w:rsidRPr="00F419FD">
        <w:rPr>
          <w:rtl/>
        </w:rPr>
        <w:t xml:space="preserve"> من العهد، حيث حرمت من تصريح بتنظيم عمل سلمي للاحتجاج على محتويات لوحة إعلانية وأنّها كانت تدافع عن حقها في حرية الدين والضمير. وتحيط علما</w:t>
      </w:r>
      <w:r w:rsidR="002A014A">
        <w:rPr>
          <w:rFonts w:hint="cs"/>
          <w:rtl/>
        </w:rPr>
        <w:t>ً</w:t>
      </w:r>
      <w:r w:rsidRPr="00F419FD">
        <w:rPr>
          <w:rtl/>
        </w:rPr>
        <w:t xml:space="preserve"> أيضا</w:t>
      </w:r>
      <w:r w:rsidR="002A014A">
        <w:rPr>
          <w:rFonts w:hint="cs"/>
          <w:rtl/>
        </w:rPr>
        <w:t>ً</w:t>
      </w:r>
      <w:r w:rsidRPr="00F419FD">
        <w:rPr>
          <w:rtl/>
        </w:rPr>
        <w:t xml:space="preserve"> بادعاءات صاحبة البلاغ أن السلطات لم توضح لماذا قد يكون فرض قيود على تنظيم اعتصام ضرورياً لصون الأمن الوطني أو</w:t>
      </w:r>
      <w:r w:rsidR="002A014A">
        <w:rPr>
          <w:rFonts w:hint="cs"/>
          <w:rtl/>
        </w:rPr>
        <w:t> </w:t>
      </w:r>
      <w:r w:rsidRPr="00F419FD">
        <w:rPr>
          <w:rtl/>
        </w:rPr>
        <w:t>السلامة العامة أو لحماية الصحة العامة</w:t>
      </w:r>
      <w:r>
        <w:rPr>
          <w:rtl/>
        </w:rPr>
        <w:t xml:space="preserve"> </w:t>
      </w:r>
      <w:r w:rsidRPr="00F419FD">
        <w:rPr>
          <w:rtl/>
        </w:rPr>
        <w:t>أو الآداب العامة أو حقوق الغيْر وحرياتهم. وتحيط اللجنة علما</w:t>
      </w:r>
      <w:r w:rsidR="002A014A">
        <w:rPr>
          <w:rFonts w:hint="cs"/>
          <w:rtl/>
        </w:rPr>
        <w:t>ً</w:t>
      </w:r>
      <w:r w:rsidRPr="00F419FD">
        <w:rPr>
          <w:rtl/>
        </w:rPr>
        <w:t xml:space="preserve"> بحجج الدولة الطرف ومفادها أن الحق في فرض قيود على حرية الاجتماع يندرج ضمن صلاحيات السلطات المحلية وأنها تتصرف وفقا</w:t>
      </w:r>
      <w:r w:rsidR="002A014A">
        <w:rPr>
          <w:rFonts w:hint="cs"/>
          <w:rtl/>
        </w:rPr>
        <w:t>ً</w:t>
      </w:r>
      <w:r w:rsidRPr="00F419FD">
        <w:rPr>
          <w:rtl/>
        </w:rPr>
        <w:t xml:space="preserve"> لقانون الأحداث العامة. وتحيط اللجنة علما</w:t>
      </w:r>
      <w:r w:rsidR="002A014A">
        <w:rPr>
          <w:rFonts w:hint="cs"/>
          <w:rtl/>
        </w:rPr>
        <w:t>ً</w:t>
      </w:r>
      <w:r w:rsidRPr="00F419FD">
        <w:rPr>
          <w:rtl/>
        </w:rPr>
        <w:t xml:space="preserve"> كذلك بادعاءات الدولة الطرف بأن القيود التي تفرضها السلطات المحلية تهدف إلى الحفاظ على السلامة العامة أو النظام العام</w:t>
      </w:r>
      <w:r>
        <w:rPr>
          <w:rtl/>
        </w:rPr>
        <w:t xml:space="preserve"> </w:t>
      </w:r>
      <w:r w:rsidRPr="00F419FD">
        <w:rPr>
          <w:rtl/>
        </w:rPr>
        <w:t>أو صون الصحة العامة أو الآداب العامة أو حماية حقوق الآخرين وحرياتهم، فضلا</w:t>
      </w:r>
      <w:r w:rsidR="002A014A">
        <w:rPr>
          <w:rFonts w:hint="cs"/>
          <w:rtl/>
        </w:rPr>
        <w:t>ً</w:t>
      </w:r>
      <w:r w:rsidRPr="00F419FD">
        <w:rPr>
          <w:rtl/>
        </w:rPr>
        <w:t xml:space="preserve"> عن ضمان سير عمل النقل العام وغير ذلك من أصناف البنية التحتيّة. </w:t>
      </w:r>
    </w:p>
    <w:p w14:paraId="0A580D29" w14:textId="017F9295" w:rsidR="00136789" w:rsidRPr="00136789" w:rsidRDefault="00F419FD" w:rsidP="00F419FD">
      <w:pPr>
        <w:pStyle w:val="SingleTxtGA"/>
      </w:pPr>
      <w:r w:rsidRPr="009E6058">
        <w:rPr>
          <w:rtl/>
        </w:rPr>
        <w:t>7</w:t>
      </w:r>
      <w:r w:rsidRPr="00F419FD">
        <w:rPr>
          <w:rtl/>
        </w:rPr>
        <w:t>-</w:t>
      </w:r>
      <w:r w:rsidRPr="009E6058">
        <w:rPr>
          <w:rtl/>
        </w:rPr>
        <w:t>3</w:t>
      </w:r>
      <w:r w:rsidRPr="00F419FD">
        <w:rPr>
          <w:rtl/>
        </w:rPr>
        <w:tab/>
        <w:t xml:space="preserve">وتذكّر اللجنة في هذا الصدد بتعليقها العام رقم </w:t>
      </w:r>
      <w:r w:rsidRPr="009E6058">
        <w:rPr>
          <w:rtl/>
        </w:rPr>
        <w:t>34</w:t>
      </w:r>
      <w:r w:rsidRPr="00F419FD">
        <w:rPr>
          <w:rtl/>
        </w:rPr>
        <w:t>(</w:t>
      </w:r>
      <w:r w:rsidRPr="009E6058">
        <w:rPr>
          <w:rtl/>
        </w:rPr>
        <w:t>201</w:t>
      </w:r>
      <w:r w:rsidR="00136789" w:rsidRPr="009E6058">
        <w:rPr>
          <w:rtl/>
        </w:rPr>
        <w:t>1</w:t>
      </w:r>
      <w:r w:rsidR="00136789" w:rsidRPr="00136789">
        <w:rPr>
          <w:rtl/>
        </w:rPr>
        <w:t xml:space="preserve">) </w:t>
      </w:r>
      <w:r w:rsidRPr="00F419FD">
        <w:rPr>
          <w:rtl/>
        </w:rPr>
        <w:t xml:space="preserve">الذي أشارت فيه، ضمن جملة أمور، إلى أن حرية التعبير عنصر أساسي لأي مجتمع وحجر زاوية لكل مجتمع تسوده الحرية والديمقراطية. وتلاحظ أن المادة </w:t>
      </w:r>
      <w:r w:rsidRPr="009E6058">
        <w:rPr>
          <w:rtl/>
        </w:rPr>
        <w:t>19</w:t>
      </w:r>
      <w:r w:rsidRPr="00F419FD">
        <w:rPr>
          <w:rtl/>
        </w:rPr>
        <w:t>(</w:t>
      </w:r>
      <w:r w:rsidR="00136789" w:rsidRPr="009E6058">
        <w:rPr>
          <w:rtl/>
        </w:rPr>
        <w:t>3</w:t>
      </w:r>
      <w:r w:rsidR="00136789" w:rsidRPr="00136789">
        <w:rPr>
          <w:rtl/>
        </w:rPr>
        <w:t xml:space="preserve">) </w:t>
      </w:r>
      <w:r w:rsidRPr="00F419FD">
        <w:rPr>
          <w:rtl/>
        </w:rPr>
        <w:t>من الاتفاقية لا تسمح بفرض قيود على حرية التعبير، بما يشمل حرية نقل المعلومات والأفكار، إلا بقدر ما ينص القانون على هذه القيود، وإلا إذا كانت ضرورية (أ)</w:t>
      </w:r>
      <w:r w:rsidR="002A014A">
        <w:rPr>
          <w:rFonts w:hint="cs"/>
          <w:rtl/>
        </w:rPr>
        <w:t> </w:t>
      </w:r>
      <w:r w:rsidRPr="00F419FD">
        <w:rPr>
          <w:rtl/>
        </w:rPr>
        <w:t>لاحترام حقوق الآخرين أو سمعتهم؛ أو (ب) حماية الأمن الوطني أو النظام العام، أو الصحة العامة أو الآداب العامة. وأخيرا</w:t>
      </w:r>
      <w:r w:rsidR="002A014A">
        <w:rPr>
          <w:rFonts w:hint="cs"/>
          <w:rtl/>
        </w:rPr>
        <w:t>ً</w:t>
      </w:r>
      <w:r w:rsidRPr="00F419FD">
        <w:rPr>
          <w:rtl/>
        </w:rPr>
        <w:t>، يجب ألا يكون أي تقييد لحرية التعبير مفرطا</w:t>
      </w:r>
      <w:r w:rsidR="002A014A">
        <w:rPr>
          <w:rFonts w:hint="cs"/>
          <w:rtl/>
        </w:rPr>
        <w:t>ً</w:t>
      </w:r>
      <w:r w:rsidRPr="00F419FD">
        <w:rPr>
          <w:rtl/>
        </w:rPr>
        <w:t xml:space="preserve"> في طبيعته - أي أن يكون أقل التدابير مساساً بها من بين التدابير التي قد تحقِّق الحماية المطلوبة وأن يتناسب مع المصلحة المراد حمايتها (الفقرة </w:t>
      </w:r>
      <w:r w:rsidRPr="009E6058">
        <w:rPr>
          <w:rtl/>
        </w:rPr>
        <w:t>3</w:t>
      </w:r>
      <w:r w:rsidR="00136789" w:rsidRPr="009E6058">
        <w:rPr>
          <w:rtl/>
        </w:rPr>
        <w:t>4</w:t>
      </w:r>
      <w:r w:rsidR="00136789" w:rsidRPr="00136789">
        <w:rPr>
          <w:rtl/>
        </w:rPr>
        <w:t xml:space="preserve">). </w:t>
      </w:r>
      <w:r w:rsidRPr="00F419FD">
        <w:rPr>
          <w:rtl/>
        </w:rPr>
        <w:t xml:space="preserve">وتذكر اللجنة بأن على الدولة الطرف أن تثبت أن القيود المفروضة على حقوق صاحبة البلاغ بموجب المادة </w:t>
      </w:r>
      <w:r w:rsidRPr="009E6058">
        <w:rPr>
          <w:rtl/>
        </w:rPr>
        <w:t>19</w:t>
      </w:r>
      <w:r w:rsidRPr="00F419FD">
        <w:rPr>
          <w:rtl/>
        </w:rPr>
        <w:t xml:space="preserve"> من العهد كانت ضرورية ومتناسبة</w:t>
      </w:r>
      <w:r w:rsidR="00136789" w:rsidRPr="009E6058">
        <w:rPr>
          <w:vertAlign w:val="superscript"/>
          <w:rtl/>
        </w:rPr>
        <w:t>(</w:t>
      </w:r>
      <w:r w:rsidR="00136789" w:rsidRPr="009E6058">
        <w:rPr>
          <w:vertAlign w:val="superscript"/>
          <w:lang w:val="en-US"/>
        </w:rPr>
        <w:footnoteReference w:id="6"/>
      </w:r>
      <w:r w:rsidR="00136789" w:rsidRPr="009E6058">
        <w:rPr>
          <w:vertAlign w:val="superscript"/>
          <w:rtl/>
        </w:rPr>
        <w:t>)</w:t>
      </w:r>
      <w:r w:rsidR="00136789" w:rsidRPr="00136789">
        <w:rPr>
          <w:rtl/>
        </w:rPr>
        <w:t>.</w:t>
      </w:r>
    </w:p>
    <w:p w14:paraId="00A54E1E" w14:textId="42AD32F0" w:rsidR="00F419FD" w:rsidRPr="00F419FD" w:rsidRDefault="00F419FD" w:rsidP="00F419FD">
      <w:pPr>
        <w:pStyle w:val="SingleTxtGA"/>
      </w:pPr>
      <w:r w:rsidRPr="009E6058">
        <w:rPr>
          <w:rtl/>
        </w:rPr>
        <w:t>7</w:t>
      </w:r>
      <w:r w:rsidRPr="00F419FD">
        <w:rPr>
          <w:rtl/>
        </w:rPr>
        <w:t>-</w:t>
      </w:r>
      <w:r w:rsidRPr="009E6058">
        <w:rPr>
          <w:rtl/>
        </w:rPr>
        <w:t>4</w:t>
      </w:r>
      <w:r w:rsidRPr="00F419FD">
        <w:rPr>
          <w:rtl/>
        </w:rPr>
        <w:tab/>
        <w:t xml:space="preserve">وتلاحظ اللجنة أن رفض التصريح بالاعتصام استند إلى قانون الأحداث العامة والقرار رقم </w:t>
      </w:r>
      <w:r w:rsidRPr="009E6058">
        <w:rPr>
          <w:rtl/>
        </w:rPr>
        <w:t>3</w:t>
      </w:r>
      <w:r w:rsidRPr="00F419FD">
        <w:rPr>
          <w:rtl/>
        </w:rPr>
        <w:t xml:space="preserve"> الصادر عن بلدية كاراغاندا في </w:t>
      </w:r>
      <w:r w:rsidRPr="009E6058">
        <w:rPr>
          <w:rtl/>
        </w:rPr>
        <w:t>16</w:t>
      </w:r>
      <w:r w:rsidRPr="00F419FD">
        <w:rPr>
          <w:rtl/>
        </w:rPr>
        <w:t xml:space="preserve"> تموز/يوليه </w:t>
      </w:r>
      <w:r w:rsidRPr="009E6058">
        <w:rPr>
          <w:rtl/>
        </w:rPr>
        <w:t>2007</w:t>
      </w:r>
      <w:r w:rsidRPr="00F419FD">
        <w:rPr>
          <w:rtl/>
        </w:rPr>
        <w:t xml:space="preserve">، الذي ينص على أن إقامة الأحداث العامة مسموح بها في مكان واحد فقط في المدينة، بالقرب من ملعب لايتيشيك على مشارف المدينة. وتلاحظ اللجنة أن </w:t>
      </w:r>
      <w:r w:rsidRPr="00F419FD">
        <w:rPr>
          <w:rtl/>
        </w:rPr>
        <w:lastRenderedPageBreak/>
        <w:t xml:space="preserve">تقييد تنظيم الاعتصامات في بعض الأماكن المحددة سلفاً لا يفي، على ما يبدو، بمعياري الضرورة والتناسب بموجب المادة </w:t>
      </w:r>
      <w:r w:rsidRPr="009E6058">
        <w:rPr>
          <w:rtl/>
        </w:rPr>
        <w:t>19</w:t>
      </w:r>
      <w:r w:rsidRPr="00F419FD">
        <w:rPr>
          <w:rtl/>
        </w:rPr>
        <w:t xml:space="preserve"> من العهد</w:t>
      </w:r>
      <w:r w:rsidR="00136789" w:rsidRPr="009E6058">
        <w:rPr>
          <w:vertAlign w:val="superscript"/>
          <w:rtl/>
        </w:rPr>
        <w:t>(</w:t>
      </w:r>
      <w:r w:rsidR="00136789" w:rsidRPr="009E6058">
        <w:rPr>
          <w:vertAlign w:val="superscript"/>
          <w:lang w:val="en-US"/>
        </w:rPr>
        <w:footnoteReference w:id="7"/>
      </w:r>
      <w:r w:rsidR="00136789" w:rsidRPr="009E6058">
        <w:rPr>
          <w:vertAlign w:val="superscript"/>
          <w:rtl/>
        </w:rPr>
        <w:t>)</w:t>
      </w:r>
      <w:r w:rsidR="00136789" w:rsidRPr="00136789">
        <w:rPr>
          <w:rtl/>
        </w:rPr>
        <w:t xml:space="preserve">. </w:t>
      </w:r>
      <w:r w:rsidRPr="00F419FD">
        <w:rPr>
          <w:rtl/>
        </w:rPr>
        <w:t>وتلاحظ أيضاً أنه لا الدولة الطرف ولا المحاكم الوطنيّة قدمتا أي</w:t>
      </w:r>
      <w:r w:rsidR="002A014A">
        <w:rPr>
          <w:rFonts w:hint="cs"/>
          <w:rtl/>
        </w:rPr>
        <w:t> </w:t>
      </w:r>
      <w:r w:rsidRPr="00F419FD">
        <w:rPr>
          <w:rtl/>
        </w:rPr>
        <w:t>توضيح يبين مبررات تلك القيود في القضية موضع النظر في ضوء شرطَي الضرورة والتناسب المشار إليهما سابقاً. وترى اللجنة، في ضوء ملابسات هذه القضية</w:t>
      </w:r>
      <w:r>
        <w:rPr>
          <w:rtl/>
        </w:rPr>
        <w:t>،</w:t>
      </w:r>
      <w:r w:rsidRPr="00F419FD">
        <w:rPr>
          <w:rtl/>
        </w:rPr>
        <w:t xml:space="preserve"> أن القيود المفروضة على صاحبة البلاغ غير مبررة بمقتضى المادة </w:t>
      </w:r>
      <w:r w:rsidRPr="009E6058">
        <w:rPr>
          <w:rtl/>
        </w:rPr>
        <w:t>19</w:t>
      </w:r>
      <w:r w:rsidRPr="00F419FD">
        <w:rPr>
          <w:rtl/>
        </w:rPr>
        <w:t>(</w:t>
      </w:r>
      <w:r w:rsidR="00136789" w:rsidRPr="009E6058">
        <w:rPr>
          <w:rtl/>
        </w:rPr>
        <w:t>3</w:t>
      </w:r>
      <w:r w:rsidR="00136789" w:rsidRPr="00136789">
        <w:rPr>
          <w:rtl/>
        </w:rPr>
        <w:t xml:space="preserve">) </w:t>
      </w:r>
      <w:r w:rsidRPr="00F419FD">
        <w:rPr>
          <w:rtl/>
        </w:rPr>
        <w:t>من العهد رغم استنادها إلى القانون الوطني للدولة الطرف</w:t>
      </w:r>
      <w:r>
        <w:rPr>
          <w:rtl/>
        </w:rPr>
        <w:t>.</w:t>
      </w:r>
      <w:r w:rsidRPr="00F419FD">
        <w:rPr>
          <w:rtl/>
        </w:rPr>
        <w:t xml:space="preserve"> وبناء عليه، تخلص اللجنة إلى أن حقوق صاحبة البلاغ المنصوص عليها في المادة </w:t>
      </w:r>
      <w:r w:rsidRPr="009E6058">
        <w:rPr>
          <w:rtl/>
        </w:rPr>
        <w:t>19</w:t>
      </w:r>
      <w:r w:rsidRPr="00F419FD">
        <w:rPr>
          <w:rtl/>
        </w:rPr>
        <w:t>(</w:t>
      </w:r>
      <w:r w:rsidR="00136789" w:rsidRPr="009E6058">
        <w:rPr>
          <w:rtl/>
        </w:rPr>
        <w:t>2</w:t>
      </w:r>
      <w:r w:rsidR="00136789" w:rsidRPr="00136789">
        <w:rPr>
          <w:rtl/>
        </w:rPr>
        <w:t xml:space="preserve">) </w:t>
      </w:r>
      <w:r w:rsidRPr="00F419FD">
        <w:rPr>
          <w:rtl/>
        </w:rPr>
        <w:t>من العهد قد انتُهكت.</w:t>
      </w:r>
    </w:p>
    <w:p w14:paraId="60B28693" w14:textId="3DD264B3" w:rsidR="00F419FD" w:rsidRPr="00666EAE" w:rsidRDefault="00F419FD" w:rsidP="00F419FD">
      <w:pPr>
        <w:pStyle w:val="SingleTxtGA"/>
        <w:rPr>
          <w:spacing w:val="-4"/>
        </w:rPr>
      </w:pPr>
      <w:r w:rsidRPr="009E6058">
        <w:rPr>
          <w:spacing w:val="-4"/>
          <w:rtl/>
        </w:rPr>
        <w:t>8</w:t>
      </w:r>
      <w:r w:rsidRPr="00666EAE">
        <w:rPr>
          <w:spacing w:val="-4"/>
          <w:rtl/>
        </w:rPr>
        <w:t>-</w:t>
      </w:r>
      <w:r w:rsidRPr="00666EAE">
        <w:rPr>
          <w:spacing w:val="-4"/>
          <w:rtl/>
        </w:rPr>
        <w:tab/>
        <w:t xml:space="preserve">واللجنة، إذ تتصرف بموجب المادة </w:t>
      </w:r>
      <w:r w:rsidRPr="009E6058">
        <w:rPr>
          <w:spacing w:val="-4"/>
          <w:rtl/>
        </w:rPr>
        <w:t>5</w:t>
      </w:r>
      <w:r w:rsidRPr="00666EAE">
        <w:rPr>
          <w:spacing w:val="-4"/>
          <w:rtl/>
        </w:rPr>
        <w:t>(</w:t>
      </w:r>
      <w:r w:rsidR="00136789" w:rsidRPr="009E6058">
        <w:rPr>
          <w:spacing w:val="-4"/>
          <w:rtl/>
        </w:rPr>
        <w:t>4</w:t>
      </w:r>
      <w:r w:rsidR="00136789" w:rsidRPr="00136789">
        <w:rPr>
          <w:spacing w:val="-4"/>
          <w:rtl/>
        </w:rPr>
        <w:t xml:space="preserve">) </w:t>
      </w:r>
      <w:r w:rsidRPr="00666EAE">
        <w:rPr>
          <w:spacing w:val="-4"/>
          <w:rtl/>
        </w:rPr>
        <w:t xml:space="preserve">من البروتوكول الاختياري، ترى أن الوقائع المعروضة عليها تكشف عن انتهاك الدولة الطرف لحقوق صاحبة البلاغ المنصوص عليها في المادة </w:t>
      </w:r>
      <w:r w:rsidRPr="009E6058">
        <w:rPr>
          <w:spacing w:val="-4"/>
          <w:rtl/>
        </w:rPr>
        <w:t>19</w:t>
      </w:r>
      <w:r w:rsidRPr="00666EAE">
        <w:rPr>
          <w:spacing w:val="-4"/>
          <w:rtl/>
        </w:rPr>
        <w:t>(</w:t>
      </w:r>
      <w:r w:rsidR="00136789" w:rsidRPr="009E6058">
        <w:rPr>
          <w:spacing w:val="-4"/>
          <w:rtl/>
        </w:rPr>
        <w:t>2</w:t>
      </w:r>
      <w:r w:rsidR="00136789" w:rsidRPr="00136789">
        <w:rPr>
          <w:spacing w:val="-4"/>
          <w:rtl/>
        </w:rPr>
        <w:t xml:space="preserve">) </w:t>
      </w:r>
      <w:r w:rsidRPr="00666EAE">
        <w:rPr>
          <w:spacing w:val="-4"/>
          <w:rtl/>
        </w:rPr>
        <w:t>من العهد.</w:t>
      </w:r>
    </w:p>
    <w:p w14:paraId="3BE19FA7" w14:textId="7043B185" w:rsidR="00F419FD" w:rsidRPr="00F419FD" w:rsidRDefault="00F419FD" w:rsidP="00F419FD">
      <w:pPr>
        <w:pStyle w:val="SingleTxtGA"/>
      </w:pPr>
      <w:r w:rsidRPr="009E6058">
        <w:rPr>
          <w:rtl/>
        </w:rPr>
        <w:t>9</w:t>
      </w:r>
      <w:r w:rsidRPr="00F419FD">
        <w:rPr>
          <w:rtl/>
        </w:rPr>
        <w:t>-</w:t>
      </w:r>
      <w:r w:rsidRPr="00F419FD">
        <w:rPr>
          <w:rtl/>
        </w:rPr>
        <w:tab/>
        <w:t xml:space="preserve">وعملاً بأحكام المادة </w:t>
      </w:r>
      <w:r w:rsidRPr="009E6058">
        <w:rPr>
          <w:rtl/>
        </w:rPr>
        <w:t>2</w:t>
      </w:r>
      <w:r w:rsidRPr="00F419FD">
        <w:rPr>
          <w:rtl/>
        </w:rPr>
        <w:t>(</w:t>
      </w:r>
      <w:r w:rsidRPr="009E6058">
        <w:rPr>
          <w:rtl/>
        </w:rPr>
        <w:t>3</w:t>
      </w:r>
      <w:r w:rsidRPr="00F419FD">
        <w:rPr>
          <w:rtl/>
        </w:rPr>
        <w:t xml:space="preserve">)(أ) من العهد، يقع على الدولة الطرف واجب توفير سبيل انتصاف فعال لصاحبة البلاغ. ومن ثم فهي ملزمة بتقديم تعويض كامل للأشخاص الذين انتُهكت حقوقهم المكفولة بالعهد. وبناءً على ذلك، يتعين على الدولة الطرف، في جملة من أمور، تقديم تعويض كاف لصاحبة البلاغ. والدولة الطرف ملزمة أيضاً باتخاذ جميع الخطوات اللازمة لمنع حدوث انتهاكات مماثلة في المستقبل. لذا، على الدولة الطرف أن تعيد النظر في إطارها المعياري المتعلق بالأحداث العامة، وفقاً لالتزاماتها بموجب المادة </w:t>
      </w:r>
      <w:r w:rsidRPr="009E6058">
        <w:rPr>
          <w:rtl/>
        </w:rPr>
        <w:t>2</w:t>
      </w:r>
      <w:r w:rsidRPr="00F419FD">
        <w:rPr>
          <w:rtl/>
        </w:rPr>
        <w:t>(</w:t>
      </w:r>
      <w:r w:rsidR="00136789" w:rsidRPr="009E6058">
        <w:rPr>
          <w:rtl/>
        </w:rPr>
        <w:t>2</w:t>
      </w:r>
      <w:r w:rsidR="00136789" w:rsidRPr="00136789">
        <w:rPr>
          <w:rtl/>
        </w:rPr>
        <w:t xml:space="preserve">) </w:t>
      </w:r>
      <w:r w:rsidRPr="00F419FD">
        <w:rPr>
          <w:rtl/>
        </w:rPr>
        <w:t xml:space="preserve">من العهد، لكي تكفل التمتع بالحقوق المنصوص عليها في المادة </w:t>
      </w:r>
      <w:r w:rsidRPr="009E6058">
        <w:rPr>
          <w:rtl/>
        </w:rPr>
        <w:t>19</w:t>
      </w:r>
      <w:r w:rsidRPr="00F419FD">
        <w:rPr>
          <w:rtl/>
        </w:rPr>
        <w:t xml:space="preserve"> من العهد تمتعاً كاملاً في الدولة الطرف.</w:t>
      </w:r>
    </w:p>
    <w:p w14:paraId="59B69E56" w14:textId="69D0ACDC" w:rsidR="00F419FD" w:rsidRPr="00F419FD" w:rsidRDefault="00F419FD" w:rsidP="00F419FD">
      <w:pPr>
        <w:pStyle w:val="SingleTxtGA"/>
      </w:pPr>
      <w:r w:rsidRPr="009E6058">
        <w:rPr>
          <w:rtl/>
        </w:rPr>
        <w:t>10</w:t>
      </w:r>
      <w:r w:rsidRPr="00F419FD">
        <w:rPr>
          <w:rtl/>
        </w:rPr>
        <w:t>-</w:t>
      </w:r>
      <w:r w:rsidRPr="00F419FD">
        <w:rPr>
          <w:rtl/>
        </w:rPr>
        <w:tab/>
        <w:t>وإذ تضع اللجنة في اعتبارها أن الدولة الطرف قد اعترفت، بانضمامها إلى البروتوكول الاختياري، باختصاص اللجنة بالبتّ في مسألة حدوث انتهاك للعهد من عدمه، وأنها تعهدت، عملاً بالمادة</w:t>
      </w:r>
      <w:r w:rsidR="00666EAE">
        <w:rPr>
          <w:rFonts w:hint="cs"/>
          <w:rtl/>
        </w:rPr>
        <w:t> </w:t>
      </w:r>
      <w:r w:rsidRPr="009E6058">
        <w:rPr>
          <w:rtl/>
        </w:rPr>
        <w:t>2</w:t>
      </w:r>
      <w:r w:rsidRPr="00F419FD">
        <w:rPr>
          <w:rtl/>
        </w:rPr>
        <w:t xml:space="preserve"> منه، بأن تكفل تمتع جميع الأفراد الموجودين داخل إقليمها والخاضعين لولايتها بالحقوق المعترف بها في العهد وتوفر لهم سبل انتصاف فعالة متى ثبت وقوع انتهاك، تودّ أن تتلقى من الدولة الطرف في غضون </w:t>
      </w:r>
      <w:r w:rsidRPr="009E6058">
        <w:rPr>
          <w:rtl/>
        </w:rPr>
        <w:t>180</w:t>
      </w:r>
      <w:r w:rsidRPr="00F419FD">
        <w:rPr>
          <w:rtl/>
        </w:rPr>
        <w:t xml:space="preserve"> يوماً معلومات عن التدابير المتخذة لوضع آراء اللجنة موضع التنفيذ. ويُطلب إلى الدولة الطرف أيضاً نشر هذه الآراء وتعميمها على نطاق واسع بلغاتها الرسمية.</w:t>
      </w:r>
    </w:p>
    <w:p w14:paraId="24D65134" w14:textId="4CF60E22" w:rsidR="00F419FD" w:rsidRPr="00F419FD" w:rsidRDefault="00F419FD" w:rsidP="00F419FD">
      <w:pPr>
        <w:pStyle w:val="SingleTxtGA"/>
        <w:jc w:val="center"/>
        <w:rPr>
          <w:u w:val="single"/>
          <w:rtl/>
        </w:rPr>
      </w:pPr>
      <w:r>
        <w:rPr>
          <w:u w:val="single"/>
          <w:rtl/>
        </w:rPr>
        <w:tab/>
      </w:r>
      <w:r>
        <w:rPr>
          <w:u w:val="single"/>
          <w:rtl/>
        </w:rPr>
        <w:tab/>
      </w:r>
      <w:r>
        <w:rPr>
          <w:u w:val="single"/>
          <w:rtl/>
        </w:rPr>
        <w:tab/>
      </w:r>
    </w:p>
    <w:sectPr w:rsidR="00F419FD" w:rsidRPr="00F419FD" w:rsidSect="001A269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85C0" w14:textId="77777777" w:rsidR="00F11A48" w:rsidRPr="002901D9" w:rsidRDefault="00F11A48" w:rsidP="00DC4D4B">
      <w:pPr>
        <w:spacing w:after="60" w:line="240" w:lineRule="auto"/>
        <w:ind w:left="57"/>
        <w:rPr>
          <w:i/>
          <w:iCs/>
        </w:rPr>
      </w:pPr>
      <w:r>
        <w:rPr>
          <w:rFonts w:hint="cs"/>
          <w:i/>
          <w:iCs/>
          <w:rtl/>
        </w:rPr>
        <w:t>الحواشي</w:t>
      </w:r>
    </w:p>
  </w:endnote>
  <w:endnote w:type="continuationSeparator" w:id="0">
    <w:p w14:paraId="717235B9" w14:textId="77777777" w:rsidR="00F11A48" w:rsidRDefault="00F11A4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9EE6" w14:textId="053C3FD4" w:rsidR="005F2E37" w:rsidRPr="005F2E37" w:rsidRDefault="005F2E37" w:rsidP="005F2E37">
    <w:pPr>
      <w:pStyle w:val="Footer"/>
      <w:tabs>
        <w:tab w:val="right" w:pos="9638"/>
      </w:tabs>
      <w:rPr>
        <w:b/>
        <w:sz w:val="18"/>
        <w:lang w:val="en-US"/>
      </w:rPr>
    </w:pPr>
    <w:r>
      <w:rPr>
        <w:lang w:val="en-US"/>
      </w:rPr>
      <w:t>GE.22-13397</w:t>
    </w:r>
    <w:r>
      <w:rPr>
        <w:lang w:val="en-US"/>
      </w:rPr>
      <w:tab/>
    </w:r>
    <w:r w:rsidRPr="005F2E37">
      <w:rPr>
        <w:b/>
        <w:sz w:val="18"/>
        <w:lang w:val="en-US"/>
      </w:rPr>
      <w:fldChar w:fldCharType="begin"/>
    </w:r>
    <w:r w:rsidRPr="005F2E37">
      <w:rPr>
        <w:b/>
        <w:sz w:val="18"/>
        <w:lang w:val="en-US"/>
      </w:rPr>
      <w:instrText xml:space="preserve"> PAGE  \* MERGEFORMAT </w:instrText>
    </w:r>
    <w:r w:rsidRPr="005F2E37">
      <w:rPr>
        <w:b/>
        <w:sz w:val="18"/>
        <w:lang w:val="en-US"/>
      </w:rPr>
      <w:fldChar w:fldCharType="separate"/>
    </w:r>
    <w:r w:rsidRPr="005F2E37">
      <w:rPr>
        <w:b/>
        <w:noProof/>
        <w:sz w:val="18"/>
        <w:lang w:val="en-US"/>
      </w:rPr>
      <w:t>2</w:t>
    </w:r>
    <w:r w:rsidRPr="005F2E3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A9F" w14:textId="436A71E2" w:rsidR="006959B0" w:rsidRPr="005F2E37" w:rsidRDefault="005F2E37" w:rsidP="005F2E3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GE.22-13397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74AF" w14:textId="10144140" w:rsidR="00DE50B1" w:rsidRPr="005F2E37" w:rsidRDefault="005F2E37" w:rsidP="005F2E3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87CF9C7" wp14:editId="3A28065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22-13397 (A)</w:t>
    </w:r>
    <w:r>
      <w:rPr>
        <w:noProof/>
        <w:sz w:val="20"/>
        <w:lang w:val="en-US"/>
      </w:rPr>
      <w:drawing>
        <wp:anchor distT="0" distB="0" distL="114300" distR="114300" simplePos="0" relativeHeight="251659264" behindDoc="0" locked="0" layoutInCell="1" allowOverlap="1" wp14:anchorId="62C5D98E" wp14:editId="544E2A49">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7D85" w14:textId="77777777" w:rsidR="00F11A48" w:rsidRPr="008A49D2" w:rsidRDefault="00F11A48"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79D7D30" w14:textId="77777777" w:rsidR="00F11A48" w:rsidRDefault="00F11A48" w:rsidP="00656392">
      <w:pPr>
        <w:spacing w:line="240" w:lineRule="auto"/>
      </w:pPr>
      <w:r>
        <w:continuationSeparator/>
      </w:r>
    </w:p>
  </w:footnote>
  <w:footnote w:id="1">
    <w:p w14:paraId="301BF0F6" w14:textId="361C5B76" w:rsidR="00F419FD" w:rsidRPr="00F419FD" w:rsidRDefault="00F419FD" w:rsidP="00F419FD">
      <w:pPr>
        <w:pStyle w:val="FootnoteText1"/>
      </w:pPr>
      <w:r>
        <w:rPr>
          <w:rFonts w:hint="cs"/>
          <w:rtl/>
        </w:rPr>
        <w:t>*</w:t>
      </w:r>
      <w:r w:rsidRPr="00F419FD">
        <w:rPr>
          <w:rtl/>
        </w:rPr>
        <w:tab/>
        <w:t xml:space="preserve">اعتمدتها اللّجنة في دورتها </w:t>
      </w:r>
      <w:r w:rsidRPr="009E6058">
        <w:rPr>
          <w:rtl/>
        </w:rPr>
        <w:t>134</w:t>
      </w:r>
      <w:r w:rsidRPr="00F419FD">
        <w:rPr>
          <w:rtl/>
        </w:rPr>
        <w:t xml:space="preserve"> (</w:t>
      </w:r>
      <w:r w:rsidRPr="009E6058">
        <w:rPr>
          <w:rtl/>
        </w:rPr>
        <w:t>28</w:t>
      </w:r>
      <w:r w:rsidRPr="00F419FD">
        <w:rPr>
          <w:rtl/>
        </w:rPr>
        <w:t xml:space="preserve"> شباط/فبراير</w:t>
      </w:r>
      <w:r>
        <w:rPr>
          <w:rFonts w:hint="cs"/>
          <w:rtl/>
        </w:rPr>
        <w:t xml:space="preserve"> </w:t>
      </w:r>
      <w:r w:rsidRPr="00F419FD">
        <w:rPr>
          <w:rtl/>
        </w:rPr>
        <w:t>-</w:t>
      </w:r>
      <w:r>
        <w:rPr>
          <w:rFonts w:hint="cs"/>
          <w:rtl/>
        </w:rPr>
        <w:t xml:space="preserve"> </w:t>
      </w:r>
      <w:r w:rsidRPr="009E6058">
        <w:rPr>
          <w:rtl/>
        </w:rPr>
        <w:t>25</w:t>
      </w:r>
      <w:r w:rsidRPr="00F419FD">
        <w:rPr>
          <w:rtl/>
        </w:rPr>
        <w:t xml:space="preserve"> أيّار/مايو</w:t>
      </w:r>
      <w:r>
        <w:rPr>
          <w:rFonts w:hint="cs"/>
          <w:rtl/>
        </w:rPr>
        <w:t xml:space="preserve"> </w:t>
      </w:r>
      <w:r w:rsidRPr="009E6058">
        <w:rPr>
          <w:rtl/>
        </w:rPr>
        <w:t>2022</w:t>
      </w:r>
      <w:r w:rsidR="00136789" w:rsidRPr="00136789">
        <w:rPr>
          <w:rtl/>
        </w:rPr>
        <w:t xml:space="preserve">). </w:t>
      </w:r>
    </w:p>
  </w:footnote>
  <w:footnote w:id="2">
    <w:p w14:paraId="7308EAEB" w14:textId="5D4B1FA8" w:rsidR="00F419FD" w:rsidRPr="00F419FD" w:rsidRDefault="00F419FD" w:rsidP="00F419FD">
      <w:pPr>
        <w:pStyle w:val="FootnoteText1"/>
      </w:pPr>
      <w:r>
        <w:rPr>
          <w:rFonts w:hint="cs"/>
          <w:rtl/>
        </w:rPr>
        <w:t>**</w:t>
      </w:r>
      <w:r w:rsidRPr="00F419FD">
        <w:rPr>
          <w:rtl/>
        </w:rPr>
        <w:tab/>
        <w:t>شارك في دراسة هذا البلاغ أعضاء اللجنة التالية أسماؤهم: تانيا ماريا أبدو روتشول، ووفاء أشرف محرم بسيم، وعياض بن عاشور، وعارف بلقان، والمحجوب الهيبة، وفورويا سويتشي، وكارلوس غوميز مارتينيز، ومارسيا ف. ج. كران، ودنكان لاكي موهوموزا، وفوتيني بازارتزيس، وفاسيلكا سانشين، وخوسيه مانويل سانتوس باييس، وسوه تشانغروك، وكوبايواه تشامدجا كباتشا، وهيلين تيغرودجا، وإمميرو تامرات إغيزو، وجنتيان زيبيري</w:t>
      </w:r>
      <w:r w:rsidR="00136789">
        <w:rPr>
          <w:rtl/>
        </w:rPr>
        <w:t xml:space="preserve">. </w:t>
      </w:r>
    </w:p>
  </w:footnote>
  <w:footnote w:id="3">
    <w:p w14:paraId="7A997565" w14:textId="506D18A3" w:rsidR="00136789" w:rsidRPr="00F419FD" w:rsidRDefault="00136789" w:rsidP="00F419FD">
      <w:pPr>
        <w:pStyle w:val="FootnoteText1"/>
      </w:pPr>
      <w:r w:rsidRPr="009E6058">
        <w:rPr>
          <w:rtl/>
        </w:rPr>
        <w:t>(</w:t>
      </w:r>
      <w:r w:rsidRPr="009E6058">
        <w:footnoteRef/>
      </w:r>
      <w:r w:rsidRPr="009E6058">
        <w:rPr>
          <w:rtl/>
        </w:rPr>
        <w:t>)</w:t>
      </w:r>
      <w:r w:rsidRPr="00F419FD">
        <w:rPr>
          <w:rtl/>
        </w:rPr>
        <w:tab/>
      </w:r>
      <w:r w:rsidRPr="00DA0BE4">
        <w:rPr>
          <w:rFonts w:hint="eastAsia"/>
        </w:rPr>
        <w:t>European Court of Human Right</w:t>
      </w:r>
      <w:r w:rsidRPr="00136789">
        <w:rPr>
          <w:rFonts w:hint="eastAsia"/>
        </w:rPr>
        <w:t xml:space="preserve">s, </w:t>
      </w:r>
      <w:r w:rsidRPr="00E42922">
        <w:rPr>
          <w:rFonts w:hint="eastAsia"/>
          <w:i/>
          <w:iCs/>
        </w:rPr>
        <w:t xml:space="preserve">The Sunday Times </w:t>
      </w:r>
      <w:r w:rsidRPr="00136789">
        <w:rPr>
          <w:rFonts w:hint="eastAsia"/>
          <w:i/>
          <w:iCs/>
        </w:rPr>
        <w:t xml:space="preserve">v. </w:t>
      </w:r>
      <w:r w:rsidRPr="00E42922">
        <w:rPr>
          <w:rFonts w:hint="eastAsia"/>
          <w:i/>
          <w:iCs/>
        </w:rPr>
        <w:t>the United Kingdo</w:t>
      </w:r>
      <w:r w:rsidRPr="00136789">
        <w:rPr>
          <w:rFonts w:hint="eastAsia"/>
          <w:i/>
          <w:iCs/>
        </w:rPr>
        <w:t>m</w:t>
      </w:r>
      <w:r w:rsidRPr="00136789">
        <w:rPr>
          <w:rFonts w:hint="eastAsia"/>
        </w:rPr>
        <w:t xml:space="preserve">, </w:t>
      </w:r>
      <w:r w:rsidRPr="00DA0BE4">
        <w:rPr>
          <w:rFonts w:hint="eastAsia"/>
        </w:rPr>
        <w:t xml:space="preserve">judgment of </w:t>
      </w:r>
      <w:r w:rsidRPr="009E6058">
        <w:rPr>
          <w:rFonts w:hint="eastAsia"/>
        </w:rPr>
        <w:t>26</w:t>
      </w:r>
      <w:r w:rsidRPr="00DA0BE4">
        <w:rPr>
          <w:rFonts w:hint="eastAsia"/>
        </w:rPr>
        <w:t xml:space="preserve"> April </w:t>
      </w:r>
      <w:r w:rsidRPr="009E6058">
        <w:rPr>
          <w:rFonts w:hint="eastAsia"/>
        </w:rPr>
        <w:t>1979</w:t>
      </w:r>
      <w:r w:rsidRPr="00136789">
        <w:rPr>
          <w:rFonts w:hint="eastAsia"/>
        </w:rPr>
        <w:t xml:space="preserve">, </w:t>
      </w:r>
      <w:r w:rsidRPr="00DA0BE4">
        <w:rPr>
          <w:rFonts w:hint="eastAsia"/>
        </w:rPr>
        <w:t>Application N</w:t>
      </w:r>
      <w:r w:rsidRPr="00136789">
        <w:rPr>
          <w:rFonts w:hint="eastAsia"/>
        </w:rPr>
        <w:t xml:space="preserve">o. </w:t>
      </w:r>
      <w:r w:rsidRPr="009E6058">
        <w:rPr>
          <w:rFonts w:hint="eastAsia"/>
        </w:rPr>
        <w:t>6538</w:t>
      </w:r>
      <w:r>
        <w:rPr>
          <w:rFonts w:hint="eastAsia"/>
        </w:rPr>
        <w:t>/</w:t>
      </w:r>
      <w:r w:rsidRPr="009E6058">
        <w:rPr>
          <w:rFonts w:hint="eastAsia"/>
        </w:rPr>
        <w:t>74</w:t>
      </w:r>
      <w:r w:rsidRPr="00136789">
        <w:rPr>
          <w:rFonts w:hint="eastAsia"/>
          <w:rtl/>
        </w:rPr>
        <w:t xml:space="preserve">. </w:t>
      </w:r>
      <w:r w:rsidRPr="00F419FD">
        <w:rPr>
          <w:rtl/>
        </w:rPr>
        <w:t xml:space="preserve"> </w:t>
      </w:r>
    </w:p>
  </w:footnote>
  <w:footnote w:id="4">
    <w:p w14:paraId="5FFE9576" w14:textId="77777777" w:rsidR="00136789" w:rsidRPr="00F419FD" w:rsidRDefault="00136789" w:rsidP="00136789">
      <w:pPr>
        <w:pStyle w:val="FootnoteText1"/>
      </w:pPr>
      <w:r w:rsidRPr="009E6058">
        <w:rPr>
          <w:rtl/>
        </w:rPr>
        <w:t>(</w:t>
      </w:r>
      <w:r w:rsidRPr="009E6058">
        <w:footnoteRef/>
      </w:r>
      <w:r w:rsidRPr="009E6058">
        <w:rPr>
          <w:rtl/>
        </w:rPr>
        <w:t>)</w:t>
      </w:r>
      <w:r w:rsidRPr="00F419FD">
        <w:rPr>
          <w:rtl/>
        </w:rPr>
        <w:tab/>
        <w:t xml:space="preserve">انظر(ي) </w:t>
      </w:r>
      <w:r w:rsidRPr="009E6058">
        <w:rPr>
          <w:i/>
          <w:iCs/>
          <w:rtl/>
        </w:rPr>
        <w:t>سليمانوفا ضد كازاخستان</w:t>
      </w:r>
      <w:r w:rsidRPr="00F419FD">
        <w:rPr>
          <w:rtl/>
        </w:rPr>
        <w:t xml:space="preserve"> (</w:t>
      </w:r>
      <w:hyperlink r:id="rId1" w:history="1">
        <w:r w:rsidRPr="00136789">
          <w:rPr>
            <w:rStyle w:val="Hyperlink"/>
          </w:rPr>
          <w:t>CCPR/C/</w:t>
        </w:r>
        <w:r w:rsidRPr="009E6058">
          <w:rPr>
            <w:rStyle w:val="Hyperlink"/>
          </w:rPr>
          <w:t>126</w:t>
        </w:r>
        <w:r w:rsidRPr="00136789">
          <w:rPr>
            <w:rStyle w:val="Hyperlink"/>
          </w:rPr>
          <w:t>/D/</w:t>
        </w:r>
        <w:r w:rsidRPr="009E6058">
          <w:rPr>
            <w:rStyle w:val="Hyperlink"/>
          </w:rPr>
          <w:t>2416</w:t>
        </w:r>
        <w:r w:rsidRPr="00136789">
          <w:rPr>
            <w:rStyle w:val="Hyperlink"/>
          </w:rPr>
          <w:t>/</w:t>
        </w:r>
        <w:r w:rsidRPr="009E6058">
          <w:rPr>
            <w:rStyle w:val="Hyperlink"/>
          </w:rPr>
          <w:t>2014</w:t>
        </w:r>
      </w:hyperlink>
      <w:r w:rsidRPr="00136789">
        <w:rPr>
          <w:rtl/>
        </w:rPr>
        <w:t xml:space="preserve">)، </w:t>
      </w:r>
      <w:r w:rsidRPr="00F419FD">
        <w:rPr>
          <w:rtl/>
        </w:rPr>
        <w:t xml:space="preserve">الفقرة </w:t>
      </w:r>
      <w:r w:rsidRPr="009E6058">
        <w:rPr>
          <w:rtl/>
        </w:rPr>
        <w:t>8</w:t>
      </w:r>
      <w:r w:rsidRPr="00F419FD">
        <w:rPr>
          <w:rtl/>
        </w:rPr>
        <w:t>-</w:t>
      </w:r>
      <w:r w:rsidRPr="009E6058">
        <w:rPr>
          <w:rtl/>
        </w:rPr>
        <w:t>3</w:t>
      </w:r>
      <w:r w:rsidRPr="00F419FD">
        <w:rPr>
          <w:rtl/>
        </w:rPr>
        <w:t xml:space="preserve">؛ </w:t>
      </w:r>
      <w:r w:rsidRPr="009E6058">
        <w:rPr>
          <w:i/>
          <w:iCs/>
          <w:rtl/>
        </w:rPr>
        <w:t>وتوريغوجينا ضد كازاخستان</w:t>
      </w:r>
      <w:r w:rsidRPr="00F419FD">
        <w:rPr>
          <w:rtl/>
        </w:rPr>
        <w:t xml:space="preserve"> (</w:t>
      </w:r>
      <w:hyperlink r:id="rId2" w:history="1">
        <w:r w:rsidRPr="00136789">
          <w:rPr>
            <w:rStyle w:val="Hyperlink"/>
          </w:rPr>
          <w:t>CCPR/C/</w:t>
        </w:r>
        <w:r w:rsidRPr="009E6058">
          <w:rPr>
            <w:rStyle w:val="Hyperlink"/>
          </w:rPr>
          <w:t>126</w:t>
        </w:r>
        <w:r w:rsidRPr="00136789">
          <w:rPr>
            <w:rStyle w:val="Hyperlink"/>
          </w:rPr>
          <w:t>/D/</w:t>
        </w:r>
        <w:r w:rsidRPr="009E6058">
          <w:rPr>
            <w:rStyle w:val="Hyperlink"/>
          </w:rPr>
          <w:t>2311</w:t>
        </w:r>
        <w:r w:rsidRPr="00136789">
          <w:rPr>
            <w:rStyle w:val="Hyperlink"/>
          </w:rPr>
          <w:t>/</w:t>
        </w:r>
        <w:r w:rsidRPr="009E6058">
          <w:rPr>
            <w:rStyle w:val="Hyperlink"/>
          </w:rPr>
          <w:t>2013</w:t>
        </w:r>
      </w:hyperlink>
      <w:r w:rsidRPr="00136789">
        <w:rPr>
          <w:rtl/>
        </w:rPr>
        <w:t xml:space="preserve">)، </w:t>
      </w:r>
      <w:r w:rsidRPr="00F419FD">
        <w:rPr>
          <w:rtl/>
        </w:rPr>
        <w:t xml:space="preserve">الفقرة </w:t>
      </w:r>
      <w:r w:rsidRPr="009E6058">
        <w:rPr>
          <w:rtl/>
        </w:rPr>
        <w:t>7</w:t>
      </w:r>
      <w:r w:rsidRPr="00F419FD">
        <w:rPr>
          <w:rtl/>
        </w:rPr>
        <w:t>-</w:t>
      </w:r>
      <w:r w:rsidRPr="009E6058">
        <w:rPr>
          <w:rtl/>
        </w:rPr>
        <w:t>3</w:t>
      </w:r>
      <w:r w:rsidRPr="00F419FD">
        <w:rPr>
          <w:rtl/>
        </w:rPr>
        <w:t xml:space="preserve">؛ </w:t>
      </w:r>
      <w:r w:rsidRPr="009E6058">
        <w:rPr>
          <w:i/>
          <w:iCs/>
          <w:rtl/>
        </w:rPr>
        <w:t>وإنسينوفا ضد كازاخستان</w:t>
      </w:r>
      <w:r w:rsidRPr="00F419FD">
        <w:rPr>
          <w:rtl/>
        </w:rPr>
        <w:t xml:space="preserve"> </w:t>
      </w:r>
      <w:r>
        <w:rPr>
          <w:rtl/>
        </w:rPr>
        <w:t>(</w:t>
      </w:r>
      <w:hyperlink r:id="rId3" w:history="1">
        <w:r w:rsidRPr="00136789">
          <w:rPr>
            <w:rStyle w:val="Hyperlink"/>
          </w:rPr>
          <w:t>CCPR/C/</w:t>
        </w:r>
        <w:r w:rsidRPr="009E6058">
          <w:rPr>
            <w:rStyle w:val="Hyperlink"/>
          </w:rPr>
          <w:t>126</w:t>
        </w:r>
        <w:r w:rsidRPr="00136789">
          <w:rPr>
            <w:rStyle w:val="Hyperlink"/>
          </w:rPr>
          <w:t>/D/</w:t>
        </w:r>
        <w:r w:rsidRPr="009E6058">
          <w:rPr>
            <w:rStyle w:val="Hyperlink"/>
          </w:rPr>
          <w:t>2542</w:t>
        </w:r>
        <w:r w:rsidRPr="00136789">
          <w:rPr>
            <w:rStyle w:val="Hyperlink"/>
          </w:rPr>
          <w:t>/</w:t>
        </w:r>
        <w:r w:rsidRPr="009E6058">
          <w:rPr>
            <w:rStyle w:val="Hyperlink"/>
          </w:rPr>
          <w:t>2015</w:t>
        </w:r>
      </w:hyperlink>
      <w:r w:rsidRPr="00F419FD">
        <w:rPr>
          <w:rtl/>
        </w:rPr>
        <w:t xml:space="preserve"> و</w:t>
      </w:r>
      <w:hyperlink r:id="rId4" w:history="1">
        <w:r w:rsidRPr="00136789">
          <w:rPr>
            <w:rStyle w:val="Hyperlink"/>
          </w:rPr>
          <w:t>CCPR/C/</w:t>
        </w:r>
        <w:r w:rsidRPr="009E6058">
          <w:rPr>
            <w:rStyle w:val="Hyperlink"/>
          </w:rPr>
          <w:t>126</w:t>
        </w:r>
        <w:r w:rsidRPr="00136789">
          <w:rPr>
            <w:rStyle w:val="Hyperlink"/>
          </w:rPr>
          <w:t>/D/</w:t>
        </w:r>
        <w:r w:rsidRPr="009E6058">
          <w:rPr>
            <w:rStyle w:val="Hyperlink"/>
          </w:rPr>
          <w:t>2543</w:t>
        </w:r>
        <w:r w:rsidRPr="00136789">
          <w:rPr>
            <w:rStyle w:val="Hyperlink"/>
          </w:rPr>
          <w:t>/</w:t>
        </w:r>
        <w:r w:rsidRPr="009E6058">
          <w:rPr>
            <w:rStyle w:val="Hyperlink"/>
          </w:rPr>
          <w:t>2015</w:t>
        </w:r>
      </w:hyperlink>
      <w:r w:rsidRPr="00136789">
        <w:rPr>
          <w:rtl/>
        </w:rPr>
        <w:t xml:space="preserve">)، </w:t>
      </w:r>
      <w:r w:rsidRPr="00F419FD">
        <w:rPr>
          <w:rtl/>
        </w:rPr>
        <w:t xml:space="preserve">الفقرة </w:t>
      </w:r>
      <w:r w:rsidRPr="009E6058">
        <w:rPr>
          <w:rtl/>
        </w:rPr>
        <w:t>8</w:t>
      </w:r>
      <w:r w:rsidRPr="00F419FD">
        <w:rPr>
          <w:rtl/>
        </w:rPr>
        <w:t>-</w:t>
      </w:r>
      <w:r w:rsidRPr="009E6058">
        <w:rPr>
          <w:rtl/>
        </w:rPr>
        <w:t>3</w:t>
      </w:r>
      <w:r w:rsidRPr="00136789">
        <w:rPr>
          <w:rtl/>
        </w:rPr>
        <w:t xml:space="preserve">. </w:t>
      </w:r>
    </w:p>
  </w:footnote>
  <w:footnote w:id="5">
    <w:p w14:paraId="4ABA0FCE" w14:textId="77777777" w:rsidR="00136789" w:rsidRPr="00F419FD" w:rsidRDefault="00136789" w:rsidP="00136789">
      <w:pPr>
        <w:pStyle w:val="FootnoteText1"/>
      </w:pPr>
      <w:r w:rsidRPr="009E6058">
        <w:rPr>
          <w:rtl/>
        </w:rPr>
        <w:t>(</w:t>
      </w:r>
      <w:r w:rsidRPr="009E6058">
        <w:footnoteRef/>
      </w:r>
      <w:r w:rsidRPr="009E6058">
        <w:rPr>
          <w:rtl/>
        </w:rPr>
        <w:t>)</w:t>
      </w:r>
      <w:r w:rsidRPr="00F419FD">
        <w:rPr>
          <w:rtl/>
        </w:rPr>
        <w:tab/>
        <w:t>تحيط اللجنة علما</w:t>
      </w:r>
      <w:r>
        <w:rPr>
          <w:rFonts w:hint="cs"/>
          <w:rtl/>
        </w:rPr>
        <w:t>ً</w:t>
      </w:r>
      <w:r w:rsidRPr="00F419FD">
        <w:rPr>
          <w:rtl/>
        </w:rPr>
        <w:t xml:space="preserve"> كذلك باجتهاداتها التي تفيد بأن الاعتصامات الفردية لا تندرج عادة في إطار المادة </w:t>
      </w:r>
      <w:r w:rsidRPr="009E6058">
        <w:rPr>
          <w:rtl/>
        </w:rPr>
        <w:t>21</w:t>
      </w:r>
      <w:r w:rsidRPr="00F419FD">
        <w:rPr>
          <w:rtl/>
        </w:rPr>
        <w:t xml:space="preserve"> من الاتفاقية المتعلقة بالحق في التجمع السلمي، بل تحميها المادة </w:t>
      </w:r>
      <w:r w:rsidRPr="009E6058">
        <w:rPr>
          <w:rtl/>
        </w:rPr>
        <w:t>19</w:t>
      </w:r>
      <w:r w:rsidRPr="00F419FD">
        <w:rPr>
          <w:rtl/>
        </w:rPr>
        <w:t xml:space="preserve"> من العهد. انظر(ي</w:t>
      </w:r>
      <w:r w:rsidRPr="00136789">
        <w:rPr>
          <w:rtl/>
        </w:rPr>
        <w:t xml:space="preserve">)، </w:t>
      </w:r>
      <w:r w:rsidRPr="00F419FD">
        <w:rPr>
          <w:rtl/>
        </w:rPr>
        <w:t xml:space="preserve">مثلاً، </w:t>
      </w:r>
      <w:r w:rsidRPr="009E6058">
        <w:rPr>
          <w:i/>
          <w:iCs/>
          <w:rtl/>
        </w:rPr>
        <w:t>ليفينوف ضد بيلاروس</w:t>
      </w:r>
      <w:r w:rsidRPr="00F419FD">
        <w:rPr>
          <w:rtl/>
        </w:rPr>
        <w:t xml:space="preserve"> (</w:t>
      </w:r>
      <w:hyperlink r:id="rId5" w:history="1">
        <w:r w:rsidRPr="00136789">
          <w:rPr>
            <w:rStyle w:val="Hyperlink"/>
          </w:rPr>
          <w:t>CCPR/C/</w:t>
        </w:r>
        <w:r w:rsidRPr="009E6058">
          <w:rPr>
            <w:rStyle w:val="Hyperlink"/>
          </w:rPr>
          <w:t>117</w:t>
        </w:r>
        <w:r w:rsidRPr="00136789">
          <w:rPr>
            <w:rStyle w:val="Hyperlink"/>
          </w:rPr>
          <w:t>/D/</w:t>
        </w:r>
        <w:r w:rsidRPr="009E6058">
          <w:rPr>
            <w:rStyle w:val="Hyperlink"/>
          </w:rPr>
          <w:t>2082</w:t>
        </w:r>
        <w:r w:rsidRPr="00136789">
          <w:rPr>
            <w:rStyle w:val="Hyperlink"/>
          </w:rPr>
          <w:t>/</w:t>
        </w:r>
        <w:r w:rsidRPr="009E6058">
          <w:rPr>
            <w:rStyle w:val="Hyperlink"/>
          </w:rPr>
          <w:t>2011</w:t>
        </w:r>
      </w:hyperlink>
      <w:r w:rsidRPr="00136789">
        <w:rPr>
          <w:rtl/>
        </w:rPr>
        <w:t xml:space="preserve">)، </w:t>
      </w:r>
      <w:r w:rsidRPr="00F419FD">
        <w:rPr>
          <w:rtl/>
        </w:rPr>
        <w:t xml:space="preserve">الفقرة </w:t>
      </w:r>
      <w:r w:rsidRPr="009E6058">
        <w:rPr>
          <w:rtl/>
        </w:rPr>
        <w:t>7</w:t>
      </w:r>
      <w:r>
        <w:rPr>
          <w:rFonts w:hint="cs"/>
          <w:rtl/>
        </w:rPr>
        <w:t>-</w:t>
      </w:r>
      <w:r w:rsidRPr="009E6058">
        <w:rPr>
          <w:rtl/>
        </w:rPr>
        <w:t>7</w:t>
      </w:r>
      <w:r w:rsidRPr="00F419FD">
        <w:rPr>
          <w:rtl/>
        </w:rPr>
        <w:t xml:space="preserve">؛ </w:t>
      </w:r>
    </w:p>
  </w:footnote>
  <w:footnote w:id="6">
    <w:p w14:paraId="16271042" w14:textId="77777777" w:rsidR="00136789" w:rsidRPr="00F419FD" w:rsidRDefault="00136789" w:rsidP="00136789">
      <w:pPr>
        <w:pStyle w:val="FootnoteText1"/>
      </w:pPr>
      <w:r w:rsidRPr="009E6058">
        <w:rPr>
          <w:rtl/>
        </w:rPr>
        <w:t>(</w:t>
      </w:r>
      <w:r w:rsidRPr="009E6058">
        <w:footnoteRef/>
      </w:r>
      <w:r w:rsidRPr="009E6058">
        <w:rPr>
          <w:rtl/>
        </w:rPr>
        <w:t>)</w:t>
      </w:r>
      <w:r w:rsidRPr="00F419FD">
        <w:rPr>
          <w:rtl/>
        </w:rPr>
        <w:tab/>
        <w:t xml:space="preserve">قضية </w:t>
      </w:r>
      <w:r w:rsidRPr="009E6058">
        <w:rPr>
          <w:i/>
          <w:iCs/>
          <w:rtl/>
        </w:rPr>
        <w:t>أندروسينكو ضد بيلاروس</w:t>
      </w:r>
      <w:r w:rsidRPr="00F419FD">
        <w:rPr>
          <w:rtl/>
        </w:rPr>
        <w:t xml:space="preserve"> (</w:t>
      </w:r>
      <w:hyperlink r:id="rId6" w:history="1">
        <w:r w:rsidRPr="00136789">
          <w:rPr>
            <w:rStyle w:val="Hyperlink"/>
          </w:rPr>
          <w:t>CCPR/C/</w:t>
        </w:r>
        <w:r w:rsidRPr="009E6058">
          <w:rPr>
            <w:rStyle w:val="Hyperlink"/>
          </w:rPr>
          <w:t>116</w:t>
        </w:r>
        <w:r w:rsidRPr="00136789">
          <w:rPr>
            <w:rStyle w:val="Hyperlink"/>
          </w:rPr>
          <w:t>/D/</w:t>
        </w:r>
        <w:r w:rsidRPr="009E6058">
          <w:rPr>
            <w:rStyle w:val="Hyperlink"/>
          </w:rPr>
          <w:t>2092</w:t>
        </w:r>
        <w:r w:rsidRPr="00136789">
          <w:rPr>
            <w:rStyle w:val="Hyperlink"/>
          </w:rPr>
          <w:t>/</w:t>
        </w:r>
        <w:r w:rsidRPr="009E6058">
          <w:rPr>
            <w:rStyle w:val="Hyperlink"/>
          </w:rPr>
          <w:t>2011</w:t>
        </w:r>
      </w:hyperlink>
      <w:r w:rsidRPr="00136789">
        <w:rPr>
          <w:rtl/>
        </w:rPr>
        <w:t xml:space="preserve">)، </w:t>
      </w:r>
      <w:r w:rsidRPr="00F419FD">
        <w:rPr>
          <w:rtl/>
        </w:rPr>
        <w:t xml:space="preserve">الفقرة </w:t>
      </w:r>
      <w:r w:rsidRPr="009E6058">
        <w:rPr>
          <w:rtl/>
        </w:rPr>
        <w:t>7</w:t>
      </w:r>
      <w:r w:rsidRPr="00F419FD">
        <w:rPr>
          <w:rtl/>
        </w:rPr>
        <w:t>-</w:t>
      </w:r>
      <w:r w:rsidRPr="009E6058">
        <w:rPr>
          <w:rtl/>
        </w:rPr>
        <w:t>3</w:t>
      </w:r>
      <w:r w:rsidRPr="00136789">
        <w:rPr>
          <w:rtl/>
        </w:rPr>
        <w:t xml:space="preserve">. </w:t>
      </w:r>
    </w:p>
  </w:footnote>
  <w:footnote w:id="7">
    <w:p w14:paraId="0987FCE7" w14:textId="77777777" w:rsidR="00136789" w:rsidRPr="00F419FD" w:rsidRDefault="00136789" w:rsidP="00136789">
      <w:pPr>
        <w:pStyle w:val="FootnoteText1"/>
      </w:pPr>
      <w:r w:rsidRPr="009E6058">
        <w:rPr>
          <w:rtl/>
        </w:rPr>
        <w:t>(</w:t>
      </w:r>
      <w:r w:rsidRPr="009E6058">
        <w:footnoteRef/>
      </w:r>
      <w:r w:rsidRPr="009E6058">
        <w:rPr>
          <w:rtl/>
        </w:rPr>
        <w:t>)</w:t>
      </w:r>
      <w:r w:rsidRPr="00F419FD">
        <w:rPr>
          <w:rtl/>
        </w:rPr>
        <w:tab/>
        <w:t>انظر(ي</w:t>
      </w:r>
      <w:r w:rsidRPr="00136789">
        <w:rPr>
          <w:rtl/>
        </w:rPr>
        <w:t xml:space="preserve">)، </w:t>
      </w:r>
      <w:r w:rsidRPr="00F419FD">
        <w:rPr>
          <w:rtl/>
        </w:rPr>
        <w:t>على سبيل المثال،</w:t>
      </w:r>
      <w:r>
        <w:rPr>
          <w:rtl/>
        </w:rPr>
        <w:t xml:space="preserve"> </w:t>
      </w:r>
      <w:r w:rsidRPr="00F419FD">
        <w:rPr>
          <w:rtl/>
        </w:rPr>
        <w:t xml:space="preserve">قضية </w:t>
      </w:r>
      <w:r w:rsidRPr="009E6058">
        <w:rPr>
          <w:i/>
          <w:iCs/>
          <w:rtl/>
        </w:rPr>
        <w:t>فورونيجتسيف وآخرون ضد بيلاروس</w:t>
      </w:r>
      <w:r w:rsidRPr="00F419FD">
        <w:rPr>
          <w:rtl/>
        </w:rPr>
        <w:t xml:space="preserve"> (</w:t>
      </w:r>
      <w:hyperlink r:id="rId7" w:history="1">
        <w:r w:rsidRPr="00136789">
          <w:rPr>
            <w:rStyle w:val="Hyperlink"/>
          </w:rPr>
          <w:t>CCPR/C/</w:t>
        </w:r>
        <w:r w:rsidRPr="009E6058">
          <w:rPr>
            <w:rStyle w:val="Hyperlink"/>
          </w:rPr>
          <w:t>132</w:t>
        </w:r>
        <w:r w:rsidRPr="00136789">
          <w:rPr>
            <w:rStyle w:val="Hyperlink"/>
          </w:rPr>
          <w:t>/DR/</w:t>
        </w:r>
        <w:r w:rsidRPr="009E6058">
          <w:rPr>
            <w:rStyle w:val="Hyperlink"/>
          </w:rPr>
          <w:t>2561</w:t>
        </w:r>
        <w:r w:rsidRPr="00136789">
          <w:rPr>
            <w:rStyle w:val="Hyperlink"/>
          </w:rPr>
          <w:t>/</w:t>
        </w:r>
        <w:r w:rsidRPr="009E6058">
          <w:rPr>
            <w:rStyle w:val="Hyperlink"/>
          </w:rPr>
          <w:t>2015</w:t>
        </w:r>
      </w:hyperlink>
      <w:r w:rsidRPr="00136789">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990" w14:textId="12483C9E" w:rsidR="005F2E37" w:rsidRPr="005F2E37" w:rsidRDefault="005F2E37" w:rsidP="005F2E3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A159A">
      <w:t>CCPR/C/134/D/2864/2016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6CFD" w14:textId="4F666D88" w:rsidR="005F2E37" w:rsidRPr="005F2E37" w:rsidRDefault="005F2E37" w:rsidP="005F2E3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A159A">
      <w:t>CCPR/C/134/D/2864/2016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48"/>
    <w:rsid w:val="000076D5"/>
    <w:rsid w:val="00043663"/>
    <w:rsid w:val="000437B8"/>
    <w:rsid w:val="000505CF"/>
    <w:rsid w:val="000517EB"/>
    <w:rsid w:val="000D701C"/>
    <w:rsid w:val="000E2A71"/>
    <w:rsid w:val="00136789"/>
    <w:rsid w:val="00145577"/>
    <w:rsid w:val="00160263"/>
    <w:rsid w:val="00181F96"/>
    <w:rsid w:val="001872B1"/>
    <w:rsid w:val="001932A1"/>
    <w:rsid w:val="001A1371"/>
    <w:rsid w:val="001A2691"/>
    <w:rsid w:val="001B043F"/>
    <w:rsid w:val="001B346A"/>
    <w:rsid w:val="001E1CAD"/>
    <w:rsid w:val="001E290D"/>
    <w:rsid w:val="002144FA"/>
    <w:rsid w:val="0023469A"/>
    <w:rsid w:val="00243C8A"/>
    <w:rsid w:val="00267A0E"/>
    <w:rsid w:val="002901D9"/>
    <w:rsid w:val="002976C2"/>
    <w:rsid w:val="002A014A"/>
    <w:rsid w:val="003068BC"/>
    <w:rsid w:val="003260FF"/>
    <w:rsid w:val="00343D95"/>
    <w:rsid w:val="00363A18"/>
    <w:rsid w:val="00374341"/>
    <w:rsid w:val="003B4237"/>
    <w:rsid w:val="003D1062"/>
    <w:rsid w:val="00402051"/>
    <w:rsid w:val="00420D7B"/>
    <w:rsid w:val="00450B21"/>
    <w:rsid w:val="00453B63"/>
    <w:rsid w:val="00455780"/>
    <w:rsid w:val="0046323F"/>
    <w:rsid w:val="004B0A1C"/>
    <w:rsid w:val="004B27E0"/>
    <w:rsid w:val="004D298E"/>
    <w:rsid w:val="005044B3"/>
    <w:rsid w:val="005065C4"/>
    <w:rsid w:val="00517BC9"/>
    <w:rsid w:val="0054472E"/>
    <w:rsid w:val="005558A7"/>
    <w:rsid w:val="005662A9"/>
    <w:rsid w:val="005827D4"/>
    <w:rsid w:val="0058508B"/>
    <w:rsid w:val="0059622A"/>
    <w:rsid w:val="005B51C4"/>
    <w:rsid w:val="005C0061"/>
    <w:rsid w:val="005C5878"/>
    <w:rsid w:val="005C7CEA"/>
    <w:rsid w:val="005D3C0B"/>
    <w:rsid w:val="005E5217"/>
    <w:rsid w:val="005F0FA4"/>
    <w:rsid w:val="005F2E37"/>
    <w:rsid w:val="005F30EE"/>
    <w:rsid w:val="005F5271"/>
    <w:rsid w:val="0060473A"/>
    <w:rsid w:val="00617024"/>
    <w:rsid w:val="00621120"/>
    <w:rsid w:val="00652221"/>
    <w:rsid w:val="00656392"/>
    <w:rsid w:val="006645EC"/>
    <w:rsid w:val="00666EAE"/>
    <w:rsid w:val="0068781D"/>
    <w:rsid w:val="006959B0"/>
    <w:rsid w:val="006B3E27"/>
    <w:rsid w:val="006B6507"/>
    <w:rsid w:val="006C104C"/>
    <w:rsid w:val="006C632E"/>
    <w:rsid w:val="00717FB3"/>
    <w:rsid w:val="00730446"/>
    <w:rsid w:val="00733704"/>
    <w:rsid w:val="0078071A"/>
    <w:rsid w:val="00787022"/>
    <w:rsid w:val="00787E1E"/>
    <w:rsid w:val="00852A9A"/>
    <w:rsid w:val="008A49D2"/>
    <w:rsid w:val="008F49E1"/>
    <w:rsid w:val="0090370F"/>
    <w:rsid w:val="009077C3"/>
    <w:rsid w:val="009269D2"/>
    <w:rsid w:val="00942135"/>
    <w:rsid w:val="009521B0"/>
    <w:rsid w:val="00957437"/>
    <w:rsid w:val="00982139"/>
    <w:rsid w:val="009867A8"/>
    <w:rsid w:val="00991F44"/>
    <w:rsid w:val="00996849"/>
    <w:rsid w:val="009A0CFB"/>
    <w:rsid w:val="009A7E9F"/>
    <w:rsid w:val="009C17EC"/>
    <w:rsid w:val="009E5018"/>
    <w:rsid w:val="009E6058"/>
    <w:rsid w:val="00A03700"/>
    <w:rsid w:val="00A053F2"/>
    <w:rsid w:val="00A12B37"/>
    <w:rsid w:val="00A54828"/>
    <w:rsid w:val="00A97E1F"/>
    <w:rsid w:val="00AB512E"/>
    <w:rsid w:val="00AB6758"/>
    <w:rsid w:val="00AB727F"/>
    <w:rsid w:val="00B13763"/>
    <w:rsid w:val="00B477A4"/>
    <w:rsid w:val="00B54045"/>
    <w:rsid w:val="00B63ADD"/>
    <w:rsid w:val="00BB09A0"/>
    <w:rsid w:val="00C175A6"/>
    <w:rsid w:val="00C41DCF"/>
    <w:rsid w:val="00C42AF7"/>
    <w:rsid w:val="00C438D7"/>
    <w:rsid w:val="00C45740"/>
    <w:rsid w:val="00C62C20"/>
    <w:rsid w:val="00C81B50"/>
    <w:rsid w:val="00C902EF"/>
    <w:rsid w:val="00CB0011"/>
    <w:rsid w:val="00CB6622"/>
    <w:rsid w:val="00CD1801"/>
    <w:rsid w:val="00CF56F9"/>
    <w:rsid w:val="00CF65C6"/>
    <w:rsid w:val="00D00A89"/>
    <w:rsid w:val="00D10EF1"/>
    <w:rsid w:val="00D42810"/>
    <w:rsid w:val="00D60DD5"/>
    <w:rsid w:val="00D914A7"/>
    <w:rsid w:val="00DA0BE4"/>
    <w:rsid w:val="00DA159A"/>
    <w:rsid w:val="00DC4D4B"/>
    <w:rsid w:val="00DD13C3"/>
    <w:rsid w:val="00DD596E"/>
    <w:rsid w:val="00DD621E"/>
    <w:rsid w:val="00DE50B1"/>
    <w:rsid w:val="00DF0138"/>
    <w:rsid w:val="00DF0575"/>
    <w:rsid w:val="00E2228E"/>
    <w:rsid w:val="00E42922"/>
    <w:rsid w:val="00E70E04"/>
    <w:rsid w:val="00E77E6C"/>
    <w:rsid w:val="00E83ED5"/>
    <w:rsid w:val="00EC05A7"/>
    <w:rsid w:val="00EC4B6B"/>
    <w:rsid w:val="00EC68A5"/>
    <w:rsid w:val="00ED7442"/>
    <w:rsid w:val="00EF1EE5"/>
    <w:rsid w:val="00EF5C43"/>
    <w:rsid w:val="00F06846"/>
    <w:rsid w:val="00F10DAB"/>
    <w:rsid w:val="00F11A48"/>
    <w:rsid w:val="00F419FD"/>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7910E6"/>
  <w15:docId w15:val="{791E5CD0-C817-46FC-A342-F90CC03D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37"/>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3B4237"/>
    <w:pPr>
      <w:bidi w:val="0"/>
      <w:outlineLvl w:val="0"/>
    </w:pPr>
  </w:style>
  <w:style w:type="paragraph" w:styleId="Heading2">
    <w:name w:val="heading 2"/>
    <w:basedOn w:val="Normal"/>
    <w:next w:val="Normal"/>
    <w:link w:val="Heading2Char"/>
    <w:uiPriority w:val="9"/>
    <w:unhideWhenUsed/>
    <w:rsid w:val="003B4237"/>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3B4237"/>
    <w:pPr>
      <w:keepNext/>
      <w:keepLines/>
      <w:spacing w:before="200"/>
      <w:outlineLvl w:val="2"/>
    </w:pPr>
    <w:rPr>
      <w:b/>
      <w:bCs/>
      <w:color w:val="4F81BD"/>
    </w:rPr>
  </w:style>
  <w:style w:type="paragraph" w:styleId="Heading4">
    <w:name w:val="heading 4"/>
    <w:basedOn w:val="Normal"/>
    <w:next w:val="Normal"/>
    <w:link w:val="Heading4Char"/>
    <w:uiPriority w:val="9"/>
    <w:unhideWhenUsed/>
    <w:rsid w:val="003B4237"/>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3B4237"/>
    <w:pPr>
      <w:keepNext/>
      <w:keepLines/>
      <w:spacing w:before="200"/>
      <w:outlineLvl w:val="4"/>
    </w:pPr>
    <w:rPr>
      <w:color w:val="243F60"/>
    </w:rPr>
  </w:style>
  <w:style w:type="paragraph" w:styleId="Heading6">
    <w:name w:val="heading 6"/>
    <w:basedOn w:val="Normal"/>
    <w:next w:val="Normal"/>
    <w:link w:val="Heading6Char"/>
    <w:uiPriority w:val="9"/>
    <w:unhideWhenUsed/>
    <w:rsid w:val="003B4237"/>
    <w:pPr>
      <w:keepNext/>
      <w:keepLines/>
      <w:spacing w:before="200"/>
      <w:outlineLvl w:val="5"/>
    </w:pPr>
    <w:rPr>
      <w:i/>
      <w:iCs/>
      <w:color w:val="243F60"/>
    </w:rPr>
  </w:style>
  <w:style w:type="paragraph" w:styleId="Heading7">
    <w:name w:val="heading 7"/>
    <w:basedOn w:val="Normal"/>
    <w:next w:val="Normal"/>
    <w:link w:val="Heading7Char"/>
    <w:uiPriority w:val="9"/>
    <w:unhideWhenUsed/>
    <w:rsid w:val="003B4237"/>
    <w:pPr>
      <w:keepNext/>
      <w:keepLines/>
      <w:spacing w:before="200"/>
      <w:outlineLvl w:val="6"/>
    </w:pPr>
    <w:rPr>
      <w:i/>
      <w:iCs/>
      <w:color w:val="404040"/>
    </w:rPr>
  </w:style>
  <w:style w:type="paragraph" w:styleId="Heading8">
    <w:name w:val="heading 8"/>
    <w:basedOn w:val="Normal"/>
    <w:next w:val="Normal"/>
    <w:link w:val="Heading8Char"/>
    <w:uiPriority w:val="9"/>
    <w:unhideWhenUsed/>
    <w:rsid w:val="003B4237"/>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3B4237"/>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3B4237"/>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3B4237"/>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3B4237"/>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3B4237"/>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3B4237"/>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3B4237"/>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3B4237"/>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3B4237"/>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3B4237"/>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3B4237"/>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3B4237"/>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3B4237"/>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3B4237"/>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3B4237"/>
    <w:pPr>
      <w:numPr>
        <w:numId w:val="5"/>
      </w:numPr>
      <w:bidi w:val="0"/>
    </w:pPr>
    <w:rPr>
      <w:lang w:val="en-US"/>
    </w:rPr>
  </w:style>
  <w:style w:type="paragraph" w:customStyle="1" w:styleId="Roman1GA">
    <w:name w:val="_Roman 1_GA"/>
    <w:basedOn w:val="Bullet1GA"/>
    <w:qFormat/>
    <w:rsid w:val="003B4237"/>
    <w:pPr>
      <w:numPr>
        <w:numId w:val="6"/>
      </w:numPr>
      <w:tabs>
        <w:tab w:val="clear" w:pos="2310"/>
        <w:tab w:val="left" w:pos="2486"/>
      </w:tabs>
      <w:ind w:left="2486" w:hanging="378"/>
    </w:pPr>
  </w:style>
  <w:style w:type="paragraph" w:customStyle="1" w:styleId="Roman2GA">
    <w:name w:val="_Roman 2_GA"/>
    <w:basedOn w:val="Bullet2GA"/>
    <w:qFormat/>
    <w:rsid w:val="003B4237"/>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3B4237"/>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3B4237"/>
    <w:rPr>
      <w:rFonts w:ascii="Times New Roman" w:eastAsia="PMingLiU" w:hAnsi="Times New Roman" w:cs="Simplified Arabic"/>
      <w:sz w:val="18"/>
      <w:lang w:val="en-GB" w:eastAsia="en-US"/>
    </w:rPr>
  </w:style>
  <w:style w:type="character" w:customStyle="1" w:styleId="EndtnoteReference">
    <w:name w:val="Endtnote Reference"/>
    <w:aliases w:val="1_GA"/>
    <w:qFormat/>
    <w:rsid w:val="003B4237"/>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3B4237"/>
    <w:pPr>
      <w:suppressAutoHyphens/>
      <w:bidi w:val="0"/>
      <w:spacing w:line="240" w:lineRule="auto"/>
    </w:pPr>
    <w:rPr>
      <w:sz w:val="16"/>
      <w:lang w:val="en-GB"/>
    </w:rPr>
  </w:style>
  <w:style w:type="character" w:customStyle="1" w:styleId="FooterChar">
    <w:name w:val="Footer Char"/>
    <w:aliases w:val="3_GA Char,3_G Char"/>
    <w:link w:val="Footer"/>
    <w:rsid w:val="003B4237"/>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3B4237"/>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3B4237"/>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3B4237"/>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3B4237"/>
    <w:rPr>
      <w:rFonts w:ascii="Times New Roman" w:eastAsia="PMingLiU" w:hAnsi="Times New Roman" w:cs="Simplified Arabic"/>
      <w:sz w:val="22"/>
      <w:szCs w:val="22"/>
      <w:lang w:val="en-GB" w:eastAsia="en-US"/>
    </w:rPr>
  </w:style>
  <w:style w:type="character" w:styleId="PageNumber">
    <w:name w:val="page number"/>
    <w:aliases w:val="7_GA,7_G"/>
    <w:qFormat/>
    <w:rsid w:val="003B4237"/>
    <w:rPr>
      <w:rFonts w:ascii="Times New Roman Bold" w:hAnsi="Times New Roman Bold"/>
      <w:b/>
      <w:i w:val="0"/>
      <w:sz w:val="18"/>
      <w:szCs w:val="18"/>
    </w:rPr>
  </w:style>
  <w:style w:type="paragraph" w:customStyle="1" w:styleId="XXLargeGA">
    <w:name w:val="XXLarge_GA"/>
    <w:basedOn w:val="Normal"/>
    <w:next w:val="SingleTxtGA"/>
    <w:qFormat/>
    <w:rsid w:val="003B4237"/>
    <w:pPr>
      <w:suppressAutoHyphens/>
      <w:spacing w:line="820" w:lineRule="exact"/>
    </w:pPr>
    <w:rPr>
      <w:spacing w:val="-8"/>
      <w:w w:val="96"/>
      <w:sz w:val="57"/>
      <w:szCs w:val="86"/>
      <w:lang w:val="en-GB"/>
    </w:rPr>
  </w:style>
  <w:style w:type="character" w:customStyle="1" w:styleId="Heading2Char">
    <w:name w:val="Heading 2 Char"/>
    <w:link w:val="Heading2"/>
    <w:uiPriority w:val="9"/>
    <w:rsid w:val="003B4237"/>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3B4237"/>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3B4237"/>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3B4237"/>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3B4237"/>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3B4237"/>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3B4237"/>
    <w:rPr>
      <w:rFonts w:ascii="Times New Roman" w:eastAsia="PMingLiU" w:hAnsi="Times New Roman" w:cs="Simplified Arabic"/>
      <w:color w:val="404040"/>
      <w:lang w:eastAsia="en-US"/>
    </w:rPr>
  </w:style>
  <w:style w:type="character" w:customStyle="1" w:styleId="Heading9Char">
    <w:name w:val="Heading 9 Char"/>
    <w:link w:val="Heading9"/>
    <w:uiPriority w:val="9"/>
    <w:rsid w:val="003B4237"/>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3B4237"/>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3B4237"/>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3B4237"/>
    <w:pPr>
      <w:numPr>
        <w:ilvl w:val="1"/>
      </w:numPr>
    </w:pPr>
    <w:rPr>
      <w:i/>
      <w:iCs/>
      <w:color w:val="4F81BD"/>
      <w:spacing w:val="15"/>
      <w:sz w:val="24"/>
      <w:szCs w:val="24"/>
    </w:rPr>
  </w:style>
  <w:style w:type="character" w:customStyle="1" w:styleId="SubtitleChar">
    <w:name w:val="Subtitle Char"/>
    <w:link w:val="Subtitle"/>
    <w:uiPriority w:val="11"/>
    <w:rsid w:val="003B4237"/>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3B4237"/>
    <w:rPr>
      <w:b/>
      <w:bCs/>
    </w:rPr>
  </w:style>
  <w:style w:type="table" w:styleId="TableGrid">
    <w:name w:val="Table Grid"/>
    <w:basedOn w:val="TableNormal"/>
    <w:rsid w:val="003B4237"/>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4237"/>
    <w:rPr>
      <w:color w:val="0000FF"/>
      <w:u w:val="none"/>
    </w:rPr>
  </w:style>
  <w:style w:type="paragraph" w:styleId="TOC1">
    <w:name w:val="toc 1"/>
    <w:basedOn w:val="Normal"/>
    <w:link w:val="TOC1Char"/>
    <w:autoRedefine/>
    <w:uiPriority w:val="39"/>
    <w:unhideWhenUsed/>
    <w:rsid w:val="003B4237"/>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3B4237"/>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3B4237"/>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3B4237"/>
    <w:rPr>
      <w:rFonts w:eastAsia="DengXian"/>
      <w:color w:val="auto"/>
      <w:sz w:val="20"/>
      <w:szCs w:val="20"/>
      <w:u w:val="none"/>
      <w:lang w:eastAsia="zh-CN" w:bidi="ar-EG"/>
    </w:rPr>
  </w:style>
  <w:style w:type="paragraph" w:styleId="TOC4">
    <w:name w:val="toc 4"/>
    <w:basedOn w:val="Normal"/>
    <w:link w:val="TOC4Char"/>
    <w:autoRedefine/>
    <w:uiPriority w:val="39"/>
    <w:unhideWhenUsed/>
    <w:rsid w:val="003B4237"/>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3B4237"/>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3B4237"/>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3B4237"/>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3B4237"/>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3B4237"/>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3B4237"/>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3B4237"/>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3B4237"/>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3B4237"/>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3B4237"/>
    <w:rPr>
      <w:rFonts w:ascii="Times New Roman" w:eastAsia="PMingLiU" w:hAnsi="Times New Roman" w:cs="Simplified Arabic"/>
      <w:lang w:val="en-GB" w:eastAsia="en-US"/>
    </w:rPr>
  </w:style>
  <w:style w:type="paragraph" w:customStyle="1" w:styleId="NormalA">
    <w:name w:val="Normal_A"/>
    <w:basedOn w:val="Normal"/>
    <w:qFormat/>
    <w:rsid w:val="003B4237"/>
  </w:style>
  <w:style w:type="paragraph" w:customStyle="1" w:styleId="FootnoteGA">
    <w:name w:val="_Footnote_GA"/>
    <w:basedOn w:val="Normal"/>
    <w:qFormat/>
    <w:rsid w:val="003B4237"/>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3B4237"/>
    <w:rPr>
      <w:sz w:val="44"/>
      <w:szCs w:val="44"/>
      <w:lang w:val="en-US" w:bidi="ar-DZ"/>
    </w:rPr>
  </w:style>
  <w:style w:type="paragraph" w:customStyle="1" w:styleId="FootnoteGA0">
    <w:name w:val="Footnote_GA"/>
    <w:basedOn w:val="Normal"/>
    <w:qFormat/>
    <w:rsid w:val="003B4237"/>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3B4237"/>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3B4237"/>
    <w:pPr>
      <w:spacing w:line="240" w:lineRule="exact"/>
    </w:pPr>
    <w:rPr>
      <w:spacing w:val="6"/>
      <w:w w:val="106"/>
      <w:sz w:val="14"/>
      <w:szCs w:val="21"/>
    </w:rPr>
  </w:style>
  <w:style w:type="paragraph" w:customStyle="1" w:styleId="Original">
    <w:name w:val="Original"/>
    <w:basedOn w:val="Normal"/>
    <w:next w:val="Normal"/>
    <w:qFormat/>
    <w:rsid w:val="003B4237"/>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3B4237"/>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3B4237"/>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3B4237"/>
    <w:rPr>
      <w:lang w:val="en-US" w:eastAsia="zh-TW"/>
    </w:rPr>
  </w:style>
  <w:style w:type="paragraph" w:customStyle="1" w:styleId="STitleMGA">
    <w:name w:val="S_Title_M_GA"/>
    <w:basedOn w:val="SMGA"/>
    <w:qFormat/>
    <w:rsid w:val="003B4237"/>
    <w:rPr>
      <w:lang w:eastAsia="zh-TW"/>
    </w:rPr>
  </w:style>
  <w:style w:type="paragraph" w:customStyle="1" w:styleId="STitleSGA">
    <w:name w:val="S_Title_S_GA"/>
    <w:basedOn w:val="SSGA"/>
    <w:qFormat/>
    <w:rsid w:val="003B4237"/>
    <w:rPr>
      <w:lang w:eastAsia="zh-TW"/>
    </w:rPr>
  </w:style>
  <w:style w:type="paragraph" w:customStyle="1" w:styleId="HChG">
    <w:name w:val="_ H _Ch_G"/>
    <w:basedOn w:val="Normal"/>
    <w:next w:val="Normal"/>
    <w:rsid w:val="00F419FD"/>
    <w:pPr>
      <w:keepNext/>
      <w:keepLines/>
      <w:tabs>
        <w:tab w:val="right" w:pos="851"/>
      </w:tabs>
      <w:suppressAutoHyphens/>
      <w:bidi w:val="0"/>
      <w:spacing w:before="360" w:after="240" w:line="300" w:lineRule="exact"/>
      <w:ind w:left="1134" w:right="1134" w:hanging="1134"/>
      <w:jc w:val="left"/>
    </w:pPr>
    <w:rPr>
      <w:rFonts w:eastAsia="SimSun" w:hAnsiTheme="minorHAnsi" w:cs="Traditional Arabic" w:hint="cs"/>
      <w:b/>
      <w:sz w:val="28"/>
      <w:szCs w:val="30"/>
      <w:lang w:val="en-GB" w:eastAsia="zh-CN"/>
    </w:rPr>
  </w:style>
  <w:style w:type="paragraph" w:customStyle="1" w:styleId="H23G">
    <w:name w:val="_ H_2/3_G"/>
    <w:basedOn w:val="Normal"/>
    <w:next w:val="Normal"/>
    <w:rsid w:val="00F419FD"/>
    <w:pPr>
      <w:keepNext/>
      <w:keepLines/>
      <w:tabs>
        <w:tab w:val="right" w:pos="851"/>
      </w:tabs>
      <w:suppressAutoHyphens/>
      <w:bidi w:val="0"/>
      <w:spacing w:before="240" w:after="120" w:line="240" w:lineRule="exact"/>
      <w:ind w:left="1134" w:right="1134" w:hanging="1134"/>
      <w:jc w:val="left"/>
    </w:pPr>
    <w:rPr>
      <w:rFonts w:eastAsia="SimSun" w:hAnsiTheme="minorHAnsi" w:cs="Traditional Arabic" w:hint="cs"/>
      <w:b/>
      <w:szCs w:val="30"/>
      <w:lang w:val="en-GB" w:eastAsia="zh-CN"/>
    </w:rPr>
  </w:style>
  <w:style w:type="paragraph" w:customStyle="1" w:styleId="H4G">
    <w:name w:val="_ H_4_G"/>
    <w:basedOn w:val="Normal"/>
    <w:next w:val="Normal"/>
    <w:rsid w:val="00F419FD"/>
    <w:pPr>
      <w:keepNext/>
      <w:keepLines/>
      <w:tabs>
        <w:tab w:val="right" w:pos="851"/>
      </w:tabs>
      <w:suppressAutoHyphens/>
      <w:bidi w:val="0"/>
      <w:spacing w:before="240" w:after="120" w:line="240" w:lineRule="exact"/>
      <w:ind w:left="1134" w:right="1134" w:hanging="1134"/>
      <w:jc w:val="left"/>
    </w:pPr>
    <w:rPr>
      <w:rFonts w:eastAsia="SimSun" w:hAnsiTheme="minorHAnsi" w:cs="Traditional Arabic" w:hint="cs"/>
      <w:i/>
      <w:szCs w:val="30"/>
      <w:lang w:val="en-GB" w:eastAsia="zh-CN"/>
    </w:rPr>
  </w:style>
  <w:style w:type="paragraph" w:customStyle="1" w:styleId="SingleTxtG">
    <w:name w:val="_ Single Txt_G"/>
    <w:basedOn w:val="Normal"/>
    <w:link w:val="SingleTxtGChar"/>
    <w:qFormat/>
    <w:rsid w:val="00F419FD"/>
    <w:pPr>
      <w:suppressAutoHyphens/>
      <w:bidi w:val="0"/>
      <w:spacing w:after="120"/>
      <w:ind w:left="1134" w:right="1134"/>
      <w:jc w:val="both"/>
    </w:pPr>
    <w:rPr>
      <w:rFonts w:eastAsia="SimSun" w:hAnsiTheme="minorHAnsi" w:cs="Traditional Arabic"/>
      <w:szCs w:val="30"/>
      <w:lang w:val="en-GB" w:eastAsia="zh-CN"/>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uiPriority w:val="99"/>
    <w:qFormat/>
    <w:rsid w:val="00F419FD"/>
    <w:pPr>
      <w:tabs>
        <w:tab w:val="right" w:pos="1021"/>
      </w:tabs>
      <w:suppressAutoHyphens/>
      <w:bidi w:val="0"/>
      <w:spacing w:line="220" w:lineRule="exact"/>
      <w:ind w:left="1134" w:right="1134" w:hanging="1134"/>
      <w:jc w:val="left"/>
    </w:pPr>
    <w:rPr>
      <w:rFonts w:eastAsia="SimSun" w:hAnsiTheme="minorHAnsi" w:cs="Traditional Arabic" w:hint="cs"/>
      <w:sz w:val="18"/>
      <w:szCs w:val="30"/>
      <w:lang w:val="en-GB"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F419FD"/>
    <w:rPr>
      <w:rFonts w:ascii="Times New Roman" w:eastAsia="SimSun" w:hAnsiTheme="minorHAnsi" w:cs="Traditional Arabic"/>
      <w:sz w:val="18"/>
      <w:szCs w:val="30"/>
      <w:lang w:val="en-GB" w:eastAsia="zh-CN"/>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t,4_Footnote text,f,Ref"/>
    <w:link w:val="Appelnotedebasde"/>
    <w:qFormat/>
    <w:rsid w:val="00F419FD"/>
    <w:rPr>
      <w:rFonts w:ascii="Times New Roman" w:hAnsi="Times New Roman"/>
      <w:sz w:val="18"/>
      <w:vertAlign w:val="superscript"/>
    </w:rPr>
  </w:style>
  <w:style w:type="character" w:customStyle="1" w:styleId="SingleTxtGChar">
    <w:name w:val="_ Single Txt_G Char"/>
    <w:basedOn w:val="DefaultParagraphFont"/>
    <w:link w:val="SingleTxtG"/>
    <w:locked/>
    <w:rsid w:val="00F419FD"/>
    <w:rPr>
      <w:rFonts w:ascii="Times New Roman" w:eastAsia="SimSun" w:hAnsiTheme="minorHAnsi" w:cs="Traditional Arabic"/>
      <w:szCs w:val="30"/>
      <w:lang w:val="en-GB" w:eastAsia="zh-CN"/>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F419FD"/>
    <w:pPr>
      <w:bidi w:val="0"/>
      <w:spacing w:before="120" w:after="120" w:line="240" w:lineRule="auto"/>
      <w:jc w:val="left"/>
    </w:pPr>
    <w:rPr>
      <w:rFonts w:eastAsia="Times New Roman" w:cs="Arial"/>
      <w:sz w:val="18"/>
      <w:szCs w:val="20"/>
      <w:vertAlign w:val="superscript"/>
      <w:lang w:eastAsia="zh-TW"/>
    </w:rPr>
  </w:style>
  <w:style w:type="character" w:styleId="UnresolvedMention">
    <w:name w:val="Unresolved Mention"/>
    <w:basedOn w:val="DefaultParagraphFont"/>
    <w:uiPriority w:val="99"/>
    <w:semiHidden/>
    <w:unhideWhenUsed/>
    <w:rsid w:val="00136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126/D/2542/2015" TargetMode="External"/><Relationship Id="rId7" Type="http://schemas.openxmlformats.org/officeDocument/2006/relationships/hyperlink" Target="https://undocs.org/ar/CCPR/C/132/DR/2561/2015" TargetMode="External"/><Relationship Id="rId2" Type="http://schemas.openxmlformats.org/officeDocument/2006/relationships/hyperlink" Target="https://undocs.org/ar/CCPR/C/126/D/2311/2013" TargetMode="External"/><Relationship Id="rId1" Type="http://schemas.openxmlformats.org/officeDocument/2006/relationships/hyperlink" Target="https://undocs.org/ar/CCPR/C/126/D/2416/2014" TargetMode="External"/><Relationship Id="rId6" Type="http://schemas.openxmlformats.org/officeDocument/2006/relationships/hyperlink" Target="https://undocs.org/ar/CCPR/C/116/D/2092/2011" TargetMode="External"/><Relationship Id="rId5" Type="http://schemas.openxmlformats.org/officeDocument/2006/relationships/hyperlink" Target="https://undocs.org/ar/CCPR/C/117/D/2082/2011" TargetMode="External"/><Relationship Id="rId4" Type="http://schemas.openxmlformats.org/officeDocument/2006/relationships/hyperlink" Target="https://undocs.org/ar/CCPR/C/126/D/2543/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7</Pages>
  <Words>2514</Words>
  <Characters>14333</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CCPR/C/134/D/2864/2016</vt:lpstr>
      <vt:lpstr>    الآراء التي اعتمدتها اللّجنة بموجب المادة 5(4) من البروتوكول الاختياري، بشأن ا</vt:lpstr>
    </vt:vector>
  </TitlesOfParts>
  <Company>DCM</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CCPR/C/134/D/2864/2016</dc:title>
  <dc:subject>GE.2213397(A)</dc:subject>
  <dc:creator>bah - </dc:creator>
  <cp:keywords>GE.(A)</cp:keywords>
  <dc:description>Distr.: General
29 August 2022
Arabic
Original: English</dc:description>
  <cp:lastModifiedBy>Jamal Alkahlout</cp:lastModifiedBy>
  <cp:revision>4</cp:revision>
  <cp:lastPrinted>2022-11-25T11:00:00Z</cp:lastPrinted>
  <dcterms:created xsi:type="dcterms:W3CDTF">2022-11-25T11:00:00Z</dcterms:created>
  <dcterms:modified xsi:type="dcterms:W3CDTF">2022-11-25T12:24:00Z</dcterms:modified>
  <cp:category>Finale</cp:category>
</cp:coreProperties>
</file>