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E8C0E39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C2C81C" w14:textId="77777777" w:rsidR="002D5AAC" w:rsidRDefault="002D5AAC" w:rsidP="00C801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183D61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9B98E12" w14:textId="00CBC7E0" w:rsidR="002D5AAC" w:rsidRDefault="00C801B7" w:rsidP="00C801B7">
            <w:pPr>
              <w:jc w:val="right"/>
            </w:pPr>
            <w:r w:rsidRPr="00C801B7">
              <w:rPr>
                <w:sz w:val="40"/>
              </w:rPr>
              <w:t>CCPR</w:t>
            </w:r>
            <w:r>
              <w:t>/C/131/2/Add.1</w:t>
            </w:r>
          </w:p>
        </w:tc>
      </w:tr>
      <w:tr w:rsidR="002D5AAC" w:rsidRPr="001D081E" w14:paraId="202F18A2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0A77B3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7AC277" wp14:editId="028336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9EE373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0C328C" w14:textId="77777777" w:rsidR="002D5AAC" w:rsidRPr="00C801B7" w:rsidRDefault="00C801B7" w:rsidP="00BC3629">
            <w:pPr>
              <w:spacing w:before="240"/>
              <w:rPr>
                <w:lang w:val="en-US"/>
              </w:rPr>
            </w:pPr>
            <w:r w:rsidRPr="00C801B7">
              <w:rPr>
                <w:lang w:val="en-US"/>
              </w:rPr>
              <w:t>Distr.: General</w:t>
            </w:r>
          </w:p>
          <w:p w14:paraId="0C2B63FB" w14:textId="412B5649" w:rsidR="00C801B7" w:rsidRPr="00C801B7" w:rsidRDefault="00C801B7" w:rsidP="00C801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April</w:t>
            </w:r>
            <w:r w:rsidRPr="00C801B7">
              <w:rPr>
                <w:lang w:val="en-US"/>
              </w:rPr>
              <w:t xml:space="preserve"> 2021</w:t>
            </w:r>
          </w:p>
          <w:p w14:paraId="0044C8E9" w14:textId="77777777" w:rsidR="00C801B7" w:rsidRPr="00C801B7" w:rsidRDefault="00C801B7" w:rsidP="00C801B7">
            <w:pPr>
              <w:spacing w:line="240" w:lineRule="exact"/>
              <w:rPr>
                <w:lang w:val="en-US"/>
              </w:rPr>
            </w:pPr>
            <w:r w:rsidRPr="00C801B7">
              <w:rPr>
                <w:lang w:val="en-US"/>
              </w:rPr>
              <w:t>Russian</w:t>
            </w:r>
          </w:p>
          <w:p w14:paraId="248868F4" w14:textId="3F8CA6B0" w:rsidR="00C801B7" w:rsidRPr="00C801B7" w:rsidRDefault="00C801B7" w:rsidP="00C801B7">
            <w:pPr>
              <w:spacing w:line="240" w:lineRule="exact"/>
              <w:rPr>
                <w:lang w:val="en-US"/>
              </w:rPr>
            </w:pPr>
            <w:r w:rsidRPr="00C801B7">
              <w:rPr>
                <w:lang w:val="en-US"/>
              </w:rPr>
              <w:t>Original: English</w:t>
            </w:r>
          </w:p>
        </w:tc>
      </w:tr>
    </w:tbl>
    <w:p w14:paraId="49D0CDFA" w14:textId="44F017B3" w:rsidR="00C801B7" w:rsidRPr="00C801B7" w:rsidRDefault="00C801B7" w:rsidP="00C801B7">
      <w:pPr>
        <w:spacing w:before="120"/>
        <w:rPr>
          <w:sz w:val="24"/>
          <w:szCs w:val="28"/>
        </w:rPr>
      </w:pPr>
      <w:r w:rsidRPr="00C801B7">
        <w:rPr>
          <w:b/>
          <w:bCs/>
          <w:sz w:val="24"/>
          <w:szCs w:val="28"/>
        </w:rPr>
        <w:t>Комитет по правам человека</w:t>
      </w:r>
    </w:p>
    <w:p w14:paraId="6ABF2B5F" w14:textId="77A46785" w:rsidR="00C801B7" w:rsidRPr="00C801B7" w:rsidRDefault="00C801B7" w:rsidP="00C801B7">
      <w:pPr>
        <w:pStyle w:val="HChG"/>
      </w:pPr>
      <w:r w:rsidRPr="00C801B7">
        <w:tab/>
      </w:r>
      <w:r w:rsidRPr="00C801B7">
        <w:tab/>
        <w:t>Доклад о последующей деятельности в связи с</w:t>
      </w:r>
      <w:r>
        <w:rPr>
          <w:lang w:val="en-US"/>
        </w:rPr>
        <w:t> </w:t>
      </w:r>
      <w:r w:rsidRPr="00C801B7">
        <w:t xml:space="preserve">заключительными замечаниями Комитета </w:t>
      </w:r>
      <w:r>
        <w:br/>
      </w:r>
      <w:r w:rsidRPr="00C801B7">
        <w:t>по правам человека</w:t>
      </w:r>
      <w:r w:rsidRPr="00C801B7">
        <w:rPr>
          <w:b w:val="0"/>
          <w:bCs/>
          <w:sz w:val="20"/>
        </w:rPr>
        <w:footnoteReference w:customMarkFollows="1" w:id="1"/>
        <w:t>*</w:t>
      </w:r>
      <w:bookmarkStart w:id="0" w:name="_Toc506807534"/>
      <w:bookmarkEnd w:id="0"/>
    </w:p>
    <w:p w14:paraId="42EFCF6D" w14:textId="77777777" w:rsidR="00C801B7" w:rsidRPr="00C801B7" w:rsidRDefault="00C801B7" w:rsidP="00C801B7">
      <w:pPr>
        <w:pStyle w:val="H23G"/>
      </w:pPr>
      <w:r w:rsidRPr="00C801B7">
        <w:tab/>
      </w:r>
      <w:r w:rsidRPr="00C801B7">
        <w:tab/>
        <w:t>Добавление</w:t>
      </w:r>
    </w:p>
    <w:p w14:paraId="04F5625E" w14:textId="61F8CF4A" w:rsidR="00C801B7" w:rsidRPr="00C801B7" w:rsidRDefault="00C801B7" w:rsidP="00C801B7">
      <w:pPr>
        <w:pStyle w:val="H1G"/>
      </w:pPr>
      <w:r w:rsidRPr="00C801B7">
        <w:tab/>
      </w:r>
      <w:r w:rsidRPr="00C801B7">
        <w:tab/>
        <w:t>Оценка информации о последующей деятельности в связи с</w:t>
      </w:r>
      <w:r>
        <w:rPr>
          <w:lang w:val="en-US"/>
        </w:rPr>
        <w:t> </w:t>
      </w:r>
      <w:r w:rsidRPr="00C801B7">
        <w:t>заключительными замечаниями по Ямайке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C801B7" w:rsidRPr="0064331C" w14:paraId="44698BE9" w14:textId="77777777" w:rsidTr="00693C13">
        <w:tc>
          <w:tcPr>
            <w:tcW w:w="3402" w:type="dxa"/>
            <w:hideMark/>
          </w:tcPr>
          <w:p w14:paraId="769D777A" w14:textId="741BE8B6" w:rsidR="00C801B7" w:rsidRPr="0064331C" w:rsidRDefault="00C801B7" w:rsidP="00855038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C801B7"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</w:r>
            <w:r w:rsidRPr="00C801B7">
              <w:rPr>
                <w:i/>
                <w:iCs/>
              </w:rPr>
              <w:t>(118-я сессия):</w:t>
            </w:r>
          </w:p>
        </w:tc>
        <w:tc>
          <w:tcPr>
            <w:tcW w:w="3975" w:type="dxa"/>
          </w:tcPr>
          <w:p w14:paraId="11FD7B22" w14:textId="7093C886" w:rsidR="00C801B7" w:rsidRPr="0064331C" w:rsidRDefault="0058447A" w:rsidP="00855038">
            <w:pPr>
              <w:spacing w:after="120"/>
            </w:pPr>
            <w:hyperlink r:id="rId8" w:history="1">
              <w:r w:rsidR="00C801B7" w:rsidRPr="00C801B7">
                <w:rPr>
                  <w:rStyle w:val="af1"/>
                </w:rPr>
                <w:t>CCPR/C/JAM/CO/4</w:t>
              </w:r>
            </w:hyperlink>
            <w:r w:rsidR="00C801B7" w:rsidRPr="00C801B7">
              <w:t>, 1 ноября 2016 года</w:t>
            </w:r>
          </w:p>
        </w:tc>
      </w:tr>
      <w:tr w:rsidR="00C801B7" w:rsidRPr="0064331C" w14:paraId="30E5AFF9" w14:textId="77777777" w:rsidTr="00693C13">
        <w:tc>
          <w:tcPr>
            <w:tcW w:w="3402" w:type="dxa"/>
            <w:hideMark/>
          </w:tcPr>
          <w:p w14:paraId="20294B34" w14:textId="1146AE07" w:rsidR="00C801B7" w:rsidRPr="0064331C" w:rsidRDefault="00C801B7" w:rsidP="00855038">
            <w:pPr>
              <w:spacing w:after="120"/>
              <w:ind w:left="35"/>
              <w:rPr>
                <w:i/>
              </w:rPr>
            </w:pPr>
            <w:r w:rsidRPr="00C801B7"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975" w:type="dxa"/>
          </w:tcPr>
          <w:p w14:paraId="6B36D065" w14:textId="0E997531" w:rsidR="00C801B7" w:rsidRPr="0064331C" w:rsidRDefault="00C801B7" w:rsidP="00855038">
            <w:pPr>
              <w:spacing w:after="120"/>
            </w:pPr>
            <w:r w:rsidRPr="00C801B7">
              <w:t>26, 32 и 44</w:t>
            </w:r>
          </w:p>
        </w:tc>
      </w:tr>
      <w:tr w:rsidR="00C801B7" w:rsidRPr="001D081E" w14:paraId="6C8B6A50" w14:textId="77777777" w:rsidTr="00693C13">
        <w:tc>
          <w:tcPr>
            <w:tcW w:w="3402" w:type="dxa"/>
            <w:hideMark/>
          </w:tcPr>
          <w:p w14:paraId="769CB1E7" w14:textId="6070D554" w:rsidR="00C801B7" w:rsidRPr="0064331C" w:rsidRDefault="00C801B7" w:rsidP="00855038">
            <w:pPr>
              <w:spacing w:after="120"/>
              <w:ind w:left="35"/>
              <w:rPr>
                <w:i/>
              </w:rPr>
            </w:pPr>
            <w:r w:rsidRPr="00C801B7"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3975" w:type="dxa"/>
          </w:tcPr>
          <w:p w14:paraId="7461F1F0" w14:textId="6119A1CA" w:rsidR="00C801B7" w:rsidRPr="00C801B7" w:rsidRDefault="0058447A" w:rsidP="00855038">
            <w:pPr>
              <w:spacing w:after="120"/>
              <w:rPr>
                <w:lang w:val="en-US"/>
              </w:rPr>
            </w:pPr>
            <w:hyperlink r:id="rId9" w:history="1">
              <w:r w:rsidR="00C801B7" w:rsidRPr="00C801B7">
                <w:rPr>
                  <w:rStyle w:val="af1"/>
                  <w:lang w:val="en-US"/>
                </w:rPr>
                <w:t>CCPR/C/JAM/CO/4/Add.1</w:t>
              </w:r>
            </w:hyperlink>
            <w:r w:rsidR="00C801B7" w:rsidRPr="00C801B7">
              <w:rPr>
                <w:lang w:val="en-US"/>
              </w:rPr>
              <w:t xml:space="preserve">, 19 </w:t>
            </w:r>
            <w:r w:rsidR="00C801B7" w:rsidRPr="00C801B7">
              <w:t>июля</w:t>
            </w:r>
            <w:r w:rsidR="00C801B7" w:rsidRPr="00C801B7">
              <w:rPr>
                <w:lang w:val="en-US"/>
              </w:rPr>
              <w:t xml:space="preserve"> 2018 </w:t>
            </w:r>
            <w:r w:rsidR="00C801B7" w:rsidRPr="00C801B7">
              <w:t>года</w:t>
            </w:r>
          </w:p>
        </w:tc>
      </w:tr>
      <w:tr w:rsidR="00C801B7" w:rsidRPr="0064331C" w14:paraId="354D34C1" w14:textId="77777777" w:rsidTr="00693C13">
        <w:tc>
          <w:tcPr>
            <w:tcW w:w="3402" w:type="dxa"/>
            <w:hideMark/>
          </w:tcPr>
          <w:p w14:paraId="3B7A6F15" w14:textId="79BF94A4" w:rsidR="00C801B7" w:rsidRPr="0064331C" w:rsidRDefault="00C801B7" w:rsidP="00855038">
            <w:pPr>
              <w:spacing w:after="120"/>
              <w:ind w:left="35"/>
              <w:rPr>
                <w:i/>
              </w:rPr>
            </w:pPr>
            <w:r w:rsidRPr="00C801B7">
              <w:rPr>
                <w:i/>
                <w:iCs/>
              </w:rPr>
              <w:t>Информация от неправительственных организаций</w:t>
            </w:r>
          </w:p>
        </w:tc>
        <w:tc>
          <w:tcPr>
            <w:tcW w:w="3975" w:type="dxa"/>
          </w:tcPr>
          <w:p w14:paraId="63044162" w14:textId="367811A7" w:rsidR="00C801B7" w:rsidRPr="0064331C" w:rsidRDefault="0058447A" w:rsidP="00855038">
            <w:pPr>
              <w:spacing w:after="120"/>
            </w:pPr>
            <w:hyperlink r:id="rId10" w:history="1">
              <w:r w:rsidR="00C801B7" w:rsidRPr="00C801B7">
                <w:rPr>
                  <w:rStyle w:val="af1"/>
                </w:rPr>
                <w:t>«Ямайцы за справедливость»</w:t>
              </w:r>
            </w:hyperlink>
            <w:r w:rsidR="00C801B7" w:rsidRPr="00C801B7">
              <w:t xml:space="preserve"> при поддержке ЦГПП, март 2019 года</w:t>
            </w:r>
          </w:p>
        </w:tc>
      </w:tr>
      <w:tr w:rsidR="00C801B7" w:rsidRPr="0064331C" w14:paraId="17CA1A8A" w14:textId="77777777" w:rsidTr="00693C13">
        <w:tc>
          <w:tcPr>
            <w:tcW w:w="3402" w:type="dxa"/>
            <w:hideMark/>
          </w:tcPr>
          <w:p w14:paraId="6DED9605" w14:textId="1E0D3662" w:rsidR="00C801B7" w:rsidRPr="0064331C" w:rsidRDefault="00C801B7" w:rsidP="00855038">
            <w:pPr>
              <w:spacing w:after="120"/>
              <w:ind w:left="35"/>
              <w:rPr>
                <w:i/>
              </w:rPr>
            </w:pPr>
            <w:r w:rsidRPr="00C801B7">
              <w:rPr>
                <w:i/>
                <w:iCs/>
              </w:rPr>
              <w:t>Оценка Комитета:</w:t>
            </w:r>
          </w:p>
        </w:tc>
        <w:tc>
          <w:tcPr>
            <w:tcW w:w="3975" w:type="dxa"/>
          </w:tcPr>
          <w:p w14:paraId="4EA129B6" w14:textId="692167C7" w:rsidR="00C801B7" w:rsidRPr="0064331C" w:rsidRDefault="00C801B7" w:rsidP="00855038">
            <w:pPr>
              <w:spacing w:after="120"/>
            </w:pPr>
            <w:r w:rsidRPr="00C801B7">
              <w:t>требуется дополнительная информация по</w:t>
            </w:r>
            <w:r>
              <w:rPr>
                <w:lang w:val="en-US"/>
              </w:rPr>
              <w:t> </w:t>
            </w:r>
            <w:r w:rsidRPr="00C801B7">
              <w:t>пунктам 26[</w:t>
            </w:r>
            <w:r w:rsidRPr="00C801B7">
              <w:rPr>
                <w:b/>
                <w:bCs/>
              </w:rPr>
              <w:t>C</w:t>
            </w:r>
            <w:r w:rsidRPr="00C801B7">
              <w:t>], 32[</w:t>
            </w:r>
            <w:r w:rsidRPr="00C801B7">
              <w:rPr>
                <w:b/>
                <w:bCs/>
              </w:rPr>
              <w:t>B</w:t>
            </w:r>
            <w:r w:rsidRPr="00C801B7">
              <w:t>][</w:t>
            </w:r>
            <w:r w:rsidRPr="00C801B7">
              <w:rPr>
                <w:b/>
                <w:bCs/>
              </w:rPr>
              <w:t>C</w:t>
            </w:r>
            <w:r w:rsidRPr="00C801B7">
              <w:t>] и 44[</w:t>
            </w:r>
            <w:r w:rsidRPr="00C801B7">
              <w:rPr>
                <w:b/>
                <w:bCs/>
              </w:rPr>
              <w:t>B</w:t>
            </w:r>
            <w:r w:rsidRPr="00C801B7">
              <w:t>]</w:t>
            </w:r>
          </w:p>
        </w:tc>
      </w:tr>
    </w:tbl>
    <w:p w14:paraId="70DFFC07" w14:textId="77777777" w:rsidR="00C801B7" w:rsidRPr="00C801B7" w:rsidRDefault="00C801B7" w:rsidP="00C801B7">
      <w:pPr>
        <w:pStyle w:val="H23G"/>
      </w:pPr>
      <w:r w:rsidRPr="00C801B7">
        <w:tab/>
      </w:r>
      <w:r w:rsidRPr="00C801B7">
        <w:tab/>
        <w:t>Пункт 26: Добровольное прерывание беременности</w:t>
      </w:r>
    </w:p>
    <w:p w14:paraId="5BD49BF7" w14:textId="26F4CC61" w:rsidR="00C801B7" w:rsidRPr="00C801B7" w:rsidRDefault="00C801B7" w:rsidP="00C801B7">
      <w:pPr>
        <w:pStyle w:val="SingleTxtG"/>
        <w:rPr>
          <w:b/>
          <w:bCs/>
        </w:rPr>
      </w:pPr>
      <w:r w:rsidRPr="00C801B7">
        <w:rPr>
          <w:b/>
          <w:bCs/>
        </w:rPr>
        <w:t>Государству-участнику следует в приоритетном порядке внести поправки в законодательство об абортах, с тем чтобы помочь женщинам решить проблему незапланированной беременности и не прибегать к незаконным абортам, которые могут поставить под угрозу их жизнь.</w:t>
      </w:r>
      <w:r w:rsidRPr="00C801B7">
        <w:rPr>
          <w:b/>
        </w:rPr>
        <w:t xml:space="preserve"> </w:t>
      </w:r>
      <w:r w:rsidRPr="00C801B7">
        <w:rPr>
          <w:b/>
          <w:bCs/>
        </w:rPr>
        <w:t>Ему следует принять меры по защите женщин от рисков для здоровья, связанных с небезопасными абортами, путем улучшения мониторинга и сбора данных о доступе женщин к медицинскому обслуживанию, а также путем предоставления доступа к информации и услугам в области сексуального и репродуктивного здоровья всем женщинам, включая девочек в возрасте до 16 лет.</w:t>
      </w:r>
    </w:p>
    <w:p w14:paraId="067043A7" w14:textId="77777777" w:rsidR="00C801B7" w:rsidRPr="00C801B7" w:rsidRDefault="00C801B7" w:rsidP="00C801B7">
      <w:pPr>
        <w:pStyle w:val="H23G"/>
      </w:pPr>
      <w:r w:rsidRPr="00C801B7">
        <w:tab/>
      </w:r>
      <w:r w:rsidRPr="00C801B7">
        <w:tab/>
        <w:t>Резюме ответа государства-участника</w:t>
      </w:r>
    </w:p>
    <w:p w14:paraId="1BE006E2" w14:textId="31970CC4" w:rsidR="00C801B7" w:rsidRPr="00C801B7" w:rsidRDefault="00C801B7" w:rsidP="00C801B7">
      <w:pPr>
        <w:pStyle w:val="SingleTxtG"/>
      </w:pPr>
      <w:r>
        <w:tab/>
      </w:r>
      <w:r w:rsidRPr="00C801B7">
        <w:t xml:space="preserve">Услуги по поддержке сексуального и репродуктивного здоровья предоставляются государственным учреждением </w:t>
      </w:r>
      <w:r>
        <w:t>—</w:t>
      </w:r>
      <w:r w:rsidRPr="00C801B7">
        <w:t xml:space="preserve"> Ресурсным центром для подростков Фонда </w:t>
      </w:r>
      <w:r>
        <w:t>«</w:t>
      </w:r>
      <w:r w:rsidRPr="00C801B7">
        <w:t>Женский центр Ямайки</w:t>
      </w:r>
      <w:r>
        <w:t>»</w:t>
      </w:r>
      <w:r w:rsidRPr="00C801B7">
        <w:t xml:space="preserve">. Центр предоставляет такие конфиденциальные услуги, как индивидуальное и групповое консультирование по методам контрацепции, обследование и направление на обследование на предмет выявления инфекций, передающихся половым путем, и ВИЧ, услуги по охране </w:t>
      </w:r>
      <w:r w:rsidRPr="00C801B7">
        <w:lastRenderedPageBreak/>
        <w:t>психического здоровья, в рамках которых проводятся обследования и лечение послеродовой депрессии, консультирование жертв гендерного насилия и предоставляется доступ к гинекологическим  и акушерским услугам.</w:t>
      </w:r>
    </w:p>
    <w:p w14:paraId="7C74BBD4" w14:textId="489757D8" w:rsidR="00C801B7" w:rsidRPr="00C801B7" w:rsidRDefault="00C801B7" w:rsidP="00C801B7">
      <w:pPr>
        <w:pStyle w:val="SingleTxtG"/>
      </w:pPr>
      <w:r>
        <w:tab/>
      </w:r>
      <w:r w:rsidRPr="00C801B7">
        <w:t xml:space="preserve">Правительство принимает меры по обеспечению финансирования инициатив по защите сексуальных и репродуктивных прав женщин и девочек при поддержке Фонда ООН в области народонаселения. Осуществляется проект по расширению гендерных прав и возможностей, который направлен на повышение уровня знаний и поведенческой осведомленности о методах контрацепции, профилактике ВИЧ, гендерных нормах, проблемах стигматизации и дискриминации. Программой воспользовались около 208 женщин и девушек в возрасте от 15 до 24 лет. Продолжается реализация программы </w:t>
      </w:r>
      <w:r>
        <w:t>«</w:t>
      </w:r>
      <w:r w:rsidRPr="00C801B7">
        <w:t>Учись поступать правильно</w:t>
      </w:r>
      <w:r>
        <w:t>»</w:t>
      </w:r>
      <w:r w:rsidRPr="00C801B7">
        <w:t xml:space="preserve">, направленной на повышение самосознания и осознанного принятия решений в отношении сексуального и репродуктивного здоровья. </w:t>
      </w:r>
    </w:p>
    <w:p w14:paraId="2556A8E8" w14:textId="32AE1ACF" w:rsidR="00C801B7" w:rsidRPr="00C801B7" w:rsidRDefault="00C801B7" w:rsidP="00C801B7">
      <w:pPr>
        <w:pStyle w:val="SingleTxtG"/>
      </w:pPr>
      <w:r>
        <w:tab/>
      </w:r>
      <w:r w:rsidRPr="00C801B7">
        <w:t xml:space="preserve">В школах продолжается обучение по программе </w:t>
      </w:r>
      <w:r>
        <w:t>«</w:t>
      </w:r>
      <w:r w:rsidRPr="00C801B7">
        <w:t>Здоровье и семейная жизнь</w:t>
      </w:r>
      <w:r>
        <w:t>»</w:t>
      </w:r>
      <w:r w:rsidRPr="00C801B7">
        <w:t xml:space="preserve">. Он включает модуль по сексуальности и сексуальному здоровью, в ходе которого учащиеся получают информацию о контрацептивах, половом воздержании и подростковой беременности. Национальный совет по планированию семьи и Фонд Ямайки провели семинары по наращиванию потенциала для повышения осведомленности по вопросам сексуального и репродуктивного здоровья. </w:t>
      </w:r>
    </w:p>
    <w:p w14:paraId="089A8D8C" w14:textId="77777777" w:rsidR="00C801B7" w:rsidRPr="00C801B7" w:rsidRDefault="00C801B7" w:rsidP="00C801B7">
      <w:pPr>
        <w:pStyle w:val="H23G"/>
      </w:pPr>
      <w:r w:rsidRPr="00C801B7">
        <w:tab/>
      </w:r>
      <w:r w:rsidRPr="00C801B7">
        <w:tab/>
        <w:t>Информация, полученная от неправительственных организаций</w:t>
      </w:r>
    </w:p>
    <w:p w14:paraId="2C34EF5B" w14:textId="77777777" w:rsidR="00C801B7" w:rsidRPr="00C801B7" w:rsidRDefault="00C801B7" w:rsidP="00C801B7">
      <w:pPr>
        <w:pStyle w:val="H4G"/>
      </w:pPr>
      <w:r w:rsidRPr="00C801B7">
        <w:tab/>
      </w:r>
      <w:r w:rsidRPr="00C801B7">
        <w:tab/>
        <w:t>«Ямайцы за справедливость»</w:t>
      </w:r>
    </w:p>
    <w:p w14:paraId="05CF3214" w14:textId="60A25ABE" w:rsidR="00C801B7" w:rsidRPr="00C801B7" w:rsidRDefault="00C801B7" w:rsidP="00C801B7">
      <w:pPr>
        <w:pStyle w:val="SingleTxtG"/>
      </w:pPr>
      <w:r>
        <w:tab/>
      </w:r>
      <w:r w:rsidRPr="00C801B7">
        <w:t xml:space="preserve">С 2018 года правительство реализует инициативы по декриминализации абортов и предоставлению женщинам безопасных и доступных методов прерывания беременности. Однако эти усилия недостаточны. Высокие показатели материнской смертности и заболеваемости, отсутствие законов о декриминализации абортов, отсутствие услуг и ограниченный доступ к информации оказывают значительное влияние на сексуальное и репродуктивное здоровье женщин. </w:t>
      </w:r>
    </w:p>
    <w:p w14:paraId="78C0EFB2" w14:textId="4F801785" w:rsidR="00C801B7" w:rsidRPr="00C801B7" w:rsidRDefault="00C801B7" w:rsidP="00C801B7">
      <w:pPr>
        <w:pStyle w:val="SingleTxtG"/>
      </w:pPr>
      <w:r>
        <w:tab/>
      </w:r>
      <w:r w:rsidRPr="00C801B7">
        <w:t>Необходимо, чтобы государство-участник приняло срочные меры по защите здоровья и благополучия женщин и девочек. Также крайне важно, чтобы государство-участник провело тщательное изучение гендерных ролей и провело информационно-просветительскую работу по вопросам гендерного насилия, включая сексуальное насилие и насилие со стороны интимного партнера, и их влияния на сексуальное и репродуктивное здоровье женщин.</w:t>
      </w:r>
    </w:p>
    <w:p w14:paraId="1CB875FA" w14:textId="57D4233E" w:rsidR="00C801B7" w:rsidRPr="00C801B7" w:rsidRDefault="003C7E77" w:rsidP="003C7E77">
      <w:pPr>
        <w:pStyle w:val="H23G"/>
      </w:pPr>
      <w:r>
        <w:tab/>
      </w:r>
      <w:r>
        <w:tab/>
      </w:r>
      <w:r w:rsidR="00C801B7" w:rsidRPr="00C801B7">
        <w:t>Оценка Комитета</w:t>
      </w:r>
    </w:p>
    <w:p w14:paraId="6B92CA77" w14:textId="0058EA5A" w:rsidR="00C801B7" w:rsidRPr="00C801B7" w:rsidRDefault="00C801B7" w:rsidP="00C801B7">
      <w:pPr>
        <w:pStyle w:val="SingleTxtG"/>
      </w:pPr>
      <w:r w:rsidRPr="00C801B7">
        <w:t>[</w:t>
      </w:r>
      <w:r w:rsidRPr="00C801B7">
        <w:rPr>
          <w:b/>
          <w:bCs/>
        </w:rPr>
        <w:t>C</w:t>
      </w:r>
      <w:r w:rsidRPr="00C801B7">
        <w:t xml:space="preserve">]: Комитет приветствует представленную государством-участником информацию о предоставлении доступа к информации и услугам в области сексуального и репродуктивного здоровья всем женщинам, включая девочек в возрасте до 16 лет. </w:t>
      </w:r>
      <w:r w:rsidR="003C7E77">
        <w:br/>
      </w:r>
      <w:r w:rsidRPr="00C801B7">
        <w:t>Он просит пояснить, были ли описанные шаги предприняты до или после опубликования его заключительных замечаний. Он также просит предоставить дополнительную информацию о реальном воздействии этих программ и об общей доступности услуг на всей территории государства-участника за отчетный период.</w:t>
      </w:r>
    </w:p>
    <w:p w14:paraId="796E1E7A" w14:textId="6E233697" w:rsidR="00C801B7" w:rsidRPr="00C801B7" w:rsidRDefault="003C7E77" w:rsidP="00C801B7">
      <w:pPr>
        <w:pStyle w:val="SingleTxtG"/>
      </w:pPr>
      <w:r>
        <w:tab/>
      </w:r>
      <w:r w:rsidR="00C801B7" w:rsidRPr="00C801B7">
        <w:t>Комитет выражает сожаление в отношении отсутствия информации о законодательных инициативах и мерах, принятых государством-участником для декриминализации добровольного прерывания беременности, в том числе в случаях беременности в результате изнасилования, инцеста и аномалии плода, и повторяет свою рекомендацию в этом отношении. Он просит предоставить точную информацию о любых планируемых поправках к законодательству об абортах.</w:t>
      </w:r>
    </w:p>
    <w:p w14:paraId="10943A37" w14:textId="57F22C07" w:rsidR="00C801B7" w:rsidRPr="00C801B7" w:rsidRDefault="003C7E77" w:rsidP="00C801B7">
      <w:pPr>
        <w:pStyle w:val="SingleTxtG"/>
      </w:pPr>
      <w:r>
        <w:tab/>
      </w:r>
      <w:r w:rsidR="00C801B7" w:rsidRPr="00C801B7">
        <w:t>Комитет также сожалеет, что не было представлено никакой информации в отношении мониторинга и сбора данных о доступе женщин к медицинскому обслуживанию. Комитет повторяет свою рекомендацию и просит представить информацию о любых мерах, принятых для улучшения мониторинга и сбора данных, а также любые имеющиеся статистические данные о доступе женщин и девочек к медицинскому обслуживанию.</w:t>
      </w:r>
    </w:p>
    <w:p w14:paraId="218A0841" w14:textId="77777777" w:rsidR="00C801B7" w:rsidRPr="00C801B7" w:rsidRDefault="00C801B7" w:rsidP="003C7E77">
      <w:pPr>
        <w:pStyle w:val="H23G"/>
      </w:pPr>
      <w:r w:rsidRPr="00C801B7">
        <w:lastRenderedPageBreak/>
        <w:tab/>
      </w:r>
      <w:r w:rsidRPr="00C801B7">
        <w:tab/>
        <w:t>Пункт 32: Запрещение пыток и жестоких, бесчеловечных или унижающих достоинство видов обращения и наказания и право на жизнь</w:t>
      </w:r>
    </w:p>
    <w:p w14:paraId="476B68E6" w14:textId="0B03AC47" w:rsidR="00C801B7" w:rsidRPr="00C801B7" w:rsidRDefault="00C801B7" w:rsidP="00C801B7">
      <w:pPr>
        <w:pStyle w:val="SingleTxtG"/>
      </w:pPr>
      <w:r w:rsidRPr="00C801B7">
        <w:rPr>
          <w:b/>
          <w:bCs/>
        </w:rPr>
        <w:t>Государству-участнику следует активизировать свои усилия по снижению</w:t>
      </w:r>
      <w:r w:rsidRPr="00C801B7">
        <w:t xml:space="preserve"> </w:t>
      </w:r>
      <w:r w:rsidRPr="00C801B7">
        <w:rPr>
          <w:b/>
          <w:bCs/>
        </w:rPr>
        <w:t>переполненности мест содержания под стражей, в том числе путем использования альтернатив тюремному заключению, и улучшить условия содержания под стражей, особенно в том, что касается санитарных условий и доступа к медицинской помощи, в соответствии со статьей 10 Пакта и Минимальными стандартными правилами обращения с заключенными Организации Объединенных Наций (правила Нельсона Манделы) (резолюция 70/175 Генеральной Ассамблеи, приложение).</w:t>
      </w:r>
      <w:r w:rsidRPr="00C801B7">
        <w:t xml:space="preserve"> </w:t>
      </w:r>
      <w:r w:rsidRPr="00C801B7">
        <w:rPr>
          <w:b/>
          <w:bCs/>
        </w:rPr>
        <w:t>Государству-участнику следует принять законодательство, регулирующее досудебное содержание под стражей, и создать систему содержания обвиняемых отдельно от осужденных.</w:t>
      </w:r>
    </w:p>
    <w:p w14:paraId="7EA41DBC" w14:textId="77777777" w:rsidR="00C801B7" w:rsidRPr="00C801B7" w:rsidRDefault="00C801B7" w:rsidP="003C7E77">
      <w:pPr>
        <w:pStyle w:val="H23G"/>
      </w:pPr>
      <w:r w:rsidRPr="00C801B7">
        <w:tab/>
      </w:r>
      <w:r w:rsidRPr="00C801B7">
        <w:tab/>
        <w:t>Резюме ответа государства-участника</w:t>
      </w:r>
    </w:p>
    <w:p w14:paraId="7915C1DC" w14:textId="008FE36F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Департамент исправительных учреждений принимает меры по снижению переполненности исправительных центров для взрослых Тауэр-стрит и Сент-Катрин. В 2018 году в исправительном центре для взрослых </w:t>
      </w:r>
      <w:proofErr w:type="spellStart"/>
      <w:r w:rsidR="00C801B7" w:rsidRPr="00C801B7">
        <w:t>Tэмерин</w:t>
      </w:r>
      <w:proofErr w:type="spellEnd"/>
      <w:r w:rsidR="00C801B7" w:rsidRPr="00C801B7">
        <w:t xml:space="preserve"> фарм был построен новый блок, рассчитанный на содержание 304 заключенных. Это позволило сократить численность заключенных в исправительных центрах для взрослых Тауэр-стрит и Сент-Катрин. </w:t>
      </w:r>
    </w:p>
    <w:p w14:paraId="52BB0BD5" w14:textId="2B14D977" w:rsidR="00C801B7" w:rsidRPr="00C801B7" w:rsidRDefault="003C7E77" w:rsidP="00C801B7">
      <w:pPr>
        <w:pStyle w:val="SingleTxtG"/>
      </w:pPr>
      <w:r>
        <w:tab/>
      </w:r>
      <w:r w:rsidR="00C801B7" w:rsidRPr="00C801B7">
        <w:t>Полиция Ямайки реализует стратегии, направленные на решение проблемы переполненности трех основных мест содержания под стражей, находящихся в ведении полиции. Начата работа по стандартизации мест содержания под стражей, оказывается помощь семьям заключенных, которые были освобождены под залог в рамках программы помощи ближайшим родственникам, принимаются меры по обеспечению соблюдения международных стандартов в области содержания и безопасности заключенных.</w:t>
      </w:r>
    </w:p>
    <w:p w14:paraId="6CC1CE68" w14:textId="05A691FD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В полиции Ямайки проводится обучение сотрудников правоохранительных органов процедурам ареста и содержания под стражей. Также организовано обучение сотрудников по применению менее смертоносных методов и правилам для судей. </w:t>
      </w:r>
      <w:r>
        <w:br/>
      </w:r>
      <w:r w:rsidR="00C801B7" w:rsidRPr="00C801B7">
        <w:t>В период с февраля 2016 года по сентябрь 2017 года такую подготовку прошли около 1149 новых и 514 действующих сотрудников.</w:t>
      </w:r>
    </w:p>
    <w:p w14:paraId="6218586D" w14:textId="623B38B3" w:rsidR="00C801B7" w:rsidRPr="00C801B7" w:rsidRDefault="003C7E77" w:rsidP="00C801B7">
      <w:pPr>
        <w:pStyle w:val="SingleTxtG"/>
      </w:pPr>
      <w:r>
        <w:tab/>
      </w:r>
      <w:r w:rsidR="00C801B7" w:rsidRPr="00C801B7">
        <w:t>Заключенные и дети в исправительных учреждениях, относящихся к ведению Департамента исправительных учреждений, имеют доступ к ведомственным медицинским, психиатрическим и психологическим услугам, за исключением одного учреждения, психиатрические услуги для заключенных которого предоставляются в публичной больнице. Предпринимаются усилия по увеличению числа медицинских работников, включая медсестер, фармацевтов, психологов и психиатров.</w:t>
      </w:r>
    </w:p>
    <w:p w14:paraId="5B05361F" w14:textId="77777777" w:rsidR="00C801B7" w:rsidRPr="00C801B7" w:rsidRDefault="00C801B7" w:rsidP="003C7E77">
      <w:pPr>
        <w:pStyle w:val="H23G"/>
      </w:pPr>
      <w:r w:rsidRPr="00C801B7">
        <w:tab/>
      </w:r>
      <w:r w:rsidRPr="00C801B7">
        <w:tab/>
        <w:t>Информация, полученная от неправительственных организаций</w:t>
      </w:r>
    </w:p>
    <w:p w14:paraId="71FA2C02" w14:textId="77777777" w:rsidR="00C801B7" w:rsidRPr="00C801B7" w:rsidRDefault="00C801B7" w:rsidP="003C7E77">
      <w:pPr>
        <w:pStyle w:val="H4G"/>
      </w:pPr>
      <w:r w:rsidRPr="00C801B7">
        <w:tab/>
      </w:r>
      <w:r w:rsidRPr="00C801B7">
        <w:tab/>
        <w:t>«Ямайцы за справедливость»</w:t>
      </w:r>
    </w:p>
    <w:p w14:paraId="25774662" w14:textId="44FF351A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Физическое состояние изоляторов и тюрем, а также обращение с заключенными вызывают глубокую озабоченность. Введение чрезвычайного положения в качестве меры борьбы с преступностью приводит к бесчеловечному обращению с гражданами, оказавшимися за решеткой. </w:t>
      </w:r>
    </w:p>
    <w:p w14:paraId="6BD3E89A" w14:textId="05EE8D43" w:rsidR="00C801B7" w:rsidRPr="00C801B7" w:rsidRDefault="003C7E77" w:rsidP="00C801B7">
      <w:pPr>
        <w:pStyle w:val="SingleTxtG"/>
      </w:pPr>
      <w:r>
        <w:tab/>
      </w:r>
      <w:r w:rsidR="00C801B7" w:rsidRPr="00C801B7">
        <w:t>Не существует четкой законодательной базы, регулирующей обращение с лицами, находящимися в предварительном заключении. Отсутствие помещений и основных удобств и санитарны</w:t>
      </w:r>
      <w:r w:rsidR="00130139">
        <w:t>х</w:t>
      </w:r>
      <w:r w:rsidR="00C801B7" w:rsidRPr="00C801B7">
        <w:t xml:space="preserve"> мер, а также вспышки заболеваний во время содержания под стражей нарушают права заключенных. </w:t>
      </w:r>
    </w:p>
    <w:p w14:paraId="3B8F5554" w14:textId="2E9FDD44" w:rsidR="00C801B7" w:rsidRPr="00C801B7" w:rsidRDefault="003C7E77" w:rsidP="003C7E77">
      <w:pPr>
        <w:pStyle w:val="H23G"/>
      </w:pPr>
      <w:r>
        <w:tab/>
      </w:r>
      <w:r>
        <w:tab/>
      </w:r>
      <w:r w:rsidR="00C801B7" w:rsidRPr="00C801B7">
        <w:t>Оценка Комитета</w:t>
      </w:r>
    </w:p>
    <w:p w14:paraId="04C95B40" w14:textId="77777777" w:rsidR="00C801B7" w:rsidRPr="00C801B7" w:rsidRDefault="00C801B7" w:rsidP="00C801B7">
      <w:pPr>
        <w:pStyle w:val="SingleTxtG"/>
      </w:pPr>
      <w:bookmarkStart w:id="1" w:name="_Hlk33449160"/>
      <w:r w:rsidRPr="00C801B7">
        <w:t>[</w:t>
      </w:r>
      <w:r w:rsidRPr="00C801B7">
        <w:rPr>
          <w:b/>
          <w:bCs/>
        </w:rPr>
        <w:t>B</w:t>
      </w:r>
      <w:r w:rsidRPr="00C801B7">
        <w:t xml:space="preserve">]: Комитет приветствует представленную государством-участником информацию об усилиях по снижению переполненности тюрем путем увеличения их вместимости за счет строительства исправительного центра для взрослых </w:t>
      </w:r>
      <w:proofErr w:type="spellStart"/>
      <w:r w:rsidRPr="00C801B7">
        <w:t>Тэмеринд</w:t>
      </w:r>
      <w:proofErr w:type="spellEnd"/>
      <w:r w:rsidRPr="00C801B7">
        <w:t xml:space="preserve"> фарм. Комитет </w:t>
      </w:r>
      <w:r w:rsidRPr="00C801B7">
        <w:lastRenderedPageBreak/>
        <w:t xml:space="preserve">отмечает стратегии, направленные на решение проблемы переполненности тюрем, которые включают программы помощи ближайшим родственникам заключенных для выплаты залога. </w:t>
      </w:r>
      <w:bookmarkEnd w:id="1"/>
    </w:p>
    <w:p w14:paraId="3BBE50A9" w14:textId="6CE19B7E" w:rsidR="00C801B7" w:rsidRPr="00C801B7" w:rsidRDefault="003C7E77" w:rsidP="00C801B7">
      <w:pPr>
        <w:pStyle w:val="SingleTxtG"/>
      </w:pPr>
      <w:r>
        <w:tab/>
      </w:r>
      <w:r w:rsidR="00C801B7" w:rsidRPr="00C801B7">
        <w:t>Вместе с тем Комитет повторяет свою рекомендацию, особенно в свете сообщений о том, что введение чрезвычайного положения в 2020 году повлияло на условия содержания под стражей. В ней предлагается представить дополнительную информацию о: a) количестве бенефициаров программы помощи ближайшим родственникам; b) общей вместимости и численности заключенных за весь отчетный период, включая период чрезвычайного положения в 2020 году; и с) мерах по расширению применения не связанных с тюремным заключением мер, альтернативных содержанию под стражей, в соответствии с Пактом и другими соответствующими международными стандартами, в частности с Минимальными стандартными правилами Организации Объединенных Наций в отношении мер, не связанных с тюремным заключением (Токийские правила)</w:t>
      </w:r>
      <w:r w:rsidR="00C05218">
        <w:t>.</w:t>
      </w:r>
    </w:p>
    <w:p w14:paraId="0F2935E5" w14:textId="1F0F6EB3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Комитет принимает к сведению продолжающуюся работу по приведению мест содержания под стражей в соответствие с международными стандартами, обучению сотрудников правоохранительных органов и усилия по расширению медицинских, психиатрических и психологических услуг для заключенных в этих учреждениях. </w:t>
      </w:r>
      <w:r>
        <w:br/>
      </w:r>
      <w:r w:rsidR="00C801B7" w:rsidRPr="00C801B7">
        <w:t xml:space="preserve">Он просит предоставить информацию о реальном влиянии этих программ и имеющиеся данные о доле заключенных, которые могут получить доступ к этим услугам. </w:t>
      </w:r>
    </w:p>
    <w:p w14:paraId="3B054525" w14:textId="77777777" w:rsidR="00C801B7" w:rsidRPr="00C801B7" w:rsidRDefault="00C801B7" w:rsidP="00C801B7">
      <w:pPr>
        <w:pStyle w:val="SingleTxtG"/>
      </w:pPr>
      <w:r w:rsidRPr="00C801B7">
        <w:t>[</w:t>
      </w:r>
      <w:r w:rsidRPr="00C801B7">
        <w:rPr>
          <w:b/>
          <w:bCs/>
        </w:rPr>
        <w:t>C</w:t>
      </w:r>
      <w:r w:rsidRPr="00C801B7">
        <w:t>]: Комитет выражает сожаление в связи с отсутствием информации о мерах по улучшению санитарных условий. Он повторяет свою рекомендацию и просит предоставить информацию о любых соответствующих мерах, принятых за отчетный период.</w:t>
      </w:r>
    </w:p>
    <w:p w14:paraId="543A63B3" w14:textId="2E16960E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Комитет также выражает сожаление по поводу отсутствия информации от государства-участника о мерах по принятию законодательства, регулирующего досудебное содержание под стражей, и создания системы содержания обвиняемых отдельно от осужденных. Комитет повторяет свою рекомендацию и запрашивает данные о количестве лиц, содержащихся в предварительном заключении вместе с осужденными. </w:t>
      </w:r>
    </w:p>
    <w:p w14:paraId="5F0F99E6" w14:textId="77777777" w:rsidR="00C801B7" w:rsidRPr="00C801B7" w:rsidRDefault="00C801B7" w:rsidP="003C7E77">
      <w:pPr>
        <w:pStyle w:val="H23G"/>
      </w:pPr>
      <w:r w:rsidRPr="00C801B7">
        <w:tab/>
      </w:r>
      <w:r w:rsidRPr="00C801B7">
        <w:tab/>
        <w:t>Пункт 44: Права ребенка</w:t>
      </w:r>
    </w:p>
    <w:p w14:paraId="748FFE85" w14:textId="349C1D85" w:rsidR="00C801B7" w:rsidRPr="00C801B7" w:rsidRDefault="00C801B7" w:rsidP="00C801B7">
      <w:pPr>
        <w:pStyle w:val="SingleTxtG"/>
        <w:rPr>
          <w:b/>
        </w:rPr>
      </w:pPr>
      <w:r w:rsidRPr="00C801B7">
        <w:rPr>
          <w:b/>
          <w:bCs/>
        </w:rPr>
        <w:t xml:space="preserve">Государству-участнику следует своевременно внести изменения в свое законодательство, чтобы устранить возможность лишения свободы ребенка на основании того, что он </w:t>
      </w:r>
      <w:r w:rsidR="003C7E77" w:rsidRPr="009507C7">
        <w:rPr>
          <w:b/>
          <w:bCs/>
        </w:rPr>
        <w:t>«</w:t>
      </w:r>
      <w:r w:rsidRPr="00C801B7">
        <w:rPr>
          <w:b/>
          <w:bCs/>
        </w:rPr>
        <w:t>не подда</w:t>
      </w:r>
      <w:r w:rsidR="008B2D73">
        <w:rPr>
          <w:b/>
          <w:bCs/>
        </w:rPr>
        <w:t>ется</w:t>
      </w:r>
      <w:r w:rsidRPr="00C801B7">
        <w:rPr>
          <w:b/>
          <w:bCs/>
        </w:rPr>
        <w:t xml:space="preserve"> родительскому воспитанию</w:t>
      </w:r>
      <w:r w:rsidR="003C7E77" w:rsidRPr="009507C7">
        <w:rPr>
          <w:b/>
          <w:bCs/>
        </w:rPr>
        <w:t>»</w:t>
      </w:r>
      <w:r w:rsidRPr="00C801B7">
        <w:rPr>
          <w:b/>
          <w:bCs/>
        </w:rPr>
        <w:t>, и устранить недостатки в: предоставлении услуг детям, находящимся в конфликте с законом, координации и надзоре за сектором защиты детей, поддержке семей и реабилитации детей, подвергающихся эксплуатации, жестокому обращению и травмирующему воздействию.</w:t>
      </w:r>
      <w:r w:rsidRPr="00C801B7">
        <w:t xml:space="preserve"> </w:t>
      </w:r>
      <w:r w:rsidRPr="00C801B7">
        <w:rPr>
          <w:b/>
          <w:bCs/>
        </w:rPr>
        <w:t>Государство-участник должно помещать детей под стражу только в крайнем случае и на максимально короткий срок, предусмотренный законом;</w:t>
      </w:r>
      <w:r w:rsidRPr="00C801B7">
        <w:t xml:space="preserve"> </w:t>
      </w:r>
      <w:r w:rsidRPr="00C801B7">
        <w:rPr>
          <w:b/>
          <w:bCs/>
        </w:rPr>
        <w:t>продолжать работу по созданию надлежащих условий содержания детей;</w:t>
      </w:r>
      <w:r w:rsidRPr="00C801B7">
        <w:t xml:space="preserve"> </w:t>
      </w:r>
      <w:r w:rsidRPr="00C801B7">
        <w:rPr>
          <w:b/>
          <w:bCs/>
        </w:rPr>
        <w:t>и предоставлять альтернативу содержанию под стражей в соответствии с Пактом.</w:t>
      </w:r>
      <w:r w:rsidRPr="00C801B7">
        <w:t xml:space="preserve"> </w:t>
      </w:r>
      <w:r w:rsidRPr="00C801B7">
        <w:rPr>
          <w:b/>
          <w:bCs/>
        </w:rPr>
        <w:t>Оно должно продолжать предоставлять детям, нарушившим закон, альтернативную поддержку, включая психологические и реабилитационные услуги и программы разрешения конфликтов.</w:t>
      </w:r>
    </w:p>
    <w:p w14:paraId="532418B8" w14:textId="77777777" w:rsidR="00C801B7" w:rsidRPr="00C801B7" w:rsidRDefault="00C801B7" w:rsidP="003C7E77">
      <w:pPr>
        <w:pStyle w:val="H23G"/>
      </w:pPr>
      <w:r w:rsidRPr="00C801B7">
        <w:tab/>
      </w:r>
      <w:r w:rsidRPr="00C801B7">
        <w:tab/>
        <w:t>Резюме ответа государства-участника</w:t>
      </w:r>
    </w:p>
    <w:p w14:paraId="2AD533F8" w14:textId="721FFDDD" w:rsidR="00C801B7" w:rsidRPr="00C801B7" w:rsidRDefault="003C7E77" w:rsidP="00C801B7">
      <w:pPr>
        <w:pStyle w:val="SingleTxtG"/>
      </w:pPr>
      <w:r>
        <w:tab/>
      </w:r>
      <w:r w:rsidR="00C801B7" w:rsidRPr="00C801B7">
        <w:t>Совместный специальный комитет парламента возобновил рассмотрение Закона об уходе за детьми и их защите и предложил поправки, касающиеся защиты детей. Ожидается, что пересмотренный закон устранит возможность лишения свободы детей с поведенческими проблемами, усилит поддержку семей с детьми, подвергающихся эксплуатации, жестокому обращению и травмирующему воздействию, и обеспечит максимально короткий срок содержания детей в полицейских участках.</w:t>
      </w:r>
    </w:p>
    <w:p w14:paraId="503784DD" w14:textId="505AFCFF" w:rsidR="00C801B7" w:rsidRPr="00C801B7" w:rsidRDefault="003C7E77" w:rsidP="00C801B7">
      <w:pPr>
        <w:pStyle w:val="SingleTxtG"/>
      </w:pPr>
      <w:r>
        <w:lastRenderedPageBreak/>
        <w:tab/>
      </w:r>
      <w:r w:rsidR="00C801B7" w:rsidRPr="00C801B7">
        <w:t xml:space="preserve">Лишение свободы детей за неконтролируемое поведение должно использоваться только в качестве крайней меры в случаях антисоциального, агрессивного или угрожающего поведения. По состоянию на конец сентября 2017 года под стражей за неконтролируемое поведение содержались четверо подростков. </w:t>
      </w:r>
    </w:p>
    <w:p w14:paraId="7CF0EEF8" w14:textId="11F79036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В рамках программы </w:t>
      </w:r>
      <w:r>
        <w:t>«</w:t>
      </w:r>
      <w:r w:rsidR="00C801B7" w:rsidRPr="00C801B7">
        <w:t>Новый путь</w:t>
      </w:r>
      <w:r>
        <w:t>»</w:t>
      </w:r>
      <w:r w:rsidR="00C801B7" w:rsidRPr="00C801B7">
        <w:t xml:space="preserve"> были введены в строй два учреждения для несовершеннолетних </w:t>
      </w:r>
      <w:r>
        <w:t>—</w:t>
      </w:r>
      <w:r w:rsidR="00C801B7" w:rsidRPr="00C801B7">
        <w:t xml:space="preserve"> исправительный центр для несовершеннолетних и следственный изолятор </w:t>
      </w:r>
      <w:proofErr w:type="spellStart"/>
      <w:r w:rsidR="00C801B7" w:rsidRPr="00C801B7">
        <w:t>Саут-Кэмп</w:t>
      </w:r>
      <w:proofErr w:type="spellEnd"/>
      <w:r w:rsidR="00C801B7" w:rsidRPr="00C801B7">
        <w:t xml:space="preserve"> и исправительный центр для несовершеннолетних </w:t>
      </w:r>
      <w:proofErr w:type="spellStart"/>
      <w:r w:rsidR="00C801B7" w:rsidRPr="00C801B7">
        <w:t>Меткаф</w:t>
      </w:r>
      <w:proofErr w:type="spellEnd"/>
      <w:r w:rsidR="00C801B7" w:rsidRPr="00C801B7">
        <w:t>, а также были расширены исправительные центры для несовершеннолетних Рио-Кобре и Хилл-Топ. Был улучшен доступ к качественным услугам по реинтеграции: несовершеннолетним правонарушителям предоставляется техническое обучение, мероприятия по подготовке к трудоустройству, инициативы в области предпринимательства и микропредприятий, стажировки и трудоустройства, а также психосоциальная поддержка.</w:t>
      </w:r>
    </w:p>
    <w:p w14:paraId="420C9462" w14:textId="7E612DFE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Программа расширения прав и возможностей молодежи и реинтеграции </w:t>
      </w:r>
      <w:r>
        <w:br/>
        <w:t>«</w:t>
      </w:r>
      <w:r w:rsidR="00C801B7" w:rsidRPr="00C801B7">
        <w:t>Мы преобразуем</w:t>
      </w:r>
      <w:r>
        <w:t>»</w:t>
      </w:r>
      <w:r w:rsidR="00C801B7" w:rsidRPr="00C801B7">
        <w:t xml:space="preserve"> была запущена в 2017 году и направлена на преобразование жизни молодежи в четырех вышеупомянутых центрах содержания под стражей несовершеннолетних посредством программ обучения навыкам и развития характера. </w:t>
      </w:r>
    </w:p>
    <w:p w14:paraId="77A549D7" w14:textId="712E56AB" w:rsidR="00C801B7" w:rsidRPr="00C801B7" w:rsidRDefault="003C7E77" w:rsidP="00C801B7">
      <w:pPr>
        <w:pStyle w:val="SingleTxtG"/>
      </w:pPr>
      <w:r>
        <w:tab/>
      </w:r>
      <w:r w:rsidR="00C801B7" w:rsidRPr="00C801B7">
        <w:t>Ожидается, что образование на базе Агентства по развитию детей и Управления по регистрации детей нового Агентства по защите детей и семейным услугам позволит устранить недостатки в межведомственной координации и повысить эффективность рассмотрения сообщений и расследования случаев жестокого обращения с детьми.</w:t>
      </w:r>
    </w:p>
    <w:p w14:paraId="1B0EBFEF" w14:textId="4B4346EB" w:rsidR="00C801B7" w:rsidRPr="00C801B7" w:rsidRDefault="003C7E77" w:rsidP="00C801B7">
      <w:pPr>
        <w:pStyle w:val="SingleTxtG"/>
      </w:pPr>
      <w:r>
        <w:tab/>
      </w:r>
      <w:r w:rsidR="00C801B7" w:rsidRPr="00C801B7">
        <w:t>Государство-участник также стремится упорядочить услуги в секторе защиты детей с помощью Систем</w:t>
      </w:r>
      <w:r w:rsidR="003C1961">
        <w:t>ы</w:t>
      </w:r>
      <w:r w:rsidR="00C801B7" w:rsidRPr="00C801B7">
        <w:t xml:space="preserve"> кураторства над детьми. Эта система позволяет повысить эффективность, ответственность и улучшить ведение учета за счет того, что сотрудники служб защиты детей могут </w:t>
      </w:r>
      <w:r w:rsidR="003C1961">
        <w:t>з</w:t>
      </w:r>
      <w:r w:rsidR="00C801B7" w:rsidRPr="00C801B7">
        <w:t xml:space="preserve">агружать и отслеживать дела детей, зарегистрированных в Системе кураторства над детьми. </w:t>
      </w:r>
    </w:p>
    <w:p w14:paraId="1FE5ECFF" w14:textId="79F85CC8" w:rsidR="00C801B7" w:rsidRPr="00C801B7" w:rsidRDefault="003C7E77" w:rsidP="00C801B7">
      <w:pPr>
        <w:pStyle w:val="SingleTxtG"/>
      </w:pPr>
      <w:r>
        <w:tab/>
      </w:r>
      <w:r w:rsidR="00C801B7" w:rsidRPr="00C801B7">
        <w:t>Предпринимаются усилия по улучшению взаимодействия сотрудников полици</w:t>
      </w:r>
      <w:r>
        <w:t>и</w:t>
      </w:r>
      <w:r w:rsidR="00C801B7" w:rsidRPr="00C801B7">
        <w:t xml:space="preserve"> Ямайки с детьми, в том числе находящимися под стражей, в соответствии с Политикой и процедурами взаимодействия с детьми. Дети, находящиеся под опекой Департамента исправительных служб, по-прежнему содержатся в отдельных учреждениях, за исключением исправительного центра для несовершеннолетних </w:t>
      </w:r>
      <w:r>
        <w:t>«</w:t>
      </w:r>
      <w:proofErr w:type="spellStart"/>
      <w:r w:rsidR="00C801B7" w:rsidRPr="00C801B7">
        <w:t>Саут-Кэмп</w:t>
      </w:r>
      <w:proofErr w:type="spellEnd"/>
      <w:r>
        <w:t>»</w:t>
      </w:r>
      <w:r w:rsidR="00C801B7" w:rsidRPr="00C801B7">
        <w:t>, где содержатся как подследственные, так и осужденные дети, преступившие закон.</w:t>
      </w:r>
    </w:p>
    <w:p w14:paraId="52C1BCD1" w14:textId="77777777" w:rsidR="00C801B7" w:rsidRPr="00C801B7" w:rsidRDefault="00C801B7" w:rsidP="003C7E77">
      <w:pPr>
        <w:pStyle w:val="H23G"/>
      </w:pPr>
      <w:r w:rsidRPr="00C801B7">
        <w:tab/>
      </w:r>
      <w:r w:rsidRPr="00C801B7">
        <w:tab/>
        <w:t>Информация, полученная от неправительственных организаций</w:t>
      </w:r>
    </w:p>
    <w:p w14:paraId="6D757105" w14:textId="77777777" w:rsidR="00C801B7" w:rsidRPr="00C801B7" w:rsidRDefault="00C801B7" w:rsidP="003C7E77">
      <w:pPr>
        <w:pStyle w:val="H4G"/>
      </w:pPr>
      <w:r w:rsidRPr="00C801B7">
        <w:tab/>
      </w:r>
      <w:r w:rsidRPr="00C801B7">
        <w:tab/>
        <w:t>«Ямайцы за справедливость»</w:t>
      </w:r>
    </w:p>
    <w:p w14:paraId="4D7DB784" w14:textId="79F5B619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В государстве-участнике существует возможность лишения свободы ребенка на основании того, что он находится вне родительского контроля, и это положение по-прежнему применяется. Проведенные реформы не были адекватными, и имеются опасения, что в период чрезвычайного положения возросли риски для детей, содержащихся в бесчеловечных условиях, что может негативно сказаться на их психическом здоровье. </w:t>
      </w:r>
    </w:p>
    <w:p w14:paraId="6AF60F9A" w14:textId="6257DCFC" w:rsidR="00C801B7" w:rsidRPr="00C801B7" w:rsidRDefault="003C7E77" w:rsidP="00C801B7">
      <w:pPr>
        <w:pStyle w:val="SingleTxtG"/>
      </w:pPr>
      <w:r>
        <w:tab/>
      </w:r>
      <w:r w:rsidR="00C801B7" w:rsidRPr="00C801B7">
        <w:t>Отношение к применению уголовных наказаний к детям с поведенческими проблемами остается неизменным, несмотря на наличие альтернативных способов решения таких проблем. Поступают сообщения о том, что семьи не имеют доступа к информации о положении своих детей, содержащихся под стражей, и/или не могут их навестить.</w:t>
      </w:r>
    </w:p>
    <w:p w14:paraId="7CC1802D" w14:textId="77777777" w:rsidR="00C801B7" w:rsidRPr="00C801B7" w:rsidRDefault="00C801B7" w:rsidP="003C7E77">
      <w:pPr>
        <w:pStyle w:val="H23G"/>
      </w:pPr>
      <w:r w:rsidRPr="00C801B7">
        <w:tab/>
      </w:r>
      <w:r w:rsidRPr="00C801B7">
        <w:tab/>
        <w:t>Оценка Комитета</w:t>
      </w:r>
    </w:p>
    <w:p w14:paraId="265F3AA8" w14:textId="6F047923" w:rsidR="00C801B7" w:rsidRPr="00C801B7" w:rsidRDefault="00C801B7" w:rsidP="00C801B7">
      <w:pPr>
        <w:pStyle w:val="SingleTxtG"/>
      </w:pPr>
      <w:r w:rsidRPr="00C801B7">
        <w:t>[</w:t>
      </w:r>
      <w:r w:rsidRPr="00C801B7">
        <w:rPr>
          <w:b/>
          <w:bCs/>
        </w:rPr>
        <w:t>B</w:t>
      </w:r>
      <w:r w:rsidRPr="00C801B7">
        <w:t xml:space="preserve">]: Комитет приветствует пересмотр Закона об уходе за детьми и их защите и будущее предложение о внесении поправок, направленных на устранение возможности лишения свободы детей с поведенческими проблемами, усиление поддержки семей с детьми, подвергающимися эксплуатации, жестокому обращению и травмирующему воздействию, а также на обеспечение как можно более короткого срока содержания </w:t>
      </w:r>
      <w:r w:rsidRPr="00C801B7">
        <w:lastRenderedPageBreak/>
        <w:t>детей в полицейских участках. Вместе с тем он с озабоченностью отмечает, что это законодательство еще не введено в действие, и просит предоставить дополнительную информацию о статусе поправок и предполагаемых сроках их вступления в силу.</w:t>
      </w:r>
    </w:p>
    <w:p w14:paraId="2E59FFB2" w14:textId="6444BDA3" w:rsidR="00C801B7" w:rsidRPr="00C801B7" w:rsidRDefault="003C7E77" w:rsidP="00C801B7">
      <w:pPr>
        <w:pStyle w:val="SingleTxtG"/>
      </w:pPr>
      <w:r>
        <w:tab/>
      </w:r>
      <w:r w:rsidR="00C801B7" w:rsidRPr="00C801B7">
        <w:t>Комитет отмечает представленную государством-участником информацию об усилиях по совершенствованию системы содержания под стражей несовершеннолетних, включая доступ к качественным услугам по поддержке детей, нарушивших закон. Он просит предоставить дополнительную информацию о наличии этих программ и их реальном воздействии. Комитет с озабоченностью отмечает отсутствие информации о разработке программ разрешения конфликтов и просит представить информацию о любых мерах, принятых в этом отношении за отчетный период.</w:t>
      </w:r>
    </w:p>
    <w:p w14:paraId="4DB32023" w14:textId="3C2C01D0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Комитет также принимает к сведению информацию о мерах по обеспечению координации и надзора в сфере защиты детей, включая образование нового Агентства по защите детей и семейным услугам, разработку Системы кураторства над детьми и усилия по улучшению взаимодействия полиции с детьми в соответствии с Политикой и процедурами взаимодействия с детьми. Комитет просит предоставить дополнительную информацию о сроках, предусмотренных для полного осуществления этих реформ, и о реальном влиянии на рассмотрение дел о защите детей, подвергающихся эксплуатации, жестокому обращению и травмирующему воздействию. </w:t>
      </w:r>
    </w:p>
    <w:p w14:paraId="6BE4BBB3" w14:textId="7F4E5C1B" w:rsidR="00C801B7" w:rsidRPr="00C801B7" w:rsidRDefault="003C7E77" w:rsidP="00C801B7">
      <w:pPr>
        <w:pStyle w:val="SingleTxtG"/>
      </w:pPr>
      <w:r>
        <w:tab/>
      </w:r>
      <w:r w:rsidR="00C801B7" w:rsidRPr="00C801B7">
        <w:t xml:space="preserve">Комитет просит представить информацию о любых соответствующих мерах, принятых для разработки альтернативных мер содержания под стражей детей, нарушивших закон. </w:t>
      </w:r>
    </w:p>
    <w:p w14:paraId="4101ABD4" w14:textId="5EBD5F86" w:rsidR="00C801B7" w:rsidRPr="00C801B7" w:rsidRDefault="00C801B7" w:rsidP="00C801B7">
      <w:pPr>
        <w:pStyle w:val="SingleTxtG"/>
      </w:pPr>
      <w:r w:rsidRPr="00C801B7">
        <w:rPr>
          <w:b/>
          <w:bCs/>
        </w:rPr>
        <w:t>Рекомендуемые действия</w:t>
      </w:r>
      <w:r w:rsidRPr="00C801B7">
        <w:t xml:space="preserve"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 </w:t>
      </w:r>
    </w:p>
    <w:p w14:paraId="06ABCEB4" w14:textId="399686C7" w:rsidR="00381C24" w:rsidRPr="00047950" w:rsidRDefault="00C801B7" w:rsidP="00C801B7">
      <w:pPr>
        <w:pStyle w:val="SingleTxtG"/>
      </w:pPr>
      <w:r w:rsidRPr="00C801B7">
        <w:rPr>
          <w:b/>
          <w:bCs/>
        </w:rPr>
        <w:t>Сроки представления следующего периодического доклада</w:t>
      </w:r>
      <w:r w:rsidRPr="00C801B7">
        <w:t xml:space="preserve">: 2024 год (страновой обзор в 2025 году в соответствии с планируемым циклом обзора. См. URL: </w:t>
      </w:r>
      <w:hyperlink r:id="rId11" w:history="1">
        <w:r w:rsidR="003C7E77" w:rsidRPr="003C7E77">
          <w:rPr>
            <w:rStyle w:val="af1"/>
          </w:rPr>
          <w:t>http://www.ohchr.org/EN/HRBodies/CCPR/Pages/PredictableReviewCycle.aspx</w:t>
        </w:r>
      </w:hyperlink>
      <w:r w:rsidRPr="00C801B7">
        <w:t>).</w:t>
      </w:r>
    </w:p>
    <w:p w14:paraId="0D79B817" w14:textId="334FDB0D" w:rsidR="00C801B7" w:rsidRPr="00047950" w:rsidRDefault="00C801B7" w:rsidP="00C801B7">
      <w:pPr>
        <w:spacing w:before="240"/>
        <w:jc w:val="center"/>
        <w:rPr>
          <w:u w:val="single"/>
        </w:rPr>
      </w:pPr>
      <w:r w:rsidRPr="00047950">
        <w:rPr>
          <w:u w:val="single"/>
        </w:rPr>
        <w:tab/>
      </w:r>
      <w:r w:rsidRPr="00047950">
        <w:rPr>
          <w:u w:val="single"/>
        </w:rPr>
        <w:tab/>
      </w:r>
      <w:r w:rsidRPr="00047950">
        <w:rPr>
          <w:u w:val="single"/>
        </w:rPr>
        <w:tab/>
      </w:r>
    </w:p>
    <w:sectPr w:rsidR="00C801B7" w:rsidRPr="00047950" w:rsidSect="00C801B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613F" w14:textId="77777777" w:rsidR="003818B4" w:rsidRPr="00A312BC" w:rsidRDefault="003818B4" w:rsidP="00A312BC"/>
  </w:endnote>
  <w:endnote w:type="continuationSeparator" w:id="0">
    <w:p w14:paraId="68DB00A3" w14:textId="77777777" w:rsidR="003818B4" w:rsidRPr="00A312BC" w:rsidRDefault="003818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D524" w14:textId="563D0EC6" w:rsidR="00C801B7" w:rsidRPr="00C801B7" w:rsidRDefault="00C801B7">
    <w:pPr>
      <w:pStyle w:val="a8"/>
    </w:pPr>
    <w:r w:rsidRPr="00C801B7">
      <w:rPr>
        <w:b/>
        <w:sz w:val="18"/>
      </w:rPr>
      <w:fldChar w:fldCharType="begin"/>
    </w:r>
    <w:r w:rsidRPr="00C801B7">
      <w:rPr>
        <w:b/>
        <w:sz w:val="18"/>
      </w:rPr>
      <w:instrText xml:space="preserve"> PAGE  \* MERGEFORMAT </w:instrText>
    </w:r>
    <w:r w:rsidRPr="00C801B7">
      <w:rPr>
        <w:b/>
        <w:sz w:val="18"/>
      </w:rPr>
      <w:fldChar w:fldCharType="separate"/>
    </w:r>
    <w:r w:rsidRPr="00C801B7">
      <w:rPr>
        <w:b/>
        <w:noProof/>
        <w:sz w:val="18"/>
      </w:rPr>
      <w:t>2</w:t>
    </w:r>
    <w:r w:rsidRPr="00C801B7">
      <w:rPr>
        <w:b/>
        <w:sz w:val="18"/>
      </w:rPr>
      <w:fldChar w:fldCharType="end"/>
    </w:r>
    <w:r>
      <w:rPr>
        <w:b/>
        <w:sz w:val="18"/>
      </w:rPr>
      <w:tab/>
    </w:r>
    <w:r>
      <w:t>GE.21-05695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0ADF" w14:textId="48491C0C" w:rsidR="00C801B7" w:rsidRPr="00C801B7" w:rsidRDefault="00C801B7" w:rsidP="00C801B7">
    <w:pPr>
      <w:pStyle w:val="a8"/>
      <w:tabs>
        <w:tab w:val="clear" w:pos="9639"/>
        <w:tab w:val="right" w:pos="9638"/>
      </w:tabs>
      <w:rPr>
        <w:b/>
        <w:sz w:val="18"/>
      </w:rPr>
    </w:pPr>
    <w:r>
      <w:t>GE.21-05695</w:t>
    </w:r>
    <w:r>
      <w:tab/>
    </w:r>
    <w:r w:rsidRPr="00C801B7">
      <w:rPr>
        <w:b/>
        <w:sz w:val="18"/>
      </w:rPr>
      <w:fldChar w:fldCharType="begin"/>
    </w:r>
    <w:r w:rsidRPr="00C801B7">
      <w:rPr>
        <w:b/>
        <w:sz w:val="18"/>
      </w:rPr>
      <w:instrText xml:space="preserve"> PAGE  \* MERGEFORMAT </w:instrText>
    </w:r>
    <w:r w:rsidRPr="00C801B7">
      <w:rPr>
        <w:b/>
        <w:sz w:val="18"/>
      </w:rPr>
      <w:fldChar w:fldCharType="separate"/>
    </w:r>
    <w:r w:rsidRPr="00C801B7">
      <w:rPr>
        <w:b/>
        <w:noProof/>
        <w:sz w:val="18"/>
      </w:rPr>
      <w:t>3</w:t>
    </w:r>
    <w:r w:rsidRPr="00C801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8B58" w14:textId="63E1B238" w:rsidR="00042B72" w:rsidRPr="00C801B7" w:rsidRDefault="00C801B7" w:rsidP="00C801B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ECE428" wp14:editId="2A24AA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05695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6106E6" wp14:editId="625C2B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B2F">
      <w:t xml:space="preserve">  010621  </w:t>
    </w:r>
    <w:r w:rsidR="008B2D73">
      <w:t>15</w:t>
    </w:r>
    <w:r w:rsidR="00D06B2F">
      <w:t>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F20F" w14:textId="77777777" w:rsidR="003818B4" w:rsidRPr="001075E9" w:rsidRDefault="003818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054453" w14:textId="77777777" w:rsidR="003818B4" w:rsidRDefault="003818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62EEE3" w14:textId="20CEEC88" w:rsidR="00C801B7" w:rsidRPr="00396E8B" w:rsidRDefault="00C801B7" w:rsidP="00C801B7">
      <w:pPr>
        <w:pStyle w:val="ad"/>
      </w:pPr>
      <w:r>
        <w:tab/>
        <w:t>*</w:t>
      </w:r>
      <w:r>
        <w:tab/>
        <w:t xml:space="preserve">Принят Комитетом на его 131-й сессии (1‒26 марта 2021 года).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1D08" w14:textId="561BD2D0" w:rsidR="00C801B7" w:rsidRPr="00C801B7" w:rsidRDefault="008B2D73">
    <w:pPr>
      <w:pStyle w:val="a5"/>
    </w:pPr>
    <w:fldSimple w:instr=" TITLE  \* MERGEFORMAT ">
      <w:r w:rsidR="0058447A">
        <w:t>CCPR/C/131/2/Add.1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335A" w14:textId="56413985" w:rsidR="00C801B7" w:rsidRPr="00C801B7" w:rsidRDefault="008B2D73" w:rsidP="00C801B7">
    <w:pPr>
      <w:pStyle w:val="a5"/>
      <w:jc w:val="right"/>
    </w:pPr>
    <w:fldSimple w:instr=" TITLE  \* MERGEFORMAT ">
      <w:r w:rsidR="0058447A">
        <w:t>CCPR/C/131/2/Add.1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4"/>
    <w:rsid w:val="00033EE1"/>
    <w:rsid w:val="000358F2"/>
    <w:rsid w:val="00042B72"/>
    <w:rsid w:val="00047950"/>
    <w:rsid w:val="000558BD"/>
    <w:rsid w:val="000B57E7"/>
    <w:rsid w:val="000B6373"/>
    <w:rsid w:val="000F09DF"/>
    <w:rsid w:val="000F61B2"/>
    <w:rsid w:val="001075E9"/>
    <w:rsid w:val="00130139"/>
    <w:rsid w:val="00180183"/>
    <w:rsid w:val="0018024D"/>
    <w:rsid w:val="0018649F"/>
    <w:rsid w:val="00196389"/>
    <w:rsid w:val="001B3EF6"/>
    <w:rsid w:val="001C7A89"/>
    <w:rsid w:val="001D081E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8B4"/>
    <w:rsid w:val="00381C24"/>
    <w:rsid w:val="003958D0"/>
    <w:rsid w:val="003B00E5"/>
    <w:rsid w:val="003C1961"/>
    <w:rsid w:val="003C7E77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8447A"/>
    <w:rsid w:val="005961C8"/>
    <w:rsid w:val="005D7914"/>
    <w:rsid w:val="005E2B41"/>
    <w:rsid w:val="005F0B42"/>
    <w:rsid w:val="00666B97"/>
    <w:rsid w:val="00681A10"/>
    <w:rsid w:val="00693C13"/>
    <w:rsid w:val="006A1ED8"/>
    <w:rsid w:val="006C2031"/>
    <w:rsid w:val="006D461A"/>
    <w:rsid w:val="006F35EE"/>
    <w:rsid w:val="007021FF"/>
    <w:rsid w:val="00710C3A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2D73"/>
    <w:rsid w:val="008B6909"/>
    <w:rsid w:val="00906890"/>
    <w:rsid w:val="00911BE4"/>
    <w:rsid w:val="00931A71"/>
    <w:rsid w:val="009507C7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02FC5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05218"/>
    <w:rsid w:val="00C106D6"/>
    <w:rsid w:val="00C46D5A"/>
    <w:rsid w:val="00C60F0C"/>
    <w:rsid w:val="00C801B7"/>
    <w:rsid w:val="00C805C9"/>
    <w:rsid w:val="00C92939"/>
    <w:rsid w:val="00CA1679"/>
    <w:rsid w:val="00CB151C"/>
    <w:rsid w:val="00CE5A1A"/>
    <w:rsid w:val="00CF55F6"/>
    <w:rsid w:val="00D06B2F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BCE255"/>
  <w15:docId w15:val="{7DCB9DF3-E7AC-499E-94D6-B5A30A8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C8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CPR/C/JAM/CO/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CCPR/Pages/PredictableReviewCycle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binternet.ohchr.org/_layouts/15/treatybodyexternal/Download.aspx?symbolno=INT%2fCCPR%2fNGS%2fJAM%2f34622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CCPR/C/JAM/CO/4/Add.1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6</Pages>
  <Words>2165</Words>
  <Characters>16061</Characters>
  <Application>Microsoft Office Word</Application>
  <DocSecurity>0</DocSecurity>
  <Lines>1784</Lines>
  <Paragraphs>759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CCPR/C/131/2/Add.1</vt:lpstr>
      <vt:lpstr>A/</vt:lpstr>
      <vt:lpstr>A/</vt:lpstr>
    </vt:vector>
  </TitlesOfParts>
  <Company>DCM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CCPR/C/131/2/Add.1</dc:title>
  <dc:subject/>
  <dc:creator>Anna PETELINA</dc:creator>
  <cp:keywords/>
  <cp:lastModifiedBy>Anna Petelina</cp:lastModifiedBy>
  <cp:revision>3</cp:revision>
  <cp:lastPrinted>2021-06-15T06:35:00Z</cp:lastPrinted>
  <dcterms:created xsi:type="dcterms:W3CDTF">2021-06-15T06:35:00Z</dcterms:created>
  <dcterms:modified xsi:type="dcterms:W3CDTF">2021-06-15T06:35:00Z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