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285"/>
        <w:tblOverlap w:val="never"/>
        <w:bidiVisual/>
        <w:tblW w:w="9639" w:type="dxa"/>
        <w:tblBorders>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C175A6" w14:paraId="0350A6D5" w14:textId="77777777" w:rsidTr="005B51C4">
        <w:trPr>
          <w:trHeight w:hRule="exact" w:val="851"/>
        </w:trPr>
        <w:tc>
          <w:tcPr>
            <w:tcW w:w="1274" w:type="dxa"/>
            <w:tcBorders>
              <w:bottom w:val="single" w:sz="4" w:space="0" w:color="auto"/>
            </w:tcBorders>
            <w:shd w:val="clear" w:color="auto" w:fill="auto"/>
          </w:tcPr>
          <w:p w14:paraId="2655F43A" w14:textId="77777777" w:rsidR="006B3E27" w:rsidRPr="00C175A6" w:rsidRDefault="006B3E27" w:rsidP="003275B7">
            <w:pPr>
              <w:kinsoku w:val="0"/>
              <w:overflowPunct w:val="0"/>
              <w:autoSpaceDE w:val="0"/>
              <w:autoSpaceDN w:val="0"/>
              <w:adjustRightInd w:val="0"/>
              <w:snapToGrid w:val="0"/>
              <w:jc w:val="center"/>
              <w:rPr>
                <w:rFonts w:hint="cs"/>
                <w:sz w:val="56"/>
                <w:szCs w:val="56"/>
                <w:rtl/>
              </w:rPr>
            </w:pPr>
          </w:p>
        </w:tc>
        <w:tc>
          <w:tcPr>
            <w:tcW w:w="4537" w:type="dxa"/>
            <w:tcBorders>
              <w:bottom w:val="single" w:sz="4" w:space="0" w:color="auto"/>
            </w:tcBorders>
            <w:shd w:val="clear" w:color="auto" w:fill="auto"/>
            <w:vAlign w:val="bottom"/>
          </w:tcPr>
          <w:p w14:paraId="4A872ACA" w14:textId="77777777" w:rsidR="006B3E27" w:rsidRPr="00C175A6" w:rsidRDefault="006B3E27" w:rsidP="00730446">
            <w:pPr>
              <w:spacing w:after="80" w:line="480" w:lineRule="exact"/>
              <w:ind w:left="57"/>
              <w:rPr>
                <w:sz w:val="30"/>
                <w:szCs w:val="30"/>
                <w:rtl/>
              </w:rPr>
            </w:pPr>
            <w:r w:rsidRPr="00C175A6">
              <w:rPr>
                <w:rFonts w:hint="cs"/>
                <w:sz w:val="30"/>
                <w:szCs w:val="30"/>
                <w:rtl/>
              </w:rPr>
              <w:t>الأمم المتحدة</w:t>
            </w:r>
          </w:p>
        </w:tc>
        <w:tc>
          <w:tcPr>
            <w:tcW w:w="3828" w:type="dxa"/>
            <w:tcBorders>
              <w:bottom w:val="single" w:sz="4" w:space="0" w:color="auto"/>
            </w:tcBorders>
            <w:shd w:val="clear" w:color="auto" w:fill="auto"/>
            <w:vAlign w:val="bottom"/>
          </w:tcPr>
          <w:p w14:paraId="3E81596E" w14:textId="367D4A73" w:rsidR="006B3E27" w:rsidRPr="00DE4A87" w:rsidRDefault="00DE4A87" w:rsidP="00DE4A87">
            <w:pPr>
              <w:bidi w:val="0"/>
              <w:rPr>
                <w:szCs w:val="20"/>
              </w:rPr>
            </w:pPr>
            <w:r w:rsidRPr="00DE4A87">
              <w:rPr>
                <w:sz w:val="40"/>
                <w:szCs w:val="20"/>
              </w:rPr>
              <w:t>CCPR</w:t>
            </w:r>
            <w:r>
              <w:rPr>
                <w:szCs w:val="20"/>
              </w:rPr>
              <w:t>/C/</w:t>
            </w:r>
            <w:r w:rsidRPr="00FE01EF">
              <w:rPr>
                <w:szCs w:val="20"/>
              </w:rPr>
              <w:t>131</w:t>
            </w:r>
            <w:r>
              <w:rPr>
                <w:szCs w:val="20"/>
              </w:rPr>
              <w:t>/</w:t>
            </w:r>
            <w:r w:rsidRPr="00FE01EF">
              <w:rPr>
                <w:szCs w:val="20"/>
              </w:rPr>
              <w:t>2</w:t>
            </w:r>
            <w:r>
              <w:rPr>
                <w:szCs w:val="20"/>
              </w:rPr>
              <w:t>/Add.</w:t>
            </w:r>
            <w:r w:rsidRPr="00FE01EF">
              <w:rPr>
                <w:szCs w:val="20"/>
              </w:rPr>
              <w:t>4</w:t>
            </w:r>
          </w:p>
        </w:tc>
      </w:tr>
      <w:tr w:rsidR="006B3E27" w:rsidRPr="00C175A6" w14:paraId="662E1CCD" w14:textId="77777777" w:rsidTr="005B51C4">
        <w:trPr>
          <w:trHeight w:hRule="exact" w:val="2835"/>
        </w:trPr>
        <w:tc>
          <w:tcPr>
            <w:tcW w:w="1274" w:type="dxa"/>
            <w:tcBorders>
              <w:top w:val="single" w:sz="4" w:space="0" w:color="auto"/>
              <w:bottom w:val="single" w:sz="12" w:space="0" w:color="auto"/>
            </w:tcBorders>
            <w:shd w:val="clear" w:color="auto" w:fill="auto"/>
          </w:tcPr>
          <w:p w14:paraId="481CF300" w14:textId="77777777" w:rsidR="006B3E27" w:rsidRPr="00C175A6" w:rsidRDefault="00E2228E" w:rsidP="009A0CFB">
            <w:pPr>
              <w:spacing w:before="120"/>
              <w:jc w:val="center"/>
              <w:rPr>
                <w:sz w:val="56"/>
                <w:szCs w:val="56"/>
                <w:rtl/>
              </w:rPr>
            </w:pPr>
            <w:r w:rsidRPr="00C175A6">
              <w:rPr>
                <w:noProof/>
                <w:sz w:val="56"/>
                <w:szCs w:val="56"/>
              </w:rPr>
              <w:drawing>
                <wp:inline distT="0" distB="0" distL="0" distR="0" wp14:anchorId="1B33AC55" wp14:editId="2866EC95">
                  <wp:extent cx="628015" cy="607060"/>
                  <wp:effectExtent l="0" t="0" r="0" b="0"/>
                  <wp:docPr id="2" name="Picture 1" descr="شعار الأمم المتحد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52" t="-1387" r="-52" b="-1387"/>
                          <a:stretch>
                            <a:fillRect/>
                          </a:stretch>
                        </pic:blipFill>
                        <pic:spPr bwMode="auto">
                          <a:xfrm>
                            <a:off x="0" y="0"/>
                            <a:ext cx="628015" cy="607060"/>
                          </a:xfrm>
                          <a:prstGeom prst="rect">
                            <a:avLst/>
                          </a:prstGeom>
                          <a:noFill/>
                          <a:ln>
                            <a:noFill/>
                          </a:ln>
                        </pic:spPr>
                      </pic:pic>
                    </a:graphicData>
                  </a:graphic>
                </wp:inline>
              </w:drawing>
            </w:r>
          </w:p>
        </w:tc>
        <w:tc>
          <w:tcPr>
            <w:tcW w:w="4537" w:type="dxa"/>
            <w:tcBorders>
              <w:top w:val="single" w:sz="4" w:space="0" w:color="auto"/>
              <w:bottom w:val="single" w:sz="12" w:space="0" w:color="auto"/>
            </w:tcBorders>
            <w:shd w:val="clear" w:color="auto" w:fill="auto"/>
          </w:tcPr>
          <w:p w14:paraId="19A314A1" w14:textId="77777777" w:rsidR="006B3E27" w:rsidRPr="00FE01EF" w:rsidRDefault="00ED7442" w:rsidP="00730446">
            <w:pPr>
              <w:spacing w:before="120" w:after="40" w:line="640" w:lineRule="exact"/>
              <w:ind w:left="57"/>
              <w:rPr>
                <w:b/>
                <w:bCs/>
                <w:sz w:val="46"/>
                <w:szCs w:val="46"/>
              </w:rPr>
            </w:pPr>
            <w:r w:rsidRPr="00FE01EF">
              <w:rPr>
                <w:rFonts w:hint="cs"/>
                <w:b/>
                <w:bCs/>
                <w:sz w:val="46"/>
                <w:szCs w:val="46"/>
                <w:rtl/>
              </w:rPr>
              <w:t>العهد الدولي الخاص بالحقوق المدنية والسياسية</w:t>
            </w:r>
          </w:p>
        </w:tc>
        <w:tc>
          <w:tcPr>
            <w:tcW w:w="3828" w:type="dxa"/>
            <w:tcBorders>
              <w:top w:val="single" w:sz="4" w:space="0" w:color="auto"/>
              <w:bottom w:val="single" w:sz="12" w:space="0" w:color="auto"/>
            </w:tcBorders>
            <w:shd w:val="clear" w:color="auto" w:fill="auto"/>
          </w:tcPr>
          <w:p w14:paraId="6B4DDCED" w14:textId="77777777" w:rsidR="006B3E27" w:rsidRDefault="00DE4A87" w:rsidP="004B27E0">
            <w:pPr>
              <w:bidi w:val="0"/>
              <w:spacing w:before="240"/>
              <w:rPr>
                <w:szCs w:val="20"/>
              </w:rPr>
            </w:pPr>
            <w:r>
              <w:rPr>
                <w:szCs w:val="20"/>
              </w:rPr>
              <w:t>Distr.: General</w:t>
            </w:r>
          </w:p>
          <w:p w14:paraId="67C0DD43" w14:textId="7466CA2E" w:rsidR="00DE4A87" w:rsidRDefault="00CF09CB" w:rsidP="00DE4A87">
            <w:pPr>
              <w:bidi w:val="0"/>
              <w:spacing w:line="240" w:lineRule="exact"/>
              <w:jc w:val="left"/>
              <w:rPr>
                <w:szCs w:val="20"/>
              </w:rPr>
            </w:pPr>
            <w:r w:rsidRPr="00FE01EF">
              <w:rPr>
                <w:szCs w:val="20"/>
              </w:rPr>
              <w:t>29</w:t>
            </w:r>
            <w:r>
              <w:rPr>
                <w:szCs w:val="20"/>
              </w:rPr>
              <w:t xml:space="preserve"> April </w:t>
            </w:r>
            <w:r w:rsidR="00DE4A87" w:rsidRPr="00FE01EF">
              <w:rPr>
                <w:szCs w:val="20"/>
              </w:rPr>
              <w:t>2021</w:t>
            </w:r>
          </w:p>
          <w:p w14:paraId="4890FE47" w14:textId="77777777" w:rsidR="00DE4A87" w:rsidRDefault="00DE4A87" w:rsidP="00DE4A87">
            <w:pPr>
              <w:bidi w:val="0"/>
              <w:spacing w:line="240" w:lineRule="exact"/>
              <w:jc w:val="left"/>
              <w:rPr>
                <w:szCs w:val="20"/>
              </w:rPr>
            </w:pPr>
            <w:r>
              <w:rPr>
                <w:szCs w:val="20"/>
              </w:rPr>
              <w:t>Arabic</w:t>
            </w:r>
          </w:p>
          <w:p w14:paraId="205B35DD" w14:textId="7833FD07" w:rsidR="00DE4A87" w:rsidRPr="00DE4A87" w:rsidRDefault="00DE4A87" w:rsidP="00DE4A87">
            <w:pPr>
              <w:bidi w:val="0"/>
              <w:spacing w:line="240" w:lineRule="exact"/>
              <w:jc w:val="left"/>
              <w:rPr>
                <w:szCs w:val="20"/>
              </w:rPr>
            </w:pPr>
            <w:r>
              <w:rPr>
                <w:szCs w:val="20"/>
              </w:rPr>
              <w:t>Original: English</w:t>
            </w:r>
          </w:p>
        </w:tc>
      </w:tr>
    </w:tbl>
    <w:p w14:paraId="2DA9C2BC" w14:textId="77777777" w:rsidR="00BE0E31" w:rsidRPr="00FE01EF" w:rsidRDefault="00BE0E31" w:rsidP="00EC2D3A">
      <w:pPr>
        <w:spacing w:before="120" w:line="360" w:lineRule="exact"/>
        <w:textDirection w:val="tbRlV"/>
        <w:rPr>
          <w:rFonts w:ascii="Simplified Arabic" w:hAnsi="Simplified Arabic"/>
          <w:b/>
          <w:bCs/>
          <w:sz w:val="26"/>
          <w:szCs w:val="26"/>
          <w:lang w:val="ar-SA" w:eastAsia="zh-TW" w:bidi="en-GB"/>
        </w:rPr>
      </w:pPr>
      <w:bookmarkStart w:id="0" w:name="_Hlk70501036"/>
      <w:r w:rsidRPr="00FE01EF">
        <w:rPr>
          <w:rFonts w:ascii="Simplified Arabic" w:hAnsi="Simplified Arabic"/>
          <w:b/>
          <w:bCs/>
          <w:sz w:val="26"/>
          <w:szCs w:val="26"/>
          <w:rtl/>
        </w:rPr>
        <w:t>اللجنة المعنية بحقوق الإنسان</w:t>
      </w:r>
    </w:p>
    <w:p w14:paraId="64A07E7C" w14:textId="0681C2E3" w:rsidR="00BE0E31" w:rsidRPr="00FE01EF" w:rsidRDefault="00BE0E31" w:rsidP="00BE0E31">
      <w:pPr>
        <w:pStyle w:val="HChGA"/>
        <w:rPr>
          <w:lang w:val="en-US" w:eastAsia="zh-TW" w:bidi="en-GB"/>
        </w:rPr>
      </w:pPr>
      <w:r w:rsidRPr="00FE01EF">
        <w:rPr>
          <w:rtl/>
        </w:rPr>
        <w:tab/>
      </w:r>
      <w:r w:rsidRPr="00FE01EF">
        <w:rPr>
          <w:rtl/>
        </w:rPr>
        <w:tab/>
        <w:t>تقرير عن متابعة الملاحظات الختامية للجنة المعنية بحقوق الإنسان</w:t>
      </w:r>
      <w:bookmarkStart w:id="1" w:name="_Toc506807534"/>
      <w:bookmarkEnd w:id="1"/>
      <w:r w:rsidR="00CF09CB" w:rsidRPr="00FE01EF">
        <w:rPr>
          <w:rStyle w:val="FootnoteReference"/>
          <w:sz w:val="22"/>
          <w:szCs w:val="22"/>
          <w:vertAlign w:val="baseline"/>
          <w:rtl/>
          <w:lang w:val="en-US" w:eastAsia="zh-TW"/>
        </w:rPr>
        <w:footnoteReference w:customMarkFollows="1" w:id="1"/>
        <w:t>*</w:t>
      </w:r>
    </w:p>
    <w:p w14:paraId="7C21533A" w14:textId="77777777" w:rsidR="00BE0E31" w:rsidRPr="00FE01EF" w:rsidRDefault="00BE0E31" w:rsidP="00CF09CB">
      <w:pPr>
        <w:pStyle w:val="H23GA"/>
        <w:rPr>
          <w:lang w:val="en-US" w:eastAsia="zh-TW" w:bidi="en-GB"/>
        </w:rPr>
      </w:pPr>
      <w:r w:rsidRPr="00FE01EF">
        <w:rPr>
          <w:rtl/>
        </w:rPr>
        <w:tab/>
      </w:r>
      <w:r w:rsidRPr="00FE01EF">
        <w:rPr>
          <w:rtl/>
        </w:rPr>
        <w:tab/>
        <w:t>إضافة</w:t>
      </w:r>
    </w:p>
    <w:p w14:paraId="2582E5C3" w14:textId="77777777" w:rsidR="00BE0E31" w:rsidRPr="00FE01EF" w:rsidRDefault="00BE0E31" w:rsidP="00CF09CB">
      <w:pPr>
        <w:pStyle w:val="H1GA"/>
        <w:rPr>
          <w:lang w:val="ar-SA" w:eastAsia="zh-TW" w:bidi="en-GB"/>
        </w:rPr>
      </w:pPr>
      <w:r w:rsidRPr="00FE01EF">
        <w:rPr>
          <w:rtl/>
        </w:rPr>
        <w:tab/>
      </w:r>
      <w:r w:rsidRPr="00FE01EF">
        <w:rPr>
          <w:rtl/>
        </w:rPr>
        <w:tab/>
        <w:t>تقييم المعلومات المتعلقة بمتابعة الملاحظات الختامية بشأن جمهورية مولدوفا</w:t>
      </w:r>
    </w:p>
    <w:p w14:paraId="29B52FE6" w14:textId="7137D892" w:rsidR="00BE0E31" w:rsidRPr="00B40AF0" w:rsidRDefault="00BE0E31" w:rsidP="00B40AF0">
      <w:pPr>
        <w:pStyle w:val="SingleTxtGA"/>
        <w:tabs>
          <w:tab w:val="clear" w:pos="1928"/>
          <w:tab w:val="clear" w:pos="2608"/>
          <w:tab w:val="clear" w:pos="3289"/>
          <w:tab w:val="clear" w:pos="3969"/>
          <w:tab w:val="clear" w:pos="4649"/>
          <w:tab w:val="left" w:pos="3830"/>
        </w:tabs>
        <w:ind w:left="3827" w:hanging="2580"/>
      </w:pPr>
      <w:r w:rsidRPr="00B40AF0">
        <w:rPr>
          <w:i/>
          <w:iCs/>
          <w:rtl/>
        </w:rPr>
        <w:t>الملاحظات الختامية (الدورة 118)</w:t>
      </w:r>
      <w:r w:rsidR="00CF09CB" w:rsidRPr="00B40AF0">
        <w:rPr>
          <w:i/>
          <w:iCs/>
          <w:rtl/>
        </w:rPr>
        <w:t>:</w:t>
      </w:r>
      <w:r w:rsidR="00CF09CB" w:rsidRPr="00B40AF0">
        <w:rPr>
          <w:rtl/>
        </w:rPr>
        <w:tab/>
      </w:r>
      <w:hyperlink r:id="rId9" w:history="1">
        <w:r w:rsidR="00B40AF0" w:rsidRPr="00B40AF0">
          <w:rPr>
            <w:rStyle w:val="Hyperlink"/>
            <w:spacing w:val="-4"/>
          </w:rPr>
          <w:t>CCPR/C/MDA/CO/3</w:t>
        </w:r>
      </w:hyperlink>
      <w:r w:rsidRPr="00B40AF0">
        <w:rPr>
          <w:rtl/>
        </w:rPr>
        <w:t>، 31 تشرين الأول/أكتوبر 2016</w:t>
      </w:r>
    </w:p>
    <w:p w14:paraId="26FB5E07" w14:textId="6ECA8DC6" w:rsidR="00BE0E31" w:rsidRPr="00CF09CB" w:rsidRDefault="00BE0E31" w:rsidP="00B40AF0">
      <w:pPr>
        <w:pStyle w:val="SingleTxtGA"/>
        <w:tabs>
          <w:tab w:val="clear" w:pos="1928"/>
          <w:tab w:val="clear" w:pos="2608"/>
          <w:tab w:val="clear" w:pos="3289"/>
          <w:tab w:val="clear" w:pos="3969"/>
          <w:tab w:val="clear" w:pos="4649"/>
          <w:tab w:val="left" w:pos="3830"/>
        </w:tabs>
        <w:ind w:left="3827" w:hanging="2580"/>
      </w:pPr>
      <w:r w:rsidRPr="00FE01EF">
        <w:rPr>
          <w:i/>
          <w:iCs/>
          <w:rtl/>
        </w:rPr>
        <w:t>الفقرات المشمولة بالمتابعة</w:t>
      </w:r>
      <w:r w:rsidR="00CF09CB" w:rsidRPr="00FE01EF">
        <w:rPr>
          <w:i/>
          <w:iCs/>
          <w:rtl/>
        </w:rPr>
        <w:t>:</w:t>
      </w:r>
      <w:r w:rsidR="00CF09CB" w:rsidRPr="00FE01EF">
        <w:rPr>
          <w:i/>
          <w:iCs/>
          <w:rtl/>
        </w:rPr>
        <w:tab/>
      </w:r>
      <w:r w:rsidRPr="00FE01EF">
        <w:rPr>
          <w:rtl/>
        </w:rPr>
        <w:t>10</w:t>
      </w:r>
      <w:r w:rsidRPr="00CF09CB">
        <w:rPr>
          <w:rtl/>
        </w:rPr>
        <w:t xml:space="preserve"> و</w:t>
      </w:r>
      <w:r w:rsidRPr="00FE01EF">
        <w:rPr>
          <w:rtl/>
        </w:rPr>
        <w:t>24</w:t>
      </w:r>
      <w:r w:rsidRPr="00CF09CB">
        <w:rPr>
          <w:rtl/>
        </w:rPr>
        <w:t xml:space="preserve"> و</w:t>
      </w:r>
      <w:r w:rsidRPr="00FE01EF">
        <w:rPr>
          <w:rtl/>
        </w:rPr>
        <w:t>28</w:t>
      </w:r>
    </w:p>
    <w:p w14:paraId="1452F35C" w14:textId="667F8B52" w:rsidR="00BE0E31" w:rsidRPr="00B40AF0" w:rsidRDefault="00BE0E31" w:rsidP="00B40AF0">
      <w:pPr>
        <w:pStyle w:val="SingleTxtGA"/>
        <w:tabs>
          <w:tab w:val="clear" w:pos="1928"/>
          <w:tab w:val="clear" w:pos="2608"/>
          <w:tab w:val="clear" w:pos="3289"/>
          <w:tab w:val="clear" w:pos="3969"/>
          <w:tab w:val="clear" w:pos="4649"/>
          <w:tab w:val="left" w:pos="3830"/>
        </w:tabs>
        <w:ind w:left="3827" w:hanging="2580"/>
        <w:rPr>
          <w:spacing w:val="-4"/>
        </w:rPr>
      </w:pPr>
      <w:r w:rsidRPr="00B40AF0">
        <w:rPr>
          <w:i/>
          <w:iCs/>
          <w:spacing w:val="-4"/>
          <w:rtl/>
        </w:rPr>
        <w:t>الرد الوارد في إطار المتابعة</w:t>
      </w:r>
      <w:r w:rsidR="00CF09CB" w:rsidRPr="00B40AF0">
        <w:rPr>
          <w:i/>
          <w:iCs/>
          <w:spacing w:val="-4"/>
          <w:rtl/>
        </w:rPr>
        <w:t>:</w:t>
      </w:r>
      <w:r w:rsidR="00CF09CB" w:rsidRPr="00B40AF0">
        <w:rPr>
          <w:spacing w:val="-4"/>
          <w:rtl/>
        </w:rPr>
        <w:tab/>
      </w:r>
      <w:hyperlink r:id="rId10" w:history="1">
        <w:r w:rsidR="00B40AF0" w:rsidRPr="00B40AF0">
          <w:rPr>
            <w:rStyle w:val="Hyperlink"/>
            <w:spacing w:val="-4"/>
          </w:rPr>
          <w:t>CCPR/C/MDA/CO/3</w:t>
        </w:r>
      </w:hyperlink>
      <w:r w:rsidR="00B40AF0" w:rsidRPr="00B40AF0">
        <w:rPr>
          <w:rStyle w:val="Hyperlink"/>
          <w:spacing w:val="-4"/>
        </w:rPr>
        <w:t>/Add.1</w:t>
      </w:r>
      <w:r w:rsidRPr="00B40AF0">
        <w:rPr>
          <w:spacing w:val="-4"/>
          <w:rtl/>
        </w:rPr>
        <w:t>، ورد في 5 أيلول/سبتمبر 2018</w:t>
      </w:r>
    </w:p>
    <w:p w14:paraId="4D4EC878" w14:textId="59CB8FED" w:rsidR="00BE0E31" w:rsidRPr="00CF09CB" w:rsidRDefault="00BE0E31" w:rsidP="00B40AF0">
      <w:pPr>
        <w:pStyle w:val="SingleTxtGA"/>
        <w:tabs>
          <w:tab w:val="clear" w:pos="1928"/>
          <w:tab w:val="clear" w:pos="2608"/>
          <w:tab w:val="clear" w:pos="3289"/>
          <w:tab w:val="clear" w:pos="3969"/>
          <w:tab w:val="clear" w:pos="4649"/>
          <w:tab w:val="left" w:pos="3830"/>
        </w:tabs>
        <w:ind w:left="3827" w:hanging="2580"/>
      </w:pPr>
      <w:r w:rsidRPr="00FE01EF">
        <w:rPr>
          <w:i/>
          <w:iCs/>
          <w:rtl/>
        </w:rPr>
        <w:t>تقييم اللجنة</w:t>
      </w:r>
      <w:r w:rsidR="00CF09CB" w:rsidRPr="00FE01EF">
        <w:rPr>
          <w:i/>
          <w:iCs/>
          <w:rtl/>
        </w:rPr>
        <w:t>:</w:t>
      </w:r>
      <w:r w:rsidR="00CF09CB">
        <w:rPr>
          <w:rtl/>
        </w:rPr>
        <w:tab/>
      </w:r>
      <w:r w:rsidRPr="00CF09CB">
        <w:rPr>
          <w:rtl/>
        </w:rPr>
        <w:t xml:space="preserve">يلزم تقديم معلومات إضافية بشأن الفقرات </w:t>
      </w:r>
      <w:r w:rsidRPr="00FE01EF">
        <w:rPr>
          <w:rtl/>
        </w:rPr>
        <w:t>10</w:t>
      </w:r>
      <w:r w:rsidRPr="00B40AF0">
        <w:rPr>
          <w:b/>
          <w:bCs/>
          <w:rtl/>
        </w:rPr>
        <w:t>[ألف][باء]</w:t>
      </w:r>
      <w:r w:rsidRPr="00CF09CB">
        <w:rPr>
          <w:rtl/>
        </w:rPr>
        <w:t xml:space="preserve"> و</w:t>
      </w:r>
      <w:r w:rsidRPr="00FE01EF">
        <w:rPr>
          <w:rtl/>
        </w:rPr>
        <w:t>24</w:t>
      </w:r>
      <w:r w:rsidRPr="00B40AF0">
        <w:rPr>
          <w:b/>
          <w:bCs/>
          <w:rtl/>
        </w:rPr>
        <w:t>[باء][جيم]</w:t>
      </w:r>
      <w:r w:rsidRPr="00CF09CB">
        <w:rPr>
          <w:rtl/>
        </w:rPr>
        <w:t xml:space="preserve"> و</w:t>
      </w:r>
      <w:r w:rsidRPr="00FE01EF">
        <w:rPr>
          <w:rtl/>
        </w:rPr>
        <w:t>28</w:t>
      </w:r>
      <w:r w:rsidRPr="00CF09CB">
        <w:rPr>
          <w:rtl/>
        </w:rPr>
        <w:t xml:space="preserve"> </w:t>
      </w:r>
      <w:r w:rsidRPr="00B40AF0">
        <w:rPr>
          <w:b/>
          <w:bCs/>
          <w:rtl/>
        </w:rPr>
        <w:t>[باء]</w:t>
      </w:r>
    </w:p>
    <w:p w14:paraId="626D7856" w14:textId="237E1E4B" w:rsidR="00BE0E31" w:rsidRPr="00FE01EF" w:rsidRDefault="00BE0E31" w:rsidP="00CF09CB">
      <w:pPr>
        <w:pStyle w:val="H23GA"/>
        <w:rPr>
          <w:lang w:val="ar-SA" w:eastAsia="zh-TW" w:bidi="en-GB"/>
        </w:rPr>
      </w:pPr>
      <w:r w:rsidRPr="00FE01EF">
        <w:rPr>
          <w:rtl/>
        </w:rPr>
        <w:tab/>
      </w:r>
      <w:r w:rsidRPr="00FE01EF">
        <w:rPr>
          <w:rtl/>
        </w:rPr>
        <w:tab/>
        <w:t>الفقرة (10): الإطار الوطني لحقوق الإنسان</w:t>
      </w:r>
    </w:p>
    <w:p w14:paraId="1CAE65CB" w14:textId="4610BE6D" w:rsidR="00BE0E31" w:rsidRPr="00FE01EF" w:rsidRDefault="00B40AF0" w:rsidP="00CF09CB">
      <w:pPr>
        <w:pStyle w:val="SingleTxtGA"/>
        <w:rPr>
          <w:rFonts w:eastAsiaTheme="minorEastAsia"/>
          <w:b/>
          <w:bCs/>
          <w:lang w:val="en-US" w:eastAsia="zh-TW" w:bidi="en-GB"/>
        </w:rPr>
      </w:pPr>
      <w:r>
        <w:rPr>
          <w:rFonts w:eastAsiaTheme="minorEastAsia"/>
          <w:b/>
          <w:bCs/>
          <w:rtl/>
        </w:rPr>
        <w:tab/>
      </w:r>
      <w:r w:rsidR="00BE0E31" w:rsidRPr="00FE01EF">
        <w:rPr>
          <w:rFonts w:eastAsiaTheme="minorEastAsia"/>
          <w:b/>
          <w:bCs/>
          <w:rtl/>
        </w:rPr>
        <w:t>ينبغي للدولة الطرف القيام بما يلي:</w:t>
      </w:r>
    </w:p>
    <w:p w14:paraId="6983DB75" w14:textId="3A5909B8" w:rsidR="00BE0E31" w:rsidRPr="00FE01EF" w:rsidRDefault="00CF09CB" w:rsidP="00CF09CB">
      <w:pPr>
        <w:pStyle w:val="SingleTxtGA"/>
        <w:rPr>
          <w:b/>
          <w:bCs/>
          <w:lang w:val="ar-SA" w:eastAsia="zh-TW" w:bidi="en-GB"/>
        </w:rPr>
      </w:pPr>
      <w:r>
        <w:rPr>
          <w:rtl/>
        </w:rPr>
        <w:tab/>
      </w:r>
      <w:r>
        <w:rPr>
          <w:rFonts w:hint="cs"/>
          <w:rtl/>
        </w:rPr>
        <w:t>(أ)</w:t>
      </w:r>
      <w:r>
        <w:rPr>
          <w:rtl/>
        </w:rPr>
        <w:tab/>
      </w:r>
      <w:r w:rsidR="00BE0E31" w:rsidRPr="00FE01EF">
        <w:rPr>
          <w:b/>
          <w:bCs/>
          <w:rtl/>
        </w:rPr>
        <w:t xml:space="preserve">اعتماد </w:t>
      </w:r>
      <w:r w:rsidR="00BE0E31" w:rsidRPr="00FE01EF">
        <w:rPr>
          <w:rFonts w:eastAsiaTheme="minorEastAsia"/>
          <w:b/>
          <w:bCs/>
          <w:rtl/>
        </w:rPr>
        <w:t>خطة</w:t>
      </w:r>
      <w:r w:rsidR="00BE0E31" w:rsidRPr="00FE01EF">
        <w:rPr>
          <w:b/>
          <w:bCs/>
          <w:rtl/>
        </w:rPr>
        <w:t xml:space="preserve"> عمل وطنية جديدة لحقوق الإنسان على وجه السرعة على أساس المشاورات مع جميع أصحاب المصلحة المعنيين؛</w:t>
      </w:r>
    </w:p>
    <w:p w14:paraId="028718FC" w14:textId="487FFC43" w:rsidR="00BE0E31" w:rsidRPr="00FE01EF" w:rsidRDefault="00CF09CB" w:rsidP="00CF09CB">
      <w:pPr>
        <w:pStyle w:val="SingleTxtGA"/>
        <w:rPr>
          <w:rFonts w:eastAsiaTheme="minorEastAsia"/>
          <w:b/>
          <w:bCs/>
          <w:spacing w:val="-2"/>
          <w:lang w:val="ar-SA" w:eastAsia="zh-TW" w:bidi="en-GB"/>
        </w:rPr>
      </w:pPr>
      <w:r w:rsidRPr="00EC2D3A">
        <w:rPr>
          <w:rFonts w:eastAsiaTheme="minorEastAsia"/>
          <w:spacing w:val="-2"/>
          <w:rtl/>
        </w:rPr>
        <w:tab/>
      </w:r>
      <w:r w:rsidRPr="00EC2D3A">
        <w:rPr>
          <w:rFonts w:eastAsiaTheme="minorEastAsia" w:hint="cs"/>
          <w:spacing w:val="-2"/>
          <w:rtl/>
        </w:rPr>
        <w:t>(ب)</w:t>
      </w:r>
      <w:r w:rsidRPr="00FE01EF">
        <w:rPr>
          <w:rFonts w:eastAsiaTheme="minorEastAsia"/>
          <w:b/>
          <w:bCs/>
          <w:spacing w:val="-2"/>
          <w:rtl/>
        </w:rPr>
        <w:tab/>
      </w:r>
      <w:r w:rsidR="00BE0E31" w:rsidRPr="00FE01EF">
        <w:rPr>
          <w:rFonts w:eastAsiaTheme="minorEastAsia"/>
          <w:b/>
          <w:bCs/>
          <w:spacing w:val="-2"/>
          <w:rtl/>
        </w:rPr>
        <w:t>تخصيص موارد بشرية ومالية كافية لضمان التنفيذ الفعال للخطتين السابقة والجديدة؛</w:t>
      </w:r>
    </w:p>
    <w:p w14:paraId="13D62A3B" w14:textId="3E7838B4" w:rsidR="00BE0E31" w:rsidRPr="00FE01EF" w:rsidRDefault="00BE0E31" w:rsidP="00CF09CB">
      <w:pPr>
        <w:pStyle w:val="SingleTxtGA"/>
        <w:rPr>
          <w:rFonts w:eastAsiaTheme="minorEastAsia"/>
          <w:b/>
          <w:bCs/>
          <w:lang w:val="ar-SA" w:eastAsia="zh-TW" w:bidi="en-GB"/>
        </w:rPr>
      </w:pPr>
      <w:r w:rsidRPr="00CF09CB">
        <w:rPr>
          <w:rFonts w:eastAsiaTheme="minorEastAsia"/>
          <w:rtl/>
        </w:rPr>
        <w:tab/>
        <w:t>(ج)</w:t>
      </w:r>
      <w:r w:rsidR="00CF09CB">
        <w:rPr>
          <w:rFonts w:eastAsiaTheme="minorEastAsia"/>
          <w:rtl/>
        </w:rPr>
        <w:tab/>
      </w:r>
      <w:r w:rsidRPr="00FE01EF">
        <w:rPr>
          <w:rFonts w:eastAsiaTheme="minorEastAsia"/>
          <w:b/>
          <w:bCs/>
          <w:rtl/>
        </w:rPr>
        <w:t>ضمان مراجعة وتقييم عملية تنفيذ الخطتين السابقة والجديدة بانتظام.</w:t>
      </w:r>
    </w:p>
    <w:p w14:paraId="1A1ED322" w14:textId="77777777" w:rsidR="00BE0E31" w:rsidRPr="00FE01EF" w:rsidRDefault="00BE0E31" w:rsidP="00CF09CB">
      <w:pPr>
        <w:pStyle w:val="H23GA"/>
        <w:rPr>
          <w:lang w:val="en-US" w:eastAsia="zh-TW" w:bidi="en-GB"/>
        </w:rPr>
      </w:pPr>
      <w:r w:rsidRPr="00FE01EF">
        <w:rPr>
          <w:rtl/>
        </w:rPr>
        <w:tab/>
      </w:r>
      <w:r w:rsidRPr="00FE01EF">
        <w:rPr>
          <w:rtl/>
        </w:rPr>
        <w:tab/>
        <w:t>موجز ردّ الدولة الطرف</w:t>
      </w:r>
    </w:p>
    <w:p w14:paraId="2B968496" w14:textId="24707EB7" w:rsidR="00BE0E31" w:rsidRPr="00CF09CB" w:rsidRDefault="00CF09CB" w:rsidP="00CF09CB">
      <w:pPr>
        <w:pStyle w:val="SingleTxtGA"/>
        <w:rPr>
          <w:rFonts w:eastAsiaTheme="minorEastAsia"/>
          <w:lang w:val="ar-SA" w:eastAsia="zh-TW" w:bidi="en-GB"/>
        </w:rPr>
      </w:pPr>
      <w:r>
        <w:rPr>
          <w:rFonts w:eastAsiaTheme="minorEastAsia"/>
          <w:rtl/>
        </w:rPr>
        <w:tab/>
      </w:r>
      <w:r>
        <w:rPr>
          <w:rFonts w:eastAsiaTheme="minorEastAsia" w:hint="cs"/>
          <w:rtl/>
        </w:rPr>
        <w:t>(أ)</w:t>
      </w:r>
      <w:r>
        <w:rPr>
          <w:rFonts w:eastAsiaTheme="minorEastAsia"/>
          <w:rtl/>
        </w:rPr>
        <w:tab/>
      </w:r>
      <w:r w:rsidR="00BE0E31" w:rsidRPr="00CF09CB">
        <w:rPr>
          <w:rFonts w:eastAsiaTheme="minorEastAsia"/>
          <w:rtl/>
        </w:rPr>
        <w:t xml:space="preserve">وافق </w:t>
      </w:r>
      <w:proofErr w:type="gramStart"/>
      <w:r w:rsidR="00BE0E31" w:rsidRPr="00CF09CB">
        <w:rPr>
          <w:rFonts w:eastAsiaTheme="minorEastAsia"/>
          <w:rtl/>
        </w:rPr>
        <w:t>البرلمان</w:t>
      </w:r>
      <w:proofErr w:type="gramEnd"/>
      <w:r w:rsidR="00BE0E31" w:rsidRPr="00CF09CB">
        <w:rPr>
          <w:rFonts w:eastAsiaTheme="minorEastAsia"/>
          <w:rtl/>
        </w:rPr>
        <w:t xml:space="preserve"> في </w:t>
      </w:r>
      <w:r w:rsidR="00BE0E31" w:rsidRPr="00FE01EF">
        <w:rPr>
          <w:rFonts w:eastAsiaTheme="minorEastAsia"/>
          <w:rtl/>
        </w:rPr>
        <w:t>24</w:t>
      </w:r>
      <w:r w:rsidR="00BE0E31" w:rsidRPr="00CF09CB">
        <w:rPr>
          <w:rFonts w:eastAsiaTheme="minorEastAsia"/>
          <w:rtl/>
        </w:rPr>
        <w:t xml:space="preserve"> أيار</w:t>
      </w:r>
      <w:r w:rsidR="00EC2D3A">
        <w:rPr>
          <w:rFonts w:eastAsiaTheme="minorEastAsia" w:hint="cs"/>
          <w:rtl/>
        </w:rPr>
        <w:t>/مايو</w:t>
      </w:r>
      <w:r w:rsidR="00BE0E31" w:rsidRPr="00CF09CB">
        <w:rPr>
          <w:rFonts w:eastAsiaTheme="minorEastAsia"/>
          <w:rtl/>
        </w:rPr>
        <w:t xml:space="preserve"> </w:t>
      </w:r>
      <w:r w:rsidR="00BE0E31" w:rsidRPr="00FE01EF">
        <w:rPr>
          <w:rFonts w:eastAsiaTheme="minorEastAsia"/>
          <w:rtl/>
        </w:rPr>
        <w:t>2018</w:t>
      </w:r>
      <w:r w:rsidR="00BE0E31" w:rsidRPr="00CF09CB">
        <w:rPr>
          <w:rFonts w:eastAsiaTheme="minorEastAsia"/>
          <w:rtl/>
        </w:rPr>
        <w:t xml:space="preserve"> على خطة عمل وطنية جديدة لحقوق الإنسان للفترة </w:t>
      </w:r>
      <w:r w:rsidR="00BE0E31" w:rsidRPr="00FE01EF">
        <w:rPr>
          <w:rFonts w:eastAsiaTheme="minorEastAsia"/>
          <w:rtl/>
        </w:rPr>
        <w:t>2018</w:t>
      </w:r>
      <w:r w:rsidR="00BE0E31" w:rsidRPr="00CF09CB">
        <w:rPr>
          <w:rFonts w:eastAsiaTheme="minorEastAsia"/>
          <w:rtl/>
        </w:rPr>
        <w:t>-</w:t>
      </w:r>
      <w:r w:rsidR="00BE0E31" w:rsidRPr="00FE01EF">
        <w:rPr>
          <w:rFonts w:eastAsiaTheme="minorEastAsia"/>
          <w:rtl/>
        </w:rPr>
        <w:t>2022</w:t>
      </w:r>
      <w:r w:rsidR="00BE0E31" w:rsidRPr="00CF09CB">
        <w:rPr>
          <w:rFonts w:eastAsiaTheme="minorEastAsia"/>
          <w:rtl/>
        </w:rPr>
        <w:t xml:space="preserve">. وقد أعد الخطة فريق عامل يضم أعضاءً من المجتمع المدني وشركاء أجانب ومنظمات مانحة وممثلين للسلطات العامة. واستند مشروع الخطة إلى توصيات انبثقت عن الاستعراض الدوري الشامل وتوصيات قدمتها هيئات معاهدات الأمم المتحدة، وإلى مدخلات من مجلس أوروبا ومنظمة الأمن والتعاون في أوروبا ومنظمات دولية أخرى. وأخذ مشروع الخطة في الاعتبار أيضاً أهداف التنمية </w:t>
      </w:r>
      <w:r w:rsidR="00BE0E31" w:rsidRPr="00CF09CB">
        <w:rPr>
          <w:rFonts w:eastAsiaTheme="minorEastAsia"/>
          <w:rtl/>
        </w:rPr>
        <w:lastRenderedPageBreak/>
        <w:t>المستدامة. وقد خضع مشروع الخطة لمشاورات عامة واسعة النطاق، وللاستعراض من قِبل مجلس أوروبا، وللدراسة من قِبل لجان برلمانية دائمة مختلفة.</w:t>
      </w:r>
    </w:p>
    <w:p w14:paraId="48694209" w14:textId="5C8E3F16" w:rsidR="00BE0E31" w:rsidRPr="00B40AF0" w:rsidRDefault="00CF09CB" w:rsidP="00CF09CB">
      <w:pPr>
        <w:pStyle w:val="SingleTxtGA"/>
        <w:rPr>
          <w:rFonts w:eastAsiaTheme="minorEastAsia"/>
          <w:spacing w:val="-4"/>
          <w:lang w:val="en-US" w:eastAsia="zh-TW" w:bidi="en-GB"/>
        </w:rPr>
      </w:pPr>
      <w:r w:rsidRPr="00B40AF0">
        <w:rPr>
          <w:rFonts w:eastAsiaTheme="minorEastAsia"/>
          <w:spacing w:val="-4"/>
          <w:lang w:val="en-US"/>
        </w:rPr>
        <w:tab/>
      </w:r>
      <w:r w:rsidR="00BE0E31" w:rsidRPr="00B40AF0">
        <w:rPr>
          <w:rFonts w:eastAsiaTheme="minorEastAsia"/>
          <w:spacing w:val="-4"/>
          <w:rtl/>
        </w:rPr>
        <w:t>(ج)</w:t>
      </w:r>
      <w:r w:rsidRPr="00B40AF0">
        <w:rPr>
          <w:rFonts w:eastAsiaTheme="minorEastAsia"/>
          <w:spacing w:val="-4"/>
          <w:rtl/>
        </w:rPr>
        <w:tab/>
      </w:r>
      <w:r w:rsidR="00BE0E31" w:rsidRPr="00B40AF0">
        <w:rPr>
          <w:rFonts w:eastAsiaTheme="minorEastAsia"/>
          <w:spacing w:val="-4"/>
          <w:rtl/>
        </w:rPr>
        <w:t>وتعكف وزارة العدل حالي</w:t>
      </w:r>
      <w:r w:rsidRPr="00B40AF0">
        <w:rPr>
          <w:rFonts w:eastAsiaTheme="minorEastAsia"/>
          <w:spacing w:val="-4"/>
          <w:rtl/>
        </w:rPr>
        <w:t xml:space="preserve">اً </w:t>
      </w:r>
      <w:r w:rsidR="00BE0E31" w:rsidRPr="00B40AF0">
        <w:rPr>
          <w:rFonts w:eastAsiaTheme="minorEastAsia"/>
          <w:spacing w:val="-4"/>
          <w:rtl/>
        </w:rPr>
        <w:t>على الترويج لمشروع قانون لإنشاء آلية وطنية لتنسيق ورصد وتقييم تنفيذ وثائق سياسات حقوق الإنسان، وهو بانتظار الدراسة من قبل الحكومة. ووفق</w:t>
      </w:r>
      <w:r w:rsidRPr="00B40AF0">
        <w:rPr>
          <w:rFonts w:eastAsiaTheme="minorEastAsia"/>
          <w:spacing w:val="-4"/>
          <w:rtl/>
        </w:rPr>
        <w:t xml:space="preserve">اً </w:t>
      </w:r>
      <w:r w:rsidR="00BE0E31" w:rsidRPr="00B40AF0">
        <w:rPr>
          <w:rFonts w:eastAsiaTheme="minorEastAsia"/>
          <w:spacing w:val="-4"/>
          <w:rtl/>
        </w:rPr>
        <w:t>لمشروع الخطة، ستشمل آلية التنسيق مجلس</w:t>
      </w:r>
      <w:r w:rsidRPr="00B40AF0">
        <w:rPr>
          <w:rFonts w:eastAsiaTheme="minorEastAsia"/>
          <w:spacing w:val="-4"/>
          <w:rtl/>
        </w:rPr>
        <w:t xml:space="preserve">اً </w:t>
      </w:r>
      <w:r w:rsidR="00BE0E31" w:rsidRPr="00B40AF0">
        <w:rPr>
          <w:rFonts w:eastAsiaTheme="minorEastAsia"/>
          <w:spacing w:val="-4"/>
          <w:rtl/>
        </w:rPr>
        <w:t>وطني</w:t>
      </w:r>
      <w:r w:rsidRPr="00B40AF0">
        <w:rPr>
          <w:rFonts w:eastAsiaTheme="minorEastAsia"/>
          <w:spacing w:val="-4"/>
          <w:rtl/>
        </w:rPr>
        <w:t xml:space="preserve">اً </w:t>
      </w:r>
      <w:r w:rsidR="00BE0E31" w:rsidRPr="00B40AF0">
        <w:rPr>
          <w:rFonts w:eastAsiaTheme="minorEastAsia"/>
          <w:spacing w:val="-4"/>
          <w:rtl/>
        </w:rPr>
        <w:t xml:space="preserve">لحقوق الإنسان، وهياكل للمجالس المحلية، وأمانة دائمة لحقوق الإنسان داخل مستشارية الدولة. وأشار أيضاً قرار </w:t>
      </w:r>
      <w:proofErr w:type="gramStart"/>
      <w:r w:rsidR="00BE0E31" w:rsidRPr="00B40AF0">
        <w:rPr>
          <w:rFonts w:eastAsiaTheme="minorEastAsia"/>
          <w:spacing w:val="-4"/>
          <w:rtl/>
        </w:rPr>
        <w:t>البرلمان</w:t>
      </w:r>
      <w:proofErr w:type="gramEnd"/>
      <w:r w:rsidR="00BE0E31" w:rsidRPr="00B40AF0">
        <w:rPr>
          <w:rFonts w:eastAsiaTheme="minorEastAsia"/>
          <w:spacing w:val="-4"/>
          <w:rtl/>
        </w:rPr>
        <w:t xml:space="preserve"> بالموافقة على خطة العمل الوطنية الجديدة لحقوق الإنسان إلى أن المجلس الوطني لحقوق الإنسان سيقدم تقرير</w:t>
      </w:r>
      <w:r w:rsidRPr="00B40AF0">
        <w:rPr>
          <w:rFonts w:eastAsiaTheme="minorEastAsia"/>
          <w:spacing w:val="-4"/>
          <w:rtl/>
        </w:rPr>
        <w:t xml:space="preserve">اً </w:t>
      </w:r>
      <w:r w:rsidR="00BE0E31" w:rsidRPr="00B40AF0">
        <w:rPr>
          <w:rFonts w:eastAsiaTheme="minorEastAsia"/>
          <w:spacing w:val="-4"/>
          <w:rtl/>
        </w:rPr>
        <w:t>سنوي</w:t>
      </w:r>
      <w:r w:rsidRPr="00B40AF0">
        <w:rPr>
          <w:rFonts w:eastAsiaTheme="minorEastAsia"/>
          <w:spacing w:val="-4"/>
          <w:rtl/>
        </w:rPr>
        <w:t xml:space="preserve">اً </w:t>
      </w:r>
      <w:r w:rsidR="00BE0E31" w:rsidRPr="00B40AF0">
        <w:rPr>
          <w:rFonts w:eastAsiaTheme="minorEastAsia"/>
          <w:spacing w:val="-4"/>
          <w:rtl/>
        </w:rPr>
        <w:t>إلى البرلمان عن مستوى تنفيذ</w:t>
      </w:r>
      <w:r w:rsidR="00EC2D3A" w:rsidRPr="00B40AF0">
        <w:rPr>
          <w:rFonts w:eastAsiaTheme="minorEastAsia" w:hint="cs"/>
          <w:spacing w:val="-4"/>
          <w:rtl/>
        </w:rPr>
        <w:t> </w:t>
      </w:r>
      <w:r w:rsidR="00BE0E31" w:rsidRPr="00B40AF0">
        <w:rPr>
          <w:rFonts w:eastAsiaTheme="minorEastAsia"/>
          <w:spacing w:val="-4"/>
          <w:rtl/>
        </w:rPr>
        <w:t>الخطة.</w:t>
      </w:r>
    </w:p>
    <w:p w14:paraId="0917416B" w14:textId="77777777" w:rsidR="00BE0E31" w:rsidRPr="00FE01EF" w:rsidRDefault="00BE0E31" w:rsidP="00CF09CB">
      <w:pPr>
        <w:pStyle w:val="H23GA"/>
        <w:rPr>
          <w:lang w:val="en-US" w:eastAsia="zh-TW" w:bidi="en-GB"/>
        </w:rPr>
      </w:pPr>
      <w:r w:rsidRPr="00FE01EF">
        <w:rPr>
          <w:rtl/>
        </w:rPr>
        <w:tab/>
      </w:r>
      <w:r w:rsidRPr="00FE01EF">
        <w:rPr>
          <w:rtl/>
        </w:rPr>
        <w:tab/>
        <w:t>تقييم اللجنة:</w:t>
      </w:r>
    </w:p>
    <w:p w14:paraId="5C3559CC" w14:textId="0B663C2F" w:rsidR="00BE0E31" w:rsidRPr="00CF09CB" w:rsidRDefault="00BE0E31" w:rsidP="00CF09CB">
      <w:pPr>
        <w:pStyle w:val="SingleTxtGA"/>
        <w:rPr>
          <w:rFonts w:eastAsiaTheme="minorEastAsia"/>
          <w:lang w:val="ar-SA" w:eastAsia="zh-TW" w:bidi="en-GB"/>
        </w:rPr>
      </w:pPr>
      <w:r w:rsidRPr="00FE01EF">
        <w:rPr>
          <w:rFonts w:eastAsiaTheme="minorEastAsia"/>
          <w:b/>
          <w:bCs/>
          <w:rtl/>
        </w:rPr>
        <w:t>[ألف]</w:t>
      </w:r>
      <w:r w:rsidRPr="00CF09CB">
        <w:rPr>
          <w:rFonts w:eastAsiaTheme="minorEastAsia"/>
          <w:rtl/>
        </w:rPr>
        <w:t xml:space="preserve"> (أ): ترحب اللجنة باعتماد الدولة الطرف خطة العمل الوطنية الجديدة لحقوق الإنسان بالتشاور مع</w:t>
      </w:r>
      <w:r w:rsidR="00CF09CB">
        <w:rPr>
          <w:rFonts w:eastAsiaTheme="minorEastAsia"/>
          <w:rtl/>
        </w:rPr>
        <w:t xml:space="preserve"> </w:t>
      </w:r>
      <w:r w:rsidRPr="00CF09CB">
        <w:rPr>
          <w:rFonts w:eastAsiaTheme="minorEastAsia"/>
          <w:rtl/>
        </w:rPr>
        <w:t>أصحاب المصلحة، وتطلب معلومات إضافية عن المحتويات المحددة للخطة.</w:t>
      </w:r>
    </w:p>
    <w:p w14:paraId="05C2BC3B" w14:textId="6C1F8FB8" w:rsidR="00BE0E31" w:rsidRPr="00CF09CB" w:rsidRDefault="00BE0E31" w:rsidP="00CF09CB">
      <w:pPr>
        <w:pStyle w:val="SingleTxtGA"/>
        <w:rPr>
          <w:rFonts w:eastAsiaTheme="minorEastAsia"/>
          <w:lang w:val="ar-SA" w:eastAsia="zh-TW" w:bidi="en-GB"/>
        </w:rPr>
      </w:pPr>
      <w:r w:rsidRPr="00FE01EF">
        <w:rPr>
          <w:rFonts w:eastAsiaTheme="minorEastAsia"/>
          <w:b/>
          <w:bCs/>
          <w:rtl/>
        </w:rPr>
        <w:t>[باء]</w:t>
      </w:r>
      <w:r w:rsidR="00CF09CB" w:rsidRPr="00FE01EF">
        <w:rPr>
          <w:rFonts w:eastAsiaTheme="minorEastAsia" w:hint="cs"/>
          <w:b/>
          <w:bCs/>
          <w:rtl/>
        </w:rPr>
        <w:t xml:space="preserve"> </w:t>
      </w:r>
      <w:r w:rsidRPr="00CF09CB">
        <w:rPr>
          <w:rFonts w:eastAsiaTheme="minorEastAsia"/>
          <w:rtl/>
        </w:rPr>
        <w:t xml:space="preserve">(ب) و(ج): ترحب اللجنة بما ورد في مشروع القانون ذي الصلة من شرط يلزِم المجلس الوطني لحقوق الإنسان بأن يقدم إلى </w:t>
      </w:r>
      <w:proofErr w:type="gramStart"/>
      <w:r w:rsidRPr="00CF09CB">
        <w:rPr>
          <w:rFonts w:eastAsiaTheme="minorEastAsia"/>
          <w:rtl/>
        </w:rPr>
        <w:t>البرلمان</w:t>
      </w:r>
      <w:proofErr w:type="gramEnd"/>
      <w:r w:rsidRPr="00CF09CB">
        <w:rPr>
          <w:rFonts w:eastAsiaTheme="minorEastAsia"/>
          <w:rtl/>
        </w:rPr>
        <w:t xml:space="preserve"> تقرير</w:t>
      </w:r>
      <w:r w:rsidR="00CF09CB">
        <w:rPr>
          <w:rFonts w:eastAsiaTheme="minorEastAsia"/>
          <w:rtl/>
        </w:rPr>
        <w:t xml:space="preserve">اً </w:t>
      </w:r>
      <w:r w:rsidRPr="00CF09CB">
        <w:rPr>
          <w:rFonts w:eastAsiaTheme="minorEastAsia"/>
          <w:rtl/>
        </w:rPr>
        <w:t>سنوي</w:t>
      </w:r>
      <w:r w:rsidR="00CF09CB">
        <w:rPr>
          <w:rFonts w:eastAsiaTheme="minorEastAsia"/>
          <w:rtl/>
        </w:rPr>
        <w:t xml:space="preserve">اً </w:t>
      </w:r>
      <w:r w:rsidRPr="00CF09CB">
        <w:rPr>
          <w:rFonts w:eastAsiaTheme="minorEastAsia"/>
          <w:rtl/>
        </w:rPr>
        <w:t>عن تنفيذ خطة العمل الوطنية لحقوق الإنسان. وتطلب اللجنة معلومات أكثر تحديد</w:t>
      </w:r>
      <w:r w:rsidR="00CF09CB">
        <w:rPr>
          <w:rFonts w:eastAsiaTheme="minorEastAsia"/>
          <w:rtl/>
        </w:rPr>
        <w:t xml:space="preserve">اً </w:t>
      </w:r>
      <w:r w:rsidRPr="00CF09CB">
        <w:rPr>
          <w:rFonts w:eastAsiaTheme="minorEastAsia"/>
          <w:rtl/>
        </w:rPr>
        <w:t>بشأن ما يلي: '</w:t>
      </w:r>
      <w:r w:rsidRPr="00FE01EF">
        <w:rPr>
          <w:rFonts w:eastAsiaTheme="minorEastAsia"/>
          <w:rtl/>
        </w:rPr>
        <w:t>1</w:t>
      </w:r>
      <w:r w:rsidRPr="00CF09CB">
        <w:rPr>
          <w:rFonts w:eastAsiaTheme="minorEastAsia"/>
          <w:rtl/>
        </w:rPr>
        <w:t>' الموارد البشرية والمالية التي أتيحت لكفالة التنفيذ الفعال للخطة؛ '</w:t>
      </w:r>
      <w:r w:rsidRPr="00FE01EF">
        <w:rPr>
          <w:rFonts w:eastAsiaTheme="minorEastAsia"/>
          <w:rtl/>
        </w:rPr>
        <w:t>2</w:t>
      </w:r>
      <w:r w:rsidRPr="00CF09CB">
        <w:rPr>
          <w:rFonts w:eastAsiaTheme="minorEastAsia"/>
          <w:rtl/>
        </w:rPr>
        <w:t xml:space="preserve">' الموارد البشرية والمالية المتاحة لكفالة التنفيذ الفعال للخطة؛ </w:t>
      </w:r>
      <w:r w:rsidRPr="00CF09CB">
        <w:rPr>
          <w:rFonts w:eastAsiaTheme="minorEastAsia"/>
        </w:rPr>
        <w:t>'</w:t>
      </w:r>
      <w:r w:rsidRPr="00FE01EF">
        <w:rPr>
          <w:rFonts w:eastAsiaTheme="minorEastAsia"/>
          <w:rtl/>
        </w:rPr>
        <w:t>2</w:t>
      </w:r>
      <w:r w:rsidRPr="00CF09CB">
        <w:rPr>
          <w:rFonts w:eastAsiaTheme="minorEastAsia"/>
          <w:rtl/>
        </w:rPr>
        <w:t xml:space="preserve">' محتويات مشروع القانون المنشئ لآلية رصد وطنية ومركزه التشريعي؛ </w:t>
      </w:r>
      <w:r w:rsidRPr="00CF09CB">
        <w:rPr>
          <w:rFonts w:eastAsiaTheme="minorEastAsia"/>
        </w:rPr>
        <w:t>'</w:t>
      </w:r>
      <w:r w:rsidRPr="00FE01EF">
        <w:rPr>
          <w:rFonts w:eastAsiaTheme="minorEastAsia"/>
          <w:rtl/>
        </w:rPr>
        <w:t>3</w:t>
      </w:r>
      <w:r w:rsidRPr="00CF09CB">
        <w:rPr>
          <w:rFonts w:eastAsiaTheme="minorEastAsia"/>
          <w:rtl/>
        </w:rPr>
        <w:t xml:space="preserve">' كيفية رصد وتقييم </w:t>
      </w:r>
      <w:proofErr w:type="gramStart"/>
      <w:r w:rsidRPr="00CF09CB">
        <w:rPr>
          <w:rFonts w:eastAsiaTheme="minorEastAsia"/>
          <w:rtl/>
        </w:rPr>
        <w:t>البرلمان</w:t>
      </w:r>
      <w:proofErr w:type="gramEnd"/>
      <w:r w:rsidRPr="00CF09CB">
        <w:rPr>
          <w:rFonts w:eastAsiaTheme="minorEastAsia"/>
          <w:rtl/>
        </w:rPr>
        <w:t xml:space="preserve"> للتنفيذ الفعال للخطة؛</w:t>
      </w:r>
      <w:r w:rsidR="00EC2D3A">
        <w:rPr>
          <w:rFonts w:eastAsiaTheme="minorEastAsia" w:hint="cs"/>
          <w:rtl/>
        </w:rPr>
        <w:t> </w:t>
      </w:r>
      <w:r w:rsidRPr="00CF09CB">
        <w:rPr>
          <w:rFonts w:eastAsiaTheme="minorEastAsia"/>
        </w:rPr>
        <w:t>'</w:t>
      </w:r>
      <w:r w:rsidRPr="00FE01EF">
        <w:rPr>
          <w:rFonts w:eastAsiaTheme="minorEastAsia"/>
          <w:rtl/>
        </w:rPr>
        <w:t>4</w:t>
      </w:r>
      <w:r w:rsidRPr="00CF09CB">
        <w:rPr>
          <w:rFonts w:eastAsiaTheme="minorEastAsia"/>
          <w:rtl/>
        </w:rPr>
        <w:t>' وجود آليات رقابية أخرى من عدمه. وتطلب اللجنة تزويدها بأية بيانات تتعلق برصد وتقييم تنفيذ الخطة في الفترة المشمولة بالتقرير.</w:t>
      </w:r>
    </w:p>
    <w:p w14:paraId="1ABBE419" w14:textId="77777777" w:rsidR="00BE0E31" w:rsidRPr="00FE01EF" w:rsidRDefault="00BE0E31" w:rsidP="00CF09CB">
      <w:pPr>
        <w:pStyle w:val="H23GA"/>
        <w:rPr>
          <w:rFonts w:ascii="Times New Roman Bold" w:hAnsi="Times New Roman Bold" w:hint="eastAsia"/>
          <w:spacing w:val="-4"/>
          <w:lang w:val="ar-SA" w:eastAsia="zh-TW" w:bidi="en-GB"/>
        </w:rPr>
      </w:pPr>
      <w:r w:rsidRPr="00FE01EF">
        <w:rPr>
          <w:rFonts w:ascii="Times New Roman Bold" w:hAnsi="Times New Roman Bold"/>
          <w:spacing w:val="-4"/>
          <w:rtl/>
        </w:rPr>
        <w:tab/>
      </w:r>
      <w:r w:rsidRPr="00FE01EF">
        <w:rPr>
          <w:rFonts w:ascii="Times New Roman Bold" w:hAnsi="Times New Roman Bold"/>
          <w:spacing w:val="-4"/>
          <w:rtl/>
        </w:rPr>
        <w:tab/>
        <w:t>الفقرة 24: التعرض للإيذاء وإساءة المعاملة في مؤسسات الرعاية الداخلية ومستشفيات الأمراض النفسية</w:t>
      </w:r>
    </w:p>
    <w:p w14:paraId="352A638E" w14:textId="11D96BF9" w:rsidR="00BE0E31" w:rsidRPr="00FE01EF" w:rsidRDefault="00B40AF0" w:rsidP="00CF09CB">
      <w:pPr>
        <w:pStyle w:val="SingleTxtGA"/>
        <w:rPr>
          <w:rFonts w:eastAsiaTheme="minorEastAsia"/>
          <w:b/>
          <w:bCs/>
          <w:lang w:val="ar-SA" w:eastAsia="zh-TW" w:bidi="en-GB"/>
        </w:rPr>
      </w:pPr>
      <w:r>
        <w:rPr>
          <w:rFonts w:eastAsiaTheme="minorEastAsia"/>
          <w:b/>
          <w:bCs/>
          <w:rtl/>
        </w:rPr>
        <w:tab/>
      </w:r>
      <w:r w:rsidR="00BE0E31" w:rsidRPr="00FE01EF">
        <w:rPr>
          <w:rFonts w:eastAsiaTheme="minorEastAsia"/>
          <w:b/>
          <w:bCs/>
          <w:rtl/>
        </w:rPr>
        <w:t>ينبغي للدولة الطرف اتخاذ تدابير عاجلة لتحقيق ما يلي:</w:t>
      </w:r>
      <w:r w:rsidR="00BE0E31" w:rsidRPr="00FE01EF">
        <w:rPr>
          <w:rFonts w:eastAsiaTheme="minorEastAsia" w:cs="Times New Roman" w:hint="cs"/>
          <w:b/>
          <w:bCs/>
          <w:rtl/>
        </w:rPr>
        <w:t>‬</w:t>
      </w:r>
      <w:r w:rsidR="00BE0E31" w:rsidRPr="00FE01EF">
        <w:rPr>
          <w:rFonts w:eastAsiaTheme="minorEastAsia"/>
          <w:b/>
          <w:bCs/>
          <w:rtl/>
        </w:rPr>
        <w:t xml:space="preserve"> </w:t>
      </w:r>
      <w:r w:rsidR="00BE0E31" w:rsidRPr="00FE01EF">
        <w:rPr>
          <w:rFonts w:eastAsiaTheme="minorEastAsia" w:cs="Times New Roman" w:hint="cs"/>
          <w:b/>
          <w:bCs/>
          <w:rtl/>
        </w:rPr>
        <w:t>‬</w:t>
      </w:r>
    </w:p>
    <w:p w14:paraId="363A1B93" w14:textId="5241E7E3" w:rsidR="00BE0E31" w:rsidRPr="00FE01EF" w:rsidRDefault="00736CEE" w:rsidP="00736CEE">
      <w:pPr>
        <w:pStyle w:val="SingleTxtGA"/>
        <w:rPr>
          <w:rFonts w:eastAsiaTheme="minorEastAsia"/>
          <w:b/>
          <w:bCs/>
          <w:lang w:val="ar-SA" w:eastAsia="zh-TW" w:bidi="en-GB"/>
        </w:rPr>
      </w:pPr>
      <w:r w:rsidRPr="00736CEE">
        <w:rPr>
          <w:rFonts w:eastAsiaTheme="minorEastAsia"/>
          <w:rtl/>
        </w:rPr>
        <w:tab/>
      </w:r>
      <w:r w:rsidRPr="00736CEE">
        <w:rPr>
          <w:rFonts w:eastAsiaTheme="minorEastAsia" w:hint="cs"/>
          <w:rtl/>
        </w:rPr>
        <w:t>(أ)</w:t>
      </w:r>
      <w:r w:rsidRPr="00FE01EF">
        <w:rPr>
          <w:rFonts w:eastAsiaTheme="minorEastAsia"/>
          <w:b/>
          <w:bCs/>
          <w:rtl/>
        </w:rPr>
        <w:tab/>
      </w:r>
      <w:r w:rsidR="00BE0E31" w:rsidRPr="00FE01EF">
        <w:rPr>
          <w:rFonts w:eastAsiaTheme="minorEastAsia"/>
          <w:b/>
          <w:bCs/>
          <w:rtl/>
        </w:rPr>
        <w:t xml:space="preserve">تنقيح قوانينها وممارساتها المتعلقة بالاحتجاز القسري القائم على أساس الإعاقة العقلية أو الذهنية، لضمان ألا يُطبق الاحتجاز، إن طُبق، إلا كملاذ أخير ولأقصر فترة زمنية مناسبة، </w:t>
      </w:r>
      <w:proofErr w:type="gramStart"/>
      <w:r w:rsidR="00BE0E31" w:rsidRPr="00FE01EF">
        <w:rPr>
          <w:rFonts w:eastAsiaTheme="minorEastAsia"/>
          <w:b/>
          <w:bCs/>
          <w:rtl/>
        </w:rPr>
        <w:t>وأن لا</w:t>
      </w:r>
      <w:proofErr w:type="gramEnd"/>
      <w:r w:rsidR="00BE0E31" w:rsidRPr="00FE01EF">
        <w:rPr>
          <w:rFonts w:eastAsiaTheme="minorEastAsia"/>
          <w:b/>
          <w:bCs/>
          <w:rtl/>
        </w:rPr>
        <w:t xml:space="preserve"> تكون الإعاقة في حد ذاتها مبرراً للحرمان من الحرية؛</w:t>
      </w:r>
    </w:p>
    <w:p w14:paraId="6E4099D6" w14:textId="2ADCC996" w:rsidR="00BE0E31" w:rsidRPr="00FE01EF" w:rsidRDefault="00CF09CB" w:rsidP="00CF09CB">
      <w:pPr>
        <w:pStyle w:val="SingleTxtGA"/>
        <w:rPr>
          <w:rFonts w:eastAsiaTheme="minorEastAsia"/>
          <w:b/>
          <w:bCs/>
          <w:lang w:val="ar-SA" w:eastAsia="zh-TW" w:bidi="en-GB"/>
        </w:rPr>
      </w:pPr>
      <w:r>
        <w:rPr>
          <w:rFonts w:eastAsiaTheme="minorEastAsia"/>
          <w:rtl/>
        </w:rPr>
        <w:tab/>
      </w:r>
      <w:r>
        <w:rPr>
          <w:rFonts w:eastAsiaTheme="minorEastAsia" w:hint="cs"/>
          <w:rtl/>
        </w:rPr>
        <w:t>(ب)</w:t>
      </w:r>
      <w:r>
        <w:rPr>
          <w:rFonts w:eastAsiaTheme="minorEastAsia"/>
          <w:rtl/>
        </w:rPr>
        <w:tab/>
      </w:r>
      <w:r w:rsidR="00BE0E31" w:rsidRPr="00FE01EF">
        <w:rPr>
          <w:rFonts w:eastAsiaTheme="minorEastAsia"/>
          <w:b/>
          <w:bCs/>
          <w:rtl/>
        </w:rPr>
        <w:t>تعزيز الرعاية النفسية الرامية إلى الحفاظ على كرامة المرضى، البالغين والقصر على السواء، وضمان الحظر العام للعلاج النفسي القسري، وعدم تطبيقه، إن طُبق، إلا في حالات استثنائية كتدبير أخير إذا اقتضت الضرورة القصوى ذلك لصالح الشخص المعني، شريطة ألا يكون قادر</w:t>
      </w:r>
      <w:r w:rsidRPr="00FE01EF">
        <w:rPr>
          <w:rFonts w:eastAsiaTheme="minorEastAsia"/>
          <w:b/>
          <w:bCs/>
          <w:rtl/>
        </w:rPr>
        <w:t xml:space="preserve">اً </w:t>
      </w:r>
      <w:r w:rsidR="00BE0E31" w:rsidRPr="00FE01EF">
        <w:rPr>
          <w:rFonts w:eastAsiaTheme="minorEastAsia"/>
          <w:b/>
          <w:bCs/>
          <w:rtl/>
        </w:rPr>
        <w:t>على إعطاء الموافقة، وأن يكون العلاج القسري لأقصر مدة ممكنة ودون أي تأثير طويل الأجل؛</w:t>
      </w:r>
    </w:p>
    <w:p w14:paraId="3F5A92DD" w14:textId="51ABDA0B" w:rsidR="00BE0E31" w:rsidRPr="00FE01EF" w:rsidRDefault="00BE0E31" w:rsidP="00CF09CB">
      <w:pPr>
        <w:pStyle w:val="SingleTxtGA"/>
        <w:rPr>
          <w:rFonts w:eastAsiaTheme="minorEastAsia"/>
          <w:b/>
          <w:bCs/>
          <w:lang w:val="ar-SA" w:eastAsia="zh-TW" w:bidi="en-GB"/>
        </w:rPr>
      </w:pPr>
      <w:r w:rsidRPr="00CF09CB">
        <w:rPr>
          <w:rFonts w:eastAsiaTheme="minorEastAsia"/>
          <w:rtl/>
        </w:rPr>
        <w:tab/>
        <w:t>(ج)</w:t>
      </w:r>
      <w:r w:rsidR="00736CEE">
        <w:rPr>
          <w:rFonts w:eastAsiaTheme="minorEastAsia"/>
          <w:rtl/>
        </w:rPr>
        <w:tab/>
      </w:r>
      <w:r w:rsidRPr="00FE01EF">
        <w:rPr>
          <w:rFonts w:eastAsiaTheme="minorEastAsia"/>
          <w:b/>
          <w:bCs/>
          <w:rtl/>
        </w:rPr>
        <w:t>حماية الأشخاص ذوي الإعاقة من التعرض لمزيد من الإيذاء أو إساءة المعاملة، بوسائل منها اعتماد نظام رصد شامل وفعال ومستقل في جميع مؤسسات الرعاية الداخلية ومستشفيات الأمراض النفسية؛</w:t>
      </w:r>
    </w:p>
    <w:p w14:paraId="10C10653" w14:textId="0645880C" w:rsidR="00BE0E31" w:rsidRPr="00FE01EF" w:rsidRDefault="00BE0E31" w:rsidP="00CF09CB">
      <w:pPr>
        <w:pStyle w:val="SingleTxtGA"/>
        <w:rPr>
          <w:rFonts w:eastAsiaTheme="minorEastAsia"/>
          <w:b/>
          <w:bCs/>
          <w:lang w:val="ar-SA" w:eastAsia="zh-TW" w:bidi="en-GB"/>
        </w:rPr>
      </w:pPr>
      <w:r w:rsidRPr="00CF09CB">
        <w:rPr>
          <w:rFonts w:eastAsiaTheme="minorEastAsia"/>
          <w:rtl/>
        </w:rPr>
        <w:tab/>
        <w:t>(د)</w:t>
      </w:r>
      <w:r w:rsidR="00736CEE">
        <w:rPr>
          <w:rFonts w:eastAsiaTheme="minorEastAsia"/>
          <w:rtl/>
        </w:rPr>
        <w:tab/>
      </w:r>
      <w:r w:rsidRPr="00FE01EF">
        <w:rPr>
          <w:rFonts w:eastAsiaTheme="minorEastAsia"/>
          <w:b/>
          <w:bCs/>
          <w:rtl/>
        </w:rPr>
        <w:t>إجراء تحقيقات فورية ونزيهة وشاملة في جميع ادعاءات الأشخاص ذوي الإعاقة المتعلقة بالإيذاء وإساءة المعاملة، ومحاسبة الجناة وتوفير سبل انتصاف فعالة للضحايا؛</w:t>
      </w:r>
    </w:p>
    <w:p w14:paraId="581C500E" w14:textId="4F6A9880" w:rsidR="00BE0E31" w:rsidRPr="00FE01EF" w:rsidRDefault="00BE0E31" w:rsidP="00CF09CB">
      <w:pPr>
        <w:pStyle w:val="SingleTxtGA"/>
        <w:rPr>
          <w:rFonts w:eastAsiaTheme="minorEastAsia"/>
          <w:b/>
          <w:bCs/>
          <w:lang w:val="ar-SA" w:eastAsia="zh-TW" w:bidi="en-GB"/>
        </w:rPr>
      </w:pPr>
      <w:r w:rsidRPr="00CF09CB">
        <w:rPr>
          <w:rFonts w:eastAsiaTheme="minorEastAsia"/>
          <w:rtl/>
        </w:rPr>
        <w:tab/>
        <w:t>(ه)</w:t>
      </w:r>
      <w:r w:rsidR="00736CEE">
        <w:rPr>
          <w:rFonts w:eastAsiaTheme="minorEastAsia"/>
          <w:rtl/>
        </w:rPr>
        <w:tab/>
      </w:r>
      <w:r w:rsidRPr="00FE01EF">
        <w:rPr>
          <w:rFonts w:eastAsiaTheme="minorEastAsia"/>
          <w:b/>
          <w:bCs/>
          <w:rtl/>
        </w:rPr>
        <w:t>ضمان تمكين النساء ذوات الإعاقة من التمتع بحقهن في الصحة الجنسية والإنجابية، بسبل منها إلغاء التشريعات التي تسمح بإنهاء الحمل دون موافقة.</w:t>
      </w:r>
    </w:p>
    <w:p w14:paraId="513801E0" w14:textId="77777777" w:rsidR="00BE0E31" w:rsidRPr="00FE01EF" w:rsidRDefault="00BE0E31" w:rsidP="00736CEE">
      <w:pPr>
        <w:pStyle w:val="H23GA"/>
        <w:rPr>
          <w:lang w:val="ar-SA" w:eastAsia="zh-TW" w:bidi="en-GB"/>
        </w:rPr>
      </w:pPr>
      <w:r w:rsidRPr="00FE01EF">
        <w:rPr>
          <w:rtl/>
        </w:rPr>
        <w:lastRenderedPageBreak/>
        <w:tab/>
      </w:r>
      <w:r w:rsidRPr="00FE01EF">
        <w:rPr>
          <w:rtl/>
        </w:rPr>
        <w:tab/>
        <w:t>موجز ردّ الدولة الطرف</w:t>
      </w:r>
    </w:p>
    <w:p w14:paraId="6CACD194" w14:textId="5AEB1B27" w:rsidR="00BE0E31" w:rsidRPr="00736CEE" w:rsidRDefault="00736CEE" w:rsidP="00736CEE">
      <w:pPr>
        <w:pStyle w:val="SingleTxtGA"/>
        <w:tabs>
          <w:tab w:val="clear" w:pos="2608"/>
          <w:tab w:val="left" w:pos="2835"/>
        </w:tabs>
        <w:rPr>
          <w:rFonts w:eastAsiaTheme="minorEastAsia"/>
        </w:rPr>
      </w:pPr>
      <w:r>
        <w:rPr>
          <w:rFonts w:eastAsiaTheme="minorEastAsia"/>
          <w:rtl/>
        </w:rPr>
        <w:tab/>
      </w:r>
      <w:r>
        <w:rPr>
          <w:rFonts w:eastAsiaTheme="minorEastAsia" w:hint="cs"/>
          <w:rtl/>
        </w:rPr>
        <w:t xml:space="preserve">(أ) </w:t>
      </w:r>
      <w:r w:rsidR="00BE0E31" w:rsidRPr="00CF09CB">
        <w:rPr>
          <w:rFonts w:eastAsiaTheme="minorEastAsia"/>
          <w:rtl/>
        </w:rPr>
        <w:t>و(ب)</w:t>
      </w:r>
      <w:r w:rsidR="00BE0E31" w:rsidRPr="00CF09CB">
        <w:rPr>
          <w:rFonts w:eastAsiaTheme="minorEastAsia"/>
          <w:rtl/>
        </w:rPr>
        <w:tab/>
        <w:t xml:space="preserve">في عام </w:t>
      </w:r>
      <w:r w:rsidR="00BE0E31" w:rsidRPr="00FE01EF">
        <w:rPr>
          <w:rFonts w:eastAsiaTheme="minorEastAsia"/>
          <w:rtl/>
        </w:rPr>
        <w:t>2017</w:t>
      </w:r>
      <w:r w:rsidR="00BE0E31" w:rsidRPr="00CF09CB">
        <w:rPr>
          <w:rFonts w:eastAsiaTheme="minorEastAsia"/>
          <w:rtl/>
        </w:rPr>
        <w:t xml:space="preserve">، تم تعديل نحو </w:t>
      </w:r>
      <w:r w:rsidR="00BE0E31" w:rsidRPr="00FE01EF">
        <w:rPr>
          <w:rFonts w:eastAsiaTheme="minorEastAsia"/>
          <w:rtl/>
        </w:rPr>
        <w:t>16</w:t>
      </w:r>
      <w:r w:rsidR="00BE0E31" w:rsidRPr="00CF09CB">
        <w:rPr>
          <w:rFonts w:eastAsiaTheme="minorEastAsia"/>
          <w:rtl/>
        </w:rPr>
        <w:t xml:space="preserve"> قانون</w:t>
      </w:r>
      <w:r w:rsidR="00CF09CB">
        <w:rPr>
          <w:rFonts w:eastAsiaTheme="minorEastAsia"/>
          <w:rtl/>
        </w:rPr>
        <w:t xml:space="preserve">اً </w:t>
      </w:r>
      <w:r w:rsidR="00BE0E31" w:rsidRPr="00CF09CB">
        <w:rPr>
          <w:rFonts w:eastAsiaTheme="minorEastAsia"/>
          <w:rtl/>
        </w:rPr>
        <w:t xml:space="preserve">بهدف إصلاح الوضع القانوني للبالغين والقصر ذوي الإعاقة وتنظيم تدابير لحمايتهم، بما في ذلك القانون رقم </w:t>
      </w:r>
      <w:r w:rsidR="00BE0E31" w:rsidRPr="00FE01EF">
        <w:rPr>
          <w:rFonts w:eastAsiaTheme="minorEastAsia"/>
          <w:rtl/>
        </w:rPr>
        <w:t>1402</w:t>
      </w:r>
      <w:r w:rsidR="00BE0E31" w:rsidRPr="00CF09CB">
        <w:rPr>
          <w:rFonts w:eastAsiaTheme="minorEastAsia"/>
          <w:rtl/>
        </w:rPr>
        <w:t xml:space="preserve"> بشأن الصحة العقلية، الذي تم تعديله لتقييد الحالات التي يمكن فيها إدخال المرضى المستشفى لتلقي العلاج النفسي الداخلي دون موافقتهم الحرة. وعلاوة على ذلك، أنشئ في عام </w:t>
      </w:r>
      <w:r w:rsidR="00BE0E31" w:rsidRPr="00FE01EF">
        <w:rPr>
          <w:rFonts w:eastAsiaTheme="minorEastAsia"/>
          <w:rtl/>
        </w:rPr>
        <w:t>2017</w:t>
      </w:r>
      <w:r w:rsidR="00BE0E31" w:rsidRPr="00CF09CB">
        <w:rPr>
          <w:rFonts w:eastAsiaTheme="minorEastAsia"/>
          <w:rtl/>
        </w:rPr>
        <w:t xml:space="preserve"> فريق عامل كُلف باقتراح تعديلات لقانون الإجراءات الجنائية في الحالات التي تكون فيها حالة الصحة العقلية للمتهم موضع شك، وتحديد إجراءات الإيداع القسري في مؤسسات الطب النفسي. ويقضي مشروع التعديلات بعدم جواز تطبيق الإيداع القسري إلا إذا كانت صحة الشخص معرضة لخطر اجتماعي مباشر أو لضرر جسيم إذا لم يحصل على مساعدة نفسية؛ وبالتوصل إلى نتيجة طبية أو جنائية (بشأن حالة الصحة العقلية) في موعد لا يتجاوز </w:t>
      </w:r>
      <w:r w:rsidR="00BE0E31" w:rsidRPr="00FE01EF">
        <w:rPr>
          <w:rFonts w:eastAsiaTheme="minorEastAsia"/>
          <w:rtl/>
        </w:rPr>
        <w:t>12</w:t>
      </w:r>
      <w:r w:rsidR="00BE0E31" w:rsidRPr="00CF09CB">
        <w:rPr>
          <w:rFonts w:eastAsiaTheme="minorEastAsia"/>
          <w:rtl/>
        </w:rPr>
        <w:t xml:space="preserve"> ساعة من لحظة الاحتجاز؛ وبعدم جواز أن تزيد الفترة الإجمالية للاحتجاز القسري على </w:t>
      </w:r>
      <w:r w:rsidR="00BE0E31" w:rsidRPr="00FE01EF">
        <w:rPr>
          <w:rFonts w:eastAsiaTheme="minorEastAsia"/>
          <w:rtl/>
        </w:rPr>
        <w:t>12</w:t>
      </w:r>
      <w:r w:rsidR="00BE0E31" w:rsidRPr="00CF09CB">
        <w:rPr>
          <w:rFonts w:eastAsiaTheme="minorEastAsia"/>
          <w:rtl/>
        </w:rPr>
        <w:t xml:space="preserve"> شهر</w:t>
      </w:r>
      <w:r w:rsidR="00CF09CB">
        <w:rPr>
          <w:rFonts w:eastAsiaTheme="minorEastAsia"/>
          <w:rtl/>
        </w:rPr>
        <w:t xml:space="preserve">اً، </w:t>
      </w:r>
      <w:r w:rsidR="00BE0E31" w:rsidRPr="00CF09CB">
        <w:rPr>
          <w:rFonts w:eastAsiaTheme="minorEastAsia"/>
          <w:rtl/>
        </w:rPr>
        <w:t xml:space="preserve">بموجب أوامر تجديد لمدة لا تزيد على </w:t>
      </w:r>
      <w:r w:rsidR="00BE0E31" w:rsidRPr="00FE01EF">
        <w:rPr>
          <w:rFonts w:eastAsiaTheme="minorEastAsia"/>
          <w:rtl/>
        </w:rPr>
        <w:t>30</w:t>
      </w:r>
      <w:r w:rsidR="00BE0E31" w:rsidRPr="00CF09CB">
        <w:rPr>
          <w:rFonts w:eastAsiaTheme="minorEastAsia"/>
          <w:rtl/>
        </w:rPr>
        <w:t xml:space="preserve"> يوم</w:t>
      </w:r>
      <w:r w:rsidR="00CF09CB">
        <w:rPr>
          <w:rFonts w:eastAsiaTheme="minorEastAsia"/>
          <w:rtl/>
        </w:rPr>
        <w:t xml:space="preserve">اً </w:t>
      </w:r>
      <w:r w:rsidR="00BE0E31" w:rsidRPr="00CF09CB">
        <w:rPr>
          <w:rFonts w:eastAsiaTheme="minorEastAsia"/>
          <w:rtl/>
        </w:rPr>
        <w:t>في كل مرة.</w:t>
      </w:r>
    </w:p>
    <w:p w14:paraId="3CF1077D" w14:textId="7A2911FA" w:rsidR="00BE0E31" w:rsidRPr="00CF09CB" w:rsidRDefault="00736CEE" w:rsidP="00CF09CB">
      <w:pPr>
        <w:pStyle w:val="SingleTxtGA"/>
        <w:rPr>
          <w:rFonts w:eastAsiaTheme="minorEastAsia"/>
          <w:lang w:val="ar-SA" w:eastAsia="zh-TW" w:bidi="en-GB"/>
        </w:rPr>
      </w:pPr>
      <w:r>
        <w:rPr>
          <w:rFonts w:eastAsiaTheme="minorEastAsia"/>
          <w:rtl/>
        </w:rPr>
        <w:tab/>
      </w:r>
      <w:r w:rsidR="00BE0E31" w:rsidRPr="00CF09CB">
        <w:rPr>
          <w:rFonts w:eastAsiaTheme="minorEastAsia"/>
          <w:rtl/>
        </w:rPr>
        <w:t>(ج)</w:t>
      </w:r>
      <w:r>
        <w:rPr>
          <w:rFonts w:eastAsiaTheme="minorEastAsia"/>
          <w:rtl/>
        </w:rPr>
        <w:tab/>
      </w:r>
      <w:r w:rsidR="00BE0E31" w:rsidRPr="00CF09CB">
        <w:rPr>
          <w:rFonts w:eastAsiaTheme="minorEastAsia"/>
          <w:rtl/>
        </w:rPr>
        <w:t>لأغراض منع حالات العنف وإساءة المعاملة، تم منذ عدة سنوات تركيب كاميرات مراقبة بالفيديو في معظم مؤسسات الرعاية الاجتماعية.</w:t>
      </w:r>
    </w:p>
    <w:p w14:paraId="05B90F78" w14:textId="1A6585B0" w:rsidR="00BE0E31" w:rsidRPr="00B40AF0" w:rsidRDefault="00BE0E31" w:rsidP="00CF09CB">
      <w:pPr>
        <w:pStyle w:val="SingleTxtGA"/>
        <w:rPr>
          <w:rFonts w:eastAsiaTheme="minorEastAsia"/>
          <w:spacing w:val="-2"/>
          <w:lang w:val="ar-SA" w:eastAsia="zh-TW" w:bidi="en-GB"/>
        </w:rPr>
      </w:pPr>
      <w:r w:rsidRPr="00B40AF0">
        <w:rPr>
          <w:rFonts w:eastAsiaTheme="minorEastAsia"/>
          <w:spacing w:val="-2"/>
          <w:rtl/>
        </w:rPr>
        <w:tab/>
        <w:t>(د)</w:t>
      </w:r>
      <w:r w:rsidR="00736CEE" w:rsidRPr="00B40AF0">
        <w:rPr>
          <w:rFonts w:eastAsiaTheme="minorEastAsia"/>
          <w:spacing w:val="-2"/>
          <w:rtl/>
        </w:rPr>
        <w:tab/>
      </w:r>
      <w:r w:rsidRPr="00B40AF0">
        <w:rPr>
          <w:rFonts w:eastAsiaTheme="minorEastAsia"/>
          <w:spacing w:val="-2"/>
          <w:rtl/>
        </w:rPr>
        <w:t>في تشرين الثاني/نوفمبر 2016، تمت الموافقة على لائحة إطارية بشأن تنظيم وتشغيل المؤسسات النفسية العصبية المخصصة للبالغين ذوي الإعاقات العقلية. وعمل</w:t>
      </w:r>
      <w:r w:rsidR="00CF09CB" w:rsidRPr="00B40AF0">
        <w:rPr>
          <w:rFonts w:eastAsiaTheme="minorEastAsia"/>
          <w:spacing w:val="-2"/>
          <w:rtl/>
        </w:rPr>
        <w:t xml:space="preserve">اً </w:t>
      </w:r>
      <w:r w:rsidRPr="00B40AF0">
        <w:rPr>
          <w:rFonts w:eastAsiaTheme="minorEastAsia"/>
          <w:spacing w:val="-2"/>
          <w:rtl/>
        </w:rPr>
        <w:t>بهذه اللائحة، يتعين على جميع هذه المؤسسات توفير الحماية للنزلاء من العنف والإهمال والاستغلال، وأن يكون لديها نظام فعال لتلقي الشكاوى وتسجيلها وحلها. ولهذا الغرض، وُضع في جميع مؤسسات الرعاية الداخلية صناديق بريد وصناديق خاصة لتقديم الشكاوى. ويُتاح أيضاً للعديد من المستفيدين من مؤسسات الرعاية</w:t>
      </w:r>
      <w:r w:rsidR="00736CEE" w:rsidRPr="00B40AF0">
        <w:rPr>
          <w:rFonts w:eastAsiaTheme="minorEastAsia" w:hint="cs"/>
          <w:spacing w:val="-2"/>
          <w:rtl/>
        </w:rPr>
        <w:t> </w:t>
      </w:r>
      <w:r w:rsidRPr="00B40AF0">
        <w:rPr>
          <w:rFonts w:eastAsiaTheme="minorEastAsia"/>
          <w:spacing w:val="-2"/>
          <w:rtl/>
        </w:rPr>
        <w:t>الاجتماعية المخصصة للبالغين إمكانية الوصول إلى الهواتف المحمولة التي تسمح لهم بالإبلاغ عن أي</w:t>
      </w:r>
      <w:r w:rsidR="00736CEE" w:rsidRPr="00B40AF0">
        <w:rPr>
          <w:rFonts w:eastAsiaTheme="minorEastAsia" w:hint="cs"/>
          <w:spacing w:val="-2"/>
          <w:rtl/>
        </w:rPr>
        <w:t> </w:t>
      </w:r>
      <w:r w:rsidRPr="00B40AF0">
        <w:rPr>
          <w:rFonts w:eastAsiaTheme="minorEastAsia"/>
          <w:spacing w:val="-2"/>
          <w:rtl/>
        </w:rPr>
        <w:t>شكاوى.</w:t>
      </w:r>
    </w:p>
    <w:p w14:paraId="279325E5" w14:textId="34E66E36" w:rsidR="00BE0E31" w:rsidRPr="00CF09CB" w:rsidRDefault="00BE0E31" w:rsidP="00CF09CB">
      <w:pPr>
        <w:pStyle w:val="SingleTxtGA"/>
        <w:rPr>
          <w:rFonts w:eastAsiaTheme="minorEastAsia"/>
          <w:lang w:val="ar-SA" w:eastAsia="zh-TW" w:bidi="en-GB"/>
        </w:rPr>
      </w:pPr>
      <w:r w:rsidRPr="00CF09CB">
        <w:rPr>
          <w:rFonts w:eastAsiaTheme="minorEastAsia"/>
          <w:rtl/>
        </w:rPr>
        <w:tab/>
        <w:t>(ه)</w:t>
      </w:r>
      <w:r w:rsidR="00736CEE">
        <w:rPr>
          <w:rFonts w:eastAsiaTheme="minorEastAsia"/>
          <w:rtl/>
        </w:rPr>
        <w:tab/>
      </w:r>
      <w:r w:rsidRPr="00CF09CB">
        <w:rPr>
          <w:rFonts w:eastAsiaTheme="minorEastAsia"/>
          <w:rtl/>
        </w:rPr>
        <w:t xml:space="preserve">تمت في عام </w:t>
      </w:r>
      <w:r w:rsidRPr="00FE01EF">
        <w:rPr>
          <w:rFonts w:eastAsiaTheme="minorEastAsia"/>
          <w:rtl/>
        </w:rPr>
        <w:t>2018</w:t>
      </w:r>
      <w:r w:rsidRPr="00CF09CB">
        <w:rPr>
          <w:rFonts w:eastAsiaTheme="minorEastAsia"/>
          <w:rtl/>
        </w:rPr>
        <w:t xml:space="preserve"> الموافقة على البرنامج الوطني للصحة والحقوق الجنسية والإنجابية للسنوات </w:t>
      </w:r>
      <w:r w:rsidRPr="00FE01EF">
        <w:rPr>
          <w:rFonts w:eastAsiaTheme="minorEastAsia"/>
          <w:rtl/>
        </w:rPr>
        <w:t>2018</w:t>
      </w:r>
      <w:r w:rsidRPr="00CF09CB">
        <w:rPr>
          <w:rFonts w:eastAsiaTheme="minorEastAsia"/>
          <w:rtl/>
        </w:rPr>
        <w:t>-</w:t>
      </w:r>
      <w:r w:rsidRPr="00FE01EF">
        <w:rPr>
          <w:rFonts w:eastAsiaTheme="minorEastAsia"/>
          <w:rtl/>
        </w:rPr>
        <w:t>2022</w:t>
      </w:r>
      <w:r w:rsidRPr="00CF09CB">
        <w:rPr>
          <w:rFonts w:eastAsiaTheme="minorEastAsia"/>
          <w:rtl/>
        </w:rPr>
        <w:t>. وعلاوة على ذلك، يجري حالي</w:t>
      </w:r>
      <w:r w:rsidR="00CF09CB">
        <w:rPr>
          <w:rFonts w:eastAsiaTheme="minorEastAsia"/>
          <w:rtl/>
        </w:rPr>
        <w:t xml:space="preserve">اً </w:t>
      </w:r>
      <w:r w:rsidRPr="00CF09CB">
        <w:rPr>
          <w:rFonts w:eastAsiaTheme="minorEastAsia"/>
          <w:rtl/>
        </w:rPr>
        <w:t>وضع قانون للصحة يتضمن فصل</w:t>
      </w:r>
      <w:r w:rsidR="00CF09CB">
        <w:rPr>
          <w:rFonts w:eastAsiaTheme="minorEastAsia"/>
          <w:rtl/>
        </w:rPr>
        <w:t xml:space="preserve">اً </w:t>
      </w:r>
      <w:r w:rsidRPr="00CF09CB">
        <w:rPr>
          <w:rFonts w:eastAsiaTheme="minorEastAsia"/>
          <w:rtl/>
        </w:rPr>
        <w:t xml:space="preserve">عن الصحة العقلية. وفي عام </w:t>
      </w:r>
      <w:r w:rsidRPr="00FE01EF">
        <w:rPr>
          <w:rFonts w:eastAsiaTheme="minorEastAsia"/>
          <w:rtl/>
        </w:rPr>
        <w:t>2017</w:t>
      </w:r>
      <w:r w:rsidRPr="00CF09CB">
        <w:rPr>
          <w:rFonts w:eastAsiaTheme="minorEastAsia"/>
          <w:rtl/>
        </w:rPr>
        <w:t xml:space="preserve">، تم تجهيز حوالي </w:t>
      </w:r>
      <w:r w:rsidRPr="00FE01EF">
        <w:rPr>
          <w:rFonts w:eastAsiaTheme="minorEastAsia"/>
          <w:rtl/>
        </w:rPr>
        <w:t>30</w:t>
      </w:r>
      <w:r w:rsidRPr="00CF09CB">
        <w:rPr>
          <w:rFonts w:eastAsiaTheme="minorEastAsia"/>
          <w:rtl/>
        </w:rPr>
        <w:t xml:space="preserve"> مركز</w:t>
      </w:r>
      <w:r w:rsidR="00CF09CB">
        <w:rPr>
          <w:rFonts w:eastAsiaTheme="minorEastAsia"/>
          <w:rtl/>
        </w:rPr>
        <w:t xml:space="preserve">اً </w:t>
      </w:r>
      <w:r w:rsidRPr="00CF09CB">
        <w:rPr>
          <w:rFonts w:eastAsiaTheme="minorEastAsia"/>
          <w:rtl/>
        </w:rPr>
        <w:t>صحي</w:t>
      </w:r>
      <w:r w:rsidR="00CF09CB">
        <w:rPr>
          <w:rFonts w:eastAsiaTheme="minorEastAsia"/>
          <w:rtl/>
        </w:rPr>
        <w:t xml:space="preserve">اً </w:t>
      </w:r>
      <w:r w:rsidRPr="00CF09CB">
        <w:rPr>
          <w:rFonts w:eastAsiaTheme="minorEastAsia"/>
          <w:rtl/>
        </w:rPr>
        <w:t>ملائم</w:t>
      </w:r>
      <w:r w:rsidR="00CF09CB">
        <w:rPr>
          <w:rFonts w:eastAsiaTheme="minorEastAsia"/>
          <w:rtl/>
        </w:rPr>
        <w:t xml:space="preserve">اً </w:t>
      </w:r>
      <w:r w:rsidRPr="00CF09CB">
        <w:rPr>
          <w:rFonts w:eastAsiaTheme="minorEastAsia"/>
          <w:rtl/>
        </w:rPr>
        <w:t xml:space="preserve">للشباب بأجهزة لأمراض النساء تلائم الفتيات والنساء ذوات الإعاقات الحركية لضمان حصولهن على خدمات الصحة الجنسية والإنجابية. وفي الفترة </w:t>
      </w:r>
      <w:r w:rsidRPr="00FE01EF">
        <w:rPr>
          <w:rFonts w:eastAsiaTheme="minorEastAsia"/>
          <w:rtl/>
        </w:rPr>
        <w:t>2016</w:t>
      </w:r>
      <w:r w:rsidR="00EC2D3A">
        <w:rPr>
          <w:rFonts w:eastAsiaTheme="minorEastAsia" w:hint="cs"/>
          <w:rtl/>
        </w:rPr>
        <w:t>-</w:t>
      </w:r>
      <w:r w:rsidRPr="00FE01EF">
        <w:rPr>
          <w:rFonts w:eastAsiaTheme="minorEastAsia"/>
          <w:rtl/>
        </w:rPr>
        <w:t>2017</w:t>
      </w:r>
      <w:r w:rsidRPr="00CF09CB">
        <w:rPr>
          <w:rFonts w:eastAsiaTheme="minorEastAsia"/>
          <w:rtl/>
        </w:rPr>
        <w:t>، نُفذ مشروع "المساواة للجميع والصحة للجميع"، الذي يهدف إلى</w:t>
      </w:r>
      <w:r w:rsidR="00EC2D3A">
        <w:rPr>
          <w:rFonts w:eastAsiaTheme="minorEastAsia" w:hint="cs"/>
          <w:rtl/>
        </w:rPr>
        <w:t> </w:t>
      </w:r>
      <w:r w:rsidRPr="00CF09CB">
        <w:rPr>
          <w:rFonts w:eastAsiaTheme="minorEastAsia"/>
          <w:rtl/>
        </w:rPr>
        <w:t>تمكين النساء والفتيات ذوات الإعاقة في جمهورية مولدوفا من ممارسة حقوقهن الجنسية وحقوقهن الإنجابية الأسرية، بهدف زيادة وعي النساء والفتيات ذوات الإعاقة بهذه الحقوق وتمكينهن من ممارستها واتخاذ قرارات مستنيرة بشأن حياتهن الجنسية.</w:t>
      </w:r>
    </w:p>
    <w:p w14:paraId="5321779D" w14:textId="77777777" w:rsidR="00BE0E31" w:rsidRPr="00FE01EF" w:rsidRDefault="00BE0E31" w:rsidP="00736CEE">
      <w:pPr>
        <w:pStyle w:val="H23GA"/>
        <w:rPr>
          <w:lang w:val="ar-SA" w:eastAsia="zh-TW" w:bidi="en-GB"/>
        </w:rPr>
      </w:pPr>
      <w:r w:rsidRPr="00FE01EF">
        <w:rPr>
          <w:rtl/>
        </w:rPr>
        <w:tab/>
      </w:r>
      <w:r w:rsidRPr="00FE01EF">
        <w:rPr>
          <w:rtl/>
        </w:rPr>
        <w:tab/>
        <w:t>تقييم اللجنة:</w:t>
      </w:r>
    </w:p>
    <w:p w14:paraId="45F6AF6E" w14:textId="5D0FF91C" w:rsidR="00BE0E31" w:rsidRPr="00CF09CB" w:rsidRDefault="00BE0E31" w:rsidP="00CF09CB">
      <w:pPr>
        <w:pStyle w:val="SingleTxtGA"/>
        <w:rPr>
          <w:rFonts w:eastAsiaTheme="minorEastAsia"/>
          <w:lang w:val="ar-SA" w:eastAsia="zh-TW" w:bidi="en-GB"/>
        </w:rPr>
      </w:pPr>
      <w:r w:rsidRPr="00FE01EF">
        <w:rPr>
          <w:rFonts w:eastAsiaTheme="minorEastAsia"/>
          <w:b/>
          <w:bCs/>
          <w:rtl/>
        </w:rPr>
        <w:t>[باء]</w:t>
      </w:r>
      <w:r w:rsidRPr="00CF09CB">
        <w:rPr>
          <w:rFonts w:eastAsiaTheme="minorEastAsia"/>
          <w:rtl/>
        </w:rPr>
        <w:t xml:space="preserve"> (أ): ترحب اللجنة بالتغييرات التي أدخلت على الإطار القانوني المتعلق بالاحتجاز القسري القائم على أساس الإعاقة العقلية أو الذهنية. ومع ذلك، تطلب اللجنة مزيد</w:t>
      </w:r>
      <w:r w:rsidR="00CF09CB">
        <w:rPr>
          <w:rFonts w:eastAsiaTheme="minorEastAsia"/>
          <w:rtl/>
        </w:rPr>
        <w:t xml:space="preserve">اً </w:t>
      </w:r>
      <w:r w:rsidRPr="00CF09CB">
        <w:rPr>
          <w:rFonts w:eastAsiaTheme="minorEastAsia"/>
          <w:rtl/>
        </w:rPr>
        <w:t>من المعلومات عن التفاصيل المحددة لمشروع تعديلات قانون الإجراءات الجنائية، بما في ذلك الأحكام التي تحدد الخطر الاجتماعي المباشر أو الضرر الجسيم على صحة الأشخاص ذوي الإعاقات العقلية أو الذهنية، كأسس لاحتجازهم القسري، وما إذا كانت هذه الأحكام تسمح بالاحتجاز القسري كتدبير أخير فقط. وتطلب اللجنة أيض</w:t>
      </w:r>
      <w:r w:rsidR="00CF09CB">
        <w:rPr>
          <w:rFonts w:eastAsiaTheme="minorEastAsia"/>
          <w:rtl/>
        </w:rPr>
        <w:t xml:space="preserve">اً </w:t>
      </w:r>
      <w:r w:rsidRPr="00CF09CB">
        <w:rPr>
          <w:rFonts w:eastAsiaTheme="minorEastAsia"/>
          <w:rtl/>
        </w:rPr>
        <w:t xml:space="preserve">معلومات عن الكيفية التي تكفل بها الدولة الطرف أن يكون الاحتجاز القسري القائم على أساس الإعاقة العقلية أو الذهنية لأقصر فترة ممكنة، بالنظر إلى أن مشاريع التعديلات تسمح باستمرار الاحتجاز القسري لمدة تصل إلى </w:t>
      </w:r>
      <w:r w:rsidRPr="00FE01EF">
        <w:rPr>
          <w:rFonts w:eastAsiaTheme="minorEastAsia"/>
          <w:rtl/>
        </w:rPr>
        <w:t>12</w:t>
      </w:r>
      <w:r w:rsidRPr="00CF09CB">
        <w:rPr>
          <w:rFonts w:eastAsiaTheme="minorEastAsia"/>
          <w:rtl/>
        </w:rPr>
        <w:t xml:space="preserve"> شهرا</w:t>
      </w:r>
      <w:r w:rsidR="00EC2D3A">
        <w:rPr>
          <w:rFonts w:eastAsiaTheme="minorEastAsia" w:hint="cs"/>
          <w:rtl/>
        </w:rPr>
        <w:t>ً</w:t>
      </w:r>
      <w:r w:rsidRPr="00CF09CB">
        <w:rPr>
          <w:rFonts w:eastAsiaTheme="minorEastAsia"/>
          <w:rtl/>
        </w:rPr>
        <w:t>.</w:t>
      </w:r>
    </w:p>
    <w:p w14:paraId="23B4F04B" w14:textId="48D49637" w:rsidR="00BE0E31" w:rsidRPr="00CF09CB" w:rsidRDefault="00BE0E31" w:rsidP="00B40AF0">
      <w:pPr>
        <w:pStyle w:val="SingleTxtGA"/>
        <w:spacing w:line="350" w:lineRule="exact"/>
        <w:rPr>
          <w:rFonts w:eastAsiaTheme="minorEastAsia"/>
          <w:lang w:val="ar-SA" w:eastAsia="zh-TW" w:bidi="en-GB"/>
        </w:rPr>
      </w:pPr>
      <w:r w:rsidRPr="00FE01EF">
        <w:rPr>
          <w:rFonts w:eastAsiaTheme="minorEastAsia"/>
          <w:b/>
          <w:bCs/>
          <w:rtl/>
        </w:rPr>
        <w:lastRenderedPageBreak/>
        <w:t>[باء]</w:t>
      </w:r>
      <w:r w:rsidRPr="00CF09CB">
        <w:rPr>
          <w:rFonts w:eastAsiaTheme="minorEastAsia"/>
          <w:rtl/>
        </w:rPr>
        <w:t xml:space="preserve"> (ب): ترحب اللجنة بتشكيل فريق عامل يُعهد إليه باقتراح تعديلات لقانون الإجراءات الجنائية وإجراء </w:t>
      </w:r>
      <w:proofErr w:type="spellStart"/>
      <w:r w:rsidRPr="00CF09CB">
        <w:rPr>
          <w:rFonts w:eastAsiaTheme="minorEastAsia"/>
          <w:rtl/>
        </w:rPr>
        <w:t>تنقيحات</w:t>
      </w:r>
      <w:proofErr w:type="spellEnd"/>
      <w:r w:rsidRPr="00CF09CB">
        <w:rPr>
          <w:rFonts w:eastAsiaTheme="minorEastAsia"/>
          <w:rtl/>
        </w:rPr>
        <w:t xml:space="preserve"> قانونية، على النحو الوارد أعلاه. ومع ذلك، تطلب اللجنة مزيد</w:t>
      </w:r>
      <w:r w:rsidR="00CF09CB">
        <w:rPr>
          <w:rFonts w:eastAsiaTheme="minorEastAsia"/>
          <w:rtl/>
        </w:rPr>
        <w:t xml:space="preserve">اً </w:t>
      </w:r>
      <w:r w:rsidRPr="00CF09CB">
        <w:rPr>
          <w:rFonts w:eastAsiaTheme="minorEastAsia"/>
          <w:rtl/>
        </w:rPr>
        <w:t>من المعلومات عن مستوى فعالية تنفيذ الأحكام القانونية ذات الصلة، وعن أي خطوات أوسع نطاق</w:t>
      </w:r>
      <w:r w:rsidR="00CF09CB">
        <w:rPr>
          <w:rFonts w:eastAsiaTheme="minorEastAsia"/>
          <w:rtl/>
        </w:rPr>
        <w:t xml:space="preserve">اً </w:t>
      </w:r>
      <w:r w:rsidRPr="00CF09CB">
        <w:rPr>
          <w:rFonts w:eastAsiaTheme="minorEastAsia"/>
          <w:rtl/>
        </w:rPr>
        <w:t>يجري اتخاذها لتعزيز الرعاية النفسية القائمة على الكرامة الإنسانية. وتطلب اللجنة أيض</w:t>
      </w:r>
      <w:r w:rsidR="00CF09CB">
        <w:rPr>
          <w:rFonts w:eastAsiaTheme="minorEastAsia"/>
          <w:rtl/>
        </w:rPr>
        <w:t xml:space="preserve">اً </w:t>
      </w:r>
      <w:r w:rsidRPr="00CF09CB">
        <w:rPr>
          <w:rFonts w:eastAsiaTheme="minorEastAsia"/>
          <w:rtl/>
        </w:rPr>
        <w:t>معلومات عن الكيفية التي تكفل بها الدولة الطرف عدم وجود آثار طويلة الأجل للاحتجاز القسري القائم على أساس الإعاقة العقلية أو</w:t>
      </w:r>
      <w:r w:rsidR="00736CEE">
        <w:rPr>
          <w:rFonts w:eastAsiaTheme="minorEastAsia" w:hint="cs"/>
          <w:rtl/>
        </w:rPr>
        <w:t> </w:t>
      </w:r>
      <w:r w:rsidRPr="00CF09CB">
        <w:rPr>
          <w:rFonts w:eastAsiaTheme="minorEastAsia"/>
          <w:rtl/>
        </w:rPr>
        <w:t>الذهنية.</w:t>
      </w:r>
    </w:p>
    <w:p w14:paraId="6F734536" w14:textId="1E939D2A" w:rsidR="00BE0E31" w:rsidRPr="00B40AF0" w:rsidRDefault="00BE0E31" w:rsidP="00B40AF0">
      <w:pPr>
        <w:pStyle w:val="SingleTxtGA"/>
        <w:spacing w:line="350" w:lineRule="exact"/>
        <w:rPr>
          <w:rFonts w:eastAsiaTheme="minorEastAsia"/>
          <w:spacing w:val="-4"/>
          <w:lang w:val="en-US" w:eastAsia="zh-TW" w:bidi="en-GB"/>
        </w:rPr>
      </w:pPr>
      <w:r w:rsidRPr="00B40AF0">
        <w:rPr>
          <w:rFonts w:eastAsiaTheme="minorEastAsia"/>
          <w:b/>
          <w:bCs/>
          <w:spacing w:val="-4"/>
          <w:rtl/>
        </w:rPr>
        <w:t>[جيم]</w:t>
      </w:r>
      <w:r w:rsidRPr="00B40AF0">
        <w:rPr>
          <w:rFonts w:eastAsiaTheme="minorEastAsia"/>
          <w:spacing w:val="-4"/>
          <w:rtl/>
        </w:rPr>
        <w:t xml:space="preserve"> (ج): تعرب اللجنة عن أسفها لعدم وجود معلومات عن نظام رصد مستقل لمؤسسات الرعاية الداخلية ومستشفيات الأمراض النفسية، وتكرر توصيتها في هذا الصدد. ورغم ملاحظة اللجنة وجود نظام للمراقبة بالفيديو، فإنها تطلب معلومات عن التدابير الإضافية المتخذة لوضع نظام رصد أكثر شمول</w:t>
      </w:r>
      <w:r w:rsidR="00CF09CB" w:rsidRPr="00B40AF0">
        <w:rPr>
          <w:rFonts w:eastAsiaTheme="minorEastAsia"/>
          <w:spacing w:val="-4"/>
          <w:rtl/>
        </w:rPr>
        <w:t xml:space="preserve">اً </w:t>
      </w:r>
      <w:r w:rsidRPr="00B40AF0">
        <w:rPr>
          <w:rFonts w:eastAsiaTheme="minorEastAsia"/>
          <w:spacing w:val="-4"/>
          <w:rtl/>
        </w:rPr>
        <w:t>واستقلالية.</w:t>
      </w:r>
    </w:p>
    <w:p w14:paraId="34330BE6" w14:textId="20011E4A" w:rsidR="00BE0E31" w:rsidRPr="00CF09CB" w:rsidRDefault="00BE0E31" w:rsidP="00B40AF0">
      <w:pPr>
        <w:pStyle w:val="SingleTxtGA"/>
        <w:spacing w:line="350" w:lineRule="exact"/>
        <w:rPr>
          <w:rFonts w:eastAsiaTheme="minorEastAsia"/>
          <w:lang w:val="en-US" w:eastAsia="zh-TW" w:bidi="en-GB"/>
        </w:rPr>
      </w:pPr>
      <w:r w:rsidRPr="00FE01EF">
        <w:rPr>
          <w:rFonts w:eastAsiaTheme="minorEastAsia"/>
          <w:b/>
          <w:bCs/>
          <w:rtl/>
        </w:rPr>
        <w:t xml:space="preserve">[جيم] </w:t>
      </w:r>
      <w:r w:rsidRPr="00CF09CB">
        <w:rPr>
          <w:rFonts w:eastAsiaTheme="minorEastAsia"/>
          <w:rtl/>
        </w:rPr>
        <w:t>(د): رغم ملاحظة اللجنة الجهود المبذولة لتركيب وسائل تمكِّن الأفراد في مؤسسات الرعاية الداخلية ومستشفيات الأمراض النفسية من تقديم شكاوى، تعرب اللجنة عن أسفها لعدم وجود معلومات عن التحقيقات التي أجريت بشأن ادعاءات تعرض الأشخاص ذوي الإعاقة للإيذاء وإساءة المعاملة. وتكرر اللجنة توصياتها وتطلب معلومات عن جميع الادعاءات المتعلقة بتعرض الأشخاص ذوي الإعاقة للإيذاء وإساءة المعاملة في الفترة المشمولة بالتقرير، بما في ذلك عدد الشكاوى والتحقيقات والملاحقات القضائية، والعقوبات المفروضة على هذه الجرائم، والتعويضات المقدمة للضحايا.</w:t>
      </w:r>
    </w:p>
    <w:p w14:paraId="255C43F5" w14:textId="65F3C20A" w:rsidR="00BE0E31" w:rsidRPr="00CF09CB" w:rsidRDefault="00BE0E31" w:rsidP="00B40AF0">
      <w:pPr>
        <w:pStyle w:val="SingleTxtGA"/>
        <w:spacing w:line="350" w:lineRule="exact"/>
        <w:rPr>
          <w:rFonts w:eastAsiaTheme="minorEastAsia"/>
          <w:lang w:val="en-US" w:eastAsia="zh-TW" w:bidi="en-GB"/>
        </w:rPr>
      </w:pPr>
      <w:r w:rsidRPr="00FE01EF">
        <w:rPr>
          <w:rFonts w:eastAsiaTheme="minorEastAsia"/>
          <w:b/>
          <w:bCs/>
          <w:rtl/>
        </w:rPr>
        <w:t>[جيم]</w:t>
      </w:r>
      <w:r w:rsidRPr="00CF09CB">
        <w:rPr>
          <w:rFonts w:eastAsiaTheme="minorEastAsia"/>
          <w:rtl/>
        </w:rPr>
        <w:t xml:space="preserve"> (ه): تأسف اللجنة لأن الدولة الطرف لم تلغ التشريع الذي يسمح بالإنهاء القسري للحمل، وتكرر توصيتها في هذا الصدد. وتطلب اللجنة مزيد</w:t>
      </w:r>
      <w:r w:rsidR="00CF09CB">
        <w:rPr>
          <w:rFonts w:eastAsiaTheme="minorEastAsia"/>
          <w:rtl/>
        </w:rPr>
        <w:t xml:space="preserve">اً </w:t>
      </w:r>
      <w:r w:rsidRPr="00CF09CB">
        <w:rPr>
          <w:rFonts w:eastAsiaTheme="minorEastAsia"/>
          <w:rtl/>
        </w:rPr>
        <w:t>من المعلومات بشأن ما يلي: '</w:t>
      </w:r>
      <w:r w:rsidRPr="00FE01EF">
        <w:rPr>
          <w:rFonts w:eastAsiaTheme="minorEastAsia"/>
          <w:rtl/>
        </w:rPr>
        <w:t>1</w:t>
      </w:r>
      <w:r w:rsidRPr="00CF09CB">
        <w:rPr>
          <w:rFonts w:eastAsiaTheme="minorEastAsia"/>
          <w:rtl/>
        </w:rPr>
        <w:t>' التدابير الخاصة بالنساء ذوات الإعاقة، المدرجة في البرنامج الوطني للصحة والحقوق الجنسية والإنجابية؛ '</w:t>
      </w:r>
      <w:r w:rsidRPr="00FE01EF">
        <w:rPr>
          <w:rFonts w:eastAsiaTheme="minorEastAsia"/>
          <w:rtl/>
        </w:rPr>
        <w:t>2</w:t>
      </w:r>
      <w:r w:rsidRPr="00CF09CB">
        <w:rPr>
          <w:rFonts w:eastAsiaTheme="minorEastAsia"/>
          <w:rtl/>
        </w:rPr>
        <w:t xml:space="preserve">' التدابير المتخذة في مجال الصحة والحقوق الجنسية والإنجابية؛ ' </w:t>
      </w:r>
      <w:r w:rsidRPr="00CF09CB">
        <w:rPr>
          <w:rFonts w:eastAsiaTheme="minorEastAsia"/>
        </w:rPr>
        <w:t>'</w:t>
      </w:r>
      <w:r w:rsidRPr="00FE01EF">
        <w:rPr>
          <w:rFonts w:eastAsiaTheme="minorEastAsia"/>
          <w:rtl/>
        </w:rPr>
        <w:t>2</w:t>
      </w:r>
      <w:r w:rsidRPr="00CF09CB">
        <w:rPr>
          <w:rFonts w:eastAsiaTheme="minorEastAsia"/>
          <w:rtl/>
        </w:rPr>
        <w:t xml:space="preserve">' الحالة الراهنة لمشروع قانون الصحة، والتدابير التي يتضمنها لتلبية الاحتياجات المحددة للنساء ذوات الإعاقة؛ </w:t>
      </w:r>
      <w:r w:rsidRPr="00CF09CB">
        <w:rPr>
          <w:rFonts w:eastAsiaTheme="minorEastAsia"/>
        </w:rPr>
        <w:t>'</w:t>
      </w:r>
      <w:r w:rsidRPr="00FE01EF">
        <w:rPr>
          <w:rFonts w:eastAsiaTheme="minorEastAsia"/>
          <w:rtl/>
        </w:rPr>
        <w:t>3</w:t>
      </w:r>
      <w:r w:rsidRPr="00CF09CB">
        <w:rPr>
          <w:rFonts w:eastAsiaTheme="minorEastAsia"/>
          <w:rtl/>
        </w:rPr>
        <w:t>' النطاق الجغرافي والأثر الفعلي للمراكز الصحية الملائمة للشباب ولمشروع "المساواة للجميع والصحة للجميع".</w:t>
      </w:r>
    </w:p>
    <w:p w14:paraId="5FA7D9D4" w14:textId="77777777" w:rsidR="00BE0E31" w:rsidRPr="00FE01EF" w:rsidRDefault="00BE0E31" w:rsidP="00736CEE">
      <w:pPr>
        <w:pStyle w:val="H23GA"/>
        <w:rPr>
          <w:lang w:val="en-US" w:eastAsia="zh-TW" w:bidi="en-GB"/>
        </w:rPr>
      </w:pPr>
      <w:r w:rsidRPr="00FE01EF">
        <w:rPr>
          <w:rtl/>
        </w:rPr>
        <w:tab/>
      </w:r>
      <w:r w:rsidRPr="00FE01EF">
        <w:rPr>
          <w:rtl/>
        </w:rPr>
        <w:tab/>
        <w:t>الفقرة 28: ظروف الاحتجاز</w:t>
      </w:r>
    </w:p>
    <w:p w14:paraId="455C9353" w14:textId="5F5B38D1" w:rsidR="00BE0E31" w:rsidRPr="00B40AF0" w:rsidRDefault="00736CEE" w:rsidP="00CF09CB">
      <w:pPr>
        <w:pStyle w:val="SingleTxtGA"/>
        <w:rPr>
          <w:rFonts w:ascii="Times New Roman Bold" w:eastAsiaTheme="minorEastAsia" w:hAnsi="Times New Roman Bold"/>
          <w:b/>
          <w:bCs/>
          <w:spacing w:val="-4"/>
          <w:lang w:val="ar-SA" w:eastAsia="zh-TW" w:bidi="en-GB"/>
        </w:rPr>
      </w:pPr>
      <w:r w:rsidRPr="00B40AF0">
        <w:rPr>
          <w:rFonts w:ascii="Times New Roman Bold" w:eastAsiaTheme="minorEastAsia" w:hAnsi="Times New Roman Bold"/>
          <w:b/>
          <w:bCs/>
          <w:spacing w:val="-4"/>
          <w:rtl/>
        </w:rPr>
        <w:tab/>
      </w:r>
      <w:r w:rsidR="00BE0E31" w:rsidRPr="00B40AF0">
        <w:rPr>
          <w:rFonts w:ascii="Times New Roman Bold" w:eastAsiaTheme="minorEastAsia" w:hAnsi="Times New Roman Bold"/>
          <w:b/>
          <w:bCs/>
          <w:spacing w:val="-4"/>
          <w:rtl/>
        </w:rPr>
        <w:t>ينبغي للدولة الطرف أن تتخذ خطوات عملية لتحسين الظروف في السجون ومرافق الاحتجاز، وفقاً</w:t>
      </w:r>
      <w:r w:rsidRPr="00B40AF0">
        <w:rPr>
          <w:rFonts w:ascii="Times New Roman Bold" w:eastAsiaTheme="minorEastAsia" w:hAnsi="Times New Roman Bold" w:hint="cs"/>
          <w:b/>
          <w:bCs/>
          <w:spacing w:val="-4"/>
          <w:rtl/>
        </w:rPr>
        <w:t> </w:t>
      </w:r>
      <w:r w:rsidR="00BE0E31" w:rsidRPr="00B40AF0">
        <w:rPr>
          <w:rFonts w:ascii="Times New Roman Bold" w:eastAsiaTheme="minorEastAsia" w:hAnsi="Times New Roman Bold"/>
          <w:b/>
          <w:bCs/>
          <w:spacing w:val="-4"/>
          <w:rtl/>
        </w:rPr>
        <w:t>للعهد وقواعد الأمم المتحدة الدنيا النموذجية لمعاملة السجناء (قواعد نيلسون مانديلا). وأوصت اللجنة في ذلك الصدد بأن تنظر الدولة الطرف ليس فقط في تشييد سجون جديدة، بل أيضاً في توسيع نطاق</w:t>
      </w:r>
      <w:r w:rsidRPr="00B40AF0">
        <w:rPr>
          <w:rFonts w:ascii="Times New Roman Bold" w:eastAsiaTheme="minorEastAsia" w:hAnsi="Times New Roman Bold" w:hint="cs"/>
          <w:b/>
          <w:bCs/>
          <w:spacing w:val="-4"/>
          <w:rtl/>
        </w:rPr>
        <w:t> </w:t>
      </w:r>
      <w:r w:rsidR="00BE0E31" w:rsidRPr="00B40AF0">
        <w:rPr>
          <w:rFonts w:ascii="Times New Roman Bold" w:eastAsiaTheme="minorEastAsia" w:hAnsi="Times New Roman Bold"/>
          <w:b/>
          <w:bCs/>
          <w:spacing w:val="-4"/>
          <w:rtl/>
        </w:rPr>
        <w:t xml:space="preserve">تطبيق العقوبات غير </w:t>
      </w:r>
      <w:proofErr w:type="spellStart"/>
      <w:r w:rsidR="00BE0E31" w:rsidRPr="00B40AF0">
        <w:rPr>
          <w:rFonts w:ascii="Times New Roman Bold" w:eastAsiaTheme="minorEastAsia" w:hAnsi="Times New Roman Bold"/>
          <w:b/>
          <w:bCs/>
          <w:spacing w:val="-4"/>
          <w:rtl/>
        </w:rPr>
        <w:t>الاحتجازية</w:t>
      </w:r>
      <w:proofErr w:type="spellEnd"/>
      <w:r w:rsidR="00BE0E31" w:rsidRPr="00B40AF0">
        <w:rPr>
          <w:rFonts w:ascii="Times New Roman Bold" w:eastAsiaTheme="minorEastAsia" w:hAnsi="Times New Roman Bold"/>
          <w:b/>
          <w:bCs/>
          <w:spacing w:val="-4"/>
          <w:rtl/>
        </w:rPr>
        <w:t xml:space="preserve"> البديلة، مثل المراقبة الإلكترونية والإفراج المشروط والخدمة</w:t>
      </w:r>
      <w:r w:rsidRPr="00B40AF0">
        <w:rPr>
          <w:rFonts w:ascii="Times New Roman Bold" w:eastAsiaTheme="minorEastAsia" w:hAnsi="Times New Roman Bold" w:hint="cs"/>
          <w:b/>
          <w:bCs/>
          <w:spacing w:val="-4"/>
          <w:rtl/>
        </w:rPr>
        <w:t> </w:t>
      </w:r>
      <w:r w:rsidR="00BE0E31" w:rsidRPr="00B40AF0">
        <w:rPr>
          <w:rFonts w:ascii="Times New Roman Bold" w:eastAsiaTheme="minorEastAsia" w:hAnsi="Times New Roman Bold"/>
          <w:b/>
          <w:bCs/>
          <w:spacing w:val="-4"/>
          <w:rtl/>
        </w:rPr>
        <w:t>المجتمعية.</w:t>
      </w:r>
    </w:p>
    <w:p w14:paraId="0B8CB3EB" w14:textId="77777777" w:rsidR="00BE0E31" w:rsidRPr="00FE01EF" w:rsidRDefault="00BE0E31" w:rsidP="00736CEE">
      <w:pPr>
        <w:pStyle w:val="H23GA"/>
        <w:rPr>
          <w:lang w:val="ar-SA" w:eastAsia="zh-TW" w:bidi="en-GB"/>
        </w:rPr>
      </w:pPr>
      <w:r w:rsidRPr="00FE01EF">
        <w:rPr>
          <w:rtl/>
        </w:rPr>
        <w:tab/>
      </w:r>
      <w:r w:rsidRPr="00FE01EF">
        <w:rPr>
          <w:rtl/>
        </w:rPr>
        <w:tab/>
        <w:t>موجز ردّ الدولة الطرف</w:t>
      </w:r>
    </w:p>
    <w:p w14:paraId="2FDEECE7" w14:textId="499F9AD8" w:rsidR="00BE0E31" w:rsidRPr="00CF09CB" w:rsidRDefault="00736CEE" w:rsidP="00CF09CB">
      <w:pPr>
        <w:pStyle w:val="SingleTxtGA"/>
        <w:rPr>
          <w:rFonts w:eastAsiaTheme="minorEastAsia"/>
          <w:lang w:val="ar-SA" w:eastAsia="zh-TW" w:bidi="en-GB"/>
        </w:rPr>
      </w:pPr>
      <w:r>
        <w:rPr>
          <w:rFonts w:eastAsiaTheme="minorEastAsia"/>
          <w:rtl/>
        </w:rPr>
        <w:tab/>
      </w:r>
      <w:r w:rsidR="00BE0E31" w:rsidRPr="00CF09CB">
        <w:rPr>
          <w:rFonts w:eastAsiaTheme="minorEastAsia"/>
          <w:rtl/>
        </w:rPr>
        <w:t xml:space="preserve">تعترف الدولة الطرف بأن السجون الموجودة حالياً في الدولة تحقق هدف عزل المحتجزين عن المجتمع، ولا تشجع التغيير الاجتماعي في السلوك أو توفر للسجناء معايير لائقة لحقوق الإنسان. ورغم تعديل الحد الأقصى للاحتجاز وسعة مرافق الاحتجاز في عام </w:t>
      </w:r>
      <w:r w:rsidR="00BE0E31" w:rsidRPr="00FE01EF">
        <w:rPr>
          <w:rFonts w:eastAsiaTheme="minorEastAsia"/>
          <w:rtl/>
        </w:rPr>
        <w:t>2017</w:t>
      </w:r>
      <w:r w:rsidR="00BE0E31" w:rsidRPr="00CF09CB">
        <w:rPr>
          <w:rFonts w:eastAsiaTheme="minorEastAsia"/>
          <w:rtl/>
        </w:rPr>
        <w:t xml:space="preserve">، لا يزال نحو نصف مجموع المحتجزين يعيشون في ظروف احتجاز شديدة الاكتظاظ. وأُجريت في عام </w:t>
      </w:r>
      <w:r w:rsidR="00BE0E31" w:rsidRPr="00FE01EF">
        <w:rPr>
          <w:rFonts w:eastAsiaTheme="minorEastAsia"/>
          <w:rtl/>
        </w:rPr>
        <w:t>2017</w:t>
      </w:r>
      <w:r w:rsidR="00BE0E31" w:rsidRPr="00CF09CB">
        <w:rPr>
          <w:rFonts w:eastAsiaTheme="minorEastAsia"/>
          <w:rtl/>
        </w:rPr>
        <w:t xml:space="preserve"> مجموعة من أعمال الإنشاءات والإصلاحات، منها أعمال مهمة لتحسين ظروف الاحتجاز في سجن </w:t>
      </w:r>
      <w:proofErr w:type="spellStart"/>
      <w:r w:rsidR="00BE0E31" w:rsidRPr="00CF09CB">
        <w:rPr>
          <w:rFonts w:eastAsiaTheme="minorEastAsia"/>
          <w:rtl/>
        </w:rPr>
        <w:t>سوروكا</w:t>
      </w:r>
      <w:proofErr w:type="spellEnd"/>
      <w:r w:rsidR="00BE0E31" w:rsidRPr="00CF09CB">
        <w:rPr>
          <w:rFonts w:eastAsiaTheme="minorEastAsia"/>
          <w:rtl/>
        </w:rPr>
        <w:t xml:space="preserve"> ولإنشاء مرافق جديدة. وبدأ أيضاً تنفيذ مشاريع إنشائية استثمارية إضافية.</w:t>
      </w:r>
    </w:p>
    <w:p w14:paraId="16332C0B" w14:textId="64F4F7EA" w:rsidR="00BE0E31" w:rsidRPr="00CF09CB" w:rsidRDefault="00736CEE" w:rsidP="00CF09CB">
      <w:pPr>
        <w:pStyle w:val="SingleTxtGA"/>
        <w:rPr>
          <w:rFonts w:eastAsiaTheme="minorEastAsia"/>
          <w:lang w:val="ar-SA" w:eastAsia="zh-TW" w:bidi="en-GB"/>
        </w:rPr>
      </w:pPr>
      <w:r>
        <w:rPr>
          <w:rFonts w:eastAsiaTheme="minorEastAsia"/>
          <w:rtl/>
        </w:rPr>
        <w:tab/>
      </w:r>
      <w:r w:rsidR="00BE0E31" w:rsidRPr="00CF09CB">
        <w:rPr>
          <w:rFonts w:eastAsiaTheme="minorEastAsia"/>
          <w:rtl/>
        </w:rPr>
        <w:t>ويُخصص سنوي</w:t>
      </w:r>
      <w:r w:rsidR="00CF09CB">
        <w:rPr>
          <w:rFonts w:eastAsiaTheme="minorEastAsia"/>
          <w:rtl/>
        </w:rPr>
        <w:t xml:space="preserve">اً </w:t>
      </w:r>
      <w:r w:rsidR="00BE0E31" w:rsidRPr="00CF09CB">
        <w:rPr>
          <w:rFonts w:eastAsiaTheme="minorEastAsia"/>
          <w:rtl/>
        </w:rPr>
        <w:t xml:space="preserve">ما يقرب من </w:t>
      </w:r>
      <w:r w:rsidR="00BE0E31" w:rsidRPr="00FE01EF">
        <w:rPr>
          <w:rFonts w:eastAsiaTheme="minorEastAsia"/>
          <w:rtl/>
        </w:rPr>
        <w:t>3</w:t>
      </w:r>
      <w:r w:rsidRPr="00FE01EF">
        <w:rPr>
          <w:rFonts w:eastAsiaTheme="minorEastAsia" w:hint="cs"/>
          <w:rtl/>
        </w:rPr>
        <w:t>,</w:t>
      </w:r>
      <w:r w:rsidR="00BE0E31" w:rsidRPr="00FE01EF">
        <w:rPr>
          <w:rFonts w:eastAsiaTheme="minorEastAsia"/>
          <w:rtl/>
        </w:rPr>
        <w:t>5</w:t>
      </w:r>
      <w:r w:rsidR="00BE0E31" w:rsidRPr="00CF09CB">
        <w:rPr>
          <w:rFonts w:eastAsiaTheme="minorEastAsia"/>
          <w:rtl/>
        </w:rPr>
        <w:t xml:space="preserve"> مليون ليو </w:t>
      </w:r>
      <w:proofErr w:type="spellStart"/>
      <w:r w:rsidR="00BE0E31" w:rsidRPr="00CF09CB">
        <w:rPr>
          <w:rFonts w:eastAsiaTheme="minorEastAsia"/>
          <w:rtl/>
        </w:rPr>
        <w:t>مولدوفي</w:t>
      </w:r>
      <w:proofErr w:type="spellEnd"/>
      <w:r w:rsidR="00BE0E31" w:rsidRPr="00CF09CB">
        <w:rPr>
          <w:rFonts w:eastAsiaTheme="minorEastAsia"/>
          <w:rtl/>
        </w:rPr>
        <w:t xml:space="preserve"> لتمويل الخدمات الطبية التي تعاقدت عليها وزارة الصحة والعمل والحماية الاجتماعية ولشراء الأدوية، بالإضافة إلى تكاليف طبية أخرى. وفي</w:t>
      </w:r>
      <w:r w:rsidR="00EC2D3A">
        <w:rPr>
          <w:rFonts w:eastAsiaTheme="minorEastAsia" w:hint="cs"/>
          <w:rtl/>
        </w:rPr>
        <w:t> </w:t>
      </w:r>
      <w:r w:rsidR="00BE0E31" w:rsidRPr="00CF09CB">
        <w:rPr>
          <w:rFonts w:eastAsiaTheme="minorEastAsia"/>
          <w:rtl/>
        </w:rPr>
        <w:t xml:space="preserve">عام </w:t>
      </w:r>
      <w:r w:rsidR="00BE0E31" w:rsidRPr="00FE01EF">
        <w:rPr>
          <w:rFonts w:eastAsiaTheme="minorEastAsia"/>
          <w:rtl/>
        </w:rPr>
        <w:t>2017</w:t>
      </w:r>
      <w:r w:rsidR="00BE0E31" w:rsidRPr="00CF09CB">
        <w:rPr>
          <w:rFonts w:eastAsiaTheme="minorEastAsia"/>
          <w:rtl/>
        </w:rPr>
        <w:t>، تم إنفاق ما مجموعه</w:t>
      </w:r>
      <w:r>
        <w:rPr>
          <w:rFonts w:eastAsiaTheme="minorEastAsia" w:hint="cs"/>
          <w:rtl/>
        </w:rPr>
        <w:t xml:space="preserve"> </w:t>
      </w:r>
      <w:r w:rsidRPr="00FE01EF">
        <w:rPr>
          <w:rFonts w:eastAsiaTheme="minorEastAsia" w:hint="cs"/>
          <w:rtl/>
        </w:rPr>
        <w:t>308</w:t>
      </w:r>
      <w:r>
        <w:rPr>
          <w:rFonts w:eastAsiaTheme="minorEastAsia" w:hint="cs"/>
          <w:rtl/>
        </w:rPr>
        <w:t xml:space="preserve"> </w:t>
      </w:r>
      <w:r w:rsidRPr="00FE01EF">
        <w:rPr>
          <w:rFonts w:eastAsiaTheme="minorEastAsia" w:hint="cs"/>
          <w:rtl/>
        </w:rPr>
        <w:t>231</w:t>
      </w:r>
      <w:r>
        <w:rPr>
          <w:rFonts w:eastAsiaTheme="minorEastAsia" w:hint="cs"/>
          <w:rtl/>
        </w:rPr>
        <w:t xml:space="preserve"> </w:t>
      </w:r>
      <w:r w:rsidRPr="00FE01EF">
        <w:rPr>
          <w:rFonts w:eastAsiaTheme="minorEastAsia" w:hint="cs"/>
          <w:rtl/>
        </w:rPr>
        <w:t>3</w:t>
      </w:r>
      <w:r>
        <w:rPr>
          <w:rFonts w:eastAsiaTheme="minorEastAsia" w:hint="cs"/>
          <w:rtl/>
        </w:rPr>
        <w:t xml:space="preserve"> </w:t>
      </w:r>
      <w:r w:rsidR="00BE0E31" w:rsidRPr="00CF09CB">
        <w:rPr>
          <w:rFonts w:eastAsiaTheme="minorEastAsia"/>
          <w:rtl/>
        </w:rPr>
        <w:t>ليو على الأدوية التي وُزعت في مؤسسات السجون وفق</w:t>
      </w:r>
      <w:r w:rsidR="00CF09CB">
        <w:rPr>
          <w:rFonts w:eastAsiaTheme="minorEastAsia"/>
          <w:rtl/>
        </w:rPr>
        <w:t>اً</w:t>
      </w:r>
      <w:r>
        <w:rPr>
          <w:rFonts w:eastAsiaTheme="minorEastAsia" w:hint="cs"/>
          <w:rtl/>
        </w:rPr>
        <w:t> </w:t>
      </w:r>
      <w:r w:rsidR="00BE0E31" w:rsidRPr="00CF09CB">
        <w:rPr>
          <w:rFonts w:eastAsiaTheme="minorEastAsia"/>
          <w:rtl/>
        </w:rPr>
        <w:t xml:space="preserve">للاحتياجات. ويبلغ الإنفاق اليومي للسجين الواحد </w:t>
      </w:r>
      <w:r w:rsidR="00BE0E31" w:rsidRPr="00FE01EF">
        <w:rPr>
          <w:rFonts w:eastAsiaTheme="minorEastAsia"/>
          <w:rtl/>
        </w:rPr>
        <w:t>13</w:t>
      </w:r>
      <w:r w:rsidRPr="00FE01EF">
        <w:rPr>
          <w:rFonts w:eastAsiaTheme="minorEastAsia" w:hint="cs"/>
          <w:rtl/>
        </w:rPr>
        <w:t>,</w:t>
      </w:r>
      <w:r w:rsidR="00BE0E31" w:rsidRPr="00FE01EF">
        <w:rPr>
          <w:rFonts w:eastAsiaTheme="minorEastAsia"/>
          <w:rtl/>
        </w:rPr>
        <w:t>99</w:t>
      </w:r>
      <w:r w:rsidR="00BE0E31" w:rsidRPr="00CF09CB">
        <w:rPr>
          <w:rFonts w:eastAsiaTheme="minorEastAsia"/>
          <w:rtl/>
        </w:rPr>
        <w:t xml:space="preserve"> ليو على الغذاء و</w:t>
      </w:r>
      <w:r w:rsidR="00BE0E31" w:rsidRPr="00FE01EF">
        <w:rPr>
          <w:rFonts w:eastAsiaTheme="minorEastAsia"/>
          <w:rtl/>
        </w:rPr>
        <w:t>2</w:t>
      </w:r>
      <w:r w:rsidRPr="00FE01EF">
        <w:rPr>
          <w:rFonts w:eastAsiaTheme="minorEastAsia" w:hint="cs"/>
          <w:rtl/>
        </w:rPr>
        <w:t>,</w:t>
      </w:r>
      <w:r w:rsidR="00BE0E31" w:rsidRPr="00FE01EF">
        <w:rPr>
          <w:rFonts w:eastAsiaTheme="minorEastAsia"/>
          <w:rtl/>
        </w:rPr>
        <w:t>26</w:t>
      </w:r>
      <w:r w:rsidR="00BE0E31" w:rsidRPr="00CF09CB">
        <w:rPr>
          <w:rFonts w:eastAsiaTheme="minorEastAsia"/>
          <w:rtl/>
        </w:rPr>
        <w:t xml:space="preserve"> ليو على خدمات </w:t>
      </w:r>
      <w:r w:rsidR="00BE0E31" w:rsidRPr="00CF09CB">
        <w:rPr>
          <w:rFonts w:eastAsiaTheme="minorEastAsia"/>
          <w:rtl/>
        </w:rPr>
        <w:lastRenderedPageBreak/>
        <w:t xml:space="preserve">الرعاية الصحية. ويخضع جميع السجناء عند دخولهم السجون لفحص إلزامي بالأشعة لتحديد السجناء الذين يعانون من السل. وقد سُجلت نحو </w:t>
      </w:r>
      <w:r w:rsidR="00BE0E31" w:rsidRPr="00FE01EF">
        <w:rPr>
          <w:rFonts w:eastAsiaTheme="minorEastAsia"/>
          <w:rtl/>
        </w:rPr>
        <w:t>70</w:t>
      </w:r>
      <w:r w:rsidR="00BE0E31" w:rsidRPr="00CF09CB">
        <w:rPr>
          <w:rFonts w:eastAsiaTheme="minorEastAsia"/>
          <w:rtl/>
        </w:rPr>
        <w:t xml:space="preserve"> حالة سل في نظام السجون في عام </w:t>
      </w:r>
      <w:r w:rsidR="00BE0E31" w:rsidRPr="00FE01EF">
        <w:rPr>
          <w:rFonts w:eastAsiaTheme="minorEastAsia"/>
          <w:rtl/>
        </w:rPr>
        <w:t>2017</w:t>
      </w:r>
      <w:r w:rsidR="00BE0E31" w:rsidRPr="00CF09CB">
        <w:rPr>
          <w:rFonts w:eastAsiaTheme="minorEastAsia"/>
          <w:rtl/>
        </w:rPr>
        <w:t>، بالمقارنة مع</w:t>
      </w:r>
      <w:r>
        <w:rPr>
          <w:rFonts w:eastAsiaTheme="minorEastAsia" w:hint="cs"/>
          <w:rtl/>
        </w:rPr>
        <w:t> </w:t>
      </w:r>
      <w:r w:rsidR="00BE0E31" w:rsidRPr="00FE01EF">
        <w:rPr>
          <w:rFonts w:eastAsiaTheme="minorEastAsia"/>
          <w:rtl/>
        </w:rPr>
        <w:t>109</w:t>
      </w:r>
      <w:r w:rsidR="00BE0E31" w:rsidRPr="00CF09CB">
        <w:rPr>
          <w:rFonts w:eastAsiaTheme="minorEastAsia"/>
          <w:rtl/>
        </w:rPr>
        <w:t xml:space="preserve"> حالات في عام </w:t>
      </w:r>
      <w:r w:rsidR="00BE0E31" w:rsidRPr="00FE01EF">
        <w:rPr>
          <w:rFonts w:eastAsiaTheme="minorEastAsia"/>
          <w:rtl/>
        </w:rPr>
        <w:t>2016</w:t>
      </w:r>
      <w:r w:rsidR="00BE0E31" w:rsidRPr="00CF09CB">
        <w:rPr>
          <w:rFonts w:eastAsiaTheme="minorEastAsia"/>
          <w:rtl/>
        </w:rPr>
        <w:t xml:space="preserve"> و</w:t>
      </w:r>
      <w:r w:rsidR="00BE0E31" w:rsidRPr="00FE01EF">
        <w:rPr>
          <w:rFonts w:eastAsiaTheme="minorEastAsia"/>
          <w:rtl/>
        </w:rPr>
        <w:t>99</w:t>
      </w:r>
      <w:r w:rsidR="00BE0E31" w:rsidRPr="00CF09CB">
        <w:rPr>
          <w:rFonts w:eastAsiaTheme="minorEastAsia"/>
          <w:rtl/>
        </w:rPr>
        <w:t xml:space="preserve"> حالة في عام </w:t>
      </w:r>
      <w:r w:rsidR="00BE0E31" w:rsidRPr="00FE01EF">
        <w:rPr>
          <w:rFonts w:eastAsiaTheme="minorEastAsia"/>
          <w:rtl/>
        </w:rPr>
        <w:t>2015</w:t>
      </w:r>
      <w:r w:rsidR="00BE0E31" w:rsidRPr="00CF09CB">
        <w:rPr>
          <w:rFonts w:eastAsiaTheme="minorEastAsia"/>
          <w:rtl/>
        </w:rPr>
        <w:t>.</w:t>
      </w:r>
    </w:p>
    <w:p w14:paraId="442D5878" w14:textId="35DB9615" w:rsidR="00BE0E31" w:rsidRPr="00B40AF0" w:rsidRDefault="00736CEE" w:rsidP="00CF09CB">
      <w:pPr>
        <w:pStyle w:val="SingleTxtGA"/>
        <w:rPr>
          <w:rFonts w:eastAsiaTheme="minorEastAsia"/>
          <w:spacing w:val="-4"/>
          <w:lang w:val="ar-SA" w:eastAsia="zh-TW" w:bidi="en-GB"/>
        </w:rPr>
      </w:pPr>
      <w:r w:rsidRPr="00B40AF0">
        <w:rPr>
          <w:rFonts w:eastAsiaTheme="minorEastAsia"/>
          <w:spacing w:val="-4"/>
          <w:rtl/>
        </w:rPr>
        <w:tab/>
      </w:r>
      <w:r w:rsidR="00BE0E31" w:rsidRPr="00B40AF0">
        <w:rPr>
          <w:rFonts w:eastAsiaTheme="minorEastAsia"/>
          <w:spacing w:val="-4"/>
          <w:rtl/>
        </w:rPr>
        <w:t>وفي السنوات القليلة الماضية،</w:t>
      </w:r>
      <w:r w:rsidR="00CF09CB" w:rsidRPr="00B40AF0">
        <w:rPr>
          <w:rFonts w:eastAsiaTheme="minorEastAsia"/>
          <w:spacing w:val="-4"/>
          <w:rtl/>
        </w:rPr>
        <w:t xml:space="preserve"> </w:t>
      </w:r>
      <w:r w:rsidR="00BE0E31" w:rsidRPr="00B40AF0">
        <w:rPr>
          <w:rFonts w:eastAsiaTheme="minorEastAsia"/>
          <w:spacing w:val="-4"/>
          <w:rtl/>
        </w:rPr>
        <w:t>التزمت الدولة الطرف بقوة بالتدابير البديلة للاحتجاز، مع تركيز خاص على إشراك المجتمع المحلي في إعادة إدماج المحتجزين في المجتمع. وأُولي اهتمام لزيادة قدرة خدمات المراقبة على إجراء تقييم نفسي – اجتماعي للمحتجزين وإعادة إدماجهم في المجتمع ومنع عودتهم للإجرام. وعلاوة على ذلك، اعتُمدت في عام 2016 لائحة بشأن المراقبة الإلكترونية للأشخاص المدانين بارتكاب جرائم، واتسع نطاقها في عام 2017 لتشمل التدابير الوقائية. وارتفع عدد الأشخاص الخاضعين للمراقبة إلكترونيا من عشرة أشخاص في المتوسط في عام 2017 إلى 66 شخص</w:t>
      </w:r>
      <w:r w:rsidR="00CF09CB" w:rsidRPr="00B40AF0">
        <w:rPr>
          <w:rFonts w:eastAsiaTheme="minorEastAsia"/>
          <w:spacing w:val="-4"/>
          <w:rtl/>
        </w:rPr>
        <w:t xml:space="preserve">اً </w:t>
      </w:r>
      <w:r w:rsidR="00BE0E31" w:rsidRPr="00B40AF0">
        <w:rPr>
          <w:rFonts w:eastAsiaTheme="minorEastAsia"/>
          <w:spacing w:val="-4"/>
          <w:rtl/>
        </w:rPr>
        <w:t>في النصف الأول من</w:t>
      </w:r>
      <w:r w:rsidRPr="00B40AF0">
        <w:rPr>
          <w:rFonts w:eastAsiaTheme="minorEastAsia" w:hint="cs"/>
          <w:spacing w:val="-4"/>
          <w:rtl/>
        </w:rPr>
        <w:t> </w:t>
      </w:r>
      <w:r w:rsidR="00BE0E31" w:rsidRPr="00B40AF0">
        <w:rPr>
          <w:rFonts w:eastAsiaTheme="minorEastAsia"/>
          <w:spacing w:val="-4"/>
          <w:rtl/>
        </w:rPr>
        <w:t>عام 2018.</w:t>
      </w:r>
    </w:p>
    <w:p w14:paraId="1AA7CF75" w14:textId="750AFA25" w:rsidR="00BE0E31" w:rsidRPr="00CF09CB" w:rsidRDefault="00736CEE" w:rsidP="00CF09CB">
      <w:pPr>
        <w:pStyle w:val="SingleTxtGA"/>
        <w:rPr>
          <w:rFonts w:eastAsiaTheme="minorEastAsia"/>
          <w:lang w:val="ar-SA" w:eastAsia="zh-TW" w:bidi="en-GB"/>
        </w:rPr>
      </w:pPr>
      <w:r>
        <w:rPr>
          <w:rFonts w:eastAsiaTheme="minorEastAsia"/>
          <w:rtl/>
        </w:rPr>
        <w:tab/>
      </w:r>
      <w:r w:rsidR="00BE0E31" w:rsidRPr="00CF09CB">
        <w:rPr>
          <w:rFonts w:eastAsiaTheme="minorEastAsia"/>
          <w:rtl/>
        </w:rPr>
        <w:t xml:space="preserve">وقد أضفى القانون رقم </w:t>
      </w:r>
      <w:r w:rsidR="00BE0E31" w:rsidRPr="00FE01EF">
        <w:rPr>
          <w:rFonts w:eastAsiaTheme="minorEastAsia"/>
          <w:rtl/>
        </w:rPr>
        <w:t>163</w:t>
      </w:r>
      <w:r w:rsidR="00BE0E31" w:rsidRPr="00CF09CB">
        <w:rPr>
          <w:rFonts w:eastAsiaTheme="minorEastAsia"/>
          <w:rtl/>
        </w:rPr>
        <w:t>/</w:t>
      </w:r>
      <w:r w:rsidR="00BE0E31" w:rsidRPr="00FE01EF">
        <w:rPr>
          <w:rFonts w:eastAsiaTheme="minorEastAsia"/>
          <w:rtl/>
        </w:rPr>
        <w:t>2017</w:t>
      </w:r>
      <w:r w:rsidR="00BE0E31" w:rsidRPr="00CF09CB">
        <w:rPr>
          <w:rFonts w:eastAsiaTheme="minorEastAsia"/>
          <w:rtl/>
        </w:rPr>
        <w:t xml:space="preserve"> طابعاً إنسانياً على العقوبات الجنائية، وصدر حكم جديد يقضي بالتعليق المشروط للعقوبات. وقد سمح ذلك بتحسين إضفاء الطابع الفردي على العقوبة، لا سيما في حالات الظروف المخففة الاستثنائية. وهذه الأداة مفيدة جد</w:t>
      </w:r>
      <w:r w:rsidR="00CF09CB">
        <w:rPr>
          <w:rFonts w:eastAsiaTheme="minorEastAsia"/>
          <w:rtl/>
        </w:rPr>
        <w:t xml:space="preserve">اً </w:t>
      </w:r>
      <w:r w:rsidR="00BE0E31" w:rsidRPr="00CF09CB">
        <w:rPr>
          <w:rFonts w:eastAsiaTheme="minorEastAsia"/>
          <w:rtl/>
        </w:rPr>
        <w:t>في خفض معدلات معاودة الإجرام. وقد</w:t>
      </w:r>
      <w:r w:rsidR="00EC2D3A">
        <w:rPr>
          <w:rFonts w:eastAsiaTheme="minorEastAsia" w:hint="cs"/>
          <w:rtl/>
        </w:rPr>
        <w:t> </w:t>
      </w:r>
      <w:r w:rsidR="00BE0E31" w:rsidRPr="00CF09CB">
        <w:rPr>
          <w:rFonts w:eastAsiaTheme="minorEastAsia"/>
          <w:rtl/>
        </w:rPr>
        <w:t>تم</w:t>
      </w:r>
      <w:r w:rsidR="00EC2D3A">
        <w:rPr>
          <w:rFonts w:eastAsiaTheme="minorEastAsia" w:hint="cs"/>
          <w:rtl/>
        </w:rPr>
        <w:t> </w:t>
      </w:r>
      <w:r w:rsidR="00BE0E31" w:rsidRPr="00CF09CB">
        <w:rPr>
          <w:rFonts w:eastAsiaTheme="minorEastAsia"/>
          <w:rtl/>
        </w:rPr>
        <w:t xml:space="preserve">تبسيط آلية الإفراج المشروط، مما شجع المحتجزين على المشاركة في الأنشطة الرامية إلى الحد من الجريمة، مثل البرامج المعرفية. ويمكن مواءمة الإفراج المبكر وفقاً للاحتياجات الفردية من خلال تطبيق شروط إضافية. ونتيجة لذلك، ارتفع عدد المحتجزين المفرج عنهم قبل نهاية مدة العقوبة من </w:t>
      </w:r>
      <w:r w:rsidR="00BE0E31" w:rsidRPr="00FE01EF">
        <w:rPr>
          <w:rFonts w:eastAsiaTheme="minorEastAsia"/>
          <w:rtl/>
        </w:rPr>
        <w:t>420</w:t>
      </w:r>
      <w:r w:rsidR="00BE0E31" w:rsidRPr="00CF09CB">
        <w:rPr>
          <w:rFonts w:eastAsiaTheme="minorEastAsia"/>
          <w:rtl/>
        </w:rPr>
        <w:t xml:space="preserve"> شخص</w:t>
      </w:r>
      <w:r w:rsidR="00CF09CB">
        <w:rPr>
          <w:rFonts w:eastAsiaTheme="minorEastAsia"/>
          <w:rtl/>
        </w:rPr>
        <w:t xml:space="preserve">اً </w:t>
      </w:r>
      <w:r w:rsidR="00BE0E31" w:rsidRPr="00CF09CB">
        <w:rPr>
          <w:rFonts w:eastAsiaTheme="minorEastAsia"/>
          <w:rtl/>
        </w:rPr>
        <w:t>في حزيران/</w:t>
      </w:r>
      <w:proofErr w:type="gramStart"/>
      <w:r w:rsidR="00BE0E31" w:rsidRPr="00CF09CB">
        <w:rPr>
          <w:rFonts w:eastAsiaTheme="minorEastAsia"/>
          <w:rtl/>
        </w:rPr>
        <w:t>يونيه</w:t>
      </w:r>
      <w:proofErr w:type="gramEnd"/>
      <w:r w:rsidR="00BE0E31" w:rsidRPr="00CF09CB">
        <w:rPr>
          <w:rFonts w:eastAsiaTheme="minorEastAsia"/>
          <w:rtl/>
        </w:rPr>
        <w:t xml:space="preserve"> </w:t>
      </w:r>
      <w:r w:rsidR="00BE0E31" w:rsidRPr="00FE01EF">
        <w:rPr>
          <w:rFonts w:eastAsiaTheme="minorEastAsia"/>
          <w:rtl/>
        </w:rPr>
        <w:t>2017</w:t>
      </w:r>
      <w:r w:rsidR="00BE0E31" w:rsidRPr="00CF09CB">
        <w:rPr>
          <w:rFonts w:eastAsiaTheme="minorEastAsia"/>
          <w:rtl/>
        </w:rPr>
        <w:t xml:space="preserve"> إلى </w:t>
      </w:r>
      <w:r w:rsidR="00BE0E31" w:rsidRPr="00FE01EF">
        <w:rPr>
          <w:rFonts w:eastAsiaTheme="minorEastAsia"/>
          <w:rtl/>
        </w:rPr>
        <w:t>502</w:t>
      </w:r>
      <w:r w:rsidR="00BE0E31" w:rsidRPr="00CF09CB">
        <w:rPr>
          <w:rFonts w:eastAsiaTheme="minorEastAsia"/>
          <w:rtl/>
        </w:rPr>
        <w:t xml:space="preserve"> شخصاً في حزيران/يونيه </w:t>
      </w:r>
      <w:r w:rsidR="00BE0E31" w:rsidRPr="00FE01EF">
        <w:rPr>
          <w:rFonts w:eastAsiaTheme="minorEastAsia"/>
          <w:rtl/>
        </w:rPr>
        <w:t>2018</w:t>
      </w:r>
      <w:r w:rsidR="00BE0E31" w:rsidRPr="00CF09CB">
        <w:rPr>
          <w:rFonts w:eastAsiaTheme="minorEastAsia"/>
          <w:rtl/>
        </w:rPr>
        <w:t xml:space="preserve">. وأُحرز تقدم كبير في تطبيق </w:t>
      </w:r>
      <w:r w:rsidR="00BE0E31" w:rsidRPr="00EC2D3A">
        <w:rPr>
          <w:rFonts w:eastAsiaTheme="minorEastAsia"/>
          <w:spacing w:val="-4"/>
          <w:rtl/>
        </w:rPr>
        <w:t xml:space="preserve">العمل المجتمعي غير المدفوع الأجر كتدبير بديل للاحتجاز، أو فرض غرامات، مثلاً على جرائم القيادة تحت تأثير الكحول. وارتفع عدد الأشخاص المحكوم عليهم بالعمل المجتمعي غير المدفوع الأجر من </w:t>
      </w:r>
      <w:r w:rsidR="00BE0E31" w:rsidRPr="00FE01EF">
        <w:rPr>
          <w:rFonts w:eastAsiaTheme="minorEastAsia"/>
          <w:spacing w:val="-4"/>
          <w:rtl/>
        </w:rPr>
        <w:t>701</w:t>
      </w:r>
      <w:r w:rsidR="00BE0E31" w:rsidRPr="00EC2D3A">
        <w:rPr>
          <w:rFonts w:eastAsiaTheme="minorEastAsia"/>
          <w:spacing w:val="-4"/>
          <w:rtl/>
        </w:rPr>
        <w:t xml:space="preserve"> شخص</w:t>
      </w:r>
      <w:r w:rsidR="00BE0E31" w:rsidRPr="00CF09CB">
        <w:rPr>
          <w:rFonts w:eastAsiaTheme="minorEastAsia"/>
          <w:rtl/>
        </w:rPr>
        <w:t xml:space="preserve"> في حزيران/</w:t>
      </w:r>
      <w:proofErr w:type="gramStart"/>
      <w:r w:rsidR="00BE0E31" w:rsidRPr="00CF09CB">
        <w:rPr>
          <w:rFonts w:eastAsiaTheme="minorEastAsia"/>
          <w:rtl/>
        </w:rPr>
        <w:t>يونيه</w:t>
      </w:r>
      <w:proofErr w:type="gramEnd"/>
      <w:r w:rsidR="00BE0E31" w:rsidRPr="00CF09CB">
        <w:rPr>
          <w:rFonts w:eastAsiaTheme="minorEastAsia"/>
          <w:rtl/>
        </w:rPr>
        <w:t xml:space="preserve"> </w:t>
      </w:r>
      <w:r w:rsidR="00BE0E31" w:rsidRPr="00FE01EF">
        <w:rPr>
          <w:rFonts w:eastAsiaTheme="minorEastAsia"/>
          <w:rtl/>
        </w:rPr>
        <w:t>2017</w:t>
      </w:r>
      <w:r w:rsidR="00BE0E31" w:rsidRPr="00CF09CB">
        <w:rPr>
          <w:rFonts w:eastAsiaTheme="minorEastAsia"/>
          <w:rtl/>
        </w:rPr>
        <w:t xml:space="preserve"> إلى </w:t>
      </w:r>
      <w:r w:rsidR="00BE0E31" w:rsidRPr="00FE01EF">
        <w:rPr>
          <w:rFonts w:eastAsiaTheme="minorEastAsia"/>
          <w:rtl/>
        </w:rPr>
        <w:t>052</w:t>
      </w:r>
      <w:r w:rsidR="00BE0E31" w:rsidRPr="00CF09CB">
        <w:rPr>
          <w:rFonts w:eastAsiaTheme="minorEastAsia"/>
          <w:rtl/>
        </w:rPr>
        <w:t xml:space="preserve"> </w:t>
      </w:r>
      <w:r w:rsidR="00BF514A" w:rsidRPr="00FE01EF">
        <w:rPr>
          <w:rFonts w:eastAsiaTheme="minorEastAsia"/>
          <w:rtl/>
        </w:rPr>
        <w:t>1</w:t>
      </w:r>
      <w:r w:rsidR="00EC2D3A">
        <w:rPr>
          <w:rFonts w:eastAsiaTheme="minorEastAsia" w:hint="cs"/>
          <w:rtl/>
        </w:rPr>
        <w:t xml:space="preserve"> </w:t>
      </w:r>
      <w:r w:rsidR="00BE0E31" w:rsidRPr="00CF09CB">
        <w:rPr>
          <w:rFonts w:eastAsiaTheme="minorEastAsia"/>
          <w:rtl/>
        </w:rPr>
        <w:t>شخص</w:t>
      </w:r>
      <w:r w:rsidR="00CF09CB">
        <w:rPr>
          <w:rFonts w:eastAsiaTheme="minorEastAsia"/>
          <w:rtl/>
        </w:rPr>
        <w:t xml:space="preserve">اً </w:t>
      </w:r>
      <w:r w:rsidR="00BE0E31" w:rsidRPr="00CF09CB">
        <w:rPr>
          <w:rFonts w:eastAsiaTheme="minorEastAsia"/>
          <w:rtl/>
        </w:rPr>
        <w:t xml:space="preserve">في حزيران/يونيه </w:t>
      </w:r>
      <w:r w:rsidR="00BE0E31" w:rsidRPr="00FE01EF">
        <w:rPr>
          <w:rFonts w:eastAsiaTheme="minorEastAsia"/>
          <w:rtl/>
        </w:rPr>
        <w:t>2018</w:t>
      </w:r>
      <w:r w:rsidR="00BE0E31" w:rsidRPr="00CF09CB">
        <w:rPr>
          <w:rFonts w:eastAsiaTheme="minorEastAsia"/>
          <w:rtl/>
        </w:rPr>
        <w:t>.</w:t>
      </w:r>
    </w:p>
    <w:p w14:paraId="32CE8981" w14:textId="77777777" w:rsidR="00BE0E31" w:rsidRPr="00FE01EF" w:rsidRDefault="00BE0E31" w:rsidP="00736CEE">
      <w:pPr>
        <w:pStyle w:val="H23GA"/>
        <w:rPr>
          <w:lang w:val="en-US" w:eastAsia="zh-TW" w:bidi="en-GB"/>
        </w:rPr>
      </w:pPr>
      <w:r w:rsidRPr="00FE01EF">
        <w:rPr>
          <w:rtl/>
        </w:rPr>
        <w:tab/>
      </w:r>
      <w:r w:rsidRPr="00FE01EF">
        <w:rPr>
          <w:rtl/>
        </w:rPr>
        <w:tab/>
        <w:t>تقييم اللجنة:</w:t>
      </w:r>
    </w:p>
    <w:p w14:paraId="387DF713" w14:textId="5367EC92" w:rsidR="00BE0E31" w:rsidRPr="00CF09CB" w:rsidRDefault="00BE0E31" w:rsidP="00B40AF0">
      <w:pPr>
        <w:pStyle w:val="SingleTxtGA"/>
        <w:spacing w:line="350" w:lineRule="exact"/>
        <w:rPr>
          <w:rFonts w:eastAsiaTheme="minorEastAsia"/>
          <w:lang w:val="ar-SA" w:eastAsia="zh-TW" w:bidi="en-GB"/>
        </w:rPr>
      </w:pPr>
      <w:r w:rsidRPr="00FE01EF">
        <w:rPr>
          <w:rFonts w:eastAsiaTheme="minorEastAsia"/>
          <w:b/>
          <w:bCs/>
          <w:rtl/>
        </w:rPr>
        <w:t>[باء]</w:t>
      </w:r>
      <w:r w:rsidR="00736CEE" w:rsidRPr="00FE01EF">
        <w:rPr>
          <w:rFonts w:eastAsiaTheme="minorEastAsia" w:hint="cs"/>
          <w:b/>
          <w:bCs/>
          <w:rtl/>
        </w:rPr>
        <w:t>:</w:t>
      </w:r>
      <w:r w:rsidRPr="00CF09CB">
        <w:rPr>
          <w:rFonts w:eastAsiaTheme="minorEastAsia"/>
          <w:rtl/>
        </w:rPr>
        <w:t xml:space="preserve"> ترحب اللجنة بالتدابير المختلفة التي اتخذتها الدولة الطرف لتحسين ظروف الاحتجاز </w:t>
      </w:r>
      <w:r w:rsidRPr="00BF514A">
        <w:rPr>
          <w:rFonts w:eastAsiaTheme="minorEastAsia"/>
          <w:spacing w:val="-4"/>
          <w:rtl/>
        </w:rPr>
        <w:t>في</w:t>
      </w:r>
      <w:r w:rsidR="00BF514A">
        <w:rPr>
          <w:rFonts w:eastAsiaTheme="minorEastAsia" w:hint="cs"/>
          <w:spacing w:val="-4"/>
          <w:rtl/>
        </w:rPr>
        <w:t xml:space="preserve"> </w:t>
      </w:r>
      <w:r w:rsidRPr="00BF514A">
        <w:rPr>
          <w:rFonts w:eastAsiaTheme="minorEastAsia"/>
          <w:spacing w:val="-4"/>
          <w:rtl/>
        </w:rPr>
        <w:t>السجون ومرافق الاحتجاز. وتطلب اللجنة موافاتها بمزيد من المعلومات بشأن ما يلي: '</w:t>
      </w:r>
      <w:r w:rsidRPr="00FE01EF">
        <w:rPr>
          <w:rFonts w:eastAsiaTheme="minorEastAsia"/>
          <w:spacing w:val="-4"/>
          <w:rtl/>
        </w:rPr>
        <w:t>1</w:t>
      </w:r>
      <w:r w:rsidRPr="00BF514A">
        <w:rPr>
          <w:rFonts w:eastAsiaTheme="minorEastAsia"/>
          <w:spacing w:val="-4"/>
          <w:rtl/>
        </w:rPr>
        <w:t>' الأثر الكبير</w:t>
      </w:r>
      <w:r w:rsidR="00736CEE" w:rsidRPr="00BF514A">
        <w:rPr>
          <w:rFonts w:eastAsiaTheme="minorEastAsia" w:hint="cs"/>
          <w:spacing w:val="-4"/>
          <w:rtl/>
        </w:rPr>
        <w:t> </w:t>
      </w:r>
      <w:r w:rsidRPr="00BF514A">
        <w:rPr>
          <w:rFonts w:eastAsiaTheme="minorEastAsia"/>
          <w:spacing w:val="-4"/>
          <w:rtl/>
        </w:rPr>
        <w:t xml:space="preserve">لمشاريع الإنشاءات الاستثمارية الحالية على مستويات الاكتظاظ في أثناء الفترة المشمولة بالتقرير؛ </w:t>
      </w:r>
      <w:r w:rsidRPr="00BF514A">
        <w:rPr>
          <w:rFonts w:eastAsiaTheme="minorEastAsia"/>
          <w:spacing w:val="-4"/>
        </w:rPr>
        <w:t>'</w:t>
      </w:r>
      <w:r w:rsidRPr="00FE01EF">
        <w:rPr>
          <w:rFonts w:eastAsiaTheme="minorEastAsia"/>
          <w:spacing w:val="-4"/>
          <w:rtl/>
        </w:rPr>
        <w:t>2</w:t>
      </w:r>
      <w:r w:rsidRPr="00BF514A">
        <w:rPr>
          <w:rFonts w:eastAsiaTheme="minorEastAsia"/>
          <w:spacing w:val="-4"/>
          <w:rtl/>
        </w:rPr>
        <w:t>' ما إذا كانت التدابير المتخذة للتصدي للعنف بين السجناء قد أثبتت فعاليتها</w:t>
      </w:r>
      <w:r w:rsidR="00CF09CB" w:rsidRPr="00BF514A">
        <w:rPr>
          <w:rFonts w:eastAsiaTheme="minorEastAsia"/>
          <w:spacing w:val="-4"/>
          <w:rtl/>
        </w:rPr>
        <w:t xml:space="preserve">؛ </w:t>
      </w:r>
      <w:r w:rsidRPr="00BF514A">
        <w:rPr>
          <w:rFonts w:eastAsiaTheme="minorEastAsia"/>
          <w:spacing w:val="-4"/>
        </w:rPr>
        <w:t>'</w:t>
      </w:r>
      <w:r w:rsidRPr="00FE01EF">
        <w:rPr>
          <w:rFonts w:eastAsiaTheme="minorEastAsia"/>
          <w:spacing w:val="-4"/>
          <w:rtl/>
        </w:rPr>
        <w:t>3</w:t>
      </w:r>
      <w:r w:rsidRPr="00BF514A">
        <w:rPr>
          <w:rFonts w:eastAsiaTheme="minorEastAsia"/>
          <w:spacing w:val="-4"/>
          <w:rtl/>
        </w:rPr>
        <w:t>' ما إذا كانت</w:t>
      </w:r>
      <w:r w:rsidRPr="00CF09CB">
        <w:rPr>
          <w:rFonts w:eastAsiaTheme="minorEastAsia"/>
          <w:rtl/>
        </w:rPr>
        <w:t xml:space="preserve"> الموارد</w:t>
      </w:r>
      <w:r w:rsidR="00736CEE">
        <w:rPr>
          <w:rFonts w:eastAsiaTheme="minorEastAsia" w:hint="cs"/>
          <w:rtl/>
        </w:rPr>
        <w:t> </w:t>
      </w:r>
      <w:r w:rsidRPr="00CF09CB">
        <w:rPr>
          <w:rFonts w:eastAsiaTheme="minorEastAsia"/>
          <w:rtl/>
        </w:rPr>
        <w:t xml:space="preserve">المخصصة لصحة المحتجزين كافية لتلبية جميع الاحتياجات، وما إذا كانت الموارد المذكورة ازدادت في الفترة المشمولة بالتقرير؛ </w:t>
      </w:r>
      <w:r w:rsidRPr="00CF09CB">
        <w:rPr>
          <w:rFonts w:eastAsiaTheme="minorEastAsia"/>
        </w:rPr>
        <w:t>'</w:t>
      </w:r>
      <w:r w:rsidRPr="00FE01EF">
        <w:rPr>
          <w:rFonts w:eastAsiaTheme="minorEastAsia"/>
          <w:rtl/>
        </w:rPr>
        <w:t>4</w:t>
      </w:r>
      <w:r w:rsidRPr="00CF09CB">
        <w:rPr>
          <w:rFonts w:eastAsiaTheme="minorEastAsia"/>
          <w:rtl/>
        </w:rPr>
        <w:t>' ما إذا كانت التدابير المتخذة لتحسين مرافق الاحتجاز قد شملت تحسين المرافق الصحية.</w:t>
      </w:r>
    </w:p>
    <w:p w14:paraId="537C6C3E" w14:textId="28FE1725" w:rsidR="00BE0E31" w:rsidRPr="00B40AF0" w:rsidRDefault="00736CEE" w:rsidP="00B40AF0">
      <w:pPr>
        <w:pStyle w:val="SingleTxtGA"/>
        <w:spacing w:line="350" w:lineRule="exact"/>
        <w:rPr>
          <w:rFonts w:eastAsiaTheme="minorEastAsia"/>
          <w:spacing w:val="-4"/>
          <w:lang w:val="ar-SA" w:eastAsia="zh-TW" w:bidi="en-GB"/>
        </w:rPr>
      </w:pPr>
      <w:r w:rsidRPr="00B40AF0">
        <w:rPr>
          <w:rFonts w:eastAsiaTheme="minorEastAsia"/>
          <w:spacing w:val="-4"/>
          <w:rtl/>
        </w:rPr>
        <w:tab/>
      </w:r>
      <w:r w:rsidR="00BE0E31" w:rsidRPr="00B40AF0">
        <w:rPr>
          <w:rFonts w:eastAsiaTheme="minorEastAsia"/>
          <w:spacing w:val="-4"/>
          <w:rtl/>
        </w:rPr>
        <w:t>وترحب اللجنة بالخطوات الملحوظة المتخذة لضمان تطبيق عقوبات بديلة غير احتجازية على نطاق أوسع. وتطلب اللجنة مزيد</w:t>
      </w:r>
      <w:r w:rsidR="00CF09CB" w:rsidRPr="00B40AF0">
        <w:rPr>
          <w:rFonts w:eastAsiaTheme="minorEastAsia"/>
          <w:spacing w:val="-4"/>
          <w:rtl/>
        </w:rPr>
        <w:t xml:space="preserve">اً </w:t>
      </w:r>
      <w:r w:rsidR="00BE0E31" w:rsidRPr="00B40AF0">
        <w:rPr>
          <w:rFonts w:eastAsiaTheme="minorEastAsia"/>
          <w:spacing w:val="-4"/>
          <w:rtl/>
        </w:rPr>
        <w:t>من المعلومات عن التدابير المحددة الجاري تنفيذها لزيادة قدرة خدمات مراقبة السلوك. وتطلب اللجنة أيض</w:t>
      </w:r>
      <w:r w:rsidR="00CF09CB" w:rsidRPr="00B40AF0">
        <w:rPr>
          <w:rFonts w:eastAsiaTheme="minorEastAsia"/>
          <w:spacing w:val="-4"/>
          <w:rtl/>
        </w:rPr>
        <w:t xml:space="preserve">اً </w:t>
      </w:r>
      <w:r w:rsidR="00BE0E31" w:rsidRPr="00B40AF0">
        <w:rPr>
          <w:rFonts w:eastAsiaTheme="minorEastAsia"/>
          <w:spacing w:val="-4"/>
          <w:rtl/>
        </w:rPr>
        <w:t>معلومات إضافية عن الأثر الموضوعي للتدابير الرامية إلى زيادة</w:t>
      </w:r>
      <w:r w:rsidR="00BF514A" w:rsidRPr="00B40AF0">
        <w:rPr>
          <w:rFonts w:eastAsiaTheme="minorEastAsia" w:hint="cs"/>
          <w:spacing w:val="-4"/>
          <w:rtl/>
        </w:rPr>
        <w:t> </w:t>
      </w:r>
      <w:r w:rsidR="00BE0E31" w:rsidRPr="00B40AF0">
        <w:rPr>
          <w:rFonts w:eastAsiaTheme="minorEastAsia"/>
          <w:spacing w:val="-4"/>
          <w:rtl/>
        </w:rPr>
        <w:t xml:space="preserve">العقوبات البديلة غير </w:t>
      </w:r>
      <w:proofErr w:type="spellStart"/>
      <w:r w:rsidR="00BE0E31" w:rsidRPr="00B40AF0">
        <w:rPr>
          <w:rFonts w:eastAsiaTheme="minorEastAsia"/>
          <w:spacing w:val="-4"/>
          <w:rtl/>
        </w:rPr>
        <w:t>الاحتجازية</w:t>
      </w:r>
      <w:proofErr w:type="spellEnd"/>
      <w:r w:rsidR="00BE0E31" w:rsidRPr="00B40AF0">
        <w:rPr>
          <w:rFonts w:eastAsiaTheme="minorEastAsia"/>
          <w:spacing w:val="-4"/>
          <w:rtl/>
        </w:rPr>
        <w:t>، بما في ذلك زيادة المراقبة الإلكترونية وأعمال الخدمة المجتمعية وتعليق إصدار الأحكام، على معدلات الاحتجاز ومعاودة الإجرام. وعلاوة على ذلك، تطلب اللجنة معلومات عن الأحكام المحددة الواردة في القانون رقم 163/2017 التي نقَّحت الإطار القانوني المتعلق بتطبيق العقوبات الجنائية.</w:t>
      </w:r>
    </w:p>
    <w:p w14:paraId="67516648" w14:textId="55127EF0" w:rsidR="00BE0E31" w:rsidRPr="00CF09CB" w:rsidRDefault="00736CEE" w:rsidP="00B40AF0">
      <w:pPr>
        <w:pStyle w:val="SingleTxtGA"/>
        <w:spacing w:line="350" w:lineRule="exact"/>
        <w:rPr>
          <w:rFonts w:eastAsiaTheme="minorEastAsia"/>
          <w:lang w:val="ar-SA" w:eastAsia="zh-TW" w:bidi="en-GB"/>
        </w:rPr>
      </w:pPr>
      <w:r w:rsidRPr="00FE01EF">
        <w:rPr>
          <w:rFonts w:eastAsiaTheme="minorEastAsia"/>
          <w:b/>
          <w:bCs/>
          <w:rtl/>
        </w:rPr>
        <w:tab/>
      </w:r>
      <w:r w:rsidR="00BE0E31" w:rsidRPr="00FE01EF">
        <w:rPr>
          <w:rFonts w:eastAsiaTheme="minorEastAsia"/>
          <w:b/>
          <w:bCs/>
          <w:rtl/>
        </w:rPr>
        <w:t>الإجراء الموصى به</w:t>
      </w:r>
      <w:r w:rsidR="00BE0E31" w:rsidRPr="00CF09CB">
        <w:rPr>
          <w:rFonts w:eastAsiaTheme="minorEastAsia"/>
          <w:rtl/>
        </w:rPr>
        <w:t>: ينبغي توجيه رسالة إلى الدولة الطرف لإبلاغها بوقف إجراء المتابعة. وينبغي إدراج المعلومات المطلوبة في التقرير الدوري المقبل للدولة الطرف.</w:t>
      </w:r>
    </w:p>
    <w:p w14:paraId="46FB8C41" w14:textId="395F18B2" w:rsidR="00BE0E31" w:rsidRDefault="00736CEE" w:rsidP="00B40AF0">
      <w:pPr>
        <w:pStyle w:val="SingleTxtGA"/>
        <w:spacing w:line="350" w:lineRule="exact"/>
        <w:rPr>
          <w:rFonts w:eastAsiaTheme="minorEastAsia"/>
          <w:spacing w:val="-6"/>
          <w:lang w:val="en-US" w:eastAsia="zh-TW" w:bidi="en-GB"/>
        </w:rPr>
      </w:pPr>
      <w:r w:rsidRPr="00FE01EF">
        <w:rPr>
          <w:rFonts w:eastAsiaTheme="minorEastAsia"/>
          <w:b/>
          <w:bCs/>
          <w:spacing w:val="-6"/>
          <w:rtl/>
        </w:rPr>
        <w:tab/>
      </w:r>
      <w:r w:rsidR="00BE0E31" w:rsidRPr="00FE01EF">
        <w:rPr>
          <w:rFonts w:eastAsiaTheme="minorEastAsia"/>
          <w:b/>
          <w:bCs/>
          <w:spacing w:val="-6"/>
          <w:rtl/>
        </w:rPr>
        <w:t>موعد تقديم التقرير الدوري المقبل</w:t>
      </w:r>
      <w:r w:rsidR="00BE0E31" w:rsidRPr="00736CEE">
        <w:rPr>
          <w:rFonts w:eastAsiaTheme="minorEastAsia"/>
          <w:spacing w:val="-6"/>
        </w:rPr>
        <w:t>:</w:t>
      </w:r>
      <w:r w:rsidR="00BE0E31" w:rsidRPr="00736CEE">
        <w:rPr>
          <w:rFonts w:eastAsiaTheme="minorEastAsia"/>
          <w:spacing w:val="-6"/>
          <w:rtl/>
        </w:rPr>
        <w:t xml:space="preserve"> </w:t>
      </w:r>
      <w:r w:rsidR="00BE0E31" w:rsidRPr="00FE01EF">
        <w:rPr>
          <w:rFonts w:eastAsiaTheme="minorEastAsia"/>
          <w:spacing w:val="-6"/>
          <w:rtl/>
        </w:rPr>
        <w:t>2024</w:t>
      </w:r>
      <w:r w:rsidR="00BE0E31" w:rsidRPr="00736CEE">
        <w:rPr>
          <w:rFonts w:eastAsiaTheme="minorEastAsia"/>
          <w:spacing w:val="-6"/>
          <w:rtl/>
        </w:rPr>
        <w:t xml:space="preserve"> (الاستعراض القطري في عام </w:t>
      </w:r>
      <w:r w:rsidR="00BE0E31" w:rsidRPr="00FE01EF">
        <w:rPr>
          <w:rFonts w:eastAsiaTheme="minorEastAsia"/>
          <w:spacing w:val="-6"/>
          <w:rtl/>
        </w:rPr>
        <w:t>2025</w:t>
      </w:r>
      <w:r w:rsidR="00BE0E31" w:rsidRPr="00736CEE">
        <w:rPr>
          <w:rFonts w:eastAsiaTheme="minorEastAsia"/>
          <w:spacing w:val="-6"/>
          <w:rtl/>
        </w:rPr>
        <w:t>، وفق</w:t>
      </w:r>
      <w:r w:rsidR="00CF09CB" w:rsidRPr="00736CEE">
        <w:rPr>
          <w:rFonts w:eastAsiaTheme="minorEastAsia"/>
          <w:spacing w:val="-6"/>
          <w:rtl/>
        </w:rPr>
        <w:t xml:space="preserve">اً </w:t>
      </w:r>
      <w:r w:rsidR="00BE0E31" w:rsidRPr="00736CEE">
        <w:rPr>
          <w:rFonts w:eastAsiaTheme="minorEastAsia"/>
          <w:spacing w:val="-6"/>
          <w:rtl/>
        </w:rPr>
        <w:t>لدورة الاستعراض</w:t>
      </w:r>
      <w:r>
        <w:rPr>
          <w:rFonts w:eastAsiaTheme="minorEastAsia" w:hint="cs"/>
          <w:spacing w:val="-6"/>
          <w:rtl/>
        </w:rPr>
        <w:t xml:space="preserve"> </w:t>
      </w:r>
      <w:r w:rsidR="00BE0E31" w:rsidRPr="00736CEE">
        <w:rPr>
          <w:rFonts w:eastAsiaTheme="minorEastAsia"/>
          <w:spacing w:val="-8"/>
          <w:rtl/>
        </w:rPr>
        <w:t>المقررة. انظر</w:t>
      </w:r>
      <w:r w:rsidRPr="00736CEE">
        <w:rPr>
          <w:rFonts w:eastAsiaTheme="minorEastAsia" w:hint="cs"/>
          <w:spacing w:val="-8"/>
          <w:rtl/>
        </w:rPr>
        <w:t xml:space="preserve">: </w:t>
      </w:r>
      <w:hyperlink r:id="rId11" w:history="1">
        <w:r w:rsidRPr="00736CEE">
          <w:rPr>
            <w:rStyle w:val="Hyperlink"/>
            <w:spacing w:val="-8"/>
          </w:rPr>
          <w:t>www.ohchr.org/EN/HRBodies/CCPR/Pages/PredictableReviewCycle.aspx</w:t>
        </w:r>
      </w:hyperlink>
      <w:r w:rsidRPr="00736CEE">
        <w:rPr>
          <w:rFonts w:hint="cs"/>
          <w:spacing w:val="-12"/>
          <w:rtl/>
        </w:rPr>
        <w:t>).</w:t>
      </w:r>
    </w:p>
    <w:p w14:paraId="035F74E2" w14:textId="5857661A" w:rsidR="00736CEE" w:rsidRPr="00736CEE" w:rsidRDefault="00736CEE" w:rsidP="00B40AF0">
      <w:pPr>
        <w:pStyle w:val="SingleTxtGA"/>
        <w:spacing w:line="240" w:lineRule="exact"/>
        <w:jc w:val="center"/>
        <w:rPr>
          <w:u w:val="single"/>
          <w:rtl/>
          <w:lang w:eastAsia="zh-TW"/>
        </w:rPr>
      </w:pPr>
      <w:r>
        <w:rPr>
          <w:u w:val="single"/>
          <w:rtl/>
          <w:lang w:eastAsia="zh-TW"/>
        </w:rPr>
        <w:tab/>
      </w:r>
      <w:r>
        <w:rPr>
          <w:u w:val="single"/>
          <w:rtl/>
          <w:lang w:eastAsia="zh-TW"/>
        </w:rPr>
        <w:tab/>
      </w:r>
      <w:r>
        <w:rPr>
          <w:u w:val="single"/>
          <w:rtl/>
          <w:lang w:eastAsia="zh-TW"/>
        </w:rPr>
        <w:tab/>
      </w:r>
    </w:p>
    <w:bookmarkEnd w:id="0"/>
    <w:sectPr w:rsidR="00736CEE" w:rsidRPr="00736CEE" w:rsidSect="00DE4A87">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4741D6" w14:textId="77777777" w:rsidR="00C301B6" w:rsidRPr="002901D9" w:rsidRDefault="00C301B6" w:rsidP="00DC4D4B">
      <w:pPr>
        <w:spacing w:after="60" w:line="240" w:lineRule="auto"/>
        <w:ind w:left="57"/>
        <w:rPr>
          <w:i/>
          <w:iCs/>
        </w:rPr>
      </w:pPr>
      <w:r>
        <w:rPr>
          <w:rFonts w:hint="cs"/>
          <w:i/>
          <w:iCs/>
          <w:rtl/>
        </w:rPr>
        <w:t>الحواشي</w:t>
      </w:r>
    </w:p>
  </w:endnote>
  <w:endnote w:type="continuationSeparator" w:id="0">
    <w:p w14:paraId="124CFCEC" w14:textId="77777777" w:rsidR="00C301B6" w:rsidRDefault="00C301B6"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Bold">
    <w:altName w:val="Times New Roman"/>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A2D037" w14:textId="55CB1E30" w:rsidR="003275B7" w:rsidRPr="003275B7" w:rsidRDefault="003275B7" w:rsidP="003275B7">
    <w:pPr>
      <w:pStyle w:val="Footer"/>
      <w:tabs>
        <w:tab w:val="right" w:pos="9638"/>
      </w:tabs>
      <w:rPr>
        <w:b/>
        <w:sz w:val="18"/>
        <w:lang w:val="en-US"/>
      </w:rPr>
    </w:pPr>
    <w:r>
      <w:rPr>
        <w:lang w:val="en-US"/>
      </w:rPr>
      <w:t>GE.21-05697</w:t>
    </w:r>
    <w:r>
      <w:rPr>
        <w:lang w:val="en-US"/>
      </w:rPr>
      <w:tab/>
    </w:r>
    <w:r w:rsidRPr="003275B7">
      <w:rPr>
        <w:b/>
        <w:sz w:val="18"/>
        <w:lang w:val="en-US"/>
      </w:rPr>
      <w:fldChar w:fldCharType="begin"/>
    </w:r>
    <w:r w:rsidRPr="003275B7">
      <w:rPr>
        <w:b/>
        <w:sz w:val="18"/>
        <w:lang w:val="en-US"/>
      </w:rPr>
      <w:instrText xml:space="preserve"> PAGE  \* MERGEFORMAT </w:instrText>
    </w:r>
    <w:r w:rsidRPr="003275B7">
      <w:rPr>
        <w:b/>
        <w:sz w:val="18"/>
        <w:lang w:val="en-US"/>
      </w:rPr>
      <w:fldChar w:fldCharType="separate"/>
    </w:r>
    <w:r w:rsidRPr="003275B7">
      <w:rPr>
        <w:b/>
        <w:noProof/>
        <w:sz w:val="18"/>
        <w:lang w:val="en-US"/>
      </w:rPr>
      <w:t>2</w:t>
    </w:r>
    <w:r w:rsidRPr="003275B7">
      <w:rPr>
        <w:b/>
        <w:sz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1B734" w14:textId="7B24C449" w:rsidR="006959B0" w:rsidRPr="003275B7" w:rsidRDefault="003275B7" w:rsidP="003275B7">
    <w:pPr>
      <w:pStyle w:val="Footer"/>
      <w:tabs>
        <w:tab w:val="right" w:pos="9638"/>
      </w:tabs>
      <w:rPr>
        <w:lang w:val="en-US"/>
      </w:rPr>
    </w:pPr>
    <w:r>
      <w:rPr>
        <w:b/>
        <w:sz w:val="18"/>
        <w:lang w:val="en-US"/>
      </w:rPr>
      <w:fldChar w:fldCharType="begin"/>
    </w:r>
    <w:r>
      <w:rPr>
        <w:b/>
        <w:sz w:val="18"/>
        <w:lang w:val="en-US"/>
      </w:rPr>
      <w:instrText xml:space="preserve"> PAGE  \* MERGEFORMAT </w:instrText>
    </w:r>
    <w:r>
      <w:rPr>
        <w:b/>
        <w:sz w:val="18"/>
        <w:lang w:val="en-US"/>
      </w:rPr>
      <w:fldChar w:fldCharType="separate"/>
    </w:r>
    <w:r>
      <w:rPr>
        <w:b/>
        <w:noProof/>
        <w:sz w:val="18"/>
        <w:lang w:val="en-US"/>
      </w:rPr>
      <w:t>3</w:t>
    </w:r>
    <w:r>
      <w:rPr>
        <w:b/>
        <w:sz w:val="18"/>
        <w:lang w:val="en-US"/>
      </w:rPr>
      <w:fldChar w:fldCharType="end"/>
    </w:r>
    <w:r>
      <w:rPr>
        <w:b/>
        <w:sz w:val="18"/>
        <w:lang w:val="en-US"/>
      </w:rPr>
      <w:tab/>
    </w:r>
    <w:r>
      <w:rPr>
        <w:lang w:val="en-US"/>
      </w:rPr>
      <w:t>GE.21-05697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B95F4" w14:textId="78C9B051" w:rsidR="00DE50B1" w:rsidRPr="003275B7" w:rsidRDefault="003275B7" w:rsidP="003275B7">
    <w:pPr>
      <w:pStyle w:val="Footer"/>
      <w:spacing w:before="600"/>
      <w:ind w:left="567"/>
      <w:jc w:val="right"/>
      <w:rPr>
        <w:sz w:val="20"/>
        <w:lang w:val="en-US"/>
      </w:rPr>
    </w:pPr>
    <w:r>
      <w:rPr>
        <w:sz w:val="20"/>
        <w:lang w:val="en-US"/>
      </w:rPr>
      <w:t>GE.</w:t>
    </w:r>
    <w:r w:rsidR="00652221">
      <w:rPr>
        <w:noProof/>
      </w:rPr>
      <w:drawing>
        <wp:anchor distT="0" distB="0" distL="114300" distR="114300" simplePos="0" relativeHeight="251658240" behindDoc="1" locked="1" layoutInCell="0" allowOverlap="1" wp14:anchorId="578EBCA6" wp14:editId="00826175">
          <wp:simplePos x="0" y="0"/>
          <wp:positionH relativeFrom="margin">
            <wp:posOffset>719455</wp:posOffset>
          </wp:positionH>
          <wp:positionV relativeFrom="margin">
            <wp:posOffset>9144000</wp:posOffset>
          </wp:positionV>
          <wp:extent cx="1162685" cy="325120"/>
          <wp:effectExtent l="0" t="0" r="0" b="0"/>
          <wp:wrapTight wrapText="bothSides">
            <wp:wrapPolygon edited="0">
              <wp:start x="0" y="0"/>
              <wp:lineTo x="0" y="20250"/>
              <wp:lineTo x="21234" y="20250"/>
              <wp:lineTo x="21234" y="0"/>
              <wp:lineTo x="0" y="0"/>
            </wp:wrapPolygon>
          </wp:wrapTight>
          <wp:docPr id="1" name="Picture 1" descr="يُرجى إعادة التدوي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رجاء_إعادة_التدوير"/>
                  <pic:cNvPicPr>
                    <a:picLocks noChangeAspect="1" noChangeArrowheads="1"/>
                  </pic:cNvPicPr>
                </pic:nvPicPr>
                <pic:blipFill>
                  <a:blip r:embed="rId1">
                    <a:extLst>
                      <a:ext uri="{28A0092B-C50C-407E-A947-70E740481C1C}">
                        <a14:useLocalDpi xmlns:a14="http://schemas.microsoft.com/office/drawing/2010/main" val="0"/>
                      </a:ext>
                    </a:extLst>
                  </a:blip>
                  <a:srcRect t="4395" b="4395"/>
                  <a:stretch>
                    <a:fillRect/>
                  </a:stretch>
                </pic:blipFill>
                <pic:spPr bwMode="auto">
                  <a:xfrm>
                    <a:off x="0" y="0"/>
                    <a:ext cx="1162685" cy="325120"/>
                  </a:xfrm>
                  <a:prstGeom prst="rect">
                    <a:avLst/>
                  </a:prstGeom>
                  <a:noFill/>
                </pic:spPr>
              </pic:pic>
            </a:graphicData>
          </a:graphic>
          <wp14:sizeRelH relativeFrom="page">
            <wp14:pctWidth>0</wp14:pctWidth>
          </wp14:sizeRelH>
          <wp14:sizeRelV relativeFrom="page">
            <wp14:pctHeight>0</wp14:pctHeight>
          </wp14:sizeRelV>
        </wp:anchor>
      </w:drawing>
    </w:r>
    <w:r>
      <w:rPr>
        <w:sz w:val="20"/>
        <w:lang w:val="en-US"/>
      </w:rPr>
      <w:t>21-05697 (A)</w:t>
    </w:r>
    <w:r>
      <w:rPr>
        <w:noProof/>
        <w:sz w:val="20"/>
        <w:lang w:val="en-US"/>
      </w:rPr>
      <w:drawing>
        <wp:anchor distT="0" distB="0" distL="114300" distR="114300" simplePos="0" relativeHeight="251659264" behindDoc="0" locked="0" layoutInCell="1" allowOverlap="1" wp14:anchorId="29FF3F73" wp14:editId="3051571D">
          <wp:simplePos x="0" y="0"/>
          <wp:positionH relativeFrom="margin">
            <wp:posOffset>0</wp:posOffset>
          </wp:positionH>
          <wp:positionV relativeFrom="margin">
            <wp:posOffset>8891905</wp:posOffset>
          </wp:positionV>
          <wp:extent cx="561975" cy="561975"/>
          <wp:effectExtent l="0" t="0" r="9525" b="9525"/>
          <wp:wrapNone/>
          <wp:docPr id="3" name="Picture 1" descr="امسح الرمز لتصفح الوثيقة أو تحميل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امسح الرمز لتصفح الوثيقة أو تحميلها"/>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8ED059" w14:textId="77777777" w:rsidR="00C301B6" w:rsidRPr="000437B8" w:rsidRDefault="00C301B6" w:rsidP="00F10DAB">
      <w:pPr>
        <w:pStyle w:val="Footer"/>
        <w:bidi/>
        <w:spacing w:after="80" w:line="200" w:lineRule="exact"/>
        <w:ind w:left="680"/>
      </w:pPr>
      <w:r>
        <w:rPr>
          <w:rtl/>
        </w:rPr>
        <w:t>__________</w:t>
      </w:r>
    </w:p>
  </w:footnote>
  <w:footnote w:type="continuationSeparator" w:id="0">
    <w:p w14:paraId="25BCE1FD" w14:textId="77777777" w:rsidR="00C301B6" w:rsidRDefault="00C301B6" w:rsidP="00656392">
      <w:pPr>
        <w:spacing w:line="240" w:lineRule="auto"/>
      </w:pPr>
      <w:r>
        <w:continuationSeparator/>
      </w:r>
    </w:p>
  </w:footnote>
  <w:footnote w:id="1">
    <w:p w14:paraId="790B325E" w14:textId="0CD7AC12" w:rsidR="00CF09CB" w:rsidRPr="00CF09CB" w:rsidRDefault="00CF09CB" w:rsidP="00CF09CB">
      <w:pPr>
        <w:pStyle w:val="FootnoteText1"/>
        <w:rPr>
          <w:rtl/>
        </w:rPr>
      </w:pPr>
      <w:r w:rsidRPr="001850ED">
        <w:rPr>
          <w:sz w:val="22"/>
          <w:szCs w:val="22"/>
          <w:rtl/>
        </w:rPr>
        <w:t>*</w:t>
      </w:r>
      <w:r>
        <w:rPr>
          <w:rtl/>
        </w:rPr>
        <w:tab/>
        <w:t xml:space="preserve">اعتمدته اللجنة في دورتها </w:t>
      </w:r>
      <w:r w:rsidRPr="00FE01EF">
        <w:rPr>
          <w:rFonts w:ascii="Traditional Arabic"/>
          <w:szCs w:val="20"/>
          <w:rtl/>
        </w:rPr>
        <w:t>131</w:t>
      </w:r>
      <w:r>
        <w:rPr>
          <w:rFonts w:ascii="Traditional Arabic"/>
          <w:szCs w:val="20"/>
          <w:rtl/>
        </w:rPr>
        <w:t xml:space="preserve"> (</w:t>
      </w:r>
      <w:r w:rsidRPr="00FE01EF">
        <w:rPr>
          <w:rFonts w:ascii="Traditional Arabic"/>
          <w:szCs w:val="20"/>
          <w:rtl/>
        </w:rPr>
        <w:t>1</w:t>
      </w:r>
      <w:r>
        <w:rPr>
          <w:rFonts w:ascii="Traditional Arabic"/>
          <w:szCs w:val="20"/>
          <w:rtl/>
        </w:rPr>
        <w:t>-</w:t>
      </w:r>
      <w:r w:rsidRPr="00FE01EF">
        <w:rPr>
          <w:rFonts w:ascii="Traditional Arabic"/>
          <w:szCs w:val="20"/>
          <w:rtl/>
        </w:rPr>
        <w:t>26</w:t>
      </w:r>
      <w:r>
        <w:rPr>
          <w:rtl/>
        </w:rPr>
        <w:t xml:space="preserve"> </w:t>
      </w:r>
      <w:r w:rsidR="00EC2D3A">
        <w:rPr>
          <w:rFonts w:hint="cs"/>
          <w:rtl/>
        </w:rPr>
        <w:t>آذار/</w:t>
      </w:r>
      <w:r>
        <w:rPr>
          <w:rtl/>
        </w:rPr>
        <w:t xml:space="preserve">مارس </w:t>
      </w:r>
      <w:r w:rsidRPr="00FE01EF">
        <w:rPr>
          <w:rFonts w:ascii="Traditional Arabic"/>
          <w:szCs w:val="20"/>
          <w:rtl/>
        </w:rPr>
        <w:t>2021</w:t>
      </w:r>
      <w:r>
        <w:rPr>
          <w:rFonts w:ascii="Traditional Arabic"/>
          <w:szCs w:val="20"/>
          <w:rtl/>
        </w:rPr>
        <w:t>)</w:t>
      </w:r>
      <w:r>
        <w:rPr>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69B9E5" w14:textId="5A4C7B6F" w:rsidR="003275B7" w:rsidRPr="003275B7" w:rsidRDefault="003275B7" w:rsidP="003275B7">
    <w:pPr>
      <w:pStyle w:val="Header"/>
      <w:jc w:val="left"/>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D2631A">
      <w:t>CCPR/C/131/2/Add.4</w:t>
    </w:r>
    <w:r>
      <w:rPr>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2CAA7" w14:textId="7B7F08B7" w:rsidR="003275B7" w:rsidRPr="003275B7" w:rsidRDefault="003275B7" w:rsidP="003275B7">
    <w:pPr>
      <w:pStyle w:val="Header"/>
      <w:bidi w:val="0"/>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D2631A">
      <w:t>CCPR/C/131/2/Add.4</w:t>
    </w:r>
    <w:r>
      <w:rPr>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751066"/>
    <w:multiLevelType w:val="hybridMultilevel"/>
    <w:tmpl w:val="3F9A56B0"/>
    <w:lvl w:ilvl="0" w:tplc="9A1477B0">
      <w:start w:val="1"/>
      <w:numFmt w:val="arabicAlpha"/>
      <w:lvlText w:val="(%1)"/>
      <w:lvlJc w:val="left"/>
      <w:pPr>
        <w:ind w:left="2297" w:hanging="360"/>
      </w:pPr>
      <w:rPr>
        <w:rFonts w:hint="default"/>
      </w:rPr>
    </w:lvl>
    <w:lvl w:ilvl="1" w:tplc="04090019" w:tentative="1">
      <w:start w:val="1"/>
      <w:numFmt w:val="lowerLetter"/>
      <w:lvlText w:val="%2."/>
      <w:lvlJc w:val="left"/>
      <w:pPr>
        <w:ind w:left="3017" w:hanging="360"/>
      </w:pPr>
    </w:lvl>
    <w:lvl w:ilvl="2" w:tplc="0409001B" w:tentative="1">
      <w:start w:val="1"/>
      <w:numFmt w:val="lowerRoman"/>
      <w:lvlText w:val="%3."/>
      <w:lvlJc w:val="right"/>
      <w:pPr>
        <w:ind w:left="3737" w:hanging="180"/>
      </w:pPr>
    </w:lvl>
    <w:lvl w:ilvl="3" w:tplc="0409000F" w:tentative="1">
      <w:start w:val="1"/>
      <w:numFmt w:val="decimal"/>
      <w:lvlText w:val="%4."/>
      <w:lvlJc w:val="left"/>
      <w:pPr>
        <w:ind w:left="4457" w:hanging="360"/>
      </w:pPr>
    </w:lvl>
    <w:lvl w:ilvl="4" w:tplc="04090019" w:tentative="1">
      <w:start w:val="1"/>
      <w:numFmt w:val="lowerLetter"/>
      <w:lvlText w:val="%5."/>
      <w:lvlJc w:val="left"/>
      <w:pPr>
        <w:ind w:left="5177" w:hanging="360"/>
      </w:pPr>
    </w:lvl>
    <w:lvl w:ilvl="5" w:tplc="0409001B" w:tentative="1">
      <w:start w:val="1"/>
      <w:numFmt w:val="lowerRoman"/>
      <w:lvlText w:val="%6."/>
      <w:lvlJc w:val="right"/>
      <w:pPr>
        <w:ind w:left="5897" w:hanging="180"/>
      </w:pPr>
    </w:lvl>
    <w:lvl w:ilvl="6" w:tplc="0409000F" w:tentative="1">
      <w:start w:val="1"/>
      <w:numFmt w:val="decimal"/>
      <w:lvlText w:val="%7."/>
      <w:lvlJc w:val="left"/>
      <w:pPr>
        <w:ind w:left="6617" w:hanging="360"/>
      </w:pPr>
    </w:lvl>
    <w:lvl w:ilvl="7" w:tplc="04090019" w:tentative="1">
      <w:start w:val="1"/>
      <w:numFmt w:val="lowerLetter"/>
      <w:lvlText w:val="%8."/>
      <w:lvlJc w:val="left"/>
      <w:pPr>
        <w:ind w:left="7337" w:hanging="360"/>
      </w:pPr>
    </w:lvl>
    <w:lvl w:ilvl="8" w:tplc="0409001B" w:tentative="1">
      <w:start w:val="1"/>
      <w:numFmt w:val="lowerRoman"/>
      <w:lvlText w:val="%9."/>
      <w:lvlJc w:val="right"/>
      <w:pPr>
        <w:ind w:left="8057" w:hanging="180"/>
      </w:pPr>
    </w:lvl>
  </w:abstractNum>
  <w:abstractNum w:abstractNumId="3" w15:restartNumberingAfterBreak="0">
    <w:nsid w:val="0B851AF4"/>
    <w:multiLevelType w:val="hybridMultilevel"/>
    <w:tmpl w:val="462EC7C6"/>
    <w:lvl w:ilvl="0" w:tplc="7A2C7C9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5F3D0D"/>
    <w:multiLevelType w:val="hybridMultilevel"/>
    <w:tmpl w:val="662648DC"/>
    <w:lvl w:ilvl="0" w:tplc="CCEC1C1A">
      <w:start w:val="1"/>
      <w:numFmt w:val="arabicAlpha"/>
      <w:lvlText w:val="(%1)"/>
      <w:lvlJc w:val="left"/>
      <w:pPr>
        <w:ind w:left="2064" w:hanging="360"/>
      </w:pPr>
      <w:rPr>
        <w:rFonts w:hint="default"/>
        <w:b w:val="0"/>
      </w:rPr>
    </w:lvl>
    <w:lvl w:ilvl="1" w:tplc="04090019" w:tentative="1">
      <w:start w:val="1"/>
      <w:numFmt w:val="lowerLetter"/>
      <w:lvlText w:val="%2."/>
      <w:lvlJc w:val="left"/>
      <w:pPr>
        <w:ind w:left="2784" w:hanging="360"/>
      </w:pPr>
    </w:lvl>
    <w:lvl w:ilvl="2" w:tplc="0409001B" w:tentative="1">
      <w:start w:val="1"/>
      <w:numFmt w:val="lowerRoman"/>
      <w:lvlText w:val="%3."/>
      <w:lvlJc w:val="right"/>
      <w:pPr>
        <w:ind w:left="3504" w:hanging="180"/>
      </w:pPr>
    </w:lvl>
    <w:lvl w:ilvl="3" w:tplc="0409000F" w:tentative="1">
      <w:start w:val="1"/>
      <w:numFmt w:val="decimal"/>
      <w:lvlText w:val="%4."/>
      <w:lvlJc w:val="left"/>
      <w:pPr>
        <w:ind w:left="4224" w:hanging="360"/>
      </w:pPr>
    </w:lvl>
    <w:lvl w:ilvl="4" w:tplc="04090019" w:tentative="1">
      <w:start w:val="1"/>
      <w:numFmt w:val="lowerLetter"/>
      <w:lvlText w:val="%5."/>
      <w:lvlJc w:val="left"/>
      <w:pPr>
        <w:ind w:left="4944" w:hanging="360"/>
      </w:pPr>
    </w:lvl>
    <w:lvl w:ilvl="5" w:tplc="0409001B" w:tentative="1">
      <w:start w:val="1"/>
      <w:numFmt w:val="lowerRoman"/>
      <w:lvlText w:val="%6."/>
      <w:lvlJc w:val="right"/>
      <w:pPr>
        <w:ind w:left="5664" w:hanging="180"/>
      </w:pPr>
    </w:lvl>
    <w:lvl w:ilvl="6" w:tplc="0409000F" w:tentative="1">
      <w:start w:val="1"/>
      <w:numFmt w:val="decimal"/>
      <w:lvlText w:val="%7."/>
      <w:lvlJc w:val="left"/>
      <w:pPr>
        <w:ind w:left="6384" w:hanging="360"/>
      </w:pPr>
    </w:lvl>
    <w:lvl w:ilvl="7" w:tplc="04090019" w:tentative="1">
      <w:start w:val="1"/>
      <w:numFmt w:val="lowerLetter"/>
      <w:lvlText w:val="%8."/>
      <w:lvlJc w:val="left"/>
      <w:pPr>
        <w:ind w:left="7104" w:hanging="360"/>
      </w:pPr>
    </w:lvl>
    <w:lvl w:ilvl="8" w:tplc="0409001B" w:tentative="1">
      <w:start w:val="1"/>
      <w:numFmt w:val="lowerRoman"/>
      <w:lvlText w:val="%9."/>
      <w:lvlJc w:val="right"/>
      <w:pPr>
        <w:ind w:left="7824" w:hanging="180"/>
      </w:pPr>
    </w:lvl>
  </w:abstractNum>
  <w:abstractNum w:abstractNumId="6" w15:restartNumberingAfterBreak="0">
    <w:nsid w:val="187567ED"/>
    <w:multiLevelType w:val="hybridMultilevel"/>
    <w:tmpl w:val="214CC6CA"/>
    <w:lvl w:ilvl="0" w:tplc="D98C67CA">
      <w:start w:val="1"/>
      <w:numFmt w:val="arabicAlpha"/>
      <w:lvlText w:val="(%1)"/>
      <w:lvlJc w:val="left"/>
      <w:pPr>
        <w:ind w:left="2297" w:hanging="360"/>
      </w:pPr>
      <w:rPr>
        <w:rFonts w:hint="default"/>
      </w:rPr>
    </w:lvl>
    <w:lvl w:ilvl="1" w:tplc="04090019" w:tentative="1">
      <w:start w:val="1"/>
      <w:numFmt w:val="lowerLetter"/>
      <w:lvlText w:val="%2."/>
      <w:lvlJc w:val="left"/>
      <w:pPr>
        <w:ind w:left="3017" w:hanging="360"/>
      </w:pPr>
    </w:lvl>
    <w:lvl w:ilvl="2" w:tplc="0409001B" w:tentative="1">
      <w:start w:val="1"/>
      <w:numFmt w:val="lowerRoman"/>
      <w:lvlText w:val="%3."/>
      <w:lvlJc w:val="right"/>
      <w:pPr>
        <w:ind w:left="3737" w:hanging="180"/>
      </w:pPr>
    </w:lvl>
    <w:lvl w:ilvl="3" w:tplc="0409000F" w:tentative="1">
      <w:start w:val="1"/>
      <w:numFmt w:val="decimal"/>
      <w:lvlText w:val="%4."/>
      <w:lvlJc w:val="left"/>
      <w:pPr>
        <w:ind w:left="4457" w:hanging="360"/>
      </w:pPr>
    </w:lvl>
    <w:lvl w:ilvl="4" w:tplc="04090019" w:tentative="1">
      <w:start w:val="1"/>
      <w:numFmt w:val="lowerLetter"/>
      <w:lvlText w:val="%5."/>
      <w:lvlJc w:val="left"/>
      <w:pPr>
        <w:ind w:left="5177" w:hanging="360"/>
      </w:pPr>
    </w:lvl>
    <w:lvl w:ilvl="5" w:tplc="0409001B" w:tentative="1">
      <w:start w:val="1"/>
      <w:numFmt w:val="lowerRoman"/>
      <w:lvlText w:val="%6."/>
      <w:lvlJc w:val="right"/>
      <w:pPr>
        <w:ind w:left="5897" w:hanging="180"/>
      </w:pPr>
    </w:lvl>
    <w:lvl w:ilvl="6" w:tplc="0409000F" w:tentative="1">
      <w:start w:val="1"/>
      <w:numFmt w:val="decimal"/>
      <w:lvlText w:val="%7."/>
      <w:lvlJc w:val="left"/>
      <w:pPr>
        <w:ind w:left="6617" w:hanging="360"/>
      </w:pPr>
    </w:lvl>
    <w:lvl w:ilvl="7" w:tplc="04090019" w:tentative="1">
      <w:start w:val="1"/>
      <w:numFmt w:val="lowerLetter"/>
      <w:lvlText w:val="%8."/>
      <w:lvlJc w:val="left"/>
      <w:pPr>
        <w:ind w:left="7337" w:hanging="360"/>
      </w:pPr>
    </w:lvl>
    <w:lvl w:ilvl="8" w:tplc="0409001B" w:tentative="1">
      <w:start w:val="1"/>
      <w:numFmt w:val="lowerRoman"/>
      <w:lvlText w:val="%9."/>
      <w:lvlJc w:val="right"/>
      <w:pPr>
        <w:ind w:left="8057" w:hanging="180"/>
      </w:pPr>
    </w:lvl>
  </w:abstractNum>
  <w:abstractNum w:abstractNumId="7" w15:restartNumberingAfterBreak="0">
    <w:nsid w:val="1A515502"/>
    <w:multiLevelType w:val="hybridMultilevel"/>
    <w:tmpl w:val="B66A8766"/>
    <w:lvl w:ilvl="0" w:tplc="A1667854">
      <w:start w:val="1"/>
      <w:numFmt w:val="arabicAlpha"/>
      <w:lvlText w:val="(%1)"/>
      <w:lvlJc w:val="left"/>
      <w:pPr>
        <w:ind w:left="2612" w:hanging="682"/>
      </w:pPr>
      <w:rPr>
        <w:rFonts w:hint="default"/>
      </w:rPr>
    </w:lvl>
    <w:lvl w:ilvl="1" w:tplc="04090019" w:tentative="1">
      <w:start w:val="1"/>
      <w:numFmt w:val="lowerLetter"/>
      <w:lvlText w:val="%2."/>
      <w:lvlJc w:val="left"/>
      <w:pPr>
        <w:ind w:left="3010" w:hanging="360"/>
      </w:pPr>
    </w:lvl>
    <w:lvl w:ilvl="2" w:tplc="0409001B" w:tentative="1">
      <w:start w:val="1"/>
      <w:numFmt w:val="lowerRoman"/>
      <w:lvlText w:val="%3."/>
      <w:lvlJc w:val="right"/>
      <w:pPr>
        <w:ind w:left="3730" w:hanging="180"/>
      </w:pPr>
    </w:lvl>
    <w:lvl w:ilvl="3" w:tplc="0409000F" w:tentative="1">
      <w:start w:val="1"/>
      <w:numFmt w:val="decimal"/>
      <w:lvlText w:val="%4."/>
      <w:lvlJc w:val="left"/>
      <w:pPr>
        <w:ind w:left="4450" w:hanging="360"/>
      </w:pPr>
    </w:lvl>
    <w:lvl w:ilvl="4" w:tplc="04090019" w:tentative="1">
      <w:start w:val="1"/>
      <w:numFmt w:val="lowerLetter"/>
      <w:lvlText w:val="%5."/>
      <w:lvlJc w:val="left"/>
      <w:pPr>
        <w:ind w:left="5170" w:hanging="360"/>
      </w:pPr>
    </w:lvl>
    <w:lvl w:ilvl="5" w:tplc="0409001B" w:tentative="1">
      <w:start w:val="1"/>
      <w:numFmt w:val="lowerRoman"/>
      <w:lvlText w:val="%6."/>
      <w:lvlJc w:val="right"/>
      <w:pPr>
        <w:ind w:left="5890" w:hanging="180"/>
      </w:pPr>
    </w:lvl>
    <w:lvl w:ilvl="6" w:tplc="0409000F" w:tentative="1">
      <w:start w:val="1"/>
      <w:numFmt w:val="decimal"/>
      <w:lvlText w:val="%7."/>
      <w:lvlJc w:val="left"/>
      <w:pPr>
        <w:ind w:left="6610" w:hanging="360"/>
      </w:pPr>
    </w:lvl>
    <w:lvl w:ilvl="7" w:tplc="04090019" w:tentative="1">
      <w:start w:val="1"/>
      <w:numFmt w:val="lowerLetter"/>
      <w:lvlText w:val="%8."/>
      <w:lvlJc w:val="left"/>
      <w:pPr>
        <w:ind w:left="7330" w:hanging="360"/>
      </w:pPr>
    </w:lvl>
    <w:lvl w:ilvl="8" w:tplc="0409001B" w:tentative="1">
      <w:start w:val="1"/>
      <w:numFmt w:val="lowerRoman"/>
      <w:lvlText w:val="%9."/>
      <w:lvlJc w:val="right"/>
      <w:pPr>
        <w:ind w:left="8050" w:hanging="180"/>
      </w:pPr>
    </w:lvl>
  </w:abstractNum>
  <w:abstractNum w:abstractNumId="8" w15:restartNumberingAfterBreak="0">
    <w:nsid w:val="25F272F0"/>
    <w:multiLevelType w:val="hybridMultilevel"/>
    <w:tmpl w:val="639E4496"/>
    <w:lvl w:ilvl="0" w:tplc="9AA29D80">
      <w:start w:val="1"/>
      <w:numFmt w:val="decimal"/>
      <w:pStyle w:val="Roman1GA"/>
      <w:lvlText w:val="'%1'"/>
      <w:lvlJc w:val="right"/>
      <w:pPr>
        <w:tabs>
          <w:tab w:val="num" w:pos="2310"/>
        </w:tabs>
        <w:ind w:left="2310" w:hanging="360"/>
      </w:p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9" w15:restartNumberingAfterBreak="0">
    <w:nsid w:val="2E7D2AC6"/>
    <w:multiLevelType w:val="hybridMultilevel"/>
    <w:tmpl w:val="3D12582C"/>
    <w:lvl w:ilvl="0" w:tplc="CB588E8E">
      <w:start w:val="1"/>
      <w:numFmt w:val="bullet"/>
      <w:lvlText w:val="o"/>
      <w:lvlJc w:val="left"/>
      <w:pPr>
        <w:ind w:left="720" w:hanging="360"/>
      </w:pPr>
      <w:rPr>
        <w:rFonts w:ascii="Courier New" w:hAnsi="Courier New" w:cs="Courier New"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B4774D"/>
    <w:multiLevelType w:val="hybridMultilevel"/>
    <w:tmpl w:val="06BA8590"/>
    <w:lvl w:ilvl="0" w:tplc="0809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1" w15:restartNumberingAfterBreak="0">
    <w:nsid w:val="32A75D52"/>
    <w:multiLevelType w:val="hybridMultilevel"/>
    <w:tmpl w:val="B622CBCC"/>
    <w:lvl w:ilvl="0" w:tplc="EF10EA04">
      <w:start w:val="1"/>
      <w:numFmt w:val="decimal"/>
      <w:pStyle w:val="ParaNoGA"/>
      <w:lvlText w:val="%1-"/>
      <w:lvlJc w:val="left"/>
      <w:pPr>
        <w:tabs>
          <w:tab w:val="num" w:pos="1361"/>
        </w:tabs>
        <w:ind w:left="1247" w:firstLine="0"/>
      </w:pPr>
      <w:rPr>
        <w:rFonts w:cs="Simplified Arabic"/>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ACF4EB2"/>
    <w:multiLevelType w:val="hybridMultilevel"/>
    <w:tmpl w:val="BE9AB9A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3ADF34DA"/>
    <w:multiLevelType w:val="hybridMultilevel"/>
    <w:tmpl w:val="21FC2716"/>
    <w:lvl w:ilvl="0" w:tplc="6E5892B2">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C13523C"/>
    <w:multiLevelType w:val="hybridMultilevel"/>
    <w:tmpl w:val="5F48A572"/>
    <w:lvl w:ilvl="0" w:tplc="2084BF32">
      <w:start w:val="1"/>
      <w:numFmt w:val="arabicAlpha"/>
      <w:lvlText w:val="(%1)"/>
      <w:lvlJc w:val="left"/>
      <w:pPr>
        <w:ind w:left="2297" w:hanging="360"/>
      </w:pPr>
      <w:rPr>
        <w:rFonts w:hint="default"/>
      </w:rPr>
    </w:lvl>
    <w:lvl w:ilvl="1" w:tplc="04090019" w:tentative="1">
      <w:start w:val="1"/>
      <w:numFmt w:val="lowerLetter"/>
      <w:lvlText w:val="%2."/>
      <w:lvlJc w:val="left"/>
      <w:pPr>
        <w:ind w:left="3017" w:hanging="360"/>
      </w:pPr>
    </w:lvl>
    <w:lvl w:ilvl="2" w:tplc="0409001B" w:tentative="1">
      <w:start w:val="1"/>
      <w:numFmt w:val="lowerRoman"/>
      <w:lvlText w:val="%3."/>
      <w:lvlJc w:val="right"/>
      <w:pPr>
        <w:ind w:left="3737" w:hanging="180"/>
      </w:pPr>
    </w:lvl>
    <w:lvl w:ilvl="3" w:tplc="0409000F" w:tentative="1">
      <w:start w:val="1"/>
      <w:numFmt w:val="decimal"/>
      <w:lvlText w:val="%4."/>
      <w:lvlJc w:val="left"/>
      <w:pPr>
        <w:ind w:left="4457" w:hanging="360"/>
      </w:pPr>
    </w:lvl>
    <w:lvl w:ilvl="4" w:tplc="04090019" w:tentative="1">
      <w:start w:val="1"/>
      <w:numFmt w:val="lowerLetter"/>
      <w:lvlText w:val="%5."/>
      <w:lvlJc w:val="left"/>
      <w:pPr>
        <w:ind w:left="5177" w:hanging="360"/>
      </w:pPr>
    </w:lvl>
    <w:lvl w:ilvl="5" w:tplc="0409001B" w:tentative="1">
      <w:start w:val="1"/>
      <w:numFmt w:val="lowerRoman"/>
      <w:lvlText w:val="%6."/>
      <w:lvlJc w:val="right"/>
      <w:pPr>
        <w:ind w:left="5897" w:hanging="180"/>
      </w:pPr>
    </w:lvl>
    <w:lvl w:ilvl="6" w:tplc="0409000F" w:tentative="1">
      <w:start w:val="1"/>
      <w:numFmt w:val="decimal"/>
      <w:lvlText w:val="%7."/>
      <w:lvlJc w:val="left"/>
      <w:pPr>
        <w:ind w:left="6617" w:hanging="360"/>
      </w:pPr>
    </w:lvl>
    <w:lvl w:ilvl="7" w:tplc="04090019" w:tentative="1">
      <w:start w:val="1"/>
      <w:numFmt w:val="lowerLetter"/>
      <w:lvlText w:val="%8."/>
      <w:lvlJc w:val="left"/>
      <w:pPr>
        <w:ind w:left="7337" w:hanging="360"/>
      </w:pPr>
    </w:lvl>
    <w:lvl w:ilvl="8" w:tplc="0409001B" w:tentative="1">
      <w:start w:val="1"/>
      <w:numFmt w:val="lowerRoman"/>
      <w:lvlText w:val="%9."/>
      <w:lvlJc w:val="right"/>
      <w:pPr>
        <w:ind w:left="8057" w:hanging="180"/>
      </w:pPr>
    </w:lvl>
  </w:abstractNum>
  <w:abstractNum w:abstractNumId="15" w15:restartNumberingAfterBreak="0">
    <w:nsid w:val="3CBB14C3"/>
    <w:multiLevelType w:val="hybridMultilevel"/>
    <w:tmpl w:val="660689B2"/>
    <w:lvl w:ilvl="0" w:tplc="E784360A">
      <w:start w:val="1"/>
      <w:numFmt w:val="arabicAlpha"/>
      <w:lvlText w:val="(%1)"/>
      <w:lvlJc w:val="left"/>
      <w:pPr>
        <w:ind w:left="1564" w:hanging="360"/>
      </w:pPr>
      <w:rPr>
        <w:rFonts w:hint="default"/>
      </w:rPr>
    </w:lvl>
    <w:lvl w:ilvl="1" w:tplc="04090019" w:tentative="1">
      <w:start w:val="1"/>
      <w:numFmt w:val="lowerLetter"/>
      <w:lvlText w:val="%2."/>
      <w:lvlJc w:val="left"/>
      <w:pPr>
        <w:ind w:left="2284" w:hanging="360"/>
      </w:pPr>
    </w:lvl>
    <w:lvl w:ilvl="2" w:tplc="0409001B" w:tentative="1">
      <w:start w:val="1"/>
      <w:numFmt w:val="lowerRoman"/>
      <w:lvlText w:val="%3."/>
      <w:lvlJc w:val="right"/>
      <w:pPr>
        <w:ind w:left="3004" w:hanging="180"/>
      </w:pPr>
    </w:lvl>
    <w:lvl w:ilvl="3" w:tplc="0409000F" w:tentative="1">
      <w:start w:val="1"/>
      <w:numFmt w:val="decimal"/>
      <w:lvlText w:val="%4."/>
      <w:lvlJc w:val="left"/>
      <w:pPr>
        <w:ind w:left="3724" w:hanging="360"/>
      </w:pPr>
    </w:lvl>
    <w:lvl w:ilvl="4" w:tplc="04090019" w:tentative="1">
      <w:start w:val="1"/>
      <w:numFmt w:val="lowerLetter"/>
      <w:lvlText w:val="%5."/>
      <w:lvlJc w:val="left"/>
      <w:pPr>
        <w:ind w:left="4444" w:hanging="360"/>
      </w:pPr>
    </w:lvl>
    <w:lvl w:ilvl="5" w:tplc="0409001B" w:tentative="1">
      <w:start w:val="1"/>
      <w:numFmt w:val="lowerRoman"/>
      <w:lvlText w:val="%6."/>
      <w:lvlJc w:val="right"/>
      <w:pPr>
        <w:ind w:left="5164" w:hanging="180"/>
      </w:pPr>
    </w:lvl>
    <w:lvl w:ilvl="6" w:tplc="0409000F" w:tentative="1">
      <w:start w:val="1"/>
      <w:numFmt w:val="decimal"/>
      <w:lvlText w:val="%7."/>
      <w:lvlJc w:val="left"/>
      <w:pPr>
        <w:ind w:left="5884" w:hanging="360"/>
      </w:pPr>
    </w:lvl>
    <w:lvl w:ilvl="7" w:tplc="04090019" w:tentative="1">
      <w:start w:val="1"/>
      <w:numFmt w:val="lowerLetter"/>
      <w:lvlText w:val="%8."/>
      <w:lvlJc w:val="left"/>
      <w:pPr>
        <w:ind w:left="6604" w:hanging="360"/>
      </w:pPr>
    </w:lvl>
    <w:lvl w:ilvl="8" w:tplc="0409001B" w:tentative="1">
      <w:start w:val="1"/>
      <w:numFmt w:val="lowerRoman"/>
      <w:lvlText w:val="%9."/>
      <w:lvlJc w:val="right"/>
      <w:pPr>
        <w:ind w:left="7324" w:hanging="180"/>
      </w:pPr>
    </w:lvl>
  </w:abstractNum>
  <w:abstractNum w:abstractNumId="16" w15:restartNumberingAfterBreak="0">
    <w:nsid w:val="43252DFA"/>
    <w:multiLevelType w:val="hybridMultilevel"/>
    <w:tmpl w:val="B5AAC168"/>
    <w:lvl w:ilvl="0" w:tplc="A8AC48AE">
      <w:start w:val="1"/>
      <w:numFmt w:val="arabicAlpha"/>
      <w:lvlText w:val="(%1)"/>
      <w:lvlJc w:val="left"/>
      <w:pPr>
        <w:ind w:left="2064" w:hanging="360"/>
      </w:pPr>
      <w:rPr>
        <w:rFonts w:hint="default"/>
        <w:b w:val="0"/>
      </w:rPr>
    </w:lvl>
    <w:lvl w:ilvl="1" w:tplc="04090019" w:tentative="1">
      <w:start w:val="1"/>
      <w:numFmt w:val="lowerLetter"/>
      <w:lvlText w:val="%2."/>
      <w:lvlJc w:val="left"/>
      <w:pPr>
        <w:ind w:left="2784" w:hanging="360"/>
      </w:pPr>
    </w:lvl>
    <w:lvl w:ilvl="2" w:tplc="0409001B" w:tentative="1">
      <w:start w:val="1"/>
      <w:numFmt w:val="lowerRoman"/>
      <w:lvlText w:val="%3."/>
      <w:lvlJc w:val="right"/>
      <w:pPr>
        <w:ind w:left="3504" w:hanging="180"/>
      </w:pPr>
    </w:lvl>
    <w:lvl w:ilvl="3" w:tplc="0409000F" w:tentative="1">
      <w:start w:val="1"/>
      <w:numFmt w:val="decimal"/>
      <w:lvlText w:val="%4."/>
      <w:lvlJc w:val="left"/>
      <w:pPr>
        <w:ind w:left="4224" w:hanging="360"/>
      </w:pPr>
    </w:lvl>
    <w:lvl w:ilvl="4" w:tplc="04090019" w:tentative="1">
      <w:start w:val="1"/>
      <w:numFmt w:val="lowerLetter"/>
      <w:lvlText w:val="%5."/>
      <w:lvlJc w:val="left"/>
      <w:pPr>
        <w:ind w:left="4944" w:hanging="360"/>
      </w:pPr>
    </w:lvl>
    <w:lvl w:ilvl="5" w:tplc="0409001B" w:tentative="1">
      <w:start w:val="1"/>
      <w:numFmt w:val="lowerRoman"/>
      <w:lvlText w:val="%6."/>
      <w:lvlJc w:val="right"/>
      <w:pPr>
        <w:ind w:left="5664" w:hanging="180"/>
      </w:pPr>
    </w:lvl>
    <w:lvl w:ilvl="6" w:tplc="0409000F" w:tentative="1">
      <w:start w:val="1"/>
      <w:numFmt w:val="decimal"/>
      <w:lvlText w:val="%7."/>
      <w:lvlJc w:val="left"/>
      <w:pPr>
        <w:ind w:left="6384" w:hanging="360"/>
      </w:pPr>
    </w:lvl>
    <w:lvl w:ilvl="7" w:tplc="04090019" w:tentative="1">
      <w:start w:val="1"/>
      <w:numFmt w:val="lowerLetter"/>
      <w:lvlText w:val="%8."/>
      <w:lvlJc w:val="left"/>
      <w:pPr>
        <w:ind w:left="7104" w:hanging="360"/>
      </w:pPr>
    </w:lvl>
    <w:lvl w:ilvl="8" w:tplc="0409001B" w:tentative="1">
      <w:start w:val="1"/>
      <w:numFmt w:val="lowerRoman"/>
      <w:lvlText w:val="%9."/>
      <w:lvlJc w:val="right"/>
      <w:pPr>
        <w:ind w:left="7824" w:hanging="180"/>
      </w:pPr>
    </w:lvl>
  </w:abstractNum>
  <w:abstractNum w:abstractNumId="17" w15:restartNumberingAfterBreak="0">
    <w:nsid w:val="443D0EB2"/>
    <w:multiLevelType w:val="hybridMultilevel"/>
    <w:tmpl w:val="B86817AC"/>
    <w:lvl w:ilvl="0" w:tplc="86584F68">
      <w:start w:val="1"/>
      <w:numFmt w:val="arabicAlpha"/>
      <w:lvlText w:val="(%1)"/>
      <w:lvlJc w:val="left"/>
      <w:pPr>
        <w:ind w:left="2297" w:hanging="360"/>
      </w:pPr>
      <w:rPr>
        <w:rFonts w:hint="default"/>
      </w:rPr>
    </w:lvl>
    <w:lvl w:ilvl="1" w:tplc="04090019" w:tentative="1">
      <w:start w:val="1"/>
      <w:numFmt w:val="lowerLetter"/>
      <w:lvlText w:val="%2."/>
      <w:lvlJc w:val="left"/>
      <w:pPr>
        <w:ind w:left="3017" w:hanging="360"/>
      </w:pPr>
    </w:lvl>
    <w:lvl w:ilvl="2" w:tplc="0409001B" w:tentative="1">
      <w:start w:val="1"/>
      <w:numFmt w:val="lowerRoman"/>
      <w:lvlText w:val="%3."/>
      <w:lvlJc w:val="right"/>
      <w:pPr>
        <w:ind w:left="3737" w:hanging="180"/>
      </w:pPr>
    </w:lvl>
    <w:lvl w:ilvl="3" w:tplc="0409000F" w:tentative="1">
      <w:start w:val="1"/>
      <w:numFmt w:val="decimal"/>
      <w:lvlText w:val="%4."/>
      <w:lvlJc w:val="left"/>
      <w:pPr>
        <w:ind w:left="4457" w:hanging="360"/>
      </w:pPr>
    </w:lvl>
    <w:lvl w:ilvl="4" w:tplc="04090019" w:tentative="1">
      <w:start w:val="1"/>
      <w:numFmt w:val="lowerLetter"/>
      <w:lvlText w:val="%5."/>
      <w:lvlJc w:val="left"/>
      <w:pPr>
        <w:ind w:left="5177" w:hanging="360"/>
      </w:pPr>
    </w:lvl>
    <w:lvl w:ilvl="5" w:tplc="0409001B" w:tentative="1">
      <w:start w:val="1"/>
      <w:numFmt w:val="lowerRoman"/>
      <w:lvlText w:val="%6."/>
      <w:lvlJc w:val="right"/>
      <w:pPr>
        <w:ind w:left="5897" w:hanging="180"/>
      </w:pPr>
    </w:lvl>
    <w:lvl w:ilvl="6" w:tplc="0409000F" w:tentative="1">
      <w:start w:val="1"/>
      <w:numFmt w:val="decimal"/>
      <w:lvlText w:val="%7."/>
      <w:lvlJc w:val="left"/>
      <w:pPr>
        <w:ind w:left="6617" w:hanging="360"/>
      </w:pPr>
    </w:lvl>
    <w:lvl w:ilvl="7" w:tplc="04090019" w:tentative="1">
      <w:start w:val="1"/>
      <w:numFmt w:val="lowerLetter"/>
      <w:lvlText w:val="%8."/>
      <w:lvlJc w:val="left"/>
      <w:pPr>
        <w:ind w:left="7337" w:hanging="360"/>
      </w:pPr>
    </w:lvl>
    <w:lvl w:ilvl="8" w:tplc="0409001B" w:tentative="1">
      <w:start w:val="1"/>
      <w:numFmt w:val="lowerRoman"/>
      <w:lvlText w:val="%9."/>
      <w:lvlJc w:val="right"/>
      <w:pPr>
        <w:ind w:left="8057" w:hanging="180"/>
      </w:pPr>
    </w:lvl>
  </w:abstractNum>
  <w:abstractNum w:abstractNumId="18" w15:restartNumberingAfterBreak="0">
    <w:nsid w:val="454B2370"/>
    <w:multiLevelType w:val="hybridMultilevel"/>
    <w:tmpl w:val="7720856A"/>
    <w:lvl w:ilvl="0" w:tplc="D090D7F2">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9"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21" w15:restartNumberingAfterBreak="0">
    <w:nsid w:val="63545D4D"/>
    <w:multiLevelType w:val="hybridMultilevel"/>
    <w:tmpl w:val="DE748814"/>
    <w:lvl w:ilvl="0" w:tplc="7D7ECBDA">
      <w:start w:val="1"/>
      <w:numFmt w:val="arabicAlpha"/>
      <w:lvlText w:val="(%1)"/>
      <w:lvlJc w:val="left"/>
      <w:pPr>
        <w:ind w:left="2064" w:hanging="360"/>
      </w:pPr>
      <w:rPr>
        <w:rFonts w:hint="default"/>
      </w:rPr>
    </w:lvl>
    <w:lvl w:ilvl="1" w:tplc="04090019" w:tentative="1">
      <w:start w:val="1"/>
      <w:numFmt w:val="lowerLetter"/>
      <w:lvlText w:val="%2."/>
      <w:lvlJc w:val="left"/>
      <w:pPr>
        <w:ind w:left="2784" w:hanging="360"/>
      </w:pPr>
    </w:lvl>
    <w:lvl w:ilvl="2" w:tplc="0409001B" w:tentative="1">
      <w:start w:val="1"/>
      <w:numFmt w:val="lowerRoman"/>
      <w:lvlText w:val="%3."/>
      <w:lvlJc w:val="right"/>
      <w:pPr>
        <w:ind w:left="3504" w:hanging="180"/>
      </w:pPr>
    </w:lvl>
    <w:lvl w:ilvl="3" w:tplc="0409000F" w:tentative="1">
      <w:start w:val="1"/>
      <w:numFmt w:val="decimal"/>
      <w:lvlText w:val="%4."/>
      <w:lvlJc w:val="left"/>
      <w:pPr>
        <w:ind w:left="4224" w:hanging="360"/>
      </w:pPr>
    </w:lvl>
    <w:lvl w:ilvl="4" w:tplc="04090019" w:tentative="1">
      <w:start w:val="1"/>
      <w:numFmt w:val="lowerLetter"/>
      <w:lvlText w:val="%5."/>
      <w:lvlJc w:val="left"/>
      <w:pPr>
        <w:ind w:left="4944" w:hanging="360"/>
      </w:pPr>
    </w:lvl>
    <w:lvl w:ilvl="5" w:tplc="0409001B" w:tentative="1">
      <w:start w:val="1"/>
      <w:numFmt w:val="lowerRoman"/>
      <w:lvlText w:val="%6."/>
      <w:lvlJc w:val="right"/>
      <w:pPr>
        <w:ind w:left="5664" w:hanging="180"/>
      </w:pPr>
    </w:lvl>
    <w:lvl w:ilvl="6" w:tplc="0409000F" w:tentative="1">
      <w:start w:val="1"/>
      <w:numFmt w:val="decimal"/>
      <w:lvlText w:val="%7."/>
      <w:lvlJc w:val="left"/>
      <w:pPr>
        <w:ind w:left="6384" w:hanging="360"/>
      </w:pPr>
    </w:lvl>
    <w:lvl w:ilvl="7" w:tplc="04090019" w:tentative="1">
      <w:start w:val="1"/>
      <w:numFmt w:val="lowerLetter"/>
      <w:lvlText w:val="%8."/>
      <w:lvlJc w:val="left"/>
      <w:pPr>
        <w:ind w:left="7104" w:hanging="360"/>
      </w:pPr>
    </w:lvl>
    <w:lvl w:ilvl="8" w:tplc="0409001B" w:tentative="1">
      <w:start w:val="1"/>
      <w:numFmt w:val="lowerRoman"/>
      <w:lvlText w:val="%9."/>
      <w:lvlJc w:val="right"/>
      <w:pPr>
        <w:ind w:left="7824" w:hanging="180"/>
      </w:pPr>
    </w:lvl>
  </w:abstractNum>
  <w:abstractNum w:abstractNumId="22" w15:restartNumberingAfterBreak="0">
    <w:nsid w:val="68AD07B2"/>
    <w:multiLevelType w:val="hybridMultilevel"/>
    <w:tmpl w:val="6EDEC56E"/>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3"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4"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AE32A09"/>
    <w:multiLevelType w:val="hybridMultilevel"/>
    <w:tmpl w:val="B8DC87A6"/>
    <w:lvl w:ilvl="0" w:tplc="72A485D8">
      <w:start w:val="1"/>
      <w:numFmt w:val="decimal"/>
      <w:pStyle w:val="Roman2GA"/>
      <w:lvlText w:val="'%1'"/>
      <w:lvlJc w:val="right"/>
      <w:pPr>
        <w:tabs>
          <w:tab w:val="num" w:pos="2877"/>
        </w:tabs>
        <w:ind w:left="2877" w:hanging="360"/>
      </w:p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23"/>
  </w:num>
  <w:num w:numId="2">
    <w:abstractNumId w:val="19"/>
  </w:num>
  <w:num w:numId="3">
    <w:abstractNumId w:val="3"/>
  </w:num>
  <w:num w:numId="4">
    <w:abstractNumId w:val="18"/>
  </w:num>
  <w:num w:numId="5">
    <w:abstractNumId w:val="11"/>
  </w:num>
  <w:num w:numId="6">
    <w:abstractNumId w:val="8"/>
  </w:num>
  <w:num w:numId="7">
    <w:abstractNumId w:val="25"/>
  </w:num>
  <w:num w:numId="8">
    <w:abstractNumId w:val="3"/>
  </w:num>
  <w:num w:numId="9">
    <w:abstractNumId w:val="18"/>
  </w:num>
  <w:num w:numId="10">
    <w:abstractNumId w:val="8"/>
  </w:num>
  <w:num w:numId="11">
    <w:abstractNumId w:val="25"/>
  </w:num>
  <w:num w:numId="12">
    <w:abstractNumId w:val="3"/>
  </w:num>
  <w:num w:numId="13">
    <w:abstractNumId w:val="18"/>
  </w:num>
  <w:num w:numId="14">
    <w:abstractNumId w:val="11"/>
  </w:num>
  <w:num w:numId="15">
    <w:abstractNumId w:val="8"/>
  </w:num>
  <w:num w:numId="16">
    <w:abstractNumId w:val="25"/>
  </w:num>
  <w:num w:numId="17">
    <w:abstractNumId w:val="7"/>
  </w:num>
  <w:num w:numId="18">
    <w:abstractNumId w:val="4"/>
  </w:num>
  <w:num w:numId="19">
    <w:abstractNumId w:val="24"/>
  </w:num>
  <w:num w:numId="20">
    <w:abstractNumId w:val="20"/>
  </w:num>
  <w:num w:numId="21">
    <w:abstractNumId w:val="1"/>
  </w:num>
  <w:num w:numId="22">
    <w:abstractNumId w:val="22"/>
  </w:num>
  <w:num w:numId="23">
    <w:abstractNumId w:val="0"/>
  </w:num>
  <w:num w:numId="24">
    <w:abstractNumId w:val="12"/>
  </w:num>
  <w:num w:numId="25">
    <w:abstractNumId w:val="22"/>
    <w:lvlOverride w:ilvl="0">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8">
    <w:abstractNumId w:val="0"/>
    <w:lvlOverride w:ilvl="0">
      <w:startOverride w:val="153"/>
      <w:lvl w:ilvl="0" w:tplc="2FB47626">
        <w:start w:val="153"/>
        <w:numFmt w:val="decimal"/>
        <w:pStyle w:val="ParaNoG"/>
        <w:lvlText w:val="%1-"/>
        <w:lvlJc w:val="left"/>
        <w:pPr>
          <w:tabs>
            <w:tab w:val="num" w:pos="0"/>
          </w:tabs>
          <w:ind w:left="1134" w:firstLine="0"/>
        </w:pPr>
        <w:rPr>
          <w:rFonts w:ascii="Times New Roman" w:hAnsi="Times New Roman" w:hint="default"/>
          <w:b w:val="0"/>
          <w:i w:val="0"/>
          <w:sz w:val="20"/>
        </w:rPr>
      </w:lvl>
    </w:lvlOverride>
  </w:num>
  <w:num w:numId="29">
    <w:abstractNumId w:val="0"/>
    <w:lvlOverride w:ilvl="0">
      <w:startOverride w:val="151"/>
      <w:lvl w:ilvl="0" w:tplc="2FB47626">
        <w:start w:val="151"/>
        <w:numFmt w:val="decimal"/>
        <w:pStyle w:val="ParaNoG"/>
        <w:lvlText w:val="%1-"/>
        <w:lvlJc w:val="left"/>
        <w:pPr>
          <w:tabs>
            <w:tab w:val="num" w:pos="0"/>
          </w:tabs>
          <w:ind w:left="1134" w:firstLine="0"/>
        </w:pPr>
        <w:rPr>
          <w:rFonts w:ascii="Times New Roman" w:hAnsi="Times New Roman" w:hint="default"/>
          <w:b w:val="0"/>
          <w:i w:val="0"/>
          <w:sz w:val="20"/>
        </w:rPr>
      </w:lvl>
    </w:lvlOverride>
  </w:num>
  <w:num w:numId="30">
    <w:abstractNumId w:val="10"/>
  </w:num>
  <w:num w:numId="31">
    <w:abstractNumId w:val="9"/>
    <w:lvlOverride w:ilvl="0">
      <w:lvl w:ilvl="0" w:tplc="CB588E8E">
        <w:start w:val="1"/>
        <w:numFmt w:val="bullet"/>
        <w:lvlText w:val="o"/>
        <w:lvlJc w:val="left"/>
        <w:pPr>
          <w:ind w:left="720" w:hanging="360"/>
        </w:pPr>
        <w:rPr>
          <w:rFonts w:ascii="Courier New" w:hAnsi="Courier New" w:cs="Courier New" w:hint="default"/>
          <w:spacing w:val="-20"/>
        </w:rPr>
      </w:lvl>
    </w:lvlOverride>
  </w:num>
  <w:num w:numId="32">
    <w:abstractNumId w:val="9"/>
  </w:num>
  <w:num w:numId="33">
    <w:abstractNumId w:val="5"/>
  </w:num>
  <w:num w:numId="34">
    <w:abstractNumId w:val="21"/>
  </w:num>
  <w:num w:numId="35">
    <w:abstractNumId w:val="16"/>
  </w:num>
  <w:num w:numId="36">
    <w:abstractNumId w:val="15"/>
  </w:num>
  <w:num w:numId="37">
    <w:abstractNumId w:val="6"/>
  </w:num>
  <w:num w:numId="38">
    <w:abstractNumId w:val="17"/>
  </w:num>
  <w:num w:numId="39">
    <w:abstractNumId w:val="2"/>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attachedTemplate r:id="rId1"/>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1B6"/>
    <w:rsid w:val="000076D5"/>
    <w:rsid w:val="00043663"/>
    <w:rsid w:val="000437B8"/>
    <w:rsid w:val="000505CF"/>
    <w:rsid w:val="000D701C"/>
    <w:rsid w:val="000E2A71"/>
    <w:rsid w:val="00125DA0"/>
    <w:rsid w:val="00145577"/>
    <w:rsid w:val="00160263"/>
    <w:rsid w:val="00181F96"/>
    <w:rsid w:val="001850ED"/>
    <w:rsid w:val="001872B1"/>
    <w:rsid w:val="001A1371"/>
    <w:rsid w:val="001B043F"/>
    <w:rsid w:val="001B346A"/>
    <w:rsid w:val="001E1CAD"/>
    <w:rsid w:val="001E290D"/>
    <w:rsid w:val="002144FA"/>
    <w:rsid w:val="0023469A"/>
    <w:rsid w:val="00243C8A"/>
    <w:rsid w:val="00267A0E"/>
    <w:rsid w:val="002901D9"/>
    <w:rsid w:val="002976C2"/>
    <w:rsid w:val="003068BC"/>
    <w:rsid w:val="003260FF"/>
    <w:rsid w:val="003275B7"/>
    <w:rsid w:val="00343D95"/>
    <w:rsid w:val="00363A18"/>
    <w:rsid w:val="00370DA9"/>
    <w:rsid w:val="00374341"/>
    <w:rsid w:val="003D1062"/>
    <w:rsid w:val="00402051"/>
    <w:rsid w:val="00420D7B"/>
    <w:rsid w:val="00450B21"/>
    <w:rsid w:val="00453B63"/>
    <w:rsid w:val="00455780"/>
    <w:rsid w:val="004B0A1C"/>
    <w:rsid w:val="004B27E0"/>
    <w:rsid w:val="004B3ECA"/>
    <w:rsid w:val="004C78D9"/>
    <w:rsid w:val="004D298E"/>
    <w:rsid w:val="005044B3"/>
    <w:rsid w:val="00517BC9"/>
    <w:rsid w:val="0054472E"/>
    <w:rsid w:val="005662A9"/>
    <w:rsid w:val="005827D4"/>
    <w:rsid w:val="0058508B"/>
    <w:rsid w:val="0059622A"/>
    <w:rsid w:val="005B51C4"/>
    <w:rsid w:val="005C0061"/>
    <w:rsid w:val="005C5878"/>
    <w:rsid w:val="005C7CEA"/>
    <w:rsid w:val="005D3C0B"/>
    <w:rsid w:val="005E5217"/>
    <w:rsid w:val="005F0FA4"/>
    <w:rsid w:val="005F30EE"/>
    <w:rsid w:val="005F5271"/>
    <w:rsid w:val="0060473A"/>
    <w:rsid w:val="00617024"/>
    <w:rsid w:val="00652221"/>
    <w:rsid w:val="00656392"/>
    <w:rsid w:val="006645EC"/>
    <w:rsid w:val="0068781D"/>
    <w:rsid w:val="006959B0"/>
    <w:rsid w:val="006B3E27"/>
    <w:rsid w:val="006B6507"/>
    <w:rsid w:val="006C104C"/>
    <w:rsid w:val="006C632E"/>
    <w:rsid w:val="00717FB3"/>
    <w:rsid w:val="00730446"/>
    <w:rsid w:val="00733704"/>
    <w:rsid w:val="00736CEE"/>
    <w:rsid w:val="00744C55"/>
    <w:rsid w:val="0078071A"/>
    <w:rsid w:val="00787022"/>
    <w:rsid w:val="00787E1E"/>
    <w:rsid w:val="00852A9A"/>
    <w:rsid w:val="008F49E1"/>
    <w:rsid w:val="0090370F"/>
    <w:rsid w:val="009269D2"/>
    <w:rsid w:val="00942135"/>
    <w:rsid w:val="009521B0"/>
    <w:rsid w:val="00957437"/>
    <w:rsid w:val="00966CC4"/>
    <w:rsid w:val="00982139"/>
    <w:rsid w:val="009867A8"/>
    <w:rsid w:val="00991F44"/>
    <w:rsid w:val="009A0CFB"/>
    <w:rsid w:val="009A7E9F"/>
    <w:rsid w:val="009C17EC"/>
    <w:rsid w:val="009E5018"/>
    <w:rsid w:val="00A03700"/>
    <w:rsid w:val="00A053F2"/>
    <w:rsid w:val="00A12B37"/>
    <w:rsid w:val="00A54828"/>
    <w:rsid w:val="00A97E1F"/>
    <w:rsid w:val="00AB512E"/>
    <w:rsid w:val="00AB6758"/>
    <w:rsid w:val="00AB727F"/>
    <w:rsid w:val="00B13763"/>
    <w:rsid w:val="00B1470D"/>
    <w:rsid w:val="00B40AF0"/>
    <w:rsid w:val="00B477A4"/>
    <w:rsid w:val="00B54045"/>
    <w:rsid w:val="00B63ADD"/>
    <w:rsid w:val="00BB09A0"/>
    <w:rsid w:val="00BE0E31"/>
    <w:rsid w:val="00BF514A"/>
    <w:rsid w:val="00C175A6"/>
    <w:rsid w:val="00C301B6"/>
    <w:rsid w:val="00C41DCF"/>
    <w:rsid w:val="00C42AF7"/>
    <w:rsid w:val="00C438D7"/>
    <w:rsid w:val="00C62C20"/>
    <w:rsid w:val="00C81B50"/>
    <w:rsid w:val="00C902EF"/>
    <w:rsid w:val="00CB0011"/>
    <w:rsid w:val="00CB6622"/>
    <w:rsid w:val="00CD1801"/>
    <w:rsid w:val="00CF09CB"/>
    <w:rsid w:val="00CF56F9"/>
    <w:rsid w:val="00CF65C6"/>
    <w:rsid w:val="00D00A89"/>
    <w:rsid w:val="00D10EF1"/>
    <w:rsid w:val="00D2631A"/>
    <w:rsid w:val="00D42810"/>
    <w:rsid w:val="00D60DD5"/>
    <w:rsid w:val="00D914A7"/>
    <w:rsid w:val="00DC4D4B"/>
    <w:rsid w:val="00DD13C3"/>
    <w:rsid w:val="00DD596E"/>
    <w:rsid w:val="00DD621E"/>
    <w:rsid w:val="00DE4A87"/>
    <w:rsid w:val="00DE50B1"/>
    <w:rsid w:val="00DF0138"/>
    <w:rsid w:val="00DF0575"/>
    <w:rsid w:val="00E2228E"/>
    <w:rsid w:val="00E70E04"/>
    <w:rsid w:val="00E77E6C"/>
    <w:rsid w:val="00E83ED5"/>
    <w:rsid w:val="00EC05A7"/>
    <w:rsid w:val="00EC2D3A"/>
    <w:rsid w:val="00EC4B6B"/>
    <w:rsid w:val="00EC68A5"/>
    <w:rsid w:val="00ED7442"/>
    <w:rsid w:val="00EF1EE5"/>
    <w:rsid w:val="00EF5C43"/>
    <w:rsid w:val="00F10DAB"/>
    <w:rsid w:val="00F46D42"/>
    <w:rsid w:val="00F763B4"/>
    <w:rsid w:val="00F900C3"/>
    <w:rsid w:val="00FC6EDD"/>
    <w:rsid w:val="00FD46E2"/>
    <w:rsid w:val="00FE01EF"/>
    <w:rsid w:val="00FE502A"/>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CC7CDFB"/>
  <w15:docId w15:val="{7B531CFB-C96D-4D4F-9FCC-E8B7A8FC7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Arial"/>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iPriority="0" w:unhideWhenUsed="1" w:qFormat="1"/>
    <w:lsdException w:name="page number" w:semiHidden="1" w:uiPriority="0" w:unhideWhenUsed="1" w:qFormat="1"/>
    <w:lsdException w:name="endnote reference" w:semiHidden="1" w:uiPriority="0"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17EC"/>
    <w:pPr>
      <w:bidi/>
      <w:spacing w:line="240" w:lineRule="atLeast"/>
      <w:jc w:val="lowKashida"/>
    </w:pPr>
    <w:rPr>
      <w:rFonts w:ascii="Times New Roman" w:eastAsia="PMingLiU" w:hAnsi="Times New Roman" w:cs="Simplified Arabic"/>
      <w:szCs w:val="22"/>
      <w:lang w:eastAsia="en-US"/>
    </w:rPr>
  </w:style>
  <w:style w:type="paragraph" w:styleId="Heading1">
    <w:name w:val="heading 1"/>
    <w:aliases w:val="Table_GA,Table_G"/>
    <w:basedOn w:val="SingleTxtGA"/>
    <w:next w:val="Normal"/>
    <w:link w:val="Heading1Char"/>
    <w:qFormat/>
    <w:rsid w:val="009C17EC"/>
    <w:pPr>
      <w:bidi w:val="0"/>
      <w:outlineLvl w:val="0"/>
    </w:pPr>
  </w:style>
  <w:style w:type="paragraph" w:styleId="Heading2">
    <w:name w:val="heading 2"/>
    <w:basedOn w:val="Normal"/>
    <w:next w:val="Normal"/>
    <w:link w:val="Heading2Char"/>
    <w:uiPriority w:val="9"/>
    <w:unhideWhenUsed/>
    <w:rsid w:val="009C17EC"/>
    <w:pPr>
      <w:keepNext/>
      <w:keepLines/>
      <w:spacing w:before="200"/>
      <w:outlineLvl w:val="1"/>
    </w:pPr>
    <w:rPr>
      <w:b/>
      <w:bCs/>
      <w:color w:val="4F81BD"/>
      <w:sz w:val="26"/>
      <w:szCs w:val="26"/>
    </w:rPr>
  </w:style>
  <w:style w:type="paragraph" w:styleId="Heading3">
    <w:name w:val="heading 3"/>
    <w:basedOn w:val="Normal"/>
    <w:next w:val="Normal"/>
    <w:link w:val="Heading3Char"/>
    <w:uiPriority w:val="9"/>
    <w:unhideWhenUsed/>
    <w:rsid w:val="009C17EC"/>
    <w:pPr>
      <w:keepNext/>
      <w:keepLines/>
      <w:spacing w:before="200"/>
      <w:outlineLvl w:val="2"/>
    </w:pPr>
    <w:rPr>
      <w:b/>
      <w:bCs/>
      <w:color w:val="4F81BD"/>
    </w:rPr>
  </w:style>
  <w:style w:type="paragraph" w:styleId="Heading4">
    <w:name w:val="heading 4"/>
    <w:basedOn w:val="Normal"/>
    <w:next w:val="Normal"/>
    <w:link w:val="Heading4Char"/>
    <w:uiPriority w:val="9"/>
    <w:unhideWhenUsed/>
    <w:rsid w:val="009C17EC"/>
    <w:pPr>
      <w:keepNext/>
      <w:keepLines/>
      <w:spacing w:before="200"/>
      <w:outlineLvl w:val="3"/>
    </w:pPr>
    <w:rPr>
      <w:b/>
      <w:bCs/>
      <w:i/>
      <w:iCs/>
      <w:color w:val="4F81BD"/>
    </w:rPr>
  </w:style>
  <w:style w:type="paragraph" w:styleId="Heading5">
    <w:name w:val="heading 5"/>
    <w:basedOn w:val="Normal"/>
    <w:next w:val="Normal"/>
    <w:link w:val="Heading5Char"/>
    <w:uiPriority w:val="9"/>
    <w:unhideWhenUsed/>
    <w:rsid w:val="009C17EC"/>
    <w:pPr>
      <w:keepNext/>
      <w:keepLines/>
      <w:spacing w:before="200"/>
      <w:outlineLvl w:val="4"/>
    </w:pPr>
    <w:rPr>
      <w:color w:val="243F60"/>
    </w:rPr>
  </w:style>
  <w:style w:type="paragraph" w:styleId="Heading6">
    <w:name w:val="heading 6"/>
    <w:basedOn w:val="Normal"/>
    <w:next w:val="Normal"/>
    <w:link w:val="Heading6Char"/>
    <w:uiPriority w:val="9"/>
    <w:unhideWhenUsed/>
    <w:rsid w:val="009C17EC"/>
    <w:pPr>
      <w:keepNext/>
      <w:keepLines/>
      <w:spacing w:before="200"/>
      <w:outlineLvl w:val="5"/>
    </w:pPr>
    <w:rPr>
      <w:i/>
      <w:iCs/>
      <w:color w:val="243F60"/>
    </w:rPr>
  </w:style>
  <w:style w:type="paragraph" w:styleId="Heading7">
    <w:name w:val="heading 7"/>
    <w:basedOn w:val="Normal"/>
    <w:next w:val="Normal"/>
    <w:link w:val="Heading7Char"/>
    <w:uiPriority w:val="9"/>
    <w:unhideWhenUsed/>
    <w:rsid w:val="009C17EC"/>
    <w:pPr>
      <w:keepNext/>
      <w:keepLines/>
      <w:spacing w:before="200"/>
      <w:outlineLvl w:val="6"/>
    </w:pPr>
    <w:rPr>
      <w:i/>
      <w:iCs/>
      <w:color w:val="404040"/>
    </w:rPr>
  </w:style>
  <w:style w:type="paragraph" w:styleId="Heading8">
    <w:name w:val="heading 8"/>
    <w:basedOn w:val="Normal"/>
    <w:next w:val="Normal"/>
    <w:link w:val="Heading8Char"/>
    <w:uiPriority w:val="9"/>
    <w:unhideWhenUsed/>
    <w:rsid w:val="009C17EC"/>
    <w:pPr>
      <w:keepNext/>
      <w:keepLines/>
      <w:spacing w:before="200"/>
      <w:outlineLvl w:val="7"/>
    </w:pPr>
    <w:rPr>
      <w:color w:val="404040"/>
      <w:szCs w:val="20"/>
    </w:rPr>
  </w:style>
  <w:style w:type="paragraph" w:styleId="Heading9">
    <w:name w:val="heading 9"/>
    <w:basedOn w:val="Normal"/>
    <w:next w:val="Normal"/>
    <w:link w:val="Heading9Char"/>
    <w:uiPriority w:val="9"/>
    <w:unhideWhenUsed/>
    <w:rsid w:val="009C17EC"/>
    <w:pPr>
      <w:keepNext/>
      <w:keepLines/>
      <w:spacing w:before="200"/>
      <w:outlineLvl w:val="8"/>
    </w:pPr>
    <w:rPr>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Quote,Footnote Quote1,Footnote Quote2,Footnote Quote3,Footnote Quote4,Footnote Quote5,Footnote Quote6,Footnote Quote7,Footnote Quote8,Footnote Quote9,Footnote Quote10,Footnote Quote11,Footnote Quote12,Footnote Quote13,Footnote"/>
    <w:basedOn w:val="Normal"/>
    <w:link w:val="FootnoteTextChar"/>
    <w:unhideWhenUsed/>
    <w:qFormat/>
    <w:rsid w:val="009C17EC"/>
    <w:pPr>
      <w:tabs>
        <w:tab w:val="right" w:pos="1021"/>
      </w:tabs>
      <w:suppressAutoHyphens/>
      <w:bidi w:val="0"/>
      <w:spacing w:line="220" w:lineRule="exact"/>
      <w:ind w:left="1134" w:right="1134" w:hanging="1134"/>
      <w:jc w:val="both"/>
    </w:pPr>
    <w:rPr>
      <w:sz w:val="18"/>
      <w:szCs w:val="20"/>
    </w:rPr>
  </w:style>
  <w:style w:type="character" w:customStyle="1" w:styleId="FootnoteTextChar">
    <w:name w:val="Footnote Text Char"/>
    <w:aliases w:val="5_G Char,Footnote Quote Char,Footnote Quote1 Char,Footnote Quote2 Char,Footnote Quote3 Char,Footnote Quote4 Char,Footnote Quote5 Char,Footnote Quote6 Char,Footnote Quote7 Char,Footnote Quote8 Char,Footnote Quote9 Char,Footnote Char"/>
    <w:link w:val="FootnoteText"/>
    <w:rsid w:val="009C17EC"/>
    <w:rPr>
      <w:rFonts w:ascii="Times New Roman" w:eastAsia="PMingLiU" w:hAnsi="Times New Roman" w:cs="Simplified Arabic"/>
      <w:sz w:val="18"/>
      <w:lang w:eastAsia="en-US"/>
    </w:rPr>
  </w:style>
  <w:style w:type="character" w:styleId="FootnoteReference">
    <w:name w:val="footnote reference"/>
    <w:aliases w:val="4_GA,4_G,ftref,footnote ref,16 Point,Superscript 6 Point,Fußnotenzeichen DISS,fr,BVI fnr,(NECG) Footnote Reference,Char Char Char Char Car Char,ب"/>
    <w:qFormat/>
    <w:rsid w:val="009C17EC"/>
    <w:rPr>
      <w:szCs w:val="18"/>
      <w:vertAlign w:val="superscript"/>
    </w:rPr>
  </w:style>
  <w:style w:type="paragraph" w:customStyle="1" w:styleId="HMGA">
    <w:name w:val="_ H __M_GA"/>
    <w:basedOn w:val="Normal"/>
    <w:next w:val="SingleTxtGA"/>
    <w:qFormat/>
    <w:rsid w:val="009C17EC"/>
    <w:pPr>
      <w:keepNext/>
      <w:keepLines/>
      <w:tabs>
        <w:tab w:val="right" w:pos="1021"/>
      </w:tabs>
      <w:suppressAutoHyphens/>
      <w:spacing w:before="360" w:after="240" w:line="480" w:lineRule="exact"/>
      <w:ind w:left="1247" w:right="1247" w:hanging="1247"/>
      <w:outlineLvl w:val="0"/>
    </w:pPr>
    <w:rPr>
      <w:b/>
      <w:bCs/>
      <w:sz w:val="36"/>
      <w:szCs w:val="36"/>
      <w:lang w:val="en-GB"/>
    </w:rPr>
  </w:style>
  <w:style w:type="paragraph" w:customStyle="1" w:styleId="HChGA">
    <w:name w:val="_ H _Ch_GA"/>
    <w:basedOn w:val="Normal"/>
    <w:next w:val="SingleTxtGA"/>
    <w:qFormat/>
    <w:rsid w:val="009C17EC"/>
    <w:pPr>
      <w:keepNext/>
      <w:keepLines/>
      <w:tabs>
        <w:tab w:val="right" w:pos="1021"/>
      </w:tabs>
      <w:suppressAutoHyphens/>
      <w:spacing w:before="360" w:after="240" w:line="440" w:lineRule="exact"/>
      <w:ind w:left="1247" w:right="1247" w:hanging="1247"/>
      <w:outlineLvl w:val="1"/>
    </w:pPr>
    <w:rPr>
      <w:b/>
      <w:bCs/>
      <w:sz w:val="30"/>
      <w:szCs w:val="30"/>
      <w:lang w:val="en-GB"/>
    </w:rPr>
  </w:style>
  <w:style w:type="paragraph" w:customStyle="1" w:styleId="H1GA">
    <w:name w:val="_ H_1_GA"/>
    <w:basedOn w:val="Normal"/>
    <w:next w:val="SingleTxtGA"/>
    <w:qFormat/>
    <w:rsid w:val="009C17EC"/>
    <w:pPr>
      <w:keepNext/>
      <w:keepLines/>
      <w:tabs>
        <w:tab w:val="right" w:pos="1021"/>
      </w:tabs>
      <w:suppressAutoHyphens/>
      <w:spacing w:before="240" w:after="240" w:line="400" w:lineRule="exact"/>
      <w:ind w:left="1247" w:right="1247" w:hanging="1247"/>
      <w:outlineLvl w:val="2"/>
    </w:pPr>
    <w:rPr>
      <w:b/>
      <w:bCs/>
      <w:sz w:val="26"/>
      <w:szCs w:val="26"/>
      <w:lang w:val="en-GB"/>
    </w:rPr>
  </w:style>
  <w:style w:type="paragraph" w:customStyle="1" w:styleId="H23GA">
    <w:name w:val="_ H_2/3_GA"/>
    <w:basedOn w:val="Normal"/>
    <w:next w:val="SingleTxtGA"/>
    <w:qFormat/>
    <w:rsid w:val="009C17EC"/>
    <w:pPr>
      <w:keepNext/>
      <w:keepLines/>
      <w:tabs>
        <w:tab w:val="right" w:pos="1021"/>
      </w:tabs>
      <w:suppressAutoHyphens/>
      <w:spacing w:before="240" w:after="120" w:line="380" w:lineRule="exact"/>
      <w:ind w:left="1247" w:right="1247" w:hanging="1247"/>
      <w:outlineLvl w:val="3"/>
    </w:pPr>
    <w:rPr>
      <w:b/>
      <w:bCs/>
      <w:sz w:val="22"/>
      <w:lang w:val="en-GB" w:eastAsia="ar-SA"/>
    </w:rPr>
  </w:style>
  <w:style w:type="paragraph" w:customStyle="1" w:styleId="H4GA">
    <w:name w:val="_ H_4_GA"/>
    <w:basedOn w:val="Normal"/>
    <w:next w:val="SingleTxtGA"/>
    <w:qFormat/>
    <w:rsid w:val="009C17EC"/>
    <w:pPr>
      <w:keepNext/>
      <w:keepLines/>
      <w:tabs>
        <w:tab w:val="right" w:pos="1021"/>
      </w:tabs>
      <w:suppressAutoHyphens/>
      <w:spacing w:before="240" w:after="120" w:line="380" w:lineRule="exact"/>
      <w:ind w:left="1247" w:right="1247" w:hanging="1247"/>
      <w:outlineLvl w:val="4"/>
    </w:pPr>
    <w:rPr>
      <w:i/>
      <w:iCs/>
      <w:sz w:val="22"/>
      <w:lang w:val="en-GB"/>
    </w:rPr>
  </w:style>
  <w:style w:type="paragraph" w:customStyle="1" w:styleId="H56GA">
    <w:name w:val="_ H_5/6_GA"/>
    <w:basedOn w:val="Normal"/>
    <w:next w:val="SingleTxtGA"/>
    <w:qFormat/>
    <w:rsid w:val="009C17EC"/>
    <w:pPr>
      <w:keepNext/>
      <w:keepLines/>
      <w:tabs>
        <w:tab w:val="right" w:pos="1021"/>
      </w:tabs>
      <w:suppressAutoHyphens/>
      <w:spacing w:before="240" w:after="120" w:line="380" w:lineRule="exact"/>
      <w:ind w:left="1247" w:right="1247" w:hanging="1247"/>
      <w:outlineLvl w:val="5"/>
    </w:pPr>
    <w:rPr>
      <w:sz w:val="22"/>
      <w:lang w:val="en-GB"/>
    </w:rPr>
  </w:style>
  <w:style w:type="paragraph" w:customStyle="1" w:styleId="SingleTxtGA">
    <w:name w:val="_ Single Txt_GA"/>
    <w:basedOn w:val="Normal"/>
    <w:link w:val="SingleTxtGAChar"/>
    <w:qFormat/>
    <w:rsid w:val="009C17EC"/>
    <w:pPr>
      <w:tabs>
        <w:tab w:val="left" w:pos="1928"/>
        <w:tab w:val="left" w:pos="2608"/>
        <w:tab w:val="left" w:pos="3289"/>
        <w:tab w:val="left" w:pos="3969"/>
        <w:tab w:val="left" w:pos="4649"/>
        <w:tab w:val="left" w:pos="5330"/>
      </w:tabs>
      <w:suppressAutoHyphens/>
      <w:spacing w:after="120" w:line="360" w:lineRule="exact"/>
      <w:ind w:left="1247" w:right="1247"/>
    </w:pPr>
    <w:rPr>
      <w:sz w:val="22"/>
      <w:lang w:val="en-GB"/>
    </w:rPr>
  </w:style>
  <w:style w:type="paragraph" w:customStyle="1" w:styleId="SLGA">
    <w:name w:val="__S_L_GA"/>
    <w:basedOn w:val="Normal"/>
    <w:next w:val="SingleTxtGA"/>
    <w:qFormat/>
    <w:rsid w:val="009C17EC"/>
    <w:pPr>
      <w:keepNext/>
      <w:keepLines/>
      <w:suppressAutoHyphens/>
      <w:spacing w:before="240" w:after="240" w:line="800" w:lineRule="exact"/>
      <w:ind w:left="1247" w:right="1247"/>
    </w:pPr>
    <w:rPr>
      <w:b/>
      <w:bCs/>
      <w:sz w:val="56"/>
      <w:szCs w:val="56"/>
      <w:lang w:val="en-GB"/>
    </w:rPr>
  </w:style>
  <w:style w:type="paragraph" w:customStyle="1" w:styleId="SMGA">
    <w:name w:val="__S_M_GA"/>
    <w:basedOn w:val="Normal"/>
    <w:next w:val="SingleTxtGA"/>
    <w:qFormat/>
    <w:rsid w:val="009C17EC"/>
    <w:pPr>
      <w:keepNext/>
      <w:keepLines/>
      <w:suppressAutoHyphens/>
      <w:spacing w:before="240" w:after="240" w:line="560" w:lineRule="exact"/>
      <w:ind w:left="1247" w:right="1247"/>
    </w:pPr>
    <w:rPr>
      <w:b/>
      <w:bCs/>
      <w:sz w:val="40"/>
      <w:szCs w:val="40"/>
      <w:lang w:val="en-GB"/>
    </w:rPr>
  </w:style>
  <w:style w:type="paragraph" w:customStyle="1" w:styleId="SSGA">
    <w:name w:val="__S_S_GA"/>
    <w:basedOn w:val="Normal"/>
    <w:next w:val="SingleTxtGA"/>
    <w:qFormat/>
    <w:rsid w:val="009C17EC"/>
    <w:pPr>
      <w:keepNext/>
      <w:keepLines/>
      <w:suppressAutoHyphens/>
      <w:spacing w:before="240" w:after="240" w:line="440" w:lineRule="exact"/>
      <w:ind w:left="1134" w:right="1134"/>
    </w:pPr>
    <w:rPr>
      <w:b/>
      <w:bCs/>
      <w:sz w:val="34"/>
      <w:szCs w:val="34"/>
      <w:lang w:val="en-GB"/>
    </w:rPr>
  </w:style>
  <w:style w:type="paragraph" w:customStyle="1" w:styleId="XLargeGA">
    <w:name w:val="__XLarge_GA"/>
    <w:basedOn w:val="Normal"/>
    <w:next w:val="SingleTxtGA"/>
    <w:qFormat/>
    <w:rsid w:val="009C17EC"/>
    <w:pPr>
      <w:keepNext/>
      <w:keepLines/>
      <w:tabs>
        <w:tab w:val="right" w:leader="dot" w:pos="360"/>
      </w:tabs>
      <w:suppressAutoHyphens/>
      <w:spacing w:before="240" w:after="240" w:line="580" w:lineRule="exact"/>
      <w:ind w:left="1247" w:right="1247"/>
    </w:pPr>
    <w:rPr>
      <w:b/>
      <w:bCs/>
      <w:sz w:val="40"/>
      <w:szCs w:val="40"/>
      <w:lang w:val="en-GB"/>
    </w:rPr>
  </w:style>
  <w:style w:type="paragraph" w:customStyle="1" w:styleId="Bullet1GA">
    <w:name w:val="_Bullet 1_GA"/>
    <w:basedOn w:val="NormalA"/>
    <w:qFormat/>
    <w:rsid w:val="009C17EC"/>
    <w:pPr>
      <w:numPr>
        <w:numId w:val="3"/>
      </w:numPr>
      <w:suppressAutoHyphens/>
      <w:spacing w:after="120" w:line="360" w:lineRule="exact"/>
      <w:ind w:right="1247"/>
    </w:pPr>
    <w:rPr>
      <w:sz w:val="22"/>
      <w:lang w:eastAsia="zh-TW"/>
    </w:rPr>
  </w:style>
  <w:style w:type="paragraph" w:customStyle="1" w:styleId="Bullet2GA">
    <w:name w:val="_Bullet 2_GA"/>
    <w:basedOn w:val="Normal"/>
    <w:qFormat/>
    <w:rsid w:val="009C17EC"/>
    <w:pPr>
      <w:numPr>
        <w:numId w:val="4"/>
      </w:numPr>
      <w:tabs>
        <w:tab w:val="clear" w:pos="3215"/>
        <w:tab w:val="left" w:pos="3062"/>
      </w:tabs>
      <w:suppressAutoHyphens/>
      <w:spacing w:after="120" w:line="360" w:lineRule="exact"/>
      <w:ind w:left="3062" w:right="1247" w:hanging="590"/>
    </w:pPr>
    <w:rPr>
      <w:sz w:val="22"/>
      <w:lang w:eastAsia="zh-TW"/>
    </w:rPr>
  </w:style>
  <w:style w:type="paragraph" w:customStyle="1" w:styleId="ParaNoGA">
    <w:name w:val="_ParaNo._GA"/>
    <w:basedOn w:val="SingleTxtGA"/>
    <w:qFormat/>
    <w:rsid w:val="009C17EC"/>
    <w:pPr>
      <w:numPr>
        <w:numId w:val="5"/>
      </w:numPr>
      <w:bidi w:val="0"/>
    </w:pPr>
    <w:rPr>
      <w:lang w:val="en-US"/>
    </w:rPr>
  </w:style>
  <w:style w:type="paragraph" w:customStyle="1" w:styleId="Roman1GA">
    <w:name w:val="_Roman 1_GA"/>
    <w:basedOn w:val="Bullet1GA"/>
    <w:qFormat/>
    <w:rsid w:val="009C17EC"/>
    <w:pPr>
      <w:numPr>
        <w:numId w:val="6"/>
      </w:numPr>
      <w:tabs>
        <w:tab w:val="clear" w:pos="2310"/>
        <w:tab w:val="left" w:pos="2486"/>
      </w:tabs>
      <w:ind w:left="2486" w:hanging="378"/>
    </w:pPr>
  </w:style>
  <w:style w:type="paragraph" w:customStyle="1" w:styleId="Roman2GA">
    <w:name w:val="_Roman 2_GA"/>
    <w:basedOn w:val="Bullet2GA"/>
    <w:qFormat/>
    <w:rsid w:val="009C17EC"/>
    <w:pPr>
      <w:numPr>
        <w:numId w:val="7"/>
      </w:numPr>
      <w:tabs>
        <w:tab w:val="clear" w:pos="2877"/>
        <w:tab w:val="clear" w:pos="3062"/>
        <w:tab w:val="left" w:pos="3060"/>
      </w:tabs>
      <w:ind w:left="3060" w:hanging="392"/>
    </w:pPr>
  </w:style>
  <w:style w:type="paragraph" w:styleId="EndnoteText">
    <w:name w:val="endnote text"/>
    <w:aliases w:val="2_ GA,2_G"/>
    <w:basedOn w:val="Normal"/>
    <w:link w:val="EndnoteTextChar"/>
    <w:uiPriority w:val="99"/>
    <w:qFormat/>
    <w:rsid w:val="009C17EC"/>
    <w:pPr>
      <w:widowControl w:val="0"/>
      <w:tabs>
        <w:tab w:val="right" w:pos="1020"/>
      </w:tabs>
      <w:suppressAutoHyphens/>
      <w:bidi w:val="0"/>
      <w:spacing w:line="220" w:lineRule="exact"/>
      <w:ind w:left="1134" w:right="1134" w:hanging="1134"/>
      <w:jc w:val="left"/>
    </w:pPr>
    <w:rPr>
      <w:sz w:val="18"/>
      <w:szCs w:val="20"/>
      <w:lang w:val="en-GB"/>
    </w:rPr>
  </w:style>
  <w:style w:type="character" w:customStyle="1" w:styleId="EndnoteTextChar">
    <w:name w:val="Endnote Text Char"/>
    <w:aliases w:val="2_ GA Char,2_G Char"/>
    <w:link w:val="EndnoteText"/>
    <w:uiPriority w:val="99"/>
    <w:rsid w:val="009C17EC"/>
    <w:rPr>
      <w:rFonts w:ascii="Times New Roman" w:eastAsia="PMingLiU" w:hAnsi="Times New Roman" w:cs="Simplified Arabic"/>
      <w:sz w:val="18"/>
      <w:lang w:val="en-GB" w:eastAsia="en-US"/>
    </w:rPr>
  </w:style>
  <w:style w:type="character" w:customStyle="1" w:styleId="EndtnoteReference">
    <w:name w:val="Endtnote Reference"/>
    <w:aliases w:val="1_GA"/>
    <w:qFormat/>
    <w:rsid w:val="009C17EC"/>
    <w:rPr>
      <w:rFonts w:ascii="Times New Roman Bold" w:hAnsi="Times New Roman Bold" w:cs="Traditional Arabic"/>
      <w:b/>
      <w:i w:val="0"/>
      <w:kern w:val="0"/>
      <w:sz w:val="18"/>
      <w:szCs w:val="18"/>
      <w:vertAlign w:val="superscript"/>
    </w:rPr>
  </w:style>
  <w:style w:type="paragraph" w:styleId="Footer">
    <w:name w:val="footer"/>
    <w:aliases w:val="3_GA,3_G"/>
    <w:basedOn w:val="Normal"/>
    <w:link w:val="FooterChar"/>
    <w:qFormat/>
    <w:rsid w:val="009C17EC"/>
    <w:pPr>
      <w:suppressAutoHyphens/>
      <w:bidi w:val="0"/>
      <w:spacing w:line="240" w:lineRule="auto"/>
    </w:pPr>
    <w:rPr>
      <w:sz w:val="16"/>
      <w:lang w:val="en-GB"/>
    </w:rPr>
  </w:style>
  <w:style w:type="character" w:customStyle="1" w:styleId="FooterChar">
    <w:name w:val="Footer Char"/>
    <w:aliases w:val="3_GA Char,3_G Char"/>
    <w:link w:val="Footer"/>
    <w:rsid w:val="009C17EC"/>
    <w:rPr>
      <w:rFonts w:ascii="Times New Roman" w:eastAsia="PMingLiU" w:hAnsi="Times New Roman" w:cs="Simplified Arabic"/>
      <w:sz w:val="16"/>
      <w:szCs w:val="22"/>
      <w:lang w:val="en-GB" w:eastAsia="en-US"/>
    </w:rPr>
  </w:style>
  <w:style w:type="paragraph" w:customStyle="1" w:styleId="FootnoteText1">
    <w:name w:val="Footnote Text1"/>
    <w:aliases w:val="5_GA"/>
    <w:basedOn w:val="Normal"/>
    <w:qFormat/>
    <w:rsid w:val="009C17EC"/>
    <w:pPr>
      <w:spacing w:after="60" w:line="280" w:lineRule="exact"/>
      <w:ind w:left="1247" w:right="1247" w:hanging="567"/>
    </w:pPr>
    <w:rPr>
      <w:sz w:val="18"/>
      <w:szCs w:val="18"/>
    </w:rPr>
  </w:style>
  <w:style w:type="paragraph" w:styleId="Header">
    <w:name w:val="header"/>
    <w:aliases w:val="6_GA,6_G"/>
    <w:basedOn w:val="Normal"/>
    <w:link w:val="HeaderChar"/>
    <w:uiPriority w:val="99"/>
    <w:qFormat/>
    <w:rsid w:val="009C17EC"/>
    <w:pPr>
      <w:pBdr>
        <w:bottom w:val="single" w:sz="4" w:space="4" w:color="auto"/>
      </w:pBdr>
      <w:suppressAutoHyphens/>
    </w:pPr>
    <w:rPr>
      <w:b/>
      <w:bCs/>
      <w:sz w:val="18"/>
      <w:szCs w:val="18"/>
    </w:rPr>
  </w:style>
  <w:style w:type="character" w:customStyle="1" w:styleId="HeaderChar">
    <w:name w:val="Header Char"/>
    <w:aliases w:val="6_GA Char,6_G Char"/>
    <w:link w:val="Header"/>
    <w:uiPriority w:val="99"/>
    <w:rsid w:val="009C17EC"/>
    <w:rPr>
      <w:rFonts w:ascii="Times New Roman" w:eastAsia="PMingLiU" w:hAnsi="Times New Roman" w:cs="Simplified Arabic"/>
      <w:b/>
      <w:bCs/>
      <w:sz w:val="18"/>
      <w:szCs w:val="18"/>
      <w:lang w:eastAsia="en-US"/>
    </w:rPr>
  </w:style>
  <w:style w:type="character" w:customStyle="1" w:styleId="Heading1Char">
    <w:name w:val="Heading 1 Char"/>
    <w:aliases w:val="Table_GA Char,Table_G Char"/>
    <w:link w:val="Heading1"/>
    <w:rsid w:val="009C17EC"/>
    <w:rPr>
      <w:rFonts w:ascii="Times New Roman" w:eastAsia="PMingLiU" w:hAnsi="Times New Roman" w:cs="Simplified Arabic"/>
      <w:sz w:val="22"/>
      <w:szCs w:val="22"/>
      <w:lang w:val="en-GB" w:eastAsia="en-US"/>
    </w:rPr>
  </w:style>
  <w:style w:type="character" w:styleId="PageNumber">
    <w:name w:val="page number"/>
    <w:aliases w:val="7_GA,7_G"/>
    <w:qFormat/>
    <w:rsid w:val="009C17EC"/>
    <w:rPr>
      <w:rFonts w:ascii="Times New Roman Bold" w:hAnsi="Times New Roman Bold"/>
      <w:b/>
      <w:i w:val="0"/>
      <w:sz w:val="18"/>
      <w:szCs w:val="18"/>
    </w:rPr>
  </w:style>
  <w:style w:type="paragraph" w:customStyle="1" w:styleId="XXLargeGA">
    <w:name w:val="XXLarge_GA"/>
    <w:basedOn w:val="Normal"/>
    <w:next w:val="SingleTxtGA"/>
    <w:qFormat/>
    <w:rsid w:val="009C17EC"/>
    <w:pPr>
      <w:suppressAutoHyphens/>
      <w:spacing w:line="820" w:lineRule="exact"/>
    </w:pPr>
    <w:rPr>
      <w:spacing w:val="-8"/>
      <w:w w:val="96"/>
      <w:sz w:val="57"/>
      <w:szCs w:val="86"/>
      <w:lang w:val="en-GB"/>
    </w:rPr>
  </w:style>
  <w:style w:type="character" w:customStyle="1" w:styleId="Heading2Char">
    <w:name w:val="Heading 2 Char"/>
    <w:link w:val="Heading2"/>
    <w:uiPriority w:val="9"/>
    <w:rsid w:val="009C17EC"/>
    <w:rPr>
      <w:rFonts w:ascii="Times New Roman" w:eastAsia="PMingLiU" w:hAnsi="Times New Roman" w:cs="Simplified Arabic"/>
      <w:b/>
      <w:bCs/>
      <w:color w:val="4F81BD"/>
      <w:sz w:val="26"/>
      <w:szCs w:val="26"/>
      <w:lang w:eastAsia="en-US"/>
    </w:rPr>
  </w:style>
  <w:style w:type="character" w:styleId="BookTitle">
    <w:name w:val="Book Title"/>
    <w:uiPriority w:val="33"/>
    <w:rsid w:val="009C17EC"/>
    <w:rPr>
      <w:b/>
      <w:bCs/>
      <w:smallCaps/>
      <w:spacing w:val="5"/>
    </w:rPr>
  </w:style>
  <w:style w:type="character" w:customStyle="1" w:styleId="Heading3Char">
    <w:name w:val="Heading 3 Char"/>
    <w:link w:val="Heading3"/>
    <w:uiPriority w:val="9"/>
    <w:rsid w:val="009C17EC"/>
    <w:rPr>
      <w:rFonts w:ascii="Times New Roman" w:eastAsia="PMingLiU" w:hAnsi="Times New Roman" w:cs="Simplified Arabic"/>
      <w:b/>
      <w:bCs/>
      <w:color w:val="4F81BD"/>
      <w:szCs w:val="22"/>
      <w:lang w:eastAsia="en-US"/>
    </w:rPr>
  </w:style>
  <w:style w:type="character" w:customStyle="1" w:styleId="Heading4Char">
    <w:name w:val="Heading 4 Char"/>
    <w:link w:val="Heading4"/>
    <w:uiPriority w:val="9"/>
    <w:rsid w:val="009C17EC"/>
    <w:rPr>
      <w:rFonts w:ascii="Times New Roman" w:eastAsia="PMingLiU" w:hAnsi="Times New Roman" w:cs="Simplified Arabic"/>
      <w:b/>
      <w:bCs/>
      <w:i/>
      <w:iCs/>
      <w:color w:val="4F81BD"/>
      <w:szCs w:val="22"/>
      <w:lang w:eastAsia="en-US"/>
    </w:rPr>
  </w:style>
  <w:style w:type="character" w:customStyle="1" w:styleId="Heading5Char">
    <w:name w:val="Heading 5 Char"/>
    <w:link w:val="Heading5"/>
    <w:uiPriority w:val="9"/>
    <w:rsid w:val="009C17EC"/>
    <w:rPr>
      <w:rFonts w:ascii="Times New Roman" w:eastAsia="PMingLiU" w:hAnsi="Times New Roman" w:cs="Simplified Arabic"/>
      <w:color w:val="243F60"/>
      <w:szCs w:val="22"/>
      <w:lang w:eastAsia="en-US"/>
    </w:rPr>
  </w:style>
  <w:style w:type="character" w:customStyle="1" w:styleId="Heading6Char">
    <w:name w:val="Heading 6 Char"/>
    <w:link w:val="Heading6"/>
    <w:uiPriority w:val="9"/>
    <w:rsid w:val="009C17EC"/>
    <w:rPr>
      <w:rFonts w:ascii="Times New Roman" w:eastAsia="PMingLiU" w:hAnsi="Times New Roman" w:cs="Simplified Arabic"/>
      <w:i/>
      <w:iCs/>
      <w:color w:val="243F60"/>
      <w:szCs w:val="22"/>
      <w:lang w:eastAsia="en-US"/>
    </w:rPr>
  </w:style>
  <w:style w:type="character" w:customStyle="1" w:styleId="Heading7Char">
    <w:name w:val="Heading 7 Char"/>
    <w:link w:val="Heading7"/>
    <w:uiPriority w:val="9"/>
    <w:rsid w:val="009C17EC"/>
    <w:rPr>
      <w:rFonts w:ascii="Times New Roman" w:eastAsia="PMingLiU" w:hAnsi="Times New Roman" w:cs="Simplified Arabic"/>
      <w:i/>
      <w:iCs/>
      <w:color w:val="404040"/>
      <w:szCs w:val="22"/>
      <w:lang w:eastAsia="en-US"/>
    </w:rPr>
  </w:style>
  <w:style w:type="character" w:customStyle="1" w:styleId="Heading8Char">
    <w:name w:val="Heading 8 Char"/>
    <w:link w:val="Heading8"/>
    <w:uiPriority w:val="9"/>
    <w:rsid w:val="009C17EC"/>
    <w:rPr>
      <w:rFonts w:ascii="Times New Roman" w:eastAsia="PMingLiU" w:hAnsi="Times New Roman" w:cs="Simplified Arabic"/>
      <w:color w:val="404040"/>
      <w:lang w:eastAsia="en-US"/>
    </w:rPr>
  </w:style>
  <w:style w:type="character" w:customStyle="1" w:styleId="Heading9Char">
    <w:name w:val="Heading 9 Char"/>
    <w:link w:val="Heading9"/>
    <w:uiPriority w:val="9"/>
    <w:rsid w:val="009C17EC"/>
    <w:rPr>
      <w:rFonts w:ascii="Times New Roman" w:eastAsia="PMingLiU" w:hAnsi="Times New Roman" w:cs="Simplified Arabic"/>
      <w:i/>
      <w:iCs/>
      <w:color w:val="404040"/>
      <w:lang w:eastAsia="en-US"/>
    </w:rPr>
  </w:style>
  <w:style w:type="paragraph" w:styleId="Title">
    <w:name w:val="Title"/>
    <w:basedOn w:val="Normal"/>
    <w:next w:val="Normal"/>
    <w:link w:val="TitleChar"/>
    <w:uiPriority w:val="10"/>
    <w:rsid w:val="009C17EC"/>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rsid w:val="009C17EC"/>
    <w:rPr>
      <w:rFonts w:ascii="Times New Roman" w:eastAsia="PMingLiU" w:hAnsi="Times New Roman" w:cs="Simplified Arabic"/>
      <w:color w:val="17365D"/>
      <w:spacing w:val="5"/>
      <w:kern w:val="28"/>
      <w:sz w:val="52"/>
      <w:szCs w:val="52"/>
      <w:lang w:eastAsia="en-US"/>
    </w:rPr>
  </w:style>
  <w:style w:type="paragraph" w:styleId="Subtitle">
    <w:name w:val="Subtitle"/>
    <w:basedOn w:val="Normal"/>
    <w:next w:val="Normal"/>
    <w:link w:val="SubtitleChar"/>
    <w:uiPriority w:val="11"/>
    <w:rsid w:val="009C17EC"/>
    <w:pPr>
      <w:numPr>
        <w:ilvl w:val="1"/>
      </w:numPr>
    </w:pPr>
    <w:rPr>
      <w:i/>
      <w:iCs/>
      <w:color w:val="4F81BD"/>
      <w:spacing w:val="15"/>
      <w:sz w:val="24"/>
      <w:szCs w:val="24"/>
    </w:rPr>
  </w:style>
  <w:style w:type="character" w:customStyle="1" w:styleId="SubtitleChar">
    <w:name w:val="Subtitle Char"/>
    <w:link w:val="Subtitle"/>
    <w:uiPriority w:val="11"/>
    <w:rsid w:val="009C17EC"/>
    <w:rPr>
      <w:rFonts w:ascii="Times New Roman" w:eastAsia="PMingLiU" w:hAnsi="Times New Roman" w:cs="Simplified Arabic"/>
      <w:i/>
      <w:iCs/>
      <w:color w:val="4F81BD"/>
      <w:spacing w:val="15"/>
      <w:sz w:val="24"/>
      <w:szCs w:val="24"/>
      <w:lang w:eastAsia="en-US"/>
    </w:rPr>
  </w:style>
  <w:style w:type="character" w:styleId="SubtleEmphasis">
    <w:name w:val="Subtle Emphasis"/>
    <w:uiPriority w:val="19"/>
    <w:rsid w:val="009C17EC"/>
    <w:rPr>
      <w:i/>
      <w:iCs/>
      <w:color w:val="808080"/>
    </w:rPr>
  </w:style>
  <w:style w:type="table" w:styleId="ColorfulGrid-Accent6">
    <w:name w:val="Colorful Grid Accent 6"/>
    <w:basedOn w:val="TableNormal"/>
    <w:uiPriority w:val="73"/>
    <w:rsid w:val="009C17EC"/>
    <w:rPr>
      <w:rFonts w:eastAsia="PMingLiU"/>
      <w:color w:val="000000"/>
      <w:lang w:eastAsia="zh-CN"/>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9C17EC"/>
    <w:rPr>
      <w:i/>
      <w:iCs/>
    </w:rPr>
  </w:style>
  <w:style w:type="character" w:styleId="IntenseEmphasis">
    <w:name w:val="Intense Emphasis"/>
    <w:uiPriority w:val="21"/>
    <w:rsid w:val="009C17EC"/>
    <w:rPr>
      <w:b/>
      <w:bCs/>
      <w:i/>
      <w:iCs/>
      <w:color w:val="4F81BD"/>
    </w:rPr>
  </w:style>
  <w:style w:type="character" w:styleId="Strong">
    <w:name w:val="Strong"/>
    <w:uiPriority w:val="22"/>
    <w:rsid w:val="009C17EC"/>
    <w:rPr>
      <w:b/>
      <w:bCs/>
    </w:rPr>
  </w:style>
  <w:style w:type="paragraph" w:styleId="Quote">
    <w:name w:val="Quote"/>
    <w:basedOn w:val="Normal"/>
    <w:next w:val="Normal"/>
    <w:link w:val="QuoteChar"/>
    <w:uiPriority w:val="29"/>
    <w:rsid w:val="009C17EC"/>
    <w:rPr>
      <w:i/>
      <w:iCs/>
      <w:color w:val="000000"/>
    </w:rPr>
  </w:style>
  <w:style w:type="character" w:customStyle="1" w:styleId="QuoteChar">
    <w:name w:val="Quote Char"/>
    <w:link w:val="Quote"/>
    <w:uiPriority w:val="29"/>
    <w:rsid w:val="009C17EC"/>
    <w:rPr>
      <w:rFonts w:ascii="Times New Roman" w:eastAsia="PMingLiU" w:hAnsi="Times New Roman" w:cs="Simplified Arabic"/>
      <w:i/>
      <w:iCs/>
      <w:color w:val="000000"/>
      <w:szCs w:val="22"/>
      <w:lang w:eastAsia="en-US"/>
    </w:rPr>
  </w:style>
  <w:style w:type="paragraph" w:styleId="IntenseQuote">
    <w:name w:val="Intense Quote"/>
    <w:basedOn w:val="Normal"/>
    <w:next w:val="Normal"/>
    <w:link w:val="IntenseQuoteChar"/>
    <w:uiPriority w:val="30"/>
    <w:rsid w:val="009C17E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9C17EC"/>
    <w:rPr>
      <w:rFonts w:ascii="Times New Roman" w:eastAsia="PMingLiU" w:hAnsi="Times New Roman" w:cs="Simplified Arabic"/>
      <w:b/>
      <w:bCs/>
      <w:i/>
      <w:iCs/>
      <w:color w:val="4F81BD"/>
      <w:szCs w:val="22"/>
      <w:lang w:eastAsia="en-US"/>
    </w:rPr>
  </w:style>
  <w:style w:type="character" w:styleId="SubtleReference">
    <w:name w:val="Subtle Reference"/>
    <w:uiPriority w:val="31"/>
    <w:rsid w:val="009C17EC"/>
    <w:rPr>
      <w:smallCaps/>
      <w:color w:val="C0504D"/>
      <w:u w:val="single"/>
    </w:rPr>
  </w:style>
  <w:style w:type="character" w:styleId="IntenseReference">
    <w:name w:val="Intense Reference"/>
    <w:uiPriority w:val="32"/>
    <w:rsid w:val="009C17EC"/>
    <w:rPr>
      <w:b/>
      <w:bCs/>
      <w:smallCaps/>
      <w:color w:val="C0504D"/>
      <w:spacing w:val="5"/>
      <w:u w:val="single"/>
    </w:rPr>
  </w:style>
  <w:style w:type="paragraph" w:styleId="ListParagraph">
    <w:name w:val="List Paragraph"/>
    <w:basedOn w:val="Normal"/>
    <w:uiPriority w:val="34"/>
    <w:rsid w:val="009C17EC"/>
    <w:pPr>
      <w:ind w:left="720"/>
      <w:contextualSpacing/>
    </w:pPr>
  </w:style>
  <w:style w:type="table" w:styleId="MediumShading1-Accent4">
    <w:name w:val="Medium Shading 1 Accent 4"/>
    <w:basedOn w:val="TableNormal"/>
    <w:uiPriority w:val="63"/>
    <w:rsid w:val="009C17EC"/>
    <w:rPr>
      <w:rFonts w:eastAsia="PMingLiU"/>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aliases w:val="1_G"/>
    <w:unhideWhenUsed/>
    <w:qFormat/>
    <w:rsid w:val="009C17EC"/>
    <w:rPr>
      <w:rFonts w:eastAsia="MS Mincho"/>
      <w:sz w:val="18"/>
      <w:vertAlign w:val="superscript"/>
    </w:rPr>
  </w:style>
  <w:style w:type="table" w:styleId="TableGrid">
    <w:name w:val="Table Grid"/>
    <w:basedOn w:val="TableNormal"/>
    <w:rsid w:val="009C17EC"/>
    <w:pPr>
      <w:bidi/>
      <w:jc w:val="lowKashida"/>
    </w:pPr>
    <w:rPr>
      <w:rFonts w:ascii="Times New Roman" w:eastAsia="PMingLiU"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C17EC"/>
    <w:pPr>
      <w:spacing w:line="240" w:lineRule="auto"/>
    </w:pPr>
    <w:rPr>
      <w:sz w:val="16"/>
      <w:szCs w:val="16"/>
    </w:rPr>
  </w:style>
  <w:style w:type="character" w:customStyle="1" w:styleId="BalloonTextChar">
    <w:name w:val="Balloon Text Char"/>
    <w:link w:val="BalloonText"/>
    <w:uiPriority w:val="99"/>
    <w:semiHidden/>
    <w:rsid w:val="009C17EC"/>
    <w:rPr>
      <w:rFonts w:ascii="Times New Roman" w:eastAsia="PMingLiU" w:hAnsi="Times New Roman" w:cs="Simplified Arabic"/>
      <w:sz w:val="16"/>
      <w:szCs w:val="16"/>
      <w:lang w:eastAsia="en-US"/>
    </w:rPr>
  </w:style>
  <w:style w:type="character" w:styleId="Hyperlink">
    <w:name w:val="Hyperlink"/>
    <w:uiPriority w:val="99"/>
    <w:unhideWhenUsed/>
    <w:rsid w:val="009C17EC"/>
    <w:rPr>
      <w:color w:val="0000FF"/>
      <w:u w:val="none"/>
    </w:rPr>
  </w:style>
  <w:style w:type="paragraph" w:styleId="TOC1">
    <w:name w:val="toc 1"/>
    <w:basedOn w:val="Normal"/>
    <w:link w:val="TOC1Char"/>
    <w:autoRedefine/>
    <w:uiPriority w:val="39"/>
    <w:unhideWhenUsed/>
    <w:rsid w:val="009C17EC"/>
    <w:pPr>
      <w:tabs>
        <w:tab w:val="right" w:pos="1021"/>
        <w:tab w:val="left" w:pos="1077"/>
        <w:tab w:val="left" w:pos="1525"/>
        <w:tab w:val="left" w:leader="dot" w:pos="7467"/>
        <w:tab w:val="left" w:pos="7972"/>
        <w:tab w:val="right" w:pos="9639"/>
      </w:tabs>
      <w:suppressAutoHyphens/>
      <w:spacing w:before="120" w:line="340" w:lineRule="exact"/>
      <w:ind w:left="1525" w:right="2211" w:hanging="1525"/>
    </w:pPr>
    <w:rPr>
      <w:noProof/>
      <w:szCs w:val="20"/>
      <w:lang w:val="fr-CH" w:eastAsia="zh-TW" w:bidi="ar-EG"/>
    </w:rPr>
  </w:style>
  <w:style w:type="paragraph" w:styleId="TOC2">
    <w:name w:val="toc 2"/>
    <w:basedOn w:val="Normal"/>
    <w:link w:val="TOC2Char"/>
    <w:autoRedefine/>
    <w:uiPriority w:val="39"/>
    <w:unhideWhenUsed/>
    <w:rsid w:val="009C17EC"/>
    <w:pPr>
      <w:tabs>
        <w:tab w:val="left" w:pos="1843"/>
        <w:tab w:val="left" w:pos="2206"/>
        <w:tab w:val="left" w:leader="dot" w:pos="7467"/>
        <w:tab w:val="left" w:pos="7972"/>
        <w:tab w:val="right" w:pos="9639"/>
      </w:tabs>
      <w:suppressAutoHyphens/>
      <w:spacing w:line="340" w:lineRule="exact"/>
      <w:ind w:left="2205" w:right="2206" w:hanging="680"/>
    </w:pPr>
    <w:rPr>
      <w:noProof/>
      <w:szCs w:val="20"/>
      <w:lang w:val="fr-CH"/>
    </w:rPr>
  </w:style>
  <w:style w:type="paragraph" w:styleId="TOC3">
    <w:name w:val="toc 3"/>
    <w:basedOn w:val="TOC2"/>
    <w:next w:val="Normal"/>
    <w:link w:val="TOC3Char"/>
    <w:autoRedefine/>
    <w:uiPriority w:val="39"/>
    <w:unhideWhenUsed/>
    <w:rsid w:val="009C17EC"/>
    <w:pPr>
      <w:tabs>
        <w:tab w:val="clear" w:pos="1843"/>
        <w:tab w:val="clear" w:pos="2206"/>
        <w:tab w:val="left" w:pos="2325"/>
      </w:tabs>
      <w:suppressAutoHyphens w:val="0"/>
      <w:ind w:left="2886"/>
    </w:pPr>
    <w:rPr>
      <w:lang w:bidi="ar-EG"/>
    </w:rPr>
  </w:style>
  <w:style w:type="character" w:customStyle="1" w:styleId="PagesNumbers">
    <w:name w:val="Pages Numbers"/>
    <w:uiPriority w:val="1"/>
    <w:qFormat/>
    <w:rsid w:val="009C17EC"/>
    <w:rPr>
      <w:rFonts w:eastAsia="DengXian"/>
      <w:color w:val="auto"/>
      <w:sz w:val="20"/>
      <w:szCs w:val="20"/>
      <w:u w:val="none"/>
      <w:lang w:eastAsia="zh-CN" w:bidi="ar-EG"/>
    </w:rPr>
  </w:style>
  <w:style w:type="paragraph" w:styleId="TOC4">
    <w:name w:val="toc 4"/>
    <w:basedOn w:val="Normal"/>
    <w:link w:val="TOC4Char"/>
    <w:autoRedefine/>
    <w:uiPriority w:val="39"/>
    <w:unhideWhenUsed/>
    <w:rsid w:val="009C17EC"/>
    <w:pPr>
      <w:tabs>
        <w:tab w:val="right" w:pos="1021"/>
        <w:tab w:val="left" w:pos="1077"/>
        <w:tab w:val="left" w:pos="1525"/>
        <w:tab w:val="left" w:leader="dot" w:pos="9065"/>
        <w:tab w:val="right" w:pos="9639"/>
      </w:tabs>
      <w:suppressAutoHyphens/>
      <w:spacing w:before="120" w:line="340" w:lineRule="exact"/>
      <w:ind w:left="1525" w:right="567" w:hanging="1525"/>
    </w:pPr>
    <w:rPr>
      <w:noProof/>
      <w:szCs w:val="20"/>
      <w:lang w:val="en-GB"/>
    </w:rPr>
  </w:style>
  <w:style w:type="paragraph" w:styleId="TOC5">
    <w:name w:val="toc 5"/>
    <w:basedOn w:val="Normal"/>
    <w:link w:val="TOC5Char"/>
    <w:autoRedefine/>
    <w:uiPriority w:val="39"/>
    <w:unhideWhenUsed/>
    <w:rsid w:val="009C17EC"/>
    <w:pPr>
      <w:tabs>
        <w:tab w:val="left" w:pos="1843"/>
        <w:tab w:val="left" w:pos="2206"/>
        <w:tab w:val="left" w:leader="dot" w:pos="9065"/>
        <w:tab w:val="right" w:pos="9639"/>
      </w:tabs>
      <w:suppressAutoHyphens/>
      <w:spacing w:line="340" w:lineRule="exact"/>
      <w:ind w:left="2205" w:right="567" w:hanging="680"/>
    </w:pPr>
    <w:rPr>
      <w:noProof/>
      <w:szCs w:val="20"/>
      <w:lang w:val="en-GB"/>
    </w:rPr>
  </w:style>
  <w:style w:type="paragraph" w:styleId="TOC6">
    <w:name w:val="toc 6"/>
    <w:basedOn w:val="Normal"/>
    <w:link w:val="TOC6Char"/>
    <w:autoRedefine/>
    <w:uiPriority w:val="39"/>
    <w:unhideWhenUsed/>
    <w:rsid w:val="009C17EC"/>
    <w:pPr>
      <w:tabs>
        <w:tab w:val="left" w:pos="2325"/>
        <w:tab w:val="left" w:leader="dot" w:pos="9065"/>
        <w:tab w:val="right" w:pos="9639"/>
      </w:tabs>
      <w:suppressAutoHyphens/>
      <w:spacing w:line="340" w:lineRule="exact"/>
      <w:ind w:left="2886" w:right="567" w:hanging="680"/>
    </w:pPr>
    <w:rPr>
      <w:szCs w:val="20"/>
      <w:lang w:val="en-GB"/>
    </w:rPr>
  </w:style>
  <w:style w:type="paragraph" w:customStyle="1" w:styleId="a">
    <w:name w:val="المحتويات_بلا_فقرات"/>
    <w:rsid w:val="009C17EC"/>
    <w:pPr>
      <w:tabs>
        <w:tab w:val="left" w:pos="1928"/>
        <w:tab w:val="left" w:pos="2608"/>
        <w:tab w:val="left" w:pos="3289"/>
        <w:tab w:val="left" w:pos="3969"/>
        <w:tab w:val="left" w:pos="4649"/>
        <w:tab w:val="left" w:pos="5330"/>
      </w:tabs>
      <w:bidi/>
      <w:spacing w:after="120" w:line="360" w:lineRule="exact"/>
      <w:ind w:left="1247" w:right="1247"/>
      <w:jc w:val="lowKashida"/>
    </w:pPr>
    <w:rPr>
      <w:rFonts w:ascii="Times New Roman" w:eastAsia="PMingLiU" w:hAnsi="Times New Roman" w:cs="Simplified Arabic"/>
      <w:szCs w:val="28"/>
      <w:lang w:eastAsia="en-US"/>
    </w:rPr>
  </w:style>
  <w:style w:type="table" w:customStyle="1" w:styleId="TABLEA">
    <w:name w:val="TABLE_A"/>
    <w:basedOn w:val="TableNormal"/>
    <w:uiPriority w:val="99"/>
    <w:rsid w:val="009C17EC"/>
    <w:pPr>
      <w:bidi/>
      <w:spacing w:before="80" w:after="80" w:line="320" w:lineRule="exact"/>
      <w:ind w:left="113" w:right="113"/>
      <w:jc w:val="lowKashida"/>
    </w:pPr>
    <w:rPr>
      <w:rFonts w:ascii="Times New Roman" w:eastAsiaTheme="minorEastAsia" w:hAnsi="Times New Roman" w:cs="Traditional Arabic"/>
      <w:sz w:val="18"/>
      <w:szCs w:val="28"/>
      <w:lang w:eastAsia="zh-CN"/>
    </w:rPr>
    <w:tblPr>
      <w:jc w:val="right"/>
    </w:tblPr>
    <w:trPr>
      <w:jc w:val="right"/>
    </w:trPr>
    <w:tcPr>
      <w:tcMar>
        <w:left w:w="0" w:type="dxa"/>
        <w:right w:w="0" w:type="dxa"/>
      </w:tcMar>
    </w:tcPr>
    <w:tblStylePr w:type="firstRow">
      <w:tblPr/>
      <w:tcPr>
        <w:tcBorders>
          <w:top w:val="single" w:sz="4" w:space="0" w:color="auto"/>
          <w:left w:val="nil"/>
          <w:bottom w:val="single" w:sz="12" w:space="0" w:color="auto"/>
          <w:right w:val="nil"/>
          <w:insideH w:val="nil"/>
          <w:insideV w:val="nil"/>
          <w:tl2br w:val="nil"/>
          <w:tr2bl w:val="nil"/>
        </w:tcBorders>
      </w:tcPr>
    </w:tblStylePr>
    <w:tblStylePr w:type="lastRow">
      <w:pPr>
        <w:wordWrap/>
        <w:spacing w:beforeLines="0" w:before="80" w:beforeAutospacing="0" w:afterLines="0" w:after="80" w:afterAutospacing="0" w:line="320" w:lineRule="exact"/>
        <w:ind w:leftChars="0" w:left="113" w:rightChars="0" w:right="113" w:firstLineChars="0" w:firstLine="0"/>
        <w:jc w:val="lowKashida"/>
      </w:pPr>
      <w:tblPr/>
      <w:tcPr>
        <w:tcBorders>
          <w:top w:val="nil"/>
          <w:left w:val="nil"/>
          <w:bottom w:val="single" w:sz="12" w:space="0" w:color="auto"/>
          <w:right w:val="nil"/>
          <w:insideH w:val="nil"/>
          <w:insideV w:val="nil"/>
          <w:tl2br w:val="nil"/>
          <w:tr2bl w:val="nil"/>
        </w:tcBorders>
      </w:tcPr>
    </w:tblStylePr>
  </w:style>
  <w:style w:type="character" w:customStyle="1" w:styleId="SingleTxtGAChar">
    <w:name w:val="_ Single Txt_GA Char"/>
    <w:basedOn w:val="DefaultParagraphFont"/>
    <w:link w:val="SingleTxtGA"/>
    <w:locked/>
    <w:rsid w:val="009C17EC"/>
    <w:rPr>
      <w:rFonts w:ascii="Times New Roman" w:eastAsia="PMingLiU" w:hAnsi="Times New Roman" w:cs="Simplified Arabic"/>
      <w:sz w:val="22"/>
      <w:szCs w:val="22"/>
      <w:lang w:val="en-GB" w:eastAsia="en-US"/>
    </w:rPr>
  </w:style>
  <w:style w:type="character" w:styleId="UnresolvedMention">
    <w:name w:val="Unresolved Mention"/>
    <w:basedOn w:val="DefaultParagraphFont"/>
    <w:uiPriority w:val="99"/>
    <w:semiHidden/>
    <w:unhideWhenUsed/>
    <w:rsid w:val="009C17EC"/>
    <w:rPr>
      <w:color w:val="605E5C"/>
      <w:shd w:val="clear" w:color="auto" w:fill="E1DFDD"/>
    </w:rPr>
  </w:style>
  <w:style w:type="character" w:customStyle="1" w:styleId="TOC1Char">
    <w:name w:val="TOC 1 Char"/>
    <w:basedOn w:val="DefaultParagraphFont"/>
    <w:link w:val="TOC1"/>
    <w:uiPriority w:val="39"/>
    <w:rsid w:val="009C17EC"/>
    <w:rPr>
      <w:rFonts w:ascii="Times New Roman" w:eastAsia="PMingLiU" w:hAnsi="Times New Roman" w:cs="Simplified Arabic"/>
      <w:noProof/>
      <w:lang w:val="fr-CH" w:bidi="ar-EG"/>
    </w:rPr>
  </w:style>
  <w:style w:type="character" w:customStyle="1" w:styleId="TOC2Char">
    <w:name w:val="TOC 2 Char"/>
    <w:basedOn w:val="DefaultParagraphFont"/>
    <w:link w:val="TOC2"/>
    <w:uiPriority w:val="39"/>
    <w:rsid w:val="009C17EC"/>
    <w:rPr>
      <w:rFonts w:ascii="Times New Roman" w:eastAsia="PMingLiU" w:hAnsi="Times New Roman" w:cs="Simplified Arabic"/>
      <w:noProof/>
      <w:lang w:val="fr-CH" w:eastAsia="en-US"/>
    </w:rPr>
  </w:style>
  <w:style w:type="character" w:customStyle="1" w:styleId="TOC3Char">
    <w:name w:val="TOC 3 Char"/>
    <w:basedOn w:val="TOC2Char"/>
    <w:link w:val="TOC3"/>
    <w:uiPriority w:val="39"/>
    <w:rsid w:val="009C17EC"/>
    <w:rPr>
      <w:rFonts w:ascii="Times New Roman" w:eastAsia="PMingLiU" w:hAnsi="Times New Roman" w:cs="Simplified Arabic"/>
      <w:noProof/>
      <w:lang w:val="fr-CH" w:eastAsia="en-US" w:bidi="ar-EG"/>
    </w:rPr>
  </w:style>
  <w:style w:type="character" w:customStyle="1" w:styleId="TOC4Char">
    <w:name w:val="TOC 4 Char"/>
    <w:basedOn w:val="DefaultParagraphFont"/>
    <w:link w:val="TOC4"/>
    <w:uiPriority w:val="39"/>
    <w:rsid w:val="009C17EC"/>
    <w:rPr>
      <w:rFonts w:ascii="Times New Roman" w:eastAsia="PMingLiU" w:hAnsi="Times New Roman" w:cs="Simplified Arabic"/>
      <w:noProof/>
      <w:lang w:val="en-GB" w:eastAsia="en-US"/>
    </w:rPr>
  </w:style>
  <w:style w:type="character" w:customStyle="1" w:styleId="TOC5Char">
    <w:name w:val="TOC 5 Char"/>
    <w:basedOn w:val="DefaultParagraphFont"/>
    <w:link w:val="TOC5"/>
    <w:uiPriority w:val="39"/>
    <w:rsid w:val="009C17EC"/>
    <w:rPr>
      <w:rFonts w:ascii="Times New Roman" w:eastAsia="PMingLiU" w:hAnsi="Times New Roman" w:cs="Simplified Arabic"/>
      <w:noProof/>
      <w:lang w:val="en-GB" w:eastAsia="en-US"/>
    </w:rPr>
  </w:style>
  <w:style w:type="character" w:customStyle="1" w:styleId="TOC6Char">
    <w:name w:val="TOC 6 Char"/>
    <w:basedOn w:val="DefaultParagraphFont"/>
    <w:link w:val="TOC6"/>
    <w:uiPriority w:val="39"/>
    <w:rsid w:val="009C17EC"/>
    <w:rPr>
      <w:rFonts w:ascii="Times New Roman" w:eastAsia="PMingLiU" w:hAnsi="Times New Roman" w:cs="Simplified Arabic"/>
      <w:lang w:val="en-GB" w:eastAsia="en-US"/>
    </w:rPr>
  </w:style>
  <w:style w:type="paragraph" w:customStyle="1" w:styleId="SessionDate">
    <w:name w:val="Session_Date"/>
    <w:basedOn w:val="Normal"/>
    <w:qFormat/>
    <w:rsid w:val="009C17EC"/>
    <w:pPr>
      <w:spacing w:before="240" w:after="240" w:line="460" w:lineRule="exact"/>
      <w:ind w:left="1247"/>
    </w:pPr>
    <w:rPr>
      <w:b/>
      <w:bCs/>
      <w:sz w:val="32"/>
      <w:szCs w:val="44"/>
    </w:rPr>
  </w:style>
  <w:style w:type="paragraph" w:customStyle="1" w:styleId="SessionNumber">
    <w:name w:val="Session_Number"/>
    <w:basedOn w:val="Normal"/>
    <w:qFormat/>
    <w:rsid w:val="009C17EC"/>
    <w:pPr>
      <w:spacing w:line="480" w:lineRule="exact"/>
      <w:ind w:left="1247"/>
    </w:pPr>
    <w:rPr>
      <w:b/>
      <w:bCs/>
      <w:sz w:val="28"/>
      <w:szCs w:val="38"/>
    </w:rPr>
  </w:style>
  <w:style w:type="paragraph" w:customStyle="1" w:styleId="CityandYear">
    <w:name w:val="City and Year"/>
    <w:basedOn w:val="SingleTxtGA"/>
    <w:qFormat/>
    <w:rsid w:val="009C17EC"/>
    <w:pPr>
      <w:spacing w:line="480" w:lineRule="exact"/>
    </w:pPr>
    <w:rPr>
      <w:b/>
      <w:bCs/>
      <w:sz w:val="30"/>
      <w:szCs w:val="38"/>
      <w:lang w:eastAsia="ar-SA"/>
    </w:rPr>
  </w:style>
  <w:style w:type="paragraph" w:customStyle="1" w:styleId="NormalA">
    <w:name w:val="Normal_A"/>
    <w:basedOn w:val="Normal"/>
    <w:qFormat/>
    <w:rsid w:val="009C17EC"/>
  </w:style>
  <w:style w:type="paragraph" w:customStyle="1" w:styleId="H1G">
    <w:name w:val="_ H_1_G"/>
    <w:basedOn w:val="Normal"/>
    <w:next w:val="Normal"/>
    <w:qFormat/>
    <w:rsid w:val="009C17EC"/>
    <w:pPr>
      <w:keepNext/>
      <w:keepLines/>
      <w:tabs>
        <w:tab w:val="right" w:pos="851"/>
      </w:tabs>
      <w:suppressAutoHyphens/>
      <w:bidi w:val="0"/>
      <w:spacing w:before="360" w:after="240" w:line="270" w:lineRule="exact"/>
      <w:ind w:left="1134" w:right="1134" w:hanging="1134"/>
      <w:jc w:val="left"/>
    </w:pPr>
    <w:rPr>
      <w:b/>
      <w:sz w:val="24"/>
      <w:szCs w:val="20"/>
      <w:lang w:val="en-GB"/>
    </w:rPr>
  </w:style>
  <w:style w:type="paragraph" w:customStyle="1" w:styleId="SingleTxtG">
    <w:name w:val="_ Single Txt_G"/>
    <w:basedOn w:val="Normal"/>
    <w:link w:val="SingleTxtGChar"/>
    <w:qFormat/>
    <w:rsid w:val="009C17EC"/>
    <w:pPr>
      <w:suppressAutoHyphens/>
      <w:bidi w:val="0"/>
      <w:spacing w:after="120"/>
      <w:ind w:left="1134" w:right="1134"/>
      <w:jc w:val="both"/>
    </w:pPr>
    <w:rPr>
      <w:szCs w:val="20"/>
      <w:lang w:val="en-GB"/>
    </w:rPr>
  </w:style>
  <w:style w:type="paragraph" w:customStyle="1" w:styleId="HChG">
    <w:name w:val="_ H _Ch_G"/>
    <w:basedOn w:val="Normal"/>
    <w:next w:val="Normal"/>
    <w:qFormat/>
    <w:rsid w:val="009C17EC"/>
    <w:pPr>
      <w:keepNext/>
      <w:keepLines/>
      <w:tabs>
        <w:tab w:val="right" w:pos="851"/>
      </w:tabs>
      <w:suppressAutoHyphens/>
      <w:bidi w:val="0"/>
      <w:spacing w:before="360" w:after="240" w:line="300" w:lineRule="exact"/>
      <w:ind w:left="1134" w:right="1134" w:hanging="1134"/>
      <w:jc w:val="left"/>
    </w:pPr>
    <w:rPr>
      <w:b/>
      <w:sz w:val="28"/>
      <w:szCs w:val="20"/>
      <w:lang w:val="en-GB"/>
    </w:rPr>
  </w:style>
  <w:style w:type="paragraph" w:customStyle="1" w:styleId="H23G">
    <w:name w:val="_ H_2/3_G"/>
    <w:basedOn w:val="Normal"/>
    <w:next w:val="Normal"/>
    <w:qFormat/>
    <w:rsid w:val="009C17EC"/>
    <w:pPr>
      <w:keepNext/>
      <w:keepLines/>
      <w:tabs>
        <w:tab w:val="right" w:pos="851"/>
      </w:tabs>
      <w:suppressAutoHyphens/>
      <w:bidi w:val="0"/>
      <w:spacing w:before="240" w:after="120" w:line="240" w:lineRule="exact"/>
      <w:ind w:left="1134" w:right="1134" w:hanging="1134"/>
      <w:jc w:val="left"/>
    </w:pPr>
    <w:rPr>
      <w:b/>
      <w:szCs w:val="20"/>
      <w:lang w:val="en-GB"/>
    </w:rPr>
  </w:style>
  <w:style w:type="paragraph" w:customStyle="1" w:styleId="H4G">
    <w:name w:val="_ H_4_G"/>
    <w:basedOn w:val="Normal"/>
    <w:next w:val="Normal"/>
    <w:qFormat/>
    <w:rsid w:val="009C17EC"/>
    <w:pPr>
      <w:keepNext/>
      <w:keepLines/>
      <w:tabs>
        <w:tab w:val="right" w:pos="851"/>
      </w:tabs>
      <w:suppressAutoHyphens/>
      <w:bidi w:val="0"/>
      <w:spacing w:before="240" w:after="120" w:line="240" w:lineRule="exact"/>
      <w:ind w:left="1134" w:right="1134" w:hanging="1134"/>
      <w:jc w:val="left"/>
    </w:pPr>
    <w:rPr>
      <w:i/>
      <w:szCs w:val="20"/>
      <w:lang w:val="en-GB"/>
    </w:rPr>
  </w:style>
  <w:style w:type="paragraph" w:customStyle="1" w:styleId="FootnoteGA">
    <w:name w:val="_Footnote_GA"/>
    <w:basedOn w:val="Normal"/>
    <w:qFormat/>
    <w:rsid w:val="009C17EC"/>
    <w:pPr>
      <w:suppressAutoHyphens/>
      <w:spacing w:after="60" w:line="280" w:lineRule="exact"/>
      <w:ind w:left="1247" w:right="1247" w:hanging="567"/>
    </w:pPr>
    <w:rPr>
      <w:sz w:val="18"/>
      <w:szCs w:val="18"/>
      <w:lang w:val="es-ES_tradnl" w:eastAsia="zh-TW"/>
    </w:rPr>
  </w:style>
  <w:style w:type="paragraph" w:customStyle="1" w:styleId="ReportCHGA">
    <w:name w:val="Report_CH_GA"/>
    <w:basedOn w:val="HChGA"/>
    <w:qFormat/>
    <w:rsid w:val="009C17EC"/>
    <w:rPr>
      <w:sz w:val="44"/>
      <w:szCs w:val="44"/>
      <w:lang w:val="en-US" w:bidi="ar-DZ"/>
    </w:rPr>
  </w:style>
  <w:style w:type="paragraph" w:customStyle="1" w:styleId="FootnoteGA0">
    <w:name w:val="Footnote_GA"/>
    <w:basedOn w:val="Normal"/>
    <w:qFormat/>
    <w:rsid w:val="009C17EC"/>
    <w:pPr>
      <w:spacing w:after="60" w:line="280" w:lineRule="exact"/>
      <w:ind w:left="1247" w:right="1247" w:hanging="567"/>
    </w:pPr>
    <w:rPr>
      <w:sz w:val="18"/>
      <w:szCs w:val="18"/>
      <w:lang w:val="es-ES_tradnl" w:eastAsia="zh-TW"/>
    </w:rPr>
  </w:style>
  <w:style w:type="paragraph" w:customStyle="1" w:styleId="H1">
    <w:name w:val="_ H_1"/>
    <w:basedOn w:val="Normal"/>
    <w:next w:val="SingleTxt"/>
    <w:qFormat/>
    <w:rsid w:val="009C17EC"/>
    <w:pPr>
      <w:keepNext/>
      <w:keepLines/>
      <w:spacing w:after="120" w:line="400" w:lineRule="exact"/>
      <w:outlineLvl w:val="0"/>
    </w:pPr>
    <w:rPr>
      <w:b/>
      <w:bCs/>
      <w:kern w:val="14"/>
      <w:sz w:val="24"/>
      <w:szCs w:val="32"/>
    </w:rPr>
  </w:style>
  <w:style w:type="paragraph" w:customStyle="1" w:styleId="HCh">
    <w:name w:val="_ H _Ch"/>
    <w:basedOn w:val="H1"/>
    <w:next w:val="SingleTxt"/>
    <w:qFormat/>
    <w:rsid w:val="009C17EC"/>
    <w:pPr>
      <w:spacing w:line="440" w:lineRule="exact"/>
    </w:pPr>
    <w:rPr>
      <w:spacing w:val="-2"/>
      <w:sz w:val="28"/>
      <w:szCs w:val="36"/>
    </w:rPr>
  </w:style>
  <w:style w:type="character" w:styleId="CommentReference">
    <w:name w:val="annotation reference"/>
    <w:uiPriority w:val="99"/>
    <w:semiHidden/>
    <w:rsid w:val="009C17EC"/>
    <w:rPr>
      <w:sz w:val="6"/>
      <w:szCs w:val="9"/>
    </w:rPr>
  </w:style>
  <w:style w:type="paragraph" w:customStyle="1" w:styleId="HM">
    <w:name w:val="_ H __M"/>
    <w:basedOn w:val="HCh"/>
    <w:next w:val="Normal"/>
    <w:qFormat/>
    <w:rsid w:val="009C17EC"/>
    <w:pPr>
      <w:suppressAutoHyphens/>
      <w:spacing w:line="520" w:lineRule="exact"/>
    </w:pPr>
    <w:rPr>
      <w:spacing w:val="-3"/>
      <w:sz w:val="34"/>
      <w:szCs w:val="48"/>
    </w:rPr>
  </w:style>
  <w:style w:type="paragraph" w:customStyle="1" w:styleId="SingleTxt">
    <w:name w:val="__Single Txt"/>
    <w:basedOn w:val="Normal"/>
    <w:qFormat/>
    <w:rsid w:val="009C17EC"/>
    <w:pPr>
      <w:tabs>
        <w:tab w:val="left" w:pos="1930"/>
        <w:tab w:val="left" w:pos="2592"/>
        <w:tab w:val="left" w:pos="3254"/>
        <w:tab w:val="left" w:pos="3917"/>
        <w:tab w:val="left" w:pos="4579"/>
        <w:tab w:val="left" w:pos="5242"/>
        <w:tab w:val="left" w:pos="5904"/>
        <w:tab w:val="left" w:pos="6566"/>
      </w:tabs>
      <w:spacing w:after="120" w:line="360" w:lineRule="exact"/>
      <w:ind w:left="1264" w:right="1264"/>
    </w:pPr>
    <w:rPr>
      <w:kern w:val="14"/>
      <w:szCs w:val="28"/>
    </w:rPr>
  </w:style>
  <w:style w:type="paragraph" w:customStyle="1" w:styleId="H23">
    <w:name w:val="_ H_2/3"/>
    <w:basedOn w:val="H1"/>
    <w:next w:val="Normal"/>
    <w:qFormat/>
    <w:rsid w:val="009C17EC"/>
    <w:pPr>
      <w:suppressAutoHyphens/>
      <w:spacing w:line="360" w:lineRule="exact"/>
      <w:outlineLvl w:val="1"/>
    </w:pPr>
    <w:rPr>
      <w:spacing w:val="2"/>
      <w:sz w:val="20"/>
      <w:szCs w:val="28"/>
    </w:rPr>
  </w:style>
  <w:style w:type="paragraph" w:customStyle="1" w:styleId="H4">
    <w:name w:val="_ H_4"/>
    <w:basedOn w:val="Normal"/>
    <w:next w:val="Normal"/>
    <w:qFormat/>
    <w:rsid w:val="009C17EC"/>
    <w:pPr>
      <w:keepNext/>
      <w:keepLines/>
      <w:spacing w:after="120" w:line="360" w:lineRule="exact"/>
      <w:outlineLvl w:val="3"/>
    </w:pPr>
    <w:rPr>
      <w:i/>
      <w:iCs/>
      <w:kern w:val="14"/>
      <w:szCs w:val="28"/>
    </w:rPr>
  </w:style>
  <w:style w:type="paragraph" w:customStyle="1" w:styleId="H56">
    <w:name w:val="_ H_5/6"/>
    <w:basedOn w:val="Normal"/>
    <w:next w:val="Normal"/>
    <w:qFormat/>
    <w:rsid w:val="009C17EC"/>
    <w:pPr>
      <w:keepNext/>
      <w:keepLines/>
      <w:spacing w:after="120" w:line="360" w:lineRule="exact"/>
      <w:outlineLvl w:val="4"/>
    </w:pPr>
    <w:rPr>
      <w:kern w:val="14"/>
      <w:szCs w:val="28"/>
    </w:rPr>
  </w:style>
  <w:style w:type="paragraph" w:customStyle="1" w:styleId="DualTxt">
    <w:name w:val="__Dual Txt"/>
    <w:basedOn w:val="Normal"/>
    <w:qFormat/>
    <w:rsid w:val="009C17EC"/>
    <w:pPr>
      <w:tabs>
        <w:tab w:val="left" w:pos="662"/>
        <w:tab w:val="left" w:pos="1325"/>
        <w:tab w:val="left" w:pos="1987"/>
        <w:tab w:val="left" w:pos="2650"/>
        <w:tab w:val="left" w:pos="3312"/>
        <w:tab w:val="left" w:pos="3974"/>
        <w:tab w:val="left" w:pos="4637"/>
      </w:tabs>
      <w:spacing w:after="120" w:line="360" w:lineRule="exact"/>
    </w:pPr>
    <w:rPr>
      <w:kern w:val="14"/>
      <w:szCs w:val="28"/>
    </w:rPr>
  </w:style>
  <w:style w:type="paragraph" w:customStyle="1" w:styleId="JDualTxt">
    <w:name w:val="J__Dual Txt"/>
    <w:basedOn w:val="Normal"/>
    <w:qFormat/>
    <w:rsid w:val="009C17EC"/>
    <w:pPr>
      <w:keepNext/>
      <w:tabs>
        <w:tab w:val="left" w:pos="475"/>
        <w:tab w:val="left" w:pos="950"/>
        <w:tab w:val="left" w:pos="1426"/>
        <w:tab w:val="left" w:pos="1901"/>
        <w:tab w:val="center" w:pos="2563"/>
        <w:tab w:val="right" w:pos="5040"/>
      </w:tabs>
      <w:spacing w:after="80" w:line="300" w:lineRule="exact"/>
    </w:pPr>
    <w:rPr>
      <w:kern w:val="14"/>
      <w:sz w:val="17"/>
      <w:szCs w:val="26"/>
    </w:rPr>
  </w:style>
  <w:style w:type="paragraph" w:customStyle="1" w:styleId="JSingleTxt">
    <w:name w:val="J__Single Txt"/>
    <w:basedOn w:val="Normal"/>
    <w:qFormat/>
    <w:rsid w:val="009C17EC"/>
    <w:pPr>
      <w:keepNext/>
      <w:tabs>
        <w:tab w:val="left" w:pos="1843"/>
        <w:tab w:val="left" w:pos="2419"/>
        <w:tab w:val="left" w:pos="2995"/>
        <w:tab w:val="left" w:pos="3571"/>
        <w:tab w:val="left" w:pos="4147"/>
        <w:tab w:val="left" w:pos="4723"/>
        <w:tab w:val="center" w:pos="5486"/>
        <w:tab w:val="right" w:pos="9547"/>
      </w:tabs>
      <w:spacing w:after="80" w:line="300" w:lineRule="exact"/>
    </w:pPr>
    <w:rPr>
      <w:kern w:val="14"/>
      <w:sz w:val="17"/>
      <w:szCs w:val="26"/>
    </w:rPr>
  </w:style>
  <w:style w:type="paragraph" w:customStyle="1" w:styleId="JCH">
    <w:name w:val="J_C_H"/>
    <w:basedOn w:val="JSingleTxt"/>
    <w:qFormat/>
    <w:rsid w:val="009C17EC"/>
    <w:pPr>
      <w:spacing w:after="120" w:line="440" w:lineRule="exact"/>
      <w:jc w:val="center"/>
    </w:pPr>
    <w:rPr>
      <w:b/>
      <w:bCs/>
      <w:sz w:val="25"/>
      <w:szCs w:val="38"/>
    </w:rPr>
  </w:style>
  <w:style w:type="paragraph" w:customStyle="1" w:styleId="JH1">
    <w:name w:val="J_H_1"/>
    <w:basedOn w:val="JCH"/>
    <w:qFormat/>
    <w:rsid w:val="009C17EC"/>
    <w:pPr>
      <w:spacing w:line="420" w:lineRule="exact"/>
    </w:pPr>
    <w:rPr>
      <w:sz w:val="23"/>
      <w:szCs w:val="34"/>
    </w:rPr>
  </w:style>
  <w:style w:type="paragraph" w:customStyle="1" w:styleId="JH2">
    <w:name w:val="J_H_2"/>
    <w:basedOn w:val="JH1"/>
    <w:qFormat/>
    <w:rsid w:val="009C17EC"/>
    <w:pPr>
      <w:spacing w:line="400" w:lineRule="exact"/>
    </w:pPr>
    <w:rPr>
      <w:sz w:val="20"/>
      <w:szCs w:val="30"/>
    </w:rPr>
  </w:style>
  <w:style w:type="paragraph" w:customStyle="1" w:styleId="JSmall">
    <w:name w:val="J_Small"/>
    <w:basedOn w:val="JSingleTxt"/>
    <w:next w:val="JSingleTxt"/>
    <w:qFormat/>
    <w:rsid w:val="009C17EC"/>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9C17EC"/>
    <w:pPr>
      <w:tabs>
        <w:tab w:val="right" w:leader="dot" w:pos="360"/>
      </w:tabs>
      <w:spacing w:line="310" w:lineRule="exact"/>
      <w:jc w:val="right"/>
    </w:pPr>
    <w:rPr>
      <w:spacing w:val="5"/>
      <w:w w:val="104"/>
      <w:kern w:val="14"/>
      <w:sz w:val="17"/>
      <w:szCs w:val="25"/>
    </w:rPr>
  </w:style>
  <w:style w:type="character" w:styleId="LineNumber">
    <w:name w:val="line number"/>
    <w:qFormat/>
    <w:rsid w:val="009C17EC"/>
    <w:rPr>
      <w:sz w:val="14"/>
      <w:szCs w:val="16"/>
    </w:rPr>
  </w:style>
  <w:style w:type="paragraph" w:customStyle="1" w:styleId="SmallX">
    <w:name w:val="SmallX"/>
    <w:basedOn w:val="Small"/>
    <w:next w:val="Normal"/>
    <w:qFormat/>
    <w:rsid w:val="009C17EC"/>
    <w:pPr>
      <w:spacing w:line="240" w:lineRule="exact"/>
    </w:pPr>
    <w:rPr>
      <w:spacing w:val="6"/>
      <w:w w:val="106"/>
      <w:sz w:val="14"/>
      <w:szCs w:val="21"/>
    </w:rPr>
  </w:style>
  <w:style w:type="paragraph" w:customStyle="1" w:styleId="XLarge">
    <w:name w:val="XLarge"/>
    <w:basedOn w:val="HM"/>
    <w:qFormat/>
    <w:rsid w:val="009C17EC"/>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9C17EC"/>
    <w:pPr>
      <w:spacing w:line="820" w:lineRule="exact"/>
    </w:pPr>
    <w:rPr>
      <w:spacing w:val="-8"/>
      <w:w w:val="96"/>
      <w:sz w:val="57"/>
      <w:szCs w:val="86"/>
    </w:rPr>
  </w:style>
  <w:style w:type="paragraph" w:customStyle="1" w:styleId="Distribution">
    <w:name w:val="Distribution"/>
    <w:basedOn w:val="Normal"/>
    <w:next w:val="Normal"/>
    <w:qFormat/>
    <w:rsid w:val="009C17EC"/>
    <w:pPr>
      <w:tabs>
        <w:tab w:val="left" w:pos="662"/>
        <w:tab w:val="left" w:pos="1267"/>
        <w:tab w:val="left" w:pos="1987"/>
        <w:tab w:val="left" w:pos="2650"/>
      </w:tabs>
      <w:spacing w:line="240" w:lineRule="exact"/>
    </w:pPr>
    <w:rPr>
      <w:kern w:val="14"/>
      <w:szCs w:val="28"/>
    </w:rPr>
  </w:style>
  <w:style w:type="paragraph" w:customStyle="1" w:styleId="Publication">
    <w:name w:val="Publication"/>
    <w:basedOn w:val="Normal"/>
    <w:next w:val="Normal"/>
    <w:qFormat/>
    <w:rsid w:val="009C17EC"/>
    <w:pPr>
      <w:tabs>
        <w:tab w:val="left" w:pos="662"/>
        <w:tab w:val="left" w:pos="1267"/>
        <w:tab w:val="left" w:pos="1987"/>
        <w:tab w:val="left" w:pos="2650"/>
      </w:tabs>
      <w:spacing w:line="240" w:lineRule="exact"/>
    </w:pPr>
    <w:rPr>
      <w:kern w:val="14"/>
      <w:szCs w:val="28"/>
    </w:rPr>
  </w:style>
  <w:style w:type="paragraph" w:customStyle="1" w:styleId="Original">
    <w:name w:val="Original"/>
    <w:basedOn w:val="Normal"/>
    <w:next w:val="Normal"/>
    <w:qFormat/>
    <w:rsid w:val="009C17EC"/>
    <w:pPr>
      <w:tabs>
        <w:tab w:val="left" w:pos="662"/>
        <w:tab w:val="left" w:pos="1267"/>
        <w:tab w:val="left" w:pos="1987"/>
        <w:tab w:val="left" w:pos="2650"/>
      </w:tabs>
      <w:spacing w:line="240" w:lineRule="exact"/>
    </w:pPr>
    <w:rPr>
      <w:kern w:val="14"/>
      <w:szCs w:val="28"/>
    </w:rPr>
  </w:style>
  <w:style w:type="paragraph" w:customStyle="1" w:styleId="ReleaseDate">
    <w:name w:val="Release Date"/>
    <w:next w:val="Footer"/>
    <w:qFormat/>
    <w:rsid w:val="009C17EC"/>
    <w:pPr>
      <w:tabs>
        <w:tab w:val="center" w:pos="4320"/>
        <w:tab w:val="right" w:pos="8640"/>
      </w:tabs>
      <w:spacing w:line="210" w:lineRule="exact"/>
      <w:jc w:val="right"/>
    </w:pPr>
    <w:rPr>
      <w:rFonts w:ascii="Times New Roman" w:eastAsia="PMingLiU" w:hAnsi="Times New Roman" w:cs="Simplified Arabic"/>
      <w:w w:val="103"/>
      <w:kern w:val="14"/>
      <w:szCs w:val="30"/>
      <w:lang w:eastAsia="en-US"/>
    </w:rPr>
  </w:style>
  <w:style w:type="paragraph" w:customStyle="1" w:styleId="Session">
    <w:name w:val="Session"/>
    <w:basedOn w:val="H23"/>
    <w:qFormat/>
    <w:rsid w:val="009C17EC"/>
    <w:pPr>
      <w:tabs>
        <w:tab w:val="left" w:pos="662"/>
        <w:tab w:val="left" w:pos="1267"/>
        <w:tab w:val="left" w:pos="1987"/>
        <w:tab w:val="left" w:pos="2650"/>
      </w:tabs>
      <w:spacing w:after="0"/>
      <w:ind w:left="662" w:hanging="662"/>
    </w:pPr>
  </w:style>
  <w:style w:type="paragraph" w:customStyle="1" w:styleId="Committee">
    <w:name w:val="Committee"/>
    <w:basedOn w:val="H1"/>
    <w:qFormat/>
    <w:rsid w:val="009C17EC"/>
    <w:pPr>
      <w:tabs>
        <w:tab w:val="left" w:pos="662"/>
        <w:tab w:val="left" w:pos="1267"/>
        <w:tab w:val="left" w:pos="1987"/>
        <w:tab w:val="left" w:pos="2650"/>
      </w:tabs>
      <w:ind w:right="1264"/>
    </w:pPr>
  </w:style>
  <w:style w:type="paragraph" w:customStyle="1" w:styleId="AgendaItemNormal">
    <w:name w:val="Agenda_Item_Normal"/>
    <w:next w:val="Normal"/>
    <w:qFormat/>
    <w:rsid w:val="009C17EC"/>
    <w:pPr>
      <w:spacing w:line="360" w:lineRule="exact"/>
      <w:jc w:val="both"/>
    </w:pPr>
    <w:rPr>
      <w:rFonts w:ascii="Times New Roman" w:eastAsia="PMingLiU" w:hAnsi="Times New Roman" w:cs="Simplified Arabic"/>
      <w:w w:val="103"/>
      <w:kern w:val="14"/>
      <w:szCs w:val="28"/>
      <w:lang w:eastAsia="en-US"/>
    </w:rPr>
  </w:style>
  <w:style w:type="paragraph" w:customStyle="1" w:styleId="Sponsors">
    <w:name w:val="Sponsors"/>
    <w:basedOn w:val="H23"/>
    <w:next w:val="Normal"/>
    <w:qFormat/>
    <w:rsid w:val="009C17EC"/>
    <w:pPr>
      <w:tabs>
        <w:tab w:val="right" w:pos="1022"/>
        <w:tab w:val="left" w:pos="1267"/>
        <w:tab w:val="left" w:pos="1930"/>
        <w:tab w:val="left" w:pos="2592"/>
        <w:tab w:val="left" w:pos="3254"/>
      </w:tabs>
      <w:ind w:left="1267" w:right="1267" w:hanging="1267"/>
    </w:pPr>
  </w:style>
  <w:style w:type="paragraph" w:customStyle="1" w:styleId="TitleHCH">
    <w:name w:val="Title_H_CH"/>
    <w:basedOn w:val="H1"/>
    <w:next w:val="SingleTxt"/>
    <w:qFormat/>
    <w:rsid w:val="009C17EC"/>
    <w:pPr>
      <w:tabs>
        <w:tab w:val="right" w:pos="1022"/>
        <w:tab w:val="left" w:pos="1267"/>
        <w:tab w:val="left" w:pos="1930"/>
        <w:tab w:val="left" w:pos="2592"/>
        <w:tab w:val="left" w:pos="3254"/>
        <w:tab w:val="left" w:pos="3917"/>
        <w:tab w:val="left" w:pos="4579"/>
        <w:tab w:val="left" w:pos="5242"/>
        <w:tab w:val="left" w:pos="5904"/>
        <w:tab w:val="left" w:pos="6566"/>
      </w:tabs>
      <w:spacing w:line="440" w:lineRule="exact"/>
      <w:ind w:left="1267" w:right="1267" w:hanging="1267"/>
    </w:pPr>
    <w:rPr>
      <w:spacing w:val="-2"/>
      <w:sz w:val="28"/>
      <w:szCs w:val="36"/>
    </w:rPr>
  </w:style>
  <w:style w:type="paragraph" w:customStyle="1" w:styleId="TitleH1">
    <w:name w:val="Title_H1"/>
    <w:basedOn w:val="Normal"/>
    <w:next w:val="Normal"/>
    <w:qFormat/>
    <w:rsid w:val="009C17EC"/>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Cs/>
      <w:kern w:val="14"/>
      <w:sz w:val="24"/>
      <w:szCs w:val="32"/>
    </w:rPr>
  </w:style>
  <w:style w:type="paragraph" w:customStyle="1" w:styleId="TitleH2">
    <w:name w:val="Title_H2"/>
    <w:basedOn w:val="H1"/>
    <w:next w:val="Normal"/>
    <w:qFormat/>
    <w:rsid w:val="009C17EC"/>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outlineLvl w:val="1"/>
    </w:pPr>
    <w:rPr>
      <w:spacing w:val="2"/>
      <w:sz w:val="20"/>
      <w:szCs w:val="28"/>
    </w:rPr>
  </w:style>
  <w:style w:type="character" w:styleId="FollowedHyperlink">
    <w:name w:val="FollowedHyperlink"/>
    <w:uiPriority w:val="99"/>
    <w:rsid w:val="009C17EC"/>
    <w:rPr>
      <w:i w:val="0"/>
      <w:color w:val="0000FF"/>
      <w:u w:val="none"/>
    </w:rPr>
  </w:style>
  <w:style w:type="paragraph" w:customStyle="1" w:styleId="Bullet1">
    <w:name w:val="Bullet 1"/>
    <w:basedOn w:val="Normal"/>
    <w:qFormat/>
    <w:rsid w:val="009C17EC"/>
    <w:pPr>
      <w:numPr>
        <w:numId w:val="18"/>
      </w:numPr>
      <w:tabs>
        <w:tab w:val="num" w:pos="1292"/>
      </w:tabs>
      <w:spacing w:after="120" w:line="360" w:lineRule="exact"/>
      <w:ind w:left="1292" w:right="1264" w:hanging="227"/>
    </w:pPr>
    <w:rPr>
      <w:kern w:val="14"/>
      <w:szCs w:val="28"/>
    </w:rPr>
  </w:style>
  <w:style w:type="paragraph" w:customStyle="1" w:styleId="Bullet2">
    <w:name w:val="Bullet 2"/>
    <w:basedOn w:val="Normal"/>
    <w:qFormat/>
    <w:rsid w:val="009C17EC"/>
    <w:pPr>
      <w:numPr>
        <w:numId w:val="19"/>
      </w:numPr>
      <w:spacing w:after="120" w:line="360" w:lineRule="exact"/>
      <w:ind w:right="1264"/>
    </w:pPr>
    <w:rPr>
      <w:kern w:val="14"/>
      <w:szCs w:val="28"/>
    </w:rPr>
  </w:style>
  <w:style w:type="paragraph" w:customStyle="1" w:styleId="Bullet3">
    <w:name w:val="Bullet 3"/>
    <w:basedOn w:val="SingleTxt"/>
    <w:qFormat/>
    <w:rsid w:val="009C17EC"/>
    <w:pPr>
      <w:numPr>
        <w:numId w:val="20"/>
      </w:numPr>
      <w:tabs>
        <w:tab w:val="clear" w:pos="1930"/>
        <w:tab w:val="clear" w:pos="2592"/>
        <w:tab w:val="clear" w:pos="3254"/>
        <w:tab w:val="clear" w:pos="3917"/>
        <w:tab w:val="clear" w:pos="4579"/>
        <w:tab w:val="clear" w:pos="5242"/>
        <w:tab w:val="clear" w:pos="5904"/>
        <w:tab w:val="clear" w:pos="6566"/>
        <w:tab w:val="num" w:pos="2495"/>
      </w:tabs>
      <w:ind w:left="2495" w:hanging="545"/>
    </w:pPr>
  </w:style>
  <w:style w:type="paragraph" w:customStyle="1" w:styleId="AgendaTitleH2">
    <w:name w:val="Agenda_Title_H2"/>
    <w:basedOn w:val="H1"/>
    <w:next w:val="Normal"/>
    <w:qFormat/>
    <w:rsid w:val="009C17EC"/>
    <w:pPr>
      <w:ind w:right="5760"/>
      <w:outlineLvl w:val="1"/>
    </w:pPr>
    <w:rPr>
      <w:spacing w:val="2"/>
      <w:sz w:val="20"/>
      <w:szCs w:val="28"/>
    </w:rPr>
  </w:style>
  <w:style w:type="paragraph" w:customStyle="1" w:styleId="STitleM">
    <w:name w:val="S_Title_M"/>
    <w:basedOn w:val="Normal"/>
    <w:next w:val="Normal"/>
    <w:qFormat/>
    <w:rsid w:val="009C17EC"/>
    <w:pPr>
      <w:keepNext/>
      <w:keepLines/>
      <w:tabs>
        <w:tab w:val="left" w:leader="dot" w:pos="360"/>
      </w:tabs>
      <w:spacing w:line="600" w:lineRule="exact"/>
      <w:ind w:left="1267" w:right="1267"/>
      <w:outlineLvl w:val="0"/>
    </w:pPr>
    <w:rPr>
      <w:b/>
      <w:bCs/>
      <w:spacing w:val="-4"/>
      <w:w w:val="98"/>
      <w:kern w:val="14"/>
      <w:sz w:val="60"/>
      <w:szCs w:val="60"/>
    </w:rPr>
  </w:style>
  <w:style w:type="paragraph" w:customStyle="1" w:styleId="STitleS">
    <w:name w:val="S_Title_S"/>
    <w:basedOn w:val="HCh"/>
    <w:next w:val="Normal"/>
    <w:qFormat/>
    <w:rsid w:val="009C17EC"/>
    <w:pPr>
      <w:spacing w:line="600" w:lineRule="exact"/>
      <w:ind w:left="1267" w:right="1267"/>
    </w:pPr>
    <w:rPr>
      <w:w w:val="103"/>
      <w:sz w:val="60"/>
      <w:szCs w:val="60"/>
    </w:rPr>
  </w:style>
  <w:style w:type="paragraph" w:customStyle="1" w:styleId="STitleL">
    <w:name w:val="S_Title_L"/>
    <w:basedOn w:val="XLarge"/>
    <w:next w:val="Normal"/>
    <w:qFormat/>
    <w:rsid w:val="009C17EC"/>
    <w:rPr>
      <w:spacing w:val="-8"/>
      <w:w w:val="96"/>
      <w:sz w:val="57"/>
    </w:rPr>
  </w:style>
  <w:style w:type="paragraph" w:styleId="CommentText">
    <w:name w:val="annotation text"/>
    <w:basedOn w:val="Normal"/>
    <w:link w:val="CommentTextChar"/>
    <w:uiPriority w:val="99"/>
    <w:semiHidden/>
    <w:unhideWhenUsed/>
    <w:rsid w:val="009C17EC"/>
    <w:pPr>
      <w:spacing w:line="240" w:lineRule="auto"/>
    </w:pPr>
    <w:rPr>
      <w:kern w:val="14"/>
    </w:rPr>
  </w:style>
  <w:style w:type="character" w:customStyle="1" w:styleId="CommentTextChar">
    <w:name w:val="Comment Text Char"/>
    <w:basedOn w:val="DefaultParagraphFont"/>
    <w:link w:val="CommentText"/>
    <w:uiPriority w:val="99"/>
    <w:semiHidden/>
    <w:rsid w:val="009C17EC"/>
    <w:rPr>
      <w:rFonts w:ascii="Times New Roman" w:eastAsia="PMingLiU" w:hAnsi="Times New Roman" w:cs="Simplified Arabic"/>
      <w:kern w:val="14"/>
      <w:szCs w:val="22"/>
      <w:lang w:eastAsia="en-US"/>
    </w:rPr>
  </w:style>
  <w:style w:type="paragraph" w:styleId="CommentSubject">
    <w:name w:val="annotation subject"/>
    <w:basedOn w:val="CommentText"/>
    <w:next w:val="CommentText"/>
    <w:link w:val="CommentSubjectChar"/>
    <w:uiPriority w:val="99"/>
    <w:semiHidden/>
    <w:unhideWhenUsed/>
    <w:rsid w:val="009C17EC"/>
    <w:rPr>
      <w:b/>
      <w:bCs/>
    </w:rPr>
  </w:style>
  <w:style w:type="character" w:customStyle="1" w:styleId="CommentSubjectChar">
    <w:name w:val="Comment Subject Char"/>
    <w:basedOn w:val="CommentTextChar"/>
    <w:link w:val="CommentSubject"/>
    <w:uiPriority w:val="99"/>
    <w:semiHidden/>
    <w:rsid w:val="009C17EC"/>
    <w:rPr>
      <w:rFonts w:ascii="Times New Roman" w:eastAsia="PMingLiU" w:hAnsi="Times New Roman" w:cs="Simplified Arabic"/>
      <w:b/>
      <w:bCs/>
      <w:kern w:val="14"/>
      <w:szCs w:val="22"/>
      <w:lang w:eastAsia="en-US"/>
    </w:rPr>
  </w:style>
  <w:style w:type="paragraph" w:customStyle="1" w:styleId="Bullet1G">
    <w:name w:val="_Bullet 1_G"/>
    <w:basedOn w:val="Normal"/>
    <w:qFormat/>
    <w:rsid w:val="009C17EC"/>
    <w:pPr>
      <w:numPr>
        <w:numId w:val="21"/>
      </w:numPr>
      <w:bidi w:val="0"/>
      <w:spacing w:after="120"/>
      <w:ind w:right="1134"/>
      <w:jc w:val="both"/>
    </w:pPr>
    <w:rPr>
      <w:sz w:val="22"/>
    </w:rPr>
  </w:style>
  <w:style w:type="character" w:customStyle="1" w:styleId="SingleTxtGChar">
    <w:name w:val="_ Single Txt_G Char"/>
    <w:link w:val="SingleTxtG"/>
    <w:rsid w:val="009C17EC"/>
    <w:rPr>
      <w:rFonts w:ascii="Times New Roman" w:eastAsia="PMingLiU" w:hAnsi="Times New Roman" w:cs="Simplified Arabic"/>
      <w:lang w:val="en-GB" w:eastAsia="en-US"/>
    </w:rPr>
  </w:style>
  <w:style w:type="paragraph" w:customStyle="1" w:styleId="Preparedby">
    <w:name w:val="Prepared by:"/>
    <w:basedOn w:val="H23GA"/>
    <w:qFormat/>
    <w:rsid w:val="009C17EC"/>
    <w:rPr>
      <w:sz w:val="32"/>
      <w:szCs w:val="32"/>
    </w:rPr>
  </w:style>
  <w:style w:type="paragraph" w:customStyle="1" w:styleId="ParaNoG">
    <w:name w:val="_ParaNo._G"/>
    <w:basedOn w:val="SingleTxtG"/>
    <w:rsid w:val="009C17EC"/>
    <w:pPr>
      <w:numPr>
        <w:numId w:val="28"/>
      </w:numPr>
      <w:tabs>
        <w:tab w:val="left" w:pos="1134"/>
        <w:tab w:val="left" w:pos="1701"/>
        <w:tab w:val="left" w:pos="2268"/>
        <w:tab w:val="left" w:pos="2835"/>
      </w:tabs>
      <w:suppressAutoHyphens w:val="0"/>
    </w:pPr>
    <w:rPr>
      <w:rFonts w:hint="cs"/>
      <w:szCs w:val="30"/>
      <w:lang w:val="fr-FR" w:eastAsia="fr-FR"/>
    </w:rPr>
  </w:style>
  <w:style w:type="paragraph" w:customStyle="1" w:styleId="HMG">
    <w:name w:val="_ H __M_G"/>
    <w:basedOn w:val="Normal"/>
    <w:next w:val="Normal"/>
    <w:qFormat/>
    <w:rsid w:val="009C17EC"/>
    <w:pPr>
      <w:keepNext/>
      <w:keepLines/>
      <w:tabs>
        <w:tab w:val="right" w:pos="851"/>
      </w:tabs>
      <w:kinsoku w:val="0"/>
      <w:overflowPunct w:val="0"/>
      <w:autoSpaceDE w:val="0"/>
      <w:autoSpaceDN w:val="0"/>
      <w:bidi w:val="0"/>
      <w:adjustRightInd w:val="0"/>
      <w:snapToGrid w:val="0"/>
      <w:spacing w:before="240" w:after="240" w:line="360" w:lineRule="exact"/>
      <w:ind w:left="1134" w:right="1134" w:hanging="1134"/>
      <w:jc w:val="left"/>
    </w:pPr>
    <w:rPr>
      <w:rFonts w:hint="cs"/>
      <w:b/>
      <w:sz w:val="34"/>
      <w:szCs w:val="30"/>
      <w:lang w:val="fr-FR" w:eastAsia="fr-FR"/>
    </w:rPr>
  </w:style>
  <w:style w:type="paragraph" w:customStyle="1" w:styleId="H56G">
    <w:name w:val="_ H_5/6_G"/>
    <w:basedOn w:val="Normal"/>
    <w:next w:val="Normal"/>
    <w:qFormat/>
    <w:rsid w:val="009C17EC"/>
    <w:pPr>
      <w:keepNext/>
      <w:keepLines/>
      <w:tabs>
        <w:tab w:val="right" w:pos="851"/>
      </w:tabs>
      <w:kinsoku w:val="0"/>
      <w:overflowPunct w:val="0"/>
      <w:autoSpaceDE w:val="0"/>
      <w:autoSpaceDN w:val="0"/>
      <w:bidi w:val="0"/>
      <w:adjustRightInd w:val="0"/>
      <w:snapToGrid w:val="0"/>
      <w:spacing w:before="240" w:after="120" w:line="240" w:lineRule="exact"/>
      <w:ind w:left="1134" w:right="1134" w:hanging="1134"/>
      <w:jc w:val="left"/>
    </w:pPr>
    <w:rPr>
      <w:rFonts w:hint="cs"/>
      <w:szCs w:val="30"/>
      <w:lang w:val="fr-FR" w:eastAsia="fr-FR"/>
    </w:rPr>
  </w:style>
  <w:style w:type="paragraph" w:customStyle="1" w:styleId="SLG">
    <w:name w:val="__S_L_G"/>
    <w:basedOn w:val="Normal"/>
    <w:next w:val="Normal"/>
    <w:rsid w:val="009C17EC"/>
    <w:pPr>
      <w:keepNext/>
      <w:keepLines/>
      <w:kinsoku w:val="0"/>
      <w:overflowPunct w:val="0"/>
      <w:autoSpaceDE w:val="0"/>
      <w:autoSpaceDN w:val="0"/>
      <w:bidi w:val="0"/>
      <w:adjustRightInd w:val="0"/>
      <w:snapToGrid w:val="0"/>
      <w:spacing w:before="240" w:after="240" w:line="580" w:lineRule="exact"/>
      <w:ind w:left="1134" w:right="1134"/>
      <w:jc w:val="left"/>
    </w:pPr>
    <w:rPr>
      <w:rFonts w:hint="cs"/>
      <w:b/>
      <w:sz w:val="56"/>
      <w:szCs w:val="30"/>
      <w:lang w:val="fr-FR" w:eastAsia="fr-FR"/>
    </w:rPr>
  </w:style>
  <w:style w:type="paragraph" w:customStyle="1" w:styleId="SMG">
    <w:name w:val="__S_M_G"/>
    <w:basedOn w:val="Normal"/>
    <w:next w:val="Normal"/>
    <w:rsid w:val="009C17EC"/>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SSG">
    <w:name w:val="__S_S_G"/>
    <w:basedOn w:val="Normal"/>
    <w:next w:val="Normal"/>
    <w:rsid w:val="009C17EC"/>
    <w:pPr>
      <w:keepNext/>
      <w:keepLines/>
      <w:kinsoku w:val="0"/>
      <w:overflowPunct w:val="0"/>
      <w:autoSpaceDE w:val="0"/>
      <w:autoSpaceDN w:val="0"/>
      <w:bidi w:val="0"/>
      <w:adjustRightInd w:val="0"/>
      <w:snapToGrid w:val="0"/>
      <w:spacing w:before="240" w:after="240" w:line="300" w:lineRule="exact"/>
      <w:ind w:left="1134" w:right="1134"/>
      <w:jc w:val="left"/>
    </w:pPr>
    <w:rPr>
      <w:rFonts w:hint="cs"/>
      <w:b/>
      <w:sz w:val="28"/>
      <w:szCs w:val="30"/>
      <w:lang w:val="fr-FR" w:eastAsia="fr-FR"/>
    </w:rPr>
  </w:style>
  <w:style w:type="paragraph" w:customStyle="1" w:styleId="XLargeG">
    <w:name w:val="__XLarge_G"/>
    <w:basedOn w:val="Normal"/>
    <w:next w:val="Normal"/>
    <w:rsid w:val="009C17EC"/>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Bullet2G">
    <w:name w:val="_Bullet 2_G"/>
    <w:basedOn w:val="Normal"/>
    <w:qFormat/>
    <w:rsid w:val="009C17EC"/>
    <w:pPr>
      <w:numPr>
        <w:numId w:val="24"/>
      </w:numPr>
      <w:kinsoku w:val="0"/>
      <w:overflowPunct w:val="0"/>
      <w:autoSpaceDE w:val="0"/>
      <w:autoSpaceDN w:val="0"/>
      <w:bidi w:val="0"/>
      <w:adjustRightInd w:val="0"/>
      <w:snapToGrid w:val="0"/>
      <w:spacing w:after="120"/>
      <w:ind w:right="1134"/>
      <w:jc w:val="both"/>
    </w:pPr>
    <w:rPr>
      <w:rFonts w:hint="cs"/>
      <w:szCs w:val="30"/>
      <w:lang w:val="fr-FR" w:eastAsia="fr-FR"/>
    </w:rPr>
  </w:style>
  <w:style w:type="paragraph" w:styleId="Revision">
    <w:name w:val="Revision"/>
    <w:hidden/>
    <w:uiPriority w:val="99"/>
    <w:semiHidden/>
    <w:rsid w:val="009C17EC"/>
    <w:rPr>
      <w:rFonts w:asciiTheme="minorHAnsi" w:eastAsiaTheme="minorEastAsia" w:hAnsiTheme="minorHAnsi" w:cstheme="minorBidi"/>
      <w:sz w:val="24"/>
      <w:szCs w:val="24"/>
      <w:lang w:val="fr-FR" w:eastAsia="fr-FR"/>
    </w:rPr>
  </w:style>
  <w:style w:type="paragraph" w:customStyle="1" w:styleId="Default">
    <w:name w:val="Default"/>
    <w:semiHidden/>
    <w:rsid w:val="009C17EC"/>
    <w:pPr>
      <w:autoSpaceDE w:val="0"/>
      <w:autoSpaceDN w:val="0"/>
      <w:adjustRightInd w:val="0"/>
    </w:pPr>
    <w:rPr>
      <w:rFonts w:ascii="Times New Roman" w:eastAsia="PMingLiU" w:hAnsi="Times New Roman" w:cs="Simplified Arabic"/>
      <w:color w:val="000000"/>
      <w:sz w:val="24"/>
      <w:szCs w:val="24"/>
      <w:lang w:val="fr-FR" w:eastAsia="fr-FR"/>
    </w:rPr>
  </w:style>
  <w:style w:type="character" w:customStyle="1" w:styleId="terminologypart">
    <w:name w:val="terminologypart"/>
    <w:basedOn w:val="DefaultParagraphFont"/>
    <w:rsid w:val="009C17EC"/>
  </w:style>
  <w:style w:type="character" w:customStyle="1" w:styleId="preferred">
    <w:name w:val="preferred"/>
    <w:basedOn w:val="DefaultParagraphFont"/>
    <w:rsid w:val="009C17EC"/>
  </w:style>
  <w:style w:type="character" w:customStyle="1" w:styleId="admitted">
    <w:name w:val="admitted"/>
    <w:basedOn w:val="DefaultParagraphFont"/>
    <w:rsid w:val="009C17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69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hchr.org/EN/HRBodies/CCPR/Pages/PredictableReviewCycle.asp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tbinternet.ohchr.org/_layouts/15/treatybodyexternal/Download.aspx?symbolno=INT%2fCCPR%2fFCO%2fMDA%2f32987&amp;Lang=en" TargetMode="External"/><Relationship Id="rId4" Type="http://schemas.openxmlformats.org/officeDocument/2006/relationships/settings" Target="settings.xml"/><Relationship Id="rId9" Type="http://schemas.openxmlformats.org/officeDocument/2006/relationships/hyperlink" Target="https://tbinternet.ohchr.org/_layouts/15/treatybodyexternal/Download.aspx?symbolno=CCPR%2fC%2fMDA%2fCO%2f3&amp;Lang=en"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lan\OneDrive%20-%20United%20Nations\Document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B3873-BCCC-420E-8601-D67A16A86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1</TotalTime>
  <Pages>5</Pages>
  <Words>2052</Words>
  <Characters>11086</Characters>
  <Application>Microsoft Office Word</Application>
  <DocSecurity>0</DocSecurity>
  <Lines>173</Lines>
  <Paragraphs>56</Paragraphs>
  <ScaleCrop>false</ScaleCrop>
  <HeadingPairs>
    <vt:vector size="2" baseType="variant">
      <vt:variant>
        <vt:lpstr>Title</vt:lpstr>
      </vt:variant>
      <vt:variant>
        <vt:i4>1</vt:i4>
      </vt:variant>
    </vt:vector>
  </HeadingPairs>
  <TitlesOfParts>
    <vt:vector size="1" baseType="lpstr">
      <vt:lpstr>CCPR/C/131/2/Add.4</vt:lpstr>
    </vt:vector>
  </TitlesOfParts>
  <Company>DCM</Company>
  <LinksUpToDate>false</LinksUpToDate>
  <CharactersWithSpaces>13134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CCPR/C/131/2/Add.4</dc:title>
  <dc:subject>GE.2105697(A)</dc:subject>
  <dc:creator>Muntaha BUHNAM - MAB</dc:creator>
  <cp:keywords>GE.2109820(A)</cp:keywords>
  <dc:description>Distr.: General
29 April 2021
Arabic
Original: English</dc:description>
  <cp:lastModifiedBy>Ibrahim Balan</cp:lastModifiedBy>
  <cp:revision>3</cp:revision>
  <cp:lastPrinted>2021-05-26T07:28:00Z</cp:lastPrinted>
  <dcterms:created xsi:type="dcterms:W3CDTF">2021-05-26T07:28:00Z</dcterms:created>
  <dcterms:modified xsi:type="dcterms:W3CDTF">2021-05-26T07:29:00Z</dcterms:modified>
  <cp:category>Finale</cp:category>
</cp:coreProperties>
</file>