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0465F6D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BD5B45" w14:textId="77777777" w:rsidR="002D5AAC" w:rsidRDefault="002D5AAC" w:rsidP="00B52C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1636D76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E6B2A66" w14:textId="3EC59536" w:rsidR="002D5AAC" w:rsidRDefault="00B52CF2" w:rsidP="00B52CF2">
            <w:pPr>
              <w:jc w:val="right"/>
            </w:pPr>
            <w:r w:rsidRPr="00B52CF2">
              <w:rPr>
                <w:sz w:val="40"/>
              </w:rPr>
              <w:t>CCPR</w:t>
            </w:r>
            <w:r>
              <w:t>/C/135/2/Add.1</w:t>
            </w:r>
          </w:p>
        </w:tc>
      </w:tr>
      <w:tr w:rsidR="002D5AAC" w:rsidRPr="00734968" w14:paraId="5FA766B7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C7A04D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BB2755" wp14:editId="20E0CFC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5DA3A8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2326C62" w14:textId="77777777" w:rsidR="002D5AAC" w:rsidRPr="00734968" w:rsidRDefault="00B52CF2" w:rsidP="00BC3629">
            <w:pPr>
              <w:spacing w:before="240"/>
              <w:rPr>
                <w:lang w:val="en-US"/>
              </w:rPr>
            </w:pPr>
            <w:r w:rsidRPr="00734968">
              <w:rPr>
                <w:lang w:val="en-US"/>
              </w:rPr>
              <w:t>Distr.: General</w:t>
            </w:r>
          </w:p>
          <w:p w14:paraId="5FFD125E" w14:textId="77777777" w:rsidR="00B52CF2" w:rsidRPr="00734968" w:rsidRDefault="00B52CF2" w:rsidP="00B52CF2">
            <w:pPr>
              <w:spacing w:line="240" w:lineRule="exact"/>
              <w:rPr>
                <w:lang w:val="en-US"/>
              </w:rPr>
            </w:pPr>
            <w:r w:rsidRPr="00734968">
              <w:rPr>
                <w:lang w:val="en-US"/>
              </w:rPr>
              <w:t>20 September 2022</w:t>
            </w:r>
          </w:p>
          <w:p w14:paraId="22461545" w14:textId="77777777" w:rsidR="00B52CF2" w:rsidRPr="00734968" w:rsidRDefault="00B52CF2" w:rsidP="00B52CF2">
            <w:pPr>
              <w:spacing w:line="240" w:lineRule="exact"/>
              <w:rPr>
                <w:lang w:val="en-US"/>
              </w:rPr>
            </w:pPr>
            <w:r w:rsidRPr="00734968">
              <w:rPr>
                <w:lang w:val="en-US"/>
              </w:rPr>
              <w:t>Russian</w:t>
            </w:r>
          </w:p>
          <w:p w14:paraId="1A5C3D46" w14:textId="34468E56" w:rsidR="00B52CF2" w:rsidRPr="00734968" w:rsidRDefault="00B52CF2" w:rsidP="00B52CF2">
            <w:pPr>
              <w:spacing w:line="240" w:lineRule="exact"/>
              <w:rPr>
                <w:lang w:val="en-US"/>
              </w:rPr>
            </w:pPr>
            <w:r w:rsidRPr="00734968">
              <w:rPr>
                <w:lang w:val="en-US"/>
              </w:rPr>
              <w:t>Original: English</w:t>
            </w:r>
          </w:p>
        </w:tc>
      </w:tr>
    </w:tbl>
    <w:p w14:paraId="1781DB62" w14:textId="77777777" w:rsidR="00B52CF2" w:rsidRPr="00B52CF2" w:rsidRDefault="00B52CF2" w:rsidP="00B52CF2">
      <w:pPr>
        <w:spacing w:before="120"/>
        <w:jc w:val="both"/>
        <w:rPr>
          <w:sz w:val="24"/>
          <w:szCs w:val="24"/>
        </w:rPr>
      </w:pPr>
      <w:r w:rsidRPr="00B52CF2">
        <w:rPr>
          <w:b/>
          <w:bCs/>
          <w:sz w:val="24"/>
          <w:szCs w:val="24"/>
        </w:rPr>
        <w:t>Комитет по правам человека</w:t>
      </w:r>
    </w:p>
    <w:p w14:paraId="6BC9F020" w14:textId="60A859CD" w:rsidR="00B52CF2" w:rsidRPr="006668D9" w:rsidRDefault="00B52CF2" w:rsidP="00B52CF2">
      <w:pPr>
        <w:pStyle w:val="HChG"/>
      </w:pPr>
      <w:r>
        <w:tab/>
      </w:r>
      <w:r>
        <w:tab/>
        <w:t xml:space="preserve">Доклад о последующей деятельности в связи </w:t>
      </w:r>
      <w:r>
        <w:br/>
        <w:t xml:space="preserve">с заключительными замечаниями Комитета </w:t>
      </w:r>
      <w:r>
        <w:br/>
        <w:t>по правам человека</w:t>
      </w:r>
      <w:r w:rsidRPr="00B52CF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bookmarkStart w:id="0" w:name="_Toc506807534"/>
      <w:bookmarkEnd w:id="0"/>
    </w:p>
    <w:p w14:paraId="3D0DFE4D" w14:textId="77777777" w:rsidR="00B52CF2" w:rsidRPr="006668D9" w:rsidRDefault="00B52CF2" w:rsidP="00B52CF2">
      <w:pPr>
        <w:pStyle w:val="H23G"/>
        <w:rPr>
          <w:rFonts w:eastAsia="SimSun"/>
        </w:rPr>
      </w:pPr>
      <w:r>
        <w:tab/>
      </w:r>
      <w:r>
        <w:tab/>
        <w:t>Добавление</w:t>
      </w:r>
    </w:p>
    <w:p w14:paraId="5CE1A16B" w14:textId="47389964" w:rsidR="00B52CF2" w:rsidRDefault="00B52CF2" w:rsidP="00B52CF2">
      <w:pPr>
        <w:pStyle w:val="HChG"/>
      </w:pPr>
      <w:r>
        <w:tab/>
      </w:r>
      <w:r>
        <w:tab/>
        <w:t xml:space="preserve">Оценка информации о последующей деятельности </w:t>
      </w:r>
      <w:r>
        <w:br/>
        <w:t>в связи с заключительными замечаниями по Бахрейну</w:t>
      </w:r>
    </w:p>
    <w:tbl>
      <w:tblPr>
        <w:tblW w:w="7349" w:type="dxa"/>
        <w:tblInd w:w="1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975"/>
      </w:tblGrid>
      <w:tr w:rsidR="00B52CF2" w:rsidRPr="0064331C" w14:paraId="5698BB96" w14:textId="77777777" w:rsidTr="00A14B36">
        <w:tc>
          <w:tcPr>
            <w:tcW w:w="3374" w:type="dxa"/>
          </w:tcPr>
          <w:p w14:paraId="606F9BBC" w14:textId="692D93E7" w:rsidR="00B52CF2" w:rsidRPr="0064331C" w:rsidRDefault="00B52CF2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  <w:t>(</w:t>
            </w: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</w:rPr>
              <w:t>то двадцать третья сессия):</w:t>
            </w:r>
          </w:p>
        </w:tc>
        <w:tc>
          <w:tcPr>
            <w:tcW w:w="3975" w:type="dxa"/>
          </w:tcPr>
          <w:p w14:paraId="34B6744F" w14:textId="0BA8486E" w:rsidR="00B52CF2" w:rsidRPr="0064331C" w:rsidRDefault="009440F2">
            <w:pPr>
              <w:spacing w:after="120"/>
            </w:pPr>
            <w:hyperlink r:id="rId8" w:history="1">
              <w:r w:rsidR="00B52CF2" w:rsidRPr="00E674FF">
                <w:rPr>
                  <w:rStyle w:val="af1"/>
                </w:rPr>
                <w:t>CCPR/C/BHR/CO/1</w:t>
              </w:r>
            </w:hyperlink>
            <w:r w:rsidR="00B52CF2">
              <w:t>, 19 июля 2018 года</w:t>
            </w:r>
          </w:p>
        </w:tc>
      </w:tr>
      <w:tr w:rsidR="00B52CF2" w:rsidRPr="0064331C" w14:paraId="48AEDEC6" w14:textId="77777777" w:rsidTr="00A14B36">
        <w:tc>
          <w:tcPr>
            <w:tcW w:w="3374" w:type="dxa"/>
          </w:tcPr>
          <w:p w14:paraId="3C614EDF" w14:textId="06778A07" w:rsidR="00B52CF2" w:rsidRPr="0064331C" w:rsidRDefault="00B52CF2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Пункты, предусматривающие последующую деятельность:</w:t>
            </w:r>
          </w:p>
        </w:tc>
        <w:tc>
          <w:tcPr>
            <w:tcW w:w="3975" w:type="dxa"/>
          </w:tcPr>
          <w:p w14:paraId="7C1B91A2" w14:textId="4AB55277" w:rsidR="00B52CF2" w:rsidRPr="0064331C" w:rsidRDefault="00B52CF2">
            <w:pPr>
              <w:spacing w:after="120"/>
            </w:pPr>
            <w:r>
              <w:t>14, 32 и 54</w:t>
            </w:r>
          </w:p>
        </w:tc>
      </w:tr>
      <w:tr w:rsidR="00B52CF2" w:rsidRPr="0064331C" w14:paraId="056A6055" w14:textId="77777777" w:rsidTr="00A14B36">
        <w:tc>
          <w:tcPr>
            <w:tcW w:w="3374" w:type="dxa"/>
          </w:tcPr>
          <w:p w14:paraId="77A5338F" w14:textId="6BFB0559" w:rsidR="00B52CF2" w:rsidRPr="0064331C" w:rsidRDefault="00B52CF2" w:rsidP="00B52CF2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 xml:space="preserve">Информация, полученная </w:t>
            </w:r>
            <w:r>
              <w:rPr>
                <w:i/>
                <w:iCs/>
              </w:rPr>
              <w:br/>
              <w:t>от государства-участника:</w:t>
            </w:r>
          </w:p>
        </w:tc>
        <w:tc>
          <w:tcPr>
            <w:tcW w:w="3975" w:type="dxa"/>
          </w:tcPr>
          <w:p w14:paraId="17B7E8CB" w14:textId="22CD90C1" w:rsidR="00B52CF2" w:rsidRPr="0064331C" w:rsidRDefault="00EA3506">
            <w:pPr>
              <w:spacing w:after="120"/>
            </w:pPr>
            <w:hyperlink r:id="rId9" w:history="1">
              <w:r w:rsidR="00B52CF2" w:rsidRPr="00EA3506">
                <w:rPr>
                  <w:rStyle w:val="af1"/>
                </w:rPr>
                <w:t>CCPR/C/BHR/FCO/1</w:t>
              </w:r>
            </w:hyperlink>
            <w:r w:rsidR="00B52CF2">
              <w:t>, 14 июня 2021 года</w:t>
            </w:r>
          </w:p>
        </w:tc>
      </w:tr>
      <w:tr w:rsidR="00B52CF2" w:rsidRPr="0064331C" w14:paraId="2273F510" w14:textId="77777777" w:rsidTr="00A14B36">
        <w:tc>
          <w:tcPr>
            <w:tcW w:w="3374" w:type="dxa"/>
          </w:tcPr>
          <w:p w14:paraId="5CFE5347" w14:textId="18091900" w:rsidR="00B52CF2" w:rsidRPr="0064331C" w:rsidRDefault="00B52CF2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 xml:space="preserve">Информация, полученная </w:t>
            </w:r>
            <w:r>
              <w:rPr>
                <w:i/>
                <w:iCs/>
              </w:rPr>
              <w:br/>
              <w:t>от заинтересованных сторон:</w:t>
            </w:r>
          </w:p>
        </w:tc>
        <w:tc>
          <w:tcPr>
            <w:tcW w:w="3975" w:type="dxa"/>
          </w:tcPr>
          <w:p w14:paraId="23CD9FB0" w14:textId="12872167" w:rsidR="00B52CF2" w:rsidRPr="0064331C" w:rsidRDefault="009440F2">
            <w:pPr>
              <w:spacing w:after="120"/>
            </w:pPr>
            <w:hyperlink r:id="rId10" w:history="1">
              <w:r w:rsidR="00B52CF2" w:rsidRPr="00B52CF2">
                <w:rPr>
                  <w:rStyle w:val="af1"/>
                </w:rPr>
                <w:t>Национального исламского общества «</w:t>
              </w:r>
              <w:proofErr w:type="spellStart"/>
              <w:r w:rsidR="00B52CF2" w:rsidRPr="00B52CF2">
                <w:rPr>
                  <w:rStyle w:val="af1"/>
                </w:rPr>
                <w:t>Альвефак</w:t>
              </w:r>
              <w:proofErr w:type="spellEnd"/>
              <w:r w:rsidR="00B52CF2" w:rsidRPr="00B52CF2">
                <w:rPr>
                  <w:rStyle w:val="af1"/>
                </w:rPr>
                <w:t>»</w:t>
              </w:r>
            </w:hyperlink>
            <w:r w:rsidR="00B52CF2">
              <w:t xml:space="preserve">, 14 апреля 2022 года; </w:t>
            </w:r>
            <w:hyperlink r:id="rId11" w:history="1">
              <w:r w:rsidR="00B52CF2" w:rsidRPr="00B52CF2">
                <w:rPr>
                  <w:rStyle w:val="af1"/>
                </w:rPr>
                <w:t>организации «Американцы за демократию и права человека в Бахрейне»</w:t>
              </w:r>
            </w:hyperlink>
            <w:r w:rsidR="00B52CF2">
              <w:t xml:space="preserve">, 12 апреля </w:t>
            </w:r>
            <w:r w:rsidR="00A14B36">
              <w:br/>
            </w:r>
            <w:r w:rsidR="00B52CF2">
              <w:t xml:space="preserve">2022 года; </w:t>
            </w:r>
            <w:hyperlink r:id="rId12" w:history="1">
              <w:r w:rsidR="00B52CF2" w:rsidRPr="00B52CF2">
                <w:rPr>
                  <w:rStyle w:val="af1"/>
                </w:rPr>
                <w:t>Бахрейнского форума по правам человека</w:t>
              </w:r>
            </w:hyperlink>
            <w:r w:rsidR="00B52CF2">
              <w:t xml:space="preserve">, 15 апреля 2022 года; </w:t>
            </w:r>
            <w:hyperlink r:id="rId13" w:history="1">
              <w:r w:rsidR="00B52CF2" w:rsidRPr="00B52CF2">
                <w:rPr>
                  <w:rStyle w:val="af1"/>
                </w:rPr>
                <w:t>Международного центра поддержки прав и свобод</w:t>
              </w:r>
            </w:hyperlink>
            <w:r w:rsidR="00B52CF2">
              <w:t xml:space="preserve">, 15 апреля 2022 года; </w:t>
            </w:r>
            <w:hyperlink r:id="rId14" w:history="1">
              <w:r w:rsidR="00B52CF2" w:rsidRPr="00B52CF2">
                <w:rPr>
                  <w:rStyle w:val="af1"/>
                </w:rPr>
                <w:t>организации «Салам за демократию и права человека»</w:t>
              </w:r>
            </w:hyperlink>
            <w:r w:rsidR="00B52CF2">
              <w:t xml:space="preserve">, </w:t>
            </w:r>
            <w:r w:rsidR="00A14B36">
              <w:br/>
            </w:r>
            <w:r w:rsidR="00B52CF2">
              <w:t>14 апреля 2022 года</w:t>
            </w:r>
          </w:p>
        </w:tc>
      </w:tr>
      <w:tr w:rsidR="00B52CF2" w:rsidRPr="0064331C" w14:paraId="783D5E99" w14:textId="77777777" w:rsidTr="00A14B36">
        <w:tc>
          <w:tcPr>
            <w:tcW w:w="3374" w:type="dxa"/>
          </w:tcPr>
          <w:p w14:paraId="558D1D49" w14:textId="54989FDB" w:rsidR="00B52CF2" w:rsidRPr="0064331C" w:rsidRDefault="00B52CF2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Оценка Комитета:</w:t>
            </w:r>
          </w:p>
        </w:tc>
        <w:tc>
          <w:tcPr>
            <w:tcW w:w="3975" w:type="dxa"/>
          </w:tcPr>
          <w:p w14:paraId="21A95562" w14:textId="3E730845" w:rsidR="00B52CF2" w:rsidRPr="0064331C" w:rsidRDefault="00B52CF2">
            <w:pPr>
              <w:spacing w:after="120"/>
            </w:pPr>
            <w:r>
              <w:t>14[C], 32[C] и 54[E][C]</w:t>
            </w:r>
          </w:p>
        </w:tc>
      </w:tr>
    </w:tbl>
    <w:p w14:paraId="37D18C69" w14:textId="77777777" w:rsidR="00B52CF2" w:rsidRPr="006668D9" w:rsidRDefault="00B52CF2" w:rsidP="00B52CF2">
      <w:pPr>
        <w:pStyle w:val="H1G"/>
        <w:rPr>
          <w:bCs/>
        </w:rPr>
      </w:pPr>
      <w:r>
        <w:tab/>
      </w:r>
      <w:r>
        <w:tab/>
      </w:r>
      <w:r>
        <w:tab/>
      </w:r>
      <w:r>
        <w:rPr>
          <w:bCs/>
        </w:rPr>
        <w:t>Пункт 14: Военные суды</w:t>
      </w:r>
      <w:r w:rsidRPr="00314718">
        <w:rPr>
          <w:rStyle w:val="aa"/>
          <w:b w:val="0"/>
          <w:bCs/>
        </w:rPr>
        <w:footnoteReference w:id="2"/>
      </w:r>
      <w:bookmarkStart w:id="1" w:name="_Toc529980685"/>
      <w:bookmarkEnd w:id="1"/>
    </w:p>
    <w:p w14:paraId="7D0463D2" w14:textId="77777777" w:rsidR="00B52CF2" w:rsidRPr="006668D9" w:rsidRDefault="00B52CF2" w:rsidP="00B52CF2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Резюме информации, полученной от государства-участника</w:t>
      </w:r>
    </w:p>
    <w:p w14:paraId="2C765AAA" w14:textId="420C3E6D" w:rsidR="00B52CF2" w:rsidRPr="006668D9" w:rsidRDefault="00E674FF" w:rsidP="00B52CF2">
      <w:pPr>
        <w:pStyle w:val="SingleTxtG"/>
      </w:pPr>
      <w:r>
        <w:tab/>
      </w:r>
      <w:r w:rsidR="00B52CF2">
        <w:t xml:space="preserve">В Конституцию в апреле 2017 года была внесена оправка в контексте усилий государства по борьбе с террористическими операциями и растущими угрозами. </w:t>
      </w:r>
      <w:r>
        <w:br/>
      </w:r>
      <w:r w:rsidR="00B52CF2">
        <w:t xml:space="preserve">В результате в Кодекс военной юстиции были внесены поправки, предусматривающие исключение, согласно которому прокурор может с согласия военных судов передавать на рассмотрение этих судов любое из преступлений, предусмотренных в Законе о </w:t>
      </w:r>
      <w:r w:rsidR="00B52CF2">
        <w:lastRenderedPageBreak/>
        <w:t>защите общества от актов терроризма, или любое из преступлений против безопасности государства, предусмотренных в главах I и II раздела I специальной части Уголовного кодекса, и связанные с ними преступления (статья 17</w:t>
      </w:r>
      <w:r>
        <w:t xml:space="preserve"> </w:t>
      </w:r>
      <w:r>
        <w:rPr>
          <w:lang w:val="en-US"/>
        </w:rPr>
        <w:t>ter</w:t>
      </w:r>
      <w:r w:rsidR="00B52CF2">
        <w:t>). Основная юрисдикция по этим правонарушениям остается за обычными судами, если только прокурор в порядке исключения не решит передать их в военные суды. Военные суды проводят открытые судебные заседания и имеют апелляционные и кассационные суды. В военных судах применяются те же гарантии, что и в гражданских судах. Согласно Закону о национальном правозащитном учреждении, его представителям разрешено присутствовать на судебных заседаниях.</w:t>
      </w:r>
    </w:p>
    <w:p w14:paraId="5380EA79" w14:textId="77777777" w:rsidR="00B52CF2" w:rsidRPr="006668D9" w:rsidRDefault="00B52CF2" w:rsidP="00B52CF2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Резюме информации, полученной от заинтересованных сторон</w:t>
      </w:r>
    </w:p>
    <w:p w14:paraId="13AFFF13" w14:textId="6D60A744" w:rsidR="00B52CF2" w:rsidRPr="006668D9" w:rsidRDefault="00E674FF" w:rsidP="00E674FF">
      <w:pPr>
        <w:pStyle w:val="SingleTxtG"/>
      </w:pPr>
      <w:r>
        <w:tab/>
      </w:r>
      <w:r w:rsidR="00B52CF2">
        <w:t>По данным организации «Американцы за демократию и права человека в Бахрейне», официального пересмотра поправки 2017 года не проводилось. Действия правительства усугубили судебные нарушения и отсутствие прозрачности в системе уголовного правосудия. С 2018 года не было никаких сообщений о том, что дела гражданских лиц рассматривались в военных судах.</w:t>
      </w:r>
    </w:p>
    <w:p w14:paraId="61D92A95" w14:textId="79557926" w:rsidR="00B52CF2" w:rsidRPr="006668D9" w:rsidRDefault="00E674FF" w:rsidP="00B52CF2">
      <w:pPr>
        <w:pStyle w:val="SingleTxtG"/>
      </w:pPr>
      <w:r>
        <w:tab/>
      </w:r>
      <w:r w:rsidR="00B52CF2">
        <w:t>Бахрейнский форум по правам человека перечисляет возможные нарушения права гражданских лиц на справедливое судебное разбирательство в случае рассмотрения их дел в военных судах, ссылаясь на конкретные положения Кодекса военной юстиции.</w:t>
      </w:r>
    </w:p>
    <w:p w14:paraId="6343762F" w14:textId="77777777" w:rsidR="00B52CF2" w:rsidRPr="006668D9" w:rsidRDefault="00B52CF2" w:rsidP="00B52CF2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Оценка Комитета</w:t>
      </w:r>
    </w:p>
    <w:p w14:paraId="2E19E408" w14:textId="77777777" w:rsidR="00B52CF2" w:rsidRPr="006668D9" w:rsidRDefault="00B52CF2" w:rsidP="00B52CF2">
      <w:pPr>
        <w:pStyle w:val="SingleTxtG"/>
      </w:pPr>
      <w:r>
        <w:t>[C]</w:t>
      </w:r>
    </w:p>
    <w:p w14:paraId="324DE385" w14:textId="214F763B" w:rsidR="00B52CF2" w:rsidRPr="006668D9" w:rsidRDefault="00E674FF" w:rsidP="00B52CF2">
      <w:pPr>
        <w:pStyle w:val="SingleTxtG"/>
      </w:pPr>
      <w:r>
        <w:tab/>
      </w:r>
      <w:r w:rsidR="00B52CF2">
        <w:t>Комитет принимает к сведению информацию о поправке 2017 года к Конституции и гарантиях, предусмотренных в системе военного судопроизводства. Тем не менее он сожалеет об отсутствии информации о каких-либо мерах, принятых после принятия его заключительных замечаний для пересмотра поправки 2017 года с целью обеспечения того, чтобы военные суды не могли осуществлять юрисдикцию в отношении гражданских лиц. Комитет повторяет свою рекомендацию.</w:t>
      </w:r>
    </w:p>
    <w:p w14:paraId="711E2C45" w14:textId="77777777" w:rsidR="00B52CF2" w:rsidRPr="006668D9" w:rsidRDefault="00B52CF2" w:rsidP="00B52CF2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Пункт 32: Смертная казнь</w:t>
      </w:r>
      <w:bookmarkStart w:id="2" w:name="_Toc529980694"/>
      <w:bookmarkEnd w:id="2"/>
    </w:p>
    <w:p w14:paraId="2D9553CB" w14:textId="77777777" w:rsidR="00B52CF2" w:rsidRPr="006668D9" w:rsidRDefault="00B52CF2" w:rsidP="00B52CF2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Резюме информации, полученной от государства-участника</w:t>
      </w:r>
    </w:p>
    <w:p w14:paraId="54BC6EFB" w14:textId="6AC3A660" w:rsidR="00B52CF2" w:rsidRPr="006668D9" w:rsidRDefault="00E674FF" w:rsidP="00B52CF2">
      <w:pPr>
        <w:pStyle w:val="SingleTxtG"/>
      </w:pPr>
      <w:r>
        <w:tab/>
      </w:r>
      <w:r w:rsidR="00B52CF2">
        <w:t xml:space="preserve">Смертная казнь сама по себе не запрещена международным правом, и практика государства в этом отношении соответствует гарантиям защиты прав тех, кому грозит смертная казнь, изложенным в резолюции 1984/50 Экономического и Социального Совета. Смертная казнь может быть назначена только за самые тяжкие преступления против общества, а обвиняемый должен иметь адвоката или адвокат должен быть предоставлен ему государством. Все смертные приговоры предусматривают основные гарантии справедливого судебного разбирательства и подлежат обязательному обжалованию. Их вынесение требует единогласного решения участвующих судей и осуществляется только с одобрения Короля. Он может отменить и заменить смертную казнь в определенных случаях. Смертный приговор может быть возвращен в кассационный суд для пересмотра, что влечет за собой отсрочку исполнения приговора до вынесения окончательного решения. Смертная казнь не может применяться к беременным женщинам или несовершеннолетним. При рассмотрении дел, по которым может быть вынесен смертный приговор, признание обвиняемого не может быть принято во внимание. Смертная казнь редко приводится в исполнение. </w:t>
      </w:r>
      <w:r>
        <w:br/>
      </w:r>
      <w:r w:rsidR="00B52CF2">
        <w:t>В случае, если другие государства, особенно государства региона, согласятся пересмотреть или отменить смертную казнь, Бахрейн вновь серьезно изучит этот вопрос.</w:t>
      </w:r>
    </w:p>
    <w:p w14:paraId="5BFA8406" w14:textId="77777777" w:rsidR="00B52CF2" w:rsidRPr="006668D9" w:rsidRDefault="00B52CF2" w:rsidP="00B52CF2">
      <w:pPr>
        <w:pStyle w:val="H23G"/>
      </w:pPr>
      <w:r>
        <w:tab/>
      </w:r>
      <w:r>
        <w:tab/>
      </w:r>
      <w:r>
        <w:rPr>
          <w:bCs/>
        </w:rPr>
        <w:t>Резюме информации, полученной от заинтересованных сторон</w:t>
      </w:r>
    </w:p>
    <w:p w14:paraId="34A7C926" w14:textId="01AACBD8" w:rsidR="00B52CF2" w:rsidRPr="006668D9" w:rsidRDefault="00E674FF" w:rsidP="00B52CF2">
      <w:pPr>
        <w:pStyle w:val="SingleTxtG"/>
      </w:pPr>
      <w:r>
        <w:tab/>
      </w:r>
      <w:r w:rsidR="00B52CF2">
        <w:t xml:space="preserve">По данным организаций </w:t>
      </w:r>
      <w:r w:rsidR="00AF0D4B" w:rsidRPr="00AF0D4B">
        <w:t>«</w:t>
      </w:r>
      <w:r w:rsidR="00B52CF2">
        <w:t>Американцы за демократию и права человека в Бахрейне</w:t>
      </w:r>
      <w:r w:rsidR="00AF0D4B">
        <w:t>»</w:t>
      </w:r>
      <w:r w:rsidR="00B52CF2">
        <w:t xml:space="preserve"> и </w:t>
      </w:r>
      <w:r w:rsidR="00AF0D4B">
        <w:t>«</w:t>
      </w:r>
      <w:r w:rsidR="00B52CF2">
        <w:t>Салам за демократию и права человека</w:t>
      </w:r>
      <w:r w:rsidR="00AF0D4B">
        <w:t>»</w:t>
      </w:r>
      <w:r w:rsidR="00B52CF2">
        <w:t xml:space="preserve">, за последнее десятилетие </w:t>
      </w:r>
      <w:r w:rsidR="00B52CF2">
        <w:lastRenderedPageBreak/>
        <w:t xml:space="preserve">количество смертных приговоров, людей в камерах смертников, которым грозит неминуемая казнь, и реальных казней увеличилось, как и количество казней в расчете на душу населения. Организация </w:t>
      </w:r>
      <w:r w:rsidR="00AF0D4B">
        <w:t>«</w:t>
      </w:r>
      <w:r w:rsidR="00B52CF2">
        <w:t>Американцы за демократию и права человека в Бахрейне</w:t>
      </w:r>
      <w:r w:rsidR="00AF0D4B">
        <w:t>»</w:t>
      </w:r>
      <w:r w:rsidR="00B52CF2">
        <w:t xml:space="preserve"> утверждает, что смертная казнь применяется не только за самые тяжкие преступления, включая не приведшие к смерти преступления, связанные с наркотиками, но и в порядке дискриминации иностранных граждан, в частности граждан Бангладеш. Она также утверждает, что увеличение числа случаев вынесения смертных приговоров напрямую связано с принятием чрезмерно широкого антитеррористического законодательства.</w:t>
      </w:r>
    </w:p>
    <w:p w14:paraId="23DC9105" w14:textId="6EE69573" w:rsidR="00B52CF2" w:rsidRPr="006668D9" w:rsidRDefault="00E674FF" w:rsidP="00B52CF2">
      <w:pPr>
        <w:pStyle w:val="SingleTxtG"/>
      </w:pPr>
      <w:r>
        <w:tab/>
      </w:r>
      <w:r w:rsidR="00B52CF2">
        <w:t xml:space="preserve">Организация </w:t>
      </w:r>
      <w:r w:rsidRPr="00E674FF">
        <w:t>«</w:t>
      </w:r>
      <w:r w:rsidR="00B52CF2">
        <w:t>Американцы за демократию и права человека в Бахрейне</w:t>
      </w:r>
      <w:r>
        <w:t>»</w:t>
      </w:r>
      <w:r w:rsidR="00B52CF2">
        <w:t xml:space="preserve"> указывает, что в настоящее время 26 человек находятся в камерах смертников. Организация </w:t>
      </w:r>
      <w:r>
        <w:t>«</w:t>
      </w:r>
      <w:r w:rsidR="00B52CF2">
        <w:t>Салам за демократию и права человека</w:t>
      </w:r>
      <w:r>
        <w:t>»</w:t>
      </w:r>
      <w:r w:rsidR="00B52CF2">
        <w:t xml:space="preserve"> приводит список из 12 человек, которые были приговорены к смертной казни в период с января 2018 года по июль 2020 года. Обе организации отмечают, что Али аль-Араб, Ахмед аль-Малали и один неназванный гражданин Бангладеш были казнены 26 июля 2019 года, несмотря на жалобы на злоупотребления, жестокое обращение и применение пыток для получения их признаний, и что признания, сделанные под пыткой и угрозами в адрес членов семьи, были использованы для вынесения смертного приговора Мохаммеду Рамадхану и Хусайну Али Мусе. Организация </w:t>
      </w:r>
      <w:r>
        <w:t>«</w:t>
      </w:r>
      <w:r w:rsidR="00B52CF2">
        <w:t>Американцы за демократию и права человека в Бахрейне</w:t>
      </w:r>
      <w:r>
        <w:t>»</w:t>
      </w:r>
      <w:r w:rsidR="00B52CF2">
        <w:t xml:space="preserve"> также отмечает применение пыток и нарушение гарантий справедливого судебного разбирательства в делах Махера аль-Хаббаза и Салмана Исы Салмана.</w:t>
      </w:r>
    </w:p>
    <w:p w14:paraId="5FB43AF7" w14:textId="51A155CF" w:rsidR="00B52CF2" w:rsidRPr="006668D9" w:rsidRDefault="00E674FF" w:rsidP="00B52CF2">
      <w:pPr>
        <w:pStyle w:val="SingleTxtG"/>
      </w:pPr>
      <w:r>
        <w:tab/>
      </w:r>
      <w:r w:rsidR="00B52CF2">
        <w:t>По данным Бахрейнского форума по правам человека, дела, по которым может быть вынесен смертный приговор в соответствии с Уголовным кодексом, Военным уголовным кодексом и Законом о защите общества от актов терроризма, попали в руки военной судебной системы, что увеличило риск вынесения смертного приговора представителям оппозиции и правозащитникам.</w:t>
      </w:r>
    </w:p>
    <w:p w14:paraId="204700E1" w14:textId="77777777" w:rsidR="00B52CF2" w:rsidRPr="006668D9" w:rsidRDefault="00B52CF2" w:rsidP="00B52CF2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5EF987D6" w14:textId="77777777" w:rsidR="00B52CF2" w:rsidRPr="006668D9" w:rsidRDefault="00B52CF2" w:rsidP="00B52CF2">
      <w:pPr>
        <w:pStyle w:val="SingleTxtG"/>
      </w:pPr>
      <w:r>
        <w:t>[C]</w:t>
      </w:r>
    </w:p>
    <w:p w14:paraId="25DCFD40" w14:textId="105AC509" w:rsidR="00B52CF2" w:rsidRPr="006668D9" w:rsidRDefault="00E674FF" w:rsidP="00B52CF2">
      <w:pPr>
        <w:pStyle w:val="SingleTxtG"/>
      </w:pPr>
      <w:r>
        <w:tab/>
      </w:r>
      <w:r w:rsidR="00B52CF2">
        <w:t>Комитет принимает к сведению информацию о гарантиях в делах, по которым может быть вынесен смертный приговор, и намерение государства-участника рассмотреть вопрос об отмене смертной казни, если это сделают другие государства. Тем не менее он сожалеет об отсутствии информации о каких-либо конкретных мерах, принятых для восстановления моратория на смертную казнь и обеспечения того, чтобы она назначалась только за самые тяжкие преступления и не выносилась военными судами.</w:t>
      </w:r>
    </w:p>
    <w:p w14:paraId="29EC584B" w14:textId="1F003DF6" w:rsidR="00B52CF2" w:rsidRPr="006668D9" w:rsidRDefault="00E674FF" w:rsidP="00B52CF2">
      <w:pPr>
        <w:pStyle w:val="SingleTxtG"/>
      </w:pPr>
      <w:r>
        <w:tab/>
      </w:r>
      <w:r w:rsidR="00B52CF2">
        <w:t>Комитет повторяет свою рекомендацию и просит: a) предоставить информацию о расследованиях случаев применения пыток для получения признаний и нарушениях процессуальных гарантий в делах, по которым может быть вынесен смертный приговор, а также об их результатах; и b) статистические данные о смертных приговорах и казнях за отчетный период в разбивке по возрасту, полу, гражданству и видам преступлений.</w:t>
      </w:r>
    </w:p>
    <w:p w14:paraId="6B03F921" w14:textId="77777777" w:rsidR="00B52CF2" w:rsidRPr="006668D9" w:rsidRDefault="00B52CF2" w:rsidP="00B52CF2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Пункт 54: Свобода выражения мнений</w:t>
      </w:r>
    </w:p>
    <w:p w14:paraId="1279568F" w14:textId="77777777" w:rsidR="00B52CF2" w:rsidRPr="006668D9" w:rsidRDefault="00B52CF2" w:rsidP="00B52CF2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Резюме информации, полученной от государства-участника</w:t>
      </w:r>
    </w:p>
    <w:p w14:paraId="53FA7142" w14:textId="74A83468" w:rsidR="00B52CF2" w:rsidRPr="006668D9" w:rsidRDefault="00E674FF" w:rsidP="00B52CF2">
      <w:pPr>
        <w:pStyle w:val="SingleTxtG"/>
      </w:pPr>
      <w:r>
        <w:tab/>
      </w:r>
      <w:r w:rsidR="00B52CF2">
        <w:t xml:space="preserve">Власти не принимают никаких правовых мер по расследованию или возбуждению дел за участие в политической, правозащитной или общественной деятельности. Никому не предъявляется обвинение, если нет четких доказательств того, что он или она совершили деяние, которое считается противоправным в соответствии с законодательством. Политическая деятельность и публичное осуществление свободы выражения мнений не являются уголовно наказуемыми по закону. Национальное законодательство, законы и механизмы возмещения ущерба являются достаточными для предотвращения нарушения этих прав. Все национальные </w:t>
      </w:r>
      <w:r w:rsidR="00B52CF2">
        <w:lastRenderedPageBreak/>
        <w:t>руководящие положения направлены на поощрение прав человека и содействие осуществлению этих прав через национальные каналы их регулирования.</w:t>
      </w:r>
    </w:p>
    <w:p w14:paraId="49D7CB7D" w14:textId="6C557B07" w:rsidR="00B52CF2" w:rsidRPr="006668D9" w:rsidRDefault="00E674FF" w:rsidP="00B52CF2">
      <w:pPr>
        <w:pStyle w:val="SingleTxtG"/>
      </w:pPr>
      <w:r>
        <w:tab/>
      </w:r>
      <w:r w:rsidR="00B52CF2">
        <w:t>В поправках к Закону о регулировании прессы, печати и издательского дела, находящихся в настоящее время на рассмотрении Законодательного совета и одобренных Советом министров 5 апреля 2021 года, подчеркивается, что журналисты не должны подвергаться тюремному заключению в делах о публикации. Они также предусматривают добавление главы об электронных СМИ и регулировании веб-сайтов и уч</w:t>
      </w:r>
      <w:r w:rsidR="00AF0D4B">
        <w:t>е</w:t>
      </w:r>
      <w:r w:rsidR="00B52CF2">
        <w:t>тных записей организаций СМИ, а также включение новых определений, чтобы идти в ногу с развитием СМИ.</w:t>
      </w:r>
    </w:p>
    <w:p w14:paraId="76A6646E" w14:textId="77777777" w:rsidR="00B52CF2" w:rsidRPr="006668D9" w:rsidRDefault="00B52CF2" w:rsidP="00B52CF2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Резюме информации, полученной от заинтересованных сторон</w:t>
      </w:r>
    </w:p>
    <w:p w14:paraId="6867D0FC" w14:textId="57D12264" w:rsidR="00B52CF2" w:rsidRPr="006668D9" w:rsidRDefault="00E674FF" w:rsidP="00B52CF2">
      <w:pPr>
        <w:pStyle w:val="SingleTxtG"/>
      </w:pPr>
      <w:r>
        <w:tab/>
      </w:r>
      <w:r w:rsidR="00B52CF2">
        <w:t>a)</w:t>
      </w:r>
      <w:r w:rsidR="00B52CF2">
        <w:tab/>
        <w:t xml:space="preserve">По данным организации «Американцы за демократию и права человека в Бахрейне», нет сомнений в том, что критика правительства не допускается. Национальное исламское общество </w:t>
      </w:r>
      <w:r>
        <w:t>«</w:t>
      </w:r>
      <w:r w:rsidR="00B52CF2">
        <w:t>Альвефак</w:t>
      </w:r>
      <w:r>
        <w:t>»</w:t>
      </w:r>
      <w:r w:rsidR="00B52CF2">
        <w:t xml:space="preserve"> сообщает об актах мести его генеральному секретарю, шейху Али Салману, за его критику в адрес государственных чиновников и учреждений. По мнению организации </w:t>
      </w:r>
      <w:r>
        <w:t>«</w:t>
      </w:r>
      <w:r w:rsidR="00B52CF2">
        <w:t>Салам за демократию и права человека</w:t>
      </w:r>
      <w:r>
        <w:t>»</w:t>
      </w:r>
      <w:r w:rsidR="00B52CF2">
        <w:t>, расплывчатые формулировки в законодательстве о гражданстве могут быть использованы Королем против его критиков, включая журналистов. В одном случае художнику Кахтану аль-Кахтани было предъявлено обвинение в оскорблении регулирующего органа и злоупотреблении телекоммуникационными устройствами за то, что он опубликовал в социальных сетях сообщение с критикой переназначения министра информации.</w:t>
      </w:r>
    </w:p>
    <w:p w14:paraId="71C94BA7" w14:textId="4BC8C110" w:rsidR="00B52CF2" w:rsidRPr="006668D9" w:rsidRDefault="00E674FF" w:rsidP="00B52CF2">
      <w:pPr>
        <w:pStyle w:val="SingleTxtG"/>
      </w:pPr>
      <w:r>
        <w:tab/>
      </w:r>
      <w:r w:rsidR="00B52CF2">
        <w:t>b)</w:t>
      </w:r>
      <w:r w:rsidR="00B52CF2">
        <w:tab/>
        <w:t>Никакой информация о диффамации не предоставляется.</w:t>
      </w:r>
    </w:p>
    <w:p w14:paraId="52684C63" w14:textId="0B878588" w:rsidR="00B52CF2" w:rsidRPr="006668D9" w:rsidRDefault="00E674FF" w:rsidP="00B52CF2">
      <w:pPr>
        <w:pStyle w:val="SingleTxtG"/>
      </w:pPr>
      <w:r>
        <w:tab/>
      </w:r>
      <w:r w:rsidR="00B52CF2">
        <w:t>c)</w:t>
      </w:r>
      <w:r w:rsidR="00B52CF2">
        <w:tab/>
        <w:t xml:space="preserve">Организация </w:t>
      </w:r>
      <w:r>
        <w:t>«</w:t>
      </w:r>
      <w:r w:rsidR="00B52CF2">
        <w:t>Салам за демократию и права человека</w:t>
      </w:r>
      <w:r>
        <w:t>»</w:t>
      </w:r>
      <w:r w:rsidR="00B52CF2">
        <w:t xml:space="preserve"> отмечает, что правозащитники Абдулхади аль-Хаваджа, Абдулджалил аль-Сингас и Наджи Фатиль по-прежнему находятся под стражей.</w:t>
      </w:r>
    </w:p>
    <w:p w14:paraId="06476296" w14:textId="1D86F4F3" w:rsidR="00B52CF2" w:rsidRPr="006668D9" w:rsidRDefault="00E674FF" w:rsidP="00B52CF2">
      <w:pPr>
        <w:pStyle w:val="SingleTxtG"/>
      </w:pPr>
      <w:r>
        <w:tab/>
      </w:r>
      <w:r w:rsidR="00B52CF2">
        <w:t>d)</w:t>
      </w:r>
      <w:r w:rsidR="00B52CF2">
        <w:tab/>
        <w:t xml:space="preserve">Организация </w:t>
      </w:r>
      <w:r>
        <w:t>«</w:t>
      </w:r>
      <w:r w:rsidR="00B52CF2">
        <w:t>Салам за демократию и права человека</w:t>
      </w:r>
      <w:r>
        <w:t>»</w:t>
      </w:r>
      <w:r w:rsidR="00B52CF2">
        <w:t xml:space="preserve"> указывает, что, несмотря на внесение в 2021 году поправок в Закон о прессе, печати и издательском деле, заменяющих тюремное заключение штрафами, Уголовный кодекс по-прежнему допускает тюремное заключение и правительство опирается на этот Кодекс для наказания правозащитников и журналистов. Национальное исламское общество </w:t>
      </w:r>
      <w:r>
        <w:t>«</w:t>
      </w:r>
      <w:r w:rsidR="00B52CF2">
        <w:t>Альвефак</w:t>
      </w:r>
      <w:r>
        <w:t>»</w:t>
      </w:r>
      <w:r w:rsidR="00B52CF2">
        <w:t xml:space="preserve"> отмечает, что статья 165 Уголовного кодекса применяется таким образом, что нарушает свободу мнений и их выражения.</w:t>
      </w:r>
    </w:p>
    <w:p w14:paraId="7B9DC830" w14:textId="785AECF2" w:rsidR="00B52CF2" w:rsidRPr="006668D9" w:rsidRDefault="00E674FF" w:rsidP="00B52CF2">
      <w:pPr>
        <w:pStyle w:val="SingleTxtG"/>
      </w:pPr>
      <w:r>
        <w:tab/>
      </w:r>
      <w:r w:rsidR="00B52CF2">
        <w:t xml:space="preserve">По данным организации </w:t>
      </w:r>
      <w:r>
        <w:t>«</w:t>
      </w:r>
      <w:r w:rsidR="00B52CF2">
        <w:t>Американцы за демократию и права человека в Бахрейне</w:t>
      </w:r>
      <w:r>
        <w:t>»</w:t>
      </w:r>
      <w:r w:rsidR="00B52CF2">
        <w:t xml:space="preserve">, поправка к Закону о прессе, печати и издательском деле от 2021 года расширила юрисдикцию правительства в отношении Интернета и цифрового контента. Статьи 19, 20, 70 и 78 этого закона используются для запугивания и преследования журналистов и правозащитников, работающих в Интернете или за рубежом. Критика в Интернете также может быть наказана в соответствии с законом о киберпреступности. В 2019 году Министерство внутренних дел объявило, что любое лицо, взаимодействующее с владельцами учетных записей в социальных сетях, которые </w:t>
      </w:r>
      <w:r>
        <w:t>«</w:t>
      </w:r>
      <w:r w:rsidR="00B52CF2">
        <w:t>подстрекают к мятежу и угрожают гражданскому миру</w:t>
      </w:r>
      <w:r>
        <w:t>»</w:t>
      </w:r>
      <w:r w:rsidR="00B52CF2">
        <w:t xml:space="preserve">, может быть привлечено к ответственности. Организации </w:t>
      </w:r>
      <w:r>
        <w:t>«</w:t>
      </w:r>
      <w:r w:rsidR="00B52CF2">
        <w:t>Американцы за демократию и права человека в Бахрейне</w:t>
      </w:r>
      <w:r>
        <w:t>»</w:t>
      </w:r>
      <w:r w:rsidR="00B52CF2">
        <w:t xml:space="preserve"> и </w:t>
      </w:r>
      <w:r>
        <w:t>«</w:t>
      </w:r>
      <w:r w:rsidR="00B52CF2">
        <w:t>Салам за демократию и права человека</w:t>
      </w:r>
      <w:r>
        <w:t>»</w:t>
      </w:r>
      <w:r w:rsidR="00B52CF2">
        <w:t xml:space="preserve"> перечисляют дела активистов и журналистов, которым были предъявлены обвинения за критику властей в Интернете, включая главу Бахрейнского центра по правам человека Набиля Раджаба, который был осужден за размещение в социальных сетях сообщений с подобной критикой.</w:t>
      </w:r>
    </w:p>
    <w:p w14:paraId="6F15E660" w14:textId="2FBB1D2E" w:rsidR="00B52CF2" w:rsidRPr="006668D9" w:rsidRDefault="00E674FF" w:rsidP="00B52CF2">
      <w:pPr>
        <w:pStyle w:val="SingleTxtG"/>
      </w:pPr>
      <w:r>
        <w:tab/>
      </w:r>
      <w:r w:rsidR="00B52CF2">
        <w:t>e)</w:t>
      </w:r>
      <w:r w:rsidR="00B52CF2">
        <w:tab/>
        <w:t xml:space="preserve">По данным организации </w:t>
      </w:r>
      <w:r>
        <w:t>«</w:t>
      </w:r>
      <w:r w:rsidR="00B52CF2">
        <w:t>Американцы за демократию и права человека в Бахрейне</w:t>
      </w:r>
      <w:r>
        <w:t>»</w:t>
      </w:r>
      <w:r w:rsidR="00B52CF2">
        <w:t>, журналисты Назиха Сайед и Муса Абд-Али подвергались пыткам и издевательствам за освещение нарушений прав человека. В августе 2021 года независимые СМИ обнаружили, что в 2020 и 2021 годах девять активистов стали объектами слежки с использованием шпионских программ, приобретенных правительством.</w:t>
      </w:r>
    </w:p>
    <w:p w14:paraId="3633E457" w14:textId="1F0032FA" w:rsidR="00B52CF2" w:rsidRPr="006668D9" w:rsidRDefault="00E674FF" w:rsidP="00B52CF2">
      <w:pPr>
        <w:pStyle w:val="SingleTxtG"/>
      </w:pPr>
      <w:r>
        <w:lastRenderedPageBreak/>
        <w:tab/>
      </w:r>
      <w:r w:rsidR="00B52CF2">
        <w:t>По данным Международного центра поддержки прав и свобод, в январе 2019</w:t>
      </w:r>
      <w:r>
        <w:t> </w:t>
      </w:r>
      <w:r w:rsidR="00B52CF2">
        <w:t>года Бахрейн начал использовать свое членство в Комитете по неправительственным организациям для мести правозащитным организациям, которые представили в Организацию Объединенных Наций сообщения о продолжающихся нарушениях прав человека в Бахрейне. Бахрейн последовательно препятствует получению Центром консультативного статуса при Экономическом и Социальном Совете.</w:t>
      </w:r>
    </w:p>
    <w:p w14:paraId="7FCBB3FF" w14:textId="77777777" w:rsidR="00B52CF2" w:rsidRPr="006668D9" w:rsidRDefault="00B52CF2" w:rsidP="00B52CF2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44C52809" w14:textId="2AC1C5FE" w:rsidR="00B52CF2" w:rsidRPr="006668D9" w:rsidRDefault="00B52CF2" w:rsidP="00B52CF2">
      <w:pPr>
        <w:pStyle w:val="SingleTxtG"/>
      </w:pPr>
      <w:r>
        <w:t>[E]: a)</w:t>
      </w:r>
    </w:p>
    <w:p w14:paraId="5A9DB869" w14:textId="729DCCAC" w:rsidR="00B52CF2" w:rsidRPr="006668D9" w:rsidRDefault="00E674FF" w:rsidP="00B52CF2">
      <w:pPr>
        <w:pStyle w:val="SingleTxtG"/>
      </w:pPr>
      <w:r>
        <w:tab/>
      </w:r>
      <w:r w:rsidR="00B52CF2">
        <w:t>Комитет сожалеет, что государство-участник считает национальное законодательство, законы и механизмы возмещения ущерба достаточными для предотвращения нарушений свободы выражения мнений. Комитет повторяет свою рекомендацию.</w:t>
      </w:r>
    </w:p>
    <w:p w14:paraId="6FB8777F" w14:textId="2B64583C" w:rsidR="00B52CF2" w:rsidRPr="006668D9" w:rsidRDefault="00B52CF2" w:rsidP="00B52CF2">
      <w:pPr>
        <w:pStyle w:val="SingleTxtG"/>
      </w:pPr>
      <w:r>
        <w:t>[C]: b), c), d) и e)</w:t>
      </w:r>
    </w:p>
    <w:p w14:paraId="12CD3DCC" w14:textId="66D55D24" w:rsidR="00B52CF2" w:rsidRPr="006668D9" w:rsidRDefault="00E674FF" w:rsidP="00B52CF2">
      <w:pPr>
        <w:pStyle w:val="SingleTxtG"/>
        <w:rPr>
          <w:bCs/>
        </w:rPr>
      </w:pPr>
      <w:r>
        <w:tab/>
      </w:r>
      <w:r w:rsidR="00B52CF2">
        <w:t>Комитет сожалеет об отсутствии информации о мерах, принятых для декриминализации диффамации и применения уголовного законодательства только в самых серьезных случаях, а также для освобождения любых лиц, содержащихся под стражей исключительно за мирное осуществление своих прав. Он повторяет свои рекомендации и просит предоставить информацию о планах по освобождению трех правозащитников: Абдулхади аль-Хаваджи, Абдулджалила аль-Сингаса и Наджи Фатиля.</w:t>
      </w:r>
    </w:p>
    <w:p w14:paraId="66C87BEC" w14:textId="3B7BB84E" w:rsidR="00B52CF2" w:rsidRPr="006668D9" w:rsidRDefault="00E674FF" w:rsidP="00B52CF2">
      <w:pPr>
        <w:pStyle w:val="SingleTxtG"/>
        <w:rPr>
          <w:bCs/>
        </w:rPr>
      </w:pPr>
      <w:r>
        <w:tab/>
      </w:r>
      <w:r w:rsidR="00B52CF2">
        <w:t>Приветствуя информацию о запрете тюремного заключения журналистов в соответствии с пересмотренным Законом о прессе, печати и издательском деле, Комитет сожалеет об отсутствии информации о других мерах, принятых для пересмотра и изменения положений Уголовного кодекса, Декрета-закона № 47 и нормативных актов о цифровых правах. Он повторяет свои рекомендации и просит предоставить информацию о: a) ограничении свободы выражения мнений в Интернете, в том числе посредством поправок 2021 года к Закону о прессе, печати и издательском деле и заявления 2019 года, сделанного Министерством внутренних дел относительно использования социальных сетей; и b) усилении преследования деятельности журналистов и правозащитников в Интернете, в том числе с помощью шпионских программ для слежки.</w:t>
      </w:r>
    </w:p>
    <w:p w14:paraId="3446EB25" w14:textId="4CF42B61" w:rsidR="00B52CF2" w:rsidRPr="006668D9" w:rsidRDefault="00E674FF" w:rsidP="00B52CF2">
      <w:pPr>
        <w:pStyle w:val="SingleTxtG"/>
      </w:pPr>
      <w:r>
        <w:tab/>
      </w:r>
      <w:r w:rsidR="00B52CF2">
        <w:t>Комитет сожалеет об отсутствии информации о мерах, принятых для защиты журналистов, активистов и правозащитников, расследования любых нарушений против них и привлечения виновных к ответственности. Он повторяет свою рекомендацию и просит предоставить информацию о сообщениях о репрессиях против правозащитных организаций, представивших сообщения в Организацию Объединенных Наций.</w:t>
      </w:r>
    </w:p>
    <w:p w14:paraId="1FB7BF30" w14:textId="77777777" w:rsidR="00B52CF2" w:rsidRPr="006668D9" w:rsidRDefault="00B52CF2" w:rsidP="00B52CF2">
      <w:pPr>
        <w:pStyle w:val="SingleTxtG"/>
      </w:pPr>
      <w:r>
        <w:rPr>
          <w:b/>
          <w:bCs/>
        </w:rPr>
        <w:t>Рекомендуемые действия</w:t>
      </w:r>
      <w:r>
        <w:t>: следует направить письмо, извещающее государство-участник о прекращении процедуры последующей деятельности. Запрашиваемая информация должна быть включена в следующий периодический доклад государства-участника.</w:t>
      </w:r>
    </w:p>
    <w:p w14:paraId="672E589F" w14:textId="77777777" w:rsidR="00B52CF2" w:rsidRPr="006668D9" w:rsidRDefault="00B52CF2" w:rsidP="00B52CF2">
      <w:pPr>
        <w:pStyle w:val="SingleTxtG"/>
      </w:pPr>
      <w:r>
        <w:rPr>
          <w:b/>
          <w:bCs/>
        </w:rPr>
        <w:t>Сроки представления следующего периодического доклада</w:t>
      </w:r>
      <w:r>
        <w:t>: 2027 год (страновой обзор в 2028 году в соответствии с планируемым циклом обзора).</w:t>
      </w:r>
    </w:p>
    <w:p w14:paraId="780AB0D6" w14:textId="77777777" w:rsidR="00B52CF2" w:rsidRPr="00734968" w:rsidRDefault="00B52CF2" w:rsidP="00B52CF2">
      <w:pPr>
        <w:spacing w:before="240"/>
        <w:jc w:val="center"/>
        <w:rPr>
          <w:u w:val="single"/>
        </w:rPr>
      </w:pPr>
      <w:r w:rsidRPr="006668D9">
        <w:rPr>
          <w:u w:val="single"/>
        </w:rPr>
        <w:tab/>
      </w:r>
      <w:r w:rsidRPr="006668D9">
        <w:rPr>
          <w:u w:val="single"/>
        </w:rPr>
        <w:tab/>
      </w:r>
      <w:r w:rsidRPr="006668D9">
        <w:rPr>
          <w:u w:val="single"/>
        </w:rPr>
        <w:tab/>
      </w:r>
    </w:p>
    <w:p w14:paraId="1031EFC5" w14:textId="77777777" w:rsidR="00381C24" w:rsidRPr="00BC18B2" w:rsidRDefault="00381C24" w:rsidP="0075523D"/>
    <w:sectPr w:rsidR="00381C24" w:rsidRPr="00BC18B2" w:rsidSect="00B52CF2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F8A6" w14:textId="77777777" w:rsidR="00C63553" w:rsidRPr="00A312BC" w:rsidRDefault="00C63553" w:rsidP="00A312BC"/>
  </w:endnote>
  <w:endnote w:type="continuationSeparator" w:id="0">
    <w:p w14:paraId="624BAE69" w14:textId="77777777" w:rsidR="00C63553" w:rsidRPr="00A312BC" w:rsidRDefault="00C6355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18D6" w14:textId="14672836" w:rsidR="00B52CF2" w:rsidRPr="00B52CF2" w:rsidRDefault="00B52CF2">
    <w:pPr>
      <w:pStyle w:val="a8"/>
    </w:pPr>
    <w:r w:rsidRPr="00B52CF2">
      <w:rPr>
        <w:b/>
        <w:sz w:val="18"/>
      </w:rPr>
      <w:fldChar w:fldCharType="begin"/>
    </w:r>
    <w:r w:rsidRPr="00B52CF2">
      <w:rPr>
        <w:b/>
        <w:sz w:val="18"/>
      </w:rPr>
      <w:instrText xml:space="preserve"> PAGE  \* MERGEFORMAT </w:instrText>
    </w:r>
    <w:r w:rsidRPr="00B52CF2">
      <w:rPr>
        <w:b/>
        <w:sz w:val="18"/>
      </w:rPr>
      <w:fldChar w:fldCharType="separate"/>
    </w:r>
    <w:r w:rsidRPr="00B52CF2">
      <w:rPr>
        <w:b/>
        <w:noProof/>
        <w:sz w:val="18"/>
      </w:rPr>
      <w:t>2</w:t>
    </w:r>
    <w:r w:rsidRPr="00B52CF2">
      <w:rPr>
        <w:b/>
        <w:sz w:val="18"/>
      </w:rPr>
      <w:fldChar w:fldCharType="end"/>
    </w:r>
    <w:r>
      <w:rPr>
        <w:b/>
        <w:sz w:val="18"/>
      </w:rPr>
      <w:tab/>
    </w:r>
    <w:r>
      <w:t>GE.22-14908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B35B" w14:textId="73CBA907" w:rsidR="00B52CF2" w:rsidRPr="00B52CF2" w:rsidRDefault="00B52CF2" w:rsidP="00B52CF2">
    <w:pPr>
      <w:pStyle w:val="a8"/>
      <w:tabs>
        <w:tab w:val="clear" w:pos="9639"/>
        <w:tab w:val="right" w:pos="9638"/>
      </w:tabs>
      <w:rPr>
        <w:b/>
        <w:sz w:val="18"/>
      </w:rPr>
    </w:pPr>
    <w:r>
      <w:t>GE.22-14908</w:t>
    </w:r>
    <w:r>
      <w:tab/>
    </w:r>
    <w:r w:rsidRPr="00B52CF2">
      <w:rPr>
        <w:b/>
        <w:sz w:val="18"/>
      </w:rPr>
      <w:fldChar w:fldCharType="begin"/>
    </w:r>
    <w:r w:rsidRPr="00B52CF2">
      <w:rPr>
        <w:b/>
        <w:sz w:val="18"/>
      </w:rPr>
      <w:instrText xml:space="preserve"> PAGE  \* MERGEFORMAT </w:instrText>
    </w:r>
    <w:r w:rsidRPr="00B52CF2">
      <w:rPr>
        <w:b/>
        <w:sz w:val="18"/>
      </w:rPr>
      <w:fldChar w:fldCharType="separate"/>
    </w:r>
    <w:r w:rsidRPr="00B52CF2">
      <w:rPr>
        <w:b/>
        <w:noProof/>
        <w:sz w:val="18"/>
      </w:rPr>
      <w:t>3</w:t>
    </w:r>
    <w:r w:rsidRPr="00B52C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150E" w14:textId="140EFA02" w:rsidR="00042B72" w:rsidRPr="00B52CF2" w:rsidRDefault="00B52CF2" w:rsidP="00B52CF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C5FB5C" wp14:editId="5D25CD9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22-14908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FFCF51" wp14:editId="0B70D37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141122  221222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E933" w14:textId="77777777" w:rsidR="00C63553" w:rsidRPr="001075E9" w:rsidRDefault="00C6355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9BAA64" w14:textId="77777777" w:rsidR="00C63553" w:rsidRDefault="00C6355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2F0338" w14:textId="38D521DE" w:rsidR="00B52CF2" w:rsidRPr="006668D9" w:rsidRDefault="00B52CF2" w:rsidP="00B52CF2">
      <w:pPr>
        <w:pStyle w:val="ad"/>
      </w:pPr>
      <w:r>
        <w:tab/>
      </w:r>
      <w:r w:rsidRPr="00B52CF2">
        <w:rPr>
          <w:sz w:val="20"/>
        </w:rPr>
        <w:t>*</w:t>
      </w:r>
      <w:r>
        <w:tab/>
        <w:t>Принят Комитетом на его сто тридцать пятой сессии (27 июня — 27 июля 2022 года).</w:t>
      </w:r>
    </w:p>
  </w:footnote>
  <w:footnote w:id="2">
    <w:p w14:paraId="1F9B5064" w14:textId="6E1A540C" w:rsidR="00B52CF2" w:rsidRPr="006668D9" w:rsidRDefault="00B52CF2" w:rsidP="00B52CF2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Пункты, содержащие рекомендации Комитета, в настоящем документе не воспроизводятся </w:t>
      </w:r>
      <w:r>
        <w:br/>
        <w:t xml:space="preserve">в связи с ограничением объема, установленным в резолюции </w:t>
      </w:r>
      <w:hyperlink r:id="rId1" w:history="1">
        <w:r w:rsidRPr="00EA3506">
          <w:rPr>
            <w:rStyle w:val="af1"/>
          </w:rPr>
          <w:t>68/268</w:t>
        </w:r>
      </w:hyperlink>
      <w:r>
        <w:t xml:space="preserve"> Генеральной Ассамблеи, </w:t>
      </w:r>
      <w:r>
        <w:br/>
        <w:t>п. 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7AFF" w14:textId="188E2D18" w:rsidR="00B52CF2" w:rsidRPr="00B52CF2" w:rsidRDefault="009440F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CCPR/C/135/2/Add.1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0FCA" w14:textId="2F3BC8A7" w:rsidR="00B52CF2" w:rsidRPr="00B52CF2" w:rsidRDefault="009440F2" w:rsidP="00B52CF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CCPR/C/135/2/Add.1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53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0E45"/>
    <w:rsid w:val="00666B97"/>
    <w:rsid w:val="00681A10"/>
    <w:rsid w:val="006A1ED8"/>
    <w:rsid w:val="006C2031"/>
    <w:rsid w:val="006D461A"/>
    <w:rsid w:val="006F35EE"/>
    <w:rsid w:val="007021FF"/>
    <w:rsid w:val="00712895"/>
    <w:rsid w:val="00734968"/>
    <w:rsid w:val="00741B16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440F2"/>
    <w:rsid w:val="00951972"/>
    <w:rsid w:val="009608F3"/>
    <w:rsid w:val="009918E2"/>
    <w:rsid w:val="009A24AC"/>
    <w:rsid w:val="009D21FD"/>
    <w:rsid w:val="009D3907"/>
    <w:rsid w:val="00A14B36"/>
    <w:rsid w:val="00A14DA8"/>
    <w:rsid w:val="00A312BC"/>
    <w:rsid w:val="00A34D07"/>
    <w:rsid w:val="00A84021"/>
    <w:rsid w:val="00A84D35"/>
    <w:rsid w:val="00A917B3"/>
    <w:rsid w:val="00AB4B51"/>
    <w:rsid w:val="00AD6F87"/>
    <w:rsid w:val="00AF0D4B"/>
    <w:rsid w:val="00B10CC7"/>
    <w:rsid w:val="00B136DB"/>
    <w:rsid w:val="00B52CF2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63553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674FF"/>
    <w:rsid w:val="00E73F76"/>
    <w:rsid w:val="00EA2C9F"/>
    <w:rsid w:val="00EA3506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B778C"/>
  <w15:docId w15:val="{F1C60085-FCB2-4633-ACEE-0F448DEB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B5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CCPR/C/BHR/CO/1" TargetMode="External"/><Relationship Id="rId13" Type="http://schemas.openxmlformats.org/officeDocument/2006/relationships/hyperlink" Target="https://tbinternet.ohchr.org/_layouts/15/treatybodyexternal/Download.aspx?symbolno=INT%2fCCPR%2fNGS%2fBHR%2f48469&amp;Lang=e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tbinternet.ohchr.org/_layouts/15/treatybodyexternal/Download.aspx?symbolno=INT%2fCCPR%2fNGS%2fBHR%2f48468&amp;Lang=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binternet.ohchr.org/_layouts/15/treatybodyexternal/Download.aspx?symbolno=INT%2fCCPR%2fNGS%2fBHR%2f48454&amp;Lang=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binternet.ohchr.org/_layouts/15/treatybodyexternal/Download.aspx?symbolno=INT%2fCCPR%2fNGS%2fBHR%2f48453&amp;Lang=e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undocs.org/en/CCPR/C/BHR/FCO/1" TargetMode="External"/><Relationship Id="rId14" Type="http://schemas.openxmlformats.org/officeDocument/2006/relationships/hyperlink" Target="https://tbinternet.ohchr.org/_layouts/15/treatybodyexternal/Download.aspx?symbolno=INT%2fCCPR%2fNGS%2fBHR%2f48450&amp;Lang=en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A/RES/68/26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5</Pages>
  <Words>1920</Words>
  <Characters>13705</Characters>
  <Application>Microsoft Office Word</Application>
  <DocSecurity>0</DocSecurity>
  <Lines>1522</Lines>
  <Paragraphs>400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CCPR/C/135/2/Add.1</vt:lpstr>
      <vt:lpstr>A/</vt:lpstr>
      <vt:lpstr>A/</vt:lpstr>
    </vt:vector>
  </TitlesOfParts>
  <Company>DCM</Company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CCPR/C/135/2/Add.1</dc:title>
  <dc:subject/>
  <dc:creator>Elena IZOTOVA</dc:creator>
  <cp:keywords/>
  <cp:lastModifiedBy>Elena Izotova</cp:lastModifiedBy>
  <cp:revision>3</cp:revision>
  <cp:lastPrinted>2022-12-22T10:44:00Z</cp:lastPrinted>
  <dcterms:created xsi:type="dcterms:W3CDTF">2022-12-22T10:44:00Z</dcterms:created>
  <dcterms:modified xsi:type="dcterms:W3CDTF">2022-12-22T10:45:00Z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