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71912" w14:paraId="3B4138AA" w14:textId="77777777" w:rsidTr="005B51C4">
        <w:trPr>
          <w:trHeight w:hRule="exact" w:val="851"/>
        </w:trPr>
        <w:tc>
          <w:tcPr>
            <w:tcW w:w="1274" w:type="dxa"/>
            <w:tcBorders>
              <w:bottom w:val="single" w:sz="4" w:space="0" w:color="auto"/>
            </w:tcBorders>
            <w:shd w:val="clear" w:color="auto" w:fill="auto"/>
          </w:tcPr>
          <w:p w14:paraId="3A9863F9" w14:textId="77777777" w:rsidR="006B3E27" w:rsidRPr="00C71912" w:rsidRDefault="006B3E27" w:rsidP="00B7405C">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03400EB8" w14:textId="77777777" w:rsidR="006B3E27" w:rsidRPr="00C71912" w:rsidRDefault="006B3E27" w:rsidP="00730446">
            <w:pPr>
              <w:spacing w:after="80" w:line="480" w:lineRule="exact"/>
              <w:ind w:left="57"/>
              <w:rPr>
                <w:sz w:val="30"/>
                <w:szCs w:val="30"/>
                <w:rtl/>
              </w:rPr>
            </w:pPr>
            <w:r w:rsidRPr="00C71912">
              <w:rPr>
                <w:rFonts w:hint="cs"/>
                <w:sz w:val="30"/>
                <w:szCs w:val="30"/>
                <w:rtl/>
              </w:rPr>
              <w:t>الأمم المتحدة</w:t>
            </w:r>
          </w:p>
        </w:tc>
        <w:tc>
          <w:tcPr>
            <w:tcW w:w="3828" w:type="dxa"/>
            <w:tcBorders>
              <w:bottom w:val="single" w:sz="4" w:space="0" w:color="auto"/>
            </w:tcBorders>
            <w:shd w:val="clear" w:color="auto" w:fill="auto"/>
            <w:vAlign w:val="bottom"/>
          </w:tcPr>
          <w:p w14:paraId="4B81525B" w14:textId="3534862E" w:rsidR="006B3E27" w:rsidRPr="00C71912" w:rsidRDefault="009A7C78" w:rsidP="009A7C78">
            <w:pPr>
              <w:bidi w:val="0"/>
              <w:rPr>
                <w:szCs w:val="20"/>
              </w:rPr>
            </w:pPr>
            <w:r w:rsidRPr="00C71912">
              <w:rPr>
                <w:sz w:val="40"/>
                <w:szCs w:val="20"/>
              </w:rPr>
              <w:t>CCPR</w:t>
            </w:r>
            <w:r w:rsidRPr="00C71912">
              <w:rPr>
                <w:szCs w:val="20"/>
              </w:rPr>
              <w:t>/C/134/D/2840/2016</w:t>
            </w:r>
          </w:p>
        </w:tc>
      </w:tr>
      <w:tr w:rsidR="006B3E27" w:rsidRPr="00C71912" w14:paraId="2D0A109D" w14:textId="77777777" w:rsidTr="005B51C4">
        <w:trPr>
          <w:trHeight w:hRule="exact" w:val="2835"/>
        </w:trPr>
        <w:tc>
          <w:tcPr>
            <w:tcW w:w="1274" w:type="dxa"/>
            <w:tcBorders>
              <w:top w:val="single" w:sz="4" w:space="0" w:color="auto"/>
              <w:bottom w:val="single" w:sz="12" w:space="0" w:color="auto"/>
            </w:tcBorders>
            <w:shd w:val="clear" w:color="auto" w:fill="auto"/>
          </w:tcPr>
          <w:p w14:paraId="5027A6CD" w14:textId="77777777" w:rsidR="006B3E27" w:rsidRPr="00C71912" w:rsidRDefault="00E2228E" w:rsidP="009A0CFB">
            <w:pPr>
              <w:spacing w:before="120"/>
              <w:jc w:val="center"/>
              <w:rPr>
                <w:sz w:val="56"/>
                <w:szCs w:val="56"/>
                <w:rtl/>
              </w:rPr>
            </w:pPr>
            <w:r w:rsidRPr="00C71912">
              <w:rPr>
                <w:noProof/>
                <w:sz w:val="56"/>
                <w:szCs w:val="56"/>
              </w:rPr>
              <w:drawing>
                <wp:inline distT="0" distB="0" distL="0" distR="0" wp14:anchorId="15877F24" wp14:editId="0A254C7E">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1C36E689" w14:textId="77777777" w:rsidR="006B3E27" w:rsidRPr="00C71912" w:rsidRDefault="00ED7442" w:rsidP="00730446">
            <w:pPr>
              <w:spacing w:before="120" w:after="40" w:line="640" w:lineRule="exact"/>
              <w:ind w:left="57"/>
              <w:rPr>
                <w:b/>
                <w:bCs/>
                <w:sz w:val="46"/>
                <w:szCs w:val="46"/>
              </w:rPr>
            </w:pPr>
            <w:r w:rsidRPr="00C71912">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5801C5E4" w14:textId="43A12621" w:rsidR="006B3E27" w:rsidRPr="00C71912" w:rsidRDefault="009A7C78" w:rsidP="004B27E0">
            <w:pPr>
              <w:bidi w:val="0"/>
              <w:spacing w:before="240"/>
              <w:rPr>
                <w:szCs w:val="20"/>
              </w:rPr>
            </w:pPr>
            <w:r w:rsidRPr="00C71912">
              <w:rPr>
                <w:szCs w:val="20"/>
              </w:rPr>
              <w:t>Dist</w:t>
            </w:r>
            <w:r w:rsidR="00F23C25" w:rsidRPr="00C71912">
              <w:rPr>
                <w:color w:val="000000"/>
                <w:szCs w:val="20"/>
              </w:rPr>
              <w:t>r.:</w:t>
            </w:r>
            <w:r w:rsidRPr="00C71912">
              <w:rPr>
                <w:szCs w:val="20"/>
              </w:rPr>
              <w:t xml:space="preserve"> General</w:t>
            </w:r>
          </w:p>
          <w:p w14:paraId="13825BDB" w14:textId="20882CD5" w:rsidR="009A7C78" w:rsidRPr="00C71912" w:rsidRDefault="00F23C25" w:rsidP="009A7C78">
            <w:pPr>
              <w:bidi w:val="0"/>
              <w:spacing w:line="240" w:lineRule="exact"/>
              <w:jc w:val="left"/>
              <w:rPr>
                <w:szCs w:val="20"/>
              </w:rPr>
            </w:pPr>
            <w:r w:rsidRPr="00C71912">
              <w:rPr>
                <w:szCs w:val="20"/>
              </w:rPr>
              <w:t xml:space="preserve">13 May </w:t>
            </w:r>
            <w:r w:rsidR="009A7C78" w:rsidRPr="00C71912">
              <w:rPr>
                <w:szCs w:val="20"/>
              </w:rPr>
              <w:t>2022</w:t>
            </w:r>
          </w:p>
          <w:p w14:paraId="77FE3768" w14:textId="77777777" w:rsidR="009A7C78" w:rsidRPr="00C71912" w:rsidRDefault="009A7C78" w:rsidP="009A7C78">
            <w:pPr>
              <w:bidi w:val="0"/>
              <w:spacing w:line="240" w:lineRule="exact"/>
              <w:jc w:val="left"/>
              <w:rPr>
                <w:szCs w:val="20"/>
              </w:rPr>
            </w:pPr>
            <w:r w:rsidRPr="00C71912">
              <w:rPr>
                <w:szCs w:val="20"/>
              </w:rPr>
              <w:t>Arabic</w:t>
            </w:r>
          </w:p>
          <w:p w14:paraId="0136C401" w14:textId="7E38C559" w:rsidR="009A7C78" w:rsidRPr="00C71912" w:rsidRDefault="009A7C78" w:rsidP="009A7C78">
            <w:pPr>
              <w:bidi w:val="0"/>
              <w:spacing w:line="240" w:lineRule="exact"/>
              <w:jc w:val="left"/>
              <w:rPr>
                <w:szCs w:val="20"/>
              </w:rPr>
            </w:pPr>
            <w:r w:rsidRPr="00C71912">
              <w:rPr>
                <w:szCs w:val="20"/>
              </w:rPr>
              <w:t>Origina</w:t>
            </w:r>
            <w:r w:rsidR="00F23C25" w:rsidRPr="00C71912">
              <w:rPr>
                <w:color w:val="000000"/>
                <w:szCs w:val="20"/>
              </w:rPr>
              <w:t xml:space="preserve">l: </w:t>
            </w:r>
            <w:r w:rsidRPr="00C71912">
              <w:rPr>
                <w:szCs w:val="20"/>
              </w:rPr>
              <w:t>English</w:t>
            </w:r>
          </w:p>
        </w:tc>
      </w:tr>
    </w:tbl>
    <w:p w14:paraId="2BB677FE" w14:textId="77777777" w:rsidR="00F23C25" w:rsidRPr="00C71912" w:rsidRDefault="00F23C25" w:rsidP="00F23C25">
      <w:pPr>
        <w:pStyle w:val="SingleTxtGA"/>
        <w:spacing w:before="120" w:after="0"/>
        <w:ind w:left="0" w:right="283"/>
        <w:jc w:val="left"/>
        <w:rPr>
          <w:b/>
          <w:bCs/>
          <w:sz w:val="26"/>
          <w:szCs w:val="26"/>
          <w:lang w:val="ar-SA" w:eastAsia="zh-TW" w:bidi="en-GB"/>
        </w:rPr>
      </w:pPr>
      <w:bookmarkStart w:id="0" w:name="_Hlk103180005"/>
      <w:r w:rsidRPr="00C71912">
        <w:rPr>
          <w:b/>
          <w:bCs/>
          <w:sz w:val="26"/>
          <w:szCs w:val="26"/>
          <w:rtl/>
        </w:rPr>
        <w:t>اللجنة المعنية بحقوق الإنسان</w:t>
      </w:r>
    </w:p>
    <w:p w14:paraId="12260B44" w14:textId="7698E89F" w:rsidR="00F23C25" w:rsidRPr="00C71912" w:rsidRDefault="00F23C25" w:rsidP="00F23C25">
      <w:pPr>
        <w:pStyle w:val="HChGA"/>
        <w:rPr>
          <w:rFonts w:eastAsia="MS Mincho"/>
          <w:lang w:val="en-US" w:eastAsia="zh-TW" w:bidi="en-GB"/>
        </w:rPr>
      </w:pPr>
      <w:r w:rsidRPr="00C71912">
        <w:rPr>
          <w:rtl/>
        </w:rPr>
        <w:tab/>
      </w:r>
      <w:r w:rsidRPr="00C71912">
        <w:rPr>
          <w:rtl/>
        </w:rPr>
        <w:tab/>
        <w:t>آراء اعتمدتها اللجنة بموجب المادة 5(</w:t>
      </w:r>
      <w:r w:rsidRPr="00C71912">
        <w:rPr>
          <w:color w:val="000000"/>
          <w:rtl/>
        </w:rPr>
        <w:t xml:space="preserve">4) </w:t>
      </w:r>
      <w:r w:rsidRPr="00C71912">
        <w:rPr>
          <w:rtl/>
        </w:rPr>
        <w:t>من البروتوكول الاختياري، بشأن البلاغ رقم 2840/2016</w:t>
      </w:r>
      <w:r w:rsidRPr="00C71912">
        <w:rPr>
          <w:rStyle w:val="FootnoteReference"/>
          <w:sz w:val="22"/>
          <w:szCs w:val="22"/>
          <w:vertAlign w:val="baseline"/>
          <w:rtl/>
        </w:rPr>
        <w:footnoteReference w:customMarkFollows="1" w:id="1"/>
        <w:t>*</w:t>
      </w:r>
      <w:r w:rsidRPr="00C71912">
        <w:rPr>
          <w:rFonts w:eastAsia="MS Mincho"/>
          <w:rtl/>
          <w:lang w:val="en-US" w:eastAsia="zh-TW"/>
        </w:rPr>
        <w:t xml:space="preserve"> </w:t>
      </w:r>
      <w:r w:rsidRPr="00C71912">
        <w:rPr>
          <w:rStyle w:val="FootnoteReference"/>
          <w:rFonts w:eastAsia="MS Mincho"/>
          <w:sz w:val="22"/>
          <w:szCs w:val="22"/>
          <w:vertAlign w:val="baseline"/>
          <w:rtl/>
          <w:lang w:val="en-US" w:eastAsia="zh-TW"/>
        </w:rPr>
        <w:footnoteReference w:customMarkFollows="1" w:id="2"/>
        <w:t>**</w:t>
      </w:r>
    </w:p>
    <w:p w14:paraId="588AE7D3" w14:textId="0C24FE9E" w:rsidR="00F23C25" w:rsidRPr="00C71912" w:rsidRDefault="00F23C25" w:rsidP="00F23C25">
      <w:pPr>
        <w:pStyle w:val="SingleTxtGA"/>
        <w:tabs>
          <w:tab w:val="clear" w:pos="1928"/>
          <w:tab w:val="clear" w:pos="2608"/>
          <w:tab w:val="clear" w:pos="3289"/>
          <w:tab w:val="clear" w:pos="3969"/>
          <w:tab w:val="clear" w:pos="4649"/>
          <w:tab w:val="clear" w:pos="5330"/>
        </w:tabs>
        <w:ind w:left="4649" w:hanging="2721"/>
      </w:pPr>
      <w:r w:rsidRPr="00C71912">
        <w:rPr>
          <w:i/>
          <w:iCs/>
          <w:rtl/>
        </w:rPr>
        <w:footnoteReference w:customMarkFollows="1" w:id="3"/>
        <w:t>بلاغ مقدم من:</w:t>
      </w:r>
      <w:r w:rsidRPr="00C71912">
        <w:rPr>
          <w:rtl/>
        </w:rPr>
        <w:tab/>
        <w:t xml:space="preserve">تمارا </w:t>
      </w:r>
      <w:proofErr w:type="spellStart"/>
      <w:r w:rsidRPr="00C71912">
        <w:rPr>
          <w:rtl/>
        </w:rPr>
        <w:t>سيليون</w:t>
      </w:r>
      <w:proofErr w:type="spellEnd"/>
      <w:r w:rsidRPr="00C71912">
        <w:rPr>
          <w:rtl/>
        </w:rPr>
        <w:t xml:space="preserve"> (يمثلها المحامي أندريه </w:t>
      </w:r>
      <w:proofErr w:type="spellStart"/>
      <w:r w:rsidRPr="00C71912">
        <w:rPr>
          <w:rtl/>
        </w:rPr>
        <w:t>بالودا</w:t>
      </w:r>
      <w:proofErr w:type="spellEnd"/>
      <w:r w:rsidR="00E3413A" w:rsidRPr="00C71912">
        <w:rPr>
          <w:rFonts w:hint="cs"/>
          <w:rtl/>
        </w:rPr>
        <w:t>)</w:t>
      </w:r>
    </w:p>
    <w:p w14:paraId="63EC655D" w14:textId="402D66D9" w:rsidR="00F23C25" w:rsidRPr="00C71912" w:rsidRDefault="00F23C25" w:rsidP="00F23C25">
      <w:pPr>
        <w:pStyle w:val="SingleTxtGA"/>
        <w:tabs>
          <w:tab w:val="clear" w:pos="1928"/>
          <w:tab w:val="clear" w:pos="2608"/>
          <w:tab w:val="clear" w:pos="3289"/>
          <w:tab w:val="clear" w:pos="3969"/>
          <w:tab w:val="clear" w:pos="4649"/>
          <w:tab w:val="clear" w:pos="5330"/>
        </w:tabs>
        <w:ind w:left="4649" w:hanging="2721"/>
      </w:pPr>
      <w:r w:rsidRPr="00C71912">
        <w:rPr>
          <w:i/>
          <w:iCs/>
          <w:rtl/>
        </w:rPr>
        <w:t>الشخص المدعى أنه ضحية:</w:t>
      </w:r>
      <w:r w:rsidRPr="00C71912">
        <w:rPr>
          <w:rtl/>
        </w:rPr>
        <w:tab/>
        <w:t>صاحبة البلاغ</w:t>
      </w:r>
    </w:p>
    <w:p w14:paraId="7EF98735" w14:textId="307E683C" w:rsidR="00F23C25" w:rsidRPr="00C71912" w:rsidRDefault="00F23C25" w:rsidP="00F23C25">
      <w:pPr>
        <w:pStyle w:val="SingleTxtGA"/>
        <w:tabs>
          <w:tab w:val="clear" w:pos="1928"/>
          <w:tab w:val="clear" w:pos="2608"/>
          <w:tab w:val="clear" w:pos="3289"/>
          <w:tab w:val="clear" w:pos="3969"/>
          <w:tab w:val="clear" w:pos="4649"/>
          <w:tab w:val="clear" w:pos="5330"/>
        </w:tabs>
        <w:ind w:left="4649" w:hanging="2721"/>
      </w:pPr>
      <w:r w:rsidRPr="00C71912">
        <w:rPr>
          <w:i/>
          <w:iCs/>
          <w:rtl/>
        </w:rPr>
        <w:t>الدولة الطرف:</w:t>
      </w:r>
      <w:r w:rsidRPr="00C71912">
        <w:rPr>
          <w:rtl/>
        </w:rPr>
        <w:tab/>
        <w:t>بيلاروس</w:t>
      </w:r>
    </w:p>
    <w:p w14:paraId="45C50812" w14:textId="039998F3" w:rsidR="00F23C25" w:rsidRPr="00C71912" w:rsidRDefault="00F23C25" w:rsidP="00F23C25">
      <w:pPr>
        <w:pStyle w:val="SingleTxtGA"/>
        <w:tabs>
          <w:tab w:val="clear" w:pos="1928"/>
          <w:tab w:val="clear" w:pos="2608"/>
          <w:tab w:val="clear" w:pos="3289"/>
          <w:tab w:val="clear" w:pos="3969"/>
          <w:tab w:val="clear" w:pos="4649"/>
          <w:tab w:val="clear" w:pos="5330"/>
        </w:tabs>
        <w:ind w:left="4649" w:hanging="2721"/>
      </w:pPr>
      <w:r w:rsidRPr="00C71912">
        <w:rPr>
          <w:i/>
          <w:iCs/>
          <w:rtl/>
        </w:rPr>
        <w:t>تاريخ تقديم البلاغ:</w:t>
      </w:r>
      <w:r w:rsidRPr="00C71912">
        <w:rPr>
          <w:rtl/>
        </w:rPr>
        <w:tab/>
        <w:t>11 آب/أغسطس 2016 (تاريخ الرسالة الأولى)</w:t>
      </w:r>
    </w:p>
    <w:p w14:paraId="32D37248" w14:textId="5F44D772" w:rsidR="00F23C25" w:rsidRPr="00C71912" w:rsidRDefault="00F23C25" w:rsidP="00F23C25">
      <w:pPr>
        <w:pStyle w:val="SingleTxtGA"/>
        <w:tabs>
          <w:tab w:val="clear" w:pos="1928"/>
          <w:tab w:val="clear" w:pos="2608"/>
          <w:tab w:val="clear" w:pos="3289"/>
          <w:tab w:val="clear" w:pos="3969"/>
          <w:tab w:val="clear" w:pos="4649"/>
          <w:tab w:val="clear" w:pos="5330"/>
        </w:tabs>
        <w:ind w:left="4649" w:hanging="2721"/>
      </w:pPr>
      <w:r w:rsidRPr="00C71912">
        <w:rPr>
          <w:i/>
          <w:iCs/>
          <w:rtl/>
        </w:rPr>
        <w:t>الوثيقة المرجعية:</w:t>
      </w:r>
      <w:r w:rsidRPr="00C71912">
        <w:rPr>
          <w:rtl/>
        </w:rPr>
        <w:tab/>
        <w:t>القرار المتخذ بموجب المادة 9</w:t>
      </w:r>
      <w:r w:rsidR="00E3413A" w:rsidRPr="00C71912">
        <w:rPr>
          <w:rFonts w:hint="cs"/>
          <w:rtl/>
        </w:rPr>
        <w:t>2</w:t>
      </w:r>
      <w:r w:rsidRPr="00C71912">
        <w:rPr>
          <w:rtl/>
        </w:rPr>
        <w:t xml:space="preserve"> من النظام الداخلي للجنة، والمحال إلى الدولة الطرف في 25 تشرين الأو</w:t>
      </w:r>
      <w:r w:rsidR="00BC4C6E" w:rsidRPr="00C71912">
        <w:rPr>
          <w:rFonts w:hint="cs"/>
          <w:rtl/>
        </w:rPr>
        <w:t>ل</w:t>
      </w:r>
      <w:r w:rsidRPr="00C71912">
        <w:rPr>
          <w:rtl/>
        </w:rPr>
        <w:t>/أكتوبر 2016 (لم يصدر في شكل وثيقة)</w:t>
      </w:r>
    </w:p>
    <w:p w14:paraId="74D40287" w14:textId="6E58ABD0" w:rsidR="00F23C25" w:rsidRPr="00C71912" w:rsidRDefault="00F23C25" w:rsidP="00F23C25">
      <w:pPr>
        <w:pStyle w:val="SingleTxtGA"/>
        <w:tabs>
          <w:tab w:val="clear" w:pos="1928"/>
          <w:tab w:val="clear" w:pos="2608"/>
          <w:tab w:val="clear" w:pos="3289"/>
          <w:tab w:val="clear" w:pos="3969"/>
          <w:tab w:val="clear" w:pos="4649"/>
          <w:tab w:val="clear" w:pos="5330"/>
        </w:tabs>
        <w:ind w:left="4649" w:hanging="2721"/>
      </w:pPr>
      <w:r w:rsidRPr="00C71912">
        <w:rPr>
          <w:i/>
          <w:iCs/>
          <w:rtl/>
        </w:rPr>
        <w:t>تاريخ اعتماد الآراء:</w:t>
      </w:r>
      <w:r w:rsidRPr="00C71912">
        <w:rPr>
          <w:rtl/>
        </w:rPr>
        <w:tab/>
        <w:t>4 آذار/مارس 2022</w:t>
      </w:r>
    </w:p>
    <w:p w14:paraId="0471F519" w14:textId="1B7A7203" w:rsidR="00F23C25" w:rsidRPr="00C71912" w:rsidRDefault="00F23C25" w:rsidP="00F23C25">
      <w:pPr>
        <w:pStyle w:val="SingleTxtGA"/>
        <w:tabs>
          <w:tab w:val="clear" w:pos="1928"/>
          <w:tab w:val="clear" w:pos="2608"/>
          <w:tab w:val="clear" w:pos="3289"/>
          <w:tab w:val="clear" w:pos="3969"/>
          <w:tab w:val="clear" w:pos="4649"/>
          <w:tab w:val="clear" w:pos="5330"/>
        </w:tabs>
        <w:ind w:left="4649" w:hanging="2721"/>
      </w:pPr>
      <w:r w:rsidRPr="00C71912">
        <w:rPr>
          <w:i/>
          <w:iCs/>
          <w:rtl/>
        </w:rPr>
        <w:t>الموضوع:</w:t>
      </w:r>
      <w:r w:rsidRPr="00C71912">
        <w:rPr>
          <w:rtl/>
        </w:rPr>
        <w:tab/>
        <w:t>المعاملة اللاإنسانية والمهينة؛ المحاكمة العادلة</w:t>
      </w:r>
    </w:p>
    <w:p w14:paraId="22D483E5" w14:textId="1E74946F" w:rsidR="00F23C25" w:rsidRPr="00C71912" w:rsidRDefault="00F23C25" w:rsidP="00F23C25">
      <w:pPr>
        <w:pStyle w:val="SingleTxtGA"/>
        <w:tabs>
          <w:tab w:val="clear" w:pos="1928"/>
          <w:tab w:val="clear" w:pos="2608"/>
          <w:tab w:val="clear" w:pos="3289"/>
          <w:tab w:val="clear" w:pos="3969"/>
          <w:tab w:val="clear" w:pos="4649"/>
          <w:tab w:val="clear" w:pos="5330"/>
        </w:tabs>
        <w:ind w:left="4649" w:hanging="2721"/>
      </w:pPr>
      <w:r w:rsidRPr="00C71912">
        <w:rPr>
          <w:i/>
          <w:iCs/>
          <w:rtl/>
        </w:rPr>
        <w:t>المسألة الإجرائية:</w:t>
      </w:r>
      <w:r w:rsidRPr="00C71912">
        <w:rPr>
          <w:rtl/>
        </w:rPr>
        <w:tab/>
        <w:t>استنفاد سبل الانتصاف المحلية</w:t>
      </w:r>
    </w:p>
    <w:p w14:paraId="4DD4AA6D" w14:textId="6A95B3F0" w:rsidR="00F23C25" w:rsidRPr="00C71912" w:rsidRDefault="00F23C25" w:rsidP="00F23C25">
      <w:pPr>
        <w:pStyle w:val="SingleTxtGA"/>
        <w:tabs>
          <w:tab w:val="clear" w:pos="1928"/>
          <w:tab w:val="clear" w:pos="2608"/>
          <w:tab w:val="clear" w:pos="3289"/>
          <w:tab w:val="clear" w:pos="3969"/>
          <w:tab w:val="clear" w:pos="4649"/>
          <w:tab w:val="clear" w:pos="5330"/>
        </w:tabs>
        <w:ind w:left="4649" w:hanging="2721"/>
      </w:pPr>
      <w:r w:rsidRPr="00C71912">
        <w:rPr>
          <w:i/>
          <w:iCs/>
          <w:rtl/>
        </w:rPr>
        <w:t>المسألتان الموضوعيتان:</w:t>
      </w:r>
      <w:r w:rsidRPr="00C71912">
        <w:rPr>
          <w:rtl/>
        </w:rPr>
        <w:tab/>
        <w:t>المعاملة أو العقوبة القاسية أو اللاإنسانية أو المهينة؛ المحاكمة العادلة</w:t>
      </w:r>
    </w:p>
    <w:p w14:paraId="0045315D" w14:textId="7A8F02EE" w:rsidR="00F23C25" w:rsidRPr="00C71912" w:rsidRDefault="00F23C25" w:rsidP="00F23C25">
      <w:pPr>
        <w:pStyle w:val="SingleTxtGA"/>
        <w:tabs>
          <w:tab w:val="clear" w:pos="1928"/>
          <w:tab w:val="clear" w:pos="2608"/>
          <w:tab w:val="clear" w:pos="3289"/>
          <w:tab w:val="clear" w:pos="3969"/>
          <w:tab w:val="clear" w:pos="4649"/>
          <w:tab w:val="clear" w:pos="5330"/>
        </w:tabs>
        <w:ind w:left="4649" w:hanging="2721"/>
        <w:rPr>
          <w:color w:val="000000"/>
          <w:spacing w:val="-2"/>
        </w:rPr>
      </w:pPr>
      <w:r w:rsidRPr="00C71912">
        <w:rPr>
          <w:i/>
          <w:iCs/>
          <w:rtl/>
        </w:rPr>
        <w:t>مواد العهد:</w:t>
      </w:r>
      <w:r w:rsidRPr="00C71912">
        <w:rPr>
          <w:rtl/>
        </w:rPr>
        <w:tab/>
      </w:r>
      <w:r w:rsidRPr="00C71912">
        <w:rPr>
          <w:spacing w:val="-2"/>
          <w:rtl/>
        </w:rPr>
        <w:t>المادتان 7 و14(1</w:t>
      </w:r>
      <w:r w:rsidRPr="00C71912">
        <w:rPr>
          <w:color w:val="000000"/>
          <w:spacing w:val="-2"/>
          <w:rtl/>
        </w:rPr>
        <w:t xml:space="preserve">)، </w:t>
      </w:r>
      <w:r w:rsidRPr="00C71912">
        <w:rPr>
          <w:spacing w:val="-2"/>
          <w:rtl/>
        </w:rPr>
        <w:t>مقروءتان بالاقتران مع المادة 2(</w:t>
      </w:r>
      <w:r w:rsidRPr="00C71912">
        <w:rPr>
          <w:color w:val="000000"/>
          <w:spacing w:val="-2"/>
          <w:rtl/>
        </w:rPr>
        <w:t>2)</w:t>
      </w:r>
    </w:p>
    <w:p w14:paraId="40748199" w14:textId="798360BF" w:rsidR="00F23C25" w:rsidRPr="00C71912" w:rsidRDefault="00F23C25" w:rsidP="00F23C25">
      <w:pPr>
        <w:pStyle w:val="SingleTxtGA"/>
        <w:tabs>
          <w:tab w:val="clear" w:pos="1928"/>
          <w:tab w:val="clear" w:pos="2608"/>
          <w:tab w:val="clear" w:pos="3289"/>
          <w:tab w:val="clear" w:pos="3969"/>
          <w:tab w:val="clear" w:pos="4649"/>
          <w:tab w:val="clear" w:pos="5330"/>
        </w:tabs>
        <w:ind w:left="4649" w:hanging="2721"/>
      </w:pPr>
      <w:r w:rsidRPr="00C71912">
        <w:rPr>
          <w:i/>
          <w:iCs/>
          <w:rtl/>
        </w:rPr>
        <w:t>مواد البروتوكول الاختياري:</w:t>
      </w:r>
      <w:r w:rsidRPr="00C71912">
        <w:rPr>
          <w:rtl/>
        </w:rPr>
        <w:tab/>
        <w:t>2 و5(2)(ب)</w:t>
      </w:r>
    </w:p>
    <w:p w14:paraId="509C9609" w14:textId="43AFEA5A" w:rsidR="00F23C25" w:rsidRPr="00C71912" w:rsidRDefault="00F23C25" w:rsidP="00F145A6">
      <w:pPr>
        <w:pStyle w:val="SingleTxtGA"/>
        <w:spacing w:before="240"/>
        <w:rPr>
          <w:rFonts w:eastAsiaTheme="minorEastAsia"/>
          <w:lang w:val="ar-SA" w:eastAsia="zh-TW" w:bidi="en-GB"/>
        </w:rPr>
      </w:pPr>
      <w:r w:rsidRPr="00C71912">
        <w:rPr>
          <w:rFonts w:eastAsiaTheme="minorEastAsia"/>
          <w:rtl/>
        </w:rPr>
        <w:t>1-</w:t>
      </w:r>
      <w:r w:rsidRPr="00C71912">
        <w:rPr>
          <w:rFonts w:eastAsiaTheme="minorEastAsia"/>
          <w:rtl/>
        </w:rPr>
        <w:tab/>
        <w:t xml:space="preserve">صاحبة البلاغ هي تمارا </w:t>
      </w:r>
      <w:proofErr w:type="spellStart"/>
      <w:r w:rsidRPr="00C71912">
        <w:rPr>
          <w:rFonts w:eastAsiaTheme="minorEastAsia"/>
          <w:rtl/>
        </w:rPr>
        <w:t>سيليون</w:t>
      </w:r>
      <w:proofErr w:type="spellEnd"/>
      <w:r w:rsidRPr="00C71912">
        <w:rPr>
          <w:rFonts w:eastAsiaTheme="minorEastAsia"/>
          <w:rtl/>
        </w:rPr>
        <w:t xml:space="preserve"> وهي مواطنة </w:t>
      </w:r>
      <w:r w:rsidR="00EE7E14" w:rsidRPr="00C71912">
        <w:rPr>
          <w:rFonts w:eastAsiaTheme="minorEastAsia" w:hint="cs"/>
          <w:rtl/>
        </w:rPr>
        <w:t>ب</w:t>
      </w:r>
      <w:r w:rsidRPr="00C71912">
        <w:rPr>
          <w:rFonts w:eastAsiaTheme="minorEastAsia"/>
          <w:rtl/>
        </w:rPr>
        <w:t>يلاروسية من مواليد عام 195</w:t>
      </w:r>
      <w:r w:rsidRPr="00C71912">
        <w:rPr>
          <w:rFonts w:eastAsiaTheme="minorEastAsia"/>
          <w:color w:val="000000"/>
          <w:rtl/>
        </w:rPr>
        <w:t xml:space="preserve">3. </w:t>
      </w:r>
      <w:r w:rsidRPr="00C71912">
        <w:rPr>
          <w:rFonts w:eastAsiaTheme="minorEastAsia"/>
          <w:rtl/>
        </w:rPr>
        <w:t xml:space="preserve">وتدعي صاحبة </w:t>
      </w:r>
      <w:r w:rsidRPr="00C71912">
        <w:rPr>
          <w:rFonts w:eastAsiaTheme="minorEastAsia"/>
          <w:spacing w:val="-4"/>
          <w:rtl/>
        </w:rPr>
        <w:t>البلاغ أنها ضحية انتهاك الدولة الطرف حقوقها المكفولة بموجب المادة 7 والفقرة 1 من المادة 14 من العهد،</w:t>
      </w:r>
      <w:r w:rsidRPr="00C71912">
        <w:rPr>
          <w:rFonts w:eastAsiaTheme="minorEastAsia"/>
          <w:rtl/>
        </w:rPr>
        <w:t xml:space="preserve"> </w:t>
      </w:r>
      <w:r w:rsidRPr="00C71912">
        <w:rPr>
          <w:rFonts w:eastAsiaTheme="minorEastAsia"/>
          <w:rtl/>
        </w:rPr>
        <w:lastRenderedPageBreak/>
        <w:t>مقروءتين بالاقتران مع الفقرة 2 من المادة 2 منه. وقد دخل البروتوكول الاختياري حيز النفاذ بالنسبة للدولة الطرف في 30 كانون الأول/ديسمبر 199</w:t>
      </w:r>
      <w:r w:rsidRPr="00C71912">
        <w:rPr>
          <w:rFonts w:eastAsiaTheme="minorEastAsia"/>
          <w:color w:val="000000"/>
          <w:rtl/>
        </w:rPr>
        <w:t xml:space="preserve">2. </w:t>
      </w:r>
      <w:r w:rsidRPr="00C71912">
        <w:rPr>
          <w:rFonts w:eastAsiaTheme="minorEastAsia"/>
          <w:rtl/>
        </w:rPr>
        <w:t xml:space="preserve">ويمثل صاحبة البلاغ محام هو أندريه </w:t>
      </w:r>
      <w:proofErr w:type="spellStart"/>
      <w:r w:rsidRPr="00C71912">
        <w:rPr>
          <w:rFonts w:eastAsiaTheme="minorEastAsia"/>
          <w:rtl/>
        </w:rPr>
        <w:t>بالودا</w:t>
      </w:r>
      <w:proofErr w:type="spellEnd"/>
      <w:r w:rsidRPr="00C71912">
        <w:rPr>
          <w:rFonts w:eastAsiaTheme="minorEastAsia"/>
          <w:rtl/>
        </w:rPr>
        <w:t>.</w:t>
      </w:r>
    </w:p>
    <w:p w14:paraId="2234ADBD" w14:textId="77777777" w:rsidR="00F23C25" w:rsidRPr="00C71912" w:rsidRDefault="00F23C25" w:rsidP="00F23C25">
      <w:pPr>
        <w:pStyle w:val="H23GA"/>
        <w:rPr>
          <w:lang w:val="ar-SA" w:eastAsia="zh-TW" w:bidi="en-GB"/>
        </w:rPr>
      </w:pPr>
      <w:r w:rsidRPr="00C71912">
        <w:rPr>
          <w:rtl/>
        </w:rPr>
        <w:tab/>
      </w:r>
      <w:r w:rsidRPr="00C71912">
        <w:rPr>
          <w:rtl/>
        </w:rPr>
        <w:tab/>
        <w:t>الوقائع كما عرضتها صاحبة البلاغ</w:t>
      </w:r>
    </w:p>
    <w:p w14:paraId="59F9F6AA" w14:textId="295C618E" w:rsidR="00F23C25" w:rsidRPr="00C71912" w:rsidRDefault="00F23C25" w:rsidP="00F23C25">
      <w:pPr>
        <w:pStyle w:val="SingleTxtGA"/>
        <w:rPr>
          <w:rFonts w:eastAsiaTheme="minorEastAsia"/>
          <w:lang w:val="ar-SA" w:eastAsia="zh-TW" w:bidi="en-GB"/>
        </w:rPr>
      </w:pPr>
      <w:r w:rsidRPr="00C71912">
        <w:rPr>
          <w:rFonts w:eastAsiaTheme="minorEastAsia"/>
          <w:rtl/>
        </w:rPr>
        <w:t>2-1</w:t>
      </w:r>
      <w:r w:rsidRPr="00C71912">
        <w:rPr>
          <w:rFonts w:eastAsiaTheme="minorEastAsia"/>
          <w:rtl/>
        </w:rPr>
        <w:tab/>
        <w:t xml:space="preserve">حُكم على ابن صاحبة البلاغ، بافل </w:t>
      </w:r>
      <w:proofErr w:type="spellStart"/>
      <w:r w:rsidRPr="00C71912">
        <w:rPr>
          <w:rFonts w:eastAsiaTheme="minorEastAsia"/>
          <w:rtl/>
        </w:rPr>
        <w:t>سيليون</w:t>
      </w:r>
      <w:proofErr w:type="spellEnd"/>
      <w:r w:rsidRPr="00C71912">
        <w:rPr>
          <w:rFonts w:eastAsiaTheme="minorEastAsia"/>
          <w:rtl/>
        </w:rPr>
        <w:t>، بالإعدام في عام 2013 بعد إدانته بناء على اعترافاته التي انتُزعت منه تحت التعذيب</w:t>
      </w:r>
      <w:r w:rsidRPr="00C71912">
        <w:rPr>
          <w:rStyle w:val="FootnoteReference"/>
          <w:rFonts w:eastAsiaTheme="minorEastAsia"/>
          <w:szCs w:val="22"/>
          <w:rtl/>
        </w:rPr>
        <w:t>(</w:t>
      </w:r>
      <w:r w:rsidRPr="00C71912">
        <w:rPr>
          <w:rStyle w:val="FootnoteReference"/>
          <w:rFonts w:eastAsiaTheme="minorEastAsia"/>
          <w:szCs w:val="22"/>
          <w:lang w:val="en-US"/>
        </w:rPr>
        <w:footnoteReference w:id="4"/>
      </w:r>
      <w:r w:rsidRPr="00C71912">
        <w:rPr>
          <w:rStyle w:val="FootnoteReference"/>
          <w:rFonts w:eastAsiaTheme="minorEastAsia" w:hint="cs"/>
          <w:szCs w:val="22"/>
          <w:rtl/>
        </w:rPr>
        <w:t>)</w:t>
      </w:r>
      <w:r w:rsidRPr="00C71912">
        <w:rPr>
          <w:rFonts w:eastAsiaTheme="minorEastAsia"/>
          <w:rtl/>
        </w:rPr>
        <w:t>. وقد أُعدم ابنها في 17 نيسان/أبريل 201</w:t>
      </w:r>
      <w:r w:rsidRPr="00C71912">
        <w:rPr>
          <w:rFonts w:eastAsiaTheme="minorEastAsia"/>
          <w:color w:val="000000"/>
          <w:rtl/>
        </w:rPr>
        <w:t xml:space="preserve">4. </w:t>
      </w:r>
      <w:r w:rsidRPr="00C71912">
        <w:rPr>
          <w:rFonts w:eastAsiaTheme="minorEastAsia"/>
          <w:rtl/>
        </w:rPr>
        <w:t>وفي 18 نيسان/</w:t>
      </w:r>
      <w:r w:rsidR="00A305F1" w:rsidRPr="00C71912">
        <w:rPr>
          <w:rFonts w:eastAsiaTheme="minorEastAsia" w:hint="cs"/>
          <w:rtl/>
        </w:rPr>
        <w:t xml:space="preserve"> </w:t>
      </w:r>
      <w:r w:rsidRPr="00C71912">
        <w:rPr>
          <w:rFonts w:eastAsiaTheme="minorEastAsia"/>
          <w:rtl/>
        </w:rPr>
        <w:t xml:space="preserve">أبريل 2014، عندما حاول محامي السيد </w:t>
      </w:r>
      <w:proofErr w:type="spellStart"/>
      <w:r w:rsidRPr="00C71912">
        <w:rPr>
          <w:rFonts w:eastAsiaTheme="minorEastAsia"/>
          <w:rtl/>
        </w:rPr>
        <w:t>سليون</w:t>
      </w:r>
      <w:proofErr w:type="spellEnd"/>
      <w:r w:rsidRPr="00C71912">
        <w:rPr>
          <w:rFonts w:eastAsiaTheme="minorEastAsia"/>
          <w:rtl/>
        </w:rPr>
        <w:t xml:space="preserve"> زيارته في السجن، أُبلغت صاحبة البلاغ بأن السيد</w:t>
      </w:r>
      <w:r w:rsidR="001D3EB6" w:rsidRPr="00C71912">
        <w:rPr>
          <w:rFonts w:eastAsiaTheme="minorEastAsia" w:hint="cs"/>
          <w:rtl/>
        </w:rPr>
        <w:t> </w:t>
      </w:r>
      <w:proofErr w:type="spellStart"/>
      <w:r w:rsidRPr="00C71912">
        <w:rPr>
          <w:rFonts w:eastAsiaTheme="minorEastAsia"/>
          <w:rtl/>
        </w:rPr>
        <w:t>سيليون</w:t>
      </w:r>
      <w:proofErr w:type="spellEnd"/>
      <w:r w:rsidRPr="00C71912">
        <w:rPr>
          <w:rFonts w:eastAsiaTheme="minorEastAsia"/>
          <w:rtl/>
        </w:rPr>
        <w:t xml:space="preserve"> "نُقِل وفق</w:t>
      </w:r>
      <w:r w:rsidR="00A5022A" w:rsidRPr="00C71912">
        <w:rPr>
          <w:rFonts w:eastAsiaTheme="minorEastAsia"/>
          <w:rtl/>
        </w:rPr>
        <w:t xml:space="preserve">اً </w:t>
      </w:r>
      <w:r w:rsidRPr="00C71912">
        <w:rPr>
          <w:rFonts w:eastAsiaTheme="minorEastAsia"/>
          <w:rtl/>
        </w:rPr>
        <w:t xml:space="preserve">للحكم الصادر في حقه". ولم تُقدَّم أي معلومات عن مكان وجوده. ولم تتلق صاحبة البلاغ لمدة شهر أي معلومات عن مكان وجود ابنها، رُغم توجيهها نداءات عديدة إلى وزارة الداخلية وإدارة السجون الحكومية والمحكمة العليا. وفي 16 أيار/مايو 2014، تلقت صاحبة البلاغ أخيراً رسالة من محكمة </w:t>
      </w:r>
      <w:proofErr w:type="spellStart"/>
      <w:r w:rsidRPr="00C71912">
        <w:rPr>
          <w:rFonts w:eastAsiaTheme="minorEastAsia"/>
          <w:rtl/>
        </w:rPr>
        <w:t>غرودنو</w:t>
      </w:r>
      <w:proofErr w:type="spellEnd"/>
      <w:r w:rsidRPr="00C71912">
        <w:rPr>
          <w:rFonts w:eastAsiaTheme="minorEastAsia"/>
          <w:rtl/>
        </w:rPr>
        <w:t xml:space="preserve"> الإقليمية تبلغها فيها بأن الحكم الصادر في حق ابنها قد نُفذ في 18 نيسان/أبريل 201</w:t>
      </w:r>
      <w:r w:rsidRPr="00C71912">
        <w:rPr>
          <w:rFonts w:eastAsiaTheme="minorEastAsia"/>
          <w:color w:val="000000"/>
          <w:rtl/>
        </w:rPr>
        <w:t xml:space="preserve">4. </w:t>
      </w:r>
      <w:r w:rsidRPr="00C71912">
        <w:rPr>
          <w:rFonts w:eastAsiaTheme="minorEastAsia"/>
          <w:rtl/>
        </w:rPr>
        <w:t>وذكرت الرسالة أيضاً أنه لا يجوز إعادة جثمانه إلى أمه وأنها لن تُبلغ بمكان دفنه، وذلك وفقاً لأحكام المادة 175 من القانون التنفيذي الجنائي</w:t>
      </w:r>
      <w:r w:rsidRPr="00C71912">
        <w:rPr>
          <w:rStyle w:val="FootnoteReference"/>
          <w:rFonts w:eastAsiaTheme="minorEastAsia"/>
          <w:szCs w:val="22"/>
          <w:rtl/>
        </w:rPr>
        <w:t>(</w:t>
      </w:r>
      <w:r w:rsidRPr="00C71912">
        <w:rPr>
          <w:rStyle w:val="FootnoteReference"/>
          <w:rFonts w:eastAsiaTheme="minorEastAsia"/>
          <w:szCs w:val="22"/>
          <w:lang w:val="en-US"/>
        </w:rPr>
        <w:footnoteReference w:id="5"/>
      </w:r>
      <w:r w:rsidRPr="00C71912">
        <w:rPr>
          <w:rFonts w:eastAsiaTheme="minorEastAsia" w:hint="cs"/>
          <w:vertAlign w:val="superscript"/>
          <w:rtl/>
        </w:rPr>
        <w:t>)</w:t>
      </w:r>
      <w:r w:rsidRPr="00C71912">
        <w:rPr>
          <w:rFonts w:eastAsiaTheme="minorEastAsia"/>
          <w:rtl/>
        </w:rPr>
        <w:t xml:space="preserve">. </w:t>
      </w:r>
    </w:p>
    <w:p w14:paraId="6578AAC7" w14:textId="594B28C1" w:rsidR="00F23C25" w:rsidRPr="00C71912" w:rsidRDefault="00F23C25" w:rsidP="00F23C25">
      <w:pPr>
        <w:pStyle w:val="SingleTxtGA"/>
        <w:rPr>
          <w:rFonts w:eastAsiaTheme="minorEastAsia"/>
          <w:lang w:val="ar-SA" w:eastAsia="zh-TW" w:bidi="en-GB"/>
        </w:rPr>
      </w:pPr>
      <w:r w:rsidRPr="00C71912">
        <w:rPr>
          <w:rFonts w:eastAsiaTheme="minorEastAsia"/>
          <w:rtl/>
        </w:rPr>
        <w:t>2-2</w:t>
      </w:r>
      <w:r w:rsidRPr="00C71912">
        <w:rPr>
          <w:rFonts w:eastAsiaTheme="minorEastAsia"/>
          <w:rtl/>
        </w:rPr>
        <w:tab/>
        <w:t>وفي تاريخ غير محدد، تلقت صاحبة البلاغ طرد</w:t>
      </w:r>
      <w:r w:rsidR="00A5022A" w:rsidRPr="00C71912">
        <w:rPr>
          <w:rFonts w:eastAsiaTheme="minorEastAsia"/>
          <w:rtl/>
        </w:rPr>
        <w:t xml:space="preserve">اً </w:t>
      </w:r>
      <w:r w:rsidRPr="00C71912">
        <w:rPr>
          <w:rFonts w:eastAsiaTheme="minorEastAsia"/>
          <w:rtl/>
        </w:rPr>
        <w:t xml:space="preserve">من إدارة السجون الحكومية يحتوي على ملابس السجن والأحذية التي كان ابنها يرتديها في عنبر المحكوم عليهم بالإعدام. وكانت على ظهر رداء السجن حروفٌ تبين أن صاحب الرداء سجينٌ محكوم عليه بالإعدام. وقد رأت صاحبة البلاغ ابنها وهو يرتدي تلك الملابس عدة مرات عندما كانت تزوره قبل إعدامه. وتسببت رؤية زي المحكومة عليهم بالإعدام في صدمة نفسية لصاحبة البلاغ. ومن وقع الصدمة، أخذت صاحبة البلاغ فأساً وقطعت بها تلك الملابس والأحذية إرباً </w:t>
      </w:r>
      <w:proofErr w:type="spellStart"/>
      <w:r w:rsidRPr="00C71912">
        <w:rPr>
          <w:rFonts w:eastAsiaTheme="minorEastAsia"/>
          <w:rtl/>
        </w:rPr>
        <w:t>إرباً</w:t>
      </w:r>
      <w:proofErr w:type="spellEnd"/>
      <w:r w:rsidRPr="00C71912">
        <w:rPr>
          <w:rFonts w:eastAsiaTheme="minorEastAsia"/>
          <w:rtl/>
        </w:rPr>
        <w:t xml:space="preserve"> ثم أحرقتها بالقرب من منزلها. ولا تزال صاحبة البلاغ تعاني معاناة نفسية شديدة عندما تتذكر هذا الموقف رغم مرور سنوات عديدة عليه.</w:t>
      </w:r>
    </w:p>
    <w:p w14:paraId="613C7805" w14:textId="312104A1" w:rsidR="00F23C25" w:rsidRPr="00C71912" w:rsidRDefault="00F23C25" w:rsidP="00F23C25">
      <w:pPr>
        <w:pStyle w:val="SingleTxtGA"/>
        <w:rPr>
          <w:rFonts w:eastAsiaTheme="minorEastAsia"/>
          <w:lang w:val="ar-SA" w:eastAsia="zh-TW" w:bidi="en-GB"/>
        </w:rPr>
      </w:pPr>
      <w:r w:rsidRPr="00C71912">
        <w:rPr>
          <w:rFonts w:eastAsiaTheme="minorEastAsia"/>
          <w:rtl/>
        </w:rPr>
        <w:t>2-3</w:t>
      </w:r>
      <w:r w:rsidRPr="00C71912">
        <w:rPr>
          <w:rFonts w:eastAsiaTheme="minorEastAsia"/>
          <w:rtl/>
        </w:rPr>
        <w:tab/>
        <w:t xml:space="preserve">وفي 22 شباط/فبراير 2015، رفعت صاحبة البلاغ دعوى قضائية أمام محكمة </w:t>
      </w:r>
      <w:proofErr w:type="spellStart"/>
      <w:r w:rsidRPr="00C71912">
        <w:rPr>
          <w:rFonts w:eastAsiaTheme="minorEastAsia"/>
          <w:rtl/>
        </w:rPr>
        <w:t>لينينسكي</w:t>
      </w:r>
      <w:proofErr w:type="spellEnd"/>
      <w:r w:rsidRPr="00C71912">
        <w:rPr>
          <w:rFonts w:eastAsiaTheme="minorEastAsia"/>
          <w:rtl/>
        </w:rPr>
        <w:t xml:space="preserve"> المحلية في </w:t>
      </w:r>
      <w:proofErr w:type="spellStart"/>
      <w:r w:rsidRPr="00C71912">
        <w:rPr>
          <w:rFonts w:eastAsiaTheme="minorEastAsia"/>
          <w:rtl/>
        </w:rPr>
        <w:t>غرودنو</w:t>
      </w:r>
      <w:proofErr w:type="spellEnd"/>
      <w:r w:rsidRPr="00C71912">
        <w:rPr>
          <w:rFonts w:eastAsiaTheme="minorEastAsia"/>
          <w:rtl/>
        </w:rPr>
        <w:t xml:space="preserve"> تطلب فيها اعتبار رفض محكمة </w:t>
      </w:r>
      <w:proofErr w:type="spellStart"/>
      <w:r w:rsidRPr="00C71912">
        <w:rPr>
          <w:rFonts w:eastAsiaTheme="minorEastAsia"/>
          <w:rtl/>
        </w:rPr>
        <w:t>غرودنو</w:t>
      </w:r>
      <w:proofErr w:type="spellEnd"/>
      <w:r w:rsidRPr="00C71912">
        <w:rPr>
          <w:rFonts w:eastAsiaTheme="minorEastAsia"/>
          <w:rtl/>
        </w:rPr>
        <w:t xml:space="preserve"> الإقليمية إبلاغها بوقت وفاة ابنها ومكان دفنه غير قانوني وضرباً من ضروب المعاملة القاسية واللاإنسانية. وطلبت أيض</w:t>
      </w:r>
      <w:r w:rsidR="00A5022A" w:rsidRPr="00C71912">
        <w:rPr>
          <w:rFonts w:eastAsiaTheme="minorEastAsia"/>
          <w:rtl/>
        </w:rPr>
        <w:t xml:space="preserve">اً </w:t>
      </w:r>
      <w:r w:rsidRPr="00C71912">
        <w:rPr>
          <w:rFonts w:eastAsiaTheme="minorEastAsia"/>
          <w:rtl/>
        </w:rPr>
        <w:t>اعتبار الإجراءات التي اتخذتها إدارة السجون الحكومية، التي أرسلت لها الملابس التي كان ابنها يرتديها وهو في عنبر المحكوم عليهم بالإعدام، إجراءات غير قانونية تعد ضرباً من ضروب المعاملة القاسية واللاإنسانية. وأخير</w:t>
      </w:r>
      <w:r w:rsidR="00A5022A" w:rsidRPr="00C71912">
        <w:rPr>
          <w:rFonts w:eastAsiaTheme="minorEastAsia"/>
          <w:rtl/>
        </w:rPr>
        <w:t xml:space="preserve">اً، </w:t>
      </w:r>
      <w:r w:rsidRPr="00C71912">
        <w:rPr>
          <w:rFonts w:eastAsiaTheme="minorEastAsia"/>
          <w:rtl/>
        </w:rPr>
        <w:t>طلبت صاحبة البلاغ إلى المحكمة أن تخلص إلى منافاة المادة 175 من القانون التنفيذي الجنائي أحكام الدستور لتناقضها مع الفقرة 3 من المادة 25</w:t>
      </w:r>
      <w:r w:rsidR="00F145A6" w:rsidRPr="00C71912">
        <w:rPr>
          <w:rFonts w:eastAsiaTheme="minorEastAsia" w:hint="cs"/>
          <w:rtl/>
        </w:rPr>
        <w:t xml:space="preserve"> </w:t>
      </w:r>
      <w:r w:rsidRPr="00C71912">
        <w:rPr>
          <w:rFonts w:eastAsiaTheme="minorEastAsia"/>
          <w:rtl/>
        </w:rPr>
        <w:t>من الدستور</w:t>
      </w:r>
      <w:r w:rsidRPr="00C71912">
        <w:rPr>
          <w:rStyle w:val="FootnoteReference"/>
          <w:rFonts w:eastAsiaTheme="minorEastAsia"/>
          <w:szCs w:val="22"/>
          <w:rtl/>
        </w:rPr>
        <w:t>(</w:t>
      </w:r>
      <w:r w:rsidRPr="00C71912">
        <w:rPr>
          <w:rStyle w:val="FootnoteReference"/>
          <w:rFonts w:eastAsiaTheme="minorEastAsia"/>
          <w:szCs w:val="22"/>
          <w:lang w:val="en-US"/>
        </w:rPr>
        <w:footnoteReference w:id="6"/>
      </w:r>
      <w:r w:rsidRPr="00C71912">
        <w:rPr>
          <w:rStyle w:val="FootnoteReference"/>
          <w:rFonts w:eastAsiaTheme="minorEastAsia" w:hint="cs"/>
          <w:szCs w:val="22"/>
          <w:rtl/>
        </w:rPr>
        <w:t>)</w:t>
      </w:r>
      <w:r w:rsidRPr="00C71912">
        <w:rPr>
          <w:rStyle w:val="FootnoteReference"/>
          <w:rFonts w:eastAsiaTheme="minorEastAsia" w:hint="cs"/>
          <w:szCs w:val="22"/>
          <w:vertAlign w:val="baseline"/>
          <w:rtl/>
        </w:rPr>
        <w:t xml:space="preserve"> </w:t>
      </w:r>
      <w:r w:rsidRPr="00C71912">
        <w:rPr>
          <w:rFonts w:eastAsiaTheme="minorEastAsia"/>
          <w:rtl/>
        </w:rPr>
        <w:t xml:space="preserve">والمادة 7 من العهد. </w:t>
      </w:r>
    </w:p>
    <w:p w14:paraId="67D54EF3" w14:textId="77777777" w:rsidR="00F23C25" w:rsidRPr="00C71912" w:rsidRDefault="00F23C25" w:rsidP="00F23C25">
      <w:pPr>
        <w:pStyle w:val="SingleTxtGA"/>
        <w:rPr>
          <w:rFonts w:eastAsiaTheme="minorEastAsia"/>
          <w:lang w:val="ar-SA" w:eastAsia="zh-TW" w:bidi="en-GB"/>
        </w:rPr>
      </w:pPr>
      <w:r w:rsidRPr="00C71912">
        <w:rPr>
          <w:rFonts w:eastAsiaTheme="minorEastAsia"/>
          <w:rtl/>
        </w:rPr>
        <w:t>2-4</w:t>
      </w:r>
      <w:r w:rsidRPr="00C71912">
        <w:rPr>
          <w:rFonts w:eastAsiaTheme="minorEastAsia"/>
          <w:rtl/>
        </w:rPr>
        <w:tab/>
        <w:t xml:space="preserve">وفي 5 آذار/مارس 2015، رفضت محكمة </w:t>
      </w:r>
      <w:proofErr w:type="spellStart"/>
      <w:r w:rsidRPr="00C71912">
        <w:rPr>
          <w:rFonts w:eastAsiaTheme="minorEastAsia"/>
          <w:rtl/>
        </w:rPr>
        <w:t>لينينسكي</w:t>
      </w:r>
      <w:proofErr w:type="spellEnd"/>
      <w:r w:rsidRPr="00C71912">
        <w:rPr>
          <w:rFonts w:eastAsiaTheme="minorEastAsia"/>
          <w:rtl/>
        </w:rPr>
        <w:t xml:space="preserve"> المحلية ادعاءات صاحبة البلاغ لعدم الاختصاص. ورأت المحكمة أنها محكمة مدنية، ومن ثم، فهي لا تملك الاختصاص القضائي للبت في موضوع الدعوى التي رفضتها صاحبة البلاغ وطعنها في رفض محكمة </w:t>
      </w:r>
      <w:proofErr w:type="spellStart"/>
      <w:r w:rsidRPr="00C71912">
        <w:rPr>
          <w:rFonts w:eastAsiaTheme="minorEastAsia"/>
          <w:rtl/>
        </w:rPr>
        <w:t>غرودنو</w:t>
      </w:r>
      <w:proofErr w:type="spellEnd"/>
      <w:r w:rsidRPr="00C71912">
        <w:rPr>
          <w:rFonts w:eastAsiaTheme="minorEastAsia"/>
          <w:rtl/>
        </w:rPr>
        <w:t xml:space="preserve"> الإقليمية تقديم معلومات عن وقت وفاة ابنها ومكان دفنه. وفيما يتعلق بالدعوى المرفوعة ضد إدارة السجون الحكومية، قضت المحكمة بأنها لا تملك الاختصاص الإقليمي للبت في دعوى صاحب البلاغ، لأن الإدارة تقع في مينسك </w:t>
      </w:r>
      <w:r w:rsidRPr="00C71912">
        <w:rPr>
          <w:rFonts w:eastAsiaTheme="minorEastAsia"/>
          <w:rtl/>
        </w:rPr>
        <w:lastRenderedPageBreak/>
        <w:t>وينبغي رفع أي دعوى ضدها أمام محكمة محلية مختصة في مينسك. ورأت المحكمة أيضاً أنها سبق أن ردت الدعويين الأوليين اللتين رفعتهما صاحبة البلاغ، ومن ثم، فلا توجد أي أسباب أخرى تدعوها للشروع في النظر في الدعوى الأخيرة التي رفعتها صاحبة البلاغ فيما يخص المادة 175 من القانون التنفيذي الجنائي أو لإحالتها إلى المحكمة العليا للبت في دستوريتها.</w:t>
      </w:r>
    </w:p>
    <w:p w14:paraId="7D42B922" w14:textId="23E72B0C" w:rsidR="00F23C25" w:rsidRPr="00C71912" w:rsidRDefault="00F23C25" w:rsidP="00F23C25">
      <w:pPr>
        <w:pStyle w:val="SingleTxtGA"/>
        <w:rPr>
          <w:rFonts w:eastAsiaTheme="minorEastAsia"/>
          <w:lang w:val="ar-SA" w:eastAsia="zh-TW" w:bidi="en-GB"/>
        </w:rPr>
      </w:pPr>
      <w:r w:rsidRPr="00C71912">
        <w:rPr>
          <w:rFonts w:eastAsiaTheme="minorEastAsia"/>
          <w:rtl/>
        </w:rPr>
        <w:t>2-5</w:t>
      </w:r>
      <w:r w:rsidRPr="00C71912">
        <w:rPr>
          <w:rFonts w:eastAsiaTheme="minorEastAsia"/>
          <w:rtl/>
        </w:rPr>
        <w:tab/>
        <w:t xml:space="preserve">وفي 12 آذار/مارس 2015، طعنت صاحبة البلاغ في قرار محكمة </w:t>
      </w:r>
      <w:proofErr w:type="spellStart"/>
      <w:r w:rsidRPr="00C71912">
        <w:rPr>
          <w:rFonts w:eastAsiaTheme="minorEastAsia"/>
          <w:rtl/>
        </w:rPr>
        <w:t>لينينسكي</w:t>
      </w:r>
      <w:proofErr w:type="spellEnd"/>
      <w:r w:rsidRPr="00C71912">
        <w:rPr>
          <w:rFonts w:eastAsiaTheme="minorEastAsia"/>
          <w:rtl/>
        </w:rPr>
        <w:t xml:space="preserve"> المحلية أمام المحكمة العليا. وفي تاريخ غير محدد، أحالت المحكمة العليا الطعن إلى محكمة </w:t>
      </w:r>
      <w:proofErr w:type="spellStart"/>
      <w:r w:rsidRPr="00C71912">
        <w:rPr>
          <w:rFonts w:eastAsiaTheme="minorEastAsia"/>
          <w:rtl/>
        </w:rPr>
        <w:t>غرودنو</w:t>
      </w:r>
      <w:proofErr w:type="spellEnd"/>
      <w:r w:rsidRPr="00C71912">
        <w:rPr>
          <w:rFonts w:eastAsiaTheme="minorEastAsia"/>
          <w:rtl/>
        </w:rPr>
        <w:t xml:space="preserve"> الإقليمية. وفي</w:t>
      </w:r>
      <w:r w:rsidRPr="00C71912">
        <w:rPr>
          <w:rFonts w:eastAsiaTheme="minorEastAsia" w:hint="cs"/>
          <w:rtl/>
        </w:rPr>
        <w:t> </w:t>
      </w:r>
      <w:r w:rsidRPr="00C71912">
        <w:rPr>
          <w:rFonts w:eastAsiaTheme="minorEastAsia"/>
          <w:rtl/>
        </w:rPr>
        <w:t xml:space="preserve">15 نيسان/أبريل 2015، أيَّدت محكمة </w:t>
      </w:r>
      <w:proofErr w:type="spellStart"/>
      <w:r w:rsidRPr="00C71912">
        <w:rPr>
          <w:rFonts w:eastAsiaTheme="minorEastAsia"/>
          <w:rtl/>
        </w:rPr>
        <w:t>غرودنو</w:t>
      </w:r>
      <w:proofErr w:type="spellEnd"/>
      <w:r w:rsidRPr="00C71912">
        <w:rPr>
          <w:rFonts w:eastAsiaTheme="minorEastAsia"/>
          <w:rtl/>
        </w:rPr>
        <w:t xml:space="preserve"> الإقليمية قرار محكمة </w:t>
      </w:r>
      <w:proofErr w:type="spellStart"/>
      <w:r w:rsidRPr="00C71912">
        <w:rPr>
          <w:rFonts w:eastAsiaTheme="minorEastAsia"/>
          <w:rtl/>
        </w:rPr>
        <w:t>لينينسكي</w:t>
      </w:r>
      <w:proofErr w:type="spellEnd"/>
      <w:r w:rsidRPr="00C71912">
        <w:rPr>
          <w:rFonts w:eastAsiaTheme="minorEastAsia"/>
          <w:rtl/>
        </w:rPr>
        <w:t xml:space="preserve"> المحلية. </w:t>
      </w:r>
    </w:p>
    <w:p w14:paraId="03C54D09" w14:textId="77777777" w:rsidR="00F23C25" w:rsidRPr="00C71912" w:rsidRDefault="00F23C25" w:rsidP="00F23C25">
      <w:pPr>
        <w:pStyle w:val="SingleTxtGA"/>
        <w:rPr>
          <w:rFonts w:eastAsiaTheme="minorEastAsia"/>
          <w:lang w:val="ar-SA" w:eastAsia="zh-TW" w:bidi="en-GB"/>
        </w:rPr>
      </w:pPr>
      <w:r w:rsidRPr="00C71912">
        <w:rPr>
          <w:rFonts w:eastAsiaTheme="minorEastAsia"/>
          <w:rtl/>
        </w:rPr>
        <w:t>2-6</w:t>
      </w:r>
      <w:r w:rsidRPr="00C71912">
        <w:rPr>
          <w:rFonts w:eastAsiaTheme="minorEastAsia"/>
          <w:rtl/>
        </w:rPr>
        <w:tab/>
        <w:t xml:space="preserve">وفي 10 أيار/مايو 2015، قدمت صاحبة البلاغ طلب مراجعة قضائية إلى رئيس المحكمة العليا. وفي 11 حزيران/يونيه 2015، رفض نائب رئيس المحكمة العليا طلبها. </w:t>
      </w:r>
    </w:p>
    <w:p w14:paraId="4328F32A" w14:textId="07F98106" w:rsidR="00F23C25" w:rsidRPr="00C71912" w:rsidRDefault="00F23C25" w:rsidP="00F23C25">
      <w:pPr>
        <w:pStyle w:val="SingleTxtGA"/>
        <w:rPr>
          <w:rFonts w:eastAsiaTheme="minorEastAsia"/>
          <w:lang w:val="ar-SA" w:eastAsia="zh-TW" w:bidi="en-GB"/>
        </w:rPr>
      </w:pPr>
      <w:r w:rsidRPr="00C71912">
        <w:rPr>
          <w:rFonts w:eastAsiaTheme="minorEastAsia"/>
          <w:rtl/>
        </w:rPr>
        <w:t>2-7</w:t>
      </w:r>
      <w:r w:rsidRPr="00C71912">
        <w:rPr>
          <w:rFonts w:eastAsiaTheme="minorEastAsia"/>
          <w:rtl/>
        </w:rPr>
        <w:tab/>
        <w:t xml:space="preserve">وفي حزيران/يونيه 2015، قدمت صاحبة البلاغ التماسا إلى المدعي العام لمنطقة </w:t>
      </w:r>
      <w:proofErr w:type="spellStart"/>
      <w:r w:rsidRPr="00C71912">
        <w:rPr>
          <w:rFonts w:eastAsiaTheme="minorEastAsia"/>
          <w:rtl/>
        </w:rPr>
        <w:t>غرودنو</w:t>
      </w:r>
      <w:proofErr w:type="spellEnd"/>
      <w:r w:rsidRPr="00C71912">
        <w:rPr>
          <w:rFonts w:eastAsiaTheme="minorEastAsia"/>
          <w:rtl/>
        </w:rPr>
        <w:t xml:space="preserve"> لكي يسمح لها بتقديم طعن في قرار محكمة </w:t>
      </w:r>
      <w:proofErr w:type="spellStart"/>
      <w:r w:rsidRPr="00C71912">
        <w:rPr>
          <w:rFonts w:eastAsiaTheme="minorEastAsia"/>
          <w:rtl/>
        </w:rPr>
        <w:t>غرودنو</w:t>
      </w:r>
      <w:proofErr w:type="spellEnd"/>
      <w:r w:rsidRPr="00C71912">
        <w:rPr>
          <w:rFonts w:eastAsiaTheme="minorEastAsia"/>
          <w:rtl/>
        </w:rPr>
        <w:t xml:space="preserve"> الإقليمية المؤرخ 15 نيسان/أبريل 201</w:t>
      </w:r>
      <w:r w:rsidRPr="00C71912">
        <w:rPr>
          <w:rFonts w:eastAsiaTheme="minorEastAsia"/>
          <w:color w:val="000000"/>
          <w:rtl/>
        </w:rPr>
        <w:t xml:space="preserve">5. </w:t>
      </w:r>
      <w:r w:rsidRPr="00C71912">
        <w:rPr>
          <w:rFonts w:eastAsiaTheme="minorEastAsia"/>
          <w:rtl/>
        </w:rPr>
        <w:t>وفي 7 تموز/</w:t>
      </w:r>
      <w:r w:rsidR="00A305F1" w:rsidRPr="00C71912">
        <w:rPr>
          <w:rFonts w:eastAsiaTheme="minorEastAsia" w:hint="cs"/>
          <w:rtl/>
        </w:rPr>
        <w:t xml:space="preserve"> </w:t>
      </w:r>
      <w:r w:rsidRPr="00C71912">
        <w:rPr>
          <w:rFonts w:eastAsiaTheme="minorEastAsia"/>
          <w:rtl/>
        </w:rPr>
        <w:t xml:space="preserve">يوليه 2015، أرسل المدعي العام رسالة إلى صاحبة البلاغ يبلغها فيها بموافقته على قرار محكمة </w:t>
      </w:r>
      <w:proofErr w:type="spellStart"/>
      <w:r w:rsidRPr="00C71912">
        <w:rPr>
          <w:rFonts w:eastAsiaTheme="minorEastAsia"/>
          <w:rtl/>
        </w:rPr>
        <w:t>غرودنو</w:t>
      </w:r>
      <w:proofErr w:type="spellEnd"/>
      <w:r w:rsidR="00792812" w:rsidRPr="00C71912">
        <w:rPr>
          <w:rFonts w:eastAsiaTheme="minorEastAsia" w:hint="cs"/>
          <w:rtl/>
        </w:rPr>
        <w:t> </w:t>
      </w:r>
      <w:r w:rsidRPr="00C71912">
        <w:rPr>
          <w:rFonts w:eastAsiaTheme="minorEastAsia"/>
          <w:rtl/>
        </w:rPr>
        <w:t>الإقليمية.</w:t>
      </w:r>
    </w:p>
    <w:p w14:paraId="15056222" w14:textId="77777777" w:rsidR="00F23C25" w:rsidRPr="00C71912" w:rsidRDefault="00F23C25" w:rsidP="00F23C25">
      <w:pPr>
        <w:pStyle w:val="SingleTxtGA"/>
        <w:rPr>
          <w:rFonts w:eastAsiaTheme="minorEastAsia"/>
          <w:lang w:val="ar-SA" w:eastAsia="zh-TW" w:bidi="en-GB"/>
        </w:rPr>
      </w:pPr>
      <w:r w:rsidRPr="00C71912">
        <w:rPr>
          <w:rFonts w:eastAsiaTheme="minorEastAsia"/>
          <w:rtl/>
        </w:rPr>
        <w:t>2-8</w:t>
      </w:r>
      <w:r w:rsidRPr="00C71912">
        <w:rPr>
          <w:rFonts w:eastAsiaTheme="minorEastAsia"/>
          <w:rtl/>
        </w:rPr>
        <w:tab/>
        <w:t>وقدمت صاحبة البلاغ، إلى جانب دعاوى الاستئناف التي رفعتها أمام المحاكم المحلية، شكاوى والتماسات إضافية إلى المحكمة الدستورية والبرلمان ومكتب رئيس الجمهورية ومجلس الوزراء، تطلب فيها الشروع في إعادة النظر في دستورية المادة 175 من القانون التنفيذي الجنائي. غير أن تلك الجهات رفضت جميع طلباتها أو تجاهلتها.</w:t>
      </w:r>
    </w:p>
    <w:p w14:paraId="0A927DF5" w14:textId="77777777" w:rsidR="00F23C25" w:rsidRPr="00C71912" w:rsidRDefault="00F23C25" w:rsidP="00F23C25">
      <w:pPr>
        <w:pStyle w:val="SingleTxtGA"/>
        <w:rPr>
          <w:rFonts w:eastAsiaTheme="minorEastAsia"/>
          <w:lang w:val="ar-SA" w:eastAsia="zh-TW" w:bidi="en-GB"/>
        </w:rPr>
      </w:pPr>
      <w:r w:rsidRPr="00C71912">
        <w:rPr>
          <w:rFonts w:eastAsiaTheme="minorEastAsia"/>
          <w:rtl/>
        </w:rPr>
        <w:t>2-9</w:t>
      </w:r>
      <w:r w:rsidRPr="00C71912">
        <w:rPr>
          <w:rFonts w:eastAsiaTheme="minorEastAsia"/>
          <w:rtl/>
        </w:rPr>
        <w:tab/>
        <w:t>وتدفع صاحبة البلاغ بأنها استنفدت، من ثم، جميع سبل الانتصاف المحلية الفعالة.</w:t>
      </w:r>
    </w:p>
    <w:p w14:paraId="30F6DE0C" w14:textId="77777777" w:rsidR="00F23C25" w:rsidRPr="00C71912" w:rsidRDefault="00F23C25" w:rsidP="00F23C25">
      <w:pPr>
        <w:pStyle w:val="H23GA"/>
        <w:rPr>
          <w:lang w:val="en-US" w:eastAsia="zh-TW" w:bidi="en-GB"/>
        </w:rPr>
      </w:pPr>
      <w:r w:rsidRPr="00C71912">
        <w:rPr>
          <w:rtl/>
        </w:rPr>
        <w:tab/>
      </w:r>
      <w:r w:rsidRPr="00C71912">
        <w:rPr>
          <w:rtl/>
        </w:rPr>
        <w:tab/>
        <w:t>الشكوى</w:t>
      </w:r>
    </w:p>
    <w:p w14:paraId="09B13520" w14:textId="25234C8B" w:rsidR="00F23C25" w:rsidRPr="00C71912" w:rsidRDefault="00F23C25" w:rsidP="00F23C25">
      <w:pPr>
        <w:pStyle w:val="SingleTxtGA"/>
        <w:rPr>
          <w:rFonts w:eastAsiaTheme="minorEastAsia"/>
          <w:lang w:val="ar-SA" w:eastAsia="zh-TW" w:bidi="en-GB"/>
        </w:rPr>
      </w:pPr>
      <w:r w:rsidRPr="00C71912">
        <w:rPr>
          <w:rFonts w:eastAsiaTheme="minorEastAsia"/>
          <w:rtl/>
        </w:rPr>
        <w:t>3-1</w:t>
      </w:r>
      <w:r w:rsidRPr="00C71912">
        <w:rPr>
          <w:rFonts w:eastAsiaTheme="minorEastAsia"/>
          <w:rtl/>
        </w:rPr>
        <w:tab/>
        <w:t>تدعي صاحبة البلاغ أن رفض موافاتها بمعلومات عن وقت وفاة ابنها ومكان قبره، فضل</w:t>
      </w:r>
      <w:r w:rsidR="00A5022A" w:rsidRPr="00C71912">
        <w:rPr>
          <w:rFonts w:eastAsiaTheme="minorEastAsia"/>
          <w:rtl/>
        </w:rPr>
        <w:t xml:space="preserve">اً </w:t>
      </w:r>
      <w:r w:rsidRPr="00C71912">
        <w:rPr>
          <w:rFonts w:eastAsiaTheme="minorEastAsia"/>
          <w:rtl/>
        </w:rPr>
        <w:t>عن تلقيها الملابس التي كان يرتديها في السجن عن طريق البريد، سبب</w:t>
      </w:r>
      <w:r w:rsidR="00A5022A" w:rsidRPr="00C71912">
        <w:rPr>
          <w:rFonts w:eastAsiaTheme="minorEastAsia"/>
          <w:rtl/>
        </w:rPr>
        <w:t xml:space="preserve">اً </w:t>
      </w:r>
      <w:r w:rsidRPr="00C71912">
        <w:rPr>
          <w:rFonts w:eastAsiaTheme="minorEastAsia"/>
          <w:rtl/>
        </w:rPr>
        <w:t>لها وما زالا يسببان لها معاناة وتوتراً نفسيين. وترى أن السرية التي اكتنفت إعدام ابنها ورفض تسليم جثمانه لذويه يشكلان ترهيباً وعقاب</w:t>
      </w:r>
      <w:r w:rsidR="00A5022A" w:rsidRPr="00C71912">
        <w:rPr>
          <w:rFonts w:eastAsiaTheme="minorEastAsia"/>
          <w:rtl/>
        </w:rPr>
        <w:t xml:space="preserve">اً </w:t>
      </w:r>
      <w:r w:rsidRPr="00C71912">
        <w:rPr>
          <w:rFonts w:eastAsiaTheme="minorEastAsia"/>
          <w:rtl/>
        </w:rPr>
        <w:t xml:space="preserve">لأسرته لأنهما يهدفان عمداً إلى ترك أسرته في حالة من عدم اليقين والمعاناة والتوتر النفسيين، وأنهما ينتهكان، من ثم، حقوقها التي تكفلها المادة 7 من العهد. </w:t>
      </w:r>
    </w:p>
    <w:p w14:paraId="6E4FBA07" w14:textId="2C7798EC" w:rsidR="00F23C25" w:rsidRPr="00C71912" w:rsidRDefault="00F23C25" w:rsidP="00F23C25">
      <w:pPr>
        <w:pStyle w:val="SingleTxtGA"/>
        <w:rPr>
          <w:rFonts w:eastAsiaTheme="minorEastAsia"/>
          <w:lang w:val="ar-SA" w:eastAsia="zh-TW" w:bidi="en-GB"/>
        </w:rPr>
      </w:pPr>
      <w:r w:rsidRPr="00C71912">
        <w:rPr>
          <w:rFonts w:eastAsiaTheme="minorEastAsia"/>
          <w:rtl/>
        </w:rPr>
        <w:t>3-2</w:t>
      </w:r>
      <w:r w:rsidRPr="00C71912">
        <w:rPr>
          <w:rFonts w:eastAsiaTheme="minorEastAsia"/>
          <w:rtl/>
        </w:rPr>
        <w:tab/>
        <w:t>وتدعي صاحبة البلاغ أيض</w:t>
      </w:r>
      <w:r w:rsidR="00A5022A" w:rsidRPr="00C71912">
        <w:rPr>
          <w:rFonts w:eastAsiaTheme="minorEastAsia"/>
          <w:rtl/>
        </w:rPr>
        <w:t xml:space="preserve">اً </w:t>
      </w:r>
      <w:r w:rsidRPr="00C71912">
        <w:rPr>
          <w:rFonts w:eastAsiaTheme="minorEastAsia"/>
          <w:rtl/>
        </w:rPr>
        <w:t>أن عدم وجود أي سبل انتصاف فعالة تسمح لها بطلب معلومات من المحاكم المحلية عن وقت إعدام ابنها ومكان قبره يشكل انتهاك</w:t>
      </w:r>
      <w:r w:rsidR="00A5022A" w:rsidRPr="00C71912">
        <w:rPr>
          <w:rFonts w:eastAsiaTheme="minorEastAsia"/>
          <w:rtl/>
        </w:rPr>
        <w:t xml:space="preserve">اً </w:t>
      </w:r>
      <w:r w:rsidRPr="00C71912">
        <w:rPr>
          <w:rFonts w:eastAsiaTheme="minorEastAsia"/>
          <w:rtl/>
        </w:rPr>
        <w:t xml:space="preserve">لأحكام الفقرة 1 من المادة 14 من العهد، مقروءة بالاقتران مع الفقرة 2 من المادة 2 منه. وترى صاحبة البلاغ أنها حرمت من محاكمة عادلة وعلنية أمام محكمة مختصة ومستقلة ومحايدة للبت في حقوقها التي تكفلها المادة 7 من العهد. </w:t>
      </w:r>
    </w:p>
    <w:p w14:paraId="03A0A199" w14:textId="77777777" w:rsidR="00F23C25" w:rsidRPr="00C71912" w:rsidRDefault="00F23C25" w:rsidP="00F23C25">
      <w:pPr>
        <w:pStyle w:val="H23GA"/>
        <w:rPr>
          <w:lang w:val="ar-SA" w:eastAsia="zh-TW" w:bidi="en-GB"/>
        </w:rPr>
      </w:pPr>
      <w:r w:rsidRPr="00C71912">
        <w:rPr>
          <w:rtl/>
        </w:rPr>
        <w:tab/>
      </w:r>
      <w:r w:rsidRPr="00C71912">
        <w:rPr>
          <w:rtl/>
        </w:rPr>
        <w:tab/>
        <w:t>ملاحظات الدولة الطرف بشأن مقبولية البلاغ وأسسه الموضوعية</w:t>
      </w:r>
    </w:p>
    <w:p w14:paraId="44641238" w14:textId="2487799A" w:rsidR="00F23C25" w:rsidRPr="00C71912" w:rsidRDefault="00F23C25" w:rsidP="00F23C25">
      <w:pPr>
        <w:pStyle w:val="SingleTxtGA"/>
        <w:rPr>
          <w:rFonts w:eastAsiaTheme="minorEastAsia"/>
          <w:lang w:val="ar-SA" w:eastAsia="zh-TW" w:bidi="en-GB"/>
        </w:rPr>
      </w:pPr>
      <w:r w:rsidRPr="00C71912">
        <w:rPr>
          <w:rFonts w:eastAsiaTheme="minorEastAsia"/>
          <w:rtl/>
        </w:rPr>
        <w:t>4-1</w:t>
      </w:r>
      <w:r w:rsidRPr="00C71912">
        <w:rPr>
          <w:rFonts w:eastAsiaTheme="minorEastAsia"/>
          <w:rtl/>
        </w:rPr>
        <w:tab/>
        <w:t>قدّمت الدولة الطرف ملاحظاتها بشأن مقبولية البلاغ وأسسه الموضوعية في مذكرة شفوية مؤرخة 27 كانون الأول/ديسمبر 201</w:t>
      </w:r>
      <w:r w:rsidRPr="00C71912">
        <w:rPr>
          <w:rFonts w:eastAsiaTheme="minorEastAsia"/>
          <w:color w:val="000000"/>
          <w:rtl/>
        </w:rPr>
        <w:t xml:space="preserve">6. </w:t>
      </w:r>
      <w:r w:rsidRPr="00C71912">
        <w:rPr>
          <w:rFonts w:eastAsiaTheme="minorEastAsia"/>
          <w:rtl/>
        </w:rPr>
        <w:t xml:space="preserve">وتشير الدولة الطرف إلى أن محكمة </w:t>
      </w:r>
      <w:proofErr w:type="spellStart"/>
      <w:r w:rsidRPr="00C71912">
        <w:rPr>
          <w:rFonts w:eastAsiaTheme="minorEastAsia"/>
          <w:rtl/>
        </w:rPr>
        <w:t>لينينسكي</w:t>
      </w:r>
      <w:proofErr w:type="spellEnd"/>
      <w:r w:rsidRPr="00C71912">
        <w:rPr>
          <w:rFonts w:eastAsiaTheme="minorEastAsia"/>
          <w:rtl/>
        </w:rPr>
        <w:t xml:space="preserve"> المحلية في </w:t>
      </w:r>
      <w:proofErr w:type="spellStart"/>
      <w:r w:rsidRPr="00C71912">
        <w:rPr>
          <w:rFonts w:eastAsiaTheme="minorEastAsia"/>
          <w:rtl/>
        </w:rPr>
        <w:t>غرودنو</w:t>
      </w:r>
      <w:proofErr w:type="spellEnd"/>
      <w:r w:rsidRPr="00C71912">
        <w:rPr>
          <w:rFonts w:eastAsiaTheme="minorEastAsia"/>
          <w:rtl/>
        </w:rPr>
        <w:t xml:space="preserve"> ردت، في 5 آذار/مارس 2015، الدعوى التي رفعتها صاحبة البلاغ لعدم الاختصاص. وتشير أيض</w:t>
      </w:r>
      <w:r w:rsidR="00A5022A" w:rsidRPr="00C71912">
        <w:rPr>
          <w:rFonts w:eastAsiaTheme="minorEastAsia"/>
          <w:rtl/>
        </w:rPr>
        <w:t xml:space="preserve">اً </w:t>
      </w:r>
      <w:r w:rsidRPr="00C71912">
        <w:rPr>
          <w:rFonts w:eastAsiaTheme="minorEastAsia"/>
          <w:rtl/>
        </w:rPr>
        <w:t xml:space="preserve">إلى أن المادة 175 من القانون التنفيذي الجنائي تنظم أوامر إنفاذ أحكام الإعدام وأن هذه إصدار هذه الأوامر هو اختصاص حصري مخول للهيئة المكلفة بإنفاذ أحكام الإعدام. وتؤكد الدولة الطرف أن المحاكم المحلية محقة في ردها الدعوى المدنية التي رفعتها صاحبة البلاغ لأن القواعد الآمرة التي ينص </w:t>
      </w:r>
      <w:r w:rsidRPr="00C71912">
        <w:rPr>
          <w:rFonts w:eastAsiaTheme="minorEastAsia"/>
          <w:rtl/>
        </w:rPr>
        <w:lastRenderedPageBreak/>
        <w:t>عليها القانون التنفيذي الجنائي هي التي تنظم عمليات الإعدام. ووفق</w:t>
      </w:r>
      <w:r w:rsidR="00A5022A" w:rsidRPr="00C71912">
        <w:rPr>
          <w:rFonts w:eastAsiaTheme="minorEastAsia"/>
          <w:rtl/>
        </w:rPr>
        <w:t xml:space="preserve">اً </w:t>
      </w:r>
      <w:r w:rsidRPr="00C71912">
        <w:rPr>
          <w:rFonts w:eastAsiaTheme="minorEastAsia"/>
          <w:rtl/>
        </w:rPr>
        <w:t>للمادة 175 من القانون التنفيذي الجنائي، يجب على إدارة السجون المسؤولة عن إنفاذ أحكام الإعدام أن تخطر المحكمة التي أصدرت الحكم بإنفاذ الحكم، ويجب على المحكمة أن تخطر أحد أقرب أقرباء الشخص الذي نُفِّذ فيه الحكم. ولا</w:t>
      </w:r>
      <w:r w:rsidRPr="00C71912">
        <w:rPr>
          <w:rFonts w:eastAsiaTheme="minorEastAsia" w:hint="cs"/>
          <w:rtl/>
        </w:rPr>
        <w:t> </w:t>
      </w:r>
      <w:r w:rsidRPr="00C71912">
        <w:rPr>
          <w:rFonts w:eastAsiaTheme="minorEastAsia"/>
          <w:rtl/>
        </w:rPr>
        <w:t>يجوز تسليم الجثمان إلى ذويه ولا إبلاغهم بمكان دفنه.</w:t>
      </w:r>
    </w:p>
    <w:p w14:paraId="4E1BCB8E" w14:textId="661234A8" w:rsidR="00F23C25" w:rsidRPr="00C71912" w:rsidRDefault="00F23C25" w:rsidP="00F23C25">
      <w:pPr>
        <w:pStyle w:val="SingleTxtGA"/>
        <w:rPr>
          <w:rFonts w:eastAsiaTheme="minorEastAsia"/>
          <w:lang w:val="ar-SA" w:eastAsia="zh-TW" w:bidi="en-GB"/>
        </w:rPr>
      </w:pPr>
      <w:r w:rsidRPr="00C71912">
        <w:rPr>
          <w:rFonts w:eastAsiaTheme="minorEastAsia"/>
          <w:rtl/>
        </w:rPr>
        <w:t>4-2</w:t>
      </w:r>
      <w:r w:rsidRPr="00C71912">
        <w:rPr>
          <w:rFonts w:eastAsiaTheme="minorEastAsia"/>
          <w:rtl/>
        </w:rPr>
        <w:tab/>
        <w:t xml:space="preserve">وتشير الدولة الطرف إلى أن محكمة </w:t>
      </w:r>
      <w:proofErr w:type="spellStart"/>
      <w:r w:rsidRPr="00C71912">
        <w:rPr>
          <w:rFonts w:eastAsiaTheme="minorEastAsia"/>
          <w:rtl/>
        </w:rPr>
        <w:t>غرودنو</w:t>
      </w:r>
      <w:proofErr w:type="spellEnd"/>
      <w:r w:rsidRPr="00C71912">
        <w:rPr>
          <w:rFonts w:eastAsiaTheme="minorEastAsia"/>
          <w:rtl/>
        </w:rPr>
        <w:t xml:space="preserve"> الإقليمية أبلغت صاحبة البلاغ، في 8 أيار/</w:t>
      </w:r>
      <w:r w:rsidR="00A5022A" w:rsidRPr="00C71912">
        <w:rPr>
          <w:rFonts w:eastAsiaTheme="minorEastAsia" w:hint="cs"/>
          <w:rtl/>
        </w:rPr>
        <w:t xml:space="preserve">    </w:t>
      </w:r>
      <w:r w:rsidRPr="00C71912">
        <w:rPr>
          <w:rFonts w:eastAsiaTheme="minorEastAsia"/>
          <w:rtl/>
        </w:rPr>
        <w:t>مايو 2014، بأن ابنها أُعدم. وتدفع بأن الممادة 18 من القانون التنفيذي الجنائي تنص على أن المحاكم لا تشرف إلا على إنفاذ الأحكام الصادرة عنها ولا تتلقى معلومات عن أماكن دفن الأشخاص الذين تنفذ فيهم أحكام الإعدام. وتشير أيض</w:t>
      </w:r>
      <w:r w:rsidR="00A5022A" w:rsidRPr="00C71912">
        <w:rPr>
          <w:rFonts w:eastAsiaTheme="minorEastAsia"/>
          <w:rtl/>
        </w:rPr>
        <w:t xml:space="preserve">اً </w:t>
      </w:r>
      <w:r w:rsidRPr="00C71912">
        <w:rPr>
          <w:rFonts w:eastAsiaTheme="minorEastAsia"/>
          <w:rtl/>
        </w:rPr>
        <w:t xml:space="preserve">إلى أن المحكمة العليا لا تعتبر حظر تسليم الجثمان لذوي الشخص المنفذ فيه حكم الإعدام أو الكشف عن معلومات عن وقت إعدامه ومكان دفنه انتهاكاً بالمعنى المقصود في المادة 7 من العهد. </w:t>
      </w:r>
    </w:p>
    <w:p w14:paraId="1B5CDEEE" w14:textId="77777777" w:rsidR="00F23C25" w:rsidRPr="00C71912" w:rsidRDefault="00F23C25" w:rsidP="00F23C25">
      <w:pPr>
        <w:pStyle w:val="SingleTxtGA"/>
        <w:rPr>
          <w:rFonts w:eastAsiaTheme="minorEastAsia"/>
          <w:lang w:val="ar-SA" w:eastAsia="zh-TW" w:bidi="en-GB"/>
        </w:rPr>
      </w:pPr>
      <w:r w:rsidRPr="00C71912">
        <w:rPr>
          <w:rFonts w:eastAsiaTheme="minorEastAsia"/>
          <w:rtl/>
        </w:rPr>
        <w:t>4-3</w:t>
      </w:r>
      <w:r w:rsidRPr="00C71912">
        <w:rPr>
          <w:rFonts w:eastAsiaTheme="minorEastAsia"/>
          <w:rtl/>
        </w:rPr>
        <w:tab/>
        <w:t>وتحتج الدولة الطرف بأن حق صاحبة البلاغ في محاكمة عادلة وعلنية أمام محكمة مختصة ومستقلة ونزيهة منشأة بموجب القانون مكفول تماماً، شأنه في ذلك شأن حقها في مراجعة القرار الصادر في القضية من جانب محكمة أعلى درجة. وبناء على ذلك، ترى الدولة الطرف أن صاحبة البلاغ لم تقدم أدلة تثبت الادعاء الذي ساقته في إطار الفقرة 1 من المادة 14 من العهد.</w:t>
      </w:r>
    </w:p>
    <w:p w14:paraId="54E109DB" w14:textId="77777777" w:rsidR="00F23C25" w:rsidRPr="00C71912" w:rsidRDefault="00F23C25" w:rsidP="00F23C25">
      <w:pPr>
        <w:pStyle w:val="SingleTxtGA"/>
        <w:rPr>
          <w:rFonts w:eastAsiaTheme="minorEastAsia"/>
          <w:lang w:val="ar-SA" w:eastAsia="zh-TW" w:bidi="en-GB"/>
        </w:rPr>
      </w:pPr>
      <w:r w:rsidRPr="00C71912">
        <w:rPr>
          <w:rFonts w:eastAsiaTheme="minorEastAsia"/>
          <w:rtl/>
        </w:rPr>
        <w:t>4-4</w:t>
      </w:r>
      <w:r w:rsidRPr="00C71912">
        <w:rPr>
          <w:rFonts w:eastAsiaTheme="minorEastAsia"/>
          <w:rtl/>
        </w:rPr>
        <w:tab/>
        <w:t>وتشير الدولة الطرف كذلك إلى أن المادة 439 من قانون الإجراءات المدنية في بيلاروس تجيز تقديم طلب مراجعة قضائية إلى رئيس المحكمة العليا والمدعي العام ونائبيهما. وبما أن صاحبة البلاغ لم تقدم الطلبات اللازمة، فإن الدولة الطرف ترى أنه ينبغي اعتبار بلاغها المقدم إلى اللجنة غير مقبول لعدم استنفاد جميع سبل الانتصاف القانونية المحلية المتاحة.</w:t>
      </w:r>
    </w:p>
    <w:p w14:paraId="5843F5A4" w14:textId="77777777" w:rsidR="00F23C25" w:rsidRPr="00C71912" w:rsidRDefault="00F23C25" w:rsidP="00F23C25">
      <w:pPr>
        <w:pStyle w:val="H23GA"/>
        <w:rPr>
          <w:lang w:val="ar-SA" w:eastAsia="zh-TW" w:bidi="en-GB"/>
        </w:rPr>
      </w:pPr>
      <w:r w:rsidRPr="00C71912">
        <w:rPr>
          <w:rtl/>
        </w:rPr>
        <w:tab/>
      </w:r>
      <w:r w:rsidRPr="00C71912">
        <w:rPr>
          <w:rtl/>
        </w:rPr>
        <w:tab/>
        <w:t>تعليقات صاحبة البلاغ على ملاحظات الدولة الطرف بشأن مقبولية البلاغ وأسسه الموضوعية</w:t>
      </w:r>
    </w:p>
    <w:p w14:paraId="423381AD" w14:textId="77777777" w:rsidR="00F23C25" w:rsidRPr="00C71912" w:rsidRDefault="00F23C25" w:rsidP="00F23C25">
      <w:pPr>
        <w:pStyle w:val="SingleTxtGA"/>
        <w:rPr>
          <w:rFonts w:eastAsiaTheme="minorEastAsia"/>
          <w:lang w:val="ar-SA" w:eastAsia="zh-TW" w:bidi="en-GB"/>
        </w:rPr>
      </w:pPr>
      <w:r w:rsidRPr="00C71912">
        <w:rPr>
          <w:rFonts w:eastAsiaTheme="minorEastAsia"/>
          <w:rtl/>
        </w:rPr>
        <w:t>5-1</w:t>
      </w:r>
      <w:r w:rsidRPr="00C71912">
        <w:rPr>
          <w:rFonts w:eastAsiaTheme="minorEastAsia"/>
          <w:rtl/>
        </w:rPr>
        <w:tab/>
        <w:t xml:space="preserve">في 31 كانون الثاني/يناير 2021، قدمت صاحبة البلاغ تعليقاتها على ملاحظات الدولة الطرف. وترفض صاحبة البلاغ تأكيد الدولة الطرف أنها لم تستنفد جميع سبل الانتصاف القانونية المحلية لأنها لم تطلب إلى رئيس المحكمة العليا والمدعي العام استهلال مراجعة قضائية للقرارات الصادرة عن المحاكم المحلية. وتدفع بأن تقديم طلبات إلى رئيس محكمة أو مدع عام لإجراء مراجعة قضائية لقرارات صدرت عن محاكم وأصبحت نافذة وتعتمد على السلطة التقديرية المخولة للقاضي أو المدعي العام هي سبيل انتصاف استثنائي وأنه يجب على الدولة الطرف أن تثبت وجود احتمال معقول أن تتيح هذه الطلبات سبيل انتصاف فعالاً في ملابسات القضية. </w:t>
      </w:r>
    </w:p>
    <w:p w14:paraId="4D028F4E" w14:textId="017991AF" w:rsidR="00F23C25" w:rsidRPr="00C71912" w:rsidRDefault="00F23C25" w:rsidP="00F23C25">
      <w:pPr>
        <w:pStyle w:val="SingleTxtGA"/>
        <w:rPr>
          <w:rFonts w:eastAsiaTheme="minorEastAsia"/>
          <w:lang w:val="ar-SA" w:eastAsia="zh-TW" w:bidi="en-GB"/>
        </w:rPr>
      </w:pPr>
      <w:r w:rsidRPr="00C71912">
        <w:rPr>
          <w:rFonts w:eastAsiaTheme="minorEastAsia"/>
          <w:rtl/>
        </w:rPr>
        <w:t>5-2</w:t>
      </w:r>
      <w:r w:rsidRPr="00C71912">
        <w:rPr>
          <w:rFonts w:eastAsiaTheme="minorEastAsia"/>
          <w:rtl/>
        </w:rPr>
        <w:tab/>
        <w:t>وتشير صاحبة البلاغ إلى أن القانون المحلي لا ينص إلا على استهلال مراجعة قضائية. غير أن القانون لا يتضمن أحكاماً تنص على وقت انتهاء هذا الإجراء وكيفية انتهائه. ويعني هذا عملياً أن شخصاً محكوماً عليه بالإعدام عادةً ما يكتشف أن الطعن الذي قدمه وطلب فيه إجراء مراجعة قضائية قد</w:t>
      </w:r>
      <w:r w:rsidR="00A5022A" w:rsidRPr="00C71912">
        <w:rPr>
          <w:rFonts w:eastAsiaTheme="minorEastAsia" w:hint="cs"/>
          <w:rtl/>
        </w:rPr>
        <w:t> </w:t>
      </w:r>
      <w:r w:rsidRPr="00C71912">
        <w:rPr>
          <w:rFonts w:eastAsiaTheme="minorEastAsia"/>
          <w:rtl/>
        </w:rPr>
        <w:t>رُفِض قبل بضعة دقائق فقط من إعدامه. ولا يُبلغ محامي الشخص وأفراد أسرته بنتيجة الطعن إلا بعد إنفاذ حكم الإعدام. وتنفذ عقوبة الإعدام في سرية تامة، ولا أحد يعرف مسبقاً تاريخ إنفاذ حكم الإعدام، بمن في ذلك السجين المحكوم عليه بالإعدام.</w:t>
      </w:r>
      <w:r w:rsidR="00A5022A" w:rsidRPr="00C71912">
        <w:rPr>
          <w:rFonts w:eastAsiaTheme="minorEastAsia"/>
          <w:rtl/>
        </w:rPr>
        <w:t xml:space="preserve"> </w:t>
      </w:r>
    </w:p>
    <w:p w14:paraId="76408BC8" w14:textId="563C2DDD" w:rsidR="00F23C25" w:rsidRPr="00C71912" w:rsidRDefault="00F23C25" w:rsidP="00F23C25">
      <w:pPr>
        <w:pStyle w:val="SingleTxtGA"/>
        <w:rPr>
          <w:rFonts w:eastAsiaTheme="minorEastAsia"/>
          <w:lang w:val="ar-SA" w:eastAsia="zh-TW" w:bidi="en-GB"/>
        </w:rPr>
      </w:pPr>
      <w:r w:rsidRPr="00C71912">
        <w:rPr>
          <w:rFonts w:eastAsiaTheme="minorEastAsia"/>
          <w:rtl/>
        </w:rPr>
        <w:lastRenderedPageBreak/>
        <w:t>5-3</w:t>
      </w:r>
      <w:r w:rsidRPr="00C71912">
        <w:rPr>
          <w:rFonts w:eastAsiaTheme="minorEastAsia"/>
          <w:rtl/>
        </w:rPr>
        <w:tab/>
        <w:t>وأخير</w:t>
      </w:r>
      <w:r w:rsidR="00A5022A" w:rsidRPr="00C71912">
        <w:rPr>
          <w:rFonts w:eastAsiaTheme="minorEastAsia"/>
          <w:rtl/>
        </w:rPr>
        <w:t xml:space="preserve">اً، </w:t>
      </w:r>
      <w:r w:rsidRPr="00C71912">
        <w:rPr>
          <w:rFonts w:eastAsiaTheme="minorEastAsia"/>
          <w:rtl/>
        </w:rPr>
        <w:t>توجه صاحبة البلاغ انتباه اللجنة إلى أن على الرغم من قراراتها السابقة التي خلصت فيها إلى حدوث انتهاكات لأحكام المادة 7 في قضايا مماثلة</w:t>
      </w:r>
      <w:r w:rsidRPr="00C71912">
        <w:rPr>
          <w:rStyle w:val="FootnoteReference"/>
          <w:rFonts w:eastAsiaTheme="minorEastAsia"/>
          <w:szCs w:val="22"/>
          <w:rtl/>
        </w:rPr>
        <w:t>(</w:t>
      </w:r>
      <w:r w:rsidRPr="00C71912">
        <w:rPr>
          <w:rStyle w:val="FootnoteReference"/>
          <w:rFonts w:eastAsiaTheme="minorEastAsia"/>
          <w:szCs w:val="22"/>
          <w:lang w:val="en-US"/>
        </w:rPr>
        <w:footnoteReference w:id="7"/>
      </w:r>
      <w:r w:rsidR="00F145A6" w:rsidRPr="00C71912">
        <w:rPr>
          <w:rFonts w:eastAsiaTheme="minorEastAsia" w:hint="cs"/>
          <w:vertAlign w:val="superscript"/>
          <w:rtl/>
        </w:rPr>
        <w:t>)</w:t>
      </w:r>
      <w:r w:rsidRPr="00C71912">
        <w:rPr>
          <w:rFonts w:eastAsiaTheme="minorEastAsia"/>
          <w:rtl/>
        </w:rPr>
        <w:t>، فإن الدولة الطرف لم تغير تشريعاتها أو</w:t>
      </w:r>
      <w:r w:rsidR="00A5022A" w:rsidRPr="00C71912">
        <w:rPr>
          <w:rFonts w:eastAsiaTheme="minorEastAsia" w:hint="cs"/>
          <w:rtl/>
        </w:rPr>
        <w:t> </w:t>
      </w:r>
      <w:r w:rsidRPr="00C71912">
        <w:rPr>
          <w:rFonts w:eastAsiaTheme="minorEastAsia"/>
          <w:rtl/>
        </w:rPr>
        <w:t>ممارساتها فيما يتعلق بإعدام السجناء المحكوم عليهم بالإعدام ومعاملة أفراد أسرهم.</w:t>
      </w:r>
    </w:p>
    <w:p w14:paraId="253F7FCE" w14:textId="77777777" w:rsidR="00F23C25" w:rsidRPr="00C71912" w:rsidRDefault="00F23C25" w:rsidP="00F23C25">
      <w:pPr>
        <w:pStyle w:val="SingleTxtGA"/>
        <w:rPr>
          <w:rFonts w:eastAsiaTheme="minorEastAsia"/>
          <w:lang w:val="ar-SA" w:eastAsia="zh-TW" w:bidi="en-GB"/>
        </w:rPr>
      </w:pPr>
      <w:r w:rsidRPr="00C71912">
        <w:rPr>
          <w:rFonts w:eastAsiaTheme="minorEastAsia"/>
          <w:rtl/>
        </w:rPr>
        <w:t>5-4</w:t>
      </w:r>
      <w:r w:rsidRPr="00C71912">
        <w:rPr>
          <w:rFonts w:eastAsiaTheme="minorEastAsia"/>
          <w:rtl/>
        </w:rPr>
        <w:tab/>
        <w:t>وتؤكد صاحبة البلاغ مجدداً أنها استنفدت جميع سبل الانتصاف المحلية المتاحة والفعالة. وتؤكد أنه لا توجد سبل انتصاف قضائية متاحة لها لطلب معلومات عن الوقت المحدد الذي أُعدم فيه ابنها ومكان قبره. وتدفع بأنها لا تزال تعاني من المعاملة القاسية واللاإنسانية وترى أن الحق في اللجوء إلى المحكمة، المنصوص عليه في الفقرة 1 من المادة 14 من العهد، ينبغي أن ينطبق على الدعاوى المتصلة بالمادة 7 من العهد.</w:t>
      </w:r>
    </w:p>
    <w:p w14:paraId="1016B6F7" w14:textId="4AB28C2E" w:rsidR="00F23C25" w:rsidRPr="00C71912" w:rsidRDefault="00F23C25" w:rsidP="00F23C25">
      <w:pPr>
        <w:pStyle w:val="H23GA"/>
        <w:rPr>
          <w:lang w:val="ar-SA" w:eastAsia="zh-TW" w:bidi="en-GB"/>
        </w:rPr>
      </w:pPr>
      <w:r w:rsidRPr="00C71912">
        <w:rPr>
          <w:rtl/>
        </w:rPr>
        <w:tab/>
      </w:r>
      <w:r w:rsidRPr="00C71912">
        <w:rPr>
          <w:rtl/>
        </w:rPr>
        <w:tab/>
        <w:t>المسائل والإجراءات المعروضة على اللجنة</w:t>
      </w:r>
    </w:p>
    <w:p w14:paraId="5275CCE3" w14:textId="77777777" w:rsidR="00F23C25" w:rsidRPr="00C71912" w:rsidRDefault="00F23C25" w:rsidP="00F23C25">
      <w:pPr>
        <w:pStyle w:val="H4GA"/>
        <w:rPr>
          <w:lang w:val="ar-SA" w:eastAsia="zh-TW" w:bidi="en-GB"/>
        </w:rPr>
      </w:pPr>
      <w:r w:rsidRPr="00C71912">
        <w:rPr>
          <w:rtl/>
        </w:rPr>
        <w:tab/>
      </w:r>
      <w:r w:rsidRPr="00C71912">
        <w:rPr>
          <w:rtl/>
        </w:rPr>
        <w:tab/>
        <w:t>النظر في المقبولية</w:t>
      </w:r>
    </w:p>
    <w:p w14:paraId="0C421249" w14:textId="77777777" w:rsidR="00F23C25" w:rsidRPr="00C71912" w:rsidRDefault="00F23C25" w:rsidP="00F23C25">
      <w:pPr>
        <w:pStyle w:val="SingleTxtGA"/>
        <w:rPr>
          <w:rFonts w:eastAsiaTheme="minorEastAsia"/>
          <w:bCs/>
          <w:lang w:val="ar-SA" w:eastAsia="zh-TW" w:bidi="en-GB"/>
        </w:rPr>
      </w:pPr>
      <w:r w:rsidRPr="00C71912">
        <w:rPr>
          <w:rFonts w:eastAsiaTheme="minorEastAsia"/>
          <w:rtl/>
        </w:rPr>
        <w:t>6-1</w:t>
      </w:r>
      <w:r w:rsidRPr="00C71912">
        <w:rPr>
          <w:rFonts w:eastAsiaTheme="minorEastAsia"/>
          <w:rtl/>
        </w:rPr>
        <w:tab/>
        <w:t>قبل النظر في أي ادعاء يرد في بلاغ ما، يتعين على اللجنة أن تقرر، وفقاً للمادة 97 من نظامها الداخلي، ما إذا كان البلاغ مقبولاً أم لا بموجب البروتوكول الاختياري.</w:t>
      </w:r>
    </w:p>
    <w:p w14:paraId="5DC42A9F" w14:textId="77777777" w:rsidR="00F23C25" w:rsidRPr="00C71912" w:rsidRDefault="00F23C25" w:rsidP="00F23C25">
      <w:pPr>
        <w:pStyle w:val="SingleTxtGA"/>
        <w:rPr>
          <w:rFonts w:eastAsiaTheme="minorEastAsia"/>
          <w:lang w:val="ar-SA" w:eastAsia="zh-TW" w:bidi="en-GB"/>
        </w:rPr>
      </w:pPr>
      <w:r w:rsidRPr="00C71912">
        <w:rPr>
          <w:rFonts w:eastAsiaTheme="minorEastAsia"/>
          <w:rtl/>
        </w:rPr>
        <w:t>6-2</w:t>
      </w:r>
      <w:r w:rsidRPr="00C71912">
        <w:rPr>
          <w:rFonts w:eastAsiaTheme="minorEastAsia"/>
          <w:rtl/>
        </w:rPr>
        <w:tab/>
        <w:t xml:space="preserve">وقد تأكدت اللجنة، وفقاً لما تقتضيه المادة 5(2)(أ) من البروتوكول الاختياري، من أن المسألة نفسها ليست قيد البحث في إطار أي إجراء آخر من إجراءات التحقيق الدولي أو التسوية الدولية. </w:t>
      </w:r>
    </w:p>
    <w:p w14:paraId="49A40721" w14:textId="303E765C" w:rsidR="00F23C25" w:rsidRPr="00C71912" w:rsidRDefault="00F23C25" w:rsidP="00F23C25">
      <w:pPr>
        <w:pStyle w:val="SingleTxtGA"/>
        <w:rPr>
          <w:rFonts w:eastAsiaTheme="minorEastAsia"/>
          <w:spacing w:val="-4"/>
          <w:lang w:val="ar-SA" w:eastAsia="zh-TW" w:bidi="en-GB"/>
        </w:rPr>
      </w:pPr>
      <w:r w:rsidRPr="00C71912">
        <w:rPr>
          <w:rFonts w:eastAsiaTheme="minorEastAsia"/>
          <w:rtl/>
        </w:rPr>
        <w:t>6-3</w:t>
      </w:r>
      <w:r w:rsidRPr="00C71912">
        <w:rPr>
          <w:rFonts w:eastAsiaTheme="minorEastAsia"/>
          <w:rtl/>
        </w:rPr>
        <w:tab/>
      </w:r>
      <w:r w:rsidRPr="00C71912">
        <w:rPr>
          <w:rFonts w:eastAsiaTheme="minorEastAsia"/>
          <w:spacing w:val="-4"/>
          <w:rtl/>
        </w:rPr>
        <w:t>وتحيط اللجنة علماً بحجة الدولة الطرف بأن صاحبة البلاغ لم تستنفد جميع سبل الانتصاف المحلية. وتحيط علماً أيضاً بتأكيد صاحبي البلاغ استنفاد جميع سبل الانتصاف المحلية المتاحة والفعالة وأن اللجنة لا</w:t>
      </w:r>
      <w:r w:rsidR="00A5022A" w:rsidRPr="00C71912">
        <w:rPr>
          <w:rFonts w:eastAsiaTheme="minorEastAsia" w:hint="cs"/>
          <w:spacing w:val="-4"/>
          <w:rtl/>
        </w:rPr>
        <w:t> </w:t>
      </w:r>
      <w:r w:rsidRPr="00C71912">
        <w:rPr>
          <w:rFonts w:eastAsiaTheme="minorEastAsia"/>
          <w:spacing w:val="-4"/>
          <w:rtl/>
        </w:rPr>
        <w:t>تعتبر إجراءات المراجعة القضائية سبيل انتصاف فعالاً. وتلاحظ اللجنة أن صاحبة البلاغ قدمت، في 10 أيار/مايو 2015، طلب إجراء مراجعة قضائية إلى رئيس المحكمة العليا، وهو طلب رُفض في 11 حزيران/</w:t>
      </w:r>
      <w:r w:rsidR="00A5022A" w:rsidRPr="00C71912">
        <w:rPr>
          <w:rFonts w:eastAsiaTheme="minorEastAsia" w:hint="cs"/>
          <w:spacing w:val="-4"/>
          <w:rtl/>
        </w:rPr>
        <w:t xml:space="preserve"> </w:t>
      </w:r>
      <w:r w:rsidRPr="00C71912">
        <w:rPr>
          <w:rFonts w:eastAsiaTheme="minorEastAsia"/>
          <w:spacing w:val="-4"/>
          <w:rtl/>
        </w:rPr>
        <w:t>يونيه 201</w:t>
      </w:r>
      <w:r w:rsidRPr="00C71912">
        <w:rPr>
          <w:rFonts w:eastAsiaTheme="minorEastAsia"/>
          <w:color w:val="000000"/>
          <w:spacing w:val="-4"/>
          <w:rtl/>
        </w:rPr>
        <w:t xml:space="preserve">5. </w:t>
      </w:r>
      <w:r w:rsidRPr="00C71912">
        <w:rPr>
          <w:rFonts w:eastAsiaTheme="minorEastAsia"/>
          <w:spacing w:val="-4"/>
          <w:rtl/>
        </w:rPr>
        <w:t>وفي هذا السياق، تذكِّر اللجنة بآرائها السابقة التي رأت فيها أن تقديم طلبات إلى رئيس محكمة لإجراء مراجعة قضائية لقرارات صدرت عن محاكم وأصبحت نافذة وتعتمد على سلطة القاضي التقديرية هي سبيل انتصاف استثنائي وأنه يجب على الدولة الطرف أن تثبت وجود احتمال معقول أن تتيح هذه الطلبات سبيل انتصاف فعالاً في ملابسات القضية</w:t>
      </w:r>
      <w:r w:rsidRPr="00C71912">
        <w:rPr>
          <w:rStyle w:val="FootnoteReference"/>
          <w:rFonts w:eastAsiaTheme="minorEastAsia"/>
          <w:spacing w:val="-4"/>
          <w:szCs w:val="22"/>
          <w:rtl/>
        </w:rPr>
        <w:t>(</w:t>
      </w:r>
      <w:r w:rsidRPr="00C71912">
        <w:rPr>
          <w:rStyle w:val="FootnoteReference"/>
          <w:rFonts w:eastAsiaTheme="minorEastAsia"/>
          <w:spacing w:val="-4"/>
          <w:szCs w:val="22"/>
          <w:lang w:val="en-US"/>
        </w:rPr>
        <w:footnoteReference w:id="8"/>
      </w:r>
      <w:r w:rsidRPr="00C71912">
        <w:rPr>
          <w:rFonts w:eastAsiaTheme="minorEastAsia"/>
          <w:color w:val="000000"/>
          <w:spacing w:val="-4"/>
          <w:vertAlign w:val="superscript"/>
          <w:rtl/>
        </w:rPr>
        <w:t>)</w:t>
      </w:r>
      <w:r w:rsidRPr="00C71912">
        <w:rPr>
          <w:rFonts w:eastAsiaTheme="minorEastAsia"/>
          <w:color w:val="000000"/>
          <w:spacing w:val="-4"/>
          <w:rtl/>
        </w:rPr>
        <w:t xml:space="preserve">. </w:t>
      </w:r>
      <w:r w:rsidRPr="00C71912">
        <w:rPr>
          <w:rFonts w:eastAsiaTheme="minorEastAsia"/>
          <w:spacing w:val="-4"/>
          <w:rtl/>
        </w:rPr>
        <w:t>وبما أن الدولة الطرف لم تقدم أي دليل من هذا القبيل، فإن اللجنة ترى أن أحكام الفقرة 2(ب) من المادة 5 من البروتوكول الاختياري لا تمنعها من النظر في هذا البلاغ.</w:t>
      </w:r>
    </w:p>
    <w:p w14:paraId="34B25003" w14:textId="5D5CDF5D" w:rsidR="00F23C25" w:rsidRPr="00C71912" w:rsidRDefault="00F23C25" w:rsidP="00F23C25">
      <w:pPr>
        <w:pStyle w:val="SingleTxtGA"/>
        <w:rPr>
          <w:rFonts w:eastAsiaTheme="minorEastAsia"/>
          <w:lang w:val="ar-SA" w:eastAsia="zh-TW" w:bidi="en-GB"/>
        </w:rPr>
      </w:pPr>
      <w:r w:rsidRPr="00C71912">
        <w:rPr>
          <w:rFonts w:eastAsiaTheme="minorEastAsia"/>
          <w:rtl/>
        </w:rPr>
        <w:t>6-4</w:t>
      </w:r>
      <w:r w:rsidRPr="00C71912">
        <w:rPr>
          <w:rFonts w:eastAsiaTheme="minorEastAsia"/>
          <w:rtl/>
        </w:rPr>
        <w:tab/>
        <w:t xml:space="preserve">وفي الوقت نفسه، تلاحظ اللجنة أن الدعوى التي رفعتها صاحبة البلاغ رُفعت أمام محكمة </w:t>
      </w:r>
      <w:proofErr w:type="spellStart"/>
      <w:r w:rsidRPr="00C71912">
        <w:rPr>
          <w:rFonts w:eastAsiaTheme="minorEastAsia"/>
          <w:rtl/>
        </w:rPr>
        <w:t>لينينسكي</w:t>
      </w:r>
      <w:proofErr w:type="spellEnd"/>
      <w:r w:rsidRPr="00C71912">
        <w:rPr>
          <w:rFonts w:eastAsiaTheme="minorEastAsia"/>
          <w:rtl/>
        </w:rPr>
        <w:t xml:space="preserve"> المحلية ضد سلطات حكوم</w:t>
      </w:r>
      <w:r w:rsidR="00F145A6" w:rsidRPr="00C71912">
        <w:rPr>
          <w:rFonts w:eastAsiaTheme="minorEastAsia" w:hint="cs"/>
          <w:rtl/>
        </w:rPr>
        <w:t>ية</w:t>
      </w:r>
      <w:r w:rsidRPr="00C71912">
        <w:rPr>
          <w:rFonts w:eastAsiaTheme="minorEastAsia"/>
          <w:rtl/>
        </w:rPr>
        <w:t xml:space="preserve"> شتى، من بينها إدارة السجون الحكومية، التي أرسلت إليها بالبريد ملابس وأحذية ابنها المحكوم عليها بالإعدام والتي ساهمت بالتالي في معاناة صاحبة البلاغ وإجهادها النفسي. وقد رفض هذا الجزء من الدعوى التي رفعتها صاحبة البلاغ لعدم الاختصاص الإقليمي ولا توجد معلومات في ملف القضية معلومات عما إذا كانت صاحبة البلاغ قد حاولت رفع دعوى منفصلة ضد إدارة السجون الحكومية أمام محكمة أخرى أم لا. وعليه، ترى اللجنة أن هذا الجزء من الادعاء الذي ساقته صاحبة البلاغ بموجب </w:t>
      </w:r>
      <w:r w:rsidR="00A34424" w:rsidRPr="00C71912">
        <w:rPr>
          <w:rFonts w:eastAsiaTheme="minorEastAsia" w:hint="cs"/>
          <w:rtl/>
        </w:rPr>
        <w:t>ال</w:t>
      </w:r>
      <w:r w:rsidRPr="00C71912">
        <w:rPr>
          <w:rFonts w:eastAsiaTheme="minorEastAsia"/>
          <w:rtl/>
        </w:rPr>
        <w:t xml:space="preserve">مادة 7 غير مقبول لعدم استنفاد سبل الانتصاف المحلية. </w:t>
      </w:r>
    </w:p>
    <w:p w14:paraId="37B44075" w14:textId="09B59FBF" w:rsidR="00F23C25" w:rsidRPr="00C71912" w:rsidRDefault="00F23C25" w:rsidP="00F23C25">
      <w:pPr>
        <w:pStyle w:val="SingleTxtGA"/>
        <w:rPr>
          <w:rFonts w:eastAsiaTheme="minorEastAsia"/>
          <w:lang w:val="ar-SA" w:eastAsia="zh-TW" w:bidi="en-GB"/>
        </w:rPr>
      </w:pPr>
      <w:r w:rsidRPr="00C71912">
        <w:rPr>
          <w:rFonts w:eastAsiaTheme="minorEastAsia"/>
          <w:rtl/>
        </w:rPr>
        <w:lastRenderedPageBreak/>
        <w:t>6-5</w:t>
      </w:r>
      <w:r w:rsidRPr="00C71912">
        <w:rPr>
          <w:rFonts w:eastAsiaTheme="minorEastAsia"/>
          <w:rtl/>
        </w:rPr>
        <w:tab/>
        <w:t>وتحيط اللجنة علماً بادعاء صاحبة البلاغ انتهاك الدولة الطرف حقوقها المكفولة بموجب الفقرة</w:t>
      </w:r>
      <w:r w:rsidRPr="00C71912">
        <w:rPr>
          <w:rFonts w:eastAsiaTheme="minorEastAsia" w:hint="cs"/>
          <w:rtl/>
        </w:rPr>
        <w:t> </w:t>
      </w:r>
      <w:r w:rsidRPr="00C71912">
        <w:rPr>
          <w:rFonts w:eastAsiaTheme="minorEastAsia"/>
          <w:rtl/>
        </w:rPr>
        <w:t>2 من المادة 2 من العهد، مقروءة بالاقتران مع الفقرة 1 من المادة 14 منه. وتؤكد اللجنة أنه لا</w:t>
      </w:r>
      <w:r w:rsidR="00A5022A" w:rsidRPr="00C71912">
        <w:rPr>
          <w:rFonts w:eastAsiaTheme="minorEastAsia" w:hint="cs"/>
          <w:rtl/>
        </w:rPr>
        <w:t> </w:t>
      </w:r>
      <w:r w:rsidRPr="00C71912">
        <w:rPr>
          <w:rFonts w:eastAsiaTheme="minorEastAsia"/>
          <w:rtl/>
        </w:rPr>
        <w:t>يمكن الاحتجاج بأحكام المادة 2 في ادعاء يرد في بلاغ في إطار البروتوكول الاختياري بالاقتران مع أحكام أخرى من العهد، إلا إذا كان إخلال الدولة الطرف بالتزاماتها بموجب المادة 2 هو السبب الرئيسي في انتهاك منفصل للعهد يؤثر مباشرة في الشخص الذي يُدَّعى أنه ضحية</w:t>
      </w:r>
      <w:r w:rsidRPr="00C71912">
        <w:rPr>
          <w:rStyle w:val="FootnoteReference"/>
          <w:rFonts w:eastAsiaTheme="minorEastAsia"/>
          <w:szCs w:val="22"/>
          <w:rtl/>
        </w:rPr>
        <w:t>(</w:t>
      </w:r>
      <w:r w:rsidRPr="00C71912">
        <w:rPr>
          <w:rStyle w:val="FootnoteReference"/>
          <w:rFonts w:eastAsiaTheme="minorEastAsia"/>
          <w:szCs w:val="22"/>
          <w:lang w:val="en-US"/>
        </w:rPr>
        <w:footnoteReference w:id="9"/>
      </w:r>
      <w:r w:rsidRPr="00C71912">
        <w:rPr>
          <w:rFonts w:eastAsiaTheme="minorEastAsia"/>
          <w:color w:val="000000"/>
          <w:vertAlign w:val="superscript"/>
          <w:rtl/>
        </w:rPr>
        <w:t>)</w:t>
      </w:r>
      <w:r w:rsidRPr="00C71912">
        <w:rPr>
          <w:rFonts w:eastAsiaTheme="minorEastAsia"/>
          <w:color w:val="000000"/>
          <w:rtl/>
        </w:rPr>
        <w:t xml:space="preserve">. </w:t>
      </w:r>
      <w:r w:rsidRPr="00C71912">
        <w:rPr>
          <w:rFonts w:eastAsiaTheme="minorEastAsia"/>
          <w:rtl/>
        </w:rPr>
        <w:t>غير أن اللجنة تلاحظ أن صاحبة البلاغ قد ادعت بالفعل حدوث انتهاك لحقوقها المكفولة بموجب الفقرة 1 من المادة 14، نتيجة لتفسير وتطبيق القوانين المعمول بها في الدولة الطرف، ولا تعتبر اللجنة النظر فيما إذا كانت الدولة الطرف قد انتهكت أيضاً التزاماتها العامة بموجب الفقرة 2 من المادة 2، مقروءة بالاقتران مع الفقرة 1 من المادة 14، أمراً منفصلاً عن النظر في انتهاك حقوق صاحبة البلاغ التي تكفلها الفقرة 1 من المادة 14 من العهد. وبناء على ذلك، ترى اللجنة أن هذا الشق من البلاغ يتعارض مع المادة 2 من العهد، وتعتبره، من ثم، غير مقبول بموجب المادة 3 من البروتوكول الاختياري.</w:t>
      </w:r>
    </w:p>
    <w:p w14:paraId="19199948" w14:textId="77777777" w:rsidR="00F23C25" w:rsidRPr="00C71912" w:rsidRDefault="00F23C25" w:rsidP="00F23C25">
      <w:pPr>
        <w:pStyle w:val="SingleTxtGA"/>
        <w:rPr>
          <w:rFonts w:eastAsiaTheme="minorEastAsia"/>
          <w:spacing w:val="-4"/>
          <w:lang w:val="en-US" w:eastAsia="zh-TW" w:bidi="en-GB"/>
        </w:rPr>
      </w:pPr>
      <w:r w:rsidRPr="00C71912">
        <w:rPr>
          <w:rFonts w:eastAsiaTheme="minorEastAsia"/>
          <w:rtl/>
        </w:rPr>
        <w:t>6-6</w:t>
      </w:r>
      <w:r w:rsidRPr="00C71912">
        <w:rPr>
          <w:rFonts w:eastAsiaTheme="minorEastAsia"/>
          <w:spacing w:val="-4"/>
          <w:rtl/>
        </w:rPr>
        <w:tab/>
        <w:t xml:space="preserve">وترى اللجنة أن صاحبة البلاغ قد أثبتت بما فيه الكفاية، لأغراض المقبولية، بقية ادعاءاتها المتعلقة </w:t>
      </w:r>
      <w:r w:rsidRPr="00C71912">
        <w:rPr>
          <w:rFonts w:eastAsiaTheme="minorEastAsia"/>
          <w:spacing w:val="-6"/>
          <w:rtl/>
        </w:rPr>
        <w:t>بالسرية التي تكتنف وقت إعدام ابنها ومكان قبره وأنها تطرح بذلك مسائل في إطار المادة 7 والفقرة 1 من المادة 14</w:t>
      </w:r>
      <w:r w:rsidRPr="00C71912">
        <w:rPr>
          <w:rFonts w:eastAsiaTheme="minorEastAsia"/>
          <w:spacing w:val="-4"/>
          <w:rtl/>
        </w:rPr>
        <w:t xml:space="preserve"> من العهد. وبناءً على ذلك، تعلن اللجنة مقبولية هذه الادعاءات وتشرع في النظر في الأسس الموضوعية.</w:t>
      </w:r>
    </w:p>
    <w:p w14:paraId="061A0B4B" w14:textId="77777777" w:rsidR="00F23C25" w:rsidRPr="00C71912" w:rsidRDefault="00F23C25" w:rsidP="00F23C25">
      <w:pPr>
        <w:pStyle w:val="H4GA"/>
        <w:rPr>
          <w:lang w:val="ar-SA" w:eastAsia="zh-TW" w:bidi="en-GB"/>
        </w:rPr>
      </w:pPr>
      <w:r w:rsidRPr="00C71912">
        <w:rPr>
          <w:rtl/>
        </w:rPr>
        <w:tab/>
      </w:r>
      <w:r w:rsidRPr="00C71912">
        <w:rPr>
          <w:rtl/>
        </w:rPr>
        <w:tab/>
        <w:t>النظر في الأسس الموضوعية</w:t>
      </w:r>
    </w:p>
    <w:p w14:paraId="302FEF33" w14:textId="77777777" w:rsidR="00F23C25" w:rsidRPr="00C71912" w:rsidRDefault="00F23C25" w:rsidP="00F23C25">
      <w:pPr>
        <w:pStyle w:val="SingleTxtGA"/>
        <w:rPr>
          <w:rFonts w:eastAsiaTheme="minorEastAsia"/>
          <w:lang w:val="ar-SA" w:eastAsia="zh-TW" w:bidi="en-GB"/>
        </w:rPr>
      </w:pPr>
      <w:r w:rsidRPr="00C71912">
        <w:rPr>
          <w:rFonts w:eastAsiaTheme="minorEastAsia"/>
          <w:rtl/>
        </w:rPr>
        <w:t>7-1</w:t>
      </w:r>
      <w:r w:rsidRPr="00C71912">
        <w:rPr>
          <w:rFonts w:eastAsiaTheme="minorEastAsia"/>
          <w:rtl/>
        </w:rPr>
        <w:tab/>
        <w:t>نظرت اللجنة في هذا البلاغ في ضوء جميع المعلومات التي أتاحها لها الطرفان، وفقاً للفقرة 1 من المادة 5 من البروتوكول الاختياري.</w:t>
      </w:r>
    </w:p>
    <w:p w14:paraId="39F83EC9" w14:textId="2044D458" w:rsidR="00F23C25" w:rsidRPr="00C71912" w:rsidRDefault="00F23C25" w:rsidP="00F23C25">
      <w:pPr>
        <w:pStyle w:val="SingleTxtGA"/>
        <w:rPr>
          <w:rFonts w:eastAsiaTheme="minorEastAsia"/>
          <w:lang w:val="ar-SA" w:eastAsia="zh-TW" w:bidi="en-GB"/>
        </w:rPr>
      </w:pPr>
      <w:bookmarkStart w:id="1" w:name="_Hlk90790542"/>
      <w:r w:rsidRPr="00C71912">
        <w:rPr>
          <w:rFonts w:eastAsiaTheme="minorEastAsia"/>
          <w:rtl/>
        </w:rPr>
        <w:t>7-2</w:t>
      </w:r>
      <w:r w:rsidRPr="00C71912">
        <w:rPr>
          <w:rFonts w:eastAsiaTheme="minorEastAsia"/>
          <w:rtl/>
        </w:rPr>
        <w:tab/>
        <w:t>وتحيط اللجنة علم</w:t>
      </w:r>
      <w:r w:rsidR="00A5022A" w:rsidRPr="00C71912">
        <w:rPr>
          <w:rFonts w:eastAsiaTheme="minorEastAsia"/>
          <w:rtl/>
        </w:rPr>
        <w:t xml:space="preserve">اً </w:t>
      </w:r>
      <w:r w:rsidRPr="00C71912">
        <w:rPr>
          <w:rFonts w:eastAsiaTheme="minorEastAsia"/>
          <w:rtl/>
        </w:rPr>
        <w:t>بادعاء صاحبة البلاغ أنها ضحية انتهاك لأحكام المادة 7 من العهد في ضوء معاناتها وإجهادها النفسي الناجمين عن رفض السلطات تقديم معلومات عن وقت وفاة ابنها ومكان دفنه. وتحيط اللجنة علم</w:t>
      </w:r>
      <w:r w:rsidR="00A5022A" w:rsidRPr="00C71912">
        <w:rPr>
          <w:rFonts w:eastAsiaTheme="minorEastAsia"/>
          <w:rtl/>
        </w:rPr>
        <w:t xml:space="preserve">اً </w:t>
      </w:r>
      <w:r w:rsidRPr="00C71912">
        <w:rPr>
          <w:rFonts w:eastAsiaTheme="minorEastAsia"/>
          <w:rtl/>
        </w:rPr>
        <w:t>أيض</w:t>
      </w:r>
      <w:r w:rsidR="00A5022A" w:rsidRPr="00C71912">
        <w:rPr>
          <w:rFonts w:eastAsiaTheme="minorEastAsia"/>
          <w:rtl/>
        </w:rPr>
        <w:t xml:space="preserve">اً </w:t>
      </w:r>
      <w:r w:rsidRPr="00C71912">
        <w:rPr>
          <w:rFonts w:eastAsiaTheme="minorEastAsia"/>
          <w:rtl/>
        </w:rPr>
        <w:t>بدفع الدولة الطرف بأن القانون الساري ينص على عدم إبلاغ أسرة الشخص المحكوم عليه بالإعدام بتاريخ تنفيذ حكم الإعدام مسبقاً وعدم تسليمها جثمانه وعدم الكشف عن مكان قبر السجين الذي نفذ فيه حكم الإعدام.</w:t>
      </w:r>
    </w:p>
    <w:p w14:paraId="038D74E6" w14:textId="4D5C82C0" w:rsidR="00F23C25" w:rsidRPr="00C71912" w:rsidRDefault="00F23C25" w:rsidP="00F23C25">
      <w:pPr>
        <w:pStyle w:val="SingleTxtGA"/>
        <w:rPr>
          <w:rFonts w:eastAsiaTheme="minorEastAsia"/>
          <w:lang w:val="ar-SA" w:eastAsia="zh-TW" w:bidi="en-GB"/>
        </w:rPr>
      </w:pPr>
      <w:r w:rsidRPr="00C71912">
        <w:rPr>
          <w:rFonts w:eastAsiaTheme="minorEastAsia"/>
          <w:rtl/>
        </w:rPr>
        <w:t>7-3</w:t>
      </w:r>
      <w:r w:rsidRPr="00C71912">
        <w:rPr>
          <w:rFonts w:eastAsiaTheme="minorEastAsia"/>
          <w:rtl/>
        </w:rPr>
        <w:tab/>
        <w:t>وتذكر اللجنة بما جاء في تعليقها العام رقم 36(201</w:t>
      </w:r>
      <w:r w:rsidRPr="00C71912">
        <w:rPr>
          <w:rFonts w:eastAsiaTheme="minorEastAsia"/>
          <w:color w:val="000000"/>
          <w:rtl/>
        </w:rPr>
        <w:t xml:space="preserve">8) </w:t>
      </w:r>
      <w:r w:rsidRPr="00C71912">
        <w:rPr>
          <w:rFonts w:eastAsiaTheme="minorEastAsia"/>
          <w:rtl/>
        </w:rPr>
        <w:t>من أن عدم تقديم معلومات إلى أقارب شخص ما عن ملابسات وفاته قد يشكل انتهاكاً لحقوقهم المكفولة بموجب المادة 7، شأنه في ذلك شأن عدم إخبارهم بمكان وجود الجثة، وبالموعد الذي تعتزم الدولة الطرف أن تنفذ فيه عقوبة الإعدام، في حالة الحكم بها. وينبغي أن تتاح لأقارب الأشخاص الذين حرمتهم الدولة من الحياة إمكانية استرداد رفاته، إن رغبوا في ذلك</w:t>
      </w:r>
      <w:r w:rsidRPr="00C71912">
        <w:rPr>
          <w:rStyle w:val="FootnoteReference"/>
          <w:rFonts w:eastAsiaTheme="minorEastAsia"/>
          <w:szCs w:val="22"/>
          <w:rtl/>
        </w:rPr>
        <w:t>(</w:t>
      </w:r>
      <w:r w:rsidRPr="00C71912">
        <w:rPr>
          <w:rStyle w:val="FootnoteReference"/>
          <w:rFonts w:eastAsiaTheme="minorEastAsia"/>
          <w:szCs w:val="22"/>
          <w:lang w:val="en-US"/>
        </w:rPr>
        <w:footnoteReference w:id="10"/>
      </w:r>
      <w:r w:rsidRPr="00C71912">
        <w:rPr>
          <w:rFonts w:eastAsiaTheme="minorEastAsia"/>
          <w:color w:val="000000"/>
          <w:vertAlign w:val="superscript"/>
          <w:rtl/>
        </w:rPr>
        <w:t>)</w:t>
      </w:r>
      <w:r w:rsidRPr="00C71912">
        <w:rPr>
          <w:rFonts w:eastAsiaTheme="minorEastAsia"/>
          <w:color w:val="000000"/>
          <w:rtl/>
        </w:rPr>
        <w:t xml:space="preserve">. </w:t>
      </w:r>
      <w:r w:rsidRPr="00C71912">
        <w:rPr>
          <w:rFonts w:eastAsiaTheme="minorEastAsia"/>
          <w:rtl/>
        </w:rPr>
        <w:t>وتتفهم اللجنة استمرار شعور صاحبة البلاغ بالكرب وبالإجهاد النفسي بصفتها والدة سجين مدان، وهو شعور سببته لها حالة عدم اليقين المستمرة من ملابسات إعدامه ومكان قبره. وترى اللجنة أن السرية التامة التي تكتنف تاريخ إعدامه ومكان قبره، فضل</w:t>
      </w:r>
      <w:r w:rsidR="00A5022A" w:rsidRPr="00C71912">
        <w:rPr>
          <w:rFonts w:eastAsiaTheme="minorEastAsia"/>
          <w:rtl/>
        </w:rPr>
        <w:t xml:space="preserve">اً </w:t>
      </w:r>
      <w:r w:rsidRPr="00C71912">
        <w:rPr>
          <w:rFonts w:eastAsiaTheme="minorEastAsia"/>
          <w:rtl/>
        </w:rPr>
        <w:t>عن رفض تسليم الجثمان لدفنه، تهدف إلى ترهيب أسرته أو معاقبتها بتعمد تركها في حالة من عدم اليقين والأسرة أو معاقبتها بتركها عمد</w:t>
      </w:r>
      <w:r w:rsidR="00A5022A" w:rsidRPr="00C71912">
        <w:rPr>
          <w:rFonts w:eastAsiaTheme="minorEastAsia"/>
          <w:rtl/>
        </w:rPr>
        <w:t xml:space="preserve">اً </w:t>
      </w:r>
      <w:r w:rsidRPr="00C71912">
        <w:rPr>
          <w:rFonts w:eastAsiaTheme="minorEastAsia"/>
          <w:rtl/>
        </w:rPr>
        <w:t>في حالة من عدم اليقين والمعاناة النفسية</w:t>
      </w:r>
      <w:r w:rsidRPr="00C71912">
        <w:rPr>
          <w:rStyle w:val="FootnoteReference"/>
          <w:rFonts w:eastAsiaTheme="minorEastAsia"/>
          <w:szCs w:val="22"/>
          <w:rtl/>
        </w:rPr>
        <w:t>(</w:t>
      </w:r>
      <w:r w:rsidRPr="00C71912">
        <w:rPr>
          <w:rStyle w:val="FootnoteReference"/>
          <w:rFonts w:eastAsiaTheme="minorEastAsia"/>
          <w:szCs w:val="22"/>
          <w:lang w:val="en-US"/>
        </w:rPr>
        <w:footnoteReference w:id="11"/>
      </w:r>
      <w:r w:rsidRPr="00C71912">
        <w:rPr>
          <w:rFonts w:eastAsiaTheme="minorEastAsia" w:hint="cs"/>
          <w:vertAlign w:val="superscript"/>
          <w:rtl/>
        </w:rPr>
        <w:t>)</w:t>
      </w:r>
      <w:r w:rsidRPr="00C71912">
        <w:rPr>
          <w:rFonts w:eastAsiaTheme="minorEastAsia"/>
          <w:rtl/>
        </w:rPr>
        <w:t>. وبناء على ذلك، تخلص اللجنة إلى أن هذه الوقائع تعد ضرباً من ضروب المعاملة اللاإنسانية لصاحبة البلاغ، مما يشكل انتهاكاً لأحكام المادة 7 من العهد.</w:t>
      </w:r>
    </w:p>
    <w:bookmarkEnd w:id="1"/>
    <w:p w14:paraId="64CA40CB" w14:textId="31C6CB53" w:rsidR="00F23C25" w:rsidRPr="00C71912" w:rsidRDefault="00F23C25" w:rsidP="00F23C25">
      <w:pPr>
        <w:pStyle w:val="SingleTxtGA"/>
        <w:rPr>
          <w:rFonts w:eastAsiaTheme="minorEastAsia"/>
          <w:lang w:val="ar-SA" w:eastAsia="zh-TW" w:bidi="en-GB"/>
        </w:rPr>
      </w:pPr>
      <w:r w:rsidRPr="00C71912">
        <w:rPr>
          <w:rFonts w:eastAsiaTheme="minorEastAsia"/>
          <w:rtl/>
        </w:rPr>
        <w:lastRenderedPageBreak/>
        <w:t>7-4</w:t>
      </w:r>
      <w:r w:rsidRPr="00C71912">
        <w:rPr>
          <w:rFonts w:eastAsiaTheme="minorEastAsia"/>
          <w:rtl/>
        </w:rPr>
        <w:tab/>
        <w:t>وتحيط اللجنة علم</w:t>
      </w:r>
      <w:r w:rsidR="00A5022A" w:rsidRPr="00C71912">
        <w:rPr>
          <w:rFonts w:eastAsiaTheme="minorEastAsia"/>
          <w:rtl/>
        </w:rPr>
        <w:t xml:space="preserve">اً </w:t>
      </w:r>
      <w:r w:rsidRPr="00C71912">
        <w:rPr>
          <w:rFonts w:eastAsiaTheme="minorEastAsia"/>
          <w:rtl/>
        </w:rPr>
        <w:t>أيض</w:t>
      </w:r>
      <w:r w:rsidR="00A5022A" w:rsidRPr="00C71912">
        <w:rPr>
          <w:rFonts w:eastAsiaTheme="minorEastAsia"/>
          <w:rtl/>
        </w:rPr>
        <w:t xml:space="preserve">اً </w:t>
      </w:r>
      <w:r w:rsidRPr="00C71912">
        <w:rPr>
          <w:rFonts w:eastAsiaTheme="minorEastAsia"/>
          <w:rtl/>
        </w:rPr>
        <w:t>بادعاء صاحبة البلاغ أن عدم وجود أي سبل انتصاف فعالة تسمح لها بطلب معلومات من المحاكم المحلية عن وقت إعدام ابنها ومكان قبره يشكل انتهاك</w:t>
      </w:r>
      <w:r w:rsidR="00A5022A" w:rsidRPr="00C71912">
        <w:rPr>
          <w:rFonts w:eastAsiaTheme="minorEastAsia"/>
          <w:rtl/>
        </w:rPr>
        <w:t xml:space="preserve">اً </w:t>
      </w:r>
      <w:r w:rsidRPr="00C71912">
        <w:rPr>
          <w:rFonts w:eastAsiaTheme="minorEastAsia"/>
          <w:rtl/>
        </w:rPr>
        <w:t>لأحكام الفقرة 1 من المادة 14 من العهد. وتحيط اللجنة علم</w:t>
      </w:r>
      <w:r w:rsidR="00A5022A" w:rsidRPr="00C71912">
        <w:rPr>
          <w:rFonts w:eastAsiaTheme="minorEastAsia"/>
          <w:rtl/>
        </w:rPr>
        <w:t xml:space="preserve">اً </w:t>
      </w:r>
      <w:r w:rsidRPr="00C71912">
        <w:rPr>
          <w:rFonts w:eastAsiaTheme="minorEastAsia"/>
          <w:rtl/>
        </w:rPr>
        <w:t>أيض</w:t>
      </w:r>
      <w:r w:rsidR="00A5022A" w:rsidRPr="00C71912">
        <w:rPr>
          <w:rFonts w:eastAsiaTheme="minorEastAsia"/>
          <w:rtl/>
        </w:rPr>
        <w:t xml:space="preserve">اً </w:t>
      </w:r>
      <w:r w:rsidRPr="00C71912">
        <w:rPr>
          <w:rFonts w:eastAsiaTheme="minorEastAsia"/>
          <w:rtl/>
        </w:rPr>
        <w:t xml:space="preserve">بحجة الدولة الطرف أن حق صاحب البلاغ في محاكمة عادلة وعلنية أمام محكمة مختصة ومستقلة ومحايدة منشأة بموجب القانون مكفول تماماً. غير أنها تلاحظ أن محكمة </w:t>
      </w:r>
      <w:proofErr w:type="spellStart"/>
      <w:r w:rsidRPr="00C71912">
        <w:rPr>
          <w:rFonts w:eastAsiaTheme="minorEastAsia"/>
          <w:rtl/>
        </w:rPr>
        <w:t>لينينسكي</w:t>
      </w:r>
      <w:proofErr w:type="spellEnd"/>
      <w:r w:rsidRPr="00C71912">
        <w:rPr>
          <w:rFonts w:eastAsiaTheme="minorEastAsia"/>
          <w:rtl/>
        </w:rPr>
        <w:t xml:space="preserve"> المحلية ردَّت الدعوى المدنية التي رفعتها صاحبة البلاغ لعدم الاختصاص. وفي الوقت نفسه، لم ترد الدولة الطرف على ادعاء صاحبة البلاغ بتقديم أي معلومات عن أي سبيل انتصاف قضائي فعال آخر كان يمكن أن يكون متاحاً لصاحبة البلاغ. وتذكِّر اللجنة بما جاء في تعليقها العام رقم 32(200</w:t>
      </w:r>
      <w:r w:rsidRPr="00C71912">
        <w:rPr>
          <w:rFonts w:eastAsiaTheme="minorEastAsia"/>
          <w:color w:val="000000"/>
          <w:rtl/>
        </w:rPr>
        <w:t xml:space="preserve">7) </w:t>
      </w:r>
      <w:r w:rsidRPr="00C71912">
        <w:rPr>
          <w:rFonts w:eastAsiaTheme="minorEastAsia"/>
          <w:rtl/>
        </w:rPr>
        <w:t>من أن عدم قيام إحدى الدول الأطراف بإنشاء هيئة قضائية مختصة للفصل في الحقوق والالتزامات في دعوى مدنية أو عدم قيامها بالتمكين من الوصول إلى هذه الهيئات القضائية في دعاوى معينة، يشكل انتهاكاً للمادة 1</w:t>
      </w:r>
      <w:r w:rsidRPr="00C71912">
        <w:rPr>
          <w:rFonts w:eastAsiaTheme="minorEastAsia"/>
          <w:color w:val="000000"/>
          <w:rtl/>
        </w:rPr>
        <w:t xml:space="preserve">4. </w:t>
      </w:r>
      <w:r w:rsidRPr="00C71912">
        <w:rPr>
          <w:rFonts w:eastAsiaTheme="minorEastAsia"/>
          <w:rtl/>
        </w:rPr>
        <w:t>وذلك إذا كانت هذه القيود لا تستند إلى تشريعات محلية، أو غير ضرورية لمتابعة تحقيق أهداف مشروعة مثل إقامة العدل كما ينبغي، أو إذا كانت تقوم</w:t>
      </w:r>
      <w:r w:rsidR="00A5022A" w:rsidRPr="00C71912">
        <w:rPr>
          <w:rFonts w:eastAsiaTheme="minorEastAsia" w:hint="cs"/>
          <w:rtl/>
        </w:rPr>
        <w:t> </w:t>
      </w:r>
      <w:r w:rsidRPr="00C71912">
        <w:rPr>
          <w:rFonts w:eastAsiaTheme="minorEastAsia"/>
          <w:rtl/>
        </w:rPr>
        <w:t>على استثناءات من سوابق قضائية مستمدة من القانون الدولي مثل الحصانات، على سبيل المثال، أو إذا كانت إمكانية الوصول المتاحة للفرد محدودة إلى درجة تؤدي إلى تقويض جوهر الحق المكفول</w:t>
      </w:r>
      <w:r w:rsidRPr="00C71912">
        <w:rPr>
          <w:rStyle w:val="FootnoteReference"/>
          <w:rFonts w:eastAsiaTheme="minorEastAsia"/>
          <w:szCs w:val="22"/>
          <w:rtl/>
        </w:rPr>
        <w:t>(</w:t>
      </w:r>
      <w:r w:rsidRPr="00C71912">
        <w:rPr>
          <w:rStyle w:val="FootnoteReference"/>
          <w:rFonts w:eastAsiaTheme="minorEastAsia"/>
          <w:szCs w:val="22"/>
          <w:lang w:val="en-US"/>
        </w:rPr>
        <w:footnoteReference w:id="12"/>
      </w:r>
      <w:r w:rsidRPr="00C71912">
        <w:rPr>
          <w:rFonts w:eastAsiaTheme="minorEastAsia" w:hint="cs"/>
          <w:vertAlign w:val="superscript"/>
          <w:rtl/>
        </w:rPr>
        <w:t>)</w:t>
      </w:r>
      <w:r w:rsidRPr="00C71912">
        <w:rPr>
          <w:rFonts w:eastAsiaTheme="minorEastAsia"/>
          <w:rtl/>
        </w:rPr>
        <w:t>. وبما أن الدولة الطرف لم تقدم أي تفسير في هذا الصدد، تخلص اللجنة إلى أن الوقائع المعروضة عليها تكشف عن حدوث انتهاك لحقوق صاحبة البلاغ التي تكفلها الفقرة 1 من المادة 14 من العهد.</w:t>
      </w:r>
    </w:p>
    <w:p w14:paraId="3E249027" w14:textId="77777777" w:rsidR="00F23C25" w:rsidRPr="00C71912" w:rsidRDefault="00F23C25" w:rsidP="00F23C25">
      <w:pPr>
        <w:pStyle w:val="SingleTxtGA"/>
        <w:rPr>
          <w:rFonts w:eastAsiaTheme="minorEastAsia"/>
          <w:lang w:val="ar-SA" w:eastAsia="zh-TW" w:bidi="en-GB"/>
        </w:rPr>
      </w:pPr>
      <w:r w:rsidRPr="00C71912">
        <w:rPr>
          <w:rFonts w:eastAsiaTheme="minorEastAsia"/>
          <w:rtl/>
        </w:rPr>
        <w:t>8-</w:t>
      </w:r>
      <w:r w:rsidRPr="00C71912">
        <w:rPr>
          <w:rFonts w:eastAsiaTheme="minorEastAsia"/>
          <w:rtl/>
        </w:rPr>
        <w:tab/>
        <w:t>واللجنة، إذ تتصرف وفقاً للفقرة 4 من المادة 5 من البروتوكول الاختياري، ترى أن المعلومات المعروضة عليها تكشف عن انتهاك الدولة الطرف حقوق صاحبة البلاغ التي تكفلها المادة 7 والفقرة 1 من المادة 14 من العهد.</w:t>
      </w:r>
    </w:p>
    <w:p w14:paraId="1BBAEAEE" w14:textId="5DB8A06F" w:rsidR="00F23C25" w:rsidRPr="00C71912" w:rsidRDefault="00F23C25" w:rsidP="00F23C25">
      <w:pPr>
        <w:pStyle w:val="SingleTxtGA"/>
        <w:rPr>
          <w:rFonts w:eastAsiaTheme="minorEastAsia"/>
          <w:lang w:val="ar-SA" w:eastAsia="zh-TW" w:bidi="en-GB"/>
        </w:rPr>
      </w:pPr>
      <w:r w:rsidRPr="00C71912">
        <w:rPr>
          <w:rFonts w:eastAsiaTheme="minorEastAsia"/>
          <w:rtl/>
        </w:rPr>
        <w:t>9-</w:t>
      </w:r>
      <w:r w:rsidRPr="00C71912">
        <w:rPr>
          <w:rFonts w:eastAsiaTheme="minorEastAsia"/>
          <w:rtl/>
        </w:rPr>
        <w:tab/>
        <w:t>والدولة الطرف ملزمةٌ، بموجب الفقرة 3(أ) من المادة 2 من العهد، بتوفير سبيل انتصاف فعال لصاحبة البلاغ. ويقتضي ذلك منها أن توفر للأفراد الذين انتُهكت حقوقهم التي يكفلها العهد جبراً كاملاً لما أصابهم من ضرر. والدولة ملزمة، في هذه القضية، بأمور من جملتها ما يلي: (أ) تقديم تعويض كاف لصاحبة البلاغ عما تعرّضت له من انتهاكات؛ (ب) الكشف عن معلومات عن موقع دفن ابنها؛ (ج)</w:t>
      </w:r>
      <w:r w:rsidR="00F145A6" w:rsidRPr="00C71912">
        <w:rPr>
          <w:rFonts w:eastAsiaTheme="minorEastAsia" w:hint="cs"/>
          <w:rtl/>
        </w:rPr>
        <w:t> </w:t>
      </w:r>
      <w:r w:rsidRPr="00C71912">
        <w:rPr>
          <w:rFonts w:eastAsiaTheme="minorEastAsia"/>
          <w:rtl/>
        </w:rPr>
        <w:t>تسليم رفات ابنها. والدولة الطرف ملزمة أيض</w:t>
      </w:r>
      <w:r w:rsidR="00A5022A" w:rsidRPr="00C71912">
        <w:rPr>
          <w:rFonts w:eastAsiaTheme="minorEastAsia"/>
          <w:rtl/>
        </w:rPr>
        <w:t xml:space="preserve">اً </w:t>
      </w:r>
      <w:r w:rsidRPr="00C71912">
        <w:rPr>
          <w:rFonts w:eastAsiaTheme="minorEastAsia"/>
          <w:rtl/>
        </w:rPr>
        <w:t>باتخاذ جميع التدابير اللازمة لمنع حدوث انتهاكات مماثلة في المستقبل، ولا سيما عن طريق تعديل القانون التنفيذي الجنائي بغية مواءمته مع التزامات الدولة الطرف بموجب المادة 7 من العهد</w:t>
      </w:r>
      <w:r w:rsidRPr="00C71912">
        <w:rPr>
          <w:rStyle w:val="FootnoteReference"/>
          <w:rFonts w:eastAsiaTheme="minorEastAsia"/>
          <w:szCs w:val="22"/>
          <w:rtl/>
        </w:rPr>
        <w:t>(</w:t>
      </w:r>
      <w:r w:rsidRPr="00C71912">
        <w:rPr>
          <w:rStyle w:val="FootnoteReference"/>
          <w:rFonts w:eastAsiaTheme="minorEastAsia"/>
          <w:szCs w:val="22"/>
          <w:lang w:val="en-US"/>
        </w:rPr>
        <w:footnoteReference w:id="13"/>
      </w:r>
      <w:r w:rsidR="00F145A6" w:rsidRPr="00C71912">
        <w:rPr>
          <w:rFonts w:eastAsiaTheme="minorEastAsia" w:hint="cs"/>
          <w:vertAlign w:val="superscript"/>
          <w:rtl/>
        </w:rPr>
        <w:t>)</w:t>
      </w:r>
      <w:r w:rsidRPr="00C71912">
        <w:rPr>
          <w:rFonts w:eastAsiaTheme="minorEastAsia"/>
          <w:rtl/>
        </w:rPr>
        <w:t xml:space="preserve">. </w:t>
      </w:r>
    </w:p>
    <w:p w14:paraId="6CD3803A" w14:textId="27CD212C" w:rsidR="00F23C25" w:rsidRPr="00C71912" w:rsidRDefault="00F23C25" w:rsidP="00F23C25">
      <w:pPr>
        <w:pStyle w:val="SingleTxtGA"/>
        <w:rPr>
          <w:rFonts w:eastAsiaTheme="minorEastAsia"/>
          <w:lang w:val="ar-SA" w:eastAsia="zh-TW" w:bidi="en-GB"/>
        </w:rPr>
      </w:pPr>
      <w:r w:rsidRPr="00C71912">
        <w:rPr>
          <w:rFonts w:eastAsiaTheme="minorEastAsia"/>
          <w:rtl/>
        </w:rPr>
        <w:t>10-</w:t>
      </w:r>
      <w:r w:rsidRPr="00C71912">
        <w:rPr>
          <w:rFonts w:eastAsiaTheme="minorEastAsia"/>
          <w:rtl/>
        </w:rPr>
        <w:tab/>
        <w:t>واللجنة، إذ تضع في اعتبارها أن الدولة الطرف قد اعترفت، بانضمامها إلى البروتوكول الاختياري، باختصاص اللجنة بالبتّ في مسألة حدوث انتهاك للعهد من عدمه، وأنها تعهدت، عملاً بالمادة</w:t>
      </w:r>
      <w:r w:rsidR="00004E02" w:rsidRPr="00C71912">
        <w:rPr>
          <w:rFonts w:eastAsiaTheme="minorEastAsia" w:hint="eastAsia"/>
          <w:rtl/>
        </w:rPr>
        <w:t> </w:t>
      </w:r>
      <w:r w:rsidRPr="00C71912">
        <w:rPr>
          <w:rFonts w:eastAsiaTheme="minorEastAsia"/>
          <w:rtl/>
        </w:rPr>
        <w:t>2 منه، بأن تكفل تمتع جميع الأفراد داخل إقليمها والخاضعين لولايتها بالحقوق المعترف بها في</w:t>
      </w:r>
      <w:r w:rsidR="00004E02" w:rsidRPr="00C71912">
        <w:rPr>
          <w:rFonts w:eastAsiaTheme="minorEastAsia" w:hint="cs"/>
          <w:rtl/>
        </w:rPr>
        <w:t> </w:t>
      </w:r>
      <w:r w:rsidRPr="00C71912">
        <w:rPr>
          <w:rFonts w:eastAsiaTheme="minorEastAsia"/>
          <w:rtl/>
        </w:rPr>
        <w:t>العهد وتوفر لهم سبل انتصاف فعالة متى ثبت وقوع انتهاك، تودّ أن تتلقى من الدولة الطرف، في</w:t>
      </w:r>
      <w:r w:rsidR="00004E02" w:rsidRPr="00C71912">
        <w:rPr>
          <w:rFonts w:eastAsiaTheme="minorEastAsia" w:hint="cs"/>
          <w:rtl/>
        </w:rPr>
        <w:t> </w:t>
      </w:r>
      <w:r w:rsidRPr="00C71912">
        <w:rPr>
          <w:rFonts w:eastAsiaTheme="minorEastAsia"/>
          <w:rtl/>
        </w:rPr>
        <w:t>غضون</w:t>
      </w:r>
      <w:r w:rsidR="00004E02" w:rsidRPr="00C71912">
        <w:rPr>
          <w:rFonts w:eastAsiaTheme="minorEastAsia" w:hint="cs"/>
          <w:rtl/>
        </w:rPr>
        <w:t xml:space="preserve"> </w:t>
      </w:r>
      <w:r w:rsidRPr="00C71912">
        <w:rPr>
          <w:rFonts w:eastAsiaTheme="minorEastAsia"/>
          <w:rtl/>
        </w:rPr>
        <w:t>180 يوماً، معلومات عما اتخذته من تدابير تنفيذاً لآر</w:t>
      </w:r>
      <w:r w:rsidR="00004E02" w:rsidRPr="00C71912">
        <w:rPr>
          <w:rFonts w:eastAsiaTheme="minorEastAsia" w:hint="cs"/>
          <w:rtl/>
        </w:rPr>
        <w:t>ا</w:t>
      </w:r>
      <w:r w:rsidRPr="00C71912">
        <w:rPr>
          <w:rFonts w:eastAsiaTheme="minorEastAsia"/>
          <w:rtl/>
        </w:rPr>
        <w:t>ء اللجنة. وتطلب اللجنة إلى الدولة الطرف أيضاً أن تنشر هذه الآراء وتوزعها على نطاق واسع باللغة الرسمية للدولة الطرف.</w:t>
      </w:r>
    </w:p>
    <w:bookmarkEnd w:id="0"/>
    <w:p w14:paraId="4566AE2A" w14:textId="0F3448D1" w:rsidR="00F23C25" w:rsidRPr="00C71912" w:rsidRDefault="00F23C25" w:rsidP="00F23C25">
      <w:pPr>
        <w:pStyle w:val="SingleTxtGA"/>
        <w:jc w:val="center"/>
        <w:rPr>
          <w:u w:val="single"/>
          <w:rtl/>
        </w:rPr>
      </w:pPr>
      <w:r w:rsidRPr="00C71912">
        <w:rPr>
          <w:u w:val="single"/>
          <w:rtl/>
        </w:rPr>
        <w:tab/>
      </w:r>
      <w:r w:rsidRPr="00C71912">
        <w:rPr>
          <w:u w:val="single"/>
          <w:rtl/>
        </w:rPr>
        <w:tab/>
      </w:r>
      <w:r w:rsidRPr="00C71912">
        <w:rPr>
          <w:u w:val="single"/>
          <w:rtl/>
        </w:rPr>
        <w:tab/>
      </w:r>
    </w:p>
    <w:sectPr w:rsidR="00F23C25" w:rsidRPr="00C71912" w:rsidSect="009A7C78">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B7053" w14:textId="77777777" w:rsidR="004A642E" w:rsidRPr="002901D9" w:rsidRDefault="004A642E" w:rsidP="00DC4D4B">
      <w:pPr>
        <w:spacing w:after="60" w:line="240" w:lineRule="auto"/>
        <w:ind w:left="57"/>
        <w:rPr>
          <w:i/>
          <w:iCs/>
        </w:rPr>
      </w:pPr>
      <w:r>
        <w:rPr>
          <w:rFonts w:hint="cs"/>
          <w:i/>
          <w:iCs/>
          <w:rtl/>
        </w:rPr>
        <w:t>الحواشي</w:t>
      </w:r>
    </w:p>
  </w:endnote>
  <w:endnote w:type="continuationSeparator" w:id="0">
    <w:p w14:paraId="75358AAC" w14:textId="77777777" w:rsidR="004A642E" w:rsidRDefault="004A642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A107" w14:textId="090B800A" w:rsidR="00B7405C" w:rsidRPr="00B7405C" w:rsidRDefault="00B7405C" w:rsidP="00B7405C">
    <w:pPr>
      <w:pStyle w:val="Footer"/>
      <w:tabs>
        <w:tab w:val="right" w:pos="9638"/>
      </w:tabs>
      <w:rPr>
        <w:b/>
        <w:sz w:val="18"/>
        <w:lang w:val="en-US"/>
      </w:rPr>
    </w:pPr>
    <w:r>
      <w:rPr>
        <w:lang w:val="en-US"/>
      </w:rPr>
      <w:t>GE.22-07167</w:t>
    </w:r>
    <w:r>
      <w:rPr>
        <w:lang w:val="en-US"/>
      </w:rPr>
      <w:tab/>
    </w:r>
    <w:r w:rsidRPr="00B7405C">
      <w:rPr>
        <w:b/>
        <w:sz w:val="18"/>
        <w:lang w:val="en-US"/>
      </w:rPr>
      <w:fldChar w:fldCharType="begin"/>
    </w:r>
    <w:r w:rsidRPr="00B7405C">
      <w:rPr>
        <w:b/>
        <w:sz w:val="18"/>
        <w:lang w:val="en-US"/>
      </w:rPr>
      <w:instrText xml:space="preserve"> PAGE  \* MERGEFORMAT </w:instrText>
    </w:r>
    <w:r w:rsidRPr="00B7405C">
      <w:rPr>
        <w:b/>
        <w:sz w:val="18"/>
        <w:lang w:val="en-US"/>
      </w:rPr>
      <w:fldChar w:fldCharType="separate"/>
    </w:r>
    <w:r w:rsidRPr="00B7405C">
      <w:rPr>
        <w:b/>
        <w:noProof/>
        <w:sz w:val="18"/>
        <w:lang w:val="en-US"/>
      </w:rPr>
      <w:t>2</w:t>
    </w:r>
    <w:r w:rsidRPr="00B7405C">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3C88" w14:textId="4121CA4D" w:rsidR="006959B0" w:rsidRPr="00B7405C" w:rsidRDefault="00B7405C" w:rsidP="00B7405C">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GE.22-07167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BCC78" w14:textId="74F24BFC" w:rsidR="00DE50B1" w:rsidRPr="00B7405C" w:rsidRDefault="00B7405C" w:rsidP="00B7405C">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251380F2" wp14:editId="5DF956E4">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22-07167 (A)</w:t>
    </w:r>
    <w:r>
      <w:rPr>
        <w:noProof/>
        <w:sz w:val="20"/>
        <w:lang w:val="en-US"/>
      </w:rPr>
      <w:drawing>
        <wp:anchor distT="0" distB="0" distL="114300" distR="114300" simplePos="0" relativeHeight="251659264" behindDoc="0" locked="0" layoutInCell="1" allowOverlap="1" wp14:anchorId="64351067" wp14:editId="2DC4F2C8">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42B07" w14:textId="77777777" w:rsidR="004A642E" w:rsidRPr="008A49D2" w:rsidRDefault="004A642E"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46D72333" w14:textId="77777777" w:rsidR="004A642E" w:rsidRDefault="004A642E" w:rsidP="00656392">
      <w:pPr>
        <w:spacing w:line="240" w:lineRule="auto"/>
      </w:pPr>
      <w:r>
        <w:continuationSeparator/>
      </w:r>
    </w:p>
  </w:footnote>
  <w:footnote w:id="1">
    <w:p w14:paraId="7A593A0B" w14:textId="44932A21" w:rsidR="00F23C25" w:rsidRPr="00C71912" w:rsidRDefault="00F23C25" w:rsidP="00F23C25">
      <w:pPr>
        <w:pStyle w:val="FootnoteText1"/>
        <w:rPr>
          <w:rtl/>
        </w:rPr>
      </w:pPr>
      <w:r w:rsidRPr="00C71912">
        <w:rPr>
          <w:sz w:val="20"/>
          <w:szCs w:val="20"/>
          <w:rtl/>
        </w:rPr>
        <w:t>*</w:t>
      </w:r>
      <w:r w:rsidRPr="00C71912">
        <w:rPr>
          <w:rtl/>
        </w:rPr>
        <w:tab/>
        <w:t>اعتمدتها اللجنة في دورتها 134 (28 شباط/فبراير - 25 آذار/مارس 2022</w:t>
      </w:r>
      <w:r w:rsidRPr="00C71912">
        <w:rPr>
          <w:color w:val="000000"/>
          <w:rtl/>
        </w:rPr>
        <w:t xml:space="preserve">). </w:t>
      </w:r>
    </w:p>
  </w:footnote>
  <w:footnote w:id="2">
    <w:p w14:paraId="42326B7F" w14:textId="0778F057" w:rsidR="00F23C25" w:rsidRPr="00C71912" w:rsidRDefault="00F23C25" w:rsidP="00F23C25">
      <w:pPr>
        <w:pStyle w:val="FootnoteText1"/>
        <w:rPr>
          <w:rFonts w:hint="cs"/>
          <w:rtl/>
        </w:rPr>
      </w:pPr>
      <w:r w:rsidRPr="00C71912">
        <w:rPr>
          <w:sz w:val="20"/>
          <w:szCs w:val="20"/>
          <w:rtl/>
        </w:rPr>
        <w:t>**</w:t>
      </w:r>
      <w:r w:rsidRPr="00C71912">
        <w:rPr>
          <w:rtl/>
        </w:rPr>
        <w:tab/>
        <w:t xml:space="preserve">شارك في دراسة هذا البلاغ أعضاء اللجنة التالية أسماؤهم: تانيا ماريا عبدو </w:t>
      </w:r>
      <w:proofErr w:type="spellStart"/>
      <w:r w:rsidRPr="00C71912">
        <w:rPr>
          <w:rtl/>
        </w:rPr>
        <w:t>روشول</w:t>
      </w:r>
      <w:proofErr w:type="spellEnd"/>
      <w:r w:rsidRPr="00C71912">
        <w:rPr>
          <w:rtl/>
        </w:rPr>
        <w:t xml:space="preserve">، ووفاء أشرف محرم بسيم، وعياض بن عاشور، وعارف بلقان، والمحجوب الهيبة، </w:t>
      </w:r>
      <w:proofErr w:type="spellStart"/>
      <w:r w:rsidRPr="00C71912">
        <w:rPr>
          <w:rtl/>
        </w:rPr>
        <w:t>وفورويا</w:t>
      </w:r>
      <w:proofErr w:type="spellEnd"/>
      <w:r w:rsidRPr="00C71912">
        <w:rPr>
          <w:rtl/>
        </w:rPr>
        <w:t xml:space="preserve"> </w:t>
      </w:r>
      <w:proofErr w:type="spellStart"/>
      <w:r w:rsidRPr="00C71912">
        <w:rPr>
          <w:rtl/>
        </w:rPr>
        <w:t>سويتشي</w:t>
      </w:r>
      <w:proofErr w:type="spellEnd"/>
      <w:r w:rsidRPr="00C71912">
        <w:rPr>
          <w:rtl/>
        </w:rPr>
        <w:t xml:space="preserve">، وكارلوس </w:t>
      </w:r>
      <w:proofErr w:type="spellStart"/>
      <w:r w:rsidRPr="00C71912">
        <w:rPr>
          <w:rtl/>
        </w:rPr>
        <w:t>غوميس</w:t>
      </w:r>
      <w:proofErr w:type="spellEnd"/>
      <w:r w:rsidRPr="00C71912">
        <w:rPr>
          <w:rtl/>
        </w:rPr>
        <w:t xml:space="preserve"> </w:t>
      </w:r>
      <w:proofErr w:type="spellStart"/>
      <w:r w:rsidRPr="00C71912">
        <w:rPr>
          <w:rtl/>
        </w:rPr>
        <w:t>مارتينيس</w:t>
      </w:r>
      <w:proofErr w:type="spellEnd"/>
      <w:r w:rsidRPr="00C71912">
        <w:rPr>
          <w:rtl/>
        </w:rPr>
        <w:t xml:space="preserve">، </w:t>
      </w:r>
      <w:proofErr w:type="spellStart"/>
      <w:r w:rsidRPr="00C71912">
        <w:rPr>
          <w:rtl/>
        </w:rPr>
        <w:t>ومارسيا</w:t>
      </w:r>
      <w:proofErr w:type="spellEnd"/>
      <w:r w:rsidRPr="00C71912">
        <w:rPr>
          <w:rtl/>
        </w:rPr>
        <w:t xml:space="preserve"> ف. ج. كران، </w:t>
      </w:r>
      <w:proofErr w:type="spellStart"/>
      <w:r w:rsidRPr="00C71912">
        <w:rPr>
          <w:rtl/>
        </w:rPr>
        <w:t>ودانكان</w:t>
      </w:r>
      <w:proofErr w:type="spellEnd"/>
      <w:r w:rsidRPr="00C71912">
        <w:rPr>
          <w:rtl/>
        </w:rPr>
        <w:t xml:space="preserve"> </w:t>
      </w:r>
      <w:proofErr w:type="spellStart"/>
      <w:r w:rsidRPr="00C71912">
        <w:rPr>
          <w:rtl/>
        </w:rPr>
        <w:t>لاكي</w:t>
      </w:r>
      <w:proofErr w:type="spellEnd"/>
      <w:r w:rsidRPr="00C71912">
        <w:rPr>
          <w:rtl/>
        </w:rPr>
        <w:t xml:space="preserve"> </w:t>
      </w:r>
      <w:proofErr w:type="spellStart"/>
      <w:r w:rsidRPr="00C71912">
        <w:rPr>
          <w:rtl/>
        </w:rPr>
        <w:t>موهوموزا</w:t>
      </w:r>
      <w:proofErr w:type="spellEnd"/>
      <w:r w:rsidRPr="00C71912">
        <w:rPr>
          <w:rtl/>
        </w:rPr>
        <w:t xml:space="preserve">، وفوتيني </w:t>
      </w:r>
      <w:proofErr w:type="spellStart"/>
      <w:r w:rsidRPr="00C71912">
        <w:rPr>
          <w:rtl/>
        </w:rPr>
        <w:t>بزاغتزيس</w:t>
      </w:r>
      <w:proofErr w:type="spellEnd"/>
      <w:r w:rsidRPr="00C71912">
        <w:rPr>
          <w:rtl/>
        </w:rPr>
        <w:t xml:space="preserve">، </w:t>
      </w:r>
      <w:proofErr w:type="spellStart"/>
      <w:r w:rsidRPr="00C71912">
        <w:rPr>
          <w:rtl/>
        </w:rPr>
        <w:t>وهيرنان</w:t>
      </w:r>
      <w:proofErr w:type="spellEnd"/>
      <w:r w:rsidRPr="00C71912">
        <w:rPr>
          <w:rtl/>
        </w:rPr>
        <w:t xml:space="preserve"> </w:t>
      </w:r>
      <w:proofErr w:type="spellStart"/>
      <w:r w:rsidRPr="00C71912">
        <w:rPr>
          <w:rtl/>
        </w:rPr>
        <w:t>كيسادا</w:t>
      </w:r>
      <w:proofErr w:type="spellEnd"/>
      <w:r w:rsidRPr="00C71912">
        <w:rPr>
          <w:rtl/>
        </w:rPr>
        <w:t xml:space="preserve"> </w:t>
      </w:r>
      <w:proofErr w:type="spellStart"/>
      <w:r w:rsidRPr="00C71912">
        <w:rPr>
          <w:rtl/>
        </w:rPr>
        <w:t>كابريرا</w:t>
      </w:r>
      <w:proofErr w:type="spellEnd"/>
      <w:r w:rsidRPr="00C71912">
        <w:rPr>
          <w:rtl/>
        </w:rPr>
        <w:t xml:space="preserve">، </w:t>
      </w:r>
      <w:proofErr w:type="spellStart"/>
      <w:r w:rsidRPr="00C71912">
        <w:rPr>
          <w:rtl/>
        </w:rPr>
        <w:t>وفاسيلكا</w:t>
      </w:r>
      <w:proofErr w:type="spellEnd"/>
      <w:r w:rsidRPr="00C71912">
        <w:rPr>
          <w:rtl/>
        </w:rPr>
        <w:t xml:space="preserve"> </w:t>
      </w:r>
      <w:proofErr w:type="spellStart"/>
      <w:r w:rsidRPr="00C71912">
        <w:rPr>
          <w:rtl/>
        </w:rPr>
        <w:t>سانسين</w:t>
      </w:r>
      <w:proofErr w:type="spellEnd"/>
      <w:r w:rsidRPr="00C71912">
        <w:rPr>
          <w:rtl/>
        </w:rPr>
        <w:t xml:space="preserve">، وخوسيه مانويل سانتوس بيس، </w:t>
      </w:r>
      <w:proofErr w:type="spellStart"/>
      <w:r w:rsidRPr="00C71912">
        <w:rPr>
          <w:rtl/>
        </w:rPr>
        <w:t>وسوه</w:t>
      </w:r>
      <w:proofErr w:type="spellEnd"/>
      <w:r w:rsidRPr="00C71912">
        <w:rPr>
          <w:rtl/>
        </w:rPr>
        <w:t xml:space="preserve"> </w:t>
      </w:r>
      <w:proofErr w:type="spellStart"/>
      <w:r w:rsidRPr="00C71912">
        <w:rPr>
          <w:rtl/>
        </w:rPr>
        <w:t>شانغروك</w:t>
      </w:r>
      <w:proofErr w:type="spellEnd"/>
      <w:r w:rsidRPr="00C71912">
        <w:rPr>
          <w:rtl/>
        </w:rPr>
        <w:t xml:space="preserve">، </w:t>
      </w:r>
      <w:proofErr w:type="spellStart"/>
      <w:r w:rsidRPr="00C71912">
        <w:rPr>
          <w:rtl/>
        </w:rPr>
        <w:t>وكوباوياه</w:t>
      </w:r>
      <w:proofErr w:type="spellEnd"/>
      <w:r w:rsidRPr="00C71912">
        <w:rPr>
          <w:rtl/>
        </w:rPr>
        <w:t xml:space="preserve"> </w:t>
      </w:r>
      <w:proofErr w:type="spellStart"/>
      <w:r w:rsidRPr="00C71912">
        <w:rPr>
          <w:rtl/>
        </w:rPr>
        <w:t>تشامدجا</w:t>
      </w:r>
      <w:proofErr w:type="spellEnd"/>
      <w:r w:rsidRPr="00C71912">
        <w:rPr>
          <w:rtl/>
        </w:rPr>
        <w:t xml:space="preserve"> </w:t>
      </w:r>
      <w:proofErr w:type="spellStart"/>
      <w:r w:rsidRPr="00C71912">
        <w:rPr>
          <w:rtl/>
        </w:rPr>
        <w:t>كباتشا</w:t>
      </w:r>
      <w:proofErr w:type="spellEnd"/>
      <w:r w:rsidRPr="00C71912">
        <w:rPr>
          <w:rtl/>
        </w:rPr>
        <w:t xml:space="preserve">، وإيلين </w:t>
      </w:r>
      <w:proofErr w:type="spellStart"/>
      <w:r w:rsidRPr="00C71912">
        <w:rPr>
          <w:rtl/>
        </w:rPr>
        <w:t>تيغرودجا</w:t>
      </w:r>
      <w:proofErr w:type="spellEnd"/>
      <w:r w:rsidRPr="00C71912">
        <w:rPr>
          <w:rtl/>
        </w:rPr>
        <w:t xml:space="preserve">، </w:t>
      </w:r>
      <w:proofErr w:type="spellStart"/>
      <w:r w:rsidRPr="00C71912">
        <w:rPr>
          <w:rtl/>
        </w:rPr>
        <w:t>وإيميرو</w:t>
      </w:r>
      <w:proofErr w:type="spellEnd"/>
      <w:r w:rsidRPr="00C71912">
        <w:rPr>
          <w:rtl/>
        </w:rPr>
        <w:t xml:space="preserve"> تامرات </w:t>
      </w:r>
      <w:proofErr w:type="spellStart"/>
      <w:r w:rsidRPr="00C71912">
        <w:rPr>
          <w:rtl/>
        </w:rPr>
        <w:t>إغيزو</w:t>
      </w:r>
      <w:proofErr w:type="spellEnd"/>
      <w:r w:rsidRPr="00C71912">
        <w:rPr>
          <w:rtl/>
        </w:rPr>
        <w:t xml:space="preserve">، </w:t>
      </w:r>
      <w:proofErr w:type="spellStart"/>
      <w:r w:rsidRPr="00C71912">
        <w:rPr>
          <w:rtl/>
        </w:rPr>
        <w:t>وجينتيان</w:t>
      </w:r>
      <w:proofErr w:type="spellEnd"/>
      <w:r w:rsidRPr="00C71912">
        <w:rPr>
          <w:rtl/>
        </w:rPr>
        <w:t xml:space="preserve"> </w:t>
      </w:r>
      <w:proofErr w:type="spellStart"/>
      <w:r w:rsidRPr="00C71912">
        <w:rPr>
          <w:rtl/>
        </w:rPr>
        <w:t>زيبيري</w:t>
      </w:r>
      <w:proofErr w:type="spellEnd"/>
      <w:r w:rsidRPr="00C71912">
        <w:rPr>
          <w:rtl/>
        </w:rPr>
        <w:t xml:space="preserve">. </w:t>
      </w:r>
    </w:p>
  </w:footnote>
  <w:footnote w:id="3">
    <w:p w14:paraId="798F828C" w14:textId="662AF2EA" w:rsidR="00F23C25" w:rsidRPr="00C71912" w:rsidRDefault="00F23C25" w:rsidP="00F23C25">
      <w:pPr>
        <w:pStyle w:val="FootnoteText"/>
        <w:bidi/>
        <w:ind w:left="0" w:firstLine="0"/>
        <w:textDirection w:val="tbRlV"/>
        <w:rPr>
          <w:szCs w:val="18"/>
          <w:lang w:eastAsia="zh-TW" w:bidi="en-GB"/>
        </w:rPr>
      </w:pPr>
    </w:p>
  </w:footnote>
  <w:footnote w:id="4">
    <w:p w14:paraId="572A3DE8" w14:textId="00DD6898" w:rsidR="00F23C25" w:rsidRPr="00C71912" w:rsidRDefault="00F23C25" w:rsidP="00F23C25">
      <w:pPr>
        <w:pStyle w:val="FootnoteText1"/>
        <w:textDirection w:val="tbRlV"/>
        <w:rPr>
          <w:lang w:val="ar-SA" w:eastAsia="zh-TW" w:bidi="en-GB"/>
        </w:rPr>
      </w:pPr>
      <w:r w:rsidRPr="00C71912">
        <w:rPr>
          <w:rStyle w:val="FootnoteReference"/>
          <w:vertAlign w:val="baseline"/>
          <w:rtl/>
        </w:rPr>
        <w:t>(</w:t>
      </w:r>
      <w:r w:rsidRPr="00C71912">
        <w:rPr>
          <w:rStyle w:val="FootnoteReference"/>
          <w:vertAlign w:val="baseline"/>
        </w:rPr>
        <w:footnoteRef/>
      </w:r>
      <w:r w:rsidRPr="00C71912">
        <w:rPr>
          <w:rStyle w:val="FootnoteReference"/>
          <w:vertAlign w:val="baseline"/>
          <w:rtl/>
        </w:rPr>
        <w:t>)</w:t>
      </w:r>
      <w:r w:rsidRPr="00C71912">
        <w:rPr>
          <w:rtl/>
        </w:rPr>
        <w:tab/>
        <w:t xml:space="preserve">انظر </w:t>
      </w:r>
      <w:proofErr w:type="spellStart"/>
      <w:r w:rsidRPr="00C71912">
        <w:rPr>
          <w:i/>
          <w:iCs/>
          <w:rtl/>
        </w:rPr>
        <w:t>سيليون</w:t>
      </w:r>
      <w:proofErr w:type="spellEnd"/>
      <w:r w:rsidRPr="00C71912">
        <w:rPr>
          <w:i/>
          <w:iCs/>
          <w:rtl/>
        </w:rPr>
        <w:t xml:space="preserve"> ضد بيلاروس</w:t>
      </w:r>
      <w:r w:rsidRPr="00C71912">
        <w:rPr>
          <w:rtl/>
        </w:rPr>
        <w:t xml:space="preserve"> (</w:t>
      </w:r>
      <w:hyperlink r:id="rId1" w:history="1">
        <w:r w:rsidRPr="00C71912">
          <w:rPr>
            <w:rStyle w:val="Hyperlink"/>
            <w:lang w:val="en-AU"/>
          </w:rPr>
          <w:t>CCPR/C/115/D/2289/2013</w:t>
        </w:r>
      </w:hyperlink>
      <w:r w:rsidRPr="00C71912">
        <w:rPr>
          <w:color w:val="000000"/>
          <w:rtl/>
        </w:rPr>
        <w:t xml:space="preserve">). </w:t>
      </w:r>
    </w:p>
  </w:footnote>
  <w:footnote w:id="5">
    <w:p w14:paraId="138D1A63" w14:textId="49022D1D" w:rsidR="00F23C25" w:rsidRPr="00C71912" w:rsidRDefault="00F23C25" w:rsidP="00F23C25">
      <w:pPr>
        <w:pStyle w:val="FootnoteText1"/>
        <w:textDirection w:val="tbRlV"/>
        <w:rPr>
          <w:lang w:eastAsia="zh-TW" w:bidi="en-GB"/>
        </w:rPr>
      </w:pPr>
      <w:r w:rsidRPr="00C71912">
        <w:rPr>
          <w:rStyle w:val="FootnoteReference"/>
          <w:vertAlign w:val="baseline"/>
          <w:rtl/>
        </w:rPr>
        <w:t>(</w:t>
      </w:r>
      <w:r w:rsidRPr="00C71912">
        <w:rPr>
          <w:rStyle w:val="FootnoteReference"/>
          <w:vertAlign w:val="baseline"/>
        </w:rPr>
        <w:footnoteRef/>
      </w:r>
      <w:r w:rsidRPr="00C71912">
        <w:rPr>
          <w:rStyle w:val="FootnoteReference"/>
          <w:vertAlign w:val="baseline"/>
          <w:rtl/>
        </w:rPr>
        <w:t>)</w:t>
      </w:r>
      <w:r w:rsidRPr="00C71912">
        <w:rPr>
          <w:rtl/>
        </w:rPr>
        <w:tab/>
        <w:t xml:space="preserve">تنص الفقرة 5 من المادة 175 من القانون التنفيذي الجنائي على أنه يجب على إدارة السجن إخطار المحكمة التي أصدرت الحكم عند تنفيذ الحكم. ويجب على المحكمة التي أصدرت الحكم أن تخطر أحد أقرب أقارب الشخص الذي نفذ فيه حكم الإعدام بعد تنفيذ الحكم. ولا يمكن تسليم الجثمان إلى ذويه لدفنه، كما لا يمكن إبلاغ ذويه بمكان الدفن. </w:t>
      </w:r>
    </w:p>
  </w:footnote>
  <w:footnote w:id="6">
    <w:p w14:paraId="607CDE51" w14:textId="31656E05" w:rsidR="00F23C25" w:rsidRPr="00C71912" w:rsidRDefault="00F23C25" w:rsidP="00F23C25">
      <w:pPr>
        <w:pStyle w:val="FootnoteText1"/>
        <w:textDirection w:val="tbRlV"/>
        <w:rPr>
          <w:lang w:eastAsia="zh-TW" w:bidi="en-GB"/>
        </w:rPr>
      </w:pPr>
      <w:r w:rsidRPr="00C71912">
        <w:rPr>
          <w:rStyle w:val="FootnoteReference"/>
          <w:vertAlign w:val="baseline"/>
          <w:rtl/>
        </w:rPr>
        <w:t>(</w:t>
      </w:r>
      <w:r w:rsidRPr="00C71912">
        <w:rPr>
          <w:rStyle w:val="FootnoteReference"/>
          <w:vertAlign w:val="baseline"/>
        </w:rPr>
        <w:footnoteRef/>
      </w:r>
      <w:r w:rsidRPr="00C71912">
        <w:rPr>
          <w:rStyle w:val="FootnoteReference"/>
          <w:vertAlign w:val="baseline"/>
          <w:rtl/>
        </w:rPr>
        <w:t>)</w:t>
      </w:r>
      <w:r w:rsidRPr="00C71912">
        <w:rPr>
          <w:rtl/>
        </w:rPr>
        <w:tab/>
        <w:t>تنص الفقرة 3 من المادة 25 من الدستور على أنه لا يجوز تعريض أي شخص للتعذيب أو المعاملة أو العقوبة القاسية أو</w:t>
      </w:r>
      <w:r w:rsidR="00A305F1" w:rsidRPr="00C71912">
        <w:rPr>
          <w:rFonts w:hint="cs"/>
          <w:rtl/>
        </w:rPr>
        <w:t> </w:t>
      </w:r>
      <w:r w:rsidRPr="00C71912">
        <w:rPr>
          <w:rtl/>
        </w:rPr>
        <w:t xml:space="preserve">اللاإنسانية أو المهينة أو إخضاعه لتجارب طبية أو أي تجارب أخرى دون موافقته. </w:t>
      </w:r>
    </w:p>
  </w:footnote>
  <w:footnote w:id="7">
    <w:p w14:paraId="60ED5DB8" w14:textId="71AF75EF" w:rsidR="00F23C25" w:rsidRPr="00C71912" w:rsidRDefault="00F23C25" w:rsidP="00F23C25">
      <w:pPr>
        <w:pStyle w:val="FootnoteText1"/>
        <w:textDirection w:val="tbRlV"/>
        <w:rPr>
          <w:lang w:eastAsia="zh-TW" w:bidi="en-GB"/>
        </w:rPr>
      </w:pPr>
      <w:r w:rsidRPr="00C71912">
        <w:rPr>
          <w:rStyle w:val="FootnoteReference"/>
          <w:vertAlign w:val="baseline"/>
          <w:rtl/>
        </w:rPr>
        <w:t>(</w:t>
      </w:r>
      <w:r w:rsidRPr="00C71912">
        <w:rPr>
          <w:rStyle w:val="FootnoteReference"/>
          <w:vertAlign w:val="baseline"/>
        </w:rPr>
        <w:footnoteRef/>
      </w:r>
      <w:r w:rsidRPr="00C71912">
        <w:rPr>
          <w:rStyle w:val="FootnoteReference"/>
          <w:vertAlign w:val="baseline"/>
          <w:rtl/>
        </w:rPr>
        <w:t>)</w:t>
      </w:r>
      <w:r w:rsidRPr="00C71912">
        <w:rPr>
          <w:rtl/>
        </w:rPr>
        <w:tab/>
        <w:t>انظر، مثل</w:t>
      </w:r>
      <w:r w:rsidR="00A5022A" w:rsidRPr="00C71912">
        <w:rPr>
          <w:rtl/>
        </w:rPr>
        <w:t xml:space="preserve">اً، </w:t>
      </w:r>
      <w:proofErr w:type="spellStart"/>
      <w:r w:rsidRPr="00C71912">
        <w:rPr>
          <w:i/>
          <w:iCs/>
          <w:rtl/>
        </w:rPr>
        <w:t>كوفاليفا</w:t>
      </w:r>
      <w:proofErr w:type="spellEnd"/>
      <w:r w:rsidRPr="00C71912">
        <w:rPr>
          <w:i/>
          <w:iCs/>
          <w:rtl/>
        </w:rPr>
        <w:t xml:space="preserve"> وآخرون ضد بيلاروس</w:t>
      </w:r>
      <w:r w:rsidRPr="00C71912">
        <w:rPr>
          <w:rtl/>
        </w:rPr>
        <w:t xml:space="preserve"> (</w:t>
      </w:r>
      <w:hyperlink r:id="rId2" w:history="1">
        <w:r w:rsidRPr="00C71912">
          <w:rPr>
            <w:rStyle w:val="Hyperlink"/>
            <w:lang w:val="en-AU"/>
          </w:rPr>
          <w:t>CCPR/C/106/D/2120/2011</w:t>
        </w:r>
      </w:hyperlink>
      <w:r w:rsidRPr="00C71912">
        <w:rPr>
          <w:color w:val="000000"/>
          <w:rtl/>
        </w:rPr>
        <w:t xml:space="preserve">)؛ </w:t>
      </w:r>
      <w:proofErr w:type="spellStart"/>
      <w:r w:rsidRPr="00C71912">
        <w:rPr>
          <w:rtl/>
        </w:rPr>
        <w:t>و</w:t>
      </w:r>
      <w:r w:rsidRPr="00C71912">
        <w:rPr>
          <w:i/>
          <w:iCs/>
          <w:rtl/>
        </w:rPr>
        <w:t>ستاسيلوفيتش</w:t>
      </w:r>
      <w:proofErr w:type="spellEnd"/>
      <w:r w:rsidRPr="00C71912">
        <w:rPr>
          <w:i/>
          <w:iCs/>
          <w:rtl/>
        </w:rPr>
        <w:t xml:space="preserve"> ضد بيلاروس </w:t>
      </w:r>
      <w:r w:rsidRPr="00C71912">
        <w:rPr>
          <w:rtl/>
        </w:rPr>
        <w:t>(</w:t>
      </w:r>
      <w:hyperlink r:id="rId3" w:history="1">
        <w:r w:rsidRPr="00C71912">
          <w:rPr>
            <w:rStyle w:val="Hyperlink"/>
            <w:lang w:val="en-AU"/>
          </w:rPr>
          <w:t>CCPR/C/77/D/887/1999</w:t>
        </w:r>
      </w:hyperlink>
      <w:r w:rsidRPr="00C71912">
        <w:rPr>
          <w:color w:val="000000"/>
          <w:rtl/>
        </w:rPr>
        <w:t xml:space="preserve">). </w:t>
      </w:r>
    </w:p>
  </w:footnote>
  <w:footnote w:id="8">
    <w:p w14:paraId="13CF5426" w14:textId="77777777" w:rsidR="00F23C25" w:rsidRPr="00C71912" w:rsidRDefault="00F23C25" w:rsidP="00F23C25">
      <w:pPr>
        <w:pStyle w:val="FootnoteText1"/>
        <w:textDirection w:val="tbRlV"/>
        <w:rPr>
          <w:lang w:val="ar-SA" w:eastAsia="zh-TW" w:bidi="en-GB"/>
        </w:rPr>
      </w:pPr>
      <w:r w:rsidRPr="00C71912">
        <w:rPr>
          <w:rStyle w:val="FootnoteReference"/>
          <w:vertAlign w:val="baseline"/>
          <w:rtl/>
        </w:rPr>
        <w:t>(</w:t>
      </w:r>
      <w:r w:rsidRPr="00C71912">
        <w:rPr>
          <w:rStyle w:val="FootnoteReference"/>
          <w:vertAlign w:val="baseline"/>
        </w:rPr>
        <w:footnoteRef/>
      </w:r>
      <w:r w:rsidRPr="00C71912">
        <w:rPr>
          <w:rStyle w:val="FootnoteReference"/>
          <w:vertAlign w:val="baseline"/>
          <w:rtl/>
        </w:rPr>
        <w:t>)</w:t>
      </w:r>
      <w:r w:rsidRPr="00C71912">
        <w:rPr>
          <w:rtl/>
        </w:rPr>
        <w:tab/>
      </w:r>
      <w:proofErr w:type="spellStart"/>
      <w:r w:rsidRPr="00C71912">
        <w:rPr>
          <w:i/>
          <w:iCs/>
          <w:rtl/>
        </w:rPr>
        <w:t>سكيركو</w:t>
      </w:r>
      <w:proofErr w:type="spellEnd"/>
      <w:r w:rsidRPr="00C71912">
        <w:rPr>
          <w:i/>
          <w:iCs/>
          <w:rtl/>
        </w:rPr>
        <w:t xml:space="preserve"> ضد بيلاروس</w:t>
      </w:r>
      <w:r w:rsidRPr="00C71912">
        <w:rPr>
          <w:rtl/>
        </w:rPr>
        <w:t xml:space="preserve"> (</w:t>
      </w:r>
      <w:hyperlink r:id="rId4" w:history="1">
        <w:r w:rsidRPr="00C71912">
          <w:rPr>
            <w:rStyle w:val="Hyperlink"/>
            <w:lang w:val="en-AU"/>
          </w:rPr>
          <w:t>CCPR/C/109/D/1851/2008</w:t>
        </w:r>
      </w:hyperlink>
      <w:r w:rsidRPr="00C71912">
        <w:rPr>
          <w:color w:val="000000"/>
          <w:rtl/>
        </w:rPr>
        <w:t xml:space="preserve">)، </w:t>
      </w:r>
      <w:r w:rsidRPr="00C71912">
        <w:rPr>
          <w:rtl/>
        </w:rPr>
        <w:t xml:space="preserve">الفقرة 8-3؛ </w:t>
      </w:r>
      <w:proofErr w:type="spellStart"/>
      <w:r w:rsidRPr="00C71912">
        <w:rPr>
          <w:rtl/>
        </w:rPr>
        <w:t>و</w:t>
      </w:r>
      <w:r w:rsidRPr="00C71912">
        <w:rPr>
          <w:i/>
          <w:iCs/>
          <w:rtl/>
        </w:rPr>
        <w:t>شوميلين</w:t>
      </w:r>
      <w:proofErr w:type="spellEnd"/>
      <w:r w:rsidRPr="00C71912">
        <w:rPr>
          <w:i/>
          <w:iCs/>
          <w:rtl/>
        </w:rPr>
        <w:t xml:space="preserve"> ضد بيلاروس </w:t>
      </w:r>
      <w:r w:rsidRPr="00C71912">
        <w:rPr>
          <w:rtl/>
        </w:rPr>
        <w:t>(</w:t>
      </w:r>
      <w:hyperlink r:id="rId5" w:history="1">
        <w:r w:rsidRPr="00C71912">
          <w:rPr>
            <w:rStyle w:val="Hyperlink"/>
            <w:lang w:val="en-AU"/>
          </w:rPr>
          <w:t>CCPR/C/105/D/1784/2008</w:t>
        </w:r>
      </w:hyperlink>
      <w:r w:rsidRPr="00C71912">
        <w:rPr>
          <w:color w:val="000000"/>
          <w:rtl/>
        </w:rPr>
        <w:t xml:space="preserve">)، </w:t>
      </w:r>
      <w:r w:rsidRPr="00C71912">
        <w:rPr>
          <w:rtl/>
        </w:rPr>
        <w:t xml:space="preserve">الفقرة 8-3؛ </w:t>
      </w:r>
      <w:proofErr w:type="spellStart"/>
      <w:r w:rsidRPr="00C71912">
        <w:rPr>
          <w:rtl/>
        </w:rPr>
        <w:t>و</w:t>
      </w:r>
      <w:r w:rsidRPr="00C71912">
        <w:rPr>
          <w:i/>
          <w:iCs/>
          <w:rtl/>
        </w:rPr>
        <w:t>تايسوموف</w:t>
      </w:r>
      <w:proofErr w:type="spellEnd"/>
      <w:r w:rsidRPr="00C71912">
        <w:rPr>
          <w:i/>
          <w:iCs/>
          <w:rtl/>
        </w:rPr>
        <w:t xml:space="preserve"> وآخرون ضد الاتحاد الروسي</w:t>
      </w:r>
      <w:r w:rsidRPr="00C71912">
        <w:rPr>
          <w:rtl/>
        </w:rPr>
        <w:t xml:space="preserve"> (</w:t>
      </w:r>
      <w:hyperlink r:id="rId6" w:history="1">
        <w:r w:rsidRPr="00C71912">
          <w:rPr>
            <w:rStyle w:val="Hyperlink"/>
            <w:lang w:val="en-AU"/>
          </w:rPr>
          <w:t>CCPR/C/128/D/2339/2014</w:t>
        </w:r>
      </w:hyperlink>
      <w:r w:rsidRPr="00C71912">
        <w:rPr>
          <w:color w:val="000000"/>
          <w:rtl/>
        </w:rPr>
        <w:t xml:space="preserve">)، </w:t>
      </w:r>
      <w:r w:rsidRPr="00C71912">
        <w:rPr>
          <w:rtl/>
        </w:rPr>
        <w:t xml:space="preserve">الفقرة 8-5؛ </w:t>
      </w:r>
      <w:proofErr w:type="spellStart"/>
      <w:r w:rsidRPr="00C71912">
        <w:rPr>
          <w:rtl/>
        </w:rPr>
        <w:t>و</w:t>
      </w:r>
      <w:r w:rsidRPr="00C71912">
        <w:rPr>
          <w:i/>
          <w:iCs/>
          <w:rtl/>
        </w:rPr>
        <w:t>إنسينوفا</w:t>
      </w:r>
      <w:proofErr w:type="spellEnd"/>
      <w:r w:rsidRPr="00C71912">
        <w:rPr>
          <w:i/>
          <w:iCs/>
          <w:rtl/>
        </w:rPr>
        <w:t xml:space="preserve"> ضد كازاخستان</w:t>
      </w:r>
      <w:r w:rsidRPr="00C71912">
        <w:rPr>
          <w:rtl/>
        </w:rPr>
        <w:t xml:space="preserve"> (</w:t>
      </w:r>
      <w:hyperlink r:id="rId7" w:history="1">
        <w:r w:rsidRPr="00C71912">
          <w:rPr>
            <w:rStyle w:val="Hyperlink"/>
            <w:lang w:val="en-AU"/>
          </w:rPr>
          <w:t>CCPR/C/126/D/2542/2015-CCPR/C/126/D/2543/2015</w:t>
        </w:r>
      </w:hyperlink>
      <w:r w:rsidRPr="00C71912">
        <w:rPr>
          <w:color w:val="000000"/>
          <w:rtl/>
        </w:rPr>
        <w:t xml:space="preserve">)، </w:t>
      </w:r>
      <w:r w:rsidRPr="00C71912">
        <w:rPr>
          <w:rtl/>
        </w:rPr>
        <w:t>الفقرة 8-</w:t>
      </w:r>
      <w:r w:rsidRPr="00C71912">
        <w:rPr>
          <w:color w:val="000000"/>
          <w:rtl/>
        </w:rPr>
        <w:t xml:space="preserve">3. </w:t>
      </w:r>
    </w:p>
  </w:footnote>
  <w:footnote w:id="9">
    <w:p w14:paraId="250E4D68" w14:textId="1297E158" w:rsidR="00F23C25" w:rsidRPr="00C71912" w:rsidRDefault="00F23C25" w:rsidP="00F23C25">
      <w:pPr>
        <w:pStyle w:val="FootnoteText1"/>
        <w:textDirection w:val="tbRlV"/>
        <w:rPr>
          <w:spacing w:val="-2"/>
          <w:lang w:eastAsia="zh-TW" w:bidi="en-GB"/>
        </w:rPr>
      </w:pPr>
      <w:r w:rsidRPr="00C71912">
        <w:rPr>
          <w:rStyle w:val="FootnoteReference"/>
          <w:spacing w:val="-2"/>
          <w:vertAlign w:val="baseline"/>
          <w:rtl/>
        </w:rPr>
        <w:t>(</w:t>
      </w:r>
      <w:r w:rsidRPr="00C71912">
        <w:rPr>
          <w:rStyle w:val="FootnoteReference"/>
          <w:spacing w:val="-2"/>
          <w:vertAlign w:val="baseline"/>
        </w:rPr>
        <w:footnoteRef/>
      </w:r>
      <w:r w:rsidRPr="00C71912">
        <w:rPr>
          <w:rStyle w:val="FootnoteReference"/>
          <w:spacing w:val="-2"/>
          <w:vertAlign w:val="baseline"/>
          <w:rtl/>
        </w:rPr>
        <w:t>)</w:t>
      </w:r>
      <w:r w:rsidRPr="00C71912">
        <w:rPr>
          <w:spacing w:val="-2"/>
          <w:rtl/>
        </w:rPr>
        <w:tab/>
      </w:r>
      <w:proofErr w:type="spellStart"/>
      <w:r w:rsidR="00F145A6" w:rsidRPr="00C71912">
        <w:rPr>
          <w:rFonts w:hint="cs"/>
          <w:i/>
          <w:iCs/>
          <w:spacing w:val="-2"/>
          <w:rtl/>
        </w:rPr>
        <w:t>ز</w:t>
      </w:r>
      <w:r w:rsidRPr="00C71912">
        <w:rPr>
          <w:i/>
          <w:iCs/>
          <w:spacing w:val="-2"/>
          <w:rtl/>
        </w:rPr>
        <w:t>وكفسكي</w:t>
      </w:r>
      <w:proofErr w:type="spellEnd"/>
      <w:r w:rsidRPr="00C71912">
        <w:rPr>
          <w:i/>
          <w:iCs/>
          <w:spacing w:val="-2"/>
          <w:rtl/>
        </w:rPr>
        <w:t xml:space="preserve"> ضد بيلاروس</w:t>
      </w:r>
      <w:r w:rsidRPr="00C71912">
        <w:rPr>
          <w:spacing w:val="-2"/>
          <w:rtl/>
        </w:rPr>
        <w:t xml:space="preserve"> (</w:t>
      </w:r>
      <w:hyperlink r:id="rId8" w:history="1">
        <w:r w:rsidRPr="00C71912">
          <w:rPr>
            <w:rStyle w:val="Hyperlink"/>
            <w:spacing w:val="-2"/>
            <w:lang w:val="en-AU"/>
          </w:rPr>
          <w:t>CCPR/C/127/D/2724/2016</w:t>
        </w:r>
      </w:hyperlink>
      <w:r w:rsidRPr="00C71912">
        <w:rPr>
          <w:color w:val="000000"/>
          <w:spacing w:val="-2"/>
          <w:rtl/>
        </w:rPr>
        <w:t xml:space="preserve">)، </w:t>
      </w:r>
      <w:r w:rsidRPr="00C71912">
        <w:rPr>
          <w:spacing w:val="-2"/>
          <w:rtl/>
        </w:rPr>
        <w:t xml:space="preserve">الفقرة 6-4؛ </w:t>
      </w:r>
      <w:proofErr w:type="spellStart"/>
      <w:r w:rsidRPr="00C71912">
        <w:rPr>
          <w:spacing w:val="-2"/>
          <w:rtl/>
        </w:rPr>
        <w:t>و</w:t>
      </w:r>
      <w:r w:rsidRPr="00C71912">
        <w:rPr>
          <w:i/>
          <w:iCs/>
          <w:spacing w:val="-2"/>
          <w:rtl/>
        </w:rPr>
        <w:t>زوكفسكي</w:t>
      </w:r>
      <w:proofErr w:type="spellEnd"/>
      <w:r w:rsidRPr="00C71912">
        <w:rPr>
          <w:i/>
          <w:iCs/>
          <w:spacing w:val="-2"/>
          <w:rtl/>
        </w:rPr>
        <w:t xml:space="preserve"> ضد بيلاروس </w:t>
      </w:r>
      <w:r w:rsidRPr="00C71912">
        <w:rPr>
          <w:spacing w:val="-2"/>
          <w:rtl/>
        </w:rPr>
        <w:t>(</w:t>
      </w:r>
      <w:hyperlink r:id="rId9" w:history="1">
        <w:r w:rsidRPr="00C71912">
          <w:rPr>
            <w:rStyle w:val="Hyperlink"/>
            <w:spacing w:val="-2"/>
            <w:lang w:val="en-AU"/>
          </w:rPr>
          <w:t>CCPR/C/127/D/2955/2017</w:t>
        </w:r>
      </w:hyperlink>
      <w:r w:rsidRPr="00C71912">
        <w:rPr>
          <w:color w:val="000000"/>
          <w:spacing w:val="-2"/>
          <w:rtl/>
        </w:rPr>
        <w:t xml:space="preserve">)، </w:t>
      </w:r>
      <w:r w:rsidRPr="00C71912">
        <w:rPr>
          <w:spacing w:val="-2"/>
          <w:rtl/>
        </w:rPr>
        <w:t xml:space="preserve">الفقرة 6-4؛ </w:t>
      </w:r>
      <w:proofErr w:type="spellStart"/>
      <w:r w:rsidRPr="00C71912">
        <w:rPr>
          <w:spacing w:val="-2"/>
          <w:rtl/>
        </w:rPr>
        <w:t>و</w:t>
      </w:r>
      <w:r w:rsidRPr="00C71912">
        <w:rPr>
          <w:i/>
          <w:iCs/>
          <w:spacing w:val="-2"/>
          <w:rtl/>
        </w:rPr>
        <w:t>زوكفسكي</w:t>
      </w:r>
      <w:proofErr w:type="spellEnd"/>
      <w:r w:rsidRPr="00C71912">
        <w:rPr>
          <w:i/>
          <w:iCs/>
          <w:spacing w:val="-2"/>
          <w:rtl/>
        </w:rPr>
        <w:t xml:space="preserve"> ضد بيلاروس</w:t>
      </w:r>
      <w:r w:rsidRPr="00C71912">
        <w:rPr>
          <w:spacing w:val="-2"/>
          <w:rtl/>
        </w:rPr>
        <w:t xml:space="preserve"> (</w:t>
      </w:r>
      <w:hyperlink r:id="rId10" w:history="1">
        <w:r w:rsidRPr="00C71912">
          <w:rPr>
            <w:rStyle w:val="Hyperlink"/>
            <w:spacing w:val="-2"/>
            <w:lang w:val="en-AU"/>
          </w:rPr>
          <w:t>CCPR/C/127/D/3067/2017</w:t>
        </w:r>
      </w:hyperlink>
      <w:r w:rsidRPr="00C71912">
        <w:rPr>
          <w:color w:val="000000"/>
          <w:spacing w:val="-2"/>
          <w:rtl/>
        </w:rPr>
        <w:t xml:space="preserve">)، </w:t>
      </w:r>
      <w:r w:rsidRPr="00C71912">
        <w:rPr>
          <w:spacing w:val="-2"/>
          <w:rtl/>
        </w:rPr>
        <w:t>الفقرة 6-</w:t>
      </w:r>
      <w:r w:rsidRPr="00C71912">
        <w:rPr>
          <w:color w:val="000000"/>
          <w:spacing w:val="-2"/>
          <w:rtl/>
        </w:rPr>
        <w:t xml:space="preserve">6. </w:t>
      </w:r>
    </w:p>
  </w:footnote>
  <w:footnote w:id="10">
    <w:p w14:paraId="785234B4" w14:textId="238B2D47" w:rsidR="00F23C25" w:rsidRPr="00C71912" w:rsidRDefault="00F23C25" w:rsidP="00F23C25">
      <w:pPr>
        <w:pStyle w:val="FootnoteText1"/>
        <w:textDirection w:val="tbRlV"/>
        <w:rPr>
          <w:rFonts w:eastAsiaTheme="minorEastAsia"/>
          <w:spacing w:val="-2"/>
          <w:lang w:val="ar-SA" w:eastAsia="zh-TW" w:bidi="en-GB"/>
        </w:rPr>
      </w:pPr>
      <w:r w:rsidRPr="00C71912">
        <w:rPr>
          <w:rStyle w:val="FootnoteReference"/>
          <w:spacing w:val="-2"/>
          <w:vertAlign w:val="baseline"/>
          <w:rtl/>
        </w:rPr>
        <w:t>(</w:t>
      </w:r>
      <w:r w:rsidRPr="00C71912">
        <w:rPr>
          <w:rStyle w:val="FootnoteReference"/>
          <w:spacing w:val="-2"/>
          <w:vertAlign w:val="baseline"/>
        </w:rPr>
        <w:footnoteRef/>
      </w:r>
      <w:r w:rsidRPr="00C71912">
        <w:rPr>
          <w:rStyle w:val="FootnoteReference"/>
          <w:rFonts w:hint="cs"/>
          <w:spacing w:val="-2"/>
          <w:vertAlign w:val="baseline"/>
          <w:rtl/>
        </w:rPr>
        <w:t>)</w:t>
      </w:r>
      <w:r w:rsidRPr="00C71912">
        <w:rPr>
          <w:spacing w:val="-2"/>
          <w:rtl/>
        </w:rPr>
        <w:tab/>
        <w:t>التعليق العام رقم 36(2018</w:t>
      </w:r>
      <w:r w:rsidRPr="00C71912">
        <w:rPr>
          <w:color w:val="000000"/>
          <w:spacing w:val="-2"/>
          <w:rtl/>
        </w:rPr>
        <w:t xml:space="preserve">)، </w:t>
      </w:r>
      <w:r w:rsidRPr="00C71912">
        <w:rPr>
          <w:spacing w:val="-2"/>
          <w:rtl/>
        </w:rPr>
        <w:t>الفقرة 5</w:t>
      </w:r>
      <w:r w:rsidRPr="00C71912">
        <w:rPr>
          <w:color w:val="000000"/>
          <w:spacing w:val="-2"/>
          <w:rtl/>
        </w:rPr>
        <w:t xml:space="preserve">6. </w:t>
      </w:r>
    </w:p>
  </w:footnote>
  <w:footnote w:id="11">
    <w:p w14:paraId="316703AA" w14:textId="6CD59853" w:rsidR="00F23C25" w:rsidRPr="00C71912" w:rsidRDefault="00F23C25" w:rsidP="00F23C25">
      <w:pPr>
        <w:pStyle w:val="FootnoteText1"/>
        <w:textDirection w:val="tbRlV"/>
        <w:rPr>
          <w:lang w:val="ar-SA" w:eastAsia="zh-TW" w:bidi="en-GB"/>
        </w:rPr>
      </w:pPr>
      <w:r w:rsidRPr="00C71912">
        <w:rPr>
          <w:rStyle w:val="FootnoteReference"/>
          <w:vertAlign w:val="baseline"/>
          <w:rtl/>
        </w:rPr>
        <w:t>(</w:t>
      </w:r>
      <w:r w:rsidRPr="00C71912">
        <w:rPr>
          <w:rStyle w:val="FootnoteReference"/>
          <w:vertAlign w:val="baseline"/>
        </w:rPr>
        <w:footnoteRef/>
      </w:r>
      <w:r w:rsidRPr="00C71912">
        <w:rPr>
          <w:rStyle w:val="FootnoteReference"/>
          <w:vertAlign w:val="baseline"/>
          <w:rtl/>
        </w:rPr>
        <w:t>)</w:t>
      </w:r>
      <w:r w:rsidRPr="00C71912">
        <w:rPr>
          <w:rtl/>
        </w:rPr>
        <w:tab/>
      </w:r>
      <w:proofErr w:type="spellStart"/>
      <w:r w:rsidRPr="00C71912">
        <w:rPr>
          <w:i/>
          <w:iCs/>
          <w:rtl/>
        </w:rPr>
        <w:t>كوفاليفا</w:t>
      </w:r>
      <w:proofErr w:type="spellEnd"/>
      <w:r w:rsidRPr="00C71912">
        <w:rPr>
          <w:i/>
          <w:iCs/>
          <w:rtl/>
        </w:rPr>
        <w:t xml:space="preserve"> </w:t>
      </w:r>
      <w:proofErr w:type="spellStart"/>
      <w:r w:rsidRPr="00C71912">
        <w:rPr>
          <w:i/>
          <w:iCs/>
          <w:rtl/>
        </w:rPr>
        <w:t>وكوزيار</w:t>
      </w:r>
      <w:proofErr w:type="spellEnd"/>
      <w:r w:rsidRPr="00C71912">
        <w:rPr>
          <w:i/>
          <w:iCs/>
          <w:rtl/>
        </w:rPr>
        <w:t xml:space="preserve"> ضد بيلاروس</w:t>
      </w:r>
      <w:r w:rsidRPr="00C71912">
        <w:rPr>
          <w:rtl/>
        </w:rPr>
        <w:t>، الفقرة 11-1</w:t>
      </w:r>
      <w:r w:rsidRPr="00C71912">
        <w:rPr>
          <w:color w:val="000000"/>
          <w:rtl/>
        </w:rPr>
        <w:t xml:space="preserve">0. </w:t>
      </w:r>
    </w:p>
  </w:footnote>
  <w:footnote w:id="12">
    <w:p w14:paraId="5FD5103D" w14:textId="5941AAE7" w:rsidR="00F23C25" w:rsidRPr="00C71912" w:rsidRDefault="00F23C25" w:rsidP="00F23C25">
      <w:pPr>
        <w:pStyle w:val="FootnoteText1"/>
        <w:textDirection w:val="tbRlV"/>
        <w:rPr>
          <w:lang w:val="ar-SA" w:eastAsia="zh-TW" w:bidi="en-GB"/>
        </w:rPr>
      </w:pPr>
      <w:r w:rsidRPr="00C71912">
        <w:rPr>
          <w:rStyle w:val="FootnoteReference"/>
          <w:vertAlign w:val="baseline"/>
          <w:rtl/>
        </w:rPr>
        <w:t>(</w:t>
      </w:r>
      <w:r w:rsidRPr="00C71912">
        <w:rPr>
          <w:rStyle w:val="FootnoteReference"/>
          <w:vertAlign w:val="baseline"/>
        </w:rPr>
        <w:footnoteRef/>
      </w:r>
      <w:r w:rsidRPr="00C71912">
        <w:rPr>
          <w:rStyle w:val="FootnoteReference"/>
          <w:vertAlign w:val="baseline"/>
          <w:rtl/>
        </w:rPr>
        <w:t>)</w:t>
      </w:r>
      <w:r w:rsidRPr="00C71912">
        <w:rPr>
          <w:rtl/>
        </w:rPr>
        <w:tab/>
        <w:t>التعليق العام رقم 32(2007</w:t>
      </w:r>
      <w:r w:rsidRPr="00C71912">
        <w:rPr>
          <w:color w:val="000000"/>
          <w:rtl/>
        </w:rPr>
        <w:t xml:space="preserve">)، </w:t>
      </w:r>
      <w:r w:rsidRPr="00C71912">
        <w:rPr>
          <w:rtl/>
        </w:rPr>
        <w:t>الفقرة 1</w:t>
      </w:r>
      <w:r w:rsidRPr="00C71912">
        <w:rPr>
          <w:color w:val="000000"/>
          <w:rtl/>
        </w:rPr>
        <w:t xml:space="preserve">8. </w:t>
      </w:r>
    </w:p>
  </w:footnote>
  <w:footnote w:id="13">
    <w:p w14:paraId="7EB96CAD" w14:textId="47463868" w:rsidR="00F23C25" w:rsidRPr="00C71912" w:rsidRDefault="00F23C25" w:rsidP="00F23C25">
      <w:pPr>
        <w:pStyle w:val="FootnoteText1"/>
        <w:textDirection w:val="tbRlV"/>
        <w:rPr>
          <w:spacing w:val="-6"/>
          <w:lang w:val="ar-SA" w:eastAsia="zh-TW" w:bidi="en-GB"/>
        </w:rPr>
      </w:pPr>
      <w:r w:rsidRPr="00C71912">
        <w:rPr>
          <w:rStyle w:val="FootnoteReference"/>
          <w:vertAlign w:val="baseline"/>
          <w:rtl/>
        </w:rPr>
        <w:t>(</w:t>
      </w:r>
      <w:r w:rsidRPr="00C71912">
        <w:rPr>
          <w:rStyle w:val="FootnoteReference"/>
          <w:vertAlign w:val="baseline"/>
        </w:rPr>
        <w:footnoteRef/>
      </w:r>
      <w:r w:rsidRPr="00C71912">
        <w:rPr>
          <w:rStyle w:val="FootnoteReference"/>
          <w:vertAlign w:val="baseline"/>
          <w:rtl/>
        </w:rPr>
        <w:t>)</w:t>
      </w:r>
      <w:r w:rsidRPr="00C71912">
        <w:rPr>
          <w:rtl/>
        </w:rPr>
        <w:tab/>
      </w:r>
      <w:r w:rsidRPr="00C71912">
        <w:rPr>
          <w:spacing w:val="-6"/>
          <w:rtl/>
        </w:rPr>
        <w:t>أوصت اللجنة بتعديل المادة 175 من هذا القانون في ملاحظاتها الختامية المعتمدة في عام 2018 (</w:t>
      </w:r>
      <w:hyperlink r:id="rId11" w:history="1">
        <w:r w:rsidRPr="00C71912">
          <w:rPr>
            <w:rStyle w:val="Hyperlink"/>
            <w:spacing w:val="-6"/>
            <w:lang w:val="en-AU"/>
          </w:rPr>
          <w:t>CCPR/C/BLR/CO/5</w:t>
        </w:r>
      </w:hyperlink>
      <w:r w:rsidRPr="00C71912">
        <w:rPr>
          <w:spacing w:val="-6"/>
          <w:rtl/>
        </w:rPr>
        <w:t>، الفقرة 28</w:t>
      </w:r>
      <w:r w:rsidRPr="00C71912">
        <w:rPr>
          <w:color w:val="000000"/>
          <w:spacing w:val="-6"/>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F0AF" w14:textId="2F366537" w:rsidR="00B7405C" w:rsidRPr="00B7405C" w:rsidRDefault="00B7405C" w:rsidP="00B7405C">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CCPR/C/134/D/2840/2016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46DF" w14:textId="484402EF" w:rsidR="00B7405C" w:rsidRPr="00B7405C" w:rsidRDefault="00B7405C" w:rsidP="00B7405C">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CCPR/C/134/D/2840/2016</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2E"/>
    <w:rsid w:val="00004E02"/>
    <w:rsid w:val="000076D5"/>
    <w:rsid w:val="00043663"/>
    <w:rsid w:val="000437B8"/>
    <w:rsid w:val="000505CF"/>
    <w:rsid w:val="000D701C"/>
    <w:rsid w:val="000E2A71"/>
    <w:rsid w:val="00145577"/>
    <w:rsid w:val="00160263"/>
    <w:rsid w:val="00181F96"/>
    <w:rsid w:val="001872B1"/>
    <w:rsid w:val="001A1371"/>
    <w:rsid w:val="001B043F"/>
    <w:rsid w:val="001B346A"/>
    <w:rsid w:val="001C5FF9"/>
    <w:rsid w:val="001D3EB6"/>
    <w:rsid w:val="001E1CAD"/>
    <w:rsid w:val="001E290D"/>
    <w:rsid w:val="002144FA"/>
    <w:rsid w:val="0023469A"/>
    <w:rsid w:val="00243C8A"/>
    <w:rsid w:val="00267A0E"/>
    <w:rsid w:val="002901D9"/>
    <w:rsid w:val="002976C2"/>
    <w:rsid w:val="003068BC"/>
    <w:rsid w:val="003260FF"/>
    <w:rsid w:val="00343D95"/>
    <w:rsid w:val="00363A18"/>
    <w:rsid w:val="00374341"/>
    <w:rsid w:val="003C29AD"/>
    <w:rsid w:val="003D1062"/>
    <w:rsid w:val="00402051"/>
    <w:rsid w:val="00407A0C"/>
    <w:rsid w:val="00417171"/>
    <w:rsid w:val="00420D7B"/>
    <w:rsid w:val="00425DA6"/>
    <w:rsid w:val="00450B21"/>
    <w:rsid w:val="00453B63"/>
    <w:rsid w:val="00455780"/>
    <w:rsid w:val="0046323F"/>
    <w:rsid w:val="004A642E"/>
    <w:rsid w:val="004B0A1C"/>
    <w:rsid w:val="004B27E0"/>
    <w:rsid w:val="004D298E"/>
    <w:rsid w:val="005044B3"/>
    <w:rsid w:val="005131E0"/>
    <w:rsid w:val="00517BC9"/>
    <w:rsid w:val="0054472E"/>
    <w:rsid w:val="005525C7"/>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21120"/>
    <w:rsid w:val="00652221"/>
    <w:rsid w:val="00656392"/>
    <w:rsid w:val="006645EC"/>
    <w:rsid w:val="0068781D"/>
    <w:rsid w:val="006959B0"/>
    <w:rsid w:val="006B3E27"/>
    <w:rsid w:val="006B6507"/>
    <w:rsid w:val="006C104C"/>
    <w:rsid w:val="006C632E"/>
    <w:rsid w:val="00717FB3"/>
    <w:rsid w:val="00730446"/>
    <w:rsid w:val="00733704"/>
    <w:rsid w:val="0078071A"/>
    <w:rsid w:val="00787022"/>
    <w:rsid w:val="00787E1E"/>
    <w:rsid w:val="00792812"/>
    <w:rsid w:val="007E3A7A"/>
    <w:rsid w:val="00852A9A"/>
    <w:rsid w:val="008A49D2"/>
    <w:rsid w:val="008F49E1"/>
    <w:rsid w:val="0090370F"/>
    <w:rsid w:val="009269D2"/>
    <w:rsid w:val="00942135"/>
    <w:rsid w:val="009521B0"/>
    <w:rsid w:val="00957437"/>
    <w:rsid w:val="00982139"/>
    <w:rsid w:val="009867A8"/>
    <w:rsid w:val="00991F44"/>
    <w:rsid w:val="00996849"/>
    <w:rsid w:val="009A0CFB"/>
    <w:rsid w:val="009A7C78"/>
    <w:rsid w:val="009A7E9F"/>
    <w:rsid w:val="009C17EC"/>
    <w:rsid w:val="009E5018"/>
    <w:rsid w:val="00A03700"/>
    <w:rsid w:val="00A053F2"/>
    <w:rsid w:val="00A12B37"/>
    <w:rsid w:val="00A305F1"/>
    <w:rsid w:val="00A34424"/>
    <w:rsid w:val="00A5022A"/>
    <w:rsid w:val="00A54828"/>
    <w:rsid w:val="00A97E1F"/>
    <w:rsid w:val="00AB512E"/>
    <w:rsid w:val="00AB6758"/>
    <w:rsid w:val="00AB727F"/>
    <w:rsid w:val="00B13763"/>
    <w:rsid w:val="00B477A4"/>
    <w:rsid w:val="00B54045"/>
    <w:rsid w:val="00B63ADD"/>
    <w:rsid w:val="00B7405C"/>
    <w:rsid w:val="00BB09A0"/>
    <w:rsid w:val="00BC4C6E"/>
    <w:rsid w:val="00C175A6"/>
    <w:rsid w:val="00C41DCF"/>
    <w:rsid w:val="00C42AF7"/>
    <w:rsid w:val="00C438D7"/>
    <w:rsid w:val="00C62C20"/>
    <w:rsid w:val="00C71912"/>
    <w:rsid w:val="00C81B50"/>
    <w:rsid w:val="00C902EF"/>
    <w:rsid w:val="00CB0011"/>
    <w:rsid w:val="00CB6622"/>
    <w:rsid w:val="00CD1801"/>
    <w:rsid w:val="00CF2DBA"/>
    <w:rsid w:val="00CF56F9"/>
    <w:rsid w:val="00CF65C6"/>
    <w:rsid w:val="00D00A89"/>
    <w:rsid w:val="00D10EF1"/>
    <w:rsid w:val="00D42810"/>
    <w:rsid w:val="00D60DD5"/>
    <w:rsid w:val="00D914A7"/>
    <w:rsid w:val="00DC4D4B"/>
    <w:rsid w:val="00DD13C3"/>
    <w:rsid w:val="00DD596E"/>
    <w:rsid w:val="00DD621E"/>
    <w:rsid w:val="00DE50B1"/>
    <w:rsid w:val="00DF0138"/>
    <w:rsid w:val="00DF0575"/>
    <w:rsid w:val="00E2228E"/>
    <w:rsid w:val="00E3413A"/>
    <w:rsid w:val="00E70E04"/>
    <w:rsid w:val="00E77E6C"/>
    <w:rsid w:val="00E83E39"/>
    <w:rsid w:val="00E83ED5"/>
    <w:rsid w:val="00EC05A7"/>
    <w:rsid w:val="00EC4B6B"/>
    <w:rsid w:val="00EC68A5"/>
    <w:rsid w:val="00ED7442"/>
    <w:rsid w:val="00EE7E14"/>
    <w:rsid w:val="00EF1EE5"/>
    <w:rsid w:val="00EF5C43"/>
    <w:rsid w:val="00F10DAB"/>
    <w:rsid w:val="00F145A6"/>
    <w:rsid w:val="00F23C25"/>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02C61B"/>
  <w15:docId w15:val="{BA760068-6F66-4273-B3A7-DB49A542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iPriority w:val="9"/>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62112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112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1120"/>
    <w:pPr>
      <w:keepNext/>
      <w:keepLines/>
      <w:spacing w:before="200"/>
      <w:outlineLvl w:val="4"/>
    </w:pPr>
    <w:rPr>
      <w:color w:val="243F60"/>
    </w:rPr>
  </w:style>
  <w:style w:type="paragraph" w:styleId="Heading6">
    <w:name w:val="heading 6"/>
    <w:basedOn w:val="Normal"/>
    <w:next w:val="Normal"/>
    <w:link w:val="Heading6Char"/>
    <w:uiPriority w:val="9"/>
    <w:unhideWhenUsed/>
    <w:rsid w:val="0062112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112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112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112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621120"/>
    <w:pPr>
      <w:numPr>
        <w:numId w:val="6"/>
      </w:numPr>
      <w:tabs>
        <w:tab w:val="clear" w:pos="2310"/>
        <w:tab w:val="left" w:pos="2486"/>
      </w:tabs>
      <w:ind w:left="2486" w:hanging="378"/>
    </w:pPr>
  </w:style>
  <w:style w:type="paragraph" w:customStyle="1" w:styleId="Roman2GA">
    <w:name w:val="_Roman 2_GA"/>
    <w:basedOn w:val="Bullet2GA"/>
    <w:qFormat/>
    <w:rsid w:val="0062112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uiPriority w:val="9"/>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uiPriority w:val="9"/>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621120"/>
    <w:rPr>
      <w:rFonts w:ascii="Times New Roman" w:eastAsia="PMingLiU" w:hAnsi="Times New Roman" w:cs="Simplified Arabic"/>
      <w:color w:val="404040"/>
      <w:lang w:eastAsia="en-US"/>
    </w:rPr>
  </w:style>
  <w:style w:type="character" w:customStyle="1" w:styleId="Heading9Char">
    <w:name w:val="Heading 9 Char"/>
    <w:link w:val="Heading9"/>
    <w:uiPriority w:val="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iPriority w:val="99"/>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uiPriority w:val="99"/>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semiHidden/>
    <w:unhideWhenUsed/>
    <w:rsid w:val="00621120"/>
    <w:pPr>
      <w:spacing w:line="240" w:lineRule="auto"/>
    </w:pPr>
    <w:rPr>
      <w:kern w:val="14"/>
    </w:rPr>
  </w:style>
  <w:style w:type="character" w:customStyle="1" w:styleId="CommentTextChar">
    <w:name w:val="Comment Text Char"/>
    <w:basedOn w:val="DefaultParagraphFont"/>
    <w:link w:val="CommentText"/>
    <w:uiPriority w:val="99"/>
    <w:semiHidden/>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CCPR/C/127/D/2724/2016" TargetMode="External"/><Relationship Id="rId3" Type="http://schemas.openxmlformats.org/officeDocument/2006/relationships/hyperlink" Target="https://undocs.org/ar/CCPR/C/77/D/887/1999" TargetMode="External"/><Relationship Id="rId7" Type="http://schemas.openxmlformats.org/officeDocument/2006/relationships/hyperlink" Target="https://undocs.org/ar/CCPR/C/126/D/2542/2015-CCPR/C/126/D/2543/2015" TargetMode="External"/><Relationship Id="rId2" Type="http://schemas.openxmlformats.org/officeDocument/2006/relationships/hyperlink" Target="https://undocs.org/ar/CCPR/C/106/D/2120/2011" TargetMode="External"/><Relationship Id="rId1" Type="http://schemas.openxmlformats.org/officeDocument/2006/relationships/hyperlink" Target="https://undocs.org/ar/CCPR/C/115/D/2289/2013" TargetMode="External"/><Relationship Id="rId6" Type="http://schemas.openxmlformats.org/officeDocument/2006/relationships/hyperlink" Target="https://undocs.org/ar/CCPR/C/128/D/2339/2014" TargetMode="External"/><Relationship Id="rId11" Type="http://schemas.openxmlformats.org/officeDocument/2006/relationships/hyperlink" Target="https://undocs.org/ar/CCPR/C/BLR/CO/5" TargetMode="External"/><Relationship Id="rId5" Type="http://schemas.openxmlformats.org/officeDocument/2006/relationships/hyperlink" Target="https://undocs.org/ar/CCPR/C/105/D/1784/2008" TargetMode="External"/><Relationship Id="rId10" Type="http://schemas.openxmlformats.org/officeDocument/2006/relationships/hyperlink" Target="https://undocs.org/ar/CCPR/C/127/D/3067/2017" TargetMode="External"/><Relationship Id="rId4" Type="http://schemas.openxmlformats.org/officeDocument/2006/relationships/hyperlink" Target="https://undocs.org/ar/CCPR/C/109/D/1851/2008" TargetMode="External"/><Relationship Id="rId9" Type="http://schemas.openxmlformats.org/officeDocument/2006/relationships/hyperlink" Target="https://undocs.org/ar/CCPR/C/127/D/2955/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2114</Words>
  <Characters>15225</Characters>
  <Application>Microsoft Office Word</Application>
  <DocSecurity>0</DocSecurity>
  <Lines>1522</Lines>
  <Paragraphs>1238</Paragraphs>
  <ScaleCrop>false</ScaleCrop>
  <HeadingPairs>
    <vt:vector size="2" baseType="variant">
      <vt:variant>
        <vt:lpstr>Title</vt:lpstr>
      </vt:variant>
      <vt:variant>
        <vt:i4>1</vt:i4>
      </vt:variant>
    </vt:vector>
  </HeadingPairs>
  <TitlesOfParts>
    <vt:vector size="1" baseType="lpstr">
      <vt:lpstr>CCPR/C/134/D/2840/2016</vt:lpstr>
    </vt:vector>
  </TitlesOfParts>
  <Company>DCM</Company>
  <LinksUpToDate>false</LinksUpToDate>
  <CharactersWithSpaces>16101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CCPR/C/134/D/2840/2016</dc:title>
  <dc:subject>GE.2207167(A)</dc:subject>
  <dc:creator>Muntaha BUHNAM - SDA</dc:creator>
  <cp:keywords>GE.2234115(A)</cp:keywords>
  <dc:description>Distr.: General
13 May 2022
Arabic
Original: English</dc:description>
  <cp:lastModifiedBy>Jamal Alkahlout</cp:lastModifiedBy>
  <cp:revision>2</cp:revision>
  <dcterms:created xsi:type="dcterms:W3CDTF">2022-06-27T10:27:00Z</dcterms:created>
  <dcterms:modified xsi:type="dcterms:W3CDTF">2022-06-27T10:27:00Z</dcterms:modified>
  <cp:category>Finale</cp:category>
</cp:coreProperties>
</file>