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AFEF2AF" w14:textId="77777777" w:rsidTr="002B7BC7">
        <w:trPr>
          <w:trHeight w:hRule="exact" w:val="851"/>
        </w:trPr>
        <w:tc>
          <w:tcPr>
            <w:tcW w:w="1276" w:type="dxa"/>
            <w:tcBorders>
              <w:bottom w:val="single" w:sz="4" w:space="0" w:color="auto"/>
            </w:tcBorders>
          </w:tcPr>
          <w:p w14:paraId="0D037885" w14:textId="77777777" w:rsidR="006F71EA" w:rsidRPr="00DB58B5" w:rsidRDefault="006F71EA" w:rsidP="00C119B4"/>
        </w:tc>
        <w:tc>
          <w:tcPr>
            <w:tcW w:w="2268" w:type="dxa"/>
            <w:tcBorders>
              <w:bottom w:val="single" w:sz="4" w:space="0" w:color="auto"/>
            </w:tcBorders>
            <w:vAlign w:val="bottom"/>
          </w:tcPr>
          <w:p w14:paraId="59333405"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5F9C61" w14:textId="1C57164C" w:rsidR="006F71EA" w:rsidRPr="00DB58B5" w:rsidRDefault="00C119B4" w:rsidP="00C119B4">
            <w:pPr>
              <w:jc w:val="right"/>
            </w:pPr>
            <w:r w:rsidRPr="00C119B4">
              <w:rPr>
                <w:sz w:val="40"/>
              </w:rPr>
              <w:t>CCPR</w:t>
            </w:r>
            <w:r>
              <w:t>/C/131/D/2433/2014</w:t>
            </w:r>
          </w:p>
        </w:tc>
      </w:tr>
      <w:tr w:rsidR="006F71EA" w:rsidRPr="00DB58B5" w14:paraId="4601D12D" w14:textId="77777777" w:rsidTr="002B7BC7">
        <w:trPr>
          <w:trHeight w:hRule="exact" w:val="2835"/>
        </w:trPr>
        <w:tc>
          <w:tcPr>
            <w:tcW w:w="1276" w:type="dxa"/>
            <w:tcBorders>
              <w:top w:val="single" w:sz="4" w:space="0" w:color="auto"/>
              <w:bottom w:val="single" w:sz="12" w:space="0" w:color="auto"/>
            </w:tcBorders>
          </w:tcPr>
          <w:p w14:paraId="41B0D4F4" w14:textId="77777777" w:rsidR="006F71EA" w:rsidRPr="00DB58B5" w:rsidRDefault="006F71EA" w:rsidP="002B7BC7">
            <w:pPr>
              <w:spacing w:before="120"/>
              <w:jc w:val="center"/>
            </w:pPr>
            <w:r>
              <w:rPr>
                <w:noProof/>
                <w:lang w:eastAsia="fr-CH"/>
              </w:rPr>
              <w:drawing>
                <wp:inline distT="0" distB="0" distL="0" distR="0" wp14:anchorId="644E9430" wp14:editId="3597EA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E6630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E220DD8" w14:textId="790A5D60" w:rsidR="006F71EA" w:rsidRDefault="00C119B4" w:rsidP="002B7BC7">
            <w:pPr>
              <w:spacing w:before="240"/>
            </w:pPr>
            <w:proofErr w:type="spellStart"/>
            <w:r>
              <w:t>Distr</w:t>
            </w:r>
            <w:proofErr w:type="spellEnd"/>
            <w:r w:rsidR="000738A7" w:rsidRPr="000738A7">
              <w:t>.</w:t>
            </w:r>
            <w:r>
              <w:t xml:space="preserve"> générale</w:t>
            </w:r>
          </w:p>
          <w:p w14:paraId="487BDA71" w14:textId="77777777" w:rsidR="00C119B4" w:rsidRDefault="00C119B4" w:rsidP="00C119B4">
            <w:pPr>
              <w:spacing w:line="240" w:lineRule="exact"/>
            </w:pPr>
            <w:r>
              <w:t>18 mai 2021</w:t>
            </w:r>
          </w:p>
          <w:p w14:paraId="5676E292" w14:textId="77777777" w:rsidR="00C119B4" w:rsidRDefault="00C119B4" w:rsidP="00C119B4">
            <w:pPr>
              <w:spacing w:line="240" w:lineRule="exact"/>
            </w:pPr>
            <w:r>
              <w:t>Français</w:t>
            </w:r>
          </w:p>
          <w:p w14:paraId="1C716A25" w14:textId="67D84808" w:rsidR="00C119B4" w:rsidRPr="00DB58B5" w:rsidRDefault="00C119B4" w:rsidP="00C119B4">
            <w:pPr>
              <w:spacing w:line="240" w:lineRule="exact"/>
            </w:pPr>
            <w:r>
              <w:t>Original : anglais</w:t>
            </w:r>
          </w:p>
        </w:tc>
      </w:tr>
    </w:tbl>
    <w:p w14:paraId="4EC28CFB" w14:textId="77777777" w:rsidR="006F71EA" w:rsidRDefault="006F71EA" w:rsidP="006F71EA">
      <w:pPr>
        <w:spacing w:before="120"/>
        <w:rPr>
          <w:b/>
          <w:sz w:val="24"/>
          <w:szCs w:val="24"/>
        </w:rPr>
      </w:pPr>
      <w:r w:rsidRPr="00DF3BF1">
        <w:rPr>
          <w:b/>
          <w:sz w:val="24"/>
          <w:szCs w:val="24"/>
        </w:rPr>
        <w:t>Comité des droits de l’homme</w:t>
      </w:r>
    </w:p>
    <w:p w14:paraId="20142278" w14:textId="46762A01" w:rsidR="007E477C" w:rsidRPr="00233D47" w:rsidRDefault="007E477C" w:rsidP="007E477C">
      <w:pPr>
        <w:pStyle w:val="HChG"/>
      </w:pPr>
      <w:r w:rsidRPr="00233D47">
        <w:tab/>
      </w:r>
      <w:r w:rsidRPr="00233D47">
        <w:tab/>
      </w:r>
      <w:r>
        <w:t>Décision adoptée par le Comité en vertu du Protocole facultatif, concernant la c</w:t>
      </w:r>
      <w:r w:rsidRPr="00233D47">
        <w:t xml:space="preserve">ommunication </w:t>
      </w:r>
      <w:r w:rsidRPr="00233D47">
        <w:rPr>
          <w:rFonts w:eastAsia="MS Mincho"/>
        </w:rPr>
        <w:t>n</w:t>
      </w:r>
      <w:r w:rsidRPr="00233D47">
        <w:rPr>
          <w:rFonts w:eastAsia="MS Mincho"/>
          <w:vertAlign w:val="superscript"/>
        </w:rPr>
        <w:t>o</w:t>
      </w:r>
      <w:r>
        <w:t> </w:t>
      </w:r>
      <w:r>
        <w:rPr>
          <w:bCs/>
          <w:lang w:val="fr-FR"/>
        </w:rPr>
        <w:t>2433/2014</w:t>
      </w:r>
      <w:r w:rsidRPr="007E477C">
        <w:rPr>
          <w:rStyle w:val="Appelnotedebasdep"/>
          <w:b w:val="0"/>
          <w:sz w:val="20"/>
          <w:vertAlign w:val="baseline"/>
        </w:rPr>
        <w:footnoteReference w:customMarkFollows="1" w:id="2"/>
        <w:t>*</w:t>
      </w:r>
      <w:r w:rsidRPr="007E477C">
        <w:rPr>
          <w:b w:val="0"/>
          <w:bCs/>
          <w:sz w:val="20"/>
          <w:vertAlign w:val="superscript"/>
          <w:lang w:val="fr-FR"/>
        </w:rPr>
        <w:t>,</w:t>
      </w:r>
      <w:r w:rsidRPr="007E477C">
        <w:rPr>
          <w:b w:val="0"/>
          <w:bCs/>
          <w:sz w:val="20"/>
        </w:rPr>
        <w:t xml:space="preserve"> </w:t>
      </w:r>
      <w:r w:rsidRPr="007E477C">
        <w:rPr>
          <w:rStyle w:val="Appelnotedebasdep"/>
          <w:b w:val="0"/>
          <w:bCs/>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7E477C" w:rsidRPr="00233D47" w14:paraId="67D9BCE8" w14:textId="77777777" w:rsidTr="00056E3E">
        <w:tc>
          <w:tcPr>
            <w:tcW w:w="2835" w:type="dxa"/>
          </w:tcPr>
          <w:p w14:paraId="3F7B211F" w14:textId="77777777" w:rsidR="007E477C" w:rsidRPr="00233D47" w:rsidRDefault="007E477C" w:rsidP="00056E3E">
            <w:pPr>
              <w:spacing w:after="120"/>
              <w:rPr>
                <w:i/>
              </w:rPr>
            </w:pPr>
            <w:r w:rsidRPr="00233D47">
              <w:rPr>
                <w:i/>
              </w:rPr>
              <w:t>Communication présentée par</w:t>
            </w:r>
            <w:r>
              <w:rPr>
                <w:i/>
              </w:rPr>
              <w:t> </w:t>
            </w:r>
            <w:r w:rsidRPr="00FA727B">
              <w:rPr>
                <w:iCs/>
              </w:rPr>
              <w:t>:</w:t>
            </w:r>
          </w:p>
        </w:tc>
        <w:tc>
          <w:tcPr>
            <w:tcW w:w="3969" w:type="dxa"/>
          </w:tcPr>
          <w:p w14:paraId="71B27FB2" w14:textId="36E43C07" w:rsidR="007E477C" w:rsidRPr="00233D47" w:rsidRDefault="007E477C" w:rsidP="00056E3E">
            <w:pPr>
              <w:spacing w:after="120"/>
            </w:pPr>
            <w:r>
              <w:rPr>
                <w:lang w:val="fr-FR"/>
              </w:rPr>
              <w:t>V</w:t>
            </w:r>
            <w:r w:rsidR="000738A7" w:rsidRPr="000738A7">
              <w:rPr>
                <w:lang w:val="fr-FR"/>
              </w:rPr>
              <w:t>.</w:t>
            </w:r>
            <w:r>
              <w:rPr>
                <w:lang w:val="fr-FR"/>
              </w:rPr>
              <w:t> S</w:t>
            </w:r>
            <w:r w:rsidR="000738A7" w:rsidRPr="000738A7">
              <w:rPr>
                <w:lang w:val="fr-FR"/>
              </w:rPr>
              <w:t>.</w:t>
            </w:r>
            <w:r>
              <w:rPr>
                <w:lang w:val="fr-FR"/>
              </w:rPr>
              <w:t xml:space="preserve"> (non représenté par un conseil)</w:t>
            </w:r>
          </w:p>
        </w:tc>
      </w:tr>
      <w:tr w:rsidR="007E477C" w:rsidRPr="00233D47" w14:paraId="5DEF4B6A" w14:textId="77777777" w:rsidTr="00056E3E">
        <w:tc>
          <w:tcPr>
            <w:tcW w:w="2835" w:type="dxa"/>
          </w:tcPr>
          <w:p w14:paraId="27310A31" w14:textId="77777777" w:rsidR="007E477C" w:rsidRPr="00233D47" w:rsidRDefault="007E477C" w:rsidP="00056E3E">
            <w:pPr>
              <w:spacing w:after="120"/>
              <w:rPr>
                <w:i/>
              </w:rPr>
            </w:pPr>
            <w:r>
              <w:rPr>
                <w:i/>
                <w:iCs/>
                <w:lang w:val="fr-FR"/>
              </w:rPr>
              <w:t>Victime(s) présumée(s)</w:t>
            </w:r>
            <w:r>
              <w:rPr>
                <w:i/>
              </w:rPr>
              <w:t> </w:t>
            </w:r>
            <w:r w:rsidRPr="007950CF">
              <w:rPr>
                <w:iCs/>
              </w:rPr>
              <w:t>:</w:t>
            </w:r>
          </w:p>
        </w:tc>
        <w:tc>
          <w:tcPr>
            <w:tcW w:w="3969" w:type="dxa"/>
          </w:tcPr>
          <w:p w14:paraId="1F60C196" w14:textId="77777777" w:rsidR="007E477C" w:rsidRPr="00233D47" w:rsidRDefault="007E477C" w:rsidP="00056E3E">
            <w:pPr>
              <w:spacing w:after="120"/>
            </w:pPr>
            <w:r>
              <w:rPr>
                <w:lang w:val="fr-FR"/>
              </w:rPr>
              <w:t>L’auteur</w:t>
            </w:r>
          </w:p>
        </w:tc>
      </w:tr>
      <w:tr w:rsidR="007E477C" w:rsidRPr="00233D47" w14:paraId="1C9D53AA" w14:textId="77777777" w:rsidTr="00056E3E">
        <w:tc>
          <w:tcPr>
            <w:tcW w:w="2835" w:type="dxa"/>
          </w:tcPr>
          <w:p w14:paraId="402D1CFD" w14:textId="77777777" w:rsidR="007E477C" w:rsidRPr="00233D47" w:rsidRDefault="007E477C" w:rsidP="00056E3E">
            <w:pPr>
              <w:spacing w:after="120"/>
              <w:rPr>
                <w:i/>
              </w:rPr>
            </w:pPr>
            <w:r w:rsidRPr="00233D47">
              <w:rPr>
                <w:i/>
              </w:rPr>
              <w:t>État partie</w:t>
            </w:r>
            <w:r w:rsidRPr="00FA727B">
              <w:rPr>
                <w:iCs/>
              </w:rPr>
              <w:t> :</w:t>
            </w:r>
          </w:p>
        </w:tc>
        <w:tc>
          <w:tcPr>
            <w:tcW w:w="3969" w:type="dxa"/>
          </w:tcPr>
          <w:p w14:paraId="1DBDFCF0" w14:textId="77777777" w:rsidR="007E477C" w:rsidRPr="00233D47" w:rsidRDefault="007E477C" w:rsidP="00056E3E">
            <w:pPr>
              <w:spacing w:after="120"/>
              <w:rPr>
                <w:b/>
              </w:rPr>
            </w:pPr>
            <w:r>
              <w:rPr>
                <w:lang w:val="fr-FR"/>
              </w:rPr>
              <w:t>Fédération de Russie</w:t>
            </w:r>
          </w:p>
        </w:tc>
      </w:tr>
      <w:tr w:rsidR="007E477C" w:rsidRPr="00233D47" w14:paraId="3A6F5B64" w14:textId="77777777" w:rsidTr="00056E3E">
        <w:tc>
          <w:tcPr>
            <w:tcW w:w="2835" w:type="dxa"/>
          </w:tcPr>
          <w:p w14:paraId="5A9F5761" w14:textId="77777777" w:rsidR="007E477C" w:rsidRPr="00233D47" w:rsidRDefault="007E477C" w:rsidP="00056E3E">
            <w:pPr>
              <w:spacing w:after="120"/>
              <w:rPr>
                <w:i/>
              </w:rPr>
            </w:pPr>
            <w:r w:rsidRPr="00233D47">
              <w:rPr>
                <w:i/>
              </w:rPr>
              <w:t>Date de la communication</w:t>
            </w:r>
            <w:r>
              <w:rPr>
                <w:i/>
              </w:rPr>
              <w:t> </w:t>
            </w:r>
            <w:r w:rsidRPr="007950CF">
              <w:rPr>
                <w:iCs/>
              </w:rPr>
              <w:t>:</w:t>
            </w:r>
          </w:p>
        </w:tc>
        <w:tc>
          <w:tcPr>
            <w:tcW w:w="3969" w:type="dxa"/>
          </w:tcPr>
          <w:p w14:paraId="2DE80E0A" w14:textId="612AA5A9" w:rsidR="007E477C" w:rsidRPr="00233D47" w:rsidRDefault="007E477C" w:rsidP="00056E3E">
            <w:pPr>
              <w:spacing w:after="120"/>
            </w:pPr>
            <w:r>
              <w:rPr>
                <w:lang w:val="fr-FR"/>
              </w:rPr>
              <w:t>9 janvier 2014</w:t>
            </w:r>
            <w:r w:rsidRPr="00233D47">
              <w:t xml:space="preserve"> (date de la lettre initiale)</w:t>
            </w:r>
          </w:p>
        </w:tc>
      </w:tr>
      <w:tr w:rsidR="007E477C" w:rsidRPr="00233D47" w14:paraId="2247FAA0" w14:textId="77777777" w:rsidTr="00056E3E">
        <w:tc>
          <w:tcPr>
            <w:tcW w:w="2835" w:type="dxa"/>
          </w:tcPr>
          <w:p w14:paraId="5D11E949" w14:textId="77777777" w:rsidR="007E477C" w:rsidRPr="00233D47" w:rsidRDefault="007E477C" w:rsidP="00056E3E">
            <w:pPr>
              <w:spacing w:after="120"/>
              <w:rPr>
                <w:i/>
              </w:rPr>
            </w:pPr>
            <w:r w:rsidRPr="00233D47">
              <w:rPr>
                <w:i/>
              </w:rPr>
              <w:t>Références</w:t>
            </w:r>
            <w:r w:rsidRPr="007950CF">
              <w:rPr>
                <w:iCs/>
              </w:rPr>
              <w:t> :</w:t>
            </w:r>
          </w:p>
        </w:tc>
        <w:tc>
          <w:tcPr>
            <w:tcW w:w="3969" w:type="dxa"/>
          </w:tcPr>
          <w:p w14:paraId="132F8D2F" w14:textId="77777777" w:rsidR="007E477C" w:rsidRPr="00233D47" w:rsidRDefault="007E477C" w:rsidP="00056E3E">
            <w:pPr>
              <w:spacing w:after="120"/>
            </w:pPr>
            <w:r>
              <w:rPr>
                <w:lang w:val="fr-FR"/>
              </w:rPr>
              <w:t>Décision prise en application de l’article 92 du règlement intérieur, communiquée à l’État partie le 20 juin 2014 (non publiée sous forme de document)</w:t>
            </w:r>
          </w:p>
        </w:tc>
      </w:tr>
      <w:tr w:rsidR="007E477C" w:rsidRPr="00233D47" w14:paraId="676B11AA" w14:textId="77777777" w:rsidTr="00056E3E">
        <w:tc>
          <w:tcPr>
            <w:tcW w:w="2835" w:type="dxa"/>
          </w:tcPr>
          <w:p w14:paraId="3E668898" w14:textId="77777777" w:rsidR="007E477C" w:rsidRPr="00233D47" w:rsidRDefault="007E477C" w:rsidP="00056E3E">
            <w:pPr>
              <w:spacing w:after="120"/>
              <w:rPr>
                <w:i/>
              </w:rPr>
            </w:pPr>
            <w:r w:rsidRPr="00233D47">
              <w:rPr>
                <w:i/>
              </w:rPr>
              <w:t>Date de la décision</w:t>
            </w:r>
            <w:r w:rsidRPr="007950CF">
              <w:rPr>
                <w:iCs/>
              </w:rPr>
              <w:t> :</w:t>
            </w:r>
          </w:p>
        </w:tc>
        <w:tc>
          <w:tcPr>
            <w:tcW w:w="3969" w:type="dxa"/>
          </w:tcPr>
          <w:p w14:paraId="7E92F918" w14:textId="77777777" w:rsidR="007E477C" w:rsidRPr="00233D47" w:rsidRDefault="007E477C" w:rsidP="00056E3E">
            <w:pPr>
              <w:spacing w:after="120"/>
            </w:pPr>
            <w:r>
              <w:rPr>
                <w:lang w:val="fr-FR"/>
              </w:rPr>
              <w:t>25 mars 2021</w:t>
            </w:r>
          </w:p>
        </w:tc>
      </w:tr>
      <w:tr w:rsidR="007E477C" w:rsidRPr="00233D47" w14:paraId="1AD6F53E" w14:textId="77777777" w:rsidTr="00056E3E">
        <w:tc>
          <w:tcPr>
            <w:tcW w:w="2835" w:type="dxa"/>
          </w:tcPr>
          <w:p w14:paraId="1191A205" w14:textId="77777777" w:rsidR="007E477C" w:rsidRPr="00233D47" w:rsidRDefault="007E477C" w:rsidP="00056E3E">
            <w:pPr>
              <w:spacing w:after="120"/>
              <w:rPr>
                <w:i/>
              </w:rPr>
            </w:pPr>
            <w:r>
              <w:rPr>
                <w:i/>
                <w:iCs/>
                <w:lang w:val="fr-FR"/>
              </w:rPr>
              <w:t>Objet</w:t>
            </w:r>
            <w:r>
              <w:rPr>
                <w:lang w:val="fr-FR"/>
              </w:rPr>
              <w:t> </w:t>
            </w:r>
            <w:r w:rsidRPr="007950CF">
              <w:rPr>
                <w:lang w:val="fr-FR"/>
              </w:rPr>
              <w:t>:</w:t>
            </w:r>
          </w:p>
        </w:tc>
        <w:tc>
          <w:tcPr>
            <w:tcW w:w="3969" w:type="dxa"/>
          </w:tcPr>
          <w:p w14:paraId="1B014594" w14:textId="77777777" w:rsidR="007E477C" w:rsidRPr="00233D47" w:rsidRDefault="007E477C" w:rsidP="00056E3E">
            <w:pPr>
              <w:spacing w:after="120"/>
            </w:pPr>
            <w:r>
              <w:rPr>
                <w:lang w:val="fr-FR"/>
              </w:rPr>
              <w:t>Procès inéquitable ; extorsion d’aveux</w:t>
            </w:r>
          </w:p>
        </w:tc>
      </w:tr>
      <w:tr w:rsidR="007E477C" w:rsidRPr="00233D47" w14:paraId="5EA6EEEC" w14:textId="77777777" w:rsidTr="00056E3E">
        <w:tc>
          <w:tcPr>
            <w:tcW w:w="2835" w:type="dxa"/>
          </w:tcPr>
          <w:p w14:paraId="438B0106" w14:textId="77777777" w:rsidR="007E477C" w:rsidRPr="00233D47" w:rsidRDefault="007E477C" w:rsidP="00056E3E">
            <w:pPr>
              <w:spacing w:after="120"/>
              <w:rPr>
                <w:i/>
              </w:rPr>
            </w:pPr>
            <w:r>
              <w:rPr>
                <w:i/>
                <w:iCs/>
                <w:lang w:val="fr-FR"/>
              </w:rPr>
              <w:t>Question(s) de procédure</w:t>
            </w:r>
            <w:r>
              <w:rPr>
                <w:lang w:val="fr-FR"/>
              </w:rPr>
              <w:t> </w:t>
            </w:r>
            <w:r w:rsidRPr="007950CF">
              <w:rPr>
                <w:lang w:val="fr-FR"/>
              </w:rPr>
              <w:t>:</w:t>
            </w:r>
          </w:p>
        </w:tc>
        <w:tc>
          <w:tcPr>
            <w:tcW w:w="3969" w:type="dxa"/>
          </w:tcPr>
          <w:p w14:paraId="46B3112E" w14:textId="77777777" w:rsidR="007E477C" w:rsidRPr="00233D47" w:rsidRDefault="007E477C" w:rsidP="00056E3E">
            <w:pPr>
              <w:spacing w:after="120"/>
            </w:pPr>
            <w:r>
              <w:rPr>
                <w:lang w:val="fr-FR"/>
              </w:rPr>
              <w:t>Abus du droit de présenter des communications</w:t>
            </w:r>
          </w:p>
        </w:tc>
      </w:tr>
      <w:tr w:rsidR="007E477C" w:rsidRPr="00233D47" w14:paraId="6D17167A" w14:textId="77777777" w:rsidTr="00056E3E">
        <w:tc>
          <w:tcPr>
            <w:tcW w:w="2835" w:type="dxa"/>
          </w:tcPr>
          <w:p w14:paraId="4528AC13" w14:textId="77777777" w:rsidR="007E477C" w:rsidRPr="00233D47" w:rsidRDefault="007E477C" w:rsidP="00056E3E">
            <w:pPr>
              <w:spacing w:after="120"/>
              <w:rPr>
                <w:i/>
              </w:rPr>
            </w:pPr>
            <w:r>
              <w:rPr>
                <w:i/>
                <w:iCs/>
                <w:lang w:val="fr-FR"/>
              </w:rPr>
              <w:t>Question(s) de fond </w:t>
            </w:r>
            <w:r w:rsidRPr="007950CF">
              <w:rPr>
                <w:lang w:val="fr-FR"/>
              </w:rPr>
              <w:t>:</w:t>
            </w:r>
          </w:p>
        </w:tc>
        <w:tc>
          <w:tcPr>
            <w:tcW w:w="3969" w:type="dxa"/>
          </w:tcPr>
          <w:p w14:paraId="445E34A9" w14:textId="77777777" w:rsidR="007E477C" w:rsidRPr="00233D47" w:rsidRDefault="007E477C" w:rsidP="00056E3E">
            <w:pPr>
              <w:spacing w:after="120"/>
            </w:pPr>
            <w:r>
              <w:rPr>
                <w:lang w:val="fr-FR"/>
              </w:rPr>
              <w:t>Garanties d’un procès équitable ; aveux sous la contrainte</w:t>
            </w:r>
          </w:p>
        </w:tc>
      </w:tr>
      <w:tr w:rsidR="007E477C" w:rsidRPr="00233D47" w14:paraId="68695FF7" w14:textId="77777777" w:rsidTr="00056E3E">
        <w:tc>
          <w:tcPr>
            <w:tcW w:w="2835" w:type="dxa"/>
          </w:tcPr>
          <w:p w14:paraId="29C6336B" w14:textId="77777777" w:rsidR="007E477C" w:rsidRPr="00233D47" w:rsidRDefault="007E477C" w:rsidP="00056E3E">
            <w:pPr>
              <w:spacing w:after="120"/>
              <w:rPr>
                <w:i/>
              </w:rPr>
            </w:pPr>
            <w:r>
              <w:rPr>
                <w:i/>
                <w:iCs/>
                <w:lang w:val="fr-FR"/>
              </w:rPr>
              <w:t>Article(s) du Pacte </w:t>
            </w:r>
            <w:r w:rsidRPr="00FA727B">
              <w:rPr>
                <w:lang w:val="fr-FR"/>
              </w:rPr>
              <w:t>:</w:t>
            </w:r>
          </w:p>
        </w:tc>
        <w:tc>
          <w:tcPr>
            <w:tcW w:w="3969" w:type="dxa"/>
          </w:tcPr>
          <w:p w14:paraId="33AF5555" w14:textId="2B24FC75" w:rsidR="007E477C" w:rsidRPr="00233D47" w:rsidRDefault="007E477C" w:rsidP="00056E3E">
            <w:pPr>
              <w:spacing w:after="120"/>
            </w:pPr>
            <w:r>
              <w:rPr>
                <w:lang w:val="fr-FR"/>
              </w:rPr>
              <w:t>7, 9 (par</w:t>
            </w:r>
            <w:r w:rsidR="000738A7" w:rsidRPr="000738A7">
              <w:rPr>
                <w:lang w:val="fr-FR"/>
              </w:rPr>
              <w:t>.</w:t>
            </w:r>
            <w:r>
              <w:rPr>
                <w:lang w:val="fr-FR"/>
              </w:rPr>
              <w:t> 1), 10 et 14 (par</w:t>
            </w:r>
            <w:r w:rsidR="000738A7" w:rsidRPr="000738A7">
              <w:rPr>
                <w:lang w:val="fr-FR"/>
              </w:rPr>
              <w:t>.</w:t>
            </w:r>
            <w:r>
              <w:rPr>
                <w:lang w:val="fr-FR"/>
              </w:rPr>
              <w:t> 1 et 3 a), d), e) et g))</w:t>
            </w:r>
          </w:p>
        </w:tc>
      </w:tr>
      <w:tr w:rsidR="007E477C" w:rsidRPr="00233D47" w14:paraId="7CED01EA" w14:textId="77777777" w:rsidTr="00056E3E">
        <w:tc>
          <w:tcPr>
            <w:tcW w:w="2835" w:type="dxa"/>
          </w:tcPr>
          <w:p w14:paraId="2D936883" w14:textId="77777777" w:rsidR="007E477C" w:rsidRPr="00233D47" w:rsidRDefault="007E477C" w:rsidP="00056E3E">
            <w:pPr>
              <w:spacing w:after="120"/>
              <w:rPr>
                <w:i/>
              </w:rPr>
            </w:pPr>
            <w:r>
              <w:rPr>
                <w:i/>
                <w:iCs/>
                <w:lang w:val="fr-FR"/>
              </w:rPr>
              <w:t>Article(s) du Protocole facultatif </w:t>
            </w:r>
            <w:r w:rsidRPr="007950CF">
              <w:rPr>
                <w:lang w:val="fr-FR"/>
              </w:rPr>
              <w:t>:</w:t>
            </w:r>
          </w:p>
        </w:tc>
        <w:tc>
          <w:tcPr>
            <w:tcW w:w="3969" w:type="dxa"/>
          </w:tcPr>
          <w:p w14:paraId="0B1D4502" w14:textId="77777777" w:rsidR="007E477C" w:rsidRPr="00233D47" w:rsidRDefault="007E477C" w:rsidP="00056E3E">
            <w:pPr>
              <w:spacing w:after="120"/>
            </w:pPr>
            <w:r>
              <w:t>3</w:t>
            </w:r>
          </w:p>
        </w:tc>
      </w:tr>
    </w:tbl>
    <w:p w14:paraId="6B5A1127" w14:textId="2489BEED" w:rsidR="007E477C" w:rsidRPr="00817373" w:rsidRDefault="007E477C" w:rsidP="007E477C">
      <w:pPr>
        <w:pStyle w:val="SingleTxtG"/>
        <w:spacing w:before="120"/>
        <w:rPr>
          <w:lang w:val="fr-FR"/>
        </w:rPr>
      </w:pPr>
      <w:r>
        <w:rPr>
          <w:lang w:val="fr-FR"/>
        </w:rPr>
        <w:t>1</w:t>
      </w:r>
      <w:r w:rsidR="000738A7" w:rsidRPr="000738A7">
        <w:rPr>
          <w:lang w:val="fr-FR"/>
        </w:rPr>
        <w:t>.</w:t>
      </w:r>
      <w:r>
        <w:rPr>
          <w:lang w:val="fr-FR"/>
        </w:rPr>
        <w:tab/>
        <w:t>L’auteur de la communication est V</w:t>
      </w:r>
      <w:r w:rsidR="000738A7" w:rsidRPr="000738A7">
        <w:rPr>
          <w:lang w:val="fr-FR"/>
        </w:rPr>
        <w:t>.</w:t>
      </w:r>
      <w:r>
        <w:rPr>
          <w:lang w:val="fr-FR"/>
        </w:rPr>
        <w:t> S</w:t>
      </w:r>
      <w:r w:rsidR="000738A7" w:rsidRPr="000738A7">
        <w:rPr>
          <w:lang w:val="fr-FR"/>
        </w:rPr>
        <w:t>.</w:t>
      </w:r>
      <w:r>
        <w:rPr>
          <w:lang w:val="fr-FR"/>
        </w:rPr>
        <w:t>, de nationalité russe, né en 1959</w:t>
      </w:r>
      <w:r w:rsidR="000738A7" w:rsidRPr="000738A7">
        <w:rPr>
          <w:lang w:val="fr-FR"/>
        </w:rPr>
        <w:t>.</w:t>
      </w:r>
      <w:r>
        <w:rPr>
          <w:lang w:val="fr-FR"/>
        </w:rPr>
        <w:t xml:space="preserve"> Il affirme que l’</w:t>
      </w:r>
      <w:r w:rsidRPr="0047086B">
        <w:rPr>
          <w:lang w:val="fr-FR"/>
        </w:rPr>
        <w:t>É</w:t>
      </w:r>
      <w:r>
        <w:rPr>
          <w:lang w:val="fr-FR"/>
        </w:rPr>
        <w:t>tat partie a violé les droits qu’il tient des articles 7, 9 (par</w:t>
      </w:r>
      <w:r w:rsidR="000738A7" w:rsidRPr="000738A7">
        <w:rPr>
          <w:lang w:val="fr-FR"/>
        </w:rPr>
        <w:t>.</w:t>
      </w:r>
      <w:r>
        <w:rPr>
          <w:lang w:val="fr-FR"/>
        </w:rPr>
        <w:t> 1), 10 et 14 (par</w:t>
      </w:r>
      <w:r w:rsidR="000738A7" w:rsidRPr="000738A7">
        <w:rPr>
          <w:lang w:val="fr-FR"/>
        </w:rPr>
        <w:t>.</w:t>
      </w:r>
      <w:r>
        <w:rPr>
          <w:lang w:val="fr-FR"/>
        </w:rPr>
        <w:t> 1 et 3 a), d), e) et g)) du Pacte</w:t>
      </w:r>
      <w:r w:rsidR="000738A7" w:rsidRPr="000738A7">
        <w:rPr>
          <w:lang w:val="fr-FR"/>
        </w:rPr>
        <w:t>.</w:t>
      </w:r>
      <w:r>
        <w:rPr>
          <w:lang w:val="fr-FR"/>
        </w:rPr>
        <w:t xml:space="preserve"> </w:t>
      </w:r>
      <w:r w:rsidRPr="0017057C">
        <w:rPr>
          <w:lang w:val="fr-FR"/>
        </w:rPr>
        <w:t>Le Protocole facultatif est entré en vigueur pour l</w:t>
      </w:r>
      <w:r>
        <w:rPr>
          <w:lang w:val="fr-FR"/>
        </w:rPr>
        <w:t>’</w:t>
      </w:r>
      <w:r w:rsidRPr="0017057C">
        <w:rPr>
          <w:lang w:val="fr-FR"/>
        </w:rPr>
        <w:t xml:space="preserve">État partie le </w:t>
      </w:r>
      <w:r>
        <w:rPr>
          <w:lang w:val="fr-FR"/>
        </w:rPr>
        <w:t>1</w:t>
      </w:r>
      <w:r w:rsidRPr="006D1D92">
        <w:rPr>
          <w:vertAlign w:val="superscript"/>
          <w:lang w:val="fr-FR"/>
        </w:rPr>
        <w:t>er</w:t>
      </w:r>
      <w:r>
        <w:rPr>
          <w:lang w:val="fr-FR"/>
        </w:rPr>
        <w:t> </w:t>
      </w:r>
      <w:r w:rsidRPr="0017057C">
        <w:rPr>
          <w:lang w:val="fr-FR"/>
        </w:rPr>
        <w:t>janvier 19</w:t>
      </w:r>
      <w:r>
        <w:rPr>
          <w:lang w:val="fr-FR"/>
        </w:rPr>
        <w:t>92</w:t>
      </w:r>
      <w:r w:rsidR="000738A7" w:rsidRPr="000738A7">
        <w:rPr>
          <w:lang w:val="fr-FR"/>
        </w:rPr>
        <w:t>.</w:t>
      </w:r>
      <w:r w:rsidRPr="0017057C">
        <w:rPr>
          <w:lang w:val="fr-FR"/>
        </w:rPr>
        <w:t xml:space="preserve"> </w:t>
      </w:r>
      <w:r>
        <w:rPr>
          <w:lang w:val="fr-FR"/>
        </w:rPr>
        <w:t>L’auteur n’est pas représenté par un conseil</w:t>
      </w:r>
      <w:r w:rsidR="000738A7" w:rsidRPr="000738A7">
        <w:rPr>
          <w:lang w:val="fr-FR"/>
        </w:rPr>
        <w:t>.</w:t>
      </w:r>
    </w:p>
    <w:p w14:paraId="795107FD" w14:textId="77777777" w:rsidR="007E477C" w:rsidRPr="00817373" w:rsidRDefault="007E477C" w:rsidP="007E477C">
      <w:pPr>
        <w:pStyle w:val="H23G"/>
        <w:rPr>
          <w:lang w:val="fr-FR"/>
        </w:rPr>
      </w:pPr>
      <w:r>
        <w:rPr>
          <w:lang w:val="fr-FR"/>
        </w:rPr>
        <w:tab/>
      </w:r>
      <w:r>
        <w:rPr>
          <w:lang w:val="fr-FR"/>
        </w:rPr>
        <w:tab/>
        <w:t>Rappel des faits présentés par l’auteur</w:t>
      </w:r>
    </w:p>
    <w:p w14:paraId="34AC7ACF" w14:textId="400CDC3D" w:rsidR="007E477C" w:rsidRPr="00817373" w:rsidRDefault="007E477C" w:rsidP="007E477C">
      <w:pPr>
        <w:pStyle w:val="SingleTxtG"/>
        <w:rPr>
          <w:lang w:val="fr-FR"/>
        </w:rPr>
      </w:pPr>
      <w:r>
        <w:rPr>
          <w:lang w:val="fr-FR"/>
        </w:rPr>
        <w:t>2</w:t>
      </w:r>
      <w:r w:rsidR="000738A7" w:rsidRPr="000738A7">
        <w:rPr>
          <w:lang w:val="fr-FR"/>
        </w:rPr>
        <w:t>.</w:t>
      </w:r>
      <w:r>
        <w:rPr>
          <w:lang w:val="fr-FR"/>
        </w:rPr>
        <w:t>1</w:t>
      </w:r>
      <w:r>
        <w:rPr>
          <w:lang w:val="fr-FR"/>
        </w:rPr>
        <w:tab/>
        <w:t>L’auteur était propriétaire d’un appartement qu’il louait à deux étudiantes</w:t>
      </w:r>
      <w:r w:rsidR="000738A7" w:rsidRPr="000738A7">
        <w:rPr>
          <w:lang w:val="fr-FR"/>
        </w:rPr>
        <w:t>.</w:t>
      </w:r>
      <w:r>
        <w:rPr>
          <w:lang w:val="fr-FR"/>
        </w:rPr>
        <w:t xml:space="preserve"> Le 8 novembre 2005, il a été arrêté parce qu’il était soupçonné d’avoir commis, en deux occasions distinctes, une tentative de viol sur ses locataires</w:t>
      </w:r>
      <w:r w:rsidR="000738A7" w:rsidRPr="000738A7">
        <w:rPr>
          <w:lang w:val="fr-FR"/>
        </w:rPr>
        <w:t>.</w:t>
      </w:r>
      <w:r>
        <w:rPr>
          <w:lang w:val="fr-FR"/>
        </w:rPr>
        <w:t xml:space="preserve"> Il a été emmené au poste de police et interrogé par un enquêteur, qui lui a enfoncé un trombone dans les mains pour lui extorquer des aveux</w:t>
      </w:r>
      <w:r w:rsidR="000738A7" w:rsidRPr="000738A7">
        <w:rPr>
          <w:lang w:val="fr-FR"/>
        </w:rPr>
        <w:t>.</w:t>
      </w:r>
      <w:r>
        <w:rPr>
          <w:lang w:val="fr-FR"/>
        </w:rPr>
        <w:t xml:space="preserve"> L’auteur a toutefois refusé de s’avouer coupable</w:t>
      </w:r>
      <w:r w:rsidR="000738A7" w:rsidRPr="000738A7">
        <w:rPr>
          <w:lang w:val="fr-FR"/>
        </w:rPr>
        <w:t>.</w:t>
      </w:r>
      <w:r w:rsidRPr="00946A37">
        <w:rPr>
          <w:lang w:val="fr-FR"/>
        </w:rPr>
        <w:t xml:space="preserve"> Selon lui, les locataires s</w:t>
      </w:r>
      <w:r>
        <w:rPr>
          <w:lang w:val="fr-FR"/>
        </w:rPr>
        <w:t>’</w:t>
      </w:r>
      <w:r w:rsidRPr="00946A37">
        <w:rPr>
          <w:lang w:val="fr-FR"/>
        </w:rPr>
        <w:t>étaient entendues avec l</w:t>
      </w:r>
      <w:r>
        <w:rPr>
          <w:lang w:val="fr-FR"/>
        </w:rPr>
        <w:t>’</w:t>
      </w:r>
      <w:r w:rsidRPr="00946A37">
        <w:rPr>
          <w:lang w:val="fr-FR"/>
        </w:rPr>
        <w:t>enquêteur pour l</w:t>
      </w:r>
      <w:r>
        <w:rPr>
          <w:lang w:val="fr-FR"/>
        </w:rPr>
        <w:t>’</w:t>
      </w:r>
      <w:r w:rsidRPr="00946A37">
        <w:rPr>
          <w:lang w:val="fr-FR"/>
        </w:rPr>
        <w:t>accuser à tort, car elles ne voulaient pas payer le loyer</w:t>
      </w:r>
      <w:r>
        <w:rPr>
          <w:lang w:val="fr-FR"/>
        </w:rPr>
        <w:t>, tandis que</w:t>
      </w:r>
      <w:r w:rsidRPr="00946A37">
        <w:rPr>
          <w:lang w:val="fr-FR"/>
        </w:rPr>
        <w:t xml:space="preserve"> l</w:t>
      </w:r>
      <w:r>
        <w:rPr>
          <w:lang w:val="fr-FR"/>
        </w:rPr>
        <w:t>’</w:t>
      </w:r>
      <w:r w:rsidRPr="00946A37">
        <w:rPr>
          <w:lang w:val="fr-FR"/>
        </w:rPr>
        <w:t>enquêteur voulait l</w:t>
      </w:r>
      <w:r>
        <w:rPr>
          <w:lang w:val="fr-FR"/>
        </w:rPr>
        <w:t xml:space="preserve">e déposséder de </w:t>
      </w:r>
      <w:r w:rsidRPr="00946A37">
        <w:rPr>
          <w:lang w:val="fr-FR"/>
        </w:rPr>
        <w:t>son appartement</w:t>
      </w:r>
      <w:r w:rsidR="000738A7" w:rsidRPr="000738A7">
        <w:rPr>
          <w:lang w:val="fr-FR"/>
        </w:rPr>
        <w:t>.</w:t>
      </w:r>
    </w:p>
    <w:p w14:paraId="57F02174" w14:textId="69CF5D93" w:rsidR="007E477C" w:rsidRPr="00817373" w:rsidRDefault="007E477C" w:rsidP="007E477C">
      <w:pPr>
        <w:pStyle w:val="SingleTxtG"/>
        <w:rPr>
          <w:lang w:val="fr-FR"/>
        </w:rPr>
      </w:pPr>
      <w:r>
        <w:rPr>
          <w:lang w:val="fr-FR"/>
        </w:rPr>
        <w:lastRenderedPageBreak/>
        <w:t>2</w:t>
      </w:r>
      <w:r w:rsidR="000738A7" w:rsidRPr="000738A7">
        <w:rPr>
          <w:lang w:val="fr-FR"/>
        </w:rPr>
        <w:t>.</w:t>
      </w:r>
      <w:r>
        <w:rPr>
          <w:lang w:val="fr-FR"/>
        </w:rPr>
        <w:t>2</w:t>
      </w:r>
      <w:r>
        <w:rPr>
          <w:lang w:val="fr-FR"/>
        </w:rPr>
        <w:tab/>
        <w:t>Le 14 mars 2006, l’enquêteur a de nouveau emmené l’auteur au poste de police et, usant de menaces et de violence physique, l’a forcé à signer une procuration autorisant deux agents immobiliers qu’il ne connaissait pas à vendre son appartement au prix qu’ils auraient fixé</w:t>
      </w:r>
      <w:r w:rsidR="000738A7" w:rsidRPr="000738A7">
        <w:rPr>
          <w:lang w:val="fr-FR"/>
        </w:rPr>
        <w:t>.</w:t>
      </w:r>
      <w:r>
        <w:rPr>
          <w:lang w:val="fr-FR"/>
        </w:rPr>
        <w:t xml:space="preserve"> Plus tard, au centre de détention, l’auteur a été battu et forcé, sans qu’un avocat soit présent, à avouer les deux crimes dont il avait initialement été accusé</w:t>
      </w:r>
      <w:r w:rsidR="000738A7" w:rsidRPr="000738A7">
        <w:rPr>
          <w:lang w:val="fr-FR"/>
        </w:rPr>
        <w:t>.</w:t>
      </w:r>
    </w:p>
    <w:p w14:paraId="32403935" w14:textId="73FC0C76" w:rsidR="007E477C" w:rsidRPr="00817373" w:rsidRDefault="007E477C" w:rsidP="007E477C">
      <w:pPr>
        <w:pStyle w:val="SingleTxtG"/>
        <w:rPr>
          <w:lang w:val="fr-FR"/>
        </w:rPr>
      </w:pPr>
      <w:r>
        <w:rPr>
          <w:lang w:val="fr-FR"/>
        </w:rPr>
        <w:t>2</w:t>
      </w:r>
      <w:r w:rsidR="000738A7" w:rsidRPr="000738A7">
        <w:rPr>
          <w:lang w:val="fr-FR"/>
        </w:rPr>
        <w:t>.</w:t>
      </w:r>
      <w:r>
        <w:rPr>
          <w:lang w:val="fr-FR"/>
        </w:rPr>
        <w:t>3</w:t>
      </w:r>
      <w:r>
        <w:rPr>
          <w:lang w:val="fr-FR"/>
        </w:rPr>
        <w:tab/>
        <w:t xml:space="preserve">Le 14 mai 2007, le tribunal du district central de </w:t>
      </w:r>
      <w:proofErr w:type="spellStart"/>
      <w:r>
        <w:rPr>
          <w:lang w:val="fr-FR"/>
        </w:rPr>
        <w:t>Chita</w:t>
      </w:r>
      <w:proofErr w:type="spellEnd"/>
      <w:r>
        <w:rPr>
          <w:lang w:val="fr-FR"/>
        </w:rPr>
        <w:t xml:space="preserve"> a déclaré l’auteur coupable de tentatives de viol et l’a condamné à neuf ans d’emprisonnement</w:t>
      </w:r>
      <w:r w:rsidR="000738A7" w:rsidRPr="000738A7">
        <w:rPr>
          <w:lang w:val="fr-FR"/>
        </w:rPr>
        <w:t>.</w:t>
      </w:r>
      <w:r>
        <w:rPr>
          <w:lang w:val="fr-FR"/>
        </w:rPr>
        <w:t xml:space="preserve"> L’auteur a soutenu qu’on l’avait forcé à reconnaître sa culpabilité et qu’il s’agissait d’un coup monté par l’enquêteur, qui voulait prendre possession de son appartement par des moyens frauduleux</w:t>
      </w:r>
      <w:r w:rsidR="000738A7" w:rsidRPr="000738A7">
        <w:rPr>
          <w:lang w:val="fr-FR"/>
        </w:rPr>
        <w:t>.</w:t>
      </w:r>
      <w:r>
        <w:rPr>
          <w:lang w:val="fr-FR"/>
        </w:rPr>
        <w:t xml:space="preserve"> Il a affirmé qu’il n’aurait pas eu la force physique de commettre ces tentatives de viol parce qu’à l’époque des faits, il avait des côtes cassées</w:t>
      </w:r>
      <w:r w:rsidR="000738A7" w:rsidRPr="000738A7">
        <w:rPr>
          <w:lang w:val="fr-FR"/>
        </w:rPr>
        <w:t>.</w:t>
      </w:r>
      <w:r>
        <w:rPr>
          <w:lang w:val="fr-FR"/>
        </w:rPr>
        <w:t xml:space="preserve"> Le tribunal a rejeté les arguments de l’auteur, estimant qu’il tentait de « s’exonérer de sa responsabilité pénale »</w:t>
      </w:r>
      <w:r w:rsidR="000738A7" w:rsidRPr="000738A7">
        <w:rPr>
          <w:lang w:val="fr-FR"/>
        </w:rPr>
        <w:t>.</w:t>
      </w:r>
      <w:r>
        <w:rPr>
          <w:lang w:val="fr-FR"/>
        </w:rPr>
        <w:t xml:space="preserve"> Pendant le procès, l’auteur a demandé au tribunal d’autoriser P</w:t>
      </w:r>
      <w:r w:rsidR="000738A7" w:rsidRPr="000738A7">
        <w:rPr>
          <w:lang w:val="fr-FR"/>
        </w:rPr>
        <w:t>.</w:t>
      </w:r>
      <w:r>
        <w:rPr>
          <w:lang w:val="fr-FR"/>
        </w:rPr>
        <w:t>, une défenseuse des droits de l’homme, à le représenter, en plus de son avocat M</w:t>
      </w:r>
      <w:r w:rsidR="000738A7" w:rsidRPr="000738A7">
        <w:rPr>
          <w:lang w:val="fr-FR"/>
        </w:rPr>
        <w:t>.</w:t>
      </w:r>
      <w:r>
        <w:rPr>
          <w:lang w:val="fr-FR"/>
        </w:rPr>
        <w:t xml:space="preserve"> Le tribunal de première instance n’a cependant pas fait droit à cette demande, au motif que P</w:t>
      </w:r>
      <w:r w:rsidR="000738A7" w:rsidRPr="000738A7">
        <w:rPr>
          <w:lang w:val="fr-FR"/>
        </w:rPr>
        <w:t>.</w:t>
      </w:r>
      <w:r>
        <w:rPr>
          <w:lang w:val="fr-FR"/>
        </w:rPr>
        <w:t xml:space="preserve"> n’était pas une avocate agréée</w:t>
      </w:r>
      <w:r w:rsidR="000738A7" w:rsidRPr="000738A7">
        <w:rPr>
          <w:lang w:val="fr-FR"/>
        </w:rPr>
        <w:t>.</w:t>
      </w:r>
    </w:p>
    <w:p w14:paraId="64DF6677" w14:textId="395F68D3" w:rsidR="007E477C" w:rsidRPr="00817373" w:rsidRDefault="007E477C" w:rsidP="007E477C">
      <w:pPr>
        <w:pStyle w:val="SingleTxtG"/>
        <w:rPr>
          <w:lang w:val="fr-FR"/>
        </w:rPr>
      </w:pPr>
      <w:r>
        <w:rPr>
          <w:lang w:val="fr-FR"/>
        </w:rPr>
        <w:t>2</w:t>
      </w:r>
      <w:r w:rsidR="000738A7" w:rsidRPr="000738A7">
        <w:rPr>
          <w:lang w:val="fr-FR"/>
        </w:rPr>
        <w:t>.</w:t>
      </w:r>
      <w:r>
        <w:rPr>
          <w:lang w:val="fr-FR"/>
        </w:rPr>
        <w:t>4</w:t>
      </w:r>
      <w:r>
        <w:rPr>
          <w:lang w:val="fr-FR"/>
        </w:rPr>
        <w:tab/>
        <w:t xml:space="preserve">Le 29 octobre 2007, le tribunal régional de </w:t>
      </w:r>
      <w:proofErr w:type="spellStart"/>
      <w:r>
        <w:rPr>
          <w:lang w:val="fr-FR"/>
        </w:rPr>
        <w:t>Chita</w:t>
      </w:r>
      <w:proofErr w:type="spellEnd"/>
      <w:r>
        <w:rPr>
          <w:lang w:val="fr-FR"/>
        </w:rPr>
        <w:t xml:space="preserve"> a débouté l’auteur de son pourvoi en cassation et confirmé le jugement rendu contre lui</w:t>
      </w:r>
      <w:r w:rsidR="000738A7" w:rsidRPr="000738A7">
        <w:rPr>
          <w:lang w:val="fr-FR"/>
        </w:rPr>
        <w:t>.</w:t>
      </w:r>
      <w:r>
        <w:rPr>
          <w:lang w:val="fr-FR"/>
        </w:rPr>
        <w:t xml:space="preserve"> Le 5 mai 2008, la Cour suprême a rejeté la demande de réexamen introduite par l’auteur au titre de la procédure de contrôle juridictionnel</w:t>
      </w:r>
      <w:r w:rsidR="000738A7" w:rsidRPr="000738A7">
        <w:rPr>
          <w:lang w:val="fr-FR"/>
        </w:rPr>
        <w:t>.</w:t>
      </w:r>
      <w:r>
        <w:rPr>
          <w:lang w:val="fr-FR"/>
        </w:rPr>
        <w:t xml:space="preserve"> En 2013, l’auteur a déposé une nouvelle demande de réexamen, qui a été rejetée le 18 avril 2013 par le Vice-Président de la Cour suprême</w:t>
      </w:r>
      <w:r w:rsidR="000738A7" w:rsidRPr="000738A7">
        <w:rPr>
          <w:lang w:val="fr-FR"/>
        </w:rPr>
        <w:t>.</w:t>
      </w:r>
    </w:p>
    <w:p w14:paraId="696AD69E" w14:textId="435E9877" w:rsidR="007E477C" w:rsidRPr="00817373" w:rsidRDefault="007E477C" w:rsidP="007E477C">
      <w:pPr>
        <w:pStyle w:val="SingleTxtG"/>
        <w:rPr>
          <w:lang w:val="fr-FR"/>
        </w:rPr>
      </w:pPr>
      <w:r>
        <w:rPr>
          <w:lang w:val="fr-FR"/>
        </w:rPr>
        <w:t>2</w:t>
      </w:r>
      <w:r w:rsidR="000738A7" w:rsidRPr="000738A7">
        <w:rPr>
          <w:lang w:val="fr-FR"/>
        </w:rPr>
        <w:t>.</w:t>
      </w:r>
      <w:r>
        <w:rPr>
          <w:lang w:val="fr-FR"/>
        </w:rPr>
        <w:t>5</w:t>
      </w:r>
      <w:r>
        <w:rPr>
          <w:lang w:val="fr-FR"/>
        </w:rPr>
        <w:tab/>
        <w:t>Le 8 février 2010, l’auteur a porté plainte contre l’enquêteur devant le département du Comité d’enquête pour le district central, l’accusant de l’avoir torturé dans le but de s’approprier son appartement par des moyens frauduleux</w:t>
      </w:r>
      <w:r w:rsidR="000738A7" w:rsidRPr="000738A7">
        <w:rPr>
          <w:lang w:val="fr-FR"/>
        </w:rPr>
        <w:t>.</w:t>
      </w:r>
      <w:r>
        <w:rPr>
          <w:lang w:val="fr-FR"/>
        </w:rPr>
        <w:t xml:space="preserve"> Entre 2010 et 2013, le département a rendu un certain nombre de décisions par lesquelles il a refusé d’engager des poursuites pénales contre l’enquêteur</w:t>
      </w:r>
      <w:r w:rsidR="000738A7" w:rsidRPr="000738A7">
        <w:rPr>
          <w:lang w:val="fr-FR"/>
        </w:rPr>
        <w:t>.</w:t>
      </w:r>
      <w:r>
        <w:rPr>
          <w:lang w:val="fr-FR"/>
        </w:rPr>
        <w:t xml:space="preserve"> Ces décisions ont toutes été annulées par les instances de contrôle en raison du caractère incomplet ou de la durée excessive de l’enquête</w:t>
      </w:r>
      <w:r w:rsidR="000738A7" w:rsidRPr="000738A7">
        <w:rPr>
          <w:lang w:val="fr-FR"/>
        </w:rPr>
        <w:t>.</w:t>
      </w:r>
      <w:r>
        <w:rPr>
          <w:lang w:val="fr-FR"/>
        </w:rPr>
        <w:t xml:space="preserve"> Le dernier refus d’engager des poursuites, qui date du 24 juillet 2013, a été signé par le chef adjoint du département du Comité d’enquête pour le district central et était motivé par le fait que les allégations de l’auteur n’avaient pu être ni vérifiées ni réfutées dans le cadre de l’enquête préliminaire menée par le département</w:t>
      </w:r>
      <w:r w:rsidR="000738A7" w:rsidRPr="000738A7">
        <w:rPr>
          <w:lang w:val="fr-FR"/>
        </w:rPr>
        <w:t>.</w:t>
      </w:r>
      <w:r>
        <w:rPr>
          <w:lang w:val="fr-FR"/>
        </w:rPr>
        <w:t xml:space="preserve"> Le 16 septembre 2013, cette décision de refus a été annulée par le chef du département, qui a ordonné que l’on retrouve et entende un certain nombre de témoins supplémentaires</w:t>
      </w:r>
      <w:r w:rsidR="000738A7" w:rsidRPr="000738A7">
        <w:rPr>
          <w:lang w:val="fr-FR"/>
        </w:rPr>
        <w:t>.</w:t>
      </w:r>
      <w:r>
        <w:rPr>
          <w:lang w:val="fr-FR"/>
        </w:rPr>
        <w:t xml:space="preserve"> Il semble qu’au moment où l’auteur a soumis la présente communication, sa plainte était toujours en cours d’instruction</w:t>
      </w:r>
      <w:r w:rsidR="000738A7" w:rsidRPr="000738A7">
        <w:rPr>
          <w:lang w:val="fr-FR"/>
        </w:rPr>
        <w:t>.</w:t>
      </w:r>
    </w:p>
    <w:p w14:paraId="42B8611C" w14:textId="77777777" w:rsidR="007E477C" w:rsidRPr="00817373" w:rsidRDefault="007E477C" w:rsidP="007E477C">
      <w:pPr>
        <w:pStyle w:val="H23G"/>
        <w:rPr>
          <w:lang w:val="fr-FR"/>
        </w:rPr>
      </w:pPr>
      <w:r>
        <w:rPr>
          <w:lang w:val="fr-FR"/>
        </w:rPr>
        <w:tab/>
      </w:r>
      <w:r>
        <w:rPr>
          <w:lang w:val="fr-FR"/>
        </w:rPr>
        <w:tab/>
        <w:t>Teneur de la plainte</w:t>
      </w:r>
    </w:p>
    <w:p w14:paraId="367256B9" w14:textId="4FACBB6E" w:rsidR="007E477C" w:rsidRPr="00817373" w:rsidRDefault="007E477C" w:rsidP="007E477C">
      <w:pPr>
        <w:pStyle w:val="SingleTxtG"/>
        <w:rPr>
          <w:lang w:val="fr-FR"/>
        </w:rPr>
      </w:pPr>
      <w:r>
        <w:rPr>
          <w:lang w:val="fr-FR"/>
        </w:rPr>
        <w:t>3</w:t>
      </w:r>
      <w:r w:rsidR="000738A7" w:rsidRPr="000738A7">
        <w:rPr>
          <w:lang w:val="fr-FR"/>
        </w:rPr>
        <w:t>.</w:t>
      </w:r>
      <w:r>
        <w:rPr>
          <w:lang w:val="fr-FR"/>
        </w:rPr>
        <w:t>1</w:t>
      </w:r>
      <w:r>
        <w:rPr>
          <w:lang w:val="fr-FR"/>
        </w:rPr>
        <w:tab/>
        <w:t>L’auteur affirme, sans donner de détail ou de certificat médical au sujet de ses blessures, qu’il a été torturé et maltraité par l’enquêteur, et qu’on l’a forcé à reconnaître sa culpabilité, ce qui constitue une violation des articles 7 et 14 (par</w:t>
      </w:r>
      <w:r w:rsidR="000738A7" w:rsidRPr="000738A7">
        <w:rPr>
          <w:lang w:val="fr-FR"/>
        </w:rPr>
        <w:t>.</w:t>
      </w:r>
      <w:r>
        <w:rPr>
          <w:lang w:val="fr-FR"/>
        </w:rPr>
        <w:t> 3 g)) du Pacte</w:t>
      </w:r>
      <w:r w:rsidR="000738A7" w:rsidRPr="000738A7">
        <w:rPr>
          <w:lang w:val="fr-FR"/>
        </w:rPr>
        <w:t>.</w:t>
      </w:r>
    </w:p>
    <w:p w14:paraId="5B75D218" w14:textId="11992555" w:rsidR="007E477C" w:rsidRPr="00817373" w:rsidRDefault="007E477C" w:rsidP="007E477C">
      <w:pPr>
        <w:pStyle w:val="SingleTxtG"/>
        <w:rPr>
          <w:lang w:val="fr-FR"/>
        </w:rPr>
      </w:pPr>
      <w:r>
        <w:rPr>
          <w:lang w:val="fr-FR"/>
        </w:rPr>
        <w:t>3</w:t>
      </w:r>
      <w:r w:rsidR="000738A7" w:rsidRPr="000738A7">
        <w:rPr>
          <w:lang w:val="fr-FR"/>
        </w:rPr>
        <w:t>.</w:t>
      </w:r>
      <w:r>
        <w:rPr>
          <w:lang w:val="fr-FR"/>
        </w:rPr>
        <w:t>2</w:t>
      </w:r>
      <w:r>
        <w:rPr>
          <w:lang w:val="fr-FR"/>
        </w:rPr>
        <w:tab/>
        <w:t>L’auteur soutient que les poursuites pénales engagées contre lui constituaient une violation de l’article 14 (par</w:t>
      </w:r>
      <w:r w:rsidR="000738A7" w:rsidRPr="000738A7">
        <w:rPr>
          <w:lang w:val="fr-FR"/>
        </w:rPr>
        <w:t>.</w:t>
      </w:r>
      <w:r>
        <w:rPr>
          <w:lang w:val="fr-FR"/>
        </w:rPr>
        <w:t> 1) du Pacte</w:t>
      </w:r>
      <w:r w:rsidR="000738A7" w:rsidRPr="000738A7">
        <w:rPr>
          <w:lang w:val="fr-FR"/>
        </w:rPr>
        <w:t>.</w:t>
      </w:r>
      <w:r>
        <w:rPr>
          <w:lang w:val="fr-FR"/>
        </w:rPr>
        <w:t xml:space="preserve"> Il conteste l’issue de la procédure et l’appréciation des preuves par les juridictions internes</w:t>
      </w:r>
      <w:r w:rsidR="000738A7" w:rsidRPr="000738A7">
        <w:rPr>
          <w:lang w:val="fr-FR"/>
        </w:rPr>
        <w:t>.</w:t>
      </w:r>
      <w:r>
        <w:rPr>
          <w:lang w:val="fr-FR"/>
        </w:rPr>
        <w:t xml:space="preserve"> Il soutient que sa plainte concernant les aveux qui lui ont été extorqués en l’absence d’un avocat n’a jamais été examinée en bonne et due forme</w:t>
      </w:r>
      <w:r w:rsidR="000738A7" w:rsidRPr="000738A7">
        <w:rPr>
          <w:lang w:val="fr-FR"/>
        </w:rPr>
        <w:t>.</w:t>
      </w:r>
      <w:r>
        <w:rPr>
          <w:lang w:val="fr-FR"/>
        </w:rPr>
        <w:t xml:space="preserve"> Il affirme avoir été déclaré coupable en raison de sa précédente condamnation pour viol, ce qui constitue une violation de son droit à la présomption d’innocence</w:t>
      </w:r>
      <w:r w:rsidRPr="007E477C">
        <w:rPr>
          <w:rStyle w:val="Appelnotedebasdep"/>
        </w:rPr>
        <w:footnoteReference w:id="4"/>
      </w:r>
      <w:r w:rsidR="000738A7" w:rsidRPr="000738A7">
        <w:rPr>
          <w:lang w:val="fr-FR"/>
        </w:rPr>
        <w:t>.</w:t>
      </w:r>
      <w:r>
        <w:rPr>
          <w:lang w:val="fr-FR"/>
        </w:rPr>
        <w:t xml:space="preserve"> Il avance qu’un certain nombre de témoins n’ont pas été entendus et qu’il n’a pas eu la possibilité de prendre connaissance de l’acte d’accusation dans sa version intégrale</w:t>
      </w:r>
      <w:r w:rsidR="000738A7" w:rsidRPr="000738A7">
        <w:rPr>
          <w:lang w:val="fr-FR"/>
        </w:rPr>
        <w:t>.</w:t>
      </w:r>
    </w:p>
    <w:p w14:paraId="5209C938" w14:textId="05F4CB09" w:rsidR="007E477C" w:rsidRPr="00817373" w:rsidRDefault="007E477C" w:rsidP="007E477C">
      <w:pPr>
        <w:pStyle w:val="SingleTxtG"/>
        <w:rPr>
          <w:lang w:val="fr-FR"/>
        </w:rPr>
      </w:pPr>
      <w:r>
        <w:rPr>
          <w:lang w:val="fr-FR"/>
        </w:rPr>
        <w:t>3</w:t>
      </w:r>
      <w:r w:rsidR="000738A7" w:rsidRPr="000738A7">
        <w:rPr>
          <w:lang w:val="fr-FR"/>
        </w:rPr>
        <w:t>.</w:t>
      </w:r>
      <w:r>
        <w:rPr>
          <w:lang w:val="fr-FR"/>
        </w:rPr>
        <w:t>3</w:t>
      </w:r>
      <w:r>
        <w:rPr>
          <w:lang w:val="fr-FR"/>
        </w:rPr>
        <w:tab/>
        <w:t>L’auteur affirme que le tribunal de première instance a violé les droits qui lui sont reconnus par l’article 14 (par</w:t>
      </w:r>
      <w:r w:rsidR="000738A7" w:rsidRPr="000738A7">
        <w:rPr>
          <w:lang w:val="fr-FR"/>
        </w:rPr>
        <w:t>.</w:t>
      </w:r>
      <w:r>
        <w:rPr>
          <w:lang w:val="fr-FR"/>
        </w:rPr>
        <w:t> 3 d)) en n’autorisant pas P</w:t>
      </w:r>
      <w:r w:rsidR="000738A7" w:rsidRPr="000738A7">
        <w:rPr>
          <w:lang w:val="fr-FR"/>
        </w:rPr>
        <w:t>.</w:t>
      </w:r>
      <w:r>
        <w:rPr>
          <w:lang w:val="fr-FR"/>
        </w:rPr>
        <w:t xml:space="preserve"> à le représenter lors du procès</w:t>
      </w:r>
      <w:r w:rsidR="000738A7" w:rsidRPr="000738A7">
        <w:rPr>
          <w:lang w:val="fr-FR"/>
        </w:rPr>
        <w:t>.</w:t>
      </w:r>
    </w:p>
    <w:p w14:paraId="5C7955C3" w14:textId="1C55FB7A" w:rsidR="007E477C" w:rsidRPr="00817373" w:rsidRDefault="007E477C" w:rsidP="007E477C">
      <w:pPr>
        <w:pStyle w:val="SingleTxtG"/>
        <w:rPr>
          <w:lang w:val="fr-FR"/>
        </w:rPr>
      </w:pPr>
      <w:r>
        <w:rPr>
          <w:lang w:val="fr-FR"/>
        </w:rPr>
        <w:t>3</w:t>
      </w:r>
      <w:r w:rsidR="000738A7" w:rsidRPr="000738A7">
        <w:rPr>
          <w:lang w:val="fr-FR"/>
        </w:rPr>
        <w:t>.</w:t>
      </w:r>
      <w:r>
        <w:rPr>
          <w:lang w:val="fr-FR"/>
        </w:rPr>
        <w:t>4</w:t>
      </w:r>
      <w:r>
        <w:rPr>
          <w:lang w:val="fr-FR"/>
        </w:rPr>
        <w:tab/>
        <w:t>L’auteur affirme également qu’il y a eu violation des articles 9, 10 et 14 (par</w:t>
      </w:r>
      <w:r w:rsidR="000738A7" w:rsidRPr="000738A7">
        <w:rPr>
          <w:lang w:val="fr-FR"/>
        </w:rPr>
        <w:t>.</w:t>
      </w:r>
      <w:r>
        <w:rPr>
          <w:lang w:val="fr-FR"/>
        </w:rPr>
        <w:t> 3 a) et e)) du Pacte, sans toutefois donner de précision à ce sujet</w:t>
      </w:r>
      <w:r w:rsidR="000738A7" w:rsidRPr="000738A7">
        <w:rPr>
          <w:lang w:val="fr-FR"/>
        </w:rPr>
        <w:t>.</w:t>
      </w:r>
    </w:p>
    <w:p w14:paraId="35DC13AD" w14:textId="77777777" w:rsidR="007E477C" w:rsidRPr="00817373" w:rsidRDefault="007E477C" w:rsidP="007E477C">
      <w:pPr>
        <w:pStyle w:val="H23G"/>
        <w:rPr>
          <w:lang w:val="fr-FR"/>
        </w:rPr>
      </w:pPr>
      <w:r>
        <w:rPr>
          <w:lang w:val="fr-FR"/>
        </w:rPr>
        <w:lastRenderedPageBreak/>
        <w:tab/>
      </w:r>
      <w:r>
        <w:rPr>
          <w:lang w:val="fr-FR"/>
        </w:rPr>
        <w:tab/>
        <w:t>Observations de l’État partie sur la recevabilité</w:t>
      </w:r>
    </w:p>
    <w:p w14:paraId="56EB94A9" w14:textId="0AA946A5" w:rsidR="007E477C" w:rsidRPr="00817373" w:rsidRDefault="007E477C" w:rsidP="007E477C">
      <w:pPr>
        <w:pStyle w:val="SingleTxtG"/>
        <w:rPr>
          <w:lang w:val="fr-FR"/>
        </w:rPr>
      </w:pPr>
      <w:r>
        <w:rPr>
          <w:lang w:val="fr-FR"/>
        </w:rPr>
        <w:t>4</w:t>
      </w:r>
      <w:r w:rsidR="000738A7" w:rsidRPr="000738A7">
        <w:rPr>
          <w:lang w:val="fr-FR"/>
        </w:rPr>
        <w:t>.</w:t>
      </w:r>
      <w:r>
        <w:rPr>
          <w:lang w:val="fr-FR"/>
        </w:rPr>
        <w:t>1</w:t>
      </w:r>
      <w:r>
        <w:rPr>
          <w:lang w:val="fr-FR"/>
        </w:rPr>
        <w:tab/>
        <w:t>Par une note verbale du 6 octobre 2014, l’État partie a fait part de ses observations sur la recevabilité</w:t>
      </w:r>
      <w:r w:rsidR="000738A7" w:rsidRPr="000738A7">
        <w:rPr>
          <w:lang w:val="fr-FR"/>
        </w:rPr>
        <w:t>.</w:t>
      </w:r>
      <w:r>
        <w:rPr>
          <w:lang w:val="fr-FR"/>
        </w:rPr>
        <w:t xml:space="preserve"> Il relève que, le 14 mai 2007, l’auteur a été reconnu coupable de tentative de viol sur L</w:t>
      </w:r>
      <w:r w:rsidR="000738A7" w:rsidRPr="000738A7">
        <w:rPr>
          <w:lang w:val="fr-FR"/>
        </w:rPr>
        <w:t>.</w:t>
      </w:r>
      <w:r>
        <w:rPr>
          <w:lang w:val="fr-FR"/>
        </w:rPr>
        <w:t xml:space="preserve"> et M</w:t>
      </w:r>
      <w:r w:rsidR="000738A7" w:rsidRPr="000738A7">
        <w:rPr>
          <w:lang w:val="fr-FR"/>
        </w:rPr>
        <w:t>.</w:t>
      </w:r>
      <w:r>
        <w:rPr>
          <w:lang w:val="fr-FR"/>
        </w:rPr>
        <w:t xml:space="preserve">, et condamné à une peine de neuf années d’emprisonnement par le tribunal du district central de </w:t>
      </w:r>
      <w:proofErr w:type="spellStart"/>
      <w:r>
        <w:rPr>
          <w:lang w:val="fr-FR"/>
        </w:rPr>
        <w:t>Chita</w:t>
      </w:r>
      <w:proofErr w:type="spellEnd"/>
      <w:r w:rsidR="000738A7" w:rsidRPr="000738A7">
        <w:rPr>
          <w:lang w:val="fr-FR"/>
        </w:rPr>
        <w:t>.</w:t>
      </w:r>
      <w:r>
        <w:rPr>
          <w:lang w:val="fr-FR"/>
        </w:rPr>
        <w:t xml:space="preserve"> Le 29 octobre 2007, le jugement a été confirmé par le tribunal régional de </w:t>
      </w:r>
      <w:proofErr w:type="spellStart"/>
      <w:r>
        <w:rPr>
          <w:lang w:val="fr-FR"/>
        </w:rPr>
        <w:t>Chita</w:t>
      </w:r>
      <w:proofErr w:type="spellEnd"/>
      <w:r w:rsidR="000738A7" w:rsidRPr="000738A7">
        <w:rPr>
          <w:lang w:val="fr-FR"/>
        </w:rPr>
        <w:t>.</w:t>
      </w:r>
      <w:r>
        <w:rPr>
          <w:lang w:val="fr-FR"/>
        </w:rPr>
        <w:t xml:space="preserve"> Le 5 mai 2008, la Cour suprême a rejeté la demande de réexamen au titre de la procédure de contrôle juridictionnel qui avait été introduite par l’auteur</w:t>
      </w:r>
      <w:r w:rsidR="000738A7" w:rsidRPr="000738A7">
        <w:rPr>
          <w:lang w:val="fr-FR"/>
        </w:rPr>
        <w:t>.</w:t>
      </w:r>
      <w:r>
        <w:rPr>
          <w:lang w:val="fr-FR"/>
        </w:rPr>
        <w:t xml:space="preserve"> Une nouvelle demande de réexamen a été rejetée le 18 avril 2013 par le Vice-Président de la Cour suprême</w:t>
      </w:r>
      <w:r w:rsidR="000738A7" w:rsidRPr="000738A7">
        <w:rPr>
          <w:lang w:val="fr-FR"/>
        </w:rPr>
        <w:t>.</w:t>
      </w:r>
    </w:p>
    <w:p w14:paraId="26B2F5CE" w14:textId="7F79D482" w:rsidR="007E477C" w:rsidRPr="00817373" w:rsidRDefault="007E477C" w:rsidP="007E477C">
      <w:pPr>
        <w:pStyle w:val="SingleTxtG"/>
        <w:rPr>
          <w:lang w:val="fr-FR"/>
        </w:rPr>
      </w:pPr>
      <w:r>
        <w:rPr>
          <w:lang w:val="fr-FR"/>
        </w:rPr>
        <w:t>4</w:t>
      </w:r>
      <w:r w:rsidR="000738A7" w:rsidRPr="000738A7">
        <w:rPr>
          <w:lang w:val="fr-FR"/>
        </w:rPr>
        <w:t>.</w:t>
      </w:r>
      <w:r>
        <w:rPr>
          <w:lang w:val="fr-FR"/>
        </w:rPr>
        <w:t>2</w:t>
      </w:r>
      <w:r>
        <w:rPr>
          <w:lang w:val="fr-FR"/>
        </w:rPr>
        <w:tab/>
        <w:t>Selon l’État partie, les droits de l’auteur et le principe général de l’égalité des moyens ont été dûment respectés pendant le procès</w:t>
      </w:r>
      <w:r w:rsidR="000738A7" w:rsidRPr="000738A7">
        <w:rPr>
          <w:lang w:val="fr-FR"/>
        </w:rPr>
        <w:t>.</w:t>
      </w:r>
      <w:r>
        <w:rPr>
          <w:lang w:val="fr-FR"/>
        </w:rPr>
        <w:t xml:space="preserve"> L’auteur et son avocat ont activement participé à la procédure ; ils ont été en mesure de présenter tous leurs éléments de preuve et de contester les arguments de l’accusation</w:t>
      </w:r>
      <w:r w:rsidR="000738A7" w:rsidRPr="000738A7">
        <w:rPr>
          <w:lang w:val="fr-FR"/>
        </w:rPr>
        <w:t>.</w:t>
      </w:r>
      <w:r>
        <w:rPr>
          <w:lang w:val="fr-FR"/>
        </w:rPr>
        <w:t xml:space="preserve"> Toutes les requêtes présentées par la défense ont été examinées par le tribunal, qui a fait droit à plusieurs d’entre elles, notamment celles tendant à faire remplacer l’avocat de la défense, examiner des preuves, procéder au contre-interrogatoire de témoins à charge et faire réaliser une expertise médico-légale</w:t>
      </w:r>
      <w:r w:rsidR="000738A7" w:rsidRPr="000738A7">
        <w:rPr>
          <w:lang w:val="fr-FR"/>
        </w:rPr>
        <w:t>.</w:t>
      </w:r>
      <w:r>
        <w:rPr>
          <w:lang w:val="fr-FR"/>
        </w:rPr>
        <w:t xml:space="preserve"> L’État partie relève que les allégations de l’auteur concernant des actes répréhensibles et la violation de ses droits par les autorités chargées de l’enquête ont été examinées par les tribunaux et jugées sans fondement</w:t>
      </w:r>
      <w:r w:rsidR="000738A7" w:rsidRPr="000738A7">
        <w:rPr>
          <w:lang w:val="fr-FR"/>
        </w:rPr>
        <w:t>.</w:t>
      </w:r>
    </w:p>
    <w:p w14:paraId="3A8CB495" w14:textId="33DDCCA1" w:rsidR="007E477C" w:rsidRPr="00817373" w:rsidRDefault="007E477C" w:rsidP="007E477C">
      <w:pPr>
        <w:pStyle w:val="SingleTxtG"/>
        <w:rPr>
          <w:lang w:val="fr-FR"/>
        </w:rPr>
      </w:pPr>
      <w:r>
        <w:rPr>
          <w:lang w:val="fr-FR"/>
        </w:rPr>
        <w:t>4</w:t>
      </w:r>
      <w:r w:rsidR="000738A7" w:rsidRPr="000738A7">
        <w:rPr>
          <w:lang w:val="fr-FR"/>
        </w:rPr>
        <w:t>.</w:t>
      </w:r>
      <w:r>
        <w:rPr>
          <w:lang w:val="fr-FR"/>
        </w:rPr>
        <w:t>3</w:t>
      </w:r>
      <w:r>
        <w:rPr>
          <w:lang w:val="fr-FR"/>
        </w:rPr>
        <w:tab/>
        <w:t>L’État partie soutient que la communication de l’auteur ne contient aucun argument ou élément de preuve objectif démontrant une violation des articles du Pacte qu’il a invoqués</w:t>
      </w:r>
      <w:r w:rsidR="000738A7" w:rsidRPr="000738A7">
        <w:rPr>
          <w:lang w:val="fr-FR"/>
        </w:rPr>
        <w:t>.</w:t>
      </w:r>
      <w:r>
        <w:rPr>
          <w:lang w:val="fr-FR"/>
        </w:rPr>
        <w:t xml:space="preserve"> L’insatisfaction de l’auteur quant à l’issue du procès, qui a été mené conformément au droit interne et aux obligations internationales de l’État partie, ne constitue pas une violation du Pacte</w:t>
      </w:r>
      <w:r w:rsidR="000738A7" w:rsidRPr="000738A7">
        <w:rPr>
          <w:lang w:val="fr-FR"/>
        </w:rPr>
        <w:t>.</w:t>
      </w:r>
      <w:r>
        <w:rPr>
          <w:lang w:val="fr-FR"/>
        </w:rPr>
        <w:t xml:space="preserve"> En conséquence, l’État partie considère que la présente communication relève d’un abus du droit de présenter des communications et qu’elle devrait être déclarée irrecevable au regard de l’article 3 du Protocole facultatif</w:t>
      </w:r>
      <w:r w:rsidR="000738A7" w:rsidRPr="000738A7">
        <w:rPr>
          <w:lang w:val="fr-FR"/>
        </w:rPr>
        <w:t>.</w:t>
      </w:r>
    </w:p>
    <w:p w14:paraId="42F87C50" w14:textId="3847A9EA" w:rsidR="007E477C" w:rsidRPr="00817373" w:rsidRDefault="007E477C" w:rsidP="007E477C">
      <w:pPr>
        <w:pStyle w:val="H23G"/>
        <w:rPr>
          <w:lang w:val="fr-FR"/>
        </w:rPr>
      </w:pPr>
      <w:r>
        <w:rPr>
          <w:lang w:val="fr-FR"/>
        </w:rPr>
        <w:tab/>
      </w:r>
      <w:r>
        <w:rPr>
          <w:lang w:val="fr-FR"/>
        </w:rPr>
        <w:tab/>
        <w:t xml:space="preserve">Commentaires de l’auteur sur les observations de l’État partie concernant </w:t>
      </w:r>
      <w:r>
        <w:rPr>
          <w:lang w:val="fr-FR"/>
        </w:rPr>
        <w:br/>
      </w:r>
      <w:r>
        <w:rPr>
          <w:lang w:val="fr-FR"/>
        </w:rPr>
        <w:t>la recevabilité</w:t>
      </w:r>
    </w:p>
    <w:p w14:paraId="51C5EE24" w14:textId="60D94194" w:rsidR="007E477C" w:rsidRPr="00817373" w:rsidRDefault="007E477C" w:rsidP="007E477C">
      <w:pPr>
        <w:pStyle w:val="SingleTxtG"/>
        <w:rPr>
          <w:lang w:val="fr-FR"/>
        </w:rPr>
      </w:pPr>
      <w:r>
        <w:rPr>
          <w:lang w:val="fr-FR"/>
        </w:rPr>
        <w:t>5</w:t>
      </w:r>
      <w:r w:rsidR="000738A7" w:rsidRPr="000738A7">
        <w:rPr>
          <w:lang w:val="fr-FR"/>
        </w:rPr>
        <w:t>.</w:t>
      </w:r>
      <w:r>
        <w:rPr>
          <w:lang w:val="fr-FR"/>
        </w:rPr>
        <w:tab/>
        <w:t>Le 8 décembre 2015, l’auteur a fait parvenir ses commentaires sur les observations de l’État partie concernant la recevabilité</w:t>
      </w:r>
      <w:r w:rsidR="000738A7" w:rsidRPr="000738A7">
        <w:rPr>
          <w:lang w:val="fr-FR"/>
        </w:rPr>
        <w:t>.</w:t>
      </w:r>
      <w:r>
        <w:rPr>
          <w:lang w:val="fr-FR"/>
        </w:rPr>
        <w:t xml:space="preserve"> Il fait observer que l’État partie n’a pas répondu à ses griefs et il maintient que la peine qu’il a purgée était illégale</w:t>
      </w:r>
      <w:r w:rsidR="000738A7" w:rsidRPr="000738A7">
        <w:rPr>
          <w:lang w:val="fr-FR"/>
        </w:rPr>
        <w:t>.</w:t>
      </w:r>
      <w:r>
        <w:rPr>
          <w:lang w:val="fr-FR"/>
        </w:rPr>
        <w:t xml:space="preserve"> Il ajoute qu’il a été libéré après avoir purgé sa peine</w:t>
      </w:r>
      <w:r w:rsidR="000738A7" w:rsidRPr="000738A7">
        <w:rPr>
          <w:lang w:val="fr-FR"/>
        </w:rPr>
        <w:t>.</w:t>
      </w:r>
    </w:p>
    <w:p w14:paraId="314DB631" w14:textId="77777777" w:rsidR="007E477C" w:rsidRPr="00817373" w:rsidRDefault="007E477C" w:rsidP="007E477C">
      <w:pPr>
        <w:pStyle w:val="H23G"/>
        <w:outlineLvl w:val="0"/>
        <w:rPr>
          <w:lang w:val="fr-FR"/>
        </w:rPr>
      </w:pPr>
      <w:r>
        <w:rPr>
          <w:lang w:val="fr-FR"/>
        </w:rPr>
        <w:tab/>
      </w:r>
      <w:r>
        <w:rPr>
          <w:lang w:val="fr-FR"/>
        </w:rPr>
        <w:tab/>
      </w:r>
      <w:r>
        <w:rPr>
          <w:bCs/>
          <w:lang w:val="fr-FR"/>
        </w:rPr>
        <w:t>Observations de l’État partie sur le fond</w:t>
      </w:r>
    </w:p>
    <w:p w14:paraId="0D534AD9" w14:textId="210BE418" w:rsidR="007E477C" w:rsidRPr="00817373" w:rsidRDefault="007E477C" w:rsidP="007E477C">
      <w:pPr>
        <w:pStyle w:val="SingleTxtG"/>
        <w:rPr>
          <w:lang w:val="fr-FR"/>
        </w:rPr>
      </w:pPr>
      <w:r>
        <w:rPr>
          <w:lang w:val="fr-FR"/>
        </w:rPr>
        <w:t>6</w:t>
      </w:r>
      <w:r w:rsidR="000738A7" w:rsidRPr="000738A7">
        <w:rPr>
          <w:lang w:val="fr-FR"/>
        </w:rPr>
        <w:t>.</w:t>
      </w:r>
      <w:r>
        <w:rPr>
          <w:lang w:val="fr-FR"/>
        </w:rPr>
        <w:t>1</w:t>
      </w:r>
      <w:r>
        <w:rPr>
          <w:lang w:val="fr-FR"/>
        </w:rPr>
        <w:tab/>
        <w:t>Par une note verbale du 6 mai 2016, l’État partie a fait part de ses observations sur le fond</w:t>
      </w:r>
      <w:r w:rsidR="000738A7" w:rsidRPr="000738A7">
        <w:rPr>
          <w:lang w:val="fr-FR"/>
        </w:rPr>
        <w:t>.</w:t>
      </w:r>
      <w:r>
        <w:rPr>
          <w:lang w:val="fr-FR"/>
        </w:rPr>
        <w:t xml:space="preserve"> Il réaffirme que les griefs de l’auteur, y compris ses allégations de torture et d’extorsion d’aveux, sont dénués de fondement et ont été examinés de manière approfondie par les juridictions internes</w:t>
      </w:r>
      <w:r w:rsidR="000738A7" w:rsidRPr="000738A7">
        <w:rPr>
          <w:lang w:val="fr-FR"/>
        </w:rPr>
        <w:t>.</w:t>
      </w:r>
      <w:r>
        <w:rPr>
          <w:lang w:val="fr-FR"/>
        </w:rPr>
        <w:t xml:space="preserve"> </w:t>
      </w:r>
    </w:p>
    <w:p w14:paraId="4F6B2087" w14:textId="4DD7CDB9" w:rsidR="007E477C" w:rsidRPr="00817373" w:rsidRDefault="007E477C" w:rsidP="007E477C">
      <w:pPr>
        <w:pStyle w:val="SingleTxtG"/>
        <w:rPr>
          <w:lang w:val="fr-FR"/>
        </w:rPr>
      </w:pPr>
      <w:r>
        <w:rPr>
          <w:lang w:val="fr-FR"/>
        </w:rPr>
        <w:t>6</w:t>
      </w:r>
      <w:r w:rsidR="000738A7" w:rsidRPr="000738A7">
        <w:rPr>
          <w:lang w:val="fr-FR"/>
        </w:rPr>
        <w:t>.</w:t>
      </w:r>
      <w:r>
        <w:rPr>
          <w:lang w:val="fr-FR"/>
        </w:rPr>
        <w:t>2</w:t>
      </w:r>
      <w:r>
        <w:rPr>
          <w:lang w:val="fr-FR"/>
        </w:rPr>
        <w:tab/>
        <w:t>En ce qui concerne l’affirmation de l’auteur selon laquelle il y a eu violation de son droit à la défense, l’État partie affirme que, conformément à la demande de l’auteur, son premier avocat Z</w:t>
      </w:r>
      <w:r w:rsidR="000738A7" w:rsidRPr="000738A7">
        <w:rPr>
          <w:lang w:val="fr-FR"/>
        </w:rPr>
        <w:t>.</w:t>
      </w:r>
      <w:r>
        <w:rPr>
          <w:lang w:val="fr-FR"/>
        </w:rPr>
        <w:t xml:space="preserve"> a été dessaisi de l’affaire et remplacé par un autre avocat, M</w:t>
      </w:r>
      <w:r w:rsidR="000738A7" w:rsidRPr="000738A7">
        <w:rPr>
          <w:lang w:val="fr-FR"/>
        </w:rPr>
        <w:t>.</w:t>
      </w:r>
      <w:r>
        <w:rPr>
          <w:lang w:val="fr-FR"/>
        </w:rPr>
        <w:t xml:space="preserve"> Pendant le procès, l’auteur a demandé au tribunal d’autoriser P</w:t>
      </w:r>
      <w:r w:rsidR="000738A7" w:rsidRPr="000738A7">
        <w:rPr>
          <w:lang w:val="fr-FR"/>
        </w:rPr>
        <w:t>.</w:t>
      </w:r>
      <w:r>
        <w:rPr>
          <w:lang w:val="fr-FR"/>
        </w:rPr>
        <w:t xml:space="preserve"> à rejoindre l’équipe chargée de sa défense, mais le tribunal n’a reçu aucun document attestant que P</w:t>
      </w:r>
      <w:r w:rsidR="000738A7" w:rsidRPr="000738A7">
        <w:rPr>
          <w:lang w:val="fr-FR"/>
        </w:rPr>
        <w:t>.</w:t>
      </w:r>
      <w:r>
        <w:rPr>
          <w:lang w:val="fr-FR"/>
        </w:rPr>
        <w:t xml:space="preserve"> était une avocate agréée</w:t>
      </w:r>
      <w:r w:rsidR="000738A7" w:rsidRPr="000738A7">
        <w:rPr>
          <w:lang w:val="fr-FR"/>
        </w:rPr>
        <w:t>.</w:t>
      </w:r>
      <w:r>
        <w:rPr>
          <w:lang w:val="fr-FR"/>
        </w:rPr>
        <w:t xml:space="preserve"> P</w:t>
      </w:r>
      <w:r w:rsidR="000738A7" w:rsidRPr="000738A7">
        <w:rPr>
          <w:lang w:val="fr-FR"/>
        </w:rPr>
        <w:t>.</w:t>
      </w:r>
      <w:r>
        <w:rPr>
          <w:lang w:val="fr-FR"/>
        </w:rPr>
        <w:t xml:space="preserve"> n’étant pas présente dans la salle d’audience, l’auteur, après avoir consulté son avocat M</w:t>
      </w:r>
      <w:r w:rsidR="000738A7" w:rsidRPr="000738A7">
        <w:rPr>
          <w:lang w:val="fr-FR"/>
        </w:rPr>
        <w:t>.</w:t>
      </w:r>
      <w:r>
        <w:rPr>
          <w:lang w:val="fr-FR"/>
        </w:rPr>
        <w:t>, a accepté que le procès se poursuive sachant qu’il ne serait assisté que par celui-ci</w:t>
      </w:r>
      <w:r w:rsidR="000738A7" w:rsidRPr="000738A7">
        <w:rPr>
          <w:lang w:val="fr-FR"/>
        </w:rPr>
        <w:t>.</w:t>
      </w:r>
      <w:r>
        <w:rPr>
          <w:lang w:val="fr-FR"/>
        </w:rPr>
        <w:t xml:space="preserve"> C’est ce même avocat qui a représenté l’auteur lors de la procédure de cassation</w:t>
      </w:r>
      <w:r w:rsidR="000738A7" w:rsidRPr="000738A7">
        <w:rPr>
          <w:lang w:val="fr-FR"/>
        </w:rPr>
        <w:t>.</w:t>
      </w:r>
    </w:p>
    <w:p w14:paraId="5BCBAFA3" w14:textId="77777777" w:rsidR="007E477C" w:rsidRPr="00817373" w:rsidRDefault="007E477C" w:rsidP="007E477C">
      <w:pPr>
        <w:pStyle w:val="H23G"/>
        <w:spacing w:afterLines="120" w:after="288"/>
        <w:outlineLvl w:val="0"/>
        <w:rPr>
          <w:lang w:val="fr-FR"/>
        </w:rPr>
      </w:pPr>
      <w:r>
        <w:rPr>
          <w:lang w:val="fr-FR"/>
        </w:rPr>
        <w:tab/>
      </w:r>
      <w:r>
        <w:rPr>
          <w:lang w:val="fr-FR"/>
        </w:rPr>
        <w:tab/>
      </w:r>
      <w:r>
        <w:rPr>
          <w:bCs/>
          <w:lang w:val="fr-FR"/>
        </w:rPr>
        <w:t>Délibérations du Comité</w:t>
      </w:r>
    </w:p>
    <w:p w14:paraId="301DDCD4" w14:textId="77777777" w:rsidR="007E477C" w:rsidRPr="00817373" w:rsidRDefault="007E477C" w:rsidP="007E477C">
      <w:pPr>
        <w:pStyle w:val="H4G"/>
        <w:outlineLvl w:val="0"/>
        <w:rPr>
          <w:i w:val="0"/>
          <w:lang w:val="fr-FR"/>
        </w:rPr>
      </w:pPr>
      <w:r>
        <w:rPr>
          <w:lang w:val="fr-FR"/>
        </w:rPr>
        <w:tab/>
      </w:r>
      <w:r>
        <w:rPr>
          <w:lang w:val="fr-FR"/>
        </w:rPr>
        <w:tab/>
      </w:r>
      <w:r>
        <w:rPr>
          <w:iCs/>
          <w:lang w:val="fr-FR"/>
        </w:rPr>
        <w:t>Examen de la recevabilité</w:t>
      </w:r>
    </w:p>
    <w:p w14:paraId="04AD77FA" w14:textId="6C4E3990" w:rsidR="007E477C" w:rsidRPr="00817373" w:rsidRDefault="007E477C" w:rsidP="007E477C">
      <w:pPr>
        <w:pStyle w:val="SingleTxtG"/>
        <w:rPr>
          <w:lang w:val="fr-FR"/>
        </w:rPr>
      </w:pPr>
      <w:r>
        <w:rPr>
          <w:lang w:val="fr-FR"/>
        </w:rPr>
        <w:t>7</w:t>
      </w:r>
      <w:r w:rsidR="000738A7" w:rsidRPr="000738A7">
        <w:rPr>
          <w:lang w:val="fr-FR"/>
        </w:rPr>
        <w:t>.</w:t>
      </w:r>
      <w:r>
        <w:rPr>
          <w:lang w:val="fr-FR"/>
        </w:rPr>
        <w:t>1</w:t>
      </w:r>
      <w:r>
        <w:rPr>
          <w:lang w:val="fr-FR"/>
        </w:rPr>
        <w:tab/>
        <w:t>Avant d’examiner tout grief formulé dans une communication, le Comité des droits de l’homme doit, conformément à l’article 97 de son règlement intérieur, déterminer si la communication est recevable au regard du Protocole facultatif se rapportant au Pacte</w:t>
      </w:r>
      <w:r w:rsidR="000738A7" w:rsidRPr="000738A7">
        <w:rPr>
          <w:lang w:val="fr-FR"/>
        </w:rPr>
        <w:t>.</w:t>
      </w:r>
    </w:p>
    <w:p w14:paraId="0DE065D3" w14:textId="2D89518A" w:rsidR="007E477C" w:rsidRPr="00817373" w:rsidRDefault="007E477C" w:rsidP="007E477C">
      <w:pPr>
        <w:pStyle w:val="SingleTxtG"/>
        <w:rPr>
          <w:lang w:val="fr-FR"/>
        </w:rPr>
      </w:pPr>
      <w:r>
        <w:rPr>
          <w:lang w:val="fr-FR"/>
        </w:rPr>
        <w:t>7</w:t>
      </w:r>
      <w:r w:rsidR="000738A7" w:rsidRPr="000738A7">
        <w:rPr>
          <w:lang w:val="fr-FR"/>
        </w:rPr>
        <w:t>.</w:t>
      </w:r>
      <w:r>
        <w:rPr>
          <w:lang w:val="fr-FR"/>
        </w:rPr>
        <w:t>2</w:t>
      </w:r>
      <w:r>
        <w:rPr>
          <w:lang w:val="fr-FR"/>
        </w:rPr>
        <w:tab/>
        <w:t>Aux termes de l’article 5 (par</w:t>
      </w:r>
      <w:r w:rsidR="000738A7" w:rsidRPr="000738A7">
        <w:rPr>
          <w:lang w:val="fr-FR"/>
        </w:rPr>
        <w:t>.</w:t>
      </w:r>
      <w:r>
        <w:rPr>
          <w:lang w:val="fr-FR"/>
        </w:rPr>
        <w:t> 2 a)) du Protocole facultatif, le C</w:t>
      </w:r>
      <w:r w:rsidRPr="00002348">
        <w:rPr>
          <w:lang w:val="fr-FR"/>
        </w:rPr>
        <w:t>omité n</w:t>
      </w:r>
      <w:r>
        <w:rPr>
          <w:lang w:val="fr-FR"/>
        </w:rPr>
        <w:t>’</w:t>
      </w:r>
      <w:r w:rsidRPr="00002348">
        <w:rPr>
          <w:lang w:val="fr-FR"/>
        </w:rPr>
        <w:t>examinera aucune communication d</w:t>
      </w:r>
      <w:r>
        <w:rPr>
          <w:lang w:val="fr-FR"/>
        </w:rPr>
        <w:t>’</w:t>
      </w:r>
      <w:r w:rsidRPr="00002348">
        <w:rPr>
          <w:lang w:val="fr-FR"/>
        </w:rPr>
        <w:t>un particulier sans s</w:t>
      </w:r>
      <w:r>
        <w:rPr>
          <w:lang w:val="fr-FR"/>
        </w:rPr>
        <w:t>’</w:t>
      </w:r>
      <w:r w:rsidRPr="00002348">
        <w:rPr>
          <w:lang w:val="fr-FR"/>
        </w:rPr>
        <w:t>être assuré</w:t>
      </w:r>
      <w:r>
        <w:rPr>
          <w:lang w:val="fr-FR"/>
        </w:rPr>
        <w:t xml:space="preserve"> que la même question n’était pas déjà en cours d’examen devant une autre instance internationale d’enquête ou de règlement</w:t>
      </w:r>
      <w:r w:rsidR="000738A7" w:rsidRPr="000738A7">
        <w:rPr>
          <w:lang w:val="fr-FR"/>
        </w:rPr>
        <w:t>.</w:t>
      </w:r>
    </w:p>
    <w:p w14:paraId="74AF055F" w14:textId="56EF95BA" w:rsidR="007E477C" w:rsidRPr="00817373" w:rsidRDefault="007E477C" w:rsidP="007E477C">
      <w:pPr>
        <w:pStyle w:val="SingleTxtG"/>
        <w:rPr>
          <w:lang w:val="fr-FR"/>
        </w:rPr>
      </w:pPr>
      <w:r>
        <w:rPr>
          <w:lang w:val="fr-FR"/>
        </w:rPr>
        <w:lastRenderedPageBreak/>
        <w:t>7</w:t>
      </w:r>
      <w:r w:rsidR="000738A7" w:rsidRPr="000738A7">
        <w:rPr>
          <w:lang w:val="fr-FR"/>
        </w:rPr>
        <w:t>.</w:t>
      </w:r>
      <w:r>
        <w:rPr>
          <w:lang w:val="fr-FR"/>
        </w:rPr>
        <w:t>3</w:t>
      </w:r>
      <w:r>
        <w:rPr>
          <w:lang w:val="fr-FR"/>
        </w:rPr>
        <w:tab/>
        <w:t>Le Comité constate que l’auteur a soumis la présente communication le 9 janvier 2014, soit plus de six ans après que la décision, par laquelle la cour de cassation confirmait le jugement de première instance le condamnant à neuf années d’emprisonnement, eut acquis force de chose jugée, et cinq ans et huit mois après le rejet, par la Cour suprême le 5 mai 2008, de sa première demande de réexamen au titre de la procédure de contrôle juridictionnel</w:t>
      </w:r>
      <w:r w:rsidR="000738A7" w:rsidRPr="000738A7">
        <w:rPr>
          <w:lang w:val="fr-FR"/>
        </w:rPr>
        <w:t>.</w:t>
      </w:r>
      <w:r>
        <w:rPr>
          <w:lang w:val="fr-FR"/>
        </w:rPr>
        <w:t xml:space="preserve"> Même si l’auteur a déposé, en 2013, une nouvelle demande de réexamen qui a été rejetée le 18 avril 2013 par le Vice-Président de la Cour suprême, la présente communication ne semble pas contenir d’éléments nouveaux qui soient distincts des irrégularités de procédure que l’auteur avait déjà soulevées dans le cadre de sa première demande de réexamen au titre de la procédure de contrôle</w:t>
      </w:r>
      <w:r w:rsidR="000738A7" w:rsidRPr="000738A7">
        <w:rPr>
          <w:lang w:val="fr-FR"/>
        </w:rPr>
        <w:t>.</w:t>
      </w:r>
      <w:r>
        <w:rPr>
          <w:lang w:val="fr-FR"/>
        </w:rPr>
        <w:t xml:space="preserve"> Le Comité observe que le Protocole facultatif ne fixe aucun délai pour soumettre des communications et qu’un simple retard dans la présentation ne saurait constituer en soi un abus du droit de présenter une communication</w:t>
      </w:r>
      <w:r w:rsidRPr="007E477C">
        <w:rPr>
          <w:rStyle w:val="Appelnotedebasdep"/>
        </w:rPr>
        <w:footnoteReference w:id="5"/>
      </w:r>
      <w:r w:rsidR="000738A7" w:rsidRPr="000738A7">
        <w:rPr>
          <w:lang w:val="fr-FR"/>
        </w:rPr>
        <w:t>.</w:t>
      </w:r>
      <w:r>
        <w:rPr>
          <w:lang w:val="fr-FR"/>
        </w:rPr>
        <w:t xml:space="preserve"> T</w:t>
      </w:r>
      <w:r w:rsidRPr="0039573E">
        <w:rPr>
          <w:lang w:val="fr-FR"/>
        </w:rPr>
        <w:t>outefois, il peut y avoir abus du droit de plainte si la communication est soumise cinq ans après l</w:t>
      </w:r>
      <w:r>
        <w:rPr>
          <w:lang w:val="fr-FR"/>
        </w:rPr>
        <w:t>’</w:t>
      </w:r>
      <w:r w:rsidRPr="0039573E">
        <w:rPr>
          <w:lang w:val="fr-FR"/>
        </w:rPr>
        <w:t>épuisement des recours internes par son auteur ou, selon le cas, trois ans après l</w:t>
      </w:r>
      <w:r>
        <w:rPr>
          <w:lang w:val="fr-FR"/>
        </w:rPr>
        <w:t>’</w:t>
      </w:r>
      <w:r w:rsidRPr="0039573E">
        <w:rPr>
          <w:lang w:val="fr-FR"/>
        </w:rPr>
        <w:t>achèvement d</w:t>
      </w:r>
      <w:r>
        <w:rPr>
          <w:lang w:val="fr-FR"/>
        </w:rPr>
        <w:t>’</w:t>
      </w:r>
      <w:r w:rsidRPr="0039573E">
        <w:rPr>
          <w:lang w:val="fr-FR"/>
        </w:rPr>
        <w:t>une autre procédure internationale d</w:t>
      </w:r>
      <w:r>
        <w:rPr>
          <w:lang w:val="fr-FR"/>
        </w:rPr>
        <w:t>’</w:t>
      </w:r>
      <w:r w:rsidRPr="0039573E">
        <w:rPr>
          <w:lang w:val="fr-FR"/>
        </w:rPr>
        <w:t>enquête ou de règlement, sauf s</w:t>
      </w:r>
      <w:r>
        <w:rPr>
          <w:lang w:val="fr-FR"/>
        </w:rPr>
        <w:t>’</w:t>
      </w:r>
      <w:r w:rsidRPr="0039573E">
        <w:rPr>
          <w:lang w:val="fr-FR"/>
        </w:rPr>
        <w:t>il existe des raisons justifiant le retard compte tenu de toutes les circonstances de l</w:t>
      </w:r>
      <w:r>
        <w:rPr>
          <w:lang w:val="fr-FR"/>
        </w:rPr>
        <w:t>’</w:t>
      </w:r>
      <w:r w:rsidRPr="0039573E">
        <w:rPr>
          <w:lang w:val="fr-FR"/>
        </w:rPr>
        <w:t>affaire</w:t>
      </w:r>
      <w:r w:rsidR="000738A7" w:rsidRPr="000738A7">
        <w:rPr>
          <w:lang w:val="fr-FR"/>
        </w:rPr>
        <w:t>.</w:t>
      </w:r>
      <w:r>
        <w:rPr>
          <w:lang w:val="fr-FR"/>
        </w:rPr>
        <w:t xml:space="preserve"> Le Comité relève que rien dans la communication soumise par l’auteur ne justifie un retard de plus de cinq ans</w:t>
      </w:r>
      <w:r w:rsidR="000738A7" w:rsidRPr="000738A7">
        <w:rPr>
          <w:lang w:val="fr-FR"/>
        </w:rPr>
        <w:t>.</w:t>
      </w:r>
      <w:r>
        <w:rPr>
          <w:lang w:val="fr-FR"/>
        </w:rPr>
        <w:t xml:space="preserve"> Rien dans les observations de l’auteur ne permet de penser que ses contacts avec le monde extérieur étaient limités lorsqu’il était en prison, d’autant plus qu’il a été en mesure de porter plainte contre l’enquêteur en 2010</w:t>
      </w:r>
      <w:r w:rsidR="000738A7" w:rsidRPr="000738A7">
        <w:rPr>
          <w:lang w:val="fr-FR"/>
        </w:rPr>
        <w:t>.</w:t>
      </w:r>
      <w:r>
        <w:rPr>
          <w:lang w:val="fr-FR"/>
        </w:rPr>
        <w:t xml:space="preserve"> Faute d’explication pertinente, le Comité considère en l’espèce que la présentation de la communication après un délai aussi long constitue un abus du droit de présenter une communication</w:t>
      </w:r>
      <w:r w:rsidR="000738A7" w:rsidRPr="000738A7">
        <w:rPr>
          <w:lang w:val="fr-FR"/>
        </w:rPr>
        <w:t>.</w:t>
      </w:r>
      <w:r>
        <w:rPr>
          <w:lang w:val="fr-FR"/>
        </w:rPr>
        <w:t xml:space="preserve"> Il déclare donc la communication irrecevable au regard de l’article 3 du Protocole facultatif et de l’article 99 (al</w:t>
      </w:r>
      <w:r w:rsidR="000738A7" w:rsidRPr="000738A7">
        <w:rPr>
          <w:lang w:val="fr-FR"/>
        </w:rPr>
        <w:t>.</w:t>
      </w:r>
      <w:r>
        <w:rPr>
          <w:lang w:val="fr-FR"/>
        </w:rPr>
        <w:t> c)) de son règlement intérieur</w:t>
      </w:r>
      <w:r w:rsidR="000738A7" w:rsidRPr="000738A7">
        <w:rPr>
          <w:lang w:val="fr-FR"/>
        </w:rPr>
        <w:t>.</w:t>
      </w:r>
    </w:p>
    <w:p w14:paraId="796E16C7" w14:textId="56C7AE49" w:rsidR="007E477C" w:rsidRPr="00817373" w:rsidRDefault="007E477C" w:rsidP="007E477C">
      <w:pPr>
        <w:pStyle w:val="SingleTxtG"/>
        <w:keepNext/>
        <w:rPr>
          <w:lang w:val="fr-FR"/>
        </w:rPr>
      </w:pPr>
      <w:r>
        <w:rPr>
          <w:lang w:val="fr-FR"/>
        </w:rPr>
        <w:t>8</w:t>
      </w:r>
      <w:r w:rsidR="000738A7" w:rsidRPr="000738A7">
        <w:rPr>
          <w:lang w:val="fr-FR"/>
        </w:rPr>
        <w:t>.</w:t>
      </w:r>
      <w:r>
        <w:rPr>
          <w:lang w:val="fr-FR"/>
        </w:rPr>
        <w:tab/>
        <w:t>En conséquence, le Comité des droits de l’homme décide :</w:t>
      </w:r>
    </w:p>
    <w:p w14:paraId="0F6CC782" w14:textId="77777777" w:rsidR="007E477C" w:rsidRPr="00817373" w:rsidRDefault="007E477C" w:rsidP="007E477C">
      <w:pPr>
        <w:pStyle w:val="SingleTxtG"/>
        <w:ind w:firstLine="567"/>
        <w:rPr>
          <w:lang w:val="fr-FR"/>
        </w:rPr>
      </w:pPr>
      <w:r>
        <w:rPr>
          <w:lang w:val="fr-FR"/>
        </w:rPr>
        <w:t>a)</w:t>
      </w:r>
      <w:r>
        <w:rPr>
          <w:lang w:val="fr-FR"/>
        </w:rPr>
        <w:tab/>
        <w:t>Que la communication est irrecevable au regard de l’article 3 du Protocole facultatif ;</w:t>
      </w:r>
    </w:p>
    <w:p w14:paraId="68F9D80E" w14:textId="5A15854F" w:rsidR="00E85C42" w:rsidRDefault="007E477C" w:rsidP="007E477C">
      <w:pPr>
        <w:pStyle w:val="SingleTxtG"/>
        <w:rPr>
          <w:lang w:val="fr-FR"/>
        </w:rPr>
      </w:pPr>
      <w:r>
        <w:rPr>
          <w:lang w:val="fr-FR"/>
        </w:rPr>
        <w:tab/>
      </w:r>
      <w:r>
        <w:rPr>
          <w:lang w:val="fr-FR"/>
        </w:rPr>
        <w:t>b)</w:t>
      </w:r>
      <w:r>
        <w:rPr>
          <w:lang w:val="fr-FR"/>
        </w:rPr>
        <w:tab/>
        <w:t>Que la présente décision sera communiquée à l’État partie et à l’auteur de la communication</w:t>
      </w:r>
      <w:r w:rsidR="000738A7" w:rsidRPr="000738A7">
        <w:rPr>
          <w:lang w:val="fr-FR"/>
        </w:rPr>
        <w:t>.</w:t>
      </w:r>
    </w:p>
    <w:p w14:paraId="56D474E6" w14:textId="2F957BEA" w:rsidR="007E477C" w:rsidRPr="007E477C" w:rsidRDefault="007E477C" w:rsidP="007E477C">
      <w:pPr>
        <w:pStyle w:val="SingleTxtG"/>
        <w:spacing w:before="240" w:after="0"/>
        <w:jc w:val="center"/>
        <w:rPr>
          <w:u w:val="single"/>
        </w:rPr>
      </w:pPr>
      <w:r>
        <w:rPr>
          <w:u w:val="single"/>
        </w:rPr>
        <w:tab/>
      </w:r>
      <w:r>
        <w:rPr>
          <w:u w:val="single"/>
        </w:rPr>
        <w:tab/>
      </w:r>
      <w:r>
        <w:rPr>
          <w:u w:val="single"/>
        </w:rPr>
        <w:tab/>
      </w:r>
    </w:p>
    <w:sectPr w:rsidR="007E477C" w:rsidRPr="007E477C" w:rsidSect="00C119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4A42A" w14:textId="77777777" w:rsidR="003552C6" w:rsidRDefault="003552C6" w:rsidP="00F95C08">
      <w:pPr>
        <w:spacing w:line="240" w:lineRule="auto"/>
      </w:pPr>
    </w:p>
  </w:endnote>
  <w:endnote w:type="continuationSeparator" w:id="0">
    <w:p w14:paraId="4900475F" w14:textId="77777777" w:rsidR="003552C6" w:rsidRPr="00AC3823" w:rsidRDefault="003552C6" w:rsidP="00AC3823">
      <w:pPr>
        <w:pStyle w:val="Pieddepage"/>
      </w:pPr>
    </w:p>
  </w:endnote>
  <w:endnote w:type="continuationNotice" w:id="1">
    <w:p w14:paraId="76584C97" w14:textId="77777777" w:rsidR="003552C6" w:rsidRDefault="003552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1563" w14:textId="47374255" w:rsidR="00C119B4" w:rsidRPr="00C119B4" w:rsidRDefault="00C119B4" w:rsidP="00C119B4">
    <w:pPr>
      <w:pStyle w:val="Pieddepage"/>
      <w:tabs>
        <w:tab w:val="right" w:pos="9638"/>
      </w:tabs>
    </w:pPr>
    <w:r w:rsidRPr="00C119B4">
      <w:rPr>
        <w:b/>
        <w:sz w:val="18"/>
      </w:rPr>
      <w:fldChar w:fldCharType="begin"/>
    </w:r>
    <w:r w:rsidRPr="00C119B4">
      <w:rPr>
        <w:b/>
        <w:sz w:val="18"/>
      </w:rPr>
      <w:instrText xml:space="preserve"> PAGE  \* MERGEFORMAT </w:instrText>
    </w:r>
    <w:r w:rsidRPr="00C119B4">
      <w:rPr>
        <w:b/>
        <w:sz w:val="18"/>
      </w:rPr>
      <w:fldChar w:fldCharType="separate"/>
    </w:r>
    <w:r w:rsidRPr="00C119B4">
      <w:rPr>
        <w:b/>
        <w:noProof/>
        <w:sz w:val="18"/>
      </w:rPr>
      <w:t>2</w:t>
    </w:r>
    <w:r w:rsidRPr="00C119B4">
      <w:rPr>
        <w:b/>
        <w:sz w:val="18"/>
      </w:rPr>
      <w:fldChar w:fldCharType="end"/>
    </w:r>
    <w:r>
      <w:rPr>
        <w:b/>
        <w:sz w:val="18"/>
      </w:rPr>
      <w:tab/>
    </w:r>
    <w:r>
      <w:t>GE</w:t>
    </w:r>
    <w:r w:rsidR="000738A7" w:rsidRPr="000738A7">
      <w:t>.</w:t>
    </w:r>
    <w:r>
      <w:t>21-06518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2F23" w14:textId="34FFA711" w:rsidR="00C119B4" w:rsidRPr="00C119B4" w:rsidRDefault="00C119B4" w:rsidP="00C119B4">
    <w:pPr>
      <w:pStyle w:val="Pieddepage"/>
      <w:tabs>
        <w:tab w:val="right" w:pos="9638"/>
      </w:tabs>
      <w:rPr>
        <w:b/>
        <w:sz w:val="18"/>
      </w:rPr>
    </w:pPr>
    <w:r>
      <w:t>GE</w:t>
    </w:r>
    <w:r w:rsidR="000738A7" w:rsidRPr="000738A7">
      <w:t>.</w:t>
    </w:r>
    <w:r>
      <w:t>21-06518</w:t>
    </w:r>
    <w:r>
      <w:tab/>
    </w:r>
    <w:r w:rsidRPr="00C119B4">
      <w:rPr>
        <w:b/>
        <w:sz w:val="18"/>
      </w:rPr>
      <w:fldChar w:fldCharType="begin"/>
    </w:r>
    <w:r w:rsidRPr="00C119B4">
      <w:rPr>
        <w:b/>
        <w:sz w:val="18"/>
      </w:rPr>
      <w:instrText xml:space="preserve"> PAGE  \* MERGEFORMAT </w:instrText>
    </w:r>
    <w:r w:rsidRPr="00C119B4">
      <w:rPr>
        <w:b/>
        <w:sz w:val="18"/>
      </w:rPr>
      <w:fldChar w:fldCharType="separate"/>
    </w:r>
    <w:r w:rsidRPr="00C119B4">
      <w:rPr>
        <w:b/>
        <w:noProof/>
        <w:sz w:val="18"/>
      </w:rPr>
      <w:t>3</w:t>
    </w:r>
    <w:r w:rsidRPr="00C119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EA6C" w14:textId="2BC06448" w:rsidR="001B379B" w:rsidRPr="00C119B4" w:rsidRDefault="00C119B4" w:rsidP="00C119B4">
    <w:pPr>
      <w:pStyle w:val="Pieddepage"/>
      <w:spacing w:before="120"/>
      <w:rPr>
        <w:sz w:val="20"/>
      </w:rPr>
    </w:pPr>
    <w:r>
      <w:rPr>
        <w:sz w:val="20"/>
      </w:rPr>
      <w:t>GE</w:t>
    </w:r>
    <w:r w:rsidR="000738A7" w:rsidRPr="000738A7">
      <w:rPr>
        <w:sz w:val="20"/>
      </w:rPr>
      <w:t>.</w:t>
    </w:r>
    <w:r w:rsidR="001B379B">
      <w:rPr>
        <w:noProof/>
        <w:lang w:eastAsia="fr-CH"/>
      </w:rPr>
      <w:drawing>
        <wp:anchor distT="0" distB="0" distL="114300" distR="114300" simplePos="0" relativeHeight="251659264" behindDoc="0" locked="0" layoutInCell="1" allowOverlap="0" wp14:anchorId="6B192429" wp14:editId="30E814B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21-06518  (F)</w:t>
    </w:r>
    <w:r>
      <w:rPr>
        <w:noProof/>
        <w:sz w:val="20"/>
      </w:rPr>
      <w:drawing>
        <wp:anchor distT="0" distB="0" distL="114300" distR="114300" simplePos="0" relativeHeight="251660288" behindDoc="0" locked="0" layoutInCell="1" allowOverlap="1" wp14:anchorId="40E715DE" wp14:editId="3303CF4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280621    280621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0D943" w14:textId="77777777" w:rsidR="003552C6" w:rsidRPr="00AC3823" w:rsidRDefault="003552C6" w:rsidP="00AC3823">
      <w:pPr>
        <w:pStyle w:val="Pieddepage"/>
        <w:tabs>
          <w:tab w:val="right" w:pos="2155"/>
        </w:tabs>
        <w:spacing w:after="80" w:line="240" w:lineRule="atLeast"/>
        <w:ind w:left="680"/>
        <w:rPr>
          <w:u w:val="single"/>
        </w:rPr>
      </w:pPr>
      <w:r>
        <w:rPr>
          <w:u w:val="single"/>
        </w:rPr>
        <w:tab/>
      </w:r>
    </w:p>
  </w:footnote>
  <w:footnote w:type="continuationSeparator" w:id="0">
    <w:p w14:paraId="5B6719FF" w14:textId="77777777" w:rsidR="003552C6" w:rsidRPr="00AC3823" w:rsidRDefault="003552C6" w:rsidP="00AC3823">
      <w:pPr>
        <w:pStyle w:val="Pieddepage"/>
        <w:tabs>
          <w:tab w:val="right" w:pos="2155"/>
        </w:tabs>
        <w:spacing w:after="80" w:line="240" w:lineRule="atLeast"/>
        <w:ind w:left="680"/>
        <w:rPr>
          <w:u w:val="single"/>
        </w:rPr>
      </w:pPr>
      <w:r>
        <w:rPr>
          <w:u w:val="single"/>
        </w:rPr>
        <w:tab/>
      </w:r>
    </w:p>
  </w:footnote>
  <w:footnote w:type="continuationNotice" w:id="1">
    <w:p w14:paraId="1A2E6297" w14:textId="77777777" w:rsidR="003552C6" w:rsidRPr="00AC3823" w:rsidRDefault="003552C6">
      <w:pPr>
        <w:spacing w:line="240" w:lineRule="auto"/>
        <w:rPr>
          <w:sz w:val="2"/>
          <w:szCs w:val="2"/>
        </w:rPr>
      </w:pPr>
    </w:p>
  </w:footnote>
  <w:footnote w:id="2">
    <w:p w14:paraId="37568C5F" w14:textId="391FD830" w:rsidR="007E477C" w:rsidRPr="007E477C" w:rsidRDefault="007E477C">
      <w:pPr>
        <w:pStyle w:val="Notedebasdepage"/>
      </w:pPr>
      <w:r>
        <w:rPr>
          <w:rStyle w:val="Appelnotedebasdep"/>
        </w:rPr>
        <w:tab/>
      </w:r>
      <w:r w:rsidRPr="007E477C">
        <w:rPr>
          <w:rStyle w:val="Appelnotedebasdep"/>
          <w:sz w:val="20"/>
          <w:vertAlign w:val="baseline"/>
        </w:rPr>
        <w:t>*</w:t>
      </w:r>
      <w:r>
        <w:rPr>
          <w:rStyle w:val="Appelnotedebasdep"/>
          <w:sz w:val="20"/>
          <w:vertAlign w:val="baseline"/>
        </w:rPr>
        <w:tab/>
      </w:r>
      <w:r w:rsidRPr="007D0AF1">
        <w:rPr>
          <w:lang w:val="fr-FR"/>
        </w:rPr>
        <w:t>Adoptée par le Comité à sa 1</w:t>
      </w:r>
      <w:r>
        <w:rPr>
          <w:lang w:val="fr-FR"/>
        </w:rPr>
        <w:t>31</w:t>
      </w:r>
      <w:r w:rsidRPr="00CD7466">
        <w:rPr>
          <w:vertAlign w:val="superscript"/>
          <w:lang w:val="fr-FR"/>
        </w:rPr>
        <w:t>e</w:t>
      </w:r>
      <w:r>
        <w:rPr>
          <w:lang w:val="fr-FR"/>
        </w:rPr>
        <w:t> </w:t>
      </w:r>
      <w:r w:rsidRPr="007D0AF1">
        <w:rPr>
          <w:lang w:val="fr-FR"/>
        </w:rPr>
        <w:t xml:space="preserve"> session (</w:t>
      </w:r>
      <w:r>
        <w:rPr>
          <w:lang w:val="fr-FR"/>
        </w:rPr>
        <w:t>1</w:t>
      </w:r>
      <w:r w:rsidRPr="00CD7466">
        <w:rPr>
          <w:vertAlign w:val="superscript"/>
          <w:lang w:val="fr-FR"/>
        </w:rPr>
        <w:t>er</w:t>
      </w:r>
      <w:r>
        <w:rPr>
          <w:lang w:val="fr-FR"/>
        </w:rPr>
        <w:t>-26 mars 2021</w:t>
      </w:r>
      <w:r w:rsidRPr="007D0AF1">
        <w:rPr>
          <w:lang w:val="fr-FR"/>
        </w:rPr>
        <w:t>)</w:t>
      </w:r>
      <w:r w:rsidR="000738A7" w:rsidRPr="000738A7">
        <w:rPr>
          <w:lang w:val="fr-FR"/>
        </w:rPr>
        <w:t>.</w:t>
      </w:r>
    </w:p>
  </w:footnote>
  <w:footnote w:id="3">
    <w:p w14:paraId="3E3642A7" w14:textId="1E2574A7" w:rsidR="007E477C" w:rsidRPr="007E477C" w:rsidRDefault="007E477C">
      <w:pPr>
        <w:pStyle w:val="Notedebasdepage"/>
      </w:pPr>
      <w:r>
        <w:rPr>
          <w:rStyle w:val="Appelnotedebasdep"/>
        </w:rPr>
        <w:tab/>
      </w:r>
      <w:r w:rsidRPr="007E477C">
        <w:rPr>
          <w:rStyle w:val="Appelnotedebasdep"/>
          <w:sz w:val="20"/>
          <w:vertAlign w:val="baseline"/>
        </w:rPr>
        <w:t>**</w:t>
      </w:r>
      <w:r>
        <w:rPr>
          <w:rStyle w:val="Appelnotedebasdep"/>
          <w:sz w:val="20"/>
          <w:vertAlign w:val="baseline"/>
        </w:rPr>
        <w:tab/>
      </w:r>
      <w:r w:rsidRPr="00873411">
        <w:rPr>
          <w:lang w:val="fr-FR"/>
        </w:rPr>
        <w:tab/>
        <w:t xml:space="preserve">Les membres du </w:t>
      </w:r>
      <w:r>
        <w:rPr>
          <w:lang w:val="fr-FR"/>
        </w:rPr>
        <w:t>Comité</w:t>
      </w:r>
      <w:r w:rsidRPr="00873411">
        <w:rPr>
          <w:lang w:val="fr-FR"/>
        </w:rPr>
        <w:t xml:space="preserve"> dont le nom suit ont participé à l</w:t>
      </w:r>
      <w:r>
        <w:rPr>
          <w:lang w:val="fr-FR"/>
        </w:rPr>
        <w:t>’</w:t>
      </w:r>
      <w:r w:rsidRPr="00873411">
        <w:rPr>
          <w:lang w:val="fr-FR"/>
        </w:rPr>
        <w:t>examen de la communication</w:t>
      </w:r>
      <w:r>
        <w:rPr>
          <w:lang w:val="fr-FR"/>
        </w:rPr>
        <w:t> </w:t>
      </w:r>
      <w:r w:rsidRPr="00873411">
        <w:rPr>
          <w:lang w:val="fr-FR"/>
        </w:rPr>
        <w:t>:</w:t>
      </w:r>
      <w:r w:rsidRPr="00200E3F">
        <w:t xml:space="preserve"> </w:t>
      </w:r>
      <w:r w:rsidRPr="00200E3F">
        <w:rPr>
          <w:lang w:val="fr-FR"/>
        </w:rPr>
        <w:t xml:space="preserve">Tania María Abdo </w:t>
      </w:r>
      <w:proofErr w:type="spellStart"/>
      <w:r w:rsidRPr="00200E3F">
        <w:rPr>
          <w:lang w:val="fr-FR"/>
        </w:rPr>
        <w:t>Rocholl</w:t>
      </w:r>
      <w:proofErr w:type="spellEnd"/>
      <w:r w:rsidRPr="00200E3F">
        <w:rPr>
          <w:lang w:val="fr-FR"/>
        </w:rPr>
        <w:t xml:space="preserve">, </w:t>
      </w:r>
      <w:proofErr w:type="spellStart"/>
      <w:r w:rsidRPr="00200E3F">
        <w:rPr>
          <w:lang w:val="fr-FR"/>
        </w:rPr>
        <w:t>Wafaa</w:t>
      </w:r>
      <w:proofErr w:type="spellEnd"/>
      <w:r w:rsidRPr="00200E3F">
        <w:rPr>
          <w:lang w:val="fr-FR"/>
        </w:rPr>
        <w:t xml:space="preserve"> Ashraf </w:t>
      </w:r>
      <w:proofErr w:type="spellStart"/>
      <w:r w:rsidRPr="00200E3F">
        <w:rPr>
          <w:lang w:val="fr-FR"/>
        </w:rPr>
        <w:t>Moharram</w:t>
      </w:r>
      <w:proofErr w:type="spellEnd"/>
      <w:r w:rsidRPr="00200E3F">
        <w:rPr>
          <w:lang w:val="fr-FR"/>
        </w:rPr>
        <w:t xml:space="preserve"> </w:t>
      </w:r>
      <w:proofErr w:type="spellStart"/>
      <w:r w:rsidRPr="00200E3F">
        <w:rPr>
          <w:lang w:val="fr-FR"/>
        </w:rPr>
        <w:t>Bassim</w:t>
      </w:r>
      <w:proofErr w:type="spellEnd"/>
      <w:r w:rsidRPr="00200E3F">
        <w:rPr>
          <w:lang w:val="fr-FR"/>
        </w:rPr>
        <w:t xml:space="preserve">, </w:t>
      </w:r>
      <w:proofErr w:type="spellStart"/>
      <w:r w:rsidRPr="00200E3F">
        <w:rPr>
          <w:lang w:val="fr-FR"/>
        </w:rPr>
        <w:t>Yadh</w:t>
      </w:r>
      <w:proofErr w:type="spellEnd"/>
      <w:r w:rsidRPr="00200E3F">
        <w:rPr>
          <w:lang w:val="fr-FR"/>
        </w:rPr>
        <w:t xml:space="preserve"> Ben Achour, Arif </w:t>
      </w:r>
      <w:proofErr w:type="spellStart"/>
      <w:r w:rsidRPr="00200E3F">
        <w:rPr>
          <w:lang w:val="fr-FR"/>
        </w:rPr>
        <w:t>Bulkan</w:t>
      </w:r>
      <w:proofErr w:type="spellEnd"/>
      <w:r w:rsidRPr="00200E3F">
        <w:rPr>
          <w:lang w:val="fr-FR"/>
        </w:rPr>
        <w:t xml:space="preserve">, Mahjoub El </w:t>
      </w:r>
      <w:proofErr w:type="spellStart"/>
      <w:r w:rsidRPr="00200E3F">
        <w:rPr>
          <w:lang w:val="fr-FR"/>
        </w:rPr>
        <w:t>Haiba</w:t>
      </w:r>
      <w:proofErr w:type="spellEnd"/>
      <w:r w:rsidRPr="00200E3F">
        <w:rPr>
          <w:lang w:val="fr-FR"/>
        </w:rPr>
        <w:t xml:space="preserve">, </w:t>
      </w:r>
      <w:proofErr w:type="spellStart"/>
      <w:r w:rsidRPr="00200E3F">
        <w:rPr>
          <w:lang w:val="fr-FR"/>
        </w:rPr>
        <w:t>Furuya</w:t>
      </w:r>
      <w:proofErr w:type="spellEnd"/>
      <w:r w:rsidRPr="00200E3F">
        <w:rPr>
          <w:lang w:val="fr-FR"/>
        </w:rPr>
        <w:t xml:space="preserve"> </w:t>
      </w:r>
      <w:proofErr w:type="spellStart"/>
      <w:r w:rsidRPr="00200E3F">
        <w:rPr>
          <w:lang w:val="fr-FR"/>
        </w:rPr>
        <w:t>Shuichi</w:t>
      </w:r>
      <w:proofErr w:type="spellEnd"/>
      <w:r w:rsidRPr="00200E3F">
        <w:rPr>
          <w:lang w:val="fr-FR"/>
        </w:rPr>
        <w:t xml:space="preserve">, Carlos Gómez </w:t>
      </w:r>
      <w:proofErr w:type="spellStart"/>
      <w:r w:rsidRPr="00200E3F">
        <w:rPr>
          <w:lang w:val="fr-FR"/>
        </w:rPr>
        <w:t>Martínez</w:t>
      </w:r>
      <w:proofErr w:type="spellEnd"/>
      <w:r w:rsidRPr="00200E3F">
        <w:rPr>
          <w:lang w:val="fr-FR"/>
        </w:rPr>
        <w:t>, Marcia V</w:t>
      </w:r>
      <w:r w:rsidR="000738A7" w:rsidRPr="000738A7">
        <w:rPr>
          <w:lang w:val="fr-FR"/>
        </w:rPr>
        <w:t>.</w:t>
      </w:r>
      <w:r w:rsidRPr="00200E3F">
        <w:rPr>
          <w:lang w:val="fr-FR"/>
        </w:rPr>
        <w:t>J</w:t>
      </w:r>
      <w:r w:rsidR="000738A7" w:rsidRPr="000738A7">
        <w:rPr>
          <w:lang w:val="fr-FR"/>
        </w:rPr>
        <w:t>.</w:t>
      </w:r>
      <w:r w:rsidRPr="00200E3F">
        <w:rPr>
          <w:lang w:val="fr-FR"/>
        </w:rPr>
        <w:t xml:space="preserve"> </w:t>
      </w:r>
      <w:proofErr w:type="spellStart"/>
      <w:r w:rsidRPr="00200E3F">
        <w:rPr>
          <w:lang w:val="fr-FR"/>
        </w:rPr>
        <w:t>Kran</w:t>
      </w:r>
      <w:proofErr w:type="spellEnd"/>
      <w:r w:rsidRPr="00200E3F">
        <w:rPr>
          <w:lang w:val="fr-FR"/>
        </w:rPr>
        <w:t xml:space="preserve">, Duncan Laki </w:t>
      </w:r>
      <w:proofErr w:type="spellStart"/>
      <w:r w:rsidRPr="00200E3F">
        <w:rPr>
          <w:lang w:val="fr-FR"/>
        </w:rPr>
        <w:t>Muhumuza</w:t>
      </w:r>
      <w:proofErr w:type="spellEnd"/>
      <w:r w:rsidRPr="00200E3F">
        <w:rPr>
          <w:lang w:val="fr-FR"/>
        </w:rPr>
        <w:t xml:space="preserve">, </w:t>
      </w:r>
      <w:proofErr w:type="spellStart"/>
      <w:r w:rsidRPr="00200E3F">
        <w:rPr>
          <w:lang w:val="fr-FR"/>
        </w:rPr>
        <w:t>Photini</w:t>
      </w:r>
      <w:proofErr w:type="spellEnd"/>
      <w:r w:rsidRPr="00200E3F">
        <w:rPr>
          <w:lang w:val="fr-FR"/>
        </w:rPr>
        <w:t xml:space="preserve"> </w:t>
      </w:r>
      <w:proofErr w:type="spellStart"/>
      <w:r w:rsidRPr="00200E3F">
        <w:rPr>
          <w:lang w:val="fr-FR"/>
        </w:rPr>
        <w:t>Pazartzis</w:t>
      </w:r>
      <w:proofErr w:type="spellEnd"/>
      <w:r w:rsidRPr="00200E3F">
        <w:rPr>
          <w:lang w:val="fr-FR"/>
        </w:rPr>
        <w:t xml:space="preserve">, Hernán </w:t>
      </w:r>
      <w:proofErr w:type="spellStart"/>
      <w:r w:rsidRPr="00200E3F">
        <w:rPr>
          <w:lang w:val="fr-FR"/>
        </w:rPr>
        <w:t>Quezada</w:t>
      </w:r>
      <w:proofErr w:type="spellEnd"/>
      <w:r w:rsidRPr="00200E3F">
        <w:rPr>
          <w:lang w:val="fr-FR"/>
        </w:rPr>
        <w:t xml:space="preserve"> Cabrera, </w:t>
      </w:r>
      <w:proofErr w:type="spellStart"/>
      <w:r w:rsidRPr="00200E3F">
        <w:rPr>
          <w:lang w:val="fr-FR"/>
        </w:rPr>
        <w:t>Vasilka</w:t>
      </w:r>
      <w:proofErr w:type="spellEnd"/>
      <w:r w:rsidRPr="00200E3F">
        <w:rPr>
          <w:lang w:val="fr-FR"/>
        </w:rPr>
        <w:t xml:space="preserve"> </w:t>
      </w:r>
      <w:proofErr w:type="spellStart"/>
      <w:r w:rsidRPr="00200E3F">
        <w:rPr>
          <w:lang w:val="fr-FR"/>
        </w:rPr>
        <w:t>Sancin</w:t>
      </w:r>
      <w:proofErr w:type="spellEnd"/>
      <w:r w:rsidRPr="00200E3F">
        <w:rPr>
          <w:lang w:val="fr-FR"/>
        </w:rPr>
        <w:t xml:space="preserve">, José Manuel Santos Pais, </w:t>
      </w:r>
      <w:proofErr w:type="spellStart"/>
      <w:r w:rsidRPr="00200E3F">
        <w:rPr>
          <w:lang w:val="fr-FR"/>
        </w:rPr>
        <w:t>Soh</w:t>
      </w:r>
      <w:proofErr w:type="spellEnd"/>
      <w:r w:rsidRPr="00200E3F">
        <w:rPr>
          <w:lang w:val="fr-FR"/>
        </w:rPr>
        <w:t xml:space="preserve"> </w:t>
      </w:r>
      <w:proofErr w:type="spellStart"/>
      <w:r w:rsidRPr="00200E3F">
        <w:rPr>
          <w:lang w:val="fr-FR"/>
        </w:rPr>
        <w:t>Changrok</w:t>
      </w:r>
      <w:proofErr w:type="spellEnd"/>
      <w:r w:rsidRPr="00200E3F">
        <w:rPr>
          <w:lang w:val="fr-FR"/>
        </w:rPr>
        <w:t xml:space="preserve">, </w:t>
      </w:r>
      <w:proofErr w:type="spellStart"/>
      <w:r w:rsidRPr="00200E3F">
        <w:rPr>
          <w:lang w:val="fr-FR"/>
        </w:rPr>
        <w:t>Kobauyah</w:t>
      </w:r>
      <w:proofErr w:type="spellEnd"/>
      <w:r w:rsidRPr="00200E3F">
        <w:rPr>
          <w:lang w:val="fr-FR"/>
        </w:rPr>
        <w:t xml:space="preserve"> </w:t>
      </w:r>
      <w:proofErr w:type="spellStart"/>
      <w:r w:rsidRPr="00200E3F">
        <w:rPr>
          <w:lang w:val="fr-FR"/>
        </w:rPr>
        <w:t>Tchamdja</w:t>
      </w:r>
      <w:proofErr w:type="spellEnd"/>
      <w:r w:rsidRPr="00200E3F">
        <w:rPr>
          <w:lang w:val="fr-FR"/>
        </w:rPr>
        <w:t xml:space="preserve"> </w:t>
      </w:r>
      <w:proofErr w:type="spellStart"/>
      <w:r w:rsidRPr="00200E3F">
        <w:rPr>
          <w:lang w:val="fr-FR"/>
        </w:rPr>
        <w:t>Kpatcha</w:t>
      </w:r>
      <w:proofErr w:type="spellEnd"/>
      <w:r w:rsidRPr="00200E3F">
        <w:rPr>
          <w:lang w:val="fr-FR"/>
        </w:rPr>
        <w:t xml:space="preserve">, Hélène </w:t>
      </w:r>
      <w:proofErr w:type="spellStart"/>
      <w:r w:rsidRPr="00200E3F">
        <w:rPr>
          <w:lang w:val="fr-FR"/>
        </w:rPr>
        <w:t>Tigroudja</w:t>
      </w:r>
      <w:proofErr w:type="spellEnd"/>
      <w:r w:rsidRPr="00200E3F">
        <w:rPr>
          <w:lang w:val="fr-FR"/>
        </w:rPr>
        <w:t xml:space="preserve">, </w:t>
      </w:r>
      <w:proofErr w:type="spellStart"/>
      <w:r w:rsidRPr="00200E3F">
        <w:rPr>
          <w:lang w:val="fr-FR"/>
        </w:rPr>
        <w:t>Imeru</w:t>
      </w:r>
      <w:proofErr w:type="spellEnd"/>
      <w:r w:rsidRPr="00200E3F">
        <w:rPr>
          <w:lang w:val="fr-FR"/>
        </w:rPr>
        <w:t xml:space="preserve"> </w:t>
      </w:r>
      <w:proofErr w:type="spellStart"/>
      <w:r w:rsidRPr="00200E3F">
        <w:rPr>
          <w:lang w:val="fr-FR"/>
        </w:rPr>
        <w:t>Tamerat</w:t>
      </w:r>
      <w:proofErr w:type="spellEnd"/>
      <w:r w:rsidRPr="00200E3F">
        <w:rPr>
          <w:lang w:val="fr-FR"/>
        </w:rPr>
        <w:t xml:space="preserve"> </w:t>
      </w:r>
      <w:proofErr w:type="spellStart"/>
      <w:r w:rsidRPr="00200E3F">
        <w:rPr>
          <w:lang w:val="fr-FR"/>
        </w:rPr>
        <w:t>Yigezu</w:t>
      </w:r>
      <w:proofErr w:type="spellEnd"/>
      <w:r w:rsidRPr="00200E3F">
        <w:rPr>
          <w:lang w:val="fr-FR"/>
        </w:rPr>
        <w:t xml:space="preserve"> </w:t>
      </w:r>
      <w:r>
        <w:rPr>
          <w:lang w:val="fr-FR"/>
        </w:rPr>
        <w:t>et</w:t>
      </w:r>
      <w:r w:rsidRPr="00200E3F">
        <w:rPr>
          <w:lang w:val="fr-FR"/>
        </w:rPr>
        <w:t xml:space="preserve"> </w:t>
      </w:r>
      <w:proofErr w:type="spellStart"/>
      <w:r w:rsidRPr="00200E3F">
        <w:rPr>
          <w:lang w:val="fr-FR"/>
        </w:rPr>
        <w:t>Gentian</w:t>
      </w:r>
      <w:proofErr w:type="spellEnd"/>
      <w:r w:rsidRPr="00200E3F">
        <w:rPr>
          <w:lang w:val="fr-FR"/>
        </w:rPr>
        <w:t xml:space="preserve"> </w:t>
      </w:r>
      <w:proofErr w:type="spellStart"/>
      <w:r w:rsidRPr="00200E3F">
        <w:rPr>
          <w:lang w:val="fr-FR"/>
        </w:rPr>
        <w:t>Zyberi</w:t>
      </w:r>
      <w:proofErr w:type="spellEnd"/>
      <w:r w:rsidR="000738A7" w:rsidRPr="000738A7">
        <w:rPr>
          <w:lang w:val="fr-FR"/>
        </w:rPr>
        <w:t>.</w:t>
      </w:r>
    </w:p>
  </w:footnote>
  <w:footnote w:id="4">
    <w:p w14:paraId="1F54FB4F" w14:textId="11BE7D93" w:rsidR="007E477C" w:rsidRPr="00817373" w:rsidRDefault="007E477C" w:rsidP="007E477C">
      <w:pPr>
        <w:pStyle w:val="Notedebasdepage"/>
        <w:rPr>
          <w:lang w:val="fr-FR"/>
        </w:rPr>
      </w:pPr>
      <w:r>
        <w:rPr>
          <w:lang w:val="fr-FR"/>
        </w:rPr>
        <w:tab/>
      </w:r>
      <w:r w:rsidRPr="007E477C">
        <w:rPr>
          <w:rStyle w:val="Appelnotedebasdep"/>
        </w:rPr>
        <w:footnoteRef/>
      </w:r>
      <w:r>
        <w:rPr>
          <w:lang w:val="fr-FR"/>
        </w:rPr>
        <w:tab/>
      </w:r>
      <w:r>
        <w:rPr>
          <w:lang w:val="fr-FR"/>
        </w:rPr>
        <w:tab/>
        <w:t>L</w:t>
      </w:r>
      <w:r>
        <w:rPr>
          <w:lang w:val="fr-FR"/>
        </w:rPr>
        <w:t>’</w:t>
      </w:r>
      <w:r>
        <w:rPr>
          <w:lang w:val="fr-FR"/>
        </w:rPr>
        <w:t>auteur avait déjà été reconnu coupable de viol en 1995</w:t>
      </w:r>
      <w:r w:rsidR="000738A7" w:rsidRPr="000738A7">
        <w:rPr>
          <w:lang w:val="fr-FR"/>
        </w:rPr>
        <w:t>.</w:t>
      </w:r>
    </w:p>
  </w:footnote>
  <w:footnote w:id="5">
    <w:p w14:paraId="1A39B92D" w14:textId="1C7972D7" w:rsidR="007E477C" w:rsidRPr="00817373" w:rsidRDefault="007E477C" w:rsidP="007E477C">
      <w:pPr>
        <w:pStyle w:val="Notedebasdepage"/>
        <w:rPr>
          <w:lang w:val="fr-FR"/>
        </w:rPr>
      </w:pPr>
      <w:r w:rsidRPr="00DC61FB">
        <w:rPr>
          <w:lang w:val="fr-FR"/>
        </w:rPr>
        <w:tab/>
      </w:r>
      <w:r w:rsidRPr="007E477C">
        <w:rPr>
          <w:rStyle w:val="Appelnotedebasdep"/>
        </w:rPr>
        <w:footnoteRef/>
      </w:r>
      <w:r>
        <w:rPr>
          <w:lang w:val="fr-FR"/>
        </w:rPr>
        <w:tab/>
      </w:r>
      <w:proofErr w:type="spellStart"/>
      <w:r>
        <w:rPr>
          <w:i/>
          <w:iCs/>
          <w:lang w:val="fr-FR"/>
        </w:rPr>
        <w:t>Polackov</w:t>
      </w:r>
      <w:proofErr w:type="spellEnd"/>
      <w:r w:rsidRPr="00C27E6E">
        <w:rPr>
          <w:i/>
        </w:rPr>
        <w:t>á</w:t>
      </w:r>
      <w:r>
        <w:rPr>
          <w:i/>
          <w:iCs/>
          <w:lang w:val="fr-FR"/>
        </w:rPr>
        <w:t xml:space="preserve"> et </w:t>
      </w:r>
      <w:proofErr w:type="spellStart"/>
      <w:r w:rsidRPr="00C11C19">
        <w:rPr>
          <w:i/>
          <w:iCs/>
          <w:lang w:val="fr-FR"/>
        </w:rPr>
        <w:t>Polacek</w:t>
      </w:r>
      <w:proofErr w:type="spellEnd"/>
      <w:r w:rsidRPr="00C11C19">
        <w:rPr>
          <w:i/>
          <w:iCs/>
          <w:lang w:val="fr-FR"/>
        </w:rPr>
        <w:t xml:space="preserve"> c</w:t>
      </w:r>
      <w:r w:rsidR="000738A7" w:rsidRPr="000738A7">
        <w:rPr>
          <w:i/>
          <w:iCs/>
          <w:lang w:val="fr-FR"/>
        </w:rPr>
        <w:t>.</w:t>
      </w:r>
      <w:r>
        <w:rPr>
          <w:i/>
          <w:iCs/>
          <w:lang w:val="fr-FR"/>
        </w:rPr>
        <w:t xml:space="preserve"> République tchèque</w:t>
      </w:r>
      <w:r>
        <w:rPr>
          <w:lang w:val="fr-FR"/>
        </w:rPr>
        <w:t xml:space="preserve"> (CCPR/C/90/D/1445/2006), par</w:t>
      </w:r>
      <w:r w:rsidR="000738A7" w:rsidRPr="000738A7">
        <w:rPr>
          <w:lang w:val="fr-FR"/>
        </w:rPr>
        <w:t>.</w:t>
      </w:r>
      <w:r>
        <w:rPr>
          <w:lang w:val="fr-FR"/>
        </w:rPr>
        <w:t> 6</w:t>
      </w:r>
      <w:r w:rsidR="000738A7" w:rsidRPr="000738A7">
        <w:rPr>
          <w:lang w:val="fr-FR"/>
        </w:rPr>
        <w:t>.</w:t>
      </w:r>
      <w:r>
        <w:rPr>
          <w:lang w:val="fr-FR"/>
        </w:rPr>
        <w:t xml:space="preserve">3 ; </w:t>
      </w:r>
      <w:r>
        <w:rPr>
          <w:i/>
          <w:iCs/>
          <w:lang w:val="fr-FR"/>
        </w:rPr>
        <w:t>D</w:t>
      </w:r>
      <w:r w:rsidR="000738A7" w:rsidRPr="000738A7">
        <w:rPr>
          <w:i/>
          <w:iCs/>
          <w:lang w:val="fr-FR"/>
        </w:rPr>
        <w:t>.</w:t>
      </w:r>
      <w:r>
        <w:rPr>
          <w:i/>
          <w:iCs/>
          <w:lang w:val="fr-FR"/>
        </w:rPr>
        <w:t> S</w:t>
      </w:r>
      <w:r w:rsidR="000738A7" w:rsidRPr="000738A7">
        <w:rPr>
          <w:lang w:val="fr-FR"/>
        </w:rPr>
        <w:t>.</w:t>
      </w:r>
      <w:r w:rsidRPr="00C11C19">
        <w:rPr>
          <w:lang w:val="fr-FR"/>
        </w:rPr>
        <w:t xml:space="preserve"> c</w:t>
      </w:r>
      <w:r w:rsidR="000738A7" w:rsidRPr="000738A7">
        <w:rPr>
          <w:lang w:val="fr-FR"/>
        </w:rPr>
        <w:t>.</w:t>
      </w:r>
      <w:r>
        <w:rPr>
          <w:i/>
          <w:iCs/>
          <w:lang w:val="fr-FR"/>
        </w:rPr>
        <w:t xml:space="preserve"> Fédération de Russie</w:t>
      </w:r>
      <w:r>
        <w:rPr>
          <w:lang w:val="fr-FR"/>
        </w:rPr>
        <w:t xml:space="preserve"> (CCPR/C/120/D/2705/2015), par</w:t>
      </w:r>
      <w:r w:rsidR="000738A7" w:rsidRPr="000738A7">
        <w:rPr>
          <w:lang w:val="fr-FR"/>
        </w:rPr>
        <w:t>.</w:t>
      </w:r>
      <w:r>
        <w:rPr>
          <w:lang w:val="fr-FR"/>
        </w:rPr>
        <w:t> 6</w:t>
      </w:r>
      <w:r w:rsidR="000738A7" w:rsidRPr="000738A7">
        <w:rPr>
          <w:lang w:val="fr-FR"/>
        </w:rPr>
        <w:t>.</w:t>
      </w:r>
      <w:r>
        <w:rPr>
          <w:lang w:val="fr-FR"/>
        </w:rPr>
        <w:t>4</w:t>
      </w:r>
      <w:r w:rsidR="000738A7" w:rsidRPr="000738A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6DDB" w14:textId="5105EC8F" w:rsidR="00C119B4" w:rsidRPr="00C119B4" w:rsidRDefault="00C119B4">
    <w:pPr>
      <w:pStyle w:val="En-tte"/>
    </w:pPr>
    <w:fldSimple w:instr=" TITLE  \* MERGEFORMAT ">
      <w:r w:rsidR="006376B4">
        <w:t>CCPR/C/131/D/2433/2014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47BC" w14:textId="1F613EAB" w:rsidR="00C119B4" w:rsidRPr="00C119B4" w:rsidRDefault="00C119B4" w:rsidP="00C119B4">
    <w:pPr>
      <w:pStyle w:val="En-tte"/>
      <w:jc w:val="right"/>
    </w:pPr>
    <w:fldSimple w:instr=" TITLE  \* MERGEFORMAT ">
      <w:r w:rsidR="006376B4">
        <w:t>CCPR/C/131/D/2433/2014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C6"/>
    <w:rsid w:val="00017F94"/>
    <w:rsid w:val="00023842"/>
    <w:rsid w:val="000334F9"/>
    <w:rsid w:val="000738A7"/>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552C6"/>
    <w:rsid w:val="003A6E96"/>
    <w:rsid w:val="00446FE5"/>
    <w:rsid w:val="00452396"/>
    <w:rsid w:val="005505B7"/>
    <w:rsid w:val="00573BE5"/>
    <w:rsid w:val="00586ED3"/>
    <w:rsid w:val="00596AA9"/>
    <w:rsid w:val="006376B4"/>
    <w:rsid w:val="006F7144"/>
    <w:rsid w:val="006F71EA"/>
    <w:rsid w:val="0071601D"/>
    <w:rsid w:val="00793E85"/>
    <w:rsid w:val="007A611C"/>
    <w:rsid w:val="007A62E6"/>
    <w:rsid w:val="007E2032"/>
    <w:rsid w:val="007E477C"/>
    <w:rsid w:val="0080684C"/>
    <w:rsid w:val="008560DB"/>
    <w:rsid w:val="00871C75"/>
    <w:rsid w:val="008776DC"/>
    <w:rsid w:val="009705C8"/>
    <w:rsid w:val="009B1E6C"/>
    <w:rsid w:val="009E2C6A"/>
    <w:rsid w:val="00A57411"/>
    <w:rsid w:val="00A9151D"/>
    <w:rsid w:val="00AA6A35"/>
    <w:rsid w:val="00AC3823"/>
    <w:rsid w:val="00AE323C"/>
    <w:rsid w:val="00B00181"/>
    <w:rsid w:val="00B3265A"/>
    <w:rsid w:val="00B765F7"/>
    <w:rsid w:val="00BA0CA9"/>
    <w:rsid w:val="00C01ACF"/>
    <w:rsid w:val="00C02897"/>
    <w:rsid w:val="00C119B4"/>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7D948"/>
  <w15:docId w15:val="{30905889-8D9A-45DC-BA8F-EC2B9AFC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7E477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4</Pages>
  <Words>1875</Words>
  <Characters>10994</Characters>
  <Application>Microsoft Office Word</Application>
  <DocSecurity>0</DocSecurity>
  <Lines>999</Lines>
  <Paragraphs>428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CCPR/C/131/D/2433/2014</dc:title>
  <dc:subject/>
  <dc:creator>Maud DARICHE</dc:creator>
  <cp:keywords/>
  <cp:lastModifiedBy>Maud Dariche</cp:lastModifiedBy>
  <cp:revision>3</cp:revision>
  <cp:lastPrinted>2021-06-28T12:05:00Z</cp:lastPrinted>
  <dcterms:created xsi:type="dcterms:W3CDTF">2021-06-28T12:05:00Z</dcterms:created>
  <dcterms:modified xsi:type="dcterms:W3CDTF">2021-06-28T12:06:00Z</dcterms:modified>
</cp:coreProperties>
</file>