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7E6DF2F" w14:textId="77777777" w:rsidTr="00CA1AEA">
        <w:trPr>
          <w:cantSplit/>
          <w:trHeight w:hRule="exact" w:val="851"/>
        </w:trPr>
        <w:tc>
          <w:tcPr>
            <w:tcW w:w="1276" w:type="dxa"/>
            <w:tcBorders>
              <w:bottom w:val="single" w:sz="4" w:space="0" w:color="auto"/>
            </w:tcBorders>
            <w:vAlign w:val="bottom"/>
          </w:tcPr>
          <w:p w14:paraId="5E7FA896" w14:textId="77777777" w:rsidR="00165C15" w:rsidRDefault="00165C15" w:rsidP="00CA1AEA">
            <w:pPr>
              <w:spacing w:after="80"/>
            </w:pPr>
          </w:p>
        </w:tc>
        <w:tc>
          <w:tcPr>
            <w:tcW w:w="2268" w:type="dxa"/>
            <w:tcBorders>
              <w:bottom w:val="single" w:sz="4" w:space="0" w:color="auto"/>
            </w:tcBorders>
            <w:vAlign w:val="bottom"/>
          </w:tcPr>
          <w:p w14:paraId="62736B0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DD6135" w14:textId="77777777" w:rsidR="00165C15" w:rsidRPr="00D47EEA" w:rsidRDefault="00B23200" w:rsidP="00B23200">
            <w:pPr>
              <w:suppressAutoHyphens w:val="0"/>
              <w:spacing w:after="20"/>
              <w:jc w:val="right"/>
            </w:pPr>
            <w:r w:rsidRPr="00B23200">
              <w:rPr>
                <w:sz w:val="40"/>
              </w:rPr>
              <w:t>CCPR</w:t>
            </w:r>
            <w:r>
              <w:t>/C/130/D/2580/2015</w:t>
            </w:r>
          </w:p>
        </w:tc>
      </w:tr>
      <w:tr w:rsidR="00165C15" w14:paraId="1ECA3843" w14:textId="77777777" w:rsidTr="00CA1AEA">
        <w:trPr>
          <w:cantSplit/>
          <w:trHeight w:hRule="exact" w:val="2835"/>
        </w:trPr>
        <w:tc>
          <w:tcPr>
            <w:tcW w:w="1276" w:type="dxa"/>
            <w:tcBorders>
              <w:top w:val="single" w:sz="4" w:space="0" w:color="auto"/>
              <w:bottom w:val="single" w:sz="12" w:space="0" w:color="auto"/>
            </w:tcBorders>
          </w:tcPr>
          <w:p w14:paraId="7F0CD900" w14:textId="77777777" w:rsidR="00165C15" w:rsidRDefault="00165C15" w:rsidP="00CA1AEA">
            <w:pPr>
              <w:spacing w:before="120"/>
            </w:pPr>
            <w:r>
              <w:rPr>
                <w:noProof/>
                <w:lang w:val="fr-CH" w:eastAsia="fr-CH"/>
              </w:rPr>
              <w:drawing>
                <wp:inline distT="0" distB="0" distL="0" distR="0" wp14:anchorId="4C9F299B" wp14:editId="110C005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EDD2E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30474D8" w14:textId="77777777" w:rsidR="00B23200" w:rsidRPr="00797306" w:rsidRDefault="00B23200" w:rsidP="00B23200">
            <w:pPr>
              <w:spacing w:before="240"/>
              <w:rPr>
                <w:lang w:val="en-US"/>
              </w:rPr>
            </w:pPr>
            <w:r>
              <w:t>Distr.: General</w:t>
            </w:r>
          </w:p>
          <w:p w14:paraId="2D032C35" w14:textId="77777777" w:rsidR="00B23200" w:rsidRPr="00797306" w:rsidRDefault="00B23200" w:rsidP="00B23200">
            <w:pPr>
              <w:spacing w:line="240" w:lineRule="exact"/>
              <w:rPr>
                <w:lang w:val="en-US"/>
              </w:rPr>
            </w:pPr>
            <w:r>
              <w:t>11 March 2021</w:t>
            </w:r>
          </w:p>
          <w:p w14:paraId="6DC3A765" w14:textId="77777777" w:rsidR="00B23200" w:rsidRDefault="00B23200" w:rsidP="00B23200">
            <w:pPr>
              <w:spacing w:line="240" w:lineRule="exact"/>
            </w:pPr>
            <w:r>
              <w:t xml:space="preserve">English </w:t>
            </w:r>
          </w:p>
          <w:p w14:paraId="304D412D" w14:textId="05F9CC19" w:rsidR="00B23200" w:rsidRDefault="00B23200" w:rsidP="00B23200">
            <w:pPr>
              <w:suppressAutoHyphens w:val="0"/>
            </w:pPr>
            <w:r>
              <w:t>Original: French</w:t>
            </w:r>
          </w:p>
        </w:tc>
      </w:tr>
    </w:tbl>
    <w:p w14:paraId="088A32AD" w14:textId="77777777" w:rsidR="00B23200" w:rsidRPr="002A7D68" w:rsidRDefault="00B23200" w:rsidP="00B23200">
      <w:pPr>
        <w:spacing w:before="120"/>
        <w:rPr>
          <w:b/>
          <w:sz w:val="24"/>
          <w:szCs w:val="24"/>
          <w:lang w:val="en-US"/>
        </w:rPr>
      </w:pPr>
      <w:r w:rsidRPr="002A7D68">
        <w:rPr>
          <w:b/>
          <w:bCs/>
          <w:sz w:val="24"/>
          <w:szCs w:val="24"/>
        </w:rPr>
        <w:t>Human Rights Committee</w:t>
      </w:r>
    </w:p>
    <w:p w14:paraId="38C6CA19" w14:textId="7418027F" w:rsidR="00B23200" w:rsidRPr="00797306" w:rsidRDefault="00B23200" w:rsidP="00B23200">
      <w:pPr>
        <w:pStyle w:val="HChG"/>
        <w:rPr>
          <w:b w:val="0"/>
          <w:bCs/>
          <w:sz w:val="20"/>
          <w:lang w:val="en-US"/>
        </w:rPr>
      </w:pPr>
      <w:r>
        <w:tab/>
      </w:r>
      <w:r>
        <w:tab/>
      </w:r>
      <w:r>
        <w:rPr>
          <w:bCs/>
        </w:rPr>
        <w:t>Views adopted by the Committee under article 5 (4) of the Optional Protocol, concerning communication No. 2580/2015</w:t>
      </w:r>
      <w:r w:rsidRPr="00B23200">
        <w:rPr>
          <w:rStyle w:val="FootnoteReference"/>
          <w:b w:val="0"/>
          <w:bCs/>
          <w:sz w:val="20"/>
          <w:szCs w:val="22"/>
          <w:vertAlign w:val="baseline"/>
        </w:rPr>
        <w:footnoteReference w:customMarkFollows="1" w:id="1"/>
        <w:t>*</w:t>
      </w:r>
      <w:r w:rsidRPr="00B23200">
        <w:rPr>
          <w:rStyle w:val="FootnoteReference"/>
          <w:b w:val="0"/>
          <w:bCs/>
          <w:position w:val="8"/>
          <w:sz w:val="20"/>
          <w:szCs w:val="22"/>
          <w:vertAlign w:val="baseline"/>
        </w:rPr>
        <w:t>,</w:t>
      </w:r>
      <w:r w:rsidRPr="00B23200">
        <w:rPr>
          <w:b w:val="0"/>
          <w:bCs/>
          <w:position w:val="8"/>
          <w:sz w:val="20"/>
          <w:szCs w:val="22"/>
        </w:rPr>
        <w:t xml:space="preserve"> </w:t>
      </w:r>
      <w:r w:rsidRPr="00B23200">
        <w:rPr>
          <w:rStyle w:val="FootnoteReference"/>
          <w:b w:val="0"/>
          <w:bCs/>
          <w:sz w:val="20"/>
          <w:szCs w:val="22"/>
          <w:vertAlign w:val="baseline"/>
        </w:rPr>
        <w:footnoteReference w:customMarkFollows="1" w:id="2"/>
        <w:t>**</w:t>
      </w:r>
    </w:p>
    <w:p w14:paraId="1DE5CDFA" w14:textId="77777777" w:rsidR="00FE7547" w:rsidRPr="00797306" w:rsidRDefault="00FE7547" w:rsidP="00FE7547">
      <w:pPr>
        <w:pStyle w:val="SingleTxtG"/>
        <w:tabs>
          <w:tab w:val="left" w:pos="4536"/>
        </w:tabs>
        <w:ind w:left="4536" w:hanging="3402"/>
        <w:rPr>
          <w:kern w:val="3"/>
          <w:lang w:val="en-US"/>
        </w:rPr>
      </w:pPr>
      <w:r>
        <w:rPr>
          <w:i/>
          <w:iCs/>
        </w:rPr>
        <w:t>Communication submitted by:</w:t>
      </w:r>
      <w:r>
        <w:rPr>
          <w:i/>
        </w:rPr>
        <w:tab/>
      </w:r>
      <w:r>
        <w:t xml:space="preserve">Mohammed </w:t>
      </w:r>
      <w:proofErr w:type="spellStart"/>
      <w:r>
        <w:t>Dafar</w:t>
      </w:r>
      <w:proofErr w:type="spellEnd"/>
      <w:r>
        <w:t xml:space="preserve"> (represented by counsel from </w:t>
      </w:r>
      <w:proofErr w:type="spellStart"/>
      <w:r>
        <w:t>Fondation</w:t>
      </w:r>
      <w:proofErr w:type="spellEnd"/>
      <w:r>
        <w:t xml:space="preserve"> </w:t>
      </w:r>
      <w:proofErr w:type="spellStart"/>
      <w:r>
        <w:t>Alkarama</w:t>
      </w:r>
      <w:proofErr w:type="spellEnd"/>
      <w:r>
        <w:t>)</w:t>
      </w:r>
    </w:p>
    <w:p w14:paraId="141BBFD9" w14:textId="77777777" w:rsidR="00FE7547" w:rsidRPr="00797306" w:rsidRDefault="00FE7547" w:rsidP="00FE7547">
      <w:pPr>
        <w:pStyle w:val="SingleTxtG"/>
        <w:tabs>
          <w:tab w:val="left" w:pos="4536"/>
        </w:tabs>
        <w:ind w:left="4536" w:hanging="3402"/>
        <w:rPr>
          <w:kern w:val="3"/>
          <w:lang w:val="en-US"/>
        </w:rPr>
      </w:pPr>
      <w:r>
        <w:rPr>
          <w:i/>
          <w:iCs/>
        </w:rPr>
        <w:t>Alleged victims:</w:t>
      </w:r>
      <w:r w:rsidRPr="00FD511F">
        <w:rPr>
          <w:i/>
        </w:rPr>
        <w:tab/>
      </w:r>
      <w:r>
        <w:t xml:space="preserve">The author and Fateh </w:t>
      </w:r>
      <w:proofErr w:type="spellStart"/>
      <w:r>
        <w:t>Dafar</w:t>
      </w:r>
      <w:proofErr w:type="spellEnd"/>
      <w:r>
        <w:t xml:space="preserve"> (son of the author)</w:t>
      </w:r>
    </w:p>
    <w:p w14:paraId="079B9B03" w14:textId="43D1691E" w:rsidR="00FE7547" w:rsidRDefault="00FE7547" w:rsidP="00FE7547">
      <w:pPr>
        <w:pStyle w:val="SingleTxtG"/>
        <w:tabs>
          <w:tab w:val="left" w:pos="4536"/>
        </w:tabs>
        <w:ind w:left="4536" w:hanging="3402"/>
        <w:rPr>
          <w:kern w:val="3"/>
        </w:rPr>
      </w:pPr>
      <w:r>
        <w:rPr>
          <w:i/>
          <w:iCs/>
        </w:rPr>
        <w:t>State party:</w:t>
      </w:r>
      <w:r w:rsidRPr="00FD511F">
        <w:rPr>
          <w:i/>
        </w:rPr>
        <w:tab/>
      </w:r>
      <w:r w:rsidR="00806B72">
        <w:rPr>
          <w:i/>
        </w:rPr>
        <w:tab/>
      </w:r>
      <w:r>
        <w:t>Algeria</w:t>
      </w:r>
    </w:p>
    <w:p w14:paraId="779677E3" w14:textId="77777777" w:rsidR="00FE7547" w:rsidRDefault="00FE7547" w:rsidP="00FE7547">
      <w:pPr>
        <w:pStyle w:val="SingleTxtG"/>
        <w:tabs>
          <w:tab w:val="left" w:pos="4536"/>
        </w:tabs>
        <w:ind w:left="4536" w:hanging="3402"/>
        <w:rPr>
          <w:kern w:val="3"/>
        </w:rPr>
      </w:pPr>
      <w:r>
        <w:rPr>
          <w:i/>
          <w:iCs/>
        </w:rPr>
        <w:t>Date of communication:</w:t>
      </w:r>
      <w:r w:rsidRPr="00FD511F">
        <w:rPr>
          <w:i/>
        </w:rPr>
        <w:tab/>
      </w:r>
      <w:r>
        <w:t>25 November 2014 (initial submission)</w:t>
      </w:r>
    </w:p>
    <w:p w14:paraId="62822956" w14:textId="11228CDB" w:rsidR="00FE7547" w:rsidRPr="00797306" w:rsidRDefault="00FE7547" w:rsidP="00FE7547">
      <w:pPr>
        <w:pStyle w:val="SingleTxtG"/>
        <w:tabs>
          <w:tab w:val="left" w:pos="4536"/>
        </w:tabs>
        <w:ind w:left="4536" w:hanging="3402"/>
        <w:rPr>
          <w:kern w:val="3"/>
          <w:lang w:val="en-US"/>
        </w:rPr>
      </w:pPr>
      <w:r>
        <w:rPr>
          <w:i/>
          <w:iCs/>
        </w:rPr>
        <w:t>Document references:</w:t>
      </w:r>
      <w:r w:rsidRPr="00FD511F">
        <w:rPr>
          <w:i/>
        </w:rPr>
        <w:tab/>
      </w:r>
      <w:r>
        <w:t>Decision taken pursuant to rule 92 of the Committee</w:t>
      </w:r>
      <w:r w:rsidR="006A545F">
        <w:t>’</w:t>
      </w:r>
      <w:r>
        <w:t>s rules of procedure, transmitted to the State party on 5 March 2015 (not issued in document form)</w:t>
      </w:r>
    </w:p>
    <w:p w14:paraId="3678BB68" w14:textId="77777777" w:rsidR="00FE7547" w:rsidRDefault="00FE7547" w:rsidP="00FE7547">
      <w:pPr>
        <w:pStyle w:val="SingleTxtG"/>
        <w:tabs>
          <w:tab w:val="left" w:pos="4536"/>
        </w:tabs>
        <w:ind w:left="4536" w:hanging="3402"/>
        <w:rPr>
          <w:kern w:val="3"/>
        </w:rPr>
      </w:pPr>
      <w:r>
        <w:rPr>
          <w:i/>
          <w:iCs/>
        </w:rPr>
        <w:t>Date of adoption of Views:</w:t>
      </w:r>
      <w:r w:rsidRPr="00797306">
        <w:rPr>
          <w:kern w:val="3"/>
          <w:lang w:val="en-US"/>
        </w:rPr>
        <w:tab/>
      </w:r>
      <w:r>
        <w:t>16 October 2020</w:t>
      </w:r>
    </w:p>
    <w:p w14:paraId="50BA6597" w14:textId="77777777" w:rsidR="00FE7547" w:rsidRDefault="00FE7547" w:rsidP="00FE7547">
      <w:pPr>
        <w:pStyle w:val="SingleTxtG"/>
        <w:tabs>
          <w:tab w:val="left" w:pos="4536"/>
        </w:tabs>
        <w:ind w:left="4536" w:hanging="3402"/>
        <w:rPr>
          <w:kern w:val="3"/>
        </w:rPr>
      </w:pPr>
      <w:r>
        <w:rPr>
          <w:i/>
          <w:iCs/>
        </w:rPr>
        <w:t>Subject matter:</w:t>
      </w:r>
      <w:r>
        <w:rPr>
          <w:kern w:val="3"/>
        </w:rPr>
        <w:tab/>
      </w:r>
      <w:r>
        <w:t>Summary execution</w:t>
      </w:r>
    </w:p>
    <w:p w14:paraId="19D81F69" w14:textId="77777777" w:rsidR="00FE7547" w:rsidRPr="00797306" w:rsidRDefault="00FE7547" w:rsidP="00FE7547">
      <w:pPr>
        <w:pStyle w:val="SingleTxtG"/>
        <w:tabs>
          <w:tab w:val="left" w:pos="4536"/>
        </w:tabs>
        <w:ind w:left="4536" w:hanging="3402"/>
        <w:rPr>
          <w:kern w:val="3"/>
          <w:lang w:val="en-US"/>
        </w:rPr>
      </w:pPr>
      <w:r>
        <w:rPr>
          <w:i/>
          <w:iCs/>
        </w:rPr>
        <w:t>Procedural issue:</w:t>
      </w:r>
      <w:r>
        <w:rPr>
          <w:i/>
          <w:iCs/>
          <w:kern w:val="3"/>
        </w:rPr>
        <w:tab/>
      </w:r>
      <w:r>
        <w:t>Lack of cooperation by the State party</w:t>
      </w:r>
    </w:p>
    <w:p w14:paraId="1339B28C" w14:textId="77777777" w:rsidR="00FE7547" w:rsidRPr="00797306" w:rsidRDefault="00FE7547" w:rsidP="00FE7547">
      <w:pPr>
        <w:pStyle w:val="SingleTxtG"/>
        <w:tabs>
          <w:tab w:val="left" w:pos="4536"/>
        </w:tabs>
        <w:ind w:left="4536" w:hanging="3402"/>
        <w:rPr>
          <w:kern w:val="3"/>
          <w:lang w:val="en-US"/>
        </w:rPr>
      </w:pPr>
      <w:r>
        <w:rPr>
          <w:i/>
          <w:iCs/>
        </w:rPr>
        <w:t>Substantive issues:</w:t>
      </w:r>
      <w:r>
        <w:rPr>
          <w:kern w:val="3"/>
        </w:rPr>
        <w:tab/>
      </w:r>
      <w:r>
        <w:t>Right to an effective remedy; right to life; cruel, inhuman or degrading treatment or punishment</w:t>
      </w:r>
    </w:p>
    <w:p w14:paraId="27836F91" w14:textId="77777777" w:rsidR="00FE7547" w:rsidRDefault="00FE7547" w:rsidP="00FE7547">
      <w:pPr>
        <w:pStyle w:val="SingleTxtG"/>
        <w:tabs>
          <w:tab w:val="left" w:pos="4536"/>
        </w:tabs>
        <w:ind w:left="4536" w:hanging="3402"/>
        <w:rPr>
          <w:kern w:val="3"/>
        </w:rPr>
      </w:pPr>
      <w:r>
        <w:rPr>
          <w:i/>
          <w:iCs/>
        </w:rPr>
        <w:t>Articles of the Covenant:</w:t>
      </w:r>
      <w:r>
        <w:rPr>
          <w:kern w:val="3"/>
        </w:rPr>
        <w:tab/>
      </w:r>
      <w:r>
        <w:t>2 (3), 6 (1), 7, 9, and 10 (1)</w:t>
      </w:r>
    </w:p>
    <w:p w14:paraId="785BC4D2" w14:textId="77777777" w:rsidR="00FE7547" w:rsidRDefault="00FE7547" w:rsidP="00FE7547">
      <w:pPr>
        <w:pStyle w:val="SingleTxtG"/>
        <w:tabs>
          <w:tab w:val="left" w:pos="4536"/>
        </w:tabs>
        <w:ind w:left="4536" w:hanging="3402"/>
        <w:rPr>
          <w:kern w:val="3"/>
        </w:rPr>
      </w:pPr>
      <w:r>
        <w:rPr>
          <w:i/>
          <w:iCs/>
        </w:rPr>
        <w:t>Articles of the Optional Protocol:</w:t>
      </w:r>
      <w:r w:rsidRPr="00797306">
        <w:rPr>
          <w:kern w:val="3"/>
          <w:lang w:val="en-US"/>
        </w:rPr>
        <w:tab/>
      </w:r>
      <w:r>
        <w:t>5 (2) (b)</w:t>
      </w:r>
    </w:p>
    <w:p w14:paraId="4AFBC079" w14:textId="77777777" w:rsidR="00B23200" w:rsidRPr="00797306" w:rsidRDefault="00B23200" w:rsidP="00B23200">
      <w:pPr>
        <w:pStyle w:val="SingleTxtG"/>
        <w:spacing w:before="240"/>
        <w:rPr>
          <w:lang w:val="en-US"/>
        </w:rPr>
      </w:pPr>
      <w:r>
        <w:t>1.</w:t>
      </w:r>
      <w:r>
        <w:tab/>
        <w:t xml:space="preserve">The author of the communication is Mohammed </w:t>
      </w:r>
      <w:proofErr w:type="spellStart"/>
      <w:r>
        <w:t>Dafar</w:t>
      </w:r>
      <w:proofErr w:type="spellEnd"/>
      <w:r>
        <w:t xml:space="preserve">, a national of Algeria. He claims that his son, Fateh </w:t>
      </w:r>
      <w:proofErr w:type="spellStart"/>
      <w:r>
        <w:t>Dafar</w:t>
      </w:r>
      <w:proofErr w:type="spellEnd"/>
      <w:r>
        <w:t xml:space="preserve">, born on 6 February 1960 and also a national of Algeria, was summarily executed on 3 February 1995, which constitutes a violation by the State party of articles 2 (3), 6 (1), 7, 9 and 10 (1) of the Covenant. The author also claims that he and his family have been the victims of a violation of article 2 (3), read alone and in conjunction with articles 6 and 7 of the Covenant. The Covenant and the Optional Protocol to the Covenant entered into force for the State party on 12 December 1989. The author is represented by counsel from </w:t>
      </w:r>
      <w:proofErr w:type="spellStart"/>
      <w:r>
        <w:t>Fondation</w:t>
      </w:r>
      <w:proofErr w:type="spellEnd"/>
      <w:r>
        <w:t xml:space="preserve"> </w:t>
      </w:r>
      <w:proofErr w:type="spellStart"/>
      <w:r>
        <w:t>Alkarama</w:t>
      </w:r>
      <w:proofErr w:type="spellEnd"/>
      <w:r>
        <w:t>.</w:t>
      </w:r>
    </w:p>
    <w:p w14:paraId="3713BD98" w14:textId="77777777" w:rsidR="00B23200" w:rsidRPr="00797306" w:rsidRDefault="00B23200" w:rsidP="00B23200">
      <w:pPr>
        <w:pStyle w:val="H23G"/>
        <w:rPr>
          <w:lang w:val="en-US"/>
        </w:rPr>
      </w:pPr>
      <w:r>
        <w:tab/>
      </w:r>
      <w:r>
        <w:tab/>
      </w:r>
      <w:r>
        <w:rPr>
          <w:bCs/>
        </w:rPr>
        <w:t>The facts as submitted by author</w:t>
      </w:r>
    </w:p>
    <w:p w14:paraId="0B5D4FAE" w14:textId="77777777" w:rsidR="00B23200" w:rsidRPr="00797306" w:rsidRDefault="00B23200" w:rsidP="00B23200">
      <w:pPr>
        <w:pStyle w:val="SingleTxtG"/>
        <w:rPr>
          <w:lang w:val="en-US"/>
        </w:rPr>
      </w:pPr>
      <w:r>
        <w:t>2.1</w:t>
      </w:r>
      <w:r>
        <w:tab/>
        <w:t xml:space="preserve">The author states that, like many cities and rural areas in Algeria, the </w:t>
      </w:r>
      <w:r>
        <w:rPr>
          <w:i/>
          <w:iCs/>
        </w:rPr>
        <w:t>wilaya</w:t>
      </w:r>
      <w:r>
        <w:t xml:space="preserve"> (governorate) of </w:t>
      </w:r>
      <w:proofErr w:type="spellStart"/>
      <w:r>
        <w:t>Jijel</w:t>
      </w:r>
      <w:proofErr w:type="spellEnd"/>
      <w:r>
        <w:t xml:space="preserve"> has </w:t>
      </w:r>
      <w:r w:rsidRPr="00E13096">
        <w:t>experienced</w:t>
      </w:r>
      <w:r>
        <w:t xml:space="preserve"> systematic mass violations of human rights. </w:t>
      </w:r>
      <w:proofErr w:type="spellStart"/>
      <w:r>
        <w:t>Jijel</w:t>
      </w:r>
      <w:proofErr w:type="spellEnd"/>
      <w:r>
        <w:t xml:space="preserve"> is a </w:t>
      </w:r>
      <w:r>
        <w:lastRenderedPageBreak/>
        <w:t>mountainous region in the eastern part of the country. During the 1990s, thousands of people were victims of summary execution, arbitrary arrest and enforced disappearance. During the years of conflict, a climate of widespread terror prevailed in this remote region, where there was a strong military presence. This explains why, despite the large number of summary executions performed there, so few cases were reported – the fear of reprisals by the authorities prevented families from taking steps to find their missing family members.</w:t>
      </w:r>
    </w:p>
    <w:p w14:paraId="15C6896D" w14:textId="287209AE" w:rsidR="00B23200" w:rsidRPr="00797306" w:rsidRDefault="00B23200" w:rsidP="00B23200">
      <w:pPr>
        <w:pStyle w:val="SingleTxtG"/>
        <w:rPr>
          <w:lang w:val="en-US"/>
        </w:rPr>
      </w:pPr>
      <w:r>
        <w:t>2.2</w:t>
      </w:r>
      <w:r>
        <w:tab/>
        <w:t xml:space="preserve">Fateh </w:t>
      </w:r>
      <w:proofErr w:type="spellStart"/>
      <w:r>
        <w:t>Dafar</w:t>
      </w:r>
      <w:proofErr w:type="spellEnd"/>
      <w:r>
        <w:t xml:space="preserve"> worked at the El </w:t>
      </w:r>
      <w:proofErr w:type="spellStart"/>
      <w:r>
        <w:t>Aouana</w:t>
      </w:r>
      <w:proofErr w:type="spellEnd"/>
      <w:r>
        <w:t xml:space="preserve"> tax office (</w:t>
      </w:r>
      <w:proofErr w:type="spellStart"/>
      <w:r>
        <w:rPr>
          <w:i/>
          <w:iCs/>
        </w:rPr>
        <w:t>Recette</w:t>
      </w:r>
      <w:proofErr w:type="spellEnd"/>
      <w:r>
        <w:rPr>
          <w:i/>
          <w:iCs/>
        </w:rPr>
        <w:t xml:space="preserve"> des contributions </w:t>
      </w:r>
      <w:proofErr w:type="spellStart"/>
      <w:r>
        <w:rPr>
          <w:i/>
          <w:iCs/>
        </w:rPr>
        <w:t>diverses</w:t>
      </w:r>
      <w:proofErr w:type="spellEnd"/>
      <w:r>
        <w:rPr>
          <w:i/>
          <w:iCs/>
        </w:rPr>
        <w:t xml:space="preserve"> </w:t>
      </w:r>
      <w:proofErr w:type="spellStart"/>
      <w:r>
        <w:rPr>
          <w:i/>
          <w:iCs/>
        </w:rPr>
        <w:t>d</w:t>
      </w:r>
      <w:r w:rsidR="006A545F">
        <w:rPr>
          <w:i/>
          <w:iCs/>
        </w:rPr>
        <w:t>’</w:t>
      </w:r>
      <w:r>
        <w:rPr>
          <w:i/>
          <w:iCs/>
        </w:rPr>
        <w:t>El</w:t>
      </w:r>
      <w:proofErr w:type="spellEnd"/>
      <w:r>
        <w:rPr>
          <w:i/>
          <w:iCs/>
        </w:rPr>
        <w:t xml:space="preserve"> </w:t>
      </w:r>
      <w:proofErr w:type="spellStart"/>
      <w:r>
        <w:rPr>
          <w:i/>
          <w:iCs/>
        </w:rPr>
        <w:t>Aouana</w:t>
      </w:r>
      <w:proofErr w:type="spellEnd"/>
      <w:r>
        <w:t xml:space="preserve">), which is attached to the department responsible for taxation in </w:t>
      </w:r>
      <w:proofErr w:type="spellStart"/>
      <w:r>
        <w:t>Jijel</w:t>
      </w:r>
      <w:proofErr w:type="spellEnd"/>
      <w:r>
        <w:t xml:space="preserve"> </w:t>
      </w:r>
      <w:r>
        <w:rPr>
          <w:i/>
          <w:iCs/>
        </w:rPr>
        <w:t>wilaya</w:t>
      </w:r>
      <w:r>
        <w:t xml:space="preserve">. According to testimony from his family and colleagues – confirmed by a certificate issued on 6 March 1995 by the director of taxation in </w:t>
      </w:r>
      <w:proofErr w:type="spellStart"/>
      <w:r>
        <w:t>Jijel</w:t>
      </w:r>
      <w:proofErr w:type="spellEnd"/>
      <w:r>
        <w:t xml:space="preserve"> </w:t>
      </w:r>
      <w:r>
        <w:rPr>
          <w:i/>
          <w:iCs/>
        </w:rPr>
        <w:t>wilaya</w:t>
      </w:r>
      <w:r>
        <w:t xml:space="preserve"> – he was arrested at his workplace on 26 November 1994 by two members of the security services. He was subsequently taken to the headquarters of the El </w:t>
      </w:r>
      <w:proofErr w:type="spellStart"/>
      <w:r>
        <w:t>Aouana</w:t>
      </w:r>
      <w:proofErr w:type="spellEnd"/>
      <w:r>
        <w:t xml:space="preserve"> brigade of the national gendarmerie, commanded by Captain B., where he was detained for 70 days – from 26 November 1994 to 3 February 1995 – without being brought before a competent judicial authority and without his family being informed of the reasons for his arrest or his place of detention. Throughout this period of incommunicado detention, Fateh </w:t>
      </w:r>
      <w:proofErr w:type="spellStart"/>
      <w:r>
        <w:t>Dafar</w:t>
      </w:r>
      <w:proofErr w:type="spellEnd"/>
      <w:r>
        <w:t xml:space="preserve"> was subjected to acts of torture.</w:t>
      </w:r>
    </w:p>
    <w:p w14:paraId="7C92CB73" w14:textId="77777777" w:rsidR="00B23200" w:rsidRPr="00797306" w:rsidRDefault="00B23200" w:rsidP="00B23200">
      <w:pPr>
        <w:pStyle w:val="SingleTxtG"/>
        <w:rPr>
          <w:lang w:val="en-US"/>
        </w:rPr>
      </w:pPr>
      <w:r>
        <w:t>2.3</w:t>
      </w:r>
      <w:r>
        <w:tab/>
        <w:t xml:space="preserve">On 7 December 1994, the author sent a letter to the commander of </w:t>
      </w:r>
      <w:proofErr w:type="spellStart"/>
      <w:r>
        <w:t>Jijel</w:t>
      </w:r>
      <w:proofErr w:type="spellEnd"/>
      <w:r>
        <w:t xml:space="preserve"> military district</w:t>
      </w:r>
      <w:r>
        <w:rPr>
          <w:rStyle w:val="FootnoteReference"/>
        </w:rPr>
        <w:footnoteReference w:id="3"/>
      </w:r>
      <w:r>
        <w:t xml:space="preserve"> to express his concern at the lack of information regarding the fate of his son, and to request that the commander contact the gendarmerie to gather information. This effort proved futile.</w:t>
      </w:r>
    </w:p>
    <w:p w14:paraId="2693E51A" w14:textId="77777777" w:rsidR="00B23200" w:rsidRPr="00797306" w:rsidRDefault="00B23200" w:rsidP="00B23200">
      <w:pPr>
        <w:pStyle w:val="SingleTxtG"/>
        <w:rPr>
          <w:lang w:val="en-US"/>
        </w:rPr>
      </w:pPr>
      <w:r>
        <w:t>2.4</w:t>
      </w:r>
      <w:r>
        <w:tab/>
        <w:t xml:space="preserve">On 3 February 1995, at around 10 p.m., in retaliation for an attack committed by an armed opposition group in El </w:t>
      </w:r>
      <w:proofErr w:type="spellStart"/>
      <w:r>
        <w:t>Aouana</w:t>
      </w:r>
      <w:proofErr w:type="spellEnd"/>
      <w:r>
        <w:t xml:space="preserve">, Captain B. and the gendarmes under his command brought Fateh </w:t>
      </w:r>
      <w:proofErr w:type="spellStart"/>
      <w:r>
        <w:t>Dafar</w:t>
      </w:r>
      <w:proofErr w:type="spellEnd"/>
      <w:r>
        <w:t xml:space="preserve"> and six other detainees from the headquarters of the local brigade to </w:t>
      </w:r>
      <w:proofErr w:type="spellStart"/>
      <w:r>
        <w:t>Chalate</w:t>
      </w:r>
      <w:proofErr w:type="spellEnd"/>
      <w:r>
        <w:t xml:space="preserve"> beach in El </w:t>
      </w:r>
      <w:proofErr w:type="spellStart"/>
      <w:r>
        <w:t>Aouana</w:t>
      </w:r>
      <w:proofErr w:type="spellEnd"/>
      <w:r>
        <w:t xml:space="preserve">. The detainees were </w:t>
      </w:r>
      <w:r w:rsidRPr="00320531">
        <w:t>transported</w:t>
      </w:r>
      <w:r>
        <w:t xml:space="preserve"> in full view of many residents of the municipality. Several people present near the beach that night witnessed the summary execution of the seven detainees by Captain B. and the gendarmes accompanying him, who abandoned the bodies on the beach.</w:t>
      </w:r>
    </w:p>
    <w:p w14:paraId="12C8E6B2" w14:textId="4B67FA26" w:rsidR="00B23200" w:rsidRPr="00797306" w:rsidRDefault="00B23200" w:rsidP="00B23200">
      <w:pPr>
        <w:pStyle w:val="SingleTxtG"/>
        <w:rPr>
          <w:rFonts w:eastAsia="Calibri"/>
          <w:lang w:val="en-US"/>
        </w:rPr>
      </w:pPr>
      <w:r>
        <w:t>2.5</w:t>
      </w:r>
      <w:r>
        <w:tab/>
        <w:t xml:space="preserve">On the morning of 4 February 1995, civil defence officials and firefighters arrived on the scene to recover the remains under the supervision of gendarmes. They subsequently transported the remains to the morgue at </w:t>
      </w:r>
      <w:proofErr w:type="spellStart"/>
      <w:r>
        <w:t>Jijel</w:t>
      </w:r>
      <w:proofErr w:type="spellEnd"/>
      <w:r>
        <w:t xml:space="preserve"> hospital. Having been alerted by witnesses to the scene, on that same morning, several members of Fateh </w:t>
      </w:r>
      <w:proofErr w:type="spellStart"/>
      <w:r>
        <w:t>Dafar</w:t>
      </w:r>
      <w:r w:rsidR="006A545F">
        <w:t>’</w:t>
      </w:r>
      <w:r>
        <w:t>s</w:t>
      </w:r>
      <w:proofErr w:type="spellEnd"/>
      <w:r>
        <w:t xml:space="preserve"> family, including the author, went to the morgue with the families of three of the other detainees to identify their children. Doctor T.A. of </w:t>
      </w:r>
      <w:proofErr w:type="spellStart"/>
      <w:r>
        <w:t>Jijel</w:t>
      </w:r>
      <w:proofErr w:type="spellEnd"/>
      <w:r>
        <w:t xml:space="preserve"> health district issued a death certificate for only one of the seven victims, at the request of the victim</w:t>
      </w:r>
      <w:r w:rsidR="006A545F">
        <w:t>’</w:t>
      </w:r>
      <w:r>
        <w:t xml:space="preserve">s father. This certificate, dated 4 February 1995, attests to the violent death of the person concerned, whose skull had been </w:t>
      </w:r>
      <w:r w:rsidR="00C60D4E">
        <w:t>“</w:t>
      </w:r>
      <w:r>
        <w:t>completely smashed in</w:t>
      </w:r>
      <w:r w:rsidR="00C60D4E">
        <w:t>”</w:t>
      </w:r>
      <w:r>
        <w:t xml:space="preserve"> and who had a bullet wound in the chest.</w:t>
      </w:r>
      <w:r w:rsidRPr="001C7E21">
        <w:rPr>
          <w:sz w:val="18"/>
          <w:szCs w:val="18"/>
          <w:vertAlign w:val="superscript"/>
        </w:rPr>
        <w:footnoteReference w:id="4"/>
      </w:r>
      <w:r>
        <w:t xml:space="preserve"> Given that the author</w:t>
      </w:r>
      <w:r w:rsidR="006A545F">
        <w:t>’</w:t>
      </w:r>
      <w:r>
        <w:t>s son was executed at the same time, the certificate can be applied to him by analogy.</w:t>
      </w:r>
    </w:p>
    <w:p w14:paraId="404702BF" w14:textId="06A16429" w:rsidR="00B23200" w:rsidRPr="00797306" w:rsidRDefault="00B23200" w:rsidP="00B23200">
      <w:pPr>
        <w:pStyle w:val="SingleTxtG"/>
        <w:rPr>
          <w:lang w:val="en-US"/>
        </w:rPr>
      </w:pPr>
      <w:r>
        <w:t>2.6</w:t>
      </w:r>
      <w:r>
        <w:tab/>
        <w:t xml:space="preserve">The families of the four identified victims subsequently went together to </w:t>
      </w:r>
      <w:proofErr w:type="spellStart"/>
      <w:r>
        <w:t>Jijel</w:t>
      </w:r>
      <w:proofErr w:type="spellEnd"/>
      <w:r>
        <w:t xml:space="preserve"> court to refer the case to the public prosecutor and to request that an investigation be opened. However, the public prosecutor refused </w:t>
      </w:r>
      <w:r w:rsidR="00C60D4E">
        <w:t>“</w:t>
      </w:r>
      <w:r>
        <w:t>on the basis that it was not useful for the establishment of the truth to postpone the burial of the remains</w:t>
      </w:r>
      <w:r w:rsidR="00C60D4E">
        <w:t>”</w:t>
      </w:r>
      <w:r>
        <w:t xml:space="preserve">. Accordingly, he issued a burial permit for Fateh </w:t>
      </w:r>
      <w:proofErr w:type="spellStart"/>
      <w:r>
        <w:t>Dafar</w:t>
      </w:r>
      <w:proofErr w:type="spellEnd"/>
      <w:r>
        <w:t xml:space="preserve"> on 7 February 1995,</w:t>
      </w:r>
      <w:r>
        <w:rPr>
          <w:rStyle w:val="FootnoteReference"/>
        </w:rPr>
        <w:footnoteReference w:id="5"/>
      </w:r>
      <w:r>
        <w:t xml:space="preserve"> four days after his execution, without ordering an autopsy and without opening a criminal investigation, in violation of Algerian law, which requires him to do so in the event of homicide. The same day, the chief of police security in </w:t>
      </w:r>
      <w:proofErr w:type="spellStart"/>
      <w:r>
        <w:t>Jijel</w:t>
      </w:r>
      <w:proofErr w:type="spellEnd"/>
      <w:r>
        <w:t xml:space="preserve"> </w:t>
      </w:r>
      <w:r>
        <w:rPr>
          <w:i/>
          <w:iCs/>
        </w:rPr>
        <w:t>wilaya</w:t>
      </w:r>
      <w:r>
        <w:t xml:space="preserve"> issued a burial permit and the Department of Management and Administration authorized the transport of his remains from the hospital to the burial site.</w:t>
      </w:r>
      <w:r>
        <w:rPr>
          <w:rStyle w:val="FootnoteReference"/>
        </w:rPr>
        <w:footnoteReference w:id="6"/>
      </w:r>
    </w:p>
    <w:p w14:paraId="7F41292F" w14:textId="0900CEBB" w:rsidR="00B23200" w:rsidRPr="00797306" w:rsidRDefault="00B23200" w:rsidP="00B23200">
      <w:pPr>
        <w:pStyle w:val="SingleTxtG"/>
        <w:rPr>
          <w:lang w:val="en-US"/>
        </w:rPr>
      </w:pPr>
      <w:r>
        <w:t>2.7</w:t>
      </w:r>
      <w:r>
        <w:tab/>
        <w:t xml:space="preserve">On 5 September 2000, in the absence of an adequate and thorough investigation into the circumstances and cause of the death of his son, the author wrote to the Minister of Justice </w:t>
      </w:r>
      <w:r>
        <w:lastRenderedPageBreak/>
        <w:t xml:space="preserve">to request that he ask the competent authorities to open an investigation and to identify and prosecute the persons responsible. This effort also proved futile. On 5 May 2006, in response to a request from the author demanding that light be shed on the death of his son, an officer of the El </w:t>
      </w:r>
      <w:proofErr w:type="spellStart"/>
      <w:r>
        <w:t>Aouana</w:t>
      </w:r>
      <w:proofErr w:type="spellEnd"/>
      <w:r>
        <w:t xml:space="preserve"> unit of the national gendarmerie – the same unit that performed the summary execution during which Fateh </w:t>
      </w:r>
      <w:proofErr w:type="spellStart"/>
      <w:r>
        <w:t>Dafar</w:t>
      </w:r>
      <w:proofErr w:type="spellEnd"/>
      <w:r>
        <w:t xml:space="preserve"> was killed – issued a </w:t>
      </w:r>
      <w:r w:rsidR="00C60D4E">
        <w:t>“</w:t>
      </w:r>
      <w:r>
        <w:t>certificate of disappearance in the context of the national tragedy</w:t>
      </w:r>
      <w:r w:rsidR="00C60D4E">
        <w:t>”</w:t>
      </w:r>
      <w:r>
        <w:t>.</w:t>
      </w:r>
      <w:r>
        <w:rPr>
          <w:rStyle w:val="FootnoteReference"/>
        </w:rPr>
        <w:footnoteReference w:id="7"/>
      </w:r>
      <w:r>
        <w:t xml:space="preserve"> The author considers that such a document is constitutive of the offence of falsifying a public document, which is punishable by life imprisonment under article 215 of the Criminal Code. On 13 January 2007, at the insistence of the author, the same officer issued a death certificate in his son</w:t>
      </w:r>
      <w:r w:rsidR="006A545F">
        <w:t>’</w:t>
      </w:r>
      <w:r>
        <w:t>s name, without however indicating the cause or circumstances of his death.</w:t>
      </w:r>
      <w:r>
        <w:rPr>
          <w:rStyle w:val="FootnoteReference"/>
        </w:rPr>
        <w:footnoteReference w:id="8"/>
      </w:r>
    </w:p>
    <w:p w14:paraId="01D5DB13" w14:textId="5F8B8706" w:rsidR="00B23200" w:rsidRPr="00797306" w:rsidRDefault="00B23200" w:rsidP="00B23200">
      <w:pPr>
        <w:pStyle w:val="SingleTxtG"/>
        <w:rPr>
          <w:lang w:val="en-US"/>
        </w:rPr>
      </w:pPr>
      <w:r>
        <w:t>2.8</w:t>
      </w:r>
      <w:r>
        <w:tab/>
        <w:t>Despite all the efforts made by the author, no investigation has been undertaken, nor have those responsible for the execution of his son been held to account.</w:t>
      </w:r>
      <w:r>
        <w:rPr>
          <w:rStyle w:val="FootnoteReference"/>
        </w:rPr>
        <w:footnoteReference w:id="9"/>
      </w:r>
      <w:r>
        <w:t xml:space="preserve"> The author emphasizes that it is now legally impossible, in the light of the promulgation of Ordinance No. 06-01 of 27 February 2006 on the implementation of the Charter for Peace and National Reconciliation, for him to bring his case before the judicial authorities. Domestic remedies, which had already proved useless and ineffective, are thus now totally unavailable. The Charter for Peace and National Reconciliation provides that </w:t>
      </w:r>
      <w:r w:rsidR="00C60D4E">
        <w:t>“</w:t>
      </w:r>
      <w:r>
        <w:t>no one, whether in Algeria or abroad, has the right to use or make use of the wounds caused by the national tragedy in order to undermine the institutions of the People</w:t>
      </w:r>
      <w:r w:rsidR="006A545F">
        <w:t>’</w:t>
      </w:r>
      <w:r>
        <w:t>s Democratic Republic of Algeria, weaken the State, impugn the integrity of all the agents who have served it with dignity, or tarnish the image of Algeria abroad</w:t>
      </w:r>
      <w:r w:rsidR="00C60D4E">
        <w:t>”</w:t>
      </w:r>
      <w:r>
        <w:t xml:space="preserve"> and rejects </w:t>
      </w:r>
      <w:r w:rsidR="00C60D4E">
        <w:t>“</w:t>
      </w:r>
      <w:r>
        <w:t>all allegations holding the State responsible for deliberate disappearances</w:t>
      </w:r>
      <w:r w:rsidR="00C60D4E">
        <w:t>”</w:t>
      </w:r>
      <w:r>
        <w:t xml:space="preserve">. The Charter further provides that </w:t>
      </w:r>
      <w:r w:rsidR="00C60D4E">
        <w:t>“</w:t>
      </w:r>
      <w:r>
        <w:t>reprehensible acts on the part of agents of the State, which have been punished by law whenever they have been proved, cannot be used as a pretext to discredit the security forces as a whole, who were doing their duty for their country with the support of its citizens</w:t>
      </w:r>
      <w:r w:rsidR="00C60D4E">
        <w:t>”</w:t>
      </w:r>
      <w:r>
        <w:t>.</w:t>
      </w:r>
    </w:p>
    <w:p w14:paraId="04422A11" w14:textId="1489F380" w:rsidR="00B23200" w:rsidRPr="00797306" w:rsidRDefault="00B23200" w:rsidP="00B23200">
      <w:pPr>
        <w:pStyle w:val="SingleTxtG"/>
        <w:rPr>
          <w:lang w:val="en-US"/>
        </w:rPr>
      </w:pPr>
      <w:r>
        <w:t>2.9</w:t>
      </w:r>
      <w:r>
        <w:tab/>
        <w:t xml:space="preserve">According to the author, Ordinance No. 06-01 prohibits the opening of legal proceedings on pain of criminal prosecution, which relieves the victims of any obligation to exhaust domestic remedies. Article 45 of the Ordinance in fact prohibits any complaint of disappearance or other offences, by providing that </w:t>
      </w:r>
      <w:r w:rsidR="00C60D4E">
        <w:t>“</w:t>
      </w:r>
      <w:r>
        <w:t>no individual or class action may be taken against members of any branch of the defence and security forces of the Republic for actions carried out to protect persons and property, safeguard the nation and preserve the institutions of the People</w:t>
      </w:r>
      <w:r w:rsidR="006A545F">
        <w:t>’</w:t>
      </w:r>
      <w:r>
        <w:t>s Democratic Republic of Algeria</w:t>
      </w:r>
      <w:r w:rsidR="00C60D4E">
        <w:t>”</w:t>
      </w:r>
      <w:r>
        <w:t xml:space="preserve">. By virtue of this provision, any allegation or complaint must be declared inadmissible by the competent legal authority. Furthermore, article 46 of the Ordinance establishes that: </w:t>
      </w:r>
      <w:r w:rsidR="00C60D4E">
        <w:t>“</w:t>
      </w:r>
      <w:r>
        <w:t>Anyone who, through his or her spoken or written statements or any other act, uses or makes use of the wounds caused by the national tragedy to undermine the institutions of the People</w:t>
      </w:r>
      <w:r w:rsidR="006A545F">
        <w:t>’</w:t>
      </w:r>
      <w:r>
        <w:t>s Democratic Republic of Algeria, weaken the State, impugn the honour of its agents who served it with dignity or tarnish the image of Algeria abroad shall be liable to a term of imprisonment of 3 to 5 years and a fine of 250,000 to 500,000 Algerian dinars. Criminal proceedings shall be automatically initiated by the public prosecutor</w:t>
      </w:r>
      <w:r w:rsidR="006A545F">
        <w:t>’</w:t>
      </w:r>
      <w:r>
        <w:t>s office. The penalty is doubled for repeat offences.</w:t>
      </w:r>
      <w:r w:rsidR="00C60D4E">
        <w:t>”</w:t>
      </w:r>
    </w:p>
    <w:p w14:paraId="79549090" w14:textId="77777777" w:rsidR="00B23200" w:rsidRPr="00797306" w:rsidRDefault="00B23200" w:rsidP="00B23200">
      <w:pPr>
        <w:pStyle w:val="SingleTxtG"/>
        <w:rPr>
          <w:lang w:val="en-US"/>
        </w:rPr>
      </w:pPr>
      <w:r>
        <w:t>2.10</w:t>
      </w:r>
      <w:r>
        <w:tab/>
        <w:t xml:space="preserve">The author adds that the effect of this law is to grant amnesty for crimes committed in the </w:t>
      </w:r>
      <w:r w:rsidRPr="006155C2">
        <w:t>prior</w:t>
      </w:r>
      <w:r>
        <w:t xml:space="preserve"> decade, including the most serious crimes, such as summary executions. Moreover, the law prohibits, on pain of imprisonment, the use of the justice system to establish the fate of victims.</w:t>
      </w:r>
      <w:r w:rsidRPr="001C7E21">
        <w:rPr>
          <w:sz w:val="18"/>
          <w:szCs w:val="18"/>
          <w:vertAlign w:val="superscript"/>
        </w:rPr>
        <w:footnoteReference w:id="10"/>
      </w:r>
      <w:r>
        <w:t xml:space="preserve"> The Algerian authorities, including the judicial authorities, are manifestly refusing to establish the responsibility of the national gendarmerie, members of which carried out the summary execution of Fateh </w:t>
      </w:r>
      <w:proofErr w:type="spellStart"/>
      <w:r>
        <w:t>Dafar</w:t>
      </w:r>
      <w:proofErr w:type="spellEnd"/>
      <w:r>
        <w:t xml:space="preserve"> and six other victims. This refusal counters the effectiveness of the remedies sought by the family.</w:t>
      </w:r>
    </w:p>
    <w:p w14:paraId="3C3AD299" w14:textId="77777777" w:rsidR="00B23200" w:rsidRPr="00797306" w:rsidRDefault="00B23200" w:rsidP="00B23200">
      <w:pPr>
        <w:pStyle w:val="H23G"/>
        <w:rPr>
          <w:lang w:val="en-US"/>
        </w:rPr>
      </w:pPr>
      <w:r>
        <w:lastRenderedPageBreak/>
        <w:tab/>
      </w:r>
      <w:r>
        <w:tab/>
      </w:r>
      <w:r>
        <w:rPr>
          <w:bCs/>
        </w:rPr>
        <w:t>The complaint</w:t>
      </w:r>
    </w:p>
    <w:p w14:paraId="37AE10AC" w14:textId="77777777" w:rsidR="00B23200" w:rsidRPr="00797306" w:rsidRDefault="00B23200" w:rsidP="00B23200">
      <w:pPr>
        <w:pStyle w:val="SingleTxtG"/>
        <w:rPr>
          <w:lang w:val="en-US"/>
        </w:rPr>
      </w:pPr>
      <w:r>
        <w:t>3.1</w:t>
      </w:r>
      <w:r>
        <w:tab/>
        <w:t xml:space="preserve">The author claims that Fateh </w:t>
      </w:r>
      <w:proofErr w:type="spellStart"/>
      <w:r>
        <w:t>Dafar</w:t>
      </w:r>
      <w:proofErr w:type="spellEnd"/>
      <w:r>
        <w:t xml:space="preserve"> was the victim of an extrajudicial execution carried out as part of a systematic and widespread practice.</w:t>
      </w:r>
      <w:r w:rsidRPr="001C7E21">
        <w:rPr>
          <w:sz w:val="18"/>
          <w:szCs w:val="18"/>
          <w:vertAlign w:val="superscript"/>
        </w:rPr>
        <w:footnoteReference w:id="11"/>
      </w:r>
    </w:p>
    <w:p w14:paraId="2BC26F33" w14:textId="2821B5F9" w:rsidR="00B23200" w:rsidRPr="00797306" w:rsidRDefault="00B23200" w:rsidP="00B23200">
      <w:pPr>
        <w:pStyle w:val="SingleTxtG"/>
        <w:rPr>
          <w:lang w:val="en-US"/>
        </w:rPr>
      </w:pPr>
      <w:r>
        <w:t>3.2</w:t>
      </w:r>
      <w:r>
        <w:tab/>
        <w:t xml:space="preserve">The author also claims that the extrajudicial execution of his son, deliberately carried out by officers of the El </w:t>
      </w:r>
      <w:proofErr w:type="spellStart"/>
      <w:r>
        <w:t>Aouana</w:t>
      </w:r>
      <w:proofErr w:type="spellEnd"/>
      <w:r>
        <w:t xml:space="preserve"> gendarmerie brigade – agents of the State party – constitutes a violation of Fateh </w:t>
      </w:r>
      <w:proofErr w:type="spellStart"/>
      <w:r>
        <w:t>Dafar</w:t>
      </w:r>
      <w:r w:rsidR="006A545F">
        <w:t>’</w:t>
      </w:r>
      <w:r>
        <w:t>s</w:t>
      </w:r>
      <w:proofErr w:type="spellEnd"/>
      <w:r>
        <w:t xml:space="preserve"> right to life under article 6 (1) of the Covenant.</w:t>
      </w:r>
    </w:p>
    <w:p w14:paraId="5D30D3C3" w14:textId="5D6F223F" w:rsidR="00B23200" w:rsidRPr="00797306" w:rsidRDefault="00B23200" w:rsidP="00B23200">
      <w:pPr>
        <w:pStyle w:val="SingleTxtG"/>
        <w:rPr>
          <w:lang w:val="en-US"/>
        </w:rPr>
      </w:pPr>
      <w:r>
        <w:t>3.3</w:t>
      </w:r>
      <w:r>
        <w:tab/>
        <w:t>The State party</w:t>
      </w:r>
      <w:r w:rsidR="006A545F">
        <w:t>’</w:t>
      </w:r>
      <w:r>
        <w:t xml:space="preserve">s failure to fulfil its duty to safeguard the right to life is compounded by its failure to investigate and shed light on the summary execution of Fateh </w:t>
      </w:r>
      <w:proofErr w:type="spellStart"/>
      <w:r>
        <w:t>Dafar</w:t>
      </w:r>
      <w:proofErr w:type="spellEnd"/>
      <w:r>
        <w:t>. Since February 2006, pursuant to Ordinance No. 05/29, it has been prohibited to prosecute members of the Algerian defence and security forces. The author is therefore unable to exercise his right to an effective remedy, in violation of article 2 (3), read alone and in conjunction with articles 6 and 7 of the Covenant.</w:t>
      </w:r>
    </w:p>
    <w:p w14:paraId="3538D0AF" w14:textId="0AFD5E30" w:rsidR="00B23200" w:rsidRPr="00797306" w:rsidRDefault="00B23200" w:rsidP="00B23200">
      <w:pPr>
        <w:pStyle w:val="SingleTxtG"/>
        <w:rPr>
          <w:lang w:val="en-US"/>
        </w:rPr>
      </w:pPr>
      <w:r>
        <w:t>3.4</w:t>
      </w:r>
      <w:r>
        <w:tab/>
        <w:t xml:space="preserve">The author also considers that Fateh </w:t>
      </w:r>
      <w:proofErr w:type="spellStart"/>
      <w:r>
        <w:t>Dafar</w:t>
      </w:r>
      <w:proofErr w:type="spellEnd"/>
      <w:r>
        <w:t xml:space="preserve"> was the victim of a violation of the right not to be subjected to treatment contrary to article 7 of the Covenant and of his right as a detainee to be treated with humanity in accordance with article 10 (1). The author reiterates that his son was detained incommunicado from 26 November 1994 to 3 February 1995, a total of 70 days, without his family being informed of the reasons for his detention. Conscious of the fact that torture was systematic in Algerian detention centres and was practised in a climate of impunity throughout the internal conflict of the 1990s,</w:t>
      </w:r>
      <w:r w:rsidRPr="001C7E21">
        <w:rPr>
          <w:sz w:val="18"/>
          <w:szCs w:val="18"/>
          <w:vertAlign w:val="superscript"/>
        </w:rPr>
        <w:footnoteReference w:id="12"/>
      </w:r>
      <w:r>
        <w:t xml:space="preserve"> the author infers that his son was subjected to ill-treatment and acts of torture during his detention. In any event, the suffering and anguish provoked by Fateh </w:t>
      </w:r>
      <w:proofErr w:type="spellStart"/>
      <w:r>
        <w:t>Dafar</w:t>
      </w:r>
      <w:r w:rsidR="006A545F">
        <w:t>’</w:t>
      </w:r>
      <w:r>
        <w:t>s</w:t>
      </w:r>
      <w:proofErr w:type="spellEnd"/>
      <w:r>
        <w:t xml:space="preserve"> summary execution constitute a violation of his rights under articles 7 and 10 of the Covenant.</w:t>
      </w:r>
    </w:p>
    <w:p w14:paraId="5FAA922E" w14:textId="77777777" w:rsidR="00B23200" w:rsidRPr="00797306" w:rsidRDefault="00B23200" w:rsidP="00B23200">
      <w:pPr>
        <w:pStyle w:val="SingleTxtG"/>
        <w:rPr>
          <w:lang w:val="en-US"/>
        </w:rPr>
      </w:pPr>
      <w:r>
        <w:t>3.5</w:t>
      </w:r>
      <w:r>
        <w:tab/>
        <w:t>The situation of anguish and distress in which the author and his family were placed, combined with the feeling of powerlessness caused by the failure of the authorities to respond to their requests, also constitutes a violation of their rights under article 7 of the Covenant.</w:t>
      </w:r>
    </w:p>
    <w:p w14:paraId="2DB6C8ED" w14:textId="77777777" w:rsidR="00B23200" w:rsidRPr="00797306" w:rsidRDefault="00B23200" w:rsidP="00B23200">
      <w:pPr>
        <w:pStyle w:val="SingleTxtG"/>
        <w:rPr>
          <w:lang w:val="en-US"/>
        </w:rPr>
      </w:pPr>
      <w:r>
        <w:t>3.6</w:t>
      </w:r>
      <w:r>
        <w:tab/>
        <w:t xml:space="preserve">The author also alleges a violation of article 9 (2) and (3) of the Covenant in respect of Fateh </w:t>
      </w:r>
      <w:proofErr w:type="spellStart"/>
      <w:r>
        <w:t>Dafar</w:t>
      </w:r>
      <w:proofErr w:type="spellEnd"/>
      <w:r>
        <w:t>, given that he was arrested without being informed of the reasons for his arrest and was not brought before a judicial authority.</w:t>
      </w:r>
    </w:p>
    <w:p w14:paraId="5846FA3F" w14:textId="77777777" w:rsidR="00B23200" w:rsidRPr="00797306" w:rsidRDefault="00B23200" w:rsidP="00B23200">
      <w:pPr>
        <w:pStyle w:val="H23G"/>
        <w:rPr>
          <w:lang w:val="en-US"/>
        </w:rPr>
      </w:pPr>
      <w:r>
        <w:tab/>
      </w:r>
      <w:r>
        <w:tab/>
      </w:r>
      <w:r>
        <w:rPr>
          <w:bCs/>
        </w:rPr>
        <w:t>Lack of cooperation by the State party</w:t>
      </w:r>
    </w:p>
    <w:p w14:paraId="35FB2E09" w14:textId="77777777" w:rsidR="00B23200" w:rsidRPr="00797306" w:rsidRDefault="00B23200" w:rsidP="00B23200">
      <w:pPr>
        <w:pStyle w:val="SingleTxtG"/>
        <w:rPr>
          <w:lang w:val="en-US"/>
        </w:rPr>
      </w:pPr>
      <w:r>
        <w:t>4.</w:t>
      </w:r>
      <w:r>
        <w:tab/>
        <w:t>On 5 March 2015 and 10 December 2018, the State Party was invited to submit its observations on the admissibility and merits of the communication. The Committee notes that it has not received any response and regrets the refusal of the State party to provide any information in this regard.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1C7E21">
        <w:rPr>
          <w:sz w:val="18"/>
          <w:szCs w:val="18"/>
          <w:vertAlign w:val="superscript"/>
        </w:rPr>
        <w:footnoteReference w:id="13"/>
      </w:r>
    </w:p>
    <w:p w14:paraId="0021DF5F" w14:textId="77777777" w:rsidR="00B23200" w:rsidRPr="00797306" w:rsidRDefault="00B23200" w:rsidP="00B23200">
      <w:pPr>
        <w:pStyle w:val="H23G"/>
        <w:rPr>
          <w:lang w:val="en-US"/>
        </w:rPr>
      </w:pPr>
      <w:r>
        <w:tab/>
      </w:r>
      <w:r>
        <w:tab/>
      </w:r>
      <w:r>
        <w:rPr>
          <w:bCs/>
        </w:rPr>
        <w:t>Issues and proceedings before the Committee</w:t>
      </w:r>
    </w:p>
    <w:p w14:paraId="2E82F9A8" w14:textId="77777777" w:rsidR="00B23200" w:rsidRPr="00797306" w:rsidRDefault="00B23200" w:rsidP="00B23200">
      <w:pPr>
        <w:pStyle w:val="H4G"/>
        <w:rPr>
          <w:lang w:val="en-US"/>
        </w:rPr>
      </w:pPr>
      <w:r>
        <w:tab/>
      </w:r>
      <w:r>
        <w:tab/>
      </w:r>
      <w:r>
        <w:rPr>
          <w:iCs/>
        </w:rPr>
        <w:t>Consideration of admissibility</w:t>
      </w:r>
    </w:p>
    <w:p w14:paraId="71B07A12" w14:textId="77777777" w:rsidR="00B23200" w:rsidRPr="00797306" w:rsidRDefault="00B23200" w:rsidP="00B23200">
      <w:pPr>
        <w:pStyle w:val="SingleTxtG"/>
        <w:rPr>
          <w:lang w:val="en-US"/>
        </w:rPr>
      </w:pPr>
      <w:r>
        <w:t>5.1</w:t>
      </w:r>
      <w:r>
        <w:tab/>
        <w:t>Before considering any claim contained in a communication, the Committee must decide, in accordance with rule 97 of its rules of procedure, whether the communication is admissible under the Optional Protocol to the Covenant.</w:t>
      </w:r>
    </w:p>
    <w:p w14:paraId="1A47FD2D" w14:textId="77777777" w:rsidR="00B23200" w:rsidRPr="00797306" w:rsidRDefault="00B23200" w:rsidP="00B23200">
      <w:pPr>
        <w:pStyle w:val="SingleTxtG"/>
        <w:rPr>
          <w:lang w:val="en-US"/>
        </w:rPr>
      </w:pPr>
      <w:r>
        <w:lastRenderedPageBreak/>
        <w:t>5.2</w:t>
      </w:r>
      <w:r>
        <w:tab/>
        <w:t>The Committee has ascertained, as required under article 5 (2) (a) of the Optional Protocol, that the same matter is not being examined under another procedure of international investigation or settlement.</w:t>
      </w:r>
    </w:p>
    <w:p w14:paraId="56C86BE8" w14:textId="39BB6078" w:rsidR="00B23200" w:rsidRPr="00797306" w:rsidRDefault="00B23200" w:rsidP="00B23200">
      <w:pPr>
        <w:pStyle w:val="SingleTxtG"/>
        <w:rPr>
          <w:lang w:val="en-US"/>
        </w:rPr>
      </w:pPr>
      <w:r>
        <w:t>5.3</w:t>
      </w:r>
      <w:r>
        <w:tab/>
        <w:t>Regarding the exhaustion of domestic remedies, the Committee recalls that the State party has a duty not only to carry out thorough investigations into alleged violations of human rights brought to the attention of its authorities, particularly violations of the right to life, but also to prosecute, try and punish anyone held to be responsible for such violations.</w:t>
      </w:r>
      <w:r w:rsidRPr="001C7E21">
        <w:rPr>
          <w:sz w:val="18"/>
          <w:szCs w:val="18"/>
          <w:vertAlign w:val="superscript"/>
        </w:rPr>
        <w:footnoteReference w:id="14"/>
      </w:r>
      <w:r>
        <w:t xml:space="preserve"> Although the family of Fateh </w:t>
      </w:r>
      <w:proofErr w:type="spellStart"/>
      <w:r>
        <w:t>Dafar</w:t>
      </w:r>
      <w:proofErr w:type="spellEnd"/>
      <w:r>
        <w:t xml:space="preserve"> has brought his summary execution to the attention of the competent authorities on many occasions, the State party has not undertaken any investigations into this serious allegation. Moreover, the State party has failed to demonstrate that an effective remedy is available given that Ordinance No. 06-01 is still being applied, despite the Committee</w:t>
      </w:r>
      <w:r w:rsidR="006A545F">
        <w:t>’</w:t>
      </w:r>
      <w:r>
        <w:t>s recommendations of 2007 that it should be brought into line with the Covenant.</w:t>
      </w:r>
      <w:r w:rsidRPr="001C7E21">
        <w:rPr>
          <w:sz w:val="18"/>
          <w:szCs w:val="18"/>
          <w:vertAlign w:val="superscript"/>
        </w:rPr>
        <w:footnoteReference w:id="15"/>
      </w:r>
      <w:r>
        <w:t xml:space="preserve"> The Committee is also concerned that the State party has not provided any information or observations on the admissibility or merits of the communication.</w:t>
      </w:r>
      <w:r>
        <w:rPr>
          <w:rStyle w:val="FootnoteReference"/>
        </w:rPr>
        <w:footnoteReference w:id="16"/>
      </w:r>
      <w:r>
        <w:t xml:space="preserve"> In the circumstances, the Committee finds that it is not precluded from considering the communication under article 5 (2) (b) of the Optional Protocol.</w:t>
      </w:r>
    </w:p>
    <w:p w14:paraId="61E084D6" w14:textId="5268FAF2" w:rsidR="00B23200" w:rsidRPr="00797306" w:rsidRDefault="00B23200" w:rsidP="00B23200">
      <w:pPr>
        <w:pStyle w:val="SingleTxtG"/>
        <w:rPr>
          <w:lang w:val="en-US"/>
        </w:rPr>
      </w:pPr>
      <w:r>
        <w:t>5.4</w:t>
      </w:r>
      <w:r>
        <w:tab/>
        <w:t xml:space="preserve">Furthermore, the Committee notes that, due to the changes made to the Algerian legal framework in 2006, the author has been unable to assert his right to an effective remedy to denounce the summary execution of his son in 1995, as no remedy is available for this purpose. The Committee also notes that the present communication was submitted to it in 2014. The Committee recalls that, according to rule 99 (c) of its rules of procedure, a communication may constitute an abuse of the right of submission when it is submitted five years after the exhaustion of domestic remedies by the author of the communication. The wording of this provision gives a degree of discretion to the Committee, which is competent to determine when the rule should not be strictly applied. The Committee has already considered cases of summary execution imputed to the State party. For example, the cases of </w:t>
      </w:r>
      <w:proofErr w:type="spellStart"/>
      <w:r>
        <w:t>Nasreddine</w:t>
      </w:r>
      <w:proofErr w:type="spellEnd"/>
      <w:r>
        <w:t xml:space="preserve"> and </w:t>
      </w:r>
      <w:proofErr w:type="spellStart"/>
      <w:r>
        <w:t>Messaoud</w:t>
      </w:r>
      <w:proofErr w:type="spellEnd"/>
      <w:r>
        <w:t xml:space="preserve"> </w:t>
      </w:r>
      <w:proofErr w:type="spellStart"/>
      <w:r>
        <w:t>Fedsi</w:t>
      </w:r>
      <w:proofErr w:type="spellEnd"/>
      <w:r>
        <w:t xml:space="preserve">, </w:t>
      </w:r>
      <w:proofErr w:type="spellStart"/>
      <w:r>
        <w:t>Nedjma</w:t>
      </w:r>
      <w:proofErr w:type="spellEnd"/>
      <w:r>
        <w:t xml:space="preserve"> </w:t>
      </w:r>
      <w:proofErr w:type="spellStart"/>
      <w:r>
        <w:t>Bouzaout</w:t>
      </w:r>
      <w:proofErr w:type="spellEnd"/>
      <w:r>
        <w:t xml:space="preserve"> and Mohamed </w:t>
      </w:r>
      <w:proofErr w:type="spellStart"/>
      <w:r>
        <w:t>Belamrania</w:t>
      </w:r>
      <w:proofErr w:type="spellEnd"/>
      <w:r>
        <w:t xml:space="preserve"> were brought to the Committee</w:t>
      </w:r>
      <w:r w:rsidR="006A545F">
        <w:t>’</w:t>
      </w:r>
      <w:r>
        <w:t>s attention in 2010 and 2012, although the summary executions of these individuals had taken place in 1997, 1996 and 1995, respectively.</w:t>
      </w:r>
      <w:r>
        <w:rPr>
          <w:rStyle w:val="FootnoteReference"/>
        </w:rPr>
        <w:footnoteReference w:id="17"/>
      </w:r>
      <w:r>
        <w:t xml:space="preserve"> The Committee notes that, in these three cases – as in the present case – the State party did not claim that the communications constituted an abuse of the right of submission. Moreover, the Committee previously noted, in 2007 and 2018, that Ordinance No. 06-01 categorically prohibited the prosecution of members of the defence and security forces, and thus seemed to promote impunity.</w:t>
      </w:r>
      <w:r>
        <w:rPr>
          <w:rStyle w:val="FootnoteReference"/>
        </w:rPr>
        <w:footnoteReference w:id="18"/>
      </w:r>
      <w:r>
        <w:t xml:space="preserve"> The Committee considers that this climate of impunity, which is reinforced by the legal prohibition on bringing cases before the judicial authorities, has an indisputably negative impact on the ability of victims to assert their right to an effective remedy at both the national and international level. Declaring the present communication inadmissible on the ground of abuse of the right of submission could have the effect of encouraging the State party to continue to impede the right to an effective remedy for the victims of such serious violations of the right to life. The Committee therefore does not consider that, in the special circumstances of the case, the present communication would constitute an abuse of the right of submission.</w:t>
      </w:r>
    </w:p>
    <w:p w14:paraId="7D54F29C" w14:textId="77777777" w:rsidR="00B23200" w:rsidRPr="00797306" w:rsidRDefault="00B23200" w:rsidP="00B23200">
      <w:pPr>
        <w:pStyle w:val="SingleTxtG"/>
        <w:rPr>
          <w:lang w:val="en-US"/>
        </w:rPr>
      </w:pPr>
      <w:r>
        <w:t>5.5</w:t>
      </w:r>
      <w:r>
        <w:tab/>
        <w:t>The Committee considers that the author has sufficiently substantiated his allegations for the purposes of admissibility and proceeds with its consideration of the merits of the claims made under articles 2 (3), 6 (1), 7, 9 and 10 (1) of the Covenant.</w:t>
      </w:r>
    </w:p>
    <w:p w14:paraId="3EEC47F4" w14:textId="77777777" w:rsidR="00B23200" w:rsidRPr="00797306" w:rsidRDefault="00B23200" w:rsidP="00B23200">
      <w:pPr>
        <w:pStyle w:val="H4G"/>
        <w:rPr>
          <w:lang w:val="en-US"/>
        </w:rPr>
      </w:pPr>
      <w:r>
        <w:tab/>
      </w:r>
      <w:r>
        <w:tab/>
      </w:r>
      <w:r>
        <w:rPr>
          <w:iCs/>
        </w:rPr>
        <w:t>Consideration of the merits</w:t>
      </w:r>
    </w:p>
    <w:p w14:paraId="09912A18" w14:textId="00E61572" w:rsidR="00B23200" w:rsidRPr="00797306" w:rsidRDefault="00B23200" w:rsidP="00B23200">
      <w:pPr>
        <w:pStyle w:val="SingleTxtG"/>
        <w:rPr>
          <w:lang w:val="en-US"/>
        </w:rPr>
      </w:pPr>
      <w:r>
        <w:t>6.1</w:t>
      </w:r>
      <w:r>
        <w:tab/>
        <w:t xml:space="preserve">The Committee has considered the present communication in the light of all the information submitted to it, in accordance with article 5 (1) of the Optional Protocol. It notes </w:t>
      </w:r>
      <w:r>
        <w:lastRenderedPageBreak/>
        <w:t>that the State party has not replied to the author</w:t>
      </w:r>
      <w:r w:rsidR="006A545F">
        <w:t>’</w:t>
      </w:r>
      <w:r>
        <w:t xml:space="preserve">s allegations, to which, in the circumstances, due weight must be given insofar as they have been sufficiently substantiated. </w:t>
      </w:r>
    </w:p>
    <w:p w14:paraId="21089504" w14:textId="77777777" w:rsidR="00B23200" w:rsidRPr="00797306" w:rsidRDefault="00B23200" w:rsidP="00B23200">
      <w:pPr>
        <w:pStyle w:val="SingleTxtG"/>
        <w:rPr>
          <w:lang w:val="en-US"/>
        </w:rPr>
      </w:pPr>
      <w:r>
        <w:t>6.2</w:t>
      </w:r>
      <w:r>
        <w:tab/>
        <w:t xml:space="preserve">The Committee notes the certificate issued on 6 March 1995 by the director of taxation in </w:t>
      </w:r>
      <w:proofErr w:type="spellStart"/>
      <w:r>
        <w:t>Jijel</w:t>
      </w:r>
      <w:proofErr w:type="spellEnd"/>
      <w:r>
        <w:t xml:space="preserve"> </w:t>
      </w:r>
      <w:r>
        <w:rPr>
          <w:i/>
          <w:iCs/>
        </w:rPr>
        <w:t>wilaya</w:t>
      </w:r>
      <w:r>
        <w:t xml:space="preserve"> indicating that, on 26 November 1994, the security services arrested Fateh </w:t>
      </w:r>
      <w:proofErr w:type="spellStart"/>
      <w:r>
        <w:t>Dafar</w:t>
      </w:r>
      <w:proofErr w:type="spellEnd"/>
      <w:r>
        <w:t xml:space="preserve"> at his workplace. It also notes that, according to witnesses </w:t>
      </w:r>
      <w:r w:rsidRPr="00C43D43">
        <w:t>on</w:t>
      </w:r>
      <w:r>
        <w:t xml:space="preserve"> the scene, during the night of 3 February 1995, 70 days after his arrest, Fateh </w:t>
      </w:r>
      <w:proofErr w:type="spellStart"/>
      <w:r>
        <w:t>Dafar</w:t>
      </w:r>
      <w:proofErr w:type="spellEnd"/>
      <w:r>
        <w:t xml:space="preserve"> was executed by gendarmes on a beach in El </w:t>
      </w:r>
      <w:proofErr w:type="spellStart"/>
      <w:r>
        <w:t>Aouana</w:t>
      </w:r>
      <w:proofErr w:type="spellEnd"/>
      <w:r>
        <w:t>, together with six other persons; and that the following morning the author went to the morgue to identify his son.</w:t>
      </w:r>
    </w:p>
    <w:p w14:paraId="61497A11" w14:textId="62947A32" w:rsidR="00B23200" w:rsidRPr="00797306" w:rsidRDefault="00B23200" w:rsidP="00B23200">
      <w:pPr>
        <w:pStyle w:val="SingleTxtG"/>
        <w:rPr>
          <w:lang w:val="en-US"/>
        </w:rPr>
      </w:pPr>
      <w:r>
        <w:t>6.3</w:t>
      </w:r>
      <w:r>
        <w:tab/>
        <w:t>The Committee also notes the author</w:t>
      </w:r>
      <w:r w:rsidR="006A545F">
        <w:t>’</w:t>
      </w:r>
      <w:r>
        <w:t xml:space="preserve">s allegation that the authorities only issued a death certificate 12 years after the events, at his insistence, and that the public prosecutor at </w:t>
      </w:r>
      <w:proofErr w:type="spellStart"/>
      <w:r>
        <w:t>Jijel</w:t>
      </w:r>
      <w:proofErr w:type="spellEnd"/>
      <w:r>
        <w:t xml:space="preserve"> court issued a burial permit without an autopsy or an investigation having been carried out. The Committee further notes that this lack of investigation persisted, despite the requests made by the author and his family to the public prosecutor asking for an investigation to be opened, and despite the statements of several witnesses confirming that they saw the gendarmes summarily execute Fateh </w:t>
      </w:r>
      <w:proofErr w:type="spellStart"/>
      <w:r>
        <w:t>Dafar</w:t>
      </w:r>
      <w:proofErr w:type="spellEnd"/>
      <w:r>
        <w:t xml:space="preserve"> and six other people on a beach in El </w:t>
      </w:r>
      <w:proofErr w:type="spellStart"/>
      <w:r>
        <w:t>Aouana</w:t>
      </w:r>
      <w:proofErr w:type="spellEnd"/>
      <w:r>
        <w:t xml:space="preserve">. Furthermore, the Committee notes with concern that, despite the fact that all the information provided seems to indicate that Fateh </w:t>
      </w:r>
      <w:proofErr w:type="spellStart"/>
      <w:r>
        <w:t>Dafar</w:t>
      </w:r>
      <w:proofErr w:type="spellEnd"/>
      <w:r>
        <w:t xml:space="preserve"> was the victim of a summary execution perpetrated by gendarmes, and despite the fact that the public prosecutor issued a burial permit for his body, the El </w:t>
      </w:r>
      <w:proofErr w:type="spellStart"/>
      <w:r>
        <w:t>Aouana</w:t>
      </w:r>
      <w:proofErr w:type="spellEnd"/>
      <w:r>
        <w:t xml:space="preserve"> brigade of the national gendarmerie nevertheless issued a certificate of disappearance to Fateh </w:t>
      </w:r>
      <w:proofErr w:type="spellStart"/>
      <w:r>
        <w:t>Dafar</w:t>
      </w:r>
      <w:r w:rsidR="006A545F">
        <w:t>’</w:t>
      </w:r>
      <w:r>
        <w:t>s</w:t>
      </w:r>
      <w:proofErr w:type="spellEnd"/>
      <w:r>
        <w:t xml:space="preserve"> family on 5 May 2006.</w:t>
      </w:r>
    </w:p>
    <w:p w14:paraId="5ADCC02E" w14:textId="3F575E60" w:rsidR="00B23200" w:rsidRPr="00797306" w:rsidRDefault="00B23200" w:rsidP="00B23200">
      <w:pPr>
        <w:pStyle w:val="SingleTxtG"/>
        <w:rPr>
          <w:lang w:val="en-US"/>
        </w:rPr>
      </w:pPr>
      <w:r>
        <w:t>6.4</w:t>
      </w:r>
      <w:r>
        <w:tab/>
        <w:t>The Committee further notes the author</w:t>
      </w:r>
      <w:r w:rsidR="006A545F">
        <w:t>’</w:t>
      </w:r>
      <w:r>
        <w:t xml:space="preserve">s fear of being subjected to reprisals by the authorities for having sought to clarify the circumstances of the death of his son, </w:t>
      </w:r>
      <w:r w:rsidRPr="00DD04A6">
        <w:t>in</w:t>
      </w:r>
      <w:r>
        <w:t xml:space="preserve"> light of articles 45 and 46 of Ordinance No. 06-01, which criminalizes all complaints about the Algerian defence and security forces. Referring to its jurisprudence,</w:t>
      </w:r>
      <w:r w:rsidRPr="001C7E21">
        <w:rPr>
          <w:sz w:val="18"/>
          <w:szCs w:val="18"/>
          <w:vertAlign w:val="superscript"/>
        </w:rPr>
        <w:footnoteReference w:id="19"/>
      </w:r>
      <w:r>
        <w:t xml:space="preserve"> the Committee recalls that the State party must not apply the provisions of the Charter for Peace and National Reconciliation to persons who invoke the provisions of the Covenant or who have submitted or may submit communications to the Committee. The Covenant requires the State party to show concern for the fate of every person and to treat everyone in a manner that respects the inherent dignity of the human person. As the amendments recommended by the Committee have not been introduced, Ordinance No. 06-01 contributes, in the present case, to impunity and therefore cannot, as it currently stands, be considered compatible with the provisions of the Covenant.</w:t>
      </w:r>
    </w:p>
    <w:p w14:paraId="61C59507" w14:textId="27B78FE3" w:rsidR="00B23200" w:rsidRPr="00797306" w:rsidRDefault="00B23200" w:rsidP="00B23200">
      <w:pPr>
        <w:pStyle w:val="SingleTxtG"/>
        <w:rPr>
          <w:lang w:val="en-US"/>
        </w:rPr>
      </w:pPr>
      <w:r>
        <w:t>6.5</w:t>
      </w:r>
      <w:r>
        <w:tab/>
        <w:t xml:space="preserve">The Committee further recalls that, according to its jurisprudence, the burden of proof cannot rest solely with the authors of a communication, especially when the authors and the State party do not have equal access to the evidence and when the State party is often in sole possession of the relevant information, such as information related to the arrest and execution of Fateh </w:t>
      </w:r>
      <w:proofErr w:type="spellStart"/>
      <w:r>
        <w:t>Dafar</w:t>
      </w:r>
      <w:proofErr w:type="spellEnd"/>
      <w:r>
        <w:t>.</w:t>
      </w:r>
      <w:r w:rsidRPr="001C7E21">
        <w:rPr>
          <w:sz w:val="18"/>
          <w:szCs w:val="18"/>
          <w:vertAlign w:val="superscript"/>
        </w:rPr>
        <w:footnoteReference w:id="20"/>
      </w:r>
      <w:r>
        <w:t xml:space="preserve"> In the absence of any rebuttal by the State party, the Committee </w:t>
      </w:r>
      <w:r w:rsidRPr="00891F21">
        <w:t>attaches</w:t>
      </w:r>
      <w:r>
        <w:t xml:space="preserve"> due weight to the author</w:t>
      </w:r>
      <w:r w:rsidR="006A545F">
        <w:t>’</w:t>
      </w:r>
      <w:r>
        <w:t xml:space="preserve">s allegations and finds that the State party denied Fateh </w:t>
      </w:r>
      <w:proofErr w:type="spellStart"/>
      <w:r>
        <w:t>Dafar</w:t>
      </w:r>
      <w:proofErr w:type="spellEnd"/>
      <w:r>
        <w:t xml:space="preserve"> the right to life in particularly serious circumstances, in view of the fact that he was clearly the victim of a summary execution by members of the national gendarmerie, in violation of article 6 (1) of the Covenant.</w:t>
      </w:r>
    </w:p>
    <w:p w14:paraId="73F31218" w14:textId="4FB7E934" w:rsidR="00B23200" w:rsidRPr="00797306" w:rsidRDefault="00B23200" w:rsidP="00B23200">
      <w:pPr>
        <w:pStyle w:val="SingleTxtG"/>
        <w:rPr>
          <w:lang w:val="en-US"/>
        </w:rPr>
      </w:pPr>
      <w:r>
        <w:t>6.6</w:t>
      </w:r>
      <w:r>
        <w:tab/>
        <w:t>The Committee notes the author</w:t>
      </w:r>
      <w:r w:rsidR="006A545F">
        <w:t>’</w:t>
      </w:r>
      <w:r>
        <w:t xml:space="preserve">s additional allegations to the effect that Fateh </w:t>
      </w:r>
      <w:proofErr w:type="spellStart"/>
      <w:r>
        <w:t>Dafar</w:t>
      </w:r>
      <w:proofErr w:type="spellEnd"/>
      <w:r>
        <w:t xml:space="preserve"> was subjected to ill-treatment and acts of torture prior to his execution and that he was undoubtedly in acute psychological distress and emotional anguish before he was executed. The State party has not adduced any information to contradict these allegations. The Committee finds a violation of article 7 of the Covenant in respect of Fateh </w:t>
      </w:r>
      <w:proofErr w:type="spellStart"/>
      <w:r>
        <w:t>Dafar</w:t>
      </w:r>
      <w:proofErr w:type="spellEnd"/>
      <w:r>
        <w:t>.</w:t>
      </w:r>
    </w:p>
    <w:p w14:paraId="4F0A19C7" w14:textId="77777777" w:rsidR="00B23200" w:rsidRPr="00797306" w:rsidRDefault="00B23200" w:rsidP="00B23200">
      <w:pPr>
        <w:pStyle w:val="SingleTxtG"/>
        <w:rPr>
          <w:lang w:val="en-US"/>
        </w:rPr>
      </w:pPr>
      <w:r>
        <w:t>6.7</w:t>
      </w:r>
      <w:r>
        <w:tab/>
        <w:t>In view of the above, the Committee will not consider separately the claims based on the violation of article 10 of the Covenant.</w:t>
      </w:r>
      <w:r w:rsidRPr="00D3513E">
        <w:rPr>
          <w:rStyle w:val="FootnoteReference"/>
        </w:rPr>
        <w:footnoteReference w:id="21"/>
      </w:r>
    </w:p>
    <w:p w14:paraId="518BD942" w14:textId="394E46E1" w:rsidR="00B23200" w:rsidRPr="00797306" w:rsidRDefault="00B23200" w:rsidP="00B23200">
      <w:pPr>
        <w:pStyle w:val="SingleTxtG"/>
        <w:rPr>
          <w:lang w:val="en-US"/>
        </w:rPr>
      </w:pPr>
      <w:r>
        <w:t>6.8</w:t>
      </w:r>
      <w:r>
        <w:tab/>
        <w:t xml:space="preserve">The Committee also takes note of the anguish and distress caused to the author and his family by the execution of Fateh </w:t>
      </w:r>
      <w:proofErr w:type="spellStart"/>
      <w:r>
        <w:t>Dafar</w:t>
      </w:r>
      <w:proofErr w:type="spellEnd"/>
      <w:r>
        <w:t xml:space="preserve">, along with the feeling of powerlessness that they </w:t>
      </w:r>
      <w:r>
        <w:lastRenderedPageBreak/>
        <w:t>experienced over the lengthy period from the arrest of the author</w:t>
      </w:r>
      <w:r w:rsidR="006A545F">
        <w:t>’</w:t>
      </w:r>
      <w:r>
        <w:t>s son in 1994 to the author, after numerous attempts, obtaining a death certificate for his son in 2007. The Committee considers that the facts before it disclose a violation, in respect of the author, of article 7, read alone and in conjunction with article 2 (3) of the Covenant.</w:t>
      </w:r>
      <w:r w:rsidRPr="00D3513E">
        <w:rPr>
          <w:rStyle w:val="FootnoteReference"/>
        </w:rPr>
        <w:footnoteReference w:id="22"/>
      </w:r>
    </w:p>
    <w:p w14:paraId="7D1A9D61" w14:textId="50ED7368" w:rsidR="00B23200" w:rsidRPr="00797306" w:rsidRDefault="00B23200" w:rsidP="00B23200">
      <w:pPr>
        <w:pStyle w:val="SingleTxtG"/>
        <w:rPr>
          <w:lang w:val="en-US"/>
        </w:rPr>
      </w:pPr>
      <w:r>
        <w:t>6.9</w:t>
      </w:r>
      <w:r>
        <w:tab/>
        <w:t>With regard to the alleged violation of article 9 of the Covenant, the Committee takes note of the author</w:t>
      </w:r>
      <w:r w:rsidR="006A545F">
        <w:t>’</w:t>
      </w:r>
      <w:r>
        <w:t xml:space="preserve">s allegations – confirmed by a certificate issued on 6 March 1995 by the director of taxation in </w:t>
      </w:r>
      <w:proofErr w:type="spellStart"/>
      <w:r>
        <w:t>Jijel</w:t>
      </w:r>
      <w:proofErr w:type="spellEnd"/>
      <w:r>
        <w:t xml:space="preserve"> </w:t>
      </w:r>
      <w:r>
        <w:rPr>
          <w:i/>
          <w:iCs/>
        </w:rPr>
        <w:t>wilaya –</w:t>
      </w:r>
      <w:r>
        <w:t xml:space="preserve"> that Fateh </w:t>
      </w:r>
      <w:proofErr w:type="spellStart"/>
      <w:r>
        <w:t>Dafar</w:t>
      </w:r>
      <w:proofErr w:type="spellEnd"/>
      <w:r>
        <w:t xml:space="preserve"> was arbitrarily arrested, without a warrant, was not formally charged and was not brought before a judicial authority, which would have enabled him to challenge the lawfulness of his detention. In the absence of any information from the State party in this regard, the Committee considers that due weight must be given to the author</w:t>
      </w:r>
      <w:r w:rsidR="006A545F">
        <w:t>’</w:t>
      </w:r>
      <w:r>
        <w:t>s allegations.</w:t>
      </w:r>
      <w:r w:rsidRPr="00D3513E">
        <w:rPr>
          <w:rStyle w:val="FootnoteReference"/>
        </w:rPr>
        <w:footnoteReference w:id="23"/>
      </w:r>
      <w:r>
        <w:t xml:space="preserve"> The Committee therefore finds a violation of article 9 of the Covenant in respect of Fateh </w:t>
      </w:r>
      <w:proofErr w:type="spellStart"/>
      <w:r>
        <w:t>Dafar</w:t>
      </w:r>
      <w:proofErr w:type="spellEnd"/>
      <w:r>
        <w:t>.</w:t>
      </w:r>
      <w:r w:rsidRPr="00D3513E">
        <w:rPr>
          <w:rStyle w:val="FootnoteReference"/>
        </w:rPr>
        <w:footnoteReference w:id="24"/>
      </w:r>
    </w:p>
    <w:p w14:paraId="01147B5E" w14:textId="77777777" w:rsidR="00B23200" w:rsidRPr="00797306" w:rsidRDefault="00B23200" w:rsidP="00B23200">
      <w:pPr>
        <w:pStyle w:val="SingleTxtG"/>
        <w:rPr>
          <w:lang w:val="en-US"/>
        </w:rPr>
      </w:pPr>
      <w:r>
        <w:t>6.10</w:t>
      </w:r>
      <w:r>
        <w:tab/>
        <w:t>The author also invokes article 2 (3) of the Covenant, which imposes on States parties the obligation to ensure accessible, effective and enforceable remedies for all persons for asserting the rights recognized in the Covenant. The Committee recalls the importance it attaches to the establishment by States parties of appropriate judicial and administrative mechanisms for addressing claims of violations of the rights guaranteed under the Covenant.</w:t>
      </w:r>
      <w:r w:rsidRPr="00D3513E">
        <w:rPr>
          <w:rStyle w:val="FootnoteReference"/>
        </w:rPr>
        <w:footnoteReference w:id="25"/>
      </w:r>
      <w:r>
        <w:t xml:space="preserve"> It refers to its general comment No. 31 (2004), which states that a failure by a State party to investigate allegations of violations could in and of itself give rise to a separate breach of the Covenant.</w:t>
      </w:r>
    </w:p>
    <w:p w14:paraId="09CD72A2" w14:textId="77777777" w:rsidR="00B23200" w:rsidRPr="0026241D" w:rsidRDefault="00B23200" w:rsidP="00B23200">
      <w:pPr>
        <w:pStyle w:val="SingleTxtG"/>
        <w:rPr>
          <w:lang w:val="en-US"/>
        </w:rPr>
      </w:pPr>
      <w:r>
        <w:t>6.11</w:t>
      </w:r>
      <w:r>
        <w:tab/>
        <w:t xml:space="preserve">In the present case, the author repeatedly requested that an investigation be opened into the execution of his son in order to clarify the circumstances of his death. However, despite the fact that the case quite clearly concerned an extrajudicial execution carried out by members of the gendarmerie, the Algerian authorities refused to open an investigation. On 5 May 2006, the national gendarmerie even issued a certificate confirming that Fateh </w:t>
      </w:r>
      <w:proofErr w:type="spellStart"/>
      <w:r>
        <w:t>Dafar</w:t>
      </w:r>
      <w:proofErr w:type="spellEnd"/>
      <w:r>
        <w:t xml:space="preserve"> had disappeared. Subsequently, at the insistence of the author, on 13 January 2007, the gendarmerie issued a death certificate without however indicating the cause or circumstances of death, all the while mentioning that Fateh </w:t>
      </w:r>
      <w:proofErr w:type="spellStart"/>
      <w:r>
        <w:t>Dafar</w:t>
      </w:r>
      <w:proofErr w:type="spellEnd"/>
      <w:r>
        <w:t xml:space="preserve"> had been found dead on a beach. The Committee notes that, nonetheless, no investigation has been carried out by the competent judicial authorities, despite the fact that they could not be unaware of the events, and that those responsible have not been prosecuted, even though the alleged suspects were likely part of the El </w:t>
      </w:r>
      <w:proofErr w:type="spellStart"/>
      <w:r>
        <w:t>Aouana</w:t>
      </w:r>
      <w:proofErr w:type="spellEnd"/>
      <w:r>
        <w:t xml:space="preserve"> brigade of the national gendarmerie, commanded by Captain B., and thus easily identifiable. The Committee finds that the facts before it disclose a violation of article 2 (3), read in conjunction with articles 6, 7 and 9 of the Covenant, in respect of Fateh </w:t>
      </w:r>
      <w:proofErr w:type="spellStart"/>
      <w:r>
        <w:t>Dafar</w:t>
      </w:r>
      <w:proofErr w:type="spellEnd"/>
      <w:r>
        <w:t>, and of article 2 (3), read in conjunction with article 7 of the Covenant, in respect of the author.</w:t>
      </w:r>
    </w:p>
    <w:p w14:paraId="29B36E25" w14:textId="77777777" w:rsidR="00B23200" w:rsidRPr="00797306" w:rsidRDefault="00B23200" w:rsidP="00B23200">
      <w:pPr>
        <w:pStyle w:val="SingleTxtG"/>
        <w:rPr>
          <w:lang w:val="en-US"/>
        </w:rPr>
      </w:pPr>
      <w:r>
        <w:t>7.</w:t>
      </w:r>
      <w:r>
        <w:tab/>
        <w:t xml:space="preserve">The Committee, acting under article 5 (4) of the Optional Protocol, is of the view that the facts before it disclose a violation by the State party of articles 6, 7, and 9 of the Covenant and of article 2 (3), read in conjunction with articles 6, 7, and 9 of the Covenant, in respect of Fateh </w:t>
      </w:r>
      <w:proofErr w:type="spellStart"/>
      <w:r>
        <w:t>Dafar</w:t>
      </w:r>
      <w:proofErr w:type="spellEnd"/>
      <w:r>
        <w:t>. It also finds a violation by the State party of article 7, read alone and in conjunction with article 2 (3) of the Covenant, in respect of the author.</w:t>
      </w:r>
    </w:p>
    <w:p w14:paraId="639556BF" w14:textId="77777777" w:rsidR="00B23200" w:rsidRPr="00797306" w:rsidRDefault="00B23200" w:rsidP="00B23200">
      <w:pPr>
        <w:pStyle w:val="SingleTxtG"/>
        <w:rPr>
          <w:lang w:val="en-US"/>
        </w:rPr>
      </w:pPr>
      <w:r>
        <w:t>8.</w:t>
      </w:r>
      <w:r>
        <w:tab/>
        <w:t xml:space="preserve">Pursuant to article 2 (3) (a) of the Covenant, the State party is under an obligation to provide the author with an effective remedy. This requires it to make full reparation to individuals whose Covenant rights have been violated. In the present case, the State party is obliged to: (a) conduct a prompt investigation that is effective and thorough, impartial and independent, and transparent into the alleged summary execution of Fateh </w:t>
      </w:r>
      <w:proofErr w:type="spellStart"/>
      <w:r>
        <w:t>Dafar</w:t>
      </w:r>
      <w:proofErr w:type="spellEnd"/>
      <w:r>
        <w:t xml:space="preserve">; (b) provide his family with detailed information on the results of the investigation; (c) prosecute, try and punish those responsible for the violations committed; and (d) provide the family of the victim with adequate compensation. Notwithstanding the terms of Ordinance No. 06-01, the </w:t>
      </w:r>
      <w:r>
        <w:lastRenderedPageBreak/>
        <w:t>State party should ensure that it does not impede enjoyment of the right to an effective remedy by victims of crimes such as torture, extrajudicial executions and enforced disappearance. It is also under an obligation to take steps to prevent similar violations in the future. To that end, the Committee is of the view that the State party should review its legislation in accordance with its obligation under article 2 (2) of the Covenant and, in particular, repeal the provisions of the aforementioned Ordinance that are incompatible with the Covenant, to ensure that the rights enshrined in the Covenant can be enjoyed fully in the State party.</w:t>
      </w:r>
    </w:p>
    <w:p w14:paraId="732DC2A6" w14:textId="548269D3" w:rsidR="00B23200" w:rsidRPr="00797306" w:rsidRDefault="00B23200" w:rsidP="00B23200">
      <w:pPr>
        <w:pStyle w:val="SingleTxtG"/>
        <w:rPr>
          <w:lang w:val="en-US"/>
        </w:rPr>
      </w:pPr>
      <w:r>
        <w:t>9.</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Committee</w:t>
      </w:r>
      <w:r w:rsidR="006A545F">
        <w:t>’</w:t>
      </w:r>
      <w:r>
        <w:t>s Views and to have them widely disseminated in the official languages of the State party.</w:t>
      </w:r>
    </w:p>
    <w:p w14:paraId="1FABEECC" w14:textId="77777777" w:rsidR="00B23200" w:rsidRDefault="00B23200"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2320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E6B8" w14:textId="77777777" w:rsidR="00E415D9" w:rsidRPr="00B903E5" w:rsidRDefault="00E415D9" w:rsidP="00B903E5">
      <w:pPr>
        <w:pStyle w:val="Footer"/>
      </w:pPr>
    </w:p>
  </w:endnote>
  <w:endnote w:type="continuationSeparator" w:id="0">
    <w:p w14:paraId="438CE8A0" w14:textId="77777777" w:rsidR="00E415D9" w:rsidRPr="00B903E5" w:rsidRDefault="00E415D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2CDB" w14:textId="77777777" w:rsidR="00B23200" w:rsidRDefault="00B23200" w:rsidP="00B23200">
    <w:pPr>
      <w:pStyle w:val="Footer"/>
      <w:tabs>
        <w:tab w:val="right" w:pos="9638"/>
      </w:tabs>
    </w:pPr>
    <w:r w:rsidRPr="00B23200">
      <w:rPr>
        <w:b/>
        <w:bCs/>
        <w:sz w:val="18"/>
      </w:rPr>
      <w:fldChar w:fldCharType="begin"/>
    </w:r>
    <w:r w:rsidRPr="00B23200">
      <w:rPr>
        <w:b/>
        <w:bCs/>
        <w:sz w:val="18"/>
      </w:rPr>
      <w:instrText xml:space="preserve"> PAGE  \* MERGEFORMAT </w:instrText>
    </w:r>
    <w:r w:rsidRPr="00B23200">
      <w:rPr>
        <w:b/>
        <w:bCs/>
        <w:sz w:val="18"/>
      </w:rPr>
      <w:fldChar w:fldCharType="separate"/>
    </w:r>
    <w:r w:rsidRPr="00B23200">
      <w:rPr>
        <w:b/>
        <w:bCs/>
        <w:noProof/>
        <w:sz w:val="18"/>
      </w:rPr>
      <w:t>2</w:t>
    </w:r>
    <w:r w:rsidRPr="00B23200">
      <w:rPr>
        <w:b/>
        <w:bCs/>
        <w:sz w:val="18"/>
      </w:rPr>
      <w:fldChar w:fldCharType="end"/>
    </w:r>
    <w:r>
      <w:tab/>
      <w:t>GE.21-03336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2C45" w14:textId="77777777" w:rsidR="00B23200" w:rsidRDefault="00B23200" w:rsidP="00B23200">
    <w:pPr>
      <w:pStyle w:val="Footer"/>
      <w:tabs>
        <w:tab w:val="right" w:pos="9638"/>
      </w:tabs>
    </w:pPr>
    <w:r>
      <w:t>GE.21-03336</w:t>
    </w:r>
    <w:r>
      <w:tab/>
    </w:r>
    <w:r w:rsidRPr="00B23200">
      <w:rPr>
        <w:b/>
        <w:bCs/>
        <w:sz w:val="18"/>
      </w:rPr>
      <w:fldChar w:fldCharType="begin"/>
    </w:r>
    <w:r w:rsidRPr="00B23200">
      <w:rPr>
        <w:b/>
        <w:bCs/>
        <w:sz w:val="18"/>
      </w:rPr>
      <w:instrText xml:space="preserve"> PAGE  \* MERGEFORMAT </w:instrText>
    </w:r>
    <w:r w:rsidRPr="00B23200">
      <w:rPr>
        <w:b/>
        <w:bCs/>
        <w:sz w:val="18"/>
      </w:rPr>
      <w:fldChar w:fldCharType="separate"/>
    </w:r>
    <w:r w:rsidRPr="00B23200">
      <w:rPr>
        <w:b/>
        <w:bCs/>
        <w:noProof/>
        <w:sz w:val="18"/>
      </w:rPr>
      <w:t>3</w:t>
    </w:r>
    <w:r w:rsidRPr="00B232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D42B" w14:textId="77777777" w:rsidR="00B23200" w:rsidRDefault="00B23200">
    <w:pPr>
      <w:pStyle w:val="Footer"/>
      <w:rPr>
        <w:sz w:val="20"/>
      </w:rPr>
    </w:pPr>
    <w:r w:rsidRPr="0027112F">
      <w:rPr>
        <w:noProof/>
        <w:lang w:val="en-US"/>
      </w:rPr>
      <w:drawing>
        <wp:anchor distT="0" distB="0" distL="114300" distR="114300" simplePos="0" relativeHeight="251659264" behindDoc="0" locked="1" layoutInCell="1" allowOverlap="1" wp14:anchorId="284B17B1" wp14:editId="63D89BD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504F03" w14:textId="013CA073" w:rsidR="00B23200" w:rsidRPr="00B23200" w:rsidRDefault="00B23200" w:rsidP="00B23200">
    <w:pPr>
      <w:pStyle w:val="Footer"/>
      <w:tabs>
        <w:tab w:val="right" w:pos="7370"/>
      </w:tabs>
      <w:rPr>
        <w:sz w:val="20"/>
      </w:rPr>
    </w:pPr>
    <w:r>
      <w:rPr>
        <w:sz w:val="20"/>
      </w:rPr>
      <w:t>GE.21-03336  (E)</w:t>
    </w:r>
    <w:r>
      <w:rPr>
        <w:noProof/>
        <w:sz w:val="20"/>
      </w:rPr>
      <w:drawing>
        <wp:anchor distT="0" distB="0" distL="114300" distR="114300" simplePos="0" relativeHeight="251660288" behindDoc="0" locked="0" layoutInCell="1" allowOverlap="1" wp14:anchorId="07DEA750" wp14:editId="03C565F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47">
      <w:rPr>
        <w:sz w:val="20"/>
      </w:rPr>
      <w:t xml:space="preserve">    010421    010421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CED6" w14:textId="77777777" w:rsidR="00E415D9" w:rsidRPr="00B903E5" w:rsidRDefault="00E415D9" w:rsidP="00B903E5">
      <w:pPr>
        <w:tabs>
          <w:tab w:val="right" w:pos="2155"/>
        </w:tabs>
        <w:spacing w:after="80" w:line="240" w:lineRule="auto"/>
        <w:ind w:left="680"/>
      </w:pPr>
      <w:r>
        <w:rPr>
          <w:u w:val="single"/>
        </w:rPr>
        <w:tab/>
      </w:r>
    </w:p>
  </w:footnote>
  <w:footnote w:type="continuationSeparator" w:id="0">
    <w:p w14:paraId="13A09D0A" w14:textId="77777777" w:rsidR="00E415D9" w:rsidRPr="00B903E5" w:rsidRDefault="00E415D9" w:rsidP="00B903E5">
      <w:pPr>
        <w:tabs>
          <w:tab w:val="right" w:pos="2155"/>
        </w:tabs>
        <w:spacing w:after="80" w:line="240" w:lineRule="auto"/>
        <w:ind w:left="680"/>
      </w:pPr>
      <w:r>
        <w:rPr>
          <w:u w:val="single"/>
        </w:rPr>
        <w:tab/>
      </w:r>
    </w:p>
  </w:footnote>
  <w:footnote w:id="1">
    <w:p w14:paraId="0C35DFCF" w14:textId="77777777" w:rsidR="00B23200" w:rsidRPr="005021E4" w:rsidRDefault="00B23200" w:rsidP="00B23200">
      <w:pPr>
        <w:pStyle w:val="FootnoteText"/>
      </w:pPr>
      <w:r w:rsidRPr="00FE7547">
        <w:rPr>
          <w:rStyle w:val="FootnoteReference"/>
          <w:sz w:val="20"/>
          <w:szCs w:val="22"/>
          <w:vertAlign w:val="baseline"/>
        </w:rPr>
        <w:tab/>
        <w:t>*</w:t>
      </w:r>
      <w:r w:rsidRPr="00FE7547">
        <w:rPr>
          <w:rStyle w:val="FootnoteReference"/>
          <w:sz w:val="20"/>
          <w:szCs w:val="22"/>
          <w:vertAlign w:val="baseline"/>
        </w:rPr>
        <w:tab/>
      </w:r>
      <w:r w:rsidRPr="005021E4">
        <w:t>Adopted by the Committee at its 130th session (12 October–6 November 2020).</w:t>
      </w:r>
    </w:p>
  </w:footnote>
  <w:footnote w:id="2">
    <w:p w14:paraId="09D7B1B7" w14:textId="77777777" w:rsidR="00B23200" w:rsidRPr="005021E4" w:rsidRDefault="00B23200" w:rsidP="00B23200">
      <w:pPr>
        <w:pStyle w:val="FootnoteText"/>
        <w:spacing w:after="60"/>
      </w:pPr>
      <w:r w:rsidRPr="00FE7547">
        <w:rPr>
          <w:rStyle w:val="FootnoteReference"/>
          <w:sz w:val="20"/>
          <w:szCs w:val="22"/>
          <w:vertAlign w:val="baseline"/>
        </w:rPr>
        <w:tab/>
        <w:t>**</w:t>
      </w:r>
      <w:r w:rsidRPr="00FE7547">
        <w:rPr>
          <w:rStyle w:val="FootnoteReference"/>
          <w:sz w:val="20"/>
          <w:szCs w:val="22"/>
          <w:vertAlign w:val="baseline"/>
        </w:rPr>
        <w:tab/>
      </w:r>
      <w:r w:rsidRPr="005021E4">
        <w:t xml:space="preserve">The following members of the Committee participated in the examination of the communication: </w:t>
      </w:r>
      <w:proofErr w:type="spellStart"/>
      <w:r w:rsidRPr="005021E4">
        <w:t>Yadh</w:t>
      </w:r>
      <w:proofErr w:type="spellEnd"/>
      <w:r w:rsidRPr="005021E4">
        <w:t xml:space="preserve"> Ben </w:t>
      </w:r>
      <w:proofErr w:type="spellStart"/>
      <w:r w:rsidRPr="005021E4">
        <w:t>Achour</w:t>
      </w:r>
      <w:proofErr w:type="spellEnd"/>
      <w:r w:rsidRPr="005021E4">
        <w:t xml:space="preserve">, </w:t>
      </w:r>
      <w:proofErr w:type="spellStart"/>
      <w:r w:rsidRPr="005021E4">
        <w:t>Arif</w:t>
      </w:r>
      <w:proofErr w:type="spellEnd"/>
      <w:r w:rsidRPr="005021E4">
        <w:t xml:space="preserve"> </w:t>
      </w:r>
      <w:proofErr w:type="spellStart"/>
      <w:r w:rsidRPr="005021E4">
        <w:t>Bulkan</w:t>
      </w:r>
      <w:proofErr w:type="spellEnd"/>
      <w:r w:rsidRPr="005021E4">
        <w:t xml:space="preserve">, Ahmed Amin </w:t>
      </w:r>
      <w:proofErr w:type="spellStart"/>
      <w:r w:rsidRPr="005021E4">
        <w:t>Fathalla</w:t>
      </w:r>
      <w:proofErr w:type="spellEnd"/>
      <w:r w:rsidRPr="005021E4">
        <w:t xml:space="preserve">, </w:t>
      </w:r>
      <w:proofErr w:type="spellStart"/>
      <w:r w:rsidRPr="005021E4">
        <w:t>Furuya</w:t>
      </w:r>
      <w:proofErr w:type="spellEnd"/>
      <w:r w:rsidRPr="005021E4">
        <w:t xml:space="preserve"> Shuichi, Christof </w:t>
      </w:r>
      <w:proofErr w:type="spellStart"/>
      <w:r w:rsidRPr="005021E4">
        <w:t>Heyns</w:t>
      </w:r>
      <w:proofErr w:type="spellEnd"/>
      <w:r w:rsidRPr="005021E4">
        <w:t xml:space="preserve">, </w:t>
      </w:r>
      <w:proofErr w:type="spellStart"/>
      <w:r w:rsidRPr="005021E4">
        <w:t>Bamariam</w:t>
      </w:r>
      <w:proofErr w:type="spellEnd"/>
      <w:r w:rsidRPr="005021E4">
        <w:t xml:space="preserve"> </w:t>
      </w:r>
      <w:proofErr w:type="spellStart"/>
      <w:r w:rsidRPr="005021E4">
        <w:t>Koita</w:t>
      </w:r>
      <w:proofErr w:type="spellEnd"/>
      <w:r w:rsidRPr="005021E4">
        <w:t xml:space="preserve">, David H. Moore, </w:t>
      </w:r>
      <w:proofErr w:type="spellStart"/>
      <w:r w:rsidRPr="005021E4">
        <w:t>Hernán</w:t>
      </w:r>
      <w:proofErr w:type="spellEnd"/>
      <w:r w:rsidRPr="005021E4">
        <w:t xml:space="preserve"> Quezada Cabrera, </w:t>
      </w:r>
      <w:proofErr w:type="spellStart"/>
      <w:r w:rsidRPr="005021E4">
        <w:t>Vasilka</w:t>
      </w:r>
      <w:proofErr w:type="spellEnd"/>
      <w:r w:rsidRPr="005021E4">
        <w:t xml:space="preserve"> </w:t>
      </w:r>
      <w:proofErr w:type="spellStart"/>
      <w:r w:rsidRPr="005021E4">
        <w:t>Sancin</w:t>
      </w:r>
      <w:proofErr w:type="spellEnd"/>
      <w:r w:rsidRPr="005021E4">
        <w:t xml:space="preserve">, José Manuel Santos </w:t>
      </w:r>
      <w:proofErr w:type="spellStart"/>
      <w:r w:rsidRPr="005021E4">
        <w:t>Pais</w:t>
      </w:r>
      <w:proofErr w:type="spellEnd"/>
      <w:r w:rsidRPr="005021E4">
        <w:t xml:space="preserve">, Yuval </w:t>
      </w:r>
      <w:proofErr w:type="spellStart"/>
      <w:r w:rsidRPr="005021E4">
        <w:t>Shany</w:t>
      </w:r>
      <w:proofErr w:type="spellEnd"/>
      <w:r w:rsidRPr="005021E4">
        <w:t xml:space="preserve">, Hélène </w:t>
      </w:r>
      <w:proofErr w:type="spellStart"/>
      <w:r w:rsidRPr="005021E4">
        <w:t>Tigroudja</w:t>
      </w:r>
      <w:proofErr w:type="spellEnd"/>
      <w:r w:rsidRPr="005021E4">
        <w:t xml:space="preserve">, Andreas Zimmermann and Gentian </w:t>
      </w:r>
      <w:proofErr w:type="spellStart"/>
      <w:r w:rsidRPr="005021E4">
        <w:t>Zyberi</w:t>
      </w:r>
      <w:proofErr w:type="spellEnd"/>
      <w:r w:rsidRPr="005021E4">
        <w:t>.</w:t>
      </w:r>
    </w:p>
  </w:footnote>
  <w:footnote w:id="3">
    <w:p w14:paraId="32C95EB9" w14:textId="77777777" w:rsidR="00B23200" w:rsidRPr="005021E4" w:rsidRDefault="00B23200" w:rsidP="00B23200">
      <w:pPr>
        <w:pStyle w:val="FootnoteText"/>
      </w:pPr>
      <w:r w:rsidRPr="005021E4">
        <w:tab/>
      </w:r>
      <w:r w:rsidRPr="005021E4">
        <w:rPr>
          <w:rStyle w:val="FootnoteReference"/>
        </w:rPr>
        <w:footnoteRef/>
      </w:r>
      <w:r w:rsidRPr="005021E4">
        <w:tab/>
        <w:t>Annexed to the communication.</w:t>
      </w:r>
    </w:p>
  </w:footnote>
  <w:footnote w:id="4">
    <w:p w14:paraId="72439D3F" w14:textId="3270F551" w:rsidR="00B23200" w:rsidRPr="005021E4" w:rsidRDefault="00B23200" w:rsidP="00B23200">
      <w:pPr>
        <w:pStyle w:val="FootnoteText"/>
      </w:pPr>
      <w:r w:rsidRPr="005021E4">
        <w:tab/>
      </w:r>
      <w:r w:rsidRPr="005021E4">
        <w:rPr>
          <w:rStyle w:val="FootnoteReference"/>
        </w:rPr>
        <w:footnoteRef/>
      </w:r>
      <w:r w:rsidRPr="005021E4">
        <w:tab/>
        <w:t>Certificate annexed to the communication. The death certificate was brought to the attention of the president of the People</w:t>
      </w:r>
      <w:r w:rsidR="006A545F">
        <w:t>’</w:t>
      </w:r>
      <w:r w:rsidRPr="005021E4">
        <w:t xml:space="preserve">s Municipal Assembly of El </w:t>
      </w:r>
      <w:proofErr w:type="spellStart"/>
      <w:r w:rsidRPr="005021E4">
        <w:t>Aouana</w:t>
      </w:r>
      <w:proofErr w:type="spellEnd"/>
      <w:r w:rsidRPr="005021E4">
        <w:t>. However, the president, when confronted with the crimes described, despite being the supposed guarantor of public order, did not refer the matter to the police, as was required under his mandate.</w:t>
      </w:r>
    </w:p>
  </w:footnote>
  <w:footnote w:id="5">
    <w:p w14:paraId="26F46303" w14:textId="77777777" w:rsidR="00B23200" w:rsidRPr="005021E4" w:rsidRDefault="00B23200" w:rsidP="00B23200">
      <w:pPr>
        <w:pStyle w:val="FootnoteText"/>
      </w:pPr>
      <w:r w:rsidRPr="005021E4">
        <w:tab/>
      </w:r>
      <w:r w:rsidRPr="005021E4">
        <w:rPr>
          <w:rStyle w:val="FootnoteReference"/>
        </w:rPr>
        <w:footnoteRef/>
      </w:r>
      <w:r w:rsidRPr="005021E4">
        <w:tab/>
        <w:t>Annexed to the communication.</w:t>
      </w:r>
    </w:p>
  </w:footnote>
  <w:footnote w:id="6">
    <w:p w14:paraId="08873DF0" w14:textId="77777777" w:rsidR="00B23200" w:rsidRPr="005021E4" w:rsidRDefault="00B23200" w:rsidP="00B23200">
      <w:pPr>
        <w:pStyle w:val="FootnoteText"/>
      </w:pPr>
      <w:r w:rsidRPr="005021E4">
        <w:tab/>
      </w:r>
      <w:r w:rsidRPr="005021E4">
        <w:rPr>
          <w:rStyle w:val="FootnoteReference"/>
        </w:rPr>
        <w:footnoteRef/>
      </w:r>
      <w:r w:rsidRPr="005021E4">
        <w:tab/>
        <w:t>Documents annexed to the communication.</w:t>
      </w:r>
    </w:p>
  </w:footnote>
  <w:footnote w:id="7">
    <w:p w14:paraId="475FDD7B" w14:textId="77777777" w:rsidR="00B23200" w:rsidRPr="005021E4" w:rsidRDefault="00B23200" w:rsidP="00B23200">
      <w:pPr>
        <w:pStyle w:val="FootnoteText"/>
      </w:pPr>
      <w:r w:rsidRPr="005021E4">
        <w:tab/>
      </w:r>
      <w:r w:rsidRPr="005021E4">
        <w:rPr>
          <w:rStyle w:val="FootnoteReference"/>
        </w:rPr>
        <w:footnoteRef/>
      </w:r>
      <w:r w:rsidRPr="005021E4">
        <w:tab/>
        <w:t>Annexed to the communication.</w:t>
      </w:r>
    </w:p>
  </w:footnote>
  <w:footnote w:id="8">
    <w:p w14:paraId="43C0817D" w14:textId="77777777" w:rsidR="00B23200" w:rsidRPr="005021E4" w:rsidRDefault="00B23200" w:rsidP="00B23200">
      <w:pPr>
        <w:pStyle w:val="FootnoteText"/>
      </w:pPr>
      <w:r w:rsidRPr="005021E4">
        <w:tab/>
      </w:r>
      <w:r w:rsidRPr="005021E4">
        <w:rPr>
          <w:rStyle w:val="FootnoteReference"/>
        </w:rPr>
        <w:footnoteRef/>
      </w:r>
      <w:r w:rsidRPr="005021E4">
        <w:tab/>
        <w:t>The certificate indicates that</w:t>
      </w:r>
      <w:r>
        <w:t>,</w:t>
      </w:r>
      <w:r w:rsidRPr="005021E4">
        <w:t xml:space="preserve"> in 1994</w:t>
      </w:r>
      <w:r>
        <w:t>,</w:t>
      </w:r>
      <w:r w:rsidRPr="005021E4">
        <w:t xml:space="preserve"> Fateh </w:t>
      </w:r>
      <w:proofErr w:type="spellStart"/>
      <w:r w:rsidRPr="005021E4">
        <w:t>Dafar</w:t>
      </w:r>
      <w:proofErr w:type="spellEnd"/>
      <w:r w:rsidRPr="005021E4">
        <w:t xml:space="preserve"> was arrested by two individuals claiming to be members of the security services and that, three days later, his murdered body was found on </w:t>
      </w:r>
      <w:proofErr w:type="spellStart"/>
      <w:r w:rsidRPr="005021E4">
        <w:t>Mrigha</w:t>
      </w:r>
      <w:proofErr w:type="spellEnd"/>
      <w:r w:rsidRPr="005021E4">
        <w:t xml:space="preserve"> beach in El </w:t>
      </w:r>
      <w:proofErr w:type="spellStart"/>
      <w:r w:rsidRPr="005021E4">
        <w:t>Aouana</w:t>
      </w:r>
      <w:proofErr w:type="spellEnd"/>
      <w:r w:rsidRPr="005021E4">
        <w:t>.</w:t>
      </w:r>
    </w:p>
  </w:footnote>
  <w:footnote w:id="9">
    <w:p w14:paraId="4B346F07" w14:textId="3E7511FF" w:rsidR="00B23200" w:rsidRPr="005021E4" w:rsidRDefault="00B23200" w:rsidP="00B23200">
      <w:pPr>
        <w:pStyle w:val="FootnoteText"/>
      </w:pPr>
      <w:r w:rsidRPr="005021E4">
        <w:tab/>
      </w:r>
      <w:r w:rsidRPr="005021E4">
        <w:rPr>
          <w:rStyle w:val="FootnoteReference"/>
        </w:rPr>
        <w:footnoteRef/>
      </w:r>
      <w:r w:rsidRPr="005021E4">
        <w:tab/>
        <w:t xml:space="preserve">The author mentions that, under article 63 of the Code of Criminal Procedure, </w:t>
      </w:r>
      <w:r w:rsidR="00C60D4E">
        <w:t>“</w:t>
      </w:r>
      <w:r w:rsidRPr="005021E4">
        <w:t>when an offence is brought to their attention, criminal police officers ..., acting either on the instructions of the public prosecutor or on their own initiative, shall undertake preliminary inquiries</w:t>
      </w:r>
      <w:r w:rsidR="00C60D4E">
        <w:t>”</w:t>
      </w:r>
      <w:r w:rsidRPr="005021E4">
        <w:t>.</w:t>
      </w:r>
    </w:p>
  </w:footnote>
  <w:footnote w:id="10">
    <w:p w14:paraId="3594387C" w14:textId="77777777" w:rsidR="00B23200" w:rsidRPr="005021E4" w:rsidRDefault="00B23200" w:rsidP="00B23200">
      <w:pPr>
        <w:pStyle w:val="FootnoteText"/>
      </w:pPr>
      <w:r w:rsidRPr="005021E4">
        <w:tab/>
      </w:r>
      <w:r w:rsidRPr="005021E4">
        <w:rPr>
          <w:rStyle w:val="FootnoteReference"/>
        </w:rPr>
        <w:footnoteRef/>
      </w:r>
      <w:r w:rsidRPr="005021E4">
        <w:tab/>
        <w:t>CCPR/C/DZA/CO/3, paras. 7–8.</w:t>
      </w:r>
    </w:p>
  </w:footnote>
  <w:footnote w:id="11">
    <w:p w14:paraId="1247B7D4" w14:textId="77777777" w:rsidR="00B23200" w:rsidRPr="005021E4" w:rsidRDefault="00B23200" w:rsidP="00B23200">
      <w:pPr>
        <w:pStyle w:val="FootnoteText"/>
      </w:pPr>
      <w:r w:rsidRPr="005021E4">
        <w:tab/>
      </w:r>
      <w:r w:rsidRPr="005021E4">
        <w:rPr>
          <w:rStyle w:val="FootnoteReference"/>
        </w:rPr>
        <w:footnoteRef/>
      </w:r>
      <w:r w:rsidRPr="005021E4">
        <w:tab/>
        <w:t>The author reiterates that summary executions, when committed in a systematic manner or on a large scale, constitute a crime against humanity under article 7 of the Rome Statute of the International Criminal Court.</w:t>
      </w:r>
    </w:p>
  </w:footnote>
  <w:footnote w:id="12">
    <w:p w14:paraId="6463FE21" w14:textId="77777777" w:rsidR="00B23200" w:rsidRPr="005021E4" w:rsidRDefault="00B23200" w:rsidP="00B23200">
      <w:pPr>
        <w:pStyle w:val="FootnoteText"/>
      </w:pPr>
      <w:r w:rsidRPr="005021E4">
        <w:tab/>
      </w:r>
      <w:r w:rsidRPr="005021E4">
        <w:rPr>
          <w:rStyle w:val="FootnoteReference"/>
        </w:rPr>
        <w:footnoteRef/>
      </w:r>
      <w:r w:rsidRPr="005021E4">
        <w:tab/>
        <w:t>Official Records of the General Assembly, Fifty-third Session, Supplement No. 40, vol. I (A/53/40), para. 357.</w:t>
      </w:r>
    </w:p>
  </w:footnote>
  <w:footnote w:id="13">
    <w:p w14:paraId="6B192814"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Mezine</w:t>
      </w:r>
      <w:proofErr w:type="spellEnd"/>
      <w:r w:rsidRPr="005021E4">
        <w:rPr>
          <w:i/>
          <w:iCs/>
        </w:rPr>
        <w:t xml:space="preserve"> v. Algeria</w:t>
      </w:r>
      <w:r w:rsidRPr="005021E4">
        <w:t xml:space="preserve"> (CCPR/C/106/D/1779/2008), para. 8.3; and </w:t>
      </w:r>
      <w:proofErr w:type="spellStart"/>
      <w:r w:rsidRPr="005021E4">
        <w:rPr>
          <w:i/>
          <w:iCs/>
        </w:rPr>
        <w:t>Medjnoune</w:t>
      </w:r>
      <w:proofErr w:type="spellEnd"/>
      <w:r w:rsidRPr="005021E4">
        <w:rPr>
          <w:i/>
          <w:iCs/>
        </w:rPr>
        <w:t xml:space="preserve"> v. Algeria</w:t>
      </w:r>
      <w:r w:rsidRPr="005021E4">
        <w:t xml:space="preserve"> (CCPR/C/87/D/1297/2004), para. 8.3.</w:t>
      </w:r>
    </w:p>
  </w:footnote>
  <w:footnote w:id="14">
    <w:p w14:paraId="3F237D47"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Boudjemai</w:t>
      </w:r>
      <w:proofErr w:type="spellEnd"/>
      <w:r w:rsidRPr="005021E4">
        <w:rPr>
          <w:i/>
          <w:iCs/>
        </w:rPr>
        <w:t xml:space="preserve"> v. Algeria</w:t>
      </w:r>
      <w:r w:rsidRPr="005021E4">
        <w:t xml:space="preserve"> (CCPR/C/107/D/1791/2008), para. 7.4.</w:t>
      </w:r>
    </w:p>
  </w:footnote>
  <w:footnote w:id="15">
    <w:p w14:paraId="4F89E9EE" w14:textId="77777777" w:rsidR="00B23200" w:rsidRPr="005021E4" w:rsidRDefault="00B23200" w:rsidP="00B23200">
      <w:pPr>
        <w:pStyle w:val="FootnoteText"/>
      </w:pPr>
      <w:r w:rsidRPr="005021E4">
        <w:tab/>
      </w:r>
      <w:r w:rsidRPr="005021E4">
        <w:rPr>
          <w:rStyle w:val="FootnoteReference"/>
        </w:rPr>
        <w:footnoteRef/>
      </w:r>
      <w:r w:rsidRPr="005021E4">
        <w:tab/>
        <w:t>CCPR/C/DZA/CO/3, paras. 7, 8 and 13.</w:t>
      </w:r>
    </w:p>
  </w:footnote>
  <w:footnote w:id="16">
    <w:p w14:paraId="78E020D4"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Belamrania</w:t>
      </w:r>
      <w:proofErr w:type="spellEnd"/>
      <w:r w:rsidRPr="005021E4">
        <w:rPr>
          <w:i/>
          <w:iCs/>
        </w:rPr>
        <w:t xml:space="preserve"> v. Algeria</w:t>
      </w:r>
      <w:r w:rsidRPr="005021E4">
        <w:t xml:space="preserve"> (CCPR/C/118/D/2157/2012), para. 4; </w:t>
      </w:r>
      <w:r w:rsidRPr="004B3DB6">
        <w:t>and</w:t>
      </w:r>
      <w:r w:rsidRPr="005021E4">
        <w:rPr>
          <w:i/>
          <w:iCs/>
        </w:rPr>
        <w:t xml:space="preserve"> </w:t>
      </w:r>
      <w:proofErr w:type="spellStart"/>
      <w:r w:rsidRPr="005021E4">
        <w:rPr>
          <w:i/>
          <w:iCs/>
        </w:rPr>
        <w:t>Khelifati</w:t>
      </w:r>
      <w:proofErr w:type="spellEnd"/>
      <w:r w:rsidRPr="005021E4">
        <w:rPr>
          <w:i/>
          <w:iCs/>
        </w:rPr>
        <w:t xml:space="preserve"> v. Algeria</w:t>
      </w:r>
      <w:r w:rsidRPr="005021E4">
        <w:t xml:space="preserve"> (CCPR/C/120/D/2267/2013), para. 4.</w:t>
      </w:r>
    </w:p>
  </w:footnote>
  <w:footnote w:id="17">
    <w:p w14:paraId="49586F42"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Fedsi</w:t>
      </w:r>
      <w:proofErr w:type="spellEnd"/>
      <w:r w:rsidRPr="005021E4">
        <w:rPr>
          <w:i/>
          <w:iCs/>
        </w:rPr>
        <w:t xml:space="preserve"> v. Algeria</w:t>
      </w:r>
      <w:r w:rsidRPr="005021E4">
        <w:t xml:space="preserve"> (CCPR/C/111/D/1964/2010); </w:t>
      </w:r>
      <w:proofErr w:type="spellStart"/>
      <w:r w:rsidRPr="005021E4">
        <w:rPr>
          <w:i/>
          <w:iCs/>
        </w:rPr>
        <w:t>Bousseloub</w:t>
      </w:r>
      <w:proofErr w:type="spellEnd"/>
      <w:r w:rsidRPr="005021E4">
        <w:rPr>
          <w:i/>
          <w:iCs/>
        </w:rPr>
        <w:t xml:space="preserve"> v. Algeria</w:t>
      </w:r>
      <w:r w:rsidRPr="005021E4">
        <w:t xml:space="preserve"> (CCPR/C/111/D/1974/2010); and </w:t>
      </w:r>
      <w:proofErr w:type="spellStart"/>
      <w:r w:rsidRPr="005021E4">
        <w:rPr>
          <w:i/>
          <w:iCs/>
        </w:rPr>
        <w:t>Belamrania</w:t>
      </w:r>
      <w:proofErr w:type="spellEnd"/>
      <w:r w:rsidRPr="005021E4">
        <w:rPr>
          <w:i/>
          <w:iCs/>
        </w:rPr>
        <w:t xml:space="preserve"> v. Algeria</w:t>
      </w:r>
      <w:r w:rsidRPr="005021E4">
        <w:t>.</w:t>
      </w:r>
    </w:p>
  </w:footnote>
  <w:footnote w:id="18">
    <w:p w14:paraId="60B115C2" w14:textId="77777777" w:rsidR="00B23200" w:rsidRPr="005021E4" w:rsidRDefault="00B23200" w:rsidP="00B23200">
      <w:pPr>
        <w:pStyle w:val="FootnoteText"/>
      </w:pPr>
      <w:r w:rsidRPr="005021E4">
        <w:tab/>
      </w:r>
      <w:r w:rsidRPr="005021E4">
        <w:rPr>
          <w:rStyle w:val="FootnoteReference"/>
        </w:rPr>
        <w:footnoteRef/>
      </w:r>
      <w:r w:rsidRPr="005021E4">
        <w:tab/>
        <w:t>CCPR/C/DZA/CO/3, para. 7; and CCPR/C/DZA/CO/4, para. 11.</w:t>
      </w:r>
    </w:p>
  </w:footnote>
  <w:footnote w:id="19">
    <w:p w14:paraId="049CAB11" w14:textId="77777777" w:rsidR="00B23200" w:rsidRPr="005021E4" w:rsidRDefault="00B23200" w:rsidP="00B23200">
      <w:pPr>
        <w:pStyle w:val="FootnoteText"/>
      </w:pPr>
      <w:r w:rsidRPr="005021E4">
        <w:tab/>
      </w:r>
      <w:r w:rsidRPr="005021E4">
        <w:rPr>
          <w:rStyle w:val="FootnoteReference"/>
        </w:rPr>
        <w:footnoteRef/>
      </w:r>
      <w:r w:rsidRPr="005021E4">
        <w:tab/>
        <w:t xml:space="preserve">See, inter alia, </w:t>
      </w:r>
      <w:proofErr w:type="spellStart"/>
      <w:r w:rsidRPr="005021E4">
        <w:rPr>
          <w:i/>
          <w:iCs/>
        </w:rPr>
        <w:t>Mezine</w:t>
      </w:r>
      <w:proofErr w:type="spellEnd"/>
      <w:r w:rsidRPr="005021E4">
        <w:rPr>
          <w:i/>
          <w:iCs/>
        </w:rPr>
        <w:t xml:space="preserve"> v. Algeria</w:t>
      </w:r>
      <w:r w:rsidRPr="005021E4">
        <w:t xml:space="preserve">, para. 8.2; </w:t>
      </w:r>
      <w:proofErr w:type="spellStart"/>
      <w:r w:rsidRPr="005021E4">
        <w:rPr>
          <w:i/>
          <w:iCs/>
        </w:rPr>
        <w:t>Berzig</w:t>
      </w:r>
      <w:proofErr w:type="spellEnd"/>
      <w:r w:rsidRPr="005021E4">
        <w:rPr>
          <w:i/>
          <w:iCs/>
        </w:rPr>
        <w:t xml:space="preserve"> v. Algeria</w:t>
      </w:r>
      <w:r w:rsidRPr="005021E4">
        <w:t xml:space="preserve"> (CCPR/C/103/D/1781/2008), para. 8.2; and </w:t>
      </w:r>
      <w:proofErr w:type="spellStart"/>
      <w:r w:rsidRPr="005021E4">
        <w:rPr>
          <w:i/>
          <w:iCs/>
        </w:rPr>
        <w:t>Boudjemai</w:t>
      </w:r>
      <w:proofErr w:type="spellEnd"/>
      <w:r w:rsidRPr="005021E4">
        <w:rPr>
          <w:i/>
          <w:iCs/>
        </w:rPr>
        <w:t xml:space="preserve"> v. Algeria</w:t>
      </w:r>
      <w:r w:rsidRPr="005021E4">
        <w:t>, para. 8.2.</w:t>
      </w:r>
    </w:p>
  </w:footnote>
  <w:footnote w:id="20">
    <w:p w14:paraId="095B5AC2" w14:textId="77777777" w:rsidR="00B23200" w:rsidRPr="005021E4" w:rsidRDefault="00B23200" w:rsidP="00B23200">
      <w:pPr>
        <w:pStyle w:val="FootnoteText"/>
      </w:pPr>
      <w:r w:rsidRPr="005021E4">
        <w:tab/>
      </w:r>
      <w:r w:rsidRPr="005021E4">
        <w:rPr>
          <w:rStyle w:val="FootnoteReference"/>
        </w:rPr>
        <w:footnoteRef/>
      </w:r>
      <w:r w:rsidRPr="005021E4">
        <w:tab/>
        <w:t xml:space="preserve">See, for example, </w:t>
      </w:r>
      <w:proofErr w:type="spellStart"/>
      <w:r w:rsidRPr="005021E4">
        <w:rPr>
          <w:i/>
          <w:iCs/>
        </w:rPr>
        <w:t>Telitsina</w:t>
      </w:r>
      <w:proofErr w:type="spellEnd"/>
      <w:r w:rsidRPr="005021E4">
        <w:rPr>
          <w:i/>
          <w:iCs/>
        </w:rPr>
        <w:t xml:space="preserve"> v. Russian Federation</w:t>
      </w:r>
      <w:r w:rsidRPr="005021E4">
        <w:t xml:space="preserve"> (CCPR/C/80/D/888/1999), paras. 7.5–7.6; </w:t>
      </w:r>
      <w:r w:rsidRPr="005021E4">
        <w:rPr>
          <w:i/>
          <w:iCs/>
        </w:rPr>
        <w:t xml:space="preserve">Al </w:t>
      </w:r>
      <w:proofErr w:type="spellStart"/>
      <w:r w:rsidRPr="005021E4">
        <w:rPr>
          <w:i/>
          <w:iCs/>
        </w:rPr>
        <w:t>Khazmi</w:t>
      </w:r>
      <w:proofErr w:type="spellEnd"/>
      <w:r w:rsidRPr="005021E4">
        <w:rPr>
          <w:i/>
          <w:iCs/>
        </w:rPr>
        <w:t xml:space="preserve"> v. Libya</w:t>
      </w:r>
      <w:r w:rsidRPr="005021E4">
        <w:t xml:space="preserve"> (CCPR/C/108/D/1832/2008), para. 8.2; and </w:t>
      </w:r>
      <w:proofErr w:type="spellStart"/>
      <w:r w:rsidRPr="005021E4">
        <w:rPr>
          <w:i/>
          <w:iCs/>
        </w:rPr>
        <w:t>Belamrania</w:t>
      </w:r>
      <w:proofErr w:type="spellEnd"/>
      <w:r w:rsidRPr="005021E4">
        <w:rPr>
          <w:i/>
          <w:iCs/>
        </w:rPr>
        <w:t xml:space="preserve"> v. Algeria</w:t>
      </w:r>
      <w:r w:rsidRPr="005021E4">
        <w:t>, para. 6.5.</w:t>
      </w:r>
    </w:p>
  </w:footnote>
  <w:footnote w:id="21">
    <w:p w14:paraId="10B58511"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Ammari</w:t>
      </w:r>
      <w:proofErr w:type="spellEnd"/>
      <w:r w:rsidRPr="005021E4">
        <w:rPr>
          <w:i/>
          <w:iCs/>
        </w:rPr>
        <w:t xml:space="preserve"> v. Algeria</w:t>
      </w:r>
      <w:r w:rsidRPr="005021E4">
        <w:t xml:space="preserve"> (CCPR/C/112/D/2098/2011), para. 8.6.</w:t>
      </w:r>
    </w:p>
  </w:footnote>
  <w:footnote w:id="22">
    <w:p w14:paraId="1EBEA6AF"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Mezine</w:t>
      </w:r>
      <w:proofErr w:type="spellEnd"/>
      <w:r w:rsidRPr="005021E4">
        <w:rPr>
          <w:i/>
          <w:iCs/>
        </w:rPr>
        <w:t xml:space="preserve"> v. Algeria</w:t>
      </w:r>
      <w:r w:rsidRPr="005021E4">
        <w:t xml:space="preserve">, para. 8.6; </w:t>
      </w:r>
      <w:proofErr w:type="spellStart"/>
      <w:r w:rsidRPr="005021E4">
        <w:rPr>
          <w:i/>
          <w:iCs/>
        </w:rPr>
        <w:t>Khirani</w:t>
      </w:r>
      <w:proofErr w:type="spellEnd"/>
      <w:r w:rsidRPr="005021E4">
        <w:rPr>
          <w:i/>
          <w:iCs/>
        </w:rPr>
        <w:t xml:space="preserve"> v. Algeria</w:t>
      </w:r>
      <w:r w:rsidRPr="005021E4">
        <w:t xml:space="preserve"> (CCPR/C/104/D/1905/2009 and Corr.1), para. 7.6; </w:t>
      </w:r>
      <w:proofErr w:type="spellStart"/>
      <w:r w:rsidRPr="005021E4">
        <w:rPr>
          <w:i/>
          <w:iCs/>
        </w:rPr>
        <w:t>Berzig</w:t>
      </w:r>
      <w:proofErr w:type="spellEnd"/>
      <w:r w:rsidRPr="005021E4">
        <w:rPr>
          <w:i/>
          <w:iCs/>
        </w:rPr>
        <w:t xml:space="preserve"> v. Algeria</w:t>
      </w:r>
      <w:r w:rsidRPr="005021E4">
        <w:t xml:space="preserve">, para. 8.6; </w:t>
      </w:r>
      <w:r w:rsidRPr="005021E4">
        <w:rPr>
          <w:i/>
          <w:iCs/>
        </w:rPr>
        <w:t xml:space="preserve">El </w:t>
      </w:r>
      <w:proofErr w:type="spellStart"/>
      <w:r w:rsidRPr="005021E4">
        <w:rPr>
          <w:i/>
          <w:iCs/>
        </w:rPr>
        <w:t>Abani</w:t>
      </w:r>
      <w:proofErr w:type="spellEnd"/>
      <w:r w:rsidRPr="005021E4">
        <w:rPr>
          <w:i/>
          <w:iCs/>
        </w:rPr>
        <w:t xml:space="preserve"> v. Libyan Arab Jamahiriya</w:t>
      </w:r>
      <w:r w:rsidRPr="005021E4">
        <w:t xml:space="preserve"> (CCPR/C/99/D/1640/2007), para. 7.5; </w:t>
      </w:r>
      <w:r w:rsidRPr="005021E4">
        <w:rPr>
          <w:i/>
          <w:iCs/>
        </w:rPr>
        <w:t xml:space="preserve">El </w:t>
      </w:r>
      <w:proofErr w:type="spellStart"/>
      <w:r w:rsidRPr="005021E4">
        <w:rPr>
          <w:i/>
          <w:iCs/>
        </w:rPr>
        <w:t>Hassy</w:t>
      </w:r>
      <w:proofErr w:type="spellEnd"/>
      <w:r w:rsidRPr="005021E4">
        <w:rPr>
          <w:i/>
          <w:iCs/>
        </w:rPr>
        <w:t xml:space="preserve"> v. Libyan Arab Jamahiriya</w:t>
      </w:r>
      <w:r w:rsidRPr="005021E4">
        <w:t xml:space="preserve"> (CCPR/C/91/D/1422/2005), para. 6.11; and </w:t>
      </w:r>
      <w:proofErr w:type="spellStart"/>
      <w:r w:rsidRPr="005021E4">
        <w:rPr>
          <w:i/>
          <w:iCs/>
        </w:rPr>
        <w:t>Sankara</w:t>
      </w:r>
      <w:proofErr w:type="spellEnd"/>
      <w:r w:rsidRPr="005021E4">
        <w:rPr>
          <w:i/>
          <w:iCs/>
        </w:rPr>
        <w:t xml:space="preserve"> et al. v. Burkina Faso</w:t>
      </w:r>
      <w:r w:rsidRPr="005021E4">
        <w:t xml:space="preserve"> (CCPR/C/86/D/1159/2003), para 12.2.</w:t>
      </w:r>
    </w:p>
  </w:footnote>
  <w:footnote w:id="23">
    <w:p w14:paraId="130D4252"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Chani</w:t>
      </w:r>
      <w:proofErr w:type="spellEnd"/>
      <w:r w:rsidRPr="005021E4">
        <w:rPr>
          <w:i/>
          <w:iCs/>
        </w:rPr>
        <w:t xml:space="preserve"> v. Algeria</w:t>
      </w:r>
      <w:r w:rsidRPr="005021E4">
        <w:t xml:space="preserve"> (CCPR/C/116/D/2297/2013), para. 7.5.</w:t>
      </w:r>
    </w:p>
  </w:footnote>
  <w:footnote w:id="24">
    <w:p w14:paraId="7EB606D9" w14:textId="77777777" w:rsidR="00B23200" w:rsidRPr="005021E4" w:rsidRDefault="00B23200" w:rsidP="00B23200">
      <w:pPr>
        <w:pStyle w:val="FootnoteText"/>
      </w:pPr>
      <w:r w:rsidRPr="005021E4">
        <w:tab/>
      </w:r>
      <w:r w:rsidRPr="005021E4">
        <w:rPr>
          <w:rStyle w:val="FootnoteReference"/>
        </w:rPr>
        <w:footnoteRef/>
      </w:r>
      <w:r w:rsidRPr="005021E4">
        <w:tab/>
        <w:t xml:space="preserve">See, inter alia, </w:t>
      </w:r>
      <w:proofErr w:type="spellStart"/>
      <w:r w:rsidRPr="005021E4">
        <w:rPr>
          <w:i/>
          <w:iCs/>
        </w:rPr>
        <w:t>Mezine</w:t>
      </w:r>
      <w:proofErr w:type="spellEnd"/>
      <w:r w:rsidRPr="005021E4">
        <w:rPr>
          <w:i/>
          <w:iCs/>
        </w:rPr>
        <w:t xml:space="preserve"> v. Algeria</w:t>
      </w:r>
      <w:r w:rsidRPr="005021E4">
        <w:t xml:space="preserve">, para. 8.7; </w:t>
      </w:r>
      <w:proofErr w:type="spellStart"/>
      <w:r w:rsidRPr="005021E4">
        <w:rPr>
          <w:i/>
          <w:iCs/>
        </w:rPr>
        <w:t>Khirani</w:t>
      </w:r>
      <w:proofErr w:type="spellEnd"/>
      <w:r w:rsidRPr="005021E4">
        <w:rPr>
          <w:i/>
          <w:iCs/>
        </w:rPr>
        <w:t xml:space="preserve"> v. Algeria</w:t>
      </w:r>
      <w:r w:rsidRPr="005021E4">
        <w:t xml:space="preserve">, para. 7.7; and </w:t>
      </w:r>
      <w:proofErr w:type="spellStart"/>
      <w:r w:rsidRPr="005021E4">
        <w:rPr>
          <w:i/>
          <w:iCs/>
        </w:rPr>
        <w:t>Berzig</w:t>
      </w:r>
      <w:proofErr w:type="spellEnd"/>
      <w:r w:rsidRPr="005021E4">
        <w:rPr>
          <w:i/>
          <w:iCs/>
        </w:rPr>
        <w:t xml:space="preserve"> v. Algeria</w:t>
      </w:r>
      <w:r w:rsidRPr="005021E4">
        <w:t>, para. 8.7.</w:t>
      </w:r>
    </w:p>
  </w:footnote>
  <w:footnote w:id="25">
    <w:p w14:paraId="2831A27A" w14:textId="77777777" w:rsidR="00B23200" w:rsidRPr="005021E4" w:rsidRDefault="00B23200" w:rsidP="00B23200">
      <w:pPr>
        <w:pStyle w:val="FootnoteText"/>
      </w:pPr>
      <w:r w:rsidRPr="005021E4">
        <w:tab/>
      </w:r>
      <w:r w:rsidRPr="005021E4">
        <w:rPr>
          <w:rStyle w:val="FootnoteReference"/>
        </w:rPr>
        <w:footnoteRef/>
      </w:r>
      <w:r w:rsidRPr="005021E4">
        <w:tab/>
      </w:r>
      <w:proofErr w:type="spellStart"/>
      <w:r w:rsidRPr="005021E4">
        <w:rPr>
          <w:i/>
          <w:iCs/>
        </w:rPr>
        <w:t>Allioua</w:t>
      </w:r>
      <w:proofErr w:type="spellEnd"/>
      <w:r w:rsidRPr="005021E4">
        <w:rPr>
          <w:i/>
          <w:iCs/>
        </w:rPr>
        <w:t xml:space="preserve"> and </w:t>
      </w:r>
      <w:proofErr w:type="spellStart"/>
      <w:r w:rsidRPr="005021E4">
        <w:rPr>
          <w:i/>
          <w:iCs/>
        </w:rPr>
        <w:t>Kerouane</w:t>
      </w:r>
      <w:proofErr w:type="spellEnd"/>
      <w:r w:rsidRPr="005021E4">
        <w:rPr>
          <w:i/>
          <w:iCs/>
        </w:rPr>
        <w:t xml:space="preserve"> v. Algeria</w:t>
      </w:r>
      <w:r w:rsidRPr="005021E4">
        <w:t xml:space="preserve"> (CCPR/C/112/D/2132/2012), para.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F23D" w14:textId="77777777" w:rsidR="00B23200" w:rsidRDefault="00B23200" w:rsidP="00B23200">
    <w:pPr>
      <w:pStyle w:val="Header"/>
    </w:pPr>
    <w:r>
      <w:t>CCPR/C/130/D/2580/2015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C97" w14:textId="77777777" w:rsidR="00B23200" w:rsidRDefault="00B23200" w:rsidP="00B23200">
    <w:pPr>
      <w:pStyle w:val="Header"/>
      <w:jc w:val="right"/>
    </w:pPr>
    <w:r>
      <w:t>CCPR/C/130/D/2580/2015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5C8CEEB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59"/>
    <w:rsid w:val="00046E92"/>
    <w:rsid w:val="00055F46"/>
    <w:rsid w:val="0006523D"/>
    <w:rsid w:val="000820E8"/>
    <w:rsid w:val="00131D7A"/>
    <w:rsid w:val="00165C15"/>
    <w:rsid w:val="00247E2C"/>
    <w:rsid w:val="002D6C53"/>
    <w:rsid w:val="002F5595"/>
    <w:rsid w:val="00334F6A"/>
    <w:rsid w:val="00342AC8"/>
    <w:rsid w:val="003B4550"/>
    <w:rsid w:val="00461253"/>
    <w:rsid w:val="00472FED"/>
    <w:rsid w:val="00493484"/>
    <w:rsid w:val="005042C2"/>
    <w:rsid w:val="005D65FD"/>
    <w:rsid w:val="00671529"/>
    <w:rsid w:val="006A545F"/>
    <w:rsid w:val="006F35EA"/>
    <w:rsid w:val="007268F9"/>
    <w:rsid w:val="007327A0"/>
    <w:rsid w:val="007C52B0"/>
    <w:rsid w:val="00806B72"/>
    <w:rsid w:val="00817E57"/>
    <w:rsid w:val="00885B51"/>
    <w:rsid w:val="00892361"/>
    <w:rsid w:val="008D3450"/>
    <w:rsid w:val="009411B4"/>
    <w:rsid w:val="009D0139"/>
    <w:rsid w:val="009F5CDC"/>
    <w:rsid w:val="00A23459"/>
    <w:rsid w:val="00A775CF"/>
    <w:rsid w:val="00B06045"/>
    <w:rsid w:val="00B23200"/>
    <w:rsid w:val="00B53AA5"/>
    <w:rsid w:val="00B903E5"/>
    <w:rsid w:val="00C35A27"/>
    <w:rsid w:val="00C60D4E"/>
    <w:rsid w:val="00CA1AEA"/>
    <w:rsid w:val="00CB1E59"/>
    <w:rsid w:val="00D327D6"/>
    <w:rsid w:val="00DB065A"/>
    <w:rsid w:val="00E02C2B"/>
    <w:rsid w:val="00E05879"/>
    <w:rsid w:val="00E26F83"/>
    <w:rsid w:val="00E415D9"/>
    <w:rsid w:val="00ED6C48"/>
    <w:rsid w:val="00F41F0F"/>
    <w:rsid w:val="00F65F5D"/>
    <w:rsid w:val="00F86A3A"/>
    <w:rsid w:val="00FE7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CD07"/>
  <w15:docId w15:val="{D805EEF0-3F61-4539-ADA5-43DF3B4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B23200"/>
    <w:rPr>
      <w:rFonts w:ascii="Times New Roman" w:hAnsi="Times New Roman" w:cs="Times New Roman"/>
      <w:sz w:val="20"/>
      <w:szCs w:val="20"/>
    </w:rPr>
  </w:style>
  <w:style w:type="character" w:customStyle="1" w:styleId="HChGChar">
    <w:name w:val="_ H _Ch_G Char"/>
    <w:link w:val="HChG"/>
    <w:locked/>
    <w:rsid w:val="00B23200"/>
    <w:rPr>
      <w:rFonts w:ascii="Times New Roman" w:eastAsia="Times New Roman" w:hAnsi="Times New Roman" w:cs="Times New Roman"/>
      <w:b/>
      <w:sz w:val="28"/>
      <w:szCs w:val="20"/>
      <w:lang w:eastAsia="en-US"/>
    </w:rPr>
  </w:style>
  <w:style w:type="character" w:customStyle="1" w:styleId="H23GChar">
    <w:name w:val="_ H_2/3_G Char"/>
    <w:link w:val="H23G"/>
    <w:locked/>
    <w:rsid w:val="00B23200"/>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CCPR/C/130/D/2580/2015</dc:title>
  <dc:subject>2103336</dc:subject>
  <dc:creator>cg</dc:creator>
  <cp:keywords/>
  <dc:description/>
  <cp:lastModifiedBy>Emeric Camp</cp:lastModifiedBy>
  <cp:revision>2</cp:revision>
  <dcterms:created xsi:type="dcterms:W3CDTF">2022-05-10T10:13:00Z</dcterms:created>
  <dcterms:modified xsi:type="dcterms:W3CDTF">2022-05-10T10:13:00Z</dcterms:modified>
</cp:coreProperties>
</file>