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629908D" w14:textId="77777777" w:rsidTr="002B7BC7">
        <w:trPr>
          <w:trHeight w:hRule="exact" w:val="851"/>
        </w:trPr>
        <w:tc>
          <w:tcPr>
            <w:tcW w:w="1276" w:type="dxa"/>
            <w:tcBorders>
              <w:bottom w:val="single" w:sz="4" w:space="0" w:color="auto"/>
            </w:tcBorders>
          </w:tcPr>
          <w:p w14:paraId="5B0FB69D" w14:textId="77777777" w:rsidR="006F71EA" w:rsidRPr="00DB58B5" w:rsidRDefault="006F71EA" w:rsidP="0095715A"/>
        </w:tc>
        <w:tc>
          <w:tcPr>
            <w:tcW w:w="2268" w:type="dxa"/>
            <w:tcBorders>
              <w:bottom w:val="single" w:sz="4" w:space="0" w:color="auto"/>
            </w:tcBorders>
            <w:vAlign w:val="bottom"/>
          </w:tcPr>
          <w:p w14:paraId="04DD847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30BF59" w14:textId="77777777" w:rsidR="006F71EA" w:rsidRPr="00D405BF" w:rsidRDefault="00D405BF" w:rsidP="00D405BF">
            <w:pPr>
              <w:jc w:val="right"/>
            </w:pPr>
            <w:bookmarkStart w:id="0" w:name="_GoBack"/>
            <w:r w:rsidRPr="00D405BF">
              <w:rPr>
                <w:sz w:val="40"/>
              </w:rPr>
              <w:t>CCPR</w:t>
            </w:r>
            <w:bookmarkEnd w:id="0"/>
            <w:r>
              <w:t>/C/130/D/2580/2015</w:t>
            </w:r>
          </w:p>
        </w:tc>
      </w:tr>
      <w:tr w:rsidR="006F71EA" w:rsidRPr="00DB58B5" w14:paraId="11EB7FEA" w14:textId="77777777" w:rsidTr="002B7BC7">
        <w:trPr>
          <w:trHeight w:hRule="exact" w:val="2835"/>
        </w:trPr>
        <w:tc>
          <w:tcPr>
            <w:tcW w:w="1276" w:type="dxa"/>
            <w:tcBorders>
              <w:top w:val="single" w:sz="4" w:space="0" w:color="auto"/>
              <w:bottom w:val="single" w:sz="12" w:space="0" w:color="auto"/>
            </w:tcBorders>
          </w:tcPr>
          <w:p w14:paraId="039B3530" w14:textId="77777777" w:rsidR="006F71EA" w:rsidRPr="00DB58B5" w:rsidRDefault="006F71EA" w:rsidP="002B7BC7">
            <w:pPr>
              <w:spacing w:before="120"/>
              <w:jc w:val="center"/>
            </w:pPr>
            <w:r>
              <w:rPr>
                <w:noProof/>
                <w:lang w:val="en-GB" w:eastAsia="en-GB"/>
              </w:rPr>
              <w:drawing>
                <wp:inline distT="0" distB="0" distL="0" distR="0" wp14:anchorId="69038D12" wp14:editId="4847DA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541C3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9CC845D" w14:textId="77777777" w:rsidR="006F71EA" w:rsidRDefault="0095715A" w:rsidP="002B7BC7">
            <w:pPr>
              <w:spacing w:before="240"/>
            </w:pPr>
            <w:r>
              <w:t>Distr. générale</w:t>
            </w:r>
          </w:p>
          <w:p w14:paraId="15FEB7C8" w14:textId="77777777" w:rsidR="0095715A" w:rsidRDefault="0095715A" w:rsidP="0095715A">
            <w:pPr>
              <w:spacing w:line="240" w:lineRule="exact"/>
            </w:pPr>
            <w:r>
              <w:t>1</w:t>
            </w:r>
            <w:r w:rsidR="008D3466">
              <w:t>1</w:t>
            </w:r>
            <w:r>
              <w:t xml:space="preserve"> mars 2021</w:t>
            </w:r>
          </w:p>
          <w:p w14:paraId="67DD3EE2" w14:textId="77777777" w:rsidR="0095715A" w:rsidRDefault="0095715A" w:rsidP="0095715A">
            <w:pPr>
              <w:spacing w:line="240" w:lineRule="exact"/>
            </w:pPr>
          </w:p>
          <w:p w14:paraId="2DC24C07" w14:textId="77777777" w:rsidR="0095715A" w:rsidRPr="00DB58B5" w:rsidRDefault="0095715A" w:rsidP="0095715A">
            <w:pPr>
              <w:spacing w:line="240" w:lineRule="exact"/>
            </w:pPr>
            <w:r>
              <w:t>Original : français</w:t>
            </w:r>
          </w:p>
        </w:tc>
      </w:tr>
    </w:tbl>
    <w:p w14:paraId="1296DF8B" w14:textId="77777777" w:rsidR="006F71EA" w:rsidRDefault="006F71EA" w:rsidP="006F71EA">
      <w:pPr>
        <w:spacing w:before="120"/>
        <w:rPr>
          <w:b/>
          <w:sz w:val="24"/>
          <w:szCs w:val="24"/>
        </w:rPr>
      </w:pPr>
      <w:r w:rsidRPr="00DF3BF1">
        <w:rPr>
          <w:b/>
          <w:sz w:val="24"/>
          <w:szCs w:val="24"/>
        </w:rPr>
        <w:t>Comité des droits de l’homme</w:t>
      </w:r>
    </w:p>
    <w:p w14:paraId="410A9F6D" w14:textId="77777777" w:rsidR="0095715A" w:rsidRDefault="0095715A" w:rsidP="0095715A">
      <w:pPr>
        <w:pStyle w:val="HChG"/>
        <w:rPr>
          <w:b w:val="0"/>
          <w:bCs/>
          <w:sz w:val="20"/>
        </w:rPr>
      </w:pPr>
      <w:r>
        <w:rPr>
          <w:szCs w:val="28"/>
          <w:lang w:val="fr-FR"/>
        </w:rPr>
        <w:tab/>
      </w:r>
      <w:r>
        <w:rPr>
          <w:szCs w:val="28"/>
          <w:lang w:val="fr-FR"/>
        </w:rPr>
        <w:tab/>
      </w:r>
      <w:r w:rsidRPr="00B67849">
        <w:t xml:space="preserve">Constatations adoptées par le Comité au titre de </w:t>
      </w:r>
      <w:r w:rsidRPr="00B67849">
        <w:rPr>
          <w:lang w:val="fr-FR"/>
        </w:rPr>
        <w:t>l</w:t>
      </w:r>
      <w:r>
        <w:rPr>
          <w:lang w:val="fr-FR"/>
        </w:rPr>
        <w:t>’</w:t>
      </w:r>
      <w:r w:rsidRPr="00B67849">
        <w:rPr>
          <w:lang w:val="fr-FR"/>
        </w:rPr>
        <w:t>article 5 (</w:t>
      </w:r>
      <w:r>
        <w:rPr>
          <w:lang w:val="fr-FR"/>
        </w:rPr>
        <w:t>par. </w:t>
      </w:r>
      <w:r w:rsidRPr="00B67849">
        <w:rPr>
          <w:lang w:val="fr-FR"/>
        </w:rPr>
        <w:t xml:space="preserve">4) du Protocole facultatif, concernant </w:t>
      </w:r>
      <w:r w:rsidR="00381E23">
        <w:rPr>
          <w:lang w:val="fr-FR"/>
        </w:rPr>
        <w:br/>
      </w:r>
      <w:r>
        <w:rPr>
          <w:lang w:val="fr-FR"/>
        </w:rPr>
        <w:t xml:space="preserve">la </w:t>
      </w:r>
      <w:r w:rsidRPr="00341BD1">
        <w:t>communication n</w:t>
      </w:r>
      <w:r w:rsidRPr="00341BD1">
        <w:rPr>
          <w:vertAlign w:val="superscript"/>
        </w:rPr>
        <w:t>o</w:t>
      </w:r>
      <w:r>
        <w:rPr>
          <w:vertAlign w:val="superscript"/>
        </w:rPr>
        <w:t> </w:t>
      </w:r>
      <w:r>
        <w:t>2580</w:t>
      </w:r>
      <w:r w:rsidRPr="00341BD1">
        <w:t>/201</w:t>
      </w:r>
      <w:r>
        <w:t>5</w:t>
      </w:r>
      <w:r w:rsidRPr="00A94E1C">
        <w:rPr>
          <w:rStyle w:val="Appelnotedebasdep"/>
          <w:b w:val="0"/>
          <w:bCs/>
          <w:sz w:val="20"/>
          <w:vertAlign w:val="baseline"/>
        </w:rPr>
        <w:footnoteReference w:customMarkFollows="1" w:id="2"/>
        <w:t>*</w:t>
      </w:r>
      <w:r w:rsidRPr="00891F36">
        <w:rPr>
          <w:b w:val="0"/>
          <w:bCs/>
          <w:position w:val="6"/>
          <w:sz w:val="18"/>
        </w:rPr>
        <w:t>,</w:t>
      </w:r>
      <w:r w:rsidRPr="00BE5C91">
        <w:rPr>
          <w:b w:val="0"/>
          <w:bCs/>
          <w:sz w:val="18"/>
        </w:rPr>
        <w:t xml:space="preserve"> </w:t>
      </w:r>
      <w:r w:rsidRPr="00A94E1C">
        <w:rPr>
          <w:rStyle w:val="Appelnotedebasdep"/>
          <w:b w:val="0"/>
          <w:bCs/>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E307F3" w14:paraId="139101D2" w14:textId="77777777" w:rsidTr="0028491D">
        <w:tc>
          <w:tcPr>
            <w:tcW w:w="2835" w:type="dxa"/>
          </w:tcPr>
          <w:p w14:paraId="4F9300D3" w14:textId="77777777" w:rsidR="00E307F3" w:rsidRDefault="00E307F3" w:rsidP="0028491D">
            <w:pPr>
              <w:pStyle w:val="SingleTxtG"/>
              <w:ind w:left="0" w:right="0"/>
              <w:jc w:val="left"/>
              <w:rPr>
                <w:i/>
              </w:rPr>
            </w:pPr>
            <w:r>
              <w:rPr>
                <w:i/>
              </w:rPr>
              <w:t>Communication p</w:t>
            </w:r>
            <w:r w:rsidRPr="00FD511F">
              <w:rPr>
                <w:i/>
              </w:rPr>
              <w:t>résentée par</w:t>
            </w:r>
            <w:r>
              <w:t> :</w:t>
            </w:r>
          </w:p>
        </w:tc>
        <w:tc>
          <w:tcPr>
            <w:tcW w:w="3970" w:type="dxa"/>
          </w:tcPr>
          <w:p w14:paraId="55936B87" w14:textId="77777777" w:rsidR="00E307F3" w:rsidRDefault="00E307F3" w:rsidP="0028491D">
            <w:pPr>
              <w:spacing w:after="120"/>
              <w:textAlignment w:val="baseline"/>
              <w:rPr>
                <w:kern w:val="3"/>
                <w:lang w:val="fr-FR"/>
              </w:rPr>
            </w:pPr>
            <w:r>
              <w:rPr>
                <w:lang w:val="fr-FR"/>
              </w:rPr>
              <w:t>Mohammed Dafar (représenté par un conseil de la Fondation Alkarama)</w:t>
            </w:r>
          </w:p>
        </w:tc>
      </w:tr>
      <w:tr w:rsidR="00E307F3" w14:paraId="7742D4BA" w14:textId="77777777" w:rsidTr="0028491D">
        <w:tc>
          <w:tcPr>
            <w:tcW w:w="2835" w:type="dxa"/>
          </w:tcPr>
          <w:p w14:paraId="3CFF9EB8" w14:textId="77777777" w:rsidR="00E307F3" w:rsidRPr="00FD511F" w:rsidRDefault="00E307F3" w:rsidP="0028491D">
            <w:pPr>
              <w:pStyle w:val="SingleTxtG"/>
              <w:ind w:left="0" w:right="0"/>
              <w:jc w:val="left"/>
              <w:rPr>
                <w:i/>
              </w:rPr>
            </w:pPr>
            <w:r>
              <w:rPr>
                <w:i/>
              </w:rPr>
              <w:t>Victime(s) présumée(s)</w:t>
            </w:r>
            <w:r>
              <w:t> :</w:t>
            </w:r>
          </w:p>
        </w:tc>
        <w:tc>
          <w:tcPr>
            <w:tcW w:w="3970" w:type="dxa"/>
          </w:tcPr>
          <w:p w14:paraId="3578D2FC" w14:textId="77777777" w:rsidR="00E307F3" w:rsidRDefault="00E307F3" w:rsidP="0028491D">
            <w:pPr>
              <w:spacing w:after="120"/>
              <w:textAlignment w:val="baseline"/>
              <w:rPr>
                <w:kern w:val="3"/>
                <w:lang w:val="fr-FR"/>
              </w:rPr>
            </w:pPr>
            <w:r>
              <w:rPr>
                <w:kern w:val="3"/>
                <w:lang w:val="fr-FR"/>
              </w:rPr>
              <w:t>L’auteur et Fateh Dafar (fils de l’auteur)</w:t>
            </w:r>
          </w:p>
        </w:tc>
      </w:tr>
      <w:tr w:rsidR="00E307F3" w14:paraId="14A2F5EB" w14:textId="77777777" w:rsidTr="0028491D">
        <w:tc>
          <w:tcPr>
            <w:tcW w:w="2835" w:type="dxa"/>
          </w:tcPr>
          <w:p w14:paraId="59E7D2D6" w14:textId="77777777" w:rsidR="00E307F3" w:rsidRPr="00FD511F" w:rsidRDefault="00E307F3" w:rsidP="0028491D">
            <w:pPr>
              <w:pStyle w:val="SingleTxtG"/>
              <w:ind w:left="0" w:right="0"/>
              <w:jc w:val="left"/>
              <w:rPr>
                <w:i/>
              </w:rPr>
            </w:pPr>
            <w:r w:rsidRPr="00FD511F">
              <w:rPr>
                <w:i/>
              </w:rPr>
              <w:t>État partie</w:t>
            </w:r>
            <w:r>
              <w:t> :</w:t>
            </w:r>
          </w:p>
        </w:tc>
        <w:tc>
          <w:tcPr>
            <w:tcW w:w="3970" w:type="dxa"/>
          </w:tcPr>
          <w:p w14:paraId="2D9051E8" w14:textId="77777777" w:rsidR="00E307F3" w:rsidRDefault="00E307F3" w:rsidP="0028491D">
            <w:pPr>
              <w:spacing w:after="120"/>
              <w:textAlignment w:val="baseline"/>
              <w:rPr>
                <w:kern w:val="3"/>
                <w:lang w:val="fr-FR"/>
              </w:rPr>
            </w:pPr>
            <w:r>
              <w:rPr>
                <w:kern w:val="3"/>
                <w:lang w:val="fr-FR"/>
              </w:rPr>
              <w:t>Algérie</w:t>
            </w:r>
          </w:p>
        </w:tc>
      </w:tr>
      <w:tr w:rsidR="00E307F3" w14:paraId="173D01D3" w14:textId="77777777" w:rsidTr="0028491D">
        <w:tc>
          <w:tcPr>
            <w:tcW w:w="2835" w:type="dxa"/>
          </w:tcPr>
          <w:p w14:paraId="4AC0FA88" w14:textId="77777777" w:rsidR="00E307F3" w:rsidRPr="00FD511F" w:rsidRDefault="00E307F3" w:rsidP="0028491D">
            <w:pPr>
              <w:pStyle w:val="SingleTxtG"/>
              <w:ind w:left="0" w:right="0"/>
              <w:jc w:val="left"/>
              <w:rPr>
                <w:i/>
              </w:rPr>
            </w:pPr>
            <w:r>
              <w:rPr>
                <w:i/>
                <w:kern w:val="3"/>
                <w:lang w:val="fr-FR"/>
              </w:rPr>
              <w:t>Date de la communication </w:t>
            </w:r>
            <w:r>
              <w:rPr>
                <w:kern w:val="3"/>
                <w:lang w:val="fr-FR"/>
              </w:rPr>
              <w:t>:</w:t>
            </w:r>
          </w:p>
        </w:tc>
        <w:tc>
          <w:tcPr>
            <w:tcW w:w="3970" w:type="dxa"/>
          </w:tcPr>
          <w:p w14:paraId="68581C27" w14:textId="77777777" w:rsidR="00E307F3" w:rsidRDefault="00E307F3" w:rsidP="0028491D">
            <w:pPr>
              <w:spacing w:after="120"/>
              <w:textAlignment w:val="baseline"/>
              <w:rPr>
                <w:kern w:val="3"/>
                <w:lang w:val="fr-FR"/>
              </w:rPr>
            </w:pPr>
            <w:r>
              <w:rPr>
                <w:kern w:val="3"/>
                <w:lang w:val="fr-FR"/>
              </w:rPr>
              <w:t>25 novembre 2014 (date de la lettre initiale)</w:t>
            </w:r>
          </w:p>
        </w:tc>
      </w:tr>
      <w:tr w:rsidR="00E307F3" w14:paraId="13F2E291" w14:textId="77777777" w:rsidTr="0028491D">
        <w:tc>
          <w:tcPr>
            <w:tcW w:w="2835" w:type="dxa"/>
          </w:tcPr>
          <w:p w14:paraId="1A7BC695" w14:textId="77777777" w:rsidR="00E307F3" w:rsidRPr="00FD511F" w:rsidRDefault="00E307F3" w:rsidP="0028491D">
            <w:pPr>
              <w:pStyle w:val="SingleTxtG"/>
              <w:ind w:left="0" w:right="0"/>
              <w:jc w:val="left"/>
              <w:rPr>
                <w:i/>
              </w:rPr>
            </w:pPr>
            <w:r>
              <w:rPr>
                <w:i/>
                <w:kern w:val="3"/>
                <w:lang w:val="fr-FR"/>
              </w:rPr>
              <w:t>Références </w:t>
            </w:r>
            <w:r>
              <w:rPr>
                <w:kern w:val="3"/>
                <w:lang w:val="fr-FR"/>
              </w:rPr>
              <w:t>:</w:t>
            </w:r>
          </w:p>
        </w:tc>
        <w:tc>
          <w:tcPr>
            <w:tcW w:w="3970" w:type="dxa"/>
          </w:tcPr>
          <w:p w14:paraId="197E0E2F" w14:textId="77777777" w:rsidR="00E307F3" w:rsidRDefault="00E307F3" w:rsidP="0028491D">
            <w:pPr>
              <w:spacing w:after="120"/>
              <w:textAlignment w:val="baseline"/>
              <w:rPr>
                <w:kern w:val="3"/>
                <w:lang w:val="fr-FR"/>
              </w:rPr>
            </w:pPr>
            <w:r w:rsidRPr="00CB16AA">
              <w:rPr>
                <w:kern w:val="3"/>
                <w:lang w:val="fr-FR"/>
              </w:rPr>
              <w:t>Décision prise en application de l’article 92 du règlement intérieur du Comité</w:t>
            </w:r>
            <w:r>
              <w:rPr>
                <w:kern w:val="3"/>
                <w:lang w:val="fr-FR"/>
              </w:rPr>
              <w:t>, communiquée à l’État partie le 5 mars 2015 (non publiée sous forme de document)</w:t>
            </w:r>
          </w:p>
        </w:tc>
      </w:tr>
      <w:tr w:rsidR="00E307F3" w14:paraId="24EF2046" w14:textId="77777777" w:rsidTr="0028491D">
        <w:tc>
          <w:tcPr>
            <w:tcW w:w="2835" w:type="dxa"/>
          </w:tcPr>
          <w:p w14:paraId="67EA7EB5" w14:textId="77777777" w:rsidR="00E307F3" w:rsidRDefault="00E307F3" w:rsidP="0028491D">
            <w:pPr>
              <w:spacing w:after="120"/>
              <w:textAlignment w:val="baseline"/>
              <w:rPr>
                <w:kern w:val="3"/>
                <w:lang w:val="fr-FR"/>
              </w:rPr>
            </w:pPr>
            <w:r>
              <w:rPr>
                <w:i/>
                <w:kern w:val="3"/>
                <w:lang w:val="fr-FR"/>
              </w:rPr>
              <w:t>Date des constatations </w:t>
            </w:r>
            <w:r>
              <w:rPr>
                <w:kern w:val="3"/>
                <w:lang w:val="fr-FR"/>
              </w:rPr>
              <w:t>:</w:t>
            </w:r>
          </w:p>
        </w:tc>
        <w:tc>
          <w:tcPr>
            <w:tcW w:w="3970" w:type="dxa"/>
          </w:tcPr>
          <w:p w14:paraId="2A0BE223" w14:textId="77777777" w:rsidR="00E307F3" w:rsidRDefault="00E307F3" w:rsidP="0028491D">
            <w:pPr>
              <w:spacing w:after="120"/>
              <w:textAlignment w:val="baseline"/>
              <w:rPr>
                <w:kern w:val="3"/>
                <w:lang w:val="fr-FR"/>
              </w:rPr>
            </w:pPr>
            <w:r>
              <w:rPr>
                <w:kern w:val="3"/>
                <w:lang w:val="fr-FR"/>
              </w:rPr>
              <w:t>16 octobre 2020</w:t>
            </w:r>
          </w:p>
        </w:tc>
      </w:tr>
      <w:tr w:rsidR="00E307F3" w14:paraId="1CA5B6E7" w14:textId="77777777" w:rsidTr="0028491D">
        <w:tc>
          <w:tcPr>
            <w:tcW w:w="2835" w:type="dxa"/>
          </w:tcPr>
          <w:p w14:paraId="04B5E2D1" w14:textId="77777777" w:rsidR="00E307F3" w:rsidRDefault="00E307F3" w:rsidP="0028491D">
            <w:pPr>
              <w:spacing w:after="120"/>
              <w:textAlignment w:val="baseline"/>
              <w:rPr>
                <w:kern w:val="3"/>
                <w:lang w:val="fr-FR"/>
              </w:rPr>
            </w:pPr>
            <w:r>
              <w:rPr>
                <w:lang w:val="fr-FR"/>
              </w:rPr>
              <w:br w:type="page"/>
            </w:r>
            <w:r>
              <w:rPr>
                <w:rFonts w:ascii="Calibri" w:hAnsi="Calibri" w:cs="Arial"/>
                <w:kern w:val="3"/>
                <w:lang w:val="fr-FR" w:eastAsia="en-GB"/>
              </w:rPr>
              <w:br w:type="page"/>
            </w:r>
            <w:r>
              <w:rPr>
                <w:i/>
                <w:iCs/>
                <w:kern w:val="3"/>
                <w:lang w:val="fr-FR"/>
              </w:rPr>
              <w:t>Objet </w:t>
            </w:r>
            <w:r>
              <w:rPr>
                <w:kern w:val="3"/>
                <w:lang w:val="fr-FR"/>
              </w:rPr>
              <w:t>:</w:t>
            </w:r>
          </w:p>
        </w:tc>
        <w:tc>
          <w:tcPr>
            <w:tcW w:w="3970" w:type="dxa"/>
          </w:tcPr>
          <w:p w14:paraId="50CB270B" w14:textId="77777777" w:rsidR="00E307F3" w:rsidRDefault="00E307F3" w:rsidP="0028491D">
            <w:pPr>
              <w:spacing w:after="120"/>
              <w:textAlignment w:val="baseline"/>
              <w:rPr>
                <w:kern w:val="3"/>
                <w:lang w:val="fr-FR"/>
              </w:rPr>
            </w:pPr>
            <w:r>
              <w:rPr>
                <w:kern w:val="3"/>
                <w:lang w:val="fr-FR"/>
              </w:rPr>
              <w:t>Exécution sommaire</w:t>
            </w:r>
          </w:p>
        </w:tc>
      </w:tr>
      <w:tr w:rsidR="00E307F3" w14:paraId="3C41326D" w14:textId="77777777" w:rsidTr="0028491D">
        <w:tc>
          <w:tcPr>
            <w:tcW w:w="2835" w:type="dxa"/>
          </w:tcPr>
          <w:p w14:paraId="1C667098" w14:textId="77777777" w:rsidR="00E307F3" w:rsidRDefault="00E307F3" w:rsidP="0028491D">
            <w:pPr>
              <w:spacing w:after="120"/>
              <w:textAlignment w:val="baseline"/>
              <w:rPr>
                <w:i/>
                <w:iCs/>
                <w:kern w:val="3"/>
                <w:lang w:val="fr-FR"/>
              </w:rPr>
            </w:pPr>
            <w:r>
              <w:rPr>
                <w:i/>
                <w:iCs/>
                <w:kern w:val="3"/>
                <w:lang w:val="fr-FR"/>
              </w:rPr>
              <w:t>Question(s) de procédure </w:t>
            </w:r>
            <w:r>
              <w:rPr>
                <w:kern w:val="3"/>
                <w:lang w:val="fr-FR"/>
              </w:rPr>
              <w:t>:</w:t>
            </w:r>
          </w:p>
        </w:tc>
        <w:tc>
          <w:tcPr>
            <w:tcW w:w="3970" w:type="dxa"/>
          </w:tcPr>
          <w:p w14:paraId="20FA454C" w14:textId="77777777" w:rsidR="00E307F3" w:rsidRDefault="00E307F3" w:rsidP="0028491D">
            <w:pPr>
              <w:spacing w:after="120"/>
              <w:textAlignment w:val="baseline"/>
              <w:rPr>
                <w:kern w:val="3"/>
                <w:lang w:val="fr-FR"/>
              </w:rPr>
            </w:pPr>
            <w:r>
              <w:rPr>
                <w:kern w:val="3"/>
                <w:lang w:val="fr-FR"/>
              </w:rPr>
              <w:t>Défaut de coopération de l’État partie</w:t>
            </w:r>
          </w:p>
        </w:tc>
      </w:tr>
      <w:tr w:rsidR="00E307F3" w14:paraId="44097003" w14:textId="77777777" w:rsidTr="0028491D">
        <w:tc>
          <w:tcPr>
            <w:tcW w:w="2835" w:type="dxa"/>
          </w:tcPr>
          <w:p w14:paraId="2C3853D2" w14:textId="77777777" w:rsidR="00E307F3" w:rsidRDefault="00E307F3" w:rsidP="0028491D">
            <w:pPr>
              <w:spacing w:after="120"/>
              <w:textAlignment w:val="baseline"/>
              <w:rPr>
                <w:kern w:val="3"/>
                <w:lang w:val="fr-FR"/>
              </w:rPr>
            </w:pPr>
            <w:r>
              <w:rPr>
                <w:i/>
                <w:iCs/>
                <w:kern w:val="3"/>
                <w:lang w:val="fr-FR"/>
              </w:rPr>
              <w:t>Question(s) de fond </w:t>
            </w:r>
            <w:r>
              <w:rPr>
                <w:kern w:val="3"/>
                <w:lang w:val="fr-FR"/>
              </w:rPr>
              <w:t>:</w:t>
            </w:r>
          </w:p>
        </w:tc>
        <w:tc>
          <w:tcPr>
            <w:tcW w:w="3970" w:type="dxa"/>
          </w:tcPr>
          <w:p w14:paraId="07F45910" w14:textId="77777777" w:rsidR="00E307F3" w:rsidRDefault="00E307F3" w:rsidP="0028491D">
            <w:pPr>
              <w:spacing w:after="120"/>
              <w:textAlignment w:val="baseline"/>
              <w:rPr>
                <w:kern w:val="3"/>
                <w:lang w:val="fr-FR"/>
              </w:rPr>
            </w:pPr>
            <w:r>
              <w:rPr>
                <w:lang w:val="fr-FR"/>
              </w:rPr>
              <w:t>Droit à un recours utile ; droit à la vie ; peine ou traitement cruel, inhumain ou dégradant</w:t>
            </w:r>
          </w:p>
        </w:tc>
      </w:tr>
      <w:tr w:rsidR="00E307F3" w14:paraId="335F67B6" w14:textId="77777777" w:rsidTr="0028491D">
        <w:tc>
          <w:tcPr>
            <w:tcW w:w="2835" w:type="dxa"/>
          </w:tcPr>
          <w:p w14:paraId="391AFB95" w14:textId="77777777" w:rsidR="00E307F3" w:rsidRDefault="00E307F3" w:rsidP="0028491D">
            <w:pPr>
              <w:spacing w:after="120"/>
              <w:textAlignment w:val="baseline"/>
              <w:rPr>
                <w:kern w:val="3"/>
                <w:lang w:val="fr-FR"/>
              </w:rPr>
            </w:pPr>
            <w:r>
              <w:rPr>
                <w:i/>
                <w:iCs/>
                <w:kern w:val="3"/>
                <w:lang w:val="fr-FR"/>
              </w:rPr>
              <w:t>Article(s) du Pacte </w:t>
            </w:r>
            <w:r>
              <w:rPr>
                <w:kern w:val="3"/>
                <w:lang w:val="fr-FR"/>
              </w:rPr>
              <w:t>:</w:t>
            </w:r>
          </w:p>
        </w:tc>
        <w:tc>
          <w:tcPr>
            <w:tcW w:w="3970" w:type="dxa"/>
          </w:tcPr>
          <w:p w14:paraId="5B324A76" w14:textId="77777777" w:rsidR="00E307F3" w:rsidRDefault="00E307F3" w:rsidP="0028491D">
            <w:pPr>
              <w:spacing w:after="120"/>
              <w:textAlignment w:val="baseline"/>
              <w:rPr>
                <w:kern w:val="3"/>
                <w:lang w:val="fr-FR"/>
              </w:rPr>
            </w:pPr>
            <w:r>
              <w:rPr>
                <w:kern w:val="3"/>
                <w:lang w:val="fr-FR"/>
              </w:rPr>
              <w:t>2 (par. 3), 6 (par. 1), 7, 9 et 10 (par. 1)</w:t>
            </w:r>
          </w:p>
        </w:tc>
      </w:tr>
      <w:tr w:rsidR="00E307F3" w14:paraId="4DAA3119" w14:textId="77777777" w:rsidTr="0028491D">
        <w:tc>
          <w:tcPr>
            <w:tcW w:w="2835" w:type="dxa"/>
          </w:tcPr>
          <w:p w14:paraId="6E1A7899" w14:textId="77777777" w:rsidR="00E307F3" w:rsidRDefault="00E307F3" w:rsidP="0028491D">
            <w:pPr>
              <w:spacing w:after="120"/>
              <w:textAlignment w:val="baseline"/>
              <w:rPr>
                <w:kern w:val="3"/>
                <w:lang w:val="fr-FR"/>
              </w:rPr>
            </w:pPr>
            <w:r>
              <w:rPr>
                <w:i/>
                <w:iCs/>
                <w:kern w:val="3"/>
                <w:lang w:val="fr-FR"/>
              </w:rPr>
              <w:t>Article(s) du Protocole facultatif </w:t>
            </w:r>
            <w:r>
              <w:rPr>
                <w:kern w:val="3"/>
                <w:lang w:val="fr-FR"/>
              </w:rPr>
              <w:t>:</w:t>
            </w:r>
          </w:p>
        </w:tc>
        <w:tc>
          <w:tcPr>
            <w:tcW w:w="3970" w:type="dxa"/>
          </w:tcPr>
          <w:p w14:paraId="08916A5D" w14:textId="77777777" w:rsidR="00E307F3" w:rsidRDefault="00E307F3" w:rsidP="0028491D">
            <w:pPr>
              <w:spacing w:after="120"/>
              <w:textAlignment w:val="baseline"/>
              <w:rPr>
                <w:kern w:val="3"/>
                <w:lang w:val="fr-FR"/>
              </w:rPr>
            </w:pPr>
            <w:r>
              <w:rPr>
                <w:kern w:val="3"/>
                <w:lang w:val="fr-FR"/>
              </w:rPr>
              <w:t>5 (par. 2 b))</w:t>
            </w:r>
          </w:p>
        </w:tc>
      </w:tr>
    </w:tbl>
    <w:p w14:paraId="152A7895" w14:textId="77777777" w:rsidR="0095715A" w:rsidRPr="00410779" w:rsidRDefault="0095715A" w:rsidP="00344914">
      <w:pPr>
        <w:pStyle w:val="SingleTxtG"/>
        <w:spacing w:before="240"/>
      </w:pPr>
      <w:r>
        <w:t>1.</w:t>
      </w:r>
      <w:r w:rsidRPr="00410779">
        <w:tab/>
        <w:t>L</w:t>
      </w:r>
      <w:r>
        <w:t>’</w:t>
      </w:r>
      <w:r w:rsidRPr="00410779">
        <w:t>auteur de la com</w:t>
      </w:r>
      <w:r>
        <w:t>munication</w:t>
      </w:r>
      <w:r w:rsidRPr="00410779">
        <w:t xml:space="preserve"> est </w:t>
      </w:r>
      <w:r>
        <w:t>Mohammed</w:t>
      </w:r>
      <w:r w:rsidR="00381E23">
        <w:t> </w:t>
      </w:r>
      <w:r>
        <w:t>Dafar</w:t>
      </w:r>
      <w:r w:rsidRPr="00410779">
        <w:t>, de nationalité algérienne. Il fait val</w:t>
      </w:r>
      <w:r>
        <w:t>oir que son fils, Fateh</w:t>
      </w:r>
      <w:r w:rsidR="00381E23">
        <w:t> </w:t>
      </w:r>
      <w:r>
        <w:t>Dafar</w:t>
      </w:r>
      <w:r w:rsidRPr="00410779">
        <w:t xml:space="preserve">, né le </w:t>
      </w:r>
      <w:r>
        <w:t>6</w:t>
      </w:r>
      <w:r w:rsidR="00381E23">
        <w:t> </w:t>
      </w:r>
      <w:r>
        <w:t xml:space="preserve">février </w:t>
      </w:r>
      <w:r w:rsidRPr="00410779">
        <w:t>196</w:t>
      </w:r>
      <w:r>
        <w:t>0</w:t>
      </w:r>
      <w:r w:rsidRPr="00410779">
        <w:t xml:space="preserve">, de nationalité algérienne également, </w:t>
      </w:r>
      <w:r>
        <w:t xml:space="preserve">a été exécuté </w:t>
      </w:r>
      <w:r w:rsidRPr="0010467F">
        <w:t>sommairement</w:t>
      </w:r>
      <w:r>
        <w:t xml:space="preserve"> le 3</w:t>
      </w:r>
      <w:r w:rsidR="00381E23">
        <w:t> </w:t>
      </w:r>
      <w:r>
        <w:t xml:space="preserve">février 1995, en </w:t>
      </w:r>
      <w:r w:rsidRPr="00410779">
        <w:t>violation</w:t>
      </w:r>
      <w:r>
        <w:t xml:space="preserve"> par l’État partie des articles</w:t>
      </w:r>
      <w:r w:rsidR="00381E23">
        <w:t> </w:t>
      </w:r>
      <w:r w:rsidRPr="00410779">
        <w:t>2 (par.</w:t>
      </w:r>
      <w:r w:rsidR="00381E23">
        <w:t> </w:t>
      </w:r>
      <w:r w:rsidRPr="00410779">
        <w:t>3), 6</w:t>
      </w:r>
      <w:r>
        <w:t xml:space="preserve"> (par.</w:t>
      </w:r>
      <w:r w:rsidR="00381E23">
        <w:t> </w:t>
      </w:r>
      <w:r>
        <w:t>1)</w:t>
      </w:r>
      <w:r w:rsidRPr="00410779">
        <w:t>, 7, 9</w:t>
      </w:r>
      <w:r>
        <w:t xml:space="preserve"> et </w:t>
      </w:r>
      <w:r w:rsidRPr="00410779">
        <w:t>10</w:t>
      </w:r>
      <w:r>
        <w:t xml:space="preserve"> (par.</w:t>
      </w:r>
      <w:r w:rsidR="00381E23">
        <w:t> </w:t>
      </w:r>
      <w:r>
        <w:t>1)</w:t>
      </w:r>
      <w:r w:rsidRPr="00410779">
        <w:t xml:space="preserve"> du Pacte. L</w:t>
      </w:r>
      <w:r>
        <w:t>’</w:t>
      </w:r>
      <w:r w:rsidRPr="00410779">
        <w:t>auteur soutient</w:t>
      </w:r>
      <w:r>
        <w:t xml:space="preserve"> par ailleurs que sa famille et lui ont été</w:t>
      </w:r>
      <w:r w:rsidRPr="00410779">
        <w:t xml:space="preserve"> victime</w:t>
      </w:r>
      <w:r>
        <w:t>s</w:t>
      </w:r>
      <w:r w:rsidRPr="00410779">
        <w:t xml:space="preserve"> de viola</w:t>
      </w:r>
      <w:r>
        <w:t>tion de l’article</w:t>
      </w:r>
      <w:r w:rsidR="00381E23">
        <w:t> </w:t>
      </w:r>
      <w:r>
        <w:t>2 (par.</w:t>
      </w:r>
      <w:r w:rsidR="00381E23">
        <w:t> </w:t>
      </w:r>
      <w:r>
        <w:t>3</w:t>
      </w:r>
      <w:r w:rsidRPr="00410779">
        <w:t>)</w:t>
      </w:r>
      <w:r>
        <w:t xml:space="preserve"> </w:t>
      </w:r>
      <w:r w:rsidRPr="00607C76">
        <w:t>lu seul et conjointement avec les articles</w:t>
      </w:r>
      <w:r w:rsidR="00381E23">
        <w:t> </w:t>
      </w:r>
      <w:r w:rsidRPr="00607C76">
        <w:t xml:space="preserve">6 </w:t>
      </w:r>
      <w:r>
        <w:t>et</w:t>
      </w:r>
      <w:r w:rsidRPr="00410779">
        <w:t xml:space="preserve"> 7 du Pacte. Le Pacte et le Protocole facultatif s</w:t>
      </w:r>
      <w:r>
        <w:t>’</w:t>
      </w:r>
      <w:r w:rsidRPr="00410779">
        <w:t>y rapportant sont entrés en vigueur pour l</w:t>
      </w:r>
      <w:r>
        <w:t>’</w:t>
      </w:r>
      <w:r w:rsidRPr="00410779">
        <w:t>Éta</w:t>
      </w:r>
      <w:r>
        <w:t>t partie le 12</w:t>
      </w:r>
      <w:r w:rsidR="00381E23">
        <w:t> </w:t>
      </w:r>
      <w:r>
        <w:t>décembre 1989. L’auteur</w:t>
      </w:r>
      <w:r w:rsidRPr="00410779">
        <w:t xml:space="preserve"> est représenté par</w:t>
      </w:r>
      <w:r>
        <w:t xml:space="preserve"> un conseil de la Fondation Alkarama</w:t>
      </w:r>
      <w:r w:rsidRPr="00410779">
        <w:t>.</w:t>
      </w:r>
    </w:p>
    <w:p w14:paraId="1960A035" w14:textId="77777777" w:rsidR="0095715A" w:rsidRPr="00410779" w:rsidRDefault="0095715A" w:rsidP="0095715A">
      <w:pPr>
        <w:pStyle w:val="H23G"/>
      </w:pPr>
      <w:r w:rsidRPr="00410779">
        <w:lastRenderedPageBreak/>
        <w:tab/>
      </w:r>
      <w:r w:rsidRPr="00410779">
        <w:tab/>
        <w:t>Rappel des faits présentés par l</w:t>
      </w:r>
      <w:r>
        <w:t>’</w:t>
      </w:r>
      <w:r w:rsidRPr="00410779">
        <w:t>auteur</w:t>
      </w:r>
    </w:p>
    <w:p w14:paraId="2AEECDF3" w14:textId="77777777" w:rsidR="0095715A" w:rsidRDefault="0095715A" w:rsidP="0095715A">
      <w:pPr>
        <w:pStyle w:val="SingleTxtG"/>
      </w:pPr>
      <w:r>
        <w:t>2.1</w:t>
      </w:r>
      <w:r>
        <w:tab/>
      </w:r>
      <w:r w:rsidRPr="00D868EB">
        <w:t>L</w:t>
      </w:r>
      <w:r>
        <w:t>’</w:t>
      </w:r>
      <w:r w:rsidRPr="00D868EB">
        <w:t>auteur affirme qu</w:t>
      </w:r>
      <w:r>
        <w:t>’</w:t>
      </w:r>
      <w:r w:rsidRPr="00D868EB">
        <w:t>à l</w:t>
      </w:r>
      <w:r>
        <w:t>’</w:t>
      </w:r>
      <w:r w:rsidRPr="00D868EB">
        <w:t>instar de nombreuses villes et campagnes algériennes, la wilaya de Jijel a connu des violations systématiques et massives des droits de l</w:t>
      </w:r>
      <w:r>
        <w:t>’</w:t>
      </w:r>
      <w:r w:rsidRPr="00D868EB">
        <w:t>homme. Jijel est une région montagneuse située à l</w:t>
      </w:r>
      <w:r>
        <w:t>’</w:t>
      </w:r>
      <w:r w:rsidRPr="00D868EB">
        <w:t>e</w:t>
      </w:r>
      <w:r>
        <w:t xml:space="preserve">st du pays. Au cours des années </w:t>
      </w:r>
      <w:r w:rsidRPr="00D868EB">
        <w:t>1990, des milliers de personnes ont été victimes d</w:t>
      </w:r>
      <w:r>
        <w:t>’</w:t>
      </w:r>
      <w:r w:rsidRPr="00D868EB">
        <w:t>exécutions sommaires, d</w:t>
      </w:r>
      <w:r>
        <w:t>’</w:t>
      </w:r>
      <w:r w:rsidRPr="00D868EB">
        <w:t xml:space="preserve">arrestations arbitraires et de disparitions forcées. </w:t>
      </w:r>
      <w:r>
        <w:t>D</w:t>
      </w:r>
      <w:r w:rsidRPr="00D868EB">
        <w:t>urant les années du conflit,</w:t>
      </w:r>
      <w:r w:rsidRPr="00454CC9">
        <w:t xml:space="preserve"> </w:t>
      </w:r>
      <w:r w:rsidRPr="00D868EB">
        <w:t>un climat de terreur généralisée r</w:t>
      </w:r>
      <w:r>
        <w:t>égnait dans cette région isolée, où se trouvait</w:t>
      </w:r>
      <w:r w:rsidRPr="00D868EB">
        <w:t xml:space="preserve"> une forte présence militaire</w:t>
      </w:r>
      <w:r>
        <w:t>. Cela</w:t>
      </w:r>
      <w:r w:rsidRPr="00D868EB">
        <w:t xml:space="preserve"> explique qu</w:t>
      </w:r>
      <w:r>
        <w:t>’</w:t>
      </w:r>
      <w:r w:rsidRPr="00D868EB">
        <w:t>en dépit du grand nombre d</w:t>
      </w:r>
      <w:r>
        <w:t>’</w:t>
      </w:r>
      <w:r w:rsidRPr="00D868EB">
        <w:t>exécutions sommaires qui y ont été commises, très peu de cas ont été signalés</w:t>
      </w:r>
      <w:r>
        <w:t> :</w:t>
      </w:r>
      <w:r w:rsidRPr="00D868EB">
        <w:t xml:space="preserve"> la crainte de représailles </w:t>
      </w:r>
      <w:r>
        <w:t>par l</w:t>
      </w:r>
      <w:r w:rsidRPr="00D868EB">
        <w:t>es autorités empêchait les familles d</w:t>
      </w:r>
      <w:r>
        <w:t>’</w:t>
      </w:r>
      <w:r w:rsidRPr="00D868EB">
        <w:t>entreprendre des démarches pour retrouver leurs proches disparus.</w:t>
      </w:r>
    </w:p>
    <w:p w14:paraId="265F9BB3" w14:textId="77777777" w:rsidR="0095715A" w:rsidRDefault="0095715A" w:rsidP="0095715A">
      <w:pPr>
        <w:pStyle w:val="SingleTxtG"/>
      </w:pPr>
      <w:r>
        <w:t>2.2</w:t>
      </w:r>
      <w:r w:rsidRPr="00410779">
        <w:tab/>
      </w:r>
      <w:r>
        <w:rPr>
          <w:kern w:val="3"/>
          <w:lang w:val="fr-FR"/>
        </w:rPr>
        <w:t>Fateh</w:t>
      </w:r>
      <w:r w:rsidR="00381E23">
        <w:rPr>
          <w:kern w:val="3"/>
          <w:lang w:val="fr-FR"/>
        </w:rPr>
        <w:t> </w:t>
      </w:r>
      <w:r>
        <w:rPr>
          <w:kern w:val="3"/>
          <w:lang w:val="fr-FR"/>
        </w:rPr>
        <w:t>Dafar</w:t>
      </w:r>
      <w:r w:rsidRPr="00207A15">
        <w:t xml:space="preserve"> travaillait à la</w:t>
      </w:r>
      <w:r>
        <w:t xml:space="preserve"> Recette des contributions diverses d’El</w:t>
      </w:r>
      <w:r w:rsidR="00381E23">
        <w:t> </w:t>
      </w:r>
      <w:r>
        <w:t xml:space="preserve">Aouana, affiliée à la Direction des impôts de la wilaya de Jijel. Selon les témoignages rapportés par sa famille et ses collègues </w:t>
      </w:r>
      <w:r w:rsidR="00381E23">
        <w:t>− </w:t>
      </w:r>
      <w:r>
        <w:t>c</w:t>
      </w:r>
      <w:r w:rsidRPr="00C341E0">
        <w:t>onfirmé</w:t>
      </w:r>
      <w:r>
        <w:t>s</w:t>
      </w:r>
      <w:r w:rsidRPr="00C341E0">
        <w:t xml:space="preserve"> par une attestation du Directeur des impôts de la wilaya de Jijel en date du 6</w:t>
      </w:r>
      <w:r w:rsidR="00381E23">
        <w:t> </w:t>
      </w:r>
      <w:r w:rsidRPr="00C341E0">
        <w:t>mars 1995</w:t>
      </w:r>
      <w:r w:rsidR="00381E23">
        <w:t> −</w:t>
      </w:r>
      <w:r>
        <w:t>,</w:t>
      </w:r>
      <w:r w:rsidRPr="00207A15">
        <w:t xml:space="preserve"> </w:t>
      </w:r>
      <w:r>
        <w:t xml:space="preserve">il </w:t>
      </w:r>
      <w:r w:rsidRPr="00207A15">
        <w:t>a été arrêté sur son lieu de travail le 26</w:t>
      </w:r>
      <w:r w:rsidR="00381E23">
        <w:t> </w:t>
      </w:r>
      <w:r w:rsidRPr="00207A15">
        <w:t>novembre 1994 par deux agents des services de sécurité. Il a ensuite été emmené au siège de la brigade locale</w:t>
      </w:r>
      <w:r>
        <w:t xml:space="preserve"> de gendarmerie nationale d’E</w:t>
      </w:r>
      <w:r w:rsidRPr="00207A15">
        <w:t>l</w:t>
      </w:r>
      <w:r w:rsidR="00381E23">
        <w:t> </w:t>
      </w:r>
      <w:r w:rsidRPr="0010467F">
        <w:t>Aouana</w:t>
      </w:r>
      <w:r>
        <w:t>, commandée par le capitaine B.</w:t>
      </w:r>
      <w:r w:rsidRPr="00207A15">
        <w:t>, où i</w:t>
      </w:r>
      <w:r>
        <w:t xml:space="preserve">l a été détenu pendant soixante-dix jours </w:t>
      </w:r>
      <w:r w:rsidR="00381E23">
        <w:t>− </w:t>
      </w:r>
      <w:r w:rsidRPr="00207A15">
        <w:t>du 26</w:t>
      </w:r>
      <w:r w:rsidR="00381E23">
        <w:t> </w:t>
      </w:r>
      <w:r w:rsidRPr="00207A15">
        <w:t>novembre 1994 au 3</w:t>
      </w:r>
      <w:r w:rsidR="00381E23">
        <w:t> </w:t>
      </w:r>
      <w:r w:rsidRPr="00207A15">
        <w:t>février 1995</w:t>
      </w:r>
      <w:r w:rsidR="00381E23">
        <w:t> −</w:t>
      </w:r>
      <w:r w:rsidRPr="00207A15">
        <w:t xml:space="preserve"> sans être déféré devant une autorité judiciaire compétente et sans que sa famille soit informée des raisons de son arrestation</w:t>
      </w:r>
      <w:r>
        <w:t xml:space="preserve"> et du lieu de sa détention. T</w:t>
      </w:r>
      <w:r w:rsidRPr="00207A15">
        <w:t>out au long de cette période de détention au secret</w:t>
      </w:r>
      <w:r>
        <w:t xml:space="preserve">, </w:t>
      </w:r>
      <w:r>
        <w:rPr>
          <w:kern w:val="3"/>
          <w:lang w:val="fr-FR"/>
        </w:rPr>
        <w:t>Fateh</w:t>
      </w:r>
      <w:r w:rsidR="00381E23">
        <w:rPr>
          <w:kern w:val="3"/>
          <w:lang w:val="fr-FR"/>
        </w:rPr>
        <w:t> </w:t>
      </w:r>
      <w:r>
        <w:rPr>
          <w:kern w:val="3"/>
          <w:lang w:val="fr-FR"/>
        </w:rPr>
        <w:t>Dafar a subi des actes de torture</w:t>
      </w:r>
      <w:r w:rsidRPr="00207A15">
        <w:t>.</w:t>
      </w:r>
    </w:p>
    <w:p w14:paraId="3CE4F340" w14:textId="77777777" w:rsidR="0095715A" w:rsidRPr="00410779" w:rsidRDefault="0095715A" w:rsidP="0095715A">
      <w:pPr>
        <w:pStyle w:val="SingleTxtG"/>
      </w:pPr>
      <w:r>
        <w:t>2.3</w:t>
      </w:r>
      <w:r>
        <w:tab/>
        <w:t>Le 7</w:t>
      </w:r>
      <w:r w:rsidR="00381E23">
        <w:t> </w:t>
      </w:r>
      <w:r>
        <w:t xml:space="preserve">décembre 1994, </w:t>
      </w:r>
      <w:r w:rsidRPr="004755CB">
        <w:t>l</w:t>
      </w:r>
      <w:r>
        <w:t>’</w:t>
      </w:r>
      <w:r w:rsidRPr="004755CB">
        <w:t>auteur a envoyé un courrier au command</w:t>
      </w:r>
      <w:r>
        <w:t>ant du secteur militaire de la w</w:t>
      </w:r>
      <w:r w:rsidRPr="004755CB">
        <w:t>ilaya de Jijel</w:t>
      </w:r>
      <w:r>
        <w:rPr>
          <w:rStyle w:val="Appelnotedebasdep"/>
        </w:rPr>
        <w:footnoteReference w:id="4"/>
      </w:r>
      <w:r>
        <w:t>, pour lui faire part</w:t>
      </w:r>
      <w:r w:rsidRPr="004755CB">
        <w:t xml:space="preserve"> de son inquiétude </w:t>
      </w:r>
      <w:r>
        <w:t>liée</w:t>
      </w:r>
      <w:r w:rsidRPr="004755CB">
        <w:t xml:space="preserve"> à </w:t>
      </w:r>
      <w:r>
        <w:t>l’absence d’informations sur le</w:t>
      </w:r>
      <w:r w:rsidRPr="004755CB">
        <w:t xml:space="preserve"> sort de son fils</w:t>
      </w:r>
      <w:r>
        <w:t xml:space="preserve"> et solliciter</w:t>
      </w:r>
      <w:r w:rsidRPr="004755CB">
        <w:t xml:space="preserve"> son intervention auprès des services de gendarmerie pour </w:t>
      </w:r>
      <w:r>
        <w:t>en obtenir</w:t>
      </w:r>
      <w:r w:rsidRPr="004755CB">
        <w:t>. Cette démarche est restée vaine.</w:t>
      </w:r>
    </w:p>
    <w:p w14:paraId="3654B432" w14:textId="77777777" w:rsidR="0095715A" w:rsidRPr="00410779" w:rsidRDefault="0095715A" w:rsidP="0095715A">
      <w:pPr>
        <w:pStyle w:val="SingleTxtG"/>
      </w:pPr>
      <w:r>
        <w:t>2.4</w:t>
      </w:r>
      <w:r w:rsidRPr="00410779">
        <w:tab/>
      </w:r>
      <w:r w:rsidRPr="00207A15">
        <w:t>Le 3</w:t>
      </w:r>
      <w:r w:rsidR="00381E23">
        <w:t> </w:t>
      </w:r>
      <w:r w:rsidRPr="00207A15">
        <w:t>février 1995</w:t>
      </w:r>
      <w:r w:rsidRPr="001F791F">
        <w:t xml:space="preserve"> </w:t>
      </w:r>
      <w:r>
        <w:t>vers</w:t>
      </w:r>
      <w:r w:rsidRPr="00207A15">
        <w:t xml:space="preserve"> 22</w:t>
      </w:r>
      <w:r w:rsidR="00381E23">
        <w:t> </w:t>
      </w:r>
      <w:r w:rsidRPr="00207A15">
        <w:t>heures, en représailles d</w:t>
      </w:r>
      <w:r>
        <w:t>’</w:t>
      </w:r>
      <w:r w:rsidRPr="00207A15">
        <w:t>un attentat commis par</w:t>
      </w:r>
      <w:r>
        <w:t xml:space="preserve"> un groupe armé d’opposition à El</w:t>
      </w:r>
      <w:r w:rsidR="00381E23">
        <w:t> </w:t>
      </w:r>
      <w:r>
        <w:t>Aouana, le capitaine B.</w:t>
      </w:r>
      <w:r w:rsidRPr="00207A15">
        <w:t xml:space="preserve"> et les gendarmes (darkis) sous ses ordres ont emmené </w:t>
      </w:r>
      <w:r>
        <w:t>Fateh</w:t>
      </w:r>
      <w:r w:rsidR="00381E23">
        <w:t> </w:t>
      </w:r>
      <w:r>
        <w:t xml:space="preserve">Dafar </w:t>
      </w:r>
      <w:r w:rsidRPr="00207A15">
        <w:t>ainsi que six autres détenus du siège de leur b</w:t>
      </w:r>
      <w:r>
        <w:t>rigade à la plage de Chalate, à E</w:t>
      </w:r>
      <w:r w:rsidRPr="00207A15">
        <w:t>l</w:t>
      </w:r>
      <w:r w:rsidR="00381E23">
        <w:t> </w:t>
      </w:r>
      <w:r w:rsidRPr="00207A15">
        <w:t>Aouana. Le déplacement des détenus s</w:t>
      </w:r>
      <w:r>
        <w:t>’</w:t>
      </w:r>
      <w:r w:rsidRPr="00207A15">
        <w:t>est effectué au vu et au su de nombreux habitants de la commune. Plusieurs personnes présentes à proximité de la plage cette nuit-là ont assisté à l</w:t>
      </w:r>
      <w:r>
        <w:t>’</w:t>
      </w:r>
      <w:r w:rsidRPr="00207A15">
        <w:t>exécution sommaire des sept détenus</w:t>
      </w:r>
      <w:r>
        <w:t xml:space="preserve"> par le capitaine B. et les gendarmes l’</w:t>
      </w:r>
      <w:r w:rsidRPr="00207A15">
        <w:t>accompagnant</w:t>
      </w:r>
      <w:r>
        <w:t>, qui ont abandonné les corps sur place.</w:t>
      </w:r>
    </w:p>
    <w:p w14:paraId="6A91A2C0" w14:textId="77777777" w:rsidR="0095715A" w:rsidRPr="00055409" w:rsidRDefault="0095715A" w:rsidP="0095715A">
      <w:pPr>
        <w:pStyle w:val="SingleTxtG"/>
        <w:rPr>
          <w:rFonts w:eastAsia="Calibri"/>
        </w:rPr>
      </w:pPr>
      <w:r>
        <w:t>2.5</w:t>
      </w:r>
      <w:r w:rsidRPr="00410779">
        <w:tab/>
      </w:r>
      <w:r w:rsidRPr="00207A15">
        <w:t xml:space="preserve">Le </w:t>
      </w:r>
      <w:r>
        <w:t>matin</w:t>
      </w:r>
      <w:r w:rsidRPr="00E63B43">
        <w:t xml:space="preserve"> </w:t>
      </w:r>
      <w:r>
        <w:t xml:space="preserve">du </w:t>
      </w:r>
      <w:r w:rsidRPr="004755CB">
        <w:t>4</w:t>
      </w:r>
      <w:r>
        <w:t> </w:t>
      </w:r>
      <w:r w:rsidRPr="004755CB">
        <w:t>février</w:t>
      </w:r>
      <w:r>
        <w:t> </w:t>
      </w:r>
      <w:r w:rsidRPr="004755CB">
        <w:t>1995</w:t>
      </w:r>
      <w:r w:rsidRPr="00207A15">
        <w:t>, des agents de la protection civile et des pompiers sont arrivés sur les lieux pour récupérer les dépouilles sous la surveillance de gendarmes. Ils les ont ensuite transportées à l</w:t>
      </w:r>
      <w:r>
        <w:t>a morgue de l’hôpital de Jijel. Alertés par</w:t>
      </w:r>
      <w:r w:rsidRPr="004755CB">
        <w:t xml:space="preserve"> certains témoins de la scène, </w:t>
      </w:r>
      <w:r>
        <w:t>l</w:t>
      </w:r>
      <w:r w:rsidRPr="004755CB">
        <w:t xml:space="preserve">e </w:t>
      </w:r>
      <w:r>
        <w:t xml:space="preserve">même matin, </w:t>
      </w:r>
      <w:r w:rsidRPr="004755CB">
        <w:t xml:space="preserve">plusieurs membres de la famille de </w:t>
      </w:r>
      <w:r>
        <w:t>Fateh</w:t>
      </w:r>
      <w:r w:rsidR="00381E23">
        <w:t> </w:t>
      </w:r>
      <w:r>
        <w:t>Dafar, dont l’auteur,</w:t>
      </w:r>
      <w:r w:rsidRPr="004755CB">
        <w:t xml:space="preserve"> se sont rendus à</w:t>
      </w:r>
      <w:r>
        <w:t xml:space="preserve"> la morgue avec les familles de trois autres des détenus afin d’identifier leurs enfants</w:t>
      </w:r>
      <w:r w:rsidRPr="004755CB">
        <w:t>.</w:t>
      </w:r>
      <w:r w:rsidRPr="00F83636">
        <w:t xml:space="preserve"> Le docteur T.</w:t>
      </w:r>
      <w:r>
        <w:t> </w:t>
      </w:r>
      <w:r w:rsidRPr="00F83636">
        <w:t>A. du secteur sanitaire de Jijel a rédigé un constat de décès concernant une seule des sept victimes</w:t>
      </w:r>
      <w:r>
        <w:t>,</w:t>
      </w:r>
      <w:r w:rsidRPr="00F83636">
        <w:t xml:space="preserve"> à la demande du père de celle-ci. Ce certificat</w:t>
      </w:r>
      <w:r>
        <w:t>,</w:t>
      </w:r>
      <w:r w:rsidRPr="00F83636">
        <w:t xml:space="preserve"> daté du 4</w:t>
      </w:r>
      <w:r w:rsidR="00381E23">
        <w:t> </w:t>
      </w:r>
      <w:r w:rsidRPr="00F83636">
        <w:t>février 1995</w:t>
      </w:r>
      <w:r>
        <w:t>,</w:t>
      </w:r>
      <w:r w:rsidRPr="00F83636">
        <w:t xml:space="preserve"> atteste du décès violent de cette personne dont la boîte crânienne était « complètement défoncée » et qui </w:t>
      </w:r>
      <w:r>
        <w:t>présentait</w:t>
      </w:r>
      <w:r w:rsidRPr="00F83636">
        <w:t xml:space="preserve"> une plaie </w:t>
      </w:r>
      <w:r>
        <w:t>par balle</w:t>
      </w:r>
      <w:r w:rsidRPr="00F83636">
        <w:t xml:space="preserve"> au niveau du thorax</w:t>
      </w:r>
      <w:r w:rsidRPr="001C7E21">
        <w:rPr>
          <w:sz w:val="18"/>
          <w:szCs w:val="18"/>
          <w:vertAlign w:val="superscript"/>
        </w:rPr>
        <w:footnoteReference w:id="5"/>
      </w:r>
      <w:r w:rsidRPr="00F83636">
        <w:t>. Étant donné que le fils de l</w:t>
      </w:r>
      <w:r>
        <w:t>’</w:t>
      </w:r>
      <w:r w:rsidRPr="00F83636">
        <w:t>auteur a été exécuté en même temps, ce constat peut lui être appliqué</w:t>
      </w:r>
      <w:r>
        <w:t xml:space="preserve"> </w:t>
      </w:r>
      <w:r w:rsidRPr="00F83636">
        <w:t>par analogie</w:t>
      </w:r>
      <w:r>
        <w:t>.</w:t>
      </w:r>
    </w:p>
    <w:p w14:paraId="701D8F9E" w14:textId="77777777" w:rsidR="0095715A" w:rsidRPr="00410779" w:rsidRDefault="0095715A" w:rsidP="0095715A">
      <w:pPr>
        <w:pStyle w:val="SingleTxtG"/>
      </w:pPr>
      <w:r>
        <w:t>2.6</w:t>
      </w:r>
      <w:r>
        <w:tab/>
      </w:r>
      <w:r w:rsidRPr="004D25EA">
        <w:t xml:space="preserve">Les familles des quatre victimes identifiées se sont ensuite rendues ensemble au tribunal de Jijel pour saisir le </w:t>
      </w:r>
      <w:r>
        <w:t>P</w:t>
      </w:r>
      <w:r w:rsidRPr="004D25EA">
        <w:t xml:space="preserve">rocureur de la République </w:t>
      </w:r>
      <w:r>
        <w:t>et exiger l’ouverture d’une enquête. Le P</w:t>
      </w:r>
      <w:r w:rsidRPr="004D25EA">
        <w:t xml:space="preserve">rocureur a </w:t>
      </w:r>
      <w:r>
        <w:t xml:space="preserve">toutefois </w:t>
      </w:r>
      <w:r w:rsidRPr="004D25EA">
        <w:t>refusé, « considérant qu</w:t>
      </w:r>
      <w:r>
        <w:t>’</w:t>
      </w:r>
      <w:r w:rsidRPr="004D25EA">
        <w:t>il n</w:t>
      </w:r>
      <w:r>
        <w:t>’</w:t>
      </w:r>
      <w:r w:rsidRPr="004D25EA">
        <w:t>était pas utile pour l</w:t>
      </w:r>
      <w:r>
        <w:t>’</w:t>
      </w:r>
      <w:r w:rsidRPr="004D25EA">
        <w:t>établissement de la vérité de reporter l</w:t>
      </w:r>
      <w:r>
        <w:t>’</w:t>
      </w:r>
      <w:r w:rsidRPr="004D25EA">
        <w:t>inhumation des dépouilles »</w:t>
      </w:r>
      <w:r>
        <w:t>. Il</w:t>
      </w:r>
      <w:r w:rsidRPr="004D25EA">
        <w:t xml:space="preserve"> a donc délivré</w:t>
      </w:r>
      <w:r>
        <w:t xml:space="preserve"> </w:t>
      </w:r>
      <w:r w:rsidRPr="004D25EA">
        <w:t>un permis</w:t>
      </w:r>
      <w:r>
        <w:t xml:space="preserve"> d’inhumation de </w:t>
      </w:r>
      <w:r w:rsidRPr="00F80F85">
        <w:t>Fateh</w:t>
      </w:r>
      <w:r w:rsidR="00381E23">
        <w:t> </w:t>
      </w:r>
      <w:r w:rsidRPr="00F80F85">
        <w:t>Dafar</w:t>
      </w:r>
      <w:r>
        <w:t xml:space="preserve"> le 7</w:t>
      </w:r>
      <w:r w:rsidR="00381E23">
        <w:t> </w:t>
      </w:r>
      <w:r w:rsidRPr="004D25EA">
        <w:t>février 1995</w:t>
      </w:r>
      <w:r>
        <w:rPr>
          <w:rStyle w:val="Appelnotedebasdep"/>
        </w:rPr>
        <w:footnoteReference w:id="6"/>
      </w:r>
      <w:r w:rsidRPr="004D25EA">
        <w:t xml:space="preserve">, soit quatre jours après </w:t>
      </w:r>
      <w:r>
        <w:t>son</w:t>
      </w:r>
      <w:r w:rsidRPr="004D25EA">
        <w:t xml:space="preserve"> exécution, </w:t>
      </w:r>
      <w:r>
        <w:t xml:space="preserve">sans </w:t>
      </w:r>
      <w:r w:rsidRPr="004D25EA">
        <w:t xml:space="preserve">ordonner </w:t>
      </w:r>
      <w:r>
        <w:t>d’</w:t>
      </w:r>
      <w:r w:rsidRPr="004D25EA">
        <w:t>autopsie</w:t>
      </w:r>
      <w:r>
        <w:t xml:space="preserve">, et sans </w:t>
      </w:r>
      <w:r w:rsidRPr="004D25EA">
        <w:t xml:space="preserve">ouvrir </w:t>
      </w:r>
      <w:r>
        <w:t>d’</w:t>
      </w:r>
      <w:r w:rsidRPr="004D25EA">
        <w:t>enquête pénale</w:t>
      </w:r>
      <w:r>
        <w:t>, en violation de la loi algérienne qui</w:t>
      </w:r>
      <w:r w:rsidRPr="004D25EA">
        <w:t xml:space="preserve"> l</w:t>
      </w:r>
      <w:r>
        <w:t>’</w:t>
      </w:r>
      <w:r w:rsidRPr="004D25EA">
        <w:t>y oblige en cas d</w:t>
      </w:r>
      <w:r>
        <w:t>’</w:t>
      </w:r>
      <w:r w:rsidRPr="004D25EA">
        <w:t xml:space="preserve">homicide. Le même jour, le chef de la sûreté de police de la </w:t>
      </w:r>
      <w:r>
        <w:t>w</w:t>
      </w:r>
      <w:r w:rsidRPr="004D25EA">
        <w:t xml:space="preserve">ilaya de Jijel a rédigé un </w:t>
      </w:r>
      <w:r w:rsidRPr="004D25EA">
        <w:lastRenderedPageBreak/>
        <w:t xml:space="preserve">procès-verbal </w:t>
      </w:r>
      <w:r>
        <w:t>d’</w:t>
      </w:r>
      <w:r w:rsidRPr="004D25EA">
        <w:t>inhumation</w:t>
      </w:r>
      <w:r>
        <w:t>,</w:t>
      </w:r>
      <w:r w:rsidRPr="004D25EA">
        <w:t xml:space="preserve"> et la Direction de l</w:t>
      </w:r>
      <w:r>
        <w:t>’</w:t>
      </w:r>
      <w:r w:rsidRPr="004D25EA">
        <w:t>organisation et de l</w:t>
      </w:r>
      <w:r>
        <w:t>’</w:t>
      </w:r>
      <w:r w:rsidRPr="004D25EA">
        <w:t>administration a autorisé le transport de</w:t>
      </w:r>
      <w:r>
        <w:t xml:space="preserve"> la</w:t>
      </w:r>
      <w:r w:rsidRPr="004D25EA">
        <w:t xml:space="preserve"> dépouille de l</w:t>
      </w:r>
      <w:r>
        <w:t>’</w:t>
      </w:r>
      <w:r w:rsidRPr="004D25EA">
        <w:t>hôpital jusqu</w:t>
      </w:r>
      <w:r>
        <w:t>’</w:t>
      </w:r>
      <w:r w:rsidRPr="004D25EA">
        <w:t>au lieu d</w:t>
      </w:r>
      <w:r>
        <w:t>’</w:t>
      </w:r>
      <w:r w:rsidRPr="004D25EA">
        <w:t>enterrement</w:t>
      </w:r>
      <w:r>
        <w:rPr>
          <w:rStyle w:val="Appelnotedebasdep"/>
        </w:rPr>
        <w:footnoteReference w:id="7"/>
      </w:r>
      <w:r w:rsidRPr="004D25EA">
        <w:t>.</w:t>
      </w:r>
    </w:p>
    <w:p w14:paraId="391B8182" w14:textId="77777777" w:rsidR="0095715A" w:rsidRPr="00410779" w:rsidRDefault="0095715A" w:rsidP="0095715A">
      <w:pPr>
        <w:pStyle w:val="SingleTxtG"/>
      </w:pPr>
      <w:r>
        <w:t>2.7</w:t>
      </w:r>
      <w:r w:rsidRPr="00410779">
        <w:tab/>
      </w:r>
      <w:r w:rsidRPr="00D73CFC">
        <w:t>Le 5</w:t>
      </w:r>
      <w:r w:rsidR="00381E23">
        <w:t> </w:t>
      </w:r>
      <w:r w:rsidRPr="00D73CFC">
        <w:t>septembre 2000, en l</w:t>
      </w:r>
      <w:r>
        <w:t>’</w:t>
      </w:r>
      <w:r w:rsidRPr="00D73CFC">
        <w:t>absence d</w:t>
      </w:r>
      <w:r>
        <w:t>’</w:t>
      </w:r>
      <w:r w:rsidRPr="00D73CFC">
        <w:t>enquête adéquate et diligente sur les circonstances et les causes du décès de son fils, l</w:t>
      </w:r>
      <w:r>
        <w:t>’</w:t>
      </w:r>
      <w:r w:rsidRPr="00D73CFC">
        <w:t xml:space="preserve">auteur a écrit au Ministre de la </w:t>
      </w:r>
      <w:r>
        <w:t>j</w:t>
      </w:r>
      <w:r w:rsidRPr="00D73CFC">
        <w:t>ustice pour solliciter son intervention</w:t>
      </w:r>
      <w:r>
        <w:t xml:space="preserve"> auprès des autorités compétentes, afin d’engager des investigations et d’identifier et de poursuivre les personnes responsables</w:t>
      </w:r>
      <w:r w:rsidRPr="00D73CFC">
        <w:t xml:space="preserve">. </w:t>
      </w:r>
      <w:r>
        <w:t>C</w:t>
      </w:r>
      <w:r w:rsidRPr="00D73CFC">
        <w:t>ette démarche est</w:t>
      </w:r>
      <w:r>
        <w:t xml:space="preserve"> elle aussi</w:t>
      </w:r>
      <w:r w:rsidRPr="00D73CFC">
        <w:t xml:space="preserve"> restée vaine. Le 5</w:t>
      </w:r>
      <w:r w:rsidR="00381E23">
        <w:t> </w:t>
      </w:r>
      <w:r w:rsidRPr="00D73CFC">
        <w:t xml:space="preserve">mai 2006, </w:t>
      </w:r>
      <w:r>
        <w:t>à la suite d’</w:t>
      </w:r>
      <w:r w:rsidRPr="00D73CFC">
        <w:t>une requête déposée par l</w:t>
      </w:r>
      <w:r>
        <w:t>’</w:t>
      </w:r>
      <w:r w:rsidRPr="00D73CFC">
        <w:t>auteur demandant que lumière soit faite sur le décès de son fils, un officier du groupement</w:t>
      </w:r>
      <w:r>
        <w:t xml:space="preserve"> de la gendarmerie nationale d’E</w:t>
      </w:r>
      <w:r w:rsidRPr="00D73CFC">
        <w:t>l</w:t>
      </w:r>
      <w:r w:rsidR="00381E23">
        <w:t> </w:t>
      </w:r>
      <w:r>
        <w:t xml:space="preserve">Aouana </w:t>
      </w:r>
      <w:r w:rsidR="00381E23">
        <w:t>− </w:t>
      </w:r>
      <w:r w:rsidRPr="00D73CFC">
        <w:t>l</w:t>
      </w:r>
      <w:r>
        <w:t>’</w:t>
      </w:r>
      <w:r w:rsidRPr="00D73CFC">
        <w:t>unité même qui a procédé à l</w:t>
      </w:r>
      <w:r>
        <w:t>’exécution sommaire au cours de laquelle Fateh</w:t>
      </w:r>
      <w:r w:rsidR="00381E23">
        <w:t> </w:t>
      </w:r>
      <w:r>
        <w:t>Dafar a été tué</w:t>
      </w:r>
      <w:r w:rsidR="00381E23">
        <w:t> −</w:t>
      </w:r>
      <w:r>
        <w:t xml:space="preserve"> a délivré un « procès-verbal de </w:t>
      </w:r>
      <w:r w:rsidRPr="00D73CFC">
        <w:t>constat de disparition dans les circonstances découlant de la tragédie nationale »</w:t>
      </w:r>
      <w:r>
        <w:rPr>
          <w:rStyle w:val="Appelnotedebasdep"/>
        </w:rPr>
        <w:footnoteReference w:id="8"/>
      </w:r>
      <w:r w:rsidRPr="00D73CFC">
        <w:t xml:space="preserve">. </w:t>
      </w:r>
      <w:r>
        <w:t>L’auteur considère qu’</w:t>
      </w:r>
      <w:r w:rsidRPr="00D73CFC">
        <w:t>un tel document constitue un faux en écriture publique</w:t>
      </w:r>
      <w:r>
        <w:t>, crime</w:t>
      </w:r>
      <w:r w:rsidRPr="00D73CFC">
        <w:t xml:space="preserve"> </w:t>
      </w:r>
      <w:r>
        <w:t>passible de réclusion perpétuelle au titre de l’article</w:t>
      </w:r>
      <w:r w:rsidR="00381E23">
        <w:t> </w:t>
      </w:r>
      <w:r>
        <w:t>215 du C</w:t>
      </w:r>
      <w:r w:rsidRPr="00D73CFC">
        <w:t>ode pénal. Le 13</w:t>
      </w:r>
      <w:r w:rsidR="00381E23">
        <w:t> </w:t>
      </w:r>
      <w:r w:rsidRPr="00D73CFC">
        <w:t>janvier 2007</w:t>
      </w:r>
      <w:r>
        <w:t>, s</w:t>
      </w:r>
      <w:r w:rsidRPr="00D73CFC">
        <w:t>ur insistance de l</w:t>
      </w:r>
      <w:r>
        <w:t>’</w:t>
      </w:r>
      <w:r w:rsidRPr="00D73CFC">
        <w:t xml:space="preserve">auteur, le même officier a délivré </w:t>
      </w:r>
      <w:r>
        <w:t>un certificat de décès au nom de son</w:t>
      </w:r>
      <w:r w:rsidRPr="00D73CFC">
        <w:t xml:space="preserve"> fils, sans pour autant indiquer les </w:t>
      </w:r>
      <w:r>
        <w:t xml:space="preserve">causes et les </w:t>
      </w:r>
      <w:r w:rsidRPr="00D73CFC">
        <w:t>circonstances du décès</w:t>
      </w:r>
      <w:r>
        <w:rPr>
          <w:rStyle w:val="Appelnotedebasdep"/>
        </w:rPr>
        <w:footnoteReference w:id="9"/>
      </w:r>
      <w:r w:rsidRPr="00D73CFC">
        <w:t>.</w:t>
      </w:r>
    </w:p>
    <w:p w14:paraId="6F441B49" w14:textId="77777777" w:rsidR="0095715A" w:rsidRDefault="0095715A" w:rsidP="0095715A">
      <w:pPr>
        <w:pStyle w:val="SingleTxtG"/>
      </w:pPr>
      <w:r w:rsidRPr="00410779">
        <w:t>2</w:t>
      </w:r>
      <w:r>
        <w:t>.8</w:t>
      </w:r>
      <w:r w:rsidRPr="00410779">
        <w:tab/>
      </w:r>
      <w:r w:rsidRPr="00590872">
        <w:t>Malgr</w:t>
      </w:r>
      <w:r>
        <w:t>é tous les efforts de l’auteur</w:t>
      </w:r>
      <w:r w:rsidRPr="00590872">
        <w:t>, aucune enquête n</w:t>
      </w:r>
      <w:r>
        <w:t>’</w:t>
      </w:r>
      <w:r w:rsidRPr="00590872">
        <w:t>a été menée et les responsables de l</w:t>
      </w:r>
      <w:r>
        <w:t>’</w:t>
      </w:r>
      <w:r w:rsidRPr="00590872">
        <w:t xml:space="preserve">exécution de </w:t>
      </w:r>
      <w:r>
        <w:t xml:space="preserve">son fils </w:t>
      </w:r>
      <w:r w:rsidRPr="00590872">
        <w:t>n</w:t>
      </w:r>
      <w:r>
        <w:t>’</w:t>
      </w:r>
      <w:r w:rsidRPr="00590872">
        <w:t>ont pas été inquiétés</w:t>
      </w:r>
      <w:r>
        <w:rPr>
          <w:rStyle w:val="Appelnotedebasdep"/>
        </w:rPr>
        <w:footnoteReference w:id="10"/>
      </w:r>
      <w:r w:rsidRPr="00590872">
        <w:t>. L</w:t>
      </w:r>
      <w:r>
        <w:t>’</w:t>
      </w:r>
      <w:r w:rsidRPr="00590872">
        <w:t>auteur souligne qu</w:t>
      </w:r>
      <w:r>
        <w:t>’</w:t>
      </w:r>
      <w:r w:rsidRPr="00590872">
        <w:t xml:space="preserve">il </w:t>
      </w:r>
      <w:r>
        <w:t>lui est</w:t>
      </w:r>
      <w:r w:rsidRPr="00590872">
        <w:t xml:space="preserve"> aujourd</w:t>
      </w:r>
      <w:r>
        <w:t>’</w:t>
      </w:r>
      <w:r w:rsidRPr="00590872">
        <w:t xml:space="preserve">hui </w:t>
      </w:r>
      <w:r>
        <w:t>impossible légalement</w:t>
      </w:r>
      <w:r w:rsidRPr="00590872">
        <w:t xml:space="preserve"> de recourir à une instance judiciaire</w:t>
      </w:r>
      <w:r>
        <w:t>,</w:t>
      </w:r>
      <w:r w:rsidRPr="00590872">
        <w:t xml:space="preserve"> après la promulgation de l</w:t>
      </w:r>
      <w:r>
        <w:t>’</w:t>
      </w:r>
      <w:r w:rsidRPr="00590872">
        <w:t>ordonnance n</w:t>
      </w:r>
      <w:r w:rsidRPr="00590872">
        <w:rPr>
          <w:vertAlign w:val="superscript"/>
        </w:rPr>
        <w:t>o</w:t>
      </w:r>
      <w:r w:rsidR="00381E23">
        <w:t> </w:t>
      </w:r>
      <w:r w:rsidRPr="00590872">
        <w:t xml:space="preserve">06-01 </w:t>
      </w:r>
      <w:r>
        <w:t xml:space="preserve">du 27 février 2006 </w:t>
      </w:r>
      <w:r w:rsidRPr="00590872">
        <w:t>portant mise en œuvre de la Charte pour la paix et la réconciliation nationale</w:t>
      </w:r>
      <w:r>
        <w:t>. L</w:t>
      </w:r>
      <w:r w:rsidRPr="00590872">
        <w:t>es recours internes</w:t>
      </w:r>
      <w:r>
        <w:t>,</w:t>
      </w:r>
      <w:r w:rsidRPr="00590872">
        <w:t xml:space="preserve"> </w:t>
      </w:r>
      <w:r>
        <w:t xml:space="preserve">qui </w:t>
      </w:r>
      <w:r w:rsidRPr="00590872">
        <w:t>ont été inutiles et inefficaces</w:t>
      </w:r>
      <w:r>
        <w:t>,</w:t>
      </w:r>
      <w:r w:rsidRPr="00590872">
        <w:t xml:space="preserve"> sont </w:t>
      </w:r>
      <w:r>
        <w:t xml:space="preserve">donc </w:t>
      </w:r>
      <w:r w:rsidRPr="00590872">
        <w:t>en plus devenus totalement indisponibles. La Charte pour la paix et la réconciliation nationale dispose que « nul, en Algérie ou à l</w:t>
      </w:r>
      <w:r>
        <w:t>’</w:t>
      </w:r>
      <w:r w:rsidRPr="00590872">
        <w:t>étranger, n</w:t>
      </w:r>
      <w:r>
        <w:t>’</w:t>
      </w:r>
      <w:r w:rsidRPr="00590872">
        <w:t>est habilité à utiliser ou à instrumentaliser les blessures de la tragédie nationale pour porter atteinte aux institutions de la République algérienne démocratique et populaire, fragiliser l</w:t>
      </w:r>
      <w:r>
        <w:t>’</w:t>
      </w:r>
      <w:r w:rsidRPr="00590872">
        <w:t>État, nuire à l</w:t>
      </w:r>
      <w:r>
        <w:t>’</w:t>
      </w:r>
      <w:r w:rsidRPr="00590872">
        <w:t>honorabilité de tous ses agents qui l</w:t>
      </w:r>
      <w:r>
        <w:t>’</w:t>
      </w:r>
      <w:r w:rsidRPr="00590872">
        <w:t>ont dignement servie, ou ternir l</w:t>
      </w:r>
      <w:r>
        <w:t>’</w:t>
      </w:r>
      <w:r w:rsidRPr="00590872">
        <w:t>image de l</w:t>
      </w:r>
      <w:r>
        <w:t>’</w:t>
      </w:r>
      <w:r w:rsidRPr="00590872">
        <w:t>Algérie sur le plan international » et rejette « toute allégation visant à faire endosser par l</w:t>
      </w:r>
      <w:r>
        <w:t>’</w:t>
      </w:r>
      <w:r w:rsidRPr="00590872">
        <w:t>État la responsabilité d</w:t>
      </w:r>
      <w:r>
        <w:t>’</w:t>
      </w:r>
      <w:r w:rsidRPr="00590872">
        <w:t xml:space="preserve">un phénomène délibéré de disparition ». </w:t>
      </w:r>
      <w:r>
        <w:t>La</w:t>
      </w:r>
      <w:r w:rsidRPr="00590872">
        <w:t xml:space="preserve"> Charte </w:t>
      </w:r>
      <w:r>
        <w:t>indique en outre</w:t>
      </w:r>
      <w:r w:rsidRPr="00590872">
        <w:t xml:space="preserve"> que « les actes répréhensibles d</w:t>
      </w:r>
      <w:r>
        <w:t>’</w:t>
      </w:r>
      <w:r w:rsidRPr="00590872">
        <w:t>agents de l</w:t>
      </w:r>
      <w:r>
        <w:t>’</w:t>
      </w:r>
      <w:r w:rsidRPr="00590872">
        <w:t>État</w:t>
      </w:r>
      <w:r>
        <w:t>,</w:t>
      </w:r>
      <w:r w:rsidRPr="00590872">
        <w:t xml:space="preserve"> qui ont été sanctionnés par la justice chaque fois qu</w:t>
      </w:r>
      <w:r>
        <w:t>’</w:t>
      </w:r>
      <w:r w:rsidRPr="00590872">
        <w:t>ils ont été établis, ne sauraient servir de prétexte pour jeter le discrédit sur l</w:t>
      </w:r>
      <w:r>
        <w:t>’</w:t>
      </w:r>
      <w:r w:rsidRPr="00590872">
        <w:t>ensemble des forces de l</w:t>
      </w:r>
      <w:r>
        <w:t>’</w:t>
      </w:r>
      <w:r w:rsidRPr="00590872">
        <w:t>ordre qui ont accompli leur devoir, avec l</w:t>
      </w:r>
      <w:r>
        <w:t>’</w:t>
      </w:r>
      <w:r w:rsidRPr="00590872">
        <w:t>appui des citoyens et au service de la Patrie ».</w:t>
      </w:r>
    </w:p>
    <w:p w14:paraId="22D7AF2A" w14:textId="77777777" w:rsidR="0095715A" w:rsidRDefault="0095715A" w:rsidP="0095715A">
      <w:pPr>
        <w:pStyle w:val="SingleTxtG"/>
      </w:pPr>
      <w:r>
        <w:t>2.9</w:t>
      </w:r>
      <w:r>
        <w:tab/>
        <w:t xml:space="preserve">Selon l’auteur, </w:t>
      </w:r>
      <w:r w:rsidRPr="00590872">
        <w:t>l</w:t>
      </w:r>
      <w:r>
        <w:t>’</w:t>
      </w:r>
      <w:r w:rsidRPr="00590872">
        <w:t>ordonnance n</w:t>
      </w:r>
      <w:r w:rsidRPr="009914E7">
        <w:rPr>
          <w:vertAlign w:val="superscript"/>
        </w:rPr>
        <w:t>o</w:t>
      </w:r>
      <w:r>
        <w:t> </w:t>
      </w:r>
      <w:r w:rsidRPr="00590872">
        <w:t>06-01 interdit sous peine de poursuites pénales le recours à la justice, ce qui dispense les victimes de la nécessité d</w:t>
      </w:r>
      <w:r>
        <w:t>’</w:t>
      </w:r>
      <w:r w:rsidRPr="00590872">
        <w:t>épuiser les voies de recours internes. Cette ordonnance interdit en effet toute plainte pour disparition ou autre crime, son article</w:t>
      </w:r>
      <w:r w:rsidR="00381E23">
        <w:t> </w:t>
      </w:r>
      <w:r w:rsidRPr="00590872">
        <w:t>45 disposant qu</w:t>
      </w:r>
      <w:r>
        <w:t>’</w:t>
      </w:r>
      <w:r w:rsidRPr="00590872">
        <w:t>« </w:t>
      </w:r>
      <w:r>
        <w:t>[</w:t>
      </w:r>
      <w:r w:rsidRPr="00590872">
        <w:t>a</w:t>
      </w:r>
      <w:r>
        <w:t>]</w:t>
      </w:r>
      <w:r w:rsidRPr="00590872">
        <w:t>ucune poursuite ne peut être engagée, à titre individuel ou collectif, à l</w:t>
      </w:r>
      <w:r>
        <w:t>’</w:t>
      </w:r>
      <w:r w:rsidRPr="00590872">
        <w:t xml:space="preserve">encontre des éléments des forces de défense et de sécurité de la République, toutes composantes confondues, pour des actions menées en vue de la protection des personnes et des biens, de la sauvegarde de la Nation et de la préservation des institutions de la République algérienne démocratique et populaire ». </w:t>
      </w:r>
      <w:r>
        <w:t>E</w:t>
      </w:r>
      <w:r w:rsidRPr="00590872">
        <w:t xml:space="preserve">n vertu de cette disposition, </w:t>
      </w:r>
      <w:r>
        <w:t>t</w:t>
      </w:r>
      <w:r w:rsidRPr="00590872">
        <w:t xml:space="preserve">oute dénonciation ou </w:t>
      </w:r>
      <w:r w:rsidRPr="0010467F">
        <w:t>plainte</w:t>
      </w:r>
      <w:r w:rsidRPr="00590872">
        <w:t xml:space="preserve"> doit être déclarée irrecevable par l</w:t>
      </w:r>
      <w:r>
        <w:t>’</w:t>
      </w:r>
      <w:r w:rsidRPr="00590872">
        <w:t>autorité judiciaire</w:t>
      </w:r>
      <w:r>
        <w:t xml:space="preserve"> compétente. De plus, l’article</w:t>
      </w:r>
      <w:r w:rsidR="00E307F3">
        <w:t> </w:t>
      </w:r>
      <w:r w:rsidRPr="00590872">
        <w:t xml:space="preserve">46 de la même ordonnance prévoit </w:t>
      </w:r>
      <w:r>
        <w:t xml:space="preserve">ce qui suit : </w:t>
      </w:r>
      <w:r w:rsidRPr="00590872">
        <w:t>« </w:t>
      </w:r>
      <w:r>
        <w:t>E</w:t>
      </w:r>
      <w:r w:rsidRPr="00590872">
        <w:t>st puni d</w:t>
      </w:r>
      <w:r>
        <w:t>’</w:t>
      </w:r>
      <w:r w:rsidRPr="00590872">
        <w:t>un emprisonnement de trois (3) ans à cinq (5) ans et d</w:t>
      </w:r>
      <w:r>
        <w:t>’</w:t>
      </w:r>
      <w:r w:rsidRPr="00590872">
        <w:t>une amende de 250 000 à 500</w:t>
      </w:r>
      <w:r>
        <w:t> 000 [dinars algériens]</w:t>
      </w:r>
      <w:r w:rsidRPr="00590872">
        <w:t>, quiconque qui, par ses déclarations, écrits ou tout autre acte, utilise ou instrumentalise les blessures de la tragédie nationale pour porter atteinte aux institutions de la République algérienne démocratique et populaire, fragiliser l</w:t>
      </w:r>
      <w:r>
        <w:t>’</w:t>
      </w:r>
      <w:r w:rsidRPr="00590872">
        <w:t>État, nuire à l</w:t>
      </w:r>
      <w:r>
        <w:t>’</w:t>
      </w:r>
      <w:r w:rsidRPr="00590872">
        <w:t>honorabilité de ses agents qui l</w:t>
      </w:r>
      <w:r>
        <w:t>’</w:t>
      </w:r>
      <w:r w:rsidRPr="00590872">
        <w:t>ont dignement servie, ou ternir l</w:t>
      </w:r>
      <w:r>
        <w:t>’</w:t>
      </w:r>
      <w:r w:rsidRPr="00590872">
        <w:t>image de l</w:t>
      </w:r>
      <w:r>
        <w:t>’</w:t>
      </w:r>
      <w:r w:rsidRPr="00590872">
        <w:t>Algérie sur le plan international. Les poursuites pénales sont engagées d</w:t>
      </w:r>
      <w:r>
        <w:t>’</w:t>
      </w:r>
      <w:r w:rsidRPr="00590872">
        <w:t xml:space="preserve">office par le ministère public. En cas de récidive, la peine prévue </w:t>
      </w:r>
      <w:r>
        <w:t>au présent</w:t>
      </w:r>
      <w:r w:rsidRPr="00590872">
        <w:t xml:space="preserve"> article est </w:t>
      </w:r>
      <w:r>
        <w:t>portée au double</w:t>
      </w:r>
      <w:r w:rsidRPr="00590872">
        <w:t>.</w:t>
      </w:r>
      <w:r>
        <w:t> »</w:t>
      </w:r>
      <w:r w:rsidR="00E307F3">
        <w:t>.</w:t>
      </w:r>
    </w:p>
    <w:p w14:paraId="4767AA9C" w14:textId="77777777" w:rsidR="0095715A" w:rsidRPr="00410779" w:rsidRDefault="0095715A" w:rsidP="0095715A">
      <w:pPr>
        <w:pStyle w:val="SingleTxtG"/>
      </w:pPr>
      <w:r w:rsidRPr="00E307F3">
        <w:lastRenderedPageBreak/>
        <w:t>2.10</w:t>
      </w:r>
      <w:r w:rsidRPr="00E307F3">
        <w:tab/>
        <w:t>L’auteur ajoute que cette loi amnistie de fait les crimes commis durant la décennie passée, y compris le</w:t>
      </w:r>
      <w:r w:rsidRPr="00590872">
        <w:t xml:space="preserve">s crimes les plus graves comme les exécutions sommaires. </w:t>
      </w:r>
      <w:r>
        <w:t>Elle</w:t>
      </w:r>
      <w:r w:rsidRPr="00590872">
        <w:t xml:space="preserve"> interdit </w:t>
      </w:r>
      <w:r>
        <w:t>aussi</w:t>
      </w:r>
      <w:r w:rsidRPr="00590872">
        <w:t>, sous peine d</w:t>
      </w:r>
      <w:r>
        <w:t>’</w:t>
      </w:r>
      <w:r w:rsidRPr="00590872">
        <w:t>emprisonnement, le recours à la justice pour faire la lumière sur le sort des victimes</w:t>
      </w:r>
      <w:r w:rsidRPr="001C7E21">
        <w:rPr>
          <w:sz w:val="18"/>
          <w:szCs w:val="18"/>
          <w:vertAlign w:val="superscript"/>
        </w:rPr>
        <w:footnoteReference w:id="11"/>
      </w:r>
      <w:r w:rsidRPr="00590872">
        <w:t xml:space="preserve">. </w:t>
      </w:r>
      <w:r>
        <w:t>L</w:t>
      </w:r>
      <w:r w:rsidRPr="00590872">
        <w:t>es autorités algériennes, y compris judiciaires, refusent manifestement</w:t>
      </w:r>
      <w:r>
        <w:t xml:space="preserve"> d’établir la responsabilité de la gendarmerie nationale</w:t>
      </w:r>
      <w:r w:rsidRPr="00590872">
        <w:t xml:space="preserve">, </w:t>
      </w:r>
      <w:r>
        <w:t>dont les agents ont commis</w:t>
      </w:r>
      <w:r w:rsidRPr="00590872">
        <w:t xml:space="preserve"> l</w:t>
      </w:r>
      <w:r>
        <w:t>’</w:t>
      </w:r>
      <w:r w:rsidRPr="00590872">
        <w:t>exécutio</w:t>
      </w:r>
      <w:r>
        <w:t>n sommaire de Fateh</w:t>
      </w:r>
      <w:r w:rsidR="00E307F3">
        <w:t> </w:t>
      </w:r>
      <w:r>
        <w:t>Dafar et de six autres victimes. C</w:t>
      </w:r>
      <w:r w:rsidRPr="00590872">
        <w:t>e refus fait obstacle à l</w:t>
      </w:r>
      <w:r>
        <w:t>’</w:t>
      </w:r>
      <w:r w:rsidRPr="00590872">
        <w:t>efficacité des recours exercés par sa famille.</w:t>
      </w:r>
    </w:p>
    <w:p w14:paraId="6F090008" w14:textId="77777777" w:rsidR="0095715A" w:rsidRPr="00410779" w:rsidRDefault="0095715A" w:rsidP="0095715A">
      <w:pPr>
        <w:pStyle w:val="H23G"/>
        <w:rPr>
          <w:lang w:val="fr-FR"/>
        </w:rPr>
      </w:pPr>
      <w:r w:rsidRPr="00410779">
        <w:rPr>
          <w:lang w:val="fr-FR"/>
        </w:rPr>
        <w:tab/>
      </w:r>
      <w:r w:rsidRPr="00410779">
        <w:rPr>
          <w:lang w:val="fr-FR"/>
        </w:rPr>
        <w:tab/>
        <w:t>Teneur de la plainte</w:t>
      </w:r>
    </w:p>
    <w:p w14:paraId="4753192F" w14:textId="77777777" w:rsidR="0095715A" w:rsidRPr="00410779" w:rsidRDefault="0095715A" w:rsidP="0095715A">
      <w:pPr>
        <w:pStyle w:val="SingleTxtG"/>
      </w:pPr>
      <w:r w:rsidRPr="00410779">
        <w:t>3.1</w:t>
      </w:r>
      <w:r w:rsidRPr="00410779">
        <w:tab/>
      </w:r>
      <w:r w:rsidRPr="005F5AB1">
        <w:t>L</w:t>
      </w:r>
      <w:r>
        <w:t>’</w:t>
      </w:r>
      <w:r w:rsidRPr="005F5AB1">
        <w:t xml:space="preserve">auteur allègue que </w:t>
      </w:r>
      <w:r>
        <w:t>Fateh</w:t>
      </w:r>
      <w:r w:rsidR="00E307F3">
        <w:t> </w:t>
      </w:r>
      <w:r>
        <w:t>Dafar</w:t>
      </w:r>
      <w:r w:rsidRPr="005F5AB1">
        <w:t xml:space="preserve"> a été victime d</w:t>
      </w:r>
      <w:r>
        <w:t xml:space="preserve">’une </w:t>
      </w:r>
      <w:r w:rsidRPr="005F5AB1">
        <w:t>exécution extrajudiciaire dans le cadre d</w:t>
      </w:r>
      <w:r>
        <w:t>’</w:t>
      </w:r>
      <w:r w:rsidRPr="005F5AB1">
        <w:t>une pratique systématique et généralisée</w:t>
      </w:r>
      <w:r w:rsidRPr="001C7E21">
        <w:rPr>
          <w:sz w:val="18"/>
          <w:szCs w:val="18"/>
          <w:vertAlign w:val="superscript"/>
        </w:rPr>
        <w:footnoteReference w:id="12"/>
      </w:r>
      <w:r w:rsidRPr="005F5AB1">
        <w:t>.</w:t>
      </w:r>
    </w:p>
    <w:p w14:paraId="59F9F7AA" w14:textId="77777777" w:rsidR="0095715A" w:rsidRDefault="0095715A" w:rsidP="0095715A">
      <w:pPr>
        <w:pStyle w:val="SingleTxtG"/>
      </w:pPr>
      <w:r w:rsidRPr="00410779">
        <w:t>3.2</w:t>
      </w:r>
      <w:r w:rsidRPr="00410779">
        <w:tab/>
      </w:r>
      <w:r>
        <w:t>L’auteur</w:t>
      </w:r>
      <w:r w:rsidRPr="005F5AB1">
        <w:t xml:space="preserve"> allègue </w:t>
      </w:r>
      <w:r>
        <w:t>également que</w:t>
      </w:r>
      <w:r w:rsidRPr="00D433B8">
        <w:t xml:space="preserve"> </w:t>
      </w:r>
      <w:r>
        <w:t>l’exécution extra</w:t>
      </w:r>
      <w:r w:rsidRPr="005F5AB1">
        <w:t xml:space="preserve">judiciaire </w:t>
      </w:r>
      <w:r>
        <w:t>de son fils à la suite de l’</w:t>
      </w:r>
      <w:r w:rsidRPr="005F5AB1">
        <w:t>action délibérée des agents de la b</w:t>
      </w:r>
      <w:r>
        <w:t>rigade locale de gendarmerie d’El</w:t>
      </w:r>
      <w:r w:rsidR="00E307F3">
        <w:t> </w:t>
      </w:r>
      <w:r>
        <w:t>Aouana,</w:t>
      </w:r>
      <w:r w:rsidRPr="005F5AB1">
        <w:t xml:space="preserve"> agents de l</w:t>
      </w:r>
      <w:r>
        <w:t>’</w:t>
      </w:r>
      <w:r w:rsidRPr="005F5AB1">
        <w:t>É</w:t>
      </w:r>
      <w:r>
        <w:t>t</w:t>
      </w:r>
      <w:r w:rsidRPr="005F5AB1">
        <w:t>at partie</w:t>
      </w:r>
      <w:r>
        <w:t xml:space="preserve">, constitue </w:t>
      </w:r>
      <w:r w:rsidRPr="005F5AB1">
        <w:t xml:space="preserve">une violation du droit à la vie de </w:t>
      </w:r>
      <w:r>
        <w:t>Fateh</w:t>
      </w:r>
      <w:r w:rsidR="00E307F3">
        <w:t> </w:t>
      </w:r>
      <w:r>
        <w:t>Dafar</w:t>
      </w:r>
      <w:r w:rsidRPr="005F5AB1">
        <w:t xml:space="preserve">, </w:t>
      </w:r>
      <w:r>
        <w:t>au titre</w:t>
      </w:r>
      <w:r w:rsidRPr="005F5AB1">
        <w:t xml:space="preserve"> de l</w:t>
      </w:r>
      <w:r>
        <w:t>’</w:t>
      </w:r>
      <w:r w:rsidRPr="005F5AB1">
        <w:t>article</w:t>
      </w:r>
      <w:r w:rsidR="00E307F3">
        <w:t> </w:t>
      </w:r>
      <w:r w:rsidRPr="005F5AB1">
        <w:t>6</w:t>
      </w:r>
      <w:r>
        <w:t xml:space="preserve"> (par.</w:t>
      </w:r>
      <w:r w:rsidR="00E307F3">
        <w:t> </w:t>
      </w:r>
      <w:r>
        <w:t>1) du Pacte.</w:t>
      </w:r>
    </w:p>
    <w:p w14:paraId="659F1B8F" w14:textId="77777777" w:rsidR="0095715A" w:rsidRPr="00410779" w:rsidRDefault="0095715A" w:rsidP="0095715A">
      <w:pPr>
        <w:pStyle w:val="SingleTxtG"/>
      </w:pPr>
      <w:r>
        <w:t>3.3</w:t>
      </w:r>
      <w:r>
        <w:tab/>
      </w:r>
      <w:r w:rsidRPr="005F5AB1">
        <w:t>L</w:t>
      </w:r>
      <w:r>
        <w:t>’</w:t>
      </w:r>
      <w:r w:rsidRPr="005F5AB1">
        <w:t>É</w:t>
      </w:r>
      <w:r>
        <w:t>t</w:t>
      </w:r>
      <w:r w:rsidRPr="005F5AB1">
        <w:t>at partie a d</w:t>
      </w:r>
      <w:r>
        <w:t>’</w:t>
      </w:r>
      <w:r w:rsidRPr="005F5AB1">
        <w:t>autant plus manqué à ses obligations de garantir le droit à la vie qu</w:t>
      </w:r>
      <w:r>
        <w:t>’</w:t>
      </w:r>
      <w:r w:rsidRPr="005F5AB1">
        <w:t>il a manqué à son devoir d</w:t>
      </w:r>
      <w:r>
        <w:t>’</w:t>
      </w:r>
      <w:r w:rsidRPr="005F5AB1">
        <w:t>enquête afin de faire la lumière sur l</w:t>
      </w:r>
      <w:r>
        <w:t>’</w:t>
      </w:r>
      <w:r w:rsidRPr="005F5AB1">
        <w:t>exécutio</w:t>
      </w:r>
      <w:r>
        <w:t>n sommaire de Fateh</w:t>
      </w:r>
      <w:r w:rsidR="00E307F3">
        <w:t> </w:t>
      </w:r>
      <w:r>
        <w:t xml:space="preserve">Dafar. </w:t>
      </w:r>
      <w:r w:rsidRPr="005A7301">
        <w:t>Depuis février 2006, eu égard à l</w:t>
      </w:r>
      <w:r>
        <w:t>’o</w:t>
      </w:r>
      <w:r w:rsidRPr="005A7301">
        <w:t xml:space="preserve">rdonnance </w:t>
      </w:r>
      <w:r w:rsidR="00E307F3">
        <w:rPr>
          <w:rFonts w:eastAsia="MS Mincho"/>
        </w:rPr>
        <w:t>n</w:t>
      </w:r>
      <w:r w:rsidR="00E307F3">
        <w:rPr>
          <w:rFonts w:eastAsia="MS Mincho"/>
          <w:vertAlign w:val="superscript"/>
        </w:rPr>
        <w:t>o</w:t>
      </w:r>
      <w:r w:rsidR="00E307F3">
        <w:t> </w:t>
      </w:r>
      <w:r w:rsidRPr="005A7301">
        <w:t>05/29, il est désormais interdit de poursuivre des personnes appartenant aux forces de défense et de sécurité algérienne</w:t>
      </w:r>
      <w:r>
        <w:t>s</w:t>
      </w:r>
      <w:r w:rsidRPr="005A7301">
        <w:t>. L</w:t>
      </w:r>
      <w:r>
        <w:t>’</w:t>
      </w:r>
      <w:r w:rsidRPr="005A7301">
        <w:t>auteur est donc dans l</w:t>
      </w:r>
      <w:r>
        <w:t>’</w:t>
      </w:r>
      <w:r w:rsidRPr="005A7301">
        <w:t>incapacité de faire valoir son droit à un recours utile, ce qui viole l</w:t>
      </w:r>
      <w:r>
        <w:t>’</w:t>
      </w:r>
      <w:r w:rsidRPr="005A7301">
        <w:t>article</w:t>
      </w:r>
      <w:r w:rsidR="00E307F3">
        <w:t> </w:t>
      </w:r>
      <w:r w:rsidRPr="005A7301">
        <w:t>2 (par.</w:t>
      </w:r>
      <w:r w:rsidR="00E307F3">
        <w:t> </w:t>
      </w:r>
      <w:r w:rsidRPr="005A7301">
        <w:t>3) lu seul et conjointement avec les articles</w:t>
      </w:r>
      <w:r w:rsidR="00E307F3">
        <w:t> </w:t>
      </w:r>
      <w:r w:rsidRPr="005A7301">
        <w:t>6 et 7 du Pacte.</w:t>
      </w:r>
    </w:p>
    <w:p w14:paraId="23F11EE2" w14:textId="77777777" w:rsidR="0095715A" w:rsidRPr="00410779" w:rsidRDefault="0095715A" w:rsidP="0095715A">
      <w:pPr>
        <w:pStyle w:val="SingleTxtG"/>
      </w:pPr>
      <w:r w:rsidRPr="00410779">
        <w:t>3.</w:t>
      </w:r>
      <w:r>
        <w:t>4</w:t>
      </w:r>
      <w:r w:rsidRPr="00410779">
        <w:tab/>
      </w:r>
      <w:r w:rsidRPr="005F5AB1">
        <w:t>L</w:t>
      </w:r>
      <w:r>
        <w:t>’</w:t>
      </w:r>
      <w:r w:rsidRPr="005F5AB1">
        <w:t xml:space="preserve">auteur considère également que </w:t>
      </w:r>
      <w:r>
        <w:t>Fateh</w:t>
      </w:r>
      <w:r w:rsidR="00E307F3">
        <w:t> </w:t>
      </w:r>
      <w:r>
        <w:t>Dafar a été victime d’une violation de son droit de ne pas être soumis à des traitements contraires à l’article</w:t>
      </w:r>
      <w:r w:rsidR="00E307F3">
        <w:t> </w:t>
      </w:r>
      <w:r>
        <w:t>7 du Pacte, ainsi que de son droit, en tant que</w:t>
      </w:r>
      <w:r w:rsidRPr="005F5AB1">
        <w:t xml:space="preserve"> détenu</w:t>
      </w:r>
      <w:r>
        <w:t xml:space="preserve">, </w:t>
      </w:r>
      <w:r w:rsidRPr="005F5AB1">
        <w:t>d</w:t>
      </w:r>
      <w:r>
        <w:t>’</w:t>
      </w:r>
      <w:r w:rsidRPr="005F5AB1">
        <w:t xml:space="preserve">être traité avec humanité </w:t>
      </w:r>
      <w:r>
        <w:t>conformément à l’article</w:t>
      </w:r>
      <w:r w:rsidR="00E307F3">
        <w:t> </w:t>
      </w:r>
      <w:r w:rsidRPr="005F5AB1">
        <w:t>10</w:t>
      </w:r>
      <w:r>
        <w:t xml:space="preserve"> (par.</w:t>
      </w:r>
      <w:r w:rsidR="00E307F3">
        <w:t> </w:t>
      </w:r>
      <w:r w:rsidRPr="005F5AB1">
        <w:t>1</w:t>
      </w:r>
      <w:r>
        <w:t>).</w:t>
      </w:r>
      <w:r w:rsidRPr="005F5AB1">
        <w:t xml:space="preserve"> L</w:t>
      </w:r>
      <w:r>
        <w:t>’</w:t>
      </w:r>
      <w:r w:rsidRPr="005F5AB1">
        <w:t xml:space="preserve">auteur rappelle que son fils a été détenu </w:t>
      </w:r>
      <w:r>
        <w:t>au secret du 26</w:t>
      </w:r>
      <w:r w:rsidR="00E307F3">
        <w:t> </w:t>
      </w:r>
      <w:r>
        <w:t>novembre 1994 au 3</w:t>
      </w:r>
      <w:r w:rsidR="00E307F3">
        <w:t> </w:t>
      </w:r>
      <w:r w:rsidRPr="005F5AB1">
        <w:t xml:space="preserve">février 1995, soit </w:t>
      </w:r>
      <w:r>
        <w:t>soixante-dix</w:t>
      </w:r>
      <w:r w:rsidRPr="005F5AB1">
        <w:t xml:space="preserve"> jours, sans que sa famille soit informée des raisons de sa détention. </w:t>
      </w:r>
      <w:r>
        <w:t>Sachant que la torture a été systématique dans les centres de détention algériens et a été pratiquée dans un climat d’impunité</w:t>
      </w:r>
      <w:r w:rsidRPr="001216AE">
        <w:t xml:space="preserve"> </w:t>
      </w:r>
      <w:r w:rsidRPr="005F5AB1">
        <w:t>tout au long du conflit interne des années 1990</w:t>
      </w:r>
      <w:r w:rsidRPr="001C7E21">
        <w:rPr>
          <w:sz w:val="18"/>
          <w:szCs w:val="18"/>
          <w:vertAlign w:val="superscript"/>
        </w:rPr>
        <w:footnoteReference w:id="13"/>
      </w:r>
      <w:r>
        <w:t>, l’</w:t>
      </w:r>
      <w:r w:rsidRPr="005F5AB1">
        <w:t>auteur déduit qu</w:t>
      </w:r>
      <w:r>
        <w:t>e</w:t>
      </w:r>
      <w:r w:rsidRPr="005F5AB1">
        <w:t xml:space="preserve"> son fils a subi des actes de mauvais traitements et de torture</w:t>
      </w:r>
      <w:r>
        <w:t xml:space="preserve"> au cours de sa détention</w:t>
      </w:r>
      <w:r w:rsidRPr="005F5AB1">
        <w:t>. En tout état de cause, la souffrance et l</w:t>
      </w:r>
      <w:r>
        <w:t>’</w:t>
      </w:r>
      <w:r w:rsidRPr="005F5AB1">
        <w:t xml:space="preserve">angoisse </w:t>
      </w:r>
      <w:r>
        <w:t>provoquées par l’</w:t>
      </w:r>
      <w:r w:rsidRPr="005F5AB1">
        <w:t>exécution sommaire</w:t>
      </w:r>
      <w:r>
        <w:t xml:space="preserve"> de Fateh</w:t>
      </w:r>
      <w:r w:rsidR="00E307F3">
        <w:t> </w:t>
      </w:r>
      <w:r>
        <w:t>Dafar</w:t>
      </w:r>
      <w:r w:rsidRPr="005F5AB1">
        <w:t xml:space="preserve"> constitue</w:t>
      </w:r>
      <w:r>
        <w:t>nt</w:t>
      </w:r>
      <w:r w:rsidRPr="005F5AB1">
        <w:t xml:space="preserve"> une violation de</w:t>
      </w:r>
      <w:r>
        <w:t xml:space="preserve"> </w:t>
      </w:r>
      <w:r w:rsidRPr="005F5AB1">
        <w:t>s</w:t>
      </w:r>
      <w:r>
        <w:t>es</w:t>
      </w:r>
      <w:r w:rsidRPr="005F5AB1">
        <w:t xml:space="preserve"> </w:t>
      </w:r>
      <w:r>
        <w:t xml:space="preserve">droits au titre des </w:t>
      </w:r>
      <w:r w:rsidRPr="005F5AB1">
        <w:t>articles</w:t>
      </w:r>
      <w:r w:rsidR="00E307F3">
        <w:t> </w:t>
      </w:r>
      <w:r w:rsidRPr="005F5AB1">
        <w:t>7 et 10 du Pacte.</w:t>
      </w:r>
    </w:p>
    <w:p w14:paraId="743A8716" w14:textId="77777777" w:rsidR="0095715A" w:rsidRPr="00410779" w:rsidRDefault="0095715A" w:rsidP="0095715A">
      <w:pPr>
        <w:pStyle w:val="SingleTxtG"/>
      </w:pPr>
      <w:r>
        <w:t>3.5</w:t>
      </w:r>
      <w:r w:rsidRPr="00410779">
        <w:tab/>
      </w:r>
      <w:r w:rsidRPr="005F5AB1">
        <w:t>La situation d</w:t>
      </w:r>
      <w:r>
        <w:t>’</w:t>
      </w:r>
      <w:r w:rsidRPr="005F5AB1">
        <w:t xml:space="preserve">angoisse et de détresse dans laquelle ont été </w:t>
      </w:r>
      <w:r>
        <w:t>placés</w:t>
      </w:r>
      <w:r w:rsidRPr="005F5AB1">
        <w:t xml:space="preserve"> l</w:t>
      </w:r>
      <w:r>
        <w:t>’</w:t>
      </w:r>
      <w:r w:rsidRPr="005F5AB1">
        <w:t>auteur et sa famille ajoutée au sentiment d</w:t>
      </w:r>
      <w:r>
        <w:t>’</w:t>
      </w:r>
      <w:r w:rsidRPr="005F5AB1">
        <w:t xml:space="preserve">impuissance </w:t>
      </w:r>
      <w:r>
        <w:t>causé par l’absence de réponse des autorités aux démarches qu’ils ont poursuivies</w:t>
      </w:r>
      <w:r w:rsidRPr="005F5AB1">
        <w:t xml:space="preserve"> constituent aussi une violation de </w:t>
      </w:r>
      <w:r>
        <w:t xml:space="preserve">leurs droits au titre de </w:t>
      </w:r>
      <w:r w:rsidRPr="005F5AB1">
        <w:t>l</w:t>
      </w:r>
      <w:r>
        <w:t>’</w:t>
      </w:r>
      <w:r w:rsidRPr="005F5AB1">
        <w:t>article</w:t>
      </w:r>
      <w:r w:rsidR="00E307F3">
        <w:t> </w:t>
      </w:r>
      <w:r w:rsidRPr="005F5AB1">
        <w:t>7</w:t>
      </w:r>
      <w:r>
        <w:t xml:space="preserve"> du Pacte</w:t>
      </w:r>
      <w:r w:rsidRPr="005F5AB1">
        <w:t>.</w:t>
      </w:r>
    </w:p>
    <w:p w14:paraId="045D3FAC" w14:textId="77777777" w:rsidR="0095715A" w:rsidRDefault="0095715A" w:rsidP="0095715A">
      <w:pPr>
        <w:pStyle w:val="SingleTxtG"/>
      </w:pPr>
      <w:r>
        <w:t>3.6</w:t>
      </w:r>
      <w:r w:rsidRPr="00410779">
        <w:tab/>
      </w:r>
      <w:r w:rsidRPr="005F5AB1">
        <w:t>L</w:t>
      </w:r>
      <w:r>
        <w:t>’</w:t>
      </w:r>
      <w:r w:rsidRPr="005F5AB1">
        <w:t>auteur allègue aussi une violation de l</w:t>
      </w:r>
      <w:r>
        <w:t>’</w:t>
      </w:r>
      <w:r w:rsidRPr="005F5AB1">
        <w:t>article</w:t>
      </w:r>
      <w:r w:rsidR="00E307F3">
        <w:t> </w:t>
      </w:r>
      <w:r w:rsidRPr="005F5AB1">
        <w:t>9</w:t>
      </w:r>
      <w:r>
        <w:t xml:space="preserve"> (par. 2 et 3) du Pacte</w:t>
      </w:r>
      <w:r w:rsidRPr="005F5AB1">
        <w:t xml:space="preserve"> </w:t>
      </w:r>
      <w:r>
        <w:t>à l’égard de Fateh</w:t>
      </w:r>
      <w:r w:rsidR="00E307F3">
        <w:t> </w:t>
      </w:r>
      <w:r>
        <w:t>Dafar,</w:t>
      </w:r>
      <w:r w:rsidRPr="005F5AB1">
        <w:t xml:space="preserve"> étant donné qu</w:t>
      </w:r>
      <w:r>
        <w:t>’</w:t>
      </w:r>
      <w:r w:rsidRPr="005F5AB1">
        <w:t>il a été arrêté sans être informé des raisons de son arrestation et qu</w:t>
      </w:r>
      <w:r>
        <w:t>’</w:t>
      </w:r>
      <w:r w:rsidRPr="005F5AB1">
        <w:t>il n</w:t>
      </w:r>
      <w:r>
        <w:t>’</w:t>
      </w:r>
      <w:r w:rsidRPr="005F5AB1">
        <w:t>a pas été traduit devant une instance judiciaire.</w:t>
      </w:r>
    </w:p>
    <w:p w14:paraId="08605386" w14:textId="77777777" w:rsidR="0095715A" w:rsidRPr="001278AF" w:rsidRDefault="0095715A" w:rsidP="0095715A">
      <w:pPr>
        <w:pStyle w:val="H23G"/>
      </w:pPr>
      <w:r>
        <w:tab/>
      </w:r>
      <w:r>
        <w:tab/>
      </w:r>
      <w:r w:rsidRPr="001278AF">
        <w:t xml:space="preserve">Défaut </w:t>
      </w:r>
      <w:r>
        <w:t>de coopération de l’État partie</w:t>
      </w:r>
    </w:p>
    <w:p w14:paraId="7270EB55" w14:textId="77777777" w:rsidR="0095715A" w:rsidRPr="00410779" w:rsidRDefault="0095715A" w:rsidP="0095715A">
      <w:pPr>
        <w:pStyle w:val="SingleTxtG"/>
      </w:pPr>
      <w:r w:rsidRPr="001278AF">
        <w:t>4.</w:t>
      </w:r>
      <w:r w:rsidRPr="001278AF">
        <w:tab/>
        <w:t xml:space="preserve">Les </w:t>
      </w:r>
      <w:r>
        <w:t>5</w:t>
      </w:r>
      <w:r w:rsidR="00E307F3">
        <w:t> </w:t>
      </w:r>
      <w:r>
        <w:t xml:space="preserve">mars 2015 </w:t>
      </w:r>
      <w:r w:rsidRPr="001278AF">
        <w:t xml:space="preserve">et </w:t>
      </w:r>
      <w:r>
        <w:t>1</w:t>
      </w:r>
      <w:r w:rsidRPr="001278AF">
        <w:t>0</w:t>
      </w:r>
      <w:r w:rsidR="00E307F3">
        <w:t> </w:t>
      </w:r>
      <w:r>
        <w:t>décembre 2018</w:t>
      </w:r>
      <w:r w:rsidRPr="001278AF">
        <w:t>, l</w:t>
      </w:r>
      <w:r>
        <w:t>’</w:t>
      </w:r>
      <w:r w:rsidRPr="001278AF">
        <w:t>État partie a été invité à présenter ses observations concernant la recevabilité et le fond de la communication. Le Comité note qu</w:t>
      </w:r>
      <w:r>
        <w:t>’</w:t>
      </w:r>
      <w:r w:rsidRPr="001278AF">
        <w:t>il n</w:t>
      </w:r>
      <w:r>
        <w:t>’</w:t>
      </w:r>
      <w:r w:rsidRPr="001278AF">
        <w:t xml:space="preserve">a reçu aucune </w:t>
      </w:r>
      <w:r>
        <w:t>réponse et</w:t>
      </w:r>
      <w:r w:rsidRPr="001278AF">
        <w:t xml:space="preserve"> regrette le refus de l</w:t>
      </w:r>
      <w:r>
        <w:t>’</w:t>
      </w:r>
      <w:r w:rsidRPr="001278AF">
        <w:t xml:space="preserve">État partie de communiquer toute information </w:t>
      </w:r>
      <w:r>
        <w:t>à cet égard</w:t>
      </w:r>
      <w:r w:rsidRPr="001278AF">
        <w:t>.</w:t>
      </w:r>
      <w:r w:rsidRPr="00A477A7">
        <w:t xml:space="preserve"> Conform</w:t>
      </w:r>
      <w:r>
        <w:t>ément à l’article</w:t>
      </w:r>
      <w:r w:rsidR="00E307F3">
        <w:t> </w:t>
      </w:r>
      <w:r w:rsidRPr="00A477A7">
        <w:t>4</w:t>
      </w:r>
      <w:r>
        <w:t xml:space="preserve"> (par. 2)</w:t>
      </w:r>
      <w:r w:rsidRPr="00A477A7">
        <w:t xml:space="preserve"> du Protocole facultatif, l</w:t>
      </w:r>
      <w:r>
        <w:t>’</w:t>
      </w:r>
      <w:r w:rsidRPr="00A477A7">
        <w:t xml:space="preserve">État partie est tenu </w:t>
      </w:r>
      <w:r>
        <w:t>d’examiner</w:t>
      </w:r>
      <w:r w:rsidRPr="00A477A7">
        <w:t xml:space="preserve"> de bonne foi toutes les allégations de violations du Pacte portées contre lui et ses représentants, et de transmettre au Comité les renseignements qu</w:t>
      </w:r>
      <w:r>
        <w:t>’</w:t>
      </w:r>
      <w:r w:rsidRPr="00A477A7">
        <w:t>il détient</w:t>
      </w:r>
      <w:r w:rsidRPr="001C7E21">
        <w:rPr>
          <w:sz w:val="18"/>
          <w:szCs w:val="18"/>
          <w:vertAlign w:val="superscript"/>
        </w:rPr>
        <w:footnoteReference w:id="14"/>
      </w:r>
      <w:r w:rsidRPr="00A477A7">
        <w:t>.</w:t>
      </w:r>
    </w:p>
    <w:p w14:paraId="710109CC" w14:textId="77777777" w:rsidR="0095715A" w:rsidRPr="00410779" w:rsidRDefault="0095715A" w:rsidP="0095715A">
      <w:pPr>
        <w:pStyle w:val="H23G"/>
        <w:rPr>
          <w:lang w:val="fr-FR"/>
        </w:rPr>
      </w:pPr>
      <w:r w:rsidRPr="00410779">
        <w:rPr>
          <w:lang w:val="fr-FR"/>
        </w:rPr>
        <w:lastRenderedPageBreak/>
        <w:tab/>
      </w:r>
      <w:r w:rsidRPr="00410779">
        <w:rPr>
          <w:lang w:val="fr-FR"/>
        </w:rPr>
        <w:tab/>
        <w:t>Délibérations du Comité</w:t>
      </w:r>
    </w:p>
    <w:p w14:paraId="4FE1C2EE" w14:textId="77777777" w:rsidR="0095715A" w:rsidRPr="00410779" w:rsidRDefault="0095715A" w:rsidP="0095715A">
      <w:pPr>
        <w:pStyle w:val="H4G"/>
        <w:rPr>
          <w:lang w:val="fr-FR"/>
        </w:rPr>
      </w:pPr>
      <w:r w:rsidRPr="00410779">
        <w:rPr>
          <w:lang w:val="fr-FR"/>
        </w:rPr>
        <w:tab/>
      </w:r>
      <w:r w:rsidRPr="00410779">
        <w:rPr>
          <w:lang w:val="fr-FR"/>
        </w:rPr>
        <w:tab/>
        <w:t>Examen de la recevabilité</w:t>
      </w:r>
    </w:p>
    <w:p w14:paraId="23000CFD" w14:textId="77777777" w:rsidR="0095715A" w:rsidRPr="00410779" w:rsidRDefault="0095715A" w:rsidP="0095715A">
      <w:pPr>
        <w:pStyle w:val="SingleTxtG"/>
        <w:rPr>
          <w:lang w:val="fr-FR"/>
        </w:rPr>
      </w:pPr>
      <w:r>
        <w:rPr>
          <w:lang w:val="fr-FR"/>
        </w:rPr>
        <w:t>5</w:t>
      </w:r>
      <w:r w:rsidRPr="00410779">
        <w:rPr>
          <w:lang w:val="fr-FR"/>
        </w:rPr>
        <w:t>.1</w:t>
      </w:r>
      <w:r w:rsidRPr="00410779">
        <w:rPr>
          <w:lang w:val="fr-FR"/>
        </w:rPr>
        <w:tab/>
      </w:r>
      <w:r w:rsidRPr="006966BC">
        <w:rPr>
          <w:lang w:val="fr-FR"/>
        </w:rPr>
        <w:t>Avant d</w:t>
      </w:r>
      <w:r>
        <w:rPr>
          <w:lang w:val="fr-FR"/>
        </w:rPr>
        <w:t>’</w:t>
      </w:r>
      <w:r w:rsidRPr="006966BC">
        <w:rPr>
          <w:lang w:val="fr-FR"/>
        </w:rPr>
        <w:t>examiner toute plainte soumise dans une communication, le Comité doit, conformément à l</w:t>
      </w:r>
      <w:r>
        <w:rPr>
          <w:lang w:val="fr-FR"/>
        </w:rPr>
        <w:t>’</w:t>
      </w:r>
      <w:r w:rsidRPr="006966BC">
        <w:rPr>
          <w:lang w:val="fr-FR"/>
        </w:rPr>
        <w:t>article</w:t>
      </w:r>
      <w:r w:rsidR="00E307F3">
        <w:rPr>
          <w:lang w:val="fr-FR"/>
        </w:rPr>
        <w:t> </w:t>
      </w:r>
      <w:r w:rsidRPr="006966BC">
        <w:rPr>
          <w:lang w:val="fr-FR"/>
        </w:rPr>
        <w:t>9</w:t>
      </w:r>
      <w:r>
        <w:rPr>
          <w:lang w:val="fr-FR"/>
        </w:rPr>
        <w:t xml:space="preserve">7 </w:t>
      </w:r>
      <w:r w:rsidRPr="006966BC">
        <w:rPr>
          <w:lang w:val="fr-FR"/>
        </w:rPr>
        <w:t>de son règlement intérieur, déterminer si la communication est recevable en vertu du Protocole facultatif</w:t>
      </w:r>
      <w:r w:rsidRPr="0095572D">
        <w:rPr>
          <w:lang w:val="fr-FR"/>
        </w:rPr>
        <w:t xml:space="preserve"> </w:t>
      </w:r>
      <w:r>
        <w:rPr>
          <w:lang w:val="fr-FR"/>
        </w:rPr>
        <w:t>se rapportant au Pacte</w:t>
      </w:r>
      <w:r w:rsidRPr="006966BC">
        <w:rPr>
          <w:lang w:val="fr-FR"/>
        </w:rPr>
        <w:t>.</w:t>
      </w:r>
    </w:p>
    <w:p w14:paraId="53FF084C" w14:textId="77777777" w:rsidR="0095715A" w:rsidRPr="00410779" w:rsidRDefault="0095715A" w:rsidP="0095715A">
      <w:pPr>
        <w:pStyle w:val="SingleTxtG"/>
        <w:rPr>
          <w:lang w:val="fr-FR"/>
        </w:rPr>
      </w:pPr>
      <w:r>
        <w:rPr>
          <w:lang w:val="fr-FR"/>
        </w:rPr>
        <w:t>5</w:t>
      </w:r>
      <w:r w:rsidRPr="00410779">
        <w:rPr>
          <w:lang w:val="fr-FR"/>
        </w:rPr>
        <w:t>.2</w:t>
      </w:r>
      <w:r w:rsidRPr="00410779">
        <w:rPr>
          <w:lang w:val="fr-FR"/>
        </w:rPr>
        <w:tab/>
      </w:r>
      <w:r w:rsidRPr="006966BC">
        <w:rPr>
          <w:lang w:val="fr-FR"/>
        </w:rPr>
        <w:t>Le Comité s</w:t>
      </w:r>
      <w:r>
        <w:rPr>
          <w:lang w:val="fr-FR"/>
        </w:rPr>
        <w:t>’</w:t>
      </w:r>
      <w:r w:rsidRPr="006966BC">
        <w:rPr>
          <w:lang w:val="fr-FR"/>
        </w:rPr>
        <w:t>est assuré, comme il est tenu de le fai</w:t>
      </w:r>
      <w:r>
        <w:rPr>
          <w:lang w:val="fr-FR"/>
        </w:rPr>
        <w:t>re conformément à</w:t>
      </w:r>
      <w:r w:rsidRPr="006966BC">
        <w:rPr>
          <w:lang w:val="fr-FR"/>
        </w:rPr>
        <w:t xml:space="preserve"> l</w:t>
      </w:r>
      <w:r>
        <w:rPr>
          <w:lang w:val="fr-FR"/>
        </w:rPr>
        <w:t>’</w:t>
      </w:r>
      <w:r w:rsidRPr="006966BC">
        <w:rPr>
          <w:lang w:val="fr-FR"/>
        </w:rPr>
        <w:t>article</w:t>
      </w:r>
      <w:r w:rsidR="00E307F3">
        <w:rPr>
          <w:lang w:val="fr-FR"/>
        </w:rPr>
        <w:t> </w:t>
      </w:r>
      <w:r w:rsidRPr="006966BC">
        <w:rPr>
          <w:lang w:val="fr-FR"/>
        </w:rPr>
        <w:t>5</w:t>
      </w:r>
      <w:r>
        <w:rPr>
          <w:lang w:val="fr-FR"/>
        </w:rPr>
        <w:t xml:space="preserve"> (par. 2 a))</w:t>
      </w:r>
      <w:r w:rsidRPr="006966BC">
        <w:rPr>
          <w:lang w:val="fr-FR"/>
        </w:rPr>
        <w:t xml:space="preserve"> du Protocole facultatif, que la même question n</w:t>
      </w:r>
      <w:r>
        <w:rPr>
          <w:lang w:val="fr-FR"/>
        </w:rPr>
        <w:t>’</w:t>
      </w:r>
      <w:r w:rsidRPr="006966BC">
        <w:rPr>
          <w:lang w:val="fr-FR"/>
        </w:rPr>
        <w:t>était pas déjà en cours d</w:t>
      </w:r>
      <w:r>
        <w:rPr>
          <w:lang w:val="fr-FR"/>
        </w:rPr>
        <w:t>’</w:t>
      </w:r>
      <w:r w:rsidRPr="006966BC">
        <w:rPr>
          <w:lang w:val="fr-FR"/>
        </w:rPr>
        <w:t>examen devant une autre instance internationale d</w:t>
      </w:r>
      <w:r>
        <w:rPr>
          <w:lang w:val="fr-FR"/>
        </w:rPr>
        <w:t>’</w:t>
      </w:r>
      <w:r w:rsidRPr="006966BC">
        <w:rPr>
          <w:lang w:val="fr-FR"/>
        </w:rPr>
        <w:t>enquête ou de règlement.</w:t>
      </w:r>
    </w:p>
    <w:p w14:paraId="79EE22E6" w14:textId="77777777" w:rsidR="0095715A" w:rsidRDefault="0095715A" w:rsidP="0095715A">
      <w:pPr>
        <w:pStyle w:val="SingleTxtG"/>
      </w:pPr>
      <w:r>
        <w:rPr>
          <w:lang w:val="fr-FR"/>
        </w:rPr>
        <w:t>5</w:t>
      </w:r>
      <w:r w:rsidRPr="00410779">
        <w:rPr>
          <w:lang w:val="fr-FR"/>
        </w:rPr>
        <w:t>.</w:t>
      </w:r>
      <w:r w:rsidRPr="00410779">
        <w:t>3</w:t>
      </w:r>
      <w:r w:rsidRPr="00410779">
        <w:tab/>
      </w:r>
      <w:r w:rsidRPr="0094378A">
        <w:t>En ce qui concerne l</w:t>
      </w:r>
      <w:r>
        <w:t>’</w:t>
      </w:r>
      <w:r w:rsidRPr="0094378A">
        <w:t>épuisement des recours internes, le Comité rappelle que l</w:t>
      </w:r>
      <w:r>
        <w:t>’</w:t>
      </w:r>
      <w:r w:rsidRPr="0094378A">
        <w:t>État partie a non seulement le devoir de mener des enquêtes approfondies sur les violations supposées des droits de l</w:t>
      </w:r>
      <w:r>
        <w:t>’</w:t>
      </w:r>
      <w:r w:rsidRPr="0094378A">
        <w:t>homme portées à l</w:t>
      </w:r>
      <w:r>
        <w:t>’</w:t>
      </w:r>
      <w:r w:rsidRPr="0094378A">
        <w:t>attention de ses autorités, en particulier lorsqu</w:t>
      </w:r>
      <w:r>
        <w:t>’</w:t>
      </w:r>
      <w:r w:rsidRPr="0094378A">
        <w:t>il s</w:t>
      </w:r>
      <w:r>
        <w:t>’</w:t>
      </w:r>
      <w:r w:rsidRPr="0094378A">
        <w:t>agit d</w:t>
      </w:r>
      <w:r>
        <w:t>’</w:t>
      </w:r>
      <w:r w:rsidRPr="0094378A">
        <w:t xml:space="preserve">atteintes au droit à la vie, mais aussi </w:t>
      </w:r>
      <w:r>
        <w:t xml:space="preserve">celui </w:t>
      </w:r>
      <w:r w:rsidRPr="0094378A">
        <w:t xml:space="preserve">de poursuivre quiconque est présumé responsable de ces violations, de procéder à son jugement et de prononcer une peine à son </w:t>
      </w:r>
      <w:r>
        <w:t>égard</w:t>
      </w:r>
      <w:r w:rsidRPr="001C7E21">
        <w:rPr>
          <w:sz w:val="18"/>
          <w:szCs w:val="18"/>
          <w:vertAlign w:val="superscript"/>
        </w:rPr>
        <w:footnoteReference w:id="15"/>
      </w:r>
      <w:r w:rsidRPr="0094378A">
        <w:t>.</w:t>
      </w:r>
      <w:r w:rsidRPr="00472ECE">
        <w:t xml:space="preserve"> </w:t>
      </w:r>
      <w:r w:rsidRPr="0094378A">
        <w:t>La famille de Fateh</w:t>
      </w:r>
      <w:r w:rsidR="00E307F3">
        <w:t> </w:t>
      </w:r>
      <w:r w:rsidRPr="0094378A">
        <w:t xml:space="preserve">Dafar a, à de nombreuses reprises, alerté les autorités compétentes sur </w:t>
      </w:r>
      <w:r w:rsidRPr="0094378A">
        <w:rPr>
          <w:bCs/>
        </w:rPr>
        <w:t>l</w:t>
      </w:r>
      <w:r>
        <w:rPr>
          <w:bCs/>
        </w:rPr>
        <w:t>’</w:t>
      </w:r>
      <w:r w:rsidRPr="0094378A">
        <w:rPr>
          <w:bCs/>
        </w:rPr>
        <w:t>exécution sommaire</w:t>
      </w:r>
      <w:r w:rsidRPr="0094378A">
        <w:t xml:space="preserve"> de la victime, mais l</w:t>
      </w:r>
      <w:r>
        <w:t>’</w:t>
      </w:r>
      <w:r w:rsidRPr="0094378A">
        <w:t>État partie n</w:t>
      </w:r>
      <w:r>
        <w:t>’</w:t>
      </w:r>
      <w:r w:rsidRPr="0094378A">
        <w:t xml:space="preserve">a procédé à aucune enquête sur </w:t>
      </w:r>
      <w:r w:rsidRPr="0094378A">
        <w:rPr>
          <w:bCs/>
        </w:rPr>
        <w:t xml:space="preserve">cette </w:t>
      </w:r>
      <w:r>
        <w:rPr>
          <w:bCs/>
        </w:rPr>
        <w:t xml:space="preserve">grave </w:t>
      </w:r>
      <w:r w:rsidRPr="0094378A">
        <w:rPr>
          <w:bCs/>
        </w:rPr>
        <w:t>allégation</w:t>
      </w:r>
      <w:r w:rsidRPr="0094378A">
        <w:t>. En outre, l</w:t>
      </w:r>
      <w:r>
        <w:t>’</w:t>
      </w:r>
      <w:r w:rsidRPr="0094378A">
        <w:t>État partie n</w:t>
      </w:r>
      <w:r>
        <w:t>’</w:t>
      </w:r>
      <w:r w:rsidRPr="0094378A">
        <w:t xml:space="preserve">a pas apporté </w:t>
      </w:r>
      <w:r>
        <w:t>d’</w:t>
      </w:r>
      <w:r w:rsidRPr="0094378A">
        <w:t>éléments permettant de conclure qu</w:t>
      </w:r>
      <w:r>
        <w:t>’</w:t>
      </w:r>
      <w:r w:rsidRPr="0094378A">
        <w:t xml:space="preserve">un recours efficace et disponible </w:t>
      </w:r>
      <w:r>
        <w:t>serait</w:t>
      </w:r>
      <w:r w:rsidRPr="0094378A">
        <w:t xml:space="preserve"> ouvert, alors que l</w:t>
      </w:r>
      <w:r>
        <w:t>’</w:t>
      </w:r>
      <w:r w:rsidRPr="0094378A">
        <w:t>ordonnance n</w:t>
      </w:r>
      <w:r w:rsidRPr="0094378A">
        <w:rPr>
          <w:vertAlign w:val="superscript"/>
        </w:rPr>
        <w:t>o</w:t>
      </w:r>
      <w:r w:rsidR="00DD2DD7">
        <w:t> </w:t>
      </w:r>
      <w:r>
        <w:t xml:space="preserve">06-01 </w:t>
      </w:r>
      <w:r w:rsidRPr="0094378A">
        <w:t xml:space="preserve">continue </w:t>
      </w:r>
      <w:r w:rsidRPr="0010467F">
        <w:t>d</w:t>
      </w:r>
      <w:r>
        <w:t>’</w:t>
      </w:r>
      <w:r w:rsidRPr="0010467F">
        <w:t>être</w:t>
      </w:r>
      <w:r w:rsidRPr="0094378A">
        <w:t xml:space="preserve"> appliquée en dépit des recommandations du Comité </w:t>
      </w:r>
      <w:r>
        <w:t>datant de 2007 concernant</w:t>
      </w:r>
      <w:r w:rsidRPr="0094378A">
        <w:t xml:space="preserve"> sa mise en conformité avec le Pacte</w:t>
      </w:r>
      <w:r w:rsidRPr="001C7E21">
        <w:rPr>
          <w:sz w:val="18"/>
          <w:szCs w:val="18"/>
          <w:vertAlign w:val="superscript"/>
        </w:rPr>
        <w:footnoteReference w:id="16"/>
      </w:r>
      <w:r w:rsidRPr="0094378A">
        <w:t>.</w:t>
      </w:r>
      <w:r>
        <w:t xml:space="preserve"> </w:t>
      </w:r>
      <w:r w:rsidRPr="0094378A">
        <w:rPr>
          <w:iCs/>
        </w:rPr>
        <w:t>Le C</w:t>
      </w:r>
      <w:r w:rsidRPr="0094378A">
        <w:t>omité se déclare également préoccupé par le f</w:t>
      </w:r>
      <w:r>
        <w:t>ait que</w:t>
      </w:r>
      <w:r w:rsidRPr="0094378A">
        <w:t xml:space="preserve"> l</w:t>
      </w:r>
      <w:r>
        <w:t>’</w:t>
      </w:r>
      <w:r w:rsidRPr="0094378A">
        <w:t>État partie ne lui a adressé aucune information ou observation sur la recevabilité ou le fond de la communication</w:t>
      </w:r>
      <w:r>
        <w:rPr>
          <w:rStyle w:val="Appelnotedebasdep"/>
        </w:rPr>
        <w:footnoteReference w:id="17"/>
      </w:r>
      <w:r w:rsidRPr="0094378A">
        <w:t>. Dans ces circonstances, le Comité estime que rien ne s</w:t>
      </w:r>
      <w:r>
        <w:t>’</w:t>
      </w:r>
      <w:r w:rsidRPr="0094378A">
        <w:t>oppose à ce qu</w:t>
      </w:r>
      <w:r>
        <w:t>’</w:t>
      </w:r>
      <w:r w:rsidRPr="0094378A">
        <w:t xml:space="preserve">il examine la communication conformément </w:t>
      </w:r>
      <w:r>
        <w:t>à l’article</w:t>
      </w:r>
      <w:r w:rsidR="00DD2DD7">
        <w:t> </w:t>
      </w:r>
      <w:r w:rsidRPr="0094378A">
        <w:t>5</w:t>
      </w:r>
      <w:r>
        <w:t xml:space="preserve"> (par. 2 b))</w:t>
      </w:r>
      <w:r w:rsidRPr="0094378A">
        <w:t xml:space="preserve"> du Protocole facultatif.</w:t>
      </w:r>
    </w:p>
    <w:p w14:paraId="3FBDC2D9" w14:textId="77777777" w:rsidR="0095715A" w:rsidRPr="00410779" w:rsidRDefault="0095715A" w:rsidP="0095715A">
      <w:pPr>
        <w:pStyle w:val="SingleTxtG"/>
      </w:pPr>
      <w:r>
        <w:t>5.4</w:t>
      </w:r>
      <w:r>
        <w:tab/>
        <w:t xml:space="preserve">Par ailleurs, </w:t>
      </w:r>
      <w:r w:rsidRPr="00FB267D">
        <w:t>le Comité note</w:t>
      </w:r>
      <w:r>
        <w:t xml:space="preserve"> </w:t>
      </w:r>
      <w:r w:rsidR="00DD2DD7">
        <w:t>− </w:t>
      </w:r>
      <w:r>
        <w:t>compte tenu du changement de cadre légal survenu en</w:t>
      </w:r>
      <w:r w:rsidRPr="00FB267D">
        <w:t xml:space="preserve"> 2006</w:t>
      </w:r>
      <w:r w:rsidR="00DD2DD7">
        <w:t> −</w:t>
      </w:r>
      <w:r>
        <w:t xml:space="preserve"> que l’auteur a été dans l’impossibilité</w:t>
      </w:r>
      <w:r w:rsidRPr="00FB267D">
        <w:t xml:space="preserve"> de faire valoir son droit à un recours utile pour dénoncer l</w:t>
      </w:r>
      <w:r>
        <w:t>’</w:t>
      </w:r>
      <w:r w:rsidRPr="00FB267D">
        <w:t xml:space="preserve">exécution sommaire de son fils en 1995, </w:t>
      </w:r>
      <w:r>
        <w:t xml:space="preserve">puisqu’aucun recours n’est disponible à cet effet. Le Comité note également que la présente communication lui a été soumise </w:t>
      </w:r>
      <w:r w:rsidRPr="00FB267D">
        <w:t>en 2014.</w:t>
      </w:r>
      <w:r>
        <w:t xml:space="preserve"> Il rappelle que selon l’article</w:t>
      </w:r>
      <w:r w:rsidR="00DD2DD7">
        <w:t> </w:t>
      </w:r>
      <w:r>
        <w:t>99 (al.</w:t>
      </w:r>
      <w:r w:rsidR="00DD2DD7">
        <w:t> </w:t>
      </w:r>
      <w:r>
        <w:t>c)) de son r</w:t>
      </w:r>
      <w:r w:rsidRPr="005231FD">
        <w:t>èglement intérieur</w:t>
      </w:r>
      <w:r>
        <w:t xml:space="preserve">, </w:t>
      </w:r>
      <w:r w:rsidRPr="005231FD">
        <w:t>il peut y avoir abus du droit de plainte si la communication est soumise cinq ans après l</w:t>
      </w:r>
      <w:r>
        <w:t>’</w:t>
      </w:r>
      <w:r w:rsidRPr="005231FD">
        <w:t>épuisement des recours internes par son auteur</w:t>
      </w:r>
      <w:r>
        <w:t>. Le libellé de cette disposition accorde une marge de discrétion au Comité, qui est en mesure de déterminer les cas pour lesquels elle ne saurait s’appliquer strictement. Par le passé, l</w:t>
      </w:r>
      <w:r w:rsidRPr="00941A2F">
        <w:t xml:space="preserve">e Comité a </w:t>
      </w:r>
      <w:r>
        <w:t>déjà examiné des</w:t>
      </w:r>
      <w:r w:rsidRPr="00941A2F">
        <w:t xml:space="preserve"> affaires d</w:t>
      </w:r>
      <w:r>
        <w:t>’</w:t>
      </w:r>
      <w:r w:rsidRPr="00941A2F">
        <w:t xml:space="preserve">exécution sommaire </w:t>
      </w:r>
      <w:r>
        <w:t>à l’en</w:t>
      </w:r>
      <w:r w:rsidRPr="00941A2F">
        <w:t>cont</w:t>
      </w:r>
      <w:r>
        <w:t>re de l’État partie. Par exemple, les cas de Nasreddine et Messaoud</w:t>
      </w:r>
      <w:r w:rsidR="00DD2DD7">
        <w:t> </w:t>
      </w:r>
      <w:r w:rsidRPr="001C7E21">
        <w:rPr>
          <w:iCs/>
        </w:rPr>
        <w:t>Fedsi</w:t>
      </w:r>
      <w:r>
        <w:t xml:space="preserve">, </w:t>
      </w:r>
      <w:r>
        <w:rPr>
          <w:iCs/>
        </w:rPr>
        <w:t>de Nedjma</w:t>
      </w:r>
      <w:r w:rsidR="00DD2DD7">
        <w:rPr>
          <w:iCs/>
        </w:rPr>
        <w:t> </w:t>
      </w:r>
      <w:r>
        <w:rPr>
          <w:iCs/>
        </w:rPr>
        <w:t>Bouzaout</w:t>
      </w:r>
      <w:r>
        <w:t xml:space="preserve"> et de Mohamed</w:t>
      </w:r>
      <w:r w:rsidR="00DD2DD7">
        <w:t> </w:t>
      </w:r>
      <w:r w:rsidRPr="001C7E21">
        <w:rPr>
          <w:iCs/>
        </w:rPr>
        <w:t>Belamrania</w:t>
      </w:r>
      <w:r>
        <w:t xml:space="preserve"> ont été portés à la connaissance du Comité </w:t>
      </w:r>
      <w:r w:rsidRPr="00941A2F">
        <w:t>en 2010</w:t>
      </w:r>
      <w:r>
        <w:t xml:space="preserve"> et</w:t>
      </w:r>
      <w:r w:rsidRPr="00941A2F">
        <w:t xml:space="preserve"> </w:t>
      </w:r>
      <w:r>
        <w:t xml:space="preserve">en </w:t>
      </w:r>
      <w:r w:rsidRPr="00941A2F">
        <w:t>2012</w:t>
      </w:r>
      <w:r>
        <w:t>, alors que les exécutions sommaires de ces personnes avaient</w:t>
      </w:r>
      <w:r w:rsidRPr="00941A2F">
        <w:t xml:space="preserve"> </w:t>
      </w:r>
      <w:r>
        <w:t xml:space="preserve">respectivement </w:t>
      </w:r>
      <w:r w:rsidRPr="00941A2F">
        <w:t xml:space="preserve">eu lieu en 1997, </w:t>
      </w:r>
      <w:r>
        <w:t xml:space="preserve">en </w:t>
      </w:r>
      <w:r w:rsidRPr="00941A2F">
        <w:t>1996</w:t>
      </w:r>
      <w:r>
        <w:t xml:space="preserve"> et</w:t>
      </w:r>
      <w:r w:rsidRPr="00941A2F">
        <w:t xml:space="preserve"> </w:t>
      </w:r>
      <w:r>
        <w:t xml:space="preserve">en </w:t>
      </w:r>
      <w:r w:rsidRPr="00941A2F">
        <w:t>1995</w:t>
      </w:r>
      <w:r>
        <w:rPr>
          <w:rStyle w:val="Appelnotedebasdep"/>
        </w:rPr>
        <w:footnoteReference w:id="18"/>
      </w:r>
      <w:r w:rsidRPr="00941A2F">
        <w:t xml:space="preserve">. </w:t>
      </w:r>
      <w:r>
        <w:t xml:space="preserve">Le Comité note que dans ces trois affaires </w:t>
      </w:r>
      <w:r w:rsidR="00DD2DD7">
        <w:t>− </w:t>
      </w:r>
      <w:r>
        <w:t>comme dans le cas d’espèce</w:t>
      </w:r>
      <w:r w:rsidR="00DD2DD7">
        <w:t> −</w:t>
      </w:r>
      <w:r>
        <w:t>, l’État partie n’a pas soulevé le caractère abusif de la communication. De plus, le Comité a déjà eu l’occasion de constater en 2007 et en 2018 que l’</w:t>
      </w:r>
      <w:r w:rsidRPr="00F929E6">
        <w:t>ordonnance nº</w:t>
      </w:r>
      <w:r w:rsidR="00DD2DD7">
        <w:t> </w:t>
      </w:r>
      <w:r w:rsidRPr="00F929E6">
        <w:t>06-01 interdi</w:t>
      </w:r>
      <w:r>
        <w:t>sai</w:t>
      </w:r>
      <w:r w:rsidRPr="00F929E6">
        <w:t xml:space="preserve">t toute poursuite contre des éléments des forces de défense et de sécurité, </w:t>
      </w:r>
      <w:r>
        <w:t xml:space="preserve">et </w:t>
      </w:r>
      <w:r w:rsidRPr="00F929E6">
        <w:t>sembl</w:t>
      </w:r>
      <w:r>
        <w:t>ait ainsi promouvoir l’impunité</w:t>
      </w:r>
      <w:r>
        <w:rPr>
          <w:rStyle w:val="Appelnotedebasdep"/>
        </w:rPr>
        <w:footnoteReference w:id="19"/>
      </w:r>
      <w:r w:rsidRPr="00F929E6">
        <w:t>.</w:t>
      </w:r>
      <w:r>
        <w:t xml:space="preserve"> Le Comité considère que ce climat d’impunité, corroboré par l’interdiction légale de recourir à une instance judiciaire, a un impact négatif indiscutable sur la possibilité pour les victimes </w:t>
      </w:r>
      <w:r w:rsidRPr="00FB267D">
        <w:t>de faire valoir</w:t>
      </w:r>
      <w:r>
        <w:t xml:space="preserve"> leur</w:t>
      </w:r>
      <w:r w:rsidRPr="00FB267D">
        <w:t xml:space="preserve"> droit à un recours utile </w:t>
      </w:r>
      <w:r>
        <w:t>non seulement au plan national, mais aussi au plan international.</w:t>
      </w:r>
      <w:r w:rsidRPr="004163CE">
        <w:t xml:space="preserve"> </w:t>
      </w:r>
      <w:r>
        <w:t>Déclarer la présente communication irrecevable pour abus de droit pourrait avoir pour effet d’encourager l’État partie à continuer d’</w:t>
      </w:r>
      <w:r w:rsidRPr="006E3FCA">
        <w:t>entrave</w:t>
      </w:r>
      <w:r>
        <w:t>r</w:t>
      </w:r>
      <w:r w:rsidRPr="006E3FCA">
        <w:t xml:space="preserve"> le droit à un recours effectif</w:t>
      </w:r>
      <w:r>
        <w:t xml:space="preserve"> pour les victimes de telles violations graves du droit à la vie. Le Comité ne considère donc pas que dans les circonstances spéciales de l’espèce, la présente communication constituerait un abus de droit.</w:t>
      </w:r>
    </w:p>
    <w:p w14:paraId="6DE8CAE2" w14:textId="77777777" w:rsidR="0095715A" w:rsidRPr="00410779" w:rsidRDefault="0095715A" w:rsidP="0095715A">
      <w:pPr>
        <w:pStyle w:val="SingleTxtG"/>
        <w:rPr>
          <w:lang w:val="fr-FR"/>
        </w:rPr>
      </w:pPr>
      <w:r>
        <w:lastRenderedPageBreak/>
        <w:t>5</w:t>
      </w:r>
      <w:r w:rsidRPr="00410779">
        <w:t>.</w:t>
      </w:r>
      <w:r>
        <w:t>5</w:t>
      </w:r>
      <w:r w:rsidRPr="00410779">
        <w:tab/>
      </w:r>
      <w:r w:rsidRPr="00E558E8">
        <w:t>Le Comité considère que l</w:t>
      </w:r>
      <w:r>
        <w:t>’</w:t>
      </w:r>
      <w:r w:rsidRPr="00E558E8">
        <w:t>auteur a suffisamment étayé ses allégations aux fins de la recevabilité, et procède à l</w:t>
      </w:r>
      <w:r>
        <w:t>’</w:t>
      </w:r>
      <w:r w:rsidRPr="00E558E8">
        <w:t>examen quant au fond des griefs formu</w:t>
      </w:r>
      <w:r>
        <w:t>lés</w:t>
      </w:r>
      <w:r w:rsidRPr="00E558E8">
        <w:t xml:space="preserve"> au titre d</w:t>
      </w:r>
      <w:r>
        <w:t>es articles</w:t>
      </w:r>
      <w:r w:rsidR="00DD2DD7">
        <w:t> </w:t>
      </w:r>
      <w:r>
        <w:t>2 (par.</w:t>
      </w:r>
      <w:r w:rsidR="00DD2DD7">
        <w:t> </w:t>
      </w:r>
      <w:r>
        <w:t>3), 6 (par.</w:t>
      </w:r>
      <w:r w:rsidR="00DD2DD7">
        <w:t> </w:t>
      </w:r>
      <w:r>
        <w:t>1), 7, 9 et 10 (par.</w:t>
      </w:r>
      <w:r w:rsidR="00DD2DD7">
        <w:t> </w:t>
      </w:r>
      <w:r>
        <w:t>1)</w:t>
      </w:r>
      <w:r w:rsidRPr="00E558E8">
        <w:t xml:space="preserve"> du Pacte.</w:t>
      </w:r>
    </w:p>
    <w:p w14:paraId="16BC27F4" w14:textId="77777777" w:rsidR="0095715A" w:rsidRPr="00410779" w:rsidRDefault="0095715A" w:rsidP="0095715A">
      <w:pPr>
        <w:pStyle w:val="H4G"/>
        <w:rPr>
          <w:lang w:val="fr-FR"/>
        </w:rPr>
      </w:pPr>
      <w:r w:rsidRPr="00410779">
        <w:rPr>
          <w:lang w:val="fr-FR"/>
        </w:rPr>
        <w:tab/>
      </w:r>
      <w:r w:rsidRPr="00410779">
        <w:rPr>
          <w:lang w:val="fr-FR"/>
        </w:rPr>
        <w:tab/>
        <w:t>Examen au fond</w:t>
      </w:r>
    </w:p>
    <w:p w14:paraId="4B558C30" w14:textId="77777777" w:rsidR="0095715A" w:rsidRPr="00410779" w:rsidRDefault="0095715A" w:rsidP="0095715A">
      <w:pPr>
        <w:pStyle w:val="SingleTxtG"/>
      </w:pPr>
      <w:r>
        <w:rPr>
          <w:lang w:val="fr-FR"/>
        </w:rPr>
        <w:t>6</w:t>
      </w:r>
      <w:r w:rsidRPr="00410779">
        <w:t>.1</w:t>
      </w:r>
      <w:r w:rsidRPr="00410779">
        <w:tab/>
      </w:r>
      <w:r w:rsidRPr="00AD275A">
        <w:t xml:space="preserve">Conformément </w:t>
      </w:r>
      <w:r>
        <w:t>à</w:t>
      </w:r>
      <w:r w:rsidRPr="00AD275A">
        <w:t xml:space="preserve"> l</w:t>
      </w:r>
      <w:r>
        <w:t>’</w:t>
      </w:r>
      <w:r w:rsidRPr="00AD275A">
        <w:t>article</w:t>
      </w:r>
      <w:r w:rsidR="00DD2DD7">
        <w:t> </w:t>
      </w:r>
      <w:r w:rsidRPr="00AD275A">
        <w:t>5</w:t>
      </w:r>
      <w:r>
        <w:t xml:space="preserve"> (par. 1)</w:t>
      </w:r>
      <w:r w:rsidRPr="00AD275A">
        <w:t xml:space="preserve"> du Protocole facultatif, le Comité a examiné la présente communication en tenant compte de toutes les informations qui lui ont été communiquées. Il note que l</w:t>
      </w:r>
      <w:r>
        <w:t>’</w:t>
      </w:r>
      <w:r w:rsidRPr="00AD275A">
        <w:t>État partie n</w:t>
      </w:r>
      <w:r>
        <w:t>’</w:t>
      </w:r>
      <w:r w:rsidRPr="00AD275A">
        <w:t>a pas répondu aux allégations de l</w:t>
      </w:r>
      <w:r>
        <w:t>’</w:t>
      </w:r>
      <w:r w:rsidRPr="00AD275A">
        <w:t>auteur, auxquelles, dans les circonstances, il convient d</w:t>
      </w:r>
      <w:r>
        <w:t>’</w:t>
      </w:r>
      <w:r w:rsidRPr="00AD275A">
        <w:t>accorder le crédit voulu, dans la mesure où elles sont suffisamment étayées.</w:t>
      </w:r>
    </w:p>
    <w:p w14:paraId="2BEFF165" w14:textId="77777777" w:rsidR="0095715A" w:rsidRDefault="0095715A" w:rsidP="0095715A">
      <w:pPr>
        <w:pStyle w:val="SingleTxtG"/>
      </w:pPr>
      <w:r>
        <w:t>6</w:t>
      </w:r>
      <w:r w:rsidRPr="00410779">
        <w:t>.2</w:t>
      </w:r>
      <w:r w:rsidRPr="00410779">
        <w:tab/>
        <w:t xml:space="preserve">Le Comité </w:t>
      </w:r>
      <w:r>
        <w:t>prend note de l’attestation délivrée le 6</w:t>
      </w:r>
      <w:r w:rsidR="00DD2DD7">
        <w:t> </w:t>
      </w:r>
      <w:r>
        <w:t>mars 1995 par le</w:t>
      </w:r>
      <w:r w:rsidRPr="00A477A7">
        <w:t xml:space="preserve"> Directeur des impôts de la wilaya de Jijel</w:t>
      </w:r>
      <w:r>
        <w:t xml:space="preserve"> et indiquant que le 26</w:t>
      </w:r>
      <w:r w:rsidR="00DD2DD7">
        <w:t> </w:t>
      </w:r>
      <w:r>
        <w:t>novembre 1994, les services de sécurité ont procédé à l’arrestation de Fateh</w:t>
      </w:r>
      <w:r w:rsidR="00DD2DD7">
        <w:t> </w:t>
      </w:r>
      <w:r>
        <w:t>Dafar sur son lieu de travail. Il note également que, selon des témoins de la scène, dans la nuit du 3</w:t>
      </w:r>
      <w:r w:rsidR="00DD2DD7">
        <w:t> </w:t>
      </w:r>
      <w:r>
        <w:t>février 1995, soit soixante-dix jours après son arrestation, Fateh</w:t>
      </w:r>
      <w:r w:rsidR="00DD2DD7">
        <w:t> </w:t>
      </w:r>
      <w:r>
        <w:t>Dafar a été exécuté par des gendarmes sur une plage d’El</w:t>
      </w:r>
      <w:r w:rsidR="00DD2DD7">
        <w:t> </w:t>
      </w:r>
      <w:r>
        <w:t>Aouana, avec six autres personnes, et que le lendemain matin, l’auteur s’est rendu à la morgue afin d’identifier son fils.</w:t>
      </w:r>
    </w:p>
    <w:p w14:paraId="2F0C6F02" w14:textId="77777777" w:rsidR="0095715A" w:rsidRDefault="0095715A" w:rsidP="0095715A">
      <w:pPr>
        <w:pStyle w:val="SingleTxtG"/>
      </w:pPr>
      <w:r>
        <w:t>6.3</w:t>
      </w:r>
      <w:r>
        <w:tab/>
      </w:r>
      <w:r w:rsidRPr="009576D7">
        <w:t>Le Comité relève également l</w:t>
      </w:r>
      <w:r>
        <w:t>’</w:t>
      </w:r>
      <w:r w:rsidRPr="009576D7">
        <w:t>allégation de l</w:t>
      </w:r>
      <w:r>
        <w:t>’</w:t>
      </w:r>
      <w:r w:rsidRPr="009576D7">
        <w:t xml:space="preserve">auteur selon laquelle les autorités </w:t>
      </w:r>
      <w:r>
        <w:t>n’</w:t>
      </w:r>
      <w:r w:rsidRPr="009576D7">
        <w:t>ont</w:t>
      </w:r>
      <w:r>
        <w:t xml:space="preserve"> émis de certificat de décès que douze ans après les faits et par suite de son insistance</w:t>
      </w:r>
      <w:r w:rsidRPr="009576D7">
        <w:t xml:space="preserve">, </w:t>
      </w:r>
      <w:r>
        <w:t>et</w:t>
      </w:r>
      <w:r w:rsidRPr="009576D7">
        <w:t xml:space="preserve"> que</w:t>
      </w:r>
      <w:r>
        <w:t xml:space="preserve"> le </w:t>
      </w:r>
      <w:r w:rsidRPr="009576D7">
        <w:t>Procureur de la République</w:t>
      </w:r>
      <w:r>
        <w:t xml:space="preserve"> près le tribunal de Jijel a émis </w:t>
      </w:r>
      <w:r w:rsidRPr="009576D7">
        <w:t>une autorisation d</w:t>
      </w:r>
      <w:r>
        <w:t>’</w:t>
      </w:r>
      <w:r w:rsidRPr="009576D7">
        <w:t>inhumation sans qu</w:t>
      </w:r>
      <w:r>
        <w:t>’</w:t>
      </w:r>
      <w:r w:rsidRPr="009576D7">
        <w:t xml:space="preserve">aucune autopsie </w:t>
      </w:r>
      <w:r>
        <w:t>ou</w:t>
      </w:r>
      <w:r w:rsidRPr="009576D7">
        <w:t xml:space="preserve"> enquête </w:t>
      </w:r>
      <w:r>
        <w:t>ait été</w:t>
      </w:r>
      <w:r w:rsidRPr="009576D7">
        <w:t xml:space="preserve"> menée</w:t>
      </w:r>
      <w:r>
        <w:t>. Le Comité note également que cette absence d’enquête a persisté malgré les demandes de l’auteur et de sa famille auprès du Procureur pour qu’une enquête soit ouverte, et malgré les affirmations de plusieurs témoins, confirmant avoir</w:t>
      </w:r>
      <w:r w:rsidRPr="009576D7">
        <w:t xml:space="preserve"> vu les </w:t>
      </w:r>
      <w:r>
        <w:t xml:space="preserve">gendarmes </w:t>
      </w:r>
      <w:r w:rsidRPr="009576D7">
        <w:t xml:space="preserve">exécuter sommairement </w:t>
      </w:r>
      <w:r>
        <w:t>Fateh</w:t>
      </w:r>
      <w:r w:rsidR="00DD2DD7">
        <w:t> </w:t>
      </w:r>
      <w:r>
        <w:t>Dafar et six autres personnes sur une plage d’El</w:t>
      </w:r>
      <w:r w:rsidR="00DD2DD7">
        <w:t> </w:t>
      </w:r>
      <w:r>
        <w:t>Aouana</w:t>
      </w:r>
      <w:r w:rsidRPr="009576D7">
        <w:t>. Par ailleurs, le Comité relève</w:t>
      </w:r>
      <w:r>
        <w:t xml:space="preserve"> avec préoccupation que, même si tous les éléments au dossier semblent indiquer que Fateh</w:t>
      </w:r>
      <w:r w:rsidR="00DD2DD7">
        <w:t> </w:t>
      </w:r>
      <w:r>
        <w:t>Dafar a été victime d’une exécution extrajudiciaire perpétrée par des gendarmes, et même si le Procureur a délivré un permis d’inhumation de son corps</w:t>
      </w:r>
      <w:r w:rsidRPr="009576D7">
        <w:t xml:space="preserve">, la </w:t>
      </w:r>
      <w:r>
        <w:t>brigade de gendarmerie nationale d’El</w:t>
      </w:r>
      <w:r w:rsidR="00DD2DD7">
        <w:t> </w:t>
      </w:r>
      <w:r>
        <w:t>Aouana</w:t>
      </w:r>
      <w:r w:rsidRPr="009576D7">
        <w:t xml:space="preserve"> </w:t>
      </w:r>
      <w:r>
        <w:t xml:space="preserve">a délivré </w:t>
      </w:r>
      <w:r w:rsidRPr="009576D7">
        <w:t xml:space="preserve">un </w:t>
      </w:r>
      <w:r>
        <w:t xml:space="preserve">procès-verbal de </w:t>
      </w:r>
      <w:r w:rsidRPr="009576D7">
        <w:t>constat de disparitio</w:t>
      </w:r>
      <w:r>
        <w:t>n à la famille de Fateh</w:t>
      </w:r>
      <w:r w:rsidR="00DD2DD7">
        <w:t> </w:t>
      </w:r>
      <w:r>
        <w:t>Dafar</w:t>
      </w:r>
      <w:r w:rsidRPr="00D2480B">
        <w:t xml:space="preserve"> </w:t>
      </w:r>
      <w:r>
        <w:t>le 5</w:t>
      </w:r>
      <w:r w:rsidR="00DD2DD7">
        <w:t> </w:t>
      </w:r>
      <w:r>
        <w:t>mai 2006</w:t>
      </w:r>
      <w:r w:rsidRPr="009576D7">
        <w:t>.</w:t>
      </w:r>
    </w:p>
    <w:p w14:paraId="0B0B65DD" w14:textId="77777777" w:rsidR="0095715A" w:rsidRDefault="0095715A" w:rsidP="0095715A">
      <w:pPr>
        <w:pStyle w:val="SingleTxtG"/>
      </w:pPr>
      <w:r>
        <w:t>6.4</w:t>
      </w:r>
      <w:r>
        <w:tab/>
      </w:r>
      <w:r w:rsidRPr="009F7E69">
        <w:t>Le Comité prend note, en outre, de la crai</w:t>
      </w:r>
      <w:r>
        <w:t>nte de l’auteur d’être exposé</w:t>
      </w:r>
      <w:r w:rsidRPr="009F7E69">
        <w:t xml:space="preserve"> à des mesures de représailles </w:t>
      </w:r>
      <w:r>
        <w:t xml:space="preserve">de la part </w:t>
      </w:r>
      <w:r w:rsidRPr="009F7E69">
        <w:t>des autorités</w:t>
      </w:r>
      <w:r>
        <w:t>,</w:t>
      </w:r>
      <w:r w:rsidRPr="009F7E69">
        <w:t xml:space="preserve"> pour avoir cherché à clarifier les circonstance</w:t>
      </w:r>
      <w:r>
        <w:t>s du décès de son fils</w:t>
      </w:r>
      <w:r w:rsidRPr="009F7E69">
        <w:t>, au v</w:t>
      </w:r>
      <w:r>
        <w:t>u des dispositions des articles</w:t>
      </w:r>
      <w:r w:rsidR="00DD2DD7">
        <w:t> </w:t>
      </w:r>
      <w:r w:rsidRPr="009F7E69">
        <w:t>45 et</w:t>
      </w:r>
      <w:r>
        <w:t xml:space="preserve"> </w:t>
      </w:r>
      <w:r w:rsidRPr="009F7E69">
        <w:t>46 de l</w:t>
      </w:r>
      <w:r>
        <w:t>’</w:t>
      </w:r>
      <w:r w:rsidRPr="009F7E69">
        <w:t>ordonnance n</w:t>
      </w:r>
      <w:r w:rsidRPr="009F7E69">
        <w:rPr>
          <w:vertAlign w:val="superscript"/>
        </w:rPr>
        <w:t>o</w:t>
      </w:r>
      <w:r w:rsidR="00DD2DD7">
        <w:t> </w:t>
      </w:r>
      <w:r>
        <w:t>06-01</w:t>
      </w:r>
      <w:r w:rsidRPr="009F7E69">
        <w:t>, qui incrimine toute dénonciation ou plainte engagée contre les forces de défense et de sécurité algériennes. Le Comité renvoie à sa jurisprudence</w:t>
      </w:r>
      <w:r w:rsidRPr="001C7E21">
        <w:rPr>
          <w:sz w:val="18"/>
          <w:szCs w:val="18"/>
          <w:vertAlign w:val="superscript"/>
        </w:rPr>
        <w:footnoteReference w:id="20"/>
      </w:r>
      <w:r w:rsidRPr="009F7E69">
        <w:t xml:space="preserve"> et rappelle que l</w:t>
      </w:r>
      <w:r>
        <w:t>’</w:t>
      </w:r>
      <w:r w:rsidRPr="009F7E69">
        <w:t>État partie ne saurait opposer les dispositions de la Charte pour la paix et la réconciliation nationale à des personnes qui invoquent les dispositions du Pacte ou qui ont soumis ou pourraient soumettre des communications au Comité. Le Pacte exige de l</w:t>
      </w:r>
      <w:r>
        <w:t>’</w:t>
      </w:r>
      <w:r w:rsidRPr="009F7E69">
        <w:t>État partie qu</w:t>
      </w:r>
      <w:r>
        <w:t>’</w:t>
      </w:r>
      <w:r w:rsidRPr="009F7E69">
        <w:t>il se soucie du sort de chaque personne et qu</w:t>
      </w:r>
      <w:r>
        <w:t>’</w:t>
      </w:r>
      <w:r w:rsidRPr="009F7E69">
        <w:t xml:space="preserve">il traite </w:t>
      </w:r>
      <w:r>
        <w:t>chacune d’elle</w:t>
      </w:r>
      <w:r w:rsidRPr="009F7E69">
        <w:t xml:space="preserve"> avec le respect de la dignité inhérente à la personne humaine. En l</w:t>
      </w:r>
      <w:r>
        <w:t>’</w:t>
      </w:r>
      <w:r w:rsidRPr="009F7E69">
        <w:t>absence des modifications recommandées par le Comité, l</w:t>
      </w:r>
      <w:r>
        <w:t>’</w:t>
      </w:r>
      <w:r w:rsidRPr="009F7E69">
        <w:t>ordonnance n</w:t>
      </w:r>
      <w:r w:rsidRPr="009F7E69">
        <w:rPr>
          <w:vertAlign w:val="superscript"/>
        </w:rPr>
        <w:t>o</w:t>
      </w:r>
      <w:r w:rsidR="00DD2DD7">
        <w:t> </w:t>
      </w:r>
      <w:r w:rsidRPr="009F7E69">
        <w:t>06-01 contribue dans le cas présent à l</w:t>
      </w:r>
      <w:r>
        <w:t>’</w:t>
      </w:r>
      <w:r w:rsidRPr="009F7E69">
        <w:t>impunité et ne peut donc, en l</w:t>
      </w:r>
      <w:r>
        <w:t>’</w:t>
      </w:r>
      <w:r w:rsidRPr="009F7E69">
        <w:t>état, être jugée compatible avec les dispositions du Pacte.</w:t>
      </w:r>
    </w:p>
    <w:p w14:paraId="4F4F835C" w14:textId="77777777" w:rsidR="0095715A" w:rsidRDefault="0095715A" w:rsidP="0095715A">
      <w:pPr>
        <w:pStyle w:val="SingleTxtG"/>
      </w:pPr>
      <w:r>
        <w:t>6.5</w:t>
      </w:r>
      <w:r>
        <w:tab/>
      </w:r>
      <w:r w:rsidRPr="004D3A17">
        <w:t>Le Comité rappelle en outre que, d</w:t>
      </w:r>
      <w:r>
        <w:t>’</w:t>
      </w:r>
      <w:r w:rsidRPr="004D3A17">
        <w:t>après sa jurisprudence, la charge de la preuve ne peut pas incomber seulement aux auteurs de la communication, en particulier lorsque les auteurs et l</w:t>
      </w:r>
      <w:r>
        <w:t>’</w:t>
      </w:r>
      <w:r w:rsidRPr="004D3A17">
        <w:t>État partie n</w:t>
      </w:r>
      <w:r>
        <w:t>’</w:t>
      </w:r>
      <w:r w:rsidRPr="004D3A17">
        <w:t>ont pas les mêmes possibilités d</w:t>
      </w:r>
      <w:r>
        <w:t>’</w:t>
      </w:r>
      <w:r w:rsidRPr="004D3A17">
        <w:t>accès aux éléments de preuve et que, fréquemment, l</w:t>
      </w:r>
      <w:r>
        <w:t>’</w:t>
      </w:r>
      <w:r w:rsidRPr="004D3A17">
        <w:t>État partie est seul à détenir les informations pertinentes, telles que celles concernant l</w:t>
      </w:r>
      <w:r>
        <w:t>’</w:t>
      </w:r>
      <w:r w:rsidRPr="004D3A17">
        <w:t>arrestation et l</w:t>
      </w:r>
      <w:r>
        <w:t>’exécution de Fateh</w:t>
      </w:r>
      <w:r w:rsidR="00DD2DD7">
        <w:t> </w:t>
      </w:r>
      <w:r>
        <w:t>Dafar</w:t>
      </w:r>
      <w:r w:rsidRPr="001C7E21">
        <w:rPr>
          <w:sz w:val="18"/>
          <w:szCs w:val="18"/>
          <w:vertAlign w:val="superscript"/>
        </w:rPr>
        <w:footnoteReference w:id="21"/>
      </w:r>
      <w:r w:rsidRPr="004D3A17">
        <w:t>. En l</w:t>
      </w:r>
      <w:r>
        <w:t>’</w:t>
      </w:r>
      <w:r w:rsidRPr="004D3A17">
        <w:t>absence de toute réfutation de la part de l</w:t>
      </w:r>
      <w:r>
        <w:t>’</w:t>
      </w:r>
      <w:r w:rsidRPr="004D3A17">
        <w:t>État partie, le Comité accorde le crédit voulu aux allégations de l</w:t>
      </w:r>
      <w:r>
        <w:t>’</w:t>
      </w:r>
      <w:r w:rsidRPr="004D3A17">
        <w:t>auteur et conclut que l</w:t>
      </w:r>
      <w:r>
        <w:t>’</w:t>
      </w:r>
      <w:r w:rsidRPr="004D3A17">
        <w:t xml:space="preserve">État partie a dénié à </w:t>
      </w:r>
      <w:r>
        <w:t>Fateh</w:t>
      </w:r>
      <w:r w:rsidR="00DD2DD7">
        <w:t> </w:t>
      </w:r>
      <w:r>
        <w:t>Dafar</w:t>
      </w:r>
      <w:r w:rsidRPr="004D3A17">
        <w:t xml:space="preserve"> le droit à la vie dans des circonstances particulièrement graves, puisque ce dernier a manifestement été victime d</w:t>
      </w:r>
      <w:r>
        <w:t>’</w:t>
      </w:r>
      <w:r w:rsidRPr="004D3A17">
        <w:t>une exécution sommaire aux mains d</w:t>
      </w:r>
      <w:r>
        <w:t>’</w:t>
      </w:r>
      <w:r w:rsidRPr="004D3A17">
        <w:t>éléments de l</w:t>
      </w:r>
      <w:r>
        <w:t xml:space="preserve">a gendarmerie nationale, en violation </w:t>
      </w:r>
      <w:r w:rsidRPr="004D3A17">
        <w:t>de l</w:t>
      </w:r>
      <w:r>
        <w:t>’</w:t>
      </w:r>
      <w:r w:rsidRPr="004D3A17">
        <w:t>a</w:t>
      </w:r>
      <w:r>
        <w:t>rticle</w:t>
      </w:r>
      <w:r w:rsidR="00DD2DD7">
        <w:t> </w:t>
      </w:r>
      <w:r w:rsidRPr="004D3A17">
        <w:t>6</w:t>
      </w:r>
      <w:r>
        <w:t xml:space="preserve"> (par. 1)</w:t>
      </w:r>
      <w:r w:rsidRPr="004D3A17">
        <w:t xml:space="preserve"> du Pacte.</w:t>
      </w:r>
    </w:p>
    <w:p w14:paraId="386F437A" w14:textId="77777777" w:rsidR="0095715A" w:rsidRDefault="0095715A" w:rsidP="0095715A">
      <w:pPr>
        <w:pStyle w:val="SingleTxtG"/>
      </w:pPr>
      <w:r>
        <w:lastRenderedPageBreak/>
        <w:t>6.6</w:t>
      </w:r>
      <w:r>
        <w:tab/>
      </w:r>
      <w:r w:rsidRPr="004363EA">
        <w:t>Le Comité prend note des allégations supplémentaires de l</w:t>
      </w:r>
      <w:r>
        <w:t>’</w:t>
      </w:r>
      <w:r w:rsidRPr="004363EA">
        <w:t>auteur, sel</w:t>
      </w:r>
      <w:r>
        <w:t>on lesquelles Fateh</w:t>
      </w:r>
      <w:r w:rsidR="00DD2DD7">
        <w:t> </w:t>
      </w:r>
      <w:r>
        <w:t>Dafar</w:t>
      </w:r>
      <w:r w:rsidRPr="004363EA">
        <w:t xml:space="preserve"> a</w:t>
      </w:r>
      <w:r>
        <w:t>urait</w:t>
      </w:r>
      <w:r w:rsidRPr="004363EA">
        <w:t xml:space="preserve"> </w:t>
      </w:r>
      <w:r>
        <w:t xml:space="preserve">subi </w:t>
      </w:r>
      <w:r w:rsidRPr="0010467F">
        <w:t>des</w:t>
      </w:r>
      <w:r>
        <w:t xml:space="preserve"> actes de mauvais traitements et de torture avant son </w:t>
      </w:r>
      <w:r w:rsidRPr="004363EA">
        <w:t>exécution</w:t>
      </w:r>
      <w:r>
        <w:t>,</w:t>
      </w:r>
      <w:r w:rsidRPr="004363EA">
        <w:t xml:space="preserve"> et </w:t>
      </w:r>
      <w:r>
        <w:t>qu’</w:t>
      </w:r>
      <w:r w:rsidRPr="004363EA">
        <w:t>il a sans doute été victime d</w:t>
      </w:r>
      <w:r>
        <w:t>’</w:t>
      </w:r>
      <w:r w:rsidRPr="004363EA">
        <w:t>une détresse psychologique et d</w:t>
      </w:r>
      <w:r>
        <w:t>’</w:t>
      </w:r>
      <w:r w:rsidRPr="004363EA">
        <w:t>une souffrance morale aiguë</w:t>
      </w:r>
      <w:r>
        <w:t>s</w:t>
      </w:r>
      <w:r w:rsidRPr="004363EA">
        <w:t xml:space="preserve"> avant son exécution. L</w:t>
      </w:r>
      <w:r>
        <w:t>’</w:t>
      </w:r>
      <w:r w:rsidRPr="004363EA">
        <w:t>État partie n</w:t>
      </w:r>
      <w:r>
        <w:t>’</w:t>
      </w:r>
      <w:r w:rsidRPr="004363EA">
        <w:t>a apporté aucune information contredisant ces faits. Le Comité conclut à une violation de l</w:t>
      </w:r>
      <w:r>
        <w:t>’</w:t>
      </w:r>
      <w:r w:rsidRPr="004363EA">
        <w:t>article</w:t>
      </w:r>
      <w:r w:rsidR="00DD2DD7">
        <w:t> </w:t>
      </w:r>
      <w:r w:rsidRPr="004363EA">
        <w:t>7 du Pacte à l</w:t>
      </w:r>
      <w:r>
        <w:t>’</w:t>
      </w:r>
      <w:r w:rsidRPr="004363EA">
        <w:t xml:space="preserve">égard de </w:t>
      </w:r>
      <w:r>
        <w:t>Fateh</w:t>
      </w:r>
      <w:r w:rsidR="00DD2DD7">
        <w:t> </w:t>
      </w:r>
      <w:r>
        <w:t>Dafar</w:t>
      </w:r>
      <w:r w:rsidRPr="004363EA">
        <w:t>.</w:t>
      </w:r>
    </w:p>
    <w:p w14:paraId="1F7C7E1B" w14:textId="77777777" w:rsidR="0095715A" w:rsidRPr="00410779" w:rsidRDefault="0095715A" w:rsidP="0095715A">
      <w:pPr>
        <w:pStyle w:val="SingleTxtG"/>
      </w:pPr>
      <w:r>
        <w:t>6</w:t>
      </w:r>
      <w:r w:rsidRPr="00410779">
        <w:t>.7</w:t>
      </w:r>
      <w:r w:rsidRPr="00410779">
        <w:tab/>
        <w:t>Au vu de ce qui précède, le Comité n</w:t>
      </w:r>
      <w:r>
        <w:t>’</w:t>
      </w:r>
      <w:r w:rsidRPr="00410779">
        <w:t>examinera pas séparément les griefs tir</w:t>
      </w:r>
      <w:r>
        <w:t>és de la violation de l’article</w:t>
      </w:r>
      <w:r w:rsidR="00DD2DD7">
        <w:t> </w:t>
      </w:r>
      <w:r w:rsidRPr="00410779">
        <w:t>10 du Pacte</w:t>
      </w:r>
      <w:r w:rsidRPr="00D3513E">
        <w:rPr>
          <w:rStyle w:val="Appelnotedebasdep"/>
        </w:rPr>
        <w:footnoteReference w:id="22"/>
      </w:r>
      <w:r w:rsidRPr="00410779">
        <w:t>.</w:t>
      </w:r>
    </w:p>
    <w:p w14:paraId="05FEA309" w14:textId="77777777" w:rsidR="0095715A" w:rsidRDefault="0095715A" w:rsidP="0095715A">
      <w:pPr>
        <w:pStyle w:val="SingleTxtG"/>
      </w:pPr>
      <w:r>
        <w:t>6</w:t>
      </w:r>
      <w:r w:rsidRPr="00410779">
        <w:t>.8</w:t>
      </w:r>
      <w:r w:rsidRPr="00410779">
        <w:tab/>
        <w:t>Le Comité prend acte également de l</w:t>
      </w:r>
      <w:r>
        <w:t>’</w:t>
      </w:r>
      <w:r w:rsidRPr="00410779">
        <w:t xml:space="preserve">angoisse et de la détresse que </w:t>
      </w:r>
      <w:r>
        <w:t>l’exécution de Fateh</w:t>
      </w:r>
      <w:r w:rsidR="00DD2DD7">
        <w:t> </w:t>
      </w:r>
      <w:r>
        <w:t>Dafar</w:t>
      </w:r>
      <w:r w:rsidRPr="00410779">
        <w:t xml:space="preserve"> </w:t>
      </w:r>
      <w:r>
        <w:t>a causées</w:t>
      </w:r>
      <w:r w:rsidRPr="00410779">
        <w:t xml:space="preserve"> à l</w:t>
      </w:r>
      <w:r>
        <w:t>’</w:t>
      </w:r>
      <w:r w:rsidRPr="00410779">
        <w:t>auteur</w:t>
      </w:r>
      <w:r>
        <w:t xml:space="preserve"> et à sa famille, qui s’ajout</w:t>
      </w:r>
      <w:r w:rsidRPr="00FA4C14">
        <w:t>e</w:t>
      </w:r>
      <w:r>
        <w:t>nt</w:t>
      </w:r>
      <w:r w:rsidRPr="00FA4C14">
        <w:t xml:space="preserve"> au sentiment d</w:t>
      </w:r>
      <w:r>
        <w:t>’</w:t>
      </w:r>
      <w:r w:rsidRPr="00FA4C14">
        <w:t xml:space="preserve">impuissance pendant de longues années </w:t>
      </w:r>
      <w:r>
        <w:t>s’étalant</w:t>
      </w:r>
      <w:r w:rsidRPr="00FA4C14">
        <w:t xml:space="preserve"> de l</w:t>
      </w:r>
      <w:r>
        <w:t>’</w:t>
      </w:r>
      <w:r w:rsidRPr="00FA4C14">
        <w:t xml:space="preserve">arrestation du fils </w:t>
      </w:r>
      <w:r>
        <w:t xml:space="preserve">de l’auteur, en 1994, </w:t>
      </w:r>
      <w:r w:rsidRPr="00FA4C14">
        <w:t xml:space="preserve">à </w:t>
      </w:r>
      <w:r>
        <w:t>l’obtention par l’auteur du</w:t>
      </w:r>
      <w:r w:rsidRPr="00FA4C14">
        <w:t xml:space="preserve"> certificat de décès de son fils</w:t>
      </w:r>
      <w:r>
        <w:t>, après moult démarches, en 2007</w:t>
      </w:r>
      <w:r w:rsidRPr="00410779">
        <w:t xml:space="preserve">. </w:t>
      </w:r>
      <w:r>
        <w:t>Le Comité</w:t>
      </w:r>
      <w:r w:rsidRPr="00410779">
        <w:t xml:space="preserve"> considère que les faits dont il est saisi font appara</w:t>
      </w:r>
      <w:r>
        <w:t>ître une violation de l’article</w:t>
      </w:r>
      <w:r w:rsidR="00DD2DD7">
        <w:t> </w:t>
      </w:r>
      <w:r w:rsidRPr="00410779">
        <w:t>7 lu seul et conjo</w:t>
      </w:r>
      <w:r>
        <w:t>intement avec l’article</w:t>
      </w:r>
      <w:r w:rsidR="00DD2DD7">
        <w:t> </w:t>
      </w:r>
      <w:r>
        <w:t>2 (par.</w:t>
      </w:r>
      <w:r w:rsidR="00DD2DD7">
        <w:t> </w:t>
      </w:r>
      <w:r w:rsidRPr="00410779">
        <w:t>3) du Pacte à l</w:t>
      </w:r>
      <w:r>
        <w:t>’</w:t>
      </w:r>
      <w:r w:rsidRPr="00410779">
        <w:t>égard de l</w:t>
      </w:r>
      <w:r>
        <w:t>’</w:t>
      </w:r>
      <w:r w:rsidRPr="00410779">
        <w:t>auteur</w:t>
      </w:r>
      <w:r w:rsidRPr="00D3513E">
        <w:rPr>
          <w:rStyle w:val="Appelnotedebasdep"/>
        </w:rPr>
        <w:footnoteReference w:id="23"/>
      </w:r>
      <w:r w:rsidRPr="00410779">
        <w:t>.</w:t>
      </w:r>
    </w:p>
    <w:p w14:paraId="14C13FDA" w14:textId="77777777" w:rsidR="0095715A" w:rsidRDefault="0095715A" w:rsidP="0095715A">
      <w:pPr>
        <w:pStyle w:val="SingleTxtG"/>
      </w:pPr>
      <w:r>
        <w:t>6</w:t>
      </w:r>
      <w:r w:rsidRPr="00410779">
        <w:t>.9</w:t>
      </w:r>
      <w:r w:rsidRPr="00410779">
        <w:tab/>
        <w:t>En ce qui concerne les g</w:t>
      </w:r>
      <w:r>
        <w:t>riefs de violation de l’article</w:t>
      </w:r>
      <w:r w:rsidR="00DD2DD7">
        <w:t> </w:t>
      </w:r>
      <w:r w:rsidRPr="00410779">
        <w:t>9 du Pacte, le Comité prend note des allégations de l</w:t>
      </w:r>
      <w:r>
        <w:t>’</w:t>
      </w:r>
      <w:r w:rsidRPr="00410779">
        <w:t xml:space="preserve">auteur </w:t>
      </w:r>
      <w:r w:rsidR="00DD2DD7">
        <w:t>− </w:t>
      </w:r>
      <w:r w:rsidRPr="00ED0459">
        <w:t>confirmé</w:t>
      </w:r>
      <w:r>
        <w:t>e</w:t>
      </w:r>
      <w:r w:rsidRPr="00ED0459">
        <w:t>s par une attestation du Directeur des impôts de la wilaya de Jijel en date du 6</w:t>
      </w:r>
      <w:r w:rsidR="00DD2DD7">
        <w:t> </w:t>
      </w:r>
      <w:r w:rsidRPr="00ED0459">
        <w:t>mars 1995</w:t>
      </w:r>
      <w:r w:rsidR="00DD2DD7">
        <w:t> −</w:t>
      </w:r>
      <w:r w:rsidRPr="00ED0459">
        <w:t xml:space="preserve"> </w:t>
      </w:r>
      <w:r w:rsidRPr="00410779">
        <w:t xml:space="preserve">selon lesquelles </w:t>
      </w:r>
      <w:r>
        <w:t>Fateh</w:t>
      </w:r>
      <w:r w:rsidR="00DD2DD7">
        <w:t> </w:t>
      </w:r>
      <w:r>
        <w:t>Dafar</w:t>
      </w:r>
      <w:r w:rsidRPr="00410779">
        <w:t xml:space="preserve"> a été arrêté arbitrairement, sans mandat, et n</w:t>
      </w:r>
      <w:r>
        <w:t>’</w:t>
      </w:r>
      <w:r w:rsidRPr="00410779">
        <w:t xml:space="preserve">a été </w:t>
      </w:r>
      <w:r>
        <w:t xml:space="preserve">ni </w:t>
      </w:r>
      <w:r w:rsidRPr="00410779">
        <w:t>inculpé ni présenté devant une autorité judiciaire auprès de laquelle il aurait pu contester la légalité de sa détention. L</w:t>
      </w:r>
      <w:r>
        <w:t>’</w:t>
      </w:r>
      <w:r w:rsidRPr="00410779">
        <w:t>État partie n</w:t>
      </w:r>
      <w:r>
        <w:t>’</w:t>
      </w:r>
      <w:r w:rsidRPr="00410779">
        <w:t>ayant communiqué aucune information à ce sujet, le Comité considère qu</w:t>
      </w:r>
      <w:r>
        <w:t>’</w:t>
      </w:r>
      <w:r w:rsidRPr="00410779">
        <w:t>il convient d</w:t>
      </w:r>
      <w:r>
        <w:t>’</w:t>
      </w:r>
      <w:r w:rsidRPr="00410779">
        <w:t>accorder le crédit voulu aux allégations de l</w:t>
      </w:r>
      <w:r>
        <w:t>’</w:t>
      </w:r>
      <w:r w:rsidRPr="00410779">
        <w:t>auteur</w:t>
      </w:r>
      <w:r w:rsidRPr="00D3513E">
        <w:rPr>
          <w:rStyle w:val="Appelnotedebasdep"/>
        </w:rPr>
        <w:footnoteReference w:id="24"/>
      </w:r>
      <w:r w:rsidRPr="00410779">
        <w:t>. Le Comité conclut do</w:t>
      </w:r>
      <w:r>
        <w:t>nc à une violation de l’article</w:t>
      </w:r>
      <w:r w:rsidR="00DD2DD7">
        <w:t> </w:t>
      </w:r>
      <w:r w:rsidRPr="00410779">
        <w:t>9 du P</w:t>
      </w:r>
      <w:r>
        <w:t>acte à l’égard de Fateh</w:t>
      </w:r>
      <w:r w:rsidR="00DD2DD7">
        <w:t> </w:t>
      </w:r>
      <w:r>
        <w:t>Dafar</w:t>
      </w:r>
      <w:r w:rsidRPr="00D3513E">
        <w:rPr>
          <w:rStyle w:val="Appelnotedebasdep"/>
        </w:rPr>
        <w:footnoteReference w:id="25"/>
      </w:r>
      <w:r w:rsidRPr="00410779">
        <w:t>.</w:t>
      </w:r>
    </w:p>
    <w:p w14:paraId="54BB4EC8" w14:textId="77777777" w:rsidR="0095715A" w:rsidRDefault="0095715A" w:rsidP="0095715A">
      <w:pPr>
        <w:pStyle w:val="SingleTxtG"/>
        <w:rPr>
          <w:lang w:val="fr-FR"/>
        </w:rPr>
      </w:pPr>
      <w:r>
        <w:t>6.10</w:t>
      </w:r>
      <w:r w:rsidRPr="00410779">
        <w:tab/>
        <w:t>L</w:t>
      </w:r>
      <w:r>
        <w:t>’</w:t>
      </w:r>
      <w:r w:rsidRPr="00410779">
        <w:t xml:space="preserve">auteur </w:t>
      </w:r>
      <w:r>
        <w:t>invoque également l’article</w:t>
      </w:r>
      <w:r w:rsidR="00DD2DD7">
        <w:t> </w:t>
      </w:r>
      <w:r w:rsidRPr="00410779">
        <w:t>2</w:t>
      </w:r>
      <w:r>
        <w:t xml:space="preserve"> (par. 3)</w:t>
      </w:r>
      <w:r w:rsidRPr="00410779">
        <w:t xml:space="preserve"> du Pacte, qui impose aux États parties l</w:t>
      </w:r>
      <w:r>
        <w:t>’</w:t>
      </w:r>
      <w:r w:rsidRPr="00410779">
        <w:t>obligation de garantir à toute personne des recours accessibles, utiles et exécutoires pour faire valoir les droits garantis par le Pacte. Le Comité rappelle qu</w:t>
      </w:r>
      <w:r>
        <w:t>’</w:t>
      </w:r>
      <w:r w:rsidRPr="00410779">
        <w:t>il attache de l</w:t>
      </w:r>
      <w:r>
        <w:t>’</w:t>
      </w:r>
      <w:r w:rsidRPr="00410779">
        <w:t>importance à la mise en place, par les États parties, de mécanismes juridictionnels et administratifs appropriés pour</w:t>
      </w:r>
      <w:r>
        <w:t xml:space="preserve"> examiner les plaintes faisant é</w:t>
      </w:r>
      <w:r w:rsidRPr="00410779">
        <w:t>tat de violations des droits</w:t>
      </w:r>
      <w:r w:rsidRPr="00410779">
        <w:rPr>
          <w:lang w:val="fr-FR"/>
        </w:rPr>
        <w:t xml:space="preserve"> garantis par le Pacte</w:t>
      </w:r>
      <w:r w:rsidRPr="00D3513E">
        <w:rPr>
          <w:rStyle w:val="Appelnotedebasdep"/>
        </w:rPr>
        <w:footnoteReference w:id="26"/>
      </w:r>
      <w:r w:rsidRPr="00410779">
        <w:rPr>
          <w:lang w:val="fr-FR"/>
        </w:rPr>
        <w:t>. Il rappelle son observation générale n</w:t>
      </w:r>
      <w:r w:rsidRPr="00410779">
        <w:rPr>
          <w:vertAlign w:val="superscript"/>
          <w:lang w:val="fr-FR"/>
        </w:rPr>
        <w:t>o</w:t>
      </w:r>
      <w:r w:rsidR="00DD2DD7">
        <w:rPr>
          <w:lang w:val="fr-FR"/>
        </w:rPr>
        <w:t> </w:t>
      </w:r>
      <w:r w:rsidRPr="00410779">
        <w:rPr>
          <w:lang w:val="fr-FR"/>
        </w:rPr>
        <w:t>31 (2004), dans laquelle il indique notamment que le fait pour un État partie de ne pas mener d</w:t>
      </w:r>
      <w:r>
        <w:rPr>
          <w:lang w:val="fr-FR"/>
        </w:rPr>
        <w:t>’</w:t>
      </w:r>
      <w:r w:rsidRPr="00410779">
        <w:rPr>
          <w:lang w:val="fr-FR"/>
        </w:rPr>
        <w:t>enquête sur des violations présumées pourrait en soi donner lieu à un</w:t>
      </w:r>
      <w:r>
        <w:rPr>
          <w:lang w:val="fr-FR"/>
        </w:rPr>
        <w:t>e violation distincte du Pacte.</w:t>
      </w:r>
    </w:p>
    <w:p w14:paraId="30CA3E87" w14:textId="77777777" w:rsidR="0095715A" w:rsidRPr="00410779" w:rsidRDefault="0095715A" w:rsidP="0095715A">
      <w:pPr>
        <w:pStyle w:val="SingleTxtG"/>
        <w:rPr>
          <w:lang w:val="fr-FR"/>
        </w:rPr>
      </w:pPr>
      <w:r>
        <w:rPr>
          <w:lang w:val="fr-FR"/>
        </w:rPr>
        <w:t>6.11</w:t>
      </w:r>
      <w:r>
        <w:rPr>
          <w:lang w:val="fr-FR"/>
        </w:rPr>
        <w:tab/>
      </w:r>
      <w:r w:rsidRPr="00AC6B30">
        <w:t>En l</w:t>
      </w:r>
      <w:r>
        <w:t xml:space="preserve">’espèce, l’auteur </w:t>
      </w:r>
      <w:r w:rsidRPr="00AC6B30">
        <w:t xml:space="preserve">a demandé </w:t>
      </w:r>
      <w:r>
        <w:t xml:space="preserve">à plusieurs reprises </w:t>
      </w:r>
      <w:r w:rsidRPr="00AC6B30">
        <w:t>l</w:t>
      </w:r>
      <w:r>
        <w:t>’</w:t>
      </w:r>
      <w:r w:rsidRPr="00AC6B30">
        <w:t>ouverture d</w:t>
      </w:r>
      <w:r>
        <w:t>’</w:t>
      </w:r>
      <w:r w:rsidRPr="00AC6B30">
        <w:t xml:space="preserve">une enquête </w:t>
      </w:r>
      <w:r>
        <w:t>sur l’exécution de son fils</w:t>
      </w:r>
      <w:r w:rsidRPr="00AC6B30">
        <w:t>, pou</w:t>
      </w:r>
      <w:r>
        <w:t>r éclaircir les circonstances de son</w:t>
      </w:r>
      <w:r w:rsidRPr="00AC6B30">
        <w:t xml:space="preserve"> décès. Au lieu de diligenter une telle enquête, et </w:t>
      </w:r>
      <w:r>
        <w:t>alors</w:t>
      </w:r>
      <w:r w:rsidRPr="00AC6B30">
        <w:t xml:space="preserve"> que</w:t>
      </w:r>
      <w:r>
        <w:t>,</w:t>
      </w:r>
      <w:r w:rsidRPr="00AC6B30">
        <w:t xml:space="preserve"> de toute évidence</w:t>
      </w:r>
      <w:r>
        <w:t>,</w:t>
      </w:r>
      <w:r w:rsidRPr="00AC6B30">
        <w:t xml:space="preserve"> il s</w:t>
      </w:r>
      <w:r>
        <w:t>’</w:t>
      </w:r>
      <w:r w:rsidRPr="00AC6B30">
        <w:t>agissait d</w:t>
      </w:r>
      <w:r>
        <w:t>’</w:t>
      </w:r>
      <w:r w:rsidRPr="00AC6B30">
        <w:t>une exécution extrajudiciaire perpétrée par des membres de l</w:t>
      </w:r>
      <w:r>
        <w:t>a gendarmerie</w:t>
      </w:r>
      <w:r w:rsidRPr="00AC6B30">
        <w:t xml:space="preserve">, </w:t>
      </w:r>
      <w:r>
        <w:t>les autorités algériennes ont refusé l’ouverture d’une enquête. Le 5</w:t>
      </w:r>
      <w:r w:rsidR="00DD2DD7">
        <w:t> </w:t>
      </w:r>
      <w:r>
        <w:t xml:space="preserve">mai 2006, </w:t>
      </w:r>
      <w:r w:rsidRPr="00AC6B30">
        <w:t xml:space="preserve">la gendarmerie nationale </w:t>
      </w:r>
      <w:r>
        <w:t xml:space="preserve">a même délivré </w:t>
      </w:r>
      <w:r w:rsidRPr="00AC6B30">
        <w:t xml:space="preserve">un </w:t>
      </w:r>
      <w:r>
        <w:t xml:space="preserve">procès-verbal de </w:t>
      </w:r>
      <w:r w:rsidRPr="00AC6B30">
        <w:t xml:space="preserve">constat </w:t>
      </w:r>
      <w:r>
        <w:t>établissant que Fateh</w:t>
      </w:r>
      <w:r w:rsidR="00DD2DD7">
        <w:t> </w:t>
      </w:r>
      <w:r>
        <w:t>Dafar</w:t>
      </w:r>
      <w:r w:rsidRPr="00AC6B30">
        <w:t xml:space="preserve"> avait disparu. </w:t>
      </w:r>
      <w:r>
        <w:t>Ensuite, sur insistance de l’auteur, la gendarmerie a délivré le 13</w:t>
      </w:r>
      <w:r w:rsidR="00DD2DD7">
        <w:t> </w:t>
      </w:r>
      <w:r>
        <w:t>janvier 2007 un certificat de décès, sans pour autant en indiquer les causes et les circonstances, tout en mentionnant que Fateh</w:t>
      </w:r>
      <w:r w:rsidR="00DD2DD7">
        <w:t> </w:t>
      </w:r>
      <w:r>
        <w:t>Dafar avait été trouvé mort sur une plage.</w:t>
      </w:r>
      <w:r w:rsidRPr="00AC6B30">
        <w:t xml:space="preserve"> Le Comité relève qu</w:t>
      </w:r>
      <w:r>
        <w:t>’</w:t>
      </w:r>
      <w:r w:rsidRPr="00AC6B30">
        <w:t>aucune enquête n</w:t>
      </w:r>
      <w:r>
        <w:t>’</w:t>
      </w:r>
      <w:r w:rsidRPr="00AC6B30">
        <w:t xml:space="preserve">a </w:t>
      </w:r>
      <w:r>
        <w:t xml:space="preserve">pourtant </w:t>
      </w:r>
      <w:r w:rsidRPr="00AC6B30">
        <w:t>été diligentée par les instances judiciaires compétentes, alors qu</w:t>
      </w:r>
      <w:r>
        <w:t>’</w:t>
      </w:r>
      <w:r w:rsidRPr="00AC6B30">
        <w:t>elles ne pouvaient ignorer les faits</w:t>
      </w:r>
      <w:r>
        <w:t>.</w:t>
      </w:r>
      <w:r w:rsidRPr="00AC6B30">
        <w:t xml:space="preserve"> </w:t>
      </w:r>
      <w:r>
        <w:t>Il relève également</w:t>
      </w:r>
      <w:r w:rsidRPr="00AC6B30">
        <w:t xml:space="preserve"> que les responsables n</w:t>
      </w:r>
      <w:r>
        <w:t>’</w:t>
      </w:r>
      <w:r w:rsidRPr="00AC6B30">
        <w:t xml:space="preserve">ont pas été poursuivis, alors que les suspects présumés faisaient vraisemblablement partie de </w:t>
      </w:r>
      <w:r>
        <w:t>la brigade de gendarmerie nationale d’El</w:t>
      </w:r>
      <w:r w:rsidR="00DD2DD7">
        <w:t> </w:t>
      </w:r>
      <w:r>
        <w:t xml:space="preserve">Aouana, commandée par le capitaine B., et </w:t>
      </w:r>
      <w:r w:rsidRPr="00AC6B30">
        <w:t xml:space="preserve">étaient de la sorte facilement identifiables. Le Comité conclut que les faits dont il est saisi font apparaître une violation </w:t>
      </w:r>
      <w:r w:rsidRPr="00410779">
        <w:rPr>
          <w:lang w:val="fr-FR"/>
        </w:rPr>
        <w:t>d</w:t>
      </w:r>
      <w:r>
        <w:rPr>
          <w:lang w:val="fr-FR"/>
        </w:rPr>
        <w:t>e l’article</w:t>
      </w:r>
      <w:r w:rsidR="00DD2DD7">
        <w:rPr>
          <w:lang w:val="fr-FR"/>
        </w:rPr>
        <w:t> </w:t>
      </w:r>
      <w:r>
        <w:rPr>
          <w:lang w:val="fr-FR"/>
        </w:rPr>
        <w:t>2 (par.</w:t>
      </w:r>
      <w:r w:rsidR="00DD2DD7">
        <w:rPr>
          <w:lang w:val="fr-FR"/>
        </w:rPr>
        <w:t> </w:t>
      </w:r>
      <w:r w:rsidRPr="00410779">
        <w:rPr>
          <w:lang w:val="fr-FR"/>
        </w:rPr>
        <w:t>3) lu conjo</w:t>
      </w:r>
      <w:r>
        <w:rPr>
          <w:lang w:val="fr-FR"/>
        </w:rPr>
        <w:t>intement avec les articles</w:t>
      </w:r>
      <w:r w:rsidR="00DD2DD7">
        <w:rPr>
          <w:lang w:val="fr-FR"/>
        </w:rPr>
        <w:t> </w:t>
      </w:r>
      <w:r>
        <w:rPr>
          <w:lang w:val="fr-FR"/>
        </w:rPr>
        <w:t>6, 7 et</w:t>
      </w:r>
      <w:r w:rsidRPr="00410779">
        <w:rPr>
          <w:lang w:val="fr-FR"/>
        </w:rPr>
        <w:t xml:space="preserve"> 9 du Pacte à l</w:t>
      </w:r>
      <w:r>
        <w:rPr>
          <w:lang w:val="fr-FR"/>
        </w:rPr>
        <w:t>’</w:t>
      </w:r>
      <w:r w:rsidRPr="00410779">
        <w:rPr>
          <w:lang w:val="fr-FR"/>
        </w:rPr>
        <w:t xml:space="preserve">égard de </w:t>
      </w:r>
      <w:r w:rsidRPr="00685D38">
        <w:rPr>
          <w:lang w:val="fr-FR"/>
        </w:rPr>
        <w:t>Fateh</w:t>
      </w:r>
      <w:r w:rsidR="00DD2DD7">
        <w:rPr>
          <w:lang w:val="fr-FR"/>
        </w:rPr>
        <w:t> </w:t>
      </w:r>
      <w:r w:rsidRPr="00685D38">
        <w:rPr>
          <w:lang w:val="fr-FR"/>
        </w:rPr>
        <w:t>Dafar</w:t>
      </w:r>
      <w:r>
        <w:rPr>
          <w:lang w:val="fr-FR"/>
        </w:rPr>
        <w:t>, et de l’article</w:t>
      </w:r>
      <w:r w:rsidR="00DD2DD7">
        <w:rPr>
          <w:lang w:val="fr-FR"/>
        </w:rPr>
        <w:t> </w:t>
      </w:r>
      <w:r>
        <w:rPr>
          <w:lang w:val="fr-FR"/>
        </w:rPr>
        <w:t>2 (par.</w:t>
      </w:r>
      <w:r w:rsidR="00DD2DD7">
        <w:rPr>
          <w:lang w:val="fr-FR"/>
        </w:rPr>
        <w:t> </w:t>
      </w:r>
      <w:r w:rsidRPr="00410779">
        <w:rPr>
          <w:lang w:val="fr-FR"/>
        </w:rPr>
        <w:t xml:space="preserve">3) </w:t>
      </w:r>
      <w:r>
        <w:rPr>
          <w:lang w:val="fr-FR"/>
        </w:rPr>
        <w:t>lu conjointement avec l’article</w:t>
      </w:r>
      <w:r w:rsidR="00DD2DD7">
        <w:rPr>
          <w:lang w:val="fr-FR"/>
        </w:rPr>
        <w:t> </w:t>
      </w:r>
      <w:r w:rsidRPr="00410779">
        <w:rPr>
          <w:lang w:val="fr-FR"/>
        </w:rPr>
        <w:t>7 du Pacte à l</w:t>
      </w:r>
      <w:r>
        <w:rPr>
          <w:lang w:val="fr-FR"/>
        </w:rPr>
        <w:t>’</w:t>
      </w:r>
      <w:r w:rsidRPr="00410779">
        <w:rPr>
          <w:lang w:val="fr-FR"/>
        </w:rPr>
        <w:t>égard de l</w:t>
      </w:r>
      <w:r>
        <w:rPr>
          <w:lang w:val="fr-FR"/>
        </w:rPr>
        <w:t>’</w:t>
      </w:r>
      <w:r w:rsidRPr="00410779">
        <w:rPr>
          <w:lang w:val="fr-FR"/>
        </w:rPr>
        <w:t>auteur.</w:t>
      </w:r>
    </w:p>
    <w:p w14:paraId="59CD7BC9" w14:textId="77777777" w:rsidR="0095715A" w:rsidRPr="00410779" w:rsidRDefault="0095715A" w:rsidP="0095715A">
      <w:pPr>
        <w:pStyle w:val="SingleTxtG"/>
        <w:rPr>
          <w:lang w:val="fr-FR"/>
        </w:rPr>
      </w:pPr>
      <w:r>
        <w:rPr>
          <w:lang w:val="fr-FR"/>
        </w:rPr>
        <w:lastRenderedPageBreak/>
        <w:t>7</w:t>
      </w:r>
      <w:r w:rsidRPr="00410779">
        <w:rPr>
          <w:lang w:val="fr-FR"/>
        </w:rPr>
        <w:t>.</w:t>
      </w:r>
      <w:r w:rsidRPr="00410779">
        <w:rPr>
          <w:lang w:val="fr-FR"/>
        </w:rPr>
        <w:tab/>
        <w:t>Le Comité, agissant en ver</w:t>
      </w:r>
      <w:r>
        <w:rPr>
          <w:lang w:val="fr-FR"/>
        </w:rPr>
        <w:t>tu de l’article</w:t>
      </w:r>
      <w:r w:rsidR="00DD2DD7">
        <w:rPr>
          <w:lang w:val="fr-FR"/>
        </w:rPr>
        <w:t> </w:t>
      </w:r>
      <w:r w:rsidRPr="00410779">
        <w:rPr>
          <w:lang w:val="fr-FR"/>
        </w:rPr>
        <w:t>5</w:t>
      </w:r>
      <w:r>
        <w:rPr>
          <w:lang w:val="fr-FR"/>
        </w:rPr>
        <w:t xml:space="preserve"> (par. 4)</w:t>
      </w:r>
      <w:r w:rsidRPr="00410779">
        <w:rPr>
          <w:lang w:val="fr-FR"/>
        </w:rPr>
        <w:t xml:space="preserve"> du Protocole facultatif, constate que les faits dont il est saisi font apparaître des violations par </w:t>
      </w:r>
      <w:r>
        <w:rPr>
          <w:lang w:val="fr-FR"/>
        </w:rPr>
        <w:t>l’État partie des articles</w:t>
      </w:r>
      <w:r w:rsidR="00DD2DD7">
        <w:rPr>
          <w:lang w:val="fr-FR"/>
        </w:rPr>
        <w:t> </w:t>
      </w:r>
      <w:r>
        <w:rPr>
          <w:lang w:val="fr-FR"/>
        </w:rPr>
        <w:t>6, 7 et</w:t>
      </w:r>
      <w:r w:rsidRPr="00410779">
        <w:rPr>
          <w:lang w:val="fr-FR"/>
        </w:rPr>
        <w:t xml:space="preserve"> 9 d</w:t>
      </w:r>
      <w:r>
        <w:rPr>
          <w:lang w:val="fr-FR"/>
        </w:rPr>
        <w:t>u Pacte, ainsi que de l’article</w:t>
      </w:r>
      <w:r w:rsidR="00DD2DD7">
        <w:rPr>
          <w:lang w:val="fr-FR"/>
        </w:rPr>
        <w:t> </w:t>
      </w:r>
      <w:r>
        <w:rPr>
          <w:lang w:val="fr-FR"/>
        </w:rPr>
        <w:t>2 (par.</w:t>
      </w:r>
      <w:r w:rsidR="00DD2DD7">
        <w:rPr>
          <w:lang w:val="fr-FR"/>
        </w:rPr>
        <w:t> </w:t>
      </w:r>
      <w:r w:rsidRPr="00410779">
        <w:rPr>
          <w:lang w:val="fr-FR"/>
        </w:rPr>
        <w:t>3) lu conjo</w:t>
      </w:r>
      <w:r>
        <w:rPr>
          <w:lang w:val="fr-FR"/>
        </w:rPr>
        <w:t>intement avec les articles</w:t>
      </w:r>
      <w:r w:rsidR="00DD2DD7">
        <w:rPr>
          <w:lang w:val="fr-FR"/>
        </w:rPr>
        <w:t> </w:t>
      </w:r>
      <w:r>
        <w:rPr>
          <w:lang w:val="fr-FR"/>
        </w:rPr>
        <w:t>6, 7 et</w:t>
      </w:r>
      <w:r w:rsidRPr="00410779">
        <w:rPr>
          <w:lang w:val="fr-FR"/>
        </w:rPr>
        <w:t xml:space="preserve"> 9 du P</w:t>
      </w:r>
      <w:r>
        <w:rPr>
          <w:lang w:val="fr-FR"/>
        </w:rPr>
        <w:t>acte à l’égard de Fateh</w:t>
      </w:r>
      <w:r w:rsidR="00DD2DD7">
        <w:rPr>
          <w:lang w:val="fr-FR"/>
        </w:rPr>
        <w:t> </w:t>
      </w:r>
      <w:r>
        <w:rPr>
          <w:lang w:val="fr-FR"/>
        </w:rPr>
        <w:t>Dafar</w:t>
      </w:r>
      <w:r w:rsidRPr="00410779">
        <w:rPr>
          <w:lang w:val="fr-FR"/>
        </w:rPr>
        <w:t>. Il constate en outre une violation</w:t>
      </w:r>
      <w:r>
        <w:rPr>
          <w:lang w:val="fr-FR"/>
        </w:rPr>
        <w:t xml:space="preserve"> par l’État partie de l’article</w:t>
      </w:r>
      <w:r w:rsidR="00DD2DD7">
        <w:rPr>
          <w:lang w:val="fr-FR"/>
        </w:rPr>
        <w:t> </w:t>
      </w:r>
      <w:r w:rsidRPr="00410779">
        <w:rPr>
          <w:lang w:val="fr-FR"/>
        </w:rPr>
        <w:t>7 lu seul et conjo</w:t>
      </w:r>
      <w:r>
        <w:rPr>
          <w:lang w:val="fr-FR"/>
        </w:rPr>
        <w:t>intement avec l’article</w:t>
      </w:r>
      <w:r w:rsidR="00DD2DD7">
        <w:rPr>
          <w:lang w:val="fr-FR"/>
        </w:rPr>
        <w:t> </w:t>
      </w:r>
      <w:r>
        <w:rPr>
          <w:lang w:val="fr-FR"/>
        </w:rPr>
        <w:t>2 (par.</w:t>
      </w:r>
      <w:r w:rsidR="00DD2DD7">
        <w:rPr>
          <w:lang w:val="fr-FR"/>
        </w:rPr>
        <w:t> </w:t>
      </w:r>
      <w:r w:rsidRPr="00410779">
        <w:rPr>
          <w:lang w:val="fr-FR"/>
        </w:rPr>
        <w:t>3) du Pacte à l</w:t>
      </w:r>
      <w:r>
        <w:rPr>
          <w:lang w:val="fr-FR"/>
        </w:rPr>
        <w:t>’</w:t>
      </w:r>
      <w:r w:rsidRPr="00410779">
        <w:rPr>
          <w:lang w:val="fr-FR"/>
        </w:rPr>
        <w:t>égard de l</w:t>
      </w:r>
      <w:r>
        <w:rPr>
          <w:lang w:val="fr-FR"/>
        </w:rPr>
        <w:t>’</w:t>
      </w:r>
      <w:r w:rsidRPr="00410779">
        <w:rPr>
          <w:lang w:val="fr-FR"/>
        </w:rPr>
        <w:t>auteur.</w:t>
      </w:r>
    </w:p>
    <w:p w14:paraId="3B12B772" w14:textId="77777777" w:rsidR="0095715A" w:rsidRPr="00410779" w:rsidRDefault="0095715A" w:rsidP="0095715A">
      <w:pPr>
        <w:pStyle w:val="SingleTxtG"/>
      </w:pPr>
      <w:r>
        <w:rPr>
          <w:lang w:val="fr-FR"/>
        </w:rPr>
        <w:t>8</w:t>
      </w:r>
      <w:r w:rsidRPr="00410779">
        <w:rPr>
          <w:lang w:val="fr-FR"/>
        </w:rPr>
        <w:t>.</w:t>
      </w:r>
      <w:r w:rsidRPr="00410779">
        <w:rPr>
          <w:lang w:val="fr-FR"/>
        </w:rPr>
        <w:tab/>
      </w:r>
      <w:r>
        <w:t>Conformément à</w:t>
      </w:r>
      <w:r w:rsidRPr="00AF3DBD">
        <w:t xml:space="preserve"> l</w:t>
      </w:r>
      <w:r>
        <w:t>’</w:t>
      </w:r>
      <w:r w:rsidRPr="00AF3DBD">
        <w:t>article</w:t>
      </w:r>
      <w:r w:rsidR="00DD2DD7">
        <w:t> </w:t>
      </w:r>
      <w:r w:rsidRPr="00AF3DBD">
        <w:t>2</w:t>
      </w:r>
      <w:r>
        <w:t xml:space="preserve"> (par. 3 a))</w:t>
      </w:r>
      <w:r w:rsidRPr="00AF3DBD">
        <w:t xml:space="preserve"> du Pacte, l</w:t>
      </w:r>
      <w:r>
        <w:t>’</w:t>
      </w:r>
      <w:r w:rsidRPr="00AF3DBD">
        <w:t>État partie est tenu d</w:t>
      </w:r>
      <w:r>
        <w:t>’</w:t>
      </w:r>
      <w:r w:rsidRPr="00AF3DBD">
        <w:t>assurer à l</w:t>
      </w:r>
      <w:r>
        <w:t>’</w:t>
      </w:r>
      <w:r w:rsidRPr="00AF3DBD">
        <w:t xml:space="preserve">auteur un recours utile. </w:t>
      </w:r>
      <w:r>
        <w:t>Il a l’obligation d’accorder une</w:t>
      </w:r>
      <w:r w:rsidRPr="00AF3DBD">
        <w:t xml:space="preserve"> réparation intégrale aux </w:t>
      </w:r>
      <w:r>
        <w:t>individus</w:t>
      </w:r>
      <w:r w:rsidRPr="00AF3DBD">
        <w:t xml:space="preserve"> dont les droits </w:t>
      </w:r>
      <w:r>
        <w:t>garantis</w:t>
      </w:r>
      <w:r w:rsidRPr="00AF3DBD">
        <w:t xml:space="preserve"> par le Pacte ont été violés. En l</w:t>
      </w:r>
      <w:r>
        <w:t>’</w:t>
      </w:r>
      <w:r w:rsidRPr="00AF3DBD">
        <w:t>espèce,</w:t>
      </w:r>
      <w:r>
        <w:t xml:space="preserve"> l’État partie est tenu : a)</w:t>
      </w:r>
      <w:r w:rsidR="00DD2DD7">
        <w:t> </w:t>
      </w:r>
      <w:r>
        <w:t xml:space="preserve">de </w:t>
      </w:r>
      <w:r w:rsidRPr="004314E0">
        <w:t>mener sans délai une enquête effective</w:t>
      </w:r>
      <w:r>
        <w:t>,</w:t>
      </w:r>
      <w:r w:rsidRPr="00AF3DBD">
        <w:t xml:space="preserve"> approfondie</w:t>
      </w:r>
      <w:r>
        <w:t>,</w:t>
      </w:r>
      <w:r w:rsidRPr="00AF3DBD">
        <w:t xml:space="preserve"> rigoureuse</w:t>
      </w:r>
      <w:r>
        <w:t>,</w:t>
      </w:r>
      <w:r w:rsidRPr="00AF3DBD">
        <w:t xml:space="preserve"> </w:t>
      </w:r>
      <w:r w:rsidRPr="004314E0">
        <w:t>indépendante</w:t>
      </w:r>
      <w:r>
        <w:t>,</w:t>
      </w:r>
      <w:r w:rsidRPr="004314E0">
        <w:t xml:space="preserve"> impartiale </w:t>
      </w:r>
      <w:r>
        <w:t xml:space="preserve">et </w:t>
      </w:r>
      <w:r w:rsidRPr="004314E0">
        <w:t xml:space="preserve">transparente </w:t>
      </w:r>
      <w:r w:rsidRPr="00AF3DBD">
        <w:t>sur l</w:t>
      </w:r>
      <w:r>
        <w:t>’</w:t>
      </w:r>
      <w:r w:rsidRPr="00AF3DBD">
        <w:t>exécution sommair</w:t>
      </w:r>
      <w:r>
        <w:t>e présumée de Fateh</w:t>
      </w:r>
      <w:r w:rsidR="00DD2DD7">
        <w:t> </w:t>
      </w:r>
      <w:r>
        <w:t>Dafar ; b)</w:t>
      </w:r>
      <w:r w:rsidR="00DD2DD7">
        <w:t> </w:t>
      </w:r>
      <w:r>
        <w:t xml:space="preserve">de </w:t>
      </w:r>
      <w:r w:rsidRPr="00AF3DBD">
        <w:t>fournir à sa famille des informations détaillées quant aux résultats de cette enquête ; c)</w:t>
      </w:r>
      <w:r w:rsidR="00DD2DD7">
        <w:t> </w:t>
      </w:r>
      <w:r>
        <w:t xml:space="preserve">de </w:t>
      </w:r>
      <w:r w:rsidRPr="00AF3DBD">
        <w:t xml:space="preserve">poursuivre, </w:t>
      </w:r>
      <w:r>
        <w:t xml:space="preserve">de </w:t>
      </w:r>
      <w:r w:rsidRPr="00AF3DBD">
        <w:t xml:space="preserve">juger et </w:t>
      </w:r>
      <w:r>
        <w:t xml:space="preserve">de </w:t>
      </w:r>
      <w:r w:rsidRPr="00AF3DBD">
        <w:t>punir les responsabl</w:t>
      </w:r>
      <w:r>
        <w:t>es des violations commises ; et d)</w:t>
      </w:r>
      <w:r w:rsidR="00DD2DD7">
        <w:t> </w:t>
      </w:r>
      <w:r>
        <w:t xml:space="preserve">de </w:t>
      </w:r>
      <w:r w:rsidRPr="00FE306A">
        <w:t>fournir à la famille de la victime une indemnité adéquate</w:t>
      </w:r>
      <w:r w:rsidRPr="00AF3DBD">
        <w:t>.</w:t>
      </w:r>
      <w:r w:rsidRPr="00410779">
        <w:rPr>
          <w:lang w:val="fr-FR"/>
        </w:rPr>
        <w:t xml:space="preserve"> Nonobstant l</w:t>
      </w:r>
      <w:r>
        <w:rPr>
          <w:lang w:val="fr-FR"/>
        </w:rPr>
        <w:t>’</w:t>
      </w:r>
      <w:r w:rsidRPr="00410779">
        <w:rPr>
          <w:lang w:val="fr-FR"/>
        </w:rPr>
        <w:t>ordonnance n</w:t>
      </w:r>
      <w:r w:rsidRPr="00410779">
        <w:rPr>
          <w:vertAlign w:val="superscript"/>
          <w:lang w:val="fr-FR"/>
        </w:rPr>
        <w:t>o</w:t>
      </w:r>
      <w:r w:rsidR="00DD2DD7">
        <w:rPr>
          <w:lang w:val="fr-FR"/>
        </w:rPr>
        <w:t> </w:t>
      </w:r>
      <w:r w:rsidRPr="00410779">
        <w:rPr>
          <w:lang w:val="fr-FR"/>
        </w:rPr>
        <w:t>06-01, l</w:t>
      </w:r>
      <w:r>
        <w:rPr>
          <w:lang w:val="fr-FR"/>
        </w:rPr>
        <w:t>’</w:t>
      </w:r>
      <w:r w:rsidRPr="00410779">
        <w:rPr>
          <w:lang w:val="fr-FR"/>
        </w:rPr>
        <w:t>État partie devrait également veiller à ne pas entraver le droit à un recours utile pour les victimes de crimes tels que la torture, les exécutions extrajudiciaires et les disparitions forcées. Il est en outre tenu de prendre des mesures pour empêcher que des violations analogues se reproduisent à l</w:t>
      </w:r>
      <w:r>
        <w:rPr>
          <w:lang w:val="fr-FR"/>
        </w:rPr>
        <w:t>’</w:t>
      </w:r>
      <w:r w:rsidRPr="00410779">
        <w:rPr>
          <w:lang w:val="fr-FR"/>
        </w:rPr>
        <w:t xml:space="preserve">avenir. </w:t>
      </w:r>
      <w:r w:rsidRPr="00410779">
        <w:t>À cet effet, le Comité est d</w:t>
      </w:r>
      <w:r>
        <w:t>’</w:t>
      </w:r>
      <w:r w:rsidRPr="00410779">
        <w:t>avis que l</w:t>
      </w:r>
      <w:r>
        <w:t>’</w:t>
      </w:r>
      <w:r w:rsidRPr="00410779">
        <w:t xml:space="preserve">État partie devrait revoir sa législation </w:t>
      </w:r>
      <w:r>
        <w:t xml:space="preserve">conformément à </w:t>
      </w:r>
      <w:r w:rsidRPr="00410779">
        <w:t>l</w:t>
      </w:r>
      <w:r>
        <w:t>’</w:t>
      </w:r>
      <w:r w:rsidRPr="00410779">
        <w:t xml:space="preserve">obligation </w:t>
      </w:r>
      <w:r>
        <w:t>issue de l’article</w:t>
      </w:r>
      <w:r w:rsidR="00DD2DD7">
        <w:t> </w:t>
      </w:r>
      <w:r w:rsidRPr="00410779">
        <w:t>2</w:t>
      </w:r>
      <w:r>
        <w:t xml:space="preserve"> (par. 2)</w:t>
      </w:r>
      <w:r w:rsidRPr="00410779">
        <w:t xml:space="preserve"> du Pacte, et en particulier abroger les dispositions de ladite ordonnance qui sont incompatibles avec le Pacte, afin que les droits consacrés par le Pacte puissent être pleinement exercés dans l</w:t>
      </w:r>
      <w:r>
        <w:t>’</w:t>
      </w:r>
      <w:r w:rsidRPr="00410779">
        <w:t>État partie.</w:t>
      </w:r>
    </w:p>
    <w:p w14:paraId="581459B1" w14:textId="77777777" w:rsidR="0095715A" w:rsidRPr="00410779" w:rsidRDefault="0095715A" w:rsidP="0095715A">
      <w:pPr>
        <w:pStyle w:val="SingleTxtG"/>
        <w:rPr>
          <w:lang w:val="fr-FR"/>
        </w:rPr>
      </w:pPr>
      <w:r>
        <w:rPr>
          <w:lang w:val="fr-FR"/>
        </w:rPr>
        <w:t>9</w:t>
      </w:r>
      <w:r w:rsidRPr="00410779">
        <w:rPr>
          <w:lang w:val="fr-FR"/>
        </w:rPr>
        <w:t>.</w:t>
      </w:r>
      <w:r w:rsidRPr="00410779">
        <w:rPr>
          <w:lang w:val="fr-FR"/>
        </w:rPr>
        <w:tab/>
        <w:t>Étant donné qu</w:t>
      </w:r>
      <w:r>
        <w:rPr>
          <w:lang w:val="fr-FR"/>
        </w:rPr>
        <w:t>’</w:t>
      </w:r>
      <w:r w:rsidRPr="00410779">
        <w:rPr>
          <w:lang w:val="fr-FR"/>
        </w:rPr>
        <w:t>en adhérant au Protocole facultatif</w:t>
      </w:r>
      <w:r>
        <w:rPr>
          <w:lang w:val="fr-FR"/>
        </w:rPr>
        <w:t>,</w:t>
      </w:r>
      <w:r w:rsidRPr="00410779">
        <w:rPr>
          <w:lang w:val="fr-FR"/>
        </w:rPr>
        <w:t xml:space="preserve"> l</w:t>
      </w:r>
      <w:r>
        <w:rPr>
          <w:lang w:val="fr-FR"/>
        </w:rPr>
        <w:t>’</w:t>
      </w:r>
      <w:r w:rsidRPr="00410779">
        <w:rPr>
          <w:lang w:val="fr-FR"/>
        </w:rPr>
        <w:t>État partie a reconnu que le Comité a compétence pour déterminer s</w:t>
      </w:r>
      <w:r>
        <w:rPr>
          <w:lang w:val="fr-FR"/>
        </w:rPr>
        <w:t>’</w:t>
      </w:r>
      <w:r w:rsidRPr="00410779">
        <w:rPr>
          <w:lang w:val="fr-FR"/>
        </w:rPr>
        <w:t>il y a ou non violation du Pacte e</w:t>
      </w:r>
      <w:r>
        <w:rPr>
          <w:lang w:val="fr-FR"/>
        </w:rPr>
        <w:t>t que, conformément à l’article</w:t>
      </w:r>
      <w:r w:rsidR="00DD2DD7">
        <w:rPr>
          <w:lang w:val="fr-FR"/>
        </w:rPr>
        <w:t> </w:t>
      </w:r>
      <w:r w:rsidRPr="00410779">
        <w:rPr>
          <w:lang w:val="fr-FR"/>
        </w:rPr>
        <w:t>2 du Pacte, il s</w:t>
      </w:r>
      <w:r>
        <w:rPr>
          <w:lang w:val="fr-FR"/>
        </w:rPr>
        <w:t>’</w:t>
      </w:r>
      <w:r w:rsidRPr="00410779">
        <w:rPr>
          <w:lang w:val="fr-FR"/>
        </w:rPr>
        <w:t>est engagé à garantir à tous les individus se trouvant sur son territoire et relevant de sa juridiction les droits reconnus dans le Pacte et à assurer un recours utile lorsqu</w:t>
      </w:r>
      <w:r>
        <w:rPr>
          <w:lang w:val="fr-FR"/>
        </w:rPr>
        <w:t>’</w:t>
      </w:r>
      <w:r w:rsidRPr="00410779">
        <w:rPr>
          <w:lang w:val="fr-FR"/>
        </w:rPr>
        <w:t>une v</w:t>
      </w:r>
      <w:r w:rsidRPr="0010467F">
        <w:t>i</w:t>
      </w:r>
      <w:r w:rsidRPr="00410779">
        <w:rPr>
          <w:lang w:val="fr-FR"/>
        </w:rPr>
        <w:t>olation a été établie, le Comité souhaite recevoir de l</w:t>
      </w:r>
      <w:r>
        <w:rPr>
          <w:lang w:val="fr-FR"/>
        </w:rPr>
        <w:t>’</w:t>
      </w:r>
      <w:r w:rsidRPr="00410779">
        <w:rPr>
          <w:lang w:val="fr-FR"/>
        </w:rPr>
        <w:t>État partie, dans un délai de cent quatre-vingts jours, des renseignements sur les mesures prises pour donner effet aux présentes constatations. L</w:t>
      </w:r>
      <w:r>
        <w:rPr>
          <w:lang w:val="fr-FR"/>
        </w:rPr>
        <w:t>’</w:t>
      </w:r>
      <w:r w:rsidRPr="00410779">
        <w:rPr>
          <w:lang w:val="fr-FR"/>
        </w:rPr>
        <w:t xml:space="preserve">État partie est invité en outre à rendre </w:t>
      </w:r>
      <w:r>
        <w:rPr>
          <w:lang w:val="fr-FR"/>
        </w:rPr>
        <w:t xml:space="preserve">celles-ci </w:t>
      </w:r>
      <w:r w:rsidRPr="00410779">
        <w:rPr>
          <w:lang w:val="fr-FR"/>
        </w:rPr>
        <w:t xml:space="preserve">publiques et à les diffuser largement dans </w:t>
      </w:r>
      <w:r>
        <w:rPr>
          <w:lang w:val="fr-FR"/>
        </w:rPr>
        <w:t>ses</w:t>
      </w:r>
      <w:r w:rsidRPr="00410779">
        <w:rPr>
          <w:lang w:val="fr-FR"/>
        </w:rPr>
        <w:t xml:space="preserve"> langues officielles.</w:t>
      </w:r>
    </w:p>
    <w:p w14:paraId="1FC1CDDE" w14:textId="77777777" w:rsidR="00E85C42" w:rsidRPr="007E2E14" w:rsidRDefault="0095715A" w:rsidP="007E2E14">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p>
    <w:sectPr w:rsidR="00E85C42" w:rsidRPr="007E2E14" w:rsidSect="009571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76F9E" w14:textId="77777777" w:rsidR="00975656" w:rsidRDefault="00975656" w:rsidP="00F95C08">
      <w:pPr>
        <w:spacing w:line="240" w:lineRule="auto"/>
      </w:pPr>
    </w:p>
  </w:endnote>
  <w:endnote w:type="continuationSeparator" w:id="0">
    <w:p w14:paraId="7F96C14A" w14:textId="77777777" w:rsidR="00975656" w:rsidRPr="00AC3823" w:rsidRDefault="00975656" w:rsidP="00AC3823">
      <w:pPr>
        <w:pStyle w:val="Pieddepage"/>
      </w:pPr>
    </w:p>
  </w:endnote>
  <w:endnote w:type="continuationNotice" w:id="1">
    <w:p w14:paraId="7EF2834A" w14:textId="77777777" w:rsidR="00975656" w:rsidRDefault="009756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64CE" w14:textId="77777777" w:rsidR="00381E23" w:rsidRPr="0095715A" w:rsidRDefault="00381E23" w:rsidP="0095715A">
    <w:pPr>
      <w:pStyle w:val="Pieddepage"/>
      <w:tabs>
        <w:tab w:val="right" w:pos="9638"/>
      </w:tabs>
    </w:pPr>
    <w:r w:rsidRPr="0095715A">
      <w:rPr>
        <w:b/>
        <w:sz w:val="18"/>
      </w:rPr>
      <w:fldChar w:fldCharType="begin"/>
    </w:r>
    <w:r w:rsidRPr="0095715A">
      <w:rPr>
        <w:b/>
        <w:sz w:val="18"/>
      </w:rPr>
      <w:instrText xml:space="preserve"> PAGE  \* MERGEFORMAT </w:instrText>
    </w:r>
    <w:r w:rsidRPr="0095715A">
      <w:rPr>
        <w:b/>
        <w:sz w:val="18"/>
      </w:rPr>
      <w:fldChar w:fldCharType="separate"/>
    </w:r>
    <w:r w:rsidR="00BE5C91">
      <w:rPr>
        <w:b/>
        <w:noProof/>
        <w:sz w:val="18"/>
      </w:rPr>
      <w:t>8</w:t>
    </w:r>
    <w:r w:rsidRPr="0095715A">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3280" w14:textId="77777777" w:rsidR="00381E23" w:rsidRPr="0095715A" w:rsidRDefault="00381E23" w:rsidP="0095715A">
    <w:pPr>
      <w:pStyle w:val="Pieddepage"/>
      <w:tabs>
        <w:tab w:val="right" w:pos="9638"/>
      </w:tabs>
      <w:rPr>
        <w:b/>
        <w:sz w:val="18"/>
      </w:rPr>
    </w:pPr>
    <w:r>
      <w:tab/>
    </w:r>
    <w:r w:rsidRPr="0095715A">
      <w:rPr>
        <w:b/>
        <w:sz w:val="18"/>
      </w:rPr>
      <w:fldChar w:fldCharType="begin"/>
    </w:r>
    <w:r w:rsidRPr="0095715A">
      <w:rPr>
        <w:b/>
        <w:sz w:val="18"/>
      </w:rPr>
      <w:instrText xml:space="preserve"> PAGE  \* MERGEFORMAT </w:instrText>
    </w:r>
    <w:r w:rsidRPr="0095715A">
      <w:rPr>
        <w:b/>
        <w:sz w:val="18"/>
      </w:rPr>
      <w:fldChar w:fldCharType="separate"/>
    </w:r>
    <w:r w:rsidR="00BE5C91">
      <w:rPr>
        <w:b/>
        <w:noProof/>
        <w:sz w:val="18"/>
      </w:rPr>
      <w:t>7</w:t>
    </w:r>
    <w:r w:rsidRPr="009571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2BBA" w14:textId="77777777" w:rsidR="00381E23" w:rsidRPr="00D405BF" w:rsidRDefault="00D405BF" w:rsidP="00D405BF">
    <w:pPr>
      <w:pStyle w:val="Pieddepage"/>
      <w:tabs>
        <w:tab w:val="left" w:pos="6520"/>
        <w:tab w:val="right" w:pos="9638"/>
      </w:tabs>
      <w:spacing w:before="120"/>
      <w:rPr>
        <w:sz w:val="20"/>
      </w:rPr>
    </w:pPr>
    <w:r>
      <w:rPr>
        <w:sz w:val="20"/>
      </w:rPr>
      <w:t>GE.21-03336  (F)</w:t>
    </w:r>
    <w:r>
      <w:rPr>
        <w:sz w:val="20"/>
      </w:rPr>
      <w:tab/>
    </w:r>
    <w:r w:rsidRPr="00D405BF">
      <w:rPr>
        <w:noProof/>
        <w:sz w:val="20"/>
        <w:lang w:eastAsia="fr-CH"/>
      </w:rPr>
      <w:drawing>
        <wp:inline distT="0" distB="0" distL="0" distR="0" wp14:anchorId="7F28C7ED" wp14:editId="5A8AC0EA">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817A78E" wp14:editId="5E839E31">
          <wp:extent cx="639445" cy="6394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1D2BA" w14:textId="77777777" w:rsidR="00975656" w:rsidRPr="00AC3823" w:rsidRDefault="00975656" w:rsidP="00AC3823">
      <w:pPr>
        <w:pStyle w:val="Pieddepage"/>
        <w:tabs>
          <w:tab w:val="right" w:pos="2155"/>
        </w:tabs>
        <w:spacing w:after="80" w:line="240" w:lineRule="atLeast"/>
        <w:ind w:left="680"/>
        <w:rPr>
          <w:u w:val="single"/>
        </w:rPr>
      </w:pPr>
      <w:r>
        <w:rPr>
          <w:u w:val="single"/>
        </w:rPr>
        <w:tab/>
      </w:r>
    </w:p>
  </w:footnote>
  <w:footnote w:type="continuationSeparator" w:id="0">
    <w:p w14:paraId="22A7201B" w14:textId="77777777" w:rsidR="00975656" w:rsidRPr="00AC3823" w:rsidRDefault="00975656" w:rsidP="00AC3823">
      <w:pPr>
        <w:pStyle w:val="Pieddepage"/>
        <w:tabs>
          <w:tab w:val="right" w:pos="2155"/>
        </w:tabs>
        <w:spacing w:after="80" w:line="240" w:lineRule="atLeast"/>
        <w:ind w:left="680"/>
        <w:rPr>
          <w:u w:val="single"/>
        </w:rPr>
      </w:pPr>
      <w:r>
        <w:rPr>
          <w:u w:val="single"/>
        </w:rPr>
        <w:tab/>
      </w:r>
    </w:p>
  </w:footnote>
  <w:footnote w:type="continuationNotice" w:id="1">
    <w:p w14:paraId="682519BC" w14:textId="77777777" w:rsidR="00975656" w:rsidRPr="00AC3823" w:rsidRDefault="00975656">
      <w:pPr>
        <w:spacing w:line="240" w:lineRule="auto"/>
        <w:rPr>
          <w:sz w:val="2"/>
          <w:szCs w:val="2"/>
        </w:rPr>
      </w:pPr>
    </w:p>
  </w:footnote>
  <w:footnote w:id="2">
    <w:p w14:paraId="7A58B30F" w14:textId="77777777" w:rsidR="00381E23" w:rsidRPr="00B64D21" w:rsidRDefault="00381E23" w:rsidP="0095715A">
      <w:pPr>
        <w:pStyle w:val="Notedebasdepage"/>
        <w:rPr>
          <w:lang w:val="fr-FR"/>
        </w:rPr>
      </w:pPr>
      <w:r w:rsidRPr="0053553E">
        <w:rPr>
          <w:rStyle w:val="Appelnotedebasdep"/>
          <w:sz w:val="16"/>
        </w:rPr>
        <w:tab/>
      </w:r>
      <w:r w:rsidRPr="001C7E21">
        <w:rPr>
          <w:rStyle w:val="Appelnotedebasdep"/>
          <w:sz w:val="20"/>
          <w:vertAlign w:val="baseline"/>
        </w:rPr>
        <w:t>*</w:t>
      </w:r>
      <w:r>
        <w:rPr>
          <w:rStyle w:val="Appelnotedebasdep"/>
          <w:sz w:val="20"/>
        </w:rPr>
        <w:tab/>
      </w:r>
      <w:r>
        <w:rPr>
          <w:lang w:val="fr-FR"/>
        </w:rPr>
        <w:t>Adoptées par le Comité à sa 130</w:t>
      </w:r>
      <w:r w:rsidRPr="00193C16">
        <w:rPr>
          <w:vertAlign w:val="superscript"/>
          <w:lang w:val="fr-FR"/>
        </w:rPr>
        <w:t>e</w:t>
      </w:r>
      <w:r>
        <w:rPr>
          <w:lang w:val="fr-FR"/>
        </w:rPr>
        <w:t xml:space="preserve"> session (</w:t>
      </w:r>
      <w:r w:rsidRPr="000F43E3">
        <w:rPr>
          <w:lang w:val="fr-FR"/>
        </w:rPr>
        <w:t>12 octobre-6 novembre 2020</w:t>
      </w:r>
      <w:r>
        <w:rPr>
          <w:lang w:val="fr-FR"/>
        </w:rPr>
        <w:t>).</w:t>
      </w:r>
    </w:p>
  </w:footnote>
  <w:footnote w:id="3">
    <w:p w14:paraId="37DA50EB" w14:textId="77777777" w:rsidR="00381E23" w:rsidRPr="00B64D21" w:rsidRDefault="00381E23" w:rsidP="0095715A">
      <w:pPr>
        <w:pStyle w:val="Notedebasdepage"/>
        <w:spacing w:after="60"/>
        <w:rPr>
          <w:lang w:val="fr-FR"/>
        </w:rPr>
      </w:pPr>
      <w:r>
        <w:rPr>
          <w:rStyle w:val="Appelnotedebasdep"/>
        </w:rPr>
        <w:tab/>
      </w:r>
      <w:r w:rsidRPr="001C7E21">
        <w:rPr>
          <w:rStyle w:val="Appelnotedebasdep"/>
          <w:sz w:val="20"/>
          <w:vertAlign w:val="baseline"/>
        </w:rPr>
        <w:t>**</w:t>
      </w:r>
      <w:r>
        <w:rPr>
          <w:rStyle w:val="Appelnotedebasdep"/>
          <w:sz w:val="20"/>
        </w:rPr>
        <w:tab/>
      </w:r>
      <w:r w:rsidRPr="000A00E1">
        <w:t xml:space="preserve">Les membres du </w:t>
      </w:r>
      <w:r>
        <w:t>Comité</w:t>
      </w:r>
      <w:r w:rsidRPr="000A00E1">
        <w:t xml:space="preserve"> dont le nom suit ont participé à l’examen de la communication</w:t>
      </w:r>
      <w:r>
        <w:t xml:space="preserve"> : </w:t>
      </w:r>
      <w:r w:rsidRPr="00193C16">
        <w:rPr>
          <w:lang w:val="fr-FR"/>
        </w:rPr>
        <w:t>Yad</w:t>
      </w:r>
      <w:r>
        <w:rPr>
          <w:lang w:val="fr-FR"/>
        </w:rPr>
        <w:t>h Ben Achour</w:t>
      </w:r>
      <w:r w:rsidRPr="00193C16">
        <w:rPr>
          <w:lang w:val="fr-FR"/>
        </w:rPr>
        <w:t>, Arif Bulkan, Ahme</w:t>
      </w:r>
      <w:r>
        <w:rPr>
          <w:lang w:val="fr-FR"/>
        </w:rPr>
        <w:t>d Amin Fathalla</w:t>
      </w:r>
      <w:r w:rsidRPr="00193C16">
        <w:rPr>
          <w:lang w:val="fr-FR"/>
        </w:rPr>
        <w:t xml:space="preserve">, </w:t>
      </w:r>
      <w:r>
        <w:rPr>
          <w:lang w:val="fr-FR"/>
        </w:rPr>
        <w:t>Furuya</w:t>
      </w:r>
      <w:r w:rsidRPr="000F43E3">
        <w:rPr>
          <w:lang w:val="fr-FR"/>
        </w:rPr>
        <w:t xml:space="preserve"> Shuichi</w:t>
      </w:r>
      <w:r>
        <w:rPr>
          <w:lang w:val="fr-FR"/>
        </w:rPr>
        <w:t xml:space="preserve">, </w:t>
      </w:r>
      <w:r w:rsidRPr="00193C16">
        <w:rPr>
          <w:lang w:val="fr-FR"/>
        </w:rPr>
        <w:t xml:space="preserve">Christof Heyns, Bamariam Koita, </w:t>
      </w:r>
      <w:r>
        <w:rPr>
          <w:lang w:val="fr-FR"/>
        </w:rPr>
        <w:t xml:space="preserve">David H. Moore, </w:t>
      </w:r>
      <w:r w:rsidRPr="00193C16">
        <w:rPr>
          <w:lang w:val="fr-FR"/>
        </w:rPr>
        <w:t>Hernán Quezada</w:t>
      </w:r>
      <w:r>
        <w:rPr>
          <w:lang w:val="fr-FR"/>
        </w:rPr>
        <w:t xml:space="preserve"> Cabrera</w:t>
      </w:r>
      <w:r w:rsidRPr="00193C16">
        <w:rPr>
          <w:lang w:val="fr-FR"/>
        </w:rPr>
        <w:t xml:space="preserve">, Vasilka Sancin, José Manuel Santos Pais, </w:t>
      </w:r>
      <w:r>
        <w:rPr>
          <w:lang w:val="fr-FR"/>
        </w:rPr>
        <w:t>Yuval Shany, Hélène T</w:t>
      </w:r>
      <w:r w:rsidRPr="006B35E7">
        <w:rPr>
          <w:lang w:val="fr-FR"/>
        </w:rPr>
        <w:t>igroudja</w:t>
      </w:r>
      <w:r>
        <w:rPr>
          <w:lang w:val="fr-FR"/>
        </w:rPr>
        <w:t>,</w:t>
      </w:r>
      <w:r w:rsidRPr="00193C16">
        <w:rPr>
          <w:lang w:val="fr-FR"/>
        </w:rPr>
        <w:t xml:space="preserve"> Andreas Zimmermann</w:t>
      </w:r>
      <w:r>
        <w:rPr>
          <w:lang w:val="fr-FR"/>
        </w:rPr>
        <w:t xml:space="preserve"> et Gentian Zyberi</w:t>
      </w:r>
      <w:r w:rsidRPr="00193C16">
        <w:rPr>
          <w:lang w:val="fr-FR"/>
        </w:rPr>
        <w:t>.</w:t>
      </w:r>
    </w:p>
  </w:footnote>
  <w:footnote w:id="4">
    <w:p w14:paraId="4D5F149F" w14:textId="77777777" w:rsidR="00381E23" w:rsidRPr="00F31297" w:rsidRDefault="00381E23" w:rsidP="0095715A">
      <w:pPr>
        <w:pStyle w:val="Notedebasdepage"/>
      </w:pPr>
      <w:r>
        <w:tab/>
      </w:r>
      <w:r>
        <w:rPr>
          <w:rStyle w:val="Appelnotedebasdep"/>
        </w:rPr>
        <w:footnoteRef/>
      </w:r>
      <w:r>
        <w:tab/>
        <w:t>Pièce jointe au dossier.</w:t>
      </w:r>
    </w:p>
  </w:footnote>
  <w:footnote w:id="5">
    <w:p w14:paraId="53A6FC04" w14:textId="77777777" w:rsidR="00381E23" w:rsidRPr="00211874" w:rsidRDefault="00381E23" w:rsidP="0095715A">
      <w:pPr>
        <w:pStyle w:val="Notedebasdepage"/>
      </w:pPr>
      <w:r>
        <w:tab/>
      </w:r>
      <w:r>
        <w:rPr>
          <w:rStyle w:val="Appelnotedebasdep"/>
        </w:rPr>
        <w:footnoteRef/>
      </w:r>
      <w:r>
        <w:tab/>
        <w:t>Certificat joint au dossier. Ce constat de décès a fait l’objet d’une notification délivrée au Président de l’assemblée populaire communale d’El</w:t>
      </w:r>
      <w:r w:rsidR="009B3416">
        <w:t> </w:t>
      </w:r>
      <w:r>
        <w:t>Aouana. Ce dernier, confronté à de tels crimes et supposé être garant de l’ordre public, n’a cependant pas saisi les services de police, comme son mandat l’exigeait pourtant.</w:t>
      </w:r>
    </w:p>
  </w:footnote>
  <w:footnote w:id="6">
    <w:p w14:paraId="481F00A4" w14:textId="77777777" w:rsidR="00381E23" w:rsidRPr="005542EE" w:rsidRDefault="00381E23" w:rsidP="0095715A">
      <w:pPr>
        <w:pStyle w:val="Notedebasdepage"/>
      </w:pPr>
      <w:r>
        <w:tab/>
      </w:r>
      <w:r>
        <w:rPr>
          <w:rStyle w:val="Appelnotedebasdep"/>
        </w:rPr>
        <w:footnoteRef/>
      </w:r>
      <w:r>
        <w:tab/>
        <w:t>Pièce jointe au dossier.</w:t>
      </w:r>
    </w:p>
  </w:footnote>
  <w:footnote w:id="7">
    <w:p w14:paraId="68686F97" w14:textId="77777777" w:rsidR="00381E23" w:rsidRPr="005542EE" w:rsidRDefault="00381E23" w:rsidP="0095715A">
      <w:pPr>
        <w:pStyle w:val="Notedebasdepage"/>
      </w:pPr>
      <w:r>
        <w:tab/>
      </w:r>
      <w:r>
        <w:rPr>
          <w:rStyle w:val="Appelnotedebasdep"/>
        </w:rPr>
        <w:footnoteRef/>
      </w:r>
      <w:r>
        <w:tab/>
        <w:t>Documents joints au dossier.</w:t>
      </w:r>
    </w:p>
  </w:footnote>
  <w:footnote w:id="8">
    <w:p w14:paraId="098DCFCC" w14:textId="77777777" w:rsidR="00381E23" w:rsidRPr="005542EE" w:rsidRDefault="00381E23" w:rsidP="0095715A">
      <w:pPr>
        <w:pStyle w:val="Notedebasdepage"/>
      </w:pPr>
      <w:r>
        <w:tab/>
      </w:r>
      <w:r>
        <w:rPr>
          <w:rStyle w:val="Appelnotedebasdep"/>
        </w:rPr>
        <w:footnoteRef/>
      </w:r>
      <w:r>
        <w:tab/>
        <w:t>Pièce jointe au dossier.</w:t>
      </w:r>
    </w:p>
  </w:footnote>
  <w:footnote w:id="9">
    <w:p w14:paraId="206973B8" w14:textId="77777777" w:rsidR="00381E23" w:rsidRPr="005542EE" w:rsidRDefault="00381E23" w:rsidP="0095715A">
      <w:pPr>
        <w:pStyle w:val="Notedebasdepage"/>
      </w:pPr>
      <w:r>
        <w:tab/>
      </w:r>
      <w:r>
        <w:rPr>
          <w:rStyle w:val="Appelnotedebasdep"/>
        </w:rPr>
        <w:footnoteRef/>
      </w:r>
      <w:r>
        <w:tab/>
        <w:t>Le certificat mentionne qu’en 1994, Fateh</w:t>
      </w:r>
      <w:r w:rsidR="009B3416">
        <w:t> </w:t>
      </w:r>
      <w:r>
        <w:t>Dafar a été arrêté par deux individus prétendant appartenir aux services de sécurité et que, trois jours après, il a été retrouvé tué sur la plage de Mrigha d’El</w:t>
      </w:r>
      <w:r w:rsidR="009B3416">
        <w:t> </w:t>
      </w:r>
      <w:r>
        <w:t>Aouana.</w:t>
      </w:r>
    </w:p>
  </w:footnote>
  <w:footnote w:id="10">
    <w:p w14:paraId="08890C93" w14:textId="77777777" w:rsidR="00381E23" w:rsidRPr="0016209C" w:rsidRDefault="00381E23" w:rsidP="0095715A">
      <w:pPr>
        <w:pStyle w:val="Notedebasdepage"/>
      </w:pPr>
      <w:r>
        <w:tab/>
      </w:r>
      <w:r>
        <w:rPr>
          <w:rStyle w:val="Appelnotedebasdep"/>
        </w:rPr>
        <w:footnoteRef/>
      </w:r>
      <w:r>
        <w:tab/>
        <w:t>L’auteur mentionne que selon l’article</w:t>
      </w:r>
      <w:r w:rsidR="009B3416">
        <w:t> </w:t>
      </w:r>
      <w:r>
        <w:t>63 du Code de procédure pénale, « [l]orsqu’ils ont connaissance d’une infraction, les officiers de police judiciaire […], soit sur les instructions du Procureur de la République, soit d’office, procèdent à des enquêtes préliminaires ».</w:t>
      </w:r>
    </w:p>
  </w:footnote>
  <w:footnote w:id="11">
    <w:p w14:paraId="0CB415C2" w14:textId="77777777" w:rsidR="00381E23" w:rsidRPr="009505B1" w:rsidRDefault="00381E23" w:rsidP="0095715A">
      <w:pPr>
        <w:pStyle w:val="Notedebasdepage"/>
      </w:pPr>
      <w:r w:rsidRPr="009505B1">
        <w:tab/>
      </w:r>
      <w:r w:rsidRPr="00443CC9">
        <w:rPr>
          <w:rStyle w:val="Appelnotedebasdep"/>
        </w:rPr>
        <w:footnoteRef/>
      </w:r>
      <w:r w:rsidRPr="009505B1">
        <w:tab/>
      </w:r>
      <w:r>
        <w:t xml:space="preserve">CCPR/C/DZA/CO/3, par. </w:t>
      </w:r>
      <w:r w:rsidRPr="009505B1">
        <w:t>7 et 8.</w:t>
      </w:r>
    </w:p>
  </w:footnote>
  <w:footnote w:id="12">
    <w:p w14:paraId="73B36959" w14:textId="77777777" w:rsidR="00381E23" w:rsidRPr="000352CE" w:rsidRDefault="00381E23" w:rsidP="0095715A">
      <w:pPr>
        <w:pStyle w:val="Notedebasdepage"/>
      </w:pPr>
      <w:r>
        <w:tab/>
      </w:r>
      <w:r>
        <w:rPr>
          <w:rStyle w:val="Appelnotedebasdep"/>
        </w:rPr>
        <w:footnoteRef/>
      </w:r>
      <w:r>
        <w:tab/>
      </w:r>
      <w:r w:rsidRPr="000352CE">
        <w:t>L’auteur rappelle que l</w:t>
      </w:r>
      <w:r>
        <w:t>orsque les</w:t>
      </w:r>
      <w:r w:rsidRPr="000352CE">
        <w:t xml:space="preserve"> exécutions extrajudiciaires ont un caractère systématique </w:t>
      </w:r>
      <w:r>
        <w:t>ou</w:t>
      </w:r>
      <w:r w:rsidRPr="000352CE">
        <w:t xml:space="preserve"> généralisé</w:t>
      </w:r>
      <w:r>
        <w:t>, elles</w:t>
      </w:r>
      <w:r w:rsidRPr="000352CE">
        <w:t xml:space="preserve"> constituent un crime contre l’humanité au titre de l’article</w:t>
      </w:r>
      <w:r w:rsidR="009B3416">
        <w:t> </w:t>
      </w:r>
      <w:r w:rsidRPr="000352CE">
        <w:t>7 du Statut de Rome</w:t>
      </w:r>
      <w:r>
        <w:t xml:space="preserve"> </w:t>
      </w:r>
      <w:r w:rsidRPr="004A56BB">
        <w:t>d</w:t>
      </w:r>
      <w:r>
        <w:t>e la Cour pénale internationale</w:t>
      </w:r>
      <w:r w:rsidRPr="000352CE">
        <w:t>.</w:t>
      </w:r>
    </w:p>
  </w:footnote>
  <w:footnote w:id="13">
    <w:p w14:paraId="44DD6C2D" w14:textId="77777777" w:rsidR="00381E23" w:rsidRPr="00904AE8" w:rsidRDefault="00381E23" w:rsidP="0095715A">
      <w:pPr>
        <w:pStyle w:val="Notedebasdepage"/>
      </w:pPr>
      <w:r>
        <w:tab/>
      </w:r>
      <w:r>
        <w:rPr>
          <w:rStyle w:val="Appelnotedebasdep"/>
        </w:rPr>
        <w:footnoteRef/>
      </w:r>
      <w:r>
        <w:tab/>
      </w:r>
      <w:r w:rsidRPr="009B343E">
        <w:rPr>
          <w:rFonts w:asciiTheme="majorBidi" w:eastAsia="Times New Roman" w:hAnsiTheme="majorBidi" w:cstheme="majorBidi"/>
          <w:i/>
          <w:iCs/>
          <w:szCs w:val="18"/>
          <w:lang w:eastAsia="zh-CN"/>
        </w:rPr>
        <w:t xml:space="preserve">Documents officiels de l’Assemblée générale, </w:t>
      </w:r>
      <w:r>
        <w:rPr>
          <w:rFonts w:asciiTheme="majorBidi" w:eastAsia="Times New Roman" w:hAnsiTheme="majorBidi" w:cstheme="majorBidi"/>
          <w:i/>
          <w:iCs/>
          <w:szCs w:val="18"/>
          <w:lang w:eastAsia="zh-CN"/>
        </w:rPr>
        <w:t>cinquante-troisième</w:t>
      </w:r>
      <w:r w:rsidRPr="009B343E">
        <w:rPr>
          <w:rFonts w:asciiTheme="majorBidi" w:eastAsia="Times New Roman" w:hAnsiTheme="majorBidi" w:cstheme="majorBidi"/>
          <w:i/>
          <w:iCs/>
          <w:szCs w:val="18"/>
          <w:lang w:eastAsia="zh-CN"/>
        </w:rPr>
        <w:t xml:space="preserve"> session, Supplément n</w:t>
      </w:r>
      <w:r w:rsidRPr="00172165">
        <w:rPr>
          <w:rFonts w:asciiTheme="majorBidi" w:eastAsia="Times New Roman" w:hAnsiTheme="majorBidi" w:cstheme="majorBidi"/>
          <w:i/>
          <w:iCs/>
          <w:szCs w:val="18"/>
          <w:vertAlign w:val="superscript"/>
          <w:lang w:eastAsia="zh-CN"/>
        </w:rPr>
        <w:t>o</w:t>
      </w:r>
      <w:r>
        <w:rPr>
          <w:rFonts w:asciiTheme="majorBidi" w:eastAsia="Times New Roman" w:hAnsiTheme="majorBidi" w:cstheme="majorBidi"/>
          <w:i/>
          <w:iCs/>
          <w:szCs w:val="18"/>
          <w:lang w:eastAsia="zh-CN"/>
        </w:rPr>
        <w:t> 40</w:t>
      </w:r>
      <w:r>
        <w:rPr>
          <w:rFonts w:asciiTheme="majorBidi" w:eastAsia="Times New Roman" w:hAnsiTheme="majorBidi" w:cstheme="majorBidi"/>
          <w:szCs w:val="18"/>
          <w:lang w:eastAsia="zh-CN"/>
        </w:rPr>
        <w:t>, vol. I (</w:t>
      </w:r>
      <w:r>
        <w:t>A/53/40), par.</w:t>
      </w:r>
      <w:r w:rsidR="009B3416">
        <w:t> </w:t>
      </w:r>
      <w:r>
        <w:t>357.</w:t>
      </w:r>
    </w:p>
  </w:footnote>
  <w:footnote w:id="14">
    <w:p w14:paraId="7D8BC319" w14:textId="77777777" w:rsidR="00381E23" w:rsidRPr="00A477A7" w:rsidRDefault="00381E23" w:rsidP="0095715A">
      <w:pPr>
        <w:pStyle w:val="Notedebasdepage"/>
        <w:rPr>
          <w:lang w:val="fr-FR"/>
        </w:rPr>
      </w:pPr>
      <w:r>
        <w:tab/>
      </w:r>
      <w:r w:rsidRPr="00D3513E">
        <w:rPr>
          <w:rStyle w:val="Appelnotedebasdep"/>
        </w:rPr>
        <w:footnoteRef/>
      </w:r>
      <w:r>
        <w:tab/>
      </w:r>
      <w:r w:rsidRPr="0061228F">
        <w:rPr>
          <w:i/>
          <w:iCs/>
          <w:szCs w:val="18"/>
          <w:lang w:val="fr-FR"/>
        </w:rPr>
        <w:t>Mezine c.</w:t>
      </w:r>
      <w:r>
        <w:rPr>
          <w:i/>
          <w:iCs/>
          <w:szCs w:val="18"/>
          <w:lang w:val="fr-FR"/>
        </w:rPr>
        <w:t xml:space="preserve"> </w:t>
      </w:r>
      <w:r w:rsidRPr="0061228F">
        <w:rPr>
          <w:i/>
          <w:iCs/>
          <w:szCs w:val="18"/>
          <w:lang w:val="fr-FR"/>
        </w:rPr>
        <w:t>Algérie</w:t>
      </w:r>
      <w:r>
        <w:rPr>
          <w:szCs w:val="18"/>
          <w:lang w:val="fr-FR"/>
        </w:rPr>
        <w:t xml:space="preserve"> </w:t>
      </w:r>
      <w:r w:rsidRPr="0061228F">
        <w:rPr>
          <w:szCs w:val="18"/>
          <w:lang w:val="fr-FR"/>
        </w:rPr>
        <w:t>(CCPR/C/</w:t>
      </w:r>
      <w:r>
        <w:rPr>
          <w:szCs w:val="18"/>
          <w:lang w:val="fr-FR"/>
        </w:rPr>
        <w:t>106</w:t>
      </w:r>
      <w:r w:rsidRPr="0061228F">
        <w:rPr>
          <w:szCs w:val="18"/>
          <w:lang w:val="fr-FR"/>
        </w:rPr>
        <w:t>/D/1</w:t>
      </w:r>
      <w:r>
        <w:rPr>
          <w:szCs w:val="18"/>
          <w:lang w:val="fr-FR"/>
        </w:rPr>
        <w:t>779/2008</w:t>
      </w:r>
      <w:r w:rsidRPr="0061228F">
        <w:rPr>
          <w:szCs w:val="18"/>
          <w:lang w:val="fr-FR"/>
        </w:rPr>
        <w:t>)</w:t>
      </w:r>
      <w:r>
        <w:rPr>
          <w:szCs w:val="18"/>
          <w:lang w:val="fr-FR"/>
        </w:rPr>
        <w:t xml:space="preserve">, par. 8.3 ; et </w:t>
      </w:r>
      <w:r w:rsidRPr="0061228F">
        <w:rPr>
          <w:i/>
          <w:iCs/>
          <w:szCs w:val="18"/>
          <w:lang w:val="fr-FR"/>
        </w:rPr>
        <w:t>Medjnoune c.</w:t>
      </w:r>
      <w:r>
        <w:rPr>
          <w:i/>
          <w:iCs/>
          <w:szCs w:val="18"/>
          <w:lang w:val="fr-FR"/>
        </w:rPr>
        <w:t xml:space="preserve"> </w:t>
      </w:r>
      <w:r w:rsidRPr="0061228F">
        <w:rPr>
          <w:i/>
          <w:iCs/>
          <w:szCs w:val="18"/>
          <w:lang w:val="fr-FR"/>
        </w:rPr>
        <w:t>Algérie</w:t>
      </w:r>
      <w:r>
        <w:rPr>
          <w:szCs w:val="18"/>
          <w:lang w:val="fr-FR"/>
        </w:rPr>
        <w:t xml:space="preserve"> (CCPR/C/87/D/1297/2004), par.</w:t>
      </w:r>
      <w:r w:rsidR="009B3416">
        <w:rPr>
          <w:szCs w:val="18"/>
          <w:lang w:val="fr-FR"/>
        </w:rPr>
        <w:t> </w:t>
      </w:r>
      <w:r>
        <w:rPr>
          <w:szCs w:val="18"/>
          <w:lang w:val="fr-FR"/>
        </w:rPr>
        <w:t>8.3.</w:t>
      </w:r>
    </w:p>
  </w:footnote>
  <w:footnote w:id="15">
    <w:p w14:paraId="75C8A498" w14:textId="77777777" w:rsidR="00381E23" w:rsidRPr="009505B1" w:rsidRDefault="00381E23" w:rsidP="0095715A">
      <w:pPr>
        <w:pStyle w:val="Notedebasdepage"/>
      </w:pPr>
      <w:r w:rsidRPr="002615DB">
        <w:tab/>
      </w:r>
      <w:r w:rsidRPr="00443CC9">
        <w:rPr>
          <w:rStyle w:val="Appelnotedebasdep"/>
        </w:rPr>
        <w:footnoteRef/>
      </w:r>
      <w:r>
        <w:tab/>
      </w:r>
      <w:r w:rsidRPr="0094378A">
        <w:rPr>
          <w:i/>
          <w:iCs/>
        </w:rPr>
        <w:t xml:space="preserve">Boudjemai </w:t>
      </w:r>
      <w:r w:rsidRPr="0094378A">
        <w:rPr>
          <w:i/>
        </w:rPr>
        <w:t>c.</w:t>
      </w:r>
      <w:r>
        <w:rPr>
          <w:i/>
          <w:iCs/>
        </w:rPr>
        <w:t xml:space="preserve"> </w:t>
      </w:r>
      <w:r w:rsidRPr="0094378A">
        <w:rPr>
          <w:i/>
          <w:iCs/>
        </w:rPr>
        <w:t>Algérie</w:t>
      </w:r>
      <w:r>
        <w:t xml:space="preserve"> (</w:t>
      </w:r>
      <w:r w:rsidRPr="0094378A">
        <w:t>CCPR/C/107/D/1791/2008</w:t>
      </w:r>
      <w:r>
        <w:t>), par.</w:t>
      </w:r>
      <w:r w:rsidR="009B3416">
        <w:t> </w:t>
      </w:r>
      <w:r w:rsidRPr="009505B1">
        <w:t>7.4.</w:t>
      </w:r>
    </w:p>
  </w:footnote>
  <w:footnote w:id="16">
    <w:p w14:paraId="2D5F47A4" w14:textId="77777777" w:rsidR="00381E23" w:rsidRPr="002615DB" w:rsidRDefault="00381E23" w:rsidP="0095715A">
      <w:pPr>
        <w:pStyle w:val="Notedebasdepage"/>
      </w:pPr>
      <w:r w:rsidRPr="009505B1">
        <w:tab/>
      </w:r>
      <w:r w:rsidRPr="00443CC9">
        <w:rPr>
          <w:rStyle w:val="Appelnotedebasdep"/>
        </w:rPr>
        <w:footnoteRef/>
      </w:r>
      <w:r w:rsidRPr="001C7E21">
        <w:tab/>
        <w:t>CCPR/C/DZA/CO/3, par.</w:t>
      </w:r>
      <w:r w:rsidR="009B3416">
        <w:t> </w:t>
      </w:r>
      <w:r>
        <w:t xml:space="preserve">7, 8 et </w:t>
      </w:r>
      <w:r w:rsidRPr="002615DB">
        <w:t>13.</w:t>
      </w:r>
    </w:p>
  </w:footnote>
  <w:footnote w:id="17">
    <w:p w14:paraId="3B4C3220" w14:textId="77777777" w:rsidR="00381E23" w:rsidRPr="0094378A" w:rsidRDefault="00381E23" w:rsidP="0095715A">
      <w:pPr>
        <w:pStyle w:val="Notedebasdepage"/>
      </w:pPr>
      <w:r>
        <w:tab/>
      </w:r>
      <w:r>
        <w:rPr>
          <w:rStyle w:val="Appelnotedebasdep"/>
        </w:rPr>
        <w:footnoteRef/>
      </w:r>
      <w:r>
        <w:tab/>
      </w:r>
      <w:r w:rsidRPr="0094378A">
        <w:rPr>
          <w:i/>
        </w:rPr>
        <w:t>Belamrania c. Algérie</w:t>
      </w:r>
      <w:r>
        <w:t xml:space="preserve"> (</w:t>
      </w:r>
      <w:r w:rsidRPr="0094378A">
        <w:t>CCPR/C/118/D/2157/2012</w:t>
      </w:r>
      <w:r>
        <w:t>), par.</w:t>
      </w:r>
      <w:r w:rsidR="009B3416">
        <w:t> </w:t>
      </w:r>
      <w:r>
        <w:t xml:space="preserve">4 ; et </w:t>
      </w:r>
      <w:r w:rsidRPr="006A0147">
        <w:rPr>
          <w:i/>
        </w:rPr>
        <w:t>Khelifati c. Algérie</w:t>
      </w:r>
      <w:r>
        <w:t xml:space="preserve"> (</w:t>
      </w:r>
      <w:r w:rsidRPr="006A0147">
        <w:t>CCPR/C/120/D/2267/2013</w:t>
      </w:r>
      <w:r>
        <w:t>), par.</w:t>
      </w:r>
      <w:r w:rsidR="009B3416">
        <w:t> </w:t>
      </w:r>
      <w:r>
        <w:t>4.</w:t>
      </w:r>
    </w:p>
  </w:footnote>
  <w:footnote w:id="18">
    <w:p w14:paraId="752BBD67" w14:textId="77777777" w:rsidR="00381E23" w:rsidRPr="000B5944" w:rsidRDefault="00381E23" w:rsidP="0095715A">
      <w:pPr>
        <w:pStyle w:val="Notedebasdepage"/>
      </w:pPr>
      <w:r>
        <w:tab/>
      </w:r>
      <w:r>
        <w:rPr>
          <w:rStyle w:val="Appelnotedebasdep"/>
        </w:rPr>
        <w:footnoteRef/>
      </w:r>
      <w:r>
        <w:tab/>
      </w:r>
      <w:r w:rsidRPr="00BD071F">
        <w:rPr>
          <w:i/>
        </w:rPr>
        <w:t>Fedsi c. Algérie</w:t>
      </w:r>
      <w:r>
        <w:t xml:space="preserve"> (</w:t>
      </w:r>
      <w:r w:rsidRPr="00223D60">
        <w:t>CCPR/C/111/D/1964/2010</w:t>
      </w:r>
      <w:r>
        <w:t xml:space="preserve">) ; </w:t>
      </w:r>
      <w:r w:rsidRPr="00BD071F">
        <w:rPr>
          <w:i/>
        </w:rPr>
        <w:t>Bousseloub c. Algérie</w:t>
      </w:r>
      <w:r>
        <w:t xml:space="preserve"> (</w:t>
      </w:r>
      <w:r w:rsidRPr="000B5944">
        <w:t>CCPR/C/111/D/1974/2010</w:t>
      </w:r>
      <w:r>
        <w:t xml:space="preserve">) ; et </w:t>
      </w:r>
      <w:r w:rsidRPr="00BD071F">
        <w:rPr>
          <w:i/>
        </w:rPr>
        <w:t>Belamrania c. Algérie</w:t>
      </w:r>
      <w:r>
        <w:t>.</w:t>
      </w:r>
    </w:p>
  </w:footnote>
  <w:footnote w:id="19">
    <w:p w14:paraId="2A0E1912" w14:textId="77777777" w:rsidR="00381E23" w:rsidRPr="00F23A7D" w:rsidRDefault="00381E23" w:rsidP="0095715A">
      <w:pPr>
        <w:pStyle w:val="Notedebasdepage"/>
      </w:pPr>
      <w:r>
        <w:tab/>
      </w:r>
      <w:r>
        <w:rPr>
          <w:rStyle w:val="Appelnotedebasdep"/>
        </w:rPr>
        <w:footnoteRef/>
      </w:r>
      <w:r w:rsidRPr="00F23A7D">
        <w:tab/>
      </w:r>
      <w:r w:rsidRPr="00BD071F">
        <w:t>CCPR/C/DZA/CO/3, par.</w:t>
      </w:r>
      <w:r w:rsidR="009B3416">
        <w:t> </w:t>
      </w:r>
      <w:r>
        <w:t xml:space="preserve">7 ; et </w:t>
      </w:r>
      <w:r w:rsidRPr="002868AC">
        <w:t>CCPR/C/DZA/CO/4</w:t>
      </w:r>
      <w:r>
        <w:t>, par.</w:t>
      </w:r>
      <w:r w:rsidR="009B3416">
        <w:t> </w:t>
      </w:r>
      <w:r>
        <w:t>11.</w:t>
      </w:r>
    </w:p>
  </w:footnote>
  <w:footnote w:id="20">
    <w:p w14:paraId="79E49CBB" w14:textId="77777777" w:rsidR="00381E23" w:rsidRPr="009505B1" w:rsidRDefault="00381E23" w:rsidP="0095715A">
      <w:pPr>
        <w:pStyle w:val="Notedebasdepage"/>
      </w:pPr>
      <w:r w:rsidRPr="002615DB">
        <w:tab/>
      </w:r>
      <w:r w:rsidRPr="00443CC9">
        <w:rPr>
          <w:rStyle w:val="Appelnotedebasdep"/>
        </w:rPr>
        <w:footnoteRef/>
      </w:r>
      <w:r w:rsidRPr="009505B1">
        <w:tab/>
        <w:t xml:space="preserve">Voir, entre autres, </w:t>
      </w:r>
      <w:r w:rsidRPr="009F7E69">
        <w:rPr>
          <w:i/>
          <w:iCs/>
        </w:rPr>
        <w:t xml:space="preserve">Mezine </w:t>
      </w:r>
      <w:r w:rsidRPr="009F7E69">
        <w:rPr>
          <w:i/>
        </w:rPr>
        <w:t>c.</w:t>
      </w:r>
      <w:r>
        <w:rPr>
          <w:i/>
          <w:iCs/>
        </w:rPr>
        <w:t xml:space="preserve"> </w:t>
      </w:r>
      <w:r w:rsidRPr="009F7E69">
        <w:rPr>
          <w:i/>
          <w:iCs/>
        </w:rPr>
        <w:t>Algérie</w:t>
      </w:r>
      <w:r w:rsidRPr="009505B1">
        <w:t xml:space="preserve">, </w:t>
      </w:r>
      <w:r>
        <w:t>par.</w:t>
      </w:r>
      <w:r w:rsidR="009B3416">
        <w:t> </w:t>
      </w:r>
      <w:r w:rsidRPr="009505B1">
        <w:t xml:space="preserve">8.2 ; </w:t>
      </w:r>
      <w:r w:rsidRPr="009662D1">
        <w:rPr>
          <w:i/>
          <w:iCs/>
        </w:rPr>
        <w:t>Berzig c.</w:t>
      </w:r>
      <w:r>
        <w:rPr>
          <w:i/>
          <w:iCs/>
        </w:rPr>
        <w:t xml:space="preserve"> </w:t>
      </w:r>
      <w:r w:rsidRPr="009662D1">
        <w:rPr>
          <w:i/>
          <w:iCs/>
        </w:rPr>
        <w:t>Algérie</w:t>
      </w:r>
      <w:r>
        <w:t xml:space="preserve"> (</w:t>
      </w:r>
      <w:r w:rsidRPr="009662D1">
        <w:t>CCPR/C/103/D/1781/2008</w:t>
      </w:r>
      <w:r>
        <w:t>), par.</w:t>
      </w:r>
      <w:r w:rsidR="009B3416">
        <w:t> </w:t>
      </w:r>
      <w:r w:rsidRPr="009505B1">
        <w:t xml:space="preserve">8.2 ; et </w:t>
      </w:r>
      <w:r w:rsidRPr="009662D1">
        <w:rPr>
          <w:i/>
          <w:iCs/>
        </w:rPr>
        <w:t xml:space="preserve">Boudjemai </w:t>
      </w:r>
      <w:r w:rsidRPr="009662D1">
        <w:rPr>
          <w:i/>
        </w:rPr>
        <w:t>c.</w:t>
      </w:r>
      <w:r>
        <w:rPr>
          <w:i/>
          <w:iCs/>
        </w:rPr>
        <w:t xml:space="preserve"> </w:t>
      </w:r>
      <w:r w:rsidRPr="009662D1">
        <w:rPr>
          <w:i/>
          <w:iCs/>
        </w:rPr>
        <w:t>Algérie</w:t>
      </w:r>
      <w:r>
        <w:t>, par.</w:t>
      </w:r>
      <w:r w:rsidR="009B3416">
        <w:t> </w:t>
      </w:r>
      <w:r w:rsidRPr="009505B1">
        <w:t>8.2.</w:t>
      </w:r>
    </w:p>
  </w:footnote>
  <w:footnote w:id="21">
    <w:p w14:paraId="525D9FED" w14:textId="77777777" w:rsidR="00381E23" w:rsidRPr="009505B1" w:rsidRDefault="00381E23" w:rsidP="0095715A">
      <w:pPr>
        <w:pStyle w:val="Notedebasdepage"/>
      </w:pPr>
      <w:r w:rsidRPr="009505B1">
        <w:tab/>
      </w:r>
      <w:r w:rsidRPr="00443CC9">
        <w:rPr>
          <w:rStyle w:val="Appelnotedebasdep"/>
        </w:rPr>
        <w:footnoteRef/>
      </w:r>
      <w:r w:rsidRPr="009505B1">
        <w:tab/>
        <w:t xml:space="preserve">Voir, par exemple, </w:t>
      </w:r>
      <w:r w:rsidRPr="004D3A17">
        <w:rPr>
          <w:i/>
        </w:rPr>
        <w:t>Telitsina c.</w:t>
      </w:r>
      <w:r>
        <w:rPr>
          <w:i/>
        </w:rPr>
        <w:t xml:space="preserve"> </w:t>
      </w:r>
      <w:r w:rsidRPr="004D3A17">
        <w:rPr>
          <w:i/>
        </w:rPr>
        <w:t>Fédération de</w:t>
      </w:r>
      <w:r w:rsidRPr="009505B1">
        <w:rPr>
          <w:i/>
        </w:rPr>
        <w:t xml:space="preserve"> Russie</w:t>
      </w:r>
      <w:r>
        <w:t xml:space="preserve"> (</w:t>
      </w:r>
      <w:r w:rsidRPr="004D3A17">
        <w:t>CCPR/C/80/D/888/1999</w:t>
      </w:r>
      <w:r>
        <w:t>), par.</w:t>
      </w:r>
      <w:r w:rsidR="009B3416">
        <w:t> </w:t>
      </w:r>
      <w:r>
        <w:t>7.5 et 7.6 ;</w:t>
      </w:r>
      <w:r w:rsidRPr="009505B1">
        <w:t xml:space="preserve"> </w:t>
      </w:r>
      <w:r w:rsidRPr="009505B1">
        <w:rPr>
          <w:i/>
        </w:rPr>
        <w:t>Al</w:t>
      </w:r>
      <w:r w:rsidR="009B3416">
        <w:rPr>
          <w:i/>
        </w:rPr>
        <w:t> </w:t>
      </w:r>
      <w:r w:rsidRPr="004D3A17">
        <w:rPr>
          <w:i/>
        </w:rPr>
        <w:t>Khazmi c.</w:t>
      </w:r>
      <w:r>
        <w:rPr>
          <w:i/>
        </w:rPr>
        <w:t xml:space="preserve"> </w:t>
      </w:r>
      <w:r w:rsidRPr="004D3A17">
        <w:rPr>
          <w:i/>
        </w:rPr>
        <w:t>Libye</w:t>
      </w:r>
      <w:r>
        <w:t xml:space="preserve"> (</w:t>
      </w:r>
      <w:r w:rsidRPr="004D3A17">
        <w:t>CCPR/C/108/D/1832/2008</w:t>
      </w:r>
      <w:r>
        <w:t>)</w:t>
      </w:r>
      <w:r w:rsidRPr="009505B1">
        <w:t>, par.</w:t>
      </w:r>
      <w:r w:rsidR="009B3416">
        <w:t> </w:t>
      </w:r>
      <w:r w:rsidRPr="009505B1">
        <w:t>8.2</w:t>
      </w:r>
      <w:r>
        <w:t xml:space="preserve"> ; et </w:t>
      </w:r>
      <w:r w:rsidRPr="0094378A">
        <w:rPr>
          <w:i/>
        </w:rPr>
        <w:t>Belamrania c. Algérie</w:t>
      </w:r>
      <w:r w:rsidRPr="004D3A17">
        <w:t xml:space="preserve">, </w:t>
      </w:r>
      <w:r>
        <w:t>par.</w:t>
      </w:r>
      <w:r w:rsidR="009B3416">
        <w:t> </w:t>
      </w:r>
      <w:r>
        <w:t>6.5</w:t>
      </w:r>
      <w:r w:rsidRPr="009505B1">
        <w:t>.</w:t>
      </w:r>
    </w:p>
  </w:footnote>
  <w:footnote w:id="22">
    <w:p w14:paraId="6CCD39CF" w14:textId="77777777" w:rsidR="00381E23" w:rsidRDefault="00381E23" w:rsidP="0095715A">
      <w:pPr>
        <w:pStyle w:val="Notedebasdepage"/>
        <w:rPr>
          <w:lang w:val="fr-FR"/>
        </w:rPr>
      </w:pPr>
      <w:r>
        <w:tab/>
      </w:r>
      <w:r w:rsidRPr="00D3513E">
        <w:rPr>
          <w:rStyle w:val="Appelnotedebasdep"/>
        </w:rPr>
        <w:footnoteRef/>
      </w:r>
      <w:r>
        <w:tab/>
      </w:r>
      <w:r w:rsidRPr="00D9169B">
        <w:rPr>
          <w:i/>
          <w:szCs w:val="18"/>
          <w:lang w:val="fr-FR"/>
        </w:rPr>
        <w:t>Ammari c.</w:t>
      </w:r>
      <w:r>
        <w:rPr>
          <w:i/>
          <w:szCs w:val="18"/>
          <w:lang w:val="fr-FR"/>
        </w:rPr>
        <w:t xml:space="preserve"> Algérie</w:t>
      </w:r>
      <w:r>
        <w:rPr>
          <w:szCs w:val="18"/>
          <w:lang w:val="fr-FR"/>
        </w:rPr>
        <w:t xml:space="preserve"> (</w:t>
      </w:r>
      <w:r w:rsidRPr="00D9169B">
        <w:rPr>
          <w:szCs w:val="18"/>
          <w:lang w:val="fr-FR"/>
        </w:rPr>
        <w:t>CCPR/C/112/D/2098/2011</w:t>
      </w:r>
      <w:r>
        <w:rPr>
          <w:szCs w:val="18"/>
          <w:lang w:val="fr-FR"/>
        </w:rPr>
        <w:t>), par.</w:t>
      </w:r>
      <w:r w:rsidR="009B3416">
        <w:rPr>
          <w:szCs w:val="18"/>
          <w:lang w:val="fr-FR"/>
        </w:rPr>
        <w:t> </w:t>
      </w:r>
      <w:r>
        <w:rPr>
          <w:szCs w:val="18"/>
          <w:lang w:val="fr-FR"/>
        </w:rPr>
        <w:t>8.6.</w:t>
      </w:r>
    </w:p>
  </w:footnote>
  <w:footnote w:id="23">
    <w:p w14:paraId="182FBDED" w14:textId="77777777" w:rsidR="00381E23" w:rsidRDefault="00381E23" w:rsidP="0095715A">
      <w:pPr>
        <w:pStyle w:val="Notedebasdepage"/>
      </w:pPr>
      <w:r>
        <w:tab/>
      </w:r>
      <w:r w:rsidRPr="00D3513E">
        <w:rPr>
          <w:rStyle w:val="Appelnotedebasdep"/>
        </w:rPr>
        <w:footnoteRef/>
      </w:r>
      <w:r>
        <w:tab/>
      </w:r>
      <w:r w:rsidRPr="00D0624B">
        <w:rPr>
          <w:i/>
          <w:iCs/>
          <w:szCs w:val="18"/>
          <w:lang w:val="fr-FR"/>
        </w:rPr>
        <w:t>Mezine c.</w:t>
      </w:r>
      <w:r>
        <w:rPr>
          <w:i/>
          <w:iCs/>
          <w:szCs w:val="18"/>
          <w:lang w:val="fr-FR"/>
        </w:rPr>
        <w:t xml:space="preserve"> </w:t>
      </w:r>
      <w:r w:rsidRPr="00D0624B">
        <w:rPr>
          <w:i/>
          <w:iCs/>
          <w:szCs w:val="18"/>
          <w:lang w:val="fr-FR"/>
        </w:rPr>
        <w:t>Algérie</w:t>
      </w:r>
      <w:r>
        <w:rPr>
          <w:szCs w:val="18"/>
          <w:lang w:val="fr-FR"/>
        </w:rPr>
        <w:t>, par.</w:t>
      </w:r>
      <w:r w:rsidR="009B3416">
        <w:rPr>
          <w:szCs w:val="18"/>
          <w:lang w:val="fr-FR"/>
        </w:rPr>
        <w:t> </w:t>
      </w:r>
      <w:r>
        <w:rPr>
          <w:szCs w:val="18"/>
          <w:lang w:val="fr-FR"/>
        </w:rPr>
        <w:t xml:space="preserve">8.6 ; </w:t>
      </w:r>
      <w:r w:rsidRPr="00D0624B">
        <w:rPr>
          <w:i/>
          <w:iCs/>
          <w:szCs w:val="18"/>
          <w:lang w:val="fr-FR"/>
        </w:rPr>
        <w:t>Khirani c.</w:t>
      </w:r>
      <w:r>
        <w:rPr>
          <w:i/>
          <w:iCs/>
          <w:szCs w:val="18"/>
          <w:lang w:val="fr-FR"/>
        </w:rPr>
        <w:t xml:space="preserve"> </w:t>
      </w:r>
      <w:r w:rsidRPr="00D0624B">
        <w:rPr>
          <w:i/>
          <w:iCs/>
          <w:szCs w:val="18"/>
          <w:lang w:val="fr-FR"/>
        </w:rPr>
        <w:t>Algérie</w:t>
      </w:r>
      <w:r w:rsidRPr="00D0624B">
        <w:t xml:space="preserve"> </w:t>
      </w:r>
      <w:r>
        <w:t>(</w:t>
      </w:r>
      <w:r w:rsidRPr="00D0624B">
        <w:rPr>
          <w:szCs w:val="18"/>
          <w:lang w:val="fr-FR"/>
        </w:rPr>
        <w:t>CCPR/C/104/D/1905/2009</w:t>
      </w:r>
      <w:r>
        <w:rPr>
          <w:szCs w:val="18"/>
          <w:lang w:val="fr-FR"/>
        </w:rPr>
        <w:t xml:space="preserve"> et Corr.1), par.</w:t>
      </w:r>
      <w:r w:rsidR="009B3416">
        <w:rPr>
          <w:szCs w:val="18"/>
          <w:lang w:val="fr-FR"/>
        </w:rPr>
        <w:t> </w:t>
      </w:r>
      <w:r>
        <w:rPr>
          <w:szCs w:val="18"/>
          <w:lang w:val="fr-FR"/>
        </w:rPr>
        <w:t xml:space="preserve">7.6 ; </w:t>
      </w:r>
      <w:r w:rsidRPr="000D231A">
        <w:rPr>
          <w:i/>
          <w:szCs w:val="18"/>
        </w:rPr>
        <w:t>Berzig</w:t>
      </w:r>
      <w:r>
        <w:rPr>
          <w:i/>
          <w:iCs/>
          <w:szCs w:val="18"/>
          <w:lang w:val="fr-FR"/>
        </w:rPr>
        <w:t xml:space="preserve"> </w:t>
      </w:r>
      <w:r w:rsidRPr="00D0624B">
        <w:rPr>
          <w:i/>
          <w:iCs/>
          <w:szCs w:val="18"/>
          <w:lang w:val="fr-FR"/>
        </w:rPr>
        <w:t>c.</w:t>
      </w:r>
      <w:r>
        <w:rPr>
          <w:i/>
          <w:iCs/>
          <w:szCs w:val="18"/>
          <w:lang w:val="fr-FR"/>
        </w:rPr>
        <w:t xml:space="preserve"> </w:t>
      </w:r>
      <w:r w:rsidRPr="00D0624B">
        <w:rPr>
          <w:i/>
          <w:iCs/>
          <w:szCs w:val="18"/>
          <w:lang w:val="fr-FR"/>
        </w:rPr>
        <w:t>Algérie</w:t>
      </w:r>
      <w:r>
        <w:rPr>
          <w:szCs w:val="18"/>
          <w:lang w:val="fr-FR"/>
        </w:rPr>
        <w:t>, par.</w:t>
      </w:r>
      <w:r w:rsidR="009B3416">
        <w:rPr>
          <w:szCs w:val="18"/>
          <w:lang w:val="fr-FR"/>
        </w:rPr>
        <w:t> </w:t>
      </w:r>
      <w:r>
        <w:rPr>
          <w:szCs w:val="18"/>
          <w:lang w:val="fr-FR"/>
        </w:rPr>
        <w:t xml:space="preserve">8.6 ; </w:t>
      </w:r>
      <w:r>
        <w:rPr>
          <w:i/>
          <w:iCs/>
          <w:szCs w:val="18"/>
          <w:lang w:val="fr-FR"/>
        </w:rPr>
        <w:t xml:space="preserve">El Abani </w:t>
      </w:r>
      <w:r w:rsidRPr="006F2384">
        <w:rPr>
          <w:i/>
          <w:iCs/>
          <w:szCs w:val="18"/>
          <w:lang w:val="fr-FR"/>
        </w:rPr>
        <w:t>c.</w:t>
      </w:r>
      <w:r>
        <w:rPr>
          <w:i/>
          <w:iCs/>
          <w:szCs w:val="18"/>
          <w:lang w:val="fr-FR"/>
        </w:rPr>
        <w:t xml:space="preserve"> Jamahiriya arabe libyenne</w:t>
      </w:r>
      <w:r>
        <w:rPr>
          <w:szCs w:val="18"/>
          <w:lang w:val="fr-FR"/>
        </w:rPr>
        <w:t xml:space="preserve"> (</w:t>
      </w:r>
      <w:r w:rsidRPr="00D0624B">
        <w:rPr>
          <w:szCs w:val="18"/>
          <w:lang w:val="fr-FR"/>
        </w:rPr>
        <w:t>CCPR/C/99/D/1640/2007</w:t>
      </w:r>
      <w:r>
        <w:rPr>
          <w:szCs w:val="18"/>
          <w:lang w:val="fr-FR"/>
        </w:rPr>
        <w:t>), par.</w:t>
      </w:r>
      <w:r w:rsidR="009B3416">
        <w:rPr>
          <w:szCs w:val="18"/>
          <w:lang w:val="fr-FR"/>
        </w:rPr>
        <w:t> </w:t>
      </w:r>
      <w:r>
        <w:rPr>
          <w:szCs w:val="18"/>
          <w:lang w:val="fr-FR"/>
        </w:rPr>
        <w:t xml:space="preserve">7.5 ; </w:t>
      </w:r>
      <w:r>
        <w:rPr>
          <w:i/>
          <w:iCs/>
          <w:szCs w:val="18"/>
          <w:lang w:val="fr-FR"/>
        </w:rPr>
        <w:t>El Hassy</w:t>
      </w:r>
      <w:r w:rsidRPr="00D0624B">
        <w:rPr>
          <w:i/>
          <w:iCs/>
          <w:szCs w:val="18"/>
          <w:lang w:val="fr-FR"/>
        </w:rPr>
        <w:t xml:space="preserve"> c. </w:t>
      </w:r>
      <w:r>
        <w:rPr>
          <w:i/>
          <w:iCs/>
          <w:szCs w:val="18"/>
          <w:lang w:val="fr-FR"/>
        </w:rPr>
        <w:t>Jamahiriya arabe libyenne</w:t>
      </w:r>
      <w:r>
        <w:rPr>
          <w:szCs w:val="18"/>
          <w:lang w:val="fr-FR"/>
        </w:rPr>
        <w:t xml:space="preserve"> (CCPR/C/91/D/1422/2005), par.</w:t>
      </w:r>
      <w:r w:rsidR="009B3416">
        <w:rPr>
          <w:szCs w:val="18"/>
          <w:lang w:val="fr-FR"/>
        </w:rPr>
        <w:t> </w:t>
      </w:r>
      <w:r>
        <w:rPr>
          <w:szCs w:val="18"/>
          <w:lang w:val="fr-FR"/>
        </w:rPr>
        <w:t xml:space="preserve">6.11 ; et </w:t>
      </w:r>
      <w:r w:rsidRPr="00680727">
        <w:rPr>
          <w:i/>
        </w:rPr>
        <w:t xml:space="preserve">Sankara et </w:t>
      </w:r>
      <w:r>
        <w:rPr>
          <w:i/>
        </w:rPr>
        <w:t>consorts</w:t>
      </w:r>
      <w:r w:rsidRPr="00680727">
        <w:rPr>
          <w:i/>
        </w:rPr>
        <w:t xml:space="preserve"> </w:t>
      </w:r>
      <w:r>
        <w:rPr>
          <w:i/>
        </w:rPr>
        <w:t>c</w:t>
      </w:r>
      <w:r w:rsidRPr="00680727">
        <w:rPr>
          <w:i/>
        </w:rPr>
        <w:t>. Burkina Faso</w:t>
      </w:r>
      <w:r>
        <w:t xml:space="preserve"> (CCPR/C/86/D/1159/2003), par.</w:t>
      </w:r>
      <w:r w:rsidR="009B3416">
        <w:t> </w:t>
      </w:r>
      <w:r w:rsidRPr="00680727">
        <w:t>12.2</w:t>
      </w:r>
      <w:r>
        <w:rPr>
          <w:szCs w:val="18"/>
          <w:lang w:val="fr-FR"/>
        </w:rPr>
        <w:t>.</w:t>
      </w:r>
    </w:p>
  </w:footnote>
  <w:footnote w:id="24">
    <w:p w14:paraId="7A95ED28" w14:textId="77777777" w:rsidR="00381E23" w:rsidRDefault="00381E23" w:rsidP="0095715A">
      <w:pPr>
        <w:pStyle w:val="Notedebasdepage"/>
      </w:pPr>
      <w:r>
        <w:tab/>
      </w:r>
      <w:r w:rsidRPr="00D3513E">
        <w:rPr>
          <w:rStyle w:val="Appelnotedebasdep"/>
        </w:rPr>
        <w:footnoteRef/>
      </w:r>
      <w:r>
        <w:tab/>
      </w:r>
      <w:r w:rsidRPr="008B5FCC">
        <w:rPr>
          <w:i/>
          <w:szCs w:val="18"/>
        </w:rPr>
        <w:t>Chani c.</w:t>
      </w:r>
      <w:r>
        <w:rPr>
          <w:i/>
          <w:szCs w:val="18"/>
        </w:rPr>
        <w:t xml:space="preserve"> Algérie</w:t>
      </w:r>
      <w:r>
        <w:rPr>
          <w:szCs w:val="18"/>
        </w:rPr>
        <w:t xml:space="preserve"> (CCPR/C/116/D/2297/2013), par.</w:t>
      </w:r>
      <w:r w:rsidR="009B3416">
        <w:rPr>
          <w:szCs w:val="18"/>
        </w:rPr>
        <w:t> </w:t>
      </w:r>
      <w:r>
        <w:rPr>
          <w:szCs w:val="18"/>
        </w:rPr>
        <w:t>7.5.</w:t>
      </w:r>
    </w:p>
  </w:footnote>
  <w:footnote w:id="25">
    <w:p w14:paraId="64B82358" w14:textId="77777777" w:rsidR="00381E23" w:rsidRDefault="00381E23" w:rsidP="0095715A">
      <w:pPr>
        <w:pStyle w:val="Notedebasdepage"/>
      </w:pPr>
      <w:r>
        <w:tab/>
      </w:r>
      <w:r w:rsidRPr="00D3513E">
        <w:rPr>
          <w:rStyle w:val="Appelnotedebasdep"/>
        </w:rPr>
        <w:footnoteRef/>
      </w:r>
      <w:r>
        <w:tab/>
      </w:r>
      <w:r>
        <w:rPr>
          <w:szCs w:val="18"/>
          <w:lang w:val="fr-FR"/>
        </w:rPr>
        <w:t xml:space="preserve">Voir, entre autres, </w:t>
      </w:r>
      <w:r w:rsidRPr="008B5FCC">
        <w:rPr>
          <w:i/>
          <w:iCs/>
          <w:szCs w:val="18"/>
          <w:lang w:val="fr-FR"/>
        </w:rPr>
        <w:t>Mezine c.</w:t>
      </w:r>
      <w:r>
        <w:rPr>
          <w:i/>
          <w:iCs/>
          <w:szCs w:val="18"/>
          <w:lang w:val="fr-FR"/>
        </w:rPr>
        <w:t xml:space="preserve"> </w:t>
      </w:r>
      <w:r w:rsidRPr="008B5FCC">
        <w:rPr>
          <w:i/>
          <w:iCs/>
          <w:szCs w:val="18"/>
          <w:lang w:val="fr-FR"/>
        </w:rPr>
        <w:t>Algérie</w:t>
      </w:r>
      <w:r>
        <w:rPr>
          <w:szCs w:val="18"/>
          <w:lang w:val="fr-FR"/>
        </w:rPr>
        <w:t>, par.</w:t>
      </w:r>
      <w:r w:rsidR="009B3416">
        <w:rPr>
          <w:szCs w:val="18"/>
          <w:lang w:val="fr-FR"/>
        </w:rPr>
        <w:t> </w:t>
      </w:r>
      <w:r>
        <w:rPr>
          <w:szCs w:val="18"/>
          <w:lang w:val="fr-FR"/>
        </w:rPr>
        <w:t xml:space="preserve">8.7 ; </w:t>
      </w:r>
      <w:r w:rsidRPr="008B5FCC">
        <w:rPr>
          <w:i/>
          <w:iCs/>
          <w:szCs w:val="18"/>
          <w:lang w:val="fr-FR"/>
        </w:rPr>
        <w:t>Khirani c.</w:t>
      </w:r>
      <w:r>
        <w:rPr>
          <w:i/>
          <w:iCs/>
          <w:szCs w:val="18"/>
          <w:lang w:val="fr-FR"/>
        </w:rPr>
        <w:t xml:space="preserve"> Algérie</w:t>
      </w:r>
      <w:r>
        <w:rPr>
          <w:szCs w:val="18"/>
          <w:lang w:val="fr-FR"/>
        </w:rPr>
        <w:t>, par.</w:t>
      </w:r>
      <w:r w:rsidR="009B3416">
        <w:rPr>
          <w:szCs w:val="18"/>
          <w:lang w:val="fr-FR"/>
        </w:rPr>
        <w:t> </w:t>
      </w:r>
      <w:r>
        <w:rPr>
          <w:szCs w:val="18"/>
          <w:lang w:val="fr-FR"/>
        </w:rPr>
        <w:t xml:space="preserve">7.7 ; et </w:t>
      </w:r>
      <w:r w:rsidRPr="008B5FCC">
        <w:rPr>
          <w:i/>
          <w:szCs w:val="18"/>
        </w:rPr>
        <w:t>Berzig</w:t>
      </w:r>
      <w:r w:rsidRPr="008B5FCC">
        <w:rPr>
          <w:i/>
          <w:iCs/>
          <w:szCs w:val="18"/>
          <w:lang w:val="fr-FR"/>
        </w:rPr>
        <w:t xml:space="preserve"> c.</w:t>
      </w:r>
      <w:r>
        <w:rPr>
          <w:i/>
          <w:iCs/>
          <w:szCs w:val="18"/>
          <w:lang w:val="fr-FR"/>
        </w:rPr>
        <w:t xml:space="preserve"> </w:t>
      </w:r>
      <w:r w:rsidRPr="008B5FCC">
        <w:rPr>
          <w:i/>
          <w:iCs/>
          <w:szCs w:val="18"/>
          <w:lang w:val="fr-FR"/>
        </w:rPr>
        <w:t>Algérie</w:t>
      </w:r>
      <w:r>
        <w:rPr>
          <w:szCs w:val="18"/>
          <w:lang w:val="fr-FR"/>
        </w:rPr>
        <w:t>, par.</w:t>
      </w:r>
      <w:r w:rsidR="009B3416">
        <w:rPr>
          <w:szCs w:val="18"/>
          <w:lang w:val="fr-FR"/>
        </w:rPr>
        <w:t> </w:t>
      </w:r>
      <w:r>
        <w:rPr>
          <w:szCs w:val="18"/>
          <w:lang w:val="fr-FR"/>
        </w:rPr>
        <w:t>8.7.</w:t>
      </w:r>
    </w:p>
  </w:footnote>
  <w:footnote w:id="26">
    <w:p w14:paraId="0730E514" w14:textId="77777777" w:rsidR="00381E23" w:rsidRDefault="00381E23" w:rsidP="0095715A">
      <w:pPr>
        <w:pStyle w:val="Notedebasdepage"/>
      </w:pPr>
      <w:r>
        <w:tab/>
      </w:r>
      <w:r w:rsidRPr="00D3513E">
        <w:rPr>
          <w:rStyle w:val="Appelnotedebasdep"/>
        </w:rPr>
        <w:footnoteRef/>
      </w:r>
      <w:r>
        <w:tab/>
      </w:r>
      <w:r>
        <w:rPr>
          <w:i/>
          <w:szCs w:val="18"/>
        </w:rPr>
        <w:t xml:space="preserve">Allioua et </w:t>
      </w:r>
      <w:r w:rsidRPr="00BB75C6">
        <w:rPr>
          <w:i/>
          <w:szCs w:val="18"/>
        </w:rPr>
        <w:t>Kerouane c.</w:t>
      </w:r>
      <w:r>
        <w:rPr>
          <w:i/>
          <w:szCs w:val="18"/>
        </w:rPr>
        <w:t xml:space="preserve"> </w:t>
      </w:r>
      <w:r w:rsidRPr="00BB75C6">
        <w:rPr>
          <w:i/>
          <w:szCs w:val="18"/>
        </w:rPr>
        <w:t>Algérie</w:t>
      </w:r>
      <w:r>
        <w:rPr>
          <w:szCs w:val="18"/>
        </w:rPr>
        <w:t xml:space="preserve"> (CCPR/C/112/D/2132/2012), par.</w:t>
      </w:r>
      <w:r w:rsidR="009B3416">
        <w:rPr>
          <w:szCs w:val="18"/>
        </w:rPr>
        <w:t> </w:t>
      </w:r>
      <w:r>
        <w:rPr>
          <w:szCs w:val="18"/>
        </w:rPr>
        <w:t>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17A2" w14:textId="7B33A589" w:rsidR="00381E23" w:rsidRPr="0095715A" w:rsidRDefault="00BE5C91">
    <w:pPr>
      <w:pStyle w:val="En-tte"/>
    </w:pPr>
    <w:fldSimple w:instr=" TITLE  \* MERGEFORMAT ">
      <w:r w:rsidR="002E3E64">
        <w:t>CCPR/C/130/D/2580/2015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DDCC" w14:textId="652FB800" w:rsidR="00381E23" w:rsidRPr="0095715A" w:rsidRDefault="00BE5C91" w:rsidP="0095715A">
    <w:pPr>
      <w:pStyle w:val="En-tte"/>
      <w:jc w:val="right"/>
    </w:pPr>
    <w:fldSimple w:instr=" TITLE  \* MERGEFORMAT ">
      <w:r w:rsidR="002E3E64">
        <w:t>CCPR/C/130/D/2580/2015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activeWritingStyle w:appName="MSWord" w:lang="fr-CH" w:vendorID="64" w:dllVersion="6" w:nlCheck="1" w:checkStyle="0"/>
  <w:activeWritingStyle w:appName="MSWord" w:lang="fr-FR" w:vendorID="64" w:dllVersion="6" w:nlCheck="1" w:checkStyle="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42"/>
    <w:rsid w:val="00017F94"/>
    <w:rsid w:val="00023842"/>
    <w:rsid w:val="000300B1"/>
    <w:rsid w:val="000334F9"/>
    <w:rsid w:val="00043E26"/>
    <w:rsid w:val="0007796D"/>
    <w:rsid w:val="000919AD"/>
    <w:rsid w:val="000B7790"/>
    <w:rsid w:val="000C2225"/>
    <w:rsid w:val="00111F2F"/>
    <w:rsid w:val="0014365E"/>
    <w:rsid w:val="00176178"/>
    <w:rsid w:val="001B379B"/>
    <w:rsid w:val="001B6998"/>
    <w:rsid w:val="001F525A"/>
    <w:rsid w:val="00202B4C"/>
    <w:rsid w:val="00223272"/>
    <w:rsid w:val="00231AC8"/>
    <w:rsid w:val="0024779E"/>
    <w:rsid w:val="002B7BC7"/>
    <w:rsid w:val="002E2D46"/>
    <w:rsid w:val="002E3E64"/>
    <w:rsid w:val="003202CE"/>
    <w:rsid w:val="0032225A"/>
    <w:rsid w:val="003265B7"/>
    <w:rsid w:val="003402F1"/>
    <w:rsid w:val="00343B9F"/>
    <w:rsid w:val="00344914"/>
    <w:rsid w:val="00351332"/>
    <w:rsid w:val="00381E23"/>
    <w:rsid w:val="003A6E96"/>
    <w:rsid w:val="00446FE5"/>
    <w:rsid w:val="00452396"/>
    <w:rsid w:val="005505B7"/>
    <w:rsid w:val="00564117"/>
    <w:rsid w:val="00573BE5"/>
    <w:rsid w:val="00586ED3"/>
    <w:rsid w:val="00596AA9"/>
    <w:rsid w:val="005F4842"/>
    <w:rsid w:val="006F7144"/>
    <w:rsid w:val="006F71EA"/>
    <w:rsid w:val="0071601D"/>
    <w:rsid w:val="00793E85"/>
    <w:rsid w:val="007A611C"/>
    <w:rsid w:val="007A62E6"/>
    <w:rsid w:val="007E2032"/>
    <w:rsid w:val="007E2E14"/>
    <w:rsid w:val="0080684C"/>
    <w:rsid w:val="008560DB"/>
    <w:rsid w:val="00871C75"/>
    <w:rsid w:val="008776DC"/>
    <w:rsid w:val="00891F36"/>
    <w:rsid w:val="008D3466"/>
    <w:rsid w:val="0095715A"/>
    <w:rsid w:val="009705C8"/>
    <w:rsid w:val="00975656"/>
    <w:rsid w:val="009B1E6C"/>
    <w:rsid w:val="009B3416"/>
    <w:rsid w:val="009E2C6A"/>
    <w:rsid w:val="00A57411"/>
    <w:rsid w:val="00A9151D"/>
    <w:rsid w:val="00AA6A35"/>
    <w:rsid w:val="00AC3823"/>
    <w:rsid w:val="00AE323C"/>
    <w:rsid w:val="00B00181"/>
    <w:rsid w:val="00B765F7"/>
    <w:rsid w:val="00B97594"/>
    <w:rsid w:val="00BA0CA9"/>
    <w:rsid w:val="00BE5C91"/>
    <w:rsid w:val="00C01ACF"/>
    <w:rsid w:val="00C02897"/>
    <w:rsid w:val="00C75620"/>
    <w:rsid w:val="00C91DA8"/>
    <w:rsid w:val="00CA7BC4"/>
    <w:rsid w:val="00D05667"/>
    <w:rsid w:val="00D3439C"/>
    <w:rsid w:val="00D405BF"/>
    <w:rsid w:val="00D744E5"/>
    <w:rsid w:val="00D83177"/>
    <w:rsid w:val="00DB1831"/>
    <w:rsid w:val="00DD2DD7"/>
    <w:rsid w:val="00DD3BFD"/>
    <w:rsid w:val="00DF6678"/>
    <w:rsid w:val="00E307F3"/>
    <w:rsid w:val="00E85C42"/>
    <w:rsid w:val="00EC30D5"/>
    <w:rsid w:val="00EE1BD4"/>
    <w:rsid w:val="00F12152"/>
    <w:rsid w:val="00F660DF"/>
    <w:rsid w:val="00F72D74"/>
    <w:rsid w:val="00F95C08"/>
    <w:rsid w:val="00FC6D1C"/>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759DB"/>
  <w15:docId w15:val="{BDA53865-B561-4678-A7DE-B193AE0F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character" w:customStyle="1" w:styleId="SingleTxtGChar">
    <w:name w:val="_ Single Txt_G Char"/>
    <w:link w:val="SingleTxtG"/>
    <w:rsid w:val="0095715A"/>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ootnote Refernec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fn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CommentaireCar">
    <w:name w:val="Commentaire Car"/>
    <w:basedOn w:val="Policepardfaut"/>
    <w:link w:val="Commentaire"/>
    <w:uiPriority w:val="99"/>
    <w:semiHidden/>
    <w:rsid w:val="0095715A"/>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95715A"/>
    <w:pPr>
      <w:spacing w:line="240" w:lineRule="auto"/>
    </w:pPr>
  </w:style>
  <w:style w:type="character" w:customStyle="1" w:styleId="ObjetducommentaireCar">
    <w:name w:val="Objet du commentaire Car"/>
    <w:basedOn w:val="CommentaireCar"/>
    <w:link w:val="Objetducommentaire"/>
    <w:uiPriority w:val="99"/>
    <w:semiHidden/>
    <w:rsid w:val="0095715A"/>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95715A"/>
    <w:rPr>
      <w:b/>
      <w:bCs/>
    </w:rPr>
  </w:style>
  <w:style w:type="character" w:styleId="Marquedecommentaire">
    <w:name w:val="annotation reference"/>
    <w:basedOn w:val="Policepardfaut"/>
    <w:uiPriority w:val="99"/>
    <w:semiHidden/>
    <w:unhideWhenUsed/>
    <w:rsid w:val="00E307F3"/>
    <w:rPr>
      <w:sz w:val="16"/>
      <w:szCs w:val="16"/>
    </w:rPr>
  </w:style>
  <w:style w:type="paragraph" w:styleId="Rvision">
    <w:name w:val="Revision"/>
    <w:hidden/>
    <w:uiPriority w:val="99"/>
    <w:semiHidden/>
    <w:rsid w:val="00E307F3"/>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4699</Words>
  <Characters>23826</Characters>
  <Application>Microsoft Office Word</Application>
  <DocSecurity>0</DocSecurity>
  <Lines>361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CCPR/C/130/D/2580/2015</vt:lpstr>
      <vt:lpstr>CCPR/C/130/D/2580/2015</vt:lpstr>
    </vt:vector>
  </TitlesOfParts>
  <Company>DCM</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CCPR/C/130/D/2580/2015</dc:title>
  <dc:subject/>
  <dc:creator>Sandrine CLERE</dc:creator>
  <cp:keywords/>
  <cp:lastModifiedBy>Christine Chautagnat</cp:lastModifiedBy>
  <cp:revision>3</cp:revision>
  <cp:lastPrinted>2021-03-11T15:25:00Z</cp:lastPrinted>
  <dcterms:created xsi:type="dcterms:W3CDTF">2021-03-11T15:25:00Z</dcterms:created>
  <dcterms:modified xsi:type="dcterms:W3CDTF">2021-03-11T15:25:00Z</dcterms:modified>
</cp:coreProperties>
</file>