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863BCAB" w14:textId="77777777" w:rsidTr="005B51C4">
        <w:trPr>
          <w:trHeight w:hRule="exact" w:val="851"/>
        </w:trPr>
        <w:tc>
          <w:tcPr>
            <w:tcW w:w="1274" w:type="dxa"/>
            <w:tcBorders>
              <w:bottom w:val="single" w:sz="4" w:space="0" w:color="auto"/>
            </w:tcBorders>
            <w:shd w:val="clear" w:color="auto" w:fill="auto"/>
          </w:tcPr>
          <w:p w14:paraId="18B56AC8" w14:textId="77777777" w:rsidR="006B3E27" w:rsidRPr="00C175A6" w:rsidRDefault="006B3E27" w:rsidP="00F90546">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02CE2D63"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AAFE151" w14:textId="5B05E741" w:rsidR="006B3E27" w:rsidRPr="00127AA7" w:rsidRDefault="00127AA7" w:rsidP="00127AA7">
            <w:pPr>
              <w:bidi w:val="0"/>
              <w:rPr>
                <w:szCs w:val="20"/>
              </w:rPr>
            </w:pPr>
            <w:r w:rsidRPr="002B2BA4">
              <w:rPr>
                <w:sz w:val="40"/>
                <w:szCs w:val="20"/>
              </w:rPr>
              <w:t>CCPR</w:t>
            </w:r>
            <w:r w:rsidRPr="002B2BA4">
              <w:rPr>
                <w:szCs w:val="20"/>
              </w:rPr>
              <w:t>/C/</w:t>
            </w:r>
            <w:r w:rsidRPr="002B2BA4">
              <w:t>136</w:t>
            </w:r>
            <w:r w:rsidRPr="002B2BA4">
              <w:rPr>
                <w:szCs w:val="20"/>
              </w:rPr>
              <w:t>/D/</w:t>
            </w:r>
            <w:r w:rsidRPr="002B2BA4">
              <w:t>3015</w:t>
            </w:r>
            <w:r w:rsidRPr="002B2BA4">
              <w:rPr>
                <w:szCs w:val="20"/>
              </w:rPr>
              <w:t>/</w:t>
            </w:r>
            <w:r w:rsidRPr="002B2BA4">
              <w:t>2017</w:t>
            </w:r>
          </w:p>
        </w:tc>
      </w:tr>
      <w:tr w:rsidR="006B3E27" w:rsidRPr="00C175A6" w14:paraId="2CCFD646" w14:textId="77777777" w:rsidTr="005B51C4">
        <w:trPr>
          <w:trHeight w:hRule="exact" w:val="2835"/>
        </w:trPr>
        <w:tc>
          <w:tcPr>
            <w:tcW w:w="1274" w:type="dxa"/>
            <w:tcBorders>
              <w:top w:val="single" w:sz="4" w:space="0" w:color="auto"/>
              <w:bottom w:val="single" w:sz="12" w:space="0" w:color="auto"/>
            </w:tcBorders>
            <w:shd w:val="clear" w:color="auto" w:fill="auto"/>
          </w:tcPr>
          <w:p w14:paraId="7549A73D"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F75BA1C" wp14:editId="52717DF1">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5A1B511"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E4EDAEB" w14:textId="1A853E5E" w:rsidR="006B3E27" w:rsidRDefault="00127AA7" w:rsidP="004B27E0">
            <w:pPr>
              <w:bidi w:val="0"/>
              <w:spacing w:before="240"/>
              <w:rPr>
                <w:szCs w:val="20"/>
              </w:rPr>
            </w:pPr>
            <w:r>
              <w:rPr>
                <w:szCs w:val="20"/>
              </w:rPr>
              <w:t>Dist</w:t>
            </w:r>
            <w:r w:rsidR="002B2BA4" w:rsidRPr="002B2BA4">
              <w:rPr>
                <w:szCs w:val="20"/>
              </w:rPr>
              <w:t>r.:</w:t>
            </w:r>
            <w:r>
              <w:rPr>
                <w:szCs w:val="20"/>
              </w:rPr>
              <w:t xml:space="preserve"> General</w:t>
            </w:r>
          </w:p>
          <w:p w14:paraId="1BE5A726" w14:textId="3771334B" w:rsidR="00127AA7" w:rsidRDefault="00006AB2" w:rsidP="00127AA7">
            <w:pPr>
              <w:bidi w:val="0"/>
              <w:spacing w:line="240" w:lineRule="exact"/>
              <w:jc w:val="left"/>
              <w:rPr>
                <w:szCs w:val="20"/>
              </w:rPr>
            </w:pPr>
            <w:r>
              <w:t>8 December 2022</w:t>
            </w:r>
          </w:p>
          <w:p w14:paraId="2D4438A8" w14:textId="77777777" w:rsidR="00127AA7" w:rsidRDefault="00127AA7" w:rsidP="00127AA7">
            <w:pPr>
              <w:bidi w:val="0"/>
              <w:spacing w:line="240" w:lineRule="exact"/>
              <w:jc w:val="left"/>
              <w:rPr>
                <w:szCs w:val="20"/>
              </w:rPr>
            </w:pPr>
            <w:r>
              <w:rPr>
                <w:szCs w:val="20"/>
              </w:rPr>
              <w:t>Arabic</w:t>
            </w:r>
          </w:p>
          <w:p w14:paraId="47AC01DA" w14:textId="41E92552" w:rsidR="00127AA7" w:rsidRPr="00127AA7" w:rsidRDefault="00127AA7" w:rsidP="00127AA7">
            <w:pPr>
              <w:bidi w:val="0"/>
              <w:spacing w:line="240" w:lineRule="exact"/>
              <w:jc w:val="left"/>
              <w:rPr>
                <w:szCs w:val="20"/>
              </w:rPr>
            </w:pPr>
            <w:r>
              <w:rPr>
                <w:szCs w:val="20"/>
              </w:rPr>
              <w:t>Origina</w:t>
            </w:r>
            <w:r w:rsidR="002B2BA4" w:rsidRPr="002B2BA4">
              <w:rPr>
                <w:szCs w:val="20"/>
              </w:rPr>
              <w:t xml:space="preserve">l: </w:t>
            </w:r>
            <w:r>
              <w:rPr>
                <w:szCs w:val="20"/>
              </w:rPr>
              <w:t>English</w:t>
            </w:r>
          </w:p>
        </w:tc>
      </w:tr>
    </w:tbl>
    <w:p w14:paraId="3F357946" w14:textId="77777777" w:rsidR="00B35E04" w:rsidRPr="00006AB2" w:rsidRDefault="00B35E04" w:rsidP="00006AB2">
      <w:pPr>
        <w:spacing w:before="120" w:line="360" w:lineRule="exact"/>
        <w:textDirection w:val="tbRlV"/>
        <w:rPr>
          <w:rFonts w:cs="Times New Roman"/>
          <w:b/>
          <w:bCs/>
          <w:sz w:val="28"/>
          <w:szCs w:val="28"/>
          <w:rtl/>
          <w:lang w:val="ar-SA" w:eastAsia="zh-TW"/>
        </w:rPr>
      </w:pPr>
      <w:r w:rsidRPr="00006AB2">
        <w:rPr>
          <w:b/>
          <w:bCs/>
          <w:sz w:val="24"/>
          <w:szCs w:val="26"/>
          <w:rtl/>
        </w:rPr>
        <w:t>اللجنة المعنية بحقوق الإنسان</w:t>
      </w:r>
    </w:p>
    <w:p w14:paraId="017A44B5" w14:textId="15EB08CA" w:rsidR="00B35E04" w:rsidRPr="000167ED" w:rsidRDefault="00B35E04" w:rsidP="000167ED">
      <w:pPr>
        <w:pStyle w:val="HChGA"/>
        <w:rPr>
          <w:lang w:val="en-US"/>
        </w:rPr>
      </w:pPr>
      <w:r w:rsidRPr="000167ED">
        <w:rPr>
          <w:rtl/>
        </w:rPr>
        <w:tab/>
      </w:r>
      <w:r w:rsidRPr="000167ED">
        <w:rPr>
          <w:rtl/>
        </w:rPr>
        <w:tab/>
        <w:t xml:space="preserve">قرار اعتمدته اللجنة بموجب البروتوكول الاختياري بشأن البلاغ رقم </w:t>
      </w:r>
      <w:r w:rsidRPr="00861AA2">
        <w:rPr>
          <w:rtl/>
        </w:rPr>
        <w:t>3015</w:t>
      </w:r>
      <w:r w:rsidRPr="000167ED">
        <w:rPr>
          <w:rtl/>
        </w:rPr>
        <w:t>/</w:t>
      </w:r>
      <w:r w:rsidRPr="00861AA2">
        <w:rPr>
          <w:rtl/>
        </w:rPr>
        <w:t>2017</w:t>
      </w:r>
      <w:r w:rsidRPr="000167ED">
        <w:rPr>
          <w:rtl/>
        </w:rPr>
        <w:footnoteReference w:customMarkFollows="1" w:id="1"/>
        <w:t>*</w:t>
      </w:r>
      <w:r w:rsidR="000167ED">
        <w:rPr>
          <w:rFonts w:hint="cs"/>
          <w:rtl/>
        </w:rPr>
        <w:t xml:space="preserve"> </w:t>
      </w:r>
      <w:r w:rsidRPr="000167ED">
        <w:rPr>
          <w:rtl/>
        </w:rPr>
        <w:footnoteReference w:customMarkFollows="1" w:id="2"/>
        <w:t>**</w:t>
      </w:r>
    </w:p>
    <w:p w14:paraId="4AAA71CD" w14:textId="1FDDEE8A" w:rsidR="00B35E04" w:rsidRPr="000167ED" w:rsidRDefault="00B35E04" w:rsidP="00E4419C">
      <w:pPr>
        <w:pStyle w:val="SingleTxtGA"/>
        <w:tabs>
          <w:tab w:val="clear" w:pos="1928"/>
          <w:tab w:val="clear" w:pos="2608"/>
          <w:tab w:val="clear" w:pos="3289"/>
          <w:tab w:val="clear" w:pos="3969"/>
          <w:tab w:val="clear" w:pos="4649"/>
          <w:tab w:val="clear" w:pos="5330"/>
        </w:tabs>
        <w:spacing w:line="344" w:lineRule="exact"/>
        <w:ind w:left="4650" w:hanging="2722"/>
        <w:rPr>
          <w:rtl/>
        </w:rPr>
      </w:pPr>
      <w:r w:rsidRPr="000167ED">
        <w:rPr>
          <w:i/>
          <w:iCs/>
          <w:rtl/>
        </w:rPr>
        <w:t>بلاغ مقدم من</w:t>
      </w:r>
      <w:r w:rsidR="000167ED" w:rsidRPr="000167ED">
        <w:rPr>
          <w:i/>
          <w:iCs/>
          <w:rtl/>
        </w:rPr>
        <w:t>:</w:t>
      </w:r>
      <w:r w:rsidR="000167ED">
        <w:rPr>
          <w:rtl/>
        </w:rPr>
        <w:tab/>
      </w:r>
      <w:r w:rsidRPr="000167ED">
        <w:rPr>
          <w:rtl/>
        </w:rPr>
        <w:t xml:space="preserve">ر. إ. إ. (يمثله المحامي ويليم </w:t>
      </w:r>
      <w:proofErr w:type="spellStart"/>
      <w:r w:rsidRPr="000167ED">
        <w:rPr>
          <w:rtl/>
        </w:rPr>
        <w:t>هندريك</w:t>
      </w:r>
      <w:proofErr w:type="spellEnd"/>
      <w:r w:rsidRPr="000167ED">
        <w:rPr>
          <w:rtl/>
        </w:rPr>
        <w:t xml:space="preserve"> </w:t>
      </w:r>
      <w:proofErr w:type="spellStart"/>
      <w:r w:rsidRPr="000167ED">
        <w:rPr>
          <w:rtl/>
        </w:rPr>
        <w:t>جيبينك</w:t>
      </w:r>
      <w:proofErr w:type="spellEnd"/>
      <w:r w:rsidRPr="000167ED">
        <w:rPr>
          <w:rtl/>
        </w:rPr>
        <w:t>)</w:t>
      </w:r>
    </w:p>
    <w:p w14:paraId="07DC9919" w14:textId="75797008" w:rsidR="00B35E04" w:rsidRPr="000167ED" w:rsidRDefault="00B35E04" w:rsidP="00E4419C">
      <w:pPr>
        <w:pStyle w:val="SingleTxtGA"/>
        <w:tabs>
          <w:tab w:val="clear" w:pos="1928"/>
          <w:tab w:val="clear" w:pos="2608"/>
          <w:tab w:val="clear" w:pos="3289"/>
          <w:tab w:val="clear" w:pos="3969"/>
          <w:tab w:val="clear" w:pos="4649"/>
          <w:tab w:val="clear" w:pos="5330"/>
        </w:tabs>
        <w:spacing w:line="344" w:lineRule="exact"/>
        <w:ind w:left="4650" w:hanging="2722"/>
        <w:rPr>
          <w:rtl/>
        </w:rPr>
      </w:pPr>
      <w:r w:rsidRPr="000167ED">
        <w:rPr>
          <w:i/>
          <w:iCs/>
          <w:rtl/>
        </w:rPr>
        <w:t>الشخص المدعى أنه ضحية</w:t>
      </w:r>
      <w:r w:rsidR="000167ED" w:rsidRPr="000167ED">
        <w:rPr>
          <w:i/>
          <w:iCs/>
          <w:rtl/>
        </w:rPr>
        <w:t>:</w:t>
      </w:r>
      <w:r w:rsidR="000167ED">
        <w:rPr>
          <w:rtl/>
        </w:rPr>
        <w:tab/>
      </w:r>
      <w:r w:rsidRPr="000167ED">
        <w:rPr>
          <w:rtl/>
        </w:rPr>
        <w:t>صاحب البلاغ</w:t>
      </w:r>
    </w:p>
    <w:p w14:paraId="34EA07EF" w14:textId="483E13AB" w:rsidR="00B35E04" w:rsidRPr="000167ED" w:rsidRDefault="00B35E04" w:rsidP="00E4419C">
      <w:pPr>
        <w:pStyle w:val="SingleTxtGA"/>
        <w:tabs>
          <w:tab w:val="clear" w:pos="1928"/>
          <w:tab w:val="clear" w:pos="2608"/>
          <w:tab w:val="clear" w:pos="3289"/>
          <w:tab w:val="clear" w:pos="3969"/>
          <w:tab w:val="clear" w:pos="4649"/>
          <w:tab w:val="clear" w:pos="5330"/>
        </w:tabs>
        <w:spacing w:line="344" w:lineRule="exact"/>
        <w:ind w:left="4650" w:hanging="2722"/>
        <w:rPr>
          <w:rtl/>
        </w:rPr>
      </w:pPr>
      <w:r w:rsidRPr="000167ED">
        <w:rPr>
          <w:i/>
          <w:iCs/>
          <w:rtl/>
        </w:rPr>
        <w:t>الدولة الطرف</w:t>
      </w:r>
      <w:r w:rsidR="000167ED" w:rsidRPr="000167ED">
        <w:rPr>
          <w:i/>
          <w:iCs/>
          <w:rtl/>
        </w:rPr>
        <w:t>:</w:t>
      </w:r>
      <w:r w:rsidR="000167ED">
        <w:rPr>
          <w:rtl/>
        </w:rPr>
        <w:tab/>
      </w:r>
      <w:r w:rsidRPr="000167ED">
        <w:rPr>
          <w:rtl/>
        </w:rPr>
        <w:t>هولندا</w:t>
      </w:r>
    </w:p>
    <w:p w14:paraId="113F29FA" w14:textId="78CAB616" w:rsidR="00B35E04" w:rsidRPr="000167ED" w:rsidRDefault="00B35E04" w:rsidP="00E4419C">
      <w:pPr>
        <w:pStyle w:val="SingleTxtGA"/>
        <w:tabs>
          <w:tab w:val="clear" w:pos="1928"/>
          <w:tab w:val="clear" w:pos="2608"/>
          <w:tab w:val="clear" w:pos="3289"/>
          <w:tab w:val="clear" w:pos="3969"/>
          <w:tab w:val="clear" w:pos="4649"/>
          <w:tab w:val="clear" w:pos="5330"/>
        </w:tabs>
        <w:spacing w:line="344" w:lineRule="exact"/>
        <w:ind w:left="4650" w:hanging="2722"/>
        <w:rPr>
          <w:rtl/>
        </w:rPr>
      </w:pPr>
      <w:r w:rsidRPr="000167ED">
        <w:rPr>
          <w:i/>
          <w:iCs/>
          <w:rtl/>
        </w:rPr>
        <w:t>تاريخ تقديم البلاغ</w:t>
      </w:r>
      <w:r w:rsidR="000167ED" w:rsidRPr="000167ED">
        <w:rPr>
          <w:i/>
          <w:iCs/>
          <w:rtl/>
        </w:rPr>
        <w:t>:</w:t>
      </w:r>
      <w:r w:rsidR="000167ED">
        <w:rPr>
          <w:rtl/>
        </w:rPr>
        <w:tab/>
      </w:r>
      <w:r w:rsidRPr="00861AA2">
        <w:rPr>
          <w:rtl/>
        </w:rPr>
        <w:t>22</w:t>
      </w:r>
      <w:r w:rsidRPr="000167ED">
        <w:rPr>
          <w:rtl/>
        </w:rPr>
        <w:t xml:space="preserve"> أيار/مايو </w:t>
      </w:r>
      <w:r w:rsidRPr="00861AA2">
        <w:rPr>
          <w:rtl/>
        </w:rPr>
        <w:t>2017</w:t>
      </w:r>
      <w:r w:rsidRPr="000167ED">
        <w:rPr>
          <w:rtl/>
        </w:rPr>
        <w:t xml:space="preserve"> (تاريخ الرسالة الأولى)</w:t>
      </w:r>
    </w:p>
    <w:p w14:paraId="3F3A209B" w14:textId="54D5B529" w:rsidR="00B35E04" w:rsidRPr="000167ED" w:rsidRDefault="00B35E04" w:rsidP="00E4419C">
      <w:pPr>
        <w:pStyle w:val="SingleTxtGA"/>
        <w:tabs>
          <w:tab w:val="clear" w:pos="1928"/>
          <w:tab w:val="clear" w:pos="2608"/>
          <w:tab w:val="clear" w:pos="3289"/>
          <w:tab w:val="clear" w:pos="3969"/>
          <w:tab w:val="clear" w:pos="4649"/>
          <w:tab w:val="clear" w:pos="5330"/>
        </w:tabs>
        <w:spacing w:line="344" w:lineRule="exact"/>
        <w:ind w:left="4650" w:hanging="2722"/>
        <w:rPr>
          <w:rtl/>
        </w:rPr>
      </w:pPr>
      <w:r w:rsidRPr="000167ED">
        <w:rPr>
          <w:i/>
          <w:iCs/>
          <w:rtl/>
        </w:rPr>
        <w:t>الوثائق المرجعية</w:t>
      </w:r>
      <w:r w:rsidR="000167ED" w:rsidRPr="000167ED">
        <w:rPr>
          <w:i/>
          <w:iCs/>
          <w:rtl/>
        </w:rPr>
        <w:t>:</w:t>
      </w:r>
      <w:r w:rsidR="000167ED">
        <w:rPr>
          <w:rtl/>
        </w:rPr>
        <w:tab/>
      </w:r>
      <w:r w:rsidRPr="000167ED">
        <w:rPr>
          <w:rtl/>
        </w:rPr>
        <w:t xml:space="preserve">القرار المتخذ بموجب المادة </w:t>
      </w:r>
      <w:r w:rsidRPr="00861AA2">
        <w:rPr>
          <w:rtl/>
        </w:rPr>
        <w:t>92</w:t>
      </w:r>
      <w:r w:rsidRPr="000167ED">
        <w:rPr>
          <w:rtl/>
        </w:rPr>
        <w:t xml:space="preserve"> من النظام الداخلي للجنة، والمحال إلى الدولة الطرف في </w:t>
      </w:r>
      <w:r w:rsidRPr="00861AA2">
        <w:rPr>
          <w:rtl/>
        </w:rPr>
        <w:t>21</w:t>
      </w:r>
      <w:r w:rsidRPr="000167ED">
        <w:rPr>
          <w:rtl/>
        </w:rPr>
        <w:t xml:space="preserve"> آب/أغسطس </w:t>
      </w:r>
      <w:r w:rsidRPr="00861AA2">
        <w:rPr>
          <w:rtl/>
        </w:rPr>
        <w:t>2017</w:t>
      </w:r>
      <w:r w:rsidRPr="000167ED">
        <w:rPr>
          <w:rtl/>
        </w:rPr>
        <w:t xml:space="preserve"> (لم يصدر في شكل وثيقة)</w:t>
      </w:r>
    </w:p>
    <w:p w14:paraId="3401AA68" w14:textId="03FCE34D" w:rsidR="00B35E04" w:rsidRPr="000167ED" w:rsidRDefault="00B35E04" w:rsidP="00E4419C">
      <w:pPr>
        <w:pStyle w:val="SingleTxtGA"/>
        <w:tabs>
          <w:tab w:val="clear" w:pos="1928"/>
          <w:tab w:val="clear" w:pos="2608"/>
          <w:tab w:val="clear" w:pos="3289"/>
          <w:tab w:val="clear" w:pos="3969"/>
          <w:tab w:val="clear" w:pos="4649"/>
          <w:tab w:val="clear" w:pos="5330"/>
        </w:tabs>
        <w:spacing w:line="344" w:lineRule="exact"/>
        <w:ind w:left="4650" w:hanging="2722"/>
        <w:rPr>
          <w:rtl/>
        </w:rPr>
      </w:pPr>
      <w:r w:rsidRPr="000167ED">
        <w:rPr>
          <w:i/>
          <w:iCs/>
          <w:rtl/>
        </w:rPr>
        <w:t>تاريخ اعتماد القرار</w:t>
      </w:r>
      <w:r w:rsidR="000167ED" w:rsidRPr="000167ED">
        <w:rPr>
          <w:i/>
          <w:iCs/>
          <w:rtl/>
        </w:rPr>
        <w:t>:</w:t>
      </w:r>
      <w:r w:rsidR="000167ED">
        <w:rPr>
          <w:rtl/>
        </w:rPr>
        <w:tab/>
      </w:r>
      <w:r w:rsidRPr="00861AA2">
        <w:rPr>
          <w:rtl/>
        </w:rPr>
        <w:t>4</w:t>
      </w:r>
      <w:r w:rsidRPr="000167ED">
        <w:rPr>
          <w:rtl/>
        </w:rPr>
        <w:t xml:space="preserve"> تشرين الثاني/نوفمبر </w:t>
      </w:r>
      <w:r w:rsidRPr="00861AA2">
        <w:rPr>
          <w:rtl/>
        </w:rPr>
        <w:t>2022</w:t>
      </w:r>
    </w:p>
    <w:p w14:paraId="3EF3384A" w14:textId="3821EB19" w:rsidR="00B35E04" w:rsidRPr="000167ED" w:rsidRDefault="00B35E04" w:rsidP="00E4419C">
      <w:pPr>
        <w:pStyle w:val="SingleTxtGA"/>
        <w:tabs>
          <w:tab w:val="clear" w:pos="1928"/>
          <w:tab w:val="clear" w:pos="2608"/>
          <w:tab w:val="clear" w:pos="3289"/>
          <w:tab w:val="clear" w:pos="3969"/>
          <w:tab w:val="clear" w:pos="4649"/>
          <w:tab w:val="clear" w:pos="5330"/>
        </w:tabs>
        <w:spacing w:line="344" w:lineRule="exact"/>
        <w:ind w:left="4650" w:hanging="2722"/>
        <w:rPr>
          <w:rtl/>
        </w:rPr>
      </w:pPr>
      <w:r w:rsidRPr="000167ED">
        <w:rPr>
          <w:i/>
          <w:iCs/>
          <w:rtl/>
        </w:rPr>
        <w:t>الموضوع</w:t>
      </w:r>
      <w:r w:rsidR="000167ED" w:rsidRPr="000167ED">
        <w:rPr>
          <w:i/>
          <w:iCs/>
          <w:rtl/>
        </w:rPr>
        <w:t>:</w:t>
      </w:r>
      <w:r w:rsidR="000167ED">
        <w:rPr>
          <w:rtl/>
        </w:rPr>
        <w:tab/>
      </w:r>
      <w:r w:rsidRPr="000167ED">
        <w:rPr>
          <w:rtl/>
        </w:rPr>
        <w:t xml:space="preserve">تطبيق التشريعات التي تعدل شروط الإفراج المبكر من السجن بأثر رجعي </w:t>
      </w:r>
    </w:p>
    <w:p w14:paraId="13C346ED" w14:textId="099736F2" w:rsidR="00B35E04" w:rsidRPr="000167ED" w:rsidRDefault="00B35E04" w:rsidP="00E4419C">
      <w:pPr>
        <w:pStyle w:val="SingleTxtGA"/>
        <w:tabs>
          <w:tab w:val="clear" w:pos="1928"/>
          <w:tab w:val="clear" w:pos="2608"/>
          <w:tab w:val="clear" w:pos="3289"/>
          <w:tab w:val="clear" w:pos="3969"/>
          <w:tab w:val="clear" w:pos="4649"/>
          <w:tab w:val="clear" w:pos="5330"/>
        </w:tabs>
        <w:spacing w:line="344" w:lineRule="exact"/>
        <w:ind w:left="4650" w:hanging="2722"/>
        <w:rPr>
          <w:rtl/>
        </w:rPr>
      </w:pPr>
      <w:r w:rsidRPr="000167ED">
        <w:rPr>
          <w:i/>
          <w:iCs/>
          <w:rtl/>
        </w:rPr>
        <w:t>المسائل الإجرائية</w:t>
      </w:r>
      <w:r w:rsidR="000167ED" w:rsidRPr="000167ED">
        <w:rPr>
          <w:i/>
          <w:iCs/>
          <w:rtl/>
        </w:rPr>
        <w:t>:</w:t>
      </w:r>
      <w:r w:rsidR="000167ED">
        <w:rPr>
          <w:rtl/>
        </w:rPr>
        <w:tab/>
      </w:r>
      <w:r w:rsidRPr="000167ED">
        <w:rPr>
          <w:rtl/>
        </w:rPr>
        <w:t xml:space="preserve">عدم المقبولية – عدم استنفاد سبل الانتصاف المحلية؛ وعدم المقبولية – انتفاء صفة الضحية؛ وعدم المقبولية – عدم كفاية الأدلة </w:t>
      </w:r>
    </w:p>
    <w:p w14:paraId="4584B5FC" w14:textId="2C2C8D4F" w:rsidR="00B35E04" w:rsidRPr="000167ED" w:rsidRDefault="00B35E04" w:rsidP="00E4419C">
      <w:pPr>
        <w:pStyle w:val="SingleTxtGA"/>
        <w:tabs>
          <w:tab w:val="clear" w:pos="1928"/>
          <w:tab w:val="clear" w:pos="2608"/>
          <w:tab w:val="clear" w:pos="3289"/>
          <w:tab w:val="clear" w:pos="3969"/>
          <w:tab w:val="clear" w:pos="4649"/>
          <w:tab w:val="clear" w:pos="5330"/>
        </w:tabs>
        <w:spacing w:line="344" w:lineRule="exact"/>
        <w:ind w:left="4650" w:hanging="2722"/>
        <w:rPr>
          <w:rtl/>
        </w:rPr>
      </w:pPr>
      <w:r w:rsidRPr="000167ED">
        <w:rPr>
          <w:i/>
          <w:iCs/>
          <w:rtl/>
        </w:rPr>
        <w:t>المسائل الموضوعية</w:t>
      </w:r>
      <w:r w:rsidR="000167ED" w:rsidRPr="000167ED">
        <w:rPr>
          <w:i/>
          <w:iCs/>
          <w:rtl/>
        </w:rPr>
        <w:t>:</w:t>
      </w:r>
      <w:r w:rsidR="000167ED">
        <w:rPr>
          <w:rtl/>
        </w:rPr>
        <w:tab/>
      </w:r>
      <w:r w:rsidRPr="000167ED">
        <w:rPr>
          <w:rtl/>
        </w:rPr>
        <w:t xml:space="preserve">الحق في المساواة أمام المحاكم وفي مراجعة محكمة أعلى للحكم الجنائي والإدانة؛ وحظر تطبيق القانون بأثر رجعي؛ وعدم التمييز </w:t>
      </w:r>
    </w:p>
    <w:p w14:paraId="0F464DC1" w14:textId="5DAAFAC8" w:rsidR="00B35E04" w:rsidRPr="000167ED" w:rsidRDefault="00B35E04" w:rsidP="00E4419C">
      <w:pPr>
        <w:pStyle w:val="SingleTxtGA"/>
        <w:tabs>
          <w:tab w:val="clear" w:pos="1928"/>
          <w:tab w:val="clear" w:pos="2608"/>
          <w:tab w:val="clear" w:pos="3289"/>
          <w:tab w:val="clear" w:pos="3969"/>
          <w:tab w:val="clear" w:pos="4649"/>
          <w:tab w:val="clear" w:pos="5330"/>
        </w:tabs>
        <w:spacing w:line="344" w:lineRule="exact"/>
        <w:ind w:left="4650" w:hanging="2722"/>
        <w:rPr>
          <w:rtl/>
        </w:rPr>
      </w:pPr>
      <w:r w:rsidRPr="000167ED">
        <w:rPr>
          <w:i/>
          <w:iCs/>
          <w:rtl/>
        </w:rPr>
        <w:t>مواد العهد</w:t>
      </w:r>
      <w:r w:rsidR="000167ED" w:rsidRPr="000167ED">
        <w:rPr>
          <w:i/>
          <w:iCs/>
          <w:rtl/>
        </w:rPr>
        <w:t>:</w:t>
      </w:r>
      <w:r w:rsidR="000167ED">
        <w:rPr>
          <w:rtl/>
        </w:rPr>
        <w:tab/>
      </w:r>
      <w:r w:rsidRPr="00861AA2">
        <w:rPr>
          <w:rtl/>
        </w:rPr>
        <w:t>14</w:t>
      </w:r>
      <w:r w:rsidRPr="000167ED">
        <w:rPr>
          <w:rtl/>
        </w:rPr>
        <w:t>(</w:t>
      </w:r>
      <w:r w:rsidRPr="00861AA2">
        <w:rPr>
          <w:rtl/>
        </w:rPr>
        <w:t>5</w:t>
      </w:r>
      <w:r w:rsidR="002B2BA4" w:rsidRPr="002B2BA4">
        <w:rPr>
          <w:rtl/>
        </w:rPr>
        <w:t xml:space="preserve">)، </w:t>
      </w:r>
      <w:r w:rsidRPr="000167ED">
        <w:rPr>
          <w:rtl/>
        </w:rPr>
        <w:t>و</w:t>
      </w:r>
      <w:r w:rsidRPr="00861AA2">
        <w:rPr>
          <w:rtl/>
        </w:rPr>
        <w:t>15</w:t>
      </w:r>
      <w:r w:rsidRPr="000167ED">
        <w:rPr>
          <w:rtl/>
        </w:rPr>
        <w:t>(</w:t>
      </w:r>
      <w:r w:rsidRPr="00861AA2">
        <w:rPr>
          <w:rtl/>
        </w:rPr>
        <w:t>1</w:t>
      </w:r>
      <w:r w:rsidR="002B2BA4" w:rsidRPr="002B2BA4">
        <w:rPr>
          <w:rtl/>
        </w:rPr>
        <w:t xml:space="preserve">)، </w:t>
      </w:r>
      <w:r w:rsidRPr="000167ED">
        <w:rPr>
          <w:rtl/>
        </w:rPr>
        <w:t>و</w:t>
      </w:r>
      <w:r w:rsidRPr="00861AA2">
        <w:rPr>
          <w:rtl/>
        </w:rPr>
        <w:t>26</w:t>
      </w:r>
      <w:r w:rsidRPr="000167ED">
        <w:rPr>
          <w:rtl/>
        </w:rPr>
        <w:t xml:space="preserve"> </w:t>
      </w:r>
    </w:p>
    <w:p w14:paraId="1721AA5A" w14:textId="678E2F86" w:rsidR="00B35E04" w:rsidRPr="000167ED" w:rsidRDefault="00B35E04" w:rsidP="00E4419C">
      <w:pPr>
        <w:pStyle w:val="SingleTxtGA"/>
        <w:tabs>
          <w:tab w:val="clear" w:pos="1928"/>
          <w:tab w:val="clear" w:pos="2608"/>
          <w:tab w:val="clear" w:pos="3289"/>
          <w:tab w:val="clear" w:pos="3969"/>
          <w:tab w:val="clear" w:pos="4649"/>
          <w:tab w:val="clear" w:pos="5330"/>
        </w:tabs>
        <w:spacing w:line="344" w:lineRule="exact"/>
        <w:ind w:left="4650" w:hanging="2722"/>
        <w:rPr>
          <w:rtl/>
        </w:rPr>
      </w:pPr>
      <w:r w:rsidRPr="000167ED">
        <w:rPr>
          <w:i/>
          <w:iCs/>
          <w:rtl/>
        </w:rPr>
        <w:t>مواد البروتوكول الاختياري</w:t>
      </w:r>
      <w:r w:rsidR="000167ED" w:rsidRPr="000167ED">
        <w:rPr>
          <w:i/>
          <w:iCs/>
          <w:rtl/>
        </w:rPr>
        <w:t>:</w:t>
      </w:r>
      <w:r w:rsidR="000167ED">
        <w:rPr>
          <w:rtl/>
        </w:rPr>
        <w:tab/>
      </w:r>
      <w:r w:rsidRPr="00861AA2">
        <w:rPr>
          <w:rtl/>
        </w:rPr>
        <w:t>1</w:t>
      </w:r>
      <w:r w:rsidRPr="000167ED">
        <w:rPr>
          <w:rtl/>
        </w:rPr>
        <w:t>، و</w:t>
      </w:r>
      <w:r w:rsidRPr="00861AA2">
        <w:rPr>
          <w:rtl/>
        </w:rPr>
        <w:t>2</w:t>
      </w:r>
      <w:r w:rsidRPr="000167ED">
        <w:rPr>
          <w:rtl/>
        </w:rPr>
        <w:t>، و</w:t>
      </w:r>
      <w:r w:rsidRPr="00861AA2">
        <w:rPr>
          <w:rtl/>
        </w:rPr>
        <w:t>3</w:t>
      </w:r>
      <w:r w:rsidRPr="000167ED">
        <w:rPr>
          <w:rtl/>
        </w:rPr>
        <w:t>، و</w:t>
      </w:r>
      <w:r w:rsidRPr="00861AA2">
        <w:rPr>
          <w:rtl/>
        </w:rPr>
        <w:t>5</w:t>
      </w:r>
      <w:r w:rsidRPr="000167ED">
        <w:rPr>
          <w:rtl/>
        </w:rPr>
        <w:t>(</w:t>
      </w:r>
      <w:r w:rsidRPr="00861AA2">
        <w:rPr>
          <w:rtl/>
        </w:rPr>
        <w:t>2</w:t>
      </w:r>
      <w:r w:rsidRPr="000167ED">
        <w:rPr>
          <w:rtl/>
        </w:rPr>
        <w:t>)(ب)</w:t>
      </w:r>
    </w:p>
    <w:p w14:paraId="0190EBE2" w14:textId="1119B61C" w:rsidR="00B35E04" w:rsidRPr="00FB7E0F" w:rsidRDefault="00B35E04" w:rsidP="00B35E04">
      <w:pPr>
        <w:pStyle w:val="SingleTxtGA"/>
        <w:rPr>
          <w:rFonts w:cs="Times New Roman"/>
          <w:szCs w:val="20"/>
          <w:rtl/>
          <w:lang w:val="ar-SA" w:eastAsia="zh-TW"/>
        </w:rPr>
      </w:pPr>
      <w:r w:rsidRPr="00861AA2">
        <w:rPr>
          <w:rtl/>
        </w:rPr>
        <w:lastRenderedPageBreak/>
        <w:t>1</w:t>
      </w:r>
      <w:r>
        <w:rPr>
          <w:rFonts w:ascii="Simplified Arabic"/>
          <w:szCs w:val="20"/>
          <w:rtl/>
        </w:rPr>
        <w:t>-</w:t>
      </w:r>
      <w:r>
        <w:rPr>
          <w:rtl/>
        </w:rPr>
        <w:tab/>
        <w:t xml:space="preserve">صاحب البلاغ هو ر. إ. إ.، وهو مواطن هولندي ولد في </w:t>
      </w:r>
      <w:proofErr w:type="spellStart"/>
      <w:r>
        <w:rPr>
          <w:rtl/>
        </w:rPr>
        <w:t>كوراساو</w:t>
      </w:r>
      <w:proofErr w:type="spellEnd"/>
      <w:r>
        <w:rPr>
          <w:rtl/>
        </w:rPr>
        <w:t xml:space="preserve"> في </w:t>
      </w:r>
      <w:r w:rsidRPr="00861AA2">
        <w:rPr>
          <w:rtl/>
        </w:rPr>
        <w:t>20</w:t>
      </w:r>
      <w:r>
        <w:rPr>
          <w:rtl/>
        </w:rPr>
        <w:t xml:space="preserve"> شباط/فبراير </w:t>
      </w:r>
      <w:r w:rsidRPr="00861AA2">
        <w:rPr>
          <w:rtl/>
        </w:rPr>
        <w:t>196</w:t>
      </w:r>
      <w:r w:rsidR="002B2BA4" w:rsidRPr="002B2BA4">
        <w:rPr>
          <w:rtl/>
        </w:rPr>
        <w:t>2</w:t>
      </w:r>
      <w:r w:rsidR="002B2BA4" w:rsidRPr="002B2BA4">
        <w:rPr>
          <w:rFonts w:ascii="Simplified Arabic"/>
          <w:szCs w:val="20"/>
          <w:rtl/>
        </w:rPr>
        <w:t>.</w:t>
      </w:r>
      <w:r w:rsidR="002B2BA4" w:rsidRPr="002B2BA4">
        <w:rPr>
          <w:rtl/>
        </w:rPr>
        <w:t xml:space="preserve"> </w:t>
      </w:r>
      <w:r>
        <w:rPr>
          <w:rtl/>
        </w:rPr>
        <w:t xml:space="preserve">وهو يدعي أن الدولة الطرف انتهكت حقوقه بموجب المواد </w:t>
      </w:r>
      <w:r w:rsidRPr="00861AA2">
        <w:rPr>
          <w:rtl/>
        </w:rPr>
        <w:t>14</w:t>
      </w:r>
      <w:r>
        <w:rPr>
          <w:rFonts w:ascii="Simplified Arabic"/>
          <w:szCs w:val="20"/>
          <w:rtl/>
        </w:rPr>
        <w:t>(</w:t>
      </w:r>
      <w:r w:rsidRPr="00861AA2">
        <w:rPr>
          <w:rtl/>
        </w:rPr>
        <w:t>5</w:t>
      </w:r>
      <w:r w:rsidR="002B2BA4" w:rsidRPr="002B2BA4">
        <w:rPr>
          <w:rFonts w:ascii="Simplified Arabic"/>
          <w:szCs w:val="20"/>
          <w:rtl/>
        </w:rPr>
        <w:t>)</w:t>
      </w:r>
      <w:r w:rsidR="002B2BA4" w:rsidRPr="002B2BA4">
        <w:rPr>
          <w:rtl/>
        </w:rPr>
        <w:t xml:space="preserve">، </w:t>
      </w:r>
      <w:r>
        <w:rPr>
          <w:rtl/>
        </w:rPr>
        <w:t>و</w:t>
      </w:r>
      <w:r w:rsidRPr="00861AA2">
        <w:rPr>
          <w:rtl/>
        </w:rPr>
        <w:t>15</w:t>
      </w:r>
      <w:r>
        <w:rPr>
          <w:rFonts w:ascii="Simplified Arabic"/>
          <w:szCs w:val="20"/>
          <w:rtl/>
        </w:rPr>
        <w:t>(</w:t>
      </w:r>
      <w:r w:rsidRPr="00861AA2">
        <w:rPr>
          <w:rtl/>
        </w:rPr>
        <w:t>1</w:t>
      </w:r>
      <w:r w:rsidR="002B2BA4" w:rsidRPr="002B2BA4">
        <w:rPr>
          <w:rFonts w:ascii="Simplified Arabic"/>
          <w:szCs w:val="20"/>
          <w:rtl/>
        </w:rPr>
        <w:t>)</w:t>
      </w:r>
      <w:r w:rsidR="002B2BA4" w:rsidRPr="002B2BA4">
        <w:rPr>
          <w:rtl/>
        </w:rPr>
        <w:t xml:space="preserve">، </w:t>
      </w:r>
      <w:r>
        <w:rPr>
          <w:rtl/>
        </w:rPr>
        <w:t>و</w:t>
      </w:r>
      <w:r w:rsidRPr="00861AA2">
        <w:rPr>
          <w:rtl/>
        </w:rPr>
        <w:t>26</w:t>
      </w:r>
      <w:r>
        <w:rPr>
          <w:rtl/>
        </w:rPr>
        <w:t xml:space="preserve"> من العهد. وقد دخل البروتوكول الاختياري حيز النفاذ بالنسبة للدولة الطرف في </w:t>
      </w:r>
      <w:r w:rsidRPr="00861AA2">
        <w:rPr>
          <w:rtl/>
        </w:rPr>
        <w:t>11</w:t>
      </w:r>
      <w:r>
        <w:rPr>
          <w:rtl/>
        </w:rPr>
        <w:t xml:space="preserve"> آذار/مارس </w:t>
      </w:r>
      <w:r w:rsidRPr="00861AA2">
        <w:rPr>
          <w:rtl/>
        </w:rPr>
        <w:t>197</w:t>
      </w:r>
      <w:r w:rsidR="002B2BA4" w:rsidRPr="002B2BA4">
        <w:rPr>
          <w:rtl/>
        </w:rPr>
        <w:t>9</w:t>
      </w:r>
      <w:r w:rsidR="002B2BA4" w:rsidRPr="002B2BA4">
        <w:rPr>
          <w:rFonts w:ascii="Simplified Arabic"/>
          <w:szCs w:val="20"/>
          <w:rtl/>
        </w:rPr>
        <w:t>.</w:t>
      </w:r>
      <w:r w:rsidR="002B2BA4" w:rsidRPr="002B2BA4">
        <w:rPr>
          <w:rtl/>
        </w:rPr>
        <w:t xml:space="preserve"> </w:t>
      </w:r>
      <w:r>
        <w:rPr>
          <w:rtl/>
        </w:rPr>
        <w:t>ويمثل صاحبَ البلاغ</w:t>
      </w:r>
      <w:r w:rsidR="00E4419C">
        <w:rPr>
          <w:rFonts w:hint="cs"/>
          <w:rtl/>
        </w:rPr>
        <w:t> </w:t>
      </w:r>
      <w:r>
        <w:rPr>
          <w:rtl/>
        </w:rPr>
        <w:t xml:space="preserve">محام. </w:t>
      </w:r>
    </w:p>
    <w:p w14:paraId="2FB5DE85" w14:textId="77777777" w:rsidR="00B35E04" w:rsidRPr="00FB7E0F" w:rsidRDefault="00B35E04" w:rsidP="00B35E04">
      <w:pPr>
        <w:pStyle w:val="H23GA"/>
        <w:rPr>
          <w:rFonts w:cs="Times New Roman"/>
          <w:szCs w:val="20"/>
          <w:rtl/>
          <w:lang w:val="ar-SA" w:eastAsia="zh-TW"/>
        </w:rPr>
      </w:pPr>
      <w:r>
        <w:rPr>
          <w:rtl/>
        </w:rPr>
        <w:tab/>
      </w:r>
      <w:r>
        <w:rPr>
          <w:rtl/>
        </w:rPr>
        <w:tab/>
        <w:t>الوقائع كما عرضها صاحب البلاغ</w:t>
      </w:r>
    </w:p>
    <w:p w14:paraId="6F266E9B" w14:textId="5E9DC979" w:rsidR="00B35E04" w:rsidRPr="00FB7E0F" w:rsidRDefault="00B35E04" w:rsidP="00B35E04">
      <w:pPr>
        <w:pStyle w:val="SingleTxtGA"/>
        <w:rPr>
          <w:rFonts w:cs="Times New Roman"/>
          <w:szCs w:val="20"/>
          <w:rtl/>
          <w:lang w:val="ar-SA" w:eastAsia="zh-TW"/>
        </w:rPr>
      </w:pPr>
      <w:r w:rsidRPr="00861AA2">
        <w:rPr>
          <w:rtl/>
        </w:rPr>
        <w:t>2</w:t>
      </w:r>
      <w:r>
        <w:rPr>
          <w:rFonts w:ascii="Simplified Arabic"/>
          <w:szCs w:val="20"/>
          <w:rtl/>
        </w:rPr>
        <w:t>-</w:t>
      </w:r>
      <w:r w:rsidRPr="00861AA2">
        <w:rPr>
          <w:rtl/>
        </w:rPr>
        <w:t>1</w:t>
      </w:r>
      <w:r>
        <w:rPr>
          <w:rtl/>
        </w:rPr>
        <w:tab/>
        <w:t xml:space="preserve">في </w:t>
      </w:r>
      <w:r w:rsidRPr="00861AA2">
        <w:rPr>
          <w:rtl/>
        </w:rPr>
        <w:t>13</w:t>
      </w:r>
      <w:r>
        <w:rPr>
          <w:rtl/>
        </w:rPr>
        <w:t xml:space="preserve"> حزيران/يونيه </w:t>
      </w:r>
      <w:r w:rsidRPr="00861AA2">
        <w:rPr>
          <w:rtl/>
        </w:rPr>
        <w:t>2003</w:t>
      </w:r>
      <w:r>
        <w:rPr>
          <w:rtl/>
        </w:rPr>
        <w:t xml:space="preserve">، ألقي القبض على صاحب البلاغ للاشتباه في تورطه في جريمة قتل واستيراد مخدرات. وفي </w:t>
      </w:r>
      <w:r w:rsidRPr="00861AA2">
        <w:rPr>
          <w:rtl/>
        </w:rPr>
        <w:t>8</w:t>
      </w:r>
      <w:r>
        <w:rPr>
          <w:rtl/>
        </w:rPr>
        <w:t xml:space="preserve"> أيلول/سبتمبر </w:t>
      </w:r>
      <w:r w:rsidRPr="00861AA2">
        <w:rPr>
          <w:rtl/>
        </w:rPr>
        <w:t>2004</w:t>
      </w:r>
      <w:r>
        <w:rPr>
          <w:rtl/>
        </w:rPr>
        <w:t>، أدانته محكمة الاستئناف في لاهاي بالتواطؤ في القتل، واستيراد مخدرات، وحرمان شخص من حريته، وتعمد إبقاء شخص محروما</w:t>
      </w:r>
      <w:r w:rsidR="00C32048">
        <w:rPr>
          <w:rFonts w:hint="cs"/>
          <w:rtl/>
        </w:rPr>
        <w:t>ً</w:t>
      </w:r>
      <w:r>
        <w:rPr>
          <w:rtl/>
        </w:rPr>
        <w:t xml:space="preserve"> من حريته. وحكم عليه بالسجن لمدة </w:t>
      </w:r>
      <w:r w:rsidRPr="00861AA2">
        <w:rPr>
          <w:rtl/>
        </w:rPr>
        <w:t>18</w:t>
      </w:r>
      <w:r>
        <w:rPr>
          <w:rtl/>
        </w:rPr>
        <w:t xml:space="preserve"> عام</w:t>
      </w:r>
      <w:r w:rsidR="00FE7BF3">
        <w:rPr>
          <w:rtl/>
        </w:rPr>
        <w:t>اً،</w:t>
      </w:r>
      <w:r>
        <w:rPr>
          <w:rtl/>
        </w:rPr>
        <w:t xml:space="preserve"> بدأ تنفيذها في </w:t>
      </w:r>
      <w:r w:rsidRPr="00861AA2">
        <w:rPr>
          <w:rtl/>
        </w:rPr>
        <w:t>13</w:t>
      </w:r>
      <w:r>
        <w:rPr>
          <w:rtl/>
        </w:rPr>
        <w:t xml:space="preserve"> حزيران/يونيه </w:t>
      </w:r>
      <w:r w:rsidRPr="00861AA2">
        <w:rPr>
          <w:rtl/>
        </w:rPr>
        <w:t>200</w:t>
      </w:r>
      <w:r w:rsidR="002B2BA4" w:rsidRPr="002B2BA4">
        <w:rPr>
          <w:rtl/>
        </w:rPr>
        <w:t>3</w:t>
      </w:r>
      <w:r w:rsidR="002B2BA4" w:rsidRPr="002B2BA4">
        <w:rPr>
          <w:rFonts w:ascii="Simplified Arabic"/>
          <w:szCs w:val="20"/>
          <w:rtl/>
        </w:rPr>
        <w:t>.</w:t>
      </w:r>
      <w:r w:rsidR="002B2BA4" w:rsidRPr="002B2BA4">
        <w:rPr>
          <w:rtl/>
        </w:rPr>
        <w:t xml:space="preserve"> </w:t>
      </w:r>
      <w:r>
        <w:rPr>
          <w:rtl/>
        </w:rPr>
        <w:t xml:space="preserve">ورفض استئنافه بالنقض أمام المحكمة العليا في </w:t>
      </w:r>
      <w:r w:rsidRPr="00861AA2">
        <w:rPr>
          <w:rtl/>
        </w:rPr>
        <w:t>13</w:t>
      </w:r>
      <w:r>
        <w:rPr>
          <w:rtl/>
        </w:rPr>
        <w:t xml:space="preserve"> أيلول/سبتمبر </w:t>
      </w:r>
      <w:r w:rsidRPr="00861AA2">
        <w:rPr>
          <w:rtl/>
        </w:rPr>
        <w:t>200</w:t>
      </w:r>
      <w:r w:rsidR="002B2BA4" w:rsidRPr="002B2BA4">
        <w:rPr>
          <w:rtl/>
        </w:rPr>
        <w:t>5</w:t>
      </w:r>
      <w:r w:rsidR="002B2BA4" w:rsidRPr="002B2BA4">
        <w:rPr>
          <w:rFonts w:ascii="Simplified Arabic"/>
          <w:szCs w:val="20"/>
          <w:rtl/>
        </w:rPr>
        <w:t>.</w:t>
      </w:r>
      <w:r w:rsidR="002B2BA4" w:rsidRPr="002B2BA4">
        <w:rPr>
          <w:rtl/>
        </w:rPr>
        <w:t xml:space="preserve"> </w:t>
      </w:r>
    </w:p>
    <w:p w14:paraId="306E10EE" w14:textId="79225EC5" w:rsidR="00B35E04" w:rsidRPr="00FB7E0F" w:rsidRDefault="00B35E04" w:rsidP="00B35E04">
      <w:pPr>
        <w:pStyle w:val="SingleTxtGA"/>
        <w:rPr>
          <w:rFonts w:cs="Times New Roman"/>
          <w:szCs w:val="20"/>
          <w:rtl/>
          <w:lang w:val="ar-SA" w:eastAsia="zh-TW"/>
        </w:rPr>
      </w:pPr>
      <w:r w:rsidRPr="00861AA2">
        <w:rPr>
          <w:rtl/>
        </w:rPr>
        <w:t>2</w:t>
      </w:r>
      <w:r>
        <w:rPr>
          <w:rFonts w:ascii="Simplified Arabic"/>
          <w:szCs w:val="20"/>
          <w:rtl/>
        </w:rPr>
        <w:t>-</w:t>
      </w:r>
      <w:r w:rsidRPr="00861AA2">
        <w:rPr>
          <w:rtl/>
        </w:rPr>
        <w:t>2</w:t>
      </w:r>
      <w:r>
        <w:rPr>
          <w:rtl/>
        </w:rPr>
        <w:tab/>
        <w:t xml:space="preserve">ووقت صدور الحكم على صاحب البلاغ، كان القانون الجنائي الهولندي ينص على الإفراج عن الأشخاص المدانين بعد قضاء ثلثي مدة العقوبة المحكوم بها. وكان الإفراج غير مشروط (أي من دون </w:t>
      </w:r>
      <w:r>
        <w:rPr>
          <w:rtl/>
          <w:lang w:val="en-US"/>
        </w:rPr>
        <w:t xml:space="preserve">فترة </w:t>
      </w:r>
      <w:r w:rsidRPr="0095783F">
        <w:rPr>
          <w:rtl/>
        </w:rPr>
        <w:t>اختبار</w:t>
      </w:r>
      <w:r w:rsidR="002B2BA4" w:rsidRPr="002B2BA4">
        <w:rPr>
          <w:rFonts w:ascii="Simplified Arabic"/>
          <w:szCs w:val="20"/>
          <w:rtl/>
        </w:rPr>
        <w:t>).</w:t>
      </w:r>
      <w:r w:rsidR="002B2BA4" w:rsidRPr="002B2BA4">
        <w:rPr>
          <w:rtl/>
        </w:rPr>
        <w:t xml:space="preserve"> </w:t>
      </w:r>
      <w:r>
        <w:rPr>
          <w:rtl/>
        </w:rPr>
        <w:t xml:space="preserve">ونتيجة لذلك، كان صاحب البلاغ يتوقع، وقت صدور الحكم، أن يطلق سراحه من السجن في </w:t>
      </w:r>
      <w:r w:rsidRPr="00861AA2">
        <w:rPr>
          <w:rtl/>
        </w:rPr>
        <w:t>13</w:t>
      </w:r>
      <w:r>
        <w:rPr>
          <w:rtl/>
        </w:rPr>
        <w:t xml:space="preserve"> حزيران/يونيه </w:t>
      </w:r>
      <w:r w:rsidRPr="00861AA2">
        <w:rPr>
          <w:rtl/>
        </w:rPr>
        <w:t>2015</w:t>
      </w:r>
      <w:r>
        <w:rPr>
          <w:rtl/>
        </w:rPr>
        <w:t xml:space="preserve">، من دون فترة اختبار. </w:t>
      </w:r>
    </w:p>
    <w:p w14:paraId="098C49D0" w14:textId="1E8E5A13" w:rsidR="00B35E04" w:rsidRPr="00FB7E0F" w:rsidRDefault="00B35E04" w:rsidP="00B35E04">
      <w:pPr>
        <w:pStyle w:val="SingleTxtGA"/>
        <w:rPr>
          <w:rFonts w:cs="Times New Roman"/>
          <w:szCs w:val="20"/>
          <w:rtl/>
          <w:lang w:val="ar-SA" w:eastAsia="zh-TW"/>
        </w:rPr>
      </w:pPr>
      <w:r w:rsidRPr="00861AA2">
        <w:rPr>
          <w:rtl/>
        </w:rPr>
        <w:t>2</w:t>
      </w:r>
      <w:r>
        <w:rPr>
          <w:rFonts w:ascii="Simplified Arabic"/>
          <w:szCs w:val="20"/>
          <w:rtl/>
        </w:rPr>
        <w:t>-</w:t>
      </w:r>
      <w:r w:rsidRPr="00861AA2">
        <w:rPr>
          <w:rtl/>
        </w:rPr>
        <w:t>3</w:t>
      </w:r>
      <w:r>
        <w:rPr>
          <w:rtl/>
        </w:rPr>
        <w:tab/>
        <w:t xml:space="preserve">وفي </w:t>
      </w:r>
      <w:r w:rsidRPr="00861AA2">
        <w:rPr>
          <w:rtl/>
        </w:rPr>
        <w:t>1</w:t>
      </w:r>
      <w:r>
        <w:rPr>
          <w:rtl/>
        </w:rPr>
        <w:t xml:space="preserve"> تموز/يوليه </w:t>
      </w:r>
      <w:r w:rsidRPr="00861AA2">
        <w:rPr>
          <w:rtl/>
        </w:rPr>
        <w:t>2008</w:t>
      </w:r>
      <w:r>
        <w:rPr>
          <w:rtl/>
        </w:rPr>
        <w:t>، استعيض عن نظام الإفراج المبكر في هولندا بالإفراج المشروط. وتنص اللائحة الجديدة بموجب القانون الجنائي على أن الإفراج المشروط يخضع للشرط العام المتمثل في ألا يرتكب المدان جريمة جنائية قبل نهاية فترة الاختبار</w:t>
      </w:r>
      <w:r w:rsidR="002B2BA4">
        <w:rPr>
          <w:vertAlign w:val="superscript"/>
          <w:rtl/>
        </w:rPr>
        <w:t>(</w:t>
      </w:r>
      <w:r w:rsidR="002B2BA4" w:rsidRPr="00861AA2">
        <w:rPr>
          <w:vertAlign w:val="superscript"/>
          <w:rtl/>
        </w:rPr>
        <w:footnoteReference w:id="3"/>
      </w:r>
      <w:r w:rsidR="002B2BA4" w:rsidRPr="002B2BA4">
        <w:rPr>
          <w:vertAlign w:val="superscript"/>
          <w:rtl/>
        </w:rPr>
        <w:t>)</w:t>
      </w:r>
      <w:r w:rsidR="002B2BA4" w:rsidRPr="002B2BA4">
        <w:rPr>
          <w:rFonts w:ascii="Simplified Arabic"/>
          <w:szCs w:val="20"/>
          <w:rtl/>
        </w:rPr>
        <w:t>.</w:t>
      </w:r>
      <w:r w:rsidR="002B2BA4" w:rsidRPr="002B2BA4">
        <w:rPr>
          <w:rtl/>
        </w:rPr>
        <w:t xml:space="preserve"> </w:t>
      </w:r>
      <w:r>
        <w:rPr>
          <w:rtl/>
        </w:rPr>
        <w:t>وتتضمن المادة الرابعة من القانون، التي حلت محل نظام الإفراج المبكر "التلقائي"</w:t>
      </w:r>
      <w:r w:rsidR="002B2BA4">
        <w:rPr>
          <w:vertAlign w:val="superscript"/>
          <w:rtl/>
        </w:rPr>
        <w:t>(</w:t>
      </w:r>
      <w:r w:rsidR="002B2BA4" w:rsidRPr="00861AA2">
        <w:rPr>
          <w:vertAlign w:val="superscript"/>
          <w:rtl/>
        </w:rPr>
        <w:footnoteReference w:id="4"/>
      </w:r>
      <w:r w:rsidR="002B2BA4" w:rsidRPr="002B2BA4">
        <w:rPr>
          <w:vertAlign w:val="superscript"/>
          <w:rtl/>
        </w:rPr>
        <w:t>)</w:t>
      </w:r>
      <w:r w:rsidR="002B2BA4" w:rsidRPr="002B2BA4">
        <w:rPr>
          <w:rtl/>
        </w:rPr>
        <w:t xml:space="preserve">، </w:t>
      </w:r>
      <w:r>
        <w:rPr>
          <w:rtl/>
        </w:rPr>
        <w:t>أحكاما</w:t>
      </w:r>
      <w:r w:rsidR="00C32048">
        <w:rPr>
          <w:rFonts w:hint="cs"/>
          <w:rtl/>
        </w:rPr>
        <w:t>ً</w:t>
      </w:r>
      <w:r>
        <w:rPr>
          <w:rtl/>
        </w:rPr>
        <w:t xml:space="preserve"> انتقالية لا ينطبق القانون بموجبها على أحكام السجن المفروضة قبل دخول القانون حيز النفاذ. غير أنه نص على استثناء لأحكام السجن المحكوم بها قبل دخول القانون حيز النفاذ بالنسبة للمدانين الذين لا يزالون يقضون أحكامهم بعد خمس سنوات من دخول القانون حيز النفاذ. وستندرج هذه الأحكام فيما بعد في إطار النظام الجديد للإفراج المشروط، على الرغم من أن العقوبة حكم بها بل دخول اللائحة الجديدة حيز النفاذ. وعندما دخل القانون حيز النفاذ، قدر أن</w:t>
      </w:r>
      <w:r w:rsidR="00C32048">
        <w:rPr>
          <w:rFonts w:hint="cs"/>
          <w:rtl/>
        </w:rPr>
        <w:t> </w:t>
      </w:r>
      <w:r w:rsidRPr="00861AA2">
        <w:rPr>
          <w:rtl/>
        </w:rPr>
        <w:t>10</w:t>
      </w:r>
      <w:r>
        <w:rPr>
          <w:rtl/>
        </w:rPr>
        <w:t xml:space="preserve"> في المائة من السجناء الذين حكم عليهم قبل دخول القانون حيز النفاذ سيخضعون للائحة الجديدة. ونصح مجلس الدولة الهولندي بعدم تطبيق اللائحة الجديدة بأثر رجعي. </w:t>
      </w:r>
    </w:p>
    <w:p w14:paraId="65F871C0" w14:textId="7EA229F5" w:rsidR="00B35E04" w:rsidRPr="00FB7E0F" w:rsidRDefault="00B35E04" w:rsidP="00B35E04">
      <w:pPr>
        <w:pStyle w:val="SingleTxtGA"/>
        <w:rPr>
          <w:rFonts w:cs="Times New Roman"/>
          <w:szCs w:val="20"/>
          <w:rtl/>
          <w:lang w:val="ar-SA" w:eastAsia="zh-TW"/>
        </w:rPr>
      </w:pPr>
      <w:r w:rsidRPr="00861AA2">
        <w:rPr>
          <w:rtl/>
        </w:rPr>
        <w:t>2</w:t>
      </w:r>
      <w:r>
        <w:rPr>
          <w:rFonts w:ascii="Simplified Arabic"/>
          <w:szCs w:val="20"/>
          <w:rtl/>
        </w:rPr>
        <w:t>-</w:t>
      </w:r>
      <w:r w:rsidRPr="00861AA2">
        <w:rPr>
          <w:rtl/>
        </w:rPr>
        <w:t>4</w:t>
      </w:r>
      <w:r>
        <w:rPr>
          <w:rtl/>
        </w:rPr>
        <w:tab/>
        <w:t xml:space="preserve">وفي </w:t>
      </w:r>
      <w:r w:rsidRPr="00861AA2">
        <w:rPr>
          <w:rtl/>
        </w:rPr>
        <w:t>21</w:t>
      </w:r>
      <w:r>
        <w:rPr>
          <w:rtl/>
        </w:rPr>
        <w:t xml:space="preserve"> آذار/مارس </w:t>
      </w:r>
      <w:r w:rsidRPr="00861AA2">
        <w:rPr>
          <w:rtl/>
        </w:rPr>
        <w:t>2015</w:t>
      </w:r>
      <w:r>
        <w:rPr>
          <w:rtl/>
        </w:rPr>
        <w:t xml:space="preserve">، ألقي القبض على صاحب البلاغ للاشتباه في استيراده مخدرات إلى الدولة الطرف بينما كان في سراح مؤقت من السجن. واعتقل في </w:t>
      </w:r>
      <w:r w:rsidRPr="00861AA2">
        <w:rPr>
          <w:rtl/>
        </w:rPr>
        <w:t>24</w:t>
      </w:r>
      <w:r>
        <w:rPr>
          <w:rtl/>
        </w:rPr>
        <w:t xml:space="preserve"> آذار/مارس </w:t>
      </w:r>
      <w:r w:rsidRPr="00861AA2">
        <w:rPr>
          <w:rtl/>
        </w:rPr>
        <w:t>201</w:t>
      </w:r>
      <w:r w:rsidR="002B2BA4" w:rsidRPr="002B2BA4">
        <w:rPr>
          <w:rtl/>
        </w:rPr>
        <w:t>5</w:t>
      </w:r>
      <w:r w:rsidR="002B2BA4" w:rsidRPr="002B2BA4">
        <w:rPr>
          <w:rFonts w:ascii="Simplified Arabic"/>
          <w:szCs w:val="20"/>
          <w:rtl/>
        </w:rPr>
        <w:t>.</w:t>
      </w:r>
      <w:r w:rsidR="002B2BA4" w:rsidRPr="002B2BA4">
        <w:rPr>
          <w:rtl/>
        </w:rPr>
        <w:t xml:space="preserve"> </w:t>
      </w:r>
      <w:r>
        <w:rPr>
          <w:rtl/>
        </w:rPr>
        <w:t xml:space="preserve">وبسبب الاحتجاز، تم تأجيل الإفراج المشروط عنه إلى </w:t>
      </w:r>
      <w:r w:rsidRPr="00861AA2">
        <w:rPr>
          <w:rtl/>
        </w:rPr>
        <w:t>9</w:t>
      </w:r>
      <w:r>
        <w:rPr>
          <w:rtl/>
        </w:rPr>
        <w:t xml:space="preserve"> شباط/فبراير </w:t>
      </w:r>
      <w:r w:rsidRPr="00861AA2">
        <w:rPr>
          <w:rtl/>
        </w:rPr>
        <w:t>201</w:t>
      </w:r>
      <w:r w:rsidR="002B2BA4" w:rsidRPr="002B2BA4">
        <w:rPr>
          <w:rtl/>
        </w:rPr>
        <w:t>6</w:t>
      </w:r>
      <w:r w:rsidR="002B2BA4" w:rsidRPr="002B2BA4">
        <w:rPr>
          <w:rFonts w:ascii="Simplified Arabic"/>
          <w:szCs w:val="20"/>
          <w:rtl/>
        </w:rPr>
        <w:t>.</w:t>
      </w:r>
      <w:r w:rsidR="002B2BA4" w:rsidRPr="002B2BA4">
        <w:rPr>
          <w:rtl/>
        </w:rPr>
        <w:t xml:space="preserve"> </w:t>
      </w:r>
      <w:r>
        <w:rPr>
          <w:rtl/>
        </w:rPr>
        <w:t xml:space="preserve">وفي </w:t>
      </w:r>
      <w:r w:rsidRPr="00861AA2">
        <w:rPr>
          <w:rtl/>
        </w:rPr>
        <w:t>22</w:t>
      </w:r>
      <w:r>
        <w:rPr>
          <w:rtl/>
        </w:rPr>
        <w:t xml:space="preserve"> أيلول/سبتمبر </w:t>
      </w:r>
      <w:r w:rsidRPr="00861AA2">
        <w:rPr>
          <w:rtl/>
        </w:rPr>
        <w:t>2015</w:t>
      </w:r>
      <w:r>
        <w:rPr>
          <w:rtl/>
        </w:rPr>
        <w:t xml:space="preserve">، أدانت محكمة مقاطعة شمال هولندا صاحب البلاغ بالتواطؤ في نقل المخدرات وحكمت عليه بالسجن لمدة ست سنوات. واستأنف صاحب البلاغ الحكم أمام محكمة الاستئناف في أمستردام التي خففت الحكم في </w:t>
      </w:r>
      <w:r w:rsidRPr="00861AA2">
        <w:rPr>
          <w:rtl/>
        </w:rPr>
        <w:t>6</w:t>
      </w:r>
      <w:r>
        <w:rPr>
          <w:rtl/>
        </w:rPr>
        <w:t xml:space="preserve"> تموز/يوليه </w:t>
      </w:r>
      <w:r w:rsidRPr="00861AA2">
        <w:rPr>
          <w:rtl/>
        </w:rPr>
        <w:t>2016</w:t>
      </w:r>
      <w:r>
        <w:rPr>
          <w:rtl/>
        </w:rPr>
        <w:t xml:space="preserve"> إلى الحبس لمدة </w:t>
      </w:r>
      <w:r w:rsidRPr="00861AA2">
        <w:rPr>
          <w:rtl/>
        </w:rPr>
        <w:t>40</w:t>
      </w:r>
      <w:r>
        <w:rPr>
          <w:rtl/>
        </w:rPr>
        <w:t xml:space="preserve"> شهرا</w:t>
      </w:r>
      <w:r w:rsidR="00C32048">
        <w:rPr>
          <w:rFonts w:hint="cs"/>
          <w:rtl/>
        </w:rPr>
        <w:t>ً</w:t>
      </w:r>
      <w:r>
        <w:rPr>
          <w:rtl/>
        </w:rPr>
        <w:t xml:space="preserve"> (أي حتى </w:t>
      </w:r>
      <w:r w:rsidRPr="00861AA2">
        <w:rPr>
          <w:rtl/>
        </w:rPr>
        <w:t>16</w:t>
      </w:r>
      <w:r>
        <w:rPr>
          <w:rtl/>
        </w:rPr>
        <w:t xml:space="preserve"> آب/أغسطس </w:t>
      </w:r>
      <w:r w:rsidRPr="00861AA2">
        <w:rPr>
          <w:rtl/>
        </w:rPr>
        <w:t>201</w:t>
      </w:r>
      <w:r w:rsidR="002B2BA4" w:rsidRPr="002B2BA4">
        <w:rPr>
          <w:rtl/>
        </w:rPr>
        <w:t>7</w:t>
      </w:r>
      <w:r w:rsidR="002B2BA4" w:rsidRPr="002B2BA4">
        <w:rPr>
          <w:rFonts w:ascii="Simplified Arabic"/>
          <w:szCs w:val="20"/>
          <w:rtl/>
        </w:rPr>
        <w:t>)</w:t>
      </w:r>
      <w:r w:rsidR="002B2BA4" w:rsidRPr="002B2BA4">
        <w:rPr>
          <w:rtl/>
        </w:rPr>
        <w:t xml:space="preserve">. </w:t>
      </w:r>
    </w:p>
    <w:p w14:paraId="0730ADA4" w14:textId="05459042" w:rsidR="00B35E04" w:rsidRPr="00FB7E0F" w:rsidRDefault="00B35E04" w:rsidP="00B35E04">
      <w:pPr>
        <w:pStyle w:val="SingleTxtGA"/>
        <w:rPr>
          <w:rFonts w:cs="Times New Roman"/>
          <w:szCs w:val="20"/>
          <w:rtl/>
          <w:lang w:val="ar-SA" w:eastAsia="zh-TW"/>
        </w:rPr>
      </w:pPr>
      <w:r w:rsidRPr="00861AA2">
        <w:rPr>
          <w:rtl/>
        </w:rPr>
        <w:t>2</w:t>
      </w:r>
      <w:r>
        <w:rPr>
          <w:rFonts w:ascii="Simplified Arabic"/>
          <w:szCs w:val="20"/>
          <w:rtl/>
        </w:rPr>
        <w:t>-</w:t>
      </w:r>
      <w:r w:rsidRPr="00861AA2">
        <w:rPr>
          <w:rtl/>
        </w:rPr>
        <w:t>5</w:t>
      </w:r>
      <w:r>
        <w:rPr>
          <w:rtl/>
        </w:rPr>
        <w:tab/>
        <w:t xml:space="preserve">وفي </w:t>
      </w:r>
      <w:r w:rsidRPr="00861AA2">
        <w:rPr>
          <w:rtl/>
        </w:rPr>
        <w:t>9</w:t>
      </w:r>
      <w:r>
        <w:rPr>
          <w:rtl/>
        </w:rPr>
        <w:t xml:space="preserve"> تشرين الثاني/نوفمبر </w:t>
      </w:r>
      <w:r w:rsidRPr="00861AA2">
        <w:rPr>
          <w:rtl/>
        </w:rPr>
        <w:t>2015</w:t>
      </w:r>
      <w:r>
        <w:rPr>
          <w:rtl/>
        </w:rPr>
        <w:t>، واستنادا</w:t>
      </w:r>
      <w:r w:rsidR="00C32048">
        <w:rPr>
          <w:rFonts w:hint="cs"/>
          <w:rtl/>
        </w:rPr>
        <w:t>ً</w:t>
      </w:r>
      <w:r>
        <w:rPr>
          <w:rtl/>
        </w:rPr>
        <w:t xml:space="preserve"> إلى الحكم الصادر في </w:t>
      </w:r>
      <w:r w:rsidRPr="00861AA2">
        <w:rPr>
          <w:rtl/>
        </w:rPr>
        <w:t>22</w:t>
      </w:r>
      <w:r>
        <w:rPr>
          <w:rtl/>
        </w:rPr>
        <w:t xml:space="preserve"> أيلول/سبتمبر </w:t>
      </w:r>
      <w:r w:rsidRPr="00861AA2">
        <w:rPr>
          <w:rtl/>
        </w:rPr>
        <w:t>2015</w:t>
      </w:r>
      <w:r>
        <w:rPr>
          <w:rtl/>
        </w:rPr>
        <w:t xml:space="preserve">، طلب المدعي العام رفض الإفراج المبكر عن صاحب البلاغ بموجب نظام الإفراج المشروط. وفي </w:t>
      </w:r>
      <w:r w:rsidRPr="00861AA2">
        <w:rPr>
          <w:rtl/>
        </w:rPr>
        <w:t>12</w:t>
      </w:r>
      <w:r>
        <w:rPr>
          <w:rtl/>
        </w:rPr>
        <w:t xml:space="preserve"> كانون الثاني/يناير </w:t>
      </w:r>
      <w:r w:rsidRPr="00861AA2">
        <w:rPr>
          <w:rtl/>
        </w:rPr>
        <w:t>2016</w:t>
      </w:r>
      <w:r>
        <w:rPr>
          <w:rtl/>
        </w:rPr>
        <w:t xml:space="preserve">، رفضت محكمة مقاطعة لاهاي الإفراج المشروط عن صاحب البلاغ، بناء </w:t>
      </w:r>
      <w:r>
        <w:rPr>
          <w:rtl/>
        </w:rPr>
        <w:lastRenderedPageBreak/>
        <w:t xml:space="preserve">على طلب المدعي العام. وبموجب القانون الجنائي، لا يخضع هذا القرار للاستئناف. ويعني هذا القرار أنه بمجرد أن يقضي صاحب البلاغ العقوبة المحكوم بها عليه في </w:t>
      </w:r>
      <w:r w:rsidRPr="00861AA2">
        <w:rPr>
          <w:rtl/>
        </w:rPr>
        <w:t>22</w:t>
      </w:r>
      <w:r>
        <w:rPr>
          <w:rtl/>
        </w:rPr>
        <w:t xml:space="preserve"> أيلول/سبتمبر </w:t>
      </w:r>
      <w:r w:rsidRPr="00861AA2">
        <w:rPr>
          <w:rtl/>
        </w:rPr>
        <w:t>2015</w:t>
      </w:r>
      <w:r>
        <w:rPr>
          <w:rtl/>
        </w:rPr>
        <w:t xml:space="preserve">، بصيغتها المعدلة في الاستئناف، فإن تنفيذ الجزء المتبقي من الحكم الأصلي الصادر في </w:t>
      </w:r>
      <w:r w:rsidRPr="00861AA2">
        <w:rPr>
          <w:rtl/>
        </w:rPr>
        <w:t>8</w:t>
      </w:r>
      <w:r>
        <w:rPr>
          <w:rtl/>
        </w:rPr>
        <w:t xml:space="preserve"> أيلول/سبتمبر </w:t>
      </w:r>
      <w:r w:rsidRPr="00861AA2">
        <w:rPr>
          <w:rtl/>
        </w:rPr>
        <w:t>2004</w:t>
      </w:r>
      <w:r>
        <w:rPr>
          <w:rtl/>
        </w:rPr>
        <w:t xml:space="preserve"> عن محكمة استئناف لاهاي- أو ثلث الحكم بالسجن </w:t>
      </w:r>
      <w:r w:rsidRPr="00861AA2">
        <w:rPr>
          <w:rtl/>
        </w:rPr>
        <w:t>18</w:t>
      </w:r>
      <w:r>
        <w:rPr>
          <w:rtl/>
        </w:rPr>
        <w:t xml:space="preserve"> عاما</w:t>
      </w:r>
      <w:r w:rsidR="00C32048">
        <w:rPr>
          <w:rFonts w:hint="cs"/>
          <w:rtl/>
        </w:rPr>
        <w:t>ً</w:t>
      </w:r>
      <w:r>
        <w:rPr>
          <w:rtl/>
        </w:rPr>
        <w:t xml:space="preserve"> - سيكون بعد ذلك، ابتداء من </w:t>
      </w:r>
      <w:r w:rsidRPr="00861AA2">
        <w:rPr>
          <w:rtl/>
        </w:rPr>
        <w:t>16</w:t>
      </w:r>
      <w:r>
        <w:rPr>
          <w:rtl/>
        </w:rPr>
        <w:t xml:space="preserve"> آب/أغسطس </w:t>
      </w:r>
      <w:r w:rsidRPr="00861AA2">
        <w:rPr>
          <w:rtl/>
        </w:rPr>
        <w:t>201</w:t>
      </w:r>
      <w:r w:rsidR="002B2BA4" w:rsidRPr="002B2BA4">
        <w:rPr>
          <w:rtl/>
        </w:rPr>
        <w:t>7</w:t>
      </w:r>
      <w:r w:rsidR="002B2BA4" w:rsidRPr="002B2BA4">
        <w:rPr>
          <w:rFonts w:ascii="Simplified Arabic"/>
          <w:szCs w:val="20"/>
          <w:rtl/>
        </w:rPr>
        <w:t>.</w:t>
      </w:r>
      <w:r w:rsidR="002B2BA4" w:rsidRPr="002B2BA4">
        <w:rPr>
          <w:rtl/>
        </w:rPr>
        <w:t xml:space="preserve"> </w:t>
      </w:r>
      <w:r>
        <w:rPr>
          <w:rtl/>
        </w:rPr>
        <w:t xml:space="preserve">ومن المتوقع أن يطلق سراح صاحب البلاغ في عام </w:t>
      </w:r>
      <w:r w:rsidRPr="00861AA2">
        <w:rPr>
          <w:rtl/>
        </w:rPr>
        <w:t>2023</w:t>
      </w:r>
      <w:r>
        <w:rPr>
          <w:rtl/>
        </w:rPr>
        <w:t>، بعد قضاء السنوات الست المتبقية من الحكم.</w:t>
      </w:r>
    </w:p>
    <w:p w14:paraId="71822CB7" w14:textId="77777777" w:rsidR="00B35E04" w:rsidRPr="00FB7E0F" w:rsidRDefault="00B35E04" w:rsidP="00B35E04">
      <w:pPr>
        <w:pStyle w:val="H23GA"/>
        <w:rPr>
          <w:rFonts w:cs="Times New Roman"/>
          <w:szCs w:val="20"/>
          <w:rtl/>
          <w:lang w:val="ar-SA" w:eastAsia="zh-TW"/>
        </w:rPr>
      </w:pPr>
      <w:r>
        <w:rPr>
          <w:rtl/>
        </w:rPr>
        <w:tab/>
      </w:r>
      <w:r>
        <w:rPr>
          <w:rtl/>
        </w:rPr>
        <w:tab/>
        <w:t>الشكوى</w:t>
      </w:r>
    </w:p>
    <w:p w14:paraId="29FA54E7" w14:textId="41E8C2F3" w:rsidR="00B35E04" w:rsidRPr="00FB7E0F" w:rsidRDefault="00B35E04" w:rsidP="00B35E04">
      <w:pPr>
        <w:pStyle w:val="SingleTxtGA"/>
        <w:rPr>
          <w:rFonts w:cs="Times New Roman"/>
          <w:szCs w:val="20"/>
          <w:rtl/>
          <w:lang w:val="ar-SA" w:eastAsia="zh-TW"/>
        </w:rPr>
      </w:pPr>
      <w:r w:rsidRPr="00861AA2">
        <w:rPr>
          <w:rtl/>
        </w:rPr>
        <w:t>3</w:t>
      </w:r>
      <w:r>
        <w:rPr>
          <w:rFonts w:ascii="Simplified Arabic"/>
          <w:szCs w:val="20"/>
          <w:rtl/>
        </w:rPr>
        <w:t>-</w:t>
      </w:r>
      <w:r w:rsidRPr="00861AA2">
        <w:rPr>
          <w:rtl/>
        </w:rPr>
        <w:t>1</w:t>
      </w:r>
      <w:r>
        <w:rPr>
          <w:rtl/>
        </w:rPr>
        <w:tab/>
        <w:t xml:space="preserve">يدعي صاحب البلاغ أن حقوقه بموجب المادة </w:t>
      </w:r>
      <w:r w:rsidRPr="00861AA2">
        <w:rPr>
          <w:rtl/>
        </w:rPr>
        <w:t>15</w:t>
      </w:r>
      <w:r>
        <w:rPr>
          <w:rFonts w:ascii="Simplified Arabic"/>
          <w:szCs w:val="20"/>
          <w:rtl/>
        </w:rPr>
        <w:t>(</w:t>
      </w:r>
      <w:r w:rsidR="002B2BA4" w:rsidRPr="002B2BA4">
        <w:rPr>
          <w:rtl/>
        </w:rPr>
        <w:t>1</w:t>
      </w:r>
      <w:r w:rsidR="002B2BA4" w:rsidRPr="002B2BA4">
        <w:rPr>
          <w:rFonts w:ascii="Simplified Arabic"/>
          <w:szCs w:val="20"/>
          <w:rtl/>
        </w:rPr>
        <w:t>)</w:t>
      </w:r>
      <w:r w:rsidR="002B2BA4" w:rsidRPr="002B2BA4">
        <w:rPr>
          <w:rtl/>
        </w:rPr>
        <w:t xml:space="preserve"> </w:t>
      </w:r>
      <w:r>
        <w:rPr>
          <w:rtl/>
        </w:rPr>
        <w:t>من العهد قد انتهكت عندما فرضت عليه عقوبة أشد من العقوبة التي كانت سارية وقت صدور الحكم الأولي عليه، لأن التشريع الجديد المتعلق بالإفراج المشروط طبق على قضيته بأثر رجعي. والحكم بالسجن الصادر في حق صاحب البلاغ تطبيقا</w:t>
      </w:r>
      <w:r w:rsidR="00C32048">
        <w:rPr>
          <w:rFonts w:hint="cs"/>
          <w:rtl/>
        </w:rPr>
        <w:t>ً</w:t>
      </w:r>
      <w:r>
        <w:rPr>
          <w:rtl/>
        </w:rPr>
        <w:t xml:space="preserve"> للتشريع الجديد المتعلق بالإفراج المشروط، والذي أصدرته محكمة مقاطعة لاهاي في قرارها المؤرخ </w:t>
      </w:r>
      <w:r w:rsidRPr="00861AA2">
        <w:rPr>
          <w:rtl/>
        </w:rPr>
        <w:t>12</w:t>
      </w:r>
      <w:r>
        <w:rPr>
          <w:rtl/>
        </w:rPr>
        <w:t xml:space="preserve"> كانون الثاني/يناير </w:t>
      </w:r>
      <w:r w:rsidRPr="00861AA2">
        <w:rPr>
          <w:rtl/>
        </w:rPr>
        <w:t>2016</w:t>
      </w:r>
      <w:r>
        <w:rPr>
          <w:rtl/>
        </w:rPr>
        <w:t xml:space="preserve">، يرقى في الواقع إلى احتجاز لمدة </w:t>
      </w:r>
      <w:r w:rsidRPr="00861AA2">
        <w:rPr>
          <w:rtl/>
        </w:rPr>
        <w:t>18</w:t>
      </w:r>
      <w:r>
        <w:rPr>
          <w:rtl/>
        </w:rPr>
        <w:t xml:space="preserve"> عاما</w:t>
      </w:r>
      <w:r w:rsidR="00C32048">
        <w:rPr>
          <w:rFonts w:hint="cs"/>
          <w:rtl/>
        </w:rPr>
        <w:t>ً</w:t>
      </w:r>
      <w:r>
        <w:rPr>
          <w:rtl/>
        </w:rPr>
        <w:t xml:space="preserve">. فعندما حكمت محكمة الاستئناف في لاهاي على صاحب البلاغ عام </w:t>
      </w:r>
      <w:r w:rsidRPr="00861AA2">
        <w:rPr>
          <w:rtl/>
        </w:rPr>
        <w:t>2004</w:t>
      </w:r>
      <w:r>
        <w:rPr>
          <w:rtl/>
        </w:rPr>
        <w:t xml:space="preserve">، كانت لديه كل الأسباب التي تدعوه إلى الاعتقاد بأنه سيفرج عنه بعد </w:t>
      </w:r>
      <w:r w:rsidRPr="00861AA2">
        <w:rPr>
          <w:rtl/>
        </w:rPr>
        <w:t>12</w:t>
      </w:r>
      <w:r>
        <w:rPr>
          <w:rtl/>
        </w:rPr>
        <w:t xml:space="preserve"> عام</w:t>
      </w:r>
      <w:r w:rsidR="00FE7BF3">
        <w:rPr>
          <w:rtl/>
        </w:rPr>
        <w:t>اً.</w:t>
      </w:r>
      <w:r>
        <w:rPr>
          <w:rtl/>
        </w:rPr>
        <w:t xml:space="preserve"> ونتيجة لذلك، فقد فرضت على صاحب البلاغ عقوبة أشد من تلك التي كانت سارية وقت ارتكاب الفعل الإجرامي. </w:t>
      </w:r>
    </w:p>
    <w:p w14:paraId="0397F578" w14:textId="7E24286A" w:rsidR="00B35E04" w:rsidRPr="00FB7E0F" w:rsidRDefault="00B35E04" w:rsidP="00B35E04">
      <w:pPr>
        <w:pStyle w:val="SingleTxtGA"/>
        <w:rPr>
          <w:rFonts w:cs="Times New Roman"/>
          <w:szCs w:val="20"/>
          <w:rtl/>
          <w:lang w:val="ar-SA" w:eastAsia="zh-TW"/>
        </w:rPr>
      </w:pPr>
      <w:r w:rsidRPr="00861AA2">
        <w:rPr>
          <w:rtl/>
        </w:rPr>
        <w:t>3</w:t>
      </w:r>
      <w:r>
        <w:rPr>
          <w:rFonts w:ascii="Simplified Arabic"/>
          <w:szCs w:val="20"/>
          <w:rtl/>
        </w:rPr>
        <w:t>-</w:t>
      </w:r>
      <w:r w:rsidRPr="00861AA2">
        <w:rPr>
          <w:rtl/>
        </w:rPr>
        <w:t>2</w:t>
      </w:r>
      <w:r>
        <w:rPr>
          <w:rtl/>
        </w:rPr>
        <w:tab/>
        <w:t>ويدعي صاحب البلاغ أيضا</w:t>
      </w:r>
      <w:r w:rsidR="00C32048">
        <w:rPr>
          <w:rFonts w:hint="cs"/>
          <w:rtl/>
        </w:rPr>
        <w:t>ً</w:t>
      </w:r>
      <w:r>
        <w:rPr>
          <w:rtl/>
        </w:rPr>
        <w:t xml:space="preserve"> أن حقوقه بموجب المادة </w:t>
      </w:r>
      <w:r w:rsidRPr="00861AA2">
        <w:rPr>
          <w:rtl/>
        </w:rPr>
        <w:t>26</w:t>
      </w:r>
      <w:r>
        <w:rPr>
          <w:rtl/>
        </w:rPr>
        <w:t xml:space="preserve"> من العهد قد انتهكت، لأن الأثر الرجعي للتشريع الجديد لم يطبق إلا على </w:t>
      </w:r>
      <w:r w:rsidRPr="00861AA2">
        <w:rPr>
          <w:rtl/>
        </w:rPr>
        <w:t>10</w:t>
      </w:r>
      <w:r>
        <w:rPr>
          <w:rtl/>
        </w:rPr>
        <w:t xml:space="preserve"> في المائة من المدانين وقت دخول التشريع حيز النفاذ. ويدعي صاحب البلاغ كذلك أن السبب الوحيد للاختلاف في المعاملة سبب مالي: فعندما نظر البرلمان في التعديلات، لوحظ أن تطبيق اللوائح الجديدة على جميع الأحكام المفروضة قبل دخول التعديلات حيز النفاذ سيتطلب الاحتفاظ بقدرة احتجاز كبيرة، وهو ما لم يكن ممكنا</w:t>
      </w:r>
      <w:r w:rsidR="00C32048">
        <w:rPr>
          <w:rFonts w:hint="cs"/>
          <w:rtl/>
        </w:rPr>
        <w:t>ً</w:t>
      </w:r>
      <w:r>
        <w:rPr>
          <w:rtl/>
        </w:rPr>
        <w:t xml:space="preserve"> بسبب القيود المالية وما يوجد من ضغط على القدرة على الاحتجاز. </w:t>
      </w:r>
    </w:p>
    <w:p w14:paraId="77B09E02" w14:textId="00F1EBF5" w:rsidR="00B35E04" w:rsidRPr="00FB7E0F" w:rsidRDefault="00B35E04" w:rsidP="00B35E04">
      <w:pPr>
        <w:pStyle w:val="SingleTxtGA"/>
        <w:rPr>
          <w:rFonts w:cs="Times New Roman"/>
          <w:szCs w:val="20"/>
          <w:rtl/>
          <w:lang w:val="ar-SA" w:eastAsia="zh-TW"/>
        </w:rPr>
      </w:pPr>
      <w:r w:rsidRPr="00861AA2">
        <w:rPr>
          <w:rtl/>
        </w:rPr>
        <w:t>3</w:t>
      </w:r>
      <w:r>
        <w:rPr>
          <w:rFonts w:ascii="Simplified Arabic"/>
          <w:szCs w:val="20"/>
          <w:rtl/>
        </w:rPr>
        <w:t>-</w:t>
      </w:r>
      <w:r w:rsidRPr="00861AA2">
        <w:rPr>
          <w:rtl/>
        </w:rPr>
        <w:t>3</w:t>
      </w:r>
      <w:r>
        <w:rPr>
          <w:rtl/>
        </w:rPr>
        <w:tab/>
        <w:t>ويزعم صاحب البلاغ أخيرا</w:t>
      </w:r>
      <w:r w:rsidR="00C32048">
        <w:rPr>
          <w:rFonts w:hint="cs"/>
          <w:rtl/>
        </w:rPr>
        <w:t>ً</w:t>
      </w:r>
      <w:r>
        <w:rPr>
          <w:rtl/>
        </w:rPr>
        <w:t xml:space="preserve"> أن حقوقه بموجب المادة </w:t>
      </w:r>
      <w:r w:rsidRPr="00861AA2">
        <w:rPr>
          <w:rtl/>
        </w:rPr>
        <w:t>14</w:t>
      </w:r>
      <w:r>
        <w:rPr>
          <w:rFonts w:ascii="Simplified Arabic"/>
          <w:szCs w:val="20"/>
          <w:rtl/>
        </w:rPr>
        <w:t>(</w:t>
      </w:r>
      <w:r w:rsidR="002B2BA4" w:rsidRPr="002B2BA4">
        <w:rPr>
          <w:rtl/>
        </w:rPr>
        <w:t>5</w:t>
      </w:r>
      <w:r w:rsidR="002B2BA4" w:rsidRPr="002B2BA4">
        <w:rPr>
          <w:rFonts w:ascii="Simplified Arabic"/>
          <w:szCs w:val="20"/>
          <w:rtl/>
        </w:rPr>
        <w:t>)</w:t>
      </w:r>
      <w:r w:rsidR="002B2BA4" w:rsidRPr="002B2BA4">
        <w:rPr>
          <w:rtl/>
        </w:rPr>
        <w:t xml:space="preserve"> </w:t>
      </w:r>
      <w:r>
        <w:rPr>
          <w:rtl/>
        </w:rPr>
        <w:t xml:space="preserve">من العهد قد انتُهكت. ويقول إنه كانت لديه وقت صدور الحكم عام </w:t>
      </w:r>
      <w:r w:rsidRPr="00861AA2">
        <w:rPr>
          <w:rtl/>
        </w:rPr>
        <w:t>2004</w:t>
      </w:r>
      <w:r>
        <w:rPr>
          <w:rtl/>
        </w:rPr>
        <w:t xml:space="preserve"> كل الأسباب التي تدعوه إلى الاعتقاد بأنه سيفرج عنه بعد </w:t>
      </w:r>
      <w:r w:rsidRPr="00861AA2">
        <w:rPr>
          <w:rtl/>
        </w:rPr>
        <w:t>12</w:t>
      </w:r>
      <w:r>
        <w:rPr>
          <w:rtl/>
        </w:rPr>
        <w:t xml:space="preserve"> عاما</w:t>
      </w:r>
      <w:r w:rsidR="00C32048">
        <w:rPr>
          <w:rFonts w:hint="cs"/>
          <w:rtl/>
        </w:rPr>
        <w:t>ً</w:t>
      </w:r>
      <w:r>
        <w:rPr>
          <w:rtl/>
        </w:rPr>
        <w:t xml:space="preserve"> بموجب نظام الإفراج المبكر التلقائي الذي كان ساريا</w:t>
      </w:r>
      <w:r w:rsidR="00C32048">
        <w:rPr>
          <w:rFonts w:hint="cs"/>
          <w:rtl/>
        </w:rPr>
        <w:t>ً</w:t>
      </w:r>
      <w:r>
        <w:rPr>
          <w:rtl/>
        </w:rPr>
        <w:t xml:space="preserve"> وقتها. ويدفع بأن تنفيذ الثلث المتبقي من عقوبته لم يكن متوقعا</w:t>
      </w:r>
      <w:r w:rsidR="00C32048">
        <w:rPr>
          <w:rFonts w:hint="cs"/>
          <w:rtl/>
        </w:rPr>
        <w:t>ً</w:t>
      </w:r>
      <w:r>
        <w:rPr>
          <w:rtl/>
        </w:rPr>
        <w:t xml:space="preserve"> على نحو معقول عام </w:t>
      </w:r>
      <w:r w:rsidRPr="00861AA2">
        <w:rPr>
          <w:rtl/>
        </w:rPr>
        <w:t>2004</w:t>
      </w:r>
      <w:r>
        <w:rPr>
          <w:rtl/>
        </w:rPr>
        <w:t>، وبالتالي فإن قرار محكمة مقاطعة لاهاي برفض الإفراج المبكر عنه ينبغي اعتباره حكما</w:t>
      </w:r>
      <w:r w:rsidR="00C32048">
        <w:rPr>
          <w:rFonts w:hint="cs"/>
          <w:rtl/>
        </w:rPr>
        <w:t>ً</w:t>
      </w:r>
      <w:r>
        <w:rPr>
          <w:rtl/>
        </w:rPr>
        <w:t xml:space="preserve"> بالمعنى المقصود في المادة </w:t>
      </w:r>
      <w:r w:rsidRPr="00861AA2">
        <w:rPr>
          <w:rtl/>
        </w:rPr>
        <w:t>14</w:t>
      </w:r>
      <w:r>
        <w:rPr>
          <w:rFonts w:ascii="Simplified Arabic"/>
          <w:szCs w:val="20"/>
          <w:rtl/>
        </w:rPr>
        <w:t>(</w:t>
      </w:r>
      <w:r w:rsidR="002B2BA4" w:rsidRPr="002B2BA4">
        <w:rPr>
          <w:rtl/>
        </w:rPr>
        <w:t>5</w:t>
      </w:r>
      <w:r w:rsidR="002B2BA4" w:rsidRPr="002B2BA4">
        <w:rPr>
          <w:rFonts w:ascii="Simplified Arabic"/>
          <w:szCs w:val="20"/>
          <w:rtl/>
        </w:rPr>
        <w:t>).</w:t>
      </w:r>
      <w:r w:rsidR="002B2BA4" w:rsidRPr="002B2BA4">
        <w:rPr>
          <w:rtl/>
        </w:rPr>
        <w:t xml:space="preserve"> </w:t>
      </w:r>
      <w:r>
        <w:rPr>
          <w:rtl/>
        </w:rPr>
        <w:t xml:space="preserve">ويدعي صاحب البلاغ أن حقوقه بموجب المادة </w:t>
      </w:r>
      <w:r w:rsidRPr="00861AA2">
        <w:rPr>
          <w:rtl/>
        </w:rPr>
        <w:t>14</w:t>
      </w:r>
      <w:r>
        <w:rPr>
          <w:rFonts w:ascii="Simplified Arabic"/>
          <w:szCs w:val="20"/>
          <w:rtl/>
        </w:rPr>
        <w:t>(</w:t>
      </w:r>
      <w:r w:rsidR="002B2BA4" w:rsidRPr="002B2BA4">
        <w:rPr>
          <w:rtl/>
        </w:rPr>
        <w:t>5</w:t>
      </w:r>
      <w:r w:rsidR="002B2BA4" w:rsidRPr="002B2BA4">
        <w:rPr>
          <w:rFonts w:ascii="Simplified Arabic"/>
          <w:szCs w:val="20"/>
          <w:rtl/>
        </w:rPr>
        <w:t>)</w:t>
      </w:r>
      <w:r w:rsidR="002B2BA4" w:rsidRPr="002B2BA4">
        <w:rPr>
          <w:rtl/>
        </w:rPr>
        <w:t xml:space="preserve"> </w:t>
      </w:r>
      <w:r>
        <w:rPr>
          <w:rtl/>
        </w:rPr>
        <w:t>قد انتهكت لأن هذا القرار لم يكن قابلا</w:t>
      </w:r>
      <w:r w:rsidR="00C32048">
        <w:rPr>
          <w:rFonts w:hint="cs"/>
          <w:rtl/>
        </w:rPr>
        <w:t>ً</w:t>
      </w:r>
      <w:r>
        <w:rPr>
          <w:rtl/>
        </w:rPr>
        <w:t xml:space="preserve"> للطعن فيه.</w:t>
      </w:r>
    </w:p>
    <w:p w14:paraId="4DAAB361" w14:textId="77777777" w:rsidR="00B35E04" w:rsidRPr="00FB7E0F" w:rsidRDefault="00B35E04" w:rsidP="00B35E04">
      <w:pPr>
        <w:pStyle w:val="H23GA"/>
        <w:rPr>
          <w:rFonts w:cs="Times New Roman"/>
          <w:szCs w:val="20"/>
          <w:rtl/>
          <w:lang w:val="ar-SA" w:eastAsia="zh-TW"/>
        </w:rPr>
      </w:pPr>
      <w:r>
        <w:rPr>
          <w:rtl/>
        </w:rPr>
        <w:tab/>
      </w:r>
      <w:r>
        <w:rPr>
          <w:rtl/>
        </w:rPr>
        <w:tab/>
        <w:t xml:space="preserve">ملاحظات الدولة الطرف بشأن مقبولية البلاغ وأسسه الموضوعية </w:t>
      </w:r>
    </w:p>
    <w:p w14:paraId="28B0656F" w14:textId="77777777" w:rsidR="00B35E04" w:rsidRPr="00FB7E0F" w:rsidRDefault="00B35E04" w:rsidP="00B35E04">
      <w:pPr>
        <w:pStyle w:val="SingleTxtGA"/>
        <w:rPr>
          <w:rFonts w:cs="Times New Roman"/>
          <w:szCs w:val="20"/>
          <w:rtl/>
          <w:lang w:val="ar-SA" w:eastAsia="zh-TW"/>
        </w:rPr>
      </w:pPr>
      <w:r w:rsidRPr="00861AA2">
        <w:rPr>
          <w:rtl/>
        </w:rPr>
        <w:t>4</w:t>
      </w:r>
      <w:r>
        <w:rPr>
          <w:rFonts w:ascii="Simplified Arabic"/>
          <w:szCs w:val="20"/>
          <w:rtl/>
        </w:rPr>
        <w:t>-</w:t>
      </w:r>
      <w:r w:rsidRPr="00861AA2">
        <w:rPr>
          <w:rtl/>
        </w:rPr>
        <w:t>1</w:t>
      </w:r>
      <w:r>
        <w:rPr>
          <w:rtl/>
        </w:rPr>
        <w:tab/>
        <w:t xml:space="preserve">في </w:t>
      </w:r>
      <w:r w:rsidRPr="00861AA2">
        <w:rPr>
          <w:rtl/>
        </w:rPr>
        <w:t>11</w:t>
      </w:r>
      <w:r>
        <w:rPr>
          <w:rtl/>
        </w:rPr>
        <w:t xml:space="preserve"> كانون الأول/ديسمبر </w:t>
      </w:r>
      <w:r w:rsidRPr="00861AA2">
        <w:rPr>
          <w:rtl/>
        </w:rPr>
        <w:t>2017</w:t>
      </w:r>
      <w:r>
        <w:rPr>
          <w:rtl/>
        </w:rPr>
        <w:t xml:space="preserve">، قدمت الدولة الطرف ملاحظاتها بشأن مقبولية البلاغ وأسسه الموضوعية. </w:t>
      </w:r>
    </w:p>
    <w:p w14:paraId="12301AF5" w14:textId="5C5BD1F2" w:rsidR="00B35E04" w:rsidRPr="00FB7E0F" w:rsidRDefault="00B35E04" w:rsidP="00B35E04">
      <w:pPr>
        <w:pStyle w:val="SingleTxtGA"/>
        <w:rPr>
          <w:rFonts w:cs="Times New Roman"/>
          <w:szCs w:val="20"/>
          <w:rtl/>
          <w:lang w:val="ar-SA" w:eastAsia="zh-TW"/>
        </w:rPr>
      </w:pPr>
      <w:r w:rsidRPr="00861AA2">
        <w:rPr>
          <w:rtl/>
        </w:rPr>
        <w:t>4</w:t>
      </w:r>
      <w:r>
        <w:rPr>
          <w:rFonts w:ascii="Simplified Arabic"/>
          <w:szCs w:val="20"/>
          <w:rtl/>
        </w:rPr>
        <w:t>-</w:t>
      </w:r>
      <w:r w:rsidRPr="00861AA2">
        <w:rPr>
          <w:rtl/>
        </w:rPr>
        <w:t>2</w:t>
      </w:r>
      <w:r>
        <w:rPr>
          <w:rtl/>
        </w:rPr>
        <w:tab/>
        <w:t xml:space="preserve">وترى الدولة الطرف أن ادعاءات صاحب البلاغ غير مقبولة لثلاثة أسباب: عدم استنفاد سبل الانتصاف المحلية عملاً بالمادة </w:t>
      </w:r>
      <w:r w:rsidRPr="00861AA2">
        <w:rPr>
          <w:rtl/>
        </w:rPr>
        <w:t>5</w:t>
      </w:r>
      <w:r>
        <w:rPr>
          <w:rFonts w:ascii="Simplified Arabic"/>
          <w:szCs w:val="20"/>
          <w:rtl/>
        </w:rPr>
        <w:t>(</w:t>
      </w:r>
      <w:r w:rsidRPr="00861AA2">
        <w:rPr>
          <w:rtl/>
        </w:rPr>
        <w:t>2</w:t>
      </w:r>
      <w:r>
        <w:rPr>
          <w:rFonts w:ascii="Simplified Arabic"/>
          <w:szCs w:val="20"/>
          <w:rtl/>
        </w:rPr>
        <w:t>)(</w:t>
      </w:r>
      <w:r>
        <w:rPr>
          <w:rtl/>
        </w:rPr>
        <w:t>ب</w:t>
      </w:r>
      <w:r>
        <w:rPr>
          <w:rFonts w:ascii="Simplified Arabic"/>
          <w:szCs w:val="20"/>
          <w:rtl/>
        </w:rPr>
        <w:t>)</w:t>
      </w:r>
      <w:r>
        <w:rPr>
          <w:rtl/>
        </w:rPr>
        <w:t xml:space="preserve"> من البروتوكول الاختياري؛ وعدم التوافق من حيث الاختصاص الموضوعي مع العهد، عملا</w:t>
      </w:r>
      <w:r w:rsidR="00CC6851">
        <w:rPr>
          <w:rFonts w:hint="cs"/>
          <w:rtl/>
        </w:rPr>
        <w:t>ً</w:t>
      </w:r>
      <w:r>
        <w:rPr>
          <w:rtl/>
        </w:rPr>
        <w:t xml:space="preserve"> بالمادة </w:t>
      </w:r>
      <w:r w:rsidRPr="00861AA2">
        <w:rPr>
          <w:rtl/>
        </w:rPr>
        <w:t>3</w:t>
      </w:r>
      <w:r>
        <w:rPr>
          <w:rtl/>
        </w:rPr>
        <w:t xml:space="preserve"> من البروتوكول الاختياري؛ وانتفاء صفة الضحية، عملا</w:t>
      </w:r>
      <w:r w:rsidR="00CC6851">
        <w:rPr>
          <w:rFonts w:hint="cs"/>
          <w:rtl/>
        </w:rPr>
        <w:t>ً</w:t>
      </w:r>
      <w:r>
        <w:rPr>
          <w:rtl/>
        </w:rPr>
        <w:t xml:space="preserve"> بالمادة </w:t>
      </w:r>
      <w:r w:rsidRPr="00861AA2">
        <w:rPr>
          <w:rtl/>
        </w:rPr>
        <w:t>1</w:t>
      </w:r>
      <w:r>
        <w:rPr>
          <w:rtl/>
        </w:rPr>
        <w:t xml:space="preserve"> من البروتوكول الاختياري. وفيما يتعلق بالأسس الموضوعية، ترى الدولة الطرف عدم حدوث أي انتهاك للمادة </w:t>
      </w:r>
      <w:r w:rsidRPr="00861AA2">
        <w:rPr>
          <w:rtl/>
        </w:rPr>
        <w:t>9</w:t>
      </w:r>
      <w:r>
        <w:rPr>
          <w:rtl/>
        </w:rPr>
        <w:t xml:space="preserve"> من العهد. </w:t>
      </w:r>
    </w:p>
    <w:p w14:paraId="5A86F55B" w14:textId="5E0445EA" w:rsidR="00B35E04" w:rsidRPr="00FB7E0F" w:rsidRDefault="00B35E04" w:rsidP="00CC6851">
      <w:pPr>
        <w:pStyle w:val="SingleTxtGA"/>
        <w:rPr>
          <w:rFonts w:cs="Times New Roman"/>
          <w:szCs w:val="20"/>
          <w:rtl/>
          <w:lang w:val="ar-SA" w:eastAsia="zh-TW"/>
        </w:rPr>
      </w:pPr>
      <w:r w:rsidRPr="00861AA2">
        <w:rPr>
          <w:rtl/>
        </w:rPr>
        <w:lastRenderedPageBreak/>
        <w:t>4</w:t>
      </w:r>
      <w:r>
        <w:rPr>
          <w:rFonts w:ascii="Simplified Arabic"/>
          <w:szCs w:val="20"/>
          <w:rtl/>
        </w:rPr>
        <w:t>-</w:t>
      </w:r>
      <w:r w:rsidRPr="00861AA2">
        <w:rPr>
          <w:rtl/>
        </w:rPr>
        <w:t>3</w:t>
      </w:r>
      <w:r>
        <w:rPr>
          <w:rtl/>
        </w:rPr>
        <w:tab/>
        <w:t xml:space="preserve">وذكرت الدولة الطرف بالوقائع الرئيسية للقضية. وفي </w:t>
      </w:r>
      <w:r w:rsidRPr="00861AA2">
        <w:rPr>
          <w:rtl/>
        </w:rPr>
        <w:t>8</w:t>
      </w:r>
      <w:r>
        <w:rPr>
          <w:rtl/>
        </w:rPr>
        <w:t xml:space="preserve"> أيلول/سبتمبر </w:t>
      </w:r>
      <w:r w:rsidRPr="00861AA2">
        <w:rPr>
          <w:rtl/>
        </w:rPr>
        <w:t>2004</w:t>
      </w:r>
      <w:r>
        <w:rPr>
          <w:rtl/>
        </w:rPr>
        <w:t xml:space="preserve">، حكمت محكمة الاستئناف في لاهاي على صاحب البلاغ في الاستئناف بالسجن </w:t>
      </w:r>
      <w:r w:rsidRPr="00861AA2">
        <w:rPr>
          <w:rtl/>
        </w:rPr>
        <w:t>18</w:t>
      </w:r>
      <w:r>
        <w:rPr>
          <w:rtl/>
        </w:rPr>
        <w:t xml:space="preserve"> عاما</w:t>
      </w:r>
      <w:r w:rsidR="00CC6851">
        <w:rPr>
          <w:rFonts w:hint="cs"/>
          <w:rtl/>
        </w:rPr>
        <w:t>ً</w:t>
      </w:r>
      <w:r>
        <w:rPr>
          <w:rtl/>
        </w:rPr>
        <w:t xml:space="preserve"> لمشاركته في ارتكاب جرائم قتل عمد، وقيامه عمدا</w:t>
      </w:r>
      <w:r w:rsidR="00CC6851">
        <w:rPr>
          <w:rFonts w:hint="cs"/>
          <w:rtl/>
        </w:rPr>
        <w:t>ً</w:t>
      </w:r>
      <w:r>
        <w:rPr>
          <w:rtl/>
        </w:rPr>
        <w:t xml:space="preserve"> بنشاط مخالف للمادة الفرعية </w:t>
      </w:r>
      <w:r w:rsidRPr="00861AA2">
        <w:rPr>
          <w:rtl/>
        </w:rPr>
        <w:t>1</w:t>
      </w:r>
      <w:r>
        <w:rPr>
          <w:rtl/>
        </w:rPr>
        <w:t xml:space="preserve">، ألف (القديمة) من المادة </w:t>
      </w:r>
      <w:r w:rsidRPr="00861AA2">
        <w:rPr>
          <w:rtl/>
        </w:rPr>
        <w:t>2</w:t>
      </w:r>
      <w:r>
        <w:rPr>
          <w:rtl/>
        </w:rPr>
        <w:t xml:space="preserve"> من قانون الأفيون، وحرمان شخص من حريته عمدا</w:t>
      </w:r>
      <w:r w:rsidR="00CC6851">
        <w:rPr>
          <w:rFonts w:hint="cs"/>
          <w:rtl/>
        </w:rPr>
        <w:t>ً</w:t>
      </w:r>
      <w:r>
        <w:rPr>
          <w:rtl/>
        </w:rPr>
        <w:t xml:space="preserve"> وبصورة غير قانونية وإبقائه محروما</w:t>
      </w:r>
      <w:r w:rsidR="00CC6851">
        <w:rPr>
          <w:rFonts w:hint="cs"/>
          <w:rtl/>
        </w:rPr>
        <w:t>ً</w:t>
      </w:r>
      <w:r>
        <w:rPr>
          <w:rtl/>
        </w:rPr>
        <w:t xml:space="preserve"> من حريته. وفي </w:t>
      </w:r>
      <w:r w:rsidRPr="00861AA2">
        <w:rPr>
          <w:rtl/>
        </w:rPr>
        <w:t>13</w:t>
      </w:r>
      <w:r>
        <w:rPr>
          <w:rtl/>
        </w:rPr>
        <w:t xml:space="preserve"> أيلول/</w:t>
      </w:r>
      <w:r w:rsidR="00CC6851">
        <w:rPr>
          <w:rFonts w:hint="cs"/>
          <w:rtl/>
        </w:rPr>
        <w:t xml:space="preserve"> </w:t>
      </w:r>
      <w:r>
        <w:rPr>
          <w:rtl/>
        </w:rPr>
        <w:t>سبتمبر</w:t>
      </w:r>
      <w:r w:rsidR="00CC6851">
        <w:rPr>
          <w:rFonts w:hint="cs"/>
          <w:rtl/>
        </w:rPr>
        <w:t> </w:t>
      </w:r>
      <w:r w:rsidRPr="00861AA2">
        <w:rPr>
          <w:rtl/>
        </w:rPr>
        <w:t>2005</w:t>
      </w:r>
      <w:r>
        <w:rPr>
          <w:rtl/>
        </w:rPr>
        <w:t>، عندما رفض الطعن بالنقض الذي قدمه صاحب البلاغ، أصبح الحكم بإدانته نهائي</w:t>
      </w:r>
      <w:r w:rsidR="00A24F8D">
        <w:rPr>
          <w:rtl/>
        </w:rPr>
        <w:t>اً.</w:t>
      </w:r>
      <w:r>
        <w:rPr>
          <w:rtl/>
        </w:rPr>
        <w:t xml:space="preserve"> وفي آذار/مارس </w:t>
      </w:r>
      <w:r w:rsidRPr="00861AA2">
        <w:rPr>
          <w:rtl/>
        </w:rPr>
        <w:t>2015</w:t>
      </w:r>
      <w:r>
        <w:rPr>
          <w:rtl/>
        </w:rPr>
        <w:t>، منح صاحب البلاغ سراحا</w:t>
      </w:r>
      <w:r w:rsidR="00CC6851">
        <w:rPr>
          <w:rFonts w:hint="cs"/>
          <w:rtl/>
        </w:rPr>
        <w:t>ً</w:t>
      </w:r>
      <w:r>
        <w:rPr>
          <w:rtl/>
        </w:rPr>
        <w:t xml:space="preserve"> مؤقتا</w:t>
      </w:r>
      <w:r w:rsidR="00CC6851">
        <w:rPr>
          <w:rFonts w:hint="cs"/>
          <w:rtl/>
        </w:rPr>
        <w:t>ً</w:t>
      </w:r>
      <w:r>
        <w:rPr>
          <w:rtl/>
        </w:rPr>
        <w:t xml:space="preserve"> أثناء قضائه عقوبة السجن. وفي </w:t>
      </w:r>
      <w:r w:rsidRPr="00861AA2">
        <w:rPr>
          <w:rtl/>
        </w:rPr>
        <w:t>21</w:t>
      </w:r>
      <w:r>
        <w:rPr>
          <w:rtl/>
        </w:rPr>
        <w:t xml:space="preserve"> آذار/</w:t>
      </w:r>
      <w:r w:rsidR="00CC6851">
        <w:rPr>
          <w:rFonts w:hint="cs"/>
          <w:rtl/>
        </w:rPr>
        <w:t xml:space="preserve"> </w:t>
      </w:r>
      <w:r>
        <w:rPr>
          <w:rtl/>
        </w:rPr>
        <w:t>مارس</w:t>
      </w:r>
      <w:r w:rsidR="00CC6851">
        <w:rPr>
          <w:rFonts w:hint="cs"/>
          <w:rtl/>
        </w:rPr>
        <w:t> </w:t>
      </w:r>
      <w:r w:rsidRPr="00861AA2">
        <w:rPr>
          <w:rtl/>
        </w:rPr>
        <w:t>2015</w:t>
      </w:r>
      <w:r>
        <w:rPr>
          <w:rtl/>
        </w:rPr>
        <w:t xml:space="preserve">، ألقي القبض على صاحب البلاغ للاشتباه في ارتكابه جرائم جنائية جديدة، </w:t>
      </w:r>
      <w:r>
        <w:rPr>
          <w:rtl/>
          <w:lang w:val="en-US"/>
        </w:rPr>
        <w:t xml:space="preserve">بينما كان في حالة </w:t>
      </w:r>
      <w:r>
        <w:rPr>
          <w:rtl/>
        </w:rPr>
        <w:t xml:space="preserve">سراح مؤقت. وفي </w:t>
      </w:r>
      <w:r w:rsidRPr="00861AA2">
        <w:rPr>
          <w:rtl/>
        </w:rPr>
        <w:t>24</w:t>
      </w:r>
      <w:r>
        <w:rPr>
          <w:rtl/>
        </w:rPr>
        <w:t xml:space="preserve"> آذار/مارس </w:t>
      </w:r>
      <w:r w:rsidRPr="00861AA2">
        <w:rPr>
          <w:rtl/>
        </w:rPr>
        <w:t>2015</w:t>
      </w:r>
      <w:r>
        <w:rPr>
          <w:rtl/>
        </w:rPr>
        <w:t xml:space="preserve">، أودع الحبس الاحتياطي بأمر من قاضي التحقيق فيما يتعلق بهذه الجرائم الجديدة. واحتجز صاحب البلاغ على ذمة المحاكمة في الفترة من </w:t>
      </w:r>
      <w:r w:rsidRPr="00861AA2">
        <w:rPr>
          <w:rtl/>
        </w:rPr>
        <w:t>21</w:t>
      </w:r>
      <w:r>
        <w:rPr>
          <w:rtl/>
        </w:rPr>
        <w:t xml:space="preserve"> آذار/مارس إلى</w:t>
      </w:r>
      <w:r w:rsidR="00D31C5F">
        <w:rPr>
          <w:rFonts w:hint="cs"/>
          <w:rtl/>
        </w:rPr>
        <w:t> </w:t>
      </w:r>
      <w:r w:rsidRPr="00861AA2">
        <w:rPr>
          <w:rtl/>
        </w:rPr>
        <w:t>22</w:t>
      </w:r>
      <w:r>
        <w:rPr>
          <w:rtl/>
        </w:rPr>
        <w:t xml:space="preserve"> تشرين الثاني/نوفمبر </w:t>
      </w:r>
      <w:r w:rsidRPr="00861AA2">
        <w:rPr>
          <w:rtl/>
        </w:rPr>
        <w:t>2015</w:t>
      </w:r>
      <w:r>
        <w:rPr>
          <w:rtl/>
        </w:rPr>
        <w:t xml:space="preserve">، مما أدى إلى تأخير تنفيذ عقوبته الأصلية لمدة ثمانية أشهر. ولهذا السبب، تم نقل التاريخ الأصلي للإفراج المشروط عنه، وهو </w:t>
      </w:r>
      <w:r w:rsidRPr="00861AA2">
        <w:rPr>
          <w:rtl/>
        </w:rPr>
        <w:t>13</w:t>
      </w:r>
      <w:r>
        <w:rPr>
          <w:rtl/>
        </w:rPr>
        <w:t xml:space="preserve"> حزيران/يونيه </w:t>
      </w:r>
      <w:r w:rsidRPr="00861AA2">
        <w:rPr>
          <w:rtl/>
        </w:rPr>
        <w:t>2015</w:t>
      </w:r>
      <w:r>
        <w:rPr>
          <w:rtl/>
        </w:rPr>
        <w:t xml:space="preserve">، إلى </w:t>
      </w:r>
      <w:r w:rsidRPr="00861AA2">
        <w:rPr>
          <w:rtl/>
        </w:rPr>
        <w:t>9</w:t>
      </w:r>
      <w:r>
        <w:rPr>
          <w:rtl/>
        </w:rPr>
        <w:t xml:space="preserve"> شباط/</w:t>
      </w:r>
      <w:r w:rsidR="00CC6851">
        <w:rPr>
          <w:rFonts w:hint="cs"/>
          <w:rtl/>
        </w:rPr>
        <w:t xml:space="preserve"> </w:t>
      </w:r>
      <w:r>
        <w:rPr>
          <w:rtl/>
        </w:rPr>
        <w:t>فبراير</w:t>
      </w:r>
      <w:r w:rsidR="00CC6851">
        <w:rPr>
          <w:rFonts w:hint="cs"/>
          <w:rtl/>
        </w:rPr>
        <w:t> </w:t>
      </w:r>
      <w:r w:rsidRPr="00861AA2">
        <w:rPr>
          <w:rtl/>
        </w:rPr>
        <w:t>201</w:t>
      </w:r>
      <w:r w:rsidR="002B2BA4" w:rsidRPr="002B2BA4">
        <w:rPr>
          <w:rtl/>
        </w:rPr>
        <w:t>6</w:t>
      </w:r>
      <w:r w:rsidR="002B2BA4" w:rsidRPr="002B2BA4">
        <w:rPr>
          <w:rFonts w:ascii="Simplified Arabic"/>
          <w:szCs w:val="20"/>
          <w:rtl/>
        </w:rPr>
        <w:t>.</w:t>
      </w:r>
      <w:r w:rsidR="002B2BA4" w:rsidRPr="002B2BA4">
        <w:rPr>
          <w:rtl/>
        </w:rPr>
        <w:t xml:space="preserve"> </w:t>
      </w:r>
    </w:p>
    <w:p w14:paraId="067F816C" w14:textId="61A7A713" w:rsidR="00B35E04" w:rsidRPr="00FB7E0F" w:rsidRDefault="00B35E04" w:rsidP="00B35E04">
      <w:pPr>
        <w:pStyle w:val="SingleTxtGA"/>
        <w:rPr>
          <w:rFonts w:cs="Times New Roman"/>
          <w:szCs w:val="20"/>
          <w:rtl/>
          <w:lang w:val="ar-SA" w:eastAsia="zh-TW"/>
        </w:rPr>
      </w:pPr>
      <w:r w:rsidRPr="00861AA2">
        <w:rPr>
          <w:rtl/>
        </w:rPr>
        <w:t>4</w:t>
      </w:r>
      <w:r>
        <w:rPr>
          <w:rFonts w:ascii="Simplified Arabic"/>
          <w:szCs w:val="20"/>
          <w:rtl/>
        </w:rPr>
        <w:t>-</w:t>
      </w:r>
      <w:r w:rsidRPr="00861AA2">
        <w:rPr>
          <w:rtl/>
        </w:rPr>
        <w:t>4</w:t>
      </w:r>
      <w:r>
        <w:rPr>
          <w:rtl/>
        </w:rPr>
        <w:tab/>
        <w:t xml:space="preserve">وفي </w:t>
      </w:r>
      <w:r w:rsidRPr="00861AA2">
        <w:rPr>
          <w:rtl/>
        </w:rPr>
        <w:t>22</w:t>
      </w:r>
      <w:r>
        <w:rPr>
          <w:rtl/>
        </w:rPr>
        <w:t xml:space="preserve"> أيلول/سبتمبر </w:t>
      </w:r>
      <w:r w:rsidRPr="00861AA2">
        <w:rPr>
          <w:rtl/>
        </w:rPr>
        <w:t>2015</w:t>
      </w:r>
      <w:r>
        <w:rPr>
          <w:rtl/>
        </w:rPr>
        <w:t xml:space="preserve">، حكم على صاحب البلاغ بالسجن لمدة ست سنوات بسبب الجرائم التي ارتكبها أثناء سراحه المؤقت. وشملت هذه الجرائم المشاركة في ارتكاب انتهاك متعمد للمادة </w:t>
      </w:r>
      <w:r w:rsidRPr="00861AA2">
        <w:rPr>
          <w:rtl/>
        </w:rPr>
        <w:t>2</w:t>
      </w:r>
      <w:r>
        <w:rPr>
          <w:rFonts w:ascii="Simplified Arabic"/>
          <w:szCs w:val="20"/>
          <w:rtl/>
        </w:rPr>
        <w:t xml:space="preserve"> (</w:t>
      </w:r>
      <w:r>
        <w:rPr>
          <w:rtl/>
        </w:rPr>
        <w:t>ألف</w:t>
      </w:r>
      <w:r>
        <w:rPr>
          <w:rFonts w:ascii="Simplified Arabic"/>
          <w:szCs w:val="20"/>
          <w:rtl/>
        </w:rPr>
        <w:t>)</w:t>
      </w:r>
      <w:r>
        <w:rPr>
          <w:rtl/>
        </w:rPr>
        <w:t xml:space="preserve"> من قانون الأفيون، عن طريق استيراد مخدرات قوية. واستنادا</w:t>
      </w:r>
      <w:r w:rsidR="00CC6851">
        <w:rPr>
          <w:rFonts w:hint="cs"/>
          <w:rtl/>
        </w:rPr>
        <w:t>ً</w:t>
      </w:r>
      <w:r>
        <w:rPr>
          <w:rtl/>
        </w:rPr>
        <w:t xml:space="preserve"> إلى هذه الإدانة الجديدة، قدمت النيابة العامة طلبا</w:t>
      </w:r>
      <w:r w:rsidR="00CC6851">
        <w:rPr>
          <w:rFonts w:hint="cs"/>
          <w:rtl/>
        </w:rPr>
        <w:t>ً</w:t>
      </w:r>
      <w:r>
        <w:rPr>
          <w:rtl/>
        </w:rPr>
        <w:t xml:space="preserve"> إلى محكمة المقاطعة في </w:t>
      </w:r>
      <w:r w:rsidRPr="00861AA2">
        <w:rPr>
          <w:rtl/>
        </w:rPr>
        <w:t>9</w:t>
      </w:r>
      <w:r>
        <w:rPr>
          <w:rtl/>
        </w:rPr>
        <w:t xml:space="preserve"> تشرين الثاني/نوفمبر </w:t>
      </w:r>
      <w:r w:rsidRPr="00861AA2">
        <w:rPr>
          <w:rtl/>
        </w:rPr>
        <w:t>2015</w:t>
      </w:r>
      <w:r>
        <w:rPr>
          <w:rtl/>
        </w:rPr>
        <w:t xml:space="preserve">، تطلب فيه رفض الإفراج المشروط عن صاحب البلاغ. وبالإشارة إلى الإدانة الصادرة في </w:t>
      </w:r>
      <w:r w:rsidRPr="00861AA2">
        <w:rPr>
          <w:rtl/>
        </w:rPr>
        <w:t>22</w:t>
      </w:r>
      <w:r>
        <w:rPr>
          <w:rtl/>
        </w:rPr>
        <w:t xml:space="preserve"> أيلول/سبتمبر </w:t>
      </w:r>
      <w:r w:rsidRPr="00861AA2">
        <w:rPr>
          <w:rtl/>
        </w:rPr>
        <w:t>2015</w:t>
      </w:r>
      <w:r>
        <w:rPr>
          <w:rtl/>
        </w:rPr>
        <w:t xml:space="preserve">، ذكر المدعي العام أن صاحب البلاغ أساء التصرف بشكل خطير بعد بدء تنفيذ عقوبته الأصلية. </w:t>
      </w:r>
    </w:p>
    <w:p w14:paraId="6494CC25" w14:textId="0F47DAE5" w:rsidR="00B35E04" w:rsidRPr="00C72A60" w:rsidRDefault="00B35E04" w:rsidP="00B35E04">
      <w:pPr>
        <w:pStyle w:val="SingleTxtGA"/>
        <w:rPr>
          <w:rFonts w:cs="Times New Roman"/>
          <w:rtl/>
          <w:lang w:val="ar-SA" w:eastAsia="zh-TW"/>
        </w:rPr>
      </w:pPr>
      <w:r w:rsidRPr="00C72A60">
        <w:rPr>
          <w:rtl/>
        </w:rPr>
        <w:t>4</w:t>
      </w:r>
      <w:r w:rsidRPr="00C72A60">
        <w:rPr>
          <w:rFonts w:ascii="Simplified Arabic"/>
          <w:rtl/>
        </w:rPr>
        <w:t>-</w:t>
      </w:r>
      <w:r w:rsidRPr="00C72A60">
        <w:rPr>
          <w:rtl/>
        </w:rPr>
        <w:t>5</w:t>
      </w:r>
      <w:r w:rsidRPr="00C72A60">
        <w:rPr>
          <w:rtl/>
        </w:rPr>
        <w:tab/>
        <w:t>وعقدت جلسة الاستماع اللاحقة في محكمة مقاطعة لاهاي في 29 كانون الأول/ديسمبر 2015 بحضور صاحب البلاغ وممثله المأذون له. وفي 12 كانون الثاني/يناير 2016، وافقت محكمة مقاطعة لاهاي على الطلب المقدم من دائرة الادعاء العام. ورأت محكمة المقاطعة، آخذة في اعتبارها الإدانة الصادرة في 22 أيلول/سبتمبر 2015، أن صاحب البلاغ قد أساء التصرف بشكل خطير بعد بدء تنفيذ الحكم الصادر في 8 أيلول/سبتمبر 2004، عطفا</w:t>
      </w:r>
      <w:r w:rsidR="00CC6851" w:rsidRPr="00C72A60">
        <w:rPr>
          <w:rFonts w:hint="cs"/>
          <w:rtl/>
        </w:rPr>
        <w:t>ً</w:t>
      </w:r>
      <w:r w:rsidRPr="00C72A60">
        <w:rPr>
          <w:rtl/>
        </w:rPr>
        <w:t xml:space="preserve"> على المادة 15</w:t>
      </w:r>
      <w:r w:rsidRPr="00C72A60">
        <w:rPr>
          <w:rFonts w:ascii="Simplified Arabic"/>
          <w:rtl/>
        </w:rPr>
        <w:t>(</w:t>
      </w:r>
      <w:r w:rsidRPr="00C72A60">
        <w:rPr>
          <w:rtl/>
        </w:rPr>
        <w:t>د</w:t>
      </w:r>
      <w:r w:rsidRPr="00C72A60">
        <w:rPr>
          <w:rFonts w:ascii="Simplified Arabic"/>
          <w:rtl/>
        </w:rPr>
        <w:t>)(</w:t>
      </w:r>
      <w:r w:rsidRPr="00C72A60">
        <w:rPr>
          <w:rtl/>
        </w:rPr>
        <w:t>1</w:t>
      </w:r>
      <w:r w:rsidRPr="00C72A60">
        <w:rPr>
          <w:rFonts w:ascii="Simplified Arabic"/>
          <w:rtl/>
        </w:rPr>
        <w:t>)(</w:t>
      </w:r>
      <w:r w:rsidRPr="00C72A60">
        <w:rPr>
          <w:rtl/>
        </w:rPr>
        <w:t>ب</w:t>
      </w:r>
      <w:r w:rsidRPr="00C72A60">
        <w:rPr>
          <w:rFonts w:ascii="Simplified Arabic"/>
          <w:rtl/>
        </w:rPr>
        <w:t>)(</w:t>
      </w:r>
      <w:r w:rsidR="002B2BA4" w:rsidRPr="00C72A60">
        <w:rPr>
          <w:rtl/>
        </w:rPr>
        <w:t>1</w:t>
      </w:r>
      <w:r w:rsidR="002B2BA4" w:rsidRPr="00C72A60">
        <w:rPr>
          <w:rFonts w:ascii="Simplified Arabic"/>
          <w:rtl/>
        </w:rPr>
        <w:t>)</w:t>
      </w:r>
      <w:r w:rsidR="002B2BA4" w:rsidRPr="00C72A60">
        <w:rPr>
          <w:rtl/>
        </w:rPr>
        <w:t xml:space="preserve"> </w:t>
      </w:r>
      <w:r w:rsidRPr="00C72A60">
        <w:rPr>
          <w:rtl/>
        </w:rPr>
        <w:t>من القانون الجنائي. وعملا</w:t>
      </w:r>
      <w:r w:rsidR="00CC6851" w:rsidRPr="00C72A60">
        <w:rPr>
          <w:rFonts w:hint="cs"/>
          <w:rtl/>
        </w:rPr>
        <w:t>ً</w:t>
      </w:r>
      <w:r w:rsidRPr="00C72A60">
        <w:rPr>
          <w:rtl/>
        </w:rPr>
        <w:t xml:space="preserve"> بالمادة 15و</w:t>
      </w:r>
      <w:r w:rsidRPr="00C72A60">
        <w:rPr>
          <w:rFonts w:ascii="Simplified Arabic"/>
          <w:rtl/>
        </w:rPr>
        <w:t>(</w:t>
      </w:r>
      <w:r w:rsidR="002B2BA4" w:rsidRPr="00C72A60">
        <w:rPr>
          <w:rtl/>
        </w:rPr>
        <w:t>5</w:t>
      </w:r>
      <w:r w:rsidR="002B2BA4" w:rsidRPr="00C72A60">
        <w:rPr>
          <w:rFonts w:ascii="Simplified Arabic"/>
          <w:rtl/>
        </w:rPr>
        <w:t>)</w:t>
      </w:r>
      <w:r w:rsidR="002B2BA4" w:rsidRPr="00C72A60">
        <w:rPr>
          <w:rtl/>
        </w:rPr>
        <w:t xml:space="preserve"> </w:t>
      </w:r>
      <w:r w:rsidRPr="00C72A60">
        <w:rPr>
          <w:rtl/>
        </w:rPr>
        <w:t>من القانون الجنائي، لا توجد سبل انتصاف قانونية متاحة ضد هذا القرار. وقدم صاحب البلاغ طعنا</w:t>
      </w:r>
      <w:r w:rsidR="00CC6851" w:rsidRPr="00C72A60">
        <w:rPr>
          <w:rFonts w:hint="cs"/>
          <w:rtl/>
        </w:rPr>
        <w:t>ً</w:t>
      </w:r>
      <w:r w:rsidRPr="00C72A60">
        <w:rPr>
          <w:rtl/>
        </w:rPr>
        <w:t xml:space="preserve"> في قرار إدانته في 22 أيلول/سبتمبر 201</w:t>
      </w:r>
      <w:r w:rsidR="002B2BA4" w:rsidRPr="00C72A60">
        <w:rPr>
          <w:rtl/>
        </w:rPr>
        <w:t>5</w:t>
      </w:r>
      <w:r w:rsidR="002B2BA4" w:rsidRPr="00C72A60">
        <w:rPr>
          <w:rFonts w:ascii="Simplified Arabic"/>
          <w:rtl/>
        </w:rPr>
        <w:t>.</w:t>
      </w:r>
      <w:r w:rsidR="002B2BA4" w:rsidRPr="00C72A60">
        <w:rPr>
          <w:rtl/>
        </w:rPr>
        <w:t xml:space="preserve"> </w:t>
      </w:r>
      <w:r w:rsidRPr="00C72A60">
        <w:rPr>
          <w:rtl/>
        </w:rPr>
        <w:t>وأصدرت محكمة استئناف أمستردام حكمها في 6 تموز/يوليه 201</w:t>
      </w:r>
      <w:r w:rsidR="002B2BA4" w:rsidRPr="00C72A60">
        <w:rPr>
          <w:rtl/>
        </w:rPr>
        <w:t>6</w:t>
      </w:r>
      <w:r w:rsidR="002B2BA4" w:rsidRPr="00C72A60">
        <w:rPr>
          <w:rFonts w:ascii="Simplified Arabic"/>
          <w:rtl/>
        </w:rPr>
        <w:t>.</w:t>
      </w:r>
      <w:r w:rsidR="002B2BA4" w:rsidRPr="00C72A60">
        <w:rPr>
          <w:rtl/>
        </w:rPr>
        <w:t xml:space="preserve"> </w:t>
      </w:r>
      <w:r w:rsidRPr="00C72A60">
        <w:rPr>
          <w:rtl/>
        </w:rPr>
        <w:t>وبرأت صاحب البلاغ جزئي</w:t>
      </w:r>
      <w:r w:rsidR="00FE7BF3" w:rsidRPr="00C72A60">
        <w:rPr>
          <w:rtl/>
        </w:rPr>
        <w:t>اً،</w:t>
      </w:r>
      <w:r w:rsidRPr="00C72A60">
        <w:rPr>
          <w:rtl/>
        </w:rPr>
        <w:t xml:space="preserve"> لكنها أدانته باستيراد ما يقرب من ستة كيلوغرامات من الكوكايين، وحكمت عليه بالحبس لمدة 40 شهر</w:t>
      </w:r>
      <w:r w:rsidR="00A24F8D" w:rsidRPr="00C72A60">
        <w:rPr>
          <w:rtl/>
        </w:rPr>
        <w:t>اً.</w:t>
      </w:r>
      <w:r w:rsidRPr="00C72A60">
        <w:rPr>
          <w:rtl/>
        </w:rPr>
        <w:t xml:space="preserve"> </w:t>
      </w:r>
    </w:p>
    <w:p w14:paraId="3B68A552" w14:textId="77777777" w:rsidR="00B35E04" w:rsidRPr="00EF4F16" w:rsidRDefault="00B35E04" w:rsidP="00B35E04">
      <w:pPr>
        <w:pStyle w:val="SingleTxtGA"/>
        <w:rPr>
          <w:rFonts w:cs="Times New Roman"/>
          <w:spacing w:val="-4"/>
          <w:szCs w:val="20"/>
          <w:rtl/>
          <w:lang w:val="ar-SA" w:eastAsia="zh-TW"/>
        </w:rPr>
      </w:pPr>
      <w:r w:rsidRPr="00861AA2">
        <w:rPr>
          <w:rtl/>
        </w:rPr>
        <w:t>4</w:t>
      </w:r>
      <w:r>
        <w:rPr>
          <w:rFonts w:ascii="Simplified Arabic"/>
          <w:szCs w:val="20"/>
          <w:rtl/>
        </w:rPr>
        <w:t>-</w:t>
      </w:r>
      <w:r w:rsidRPr="00861AA2">
        <w:rPr>
          <w:rtl/>
        </w:rPr>
        <w:t>6</w:t>
      </w:r>
      <w:r>
        <w:rPr>
          <w:rtl/>
        </w:rPr>
        <w:tab/>
        <w:t xml:space="preserve">وقدمت الدولة الطرف كذلك ملاحظات بشأن الإطار القانوني للإفراج المشروط الساري منذ </w:t>
      </w:r>
      <w:r w:rsidRPr="00861AA2">
        <w:rPr>
          <w:rtl/>
        </w:rPr>
        <w:t>1</w:t>
      </w:r>
      <w:r>
        <w:rPr>
          <w:rtl/>
        </w:rPr>
        <w:t xml:space="preserve"> تموز/يوليه </w:t>
      </w:r>
      <w:r w:rsidRPr="00861AA2">
        <w:rPr>
          <w:rtl/>
        </w:rPr>
        <w:t>2008</w:t>
      </w:r>
      <w:r>
        <w:rPr>
          <w:rtl/>
        </w:rPr>
        <w:t xml:space="preserve">، حيث يشكو صاحب البلاغ من أنه تضرر من الأخذ بهذا الإطار الجديد. وشرحت </w:t>
      </w:r>
      <w:r w:rsidRPr="00EF4F16">
        <w:rPr>
          <w:spacing w:val="-4"/>
          <w:rtl/>
        </w:rPr>
        <w:t xml:space="preserve">الدولة الطرف الاختلافات بين النظام الحالي للإفراج المشروط والنظام السابق للإفراج المبكر والأحكام الانتقالية. </w:t>
      </w:r>
    </w:p>
    <w:p w14:paraId="389B1AA0" w14:textId="6403B821" w:rsidR="00B35E04" w:rsidRPr="00215042" w:rsidRDefault="00B35E04" w:rsidP="00B35E04">
      <w:pPr>
        <w:pStyle w:val="SingleTxtGA"/>
        <w:rPr>
          <w:rFonts w:cs="Times New Roman"/>
          <w:rtl/>
          <w:lang w:val="ar-SA" w:eastAsia="zh-TW"/>
        </w:rPr>
      </w:pPr>
      <w:r w:rsidRPr="00215042">
        <w:rPr>
          <w:rtl/>
        </w:rPr>
        <w:t>4</w:t>
      </w:r>
      <w:r w:rsidRPr="00215042">
        <w:rPr>
          <w:rFonts w:ascii="Simplified Arabic"/>
          <w:rtl/>
        </w:rPr>
        <w:t>-</w:t>
      </w:r>
      <w:r w:rsidRPr="00215042">
        <w:rPr>
          <w:rtl/>
        </w:rPr>
        <w:t>7</w:t>
      </w:r>
      <w:r w:rsidRPr="00215042">
        <w:rPr>
          <w:rtl/>
        </w:rPr>
        <w:tab/>
        <w:t>وفيما يتعلق بالإطار الحالي للإفراج المشروط، تنص المادة 15</w:t>
      </w:r>
      <w:r w:rsidRPr="00215042">
        <w:rPr>
          <w:rFonts w:ascii="Simplified Arabic"/>
          <w:rtl/>
        </w:rPr>
        <w:t>(</w:t>
      </w:r>
      <w:r w:rsidR="002B2BA4" w:rsidRPr="00215042">
        <w:rPr>
          <w:rtl/>
        </w:rPr>
        <w:t>2</w:t>
      </w:r>
      <w:r w:rsidR="002B2BA4" w:rsidRPr="00215042">
        <w:rPr>
          <w:rFonts w:ascii="Simplified Arabic"/>
          <w:rtl/>
        </w:rPr>
        <w:t>)</w:t>
      </w:r>
      <w:r w:rsidR="002B2BA4" w:rsidRPr="00215042">
        <w:rPr>
          <w:rtl/>
        </w:rPr>
        <w:t xml:space="preserve"> </w:t>
      </w:r>
      <w:r w:rsidRPr="00215042">
        <w:rPr>
          <w:rtl/>
        </w:rPr>
        <w:t>من القانون الجنائي على أن أي شخص تفرض عليه عقوبة سالبة للحرية محددة تزيد على سنتين يمنح الإفراج المشروط عند قضاء ثلثي مدة العقوبة على الأقل. ويجوز لدائرة النيابة العامة أن تقدم طلبا</w:t>
      </w:r>
      <w:r w:rsidR="00EF4F16" w:rsidRPr="00215042">
        <w:rPr>
          <w:rFonts w:hint="cs"/>
          <w:rtl/>
        </w:rPr>
        <w:t>ً</w:t>
      </w:r>
      <w:r w:rsidRPr="00215042">
        <w:rPr>
          <w:rtl/>
        </w:rPr>
        <w:t xml:space="preserve"> إلى محكمة المقاطعة تطلب فيه رفض الإفراج المشروط. ويجب أن يستند الطلب إلى أحد الأسباب المنصوص عليها في المادة 15د</w:t>
      </w:r>
      <w:r w:rsidRPr="00215042">
        <w:rPr>
          <w:rFonts w:ascii="Simplified Arabic"/>
          <w:rtl/>
        </w:rPr>
        <w:t>(</w:t>
      </w:r>
      <w:r w:rsidR="002B2BA4" w:rsidRPr="00215042">
        <w:rPr>
          <w:rtl/>
        </w:rPr>
        <w:t>1</w:t>
      </w:r>
      <w:r w:rsidR="002B2BA4" w:rsidRPr="00215042">
        <w:rPr>
          <w:rFonts w:ascii="Simplified Arabic"/>
          <w:rtl/>
        </w:rPr>
        <w:t>)</w:t>
      </w:r>
      <w:r w:rsidR="002B2BA4" w:rsidRPr="00215042">
        <w:rPr>
          <w:rtl/>
        </w:rPr>
        <w:t xml:space="preserve"> </w:t>
      </w:r>
      <w:r w:rsidRPr="00215042">
        <w:rPr>
          <w:rtl/>
        </w:rPr>
        <w:t>من القانون الجنائي</w:t>
      </w:r>
      <w:r w:rsidR="002B2BA4" w:rsidRPr="00215042">
        <w:rPr>
          <w:vertAlign w:val="superscript"/>
          <w:rtl/>
        </w:rPr>
        <w:t>(</w:t>
      </w:r>
      <w:r w:rsidR="002B2BA4" w:rsidRPr="00215042">
        <w:rPr>
          <w:vertAlign w:val="superscript"/>
          <w:rtl/>
        </w:rPr>
        <w:footnoteReference w:id="5"/>
      </w:r>
      <w:r w:rsidR="002B2BA4" w:rsidRPr="00215042">
        <w:rPr>
          <w:vertAlign w:val="superscript"/>
          <w:rtl/>
        </w:rPr>
        <w:t>)</w:t>
      </w:r>
      <w:r w:rsidR="002B2BA4" w:rsidRPr="00215042">
        <w:rPr>
          <w:rFonts w:ascii="Simplified Arabic"/>
          <w:rtl/>
        </w:rPr>
        <w:t>.</w:t>
      </w:r>
      <w:r w:rsidR="002B2BA4" w:rsidRPr="00215042">
        <w:rPr>
          <w:rtl/>
        </w:rPr>
        <w:t xml:space="preserve"> </w:t>
      </w:r>
      <w:r w:rsidRPr="00215042">
        <w:rPr>
          <w:rtl/>
        </w:rPr>
        <w:t xml:space="preserve">واستند القرار الصادر في 12 كانون الثاني/يناير 2016 عن محكمة مقاطعة </w:t>
      </w:r>
      <w:r w:rsidRPr="00215042">
        <w:rPr>
          <w:rtl/>
        </w:rPr>
        <w:lastRenderedPageBreak/>
        <w:t>لاهاي، الذي رفض الإفراج المشروط عن صاحب البلاغ، إلى المادة 15د</w:t>
      </w:r>
      <w:r w:rsidRPr="00215042">
        <w:rPr>
          <w:rFonts w:ascii="Simplified Arabic"/>
          <w:rtl/>
        </w:rPr>
        <w:t>(</w:t>
      </w:r>
      <w:r w:rsidRPr="00215042">
        <w:rPr>
          <w:rtl/>
        </w:rPr>
        <w:t>1</w:t>
      </w:r>
      <w:r w:rsidRPr="00215042">
        <w:rPr>
          <w:rFonts w:ascii="Simplified Arabic"/>
          <w:rtl/>
        </w:rPr>
        <w:t>)(</w:t>
      </w:r>
      <w:r w:rsidRPr="00215042">
        <w:rPr>
          <w:rtl/>
        </w:rPr>
        <w:t>ب</w:t>
      </w:r>
      <w:r w:rsidRPr="00215042">
        <w:rPr>
          <w:rFonts w:ascii="Simplified Arabic"/>
          <w:rtl/>
        </w:rPr>
        <w:t>)(</w:t>
      </w:r>
      <w:r w:rsidR="002B2BA4" w:rsidRPr="00215042">
        <w:rPr>
          <w:rtl/>
        </w:rPr>
        <w:t>1</w:t>
      </w:r>
      <w:r w:rsidR="002B2BA4" w:rsidRPr="00215042">
        <w:rPr>
          <w:rFonts w:ascii="Simplified Arabic"/>
          <w:rtl/>
        </w:rPr>
        <w:t>)</w:t>
      </w:r>
      <w:r w:rsidR="002B2BA4" w:rsidRPr="00215042">
        <w:rPr>
          <w:rtl/>
        </w:rPr>
        <w:t xml:space="preserve"> </w:t>
      </w:r>
      <w:r w:rsidRPr="00215042">
        <w:rPr>
          <w:rtl/>
        </w:rPr>
        <w:t>من القانون الجنائي. ودخل نظام الإفراج المشروط حيز النفاذ في 1 تموز/يوليه 200</w:t>
      </w:r>
      <w:r w:rsidR="002B2BA4" w:rsidRPr="00215042">
        <w:rPr>
          <w:rtl/>
        </w:rPr>
        <w:t>8</w:t>
      </w:r>
      <w:r w:rsidR="002B2BA4" w:rsidRPr="00215042">
        <w:rPr>
          <w:rFonts w:ascii="Simplified Arabic"/>
          <w:rtl/>
        </w:rPr>
        <w:t>.</w:t>
      </w:r>
      <w:r w:rsidR="002B2BA4" w:rsidRPr="00215042">
        <w:rPr>
          <w:rtl/>
        </w:rPr>
        <w:t xml:space="preserve"> </w:t>
      </w:r>
      <w:r w:rsidRPr="00215042">
        <w:rPr>
          <w:rtl/>
        </w:rPr>
        <w:t>وقد أجري هذا التعديل بعد إدانة صاحب البلاغ في 8 أيلول/سبتمبر 200</w:t>
      </w:r>
      <w:r w:rsidR="002B2BA4" w:rsidRPr="00215042">
        <w:rPr>
          <w:rtl/>
        </w:rPr>
        <w:t>4</w:t>
      </w:r>
      <w:r w:rsidR="002B2BA4" w:rsidRPr="00215042">
        <w:rPr>
          <w:rFonts w:ascii="Simplified Arabic"/>
          <w:rtl/>
        </w:rPr>
        <w:t>.</w:t>
      </w:r>
      <w:r w:rsidR="002B2BA4" w:rsidRPr="00215042">
        <w:rPr>
          <w:rtl/>
        </w:rPr>
        <w:t xml:space="preserve"> </w:t>
      </w:r>
      <w:r w:rsidRPr="00215042">
        <w:rPr>
          <w:rtl/>
        </w:rPr>
        <w:t>وبموجب النظام الحالي، أصبح الإفراج المبكر عن المدانين المحكوم عليهم بالسجن إفراجا</w:t>
      </w:r>
      <w:r w:rsidR="00EF4F16" w:rsidRPr="00215042">
        <w:rPr>
          <w:rFonts w:hint="cs"/>
          <w:rtl/>
        </w:rPr>
        <w:t>ً</w:t>
      </w:r>
      <w:r w:rsidRPr="00215042">
        <w:rPr>
          <w:rtl/>
        </w:rPr>
        <w:t xml:space="preserve"> مشروطا</w:t>
      </w:r>
      <w:r w:rsidR="00EF4F16" w:rsidRPr="00215042">
        <w:rPr>
          <w:rFonts w:hint="cs"/>
          <w:rtl/>
        </w:rPr>
        <w:t>ً</w:t>
      </w:r>
      <w:r w:rsidRPr="00215042">
        <w:rPr>
          <w:rtl/>
        </w:rPr>
        <w:t>، وهو أمر يخضع لشروط. وهذا يعني أنه عندما يفرج عن سجين بعد قضاء ثلثي مدة عقوبته السجنية، تجوز إضافة شروط إلى ذلك الإفراج. وبالتالي، إذا لم تستوف الشروط، يجوز إلغاء الإفراج المشروط عن الشخص، وسيلزم من المفرج عنه بشروط أن يقضي ما تبقى من العقوبة التي فرضتها المحكمة. وقبل هذا التعديل التشريعي، كان لدى هولندا نظام للإفراج المبكر. وبموجب ذلك النظام، لم يكن بالإمكان ربط منح الإفراج المبكر بأية شروط. وبمجرد منح الإفراج المبكر، لا يمكن إلغاؤه. ومع ذلك، وحتى في ظل النظام القديم للإفراج المبكر، كان القانون الجنائي يتضمن حكما</w:t>
      </w:r>
      <w:r w:rsidR="00EF4F16" w:rsidRPr="00215042">
        <w:rPr>
          <w:rFonts w:hint="cs"/>
          <w:rtl/>
        </w:rPr>
        <w:t>ً</w:t>
      </w:r>
      <w:r w:rsidRPr="00215042">
        <w:rPr>
          <w:rtl/>
        </w:rPr>
        <w:t xml:space="preserve"> مماثلا</w:t>
      </w:r>
      <w:r w:rsidR="00EF4F16" w:rsidRPr="00215042">
        <w:rPr>
          <w:rFonts w:hint="cs"/>
          <w:rtl/>
        </w:rPr>
        <w:t>ً</w:t>
      </w:r>
      <w:r w:rsidRPr="00215042">
        <w:rPr>
          <w:rtl/>
        </w:rPr>
        <w:t xml:space="preserve"> للمادة 15د</w:t>
      </w:r>
      <w:r w:rsidRPr="00215042">
        <w:rPr>
          <w:rFonts w:ascii="Simplified Arabic"/>
          <w:rtl/>
        </w:rPr>
        <w:t>(</w:t>
      </w:r>
      <w:r w:rsidRPr="00215042">
        <w:rPr>
          <w:rtl/>
        </w:rPr>
        <w:t>1</w:t>
      </w:r>
      <w:r w:rsidRPr="00215042">
        <w:rPr>
          <w:rFonts w:ascii="Simplified Arabic"/>
          <w:rtl/>
        </w:rPr>
        <w:t>)(</w:t>
      </w:r>
      <w:r w:rsidRPr="00215042">
        <w:rPr>
          <w:rtl/>
        </w:rPr>
        <w:t>ب</w:t>
      </w:r>
      <w:r w:rsidRPr="00215042">
        <w:rPr>
          <w:rFonts w:ascii="Simplified Arabic"/>
          <w:rtl/>
        </w:rPr>
        <w:t>)</w:t>
      </w:r>
      <w:r w:rsidRPr="00215042">
        <w:rPr>
          <w:rtl/>
        </w:rPr>
        <w:t>(ل) الحالية</w:t>
      </w:r>
      <w:r w:rsidR="002B2BA4" w:rsidRPr="00215042">
        <w:rPr>
          <w:vertAlign w:val="superscript"/>
          <w:rtl/>
        </w:rPr>
        <w:t>(</w:t>
      </w:r>
      <w:r w:rsidR="002B2BA4" w:rsidRPr="00215042">
        <w:rPr>
          <w:vertAlign w:val="superscript"/>
          <w:rtl/>
        </w:rPr>
        <w:footnoteReference w:id="6"/>
      </w:r>
      <w:r w:rsidR="002B2BA4" w:rsidRPr="00215042">
        <w:rPr>
          <w:vertAlign w:val="superscript"/>
          <w:rtl/>
        </w:rPr>
        <w:t>)</w:t>
      </w:r>
      <w:r w:rsidR="002B2BA4" w:rsidRPr="00215042">
        <w:rPr>
          <w:rFonts w:ascii="Simplified Arabic"/>
          <w:rtl/>
        </w:rPr>
        <w:t>.</w:t>
      </w:r>
      <w:r w:rsidR="002B2BA4" w:rsidRPr="00215042">
        <w:rPr>
          <w:rtl/>
        </w:rPr>
        <w:t xml:space="preserve"> </w:t>
      </w:r>
      <w:r w:rsidRPr="00215042">
        <w:rPr>
          <w:rtl/>
        </w:rPr>
        <w:t xml:space="preserve">كما تبين تعليمات دائرة الادعاء العام بشأن طلبات الإفراج المبكر أو رفضه </w:t>
      </w:r>
      <w:r w:rsidRPr="00215042">
        <w:rPr>
          <w:rFonts w:ascii="Simplified Arabic"/>
          <w:rtl/>
        </w:rPr>
        <w:t>(</w:t>
      </w:r>
      <w:r w:rsidRPr="00215042">
        <w:rPr>
          <w:rtl/>
        </w:rPr>
        <w:t>200</w:t>
      </w:r>
      <w:r w:rsidR="002B2BA4" w:rsidRPr="00215042">
        <w:rPr>
          <w:rtl/>
        </w:rPr>
        <w:t>3</w:t>
      </w:r>
      <w:r w:rsidR="002B2BA4" w:rsidRPr="00215042">
        <w:rPr>
          <w:rFonts w:ascii="Simplified Arabic"/>
          <w:rtl/>
        </w:rPr>
        <w:t>)</w:t>
      </w:r>
      <w:r w:rsidR="002B2BA4" w:rsidRPr="00215042">
        <w:rPr>
          <w:rtl/>
        </w:rPr>
        <w:t xml:space="preserve"> </w:t>
      </w:r>
      <w:r w:rsidRPr="00215042">
        <w:rPr>
          <w:rtl/>
        </w:rPr>
        <w:t>أن طلب تأجيل الإفراج المبكر أو رفضه سيقدم في حالات سوء السلوك الجسيم</w:t>
      </w:r>
      <w:r w:rsidR="002B2BA4" w:rsidRPr="00215042">
        <w:rPr>
          <w:vertAlign w:val="superscript"/>
          <w:rtl/>
        </w:rPr>
        <w:t>(</w:t>
      </w:r>
      <w:r w:rsidR="002B2BA4" w:rsidRPr="00215042">
        <w:rPr>
          <w:vertAlign w:val="superscript"/>
          <w:rtl/>
        </w:rPr>
        <w:footnoteReference w:id="7"/>
      </w:r>
      <w:r w:rsidR="002B2BA4" w:rsidRPr="00215042">
        <w:rPr>
          <w:vertAlign w:val="superscript"/>
          <w:rtl/>
        </w:rPr>
        <w:t>)</w:t>
      </w:r>
      <w:r w:rsidR="002B2BA4" w:rsidRPr="00215042">
        <w:rPr>
          <w:rFonts w:ascii="Simplified Arabic"/>
          <w:rtl/>
        </w:rPr>
        <w:t>.</w:t>
      </w:r>
      <w:r w:rsidR="002B2BA4" w:rsidRPr="00215042">
        <w:rPr>
          <w:rtl/>
        </w:rPr>
        <w:t xml:space="preserve"> </w:t>
      </w:r>
      <w:r w:rsidRPr="00215042">
        <w:rPr>
          <w:rtl/>
        </w:rPr>
        <w:t>وكان من الممكن بموجب النظام القديم للإفراج المبكر، ولا يزال من الممكن في ظل النظام الحالي للإفراج المشروط، رفض الإفراج المبكر أو الإفراج المشروط، كل على حدة، في حالات سوء السلوك الجسيم بعد بدء تنفيذ العقوبة</w:t>
      </w:r>
      <w:r w:rsidR="002B2BA4" w:rsidRPr="00215042">
        <w:rPr>
          <w:vertAlign w:val="superscript"/>
          <w:rtl/>
        </w:rPr>
        <w:t>(</w:t>
      </w:r>
      <w:r w:rsidR="002B2BA4" w:rsidRPr="00215042">
        <w:rPr>
          <w:vertAlign w:val="superscript"/>
          <w:rtl/>
        </w:rPr>
        <w:footnoteReference w:id="8"/>
      </w:r>
      <w:r w:rsidR="002B2BA4" w:rsidRPr="00215042">
        <w:rPr>
          <w:vertAlign w:val="superscript"/>
          <w:rtl/>
        </w:rPr>
        <w:t>)</w:t>
      </w:r>
      <w:r w:rsidR="002B2BA4" w:rsidRPr="00215042">
        <w:rPr>
          <w:rFonts w:ascii="Simplified Arabic"/>
          <w:rtl/>
        </w:rPr>
        <w:t>.</w:t>
      </w:r>
      <w:r w:rsidR="002B2BA4" w:rsidRPr="00215042">
        <w:rPr>
          <w:rtl/>
        </w:rPr>
        <w:t xml:space="preserve"> </w:t>
      </w:r>
      <w:r w:rsidRPr="00215042">
        <w:rPr>
          <w:rtl/>
        </w:rPr>
        <w:t>ومكن التعديل التشريعي الذي دخل حيز النفاذ في 1 تموز/</w:t>
      </w:r>
      <w:r w:rsidR="00950EBE" w:rsidRPr="00215042">
        <w:rPr>
          <w:rFonts w:hint="cs"/>
          <w:rtl/>
        </w:rPr>
        <w:t xml:space="preserve"> </w:t>
      </w:r>
      <w:r w:rsidRPr="00215042">
        <w:rPr>
          <w:rtl/>
        </w:rPr>
        <w:t>يوليه</w:t>
      </w:r>
      <w:r w:rsidR="00950EBE" w:rsidRPr="00215042">
        <w:rPr>
          <w:rFonts w:hint="cs"/>
          <w:rtl/>
        </w:rPr>
        <w:t> </w:t>
      </w:r>
      <w:r w:rsidRPr="00215042">
        <w:rPr>
          <w:rtl/>
        </w:rPr>
        <w:t>2008 من وضع شروط للإفراج المشروط. ولا تختلف النقطة التي يمكن عندها منح جانٍ الإفراج المبكر أو الإفراج المشروط نتيجة لهذا التعديل. وبالنسبة للحكم بالحبس لأكثر من سنتين، كانت تلك النقطة تأتي دوما</w:t>
      </w:r>
      <w:r w:rsidR="00EF4F16" w:rsidRPr="00215042">
        <w:rPr>
          <w:rFonts w:hint="cs"/>
          <w:rtl/>
        </w:rPr>
        <w:t>ً</w:t>
      </w:r>
      <w:r w:rsidRPr="00215042">
        <w:rPr>
          <w:rtl/>
        </w:rPr>
        <w:t xml:space="preserve"> بعد قضاء الجاني ثلثي العقوبة. كما لا يوجد أي اختلاف في نطاق تأجيل أو رفض الإفراج المبكر أو الإفراج المشروط بطريقة تكون ذات أهمية لصاحب البلاغ. وكما أُوضح، كان من الممكن أيضا</w:t>
      </w:r>
      <w:r w:rsidR="00EF4F16" w:rsidRPr="00215042">
        <w:rPr>
          <w:rFonts w:hint="cs"/>
          <w:rtl/>
        </w:rPr>
        <w:t>ً</w:t>
      </w:r>
      <w:r w:rsidRPr="00215042">
        <w:rPr>
          <w:rtl/>
        </w:rPr>
        <w:t xml:space="preserve"> قبل 1 تموز/يوليه 2008 تأجيل الإفراج المبكر أو رفضه، في حالات سوء السلوك الجسيم، مثل ارتكاب جريمة خطيرة. </w:t>
      </w:r>
    </w:p>
    <w:p w14:paraId="31592BD1" w14:textId="7DD00CE2" w:rsidR="00B35E04" w:rsidRPr="00FB7E0F" w:rsidRDefault="00B35E04" w:rsidP="00B35E04">
      <w:pPr>
        <w:pStyle w:val="SingleTxtGA"/>
        <w:rPr>
          <w:rFonts w:cs="Times New Roman"/>
          <w:szCs w:val="20"/>
          <w:rtl/>
          <w:lang w:val="ar-SA" w:eastAsia="zh-TW"/>
        </w:rPr>
      </w:pPr>
      <w:r w:rsidRPr="00861AA2">
        <w:rPr>
          <w:rtl/>
        </w:rPr>
        <w:t>4</w:t>
      </w:r>
      <w:r>
        <w:rPr>
          <w:rFonts w:ascii="Simplified Arabic"/>
          <w:szCs w:val="20"/>
          <w:rtl/>
        </w:rPr>
        <w:t>-</w:t>
      </w:r>
      <w:r w:rsidRPr="00861AA2">
        <w:rPr>
          <w:rtl/>
        </w:rPr>
        <w:t>8</w:t>
      </w:r>
      <w:r>
        <w:rPr>
          <w:rtl/>
        </w:rPr>
        <w:tab/>
        <w:t xml:space="preserve">وفيما يتعلق بالأحكام الانتقالية، تنص المادة السادسة من قانون </w:t>
      </w:r>
      <w:r w:rsidRPr="00861AA2">
        <w:rPr>
          <w:rtl/>
        </w:rPr>
        <w:t>6</w:t>
      </w:r>
      <w:r>
        <w:rPr>
          <w:rtl/>
        </w:rPr>
        <w:t xml:space="preserve"> كانون الأول/ديسمبر </w:t>
      </w:r>
      <w:r w:rsidRPr="00861AA2">
        <w:rPr>
          <w:rtl/>
        </w:rPr>
        <w:t>2007</w:t>
      </w:r>
      <w:r>
        <w:rPr>
          <w:rtl/>
        </w:rPr>
        <w:t xml:space="preserve"> على أن النظام القديم للإفراج المبكر سيظل ساريا</w:t>
      </w:r>
      <w:r w:rsidR="00EF4F16">
        <w:rPr>
          <w:rFonts w:hint="cs"/>
          <w:rtl/>
        </w:rPr>
        <w:t>ً</w:t>
      </w:r>
      <w:r>
        <w:rPr>
          <w:rtl/>
        </w:rPr>
        <w:t xml:space="preserve"> لمدة خمس سنوات في حالة المدانين الذين يقضون أحكاما</w:t>
      </w:r>
      <w:r w:rsidR="00EF4F16">
        <w:rPr>
          <w:rFonts w:hint="cs"/>
          <w:rtl/>
        </w:rPr>
        <w:t>ً</w:t>
      </w:r>
      <w:r>
        <w:rPr>
          <w:rtl/>
        </w:rPr>
        <w:t xml:space="preserve"> بالسجن صدرت في حقهم قبل </w:t>
      </w:r>
      <w:r w:rsidRPr="00861AA2">
        <w:rPr>
          <w:rtl/>
        </w:rPr>
        <w:t>1</w:t>
      </w:r>
      <w:r>
        <w:rPr>
          <w:rtl/>
        </w:rPr>
        <w:t xml:space="preserve"> تموز/يوليه </w:t>
      </w:r>
      <w:r w:rsidRPr="00861AA2">
        <w:rPr>
          <w:rtl/>
        </w:rPr>
        <w:t>200</w:t>
      </w:r>
      <w:r w:rsidR="002B2BA4" w:rsidRPr="002B2BA4">
        <w:rPr>
          <w:rtl/>
        </w:rPr>
        <w:t>8</w:t>
      </w:r>
      <w:r w:rsidR="002B2BA4" w:rsidRPr="002B2BA4">
        <w:rPr>
          <w:rFonts w:ascii="Simplified Arabic"/>
          <w:szCs w:val="20"/>
          <w:rtl/>
        </w:rPr>
        <w:t>.</w:t>
      </w:r>
      <w:r w:rsidR="002B2BA4" w:rsidRPr="002B2BA4">
        <w:rPr>
          <w:rtl/>
        </w:rPr>
        <w:t xml:space="preserve"> </w:t>
      </w:r>
      <w:r>
        <w:rPr>
          <w:rtl/>
        </w:rPr>
        <w:t xml:space="preserve">وفي </w:t>
      </w:r>
      <w:r w:rsidRPr="00861AA2">
        <w:rPr>
          <w:rtl/>
        </w:rPr>
        <w:t>1</w:t>
      </w:r>
      <w:r>
        <w:rPr>
          <w:rtl/>
        </w:rPr>
        <w:t xml:space="preserve"> تموز/يوليه </w:t>
      </w:r>
      <w:r w:rsidRPr="00861AA2">
        <w:rPr>
          <w:rtl/>
        </w:rPr>
        <w:t>2013</w:t>
      </w:r>
      <w:r>
        <w:rPr>
          <w:rtl/>
        </w:rPr>
        <w:t xml:space="preserve">، انتهت هذه الفترة الانتقالية، ولم تعد قواعد النظام القديم مطبقة. وصدر الحكم على صاحب البلاغ بالسجن لمدة </w:t>
      </w:r>
      <w:r w:rsidRPr="00861AA2">
        <w:rPr>
          <w:rtl/>
        </w:rPr>
        <w:t>18</w:t>
      </w:r>
      <w:r>
        <w:rPr>
          <w:rtl/>
        </w:rPr>
        <w:t xml:space="preserve"> سنة في </w:t>
      </w:r>
      <w:r w:rsidRPr="00861AA2">
        <w:rPr>
          <w:rtl/>
        </w:rPr>
        <w:t>8</w:t>
      </w:r>
      <w:r>
        <w:rPr>
          <w:rtl/>
        </w:rPr>
        <w:t xml:space="preserve"> أيلول/سبتمبر </w:t>
      </w:r>
      <w:r w:rsidRPr="00861AA2">
        <w:rPr>
          <w:rtl/>
        </w:rPr>
        <w:t>200</w:t>
      </w:r>
      <w:r w:rsidR="002B2BA4" w:rsidRPr="002B2BA4">
        <w:rPr>
          <w:rtl/>
        </w:rPr>
        <w:t>4</w:t>
      </w:r>
      <w:r w:rsidR="002B2BA4" w:rsidRPr="002B2BA4">
        <w:rPr>
          <w:rFonts w:ascii="Simplified Arabic"/>
          <w:szCs w:val="20"/>
          <w:rtl/>
        </w:rPr>
        <w:t>.</w:t>
      </w:r>
      <w:r w:rsidR="002B2BA4" w:rsidRPr="002B2BA4">
        <w:rPr>
          <w:rtl/>
        </w:rPr>
        <w:t xml:space="preserve"> </w:t>
      </w:r>
      <w:r>
        <w:rPr>
          <w:rtl/>
        </w:rPr>
        <w:t>ولذلك فهو غير معفى من التطبيق الفوري للنظام الحالي للإفراج المشروط. وقد أُخذ بحكم انتقالي من هذا القبيل لأنه لم يكن من الممكن للهيئات المسؤولة عن إعادة العمل بنظام الإفراج المشروط أن تنتقل مباشرة من النظام القديم إلى النظام الجديد. وتقرر في ذلك الوقت الأخذ بفترة انتقالية مدتها خمس سنوات. وتشدد الدولة الطرف على أن التعديل التشريعي ليس له أي أثر رجعي على الإطلاق. وخلافا</w:t>
      </w:r>
      <w:r w:rsidR="00EF4F16">
        <w:rPr>
          <w:rFonts w:hint="cs"/>
          <w:rtl/>
        </w:rPr>
        <w:t>ً</w:t>
      </w:r>
      <w:r>
        <w:rPr>
          <w:rtl/>
        </w:rPr>
        <w:t xml:space="preserve"> لما يوحي به صاحب البلاغ في رسالته الأولى، لم يستخدم مجلس الدولة مصطلح الأثر الرجعي في فتواه بشأن التعديل.</w:t>
      </w:r>
    </w:p>
    <w:p w14:paraId="44F2B389" w14:textId="66D3AF0E" w:rsidR="00B35E04" w:rsidRPr="00FB7E0F" w:rsidRDefault="00B35E04" w:rsidP="00B35E04">
      <w:pPr>
        <w:pStyle w:val="SingleTxtGA"/>
        <w:rPr>
          <w:rFonts w:cs="Times New Roman"/>
          <w:szCs w:val="20"/>
          <w:rtl/>
          <w:lang w:val="ar-SA" w:eastAsia="zh-TW"/>
        </w:rPr>
      </w:pPr>
      <w:r w:rsidRPr="00861AA2">
        <w:rPr>
          <w:rtl/>
        </w:rPr>
        <w:lastRenderedPageBreak/>
        <w:t>4</w:t>
      </w:r>
      <w:r>
        <w:rPr>
          <w:rFonts w:ascii="Simplified Arabic"/>
          <w:szCs w:val="20"/>
          <w:rtl/>
        </w:rPr>
        <w:t>-</w:t>
      </w:r>
      <w:r w:rsidRPr="00861AA2">
        <w:rPr>
          <w:rtl/>
        </w:rPr>
        <w:t>9</w:t>
      </w:r>
      <w:r>
        <w:rPr>
          <w:rtl/>
        </w:rPr>
        <w:tab/>
        <w:t>وقيمت المحاكم الهولندية النظام الحالي للإفراج المشروط والأحكام الانتقالية، ووجدت أنها تمتثل لمعايير حقوق الإنسان ذات الصلة، على النحو المنصوص عليه في اتفاقية حماية حقوق الإنسان والحريات الأساسية (الاتفاقية الأوروبية لحقوق الإنسان)</w:t>
      </w:r>
      <w:r w:rsidR="002B2BA4">
        <w:rPr>
          <w:vertAlign w:val="superscript"/>
          <w:rtl/>
        </w:rPr>
        <w:t>(</w:t>
      </w:r>
      <w:r w:rsidR="002B2BA4" w:rsidRPr="00861AA2">
        <w:rPr>
          <w:vertAlign w:val="superscript"/>
          <w:rtl/>
        </w:rPr>
        <w:footnoteReference w:id="9"/>
      </w:r>
      <w:r w:rsidR="002B2BA4" w:rsidRPr="002B2BA4">
        <w:rPr>
          <w:vertAlign w:val="superscript"/>
          <w:rtl/>
        </w:rPr>
        <w:t>)</w:t>
      </w:r>
      <w:r w:rsidR="002B2BA4" w:rsidRPr="002B2BA4">
        <w:rPr>
          <w:rFonts w:ascii="Simplified Arabic"/>
          <w:szCs w:val="20"/>
          <w:rtl/>
        </w:rPr>
        <w:t>.</w:t>
      </w:r>
      <w:r w:rsidR="002B2BA4" w:rsidRPr="002B2BA4">
        <w:rPr>
          <w:rtl/>
        </w:rPr>
        <w:t xml:space="preserve"> </w:t>
      </w:r>
    </w:p>
    <w:p w14:paraId="2DDE7AF8" w14:textId="3B90A64F" w:rsidR="00B35E04" w:rsidRPr="00215042" w:rsidRDefault="00B35E04" w:rsidP="00B35E04">
      <w:pPr>
        <w:pStyle w:val="SingleTxtGA"/>
        <w:rPr>
          <w:rFonts w:cs="Times New Roman"/>
          <w:rtl/>
          <w:lang w:val="ar-SA" w:eastAsia="zh-TW"/>
        </w:rPr>
      </w:pPr>
      <w:r w:rsidRPr="00215042">
        <w:rPr>
          <w:rtl/>
        </w:rPr>
        <w:t>4</w:t>
      </w:r>
      <w:r w:rsidRPr="00215042">
        <w:rPr>
          <w:rFonts w:ascii="Simplified Arabic"/>
          <w:rtl/>
        </w:rPr>
        <w:t>-</w:t>
      </w:r>
      <w:r w:rsidRPr="00215042">
        <w:rPr>
          <w:rtl/>
        </w:rPr>
        <w:t>10</w:t>
      </w:r>
      <w:r w:rsidRPr="00215042">
        <w:rPr>
          <w:rtl/>
        </w:rPr>
        <w:tab/>
        <w:t>وتشير الدولة الطرف إلى أن</w:t>
      </w:r>
      <w:r w:rsidR="00F83AAF" w:rsidRPr="00215042">
        <w:rPr>
          <w:rtl/>
        </w:rPr>
        <w:t xml:space="preserve"> </w:t>
      </w:r>
      <w:r w:rsidRPr="00215042">
        <w:rPr>
          <w:rtl/>
        </w:rPr>
        <w:t>صاحب البلاغ لم يشتك، عندما طلب المدعي العام من المحكمة رفض الإفراج المشروط، إلى محكمة مقاطعة لاهاي بشأن الانتهاكات المزعومة للعهد التي يشكو منها الآن إلى اللجنة. ولم يجادل صاحب البلاغ أمام المحكمة في سبب اعتقاده بأن رفض تمتيعه بالإفراج المشروط يتعارض مع مبدأي الشرعية وعدم التمييز. وبناء على ذلك، لم تتح للمحكمة الوطنية فرصة النظر في الانتهاكات المزعومة للعهد. وترى الدولة الطرف مجدداً أن البلاغ غير مقبول لأن صاحب البلاغ لم يستنفد سبل الانتصاف القانونية المحلية، عملا</w:t>
      </w:r>
      <w:r w:rsidR="00EF4F16" w:rsidRPr="00215042">
        <w:rPr>
          <w:rFonts w:hint="cs"/>
          <w:rtl/>
        </w:rPr>
        <w:t>ً</w:t>
      </w:r>
      <w:r w:rsidRPr="00215042">
        <w:rPr>
          <w:rtl/>
        </w:rPr>
        <w:t xml:space="preserve"> بالمادة 5</w:t>
      </w:r>
      <w:r w:rsidRPr="00215042">
        <w:rPr>
          <w:rFonts w:ascii="Simplified Arabic"/>
          <w:rtl/>
        </w:rPr>
        <w:t>(</w:t>
      </w:r>
      <w:r w:rsidRPr="00215042">
        <w:rPr>
          <w:rtl/>
        </w:rPr>
        <w:t>2</w:t>
      </w:r>
      <w:r w:rsidRPr="00215042">
        <w:rPr>
          <w:rFonts w:ascii="Simplified Arabic"/>
          <w:rtl/>
        </w:rPr>
        <w:t>)(</w:t>
      </w:r>
      <w:r w:rsidRPr="00215042">
        <w:rPr>
          <w:rtl/>
        </w:rPr>
        <w:t>ب</w:t>
      </w:r>
      <w:r w:rsidRPr="00215042">
        <w:rPr>
          <w:rFonts w:ascii="Simplified Arabic"/>
          <w:rtl/>
        </w:rPr>
        <w:t>)</w:t>
      </w:r>
      <w:r w:rsidRPr="00215042">
        <w:rPr>
          <w:rtl/>
        </w:rPr>
        <w:t xml:space="preserve"> من البروتوكول الاختياري. </w:t>
      </w:r>
    </w:p>
    <w:p w14:paraId="4B203AA9" w14:textId="0C9D5092" w:rsidR="00B35E04" w:rsidRPr="00FB7E0F" w:rsidRDefault="00B35E04" w:rsidP="00B35E04">
      <w:pPr>
        <w:pStyle w:val="SingleTxtGA"/>
        <w:rPr>
          <w:rFonts w:cs="Times New Roman"/>
          <w:szCs w:val="20"/>
          <w:rtl/>
          <w:lang w:val="ar-SA" w:eastAsia="zh-TW"/>
        </w:rPr>
      </w:pPr>
      <w:r w:rsidRPr="00861AA2">
        <w:rPr>
          <w:rtl/>
        </w:rPr>
        <w:t>4</w:t>
      </w:r>
      <w:r>
        <w:rPr>
          <w:rFonts w:ascii="Simplified Arabic"/>
          <w:szCs w:val="20"/>
          <w:rtl/>
        </w:rPr>
        <w:t>-</w:t>
      </w:r>
      <w:r w:rsidRPr="00861AA2">
        <w:rPr>
          <w:rtl/>
        </w:rPr>
        <w:t>11</w:t>
      </w:r>
      <w:r>
        <w:rPr>
          <w:rtl/>
        </w:rPr>
        <w:tab/>
        <w:t>وتلاحظ الدولة الطرف أيضا</w:t>
      </w:r>
      <w:r w:rsidR="00EF4F16">
        <w:rPr>
          <w:rFonts w:hint="cs"/>
          <w:rtl/>
        </w:rPr>
        <w:t>ً</w:t>
      </w:r>
      <w:r>
        <w:rPr>
          <w:rtl/>
        </w:rPr>
        <w:t xml:space="preserve"> أن ادعاء صاحب البلاغ بأن قرار محكمة مقاطعة لاهاي المؤرخ</w:t>
      </w:r>
      <w:r w:rsidR="00432631">
        <w:rPr>
          <w:rFonts w:hint="cs"/>
          <w:rtl/>
        </w:rPr>
        <w:t> </w:t>
      </w:r>
      <w:r w:rsidRPr="00861AA2">
        <w:rPr>
          <w:rtl/>
        </w:rPr>
        <w:t>12</w:t>
      </w:r>
      <w:r>
        <w:rPr>
          <w:rtl/>
        </w:rPr>
        <w:t xml:space="preserve"> كانون الثاني/يناير </w:t>
      </w:r>
      <w:r w:rsidRPr="00861AA2">
        <w:rPr>
          <w:rtl/>
        </w:rPr>
        <w:t>2016</w:t>
      </w:r>
      <w:r>
        <w:rPr>
          <w:rtl/>
        </w:rPr>
        <w:t xml:space="preserve"> برفض تمتيعه بالإفراج المشروط يتعارض مع المادة </w:t>
      </w:r>
      <w:r w:rsidRPr="00861AA2">
        <w:rPr>
          <w:rtl/>
        </w:rPr>
        <w:t>15</w:t>
      </w:r>
      <w:r>
        <w:rPr>
          <w:rFonts w:ascii="Simplified Arabic"/>
          <w:szCs w:val="20"/>
          <w:rtl/>
        </w:rPr>
        <w:t>(</w:t>
      </w:r>
      <w:r w:rsidR="002B2BA4" w:rsidRPr="002B2BA4">
        <w:rPr>
          <w:rtl/>
        </w:rPr>
        <w:t>1</w:t>
      </w:r>
      <w:r w:rsidR="002B2BA4" w:rsidRPr="002B2BA4">
        <w:rPr>
          <w:rFonts w:ascii="Simplified Arabic"/>
          <w:szCs w:val="20"/>
          <w:rtl/>
        </w:rPr>
        <w:t>)</w:t>
      </w:r>
      <w:r w:rsidR="002B2BA4" w:rsidRPr="002B2BA4">
        <w:rPr>
          <w:rtl/>
        </w:rPr>
        <w:t xml:space="preserve"> </w:t>
      </w:r>
      <w:r>
        <w:rPr>
          <w:rtl/>
        </w:rPr>
        <w:t>من العهد يتنافى مع هذا الحكم. ووفقا</w:t>
      </w:r>
      <w:r w:rsidR="00EF4F16">
        <w:rPr>
          <w:rFonts w:hint="cs"/>
          <w:rtl/>
        </w:rPr>
        <w:t>ً</w:t>
      </w:r>
      <w:r>
        <w:rPr>
          <w:rtl/>
        </w:rPr>
        <w:t xml:space="preserve"> لصاحب البلاغ، أدى القرار إلى فرض عقوبة أشد من العقوبة التي كانت سارية وقت ارتكاب الجريمة. ويدعي أنه كانت لديه كل الأسباب للاعتقاد أنه سيمنح الإفراج المبكر بعد</w:t>
      </w:r>
      <w:r w:rsidR="00EF4F16">
        <w:rPr>
          <w:rFonts w:hint="cs"/>
          <w:rtl/>
        </w:rPr>
        <w:t> </w:t>
      </w:r>
      <w:r w:rsidRPr="00861AA2">
        <w:rPr>
          <w:rtl/>
        </w:rPr>
        <w:t>12</w:t>
      </w:r>
      <w:r>
        <w:rPr>
          <w:rtl/>
        </w:rPr>
        <w:t xml:space="preserve"> عاما</w:t>
      </w:r>
      <w:r w:rsidR="00EF4F16">
        <w:rPr>
          <w:rFonts w:hint="cs"/>
          <w:rtl/>
        </w:rPr>
        <w:t>ً</w:t>
      </w:r>
      <w:r>
        <w:rPr>
          <w:rtl/>
        </w:rPr>
        <w:t xml:space="preserve"> في السجن. </w:t>
      </w:r>
    </w:p>
    <w:p w14:paraId="2E773292" w14:textId="67FC87E9" w:rsidR="00B35E04" w:rsidRPr="00D5203A" w:rsidRDefault="00B35E04" w:rsidP="00B35E04">
      <w:pPr>
        <w:pStyle w:val="SingleTxtGA"/>
        <w:rPr>
          <w:rFonts w:cs="Times New Roman"/>
          <w:rtl/>
          <w:lang w:val="ar-SA" w:eastAsia="zh-TW"/>
        </w:rPr>
      </w:pPr>
      <w:r w:rsidRPr="00D5203A">
        <w:rPr>
          <w:rtl/>
        </w:rPr>
        <w:t>4</w:t>
      </w:r>
      <w:r w:rsidRPr="00D5203A">
        <w:rPr>
          <w:rFonts w:ascii="Simplified Arabic"/>
          <w:rtl/>
        </w:rPr>
        <w:t>-</w:t>
      </w:r>
      <w:r w:rsidRPr="00D5203A">
        <w:rPr>
          <w:rtl/>
        </w:rPr>
        <w:t>12</w:t>
      </w:r>
      <w:r w:rsidRPr="00D5203A">
        <w:rPr>
          <w:rtl/>
        </w:rPr>
        <w:tab/>
        <w:t>وترى الدولة الطرف أن هذا الادعاء لا يندرج في نطاق المادة 15</w:t>
      </w:r>
      <w:r w:rsidRPr="00D5203A">
        <w:rPr>
          <w:rFonts w:ascii="Simplified Arabic"/>
          <w:rtl/>
        </w:rPr>
        <w:t>(</w:t>
      </w:r>
      <w:r w:rsidR="002B2BA4" w:rsidRPr="00D5203A">
        <w:rPr>
          <w:rtl/>
        </w:rPr>
        <w:t>1</w:t>
      </w:r>
      <w:r w:rsidR="002B2BA4" w:rsidRPr="00D5203A">
        <w:rPr>
          <w:rFonts w:ascii="Simplified Arabic"/>
          <w:rtl/>
        </w:rPr>
        <w:t>)</w:t>
      </w:r>
      <w:r w:rsidR="002B2BA4" w:rsidRPr="00D5203A">
        <w:rPr>
          <w:rtl/>
        </w:rPr>
        <w:t xml:space="preserve"> </w:t>
      </w:r>
      <w:r w:rsidRPr="00D5203A">
        <w:rPr>
          <w:rtl/>
        </w:rPr>
        <w:t>من العهد. وبموجب الحكم الصادر في 8 أيلول/سبتمبر 2004، حكم على صاحب البلاغ بالسجن لمدة 18 سنة. ولم يكن قرار محكمة المقاطعة الصادر في 12 كانون الثاني/يناير 2016 برفض الإفراج المشروط عن صاحب البلاغ بمثابة فرض عقوبة، بل كان مجرد قرار يتعلق باستمرار العقوبة الأصلية وتنفيذها</w:t>
      </w:r>
      <w:r w:rsidR="002B2BA4" w:rsidRPr="00D5203A">
        <w:rPr>
          <w:vertAlign w:val="superscript"/>
          <w:rtl/>
        </w:rPr>
        <w:t>(</w:t>
      </w:r>
      <w:r w:rsidR="002B2BA4" w:rsidRPr="00D5203A">
        <w:rPr>
          <w:vertAlign w:val="superscript"/>
          <w:rtl/>
        </w:rPr>
        <w:footnoteReference w:id="10"/>
      </w:r>
      <w:r w:rsidR="002B2BA4" w:rsidRPr="00D5203A">
        <w:rPr>
          <w:vertAlign w:val="superscript"/>
          <w:rtl/>
        </w:rPr>
        <w:t>)</w:t>
      </w:r>
      <w:r w:rsidR="002B2BA4" w:rsidRPr="00D5203A">
        <w:rPr>
          <w:rFonts w:ascii="Simplified Arabic"/>
          <w:rtl/>
        </w:rPr>
        <w:t>.</w:t>
      </w:r>
      <w:r w:rsidR="002B2BA4" w:rsidRPr="00D5203A">
        <w:rPr>
          <w:rtl/>
        </w:rPr>
        <w:t xml:space="preserve"> </w:t>
      </w:r>
      <w:r w:rsidRPr="00D5203A">
        <w:rPr>
          <w:rtl/>
        </w:rPr>
        <w:t>وعليه، فإن هذا القرار لا يُعتبَر فرضَ عقوبة أشد بالمعنى المقصود في المادة 15</w:t>
      </w:r>
      <w:r w:rsidRPr="00D5203A">
        <w:rPr>
          <w:rFonts w:ascii="Simplified Arabic"/>
          <w:rtl/>
        </w:rPr>
        <w:t>(</w:t>
      </w:r>
      <w:r w:rsidR="002B2BA4" w:rsidRPr="00D5203A">
        <w:rPr>
          <w:rtl/>
        </w:rPr>
        <w:t>1</w:t>
      </w:r>
      <w:r w:rsidR="002B2BA4" w:rsidRPr="00D5203A">
        <w:rPr>
          <w:rFonts w:ascii="Simplified Arabic"/>
          <w:rtl/>
        </w:rPr>
        <w:t>)</w:t>
      </w:r>
      <w:r w:rsidR="002B2BA4" w:rsidRPr="00D5203A">
        <w:rPr>
          <w:rtl/>
        </w:rPr>
        <w:t xml:space="preserve"> </w:t>
      </w:r>
      <w:r w:rsidRPr="00D5203A">
        <w:rPr>
          <w:rtl/>
        </w:rPr>
        <w:t>من العهد. كما أوضح مقصد النظام أن مثل هذا القرار لا يشكل عقوبة. ويبين التاريخ التشريعي أن المسألة الحاسمة، عند البت فيما إذا كان يمكن تأجيل الإفراج المشروط أو رفضه، هي ما إذا كان يمكن التقليل بدرجة كافية من خطر معاودة الجرم فيما يتعلق بالجرائم العنيفة (الخطيرة)</w:t>
      </w:r>
      <w:r w:rsidR="002B2BA4" w:rsidRPr="00D5203A">
        <w:rPr>
          <w:vertAlign w:val="superscript"/>
          <w:rtl/>
        </w:rPr>
        <w:t>(</w:t>
      </w:r>
      <w:r w:rsidR="002B2BA4" w:rsidRPr="00D5203A">
        <w:rPr>
          <w:vertAlign w:val="superscript"/>
          <w:rtl/>
        </w:rPr>
        <w:footnoteReference w:id="11"/>
      </w:r>
      <w:r w:rsidR="002B2BA4" w:rsidRPr="00D5203A">
        <w:rPr>
          <w:vertAlign w:val="superscript"/>
          <w:rtl/>
        </w:rPr>
        <w:t>)</w:t>
      </w:r>
      <w:r w:rsidR="002B2BA4" w:rsidRPr="00D5203A">
        <w:rPr>
          <w:rFonts w:ascii="Simplified Arabic"/>
          <w:rtl/>
        </w:rPr>
        <w:t>.</w:t>
      </w:r>
      <w:r w:rsidR="002B2BA4" w:rsidRPr="00D5203A">
        <w:rPr>
          <w:rtl/>
        </w:rPr>
        <w:t xml:space="preserve"> </w:t>
      </w:r>
      <w:r w:rsidRPr="00D5203A">
        <w:rPr>
          <w:rtl/>
        </w:rPr>
        <w:t xml:space="preserve">ومن ثم فإن قرار رفض الإفراج المشروط عن الجاني </w:t>
      </w:r>
      <w:r w:rsidRPr="00D5203A">
        <w:rPr>
          <w:rtl/>
        </w:rPr>
        <w:lastRenderedPageBreak/>
        <w:t>يهدف إلى منع تكرار الجرائم قدر الإمكان، لصالح مجتمع أكثر أمانا؛ وهو لا يهدف صراحة إلى معاقبة الجاني بعقوبة أشد.</w:t>
      </w:r>
    </w:p>
    <w:p w14:paraId="2DDBE854" w14:textId="1F89E4D6" w:rsidR="00B35E04" w:rsidRPr="00FB7E0F" w:rsidRDefault="00B35E04" w:rsidP="00B35E04">
      <w:pPr>
        <w:pStyle w:val="SingleTxtGA"/>
        <w:rPr>
          <w:rFonts w:cs="Times New Roman"/>
          <w:szCs w:val="20"/>
          <w:rtl/>
          <w:lang w:val="ar-SA" w:eastAsia="zh-TW"/>
        </w:rPr>
      </w:pPr>
      <w:r w:rsidRPr="00861AA2">
        <w:rPr>
          <w:rtl/>
        </w:rPr>
        <w:t>4</w:t>
      </w:r>
      <w:r>
        <w:rPr>
          <w:rFonts w:ascii="Simplified Arabic"/>
          <w:szCs w:val="20"/>
          <w:rtl/>
        </w:rPr>
        <w:t>-</w:t>
      </w:r>
      <w:r w:rsidRPr="00861AA2">
        <w:rPr>
          <w:rtl/>
        </w:rPr>
        <w:t>13</w:t>
      </w:r>
      <w:r>
        <w:rPr>
          <w:rtl/>
        </w:rPr>
        <w:tab/>
        <w:t>ويتفق موقف الدولة الطرف أيضا</w:t>
      </w:r>
      <w:r w:rsidR="001418D4">
        <w:rPr>
          <w:rFonts w:hint="cs"/>
          <w:rtl/>
        </w:rPr>
        <w:t>ً</w:t>
      </w:r>
      <w:r>
        <w:rPr>
          <w:rtl/>
        </w:rPr>
        <w:t xml:space="preserve"> مع تفسير المادة </w:t>
      </w:r>
      <w:r w:rsidRPr="00861AA2">
        <w:rPr>
          <w:rtl/>
        </w:rPr>
        <w:t>7</w:t>
      </w:r>
      <w:r>
        <w:rPr>
          <w:rtl/>
        </w:rPr>
        <w:t xml:space="preserve"> من الاتفاقية الأوروبية لحقوق الإنسان الذي قدمته المحكمة الأوروبية لحقوق الإنسان، والتي قضت بما يلي: "عندما تتعلق طبيعة تدبير ما ومقصده بتخفيف حكم أو تغيير نظام الإفراج المبكر، فإن هذا لا يشكل جزءا</w:t>
      </w:r>
      <w:r w:rsidR="001418D4">
        <w:rPr>
          <w:rFonts w:hint="cs"/>
          <w:rtl/>
        </w:rPr>
        <w:t>ً</w:t>
      </w:r>
      <w:r>
        <w:rPr>
          <w:rtl/>
        </w:rPr>
        <w:t xml:space="preserve"> من 'العقوبة' بالمعنى المقصود في المادة </w:t>
      </w:r>
      <w:r w:rsidRPr="00861AA2">
        <w:rPr>
          <w:rtl/>
        </w:rPr>
        <w:t>7</w:t>
      </w:r>
      <w:r w:rsidR="001418D4">
        <w:rPr>
          <w:rFonts w:hint="cs"/>
          <w:rtl/>
        </w:rPr>
        <w:t>"</w:t>
      </w:r>
      <w:r w:rsidR="002B2BA4">
        <w:rPr>
          <w:vertAlign w:val="superscript"/>
          <w:rtl/>
        </w:rPr>
        <w:t>(</w:t>
      </w:r>
      <w:r w:rsidR="002B2BA4" w:rsidRPr="00861AA2">
        <w:rPr>
          <w:vertAlign w:val="superscript"/>
          <w:rtl/>
        </w:rPr>
        <w:footnoteReference w:id="12"/>
      </w:r>
      <w:r w:rsidR="002B2BA4" w:rsidRPr="002B2BA4">
        <w:rPr>
          <w:vertAlign w:val="superscript"/>
          <w:rtl/>
        </w:rPr>
        <w:t>)</w:t>
      </w:r>
      <w:r w:rsidR="002B2BA4" w:rsidRPr="002B2BA4">
        <w:rPr>
          <w:rFonts w:ascii="Simplified Arabic"/>
          <w:szCs w:val="20"/>
          <w:rtl/>
        </w:rPr>
        <w:t>.</w:t>
      </w:r>
      <w:r w:rsidR="002B2BA4" w:rsidRPr="002B2BA4">
        <w:rPr>
          <w:rtl/>
        </w:rPr>
        <w:t xml:space="preserve"> </w:t>
      </w:r>
      <w:r>
        <w:rPr>
          <w:rtl/>
        </w:rPr>
        <w:t xml:space="preserve">ولا يمكن أن تندرج في نطاق المادة </w:t>
      </w:r>
      <w:r w:rsidRPr="00861AA2">
        <w:rPr>
          <w:rtl/>
        </w:rPr>
        <w:t>7</w:t>
      </w:r>
      <w:r>
        <w:rPr>
          <w:rtl/>
        </w:rPr>
        <w:t xml:space="preserve"> من الاتفاقية الأوروبية لحقوق الإنسان إلا القرارات المتعلقة بتنفيذ حكم يرقى إلى "إعادة تعريف أو تعديل نطاق العقوبة المفروضة"</w:t>
      </w:r>
      <w:r w:rsidR="002B2BA4">
        <w:rPr>
          <w:vertAlign w:val="superscript"/>
          <w:rtl/>
        </w:rPr>
        <w:t>(</w:t>
      </w:r>
      <w:r w:rsidR="002B2BA4" w:rsidRPr="00861AA2">
        <w:rPr>
          <w:vertAlign w:val="superscript"/>
          <w:rtl/>
        </w:rPr>
        <w:footnoteReference w:id="13"/>
      </w:r>
      <w:r w:rsidR="002B2BA4" w:rsidRPr="002B2BA4">
        <w:rPr>
          <w:vertAlign w:val="superscript"/>
          <w:rtl/>
        </w:rPr>
        <w:t>)</w:t>
      </w:r>
      <w:r w:rsidR="002B2BA4" w:rsidRPr="002B2BA4">
        <w:rPr>
          <w:rFonts w:ascii="Simplified Arabic"/>
          <w:szCs w:val="20"/>
          <w:rtl/>
        </w:rPr>
        <w:t>.</w:t>
      </w:r>
      <w:r w:rsidR="002B2BA4" w:rsidRPr="002B2BA4">
        <w:rPr>
          <w:rtl/>
        </w:rPr>
        <w:t xml:space="preserve"> </w:t>
      </w:r>
      <w:r>
        <w:rPr>
          <w:rtl/>
        </w:rPr>
        <w:t xml:space="preserve">وكما وُضح أعلاه، الأمر ليس كذلك في حالة هذا البلاغ. </w:t>
      </w:r>
    </w:p>
    <w:p w14:paraId="686C9776" w14:textId="68AF6624" w:rsidR="00B35E04" w:rsidRPr="007D723A" w:rsidRDefault="00B35E04" w:rsidP="00B35E04">
      <w:pPr>
        <w:pStyle w:val="SingleTxtGA"/>
        <w:rPr>
          <w:rFonts w:cs="Times New Roman"/>
          <w:rtl/>
          <w:lang w:val="ar-SA" w:eastAsia="zh-TW"/>
        </w:rPr>
      </w:pPr>
      <w:r w:rsidRPr="007D723A">
        <w:rPr>
          <w:rtl/>
        </w:rPr>
        <w:t>4</w:t>
      </w:r>
      <w:r w:rsidRPr="007D723A">
        <w:rPr>
          <w:rFonts w:ascii="Simplified Arabic"/>
          <w:rtl/>
        </w:rPr>
        <w:t>-</w:t>
      </w:r>
      <w:r w:rsidRPr="007D723A">
        <w:rPr>
          <w:rtl/>
        </w:rPr>
        <w:t>14</w:t>
      </w:r>
      <w:r w:rsidRPr="007D723A">
        <w:rPr>
          <w:rtl/>
        </w:rPr>
        <w:tab/>
        <w:t>وإضافة إلى ذلك، لا يمكن الاستنتاج أن العقوبة الأصلية قد أصبحت أكثر شدة. ويبدو أن صاحب البلاغ يقصد ضمنا</w:t>
      </w:r>
      <w:r w:rsidR="001418D4" w:rsidRPr="007D723A">
        <w:rPr>
          <w:rFonts w:hint="cs"/>
          <w:rtl/>
        </w:rPr>
        <w:t>ً</w:t>
      </w:r>
      <w:r w:rsidRPr="007D723A">
        <w:rPr>
          <w:rtl/>
        </w:rPr>
        <w:t xml:space="preserve"> أنه كان يجري، في ظل النظام القديم للإفراج المبكر، تغيير عقوبة السجن لمدة 18 عاما</w:t>
      </w:r>
      <w:r w:rsidR="001418D4" w:rsidRPr="007D723A">
        <w:rPr>
          <w:rFonts w:hint="cs"/>
          <w:rtl/>
        </w:rPr>
        <w:t>ً</w:t>
      </w:r>
      <w:r w:rsidRPr="007D723A">
        <w:rPr>
          <w:rtl/>
        </w:rPr>
        <w:t xml:space="preserve"> إلى عقوبة بالسجن لمدة 12 سنة. والأمر ليس كذلك على الإطلاق. ففي ظل النظام القديم، تظل الأحكام المفروضة سارية تماما</w:t>
      </w:r>
      <w:r w:rsidR="001418D4" w:rsidRPr="007D723A">
        <w:rPr>
          <w:rFonts w:hint="cs"/>
          <w:rtl/>
        </w:rPr>
        <w:t>ً</w:t>
      </w:r>
      <w:r w:rsidRPr="007D723A">
        <w:rPr>
          <w:rtl/>
        </w:rPr>
        <w:t xml:space="preserve"> كما هي الآن في ظل النظام الحالي. وكما سبق شرحه، كان من الممكن أيضا</w:t>
      </w:r>
      <w:r w:rsidR="001418D4" w:rsidRPr="007D723A">
        <w:rPr>
          <w:rFonts w:hint="cs"/>
          <w:rtl/>
        </w:rPr>
        <w:t>ً</w:t>
      </w:r>
      <w:r w:rsidRPr="007D723A">
        <w:rPr>
          <w:rtl/>
        </w:rPr>
        <w:t xml:space="preserve"> في ظل النظام القديم رفض الإفراج المبكر، على سبيل المثال في حالات سوء السلوك الجسيم. ولذلك، فإن العقوبة التي فرضت سابقا</w:t>
      </w:r>
      <w:r w:rsidR="001418D4" w:rsidRPr="007D723A">
        <w:rPr>
          <w:rFonts w:hint="cs"/>
          <w:rtl/>
        </w:rPr>
        <w:t>ً</w:t>
      </w:r>
      <w:r w:rsidRPr="007D723A">
        <w:rPr>
          <w:rtl/>
        </w:rPr>
        <w:t xml:space="preserve"> لم تكن أشد بأي حال من الأحوال. وأكدت الدولة الطرف أن منازعة صاحب البلاغ بأنه كانت لديه كل الأسباب للاعتقاد بأنه سيفرج عنه بعد 12 سنة من الاحتجاز لا تعكس بدقة الوضع الواقعي. فوقت إدانته عام 2004</w:t>
      </w:r>
      <w:r w:rsidRPr="007D723A">
        <w:rPr>
          <w:rFonts w:ascii="Simplified Arabic"/>
          <w:rtl/>
        </w:rPr>
        <w:t xml:space="preserve"> -</w:t>
      </w:r>
      <w:r w:rsidRPr="007D723A">
        <w:rPr>
          <w:rtl/>
        </w:rPr>
        <w:t xml:space="preserve"> ووقت ارتكابه الجرائم الجديدة - كان من الواضح تماما</w:t>
      </w:r>
      <w:r w:rsidR="001418D4" w:rsidRPr="007D723A">
        <w:rPr>
          <w:rFonts w:hint="cs"/>
          <w:rtl/>
        </w:rPr>
        <w:t>ً</w:t>
      </w:r>
      <w:r w:rsidRPr="007D723A">
        <w:rPr>
          <w:rtl/>
        </w:rPr>
        <w:t xml:space="preserve"> أن أي شكل من أشكال الإفراج المبكر أو الإفراج المشروط يتوقف على سلوك المحكوم عليه. ففي عامي 2004 و2015، كان من شأن سوء سلوك خطير أن يمنع تمتع الجاني بالإفراج المبكر أو الإفراج المشروط. ولذلك كان صاحب البلاغ يدرك، أو كان ينبغي أن يدرك، بالخطر الذي كان يعرض نفسه له عندما ارتكب جرائم جديدة أثناء سراحه المؤقت. وكانت عواقب أفعال صاحب البلاغ متوقعة. ولذلك ترى الدولة الطرف أن التوقعات التي وصفها صاحب البلاغ غير صحيحة ولا تعطيها أي مصداقية. وفي ضوء ما تقدم، ترى الدولة الطرف أن ادعاء صاحب البلاغ بحدوث انتهاك مزعوم للمادة</w:t>
      </w:r>
      <w:r w:rsidR="00820E69" w:rsidRPr="007D723A">
        <w:rPr>
          <w:rFonts w:hint="cs"/>
          <w:rtl/>
        </w:rPr>
        <w:t> </w:t>
      </w:r>
      <w:r w:rsidRPr="007D723A">
        <w:rPr>
          <w:rtl/>
        </w:rPr>
        <w:t>15</w:t>
      </w:r>
      <w:r w:rsidRPr="007D723A">
        <w:rPr>
          <w:rFonts w:ascii="Simplified Arabic"/>
          <w:rtl/>
        </w:rPr>
        <w:t>(</w:t>
      </w:r>
      <w:r w:rsidR="002B2BA4" w:rsidRPr="007D723A">
        <w:rPr>
          <w:rtl/>
        </w:rPr>
        <w:t>1</w:t>
      </w:r>
      <w:r w:rsidR="002B2BA4" w:rsidRPr="007D723A">
        <w:rPr>
          <w:rFonts w:ascii="Simplified Arabic"/>
          <w:rtl/>
        </w:rPr>
        <w:t>)</w:t>
      </w:r>
      <w:r w:rsidR="002B2BA4" w:rsidRPr="007D723A">
        <w:rPr>
          <w:rtl/>
        </w:rPr>
        <w:t xml:space="preserve"> </w:t>
      </w:r>
      <w:r w:rsidRPr="007D723A">
        <w:rPr>
          <w:rtl/>
        </w:rPr>
        <w:t xml:space="preserve">من العهد ينبغي أن يعتبر غير مقبول من حيث الاختصاص الموضوعي. </w:t>
      </w:r>
    </w:p>
    <w:p w14:paraId="28FB6582" w14:textId="049E8FE4" w:rsidR="00B35E04" w:rsidRPr="007D723A" w:rsidRDefault="00B35E04" w:rsidP="00B35E04">
      <w:pPr>
        <w:pStyle w:val="SingleTxtGA"/>
        <w:rPr>
          <w:rFonts w:cs="Times New Roman"/>
          <w:rtl/>
          <w:lang w:val="ar-SA" w:eastAsia="zh-TW"/>
        </w:rPr>
      </w:pPr>
      <w:r w:rsidRPr="007D723A">
        <w:rPr>
          <w:rtl/>
        </w:rPr>
        <w:t>4</w:t>
      </w:r>
      <w:r w:rsidRPr="007D723A">
        <w:rPr>
          <w:rFonts w:ascii="Simplified Arabic"/>
          <w:rtl/>
        </w:rPr>
        <w:t>-</w:t>
      </w:r>
      <w:r w:rsidRPr="007D723A">
        <w:rPr>
          <w:rtl/>
        </w:rPr>
        <w:t>15</w:t>
      </w:r>
      <w:r w:rsidRPr="007D723A">
        <w:rPr>
          <w:rtl/>
        </w:rPr>
        <w:tab/>
        <w:t>وتجادل الدولة الطرف كذلك بعدم توافق ادعاءات صاحب البلاغ مع المادة 14</w:t>
      </w:r>
      <w:r w:rsidRPr="007D723A">
        <w:rPr>
          <w:rFonts w:ascii="Simplified Arabic"/>
          <w:rtl/>
        </w:rPr>
        <w:t>(</w:t>
      </w:r>
      <w:r w:rsidR="002B2BA4" w:rsidRPr="007D723A">
        <w:rPr>
          <w:rtl/>
        </w:rPr>
        <w:t>5</w:t>
      </w:r>
      <w:r w:rsidR="002B2BA4" w:rsidRPr="007D723A">
        <w:rPr>
          <w:rFonts w:ascii="Simplified Arabic"/>
          <w:rtl/>
        </w:rPr>
        <w:t>)</w:t>
      </w:r>
      <w:r w:rsidR="002B2BA4" w:rsidRPr="007D723A">
        <w:rPr>
          <w:rtl/>
        </w:rPr>
        <w:t xml:space="preserve"> </w:t>
      </w:r>
      <w:r w:rsidRPr="007D723A">
        <w:rPr>
          <w:rtl/>
        </w:rPr>
        <w:t>من العهد، لأن المحكمة التي تجري المراجعة يجب أن تكون قادرة على النظر في وقائع القضية، بما في ذلك أدلة الإدانة</w:t>
      </w:r>
      <w:r w:rsidR="002B2BA4" w:rsidRPr="007D723A">
        <w:rPr>
          <w:vertAlign w:val="superscript"/>
          <w:rtl/>
        </w:rPr>
        <w:t>(</w:t>
      </w:r>
      <w:r w:rsidR="002B2BA4" w:rsidRPr="007D723A">
        <w:rPr>
          <w:vertAlign w:val="superscript"/>
          <w:rtl/>
        </w:rPr>
        <w:footnoteReference w:id="14"/>
      </w:r>
      <w:r w:rsidR="002B2BA4" w:rsidRPr="007D723A">
        <w:rPr>
          <w:vertAlign w:val="superscript"/>
          <w:rtl/>
        </w:rPr>
        <w:t>)</w:t>
      </w:r>
      <w:r w:rsidR="002B2BA4" w:rsidRPr="007D723A">
        <w:rPr>
          <w:rFonts w:ascii="Simplified Arabic"/>
          <w:rtl/>
        </w:rPr>
        <w:t>.</w:t>
      </w:r>
      <w:r w:rsidR="002B2BA4" w:rsidRPr="007D723A">
        <w:rPr>
          <w:rtl/>
        </w:rPr>
        <w:t xml:space="preserve"> </w:t>
      </w:r>
      <w:r w:rsidRPr="007D723A">
        <w:rPr>
          <w:rtl/>
        </w:rPr>
        <w:t>ويدعي صاحب البلاغ أنه لم تكن هناك إمكانية للطعن في قرار محكمة المقاطعة الصادر في</w:t>
      </w:r>
      <w:r w:rsidR="009B43D2" w:rsidRPr="007D723A">
        <w:rPr>
          <w:rFonts w:hint="cs"/>
          <w:rtl/>
        </w:rPr>
        <w:t> </w:t>
      </w:r>
      <w:r w:rsidRPr="007D723A">
        <w:rPr>
          <w:rtl/>
        </w:rPr>
        <w:t>12 كانون الثاني/يناير 2016 برفض الإفراج المشروط عنه؛ غير أن الدولة الطرف ترى أن هذا البلاغ لا يندرج في نطاق المادة 14</w:t>
      </w:r>
      <w:r w:rsidRPr="007D723A">
        <w:rPr>
          <w:rFonts w:ascii="Simplified Arabic"/>
          <w:rtl/>
        </w:rPr>
        <w:t>(</w:t>
      </w:r>
      <w:r w:rsidR="002B2BA4" w:rsidRPr="007D723A">
        <w:rPr>
          <w:rtl/>
        </w:rPr>
        <w:t>5</w:t>
      </w:r>
      <w:r w:rsidR="002B2BA4" w:rsidRPr="007D723A">
        <w:rPr>
          <w:rFonts w:ascii="Simplified Arabic"/>
          <w:rtl/>
        </w:rPr>
        <w:t>)</w:t>
      </w:r>
      <w:r w:rsidR="002B2BA4" w:rsidRPr="007D723A">
        <w:rPr>
          <w:rtl/>
        </w:rPr>
        <w:t xml:space="preserve"> </w:t>
      </w:r>
      <w:r w:rsidRPr="007D723A">
        <w:rPr>
          <w:rtl/>
        </w:rPr>
        <w:t>من العهد لأن الحق في الاستئناف يتعلق بتهمة جنائية</w:t>
      </w:r>
      <w:r w:rsidR="002B2BA4" w:rsidRPr="007D723A">
        <w:rPr>
          <w:vertAlign w:val="superscript"/>
          <w:rtl/>
        </w:rPr>
        <w:t>(</w:t>
      </w:r>
      <w:r w:rsidR="002B2BA4" w:rsidRPr="007D723A">
        <w:rPr>
          <w:vertAlign w:val="superscript"/>
          <w:rtl/>
        </w:rPr>
        <w:footnoteReference w:id="15"/>
      </w:r>
      <w:r w:rsidR="002B2BA4" w:rsidRPr="007D723A">
        <w:rPr>
          <w:vertAlign w:val="superscript"/>
          <w:rtl/>
        </w:rPr>
        <w:t>)</w:t>
      </w:r>
      <w:r w:rsidR="002B2BA4" w:rsidRPr="007D723A">
        <w:rPr>
          <w:rFonts w:ascii="Simplified Arabic"/>
          <w:rtl/>
        </w:rPr>
        <w:t>.</w:t>
      </w:r>
      <w:r w:rsidR="002B2BA4" w:rsidRPr="007D723A">
        <w:rPr>
          <w:rtl/>
        </w:rPr>
        <w:t xml:space="preserve"> </w:t>
      </w:r>
      <w:r w:rsidRPr="007D723A">
        <w:rPr>
          <w:rtl/>
        </w:rPr>
        <w:t>وتنص المادة</w:t>
      </w:r>
      <w:r w:rsidR="009B43D2" w:rsidRPr="007D723A">
        <w:rPr>
          <w:rFonts w:hint="cs"/>
          <w:rtl/>
        </w:rPr>
        <w:t> </w:t>
      </w:r>
      <w:r w:rsidRPr="007D723A">
        <w:rPr>
          <w:rtl/>
        </w:rPr>
        <w:t>14</w:t>
      </w:r>
      <w:r w:rsidRPr="007D723A">
        <w:rPr>
          <w:rFonts w:ascii="Simplified Arabic"/>
          <w:rtl/>
        </w:rPr>
        <w:t>(</w:t>
      </w:r>
      <w:r w:rsidR="002B2BA4" w:rsidRPr="007D723A">
        <w:rPr>
          <w:rtl/>
        </w:rPr>
        <w:t>5</w:t>
      </w:r>
      <w:r w:rsidR="002B2BA4" w:rsidRPr="007D723A">
        <w:rPr>
          <w:rFonts w:ascii="Simplified Arabic"/>
          <w:rtl/>
        </w:rPr>
        <w:t>)</w:t>
      </w:r>
      <w:r w:rsidR="002B2BA4" w:rsidRPr="007D723A">
        <w:rPr>
          <w:rtl/>
        </w:rPr>
        <w:t xml:space="preserve"> </w:t>
      </w:r>
      <w:r w:rsidRPr="007D723A">
        <w:rPr>
          <w:rtl/>
        </w:rPr>
        <w:t>على أن لكل شخص حق اللجوء إلى محكمة أعلى كيما تعيد النظر في قرار إدانته وفى العقاب الذي حكم به عليه. وكما هو موضح أعلاه، فإن قرار محكمة المقاطعة الصادر في 12 كانون الثاني/يناير</w:t>
      </w:r>
      <w:r w:rsidR="009B43D2" w:rsidRPr="007D723A">
        <w:rPr>
          <w:rFonts w:hint="cs"/>
          <w:rtl/>
        </w:rPr>
        <w:t> </w:t>
      </w:r>
      <w:r w:rsidRPr="007D723A">
        <w:rPr>
          <w:rtl/>
        </w:rPr>
        <w:t>2016 برفض الإفراج المشروط عن صاحب البلاغ لا يشكل لا إدانة ولا فرض عقوبة. وعليه، فإن هذا الجزء من البلاغ يتنافى من حيث الاختصاص الموضوعي مع المادة المحتج بها وينبغي اعتباره غير مقبول عملا</w:t>
      </w:r>
      <w:r w:rsidR="009B43D2" w:rsidRPr="007D723A">
        <w:rPr>
          <w:rFonts w:hint="cs"/>
          <w:rtl/>
        </w:rPr>
        <w:t>ً</w:t>
      </w:r>
      <w:r w:rsidRPr="007D723A">
        <w:rPr>
          <w:rtl/>
        </w:rPr>
        <w:t xml:space="preserve"> بالمادة 3 من البروتوكول الاختياري. </w:t>
      </w:r>
    </w:p>
    <w:p w14:paraId="4F71E552" w14:textId="4D57AA80" w:rsidR="00B35E04" w:rsidRPr="00FB7E0F" w:rsidRDefault="00B35E04" w:rsidP="00B35E04">
      <w:pPr>
        <w:pStyle w:val="SingleTxtGA"/>
        <w:rPr>
          <w:rFonts w:cs="Times New Roman"/>
          <w:szCs w:val="20"/>
          <w:rtl/>
          <w:lang w:val="ar-SA" w:eastAsia="zh-TW"/>
        </w:rPr>
      </w:pPr>
      <w:r w:rsidRPr="00861AA2">
        <w:rPr>
          <w:rtl/>
        </w:rPr>
        <w:lastRenderedPageBreak/>
        <w:t>4</w:t>
      </w:r>
      <w:r>
        <w:rPr>
          <w:rFonts w:ascii="Simplified Arabic"/>
          <w:szCs w:val="20"/>
          <w:rtl/>
        </w:rPr>
        <w:t>-</w:t>
      </w:r>
      <w:r w:rsidRPr="00861AA2">
        <w:rPr>
          <w:rtl/>
        </w:rPr>
        <w:t>16</w:t>
      </w:r>
      <w:r>
        <w:rPr>
          <w:rtl/>
        </w:rPr>
        <w:tab/>
        <w:t xml:space="preserve">وفيما يتعلق بادعاء صاحب البلاغ بموجب المادة </w:t>
      </w:r>
      <w:r w:rsidRPr="00861AA2">
        <w:rPr>
          <w:rtl/>
        </w:rPr>
        <w:t>26</w:t>
      </w:r>
      <w:r>
        <w:rPr>
          <w:rtl/>
        </w:rPr>
        <w:t xml:space="preserve"> من العهد بشأن تطبيق النظام الجديد للإفراج المشروط "بأثر رجعي" على مجموعة صغيرة من المدانين، تجادل الدولة الطرف بأن وضع صاحب البلاغ كضحية بموجب المادة </w:t>
      </w:r>
      <w:r w:rsidRPr="00861AA2">
        <w:rPr>
          <w:rtl/>
        </w:rPr>
        <w:t>26</w:t>
      </w:r>
      <w:r>
        <w:rPr>
          <w:rtl/>
        </w:rPr>
        <w:t xml:space="preserve"> من العهد لم يثبت. وتعترض على عرض صاحب البلاغ للأحكام القانونية الوطنية. ويعتقد صاحب البلاغ أنه ضحية للتعديل التشريعي الذي دخل حيز النفاذ في </w:t>
      </w:r>
      <w:r w:rsidRPr="00861AA2">
        <w:rPr>
          <w:rtl/>
        </w:rPr>
        <w:t>1</w:t>
      </w:r>
      <w:r>
        <w:rPr>
          <w:rtl/>
        </w:rPr>
        <w:t xml:space="preserve"> تموز/يوليه </w:t>
      </w:r>
      <w:r w:rsidRPr="00861AA2">
        <w:rPr>
          <w:rtl/>
        </w:rPr>
        <w:t>2008</w:t>
      </w:r>
      <w:r>
        <w:rPr>
          <w:rtl/>
        </w:rPr>
        <w:t xml:space="preserve"> والأحكام الانتقالية المرتبطة به. وبما أنه لم يستثن من انطباق النظام الحالي للإفراج المشروط، يدعي صاحب البلاغ أنه ضحية تمييز تحظره المادة </w:t>
      </w:r>
      <w:r w:rsidRPr="00861AA2">
        <w:rPr>
          <w:rtl/>
        </w:rPr>
        <w:t>26</w:t>
      </w:r>
      <w:r>
        <w:rPr>
          <w:rtl/>
        </w:rPr>
        <w:t xml:space="preserve"> من العهد. إلا أن الأمر ليس كذلك. وفي ظل النظام القديم، كان من شأن سوء السلوك الجسيم لصاحب البلاغ أن يجعله غير مؤهل للإفراج المبكر. وبالمثل، فإن صاحب البلاغ غير مؤهل للإفراج المشروط بموجب النظام الحالي. ولا ترى الدولة الطرف وجهاً لوجود أي مسألة تتعلق بالتمييز في هذه القضية. وتوضح اللجنة، في الفقرة </w:t>
      </w:r>
      <w:r w:rsidRPr="00861AA2">
        <w:rPr>
          <w:rtl/>
        </w:rPr>
        <w:t>7</w:t>
      </w:r>
      <w:r>
        <w:rPr>
          <w:rtl/>
        </w:rPr>
        <w:t xml:space="preserve"> من تعليقها العام رقم </w:t>
      </w:r>
      <w:r w:rsidRPr="00861AA2">
        <w:rPr>
          <w:rtl/>
        </w:rPr>
        <w:t>18</w:t>
      </w:r>
      <w:r>
        <w:rPr>
          <w:rFonts w:ascii="Simplified Arabic"/>
          <w:szCs w:val="20"/>
          <w:rtl/>
        </w:rPr>
        <w:t>(</w:t>
      </w:r>
      <w:r w:rsidRPr="00861AA2">
        <w:rPr>
          <w:rtl/>
        </w:rPr>
        <w:t>1989</w:t>
      </w:r>
      <w:r w:rsidR="002B2BA4" w:rsidRPr="002B2BA4">
        <w:rPr>
          <w:rFonts w:ascii="Simplified Arabic"/>
          <w:szCs w:val="20"/>
          <w:rtl/>
        </w:rPr>
        <w:t>)</w:t>
      </w:r>
      <w:r w:rsidR="002B2BA4" w:rsidRPr="002B2BA4">
        <w:rPr>
          <w:rtl/>
        </w:rPr>
        <w:t xml:space="preserve">، </w:t>
      </w:r>
      <w:r>
        <w:rPr>
          <w:rtl/>
        </w:rPr>
        <w:t>أن مصطلح "التمييز" المستخدم في العهد ينبغي أن يفهم على أنه يعني أي "تفرقة أو استبعاد أو تقييد أو تفضيل يقوم على أي سبب من الأسباب</w:t>
      </w:r>
      <w:r w:rsidR="0011413F">
        <w:rPr>
          <w:rFonts w:hint="cs"/>
          <w:rtl/>
        </w:rPr>
        <w:t xml:space="preserve"> </w:t>
      </w:r>
      <w:r w:rsidR="002B2BA4" w:rsidRPr="002B2BA4">
        <w:rPr>
          <w:rtl/>
        </w:rPr>
        <w:t>.</w:t>
      </w:r>
      <w:r>
        <w:rPr>
          <w:rtl/>
        </w:rPr>
        <w:t xml:space="preserve">.. أو أي وضع آخر، ويستهدف أو يستتبع تعطيل أو عرقلة الاعتراف لجميع الأشخاص بجميع الحقوق والحريات أو التمتع بها أو ممارستها، على قدم المساواة". وترى الدولة الطرف أن صاحب البلاغ ليس ضحية في سياق المادة </w:t>
      </w:r>
      <w:r w:rsidRPr="00861AA2">
        <w:rPr>
          <w:rtl/>
        </w:rPr>
        <w:t>26</w:t>
      </w:r>
      <w:r>
        <w:rPr>
          <w:rtl/>
        </w:rPr>
        <w:t xml:space="preserve"> من العهد. ولم تدعم شكواه في هذا الصدد بما يكفي من الأدلة لأغراض المقبولية.</w:t>
      </w:r>
    </w:p>
    <w:p w14:paraId="6431D1BB" w14:textId="7B39DC0B" w:rsidR="002B2BA4" w:rsidRPr="007D723A" w:rsidRDefault="00B35E04" w:rsidP="00B35E04">
      <w:pPr>
        <w:pStyle w:val="SingleTxtGA"/>
        <w:rPr>
          <w:rFonts w:cs="Times New Roman"/>
          <w:rtl/>
          <w:lang w:val="ar-SA" w:eastAsia="zh-TW"/>
        </w:rPr>
      </w:pPr>
      <w:r w:rsidRPr="007D723A">
        <w:rPr>
          <w:rtl/>
        </w:rPr>
        <w:t>4</w:t>
      </w:r>
      <w:r w:rsidRPr="007D723A">
        <w:rPr>
          <w:rFonts w:ascii="Simplified Arabic"/>
          <w:rtl/>
        </w:rPr>
        <w:t>-</w:t>
      </w:r>
      <w:r w:rsidRPr="007D723A">
        <w:rPr>
          <w:rtl/>
        </w:rPr>
        <w:t>17</w:t>
      </w:r>
      <w:r w:rsidRPr="007D723A">
        <w:rPr>
          <w:rtl/>
        </w:rPr>
        <w:tab/>
        <w:t>وعندما دخل النظام الحالي حيز النفاذ، نصت الأحكام الانتقالية على أن النظام القديم سيظل ساريا</w:t>
      </w:r>
      <w:r w:rsidR="009B43D2" w:rsidRPr="007D723A">
        <w:rPr>
          <w:rFonts w:hint="cs"/>
          <w:rtl/>
        </w:rPr>
        <w:t>ً</w:t>
      </w:r>
      <w:r w:rsidRPr="007D723A">
        <w:rPr>
          <w:rtl/>
        </w:rPr>
        <w:t xml:space="preserve"> لمدة خمس سنوات على الأشخاص الذين يقضون أحكاما</w:t>
      </w:r>
      <w:r w:rsidR="009B43D2" w:rsidRPr="007D723A">
        <w:rPr>
          <w:rFonts w:hint="cs"/>
          <w:rtl/>
        </w:rPr>
        <w:t>ً</w:t>
      </w:r>
      <w:r w:rsidRPr="007D723A">
        <w:rPr>
          <w:rtl/>
        </w:rPr>
        <w:t xml:space="preserve"> بالسجن صدرت في حقهم قبل 1 تموز/يوليه 200</w:t>
      </w:r>
      <w:r w:rsidR="002B2BA4" w:rsidRPr="007D723A">
        <w:rPr>
          <w:rtl/>
        </w:rPr>
        <w:t>8</w:t>
      </w:r>
      <w:r w:rsidR="002B2BA4" w:rsidRPr="007D723A">
        <w:rPr>
          <w:rFonts w:ascii="Simplified Arabic"/>
          <w:rtl/>
        </w:rPr>
        <w:t>.</w:t>
      </w:r>
      <w:r w:rsidR="002B2BA4" w:rsidRPr="007D723A">
        <w:rPr>
          <w:rtl/>
        </w:rPr>
        <w:t xml:space="preserve"> </w:t>
      </w:r>
      <w:r w:rsidRPr="007D723A">
        <w:rPr>
          <w:rtl/>
        </w:rPr>
        <w:t>ومنذ 1 تموز/يوليه 2013، يطبق النظام الحالي على الجميع، بمن فيهم الأشخاص الذين أدينوا قبل 1 تموز/يوليه 200</w:t>
      </w:r>
      <w:r w:rsidR="002B2BA4" w:rsidRPr="007D723A">
        <w:rPr>
          <w:rtl/>
        </w:rPr>
        <w:t>8</w:t>
      </w:r>
      <w:r w:rsidR="002B2BA4" w:rsidRPr="007D723A">
        <w:rPr>
          <w:rFonts w:ascii="Simplified Arabic"/>
          <w:rtl/>
        </w:rPr>
        <w:t>.</w:t>
      </w:r>
      <w:r w:rsidR="002B2BA4" w:rsidRPr="007D723A">
        <w:rPr>
          <w:rtl/>
        </w:rPr>
        <w:t xml:space="preserve"> </w:t>
      </w:r>
      <w:r w:rsidRPr="007D723A">
        <w:rPr>
          <w:rtl/>
        </w:rPr>
        <w:t>وهذا يعني أنه بالنسبة لمجموعة صغيرة من المدانين (أي أولئك الذين حكم عليهم بالسجن لعدة سنوات قبل 1 تموز/يوليه 2008 وكانوا لا يزالون يقضون خمس سنوات بعد بدء نفاذ النظام الحالي</w:t>
      </w:r>
      <w:r w:rsidR="002B2BA4" w:rsidRPr="007D723A">
        <w:rPr>
          <w:rtl/>
        </w:rPr>
        <w:t xml:space="preserve">)، </w:t>
      </w:r>
      <w:r w:rsidRPr="007D723A">
        <w:rPr>
          <w:rtl/>
        </w:rPr>
        <w:t>يطبق النظام القديم المطبق وقت إدانتهم والنظام الحالي الإفراج المشروط المحتمل عنهم. وتفارق الأحكام الانتقالية الممارسة المعتادة المتمثلة في التنفيذ الفوري للتعديلات التشريعية المتعلقة بقواعد الإجراءات الجنائية وقواعد تنفيذ الأحكام. وعندما تُدخل تغييرات على تنفيذ الأحكام بأثر فوري، فإنها تطبق اعتبارا</w:t>
      </w:r>
      <w:r w:rsidR="009B43D2" w:rsidRPr="007D723A">
        <w:rPr>
          <w:rFonts w:hint="cs"/>
          <w:rtl/>
        </w:rPr>
        <w:t>ً</w:t>
      </w:r>
      <w:r w:rsidRPr="007D723A">
        <w:rPr>
          <w:rtl/>
        </w:rPr>
        <w:t xml:space="preserve"> من تاريخ دخول التعديل التشريعي حيز النفاذ. ومن ثم، فإن التغييرات (في قواعد الإجراءات الجنائية وتنفيذ الأحكام على حد سواء) تنطبق أيضا</w:t>
      </w:r>
      <w:r w:rsidR="009B43D2" w:rsidRPr="007D723A">
        <w:rPr>
          <w:rFonts w:hint="cs"/>
          <w:rtl/>
        </w:rPr>
        <w:t>ً</w:t>
      </w:r>
      <w:r w:rsidRPr="007D723A">
        <w:rPr>
          <w:rtl/>
        </w:rPr>
        <w:t xml:space="preserve"> من حيث المبدأ على الأشخاص الذين ارتكبوا أو أدينوا بارتكاب جرائم جنائية قبل تاريخ دخولها حيز النفاذ. ومع ذلك، ولأسباب تتعلق بالتطبيق العملي، تقرر الخروج عن مبدأ الأثر الفوري في تنفيذ النظام الحالي. وكما سبق للدولة الطرف أن أوضحت، فإن هذا التدبير لا يشكل لا إدانة ولا فرض عقوبة. ومن ثم، فإن التغييرات التي أدخلت على النظام لا تترتب عليها أي آثار فيما يتعلق بالعقوبة المفروضة سلفا</w:t>
      </w:r>
      <w:r w:rsidR="009B43D2" w:rsidRPr="007D723A">
        <w:rPr>
          <w:rFonts w:hint="cs"/>
          <w:rtl/>
        </w:rPr>
        <w:t>ً</w:t>
      </w:r>
      <w:r w:rsidRPr="007D723A">
        <w:rPr>
          <w:rtl/>
        </w:rPr>
        <w:t>. ولم يتأثر صاحب البلاغ بالتعديل التشريعي لعام 200</w:t>
      </w:r>
      <w:r w:rsidR="002B2BA4" w:rsidRPr="007D723A">
        <w:rPr>
          <w:rtl/>
        </w:rPr>
        <w:t>7.</w:t>
      </w:r>
    </w:p>
    <w:p w14:paraId="02521B01" w14:textId="6647ED37" w:rsidR="00B35E04" w:rsidRPr="00FB7E0F" w:rsidRDefault="00B35E04" w:rsidP="00B35E04">
      <w:pPr>
        <w:pStyle w:val="SingleTxtGA"/>
        <w:rPr>
          <w:rFonts w:cs="Times New Roman"/>
          <w:szCs w:val="20"/>
          <w:rtl/>
          <w:lang w:val="ar-SA" w:eastAsia="zh-TW"/>
        </w:rPr>
      </w:pPr>
      <w:r w:rsidRPr="00861AA2">
        <w:rPr>
          <w:rtl/>
        </w:rPr>
        <w:t>4</w:t>
      </w:r>
      <w:r>
        <w:rPr>
          <w:rFonts w:ascii="Simplified Arabic"/>
          <w:szCs w:val="20"/>
          <w:rtl/>
        </w:rPr>
        <w:t>-</w:t>
      </w:r>
      <w:r w:rsidRPr="00861AA2">
        <w:rPr>
          <w:rtl/>
        </w:rPr>
        <w:t>18</w:t>
      </w:r>
      <w:r>
        <w:rPr>
          <w:rtl/>
        </w:rPr>
        <w:tab/>
        <w:t xml:space="preserve">وكما هو موضح أعلاه، فإن النقطة التي يمنح فيها الأشخاص المدانون الإفراج المشروط بموجب التعديل التشريعي لا تختلف في شيء عن اللحظة التي كانوا سيمنحون فيها الإفراج المبكر في إطار النظام القديم. كما أن نطاق تأجيل أو رفض الإفراج المشروط بموجب النظام الحالي لا يختلف بأي شكل من الأشكال عن نطاق تأجيل أو رفض الإفراج المبكر بموجب النظام القديم. وحتى قبل </w:t>
      </w:r>
      <w:r w:rsidRPr="00861AA2">
        <w:rPr>
          <w:rtl/>
        </w:rPr>
        <w:t>1</w:t>
      </w:r>
      <w:r>
        <w:rPr>
          <w:rtl/>
        </w:rPr>
        <w:t xml:space="preserve"> تموز/يوليه </w:t>
      </w:r>
      <w:r w:rsidRPr="00861AA2">
        <w:rPr>
          <w:rtl/>
        </w:rPr>
        <w:t>2008</w:t>
      </w:r>
      <w:r>
        <w:rPr>
          <w:rtl/>
        </w:rPr>
        <w:t>، كان من الممكن تأجيل الإفراج المبكر أو رفضه إذا أساء المدان السلوك بشكل جسيم - على سبيل المثال، بارتكاب جريمة خطيرة جديدة، كما حدث في هذه القضية. ولذلك، لم يتغير شيء بالنسبة لصاحب البلاغ بالمعنى المادي. ولا يستتبع فرض عقوبة معينة سالبة للحرية - ولم يسبق له أبدا</w:t>
      </w:r>
      <w:r w:rsidR="009B43D2">
        <w:rPr>
          <w:rFonts w:hint="cs"/>
          <w:rtl/>
        </w:rPr>
        <w:t>ً</w:t>
      </w:r>
      <w:r>
        <w:rPr>
          <w:rtl/>
        </w:rPr>
        <w:t xml:space="preserve"> أن استتبع - اليقين المطلق في قضاء فترة سجن أقصر أو الحق فيها في الممارسة العملية. وحتى قبل عام </w:t>
      </w:r>
      <w:r w:rsidRPr="00861AA2">
        <w:rPr>
          <w:rtl/>
        </w:rPr>
        <w:t>2008</w:t>
      </w:r>
      <w:r>
        <w:rPr>
          <w:rtl/>
        </w:rPr>
        <w:t>، لم يكن بإمكان المدانين أن يفترضوا دائما</w:t>
      </w:r>
      <w:r w:rsidR="009B43D2">
        <w:rPr>
          <w:rFonts w:hint="cs"/>
          <w:rtl/>
        </w:rPr>
        <w:t>ً</w:t>
      </w:r>
      <w:r>
        <w:rPr>
          <w:rtl/>
        </w:rPr>
        <w:t xml:space="preserve"> أن الثلث الأخير من أحكامهم لن ينفذ، بغض النظر عن الظروف.</w:t>
      </w:r>
    </w:p>
    <w:p w14:paraId="57DA8FC2" w14:textId="5AF12CFA" w:rsidR="002B2BA4" w:rsidRPr="007D723A" w:rsidRDefault="00B35E04" w:rsidP="00B35E04">
      <w:pPr>
        <w:pStyle w:val="SingleTxtGA"/>
        <w:rPr>
          <w:rStyle w:val="FootnoteReference"/>
          <w:rFonts w:cs="Times New Roman"/>
          <w:spacing w:val="2"/>
          <w:rtl/>
          <w:lang w:val="ar-SA" w:eastAsia="zh-TW"/>
        </w:rPr>
      </w:pPr>
      <w:r w:rsidRPr="007D723A">
        <w:rPr>
          <w:spacing w:val="2"/>
          <w:rtl/>
        </w:rPr>
        <w:lastRenderedPageBreak/>
        <w:t>4</w:t>
      </w:r>
      <w:r w:rsidRPr="007D723A">
        <w:rPr>
          <w:rFonts w:ascii="Simplified Arabic"/>
          <w:spacing w:val="2"/>
          <w:szCs w:val="20"/>
          <w:rtl/>
        </w:rPr>
        <w:t>-</w:t>
      </w:r>
      <w:r w:rsidRPr="007D723A">
        <w:rPr>
          <w:spacing w:val="2"/>
          <w:rtl/>
        </w:rPr>
        <w:t>19</w:t>
      </w:r>
      <w:r w:rsidRPr="007D723A">
        <w:rPr>
          <w:spacing w:val="2"/>
          <w:rtl/>
        </w:rPr>
        <w:tab/>
        <w:t>وبما أن النقطة التي كان يمكن عندها لصاحب البلاغ أن يكون مؤهلا</w:t>
      </w:r>
      <w:r w:rsidR="00B45B5F" w:rsidRPr="007D723A">
        <w:rPr>
          <w:rFonts w:hint="cs"/>
          <w:spacing w:val="2"/>
          <w:rtl/>
        </w:rPr>
        <w:t>ً</w:t>
      </w:r>
      <w:r w:rsidRPr="007D723A">
        <w:rPr>
          <w:spacing w:val="2"/>
          <w:rtl/>
        </w:rPr>
        <w:t xml:space="preserve"> للإفراج المبكر، لو ظل النظام القديم قائم</w:t>
      </w:r>
      <w:r w:rsidR="00FE7BF3" w:rsidRPr="007D723A">
        <w:rPr>
          <w:spacing w:val="2"/>
          <w:rtl/>
        </w:rPr>
        <w:t>اً،</w:t>
      </w:r>
      <w:r w:rsidRPr="007D723A">
        <w:rPr>
          <w:spacing w:val="2"/>
          <w:rtl/>
        </w:rPr>
        <w:t xml:space="preserve"> تقع بعد 1 تموز/يوليه 2013، فإن صاحب البلاغ يدخل في نطاق النظام الجديد (الحالي) للإفراج المشروط. ويتمثل جوهر التعديل التشريعي الذي دخل حيز النفاذ في 1 تموز/</w:t>
      </w:r>
      <w:r w:rsidR="00B45B5F" w:rsidRPr="007D723A">
        <w:rPr>
          <w:rFonts w:hint="cs"/>
          <w:spacing w:val="2"/>
          <w:rtl/>
        </w:rPr>
        <w:t xml:space="preserve"> </w:t>
      </w:r>
      <w:r w:rsidRPr="007D723A">
        <w:rPr>
          <w:spacing w:val="2"/>
          <w:rtl/>
        </w:rPr>
        <w:t>يوليه</w:t>
      </w:r>
      <w:r w:rsidR="00B45B5F" w:rsidRPr="007D723A">
        <w:rPr>
          <w:rFonts w:hint="cs"/>
          <w:spacing w:val="2"/>
          <w:rtl/>
        </w:rPr>
        <w:t> </w:t>
      </w:r>
      <w:r w:rsidRPr="007D723A">
        <w:rPr>
          <w:spacing w:val="2"/>
          <w:rtl/>
        </w:rPr>
        <w:t>2008 في أنه يمكن أيضا</w:t>
      </w:r>
      <w:r w:rsidR="00B45B5F" w:rsidRPr="007D723A">
        <w:rPr>
          <w:rFonts w:hint="cs"/>
          <w:spacing w:val="2"/>
          <w:rtl/>
        </w:rPr>
        <w:t>ً</w:t>
      </w:r>
      <w:r w:rsidRPr="007D723A">
        <w:rPr>
          <w:spacing w:val="2"/>
          <w:rtl/>
        </w:rPr>
        <w:t xml:space="preserve"> وضع شروط للإفراج المشروط، إضافة إلى إمكانية رفض الإفراج في النقطة ذات الصلة قبل نهاية العقوبة. ولم يفرج عن صاحب البلاغ من السجن في وقت مبكر، وبالتالي لم توضع شروط للإفراج المشروط عنه. وبدلا</w:t>
      </w:r>
      <w:r w:rsidR="00B45B5F" w:rsidRPr="007D723A">
        <w:rPr>
          <w:rFonts w:hint="cs"/>
          <w:spacing w:val="2"/>
          <w:rtl/>
        </w:rPr>
        <w:t>ً</w:t>
      </w:r>
      <w:r w:rsidRPr="007D723A">
        <w:rPr>
          <w:spacing w:val="2"/>
          <w:rtl/>
        </w:rPr>
        <w:t xml:space="preserve"> من ذلك، رفضت المحكمة الإفراج المشروط عن صاحب البلاغ لأنه ارتكب جريمة جنائية خطيرة مرة أخرى. وكما هو موضح، كانت هذه الإمكانية موجودة أيضا</w:t>
      </w:r>
      <w:r w:rsidR="00B45B5F" w:rsidRPr="007D723A">
        <w:rPr>
          <w:rFonts w:hint="cs"/>
          <w:spacing w:val="2"/>
          <w:rtl/>
        </w:rPr>
        <w:t>ً</w:t>
      </w:r>
      <w:r w:rsidRPr="007D723A">
        <w:rPr>
          <w:spacing w:val="2"/>
          <w:rtl/>
        </w:rPr>
        <w:t xml:space="preserve"> في ظل النظام القديم للإفراج المبكر. وكان سوء السلوك الجسيم لصاحب البلاغ نفسه هو السبب في عدم منحه الإفراج المشروط. وما كان هذا التقييم ليختلف في ظل النظام القديم. وللأسباب السالفة، لا يعد صاحب البلاغ ضحية بموجب المادة 26 من العهد. وعلى أي حال، لم يثبت صاحب البلاغ وجع التمييز في رفض الإفراج المشروط. ووفقا</w:t>
      </w:r>
      <w:r w:rsidR="00B45B5F" w:rsidRPr="007D723A">
        <w:rPr>
          <w:rFonts w:hint="cs"/>
          <w:spacing w:val="2"/>
          <w:rtl/>
        </w:rPr>
        <w:t>ً</w:t>
      </w:r>
      <w:r w:rsidRPr="007D723A">
        <w:rPr>
          <w:spacing w:val="2"/>
          <w:rtl/>
        </w:rPr>
        <w:t xml:space="preserve"> للاجتهادات السابقة للجنة، لا يمكن لأي شخص أن يدعي أنه ضحية، بالمعنى المقصود في المادة 1 من البروتوكول الاختياري، إلا إذا كان متضررا</w:t>
      </w:r>
      <w:r w:rsidR="002B72F7" w:rsidRPr="007D723A">
        <w:rPr>
          <w:rFonts w:hint="cs"/>
          <w:spacing w:val="2"/>
          <w:rtl/>
        </w:rPr>
        <w:t>ً</w:t>
      </w:r>
      <w:r w:rsidRPr="007D723A">
        <w:rPr>
          <w:spacing w:val="2"/>
          <w:rtl/>
        </w:rPr>
        <w:t xml:space="preserve"> فعلا</w:t>
      </w:r>
      <w:r w:rsidR="002B72F7" w:rsidRPr="007D723A">
        <w:rPr>
          <w:rFonts w:hint="cs"/>
          <w:spacing w:val="2"/>
          <w:rtl/>
        </w:rPr>
        <w:t>ً</w:t>
      </w:r>
      <w:r w:rsidRPr="007D723A">
        <w:rPr>
          <w:spacing w:val="2"/>
          <w:rtl/>
        </w:rPr>
        <w:t xml:space="preserve"> من الفعل المعني</w:t>
      </w:r>
      <w:r w:rsidR="002B2BA4" w:rsidRPr="007D723A">
        <w:rPr>
          <w:spacing w:val="2"/>
          <w:vertAlign w:val="superscript"/>
          <w:rtl/>
        </w:rPr>
        <w:t>(</w:t>
      </w:r>
      <w:r w:rsidR="002B2BA4" w:rsidRPr="007D723A">
        <w:rPr>
          <w:spacing w:val="2"/>
          <w:vertAlign w:val="superscript"/>
          <w:rtl/>
        </w:rPr>
        <w:footnoteReference w:id="16"/>
      </w:r>
      <w:r w:rsidR="002B2BA4" w:rsidRPr="007D723A">
        <w:rPr>
          <w:spacing w:val="2"/>
          <w:vertAlign w:val="superscript"/>
          <w:rtl/>
        </w:rPr>
        <w:t>)</w:t>
      </w:r>
      <w:r w:rsidR="002B2BA4" w:rsidRPr="007D723A">
        <w:rPr>
          <w:rFonts w:ascii="Simplified Arabic"/>
          <w:spacing w:val="2"/>
          <w:szCs w:val="20"/>
          <w:rtl/>
        </w:rPr>
        <w:t>.</w:t>
      </w:r>
      <w:r w:rsidR="002B2BA4" w:rsidRPr="007D723A">
        <w:rPr>
          <w:spacing w:val="2"/>
          <w:rtl/>
        </w:rPr>
        <w:t xml:space="preserve"> </w:t>
      </w:r>
      <w:r w:rsidRPr="007D723A">
        <w:rPr>
          <w:spacing w:val="2"/>
          <w:rtl/>
        </w:rPr>
        <w:t>وفي هذا البلاغ، يطعن صاحب البلاغ بشكل تجريدي في قانون من القوانين من دون أن يوضح سبب اعتباره ضحية لتغيير القانون. وعليه، فإن هذا الجزء من البلاغ غير مقبول عملاً بالمادة 1 من البروتوكول الاختياري</w:t>
      </w:r>
      <w:r w:rsidR="002B2BA4" w:rsidRPr="007D723A">
        <w:rPr>
          <w:spacing w:val="2"/>
          <w:vertAlign w:val="superscript"/>
          <w:rtl/>
        </w:rPr>
        <w:t>(</w:t>
      </w:r>
      <w:r w:rsidR="002B2BA4" w:rsidRPr="007D723A">
        <w:rPr>
          <w:spacing w:val="2"/>
          <w:vertAlign w:val="superscript"/>
          <w:rtl/>
        </w:rPr>
        <w:footnoteReference w:id="17"/>
      </w:r>
      <w:r w:rsidR="002B2BA4" w:rsidRPr="007D723A">
        <w:rPr>
          <w:spacing w:val="2"/>
          <w:vertAlign w:val="superscript"/>
          <w:rtl/>
        </w:rPr>
        <w:t>)</w:t>
      </w:r>
      <w:r w:rsidR="002B2BA4" w:rsidRPr="007D723A">
        <w:rPr>
          <w:spacing w:val="2"/>
          <w:rtl/>
        </w:rPr>
        <w:t>.</w:t>
      </w:r>
    </w:p>
    <w:p w14:paraId="6EEC7553" w14:textId="49484AC1" w:rsidR="00B35E04" w:rsidRPr="00FB7E0F" w:rsidRDefault="00B35E04" w:rsidP="00B35E04">
      <w:pPr>
        <w:pStyle w:val="SingleTxtGA"/>
        <w:rPr>
          <w:rFonts w:cs="Times New Roman"/>
          <w:szCs w:val="20"/>
          <w:rtl/>
          <w:lang w:val="ar-SA" w:eastAsia="zh-TW"/>
        </w:rPr>
      </w:pPr>
      <w:r w:rsidRPr="00861AA2">
        <w:rPr>
          <w:rtl/>
        </w:rPr>
        <w:t>4</w:t>
      </w:r>
      <w:r>
        <w:rPr>
          <w:rFonts w:ascii="Simplified Arabic"/>
          <w:szCs w:val="20"/>
          <w:rtl/>
        </w:rPr>
        <w:t>-</w:t>
      </w:r>
      <w:r w:rsidRPr="00861AA2">
        <w:rPr>
          <w:rtl/>
        </w:rPr>
        <w:t>20</w:t>
      </w:r>
      <w:r>
        <w:rPr>
          <w:rtl/>
        </w:rPr>
        <w:tab/>
        <w:t xml:space="preserve">وتخلص الدولة الطرف إلى أنه ينبغي اعتبار هذا البلاغ غير مقبول بموجب المواد </w:t>
      </w:r>
      <w:r w:rsidRPr="00861AA2">
        <w:rPr>
          <w:rtl/>
        </w:rPr>
        <w:t>1</w:t>
      </w:r>
      <w:r>
        <w:rPr>
          <w:rtl/>
        </w:rPr>
        <w:t>، و</w:t>
      </w:r>
      <w:r w:rsidRPr="00861AA2">
        <w:rPr>
          <w:rtl/>
        </w:rPr>
        <w:t>3</w:t>
      </w:r>
      <w:r>
        <w:rPr>
          <w:rtl/>
        </w:rPr>
        <w:t>، و</w:t>
      </w:r>
      <w:r w:rsidRPr="00861AA2">
        <w:rPr>
          <w:rtl/>
        </w:rPr>
        <w:t>5</w:t>
      </w:r>
      <w:r>
        <w:rPr>
          <w:rFonts w:ascii="Simplified Arabic"/>
          <w:szCs w:val="20"/>
          <w:rtl/>
        </w:rPr>
        <w:t>(</w:t>
      </w:r>
      <w:r w:rsidRPr="00861AA2">
        <w:rPr>
          <w:rtl/>
        </w:rPr>
        <w:t>2</w:t>
      </w:r>
      <w:r>
        <w:rPr>
          <w:rFonts w:ascii="Simplified Arabic"/>
          <w:szCs w:val="20"/>
          <w:rtl/>
        </w:rPr>
        <w:t>)(</w:t>
      </w:r>
      <w:r>
        <w:rPr>
          <w:rtl/>
        </w:rPr>
        <w:t>ب</w:t>
      </w:r>
      <w:r>
        <w:rPr>
          <w:rFonts w:ascii="Simplified Arabic"/>
          <w:szCs w:val="20"/>
          <w:rtl/>
        </w:rPr>
        <w:t>)</w:t>
      </w:r>
      <w:r>
        <w:rPr>
          <w:rtl/>
        </w:rPr>
        <w:t xml:space="preserve"> من البروتوكول الاختياري. وفي حالة عدم قبول اللجنة لهذا الرأي، ترى الدولة الطرف أنه لم يحدث أي انتهاك للمواد </w:t>
      </w:r>
      <w:r w:rsidRPr="00861AA2">
        <w:rPr>
          <w:rtl/>
        </w:rPr>
        <w:t>14</w:t>
      </w:r>
      <w:r>
        <w:rPr>
          <w:rFonts w:ascii="Simplified Arabic"/>
          <w:szCs w:val="20"/>
          <w:rtl/>
        </w:rPr>
        <w:t>(</w:t>
      </w:r>
      <w:r w:rsidRPr="00861AA2">
        <w:rPr>
          <w:rtl/>
        </w:rPr>
        <w:t>5</w:t>
      </w:r>
      <w:r w:rsidR="002B2BA4" w:rsidRPr="002B2BA4">
        <w:rPr>
          <w:rFonts w:ascii="Simplified Arabic"/>
          <w:szCs w:val="20"/>
          <w:rtl/>
        </w:rPr>
        <w:t>)</w:t>
      </w:r>
      <w:r w:rsidR="002B2BA4" w:rsidRPr="002B2BA4">
        <w:rPr>
          <w:rtl/>
        </w:rPr>
        <w:t xml:space="preserve">، </w:t>
      </w:r>
      <w:r>
        <w:rPr>
          <w:rtl/>
        </w:rPr>
        <w:t xml:space="preserve">أو </w:t>
      </w:r>
      <w:r w:rsidRPr="00861AA2">
        <w:rPr>
          <w:rtl/>
        </w:rPr>
        <w:t>15</w:t>
      </w:r>
      <w:r>
        <w:rPr>
          <w:rFonts w:ascii="Simplified Arabic"/>
          <w:szCs w:val="20"/>
          <w:rtl/>
        </w:rPr>
        <w:t>(</w:t>
      </w:r>
      <w:r w:rsidRPr="00861AA2">
        <w:rPr>
          <w:rtl/>
        </w:rPr>
        <w:t>1</w:t>
      </w:r>
      <w:r w:rsidR="002B2BA4" w:rsidRPr="002B2BA4">
        <w:rPr>
          <w:rFonts w:ascii="Simplified Arabic"/>
          <w:szCs w:val="20"/>
          <w:rtl/>
        </w:rPr>
        <w:t>)</w:t>
      </w:r>
      <w:r w:rsidR="002B2BA4" w:rsidRPr="002B2BA4">
        <w:rPr>
          <w:rtl/>
        </w:rPr>
        <w:t xml:space="preserve">، </w:t>
      </w:r>
      <w:r>
        <w:rPr>
          <w:rtl/>
        </w:rPr>
        <w:t xml:space="preserve">أو </w:t>
      </w:r>
      <w:r w:rsidRPr="00861AA2">
        <w:rPr>
          <w:rtl/>
        </w:rPr>
        <w:t>26</w:t>
      </w:r>
      <w:r>
        <w:rPr>
          <w:rtl/>
        </w:rPr>
        <w:t xml:space="preserve"> من العهد، وأنه ينبغي رفض البلاغ برمته لأنه لا أساس له من الصحة. </w:t>
      </w:r>
    </w:p>
    <w:p w14:paraId="005DEFA3" w14:textId="77777777" w:rsidR="00B35E04" w:rsidRPr="00FB7E0F" w:rsidRDefault="00B35E04" w:rsidP="00B35E04">
      <w:pPr>
        <w:pStyle w:val="H23GA"/>
        <w:rPr>
          <w:rFonts w:cs="Times New Roman"/>
          <w:szCs w:val="20"/>
          <w:rtl/>
          <w:lang w:val="ar-SA" w:eastAsia="zh-TW"/>
        </w:rPr>
      </w:pPr>
      <w:r>
        <w:rPr>
          <w:rtl/>
        </w:rPr>
        <w:tab/>
      </w:r>
      <w:r>
        <w:rPr>
          <w:rtl/>
        </w:rPr>
        <w:tab/>
        <w:t>تعليقات صاحب البلاغ وملاحظات الدولة الطرف بشأن مقبولية البلاغ وأسسه الموضوعية</w:t>
      </w:r>
    </w:p>
    <w:p w14:paraId="2EBEE4B5" w14:textId="7D4B6EFA" w:rsidR="00B35E04" w:rsidRPr="00FB7E0F" w:rsidRDefault="00B35E04" w:rsidP="00B35E04">
      <w:pPr>
        <w:pStyle w:val="SingleTxtGA"/>
        <w:rPr>
          <w:rFonts w:cs="Times New Roman"/>
          <w:szCs w:val="20"/>
          <w:rtl/>
          <w:lang w:val="ar-SA" w:eastAsia="zh-TW"/>
        </w:rPr>
      </w:pPr>
      <w:r w:rsidRPr="00516A07">
        <w:rPr>
          <w:spacing w:val="-4"/>
          <w:rtl/>
        </w:rPr>
        <w:t>5</w:t>
      </w:r>
      <w:r w:rsidRPr="00516A07">
        <w:rPr>
          <w:rFonts w:ascii="Simplified Arabic"/>
          <w:spacing w:val="-4"/>
          <w:szCs w:val="20"/>
          <w:rtl/>
        </w:rPr>
        <w:t>-</w:t>
      </w:r>
      <w:r w:rsidRPr="00516A07">
        <w:rPr>
          <w:spacing w:val="-4"/>
          <w:rtl/>
        </w:rPr>
        <w:t>1</w:t>
      </w:r>
      <w:r w:rsidRPr="00516A07">
        <w:rPr>
          <w:spacing w:val="-4"/>
          <w:rtl/>
        </w:rPr>
        <w:tab/>
        <w:t>في 3 شباط/فبراير 2021، قدم صاحب البلاغ تعليقاته على ملاحظات الدولة الطرف المؤرخة 11</w:t>
      </w:r>
      <w:r>
        <w:rPr>
          <w:rtl/>
        </w:rPr>
        <w:t xml:space="preserve"> كانون الأول/ديسمبر </w:t>
      </w:r>
      <w:r w:rsidRPr="00861AA2">
        <w:rPr>
          <w:rtl/>
        </w:rPr>
        <w:t>201</w:t>
      </w:r>
      <w:r w:rsidR="002B2BA4" w:rsidRPr="002B2BA4">
        <w:rPr>
          <w:rtl/>
        </w:rPr>
        <w:t>7</w:t>
      </w:r>
      <w:r w:rsidR="002B2BA4" w:rsidRPr="002B2BA4">
        <w:rPr>
          <w:rFonts w:ascii="Simplified Arabic"/>
          <w:szCs w:val="20"/>
          <w:rtl/>
        </w:rPr>
        <w:t>.</w:t>
      </w:r>
      <w:r w:rsidR="002B2BA4" w:rsidRPr="002B2BA4">
        <w:rPr>
          <w:rtl/>
        </w:rPr>
        <w:t xml:space="preserve"> </w:t>
      </w:r>
    </w:p>
    <w:p w14:paraId="6C58B8D6" w14:textId="77777777" w:rsidR="00B35E04" w:rsidRPr="00FB7E0F" w:rsidRDefault="00B35E04" w:rsidP="00B35E04">
      <w:pPr>
        <w:pStyle w:val="SingleTxtGA"/>
        <w:rPr>
          <w:rFonts w:cs="Times New Roman"/>
          <w:szCs w:val="20"/>
          <w:rtl/>
          <w:lang w:val="ar-SA" w:eastAsia="zh-TW"/>
        </w:rPr>
      </w:pPr>
      <w:r w:rsidRPr="00861AA2">
        <w:rPr>
          <w:rtl/>
        </w:rPr>
        <w:t>5</w:t>
      </w:r>
      <w:r>
        <w:rPr>
          <w:rFonts w:ascii="Simplified Arabic"/>
          <w:szCs w:val="20"/>
          <w:rtl/>
        </w:rPr>
        <w:t>-</w:t>
      </w:r>
      <w:r w:rsidRPr="00861AA2">
        <w:rPr>
          <w:rtl/>
        </w:rPr>
        <w:t>2</w:t>
      </w:r>
      <w:r>
        <w:rPr>
          <w:rtl/>
        </w:rPr>
        <w:tab/>
        <w:t>وفي حين ترى الدولة الطرف أن صاحب البلاغ لم يستنفد جميع سبل الانتصاف المحلية لأنه لم يشتك إلى محكمة مقاطعة لاهاي بشأن انتهاكات العهد، فهو يجادل بأنه لم تكن هناك سبل انتصاف محلية أخرى متاحة. ومن ثم ينبغي إعلان مقبولية البلاغ.</w:t>
      </w:r>
    </w:p>
    <w:p w14:paraId="22B7E41A" w14:textId="1ADE211A" w:rsidR="00B35E04" w:rsidRPr="0047348A" w:rsidRDefault="00B35E04" w:rsidP="00B35E04">
      <w:pPr>
        <w:pStyle w:val="SingleTxtGA"/>
        <w:rPr>
          <w:rFonts w:cs="Times New Roman"/>
          <w:spacing w:val="2"/>
          <w:szCs w:val="20"/>
          <w:rtl/>
          <w:lang w:val="ar-SA" w:eastAsia="zh-TW"/>
        </w:rPr>
      </w:pPr>
      <w:r w:rsidRPr="0047348A">
        <w:rPr>
          <w:spacing w:val="2"/>
          <w:rtl/>
        </w:rPr>
        <w:t>5</w:t>
      </w:r>
      <w:r w:rsidRPr="0047348A">
        <w:rPr>
          <w:rFonts w:ascii="Simplified Arabic"/>
          <w:spacing w:val="2"/>
          <w:szCs w:val="20"/>
          <w:rtl/>
        </w:rPr>
        <w:t>-</w:t>
      </w:r>
      <w:r w:rsidRPr="0047348A">
        <w:rPr>
          <w:spacing w:val="2"/>
          <w:rtl/>
        </w:rPr>
        <w:t>3</w:t>
      </w:r>
      <w:r w:rsidRPr="0047348A">
        <w:rPr>
          <w:spacing w:val="2"/>
          <w:rtl/>
        </w:rPr>
        <w:tab/>
        <w:t>ويعترف صاحب البلاغ بأنه لم يدع حدوث انتهاك للعهد أثناء الإجراءات أمام محكمة مقاطعة لاهاي. غير أن محاكم متعددة في هولندا، بما فيها محكمة مقاطعة لاهاي، اعتبرت سلفا</w:t>
      </w:r>
      <w:r w:rsidR="002B72F7" w:rsidRPr="0047348A">
        <w:rPr>
          <w:rFonts w:hint="cs"/>
          <w:spacing w:val="2"/>
          <w:rtl/>
        </w:rPr>
        <w:t>ً</w:t>
      </w:r>
      <w:r w:rsidRPr="0047348A">
        <w:rPr>
          <w:spacing w:val="2"/>
          <w:rtl/>
        </w:rPr>
        <w:t xml:space="preserve"> أن النظام الجديد للإفراج المشروط، الذي بدأ العمل به في 1 تموز/يوليه 2008، لا ينتهك المادة 7 من الاتفاقية </w:t>
      </w:r>
      <w:r w:rsidRPr="0047348A">
        <w:rPr>
          <w:rtl/>
        </w:rPr>
        <w:t>الأوروبية لحقوق الإنسان، التي تكفل، إلى حد ما، نفس الحقوق الأساسية المنصوص عليها في المادة 15</w:t>
      </w:r>
      <w:r w:rsidRPr="0047348A">
        <w:rPr>
          <w:spacing w:val="2"/>
          <w:rtl/>
        </w:rPr>
        <w:t xml:space="preserve"> من العهد</w:t>
      </w:r>
      <w:r w:rsidR="002B2BA4" w:rsidRPr="0047348A">
        <w:rPr>
          <w:spacing w:val="2"/>
          <w:vertAlign w:val="superscript"/>
          <w:rtl/>
        </w:rPr>
        <w:t>(</w:t>
      </w:r>
      <w:r w:rsidR="002B2BA4" w:rsidRPr="0047348A">
        <w:rPr>
          <w:spacing w:val="2"/>
          <w:vertAlign w:val="superscript"/>
          <w:rtl/>
        </w:rPr>
        <w:footnoteReference w:id="18"/>
      </w:r>
      <w:r w:rsidR="002B2BA4" w:rsidRPr="0047348A">
        <w:rPr>
          <w:spacing w:val="2"/>
          <w:vertAlign w:val="superscript"/>
          <w:rtl/>
        </w:rPr>
        <w:t>)</w:t>
      </w:r>
      <w:r w:rsidR="002B2BA4" w:rsidRPr="0047348A">
        <w:rPr>
          <w:rFonts w:ascii="Simplified Arabic"/>
          <w:spacing w:val="2"/>
          <w:szCs w:val="20"/>
          <w:rtl/>
        </w:rPr>
        <w:t>.</w:t>
      </w:r>
      <w:r w:rsidR="002B2BA4" w:rsidRPr="0047348A">
        <w:rPr>
          <w:spacing w:val="2"/>
          <w:rtl/>
        </w:rPr>
        <w:t xml:space="preserve"> </w:t>
      </w:r>
    </w:p>
    <w:p w14:paraId="03B684C1" w14:textId="4225B7DB" w:rsidR="00B35E04" w:rsidRPr="00FB7E0F" w:rsidRDefault="00B35E04" w:rsidP="00B35E04">
      <w:pPr>
        <w:pStyle w:val="SingleTxtGA"/>
        <w:rPr>
          <w:rFonts w:cs="Times New Roman"/>
          <w:szCs w:val="20"/>
          <w:rtl/>
          <w:lang w:val="ar-SA" w:eastAsia="zh-TW"/>
        </w:rPr>
      </w:pPr>
      <w:r w:rsidRPr="00861AA2">
        <w:rPr>
          <w:rtl/>
        </w:rPr>
        <w:lastRenderedPageBreak/>
        <w:t>5</w:t>
      </w:r>
      <w:r>
        <w:rPr>
          <w:rFonts w:ascii="Simplified Arabic"/>
          <w:szCs w:val="20"/>
          <w:rtl/>
        </w:rPr>
        <w:t>-</w:t>
      </w:r>
      <w:r w:rsidRPr="00861AA2">
        <w:rPr>
          <w:rtl/>
        </w:rPr>
        <w:t>4</w:t>
      </w:r>
      <w:r>
        <w:rPr>
          <w:rtl/>
        </w:rPr>
        <w:tab/>
        <w:t>وفي ظل هذه الظروف، لا يمكن القول بأن الإجراء المعروض على محكمة مقاطعة لاهاي يمثل سبيل انتصاف فعالا</w:t>
      </w:r>
      <w:r w:rsidR="002B72F7">
        <w:rPr>
          <w:rFonts w:hint="cs"/>
          <w:rtl/>
        </w:rPr>
        <w:t>ً</w:t>
      </w:r>
      <w:r>
        <w:rPr>
          <w:rtl/>
        </w:rPr>
        <w:t xml:space="preserve"> في قضية صاحب البلاغ، على الأقل فيما يتعلق بانتهاك المادة </w:t>
      </w:r>
      <w:r w:rsidRPr="00861AA2">
        <w:rPr>
          <w:rtl/>
        </w:rPr>
        <w:t>15</w:t>
      </w:r>
      <w:r>
        <w:rPr>
          <w:rtl/>
        </w:rPr>
        <w:t xml:space="preserve"> من العهد. </w:t>
      </w:r>
    </w:p>
    <w:p w14:paraId="0C0F8249" w14:textId="5F8C3291" w:rsidR="00B35E04" w:rsidRPr="00FB7E0F" w:rsidRDefault="00B35E04" w:rsidP="00B35E04">
      <w:pPr>
        <w:pStyle w:val="SingleTxtGA"/>
        <w:rPr>
          <w:rFonts w:cs="Times New Roman"/>
          <w:szCs w:val="20"/>
          <w:rtl/>
          <w:lang w:val="ar-SA" w:eastAsia="zh-TW"/>
        </w:rPr>
      </w:pPr>
      <w:r w:rsidRPr="00861AA2">
        <w:rPr>
          <w:rtl/>
        </w:rPr>
        <w:t>5</w:t>
      </w:r>
      <w:r>
        <w:rPr>
          <w:rFonts w:ascii="Simplified Arabic"/>
          <w:szCs w:val="20"/>
          <w:rtl/>
        </w:rPr>
        <w:t>-</w:t>
      </w:r>
      <w:r w:rsidRPr="00861AA2">
        <w:rPr>
          <w:rtl/>
        </w:rPr>
        <w:t>5</w:t>
      </w:r>
      <w:r>
        <w:rPr>
          <w:rtl/>
        </w:rPr>
        <w:tab/>
        <w:t>وأخيرا</w:t>
      </w:r>
      <w:r w:rsidR="0092400A">
        <w:rPr>
          <w:rFonts w:hint="cs"/>
          <w:rtl/>
        </w:rPr>
        <w:t>ً</w:t>
      </w:r>
      <w:r>
        <w:rPr>
          <w:rtl/>
        </w:rPr>
        <w:t>، لم يتسن لصاحب البلاغ أن يقدم شكوى إلى محكمة مقاطعة لاهاي بشأن انتهاك المادة</w:t>
      </w:r>
      <w:r w:rsidR="0092400A">
        <w:rPr>
          <w:rFonts w:hint="cs"/>
          <w:rtl/>
        </w:rPr>
        <w:t> </w:t>
      </w:r>
      <w:r w:rsidRPr="00861AA2">
        <w:rPr>
          <w:rtl/>
        </w:rPr>
        <w:t>14</w:t>
      </w:r>
      <w:r>
        <w:rPr>
          <w:rFonts w:ascii="Simplified Arabic"/>
          <w:szCs w:val="20"/>
          <w:rtl/>
        </w:rPr>
        <w:t>(</w:t>
      </w:r>
      <w:r w:rsidR="002B2BA4" w:rsidRPr="002B2BA4">
        <w:rPr>
          <w:rtl/>
        </w:rPr>
        <w:t>5</w:t>
      </w:r>
      <w:r w:rsidR="002B2BA4" w:rsidRPr="002B2BA4">
        <w:rPr>
          <w:rFonts w:ascii="Simplified Arabic"/>
          <w:szCs w:val="20"/>
          <w:rtl/>
        </w:rPr>
        <w:t>)</w:t>
      </w:r>
      <w:r w:rsidR="002B2BA4" w:rsidRPr="002B2BA4">
        <w:rPr>
          <w:rtl/>
        </w:rPr>
        <w:t xml:space="preserve"> </w:t>
      </w:r>
      <w:r>
        <w:rPr>
          <w:rtl/>
        </w:rPr>
        <w:t xml:space="preserve">من العهد، لأن هذه المحكمة لا تستطيع أن تعالج عدم قيام محكمة أعلى بالمراجعة. ويصر صاحب البلاغ على الادعاءات المقدمة في رسالته الأولى المؤرخة </w:t>
      </w:r>
      <w:r w:rsidRPr="00861AA2">
        <w:rPr>
          <w:rtl/>
        </w:rPr>
        <w:t>22</w:t>
      </w:r>
      <w:r>
        <w:rPr>
          <w:rtl/>
        </w:rPr>
        <w:t xml:space="preserve"> أيار/مايو </w:t>
      </w:r>
      <w:r w:rsidRPr="00861AA2">
        <w:rPr>
          <w:rtl/>
        </w:rPr>
        <w:t>201</w:t>
      </w:r>
      <w:r w:rsidR="002B2BA4" w:rsidRPr="002B2BA4">
        <w:rPr>
          <w:rtl/>
        </w:rPr>
        <w:t>7</w:t>
      </w:r>
      <w:r w:rsidR="002B2BA4" w:rsidRPr="002B2BA4">
        <w:rPr>
          <w:rFonts w:ascii="Simplified Arabic"/>
          <w:szCs w:val="20"/>
          <w:rtl/>
        </w:rPr>
        <w:t>.</w:t>
      </w:r>
      <w:r w:rsidR="002B2BA4" w:rsidRPr="002B2BA4">
        <w:rPr>
          <w:rtl/>
        </w:rPr>
        <w:t xml:space="preserve"> </w:t>
      </w:r>
    </w:p>
    <w:p w14:paraId="4A05D767" w14:textId="59285472" w:rsidR="00B35E04" w:rsidRPr="00FB7E0F" w:rsidRDefault="00B35E04" w:rsidP="00B35E04">
      <w:pPr>
        <w:pStyle w:val="H23GA"/>
        <w:rPr>
          <w:rFonts w:cs="Times New Roman"/>
          <w:szCs w:val="20"/>
          <w:rtl/>
          <w:lang w:val="ar-SA" w:eastAsia="zh-TW"/>
        </w:rPr>
      </w:pPr>
      <w:r>
        <w:rPr>
          <w:rtl/>
        </w:rPr>
        <w:tab/>
      </w:r>
      <w:r>
        <w:rPr>
          <w:rtl/>
        </w:rPr>
        <w:tab/>
        <w:t>المسائل والإجراءات المعروضة على اللجنة</w:t>
      </w:r>
    </w:p>
    <w:p w14:paraId="5D255CB0" w14:textId="77777777" w:rsidR="00B35E04" w:rsidRPr="00FB7E0F" w:rsidRDefault="00B35E04" w:rsidP="00B35E04">
      <w:pPr>
        <w:pStyle w:val="H4GA"/>
        <w:rPr>
          <w:rFonts w:cs="Times New Roman"/>
          <w:szCs w:val="20"/>
          <w:rtl/>
          <w:lang w:val="ar-SA" w:eastAsia="zh-TW"/>
        </w:rPr>
      </w:pPr>
      <w:r>
        <w:rPr>
          <w:rtl/>
        </w:rPr>
        <w:tab/>
      </w:r>
      <w:r>
        <w:rPr>
          <w:rtl/>
        </w:rPr>
        <w:tab/>
        <w:t>النظر في المقبولية</w:t>
      </w:r>
    </w:p>
    <w:p w14:paraId="7D61B6B5" w14:textId="77777777" w:rsidR="00B35E04" w:rsidRPr="00FB7E0F" w:rsidRDefault="00B35E04" w:rsidP="00B35E04">
      <w:pPr>
        <w:pStyle w:val="SingleTxtGA"/>
        <w:rPr>
          <w:rFonts w:cs="Times New Roman"/>
          <w:szCs w:val="20"/>
          <w:rtl/>
          <w:lang w:val="ar-SA" w:eastAsia="zh-TW"/>
        </w:rPr>
      </w:pPr>
      <w:r w:rsidRPr="00861AA2">
        <w:rPr>
          <w:rtl/>
        </w:rPr>
        <w:t>6</w:t>
      </w:r>
      <w:r>
        <w:rPr>
          <w:rFonts w:ascii="Simplified Arabic"/>
          <w:szCs w:val="20"/>
          <w:rtl/>
        </w:rPr>
        <w:t>-</w:t>
      </w:r>
      <w:r w:rsidRPr="00861AA2">
        <w:rPr>
          <w:rtl/>
        </w:rPr>
        <w:t>1</w:t>
      </w:r>
      <w:r>
        <w:rPr>
          <w:rtl/>
        </w:rPr>
        <w:tab/>
        <w:t xml:space="preserve">قبل النظر في أي ادعاءات ترد في بلاغ ما، يجب على اللجنة أن تقرر، وفقاً للمادة </w:t>
      </w:r>
      <w:r w:rsidRPr="00861AA2">
        <w:rPr>
          <w:rtl/>
        </w:rPr>
        <w:t>97</w:t>
      </w:r>
      <w:r>
        <w:rPr>
          <w:rtl/>
        </w:rPr>
        <w:t xml:space="preserve"> من نظامها الداخلي، ما إذا كان البلاغ مقبولاً أم لا بموجب البروتوكول الاختياري.</w:t>
      </w:r>
    </w:p>
    <w:p w14:paraId="28AB37BD" w14:textId="1D8A5A0D" w:rsidR="00B35E04" w:rsidRPr="000D1892" w:rsidRDefault="00B35E04" w:rsidP="00B35E04">
      <w:pPr>
        <w:pStyle w:val="SingleTxtGA"/>
        <w:rPr>
          <w:rFonts w:cs="Times New Roman"/>
          <w:rtl/>
          <w:lang w:val="ar-SA" w:eastAsia="zh-TW"/>
        </w:rPr>
      </w:pPr>
      <w:r w:rsidRPr="000D1892">
        <w:rPr>
          <w:rtl/>
        </w:rPr>
        <w:t>6</w:t>
      </w:r>
      <w:r w:rsidRPr="000D1892">
        <w:rPr>
          <w:rFonts w:ascii="Simplified Arabic"/>
          <w:rtl/>
        </w:rPr>
        <w:t>-</w:t>
      </w:r>
      <w:r w:rsidRPr="000D1892">
        <w:rPr>
          <w:rtl/>
        </w:rPr>
        <w:t>2</w:t>
      </w:r>
      <w:r w:rsidRPr="000D1892">
        <w:rPr>
          <w:rtl/>
        </w:rPr>
        <w:tab/>
        <w:t>وقد تحقَّقت اللجنة، على النحو المطلوب بموجب المادة 5</w:t>
      </w:r>
      <w:r w:rsidRPr="000D1892">
        <w:rPr>
          <w:rFonts w:ascii="Simplified Arabic"/>
          <w:rtl/>
        </w:rPr>
        <w:t>(</w:t>
      </w:r>
      <w:r w:rsidRPr="000D1892">
        <w:rPr>
          <w:rtl/>
        </w:rPr>
        <w:t>2</w:t>
      </w:r>
      <w:r w:rsidRPr="000D1892">
        <w:rPr>
          <w:rFonts w:ascii="Simplified Arabic"/>
          <w:rtl/>
        </w:rPr>
        <w:t>)(</w:t>
      </w:r>
      <w:r w:rsidRPr="000D1892">
        <w:rPr>
          <w:rtl/>
        </w:rPr>
        <w:t>أ</w:t>
      </w:r>
      <w:r w:rsidRPr="000D1892">
        <w:rPr>
          <w:rFonts w:ascii="Simplified Arabic"/>
          <w:rtl/>
        </w:rPr>
        <w:t>)</w:t>
      </w:r>
      <w:r w:rsidRPr="000D1892">
        <w:rPr>
          <w:rtl/>
        </w:rPr>
        <w:t xml:space="preserve"> من البروتوكول الاختياري، من أن المسألة نفسها ليست قيد البحث بموجب إجراء آخر من إجراءات التحقيق الدولي أو التسوية الدولية.</w:t>
      </w:r>
    </w:p>
    <w:p w14:paraId="4B861C69" w14:textId="209D1812" w:rsidR="00B35E04" w:rsidRPr="00E87B23" w:rsidRDefault="00B35E04" w:rsidP="00B35E04">
      <w:pPr>
        <w:pStyle w:val="SingleTxtGA"/>
        <w:rPr>
          <w:rFonts w:cs="Times New Roman"/>
          <w:rtl/>
          <w:lang w:val="ar-SA" w:eastAsia="zh-TW"/>
        </w:rPr>
      </w:pPr>
      <w:r w:rsidRPr="00E87B23">
        <w:rPr>
          <w:rtl/>
        </w:rPr>
        <w:t>6</w:t>
      </w:r>
      <w:r w:rsidRPr="00E87B23">
        <w:rPr>
          <w:rFonts w:ascii="Simplified Arabic"/>
          <w:rtl/>
        </w:rPr>
        <w:t>-</w:t>
      </w:r>
      <w:r w:rsidRPr="00E87B23">
        <w:rPr>
          <w:rtl/>
        </w:rPr>
        <w:t>3</w:t>
      </w:r>
      <w:r w:rsidRPr="00E87B23">
        <w:rPr>
          <w:rtl/>
        </w:rPr>
        <w:tab/>
        <w:t>وتشير الدولة الطرف إلى اجتهاداتها السابقة التي جاء فيها أنه يجب على أصحاب البلاغات بذل العناية الواجبة بحثا</w:t>
      </w:r>
      <w:r w:rsidR="002B72F7" w:rsidRPr="00E87B23">
        <w:rPr>
          <w:rFonts w:hint="cs"/>
          <w:rtl/>
        </w:rPr>
        <w:t>ً</w:t>
      </w:r>
      <w:r w:rsidRPr="00E87B23">
        <w:rPr>
          <w:rtl/>
        </w:rPr>
        <w:t xml:space="preserve"> عن سبل الانتصاف المتاحة، حتى لو انتفى واجب استنفاد سبل الانتصاف المحلية عندما لا يكون ثمة حظ في نجاحها، وأن مجرد وجود شكوك أو افتراضات بشأن فعالية سبل الانتصاف المحلية لا تعفي أصحاب البلاغ من استنفادها</w:t>
      </w:r>
      <w:r w:rsidR="002B2BA4" w:rsidRPr="00E87B23">
        <w:rPr>
          <w:vertAlign w:val="superscript"/>
          <w:rtl/>
        </w:rPr>
        <w:t>(</w:t>
      </w:r>
      <w:r w:rsidR="002B2BA4" w:rsidRPr="00E87B23">
        <w:rPr>
          <w:vertAlign w:val="superscript"/>
          <w:rtl/>
        </w:rPr>
        <w:footnoteReference w:id="19"/>
      </w:r>
      <w:r w:rsidR="002B2BA4" w:rsidRPr="00E87B23">
        <w:rPr>
          <w:vertAlign w:val="superscript"/>
          <w:rtl/>
        </w:rPr>
        <w:t>)</w:t>
      </w:r>
      <w:r w:rsidR="002B2BA4" w:rsidRPr="00E87B23">
        <w:rPr>
          <w:rFonts w:ascii="Simplified Arabic"/>
          <w:rtl/>
        </w:rPr>
        <w:t>.</w:t>
      </w:r>
      <w:r w:rsidR="002B2BA4" w:rsidRPr="00E87B23">
        <w:rPr>
          <w:rtl/>
        </w:rPr>
        <w:t xml:space="preserve"> </w:t>
      </w:r>
      <w:r w:rsidRPr="00E87B23">
        <w:rPr>
          <w:rtl/>
        </w:rPr>
        <w:t>وتشير اللجنة إلى موقف الدولة الطرف بأن صاحب البلاغ لم يستنفد سبل الانتصاف المحلية، على نحو ما تقضيه المادة 5</w:t>
      </w:r>
      <w:r w:rsidRPr="00E87B23">
        <w:rPr>
          <w:rFonts w:ascii="Simplified Arabic"/>
          <w:rtl/>
        </w:rPr>
        <w:t>(</w:t>
      </w:r>
      <w:r w:rsidRPr="00E87B23">
        <w:rPr>
          <w:rtl/>
        </w:rPr>
        <w:t>2</w:t>
      </w:r>
      <w:r w:rsidRPr="00E87B23">
        <w:rPr>
          <w:rFonts w:ascii="Simplified Arabic"/>
          <w:rtl/>
        </w:rPr>
        <w:t>)(</w:t>
      </w:r>
      <w:r w:rsidRPr="00E87B23">
        <w:rPr>
          <w:rtl/>
        </w:rPr>
        <w:t>ب</w:t>
      </w:r>
      <w:r w:rsidRPr="00E87B23">
        <w:rPr>
          <w:rFonts w:ascii="Simplified Arabic"/>
          <w:rtl/>
        </w:rPr>
        <w:t>)</w:t>
      </w:r>
      <w:r w:rsidRPr="00E87B23">
        <w:rPr>
          <w:rtl/>
        </w:rPr>
        <w:t xml:space="preserve"> من البروتوكول الاختياري. وتشير أيضا</w:t>
      </w:r>
      <w:r w:rsidR="002B72F7" w:rsidRPr="00E87B23">
        <w:rPr>
          <w:rFonts w:hint="cs"/>
          <w:rtl/>
        </w:rPr>
        <w:t>ً</w:t>
      </w:r>
      <w:r w:rsidRPr="00E87B23">
        <w:rPr>
          <w:rtl/>
        </w:rPr>
        <w:t xml:space="preserve"> إلى موقف الدولة الطرف المتمثل في أنه يحق لصاحب البلاغ، بموجب الإطار القانوني للإفراج المشروط، الساري منذ 1 تموز/يوليه 2008، الطعن في العقوبة التي يزعم أنها أشد من العقوبة التي كانت سارية وقت صدور الحكم الأولي عليه عام 2004، وتطبيق التشريع المتعلق بالإفراج المشروط بأثر رجعي على قضيته، لكنه لم يستنفد سبل الانتصاف المحلية في هذا الصدد. وتجادل الدولة الطرف بأن صاحب البلاغ</w:t>
      </w:r>
      <w:r w:rsidR="00F83AAF" w:rsidRPr="00E87B23">
        <w:rPr>
          <w:rtl/>
        </w:rPr>
        <w:t xml:space="preserve"> </w:t>
      </w:r>
      <w:r w:rsidRPr="00E87B23">
        <w:rPr>
          <w:rtl/>
        </w:rPr>
        <w:t>لم يشتك، عندما طلب المدعي العام إلى المحكمة رفض الإفراج المشروط عنه، إلى محكمة مقاطعة لاهاي، كما اعترف هو نفسه، بشأن الانتهاكات المزعومة للعهد التي اشتكى منها إلى اللجنة. وتشير اللجنة كذلك إلى تأكيد الدولة الطرف أن صاحب البلاغ لم يجادل أمام المحكمة في سبب اعتقاده بأن رفض الإفراج المشروط عنه يتعارض مع مبدأي الشرعية وعدم التمييز، وأن المحكمة الوطنية لم تتح لها الفرصة لمعالجة الانتهاكات المزعومة للعهد. وفي هذا السياق، تحيط اللجنة علما</w:t>
      </w:r>
      <w:r w:rsidR="002B72F7" w:rsidRPr="00E87B23">
        <w:rPr>
          <w:rFonts w:hint="cs"/>
          <w:rtl/>
        </w:rPr>
        <w:t>ً</w:t>
      </w:r>
      <w:r w:rsidRPr="00E87B23">
        <w:rPr>
          <w:rtl/>
        </w:rPr>
        <w:t xml:space="preserve"> بادعاء صاحب البلاغ عدم وجود سبل انتصاف محلية أخرى، لأن محاكم متعددة في هولندا، بما فيها محكمة مقاطعة لاهاي، اعتبرت أن النظام الجديد للإفراج المشروط لا ينتهك مبادئ الشرعية. وتلاحظ اللجنة كذلك ادعاء الدولة الطرف بأن قرار محكمة المقاطعة الصادر في 12 كانون الثاني/يناير 2016 برفض الإفراج المشروط عن صاحب البلاغ لا يرقى إلى فرض عقوبة، بل هو مجرد قرار يتعلق باستمرار العقوبة الأصلية وتنفيذها. وفي ضوء ما تقدم، لا يمكن للجنة أن تخلص، في ضوء السوابق القضائية المحلية القائمة بشأن الإفراج المشروط، إلى أن سبل الانتصاف المحلية لن تكون متاحة أو فعالة في حالة صاحب البلاغ. ونظرا</w:t>
      </w:r>
      <w:r w:rsidR="002B72F7" w:rsidRPr="00E87B23">
        <w:rPr>
          <w:rFonts w:hint="cs"/>
          <w:rtl/>
        </w:rPr>
        <w:t>ً</w:t>
      </w:r>
      <w:r w:rsidRPr="00E87B23">
        <w:rPr>
          <w:rtl/>
        </w:rPr>
        <w:t xml:space="preserve"> لعدم تقديم صاحب البلاغ شكوى إلى محكمة مقاطعة لاهاي للطعن في طلب </w:t>
      </w:r>
      <w:r w:rsidRPr="00E87B23">
        <w:rPr>
          <w:rtl/>
        </w:rPr>
        <w:lastRenderedPageBreak/>
        <w:t>المدعي العام رفض الإفراج المشروط عنه، ترى اللجنة أن مقتضيات المادة 5</w:t>
      </w:r>
      <w:r w:rsidRPr="00E87B23">
        <w:rPr>
          <w:rFonts w:ascii="Simplified Arabic"/>
          <w:rtl/>
        </w:rPr>
        <w:t>(</w:t>
      </w:r>
      <w:r w:rsidRPr="00E87B23">
        <w:rPr>
          <w:rtl/>
        </w:rPr>
        <w:t>2</w:t>
      </w:r>
      <w:r w:rsidRPr="00E87B23">
        <w:rPr>
          <w:rFonts w:ascii="Simplified Arabic"/>
          <w:rtl/>
        </w:rPr>
        <w:t>)(</w:t>
      </w:r>
      <w:r w:rsidRPr="00E87B23">
        <w:rPr>
          <w:rtl/>
        </w:rPr>
        <w:t>ب</w:t>
      </w:r>
      <w:r w:rsidRPr="00E87B23">
        <w:rPr>
          <w:rFonts w:ascii="Simplified Arabic"/>
          <w:rtl/>
        </w:rPr>
        <w:t>)</w:t>
      </w:r>
      <w:r w:rsidRPr="00E87B23">
        <w:rPr>
          <w:rtl/>
        </w:rPr>
        <w:t xml:space="preserve"> من البروتوكول الاختياري تمنعها من النظر في ادعاءات صاحب البلاغ بموجب المادة 15</w:t>
      </w:r>
      <w:r w:rsidRPr="00E87B23">
        <w:rPr>
          <w:rFonts w:ascii="Simplified Arabic"/>
          <w:rtl/>
        </w:rPr>
        <w:t>(</w:t>
      </w:r>
      <w:r w:rsidR="002B2BA4" w:rsidRPr="00E87B23">
        <w:rPr>
          <w:rtl/>
        </w:rPr>
        <w:t>1</w:t>
      </w:r>
      <w:r w:rsidR="002B2BA4" w:rsidRPr="00E87B23">
        <w:rPr>
          <w:rFonts w:ascii="Simplified Arabic"/>
          <w:rtl/>
        </w:rPr>
        <w:t>)</w:t>
      </w:r>
      <w:r w:rsidR="002B2BA4" w:rsidRPr="00E87B23">
        <w:rPr>
          <w:rtl/>
        </w:rPr>
        <w:t xml:space="preserve"> </w:t>
      </w:r>
      <w:r w:rsidRPr="00E87B23">
        <w:rPr>
          <w:rtl/>
        </w:rPr>
        <w:t xml:space="preserve">من العهد. </w:t>
      </w:r>
    </w:p>
    <w:p w14:paraId="72FCBE4F" w14:textId="12C7D516" w:rsidR="00B35E04" w:rsidRPr="00FB7E0F" w:rsidRDefault="00B35E04" w:rsidP="00B35E04">
      <w:pPr>
        <w:pStyle w:val="SingleTxtGA"/>
        <w:rPr>
          <w:rFonts w:cs="Times New Roman"/>
          <w:szCs w:val="20"/>
          <w:rtl/>
          <w:lang w:val="ar-SA" w:eastAsia="zh-TW"/>
        </w:rPr>
      </w:pPr>
      <w:r w:rsidRPr="00861AA2">
        <w:rPr>
          <w:rtl/>
        </w:rPr>
        <w:t>6</w:t>
      </w:r>
      <w:r>
        <w:rPr>
          <w:rFonts w:ascii="Simplified Arabic"/>
          <w:szCs w:val="20"/>
          <w:rtl/>
        </w:rPr>
        <w:t>-</w:t>
      </w:r>
      <w:r w:rsidRPr="00861AA2">
        <w:rPr>
          <w:rtl/>
        </w:rPr>
        <w:t>4</w:t>
      </w:r>
      <w:r>
        <w:rPr>
          <w:rtl/>
        </w:rPr>
        <w:tab/>
        <w:t xml:space="preserve">وفي ضوء الاستنتاج أعلاه، ترى اللجنة أن ادعاءات صاحب البلاغ بموجب المادة </w:t>
      </w:r>
      <w:r w:rsidRPr="00861AA2">
        <w:rPr>
          <w:rtl/>
        </w:rPr>
        <w:t>15</w:t>
      </w:r>
      <w:r>
        <w:rPr>
          <w:rFonts w:ascii="Simplified Arabic"/>
          <w:szCs w:val="20"/>
          <w:rtl/>
        </w:rPr>
        <w:t>(</w:t>
      </w:r>
      <w:r w:rsidR="002B2BA4" w:rsidRPr="002B2BA4">
        <w:rPr>
          <w:rtl/>
        </w:rPr>
        <w:t>1</w:t>
      </w:r>
      <w:r w:rsidR="002B2BA4" w:rsidRPr="002B2BA4">
        <w:rPr>
          <w:rFonts w:ascii="Simplified Arabic"/>
          <w:szCs w:val="20"/>
          <w:rtl/>
        </w:rPr>
        <w:t>)</w:t>
      </w:r>
      <w:r w:rsidR="002B2BA4" w:rsidRPr="002B2BA4">
        <w:rPr>
          <w:rtl/>
        </w:rPr>
        <w:t xml:space="preserve"> </w:t>
      </w:r>
      <w:r>
        <w:rPr>
          <w:rtl/>
        </w:rPr>
        <w:t xml:space="preserve">من العهد غير مقبولة بسبب عدم استنفاد سبل الانتصاف المحلية المتاحة ولن تنظر فيما إذا كانت هذه الادعاءات مدعمة بأدلة كافية أو مقبولة من حيث الاختصاص الموضوعي. </w:t>
      </w:r>
    </w:p>
    <w:p w14:paraId="651DD88E" w14:textId="0B7DE175" w:rsidR="00B35E04" w:rsidRPr="00FB7E0F" w:rsidRDefault="00B35E04" w:rsidP="00B35E04">
      <w:pPr>
        <w:pStyle w:val="SingleTxtGA"/>
        <w:rPr>
          <w:rFonts w:cs="Times New Roman"/>
          <w:szCs w:val="20"/>
          <w:rtl/>
          <w:lang w:val="ar-SA" w:eastAsia="zh-TW"/>
        </w:rPr>
      </w:pPr>
      <w:r w:rsidRPr="00861AA2">
        <w:rPr>
          <w:rtl/>
        </w:rPr>
        <w:t>6</w:t>
      </w:r>
      <w:r>
        <w:rPr>
          <w:rFonts w:ascii="Simplified Arabic"/>
          <w:szCs w:val="20"/>
          <w:rtl/>
        </w:rPr>
        <w:t>-</w:t>
      </w:r>
      <w:r w:rsidRPr="00861AA2">
        <w:rPr>
          <w:rtl/>
        </w:rPr>
        <w:t>5</w:t>
      </w:r>
      <w:r>
        <w:rPr>
          <w:rtl/>
        </w:rPr>
        <w:tab/>
        <w:t>وتحيط اللجنة علما</w:t>
      </w:r>
      <w:r w:rsidR="002B72F7">
        <w:rPr>
          <w:rFonts w:hint="cs"/>
          <w:rtl/>
        </w:rPr>
        <w:t>ً</w:t>
      </w:r>
      <w:r>
        <w:rPr>
          <w:rtl/>
        </w:rPr>
        <w:t xml:space="preserve"> بادعاء صاحب البلاغ بموجب المادة </w:t>
      </w:r>
      <w:r w:rsidRPr="00861AA2">
        <w:rPr>
          <w:rtl/>
        </w:rPr>
        <w:t>14</w:t>
      </w:r>
      <w:r>
        <w:rPr>
          <w:rFonts w:ascii="Simplified Arabic"/>
          <w:szCs w:val="20"/>
          <w:rtl/>
        </w:rPr>
        <w:t>(</w:t>
      </w:r>
      <w:r w:rsidR="002B2BA4" w:rsidRPr="002B2BA4">
        <w:rPr>
          <w:rtl/>
        </w:rPr>
        <w:t>5</w:t>
      </w:r>
      <w:r w:rsidR="002B2BA4" w:rsidRPr="002B2BA4">
        <w:rPr>
          <w:rFonts w:ascii="Simplified Arabic"/>
          <w:szCs w:val="20"/>
          <w:rtl/>
        </w:rPr>
        <w:t>)</w:t>
      </w:r>
      <w:r w:rsidR="002B2BA4" w:rsidRPr="002B2BA4">
        <w:rPr>
          <w:rtl/>
        </w:rPr>
        <w:t xml:space="preserve"> </w:t>
      </w:r>
      <w:r>
        <w:rPr>
          <w:rtl/>
        </w:rPr>
        <w:t>من العهد انتهاك حقه في الوصول إلى محكمة وفي مراجعة فعالة من قبل محكمة أعلى لأنه كانت لديه وقت صدور الحكم عام</w:t>
      </w:r>
      <w:r w:rsidR="00437CE7">
        <w:rPr>
          <w:rFonts w:hint="cs"/>
          <w:rtl/>
        </w:rPr>
        <w:t> </w:t>
      </w:r>
      <w:r w:rsidRPr="00861AA2">
        <w:rPr>
          <w:rtl/>
        </w:rPr>
        <w:t>2004</w:t>
      </w:r>
      <w:r>
        <w:rPr>
          <w:rtl/>
        </w:rPr>
        <w:t xml:space="preserve"> كل الأسباب للاعتقاد بأنه سيفرج عنه بعد </w:t>
      </w:r>
      <w:r w:rsidRPr="00861AA2">
        <w:rPr>
          <w:rtl/>
        </w:rPr>
        <w:t>12</w:t>
      </w:r>
      <w:r>
        <w:rPr>
          <w:rtl/>
        </w:rPr>
        <w:t xml:space="preserve"> سنة بموجب نظام الإفراج المبكر التلقائي الذي كان ساريا</w:t>
      </w:r>
      <w:r w:rsidR="00437CE7">
        <w:rPr>
          <w:rFonts w:hint="cs"/>
          <w:rtl/>
        </w:rPr>
        <w:t>ً</w:t>
      </w:r>
      <w:r>
        <w:rPr>
          <w:rtl/>
        </w:rPr>
        <w:t xml:space="preserve"> وقتها. ويدعي صاحب البلاغ أنه لم تكن هناك في ذلك السياق إمكانية للطعن في قرار محكمة المقاطعة الصادر في </w:t>
      </w:r>
      <w:r w:rsidRPr="00861AA2">
        <w:rPr>
          <w:rtl/>
        </w:rPr>
        <w:t>12</w:t>
      </w:r>
      <w:r>
        <w:rPr>
          <w:rtl/>
        </w:rPr>
        <w:t xml:space="preserve"> كانون الثاني/يناير </w:t>
      </w:r>
      <w:r w:rsidRPr="00861AA2">
        <w:rPr>
          <w:rtl/>
        </w:rPr>
        <w:t>2016</w:t>
      </w:r>
      <w:r>
        <w:rPr>
          <w:rtl/>
        </w:rPr>
        <w:t xml:space="preserve"> برفض الإفراج المشروط عنه. وتشير اللجنة أيضا</w:t>
      </w:r>
      <w:r w:rsidR="002B72F7">
        <w:rPr>
          <w:rFonts w:hint="cs"/>
          <w:rtl/>
        </w:rPr>
        <w:t>ً</w:t>
      </w:r>
      <w:r>
        <w:rPr>
          <w:rtl/>
        </w:rPr>
        <w:t xml:space="preserve"> إلى محاجة الدولة الطرف بأن هذا البلاغ لا يندرج في نطاق المادة </w:t>
      </w:r>
      <w:r w:rsidRPr="00861AA2">
        <w:rPr>
          <w:rtl/>
        </w:rPr>
        <w:t>14</w:t>
      </w:r>
      <w:r>
        <w:rPr>
          <w:rFonts w:ascii="Simplified Arabic"/>
          <w:szCs w:val="20"/>
          <w:rtl/>
        </w:rPr>
        <w:t>(</w:t>
      </w:r>
      <w:r w:rsidR="002B2BA4" w:rsidRPr="002B2BA4">
        <w:rPr>
          <w:rtl/>
        </w:rPr>
        <w:t>5</w:t>
      </w:r>
      <w:r w:rsidR="002B2BA4" w:rsidRPr="002B2BA4">
        <w:rPr>
          <w:rFonts w:ascii="Simplified Arabic"/>
          <w:szCs w:val="20"/>
          <w:rtl/>
        </w:rPr>
        <w:t>)</w:t>
      </w:r>
      <w:r w:rsidR="002B2BA4" w:rsidRPr="002B2BA4">
        <w:rPr>
          <w:rtl/>
        </w:rPr>
        <w:t xml:space="preserve"> </w:t>
      </w:r>
      <w:r>
        <w:rPr>
          <w:rtl/>
        </w:rPr>
        <w:t>من العهد لأن الحق في الاستئناف يتعلق بتهمة جنائية</w:t>
      </w:r>
      <w:r w:rsidR="002B2BA4">
        <w:rPr>
          <w:vertAlign w:val="superscript"/>
          <w:rtl/>
        </w:rPr>
        <w:t>(</w:t>
      </w:r>
      <w:r w:rsidR="002B2BA4" w:rsidRPr="00861AA2">
        <w:rPr>
          <w:vertAlign w:val="superscript"/>
          <w:rtl/>
        </w:rPr>
        <w:footnoteReference w:id="20"/>
      </w:r>
      <w:r w:rsidR="002B2BA4" w:rsidRPr="002B2BA4">
        <w:rPr>
          <w:vertAlign w:val="superscript"/>
          <w:rtl/>
        </w:rPr>
        <w:t>)</w:t>
      </w:r>
      <w:r w:rsidR="002B2BA4" w:rsidRPr="002B2BA4">
        <w:rPr>
          <w:rtl/>
        </w:rPr>
        <w:t xml:space="preserve">. </w:t>
      </w:r>
      <w:r>
        <w:rPr>
          <w:rtl/>
        </w:rPr>
        <w:t xml:space="preserve">وكما هو موضح أعلاه، فإن قرار محكمة المقاطعة الصادر في </w:t>
      </w:r>
      <w:r w:rsidRPr="00861AA2">
        <w:rPr>
          <w:rtl/>
        </w:rPr>
        <w:t>12</w:t>
      </w:r>
      <w:r>
        <w:rPr>
          <w:rtl/>
        </w:rPr>
        <w:t xml:space="preserve"> كانون الثاني/يناير </w:t>
      </w:r>
      <w:r w:rsidRPr="00861AA2">
        <w:rPr>
          <w:rtl/>
        </w:rPr>
        <w:t>2016</w:t>
      </w:r>
      <w:r>
        <w:rPr>
          <w:rtl/>
        </w:rPr>
        <w:t xml:space="preserve"> برفض الإفراج المشروط عن صاحب البلاغ لا يشكل لا إدانة ولا فرض عقوبة. وعليه، ترى اللجنة أن هذا الجزء من البلاغ يتعارض من حيث الاختصاص الموضوعي مع المادة </w:t>
      </w:r>
      <w:r w:rsidRPr="00861AA2">
        <w:rPr>
          <w:rtl/>
        </w:rPr>
        <w:t>14</w:t>
      </w:r>
      <w:r>
        <w:rPr>
          <w:rtl/>
        </w:rPr>
        <w:t>(</w:t>
      </w:r>
      <w:r w:rsidR="002B2BA4" w:rsidRPr="002B2BA4">
        <w:rPr>
          <w:rtl/>
        </w:rPr>
        <w:t xml:space="preserve">5) </w:t>
      </w:r>
      <w:r>
        <w:rPr>
          <w:rtl/>
        </w:rPr>
        <w:t xml:space="preserve">من العهد وتعلنه غير مقبول بموجب المادة </w:t>
      </w:r>
      <w:r w:rsidRPr="00861AA2">
        <w:rPr>
          <w:rtl/>
        </w:rPr>
        <w:t>3</w:t>
      </w:r>
      <w:r>
        <w:rPr>
          <w:rtl/>
        </w:rPr>
        <w:t xml:space="preserve"> من البروتوكول الاختياري</w:t>
      </w:r>
      <w:r>
        <w:rPr>
          <w:rFonts w:ascii="Simplified Arabic"/>
          <w:szCs w:val="20"/>
          <w:rtl/>
        </w:rPr>
        <w:t>.</w:t>
      </w:r>
      <w:r>
        <w:rPr>
          <w:rtl/>
        </w:rPr>
        <w:t xml:space="preserve"> </w:t>
      </w:r>
    </w:p>
    <w:p w14:paraId="4509A32A" w14:textId="308DD711" w:rsidR="00B35E04" w:rsidRPr="00384D39" w:rsidRDefault="00B35E04" w:rsidP="00B35E04">
      <w:pPr>
        <w:pStyle w:val="SingleTxtGA"/>
        <w:rPr>
          <w:rFonts w:cs="Times New Roman"/>
          <w:szCs w:val="20"/>
          <w:rtl/>
          <w:lang w:val="en-US" w:eastAsia="zh-TW"/>
        </w:rPr>
      </w:pPr>
      <w:r w:rsidRPr="00861AA2">
        <w:rPr>
          <w:rtl/>
        </w:rPr>
        <w:t>6</w:t>
      </w:r>
      <w:r>
        <w:rPr>
          <w:rFonts w:ascii="Simplified Arabic"/>
          <w:szCs w:val="20"/>
          <w:rtl/>
        </w:rPr>
        <w:t>-</w:t>
      </w:r>
      <w:r w:rsidRPr="00861AA2">
        <w:rPr>
          <w:rtl/>
        </w:rPr>
        <w:t>6</w:t>
      </w:r>
      <w:r>
        <w:rPr>
          <w:rtl/>
        </w:rPr>
        <w:tab/>
        <w:t xml:space="preserve">وفيما يتعلق بادعاء صاحب البلاغ بموجب المادة </w:t>
      </w:r>
      <w:r w:rsidRPr="00861AA2">
        <w:rPr>
          <w:rtl/>
        </w:rPr>
        <w:t>26</w:t>
      </w:r>
      <w:r>
        <w:rPr>
          <w:rtl/>
        </w:rPr>
        <w:t xml:space="preserve"> من العهد بشأن تطبيق النظام الجديد للإفراج المشروط "بأثر رجعي" (منذ </w:t>
      </w:r>
      <w:r w:rsidRPr="00861AA2">
        <w:rPr>
          <w:rtl/>
        </w:rPr>
        <w:t>1</w:t>
      </w:r>
      <w:r>
        <w:rPr>
          <w:rtl/>
        </w:rPr>
        <w:t xml:space="preserve"> تموز/يوليه </w:t>
      </w:r>
      <w:r w:rsidRPr="00861AA2">
        <w:rPr>
          <w:rtl/>
        </w:rPr>
        <w:t>200</w:t>
      </w:r>
      <w:r w:rsidR="002B2BA4" w:rsidRPr="002B2BA4">
        <w:rPr>
          <w:rtl/>
        </w:rPr>
        <w:t>8</w:t>
      </w:r>
      <w:r w:rsidR="002B2BA4" w:rsidRPr="002B2BA4">
        <w:rPr>
          <w:rFonts w:ascii="Simplified Arabic"/>
          <w:szCs w:val="20"/>
          <w:rtl/>
        </w:rPr>
        <w:t>)</w:t>
      </w:r>
      <w:r w:rsidR="002B2BA4" w:rsidRPr="002B2BA4">
        <w:rPr>
          <w:rtl/>
        </w:rPr>
        <w:t xml:space="preserve"> </w:t>
      </w:r>
      <w:r>
        <w:rPr>
          <w:rtl/>
        </w:rPr>
        <w:t xml:space="preserve">على مجموعة صغيرة من المدانين، تشير اللجنة إلى محاجة الدولة الطرف بأن وضع صاحب البلاغ كضحية بموجب المادة </w:t>
      </w:r>
      <w:r w:rsidRPr="00861AA2">
        <w:rPr>
          <w:rtl/>
        </w:rPr>
        <w:t>26</w:t>
      </w:r>
      <w:r>
        <w:rPr>
          <w:rtl/>
        </w:rPr>
        <w:t xml:space="preserve"> من العهد لم يثبت. وبما أن صاحب البلاغ لم يستثن من انطباق النظام الحالي للإفراج المشروط، فهو يدعي أنه ضحية تمييز على النحو المحدد في المادة </w:t>
      </w:r>
      <w:r w:rsidRPr="00861AA2">
        <w:rPr>
          <w:rtl/>
        </w:rPr>
        <w:t>26</w:t>
      </w:r>
      <w:r>
        <w:rPr>
          <w:rtl/>
        </w:rPr>
        <w:t xml:space="preserve"> من العهد وعلى النحو المبين بمزيد من التفصيل في تعليق اللجنة العام رقم </w:t>
      </w:r>
      <w:r w:rsidRPr="00861AA2">
        <w:rPr>
          <w:rtl/>
        </w:rPr>
        <w:t>18</w:t>
      </w:r>
      <w:r>
        <w:rPr>
          <w:rFonts w:ascii="Simplified Arabic"/>
          <w:szCs w:val="20"/>
          <w:rtl/>
        </w:rPr>
        <w:t>(</w:t>
      </w:r>
      <w:r w:rsidRPr="00861AA2">
        <w:rPr>
          <w:rtl/>
        </w:rPr>
        <w:t>198</w:t>
      </w:r>
      <w:r w:rsidR="002B2BA4" w:rsidRPr="002B2BA4">
        <w:rPr>
          <w:rtl/>
        </w:rPr>
        <w:t>9</w:t>
      </w:r>
      <w:r w:rsidR="002B2BA4" w:rsidRPr="002B2BA4">
        <w:rPr>
          <w:rFonts w:ascii="Simplified Arabic"/>
          <w:szCs w:val="20"/>
          <w:rtl/>
        </w:rPr>
        <w:t>).</w:t>
      </w:r>
      <w:r w:rsidR="002B2BA4" w:rsidRPr="002B2BA4">
        <w:rPr>
          <w:rtl/>
        </w:rPr>
        <w:t xml:space="preserve"> </w:t>
      </w:r>
      <w:r>
        <w:rPr>
          <w:rtl/>
        </w:rPr>
        <w:t>بيد أن الدولة الطرف لاحظت أنه كان من شأن سوء السلوك الجسيم لصاحب البلاغ أن يجعله غير مؤهل للإفراج المبكر، في ظل النظام القديم. وبالمثل، فإن صاحب البلاغ غير مؤهل للإفراج المشروط بموجب النظام الحالي. وتلاحظ اللجنة أيضا</w:t>
      </w:r>
      <w:r w:rsidR="00841B1A">
        <w:rPr>
          <w:rFonts w:hint="cs"/>
          <w:rtl/>
        </w:rPr>
        <w:t>ً</w:t>
      </w:r>
      <w:r>
        <w:rPr>
          <w:rtl/>
        </w:rPr>
        <w:t xml:space="preserve"> ادعاء الدولة الطرف بأن أي معاملة تمييزية لصاحب البلاغ لم تقدم عليها أدلة</w:t>
      </w:r>
      <w:r w:rsidR="002B2BA4">
        <w:rPr>
          <w:vertAlign w:val="superscript"/>
          <w:rtl/>
        </w:rPr>
        <w:t>(</w:t>
      </w:r>
      <w:r w:rsidR="002B2BA4" w:rsidRPr="00861AA2">
        <w:rPr>
          <w:vertAlign w:val="superscript"/>
          <w:rtl/>
        </w:rPr>
        <w:footnoteReference w:id="21"/>
      </w:r>
      <w:r w:rsidR="002B2BA4" w:rsidRPr="002B2BA4">
        <w:rPr>
          <w:vertAlign w:val="superscript"/>
          <w:rtl/>
        </w:rPr>
        <w:t>)</w:t>
      </w:r>
      <w:r w:rsidR="002B2BA4" w:rsidRPr="002B2BA4">
        <w:rPr>
          <w:rtl/>
        </w:rPr>
        <w:t xml:space="preserve">. </w:t>
      </w:r>
      <w:r>
        <w:rPr>
          <w:rtl/>
        </w:rPr>
        <w:t xml:space="preserve">وفي ظل ملابسات هذه القضية، ترى اللجنة أن صاحب البلاغ لم يثبت أنه ضحية في سياق المادة </w:t>
      </w:r>
      <w:r w:rsidRPr="00861AA2">
        <w:rPr>
          <w:rtl/>
        </w:rPr>
        <w:t>26</w:t>
      </w:r>
      <w:r>
        <w:rPr>
          <w:rtl/>
        </w:rPr>
        <w:t xml:space="preserve"> من العهد لأنه لم يثبت أنه عانى من أي تمييز أو وضع غير موات من شأنه أن يكون غير معقول أو غير موضوعي. ولم تدعم شكواه في هذا الصدد بما يكفي من الأدلة لأغراض المقبولية. وبناء على ذلك، تعلن اللجنة أن هذا الجزء من البلاغ غير مقبول عملاً بالمادتين </w:t>
      </w:r>
      <w:r w:rsidRPr="00861AA2">
        <w:rPr>
          <w:rtl/>
        </w:rPr>
        <w:t>1</w:t>
      </w:r>
      <w:r>
        <w:rPr>
          <w:rFonts w:ascii="Simplified Arabic"/>
          <w:szCs w:val="20"/>
          <w:rtl/>
        </w:rPr>
        <w:t xml:space="preserve"> و</w:t>
      </w:r>
      <w:r w:rsidRPr="00861AA2">
        <w:rPr>
          <w:rtl/>
        </w:rPr>
        <w:t>2</w:t>
      </w:r>
      <w:r>
        <w:rPr>
          <w:rtl/>
        </w:rPr>
        <w:t xml:space="preserve"> من البروتوكول الاختياري.</w:t>
      </w:r>
    </w:p>
    <w:p w14:paraId="1DC56B76" w14:textId="01131F59" w:rsidR="00B35E04" w:rsidRPr="00FB7E0F" w:rsidRDefault="00B35E04" w:rsidP="00B35E04">
      <w:pPr>
        <w:pStyle w:val="SingleTxtGA"/>
        <w:rPr>
          <w:rFonts w:cs="Times New Roman"/>
          <w:szCs w:val="20"/>
          <w:rtl/>
          <w:lang w:val="ar-SA" w:eastAsia="zh-TW"/>
        </w:rPr>
      </w:pPr>
      <w:r w:rsidRPr="00861AA2">
        <w:rPr>
          <w:rtl/>
        </w:rPr>
        <w:t>6</w:t>
      </w:r>
      <w:r>
        <w:rPr>
          <w:rFonts w:ascii="Simplified Arabic"/>
          <w:szCs w:val="20"/>
          <w:rtl/>
        </w:rPr>
        <w:t>-</w:t>
      </w:r>
      <w:r w:rsidRPr="00861AA2">
        <w:rPr>
          <w:rtl/>
        </w:rPr>
        <w:t>7</w:t>
      </w:r>
      <w:r>
        <w:rPr>
          <w:rtl/>
        </w:rPr>
        <w:tab/>
        <w:t xml:space="preserve">وتشير اللجنة إلى أن معظم ادعاءات صاحب البلاغ تتعلق بتفسير وتطبيق محاكم الدولة الطرف للقانون والممارسة المحليين بموجب المادتين </w:t>
      </w:r>
      <w:r w:rsidRPr="00861AA2">
        <w:rPr>
          <w:rtl/>
        </w:rPr>
        <w:t>14</w:t>
      </w:r>
      <w:r>
        <w:rPr>
          <w:rtl/>
        </w:rPr>
        <w:t xml:space="preserve"> و</w:t>
      </w:r>
      <w:r w:rsidRPr="00861AA2">
        <w:rPr>
          <w:rtl/>
        </w:rPr>
        <w:t>15</w:t>
      </w:r>
      <w:r>
        <w:rPr>
          <w:rtl/>
        </w:rPr>
        <w:t xml:space="preserve"> من العهد. وفي هذا السياق، قدمت الدولة الطرف تفسيرات مطولة مفادها أن صاحب البلاغ لم يتلق إدانة جديدة على نفس الجريمة، ولا عقوبة جديدة على الجريمة الأولى المرتكبة. وتذكّر اللجنة على أنه يعود عموماً إلى محاكم الدول الأطراف استعراض الوقائع والأدلة، أو تطبيق التشريعات المحلية، في دعوى بعينها، ما لم يكن يمكن إثبات أن هذا التقييم أو التطبيق بائن التعسف أو يرقى إلى خطأ واضح أو إنكار للعدالة، أو أن المحكمة قد انتهكت </w:t>
      </w:r>
      <w:r>
        <w:rPr>
          <w:rtl/>
        </w:rPr>
        <w:lastRenderedPageBreak/>
        <w:t>بصورة أخرى التزامها بالاستقلال والحيادية</w:t>
      </w:r>
      <w:r w:rsidR="002B2BA4">
        <w:rPr>
          <w:vertAlign w:val="superscript"/>
          <w:rtl/>
        </w:rPr>
        <w:t>(</w:t>
      </w:r>
      <w:r w:rsidR="002B2BA4" w:rsidRPr="001206FE">
        <w:rPr>
          <w:vertAlign w:val="superscript"/>
          <w:rtl/>
        </w:rPr>
        <w:footnoteReference w:id="22"/>
      </w:r>
      <w:r w:rsidR="002B2BA4" w:rsidRPr="002B2BA4">
        <w:rPr>
          <w:rFonts w:hint="cs"/>
          <w:vertAlign w:val="superscript"/>
          <w:rtl/>
        </w:rPr>
        <w:t>)</w:t>
      </w:r>
      <w:r w:rsidR="002B2BA4" w:rsidRPr="002B2BA4">
        <w:rPr>
          <w:rtl/>
        </w:rPr>
        <w:t xml:space="preserve">. </w:t>
      </w:r>
      <w:r>
        <w:rPr>
          <w:rtl/>
        </w:rPr>
        <w:t>وفي ضوء ما تقدم، فإن اللجنة ليست في وضع يمكنها من أن تستنتج، استنادا</w:t>
      </w:r>
      <w:r w:rsidR="00841B1A">
        <w:rPr>
          <w:rFonts w:hint="cs"/>
          <w:rtl/>
        </w:rPr>
        <w:t>ً</w:t>
      </w:r>
      <w:r>
        <w:rPr>
          <w:rtl/>
        </w:rPr>
        <w:t xml:space="preserve"> إلى المواد المتاحة لها، أن المحاكم المحلية تصرفت، عند البت في قضية صاحب البلاغ، بطريقة جلي تعسفها أو أن قراراتها ترقى بشكل واضح إلى إنكار للعدالة. </w:t>
      </w:r>
    </w:p>
    <w:p w14:paraId="39B8423E" w14:textId="77777777" w:rsidR="00B35E04" w:rsidRPr="00FB7E0F" w:rsidRDefault="00B35E04" w:rsidP="00B35E04">
      <w:pPr>
        <w:pStyle w:val="SingleTxtGA"/>
        <w:rPr>
          <w:rFonts w:cs="Times New Roman"/>
          <w:szCs w:val="20"/>
          <w:rtl/>
          <w:lang w:val="ar-SA" w:eastAsia="zh-TW"/>
        </w:rPr>
      </w:pPr>
      <w:r w:rsidRPr="00861AA2">
        <w:rPr>
          <w:rtl/>
        </w:rPr>
        <w:t>7</w:t>
      </w:r>
      <w:r>
        <w:rPr>
          <w:rFonts w:ascii="Simplified Arabic"/>
          <w:szCs w:val="20"/>
          <w:rtl/>
        </w:rPr>
        <w:t>-</w:t>
      </w:r>
      <w:r>
        <w:rPr>
          <w:rtl/>
        </w:rPr>
        <w:tab/>
        <w:t xml:space="preserve">وبناء على ذلك، ترى اللجنة أن صاحب البلاغ لم يستنفد جميع سبل الانتصاف المحلية المتاحة وأن البلاغ غير مدعم بأدلة كافية لأغراض المقبولية وتعلن أنه غير مقبول بموجب المواد </w:t>
      </w:r>
      <w:r w:rsidRPr="00861AA2">
        <w:rPr>
          <w:rtl/>
        </w:rPr>
        <w:t>1</w:t>
      </w:r>
      <w:r>
        <w:rPr>
          <w:rtl/>
        </w:rPr>
        <w:t xml:space="preserve"> و</w:t>
      </w:r>
      <w:r w:rsidRPr="00861AA2">
        <w:rPr>
          <w:rtl/>
        </w:rPr>
        <w:t>2</w:t>
      </w:r>
      <w:r>
        <w:rPr>
          <w:rtl/>
        </w:rPr>
        <w:t xml:space="preserve"> و</w:t>
      </w:r>
      <w:r w:rsidRPr="00861AA2">
        <w:rPr>
          <w:rtl/>
        </w:rPr>
        <w:t>3</w:t>
      </w:r>
      <w:r>
        <w:rPr>
          <w:rtl/>
        </w:rPr>
        <w:t xml:space="preserve"> و</w:t>
      </w:r>
      <w:r w:rsidRPr="00861AA2">
        <w:rPr>
          <w:rtl/>
        </w:rPr>
        <w:t>5</w:t>
      </w:r>
      <w:r>
        <w:rPr>
          <w:rFonts w:ascii="Simplified Arabic"/>
          <w:szCs w:val="20"/>
          <w:rtl/>
        </w:rPr>
        <w:t>(</w:t>
      </w:r>
      <w:r w:rsidRPr="00861AA2">
        <w:rPr>
          <w:rtl/>
        </w:rPr>
        <w:t>2</w:t>
      </w:r>
      <w:r>
        <w:rPr>
          <w:rFonts w:ascii="Simplified Arabic"/>
          <w:szCs w:val="20"/>
          <w:rtl/>
        </w:rPr>
        <w:t>)(</w:t>
      </w:r>
      <w:r>
        <w:rPr>
          <w:rtl/>
        </w:rPr>
        <w:t>ب</w:t>
      </w:r>
      <w:r>
        <w:rPr>
          <w:rFonts w:ascii="Simplified Arabic"/>
          <w:szCs w:val="20"/>
          <w:rtl/>
        </w:rPr>
        <w:t>)</w:t>
      </w:r>
      <w:r>
        <w:rPr>
          <w:rtl/>
        </w:rPr>
        <w:t xml:space="preserve"> من البروتوكول الاختياري.</w:t>
      </w:r>
    </w:p>
    <w:p w14:paraId="6CD21D16" w14:textId="54BC7A1D" w:rsidR="00B35E04" w:rsidRPr="00FB7E0F" w:rsidRDefault="00B35E04" w:rsidP="00B35E04">
      <w:pPr>
        <w:pStyle w:val="SingleTxtGA"/>
        <w:rPr>
          <w:rFonts w:cs="Times New Roman"/>
          <w:szCs w:val="20"/>
          <w:rtl/>
          <w:lang w:val="ar-SA" w:eastAsia="zh-TW"/>
        </w:rPr>
      </w:pPr>
      <w:r w:rsidRPr="00861AA2">
        <w:rPr>
          <w:rtl/>
        </w:rPr>
        <w:t>8</w:t>
      </w:r>
      <w:r>
        <w:rPr>
          <w:rFonts w:ascii="Simplified Arabic"/>
          <w:szCs w:val="20"/>
          <w:rtl/>
        </w:rPr>
        <w:t>-</w:t>
      </w:r>
      <w:r>
        <w:rPr>
          <w:rtl/>
        </w:rPr>
        <w:tab/>
        <w:t>وبناءً عليه، تقرر اللجنة ما يلي:</w:t>
      </w:r>
    </w:p>
    <w:p w14:paraId="53B2C9A8" w14:textId="2D455DB3" w:rsidR="00B35E04" w:rsidRPr="00FB7E0F" w:rsidRDefault="00B35E04" w:rsidP="00B35E04">
      <w:pPr>
        <w:pStyle w:val="SingleTxtGA"/>
        <w:rPr>
          <w:rFonts w:cs="Times New Roman"/>
          <w:spacing w:val="-2"/>
          <w:szCs w:val="20"/>
          <w:rtl/>
          <w:lang w:val="ar-SA" w:eastAsia="zh-TW"/>
        </w:rPr>
      </w:pPr>
      <w:r>
        <w:rPr>
          <w:rtl/>
        </w:rPr>
        <w:tab/>
        <w:t>(أ)</w:t>
      </w:r>
      <w:r>
        <w:rPr>
          <w:rtl/>
        </w:rPr>
        <w:tab/>
        <w:t xml:space="preserve">أن البلاغ غير مقبول بموجب المواد </w:t>
      </w:r>
      <w:r w:rsidRPr="00861AA2">
        <w:rPr>
          <w:rtl/>
        </w:rPr>
        <w:t>1</w:t>
      </w:r>
      <w:r>
        <w:rPr>
          <w:rtl/>
        </w:rPr>
        <w:t xml:space="preserve"> و</w:t>
      </w:r>
      <w:r w:rsidRPr="00861AA2">
        <w:rPr>
          <w:rtl/>
        </w:rPr>
        <w:t>2</w:t>
      </w:r>
      <w:r>
        <w:rPr>
          <w:rtl/>
        </w:rPr>
        <w:t xml:space="preserve"> و</w:t>
      </w:r>
      <w:r w:rsidRPr="00861AA2">
        <w:rPr>
          <w:rtl/>
        </w:rPr>
        <w:t>3</w:t>
      </w:r>
      <w:r>
        <w:rPr>
          <w:rtl/>
        </w:rPr>
        <w:t xml:space="preserve"> و</w:t>
      </w:r>
      <w:r w:rsidRPr="00861AA2">
        <w:rPr>
          <w:rtl/>
        </w:rPr>
        <w:t>5</w:t>
      </w:r>
      <w:r>
        <w:rPr>
          <w:rFonts w:ascii="Simplified Arabic"/>
          <w:szCs w:val="20"/>
          <w:rtl/>
        </w:rPr>
        <w:t>(</w:t>
      </w:r>
      <w:r w:rsidRPr="00861AA2">
        <w:rPr>
          <w:rtl/>
        </w:rPr>
        <w:t>2</w:t>
      </w:r>
      <w:r>
        <w:rPr>
          <w:rFonts w:ascii="Simplified Arabic"/>
          <w:szCs w:val="20"/>
          <w:rtl/>
        </w:rPr>
        <w:t>)(</w:t>
      </w:r>
      <w:r>
        <w:rPr>
          <w:rtl/>
        </w:rPr>
        <w:t>ب</w:t>
      </w:r>
      <w:r>
        <w:rPr>
          <w:rFonts w:ascii="Simplified Arabic"/>
          <w:szCs w:val="20"/>
          <w:rtl/>
        </w:rPr>
        <w:t>)</w:t>
      </w:r>
      <w:r>
        <w:rPr>
          <w:rtl/>
        </w:rPr>
        <w:t xml:space="preserve"> من البروتوكول الاختياري؛</w:t>
      </w:r>
    </w:p>
    <w:p w14:paraId="0CEF04D5" w14:textId="76EBC579" w:rsidR="00B35E04" w:rsidRPr="00997D12" w:rsidRDefault="00B35E04" w:rsidP="00B35E04">
      <w:pPr>
        <w:pStyle w:val="SingleTxtGA"/>
        <w:rPr>
          <w:rFonts w:cs="Times New Roman"/>
          <w:spacing w:val="-3"/>
          <w:szCs w:val="20"/>
          <w:rtl/>
          <w:lang w:val="en-US" w:eastAsia="zh-TW"/>
        </w:rPr>
      </w:pPr>
      <w:r>
        <w:rPr>
          <w:rtl/>
        </w:rPr>
        <w:tab/>
        <w:t>(ب)</w:t>
      </w:r>
      <w:r>
        <w:rPr>
          <w:rtl/>
        </w:rPr>
        <w:tab/>
        <w:t>إبلاغ الدولة الطرف وصاحب البلاغ بهذا القرار.</w:t>
      </w:r>
    </w:p>
    <w:p w14:paraId="489907D7" w14:textId="77777777" w:rsidR="00B35E04" w:rsidRPr="00A23459" w:rsidRDefault="00B35E04" w:rsidP="00B35E04">
      <w:pPr>
        <w:spacing w:before="240"/>
        <w:jc w:val="center"/>
        <w:rPr>
          <w:rFonts w:eastAsiaTheme="minorEastAsia" w:hint="cs"/>
          <w:rtl/>
        </w:rPr>
      </w:pPr>
      <w:r w:rsidRPr="00FB7E0F">
        <w:rPr>
          <w:u w:val="single"/>
        </w:rPr>
        <w:tab/>
      </w:r>
      <w:r w:rsidRPr="00FB7E0F">
        <w:rPr>
          <w:u w:val="single"/>
        </w:rPr>
        <w:tab/>
      </w:r>
      <w:r w:rsidRPr="00FB7E0F">
        <w:rPr>
          <w:u w:val="single"/>
        </w:rPr>
        <w:tab/>
      </w:r>
    </w:p>
    <w:sectPr w:rsidR="00B35E04" w:rsidRPr="00A23459" w:rsidSect="00127AA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95D3" w14:textId="77777777" w:rsidR="00661399" w:rsidRPr="002901D9" w:rsidRDefault="00661399" w:rsidP="00DC4D4B">
      <w:pPr>
        <w:spacing w:after="60" w:line="240" w:lineRule="auto"/>
        <w:ind w:left="57"/>
        <w:rPr>
          <w:i/>
          <w:iCs/>
        </w:rPr>
      </w:pPr>
      <w:r>
        <w:rPr>
          <w:rFonts w:hint="cs"/>
          <w:i/>
          <w:iCs/>
          <w:rtl/>
        </w:rPr>
        <w:t>الحواشي</w:t>
      </w:r>
    </w:p>
  </w:endnote>
  <w:endnote w:type="continuationSeparator" w:id="0">
    <w:p w14:paraId="2B4FF591" w14:textId="77777777" w:rsidR="00661399" w:rsidRDefault="0066139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344" w14:textId="0A261DDF" w:rsidR="00F90546" w:rsidRPr="00F90546" w:rsidRDefault="00F90546" w:rsidP="00F90546">
    <w:pPr>
      <w:pStyle w:val="Footer"/>
      <w:tabs>
        <w:tab w:val="right" w:pos="9638"/>
      </w:tabs>
      <w:rPr>
        <w:b/>
        <w:sz w:val="18"/>
        <w:lang w:val="en-US"/>
      </w:rPr>
    </w:pPr>
    <w:r>
      <w:rPr>
        <w:lang w:val="en-US"/>
      </w:rPr>
      <w:t>GE.22-26920</w:t>
    </w:r>
    <w:r>
      <w:rPr>
        <w:lang w:val="en-US"/>
      </w:rPr>
      <w:tab/>
    </w:r>
    <w:r w:rsidRPr="00F90546">
      <w:rPr>
        <w:b/>
        <w:sz w:val="18"/>
        <w:lang w:val="en-US"/>
      </w:rPr>
      <w:fldChar w:fldCharType="begin"/>
    </w:r>
    <w:r w:rsidRPr="00F90546">
      <w:rPr>
        <w:b/>
        <w:sz w:val="18"/>
        <w:lang w:val="en-US"/>
      </w:rPr>
      <w:instrText xml:space="preserve"> PAGE  \* MERGEFORMAT </w:instrText>
    </w:r>
    <w:r w:rsidRPr="00F90546">
      <w:rPr>
        <w:b/>
        <w:sz w:val="18"/>
        <w:lang w:val="en-US"/>
      </w:rPr>
      <w:fldChar w:fldCharType="separate"/>
    </w:r>
    <w:r w:rsidRPr="00F90546">
      <w:rPr>
        <w:b/>
        <w:noProof/>
        <w:sz w:val="18"/>
        <w:lang w:val="en-US"/>
      </w:rPr>
      <w:t>2</w:t>
    </w:r>
    <w:r w:rsidRPr="00F9054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68AA" w14:textId="76C15B74" w:rsidR="006959B0" w:rsidRPr="00F90546" w:rsidRDefault="00F90546" w:rsidP="00F90546">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GE.22-26920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EFF" w14:textId="622823B7" w:rsidR="00DE50B1" w:rsidRPr="00F90546" w:rsidRDefault="00F90546" w:rsidP="00F90546">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54C1AB27" wp14:editId="05BD389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22-26920 (A)</w:t>
    </w:r>
    <w:r>
      <w:rPr>
        <w:noProof/>
        <w:sz w:val="20"/>
        <w:lang w:val="en-US"/>
      </w:rPr>
      <w:drawing>
        <wp:anchor distT="0" distB="0" distL="114300" distR="114300" simplePos="0" relativeHeight="251659264" behindDoc="0" locked="0" layoutInCell="1" allowOverlap="1" wp14:anchorId="43EA9A1F" wp14:editId="6B58D830">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621C" w14:textId="77777777" w:rsidR="00661399" w:rsidRPr="000437B8" w:rsidRDefault="00661399" w:rsidP="00F10DAB">
      <w:pPr>
        <w:pStyle w:val="Footer"/>
        <w:bidi/>
        <w:spacing w:after="80" w:line="200" w:lineRule="exact"/>
        <w:ind w:left="680"/>
      </w:pPr>
      <w:r>
        <w:rPr>
          <w:rtl/>
        </w:rPr>
        <w:t>__________</w:t>
      </w:r>
    </w:p>
  </w:footnote>
  <w:footnote w:type="continuationSeparator" w:id="0">
    <w:p w14:paraId="12BA92E1" w14:textId="77777777" w:rsidR="00661399" w:rsidRDefault="00661399" w:rsidP="00656392">
      <w:pPr>
        <w:spacing w:line="240" w:lineRule="auto"/>
      </w:pPr>
      <w:r>
        <w:continuationSeparator/>
      </w:r>
    </w:p>
  </w:footnote>
  <w:footnote w:id="1">
    <w:p w14:paraId="31CEA03E" w14:textId="59275E2E" w:rsidR="00B35E04" w:rsidRPr="00F8022A" w:rsidRDefault="00B35E0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rFonts w:ascii="Simplified Arabic"/>
          <w:szCs w:val="18"/>
        </w:rPr>
        <w:t>*</w:t>
      </w:r>
      <w:r w:rsidRPr="00F8022A">
        <w:rPr>
          <w:szCs w:val="18"/>
          <w:rtl/>
        </w:rPr>
        <w:tab/>
        <w:t xml:space="preserve">اعتمدته اللجنة في دورتها </w:t>
      </w:r>
      <w:r w:rsidRPr="00F8022A">
        <w:rPr>
          <w:rFonts w:ascii="Simplified Arabic"/>
          <w:szCs w:val="18"/>
          <w:rtl/>
        </w:rPr>
        <w:t>136 (10</w:t>
      </w:r>
      <w:r w:rsidRPr="00F8022A">
        <w:rPr>
          <w:szCs w:val="18"/>
          <w:rtl/>
        </w:rPr>
        <w:t xml:space="preserve"> تشرين الأول/أكتوبر - </w:t>
      </w:r>
      <w:r w:rsidRPr="00F8022A">
        <w:rPr>
          <w:rFonts w:ascii="Simplified Arabic"/>
          <w:szCs w:val="18"/>
          <w:rtl/>
        </w:rPr>
        <w:t>4</w:t>
      </w:r>
      <w:r w:rsidRPr="00F8022A">
        <w:rPr>
          <w:szCs w:val="18"/>
          <w:rtl/>
        </w:rPr>
        <w:t xml:space="preserve"> تشرين الثاني/نوفمبر </w:t>
      </w:r>
      <w:r w:rsidRPr="00F8022A">
        <w:rPr>
          <w:rFonts w:ascii="Simplified Arabic"/>
          <w:szCs w:val="18"/>
          <w:rtl/>
        </w:rPr>
        <w:t>2022</w:t>
      </w:r>
      <w:r w:rsidR="002B2BA4" w:rsidRPr="002B2BA4">
        <w:rPr>
          <w:rFonts w:ascii="Simplified Arabic"/>
          <w:szCs w:val="18"/>
          <w:rtl/>
        </w:rPr>
        <w:t>)</w:t>
      </w:r>
      <w:r w:rsidR="002B2BA4" w:rsidRPr="002B2BA4">
        <w:rPr>
          <w:szCs w:val="18"/>
          <w:rtl/>
        </w:rPr>
        <w:t xml:space="preserve">. </w:t>
      </w:r>
    </w:p>
  </w:footnote>
  <w:footnote w:id="2">
    <w:p w14:paraId="5EE63BE5" w14:textId="10173D7A" w:rsidR="00B35E04" w:rsidRPr="00F8022A" w:rsidRDefault="00B35E0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rFonts w:ascii="Simplified Arabic"/>
          <w:szCs w:val="18"/>
        </w:rPr>
        <w:t>**</w:t>
      </w:r>
      <w:r w:rsidRPr="00F8022A">
        <w:rPr>
          <w:szCs w:val="18"/>
          <w:rtl/>
        </w:rPr>
        <w:tab/>
        <w:t xml:space="preserve">شارك في دراسة هذا البلاغ أعضاء اللجنة التالية أسماؤهم: وفاء أشرف محرم باسم، وعياض بن عاشور، وعارف بلقان، والمحجوب الهيبة، </w:t>
      </w:r>
      <w:proofErr w:type="spellStart"/>
      <w:r w:rsidRPr="00F8022A">
        <w:rPr>
          <w:szCs w:val="18"/>
          <w:rtl/>
        </w:rPr>
        <w:t>وفورويا</w:t>
      </w:r>
      <w:proofErr w:type="spellEnd"/>
      <w:r w:rsidRPr="00F8022A">
        <w:rPr>
          <w:szCs w:val="18"/>
          <w:rtl/>
        </w:rPr>
        <w:t xml:space="preserve"> </w:t>
      </w:r>
      <w:proofErr w:type="spellStart"/>
      <w:r w:rsidRPr="00F8022A">
        <w:rPr>
          <w:szCs w:val="18"/>
          <w:rtl/>
        </w:rPr>
        <w:t>شويتشي</w:t>
      </w:r>
      <w:proofErr w:type="spellEnd"/>
      <w:r w:rsidRPr="00F8022A">
        <w:rPr>
          <w:szCs w:val="18"/>
          <w:rtl/>
        </w:rPr>
        <w:t xml:space="preserve">، وكارلوس </w:t>
      </w:r>
      <w:proofErr w:type="spellStart"/>
      <w:r w:rsidRPr="00F8022A">
        <w:rPr>
          <w:szCs w:val="18"/>
          <w:rtl/>
        </w:rPr>
        <w:t>غوميث</w:t>
      </w:r>
      <w:proofErr w:type="spellEnd"/>
      <w:r w:rsidRPr="00F8022A">
        <w:rPr>
          <w:szCs w:val="18"/>
          <w:rtl/>
        </w:rPr>
        <w:t xml:space="preserve"> </w:t>
      </w:r>
      <w:proofErr w:type="spellStart"/>
      <w:r w:rsidRPr="00F8022A">
        <w:rPr>
          <w:szCs w:val="18"/>
          <w:rtl/>
        </w:rPr>
        <w:t>مارتينيث</w:t>
      </w:r>
      <w:proofErr w:type="spellEnd"/>
      <w:r w:rsidRPr="00F8022A">
        <w:rPr>
          <w:szCs w:val="18"/>
          <w:rtl/>
        </w:rPr>
        <w:t xml:space="preserve">، </w:t>
      </w:r>
      <w:proofErr w:type="spellStart"/>
      <w:r w:rsidRPr="00F8022A">
        <w:rPr>
          <w:szCs w:val="18"/>
          <w:rtl/>
        </w:rPr>
        <w:t>ومارسيا</w:t>
      </w:r>
      <w:proofErr w:type="spellEnd"/>
      <w:r w:rsidRPr="00F8022A">
        <w:rPr>
          <w:szCs w:val="18"/>
          <w:rtl/>
        </w:rPr>
        <w:t xml:space="preserve"> ف. ج. كران، </w:t>
      </w:r>
      <w:proofErr w:type="spellStart"/>
      <w:r w:rsidRPr="00F8022A">
        <w:rPr>
          <w:szCs w:val="18"/>
          <w:rtl/>
        </w:rPr>
        <w:t>ودنكان</w:t>
      </w:r>
      <w:proofErr w:type="spellEnd"/>
      <w:r w:rsidRPr="00F8022A">
        <w:rPr>
          <w:szCs w:val="18"/>
          <w:rtl/>
        </w:rPr>
        <w:t xml:space="preserve"> </w:t>
      </w:r>
      <w:proofErr w:type="spellStart"/>
      <w:r w:rsidRPr="00F8022A">
        <w:rPr>
          <w:szCs w:val="18"/>
          <w:rtl/>
        </w:rPr>
        <w:t>لاكي</w:t>
      </w:r>
      <w:proofErr w:type="spellEnd"/>
      <w:r w:rsidRPr="00F8022A">
        <w:rPr>
          <w:szCs w:val="18"/>
          <w:rtl/>
        </w:rPr>
        <w:t xml:space="preserve"> </w:t>
      </w:r>
      <w:proofErr w:type="spellStart"/>
      <w:r w:rsidRPr="00F8022A">
        <w:rPr>
          <w:szCs w:val="18"/>
          <w:rtl/>
        </w:rPr>
        <w:t>موهوموزا</w:t>
      </w:r>
      <w:proofErr w:type="spellEnd"/>
      <w:r w:rsidRPr="00F8022A">
        <w:rPr>
          <w:szCs w:val="18"/>
          <w:rtl/>
        </w:rPr>
        <w:t xml:space="preserve">، وفوتيني </w:t>
      </w:r>
      <w:proofErr w:type="spellStart"/>
      <w:r w:rsidRPr="00F8022A">
        <w:rPr>
          <w:szCs w:val="18"/>
          <w:rtl/>
        </w:rPr>
        <w:t>بزا</w:t>
      </w:r>
      <w:r w:rsidRPr="00F8022A">
        <w:rPr>
          <w:szCs w:val="18"/>
          <w:rtl/>
          <w:lang w:val="fr-CH"/>
        </w:rPr>
        <w:t>ر</w:t>
      </w:r>
      <w:r w:rsidRPr="00F8022A">
        <w:rPr>
          <w:szCs w:val="18"/>
          <w:rtl/>
        </w:rPr>
        <w:t>تزيس</w:t>
      </w:r>
      <w:proofErr w:type="spellEnd"/>
      <w:r w:rsidRPr="00F8022A">
        <w:rPr>
          <w:szCs w:val="18"/>
          <w:rtl/>
        </w:rPr>
        <w:t xml:space="preserve">، </w:t>
      </w:r>
      <w:proofErr w:type="spellStart"/>
      <w:r w:rsidRPr="00F8022A">
        <w:rPr>
          <w:szCs w:val="18"/>
          <w:rtl/>
        </w:rPr>
        <w:t>وهيرنان</w:t>
      </w:r>
      <w:proofErr w:type="spellEnd"/>
      <w:r w:rsidRPr="00F8022A">
        <w:rPr>
          <w:szCs w:val="18"/>
          <w:rtl/>
        </w:rPr>
        <w:t xml:space="preserve"> </w:t>
      </w:r>
      <w:proofErr w:type="spellStart"/>
      <w:r w:rsidRPr="00F8022A">
        <w:rPr>
          <w:szCs w:val="18"/>
          <w:rtl/>
        </w:rPr>
        <w:t>كيسادا</w:t>
      </w:r>
      <w:proofErr w:type="spellEnd"/>
      <w:r w:rsidRPr="00F8022A">
        <w:rPr>
          <w:szCs w:val="18"/>
          <w:rtl/>
        </w:rPr>
        <w:t xml:space="preserve"> </w:t>
      </w:r>
      <w:proofErr w:type="spellStart"/>
      <w:r w:rsidRPr="00F8022A">
        <w:rPr>
          <w:szCs w:val="18"/>
          <w:rtl/>
        </w:rPr>
        <w:t>كابريرا</w:t>
      </w:r>
      <w:proofErr w:type="spellEnd"/>
      <w:r w:rsidRPr="00F8022A">
        <w:rPr>
          <w:szCs w:val="18"/>
          <w:rtl/>
        </w:rPr>
        <w:t xml:space="preserve">، </w:t>
      </w:r>
      <w:proofErr w:type="spellStart"/>
      <w:r w:rsidRPr="00F8022A">
        <w:rPr>
          <w:szCs w:val="18"/>
          <w:rtl/>
        </w:rPr>
        <w:t>وفاسيلكا</w:t>
      </w:r>
      <w:proofErr w:type="spellEnd"/>
      <w:r w:rsidRPr="00F8022A">
        <w:rPr>
          <w:szCs w:val="18"/>
          <w:rtl/>
        </w:rPr>
        <w:t xml:space="preserve"> </w:t>
      </w:r>
      <w:proofErr w:type="spellStart"/>
      <w:r w:rsidRPr="00F8022A">
        <w:rPr>
          <w:szCs w:val="18"/>
          <w:rtl/>
        </w:rPr>
        <w:t>سانسين</w:t>
      </w:r>
      <w:proofErr w:type="spellEnd"/>
      <w:r w:rsidRPr="00F8022A">
        <w:rPr>
          <w:szCs w:val="18"/>
          <w:rtl/>
        </w:rPr>
        <w:t xml:space="preserve">، وخوسيه مانويل سانتوس بيس، </w:t>
      </w:r>
      <w:proofErr w:type="spellStart"/>
      <w:r w:rsidRPr="00F8022A">
        <w:rPr>
          <w:szCs w:val="18"/>
          <w:rtl/>
        </w:rPr>
        <w:t>وسوه</w:t>
      </w:r>
      <w:proofErr w:type="spellEnd"/>
      <w:r w:rsidRPr="00F8022A">
        <w:rPr>
          <w:szCs w:val="18"/>
          <w:rtl/>
        </w:rPr>
        <w:t xml:space="preserve"> </w:t>
      </w:r>
      <w:proofErr w:type="spellStart"/>
      <w:r w:rsidRPr="00F8022A">
        <w:rPr>
          <w:szCs w:val="18"/>
          <w:rtl/>
        </w:rPr>
        <w:t>تشانغروك</w:t>
      </w:r>
      <w:proofErr w:type="spellEnd"/>
      <w:r w:rsidRPr="00F8022A">
        <w:rPr>
          <w:szCs w:val="18"/>
          <w:rtl/>
        </w:rPr>
        <w:t xml:space="preserve">، </w:t>
      </w:r>
      <w:proofErr w:type="spellStart"/>
      <w:r w:rsidRPr="00F8022A">
        <w:rPr>
          <w:szCs w:val="18"/>
          <w:rtl/>
        </w:rPr>
        <w:t>وكوباوياه</w:t>
      </w:r>
      <w:proofErr w:type="spellEnd"/>
      <w:r w:rsidRPr="00F8022A">
        <w:rPr>
          <w:szCs w:val="18"/>
          <w:rtl/>
        </w:rPr>
        <w:t xml:space="preserve"> </w:t>
      </w:r>
      <w:proofErr w:type="spellStart"/>
      <w:r w:rsidRPr="00F8022A">
        <w:rPr>
          <w:szCs w:val="18"/>
          <w:rtl/>
        </w:rPr>
        <w:t>تشامدجا</w:t>
      </w:r>
      <w:proofErr w:type="spellEnd"/>
      <w:r w:rsidRPr="00F8022A">
        <w:rPr>
          <w:szCs w:val="18"/>
          <w:rtl/>
        </w:rPr>
        <w:t xml:space="preserve"> </w:t>
      </w:r>
      <w:proofErr w:type="spellStart"/>
      <w:r w:rsidRPr="00F8022A">
        <w:rPr>
          <w:szCs w:val="18"/>
          <w:rtl/>
        </w:rPr>
        <w:t>كباتشا</w:t>
      </w:r>
      <w:proofErr w:type="spellEnd"/>
      <w:r w:rsidRPr="00F8022A">
        <w:rPr>
          <w:szCs w:val="18"/>
          <w:rtl/>
        </w:rPr>
        <w:t xml:space="preserve">، وإيلين </w:t>
      </w:r>
      <w:proofErr w:type="spellStart"/>
      <w:r w:rsidRPr="00F8022A">
        <w:rPr>
          <w:szCs w:val="18"/>
          <w:rtl/>
        </w:rPr>
        <w:t>تيغرودجا</w:t>
      </w:r>
      <w:proofErr w:type="spellEnd"/>
      <w:r w:rsidRPr="00F8022A">
        <w:rPr>
          <w:szCs w:val="18"/>
          <w:rtl/>
        </w:rPr>
        <w:t xml:space="preserve">، </w:t>
      </w:r>
      <w:proofErr w:type="spellStart"/>
      <w:r w:rsidRPr="00F8022A">
        <w:rPr>
          <w:szCs w:val="18"/>
          <w:rtl/>
        </w:rPr>
        <w:t>وإيميرو</w:t>
      </w:r>
      <w:proofErr w:type="spellEnd"/>
      <w:r w:rsidRPr="00F8022A">
        <w:rPr>
          <w:szCs w:val="18"/>
          <w:rtl/>
        </w:rPr>
        <w:t xml:space="preserve"> تامرات </w:t>
      </w:r>
      <w:proofErr w:type="spellStart"/>
      <w:r w:rsidRPr="00F8022A">
        <w:rPr>
          <w:szCs w:val="18"/>
          <w:rtl/>
        </w:rPr>
        <w:t>إغيزو</w:t>
      </w:r>
      <w:proofErr w:type="spellEnd"/>
      <w:r w:rsidRPr="00F8022A">
        <w:rPr>
          <w:szCs w:val="18"/>
          <w:rtl/>
        </w:rPr>
        <w:t xml:space="preserve">، </w:t>
      </w:r>
      <w:proofErr w:type="spellStart"/>
      <w:r w:rsidRPr="00F8022A">
        <w:rPr>
          <w:szCs w:val="18"/>
          <w:rtl/>
        </w:rPr>
        <w:t>وجينتيان</w:t>
      </w:r>
      <w:proofErr w:type="spellEnd"/>
      <w:r w:rsidRPr="00F8022A">
        <w:rPr>
          <w:szCs w:val="18"/>
          <w:rtl/>
        </w:rPr>
        <w:t xml:space="preserve"> زبيري</w:t>
      </w:r>
      <w:r w:rsidR="002B2BA4">
        <w:rPr>
          <w:szCs w:val="18"/>
          <w:rtl/>
        </w:rPr>
        <w:t xml:space="preserve">. </w:t>
      </w:r>
    </w:p>
  </w:footnote>
  <w:footnote w:id="3">
    <w:p w14:paraId="60BD5AB4" w14:textId="77777777"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w:t>
      </w:r>
      <w:r w:rsidRPr="00F8022A">
        <w:rPr>
          <w:szCs w:val="18"/>
          <w:rtl/>
        </w:rPr>
        <w:tab/>
        <w:t xml:space="preserve">المادة </w:t>
      </w:r>
      <w:r w:rsidRPr="00F8022A">
        <w:rPr>
          <w:rFonts w:ascii="Simplified Arabic"/>
          <w:szCs w:val="18"/>
          <w:rtl/>
        </w:rPr>
        <w:t>15</w:t>
      </w:r>
      <w:r w:rsidRPr="00F8022A">
        <w:rPr>
          <w:szCs w:val="18"/>
          <w:rtl/>
        </w:rPr>
        <w:t>أ</w:t>
      </w:r>
      <w:r>
        <w:rPr>
          <w:szCs w:val="18"/>
          <w:rtl/>
        </w:rPr>
        <w:t xml:space="preserve">. </w:t>
      </w:r>
    </w:p>
  </w:footnote>
  <w:footnote w:id="4">
    <w:p w14:paraId="56224845" w14:textId="77777777"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w:t>
      </w:r>
      <w:r w:rsidRPr="00F8022A">
        <w:rPr>
          <w:szCs w:val="18"/>
          <w:rtl/>
        </w:rPr>
        <w:tab/>
        <w:t xml:space="preserve">القانون المؤرخ </w:t>
      </w:r>
      <w:r w:rsidRPr="00F8022A">
        <w:rPr>
          <w:rFonts w:ascii="Simplified Arabic"/>
          <w:szCs w:val="18"/>
          <w:rtl/>
        </w:rPr>
        <w:t>6</w:t>
      </w:r>
      <w:r w:rsidRPr="00F8022A">
        <w:rPr>
          <w:szCs w:val="18"/>
          <w:rtl/>
        </w:rPr>
        <w:t xml:space="preserve"> كانون الأول/ديسمبر </w:t>
      </w:r>
      <w:r w:rsidRPr="00F8022A">
        <w:rPr>
          <w:rFonts w:ascii="Simplified Arabic"/>
          <w:szCs w:val="18"/>
          <w:rtl/>
        </w:rPr>
        <w:t>2007</w:t>
      </w:r>
      <w:r w:rsidRPr="00F8022A">
        <w:rPr>
          <w:szCs w:val="18"/>
          <w:rtl/>
        </w:rPr>
        <w:t xml:space="preserve"> المعدِّل للقانون الجنائي وأية قوانين أخرى تتعلق بالتغيير من الإفراج المبكر إلى الإفراج المشروط (الجريدة الرسمية لعام </w:t>
      </w:r>
      <w:r w:rsidRPr="00F8022A">
        <w:rPr>
          <w:rFonts w:ascii="Simplified Arabic"/>
          <w:szCs w:val="18"/>
          <w:rtl/>
        </w:rPr>
        <w:t>2007</w:t>
      </w:r>
      <w:r w:rsidRPr="00F8022A">
        <w:rPr>
          <w:szCs w:val="18"/>
          <w:rtl/>
        </w:rPr>
        <w:t xml:space="preserve">، العدد </w:t>
      </w:r>
      <w:r w:rsidRPr="00F8022A">
        <w:rPr>
          <w:rFonts w:ascii="Simplified Arabic"/>
          <w:szCs w:val="18"/>
          <w:rtl/>
        </w:rPr>
        <w:t>500</w:t>
      </w:r>
      <w:r w:rsidRPr="002B2BA4">
        <w:rPr>
          <w:rFonts w:ascii="Simplified Arabic"/>
          <w:szCs w:val="18"/>
          <w:rtl/>
        </w:rPr>
        <w:t>)</w:t>
      </w:r>
      <w:r w:rsidRPr="002B2BA4">
        <w:rPr>
          <w:szCs w:val="18"/>
          <w:rtl/>
        </w:rPr>
        <w:t xml:space="preserve">. </w:t>
      </w:r>
    </w:p>
  </w:footnote>
  <w:footnote w:id="5">
    <w:p w14:paraId="70353B94" w14:textId="114CE0C5"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 xml:space="preserve">) </w:t>
      </w:r>
      <w:r w:rsidRPr="00F8022A">
        <w:rPr>
          <w:szCs w:val="18"/>
          <w:rtl/>
        </w:rPr>
        <w:tab/>
        <w:t>ينص هذا الحكم على ما يلي: "يجوز تأجيل الإفراج المشروط أو رفضه في الحالات التي</w:t>
      </w:r>
      <w:r w:rsidR="0011413F">
        <w:rPr>
          <w:rFonts w:hint="cs"/>
          <w:szCs w:val="18"/>
          <w:rtl/>
        </w:rPr>
        <w:t xml:space="preserve"> </w:t>
      </w:r>
      <w:r w:rsidRPr="002B2BA4">
        <w:rPr>
          <w:szCs w:val="18"/>
          <w:rtl/>
        </w:rPr>
        <w:t>.</w:t>
      </w:r>
      <w:r w:rsidRPr="00F8022A">
        <w:rPr>
          <w:szCs w:val="18"/>
          <w:rtl/>
        </w:rPr>
        <w:t>.. يتبين فيها أن الجاني المدان قد أساء التصرف بشكل جسيم بعد بدء تنفيذ عقوبته، وهو سوء سلوك جسيم يمكن إثباته من خلال</w:t>
      </w:r>
      <w:r w:rsidR="0011413F">
        <w:rPr>
          <w:rFonts w:hint="cs"/>
          <w:szCs w:val="18"/>
          <w:rtl/>
        </w:rPr>
        <w:t xml:space="preserve"> </w:t>
      </w:r>
      <w:r w:rsidRPr="002B2BA4">
        <w:rPr>
          <w:szCs w:val="18"/>
          <w:rtl/>
        </w:rPr>
        <w:t>.</w:t>
      </w:r>
      <w:r w:rsidRPr="00F8022A">
        <w:rPr>
          <w:szCs w:val="18"/>
          <w:rtl/>
        </w:rPr>
        <w:t>.. الاشتباه الجدي في ارتكاب جريمة خطيرة أو الإدانة بها"</w:t>
      </w:r>
      <w:r>
        <w:rPr>
          <w:szCs w:val="18"/>
          <w:rtl/>
        </w:rPr>
        <w:t xml:space="preserve">. </w:t>
      </w:r>
    </w:p>
  </w:footnote>
  <w:footnote w:id="6">
    <w:p w14:paraId="6845917F" w14:textId="0D75EE75"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 xml:space="preserve">) </w:t>
      </w:r>
      <w:r w:rsidRPr="00F8022A">
        <w:rPr>
          <w:szCs w:val="18"/>
          <w:rtl/>
        </w:rPr>
        <w:tab/>
        <w:t>وفقا</w:t>
      </w:r>
      <w:r>
        <w:rPr>
          <w:rFonts w:hint="cs"/>
          <w:szCs w:val="18"/>
          <w:rtl/>
        </w:rPr>
        <w:t>ً</w:t>
      </w:r>
      <w:r w:rsidRPr="00F8022A">
        <w:rPr>
          <w:szCs w:val="18"/>
          <w:rtl/>
        </w:rPr>
        <w:t xml:space="preserve"> للمادة </w:t>
      </w:r>
      <w:r w:rsidRPr="00F8022A">
        <w:rPr>
          <w:rFonts w:ascii="Simplified Arabic"/>
          <w:szCs w:val="18"/>
          <w:rtl/>
        </w:rPr>
        <w:t>15</w:t>
      </w:r>
      <w:r w:rsidRPr="00F8022A">
        <w:rPr>
          <w:szCs w:val="18"/>
          <w:rtl/>
        </w:rPr>
        <w:t>أ</w:t>
      </w:r>
      <w:r w:rsidRPr="00F8022A">
        <w:rPr>
          <w:rFonts w:ascii="Simplified Arabic"/>
          <w:szCs w:val="18"/>
          <w:rtl/>
        </w:rPr>
        <w:t>(</w:t>
      </w:r>
      <w:r w:rsidRPr="002B2BA4">
        <w:rPr>
          <w:rFonts w:ascii="Simplified Arabic"/>
          <w:szCs w:val="18"/>
          <w:rtl/>
        </w:rPr>
        <w:t>1)</w:t>
      </w:r>
      <w:r w:rsidRPr="002B2BA4">
        <w:rPr>
          <w:szCs w:val="18"/>
          <w:rtl/>
        </w:rPr>
        <w:t xml:space="preserve"> </w:t>
      </w:r>
      <w:r w:rsidRPr="00F8022A">
        <w:rPr>
          <w:szCs w:val="18"/>
          <w:rtl/>
        </w:rPr>
        <w:t>من الحكم السابق في القانون الجنائي بشأن الإفراج المبكر: "يجوز تأجيل الإفراج المبكر أو رفضه في الحالات التي</w:t>
      </w:r>
      <w:r w:rsidR="00FF7D8C">
        <w:rPr>
          <w:rFonts w:hint="cs"/>
          <w:szCs w:val="18"/>
          <w:rtl/>
        </w:rPr>
        <w:t xml:space="preserve"> </w:t>
      </w:r>
      <w:r w:rsidRPr="002B2BA4">
        <w:rPr>
          <w:szCs w:val="18"/>
          <w:rtl/>
        </w:rPr>
        <w:t>.</w:t>
      </w:r>
      <w:r w:rsidRPr="00F8022A">
        <w:rPr>
          <w:szCs w:val="18"/>
          <w:rtl/>
        </w:rPr>
        <w:t>.. يُدان فيها المحكوم عليه بحكم نهائي في جريمة خطيرة</w:t>
      </w:r>
      <w:r w:rsidR="00FF7D8C">
        <w:rPr>
          <w:rFonts w:hint="cs"/>
          <w:szCs w:val="18"/>
          <w:rtl/>
        </w:rPr>
        <w:t xml:space="preserve"> </w:t>
      </w:r>
      <w:r w:rsidRPr="00F8022A">
        <w:rPr>
          <w:szCs w:val="18"/>
          <w:rtl/>
        </w:rPr>
        <w:t>... يسمح فيها بالاحتجاز السابق للمحاكمة، عمل</w:t>
      </w:r>
      <w:r w:rsidR="000179F7">
        <w:rPr>
          <w:szCs w:val="18"/>
          <w:rtl/>
        </w:rPr>
        <w:t xml:space="preserve">اً </w:t>
      </w:r>
      <w:r w:rsidRPr="00F8022A">
        <w:rPr>
          <w:szCs w:val="18"/>
          <w:rtl/>
        </w:rPr>
        <w:t xml:space="preserve">بالفقرة </w:t>
      </w:r>
      <w:r w:rsidRPr="00F8022A">
        <w:rPr>
          <w:rFonts w:ascii="Simplified Arabic"/>
          <w:szCs w:val="18"/>
          <w:rtl/>
        </w:rPr>
        <w:t>1</w:t>
      </w:r>
      <w:r w:rsidRPr="00F8022A">
        <w:rPr>
          <w:szCs w:val="18"/>
          <w:rtl/>
        </w:rPr>
        <w:t xml:space="preserve"> من المادة </w:t>
      </w:r>
      <w:r w:rsidRPr="00F8022A">
        <w:rPr>
          <w:rFonts w:ascii="Simplified Arabic"/>
          <w:szCs w:val="18"/>
          <w:rtl/>
        </w:rPr>
        <w:t>67</w:t>
      </w:r>
      <w:r w:rsidRPr="00F8022A">
        <w:rPr>
          <w:szCs w:val="18"/>
          <w:rtl/>
        </w:rPr>
        <w:t xml:space="preserve"> من قانون الإجراءات الجنائية، وارتُكبت بعد بدء عقوبته [أو</w:t>
      </w:r>
      <w:r w:rsidRPr="002B2BA4">
        <w:rPr>
          <w:szCs w:val="18"/>
          <w:rtl/>
        </w:rPr>
        <w:t>]</w:t>
      </w:r>
      <w:r w:rsidR="00FF7D8C">
        <w:rPr>
          <w:rFonts w:hint="cs"/>
          <w:szCs w:val="18"/>
          <w:rtl/>
        </w:rPr>
        <w:t xml:space="preserve"> </w:t>
      </w:r>
      <w:r w:rsidRPr="00F8022A">
        <w:rPr>
          <w:szCs w:val="18"/>
          <w:rtl/>
        </w:rPr>
        <w:t>... يثبُت فيها أن المدان قد أساء التصرف بشكل خطير جد</w:t>
      </w:r>
      <w:r w:rsidR="00844F98">
        <w:rPr>
          <w:szCs w:val="18"/>
          <w:rtl/>
        </w:rPr>
        <w:t xml:space="preserve">اً </w:t>
      </w:r>
      <w:r w:rsidRPr="00F8022A">
        <w:rPr>
          <w:szCs w:val="18"/>
          <w:rtl/>
        </w:rPr>
        <w:t>بعد بدء عقوبته"</w:t>
      </w:r>
      <w:r>
        <w:rPr>
          <w:szCs w:val="18"/>
          <w:rtl/>
        </w:rPr>
        <w:t xml:space="preserve">. </w:t>
      </w:r>
    </w:p>
  </w:footnote>
  <w:footnote w:id="7">
    <w:p w14:paraId="7288A20D" w14:textId="77777777"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w:t>
      </w:r>
      <w:r w:rsidRPr="00F8022A">
        <w:rPr>
          <w:szCs w:val="18"/>
          <w:rtl/>
        </w:rPr>
        <w:tab/>
        <w:t xml:space="preserve">الجريدة الرسمية </w:t>
      </w:r>
      <w:r w:rsidRPr="00F8022A">
        <w:rPr>
          <w:rFonts w:ascii="Simplified Arabic"/>
          <w:szCs w:val="18"/>
          <w:rtl/>
        </w:rPr>
        <w:t>2003</w:t>
      </w:r>
      <w:r w:rsidRPr="00F8022A">
        <w:rPr>
          <w:szCs w:val="18"/>
          <w:rtl/>
        </w:rPr>
        <w:t xml:space="preserve">، العدد </w:t>
      </w:r>
      <w:r w:rsidRPr="00F8022A">
        <w:rPr>
          <w:rFonts w:ascii="Simplified Arabic"/>
          <w:szCs w:val="18"/>
          <w:rtl/>
        </w:rPr>
        <w:t>6</w:t>
      </w:r>
      <w:r w:rsidRPr="002B2BA4">
        <w:rPr>
          <w:rFonts w:ascii="Simplified Arabic"/>
          <w:szCs w:val="18"/>
          <w:rtl/>
        </w:rPr>
        <w:t>0.</w:t>
      </w:r>
      <w:r w:rsidRPr="002B2BA4">
        <w:rPr>
          <w:szCs w:val="18"/>
          <w:rtl/>
        </w:rPr>
        <w:t xml:space="preserve"> </w:t>
      </w:r>
    </w:p>
  </w:footnote>
  <w:footnote w:id="8">
    <w:p w14:paraId="0CCCC47F" w14:textId="77777777" w:rsidR="002B2BA4" w:rsidRPr="00F8022A" w:rsidRDefault="002B2BA4" w:rsidP="000167ED">
      <w:pPr>
        <w:pStyle w:val="FootnoteText"/>
        <w:tabs>
          <w:tab w:val="clear" w:pos="1021"/>
        </w:tabs>
        <w:bidi/>
        <w:spacing w:after="60" w:line="280" w:lineRule="exact"/>
        <w:ind w:left="1247" w:right="1247" w:hanging="567"/>
        <w:jc w:val="lowKashida"/>
        <w:rPr>
          <w:szCs w:val="18"/>
        </w:rPr>
      </w:pPr>
      <w:r w:rsidRPr="00F8022A">
        <w:rPr>
          <w:szCs w:val="18"/>
          <w:rtl/>
        </w:rPr>
        <w:t>(</w:t>
      </w:r>
      <w:r w:rsidRPr="00F8022A">
        <w:rPr>
          <w:szCs w:val="18"/>
          <w:rtl/>
        </w:rPr>
        <w:footnoteRef/>
      </w:r>
      <w:r w:rsidRPr="00F8022A">
        <w:rPr>
          <w:szCs w:val="18"/>
          <w:rtl/>
        </w:rPr>
        <w:t>)</w:t>
      </w:r>
      <w:r w:rsidRPr="00F8022A">
        <w:rPr>
          <w:rStyle w:val="FootnoteReference"/>
        </w:rPr>
        <w:t xml:space="preserve"> </w:t>
      </w:r>
      <w:r w:rsidRPr="00F8022A">
        <w:rPr>
          <w:szCs w:val="18"/>
        </w:rPr>
        <w:tab/>
        <w:t>Parliamentary Paper</w:t>
      </w:r>
      <w:r w:rsidRPr="002B2BA4">
        <w:rPr>
          <w:szCs w:val="18"/>
        </w:rPr>
        <w:t xml:space="preserve">s, </w:t>
      </w:r>
      <w:r w:rsidRPr="00F8022A">
        <w:rPr>
          <w:szCs w:val="18"/>
        </w:rPr>
        <w:t>House of Representative</w:t>
      </w:r>
      <w:r w:rsidRPr="002B2BA4">
        <w:rPr>
          <w:szCs w:val="18"/>
        </w:rPr>
        <w:t xml:space="preserve">s, </w:t>
      </w:r>
      <w:r w:rsidRPr="00F8022A">
        <w:rPr>
          <w:szCs w:val="18"/>
        </w:rPr>
        <w:t>2005–200</w:t>
      </w:r>
      <w:r w:rsidRPr="002B2BA4">
        <w:rPr>
          <w:szCs w:val="18"/>
        </w:rPr>
        <w:t xml:space="preserve">6, </w:t>
      </w:r>
      <w:r w:rsidRPr="00F8022A">
        <w:rPr>
          <w:szCs w:val="18"/>
        </w:rPr>
        <w:t>30 51</w:t>
      </w:r>
      <w:r w:rsidRPr="002B2BA4">
        <w:rPr>
          <w:szCs w:val="18"/>
        </w:rPr>
        <w:t xml:space="preserve">3, </w:t>
      </w:r>
      <w:r w:rsidRPr="00F8022A">
        <w:rPr>
          <w:szCs w:val="18"/>
        </w:rPr>
        <w:t>N</w:t>
      </w:r>
      <w:r w:rsidRPr="002B2BA4">
        <w:rPr>
          <w:szCs w:val="18"/>
        </w:rPr>
        <w:t xml:space="preserve">o. 3, </w:t>
      </w:r>
      <w:r w:rsidRPr="00F8022A">
        <w:rPr>
          <w:szCs w:val="18"/>
        </w:rPr>
        <w:t>p</w:t>
      </w:r>
      <w:r w:rsidRPr="002B2BA4">
        <w:rPr>
          <w:szCs w:val="18"/>
        </w:rPr>
        <w:t xml:space="preserve">p. </w:t>
      </w:r>
      <w:r w:rsidRPr="00F8022A">
        <w:rPr>
          <w:szCs w:val="18"/>
        </w:rPr>
        <w:t>13 and 2</w:t>
      </w:r>
      <w:r w:rsidRPr="002B2BA4">
        <w:rPr>
          <w:szCs w:val="18"/>
        </w:rPr>
        <w:t>7</w:t>
      </w:r>
      <w:r w:rsidRPr="002B2BA4">
        <w:rPr>
          <w:szCs w:val="18"/>
          <w:rtl/>
        </w:rPr>
        <w:t xml:space="preserve">. </w:t>
      </w:r>
    </w:p>
  </w:footnote>
  <w:footnote w:id="9">
    <w:p w14:paraId="61EFA804" w14:textId="77777777"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 xml:space="preserve">) </w:t>
      </w:r>
      <w:r w:rsidRPr="00F8022A">
        <w:rPr>
          <w:szCs w:val="18"/>
          <w:rtl/>
        </w:rPr>
        <w:tab/>
        <w:t xml:space="preserve">استنتجت محكمة مقاطعة لاهاي، في حكمها المستعجل الصادر في </w:t>
      </w:r>
      <w:r w:rsidRPr="00F8022A">
        <w:rPr>
          <w:rFonts w:ascii="Simplified Arabic"/>
          <w:szCs w:val="18"/>
          <w:rtl/>
        </w:rPr>
        <w:t>30</w:t>
      </w:r>
      <w:r w:rsidRPr="00F8022A">
        <w:rPr>
          <w:szCs w:val="18"/>
          <w:rtl/>
        </w:rPr>
        <w:t xml:space="preserve"> تموز/يوليه </w:t>
      </w:r>
      <w:r w:rsidRPr="00F8022A">
        <w:rPr>
          <w:rFonts w:ascii="Simplified Arabic"/>
          <w:szCs w:val="18"/>
          <w:rtl/>
        </w:rPr>
        <w:t>2014</w:t>
      </w:r>
      <w:r w:rsidRPr="00F8022A">
        <w:rPr>
          <w:szCs w:val="18"/>
          <w:rtl/>
        </w:rPr>
        <w:t xml:space="preserve">، </w:t>
      </w:r>
      <w:r w:rsidRPr="00F8022A">
        <w:rPr>
          <w:rFonts w:cs="Times New Roman"/>
          <w:szCs w:val="18"/>
          <w:rtl/>
        </w:rPr>
        <w:t>ECLI:NL:RBDHA:2014:9411</w:t>
      </w:r>
      <w:r w:rsidRPr="00F8022A">
        <w:rPr>
          <w:szCs w:val="18"/>
          <w:rtl/>
        </w:rPr>
        <w:t xml:space="preserve">، الفقرة </w:t>
      </w:r>
      <w:r w:rsidRPr="00F8022A">
        <w:rPr>
          <w:rFonts w:ascii="Simplified Arabic"/>
          <w:szCs w:val="18"/>
          <w:rtl/>
        </w:rPr>
        <w:t>3-4</w:t>
      </w:r>
      <w:r w:rsidRPr="00F8022A">
        <w:rPr>
          <w:szCs w:val="18"/>
          <w:rtl/>
        </w:rPr>
        <w:t>، ما يلي:</w:t>
      </w:r>
    </w:p>
    <w:p w14:paraId="420D8BED" w14:textId="24C52CCD"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ab/>
        <w:t xml:space="preserve">يتمثل أحد عناصر مبدأ الشرعية المكرس في المادة </w:t>
      </w:r>
      <w:r w:rsidRPr="00F8022A">
        <w:rPr>
          <w:rFonts w:ascii="Simplified Arabic"/>
          <w:szCs w:val="18"/>
          <w:rtl/>
        </w:rPr>
        <w:t>7</w:t>
      </w:r>
      <w:r w:rsidRPr="00F8022A">
        <w:rPr>
          <w:szCs w:val="18"/>
          <w:rtl/>
        </w:rPr>
        <w:t xml:space="preserve"> من [الاتفاقية الأوروبية لحقوق الإنسان] في حظر فرض عقوبة أشد من العقوبة التي كانت سارية وقت ارتكاب الجريمة. وهذا يعني أنه لا يجوز زيادة العقوبة بأثر رجعي. وعند تطبيق هذا المبدأ، يجري التمييز بين العقوبة المفروضة والطريقة التي تنفذ بها العقوبة المفروضة. ووفقا</w:t>
      </w:r>
      <w:r w:rsidR="0023358F">
        <w:rPr>
          <w:rFonts w:hint="cs"/>
          <w:szCs w:val="18"/>
          <w:rtl/>
        </w:rPr>
        <w:t>ً</w:t>
      </w:r>
      <w:r w:rsidRPr="00F8022A">
        <w:rPr>
          <w:szCs w:val="18"/>
          <w:rtl/>
        </w:rPr>
        <w:t xml:space="preserve"> للسوابق القضائية المكرسة في المحكمة الأوروبية لحقوق الإنسان، كما أشار إليها الطرفان، فإن القواعد المتعلقة بهذا التنفيذ، بما في ذلك القواعد المتعلقة بالإفراج المبكر أو الإفراج المشروط، لا تدخل من حيث المبدأ في نطاق المادة </w:t>
      </w:r>
      <w:r w:rsidRPr="00F8022A">
        <w:rPr>
          <w:rFonts w:ascii="Simplified Arabic"/>
          <w:szCs w:val="18"/>
          <w:rtl/>
        </w:rPr>
        <w:t>7</w:t>
      </w:r>
      <w:r w:rsidRPr="00F8022A">
        <w:rPr>
          <w:szCs w:val="18"/>
          <w:rtl/>
        </w:rPr>
        <w:t xml:space="preserve"> من الاتفاقية الأوروبية لحقوق الإنسان. ففي قضية </w:t>
      </w:r>
      <w:proofErr w:type="spellStart"/>
      <w:r w:rsidRPr="00F8022A">
        <w:rPr>
          <w:szCs w:val="18"/>
          <w:rtl/>
        </w:rPr>
        <w:t>أوتلي</w:t>
      </w:r>
      <w:proofErr w:type="spellEnd"/>
      <w:r w:rsidRPr="00F8022A">
        <w:rPr>
          <w:szCs w:val="18"/>
          <w:rtl/>
        </w:rPr>
        <w:t xml:space="preserve"> </w:t>
      </w:r>
      <w:r w:rsidRPr="00F8022A">
        <w:rPr>
          <w:rFonts w:ascii="Simplified Arabic"/>
          <w:szCs w:val="18"/>
          <w:rtl/>
        </w:rPr>
        <w:t>(</w:t>
      </w:r>
      <w:proofErr w:type="spellStart"/>
      <w:r w:rsidRPr="00F8022A">
        <w:rPr>
          <w:rFonts w:cs="Times New Roman"/>
          <w:szCs w:val="18"/>
        </w:rPr>
        <w:t>Uttle</w:t>
      </w:r>
      <w:r w:rsidRPr="002B2BA4">
        <w:rPr>
          <w:rFonts w:cs="Times New Roman"/>
          <w:szCs w:val="18"/>
        </w:rPr>
        <w:t>y</w:t>
      </w:r>
      <w:proofErr w:type="spellEnd"/>
      <w:r w:rsidRPr="002B2BA4">
        <w:rPr>
          <w:rFonts w:ascii="Simplified Arabic" w:cs="Times New Roman"/>
          <w:szCs w:val="18"/>
          <w:rtl/>
        </w:rPr>
        <w:t>)</w:t>
      </w:r>
      <w:r w:rsidRPr="002B2BA4">
        <w:rPr>
          <w:rFonts w:cs="Times New Roman"/>
          <w:szCs w:val="18"/>
          <w:rtl/>
        </w:rPr>
        <w:t xml:space="preserve"> </w:t>
      </w:r>
      <w:r w:rsidRPr="00F8022A">
        <w:rPr>
          <w:szCs w:val="18"/>
          <w:rtl/>
        </w:rPr>
        <w:t>ضد المملكة المتحدة</w:t>
      </w:r>
      <w:r w:rsidR="00781D42">
        <w:rPr>
          <w:rFonts w:hint="cs"/>
          <w:szCs w:val="18"/>
          <w:rtl/>
        </w:rPr>
        <w:t xml:space="preserve"> </w:t>
      </w:r>
      <w:r w:rsidRPr="00F8022A">
        <w:rPr>
          <w:szCs w:val="18"/>
          <w:rtl/>
        </w:rPr>
        <w:t>... على سبيل المثال، ثبت أن التغييرات التي أدخلت على نظام الإفراج المبكر (التي كانت في غير صالح مقدم الطلب) لا تشكل جزءا</w:t>
      </w:r>
      <w:r w:rsidR="0023358F">
        <w:rPr>
          <w:rFonts w:hint="cs"/>
          <w:szCs w:val="18"/>
          <w:rtl/>
        </w:rPr>
        <w:t>ً</w:t>
      </w:r>
      <w:r w:rsidRPr="00F8022A">
        <w:rPr>
          <w:szCs w:val="18"/>
          <w:rtl/>
        </w:rPr>
        <w:t xml:space="preserve"> من "العقوبة" بالمعنى المقصود في المادة </w:t>
      </w:r>
      <w:r w:rsidRPr="00F8022A">
        <w:rPr>
          <w:rFonts w:ascii="Simplified Arabic"/>
          <w:szCs w:val="18"/>
          <w:rtl/>
        </w:rPr>
        <w:t>7</w:t>
      </w:r>
      <w:r w:rsidRPr="00F8022A">
        <w:rPr>
          <w:szCs w:val="18"/>
          <w:rtl/>
        </w:rPr>
        <w:t>، وبالتالي لا تطبق عقوبة أشد من العقوبة المنطبقة عند ارتكاب الجرائم. ومما سبق، يمكن الاستنتاج أن طريقة التنفيذ ليس لها تأثير على العقوبة التي تفرضها المحكمة. وكانت هذه أيض</w:t>
      </w:r>
      <w:r w:rsidR="00844F98">
        <w:rPr>
          <w:szCs w:val="18"/>
          <w:rtl/>
        </w:rPr>
        <w:t xml:space="preserve">اً </w:t>
      </w:r>
      <w:r w:rsidRPr="00F8022A">
        <w:rPr>
          <w:szCs w:val="18"/>
          <w:rtl/>
        </w:rPr>
        <w:t>نقطة الانطلاق فيما يتعلق بإنشاء النظام الحالي للإفراج المشروط والأحكام الانتقالية، وكذلك في السوابق القضائية التي أشار إليها الطرفان. وهذا يعني أنه يجب، من حيث المبدأ، افتراض أن تطبيق النظام الحالي للإفراج المشروط على السجناء المحكوم عليهم قبل دخوله حيز النفاذ لا يتعارض مع مبدأ الشرعية</w:t>
      </w:r>
      <w:r>
        <w:rPr>
          <w:szCs w:val="18"/>
          <w:rtl/>
        </w:rPr>
        <w:t xml:space="preserve">. </w:t>
      </w:r>
    </w:p>
    <w:p w14:paraId="1CBDE136" w14:textId="77777777"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781D42">
        <w:rPr>
          <w:spacing w:val="-2"/>
          <w:szCs w:val="18"/>
          <w:rtl/>
        </w:rPr>
        <w:tab/>
        <w:t>انظر(ي) أيضا</w:t>
      </w:r>
      <w:r w:rsidRPr="00781D42">
        <w:rPr>
          <w:rFonts w:hint="cs"/>
          <w:spacing w:val="-2"/>
          <w:szCs w:val="18"/>
          <w:rtl/>
        </w:rPr>
        <w:t>ً</w:t>
      </w:r>
      <w:r w:rsidRPr="00781D42">
        <w:rPr>
          <w:spacing w:val="-2"/>
          <w:szCs w:val="18"/>
          <w:rtl/>
        </w:rPr>
        <w:t xml:space="preserve"> الفقرة </w:t>
      </w:r>
      <w:r w:rsidRPr="00781D42">
        <w:rPr>
          <w:rFonts w:ascii="Simplified Arabic"/>
          <w:spacing w:val="-2"/>
          <w:szCs w:val="18"/>
          <w:rtl/>
        </w:rPr>
        <w:t>3-7</w:t>
      </w:r>
      <w:r w:rsidRPr="00781D42">
        <w:rPr>
          <w:spacing w:val="-2"/>
          <w:szCs w:val="18"/>
          <w:rtl/>
        </w:rPr>
        <w:t xml:space="preserve">؛ ومحكمة استئناف لاهاي، </w:t>
      </w:r>
      <w:r w:rsidRPr="00781D42">
        <w:rPr>
          <w:rFonts w:cs="Times New Roman"/>
          <w:spacing w:val="-2"/>
          <w:szCs w:val="18"/>
        </w:rPr>
        <w:t>ECLI:NL:GHDHA:2014:3259</w:t>
      </w:r>
      <w:r w:rsidRPr="00781D42">
        <w:rPr>
          <w:spacing w:val="-2"/>
          <w:szCs w:val="18"/>
          <w:rtl/>
        </w:rPr>
        <w:t xml:space="preserve">، </w:t>
      </w:r>
      <w:r w:rsidRPr="00781D42">
        <w:rPr>
          <w:rFonts w:hint="cs"/>
          <w:spacing w:val="-2"/>
          <w:szCs w:val="18"/>
          <w:rtl/>
        </w:rPr>
        <w:t xml:space="preserve">10 </w:t>
      </w:r>
      <w:r w:rsidRPr="00781D42">
        <w:rPr>
          <w:spacing w:val="-2"/>
          <w:szCs w:val="18"/>
          <w:rtl/>
        </w:rPr>
        <w:t xml:space="preserve">أكتوبر/تشرين الأول </w:t>
      </w:r>
      <w:r w:rsidRPr="00781D42">
        <w:rPr>
          <w:rFonts w:ascii="Simplified Arabic"/>
          <w:spacing w:val="-2"/>
          <w:szCs w:val="18"/>
          <w:rtl/>
        </w:rPr>
        <w:t>2014</w:t>
      </w:r>
      <w:r w:rsidRPr="00781D42">
        <w:rPr>
          <w:spacing w:val="-2"/>
          <w:szCs w:val="18"/>
          <w:rtl/>
        </w:rPr>
        <w:t>،</w:t>
      </w:r>
      <w:r w:rsidRPr="00F8022A">
        <w:rPr>
          <w:szCs w:val="18"/>
          <w:rtl/>
        </w:rPr>
        <w:t xml:space="preserve"> الفقرة </w:t>
      </w:r>
      <w:r w:rsidRPr="002B2BA4">
        <w:rPr>
          <w:rFonts w:ascii="Simplified Arabic"/>
          <w:szCs w:val="18"/>
          <w:rtl/>
        </w:rPr>
        <w:t>5</w:t>
      </w:r>
      <w:r w:rsidRPr="002B2BA4">
        <w:rPr>
          <w:szCs w:val="18"/>
          <w:rtl/>
        </w:rPr>
        <w:t xml:space="preserve">. </w:t>
      </w:r>
    </w:p>
  </w:footnote>
  <w:footnote w:id="10">
    <w:p w14:paraId="6B2EDDB5" w14:textId="07CC9520"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 xml:space="preserve">) </w:t>
      </w:r>
      <w:r w:rsidRPr="00F8022A">
        <w:rPr>
          <w:szCs w:val="18"/>
          <w:rtl/>
        </w:rPr>
        <w:tab/>
        <w:t>انظر(ي)</w:t>
      </w:r>
      <w:r w:rsidR="00F83AAF">
        <w:rPr>
          <w:szCs w:val="18"/>
          <w:rtl/>
        </w:rPr>
        <w:t xml:space="preserve"> </w:t>
      </w:r>
      <w:r w:rsidRPr="00F8022A">
        <w:rPr>
          <w:szCs w:val="18"/>
          <w:rtl/>
        </w:rPr>
        <w:t xml:space="preserve">قضية </w:t>
      </w:r>
      <w:r w:rsidRPr="00CB7B14">
        <w:rPr>
          <w:i/>
          <w:iCs/>
          <w:szCs w:val="18"/>
          <w:rtl/>
        </w:rPr>
        <w:t>أ. ر. س. ضد كندا،</w:t>
      </w:r>
      <w:r w:rsidRPr="00F8022A">
        <w:rPr>
          <w:szCs w:val="18"/>
          <w:rtl/>
        </w:rPr>
        <w:t xml:space="preserve"> البلاغ رقم </w:t>
      </w:r>
      <w:r w:rsidRPr="00F8022A">
        <w:rPr>
          <w:rFonts w:ascii="Simplified Arabic"/>
          <w:szCs w:val="18"/>
        </w:rPr>
        <w:t>1981/91</w:t>
      </w:r>
      <w:r w:rsidRPr="00F8022A">
        <w:rPr>
          <w:szCs w:val="18"/>
          <w:rtl/>
        </w:rPr>
        <w:t xml:space="preserve">، الفقرة </w:t>
      </w:r>
      <w:r w:rsidRPr="00F8022A">
        <w:rPr>
          <w:rFonts w:ascii="Simplified Arabic"/>
          <w:szCs w:val="18"/>
          <w:rtl/>
        </w:rPr>
        <w:t>5-3</w:t>
      </w:r>
      <w:r w:rsidRPr="00F8022A">
        <w:rPr>
          <w:szCs w:val="18"/>
          <w:rtl/>
        </w:rPr>
        <w:t>، الذي ترى فيه اللجنة أن نظام "المراقبة الإلزامية" لا يعتبر عقوبة بالمعنى المقصود في العهد</w:t>
      </w:r>
      <w:r>
        <w:rPr>
          <w:szCs w:val="18"/>
          <w:rtl/>
        </w:rPr>
        <w:t xml:space="preserve">. </w:t>
      </w:r>
    </w:p>
  </w:footnote>
  <w:footnote w:id="11">
    <w:p w14:paraId="5DF6E0DE" w14:textId="77777777" w:rsidR="002B2BA4" w:rsidRPr="00F8022A" w:rsidRDefault="002B2BA4" w:rsidP="000167ED">
      <w:pPr>
        <w:pStyle w:val="FootnoteText"/>
        <w:tabs>
          <w:tab w:val="clear" w:pos="1021"/>
        </w:tabs>
        <w:bidi/>
        <w:spacing w:after="60" w:line="280" w:lineRule="exact"/>
        <w:ind w:left="1247" w:right="1247" w:hanging="567"/>
        <w:jc w:val="lowKashida"/>
        <w:rPr>
          <w:szCs w:val="18"/>
        </w:rPr>
      </w:pPr>
      <w:r w:rsidRPr="00F8022A">
        <w:rPr>
          <w:szCs w:val="18"/>
          <w:rtl/>
        </w:rPr>
        <w:t>(</w:t>
      </w:r>
      <w:r w:rsidRPr="00F8022A">
        <w:rPr>
          <w:szCs w:val="18"/>
          <w:rtl/>
        </w:rPr>
        <w:footnoteRef/>
      </w:r>
      <w:r w:rsidRPr="00F8022A">
        <w:rPr>
          <w:szCs w:val="18"/>
          <w:rtl/>
        </w:rPr>
        <w:t>)</w:t>
      </w:r>
      <w:r w:rsidRPr="00F8022A">
        <w:rPr>
          <w:rStyle w:val="FootnoteReference"/>
        </w:rPr>
        <w:t xml:space="preserve"> </w:t>
      </w:r>
      <w:r w:rsidRPr="00F8022A">
        <w:rPr>
          <w:szCs w:val="18"/>
        </w:rPr>
        <w:tab/>
        <w:t>Parliamentary Paper</w:t>
      </w:r>
      <w:r w:rsidRPr="002B2BA4">
        <w:rPr>
          <w:szCs w:val="18"/>
        </w:rPr>
        <w:t xml:space="preserve">s, </w:t>
      </w:r>
      <w:r w:rsidRPr="00F8022A">
        <w:rPr>
          <w:szCs w:val="18"/>
        </w:rPr>
        <w:t>House of Representative</w:t>
      </w:r>
      <w:r w:rsidRPr="002B2BA4">
        <w:rPr>
          <w:szCs w:val="18"/>
        </w:rPr>
        <w:t xml:space="preserve">s, </w:t>
      </w:r>
      <w:r w:rsidRPr="00F8022A">
        <w:rPr>
          <w:szCs w:val="18"/>
        </w:rPr>
        <w:t>2005–200</w:t>
      </w:r>
      <w:r w:rsidRPr="002B2BA4">
        <w:rPr>
          <w:szCs w:val="18"/>
        </w:rPr>
        <w:t xml:space="preserve">6, </w:t>
      </w:r>
      <w:r w:rsidRPr="00F8022A">
        <w:rPr>
          <w:szCs w:val="18"/>
        </w:rPr>
        <w:t>30 51</w:t>
      </w:r>
      <w:r w:rsidRPr="002B2BA4">
        <w:rPr>
          <w:szCs w:val="18"/>
        </w:rPr>
        <w:t xml:space="preserve">3, </w:t>
      </w:r>
      <w:r w:rsidRPr="00F8022A">
        <w:rPr>
          <w:szCs w:val="18"/>
        </w:rPr>
        <w:t>N</w:t>
      </w:r>
      <w:r w:rsidRPr="002B2BA4">
        <w:rPr>
          <w:szCs w:val="18"/>
        </w:rPr>
        <w:t xml:space="preserve">o. 3, p. </w:t>
      </w:r>
      <w:r w:rsidRPr="00F8022A">
        <w:rPr>
          <w:szCs w:val="18"/>
        </w:rPr>
        <w:t>1</w:t>
      </w:r>
      <w:r w:rsidRPr="002B2BA4">
        <w:rPr>
          <w:szCs w:val="18"/>
        </w:rPr>
        <w:t>4</w:t>
      </w:r>
      <w:r w:rsidRPr="002B2BA4">
        <w:rPr>
          <w:szCs w:val="18"/>
          <w:rtl/>
        </w:rPr>
        <w:t xml:space="preserve">. </w:t>
      </w:r>
    </w:p>
  </w:footnote>
  <w:footnote w:id="12">
    <w:p w14:paraId="5970EC7A" w14:textId="77777777" w:rsidR="002B2BA4" w:rsidRPr="00F8022A" w:rsidRDefault="002B2BA4" w:rsidP="000167ED">
      <w:pPr>
        <w:pStyle w:val="FootnoteText"/>
        <w:tabs>
          <w:tab w:val="clear" w:pos="1021"/>
        </w:tabs>
        <w:bidi/>
        <w:spacing w:after="60" w:line="280" w:lineRule="exact"/>
        <w:ind w:left="1247" w:right="1247" w:hanging="567"/>
        <w:jc w:val="lowKashida"/>
        <w:rPr>
          <w:szCs w:val="18"/>
        </w:rPr>
      </w:pPr>
      <w:r w:rsidRPr="00F8022A">
        <w:rPr>
          <w:szCs w:val="18"/>
          <w:rtl/>
        </w:rPr>
        <w:t>(</w:t>
      </w:r>
      <w:r w:rsidRPr="00F8022A">
        <w:rPr>
          <w:szCs w:val="18"/>
          <w:rtl/>
        </w:rPr>
        <w:footnoteRef/>
      </w:r>
      <w:r w:rsidRPr="00F8022A">
        <w:rPr>
          <w:szCs w:val="18"/>
          <w:rtl/>
        </w:rPr>
        <w:t>)</w:t>
      </w:r>
      <w:r w:rsidRPr="00F8022A">
        <w:rPr>
          <w:rStyle w:val="FootnoteReference"/>
        </w:rPr>
        <w:t xml:space="preserve"> </w:t>
      </w:r>
      <w:r w:rsidRPr="00F8022A">
        <w:rPr>
          <w:szCs w:val="18"/>
        </w:rPr>
        <w:tab/>
      </w:r>
      <w:r w:rsidRPr="00F8022A">
        <w:rPr>
          <w:i/>
          <w:iCs/>
          <w:szCs w:val="18"/>
        </w:rPr>
        <w:t xml:space="preserve">Del Río Prada </w:t>
      </w:r>
      <w:r w:rsidRPr="002B2BA4">
        <w:rPr>
          <w:i/>
          <w:iCs/>
          <w:szCs w:val="18"/>
        </w:rPr>
        <w:t xml:space="preserve">v. </w:t>
      </w:r>
      <w:r w:rsidRPr="00F8022A">
        <w:rPr>
          <w:i/>
          <w:iCs/>
          <w:szCs w:val="18"/>
        </w:rPr>
        <w:t>Spai</w:t>
      </w:r>
      <w:r w:rsidRPr="002B2BA4">
        <w:rPr>
          <w:i/>
          <w:iCs/>
          <w:szCs w:val="18"/>
        </w:rPr>
        <w:t>n</w:t>
      </w:r>
      <w:r w:rsidRPr="002B2BA4">
        <w:rPr>
          <w:szCs w:val="18"/>
        </w:rPr>
        <w:t xml:space="preserve">, </w:t>
      </w:r>
      <w:r w:rsidRPr="00F8022A">
        <w:rPr>
          <w:szCs w:val="18"/>
        </w:rPr>
        <w:t>application N</w:t>
      </w:r>
      <w:r w:rsidRPr="002B2BA4">
        <w:rPr>
          <w:szCs w:val="18"/>
        </w:rPr>
        <w:t xml:space="preserve">o. </w:t>
      </w:r>
      <w:r w:rsidRPr="00F8022A">
        <w:rPr>
          <w:szCs w:val="18"/>
        </w:rPr>
        <w:t>42750/0</w:t>
      </w:r>
      <w:r w:rsidRPr="002B2BA4">
        <w:rPr>
          <w:szCs w:val="18"/>
        </w:rPr>
        <w:t xml:space="preserve">9, </w:t>
      </w:r>
      <w:r w:rsidRPr="00F8022A">
        <w:rPr>
          <w:szCs w:val="18"/>
        </w:rPr>
        <w:t>judgmen</w:t>
      </w:r>
      <w:r w:rsidRPr="002B2BA4">
        <w:rPr>
          <w:szCs w:val="18"/>
        </w:rPr>
        <w:t xml:space="preserve">t, </w:t>
      </w:r>
      <w:r w:rsidRPr="00F8022A">
        <w:rPr>
          <w:szCs w:val="18"/>
        </w:rPr>
        <w:t>21 October 201</w:t>
      </w:r>
      <w:r w:rsidRPr="002B2BA4">
        <w:rPr>
          <w:szCs w:val="18"/>
        </w:rPr>
        <w:t xml:space="preserve">3, </w:t>
      </w:r>
      <w:r w:rsidRPr="00F8022A">
        <w:rPr>
          <w:szCs w:val="18"/>
        </w:rPr>
        <w:t>par</w:t>
      </w:r>
      <w:r w:rsidRPr="002B2BA4">
        <w:rPr>
          <w:szCs w:val="18"/>
        </w:rPr>
        <w:t xml:space="preserve">a. </w:t>
      </w:r>
      <w:r w:rsidRPr="00F8022A">
        <w:rPr>
          <w:szCs w:val="18"/>
        </w:rPr>
        <w:t>8</w:t>
      </w:r>
      <w:r w:rsidRPr="002B2BA4">
        <w:rPr>
          <w:szCs w:val="18"/>
        </w:rPr>
        <w:t>3</w:t>
      </w:r>
      <w:r w:rsidRPr="002B2BA4">
        <w:rPr>
          <w:szCs w:val="18"/>
          <w:rtl/>
        </w:rPr>
        <w:t xml:space="preserve">. </w:t>
      </w:r>
      <w:r w:rsidRPr="00F8022A">
        <w:rPr>
          <w:szCs w:val="18"/>
          <w:rtl/>
        </w:rPr>
        <w:t>وانظر أيضا</w:t>
      </w:r>
      <w:r>
        <w:rPr>
          <w:rFonts w:hint="cs"/>
          <w:szCs w:val="18"/>
          <w:rtl/>
        </w:rPr>
        <w:t>ً</w:t>
      </w:r>
      <w:r w:rsidRPr="00F8022A">
        <w:rPr>
          <w:szCs w:val="18"/>
          <w:rtl/>
        </w:rPr>
        <w:t xml:space="preserve"> </w:t>
      </w:r>
      <w:proofErr w:type="spellStart"/>
      <w:r w:rsidRPr="00F8022A">
        <w:rPr>
          <w:i/>
          <w:szCs w:val="18"/>
        </w:rPr>
        <w:t>Uttley</w:t>
      </w:r>
      <w:proofErr w:type="spellEnd"/>
      <w:r w:rsidRPr="00F8022A">
        <w:rPr>
          <w:i/>
          <w:szCs w:val="18"/>
        </w:rPr>
        <w:t xml:space="preserve"> </w:t>
      </w:r>
      <w:r w:rsidRPr="002B2BA4">
        <w:rPr>
          <w:i/>
          <w:szCs w:val="18"/>
        </w:rPr>
        <w:t xml:space="preserve">v. </w:t>
      </w:r>
      <w:r w:rsidRPr="00F8022A">
        <w:rPr>
          <w:i/>
          <w:szCs w:val="18"/>
        </w:rPr>
        <w:t>United Kingdo</w:t>
      </w:r>
      <w:r w:rsidRPr="002B2BA4">
        <w:rPr>
          <w:i/>
          <w:szCs w:val="18"/>
        </w:rPr>
        <w:t>m</w:t>
      </w:r>
      <w:r w:rsidRPr="002B2BA4">
        <w:rPr>
          <w:iCs/>
          <w:szCs w:val="18"/>
        </w:rPr>
        <w:t>,</w:t>
      </w:r>
      <w:r w:rsidRPr="002B2BA4" w:rsidDel="00B60F84">
        <w:rPr>
          <w:szCs w:val="18"/>
        </w:rPr>
        <w:t xml:space="preserve"> </w:t>
      </w:r>
      <w:r w:rsidRPr="00F8022A">
        <w:rPr>
          <w:szCs w:val="18"/>
        </w:rPr>
        <w:t>application N</w:t>
      </w:r>
      <w:r w:rsidRPr="002B2BA4">
        <w:rPr>
          <w:szCs w:val="18"/>
        </w:rPr>
        <w:t xml:space="preserve">o. </w:t>
      </w:r>
      <w:r w:rsidRPr="00F8022A">
        <w:rPr>
          <w:szCs w:val="18"/>
        </w:rPr>
        <w:t>936946/0</w:t>
      </w:r>
      <w:r w:rsidRPr="002B2BA4">
        <w:rPr>
          <w:szCs w:val="18"/>
        </w:rPr>
        <w:t xml:space="preserve">3, </w:t>
      </w:r>
      <w:r w:rsidRPr="00F8022A">
        <w:rPr>
          <w:szCs w:val="18"/>
        </w:rPr>
        <w:t>decisio</w:t>
      </w:r>
      <w:r w:rsidRPr="002B2BA4">
        <w:rPr>
          <w:szCs w:val="18"/>
        </w:rPr>
        <w:t xml:space="preserve">n, </w:t>
      </w:r>
      <w:r w:rsidRPr="00F8022A">
        <w:rPr>
          <w:szCs w:val="18"/>
        </w:rPr>
        <w:t>29 November 200</w:t>
      </w:r>
      <w:r w:rsidRPr="002B2BA4">
        <w:rPr>
          <w:szCs w:val="18"/>
        </w:rPr>
        <w:t>5</w:t>
      </w:r>
      <w:r w:rsidRPr="002B2BA4">
        <w:rPr>
          <w:szCs w:val="18"/>
          <w:rtl/>
        </w:rPr>
        <w:t xml:space="preserve">. </w:t>
      </w:r>
    </w:p>
  </w:footnote>
  <w:footnote w:id="13">
    <w:p w14:paraId="081CBBFD" w14:textId="77777777" w:rsidR="002B2BA4" w:rsidRPr="00F8022A" w:rsidRDefault="002B2BA4" w:rsidP="000167ED">
      <w:pPr>
        <w:pStyle w:val="FootnoteText"/>
        <w:tabs>
          <w:tab w:val="clear" w:pos="1021"/>
        </w:tabs>
        <w:bidi/>
        <w:spacing w:after="60" w:line="280" w:lineRule="exact"/>
        <w:ind w:left="1247" w:right="1247" w:hanging="567"/>
        <w:jc w:val="lowKashida"/>
        <w:rPr>
          <w:szCs w:val="18"/>
        </w:rPr>
      </w:pPr>
      <w:r w:rsidRPr="00F8022A">
        <w:rPr>
          <w:szCs w:val="18"/>
          <w:rtl/>
        </w:rPr>
        <w:t>(</w:t>
      </w:r>
      <w:r w:rsidRPr="00F8022A">
        <w:rPr>
          <w:szCs w:val="18"/>
          <w:rtl/>
        </w:rPr>
        <w:footnoteRef/>
      </w:r>
      <w:r w:rsidRPr="00F8022A">
        <w:rPr>
          <w:szCs w:val="18"/>
          <w:rtl/>
        </w:rPr>
        <w:t>)</w:t>
      </w:r>
      <w:r w:rsidRPr="00F8022A">
        <w:rPr>
          <w:rStyle w:val="FootnoteReference"/>
          <w:lang w:val="es-ES"/>
        </w:rPr>
        <w:t xml:space="preserve"> </w:t>
      </w:r>
      <w:r w:rsidRPr="00F8022A">
        <w:rPr>
          <w:szCs w:val="18"/>
          <w:lang w:val="es-ES"/>
        </w:rPr>
        <w:tab/>
      </w:r>
      <w:r w:rsidRPr="00F8022A">
        <w:rPr>
          <w:i/>
          <w:szCs w:val="18"/>
          <w:lang w:val="es-ES"/>
        </w:rPr>
        <w:t xml:space="preserve">Del Río Prada </w:t>
      </w:r>
      <w:r w:rsidRPr="002B2BA4">
        <w:rPr>
          <w:i/>
          <w:szCs w:val="18"/>
          <w:lang w:val="es-ES"/>
        </w:rPr>
        <w:t xml:space="preserve">v. </w:t>
      </w:r>
      <w:proofErr w:type="spellStart"/>
      <w:r w:rsidRPr="00F8022A">
        <w:rPr>
          <w:i/>
          <w:szCs w:val="18"/>
          <w:lang w:val="es-ES"/>
        </w:rPr>
        <w:t>Spai</w:t>
      </w:r>
      <w:r w:rsidRPr="002B2BA4">
        <w:rPr>
          <w:i/>
          <w:szCs w:val="18"/>
          <w:lang w:val="es-ES"/>
        </w:rPr>
        <w:t>n</w:t>
      </w:r>
      <w:proofErr w:type="spellEnd"/>
      <w:r w:rsidRPr="002B2BA4">
        <w:rPr>
          <w:szCs w:val="18"/>
          <w:lang w:val="es-ES"/>
        </w:rPr>
        <w:t xml:space="preserve">, </w:t>
      </w:r>
      <w:r w:rsidRPr="00F8022A">
        <w:rPr>
          <w:szCs w:val="18"/>
          <w:lang w:val="es-ES"/>
        </w:rPr>
        <w:t>par</w:t>
      </w:r>
      <w:r w:rsidRPr="002B2BA4">
        <w:rPr>
          <w:szCs w:val="18"/>
          <w:lang w:val="es-ES"/>
        </w:rPr>
        <w:t xml:space="preserve">a. </w:t>
      </w:r>
      <w:r w:rsidRPr="00F8022A">
        <w:rPr>
          <w:szCs w:val="18"/>
        </w:rPr>
        <w:t>8</w:t>
      </w:r>
      <w:r w:rsidRPr="002B2BA4">
        <w:rPr>
          <w:szCs w:val="18"/>
        </w:rPr>
        <w:t>9</w:t>
      </w:r>
      <w:r w:rsidRPr="002B2BA4">
        <w:rPr>
          <w:szCs w:val="18"/>
          <w:rtl/>
        </w:rPr>
        <w:t xml:space="preserve">. </w:t>
      </w:r>
    </w:p>
  </w:footnote>
  <w:footnote w:id="14">
    <w:p w14:paraId="77FA7364" w14:textId="77777777" w:rsidR="002B2BA4" w:rsidRPr="00F8022A" w:rsidRDefault="002B2BA4" w:rsidP="002B2BA4">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w:t>
      </w:r>
      <w:r w:rsidRPr="00F8022A">
        <w:rPr>
          <w:szCs w:val="18"/>
          <w:rtl/>
        </w:rPr>
        <w:tab/>
        <w:t xml:space="preserve">قضية </w:t>
      </w:r>
      <w:r w:rsidRPr="00D3331D">
        <w:rPr>
          <w:i/>
          <w:iCs/>
          <w:szCs w:val="18"/>
          <w:rtl/>
        </w:rPr>
        <w:t>دي</w:t>
      </w:r>
      <w:r w:rsidRPr="00D3331D">
        <w:rPr>
          <w:i/>
          <w:iCs/>
          <w:szCs w:val="18"/>
          <w:rtl/>
          <w:lang w:val="fr-CH"/>
        </w:rPr>
        <w:t xml:space="preserve">ل ريو برادا </w:t>
      </w:r>
      <w:r w:rsidRPr="00D3331D">
        <w:rPr>
          <w:i/>
          <w:iCs/>
          <w:szCs w:val="18"/>
          <w:rtl/>
        </w:rPr>
        <w:t>ضد إسبانيا</w:t>
      </w:r>
      <w:r w:rsidRPr="00F8022A">
        <w:rPr>
          <w:szCs w:val="18"/>
          <w:rtl/>
        </w:rPr>
        <w:t xml:space="preserve"> </w:t>
      </w:r>
      <w:r w:rsidRPr="00F8022A">
        <w:rPr>
          <w:rFonts w:ascii="Simplified Arabic"/>
          <w:szCs w:val="18"/>
          <w:rtl/>
        </w:rPr>
        <w:t>(</w:t>
      </w:r>
      <w:hyperlink r:id="rId1" w:history="1">
        <w:r w:rsidRPr="002B2BA4">
          <w:rPr>
            <w:rStyle w:val="Hyperlink"/>
          </w:rPr>
          <w:t>CCPR/C/96/D/1364/2005</w:t>
        </w:r>
      </w:hyperlink>
      <w:r w:rsidRPr="002B2BA4">
        <w:rPr>
          <w:rFonts w:ascii="Simplified Arabic"/>
          <w:szCs w:val="18"/>
          <w:rtl/>
        </w:rPr>
        <w:t>)</w:t>
      </w:r>
      <w:r w:rsidRPr="002B2BA4">
        <w:rPr>
          <w:szCs w:val="18"/>
          <w:rtl/>
        </w:rPr>
        <w:t xml:space="preserve">، </w:t>
      </w:r>
      <w:r w:rsidRPr="00F8022A">
        <w:rPr>
          <w:szCs w:val="18"/>
          <w:rtl/>
        </w:rPr>
        <w:t>الفقرة</w:t>
      </w:r>
      <w:r>
        <w:rPr>
          <w:rFonts w:hint="cs"/>
          <w:szCs w:val="18"/>
          <w:rtl/>
        </w:rPr>
        <w:t xml:space="preserve"> </w:t>
      </w:r>
      <w:r w:rsidRPr="00F8022A">
        <w:rPr>
          <w:rFonts w:ascii="Simplified Arabic"/>
          <w:szCs w:val="18"/>
          <w:rtl/>
        </w:rPr>
        <w:t>11-</w:t>
      </w:r>
      <w:r w:rsidRPr="002B2BA4">
        <w:rPr>
          <w:rFonts w:ascii="Simplified Arabic"/>
          <w:szCs w:val="18"/>
          <w:rtl/>
        </w:rPr>
        <w:t>3.</w:t>
      </w:r>
      <w:r w:rsidRPr="002B2BA4">
        <w:rPr>
          <w:szCs w:val="18"/>
          <w:rtl/>
        </w:rPr>
        <w:t xml:space="preserve"> </w:t>
      </w:r>
    </w:p>
  </w:footnote>
  <w:footnote w:id="15">
    <w:p w14:paraId="5202DA98" w14:textId="77777777"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 xml:space="preserve">) </w:t>
      </w:r>
      <w:r w:rsidRPr="00F8022A">
        <w:rPr>
          <w:szCs w:val="18"/>
          <w:rtl/>
        </w:rPr>
        <w:tab/>
        <w:t xml:space="preserve">اللجنة المعنية بحقوق الإنسان، </w:t>
      </w:r>
      <w:r w:rsidRPr="00D3331D">
        <w:rPr>
          <w:i/>
          <w:iCs/>
          <w:szCs w:val="18"/>
          <w:rtl/>
        </w:rPr>
        <w:t>أ. ب. ضد فنلندا،</w:t>
      </w:r>
      <w:r w:rsidRPr="00F8022A">
        <w:rPr>
          <w:szCs w:val="18"/>
          <w:rtl/>
        </w:rPr>
        <w:t xml:space="preserve"> البلاغ رقم </w:t>
      </w:r>
      <w:r w:rsidRPr="00F8022A">
        <w:rPr>
          <w:rFonts w:ascii="Simplified Arabic"/>
          <w:szCs w:val="18"/>
          <w:rtl/>
        </w:rPr>
        <w:t>450/91</w:t>
      </w:r>
      <w:r w:rsidRPr="00F8022A">
        <w:rPr>
          <w:szCs w:val="18"/>
          <w:rtl/>
        </w:rPr>
        <w:t xml:space="preserve">، الفقرة </w:t>
      </w:r>
      <w:r w:rsidRPr="00F8022A">
        <w:rPr>
          <w:rFonts w:ascii="Simplified Arabic"/>
          <w:szCs w:val="18"/>
          <w:rtl/>
        </w:rPr>
        <w:t>6-</w:t>
      </w:r>
      <w:r w:rsidRPr="002B2BA4">
        <w:rPr>
          <w:rFonts w:ascii="Simplified Arabic"/>
          <w:szCs w:val="18"/>
          <w:rtl/>
        </w:rPr>
        <w:t>2.</w:t>
      </w:r>
      <w:r w:rsidRPr="002B2BA4">
        <w:rPr>
          <w:szCs w:val="18"/>
          <w:rtl/>
        </w:rPr>
        <w:t xml:space="preserve"> </w:t>
      </w:r>
    </w:p>
  </w:footnote>
  <w:footnote w:id="16">
    <w:p w14:paraId="735A2D57" w14:textId="5EA86E73"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 xml:space="preserve">) </w:t>
      </w:r>
      <w:r w:rsidRPr="00F8022A">
        <w:rPr>
          <w:szCs w:val="18"/>
          <w:rtl/>
        </w:rPr>
        <w:tab/>
      </w:r>
      <w:proofErr w:type="spellStart"/>
      <w:r w:rsidRPr="00D3331D">
        <w:rPr>
          <w:i/>
          <w:iCs/>
          <w:szCs w:val="18"/>
          <w:rtl/>
        </w:rPr>
        <w:t>أوميرودي</w:t>
      </w:r>
      <w:proofErr w:type="spellEnd"/>
      <w:r w:rsidRPr="00D3331D">
        <w:rPr>
          <w:i/>
          <w:iCs/>
          <w:szCs w:val="18"/>
          <w:rtl/>
        </w:rPr>
        <w:t xml:space="preserve"> - </w:t>
      </w:r>
      <w:proofErr w:type="spellStart"/>
      <w:r w:rsidRPr="00D3331D">
        <w:rPr>
          <w:i/>
          <w:iCs/>
          <w:szCs w:val="18"/>
          <w:rtl/>
        </w:rPr>
        <w:t>زيفرا</w:t>
      </w:r>
      <w:proofErr w:type="spellEnd"/>
      <w:r w:rsidRPr="00D3331D">
        <w:rPr>
          <w:i/>
          <w:iCs/>
          <w:szCs w:val="18"/>
          <w:rtl/>
        </w:rPr>
        <w:t xml:space="preserve"> وآخرون ضد موريشيوس،</w:t>
      </w:r>
      <w:r w:rsidRPr="00F8022A">
        <w:rPr>
          <w:szCs w:val="18"/>
          <w:rtl/>
        </w:rPr>
        <w:t xml:space="preserve"> البلاغ رقم </w:t>
      </w:r>
      <w:r w:rsidRPr="00F8022A">
        <w:rPr>
          <w:rFonts w:ascii="Simplified Arabic"/>
          <w:szCs w:val="18"/>
          <w:rtl/>
        </w:rPr>
        <w:t>35/1978</w:t>
      </w:r>
      <w:r w:rsidRPr="00F8022A">
        <w:rPr>
          <w:szCs w:val="18"/>
          <w:rtl/>
        </w:rPr>
        <w:t>،</w:t>
      </w:r>
      <w:r w:rsidR="00F83AAF">
        <w:rPr>
          <w:szCs w:val="18"/>
          <w:rtl/>
        </w:rPr>
        <w:t xml:space="preserve"> </w:t>
      </w:r>
      <w:r w:rsidRPr="00F8022A">
        <w:rPr>
          <w:szCs w:val="18"/>
          <w:rtl/>
        </w:rPr>
        <w:t xml:space="preserve">الفقرة </w:t>
      </w:r>
      <w:r w:rsidRPr="00F8022A">
        <w:rPr>
          <w:rFonts w:ascii="Simplified Arabic"/>
          <w:szCs w:val="18"/>
          <w:rtl/>
        </w:rPr>
        <w:t>9-</w:t>
      </w:r>
      <w:r w:rsidRPr="002B2BA4">
        <w:rPr>
          <w:rFonts w:ascii="Simplified Arabic"/>
          <w:szCs w:val="18"/>
          <w:rtl/>
        </w:rPr>
        <w:t>2.</w:t>
      </w:r>
      <w:r w:rsidRPr="002B2BA4">
        <w:rPr>
          <w:szCs w:val="18"/>
          <w:rtl/>
        </w:rPr>
        <w:t xml:space="preserve"> </w:t>
      </w:r>
    </w:p>
  </w:footnote>
  <w:footnote w:id="17">
    <w:p w14:paraId="7157665B" w14:textId="77777777"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 xml:space="preserve">) </w:t>
      </w:r>
      <w:r w:rsidRPr="00F8022A">
        <w:rPr>
          <w:szCs w:val="18"/>
          <w:rtl/>
        </w:rPr>
        <w:tab/>
        <w:t>انظر(ي</w:t>
      </w:r>
      <w:r w:rsidRPr="002B2BA4">
        <w:rPr>
          <w:szCs w:val="18"/>
          <w:rtl/>
        </w:rPr>
        <w:t xml:space="preserve">)، </w:t>
      </w:r>
      <w:r w:rsidRPr="00F8022A">
        <w:rPr>
          <w:szCs w:val="18"/>
          <w:rtl/>
        </w:rPr>
        <w:t xml:space="preserve">على سبيل المثال، </w:t>
      </w:r>
      <w:r w:rsidRPr="00D3331D">
        <w:rPr>
          <w:i/>
          <w:iCs/>
          <w:szCs w:val="18"/>
          <w:rtl/>
        </w:rPr>
        <w:t>أ. ر. س. ضد كندا،</w:t>
      </w:r>
      <w:r w:rsidRPr="00F8022A">
        <w:rPr>
          <w:szCs w:val="18"/>
          <w:rtl/>
        </w:rPr>
        <w:t xml:space="preserve"> الفقرة </w:t>
      </w:r>
      <w:r w:rsidRPr="00F8022A">
        <w:rPr>
          <w:rFonts w:ascii="Simplified Arabic"/>
          <w:szCs w:val="18"/>
          <w:rtl/>
        </w:rPr>
        <w:t>5-</w:t>
      </w:r>
      <w:r w:rsidRPr="002B2BA4">
        <w:rPr>
          <w:rFonts w:ascii="Simplified Arabic"/>
          <w:szCs w:val="18"/>
          <w:rtl/>
        </w:rPr>
        <w:t>2.</w:t>
      </w:r>
      <w:r w:rsidRPr="002B2BA4">
        <w:rPr>
          <w:szCs w:val="18"/>
          <w:rtl/>
        </w:rPr>
        <w:t xml:space="preserve"> </w:t>
      </w:r>
    </w:p>
  </w:footnote>
  <w:footnote w:id="18">
    <w:p w14:paraId="56A891E0" w14:textId="77777777" w:rsidR="002B2BA4" w:rsidRPr="00F8022A" w:rsidRDefault="002B2BA4" w:rsidP="000167ED">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w:t>
      </w:r>
      <w:r w:rsidRPr="00F8022A">
        <w:rPr>
          <w:szCs w:val="18"/>
          <w:rtl/>
        </w:rPr>
        <w:tab/>
        <w:t xml:space="preserve">على سبيل المثال، محكمة مقاطعة </w:t>
      </w:r>
      <w:proofErr w:type="spellStart"/>
      <w:r w:rsidRPr="00F8022A">
        <w:rPr>
          <w:szCs w:val="18"/>
          <w:rtl/>
        </w:rPr>
        <w:t>أوتريخت</w:t>
      </w:r>
      <w:proofErr w:type="spellEnd"/>
      <w:r w:rsidRPr="00F8022A">
        <w:rPr>
          <w:szCs w:val="18"/>
          <w:rtl/>
        </w:rPr>
        <w:t xml:space="preserve">، </w:t>
      </w:r>
      <w:r w:rsidRPr="00F8022A">
        <w:rPr>
          <w:rFonts w:cs="Times New Roman"/>
          <w:szCs w:val="18"/>
          <w:rtl/>
        </w:rPr>
        <w:t>ECLI:NL:RBUTR:2012:BY6268</w:t>
      </w:r>
      <w:r w:rsidRPr="00F8022A">
        <w:rPr>
          <w:szCs w:val="18"/>
          <w:rtl/>
        </w:rPr>
        <w:t>،</w:t>
      </w:r>
      <w:r w:rsidRPr="00F8022A">
        <w:rPr>
          <w:szCs w:val="18"/>
        </w:rPr>
        <w:t xml:space="preserve"> </w:t>
      </w:r>
      <w:r w:rsidRPr="00F8022A">
        <w:rPr>
          <w:szCs w:val="18"/>
          <w:rtl/>
        </w:rPr>
        <w:t xml:space="preserve">13 كانون الأول/ديسمبر </w:t>
      </w:r>
      <w:r w:rsidRPr="00F8022A">
        <w:rPr>
          <w:rFonts w:ascii="Simplified Arabic"/>
          <w:szCs w:val="18"/>
          <w:rtl/>
        </w:rPr>
        <w:t>2012</w:t>
      </w:r>
      <w:r w:rsidRPr="00F8022A">
        <w:rPr>
          <w:szCs w:val="18"/>
          <w:rtl/>
        </w:rPr>
        <w:t xml:space="preserve">؛ ومحكمة مقاطعة أوست </w:t>
      </w:r>
      <w:proofErr w:type="spellStart"/>
      <w:r w:rsidRPr="00F8022A">
        <w:rPr>
          <w:szCs w:val="18"/>
          <w:rtl/>
        </w:rPr>
        <w:t>برابانت</w:t>
      </w:r>
      <w:proofErr w:type="spellEnd"/>
      <w:r w:rsidRPr="00F8022A">
        <w:rPr>
          <w:szCs w:val="18"/>
          <w:rtl/>
        </w:rPr>
        <w:t xml:space="preserve">، </w:t>
      </w:r>
      <w:r w:rsidRPr="00F8022A">
        <w:rPr>
          <w:rFonts w:cs="Times New Roman"/>
          <w:szCs w:val="18"/>
          <w:rtl/>
        </w:rPr>
        <w:t>ECLI:NL:RBOBR:2013:6731</w:t>
      </w:r>
      <w:r w:rsidRPr="00F8022A">
        <w:rPr>
          <w:szCs w:val="18"/>
          <w:rtl/>
        </w:rPr>
        <w:t xml:space="preserve">، </w:t>
      </w:r>
      <w:r w:rsidRPr="00F8022A">
        <w:rPr>
          <w:rFonts w:ascii="Simplified Arabic"/>
          <w:szCs w:val="18"/>
        </w:rPr>
        <w:t>29</w:t>
      </w:r>
      <w:r w:rsidRPr="00F8022A">
        <w:rPr>
          <w:szCs w:val="18"/>
          <w:rtl/>
        </w:rPr>
        <w:t xml:space="preserve"> تشرين الثاني/نوفمبر </w:t>
      </w:r>
      <w:r w:rsidRPr="00F8022A">
        <w:rPr>
          <w:rFonts w:ascii="Simplified Arabic"/>
          <w:szCs w:val="18"/>
          <w:rtl/>
        </w:rPr>
        <w:t>2013؛</w:t>
      </w:r>
      <w:r w:rsidRPr="00F8022A">
        <w:rPr>
          <w:szCs w:val="18"/>
          <w:rtl/>
        </w:rPr>
        <w:t xml:space="preserve"> ومحكمة مقاطعة لاهاي، </w:t>
      </w:r>
      <w:r w:rsidRPr="00F8022A">
        <w:rPr>
          <w:rFonts w:cs="Times New Roman"/>
          <w:szCs w:val="18"/>
        </w:rPr>
        <w:t>ECLI:NL:RBDHA:2014:9411</w:t>
      </w:r>
      <w:r w:rsidRPr="00F8022A">
        <w:rPr>
          <w:rFonts w:cs="Times New Roman"/>
          <w:szCs w:val="18"/>
          <w:rtl/>
        </w:rPr>
        <w:t xml:space="preserve">، </w:t>
      </w:r>
      <w:r w:rsidRPr="00F8022A">
        <w:rPr>
          <w:rFonts w:ascii="Simplified Arabic"/>
          <w:szCs w:val="18"/>
          <w:rtl/>
        </w:rPr>
        <w:t xml:space="preserve">30 </w:t>
      </w:r>
      <w:r w:rsidRPr="00F8022A">
        <w:rPr>
          <w:szCs w:val="18"/>
          <w:rtl/>
        </w:rPr>
        <w:t xml:space="preserve">تموز/يوليه </w:t>
      </w:r>
      <w:r w:rsidRPr="00F8022A">
        <w:rPr>
          <w:rFonts w:ascii="Simplified Arabic"/>
          <w:szCs w:val="18"/>
          <w:rtl/>
        </w:rPr>
        <w:t>2014</w:t>
      </w:r>
      <w:r w:rsidRPr="00F8022A">
        <w:rPr>
          <w:szCs w:val="18"/>
          <w:rtl/>
        </w:rPr>
        <w:t xml:space="preserve">؛ ومحكمة مقاطعة </w:t>
      </w:r>
      <w:proofErr w:type="spellStart"/>
      <w:r w:rsidRPr="00F8022A">
        <w:rPr>
          <w:szCs w:val="18"/>
          <w:rtl/>
        </w:rPr>
        <w:t>زيلاند</w:t>
      </w:r>
      <w:proofErr w:type="spellEnd"/>
      <w:r>
        <w:rPr>
          <w:rFonts w:hint="cs"/>
          <w:szCs w:val="18"/>
          <w:rtl/>
        </w:rPr>
        <w:t xml:space="preserve"> </w:t>
      </w:r>
      <w:r>
        <w:rPr>
          <w:szCs w:val="18"/>
          <w:rtl/>
        </w:rPr>
        <w:t>–</w:t>
      </w:r>
      <w:r>
        <w:rPr>
          <w:rFonts w:hint="cs"/>
          <w:szCs w:val="18"/>
          <w:rtl/>
        </w:rPr>
        <w:t xml:space="preserve"> </w:t>
      </w:r>
      <w:proofErr w:type="spellStart"/>
      <w:r w:rsidRPr="00F8022A">
        <w:rPr>
          <w:szCs w:val="18"/>
          <w:rtl/>
        </w:rPr>
        <w:t>ويست</w:t>
      </w:r>
      <w:proofErr w:type="spellEnd"/>
      <w:r>
        <w:rPr>
          <w:rFonts w:hint="cs"/>
          <w:szCs w:val="18"/>
          <w:rtl/>
        </w:rPr>
        <w:t xml:space="preserve"> </w:t>
      </w:r>
      <w:r w:rsidRPr="00F8022A">
        <w:rPr>
          <w:szCs w:val="18"/>
          <w:rtl/>
        </w:rPr>
        <w:t>-</w:t>
      </w:r>
      <w:r>
        <w:rPr>
          <w:rFonts w:hint="cs"/>
          <w:szCs w:val="18"/>
          <w:rtl/>
        </w:rPr>
        <w:t xml:space="preserve"> </w:t>
      </w:r>
      <w:proofErr w:type="spellStart"/>
      <w:r w:rsidRPr="00F8022A">
        <w:rPr>
          <w:szCs w:val="18"/>
          <w:rtl/>
        </w:rPr>
        <w:t>برابانت</w:t>
      </w:r>
      <w:proofErr w:type="spellEnd"/>
      <w:r w:rsidRPr="00F8022A">
        <w:rPr>
          <w:szCs w:val="18"/>
          <w:rtl/>
        </w:rPr>
        <w:t xml:space="preserve">، </w:t>
      </w:r>
      <w:r w:rsidRPr="00F8022A">
        <w:rPr>
          <w:rFonts w:cs="Times New Roman"/>
          <w:szCs w:val="18"/>
        </w:rPr>
        <w:t>ECLI:NL:RBZWB:2014:7176</w:t>
      </w:r>
      <w:r w:rsidRPr="00F8022A">
        <w:rPr>
          <w:szCs w:val="18"/>
          <w:rtl/>
        </w:rPr>
        <w:t xml:space="preserve">، 22 تشرين الأول/أكتوبر </w:t>
      </w:r>
      <w:r w:rsidRPr="00F8022A">
        <w:rPr>
          <w:rFonts w:ascii="Simplified Arabic"/>
          <w:szCs w:val="18"/>
          <w:rtl/>
        </w:rPr>
        <w:t>201</w:t>
      </w:r>
      <w:r w:rsidRPr="002B2BA4">
        <w:rPr>
          <w:rFonts w:ascii="Simplified Arabic"/>
          <w:szCs w:val="18"/>
          <w:rtl/>
        </w:rPr>
        <w:t>4.</w:t>
      </w:r>
      <w:r w:rsidRPr="002B2BA4">
        <w:rPr>
          <w:szCs w:val="18"/>
          <w:rtl/>
        </w:rPr>
        <w:t xml:space="preserve"> </w:t>
      </w:r>
    </w:p>
  </w:footnote>
  <w:footnote w:id="19">
    <w:p w14:paraId="68B9D3FE" w14:textId="77777777" w:rsidR="002B2BA4" w:rsidRPr="00305CDD" w:rsidRDefault="002B2BA4" w:rsidP="002B2BA4">
      <w:pPr>
        <w:pStyle w:val="FootnoteText"/>
        <w:tabs>
          <w:tab w:val="clear" w:pos="1021"/>
        </w:tabs>
        <w:bidi/>
        <w:spacing w:after="60" w:line="280" w:lineRule="exact"/>
        <w:ind w:left="1247" w:right="1247" w:hanging="567"/>
        <w:jc w:val="lowKashida"/>
        <w:textDirection w:val="tbRlV"/>
        <w:rPr>
          <w:szCs w:val="18"/>
          <w:rtl/>
        </w:rPr>
      </w:pPr>
      <w:r w:rsidRPr="00305CDD">
        <w:rPr>
          <w:szCs w:val="18"/>
          <w:rtl/>
        </w:rPr>
        <w:t>(</w:t>
      </w:r>
      <w:r w:rsidRPr="00305CDD">
        <w:rPr>
          <w:szCs w:val="18"/>
          <w:rtl/>
        </w:rPr>
        <w:footnoteRef/>
      </w:r>
      <w:r w:rsidRPr="00305CDD">
        <w:rPr>
          <w:szCs w:val="18"/>
          <w:rtl/>
        </w:rPr>
        <w:t>)</w:t>
      </w:r>
      <w:r w:rsidRPr="00305CDD">
        <w:rPr>
          <w:szCs w:val="18"/>
          <w:rtl/>
        </w:rPr>
        <w:tab/>
        <w:t>انظر(ي</w:t>
      </w:r>
      <w:r w:rsidRPr="002B2BA4">
        <w:rPr>
          <w:szCs w:val="18"/>
          <w:rtl/>
        </w:rPr>
        <w:t xml:space="preserve">)، </w:t>
      </w:r>
      <w:r w:rsidRPr="00305CDD">
        <w:rPr>
          <w:szCs w:val="18"/>
          <w:rtl/>
        </w:rPr>
        <w:t xml:space="preserve">في جملة أمور، قضية </w:t>
      </w:r>
      <w:r w:rsidRPr="00305CDD">
        <w:rPr>
          <w:i/>
          <w:iCs/>
          <w:szCs w:val="18"/>
          <w:rtl/>
        </w:rPr>
        <w:t>س. وآخرون ضد اليونان</w:t>
      </w:r>
      <w:r w:rsidRPr="00305CDD">
        <w:rPr>
          <w:szCs w:val="18"/>
          <w:rtl/>
        </w:rPr>
        <w:t xml:space="preserve"> (</w:t>
      </w:r>
      <w:hyperlink r:id="rId2" w:history="1">
        <w:r w:rsidRPr="002B2BA4">
          <w:rPr>
            <w:rStyle w:val="Hyperlink"/>
          </w:rPr>
          <w:t>CCPR/C/126/D/2701/2015</w:t>
        </w:r>
      </w:hyperlink>
      <w:r w:rsidRPr="002B2BA4">
        <w:rPr>
          <w:szCs w:val="18"/>
          <w:rtl/>
        </w:rPr>
        <w:t xml:space="preserve">)، </w:t>
      </w:r>
      <w:r w:rsidRPr="00305CDD">
        <w:rPr>
          <w:szCs w:val="18"/>
          <w:rtl/>
        </w:rPr>
        <w:t>الفقرة 8-5؛ و</w:t>
      </w:r>
      <w:r w:rsidRPr="00305CDD">
        <w:rPr>
          <w:i/>
          <w:iCs/>
          <w:szCs w:val="18"/>
          <w:rtl/>
        </w:rPr>
        <w:t xml:space="preserve">فرغاي ضد </w:t>
      </w:r>
      <w:r w:rsidRPr="00C72A60">
        <w:rPr>
          <w:i/>
          <w:iCs/>
          <w:spacing w:val="-2"/>
          <w:szCs w:val="18"/>
          <w:rtl/>
        </w:rPr>
        <w:t>كندا</w:t>
      </w:r>
      <w:r w:rsidRPr="00C72A60">
        <w:rPr>
          <w:spacing w:val="-2"/>
          <w:szCs w:val="18"/>
          <w:rtl/>
        </w:rPr>
        <w:t xml:space="preserve"> (</w:t>
      </w:r>
      <w:hyperlink r:id="rId3" w:history="1">
        <w:r w:rsidRPr="00C72A60">
          <w:rPr>
            <w:rStyle w:val="Hyperlink"/>
            <w:spacing w:val="-2"/>
          </w:rPr>
          <w:t>CCPR/C/96/D/1639/2007</w:t>
        </w:r>
      </w:hyperlink>
      <w:r w:rsidRPr="00C72A60">
        <w:rPr>
          <w:spacing w:val="-2"/>
          <w:szCs w:val="18"/>
          <w:rtl/>
        </w:rPr>
        <w:t>)، الفقرة 7-3؛ و</w:t>
      </w:r>
      <w:r w:rsidRPr="00C72A60">
        <w:rPr>
          <w:i/>
          <w:iCs/>
          <w:spacing w:val="-2"/>
          <w:szCs w:val="18"/>
          <w:rtl/>
        </w:rPr>
        <w:t>ف. س. ضد نيوزيلندا</w:t>
      </w:r>
      <w:r w:rsidRPr="00C72A60">
        <w:rPr>
          <w:spacing w:val="-2"/>
          <w:szCs w:val="18"/>
          <w:rtl/>
        </w:rPr>
        <w:t xml:space="preserve"> (</w:t>
      </w:r>
      <w:hyperlink r:id="rId4" w:history="1">
        <w:r w:rsidRPr="00C72A60">
          <w:rPr>
            <w:rStyle w:val="Hyperlink"/>
            <w:spacing w:val="-2"/>
          </w:rPr>
          <w:t>CCPR/C/115/D/2072/2011</w:t>
        </w:r>
      </w:hyperlink>
      <w:r w:rsidRPr="00C72A60">
        <w:rPr>
          <w:spacing w:val="-2"/>
          <w:szCs w:val="18"/>
          <w:rtl/>
        </w:rPr>
        <w:t>)، الفقرة 6-3؛ و</w:t>
      </w:r>
      <w:r w:rsidRPr="00C72A60">
        <w:rPr>
          <w:i/>
          <w:iCs/>
          <w:spacing w:val="-2"/>
          <w:szCs w:val="18"/>
          <w:rtl/>
        </w:rPr>
        <w:t xml:space="preserve">غارسيا </w:t>
      </w:r>
      <w:proofErr w:type="spellStart"/>
      <w:r w:rsidRPr="00C72A60">
        <w:rPr>
          <w:i/>
          <w:iCs/>
          <w:spacing w:val="-2"/>
          <w:szCs w:val="18"/>
          <w:rtl/>
        </w:rPr>
        <w:t>بيريا</w:t>
      </w:r>
      <w:proofErr w:type="spellEnd"/>
      <w:r w:rsidRPr="00C72A60">
        <w:rPr>
          <w:i/>
          <w:iCs/>
          <w:spacing w:val="-2"/>
          <w:szCs w:val="18"/>
          <w:rtl/>
        </w:rPr>
        <w:t xml:space="preserve"> وغارسيا </w:t>
      </w:r>
      <w:proofErr w:type="spellStart"/>
      <w:r w:rsidRPr="00C72A60">
        <w:rPr>
          <w:i/>
          <w:iCs/>
          <w:spacing w:val="-2"/>
          <w:szCs w:val="18"/>
          <w:rtl/>
        </w:rPr>
        <w:t>بيريا</w:t>
      </w:r>
      <w:proofErr w:type="spellEnd"/>
      <w:r w:rsidRPr="00C72A60">
        <w:rPr>
          <w:i/>
          <w:iCs/>
          <w:spacing w:val="-2"/>
          <w:szCs w:val="18"/>
          <w:rtl/>
        </w:rPr>
        <w:t xml:space="preserve"> ضد إسبانيا</w:t>
      </w:r>
      <w:r w:rsidRPr="00C72A60">
        <w:rPr>
          <w:spacing w:val="-2"/>
          <w:szCs w:val="18"/>
          <w:rtl/>
        </w:rPr>
        <w:t xml:space="preserve"> (</w:t>
      </w:r>
      <w:hyperlink r:id="rId5" w:history="1">
        <w:r w:rsidRPr="00C72A60">
          <w:rPr>
            <w:rStyle w:val="Hyperlink"/>
            <w:spacing w:val="-2"/>
          </w:rPr>
          <w:t>CCPR/C/95/D/1511/2006</w:t>
        </w:r>
      </w:hyperlink>
      <w:r w:rsidRPr="00C72A60">
        <w:rPr>
          <w:spacing w:val="-2"/>
          <w:szCs w:val="18"/>
          <w:rtl/>
        </w:rPr>
        <w:t>)، الفقرة 6-2. وانظر(ي) أيضا</w:t>
      </w:r>
      <w:r w:rsidRPr="00C72A60">
        <w:rPr>
          <w:rFonts w:hint="cs"/>
          <w:spacing w:val="-2"/>
          <w:szCs w:val="18"/>
          <w:rtl/>
        </w:rPr>
        <w:t>ً</w:t>
      </w:r>
      <w:r w:rsidRPr="00C72A60">
        <w:rPr>
          <w:spacing w:val="-2"/>
          <w:szCs w:val="18"/>
          <w:rtl/>
        </w:rPr>
        <w:t xml:space="preserve"> </w:t>
      </w:r>
      <w:r w:rsidRPr="00C72A60">
        <w:rPr>
          <w:i/>
          <w:iCs/>
          <w:spacing w:val="-2"/>
          <w:szCs w:val="18"/>
          <w:rtl/>
        </w:rPr>
        <w:t>ب. بي. وبي.</w:t>
      </w:r>
      <w:r w:rsidRPr="00AC418E">
        <w:rPr>
          <w:i/>
          <w:iCs/>
          <w:szCs w:val="18"/>
          <w:rtl/>
        </w:rPr>
        <w:t xml:space="preserve"> ب. ضد هولندا</w:t>
      </w:r>
      <w:r w:rsidRPr="00305CDD">
        <w:rPr>
          <w:szCs w:val="18"/>
          <w:rtl/>
        </w:rPr>
        <w:t xml:space="preserve"> (</w:t>
      </w:r>
      <w:hyperlink r:id="rId6" w:history="1">
        <w:r w:rsidRPr="002B2BA4">
          <w:rPr>
            <w:rStyle w:val="Hyperlink"/>
          </w:rPr>
          <w:t>CCPR/C/128/D/2974/2017</w:t>
        </w:r>
      </w:hyperlink>
      <w:r w:rsidRPr="002B2BA4">
        <w:rPr>
          <w:szCs w:val="18"/>
          <w:rtl/>
        </w:rPr>
        <w:t xml:space="preserve">)، </w:t>
      </w:r>
      <w:r w:rsidRPr="00305CDD">
        <w:rPr>
          <w:szCs w:val="18"/>
          <w:rtl/>
        </w:rPr>
        <w:t>الفقرة 9-</w:t>
      </w:r>
      <w:r w:rsidRPr="002B2BA4">
        <w:rPr>
          <w:szCs w:val="18"/>
          <w:rtl/>
        </w:rPr>
        <w:t xml:space="preserve">3. </w:t>
      </w:r>
    </w:p>
  </w:footnote>
  <w:footnote w:id="20">
    <w:p w14:paraId="773F0B56" w14:textId="77777777" w:rsidR="002B2BA4" w:rsidRPr="00F8022A" w:rsidRDefault="002B2BA4" w:rsidP="000167ED">
      <w:pPr>
        <w:pStyle w:val="FootnoteText"/>
        <w:tabs>
          <w:tab w:val="clear" w:pos="1021"/>
        </w:tabs>
        <w:bidi/>
        <w:spacing w:after="60" w:line="280" w:lineRule="exact"/>
        <w:ind w:left="1247" w:right="1247" w:hanging="567"/>
        <w:jc w:val="lowKashida"/>
        <w:rPr>
          <w:szCs w:val="18"/>
        </w:rPr>
      </w:pPr>
      <w:r w:rsidRPr="00F8022A">
        <w:rPr>
          <w:szCs w:val="18"/>
          <w:rtl/>
        </w:rPr>
        <w:t>(</w:t>
      </w:r>
      <w:r w:rsidRPr="00F8022A">
        <w:rPr>
          <w:szCs w:val="18"/>
          <w:rtl/>
        </w:rPr>
        <w:footnoteRef/>
      </w:r>
      <w:r w:rsidRPr="00F8022A">
        <w:rPr>
          <w:szCs w:val="18"/>
          <w:rtl/>
        </w:rPr>
        <w:t>)</w:t>
      </w:r>
      <w:r w:rsidRPr="00F8022A">
        <w:rPr>
          <w:szCs w:val="18"/>
        </w:rPr>
        <w:tab/>
      </w:r>
      <w:r w:rsidRPr="001206FE">
        <w:rPr>
          <w:iCs/>
          <w:szCs w:val="18"/>
          <w:rtl/>
        </w:rPr>
        <w:t>أي. بي. ضد فنلندا،</w:t>
      </w:r>
      <w:r w:rsidRPr="00F8022A">
        <w:rPr>
          <w:i/>
          <w:szCs w:val="18"/>
          <w:rtl/>
        </w:rPr>
        <w:t xml:space="preserve"> الفقرة 6-</w:t>
      </w:r>
      <w:r w:rsidRPr="002B2BA4">
        <w:rPr>
          <w:i/>
          <w:szCs w:val="18"/>
          <w:rtl/>
        </w:rPr>
        <w:t xml:space="preserve">2. </w:t>
      </w:r>
    </w:p>
  </w:footnote>
  <w:footnote w:id="21">
    <w:p w14:paraId="4E1D39F4" w14:textId="6B125C42" w:rsidR="002B2BA4" w:rsidRPr="00F8022A" w:rsidRDefault="002B2BA4" w:rsidP="002B2BA4">
      <w:pPr>
        <w:pStyle w:val="FootnoteText"/>
        <w:tabs>
          <w:tab w:val="clear" w:pos="1021"/>
        </w:tabs>
        <w:bidi/>
        <w:spacing w:after="60" w:line="280" w:lineRule="exact"/>
        <w:ind w:left="1247" w:right="1247" w:hanging="567"/>
        <w:jc w:val="lowKashida"/>
        <w:rPr>
          <w:szCs w:val="18"/>
          <w:lang w:val="fr-CH"/>
        </w:rPr>
      </w:pPr>
      <w:r w:rsidRPr="00F8022A">
        <w:rPr>
          <w:szCs w:val="18"/>
          <w:rtl/>
        </w:rPr>
        <w:t>(</w:t>
      </w:r>
      <w:r w:rsidRPr="00F8022A">
        <w:rPr>
          <w:szCs w:val="18"/>
          <w:rtl/>
        </w:rPr>
        <w:footnoteRef/>
      </w:r>
      <w:r w:rsidRPr="00F8022A">
        <w:rPr>
          <w:szCs w:val="18"/>
          <w:rtl/>
        </w:rPr>
        <w:t>)</w:t>
      </w:r>
      <w:r w:rsidRPr="00F8022A">
        <w:rPr>
          <w:rStyle w:val="FootnoteReference"/>
        </w:rPr>
        <w:tab/>
      </w:r>
      <w:r w:rsidRPr="00F8022A">
        <w:rPr>
          <w:szCs w:val="18"/>
          <w:rtl/>
          <w:lang w:val="fr-CH"/>
        </w:rPr>
        <w:t>انظر(ي</w:t>
      </w:r>
      <w:r w:rsidRPr="002B2BA4">
        <w:rPr>
          <w:szCs w:val="18"/>
          <w:rtl/>
          <w:lang w:val="fr-CH"/>
        </w:rPr>
        <w:t xml:space="preserve">)، </w:t>
      </w:r>
      <w:r w:rsidRPr="00F8022A">
        <w:rPr>
          <w:szCs w:val="18"/>
          <w:rtl/>
          <w:lang w:val="fr-CH"/>
        </w:rPr>
        <w:t xml:space="preserve">على بسيل المثال، </w:t>
      </w:r>
      <w:r w:rsidRPr="001206FE">
        <w:rPr>
          <w:i/>
          <w:iCs/>
          <w:szCs w:val="18"/>
          <w:rtl/>
          <w:lang w:val="fr-CH"/>
        </w:rPr>
        <w:t>إ. ج. ضد هولندا،</w:t>
      </w:r>
      <w:r w:rsidRPr="00F8022A">
        <w:rPr>
          <w:szCs w:val="18"/>
          <w:rtl/>
          <w:lang w:val="fr-CH"/>
        </w:rPr>
        <w:t xml:space="preserve"> (</w:t>
      </w:r>
      <w:hyperlink r:id="rId7" w:history="1">
        <w:r w:rsidRPr="002B2BA4">
          <w:rPr>
            <w:rStyle w:val="Hyperlink"/>
          </w:rPr>
          <w:t>CCPR/C/118/D/2299/2013</w:t>
        </w:r>
      </w:hyperlink>
      <w:r w:rsidRPr="002B2BA4">
        <w:rPr>
          <w:szCs w:val="18"/>
          <w:rtl/>
          <w:lang w:val="fr-CH"/>
        </w:rPr>
        <w:t xml:space="preserve">)، </w:t>
      </w:r>
      <w:r w:rsidRPr="00F8022A">
        <w:rPr>
          <w:szCs w:val="18"/>
          <w:rtl/>
          <w:lang w:val="fr-CH"/>
        </w:rPr>
        <w:t>الفقرة 6-1</w:t>
      </w:r>
      <w:r w:rsidRPr="002B2BA4">
        <w:rPr>
          <w:szCs w:val="18"/>
          <w:rtl/>
          <w:lang w:val="fr-CH"/>
        </w:rPr>
        <w:t xml:space="preserve">1. </w:t>
      </w:r>
    </w:p>
  </w:footnote>
  <w:footnote w:id="22">
    <w:p w14:paraId="55A64A7C" w14:textId="77777777" w:rsidR="002B2BA4" w:rsidRPr="00F8022A" w:rsidRDefault="002B2BA4" w:rsidP="002B2BA4">
      <w:pPr>
        <w:pStyle w:val="FootnoteText"/>
        <w:tabs>
          <w:tab w:val="clear" w:pos="1021"/>
        </w:tabs>
        <w:bidi/>
        <w:spacing w:after="60" w:line="280" w:lineRule="exact"/>
        <w:ind w:left="1247" w:right="1247" w:hanging="567"/>
        <w:jc w:val="lowKashida"/>
        <w:textDirection w:val="tbRlV"/>
        <w:rPr>
          <w:rFonts w:cs="Times New Roman"/>
          <w:szCs w:val="18"/>
          <w:rtl/>
          <w:lang w:val="ar-SA" w:eastAsia="zh-TW"/>
        </w:rPr>
      </w:pPr>
      <w:r w:rsidRPr="00F8022A">
        <w:rPr>
          <w:szCs w:val="18"/>
          <w:rtl/>
        </w:rPr>
        <w:t>(</w:t>
      </w:r>
      <w:r w:rsidRPr="00F8022A">
        <w:rPr>
          <w:szCs w:val="18"/>
          <w:rtl/>
        </w:rPr>
        <w:footnoteRef/>
      </w:r>
      <w:r w:rsidRPr="00F8022A">
        <w:rPr>
          <w:szCs w:val="18"/>
          <w:rtl/>
        </w:rPr>
        <w:t>)</w:t>
      </w:r>
      <w:r w:rsidRPr="00F8022A">
        <w:rPr>
          <w:szCs w:val="18"/>
          <w:rtl/>
        </w:rPr>
        <w:tab/>
        <w:t xml:space="preserve">التعليق العام رقم </w:t>
      </w:r>
      <w:r w:rsidRPr="00F8022A">
        <w:rPr>
          <w:rFonts w:ascii="Simplified Arabic"/>
          <w:szCs w:val="18"/>
          <w:rtl/>
        </w:rPr>
        <w:t>32(2007</w:t>
      </w:r>
      <w:r w:rsidRPr="002B2BA4">
        <w:rPr>
          <w:rFonts w:ascii="Simplified Arabic"/>
          <w:szCs w:val="18"/>
          <w:rtl/>
        </w:rPr>
        <w:t>)</w:t>
      </w:r>
      <w:r w:rsidRPr="002B2BA4">
        <w:rPr>
          <w:szCs w:val="18"/>
          <w:rtl/>
        </w:rPr>
        <w:t xml:space="preserve">، </w:t>
      </w:r>
      <w:r w:rsidRPr="00F8022A">
        <w:rPr>
          <w:szCs w:val="18"/>
          <w:rtl/>
        </w:rPr>
        <w:t xml:space="preserve">الفقرة </w:t>
      </w:r>
      <w:r w:rsidRPr="00F8022A">
        <w:rPr>
          <w:rFonts w:ascii="Simplified Arabic"/>
          <w:szCs w:val="18"/>
          <w:rtl/>
        </w:rPr>
        <w:t>2</w:t>
      </w:r>
      <w:r w:rsidRPr="002B2BA4">
        <w:rPr>
          <w:rFonts w:ascii="Simplified Arabic"/>
          <w:szCs w:val="18"/>
          <w:rtl/>
        </w:rPr>
        <w:t>6.</w:t>
      </w:r>
      <w:r w:rsidRPr="002B2BA4">
        <w:rPr>
          <w:szCs w:val="18"/>
          <w:rtl/>
        </w:rPr>
        <w:t xml:space="preserve"> </w:t>
      </w:r>
      <w:r w:rsidRPr="00F8022A">
        <w:rPr>
          <w:szCs w:val="18"/>
          <w:rtl/>
        </w:rPr>
        <w:t>وانظر(ي) أيضا</w:t>
      </w:r>
      <w:r>
        <w:rPr>
          <w:rFonts w:hint="cs"/>
          <w:szCs w:val="18"/>
          <w:rtl/>
        </w:rPr>
        <w:t>ً</w:t>
      </w:r>
      <w:r w:rsidRPr="00F8022A">
        <w:rPr>
          <w:szCs w:val="18"/>
          <w:rtl/>
        </w:rPr>
        <w:t xml:space="preserve"> </w:t>
      </w:r>
      <w:proofErr w:type="spellStart"/>
      <w:r w:rsidRPr="00AC418E">
        <w:rPr>
          <w:i/>
          <w:iCs/>
          <w:szCs w:val="18"/>
          <w:rtl/>
        </w:rPr>
        <w:t>ريدل</w:t>
      </w:r>
      <w:proofErr w:type="spellEnd"/>
      <w:r w:rsidRPr="00AC418E">
        <w:rPr>
          <w:i/>
          <w:iCs/>
          <w:szCs w:val="18"/>
          <w:rtl/>
        </w:rPr>
        <w:t xml:space="preserve"> - </w:t>
      </w:r>
      <w:proofErr w:type="spellStart"/>
      <w:r w:rsidRPr="00AC418E">
        <w:rPr>
          <w:i/>
          <w:iCs/>
          <w:szCs w:val="18"/>
          <w:rtl/>
        </w:rPr>
        <w:t>ريدنستاين</w:t>
      </w:r>
      <w:proofErr w:type="spellEnd"/>
      <w:r w:rsidRPr="00AC418E">
        <w:rPr>
          <w:i/>
          <w:iCs/>
          <w:szCs w:val="18"/>
          <w:rtl/>
        </w:rPr>
        <w:t xml:space="preserve"> وآخرون ضد ألمانيا</w:t>
      </w:r>
      <w:r w:rsidRPr="00F8022A">
        <w:rPr>
          <w:szCs w:val="18"/>
          <w:rtl/>
        </w:rPr>
        <w:t xml:space="preserve"> </w:t>
      </w:r>
      <w:r w:rsidRPr="00F8022A">
        <w:rPr>
          <w:rFonts w:ascii="Simplified Arabic"/>
          <w:szCs w:val="18"/>
          <w:rtl/>
        </w:rPr>
        <w:t>(</w:t>
      </w:r>
      <w:hyperlink r:id="rId8" w:history="1">
        <w:r w:rsidRPr="002B2BA4">
          <w:rPr>
            <w:rStyle w:val="Hyperlink"/>
          </w:rPr>
          <w:t>CCPR/C/82/D/1188/2003</w:t>
        </w:r>
      </w:hyperlink>
      <w:r w:rsidRPr="002B2BA4">
        <w:rPr>
          <w:rFonts w:ascii="Simplified Arabic"/>
          <w:szCs w:val="18"/>
          <w:rtl/>
        </w:rPr>
        <w:t>)</w:t>
      </w:r>
      <w:r w:rsidRPr="002B2BA4">
        <w:rPr>
          <w:szCs w:val="18"/>
          <w:rtl/>
        </w:rPr>
        <w:t xml:space="preserve">، </w:t>
      </w:r>
      <w:r w:rsidRPr="00F8022A">
        <w:rPr>
          <w:szCs w:val="18"/>
          <w:rtl/>
        </w:rPr>
        <w:t xml:space="preserve">الفقرة </w:t>
      </w:r>
      <w:r w:rsidRPr="00F8022A">
        <w:rPr>
          <w:rFonts w:ascii="Simplified Arabic"/>
          <w:szCs w:val="18"/>
          <w:rtl/>
        </w:rPr>
        <w:t>7-3</w:t>
      </w:r>
      <w:r w:rsidRPr="00F8022A">
        <w:rPr>
          <w:szCs w:val="18"/>
          <w:rtl/>
        </w:rPr>
        <w:t xml:space="preserve">؛ </w:t>
      </w:r>
      <w:proofErr w:type="spellStart"/>
      <w:r w:rsidRPr="00F8022A">
        <w:rPr>
          <w:szCs w:val="18"/>
          <w:rtl/>
        </w:rPr>
        <w:t>و</w:t>
      </w:r>
      <w:r w:rsidRPr="00AC418E">
        <w:rPr>
          <w:i/>
          <w:iCs/>
          <w:szCs w:val="18"/>
          <w:rtl/>
        </w:rPr>
        <w:t>شيدكو</w:t>
      </w:r>
      <w:proofErr w:type="spellEnd"/>
      <w:r w:rsidRPr="00AC418E">
        <w:rPr>
          <w:i/>
          <w:iCs/>
          <w:szCs w:val="18"/>
          <w:rtl/>
        </w:rPr>
        <w:t xml:space="preserve"> ضد بيلاروس</w:t>
      </w:r>
      <w:r w:rsidRPr="00F8022A">
        <w:rPr>
          <w:szCs w:val="18"/>
          <w:rtl/>
        </w:rPr>
        <w:t xml:space="preserve"> </w:t>
      </w:r>
      <w:r w:rsidRPr="00F8022A">
        <w:rPr>
          <w:rFonts w:ascii="Simplified Arabic"/>
          <w:szCs w:val="18"/>
          <w:rtl/>
        </w:rPr>
        <w:t>(</w:t>
      </w:r>
      <w:hyperlink r:id="rId9" w:history="1">
        <w:r w:rsidRPr="002B2BA4">
          <w:rPr>
            <w:rStyle w:val="Hyperlink"/>
          </w:rPr>
          <w:t>CCPR/C/77/D/886/1999</w:t>
        </w:r>
      </w:hyperlink>
      <w:r w:rsidRPr="002B2BA4">
        <w:rPr>
          <w:rFonts w:ascii="Simplified Arabic"/>
          <w:szCs w:val="18"/>
          <w:rtl/>
        </w:rPr>
        <w:t>)</w:t>
      </w:r>
      <w:r w:rsidRPr="002B2BA4">
        <w:rPr>
          <w:szCs w:val="18"/>
          <w:rtl/>
        </w:rPr>
        <w:t xml:space="preserve">، </w:t>
      </w:r>
      <w:r w:rsidRPr="00F8022A">
        <w:rPr>
          <w:szCs w:val="18"/>
          <w:rtl/>
        </w:rPr>
        <w:t xml:space="preserve">الفقرة </w:t>
      </w:r>
      <w:r w:rsidRPr="00F8022A">
        <w:rPr>
          <w:rFonts w:ascii="Simplified Arabic"/>
          <w:szCs w:val="18"/>
          <w:rtl/>
        </w:rPr>
        <w:t>9-3</w:t>
      </w:r>
      <w:r w:rsidRPr="00F8022A">
        <w:rPr>
          <w:szCs w:val="18"/>
          <w:rtl/>
        </w:rPr>
        <w:t xml:space="preserve">؛ </w:t>
      </w:r>
      <w:proofErr w:type="spellStart"/>
      <w:r w:rsidRPr="00F8022A">
        <w:rPr>
          <w:szCs w:val="18"/>
          <w:rtl/>
        </w:rPr>
        <w:t>و</w:t>
      </w:r>
      <w:r w:rsidRPr="00AC418E">
        <w:rPr>
          <w:i/>
          <w:iCs/>
          <w:szCs w:val="18"/>
          <w:rtl/>
        </w:rPr>
        <w:t>آرينس</w:t>
      </w:r>
      <w:proofErr w:type="spellEnd"/>
      <w:r w:rsidRPr="00AC418E">
        <w:rPr>
          <w:i/>
          <w:iCs/>
          <w:szCs w:val="18"/>
          <w:rtl/>
        </w:rPr>
        <w:t xml:space="preserve"> وآخرون ضد ألمانيا</w:t>
      </w:r>
      <w:r w:rsidRPr="00F8022A">
        <w:rPr>
          <w:szCs w:val="18"/>
          <w:rtl/>
        </w:rPr>
        <w:t xml:space="preserve"> </w:t>
      </w:r>
      <w:r w:rsidRPr="00F8022A">
        <w:rPr>
          <w:rFonts w:ascii="Simplified Arabic"/>
          <w:szCs w:val="18"/>
          <w:rtl/>
        </w:rPr>
        <w:t>(</w:t>
      </w:r>
      <w:hyperlink r:id="rId10" w:history="1">
        <w:r w:rsidRPr="002B2BA4">
          <w:rPr>
            <w:rStyle w:val="Hyperlink"/>
          </w:rPr>
          <w:t>CCPR/C/80/D/1138/2002</w:t>
        </w:r>
      </w:hyperlink>
      <w:r w:rsidRPr="002B2BA4">
        <w:rPr>
          <w:rFonts w:ascii="Simplified Arabic"/>
          <w:szCs w:val="18"/>
          <w:rtl/>
        </w:rPr>
        <w:t>)</w:t>
      </w:r>
      <w:r w:rsidRPr="002B2BA4">
        <w:rPr>
          <w:szCs w:val="18"/>
          <w:rtl/>
        </w:rPr>
        <w:t xml:space="preserve">، </w:t>
      </w:r>
      <w:r w:rsidRPr="00F8022A">
        <w:rPr>
          <w:szCs w:val="18"/>
          <w:rtl/>
        </w:rPr>
        <w:t xml:space="preserve">الفقرة </w:t>
      </w:r>
      <w:r w:rsidRPr="00F8022A">
        <w:rPr>
          <w:rFonts w:ascii="Simplified Arabic"/>
          <w:szCs w:val="18"/>
          <w:rtl/>
        </w:rPr>
        <w:t>8-6</w:t>
      </w:r>
      <w:r w:rsidRPr="00F8022A">
        <w:rPr>
          <w:szCs w:val="18"/>
          <w:rtl/>
        </w:rPr>
        <w:t xml:space="preserve">؛ </w:t>
      </w:r>
      <w:proofErr w:type="spellStart"/>
      <w:r w:rsidRPr="00F8022A">
        <w:rPr>
          <w:szCs w:val="18"/>
          <w:rtl/>
        </w:rPr>
        <w:t>و</w:t>
      </w:r>
      <w:r w:rsidRPr="00AC418E">
        <w:rPr>
          <w:i/>
          <w:iCs/>
          <w:szCs w:val="18"/>
          <w:rtl/>
        </w:rPr>
        <w:t>م</w:t>
      </w:r>
      <w:proofErr w:type="spellEnd"/>
      <w:r w:rsidRPr="00AC418E">
        <w:rPr>
          <w:i/>
          <w:iCs/>
          <w:szCs w:val="18"/>
          <w:rtl/>
        </w:rPr>
        <w:t>. س. ضد هولندا</w:t>
      </w:r>
      <w:r w:rsidRPr="00F8022A">
        <w:rPr>
          <w:szCs w:val="18"/>
          <w:rtl/>
        </w:rPr>
        <w:t xml:space="preserve"> </w:t>
      </w:r>
      <w:r w:rsidRPr="00F8022A">
        <w:rPr>
          <w:rFonts w:ascii="Simplified Arabic"/>
          <w:szCs w:val="18"/>
          <w:rtl/>
        </w:rPr>
        <w:t>(</w:t>
      </w:r>
      <w:hyperlink r:id="rId11" w:history="1">
        <w:r w:rsidRPr="002B2BA4">
          <w:rPr>
            <w:rStyle w:val="Hyperlink"/>
          </w:rPr>
          <w:t>CCPR/C/127/D/2739/2016</w:t>
        </w:r>
      </w:hyperlink>
      <w:r w:rsidRPr="002B2BA4">
        <w:rPr>
          <w:rFonts w:ascii="Simplified Arabic"/>
          <w:szCs w:val="18"/>
          <w:rtl/>
        </w:rPr>
        <w:t>)</w:t>
      </w:r>
      <w:r w:rsidRPr="002B2BA4">
        <w:rPr>
          <w:szCs w:val="18"/>
          <w:rtl/>
        </w:rPr>
        <w:t xml:space="preserve">، </w:t>
      </w:r>
      <w:r w:rsidRPr="00F8022A">
        <w:rPr>
          <w:szCs w:val="18"/>
          <w:rtl/>
        </w:rPr>
        <w:t xml:space="preserve">الفقرة </w:t>
      </w:r>
      <w:r w:rsidRPr="00F8022A">
        <w:rPr>
          <w:rFonts w:ascii="Simplified Arabic"/>
          <w:szCs w:val="18"/>
          <w:rtl/>
        </w:rPr>
        <w:t>6-</w:t>
      </w:r>
      <w:r w:rsidRPr="002B2BA4">
        <w:rPr>
          <w:rFonts w:ascii="Simplified Arabic"/>
          <w:szCs w:val="18"/>
          <w:rtl/>
        </w:rPr>
        <w:t xml:space="preserve">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2BC0" w14:textId="3C3E6607" w:rsidR="00F90546" w:rsidRPr="00F90546" w:rsidRDefault="00F90546" w:rsidP="00F90546">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CCPR/C/136/D/3015/2017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6131" w14:textId="2DF53595" w:rsidR="00F90546" w:rsidRPr="00F90546" w:rsidRDefault="00F90546" w:rsidP="00F90546">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CCPR/C/136/D/3015/2017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94250653">
    <w:abstractNumId w:val="15"/>
  </w:num>
  <w:num w:numId="2" w16cid:durableId="732124716">
    <w:abstractNumId w:val="12"/>
  </w:num>
  <w:num w:numId="3" w16cid:durableId="1847399363">
    <w:abstractNumId w:val="2"/>
  </w:num>
  <w:num w:numId="4" w16cid:durableId="1237322985">
    <w:abstractNumId w:val="11"/>
  </w:num>
  <w:num w:numId="5" w16cid:durableId="78721826">
    <w:abstractNumId w:val="8"/>
  </w:num>
  <w:num w:numId="6" w16cid:durableId="2056081516">
    <w:abstractNumId w:val="5"/>
  </w:num>
  <w:num w:numId="7" w16cid:durableId="1838568339">
    <w:abstractNumId w:val="17"/>
  </w:num>
  <w:num w:numId="8" w16cid:durableId="1331299543">
    <w:abstractNumId w:val="2"/>
  </w:num>
  <w:num w:numId="9" w16cid:durableId="1699310108">
    <w:abstractNumId w:val="11"/>
  </w:num>
  <w:num w:numId="10" w16cid:durableId="452208642">
    <w:abstractNumId w:val="5"/>
  </w:num>
  <w:num w:numId="11" w16cid:durableId="553008383">
    <w:abstractNumId w:val="17"/>
  </w:num>
  <w:num w:numId="12" w16cid:durableId="1289048263">
    <w:abstractNumId w:val="2"/>
  </w:num>
  <w:num w:numId="13" w16cid:durableId="1110734834">
    <w:abstractNumId w:val="11"/>
  </w:num>
  <w:num w:numId="14" w16cid:durableId="1378122515">
    <w:abstractNumId w:val="8"/>
  </w:num>
  <w:num w:numId="15" w16cid:durableId="429469354">
    <w:abstractNumId w:val="5"/>
  </w:num>
  <w:num w:numId="16" w16cid:durableId="1346134620">
    <w:abstractNumId w:val="17"/>
  </w:num>
  <w:num w:numId="17" w16cid:durableId="304743566">
    <w:abstractNumId w:val="4"/>
  </w:num>
  <w:num w:numId="18" w16cid:durableId="2054111985">
    <w:abstractNumId w:val="3"/>
  </w:num>
  <w:num w:numId="19" w16cid:durableId="2075471896">
    <w:abstractNumId w:val="16"/>
  </w:num>
  <w:num w:numId="20" w16cid:durableId="780101506">
    <w:abstractNumId w:val="13"/>
  </w:num>
  <w:num w:numId="21" w16cid:durableId="1533303377">
    <w:abstractNumId w:val="1"/>
  </w:num>
  <w:num w:numId="22" w16cid:durableId="1637487148">
    <w:abstractNumId w:val="14"/>
  </w:num>
  <w:num w:numId="23" w16cid:durableId="1256789877">
    <w:abstractNumId w:val="0"/>
  </w:num>
  <w:num w:numId="24" w16cid:durableId="890728281">
    <w:abstractNumId w:val="9"/>
  </w:num>
  <w:num w:numId="25" w16cid:durableId="450050884">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9264998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2118086">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922786945">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16cid:durableId="1606959810">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16cid:durableId="841703348">
    <w:abstractNumId w:val="7"/>
  </w:num>
  <w:num w:numId="31" w16cid:durableId="1689603363">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202397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99"/>
    <w:rsid w:val="00006AB2"/>
    <w:rsid w:val="000076D5"/>
    <w:rsid w:val="000167ED"/>
    <w:rsid w:val="000179F7"/>
    <w:rsid w:val="00043663"/>
    <w:rsid w:val="000437B8"/>
    <w:rsid w:val="000505CF"/>
    <w:rsid w:val="000D1892"/>
    <w:rsid w:val="000D701C"/>
    <w:rsid w:val="000E2A71"/>
    <w:rsid w:val="0011413F"/>
    <w:rsid w:val="001206FE"/>
    <w:rsid w:val="00127AA7"/>
    <w:rsid w:val="001418D4"/>
    <w:rsid w:val="00145577"/>
    <w:rsid w:val="00160263"/>
    <w:rsid w:val="00181F96"/>
    <w:rsid w:val="001872B1"/>
    <w:rsid w:val="001A1371"/>
    <w:rsid w:val="001B043F"/>
    <w:rsid w:val="001B346A"/>
    <w:rsid w:val="001E1CAD"/>
    <w:rsid w:val="001E290D"/>
    <w:rsid w:val="002144FA"/>
    <w:rsid w:val="00215042"/>
    <w:rsid w:val="0023358F"/>
    <w:rsid w:val="0023469A"/>
    <w:rsid w:val="00243C8A"/>
    <w:rsid w:val="00253C2F"/>
    <w:rsid w:val="00267A0E"/>
    <w:rsid w:val="002901D9"/>
    <w:rsid w:val="002976C2"/>
    <w:rsid w:val="002B2BA4"/>
    <w:rsid w:val="002B72F7"/>
    <w:rsid w:val="00305CDD"/>
    <w:rsid w:val="003068BC"/>
    <w:rsid w:val="003260FF"/>
    <w:rsid w:val="00343D95"/>
    <w:rsid w:val="0035624A"/>
    <w:rsid w:val="00363A18"/>
    <w:rsid w:val="00374341"/>
    <w:rsid w:val="00384D39"/>
    <w:rsid w:val="003D1062"/>
    <w:rsid w:val="00402051"/>
    <w:rsid w:val="00420D7B"/>
    <w:rsid w:val="00432631"/>
    <w:rsid w:val="00437CE7"/>
    <w:rsid w:val="00450B21"/>
    <w:rsid w:val="00453B63"/>
    <w:rsid w:val="00455780"/>
    <w:rsid w:val="0047348A"/>
    <w:rsid w:val="004B0A1C"/>
    <w:rsid w:val="004B27E0"/>
    <w:rsid w:val="004D298E"/>
    <w:rsid w:val="005044B3"/>
    <w:rsid w:val="00516A07"/>
    <w:rsid w:val="00517BC9"/>
    <w:rsid w:val="0054472E"/>
    <w:rsid w:val="005662A9"/>
    <w:rsid w:val="005827D4"/>
    <w:rsid w:val="0058508B"/>
    <w:rsid w:val="0059622A"/>
    <w:rsid w:val="005B51C4"/>
    <w:rsid w:val="005C0061"/>
    <w:rsid w:val="005C5878"/>
    <w:rsid w:val="005C7CEA"/>
    <w:rsid w:val="005D3C0B"/>
    <w:rsid w:val="005D427B"/>
    <w:rsid w:val="005E5217"/>
    <w:rsid w:val="005F0FA4"/>
    <w:rsid w:val="005F30EE"/>
    <w:rsid w:val="005F5271"/>
    <w:rsid w:val="0060473A"/>
    <w:rsid w:val="00617024"/>
    <w:rsid w:val="00636715"/>
    <w:rsid w:val="00652221"/>
    <w:rsid w:val="00656392"/>
    <w:rsid w:val="00661399"/>
    <w:rsid w:val="006645EC"/>
    <w:rsid w:val="0068781D"/>
    <w:rsid w:val="006959B0"/>
    <w:rsid w:val="006B3E27"/>
    <w:rsid w:val="006B6507"/>
    <w:rsid w:val="006C104C"/>
    <w:rsid w:val="006C632E"/>
    <w:rsid w:val="00717FB3"/>
    <w:rsid w:val="00722CAF"/>
    <w:rsid w:val="00730446"/>
    <w:rsid w:val="00733704"/>
    <w:rsid w:val="0078071A"/>
    <w:rsid w:val="00781D42"/>
    <w:rsid w:val="00787022"/>
    <w:rsid w:val="00787E1E"/>
    <w:rsid w:val="007D723A"/>
    <w:rsid w:val="007F75E1"/>
    <w:rsid w:val="00820E69"/>
    <w:rsid w:val="00832184"/>
    <w:rsid w:val="00841B1A"/>
    <w:rsid w:val="00844F98"/>
    <w:rsid w:val="00852A9A"/>
    <w:rsid w:val="00861AA2"/>
    <w:rsid w:val="008C1A13"/>
    <w:rsid w:val="008F49E1"/>
    <w:rsid w:val="0090370F"/>
    <w:rsid w:val="0092400A"/>
    <w:rsid w:val="009269D2"/>
    <w:rsid w:val="00942135"/>
    <w:rsid w:val="00950EBE"/>
    <w:rsid w:val="009521B0"/>
    <w:rsid w:val="00957437"/>
    <w:rsid w:val="00982139"/>
    <w:rsid w:val="009867A8"/>
    <w:rsid w:val="00991F44"/>
    <w:rsid w:val="00997D12"/>
    <w:rsid w:val="009A0CFB"/>
    <w:rsid w:val="009A7E9F"/>
    <w:rsid w:val="009B43D2"/>
    <w:rsid w:val="009C17EC"/>
    <w:rsid w:val="009E5018"/>
    <w:rsid w:val="00A03700"/>
    <w:rsid w:val="00A053F2"/>
    <w:rsid w:val="00A12B37"/>
    <w:rsid w:val="00A24F8D"/>
    <w:rsid w:val="00A54828"/>
    <w:rsid w:val="00A9246C"/>
    <w:rsid w:val="00A97E1F"/>
    <w:rsid w:val="00AB512E"/>
    <w:rsid w:val="00AB6758"/>
    <w:rsid w:val="00AB727F"/>
    <w:rsid w:val="00AC418E"/>
    <w:rsid w:val="00B13763"/>
    <w:rsid w:val="00B35E04"/>
    <w:rsid w:val="00B45B5F"/>
    <w:rsid w:val="00B477A4"/>
    <w:rsid w:val="00B54045"/>
    <w:rsid w:val="00B63ADD"/>
    <w:rsid w:val="00BB09A0"/>
    <w:rsid w:val="00C175A6"/>
    <w:rsid w:val="00C32048"/>
    <w:rsid w:val="00C41DCF"/>
    <w:rsid w:val="00C42AF7"/>
    <w:rsid w:val="00C438D7"/>
    <w:rsid w:val="00C62C20"/>
    <w:rsid w:val="00C72A60"/>
    <w:rsid w:val="00C81B50"/>
    <w:rsid w:val="00C902EF"/>
    <w:rsid w:val="00CB0011"/>
    <w:rsid w:val="00CB6622"/>
    <w:rsid w:val="00CB7B14"/>
    <w:rsid w:val="00CC6851"/>
    <w:rsid w:val="00CD1801"/>
    <w:rsid w:val="00CD4DFE"/>
    <w:rsid w:val="00CF56F9"/>
    <w:rsid w:val="00CF65C6"/>
    <w:rsid w:val="00D00A89"/>
    <w:rsid w:val="00D10EF1"/>
    <w:rsid w:val="00D31C5F"/>
    <w:rsid w:val="00D3331D"/>
    <w:rsid w:val="00D42810"/>
    <w:rsid w:val="00D5203A"/>
    <w:rsid w:val="00D60DD5"/>
    <w:rsid w:val="00D914A7"/>
    <w:rsid w:val="00DC4D4B"/>
    <w:rsid w:val="00DD13C3"/>
    <w:rsid w:val="00DD596E"/>
    <w:rsid w:val="00DD621E"/>
    <w:rsid w:val="00DE50B1"/>
    <w:rsid w:val="00DF0138"/>
    <w:rsid w:val="00DF0575"/>
    <w:rsid w:val="00E2228E"/>
    <w:rsid w:val="00E4419C"/>
    <w:rsid w:val="00E70E04"/>
    <w:rsid w:val="00E77E6C"/>
    <w:rsid w:val="00E83ED5"/>
    <w:rsid w:val="00E87B23"/>
    <w:rsid w:val="00EC05A7"/>
    <w:rsid w:val="00EC4B6B"/>
    <w:rsid w:val="00EC68A5"/>
    <w:rsid w:val="00ED7442"/>
    <w:rsid w:val="00ED75BE"/>
    <w:rsid w:val="00EF1EE5"/>
    <w:rsid w:val="00EF4F16"/>
    <w:rsid w:val="00EF5C43"/>
    <w:rsid w:val="00F10DAB"/>
    <w:rsid w:val="00F46D42"/>
    <w:rsid w:val="00F763B4"/>
    <w:rsid w:val="00F8022A"/>
    <w:rsid w:val="00F83AAF"/>
    <w:rsid w:val="00F900C3"/>
    <w:rsid w:val="00F90546"/>
    <w:rsid w:val="00FC6EDD"/>
    <w:rsid w:val="00FD46E2"/>
    <w:rsid w:val="00FE502A"/>
    <w:rsid w:val="00FE7BF3"/>
    <w:rsid w:val="00FF2AB2"/>
    <w:rsid w:val="00FF6ECD"/>
    <w:rsid w:val="00FF7D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FE5952"/>
  <w15:docId w15:val="{53720840-503D-4B7A-A163-0F159B33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82/D/1188/2003" TargetMode="External"/><Relationship Id="rId3" Type="http://schemas.openxmlformats.org/officeDocument/2006/relationships/hyperlink" Target="https://undocs.org/ar/CCPR/C/96/D/1639/2007" TargetMode="External"/><Relationship Id="rId7" Type="http://schemas.openxmlformats.org/officeDocument/2006/relationships/hyperlink" Target="http://undocs.org/ar/CCPR/C/118/D/2299/2013" TargetMode="External"/><Relationship Id="rId2" Type="http://schemas.openxmlformats.org/officeDocument/2006/relationships/hyperlink" Target="https://undocs.org/ar/CCPR/C/126/D/2701/2015" TargetMode="External"/><Relationship Id="rId1" Type="http://schemas.openxmlformats.org/officeDocument/2006/relationships/hyperlink" Target="https://undocs.org/ar/CCPR/C/96/D/1364/2005" TargetMode="External"/><Relationship Id="rId6" Type="http://schemas.openxmlformats.org/officeDocument/2006/relationships/hyperlink" Target="https://undocs.org/ar/CCPR/C/128/D/2974/2017" TargetMode="External"/><Relationship Id="rId11" Type="http://schemas.openxmlformats.org/officeDocument/2006/relationships/hyperlink" Target="https://undocs.org/ar/CCPR/C/127/D/2739/2016" TargetMode="External"/><Relationship Id="rId5" Type="http://schemas.openxmlformats.org/officeDocument/2006/relationships/hyperlink" Target="https://undocs.org/ar/CCPR/C/95/D/1511/2006" TargetMode="External"/><Relationship Id="rId10" Type="http://schemas.openxmlformats.org/officeDocument/2006/relationships/hyperlink" Target="https://undocs.org/ar/CCPR/C/80/D/1138/2002" TargetMode="External"/><Relationship Id="rId4" Type="http://schemas.openxmlformats.org/officeDocument/2006/relationships/hyperlink" Target="https://undocs.org/ar/CCPR/C/115/D/2072/2011" TargetMode="External"/><Relationship Id="rId9" Type="http://schemas.openxmlformats.org/officeDocument/2006/relationships/hyperlink" Target="https://undocs.org/ar/CCPR/C/77/D/886/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CCPR/C/136/D/3015/2017</vt:lpstr>
    </vt:vector>
  </TitlesOfParts>
  <Company>DCM</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CCPR/C/136/D/3015/2017</dc:title>
  <dc:subject>GE.2226920(A)</dc:subject>
  <dc:creator>Ihab RIZ - </dc:creator>
  <cp:keywords>GE.(A)</cp:keywords>
  <dc:description>General_x000d_
_x000d_
Arabic_x000d_
English</dc:description>
  <cp:lastModifiedBy>Jamal Alkahlout</cp:lastModifiedBy>
  <cp:revision>2</cp:revision>
  <dcterms:created xsi:type="dcterms:W3CDTF">2023-03-09T06:28:00Z</dcterms:created>
  <dcterms:modified xsi:type="dcterms:W3CDTF">2023-03-09T06:28:00Z</dcterms:modified>
  <cp:category>Finale</cp:category>
</cp:coreProperties>
</file>