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C175A6" w14:paraId="0C3773A9" w14:textId="77777777" w:rsidTr="005B51C4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0B8448E2" w14:textId="77777777" w:rsidR="006B3E27" w:rsidRPr="00C175A6" w:rsidRDefault="006B3E27" w:rsidP="00482E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cs"/>
                <w:sz w:val="56"/>
                <w:szCs w:val="56"/>
                <w:rtl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ECAAE4" w14:textId="77777777" w:rsidR="006B3E27" w:rsidRPr="00C175A6" w:rsidRDefault="006B3E27" w:rsidP="00730446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175A6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64CDC9" w14:textId="48840B50" w:rsidR="006B3E27" w:rsidRPr="0026631F" w:rsidRDefault="0026631F" w:rsidP="0026631F">
            <w:pPr>
              <w:bidi w:val="0"/>
              <w:rPr>
                <w:szCs w:val="20"/>
              </w:rPr>
            </w:pPr>
            <w:r w:rsidRPr="0026631F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/C/130/D/2507/2014</w:t>
            </w:r>
          </w:p>
        </w:tc>
      </w:tr>
      <w:tr w:rsidR="006B3E27" w:rsidRPr="00C175A6" w14:paraId="50FBF82A" w14:textId="77777777" w:rsidTr="005B51C4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5CD37D" w14:textId="77777777" w:rsidR="006B3E27" w:rsidRPr="00C175A6" w:rsidRDefault="00E2228E" w:rsidP="009A0CFB">
            <w:pPr>
              <w:spacing w:before="120"/>
              <w:jc w:val="center"/>
              <w:rPr>
                <w:sz w:val="56"/>
                <w:szCs w:val="56"/>
                <w:rtl/>
              </w:rPr>
            </w:pPr>
            <w:r w:rsidRPr="00C175A6">
              <w:rPr>
                <w:noProof/>
                <w:sz w:val="56"/>
                <w:szCs w:val="56"/>
              </w:rPr>
              <w:drawing>
                <wp:inline distT="0" distB="0" distL="0" distR="0" wp14:anchorId="6AFDEA6F" wp14:editId="2A179EAF">
                  <wp:extent cx="628015" cy="607060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2A4BFB" w14:textId="77777777" w:rsidR="006B3E27" w:rsidRPr="00C175A6" w:rsidRDefault="00ED7442" w:rsidP="00730446">
            <w:pPr>
              <w:spacing w:before="120" w:after="40" w:line="640" w:lineRule="exact"/>
              <w:ind w:left="57"/>
              <w:rPr>
                <w:b/>
                <w:bCs/>
                <w:sz w:val="46"/>
                <w:szCs w:val="46"/>
              </w:rPr>
            </w:pPr>
            <w:r w:rsidRPr="00C175A6">
              <w:rPr>
                <w:rFonts w:hint="cs"/>
                <w:b/>
                <w:bCs/>
                <w:sz w:val="46"/>
                <w:szCs w:val="4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0A98E3" w14:textId="77777777" w:rsidR="00FC2773" w:rsidRDefault="00FC2773" w:rsidP="00FC2773">
            <w:pPr>
              <w:bidi w:val="0"/>
              <w:spacing w:before="240"/>
              <w:jc w:val="left"/>
            </w:pPr>
            <w:r>
              <w:t>Distr.: General</w:t>
            </w:r>
          </w:p>
          <w:p w14:paraId="6A97FA94" w14:textId="77777777" w:rsidR="00FC2773" w:rsidRDefault="00FC2773" w:rsidP="00FC2773">
            <w:pPr>
              <w:bidi w:val="0"/>
              <w:jc w:val="left"/>
            </w:pPr>
            <w:r>
              <w:t>19 April 2021</w:t>
            </w:r>
          </w:p>
          <w:p w14:paraId="6374EFDB" w14:textId="2E7AC82B" w:rsidR="00FC2773" w:rsidRDefault="00FC2773" w:rsidP="00FC2773">
            <w:pPr>
              <w:bidi w:val="0"/>
              <w:jc w:val="left"/>
            </w:pPr>
            <w:r>
              <w:t>Arabic</w:t>
            </w:r>
          </w:p>
          <w:p w14:paraId="5BB1D9C3" w14:textId="18229A93" w:rsidR="0026631F" w:rsidRPr="0026631F" w:rsidRDefault="00FC2773" w:rsidP="00FC2773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t>Original: English</w:t>
            </w:r>
          </w:p>
        </w:tc>
      </w:tr>
    </w:tbl>
    <w:p w14:paraId="4E7868EF" w14:textId="77777777" w:rsidR="00FC2773" w:rsidRPr="00820EE3" w:rsidRDefault="00FC2773" w:rsidP="00FC2773">
      <w:pPr>
        <w:spacing w:before="120" w:line="360" w:lineRule="exact"/>
        <w:textDirection w:val="tbRlV"/>
        <w:rPr>
          <w:b/>
          <w:sz w:val="26"/>
          <w:szCs w:val="26"/>
          <w:lang w:val="ar-SA" w:eastAsia="zh-TW" w:bidi="en-GB"/>
        </w:rPr>
      </w:pPr>
      <w:r w:rsidRPr="00820EE3">
        <w:rPr>
          <w:b/>
          <w:bCs/>
          <w:sz w:val="26"/>
          <w:szCs w:val="26"/>
          <w:rtl/>
        </w:rPr>
        <w:t>اللجنة المعنية بحقوق الإنسان</w:t>
      </w:r>
    </w:p>
    <w:p w14:paraId="7C5E7ECC" w14:textId="77777777" w:rsidR="00FC2773" w:rsidRPr="00820EE3" w:rsidRDefault="00FC2773" w:rsidP="00FC2773">
      <w:pPr>
        <w:pStyle w:val="HChGA"/>
        <w:rPr>
          <w:sz w:val="26"/>
          <w:szCs w:val="26"/>
        </w:rPr>
      </w:pPr>
      <w:r w:rsidRPr="00820EE3">
        <w:rPr>
          <w:rtl/>
        </w:rPr>
        <w:tab/>
      </w:r>
      <w:r w:rsidRPr="00820EE3">
        <w:rPr>
          <w:rtl/>
        </w:rPr>
        <w:tab/>
        <w:t>قرار اعتمدته اللجنة بموجب البروتوكول الاختياري، بشأن البلاغ رقم</w:t>
      </w:r>
      <w:r>
        <w:rPr>
          <w:rFonts w:hint="cs"/>
          <w:rtl/>
        </w:rPr>
        <w:t> 2507</w:t>
      </w:r>
      <w:r w:rsidRPr="00820EE3">
        <w:rPr>
          <w:rtl/>
        </w:rPr>
        <w:t>/</w:t>
      </w:r>
      <w:r w:rsidRPr="006B7EE3">
        <w:rPr>
          <w:rtl/>
        </w:rPr>
        <w:t>201</w:t>
      </w:r>
      <w:r>
        <w:rPr>
          <w:rFonts w:hint="cs"/>
          <w:rtl/>
        </w:rPr>
        <w:t>4</w:t>
      </w:r>
      <w:r w:rsidRPr="00FC2773">
        <w:rPr>
          <w:rStyle w:val="FootnoteReference"/>
          <w:sz w:val="26"/>
          <w:szCs w:val="26"/>
          <w:vertAlign w:val="baseline"/>
          <w:rtl/>
        </w:rPr>
        <w:footnoteReference w:customMarkFollows="1" w:id="1"/>
        <w:t>*</w:t>
      </w:r>
      <w:r w:rsidRPr="00FC2773">
        <w:rPr>
          <w:rFonts w:hint="cs"/>
          <w:sz w:val="26"/>
          <w:szCs w:val="26"/>
          <w:rtl/>
        </w:rPr>
        <w:t xml:space="preserve"> </w:t>
      </w:r>
      <w:r w:rsidRPr="00FC2773">
        <w:rPr>
          <w:rStyle w:val="FootnoteReference"/>
          <w:sz w:val="26"/>
          <w:szCs w:val="26"/>
          <w:vertAlign w:val="baseline"/>
          <w:rtl/>
        </w:rPr>
        <w:footnoteReference w:customMarkFollows="1" w:id="2"/>
        <w:t>**</w:t>
      </w:r>
    </w:p>
    <w:p w14:paraId="5033607A" w14:textId="0C284F3E" w:rsidR="00FC2773" w:rsidRPr="005856D3" w:rsidRDefault="00FC2773" w:rsidP="005856D3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856D3">
        <w:rPr>
          <w:i/>
          <w:iCs/>
          <w:rtl/>
        </w:rPr>
        <w:t>بلاغ مقدم من</w:t>
      </w:r>
      <w:r w:rsidR="005856D3" w:rsidRPr="005856D3">
        <w:rPr>
          <w:i/>
          <w:iCs/>
          <w:rtl/>
        </w:rPr>
        <w:t>:</w:t>
      </w:r>
      <w:r w:rsidR="005856D3">
        <w:rPr>
          <w:rtl/>
        </w:rPr>
        <w:tab/>
      </w:r>
      <w:r w:rsidRPr="005856D3">
        <w:rPr>
          <w:rFonts w:hint="cs"/>
          <w:rtl/>
        </w:rPr>
        <w:t xml:space="preserve">ف. ب. غ. </w:t>
      </w:r>
    </w:p>
    <w:p w14:paraId="5E0918A3" w14:textId="2344F1F7" w:rsidR="00FC2773" w:rsidRPr="005856D3" w:rsidRDefault="00FC2773" w:rsidP="005856D3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5856D3">
        <w:rPr>
          <w:i/>
          <w:iCs/>
          <w:rtl/>
        </w:rPr>
        <w:t>ال</w:t>
      </w:r>
      <w:r w:rsidRPr="005856D3">
        <w:rPr>
          <w:rFonts w:hint="cs"/>
          <w:i/>
          <w:iCs/>
          <w:rtl/>
        </w:rPr>
        <w:t>شخ</w:t>
      </w:r>
      <w:r w:rsidRPr="005856D3">
        <w:rPr>
          <w:i/>
          <w:iCs/>
          <w:rtl/>
        </w:rPr>
        <w:t xml:space="preserve">ص المدعى </w:t>
      </w:r>
      <w:r w:rsidRPr="005856D3">
        <w:rPr>
          <w:rFonts w:hint="cs"/>
          <w:i/>
          <w:iCs/>
          <w:rtl/>
        </w:rPr>
        <w:t>أنه ضحية</w:t>
      </w:r>
      <w:r w:rsidR="005856D3" w:rsidRPr="005856D3">
        <w:rPr>
          <w:i/>
          <w:iCs/>
          <w:rtl/>
        </w:rPr>
        <w:t>:</w:t>
      </w:r>
      <w:r w:rsidR="005856D3">
        <w:rPr>
          <w:rtl/>
        </w:rPr>
        <w:tab/>
      </w:r>
      <w:r w:rsidRPr="005856D3">
        <w:rPr>
          <w:rtl/>
        </w:rPr>
        <w:t>صاحب البلاغ</w:t>
      </w:r>
    </w:p>
    <w:p w14:paraId="1E0309C5" w14:textId="272B1CDD" w:rsidR="00FC2773" w:rsidRPr="005856D3" w:rsidRDefault="00FC2773" w:rsidP="005856D3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5856D3">
        <w:rPr>
          <w:i/>
          <w:iCs/>
          <w:rtl/>
        </w:rPr>
        <w:t>الدولة الطرف</w:t>
      </w:r>
      <w:r w:rsidR="005856D3" w:rsidRPr="005856D3">
        <w:rPr>
          <w:i/>
          <w:iCs/>
          <w:rtl/>
        </w:rPr>
        <w:t>:</w:t>
      </w:r>
      <w:r w:rsidR="005856D3">
        <w:rPr>
          <w:rtl/>
        </w:rPr>
        <w:tab/>
      </w:r>
      <w:r w:rsidRPr="005856D3">
        <w:rPr>
          <w:rFonts w:hint="cs"/>
          <w:rtl/>
        </w:rPr>
        <w:t>الاتحاد الروسي</w:t>
      </w:r>
    </w:p>
    <w:p w14:paraId="759A9B43" w14:textId="54381208" w:rsidR="00FC2773" w:rsidRPr="005856D3" w:rsidRDefault="00FC2773" w:rsidP="005856D3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5856D3">
        <w:rPr>
          <w:i/>
          <w:iCs/>
          <w:rtl/>
        </w:rPr>
        <w:t>تاريخ تقديم البلاغ</w:t>
      </w:r>
      <w:r w:rsidR="005856D3" w:rsidRPr="005856D3">
        <w:rPr>
          <w:i/>
          <w:iCs/>
          <w:rtl/>
        </w:rPr>
        <w:t>:</w:t>
      </w:r>
      <w:r w:rsidR="005856D3">
        <w:rPr>
          <w:rtl/>
        </w:rPr>
        <w:tab/>
      </w:r>
      <w:r w:rsidRPr="005856D3">
        <w:rPr>
          <w:rFonts w:hint="cs"/>
          <w:rtl/>
        </w:rPr>
        <w:t>8 أيار/مايو</w:t>
      </w:r>
      <w:r w:rsidRPr="005856D3">
        <w:rPr>
          <w:rtl/>
        </w:rPr>
        <w:t xml:space="preserve"> 20</w:t>
      </w:r>
      <w:r w:rsidRPr="005856D3">
        <w:rPr>
          <w:rFonts w:hint="cs"/>
          <w:rtl/>
        </w:rPr>
        <w:t>14</w:t>
      </w:r>
      <w:r w:rsidRPr="005856D3">
        <w:rPr>
          <w:rtl/>
        </w:rPr>
        <w:t xml:space="preserve"> (تاريخ الرسالة الأولى)</w:t>
      </w:r>
    </w:p>
    <w:p w14:paraId="47434B3B" w14:textId="26405E0F" w:rsidR="00FC2773" w:rsidRPr="005856D3" w:rsidRDefault="00FC2773" w:rsidP="005856D3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856D3">
        <w:rPr>
          <w:i/>
          <w:iCs/>
          <w:rtl/>
        </w:rPr>
        <w:t>الموضوع</w:t>
      </w:r>
      <w:r w:rsidR="005856D3" w:rsidRPr="005856D3">
        <w:rPr>
          <w:i/>
          <w:iCs/>
          <w:rtl/>
        </w:rPr>
        <w:t>:</w:t>
      </w:r>
      <w:r w:rsidR="005856D3">
        <w:rPr>
          <w:rtl/>
        </w:rPr>
        <w:tab/>
      </w:r>
      <w:r w:rsidRPr="005856D3">
        <w:rPr>
          <w:rFonts w:hint="cs"/>
          <w:rtl/>
        </w:rPr>
        <w:t>عدم فعالية مساعدة المحامي</w:t>
      </w:r>
    </w:p>
    <w:p w14:paraId="41FD78E5" w14:textId="77777777" w:rsidR="00FC2773" w:rsidRPr="004E74BC" w:rsidRDefault="00FC2773" w:rsidP="005856D3">
      <w:pPr>
        <w:pStyle w:val="SingleTxtGA"/>
        <w:rPr>
          <w:lang w:eastAsia="zh-TW" w:bidi="ar-EG"/>
        </w:rPr>
      </w:pPr>
      <w:r>
        <w:rPr>
          <w:rtl/>
          <w:lang w:eastAsia="zh-TW" w:bidi="ar-EG"/>
        </w:rPr>
        <w:tab/>
      </w:r>
      <w:r w:rsidRPr="00A65874">
        <w:rPr>
          <w:rtl/>
          <w:lang w:eastAsia="zh-TW" w:bidi="ar-EG"/>
        </w:rPr>
        <w:t xml:space="preserve">قررت اللجنة، في اجتماعها المعقود في </w:t>
      </w:r>
      <w:r>
        <w:rPr>
          <w:rFonts w:hint="cs"/>
          <w:rtl/>
          <w:lang w:eastAsia="zh-TW" w:bidi="ar-EG"/>
        </w:rPr>
        <w:t>6 تشرين الثاني/نوفمبر</w:t>
      </w:r>
      <w:r w:rsidRPr="00A65874">
        <w:rPr>
          <w:rtl/>
          <w:lang w:eastAsia="zh-TW" w:bidi="ar-EG"/>
        </w:rPr>
        <w:t xml:space="preserve"> 2020، وقف النظر في البلاغ</w:t>
      </w:r>
      <w:r>
        <w:rPr>
          <w:rFonts w:hint="cs"/>
          <w:rtl/>
          <w:lang w:eastAsia="zh-TW" w:bidi="ar-EG"/>
        </w:rPr>
        <w:t xml:space="preserve"> </w:t>
      </w:r>
      <w:r w:rsidRPr="00EA5BB2">
        <w:rPr>
          <w:rtl/>
          <w:lang w:eastAsia="zh-TW" w:bidi="ar-EG"/>
        </w:rPr>
        <w:t>رقم 2507/2014</w:t>
      </w:r>
      <w:r w:rsidRPr="00A65874">
        <w:rPr>
          <w:rtl/>
          <w:lang w:eastAsia="zh-TW" w:bidi="ar-EG"/>
        </w:rPr>
        <w:t xml:space="preserve">، </w:t>
      </w:r>
      <w:r>
        <w:rPr>
          <w:rFonts w:hint="cs"/>
          <w:rtl/>
          <w:lang w:eastAsia="zh-TW" w:bidi="ar-EG"/>
        </w:rPr>
        <w:t>لأنها فقدت الاتصال بصاحب البلاغ.</w:t>
      </w:r>
    </w:p>
    <w:p w14:paraId="557BF9CC" w14:textId="5FBACC17" w:rsidR="00FC2773" w:rsidRPr="00FC2773" w:rsidRDefault="00FC2773" w:rsidP="00FC2773">
      <w:pPr>
        <w:pStyle w:val="SingleTxtGA"/>
        <w:jc w:val="center"/>
        <w:rPr>
          <w:u w:val="single"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FC2773" w:rsidRPr="00FC2773" w:rsidSect="0026631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CDECD" w14:textId="77777777" w:rsidR="00CB28A3" w:rsidRPr="002901D9" w:rsidRDefault="00CB28A3" w:rsidP="00DC4D4B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75041948" w14:textId="77777777" w:rsidR="00CB28A3" w:rsidRDefault="00CB28A3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39770" w14:textId="6EE3C2E4" w:rsidR="00482E7A" w:rsidRPr="00482E7A" w:rsidRDefault="00482E7A" w:rsidP="00482E7A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GE.21-05182</w:t>
    </w:r>
    <w:r>
      <w:rPr>
        <w:lang w:val="en-US"/>
      </w:rPr>
      <w:tab/>
    </w:r>
    <w:r w:rsidRPr="00482E7A">
      <w:rPr>
        <w:b/>
        <w:sz w:val="18"/>
        <w:lang w:val="en-US"/>
      </w:rPr>
      <w:fldChar w:fldCharType="begin"/>
    </w:r>
    <w:r w:rsidRPr="00482E7A">
      <w:rPr>
        <w:b/>
        <w:sz w:val="18"/>
        <w:lang w:val="en-US"/>
      </w:rPr>
      <w:instrText xml:space="preserve"> PAGE  \* MERGEFORMAT </w:instrText>
    </w:r>
    <w:r w:rsidRPr="00482E7A">
      <w:rPr>
        <w:b/>
        <w:sz w:val="18"/>
        <w:lang w:val="en-US"/>
      </w:rPr>
      <w:fldChar w:fldCharType="separate"/>
    </w:r>
    <w:r w:rsidRPr="00482E7A">
      <w:rPr>
        <w:b/>
        <w:noProof/>
        <w:sz w:val="18"/>
        <w:lang w:val="en-US"/>
      </w:rPr>
      <w:t>2</w:t>
    </w:r>
    <w:r w:rsidRPr="00482E7A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96A54" w14:textId="4B45A28C" w:rsidR="006959B0" w:rsidRPr="00482E7A" w:rsidRDefault="00482E7A" w:rsidP="00482E7A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GE.21-05182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6F3B" w14:textId="5A9CF31E" w:rsidR="00DE50B1" w:rsidRPr="00482E7A" w:rsidRDefault="00482E7A" w:rsidP="00482E7A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652221">
      <w:rPr>
        <w:noProof/>
      </w:rPr>
      <w:drawing>
        <wp:anchor distT="0" distB="0" distL="114300" distR="114300" simplePos="0" relativeHeight="251658240" behindDoc="1" locked="1" layoutInCell="0" allowOverlap="1" wp14:anchorId="0B314C9F" wp14:editId="0318AB5B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21-05182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556858CC" wp14:editId="1FD2204B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F6AE0" w14:textId="77777777" w:rsidR="00CB28A3" w:rsidRPr="000437B8" w:rsidRDefault="00CB28A3" w:rsidP="00F10DAB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7D77E44F" w14:textId="77777777" w:rsidR="00CB28A3" w:rsidRDefault="00CB28A3" w:rsidP="00656392">
      <w:pPr>
        <w:spacing w:line="240" w:lineRule="auto"/>
      </w:pPr>
      <w:r>
        <w:continuationSeparator/>
      </w:r>
    </w:p>
  </w:footnote>
  <w:footnote w:id="1">
    <w:p w14:paraId="5B09D929" w14:textId="03290F78" w:rsidR="00FC2773" w:rsidRPr="00820EE3" w:rsidRDefault="00FC2773" w:rsidP="00FC2773">
      <w:pPr>
        <w:pStyle w:val="FootnoteText1"/>
        <w:rPr>
          <w:rFonts w:eastAsiaTheme="minorEastAsia"/>
          <w:rtl/>
        </w:rPr>
      </w:pPr>
      <w:r w:rsidRPr="00820EE3">
        <w:rPr>
          <w:rFonts w:eastAsiaTheme="minorEastAsia"/>
          <w:rtl/>
        </w:rPr>
        <w:t>*</w:t>
      </w:r>
      <w:r w:rsidRPr="00820EE3">
        <w:rPr>
          <w:rFonts w:eastAsiaTheme="minorEastAsia"/>
          <w:rtl/>
        </w:rPr>
        <w:tab/>
        <w:t xml:space="preserve">اعتمدته اللجنة في دورتها </w:t>
      </w:r>
      <w:r>
        <w:rPr>
          <w:rFonts w:eastAsiaTheme="minorEastAsia" w:hint="cs"/>
          <w:rtl/>
        </w:rPr>
        <w:t>130</w:t>
      </w:r>
      <w:r w:rsidRPr="006B7EE3">
        <w:rPr>
          <w:rFonts w:eastAsiaTheme="minorEastAsia"/>
          <w:rtl/>
        </w:rPr>
        <w:t xml:space="preserve"> </w:t>
      </w:r>
      <w:r w:rsidRPr="00820EE3">
        <w:rPr>
          <w:rFonts w:eastAsiaTheme="minorEastAsia"/>
          <w:rtl/>
        </w:rPr>
        <w:t>(</w:t>
      </w:r>
      <w:r>
        <w:rPr>
          <w:rFonts w:eastAsiaTheme="minorEastAsia" w:hint="cs"/>
          <w:rtl/>
        </w:rPr>
        <w:t xml:space="preserve">12 تشرين الأول/أكتوبر </w:t>
      </w:r>
      <w:r w:rsidRPr="00820EE3">
        <w:rPr>
          <w:rFonts w:eastAsiaTheme="minorEastAsia"/>
          <w:rtl/>
        </w:rPr>
        <w:t xml:space="preserve">- </w:t>
      </w:r>
      <w:r w:rsidRPr="006C608E">
        <w:rPr>
          <w:rFonts w:eastAsiaTheme="minorEastAsia" w:hint="cs"/>
          <w:rtl/>
        </w:rPr>
        <w:t>6 تشرين الثاني/نوفمبر</w:t>
      </w:r>
      <w:r w:rsidRPr="006C608E">
        <w:rPr>
          <w:rFonts w:eastAsiaTheme="minorEastAsia"/>
          <w:rtl/>
        </w:rPr>
        <w:t xml:space="preserve"> </w:t>
      </w:r>
      <w:r w:rsidRPr="006B7EE3">
        <w:rPr>
          <w:rFonts w:eastAsiaTheme="minorEastAsia"/>
          <w:rtl/>
        </w:rPr>
        <w:t>2020</w:t>
      </w:r>
      <w:r w:rsidRPr="00820EE3">
        <w:rPr>
          <w:rFonts w:eastAsiaTheme="minorEastAsia"/>
          <w:rtl/>
        </w:rPr>
        <w:t>).</w:t>
      </w:r>
    </w:p>
  </w:footnote>
  <w:footnote w:id="2">
    <w:p w14:paraId="23DCD742" w14:textId="7F2E61D5" w:rsidR="00FC2773" w:rsidRPr="00820EE3" w:rsidRDefault="00FC2773" w:rsidP="00FC2773">
      <w:pPr>
        <w:pStyle w:val="FootnoteText1"/>
        <w:rPr>
          <w:rFonts w:eastAsiaTheme="minorEastAsia"/>
          <w:rtl/>
        </w:rPr>
      </w:pPr>
      <w:r w:rsidRPr="00820EE3">
        <w:rPr>
          <w:rFonts w:eastAsiaTheme="minorEastAsia"/>
          <w:rtl/>
        </w:rPr>
        <w:t>**</w:t>
      </w:r>
      <w:r w:rsidRPr="00820EE3">
        <w:rPr>
          <w:rFonts w:eastAsiaTheme="minorEastAsia"/>
          <w:rtl/>
        </w:rPr>
        <w:tab/>
        <w:t xml:space="preserve">شارك في دراسة هذا البلاغ أعضاء اللجنة التالية أسماؤهم: تانيا ماريا عبدو </w:t>
      </w:r>
      <w:proofErr w:type="spellStart"/>
      <w:r w:rsidRPr="00820EE3">
        <w:rPr>
          <w:rFonts w:eastAsiaTheme="minorEastAsia"/>
          <w:rtl/>
        </w:rPr>
        <w:t>روتشول</w:t>
      </w:r>
      <w:proofErr w:type="spellEnd"/>
      <w:r w:rsidRPr="00820EE3">
        <w:rPr>
          <w:rFonts w:eastAsiaTheme="minorEastAsia"/>
          <w:rtl/>
        </w:rPr>
        <w:t>، وعياض بن عاشور، وعارف بلقان، وأحمد</w:t>
      </w:r>
      <w:r w:rsidR="00DC4992">
        <w:rPr>
          <w:rFonts w:eastAsiaTheme="minorEastAsia" w:hint="cs"/>
          <w:rtl/>
        </w:rPr>
        <w:t> </w:t>
      </w:r>
      <w:r w:rsidRPr="00820EE3">
        <w:rPr>
          <w:rFonts w:eastAsiaTheme="minorEastAsia"/>
          <w:rtl/>
        </w:rPr>
        <w:t xml:space="preserve">أمين فتح الله، </w:t>
      </w:r>
      <w:proofErr w:type="spellStart"/>
      <w:r w:rsidRPr="00820EE3">
        <w:rPr>
          <w:rFonts w:eastAsiaTheme="minorEastAsia"/>
          <w:rtl/>
        </w:rPr>
        <w:t>وفورويا</w:t>
      </w:r>
      <w:proofErr w:type="spellEnd"/>
      <w:r w:rsidRPr="00820EE3">
        <w:rPr>
          <w:rFonts w:eastAsiaTheme="minorEastAsia"/>
          <w:rtl/>
        </w:rPr>
        <w:t xml:space="preserve"> </w:t>
      </w:r>
      <w:proofErr w:type="spellStart"/>
      <w:r w:rsidRPr="00820EE3">
        <w:rPr>
          <w:rFonts w:eastAsiaTheme="minorEastAsia"/>
          <w:rtl/>
        </w:rPr>
        <w:t>سويتشي</w:t>
      </w:r>
      <w:proofErr w:type="spellEnd"/>
      <w:r w:rsidRPr="00820EE3">
        <w:rPr>
          <w:rFonts w:eastAsiaTheme="minorEastAsia"/>
          <w:rtl/>
        </w:rPr>
        <w:t xml:space="preserve">، وكريستوف </w:t>
      </w:r>
      <w:proofErr w:type="spellStart"/>
      <w:r w:rsidRPr="00820EE3">
        <w:rPr>
          <w:rFonts w:eastAsiaTheme="minorEastAsia"/>
          <w:rtl/>
        </w:rPr>
        <w:t>هاينز</w:t>
      </w:r>
      <w:proofErr w:type="spellEnd"/>
      <w:r w:rsidRPr="00820EE3">
        <w:rPr>
          <w:rFonts w:eastAsiaTheme="minorEastAsia"/>
          <w:rtl/>
        </w:rPr>
        <w:t xml:space="preserve">، </w:t>
      </w:r>
      <w:proofErr w:type="spellStart"/>
      <w:r>
        <w:rPr>
          <w:rFonts w:eastAsiaTheme="minorEastAsia" w:hint="cs"/>
          <w:rtl/>
        </w:rPr>
        <w:t>و</w:t>
      </w:r>
      <w:r w:rsidRPr="00FE3B85">
        <w:rPr>
          <w:rFonts w:eastAsiaTheme="minorEastAsia"/>
          <w:rtl/>
        </w:rPr>
        <w:t>باماريام</w:t>
      </w:r>
      <w:proofErr w:type="spellEnd"/>
      <w:r w:rsidRPr="00FE3B85">
        <w:rPr>
          <w:rFonts w:eastAsiaTheme="minorEastAsia"/>
          <w:rtl/>
        </w:rPr>
        <w:t xml:space="preserve"> كويتا، </w:t>
      </w:r>
      <w:proofErr w:type="spellStart"/>
      <w:r>
        <w:rPr>
          <w:rFonts w:eastAsiaTheme="minorEastAsia" w:hint="cs"/>
          <w:rtl/>
        </w:rPr>
        <w:t>و</w:t>
      </w:r>
      <w:r w:rsidRPr="00FE3B85">
        <w:rPr>
          <w:rFonts w:eastAsiaTheme="minorEastAsia"/>
          <w:rtl/>
        </w:rPr>
        <w:t>مارسيا</w:t>
      </w:r>
      <w:proofErr w:type="spellEnd"/>
      <w:r w:rsidRPr="00FE3B85">
        <w:rPr>
          <w:rFonts w:eastAsiaTheme="minorEastAsia"/>
          <w:rtl/>
        </w:rPr>
        <w:t xml:space="preserve"> ف. ج. كران</w:t>
      </w:r>
      <w:r>
        <w:rPr>
          <w:rFonts w:eastAsiaTheme="minorEastAsia" w:hint="cs"/>
          <w:rtl/>
        </w:rPr>
        <w:t>، و</w:t>
      </w:r>
      <w:r w:rsidRPr="00FE3B85">
        <w:rPr>
          <w:rFonts w:eastAsiaTheme="minorEastAsia"/>
          <w:rtl/>
        </w:rPr>
        <w:t xml:space="preserve">ديفيد ه. مور، </w:t>
      </w:r>
      <w:proofErr w:type="spellStart"/>
      <w:r>
        <w:rPr>
          <w:rFonts w:eastAsiaTheme="minorEastAsia" w:hint="cs"/>
          <w:rtl/>
        </w:rPr>
        <w:t>و</w:t>
      </w:r>
      <w:r w:rsidRPr="00FE3B85">
        <w:rPr>
          <w:rFonts w:eastAsiaTheme="minorEastAsia"/>
          <w:rtl/>
        </w:rPr>
        <w:t>دانكان</w:t>
      </w:r>
      <w:proofErr w:type="spellEnd"/>
      <w:r w:rsidRPr="00FE3B85">
        <w:rPr>
          <w:rFonts w:eastAsiaTheme="minorEastAsia"/>
          <w:rtl/>
        </w:rPr>
        <w:t xml:space="preserve"> </w:t>
      </w:r>
      <w:proofErr w:type="spellStart"/>
      <w:r w:rsidRPr="00FE3B85">
        <w:rPr>
          <w:rFonts w:eastAsiaTheme="minorEastAsia"/>
          <w:rtl/>
        </w:rPr>
        <w:t>لاكي</w:t>
      </w:r>
      <w:proofErr w:type="spellEnd"/>
      <w:r w:rsidRPr="00FE3B85">
        <w:rPr>
          <w:rFonts w:eastAsiaTheme="minorEastAsia"/>
          <w:rtl/>
        </w:rPr>
        <w:t xml:space="preserve"> </w:t>
      </w:r>
      <w:proofErr w:type="spellStart"/>
      <w:r w:rsidRPr="00DC4992">
        <w:rPr>
          <w:rFonts w:eastAsiaTheme="minorEastAsia"/>
          <w:spacing w:val="-4"/>
          <w:rtl/>
        </w:rPr>
        <w:t>موهوموزا</w:t>
      </w:r>
      <w:proofErr w:type="spellEnd"/>
      <w:r w:rsidRPr="00DC4992">
        <w:rPr>
          <w:rFonts w:eastAsiaTheme="minorEastAsia"/>
          <w:spacing w:val="-4"/>
          <w:rtl/>
        </w:rPr>
        <w:t xml:space="preserve">، </w:t>
      </w:r>
      <w:r w:rsidRPr="00DC4992">
        <w:rPr>
          <w:rFonts w:eastAsiaTheme="minorEastAsia" w:hint="cs"/>
          <w:spacing w:val="-4"/>
          <w:rtl/>
        </w:rPr>
        <w:t>و</w:t>
      </w:r>
      <w:r w:rsidRPr="00DC4992">
        <w:rPr>
          <w:rFonts w:eastAsiaTheme="minorEastAsia"/>
          <w:spacing w:val="-4"/>
          <w:rtl/>
        </w:rPr>
        <w:t xml:space="preserve">فوتيني </w:t>
      </w:r>
      <w:proofErr w:type="spellStart"/>
      <w:r w:rsidRPr="00DC4992">
        <w:rPr>
          <w:rFonts w:eastAsiaTheme="minorEastAsia"/>
          <w:spacing w:val="-4"/>
          <w:rtl/>
        </w:rPr>
        <w:t>بزاغتزيس</w:t>
      </w:r>
      <w:proofErr w:type="spellEnd"/>
      <w:r w:rsidRPr="00DC4992">
        <w:rPr>
          <w:rFonts w:eastAsiaTheme="minorEastAsia"/>
          <w:spacing w:val="-4"/>
          <w:rtl/>
        </w:rPr>
        <w:t xml:space="preserve">، </w:t>
      </w:r>
      <w:proofErr w:type="spellStart"/>
      <w:r w:rsidRPr="00DC4992">
        <w:rPr>
          <w:rFonts w:eastAsiaTheme="minorEastAsia" w:hint="cs"/>
          <w:spacing w:val="-4"/>
          <w:rtl/>
        </w:rPr>
        <w:t>و</w:t>
      </w:r>
      <w:r w:rsidRPr="00DC4992">
        <w:rPr>
          <w:rFonts w:eastAsiaTheme="minorEastAsia"/>
          <w:spacing w:val="-4"/>
          <w:rtl/>
        </w:rPr>
        <w:t>هيرنان</w:t>
      </w:r>
      <w:proofErr w:type="spellEnd"/>
      <w:r w:rsidRPr="00DC4992">
        <w:rPr>
          <w:rFonts w:eastAsiaTheme="minorEastAsia"/>
          <w:spacing w:val="-4"/>
          <w:rtl/>
        </w:rPr>
        <w:t xml:space="preserve"> </w:t>
      </w:r>
      <w:proofErr w:type="spellStart"/>
      <w:r w:rsidRPr="00DC4992">
        <w:rPr>
          <w:rFonts w:eastAsiaTheme="minorEastAsia"/>
          <w:spacing w:val="-4"/>
          <w:rtl/>
        </w:rPr>
        <w:t>كيسادا</w:t>
      </w:r>
      <w:proofErr w:type="spellEnd"/>
      <w:r w:rsidRPr="00DC4992">
        <w:rPr>
          <w:rFonts w:eastAsiaTheme="minorEastAsia"/>
          <w:spacing w:val="-4"/>
          <w:rtl/>
        </w:rPr>
        <w:t xml:space="preserve"> </w:t>
      </w:r>
      <w:proofErr w:type="spellStart"/>
      <w:r w:rsidRPr="00DC4992">
        <w:rPr>
          <w:rFonts w:eastAsiaTheme="minorEastAsia"/>
          <w:spacing w:val="-4"/>
          <w:rtl/>
        </w:rPr>
        <w:t>كابريرا</w:t>
      </w:r>
      <w:proofErr w:type="spellEnd"/>
      <w:r w:rsidRPr="00DC4992">
        <w:rPr>
          <w:rFonts w:eastAsiaTheme="minorEastAsia"/>
          <w:spacing w:val="-4"/>
          <w:rtl/>
        </w:rPr>
        <w:t xml:space="preserve">، </w:t>
      </w:r>
      <w:proofErr w:type="spellStart"/>
      <w:r w:rsidRPr="00DC4992">
        <w:rPr>
          <w:rFonts w:eastAsiaTheme="minorEastAsia" w:hint="cs"/>
          <w:spacing w:val="-4"/>
          <w:rtl/>
        </w:rPr>
        <w:t>و</w:t>
      </w:r>
      <w:r w:rsidRPr="00DC4992">
        <w:rPr>
          <w:rFonts w:eastAsiaTheme="minorEastAsia"/>
          <w:spacing w:val="-4"/>
          <w:rtl/>
        </w:rPr>
        <w:t>فاسيلكا</w:t>
      </w:r>
      <w:proofErr w:type="spellEnd"/>
      <w:r w:rsidRPr="00DC4992">
        <w:rPr>
          <w:rFonts w:eastAsiaTheme="minorEastAsia"/>
          <w:spacing w:val="-4"/>
          <w:rtl/>
        </w:rPr>
        <w:t xml:space="preserve"> </w:t>
      </w:r>
      <w:proofErr w:type="spellStart"/>
      <w:r w:rsidRPr="00DC4992">
        <w:rPr>
          <w:rFonts w:eastAsiaTheme="minorEastAsia"/>
          <w:spacing w:val="-4"/>
          <w:rtl/>
        </w:rPr>
        <w:t>سانسين</w:t>
      </w:r>
      <w:proofErr w:type="spellEnd"/>
      <w:r w:rsidRPr="00DC4992">
        <w:rPr>
          <w:rFonts w:eastAsiaTheme="minorEastAsia"/>
          <w:spacing w:val="-4"/>
          <w:rtl/>
        </w:rPr>
        <w:t xml:space="preserve">، </w:t>
      </w:r>
      <w:r w:rsidRPr="00DC4992">
        <w:rPr>
          <w:rFonts w:eastAsiaTheme="minorEastAsia" w:hint="cs"/>
          <w:spacing w:val="-4"/>
          <w:rtl/>
        </w:rPr>
        <w:t>و</w:t>
      </w:r>
      <w:r w:rsidRPr="00DC4992">
        <w:rPr>
          <w:rFonts w:eastAsiaTheme="minorEastAsia"/>
          <w:spacing w:val="-4"/>
          <w:rtl/>
        </w:rPr>
        <w:t xml:space="preserve">خوسيه مانويل سانتوس بيس، </w:t>
      </w:r>
      <w:r w:rsidRPr="00DC4992">
        <w:rPr>
          <w:rFonts w:eastAsiaTheme="minorEastAsia" w:hint="cs"/>
          <w:spacing w:val="-4"/>
          <w:rtl/>
        </w:rPr>
        <w:t>و</w:t>
      </w:r>
      <w:r w:rsidRPr="00DC4992">
        <w:rPr>
          <w:rFonts w:eastAsiaTheme="minorEastAsia"/>
          <w:spacing w:val="-4"/>
          <w:rtl/>
        </w:rPr>
        <w:t xml:space="preserve">يوفال </w:t>
      </w:r>
      <w:proofErr w:type="spellStart"/>
      <w:r w:rsidRPr="00DC4992">
        <w:rPr>
          <w:rFonts w:eastAsiaTheme="minorEastAsia"/>
          <w:spacing w:val="-4"/>
          <w:rtl/>
        </w:rPr>
        <w:t>شاني</w:t>
      </w:r>
      <w:proofErr w:type="spellEnd"/>
      <w:r w:rsidRPr="00DC4992">
        <w:rPr>
          <w:rFonts w:eastAsiaTheme="minorEastAsia"/>
          <w:spacing w:val="-4"/>
          <w:rtl/>
        </w:rPr>
        <w:t xml:space="preserve">، </w:t>
      </w:r>
      <w:r w:rsidRPr="00DC4992">
        <w:rPr>
          <w:rFonts w:eastAsiaTheme="minorEastAsia" w:hint="cs"/>
          <w:spacing w:val="-4"/>
          <w:rtl/>
        </w:rPr>
        <w:t>و</w:t>
      </w:r>
      <w:r w:rsidRPr="00DC4992">
        <w:rPr>
          <w:rFonts w:eastAsiaTheme="minorEastAsia"/>
          <w:spacing w:val="-4"/>
          <w:rtl/>
        </w:rPr>
        <w:t xml:space="preserve">إيلين </w:t>
      </w:r>
      <w:proofErr w:type="spellStart"/>
      <w:r w:rsidRPr="00DC4992">
        <w:rPr>
          <w:rFonts w:eastAsiaTheme="minorEastAsia"/>
          <w:spacing w:val="-4"/>
          <w:rtl/>
        </w:rPr>
        <w:t>تيغرودجا</w:t>
      </w:r>
      <w:proofErr w:type="spellEnd"/>
      <w:r w:rsidRPr="00DC4992">
        <w:rPr>
          <w:rFonts w:eastAsiaTheme="minorEastAsia"/>
          <w:spacing w:val="-4"/>
          <w:rtl/>
        </w:rPr>
        <w:t>،</w:t>
      </w:r>
      <w:r w:rsidRPr="00FE3B85">
        <w:rPr>
          <w:rFonts w:eastAsiaTheme="minorEastAsia"/>
          <w:rtl/>
        </w:rPr>
        <w:t xml:space="preserve"> </w:t>
      </w:r>
      <w:r>
        <w:rPr>
          <w:rFonts w:eastAsiaTheme="minorEastAsia" w:hint="cs"/>
          <w:rtl/>
        </w:rPr>
        <w:t>و</w:t>
      </w:r>
      <w:r w:rsidRPr="00FE3B85">
        <w:rPr>
          <w:rFonts w:eastAsiaTheme="minorEastAsia"/>
          <w:rtl/>
        </w:rPr>
        <w:t xml:space="preserve">أندرياس </w:t>
      </w:r>
      <w:proofErr w:type="spellStart"/>
      <w:r w:rsidRPr="00FE3B85">
        <w:rPr>
          <w:rFonts w:eastAsiaTheme="minorEastAsia"/>
          <w:rtl/>
        </w:rPr>
        <w:t>زيمرمان</w:t>
      </w:r>
      <w:proofErr w:type="spellEnd"/>
      <w:r w:rsidRPr="00FE3B85">
        <w:rPr>
          <w:rFonts w:eastAsiaTheme="minorEastAsia"/>
          <w:rtl/>
        </w:rPr>
        <w:t xml:space="preserve">، </w:t>
      </w:r>
      <w:proofErr w:type="spellStart"/>
      <w:r>
        <w:rPr>
          <w:rFonts w:eastAsiaTheme="minorEastAsia" w:hint="cs"/>
          <w:rtl/>
        </w:rPr>
        <w:t>و</w:t>
      </w:r>
      <w:r w:rsidRPr="00FE3B85">
        <w:rPr>
          <w:rFonts w:eastAsiaTheme="minorEastAsia"/>
          <w:rtl/>
        </w:rPr>
        <w:t>جينتيان</w:t>
      </w:r>
      <w:proofErr w:type="spellEnd"/>
      <w:r w:rsidRPr="00FE3B85">
        <w:rPr>
          <w:rFonts w:eastAsiaTheme="minorEastAsia"/>
          <w:rtl/>
        </w:rPr>
        <w:t xml:space="preserve"> زبيري.</w:t>
      </w:r>
      <w:r>
        <w:rPr>
          <w:rFonts w:eastAsiaTheme="minorEastAsia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3913" w14:textId="38901E7C" w:rsidR="00482E7A" w:rsidRPr="00482E7A" w:rsidRDefault="00482E7A" w:rsidP="00482E7A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C61773">
      <w:t>CCPR/C/130/D/2507/2014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DB090" w14:textId="50C85F4F" w:rsidR="00482E7A" w:rsidRPr="00482E7A" w:rsidRDefault="00482E7A" w:rsidP="00482E7A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C61773">
      <w:t>CCPR/C/130/D/2507/2014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A3"/>
    <w:rsid w:val="000076D5"/>
    <w:rsid w:val="00043663"/>
    <w:rsid w:val="000437B8"/>
    <w:rsid w:val="000505CF"/>
    <w:rsid w:val="000D701C"/>
    <w:rsid w:val="000E2A71"/>
    <w:rsid w:val="00145577"/>
    <w:rsid w:val="00160263"/>
    <w:rsid w:val="00181F96"/>
    <w:rsid w:val="001872B1"/>
    <w:rsid w:val="001A1371"/>
    <w:rsid w:val="001B043F"/>
    <w:rsid w:val="001B346A"/>
    <w:rsid w:val="001E1CAD"/>
    <w:rsid w:val="001E290D"/>
    <w:rsid w:val="002144FA"/>
    <w:rsid w:val="0023469A"/>
    <w:rsid w:val="00243C8A"/>
    <w:rsid w:val="0026631F"/>
    <w:rsid w:val="00267A0E"/>
    <w:rsid w:val="002901D9"/>
    <w:rsid w:val="002976C2"/>
    <w:rsid w:val="003068BC"/>
    <w:rsid w:val="003260FF"/>
    <w:rsid w:val="00343D95"/>
    <w:rsid w:val="00363A18"/>
    <w:rsid w:val="00374341"/>
    <w:rsid w:val="003D1062"/>
    <w:rsid w:val="00402051"/>
    <w:rsid w:val="00420D7B"/>
    <w:rsid w:val="00450B21"/>
    <w:rsid w:val="00453B63"/>
    <w:rsid w:val="00455780"/>
    <w:rsid w:val="00482E7A"/>
    <w:rsid w:val="004B0A1C"/>
    <w:rsid w:val="004B27E0"/>
    <w:rsid w:val="004D298E"/>
    <w:rsid w:val="005044B3"/>
    <w:rsid w:val="00517BC9"/>
    <w:rsid w:val="0054472E"/>
    <w:rsid w:val="005662A9"/>
    <w:rsid w:val="005827D4"/>
    <w:rsid w:val="0058508B"/>
    <w:rsid w:val="005856D3"/>
    <w:rsid w:val="0059622A"/>
    <w:rsid w:val="005B51C4"/>
    <w:rsid w:val="005C0061"/>
    <w:rsid w:val="005C5878"/>
    <w:rsid w:val="005C7CEA"/>
    <w:rsid w:val="005D3C0B"/>
    <w:rsid w:val="005E5217"/>
    <w:rsid w:val="005F0FA4"/>
    <w:rsid w:val="005F30EE"/>
    <w:rsid w:val="005F5271"/>
    <w:rsid w:val="0060473A"/>
    <w:rsid w:val="00617024"/>
    <w:rsid w:val="00652221"/>
    <w:rsid w:val="00656392"/>
    <w:rsid w:val="006604CB"/>
    <w:rsid w:val="006645EC"/>
    <w:rsid w:val="0068781D"/>
    <w:rsid w:val="006959B0"/>
    <w:rsid w:val="006B3E27"/>
    <w:rsid w:val="006B6507"/>
    <w:rsid w:val="006C104C"/>
    <w:rsid w:val="006C632E"/>
    <w:rsid w:val="00717FB3"/>
    <w:rsid w:val="00730446"/>
    <w:rsid w:val="00733704"/>
    <w:rsid w:val="0078071A"/>
    <w:rsid w:val="00787022"/>
    <w:rsid w:val="00787E1E"/>
    <w:rsid w:val="00852A9A"/>
    <w:rsid w:val="008F49E1"/>
    <w:rsid w:val="0090370F"/>
    <w:rsid w:val="009269D2"/>
    <w:rsid w:val="00942135"/>
    <w:rsid w:val="009521B0"/>
    <w:rsid w:val="00957437"/>
    <w:rsid w:val="00982139"/>
    <w:rsid w:val="009867A8"/>
    <w:rsid w:val="00991F44"/>
    <w:rsid w:val="009A0CFB"/>
    <w:rsid w:val="009A7E9F"/>
    <w:rsid w:val="009C17EC"/>
    <w:rsid w:val="009E5018"/>
    <w:rsid w:val="00A03700"/>
    <w:rsid w:val="00A053F2"/>
    <w:rsid w:val="00A12B37"/>
    <w:rsid w:val="00A54828"/>
    <w:rsid w:val="00A97E1F"/>
    <w:rsid w:val="00AB512E"/>
    <w:rsid w:val="00AB6758"/>
    <w:rsid w:val="00AB727F"/>
    <w:rsid w:val="00B13763"/>
    <w:rsid w:val="00B477A4"/>
    <w:rsid w:val="00B54045"/>
    <w:rsid w:val="00B63ADD"/>
    <w:rsid w:val="00BB09A0"/>
    <w:rsid w:val="00C175A6"/>
    <w:rsid w:val="00C41DCF"/>
    <w:rsid w:val="00C42AF7"/>
    <w:rsid w:val="00C438D7"/>
    <w:rsid w:val="00C61773"/>
    <w:rsid w:val="00C62C20"/>
    <w:rsid w:val="00C81B50"/>
    <w:rsid w:val="00C902EF"/>
    <w:rsid w:val="00CB0011"/>
    <w:rsid w:val="00CB28A3"/>
    <w:rsid w:val="00CB6622"/>
    <w:rsid w:val="00CD1801"/>
    <w:rsid w:val="00CF56F9"/>
    <w:rsid w:val="00CF65C6"/>
    <w:rsid w:val="00D00A89"/>
    <w:rsid w:val="00D10EF1"/>
    <w:rsid w:val="00D42810"/>
    <w:rsid w:val="00D60DD5"/>
    <w:rsid w:val="00D914A7"/>
    <w:rsid w:val="00DC4992"/>
    <w:rsid w:val="00DC4D4B"/>
    <w:rsid w:val="00DD13C3"/>
    <w:rsid w:val="00DD596E"/>
    <w:rsid w:val="00DD621E"/>
    <w:rsid w:val="00DE50B1"/>
    <w:rsid w:val="00DF0138"/>
    <w:rsid w:val="00DF0575"/>
    <w:rsid w:val="00E2228E"/>
    <w:rsid w:val="00E70E04"/>
    <w:rsid w:val="00E77E6C"/>
    <w:rsid w:val="00E83ED5"/>
    <w:rsid w:val="00EC05A7"/>
    <w:rsid w:val="00EC4B6B"/>
    <w:rsid w:val="00EC68A5"/>
    <w:rsid w:val="00ED7442"/>
    <w:rsid w:val="00EF1EE5"/>
    <w:rsid w:val="00EF5C43"/>
    <w:rsid w:val="00F10DAB"/>
    <w:rsid w:val="00F46D42"/>
    <w:rsid w:val="00F763B4"/>
    <w:rsid w:val="00F900C3"/>
    <w:rsid w:val="00FC2773"/>
    <w:rsid w:val="00FC6EDD"/>
    <w:rsid w:val="00FD46E2"/>
    <w:rsid w:val="00FE502A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5A111E5"/>
  <w15:docId w15:val="{24049FC1-4FE3-4583-AAE9-4F6E9BA2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7EC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9C17EC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9C17EC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C17EC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C17EC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C17EC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C17EC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C17EC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C17EC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C17EC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9C17EC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9C17EC"/>
    <w:rPr>
      <w:rFonts w:ascii="Times New Roman" w:eastAsia="PMingLiU" w:hAnsi="Times New Roman" w:cs="Simplified Arabic"/>
      <w:sz w:val="18"/>
      <w:lang w:eastAsia="en-US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qFormat/>
    <w:rsid w:val="009C17EC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9C17EC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9C17EC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9C17EC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9C17E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9C17E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9C17E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9C17EC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9C17EC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9C17EC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9C17EC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9C17EC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9C17EC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9C17EC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9C17EC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9C17EC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9C17EC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9C17EC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9C17EC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9C17EC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9C17EC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9C17EC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9C17EC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9C17EC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9C17EC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9C17EC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9C17EC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9C17EC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9C17EC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9C17EC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9C17EC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9C17EC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9C17EC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9C17EC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9C17EC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9C17EC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9C17EC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9C17EC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C17EC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9C17EC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C17EC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9C17EC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9C17EC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9C17EC"/>
    <w:rPr>
      <w:i/>
      <w:iCs/>
    </w:rPr>
  </w:style>
  <w:style w:type="character" w:styleId="IntenseEmphasis">
    <w:name w:val="Intense Emphasis"/>
    <w:uiPriority w:val="21"/>
    <w:rsid w:val="009C17EC"/>
    <w:rPr>
      <w:b/>
      <w:bCs/>
      <w:i/>
      <w:iCs/>
      <w:color w:val="4F81BD"/>
    </w:rPr>
  </w:style>
  <w:style w:type="character" w:styleId="Strong">
    <w:name w:val="Strong"/>
    <w:uiPriority w:val="22"/>
    <w:rsid w:val="009C17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C17E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C17EC"/>
    <w:rPr>
      <w:rFonts w:ascii="Times New Roman" w:eastAsia="PMingLiU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9C17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C17EC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9C17EC"/>
    <w:rPr>
      <w:smallCaps/>
      <w:color w:val="C0504D"/>
      <w:u w:val="single"/>
    </w:rPr>
  </w:style>
  <w:style w:type="character" w:styleId="IntenseReference">
    <w:name w:val="Intense Reference"/>
    <w:uiPriority w:val="32"/>
    <w:rsid w:val="009C17EC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9C17EC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9C17EC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9C17EC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9C17EC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7EC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7EC"/>
    <w:rPr>
      <w:rFonts w:ascii="Times New Roman" w:eastAsia="PMingLiU" w:hAnsi="Times New Roman" w:cs="Simplified Arabic"/>
      <w:sz w:val="16"/>
      <w:szCs w:val="16"/>
      <w:lang w:eastAsia="en-US"/>
    </w:rPr>
  </w:style>
  <w:style w:type="character" w:styleId="Hyperlink">
    <w:name w:val="Hyperlink"/>
    <w:uiPriority w:val="99"/>
    <w:unhideWhenUsed/>
    <w:rsid w:val="009C17EC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9C17EC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9C17EC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9C17EC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9C17EC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9C17EC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9C17EC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9C17EC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9C17EC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9C17EC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9C17EC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17EC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9C17EC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9C17EC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9C17EC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9C17EC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9C17EC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9C17EC"/>
    <w:rPr>
      <w:rFonts w:ascii="Times New Roman" w:eastAsia="PMingLiU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9C17EC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9C17EC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9C17EC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9C17EC"/>
  </w:style>
  <w:style w:type="paragraph" w:customStyle="1" w:styleId="H1G">
    <w:name w:val="_ H_1_G"/>
    <w:basedOn w:val="Normal"/>
    <w:next w:val="Normal"/>
    <w:qFormat/>
    <w:rsid w:val="009C17EC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9C17EC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9C17EC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9C17E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9C17E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9C17EC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9C17EC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9C17EC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9C17EC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9C17EC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9C17EC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9C17EC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9C17EC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9C17EC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9C17EC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9C17EC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9C17EC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9C17EC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9C17EC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9C17EC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9C17EC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9C17EC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9C17EC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9C17EC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9C17EC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9C17EC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9C17EC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9C17EC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9C17EC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9C17EC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9C17EC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9C17EC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eastAsia="PMingLiU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9C17EC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9C17EC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9C17EC"/>
    <w:pPr>
      <w:spacing w:line="360" w:lineRule="exact"/>
      <w:jc w:val="both"/>
    </w:pPr>
    <w:rPr>
      <w:rFonts w:ascii="Times New Roman" w:eastAsia="PMingLiU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9C17EC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9C17EC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9C17EC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9C17EC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9C17EC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9C17EC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9C17EC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9C17EC"/>
    <w:pPr>
      <w:numPr>
        <w:numId w:val="20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9C17EC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9C17EC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9C17EC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9C17EC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7EC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7EC"/>
    <w:rPr>
      <w:rFonts w:ascii="Times New Roman" w:eastAsia="PMingLiU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EC"/>
    <w:rPr>
      <w:rFonts w:ascii="Times New Roman" w:eastAsia="PMingLiU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9C17EC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9C17EC"/>
    <w:rPr>
      <w:rFonts w:ascii="Times New Roman" w:eastAsia="PMingLiU" w:hAnsi="Times New Roman" w:cs="Simplified Arabic"/>
      <w:lang w:val="en-GB" w:eastAsia="en-US"/>
    </w:rPr>
  </w:style>
  <w:style w:type="paragraph" w:customStyle="1" w:styleId="Preparedby">
    <w:name w:val="Prepared by:"/>
    <w:basedOn w:val="H23GA"/>
    <w:qFormat/>
    <w:rsid w:val="009C17EC"/>
    <w:rPr>
      <w:sz w:val="32"/>
      <w:szCs w:val="32"/>
    </w:rPr>
  </w:style>
  <w:style w:type="paragraph" w:customStyle="1" w:styleId="ParaNoG">
    <w:name w:val="_ParaNo._G"/>
    <w:basedOn w:val="SingleTxtG"/>
    <w:rsid w:val="009C17EC"/>
    <w:pPr>
      <w:numPr>
        <w:numId w:val="28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9C17EC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9C17EC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9C17EC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9C17EC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9C17EC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9C17EC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9C17EC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9C17EC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9C17EC"/>
    <w:pPr>
      <w:autoSpaceDE w:val="0"/>
      <w:autoSpaceDN w:val="0"/>
      <w:adjustRightInd w:val="0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9C17EC"/>
  </w:style>
  <w:style w:type="character" w:customStyle="1" w:styleId="preferred">
    <w:name w:val="preferred"/>
    <w:basedOn w:val="DefaultParagraphFont"/>
    <w:rsid w:val="009C17EC"/>
  </w:style>
  <w:style w:type="character" w:customStyle="1" w:styleId="admitted">
    <w:name w:val="admitted"/>
    <w:basedOn w:val="DefaultParagraphFont"/>
    <w:rsid w:val="009C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moud\AppData\Local\Temp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3873-BCCC-420E-8601-D67A16A8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</vt:lpstr>
    </vt:vector>
  </TitlesOfParts>
  <Company>DCM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CCPR/C/130/D/2507/2014</dc:title>
  <dc:subject>GE.2105182(A)</dc:subject>
  <dc:creator>Muntaha BUHNAM - FMO</dc:creator>
  <cp:keywords>GE.2109028(A)</cp:keywords>
  <dc:description>General_x000d_
2021_x000d_
Arabic_x000d_
English</dc:description>
  <cp:lastModifiedBy>Gamal MAHMOUD</cp:lastModifiedBy>
  <cp:revision>2</cp:revision>
  <cp:lastPrinted>2021-04-27T16:31:00Z</cp:lastPrinted>
  <dcterms:created xsi:type="dcterms:W3CDTF">2021-04-27T20:18:00Z</dcterms:created>
  <dcterms:modified xsi:type="dcterms:W3CDTF">2021-04-27T20:18:00Z</dcterms:modified>
  <cp:category>Finale</cp:category>
</cp:coreProperties>
</file>