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DDA6B8F" w14:textId="77777777" w:rsidTr="005B51C4">
        <w:trPr>
          <w:trHeight w:hRule="exact" w:val="851"/>
        </w:trPr>
        <w:tc>
          <w:tcPr>
            <w:tcW w:w="1274" w:type="dxa"/>
            <w:tcBorders>
              <w:bottom w:val="single" w:sz="4" w:space="0" w:color="auto"/>
            </w:tcBorders>
            <w:shd w:val="clear" w:color="auto" w:fill="auto"/>
          </w:tcPr>
          <w:p w14:paraId="39E958C1" w14:textId="77777777" w:rsidR="006B3E27" w:rsidRPr="00C175A6" w:rsidRDefault="006B3E27" w:rsidP="00464EE8">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47FEBDE1"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2C72B72" w14:textId="54E571D4" w:rsidR="006B3E27" w:rsidRPr="00673F74" w:rsidRDefault="00673F74" w:rsidP="00673F74">
            <w:pPr>
              <w:bidi w:val="0"/>
              <w:rPr>
                <w:szCs w:val="20"/>
              </w:rPr>
            </w:pPr>
            <w:r w:rsidRPr="00673F74">
              <w:rPr>
                <w:sz w:val="40"/>
                <w:szCs w:val="20"/>
              </w:rPr>
              <w:t>CCPR</w:t>
            </w:r>
            <w:r>
              <w:rPr>
                <w:szCs w:val="20"/>
              </w:rPr>
              <w:t>/C/</w:t>
            </w:r>
            <w:r w:rsidRPr="00B608F9">
              <w:rPr>
                <w:szCs w:val="20"/>
              </w:rPr>
              <w:t>132</w:t>
            </w:r>
            <w:r>
              <w:rPr>
                <w:szCs w:val="20"/>
              </w:rPr>
              <w:t>/D/</w:t>
            </w:r>
            <w:r w:rsidRPr="00B608F9">
              <w:rPr>
                <w:szCs w:val="20"/>
              </w:rPr>
              <w:t>2865</w:t>
            </w:r>
            <w:r>
              <w:rPr>
                <w:szCs w:val="20"/>
              </w:rPr>
              <w:t>/</w:t>
            </w:r>
            <w:r w:rsidRPr="00B608F9">
              <w:rPr>
                <w:szCs w:val="20"/>
              </w:rPr>
              <w:t>2016</w:t>
            </w:r>
          </w:p>
        </w:tc>
      </w:tr>
      <w:tr w:rsidR="006B3E27" w:rsidRPr="00C175A6" w14:paraId="40FF7EF6" w14:textId="77777777" w:rsidTr="005B51C4">
        <w:trPr>
          <w:trHeight w:hRule="exact" w:val="2835"/>
        </w:trPr>
        <w:tc>
          <w:tcPr>
            <w:tcW w:w="1274" w:type="dxa"/>
            <w:tcBorders>
              <w:top w:val="single" w:sz="4" w:space="0" w:color="auto"/>
              <w:bottom w:val="single" w:sz="12" w:space="0" w:color="auto"/>
            </w:tcBorders>
            <w:shd w:val="clear" w:color="auto" w:fill="auto"/>
          </w:tcPr>
          <w:p w14:paraId="3F5D412A"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62AE03C" wp14:editId="35E90BA7">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799B79B" w14:textId="77777777" w:rsidR="006B3E27" w:rsidRPr="00B608F9" w:rsidRDefault="00ED7442" w:rsidP="00730446">
            <w:pPr>
              <w:spacing w:before="120" w:after="40" w:line="640" w:lineRule="exact"/>
              <w:ind w:left="57"/>
              <w:rPr>
                <w:b/>
                <w:bCs/>
                <w:sz w:val="46"/>
                <w:szCs w:val="46"/>
              </w:rPr>
            </w:pPr>
            <w:r w:rsidRPr="00B608F9">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1B48F37" w14:textId="77777777" w:rsidR="006E79A3" w:rsidRPr="006E79A3" w:rsidRDefault="006E79A3" w:rsidP="006E79A3">
            <w:pPr>
              <w:bidi w:val="0"/>
              <w:spacing w:before="240"/>
              <w:jc w:val="left"/>
              <w:rPr>
                <w:rFonts w:eastAsia="Times New Roman" w:cs="Times New Roman"/>
                <w:szCs w:val="20"/>
                <w:lang w:val="en-GB"/>
              </w:rPr>
            </w:pPr>
            <w:r w:rsidRPr="006E79A3">
              <w:rPr>
                <w:rFonts w:eastAsia="Times New Roman" w:cs="Times New Roman"/>
                <w:szCs w:val="20"/>
                <w:lang w:val="en-GB"/>
              </w:rPr>
              <w:t>Distr.: General</w:t>
            </w:r>
          </w:p>
          <w:p w14:paraId="46E70619" w14:textId="77777777" w:rsidR="006E79A3" w:rsidRPr="006E79A3" w:rsidRDefault="006E79A3" w:rsidP="006E79A3">
            <w:pPr>
              <w:bidi w:val="0"/>
              <w:jc w:val="left"/>
              <w:rPr>
                <w:rFonts w:eastAsia="Times New Roman" w:cs="Times New Roman"/>
                <w:szCs w:val="20"/>
                <w:lang w:val="en-GB"/>
              </w:rPr>
            </w:pPr>
            <w:r w:rsidRPr="00B608F9">
              <w:rPr>
                <w:rFonts w:eastAsia="Times New Roman" w:cs="Times New Roman"/>
                <w:szCs w:val="20"/>
                <w:lang w:val="en-GB"/>
              </w:rPr>
              <w:t>2</w:t>
            </w:r>
            <w:r w:rsidRPr="006E79A3">
              <w:rPr>
                <w:rFonts w:eastAsia="Times New Roman" w:cs="Times New Roman"/>
                <w:szCs w:val="20"/>
                <w:lang w:val="en-GB"/>
              </w:rPr>
              <w:t xml:space="preserve"> March </w:t>
            </w:r>
            <w:r w:rsidRPr="00B608F9">
              <w:rPr>
                <w:rFonts w:eastAsia="Times New Roman" w:cs="Times New Roman"/>
                <w:szCs w:val="20"/>
                <w:lang w:val="en-GB"/>
              </w:rPr>
              <w:t>2022</w:t>
            </w:r>
          </w:p>
          <w:p w14:paraId="27E1D41C" w14:textId="13FF937A" w:rsidR="006E79A3" w:rsidRPr="006E79A3" w:rsidRDefault="006E79A3" w:rsidP="006E79A3">
            <w:pPr>
              <w:bidi w:val="0"/>
              <w:jc w:val="left"/>
              <w:rPr>
                <w:rFonts w:eastAsia="Times New Roman" w:cs="Times New Roman"/>
                <w:szCs w:val="20"/>
                <w:lang w:val="en-GB"/>
              </w:rPr>
            </w:pPr>
            <w:r>
              <w:rPr>
                <w:rFonts w:eastAsia="Times New Roman" w:cs="Times New Roman"/>
                <w:szCs w:val="20"/>
                <w:lang w:val="en-GB"/>
              </w:rPr>
              <w:t>Arabic</w:t>
            </w:r>
          </w:p>
          <w:p w14:paraId="5F259CDC" w14:textId="1D9306A6" w:rsidR="00673F74" w:rsidRPr="006E79A3" w:rsidRDefault="006E79A3" w:rsidP="006E79A3">
            <w:pPr>
              <w:bidi w:val="0"/>
              <w:spacing w:line="240" w:lineRule="exact"/>
              <w:jc w:val="left"/>
              <w:rPr>
                <w:szCs w:val="20"/>
                <w:lang w:val="en-GB"/>
              </w:rPr>
            </w:pPr>
            <w:r w:rsidRPr="006E79A3">
              <w:rPr>
                <w:rFonts w:eastAsia="Times New Roman" w:cs="Times New Roman"/>
                <w:szCs w:val="20"/>
                <w:lang w:val="en-GB"/>
              </w:rPr>
              <w:t>Original: English</w:t>
            </w:r>
          </w:p>
        </w:tc>
      </w:tr>
    </w:tbl>
    <w:p w14:paraId="77A4F919" w14:textId="77777777" w:rsidR="006E2B18" w:rsidRPr="00B608F9" w:rsidRDefault="006E2B18" w:rsidP="006E2B18">
      <w:pPr>
        <w:pStyle w:val="SingleTxtGA"/>
        <w:spacing w:before="120"/>
        <w:ind w:left="0"/>
        <w:rPr>
          <w:b/>
          <w:bCs/>
          <w:sz w:val="26"/>
          <w:szCs w:val="26"/>
          <w:rtl/>
        </w:rPr>
      </w:pPr>
      <w:r w:rsidRPr="00B608F9">
        <w:rPr>
          <w:b/>
          <w:bCs/>
          <w:sz w:val="26"/>
          <w:szCs w:val="26"/>
          <w:rtl/>
        </w:rPr>
        <w:t>اللجنة المعنية بحقوق الإنسان</w:t>
      </w:r>
    </w:p>
    <w:p w14:paraId="0EF531E4" w14:textId="7B73E741" w:rsidR="006E2B18" w:rsidRPr="00B608F9" w:rsidRDefault="006E2B18" w:rsidP="006E2B18">
      <w:pPr>
        <w:pStyle w:val="HChGA"/>
        <w:rPr>
          <w:rtl/>
        </w:rPr>
      </w:pPr>
      <w:r w:rsidRPr="00B608F9">
        <w:rPr>
          <w:rtl/>
        </w:rPr>
        <w:tab/>
      </w:r>
      <w:r w:rsidRPr="00B608F9">
        <w:rPr>
          <w:rtl/>
        </w:rPr>
        <w:tab/>
        <w:t>آراء اعتمدتها اللجنة بموجب المادة 5(4) من البروتوكول الاختياري، بشأن البلاغ رقم 2865/2016</w:t>
      </w:r>
      <w:r w:rsidRPr="00B608F9">
        <w:rPr>
          <w:rStyle w:val="FootnoteReference"/>
          <w:sz w:val="26"/>
          <w:szCs w:val="26"/>
          <w:vertAlign w:val="baseline"/>
          <w:rtl/>
        </w:rPr>
        <w:footnoteReference w:customMarkFollows="1" w:id="1"/>
        <w:t>*</w:t>
      </w:r>
      <w:r w:rsidRPr="00B608F9">
        <w:rPr>
          <w:rFonts w:hint="cs"/>
          <w:sz w:val="34"/>
          <w:szCs w:val="34"/>
          <w:rtl/>
        </w:rPr>
        <w:t xml:space="preserve"> </w:t>
      </w:r>
      <w:r w:rsidRPr="00B608F9">
        <w:rPr>
          <w:rStyle w:val="FootnoteReference"/>
          <w:sz w:val="26"/>
          <w:szCs w:val="26"/>
          <w:vertAlign w:val="baseline"/>
          <w:rtl/>
        </w:rPr>
        <w:footnoteReference w:customMarkFollows="1" w:id="2"/>
        <w:t>**</w:t>
      </w:r>
    </w:p>
    <w:p w14:paraId="6F87AA67" w14:textId="07403E95"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المقدم من:</w:t>
      </w:r>
      <w:r>
        <w:rPr>
          <w:rtl/>
        </w:rPr>
        <w:tab/>
      </w:r>
      <w:proofErr w:type="spellStart"/>
      <w:r w:rsidRPr="006E2B18">
        <w:rPr>
          <w:rtl/>
        </w:rPr>
        <w:t>سفيتلانا</w:t>
      </w:r>
      <w:proofErr w:type="spellEnd"/>
      <w:r w:rsidRPr="006E2B18">
        <w:rPr>
          <w:rtl/>
        </w:rPr>
        <w:t xml:space="preserve"> </w:t>
      </w:r>
      <w:proofErr w:type="spellStart"/>
      <w:r w:rsidRPr="006E2B18">
        <w:rPr>
          <w:rtl/>
        </w:rPr>
        <w:t>زافادسكايا</w:t>
      </w:r>
      <w:proofErr w:type="spellEnd"/>
      <w:r w:rsidRPr="006E2B18">
        <w:rPr>
          <w:rtl/>
        </w:rPr>
        <w:t xml:space="preserve"> وآخرون (يمثلهم المحامي رومان </w:t>
      </w:r>
      <w:proofErr w:type="spellStart"/>
      <w:r w:rsidRPr="006E2B18">
        <w:rPr>
          <w:rtl/>
        </w:rPr>
        <w:t>كيسلياك</w:t>
      </w:r>
      <w:proofErr w:type="spellEnd"/>
      <w:r w:rsidRPr="006E2B18">
        <w:rPr>
          <w:rtl/>
        </w:rPr>
        <w:t>)</w:t>
      </w:r>
    </w:p>
    <w:p w14:paraId="42A1228F" w14:textId="4EC966FE"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الشخص المدعى أنه ضحية:</w:t>
      </w:r>
      <w:r>
        <w:rPr>
          <w:rtl/>
        </w:rPr>
        <w:tab/>
      </w:r>
      <w:r w:rsidRPr="006E2B18">
        <w:rPr>
          <w:rtl/>
        </w:rPr>
        <w:t>أصحاب البلاغ</w:t>
      </w:r>
    </w:p>
    <w:p w14:paraId="3AB7AC94" w14:textId="7D3FA7C6"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الدولة الطرف:</w:t>
      </w:r>
      <w:r>
        <w:rPr>
          <w:rtl/>
        </w:rPr>
        <w:tab/>
      </w:r>
      <w:r w:rsidRPr="006E2B18">
        <w:rPr>
          <w:rtl/>
        </w:rPr>
        <w:t>بيلاروس</w:t>
      </w:r>
    </w:p>
    <w:p w14:paraId="3364816F" w14:textId="6BA59B4A"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تاريخ تقديم البلاغ:</w:t>
      </w:r>
      <w:r>
        <w:rPr>
          <w:rtl/>
        </w:rPr>
        <w:tab/>
      </w:r>
      <w:r w:rsidRPr="00B608F9">
        <w:rPr>
          <w:rtl/>
        </w:rPr>
        <w:t>21</w:t>
      </w:r>
      <w:r w:rsidRPr="006E2B18">
        <w:rPr>
          <w:rtl/>
        </w:rPr>
        <w:t xml:space="preserve"> كانون الثاني/يناير </w:t>
      </w:r>
      <w:r w:rsidRPr="00B608F9">
        <w:rPr>
          <w:rtl/>
        </w:rPr>
        <w:t>2014</w:t>
      </w:r>
      <w:r w:rsidRPr="006E2B18">
        <w:rPr>
          <w:rtl/>
        </w:rPr>
        <w:t xml:space="preserve"> (تاريخ تقديم الرسالة الأولى)</w:t>
      </w:r>
    </w:p>
    <w:p w14:paraId="31C646BB" w14:textId="317EE4ED"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الوثائق المرجعية:</w:t>
      </w:r>
      <w:r>
        <w:rPr>
          <w:rtl/>
        </w:rPr>
        <w:tab/>
      </w:r>
      <w:r w:rsidRPr="006E2B18">
        <w:rPr>
          <w:rtl/>
        </w:rPr>
        <w:t xml:space="preserve">القرار المتخذ بموجب المادة </w:t>
      </w:r>
      <w:r w:rsidRPr="00B608F9">
        <w:rPr>
          <w:rtl/>
        </w:rPr>
        <w:t>92</w:t>
      </w:r>
      <w:r w:rsidRPr="006E2B18">
        <w:rPr>
          <w:rtl/>
        </w:rPr>
        <w:t xml:space="preserve"> من نظام اللجنة الداخلي والمحال إلى الدولة الطرف في </w:t>
      </w:r>
      <w:r w:rsidRPr="00B608F9">
        <w:rPr>
          <w:rtl/>
        </w:rPr>
        <w:t>23</w:t>
      </w:r>
      <w:r w:rsidRPr="006E2B18">
        <w:rPr>
          <w:rtl/>
        </w:rPr>
        <w:t xml:space="preserve"> تشرين الثاني/نوفمبر </w:t>
      </w:r>
      <w:r w:rsidRPr="00B608F9">
        <w:rPr>
          <w:rtl/>
        </w:rPr>
        <w:t>2016</w:t>
      </w:r>
      <w:r w:rsidRPr="006E2B18">
        <w:rPr>
          <w:rtl/>
        </w:rPr>
        <w:t xml:space="preserve"> (لم يصدر في شكل وثيقة)</w:t>
      </w:r>
    </w:p>
    <w:p w14:paraId="1E9451BF" w14:textId="14A1AC34"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تاريخ اعتماد الآراء:</w:t>
      </w:r>
      <w:r>
        <w:rPr>
          <w:rtl/>
        </w:rPr>
        <w:tab/>
      </w:r>
      <w:r w:rsidRPr="00B608F9">
        <w:rPr>
          <w:rtl/>
        </w:rPr>
        <w:t>23</w:t>
      </w:r>
      <w:r w:rsidRPr="006E2B18">
        <w:rPr>
          <w:rtl/>
        </w:rPr>
        <w:t xml:space="preserve"> تموز/يوليه </w:t>
      </w:r>
      <w:r w:rsidRPr="00B608F9">
        <w:rPr>
          <w:rtl/>
        </w:rPr>
        <w:t>2021</w:t>
      </w:r>
    </w:p>
    <w:p w14:paraId="3B10CFBF" w14:textId="7671DCB0"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الموضوع:</w:t>
      </w:r>
      <w:r>
        <w:rPr>
          <w:rtl/>
        </w:rPr>
        <w:tab/>
      </w:r>
      <w:r w:rsidRPr="006E2B18">
        <w:rPr>
          <w:rtl/>
        </w:rPr>
        <w:t>رفض السلطات الإذن في عقد اجتماعات؛ وحرية التعبير</w:t>
      </w:r>
    </w:p>
    <w:p w14:paraId="0EFEB78B" w14:textId="632D7BF3"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المسائل الإجرائية:</w:t>
      </w:r>
      <w:r>
        <w:rPr>
          <w:rtl/>
        </w:rPr>
        <w:tab/>
      </w:r>
      <w:r w:rsidRPr="006E2B18">
        <w:rPr>
          <w:rtl/>
        </w:rPr>
        <w:t>استنفاد سبل الانتصاف الداخلية</w:t>
      </w:r>
    </w:p>
    <w:p w14:paraId="5CD40B36" w14:textId="22B38DEC"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المسائل الموضوعية:</w:t>
      </w:r>
      <w:r>
        <w:rPr>
          <w:rtl/>
        </w:rPr>
        <w:tab/>
      </w:r>
      <w:r w:rsidRPr="006E2B18">
        <w:rPr>
          <w:rtl/>
        </w:rPr>
        <w:t>حرية التجمع؛ وحرية التعبير؛ ومحاكمة عادلة؛ وسبيل انتصاف فعال</w:t>
      </w:r>
    </w:p>
    <w:p w14:paraId="4DBF0DE7" w14:textId="2BE53949"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مواد العهد:</w:t>
      </w:r>
      <w:r>
        <w:rPr>
          <w:rtl/>
        </w:rPr>
        <w:tab/>
      </w:r>
      <w:r w:rsidRPr="00B608F9">
        <w:rPr>
          <w:rtl/>
        </w:rPr>
        <w:t>2</w:t>
      </w:r>
      <w:r w:rsidRPr="006E2B18">
        <w:rPr>
          <w:rtl/>
        </w:rPr>
        <w:t xml:space="preserve"> و</w:t>
      </w:r>
      <w:r w:rsidRPr="00B608F9">
        <w:rPr>
          <w:rtl/>
        </w:rPr>
        <w:t>14</w:t>
      </w:r>
      <w:r w:rsidRPr="006E2B18">
        <w:rPr>
          <w:rtl/>
        </w:rPr>
        <w:t>(</w:t>
      </w:r>
      <w:r w:rsidRPr="00B608F9">
        <w:rPr>
          <w:rtl/>
        </w:rPr>
        <w:t>1</w:t>
      </w:r>
      <w:r w:rsidRPr="006E2B18">
        <w:rPr>
          <w:rtl/>
        </w:rPr>
        <w:t>) و</w:t>
      </w:r>
      <w:r w:rsidRPr="00B608F9">
        <w:rPr>
          <w:rtl/>
        </w:rPr>
        <w:t>19</w:t>
      </w:r>
      <w:r w:rsidRPr="006E2B18">
        <w:rPr>
          <w:rtl/>
        </w:rPr>
        <w:t>(</w:t>
      </w:r>
      <w:r w:rsidRPr="00B608F9">
        <w:rPr>
          <w:rtl/>
        </w:rPr>
        <w:t>2</w:t>
      </w:r>
      <w:r w:rsidRPr="006E2B18">
        <w:rPr>
          <w:rtl/>
        </w:rPr>
        <w:t>) و</w:t>
      </w:r>
      <w:r w:rsidRPr="00B608F9">
        <w:rPr>
          <w:rtl/>
        </w:rPr>
        <w:t>21</w:t>
      </w:r>
    </w:p>
    <w:p w14:paraId="3585375A" w14:textId="65F8D0F3" w:rsidR="006E2B18" w:rsidRPr="006E2B18" w:rsidRDefault="006E2B18" w:rsidP="006E2B18">
      <w:pPr>
        <w:pStyle w:val="SingleTxtGA"/>
        <w:tabs>
          <w:tab w:val="clear" w:pos="1928"/>
          <w:tab w:val="clear" w:pos="2608"/>
          <w:tab w:val="clear" w:pos="3289"/>
          <w:tab w:val="clear" w:pos="3969"/>
          <w:tab w:val="clear" w:pos="4649"/>
          <w:tab w:val="clear" w:pos="5330"/>
        </w:tabs>
        <w:ind w:left="4649" w:hanging="2721"/>
        <w:rPr>
          <w:rtl/>
        </w:rPr>
      </w:pPr>
      <w:r w:rsidRPr="00B608F9">
        <w:rPr>
          <w:i/>
          <w:iCs/>
          <w:rtl/>
        </w:rPr>
        <w:t>مواد البروتوكول الاختياري:</w:t>
      </w:r>
      <w:r>
        <w:rPr>
          <w:rtl/>
        </w:rPr>
        <w:tab/>
      </w:r>
      <w:r w:rsidRPr="00B608F9">
        <w:rPr>
          <w:rtl/>
        </w:rPr>
        <w:t>2</w:t>
      </w:r>
      <w:r w:rsidRPr="006E2B18">
        <w:rPr>
          <w:rtl/>
        </w:rPr>
        <w:t xml:space="preserve"> و</w:t>
      </w:r>
      <w:r w:rsidRPr="00B608F9">
        <w:rPr>
          <w:rtl/>
        </w:rPr>
        <w:t>3</w:t>
      </w:r>
      <w:r w:rsidRPr="006E2B18">
        <w:rPr>
          <w:rtl/>
        </w:rPr>
        <w:t xml:space="preserve"> و</w:t>
      </w:r>
      <w:r w:rsidRPr="00B608F9">
        <w:rPr>
          <w:rtl/>
        </w:rPr>
        <w:t>5</w:t>
      </w:r>
      <w:r w:rsidRPr="006E2B18">
        <w:rPr>
          <w:rtl/>
        </w:rPr>
        <w:t>(</w:t>
      </w:r>
      <w:r w:rsidRPr="00B608F9">
        <w:rPr>
          <w:rtl/>
        </w:rPr>
        <w:t>2</w:t>
      </w:r>
      <w:r w:rsidRPr="006E2B18">
        <w:rPr>
          <w:rtl/>
        </w:rPr>
        <w:t>)(ب)</w:t>
      </w:r>
    </w:p>
    <w:p w14:paraId="52A948C4" w14:textId="77777777" w:rsidR="006E2B18" w:rsidRDefault="006E2B18" w:rsidP="006E2B18">
      <w:pPr>
        <w:pStyle w:val="SingleTxtGA"/>
        <w:rPr>
          <w:rtl/>
        </w:rPr>
      </w:pPr>
      <w:r w:rsidRPr="00B608F9">
        <w:rPr>
          <w:rtl/>
        </w:rPr>
        <w:lastRenderedPageBreak/>
        <w:t>1</w:t>
      </w:r>
      <w:r>
        <w:rPr>
          <w:rtl/>
        </w:rPr>
        <w:t>-</w:t>
      </w:r>
      <w:r>
        <w:rPr>
          <w:rtl/>
        </w:rPr>
        <w:tab/>
      </w:r>
      <w:r w:rsidRPr="006E2B18">
        <w:rPr>
          <w:spacing w:val="-2"/>
          <w:rtl/>
        </w:rPr>
        <w:t xml:space="preserve">أصحاب البلاغ هم </w:t>
      </w:r>
      <w:proofErr w:type="spellStart"/>
      <w:r w:rsidRPr="006E2B18">
        <w:rPr>
          <w:spacing w:val="-2"/>
          <w:rtl/>
        </w:rPr>
        <w:t>سفيتلانا</w:t>
      </w:r>
      <w:proofErr w:type="spellEnd"/>
      <w:r w:rsidRPr="006E2B18">
        <w:rPr>
          <w:spacing w:val="-2"/>
          <w:rtl/>
        </w:rPr>
        <w:t xml:space="preserve"> </w:t>
      </w:r>
      <w:proofErr w:type="spellStart"/>
      <w:r w:rsidRPr="006E2B18">
        <w:rPr>
          <w:spacing w:val="-2"/>
          <w:rtl/>
        </w:rPr>
        <w:t>زافادسكايا</w:t>
      </w:r>
      <w:proofErr w:type="spellEnd"/>
      <w:r w:rsidRPr="006E2B18">
        <w:rPr>
          <w:spacing w:val="-2"/>
          <w:rtl/>
        </w:rPr>
        <w:t xml:space="preserve">، وسيرغي </w:t>
      </w:r>
      <w:proofErr w:type="spellStart"/>
      <w:r w:rsidRPr="006E2B18">
        <w:rPr>
          <w:spacing w:val="-2"/>
          <w:rtl/>
        </w:rPr>
        <w:t>باخون</w:t>
      </w:r>
      <w:proofErr w:type="spellEnd"/>
      <w:r w:rsidRPr="006E2B18">
        <w:rPr>
          <w:spacing w:val="-2"/>
          <w:rtl/>
        </w:rPr>
        <w:t xml:space="preserve">، وأولغا </w:t>
      </w:r>
      <w:proofErr w:type="spellStart"/>
      <w:r w:rsidRPr="006E2B18">
        <w:rPr>
          <w:spacing w:val="-2"/>
          <w:rtl/>
        </w:rPr>
        <w:t>زافادسكايا</w:t>
      </w:r>
      <w:proofErr w:type="spellEnd"/>
      <w:r w:rsidRPr="006E2B18">
        <w:rPr>
          <w:spacing w:val="-2"/>
          <w:rtl/>
        </w:rPr>
        <w:t xml:space="preserve">، </w:t>
      </w:r>
      <w:proofErr w:type="spellStart"/>
      <w:r w:rsidRPr="006E2B18">
        <w:rPr>
          <w:spacing w:val="-2"/>
          <w:rtl/>
        </w:rPr>
        <w:t>وفاليريا</w:t>
      </w:r>
      <w:proofErr w:type="spellEnd"/>
      <w:r w:rsidRPr="006E2B18">
        <w:rPr>
          <w:spacing w:val="-2"/>
          <w:rtl/>
        </w:rPr>
        <w:t xml:space="preserve"> </w:t>
      </w:r>
      <w:proofErr w:type="spellStart"/>
      <w:r w:rsidRPr="006E2B18">
        <w:rPr>
          <w:spacing w:val="-2"/>
          <w:rtl/>
        </w:rPr>
        <w:t>كراسوفسكايا</w:t>
      </w:r>
      <w:proofErr w:type="spellEnd"/>
      <w:r w:rsidRPr="006E2B18">
        <w:rPr>
          <w:spacing w:val="-2"/>
          <w:rtl/>
        </w:rPr>
        <w:t>،</w:t>
      </w:r>
      <w:r>
        <w:rPr>
          <w:rtl/>
        </w:rPr>
        <w:t xml:space="preserve"> وفالنتينا </w:t>
      </w:r>
      <w:proofErr w:type="spellStart"/>
      <w:r>
        <w:rPr>
          <w:rtl/>
        </w:rPr>
        <w:t>ماليشيفا</w:t>
      </w:r>
      <w:proofErr w:type="spellEnd"/>
      <w:r>
        <w:rPr>
          <w:rtl/>
        </w:rPr>
        <w:t xml:space="preserve">، </w:t>
      </w:r>
      <w:proofErr w:type="spellStart"/>
      <w:r>
        <w:rPr>
          <w:rtl/>
        </w:rPr>
        <w:t>وتامارا</w:t>
      </w:r>
      <w:proofErr w:type="spellEnd"/>
      <w:r>
        <w:rPr>
          <w:rtl/>
        </w:rPr>
        <w:t xml:space="preserve"> </w:t>
      </w:r>
      <w:proofErr w:type="spellStart"/>
      <w:r>
        <w:rPr>
          <w:rtl/>
        </w:rPr>
        <w:t>باخون</w:t>
      </w:r>
      <w:proofErr w:type="spellEnd"/>
      <w:r>
        <w:rPr>
          <w:rtl/>
        </w:rPr>
        <w:t xml:space="preserve">، ومارينا </w:t>
      </w:r>
      <w:proofErr w:type="spellStart"/>
      <w:r>
        <w:rPr>
          <w:rtl/>
        </w:rPr>
        <w:t>كوكتيش</w:t>
      </w:r>
      <w:proofErr w:type="spellEnd"/>
      <w:r>
        <w:rPr>
          <w:rtl/>
        </w:rPr>
        <w:t xml:space="preserve">، ورومان </w:t>
      </w:r>
      <w:proofErr w:type="spellStart"/>
      <w:r>
        <w:rPr>
          <w:rtl/>
        </w:rPr>
        <w:t>كيسلياك</w:t>
      </w:r>
      <w:proofErr w:type="spellEnd"/>
      <w:r>
        <w:rPr>
          <w:rtl/>
        </w:rPr>
        <w:t xml:space="preserve">، وجميعهم من مواطني بيلاروس من مواليد </w:t>
      </w:r>
      <w:r w:rsidRPr="00B608F9">
        <w:rPr>
          <w:rtl/>
        </w:rPr>
        <w:t>1973</w:t>
      </w:r>
      <w:r>
        <w:rPr>
          <w:rtl/>
        </w:rPr>
        <w:t xml:space="preserve"> و</w:t>
      </w:r>
      <w:r w:rsidRPr="00B608F9">
        <w:rPr>
          <w:rtl/>
        </w:rPr>
        <w:t>1976</w:t>
      </w:r>
      <w:r>
        <w:rPr>
          <w:rtl/>
        </w:rPr>
        <w:t xml:space="preserve"> و</w:t>
      </w:r>
      <w:r w:rsidRPr="00B608F9">
        <w:rPr>
          <w:rtl/>
        </w:rPr>
        <w:t>1947</w:t>
      </w:r>
      <w:r>
        <w:rPr>
          <w:rtl/>
        </w:rPr>
        <w:t xml:space="preserve"> و</w:t>
      </w:r>
      <w:r w:rsidRPr="00B608F9">
        <w:rPr>
          <w:rtl/>
        </w:rPr>
        <w:t>1982</w:t>
      </w:r>
      <w:r>
        <w:rPr>
          <w:rtl/>
        </w:rPr>
        <w:t xml:space="preserve"> و</w:t>
      </w:r>
      <w:r w:rsidRPr="00B608F9">
        <w:rPr>
          <w:rtl/>
        </w:rPr>
        <w:t>1942</w:t>
      </w:r>
      <w:r>
        <w:rPr>
          <w:rtl/>
        </w:rPr>
        <w:t xml:space="preserve"> و</w:t>
      </w:r>
      <w:r w:rsidRPr="00B608F9">
        <w:rPr>
          <w:rtl/>
        </w:rPr>
        <w:t>1949</w:t>
      </w:r>
      <w:r>
        <w:rPr>
          <w:rtl/>
        </w:rPr>
        <w:t xml:space="preserve"> و</w:t>
      </w:r>
      <w:r w:rsidRPr="00B608F9">
        <w:rPr>
          <w:rtl/>
        </w:rPr>
        <w:t>1977</w:t>
      </w:r>
      <w:r>
        <w:rPr>
          <w:rtl/>
        </w:rPr>
        <w:t xml:space="preserve"> و</w:t>
      </w:r>
      <w:r w:rsidRPr="00B608F9">
        <w:rPr>
          <w:rtl/>
        </w:rPr>
        <w:t>1975</w:t>
      </w:r>
      <w:r>
        <w:rPr>
          <w:rtl/>
        </w:rPr>
        <w:t xml:space="preserve"> تباعاً. ويدعون أن الدولة الطرف انتهكت حقوقهم بموجب المواد </w:t>
      </w:r>
      <w:r w:rsidRPr="00B608F9">
        <w:rPr>
          <w:rtl/>
        </w:rPr>
        <w:t>14</w:t>
      </w:r>
      <w:r>
        <w:rPr>
          <w:rtl/>
        </w:rPr>
        <w:t>(</w:t>
      </w:r>
      <w:r w:rsidRPr="00B608F9">
        <w:rPr>
          <w:rtl/>
        </w:rPr>
        <w:t>1</w:t>
      </w:r>
      <w:r>
        <w:rPr>
          <w:rtl/>
        </w:rPr>
        <w:t>) و</w:t>
      </w:r>
      <w:r w:rsidRPr="00B608F9">
        <w:rPr>
          <w:rtl/>
        </w:rPr>
        <w:t>19</w:t>
      </w:r>
      <w:r>
        <w:rPr>
          <w:rtl/>
        </w:rPr>
        <w:t>(</w:t>
      </w:r>
      <w:r w:rsidRPr="00B608F9">
        <w:rPr>
          <w:rtl/>
        </w:rPr>
        <w:t>2</w:t>
      </w:r>
      <w:r>
        <w:rPr>
          <w:rtl/>
        </w:rPr>
        <w:t>) و</w:t>
      </w:r>
      <w:r w:rsidRPr="00B608F9">
        <w:rPr>
          <w:rtl/>
        </w:rPr>
        <w:t>21</w:t>
      </w:r>
      <w:r>
        <w:rPr>
          <w:rtl/>
        </w:rPr>
        <w:t xml:space="preserve">، مقروءة بالاقتران مع المادة </w:t>
      </w:r>
      <w:r w:rsidRPr="00B608F9">
        <w:rPr>
          <w:rtl/>
        </w:rPr>
        <w:t>2</w:t>
      </w:r>
      <w:r>
        <w:rPr>
          <w:rtl/>
        </w:rPr>
        <w:t xml:space="preserve"> من العهد. وقد دخل البروتوكول الاختياري حيز النفاذ بالنسبة لبيلاروس في </w:t>
      </w:r>
      <w:r w:rsidRPr="00B608F9">
        <w:rPr>
          <w:rtl/>
        </w:rPr>
        <w:t>30</w:t>
      </w:r>
      <w:r>
        <w:rPr>
          <w:rtl/>
        </w:rPr>
        <w:t xml:space="preserve"> كانون الأول/ديسمبر </w:t>
      </w:r>
      <w:r w:rsidRPr="00B608F9">
        <w:rPr>
          <w:rtl/>
        </w:rPr>
        <w:t>1992</w:t>
      </w:r>
      <w:r>
        <w:rPr>
          <w:rtl/>
        </w:rPr>
        <w:t>. ويمثل أصحاب البلاغ محام.</w:t>
      </w:r>
    </w:p>
    <w:p w14:paraId="43597593" w14:textId="77777777" w:rsidR="006E2B18" w:rsidRPr="00B608F9" w:rsidRDefault="006E2B18" w:rsidP="006E2B18">
      <w:pPr>
        <w:pStyle w:val="H23GA"/>
        <w:rPr>
          <w:rtl/>
        </w:rPr>
      </w:pPr>
      <w:r w:rsidRPr="00B608F9">
        <w:rPr>
          <w:rtl/>
        </w:rPr>
        <w:tab/>
      </w:r>
      <w:r w:rsidRPr="00B608F9">
        <w:rPr>
          <w:rtl/>
        </w:rPr>
        <w:tab/>
        <w:t>الوقائع كما عرضها أصحاب البلاغ</w:t>
      </w:r>
    </w:p>
    <w:p w14:paraId="5A00513B" w14:textId="77777777" w:rsidR="006E2B18" w:rsidRDefault="006E2B18" w:rsidP="006E2B18">
      <w:pPr>
        <w:pStyle w:val="SingleTxtGA"/>
        <w:rPr>
          <w:rtl/>
        </w:rPr>
      </w:pPr>
      <w:r w:rsidRPr="00B608F9">
        <w:rPr>
          <w:rtl/>
        </w:rPr>
        <w:t>2</w:t>
      </w:r>
      <w:r>
        <w:rPr>
          <w:rtl/>
        </w:rPr>
        <w:t>-</w:t>
      </w:r>
      <w:r w:rsidRPr="00B608F9">
        <w:rPr>
          <w:rtl/>
        </w:rPr>
        <w:t>1</w:t>
      </w:r>
      <w:r>
        <w:rPr>
          <w:rtl/>
        </w:rPr>
        <w:tab/>
        <w:t>يدفع أصحاب البلاغ بأن سلطات مينسك البلدية رفضت الترخيص لهم في تنظيم اعتصام في مناسبتين، منتهكة بذلك حقوقهم في حرية التجمع السلمي وحرية التعبير.</w:t>
      </w:r>
    </w:p>
    <w:p w14:paraId="5939338D" w14:textId="77777777" w:rsidR="006E2B18" w:rsidRDefault="006E2B18" w:rsidP="006E2B18">
      <w:pPr>
        <w:pStyle w:val="SingleTxtGA"/>
        <w:rPr>
          <w:rtl/>
        </w:rPr>
      </w:pPr>
      <w:r w:rsidRPr="00B608F9">
        <w:rPr>
          <w:rtl/>
        </w:rPr>
        <w:t>2</w:t>
      </w:r>
      <w:r>
        <w:rPr>
          <w:rtl/>
        </w:rPr>
        <w:t>-</w:t>
      </w:r>
      <w:r w:rsidRPr="00B608F9">
        <w:rPr>
          <w:rtl/>
        </w:rPr>
        <w:t>2</w:t>
      </w:r>
      <w:r>
        <w:rPr>
          <w:rtl/>
        </w:rPr>
        <w:tab/>
        <w:t xml:space="preserve">وكانت المحاولة الأولى في </w:t>
      </w:r>
      <w:r w:rsidRPr="00B608F9">
        <w:rPr>
          <w:rtl/>
        </w:rPr>
        <w:t>21</w:t>
      </w:r>
      <w:r>
        <w:rPr>
          <w:rtl/>
        </w:rPr>
        <w:t xml:space="preserve"> نيسان/أبريل </w:t>
      </w:r>
      <w:r w:rsidRPr="00B608F9">
        <w:rPr>
          <w:rtl/>
        </w:rPr>
        <w:t>2008</w:t>
      </w:r>
      <w:r>
        <w:rPr>
          <w:rtl/>
        </w:rPr>
        <w:t xml:space="preserve"> عندما طلب أصحاب البلاغ إلى لجنة مدينة </w:t>
      </w:r>
      <w:r w:rsidRPr="006E2B18">
        <w:rPr>
          <w:spacing w:val="-2"/>
          <w:rtl/>
        </w:rPr>
        <w:t xml:space="preserve">مينسك التنفيذية أن ترخّص لهم في تنظيم اعتصام في </w:t>
      </w:r>
      <w:r w:rsidRPr="00B608F9">
        <w:rPr>
          <w:spacing w:val="-2"/>
          <w:rtl/>
        </w:rPr>
        <w:t>7</w:t>
      </w:r>
      <w:r w:rsidRPr="006E2B18">
        <w:rPr>
          <w:spacing w:val="-2"/>
          <w:rtl/>
        </w:rPr>
        <w:t xml:space="preserve"> أيار/مايو </w:t>
      </w:r>
      <w:r w:rsidRPr="00B608F9">
        <w:rPr>
          <w:spacing w:val="-2"/>
          <w:rtl/>
        </w:rPr>
        <w:t>2008</w:t>
      </w:r>
      <w:r w:rsidRPr="006E2B18">
        <w:rPr>
          <w:spacing w:val="-2"/>
          <w:rtl/>
        </w:rPr>
        <w:t xml:space="preserve"> بمناسبة الذكرى السنوية لاختفاء</w:t>
      </w:r>
      <w:r>
        <w:rPr>
          <w:rtl/>
        </w:rPr>
        <w:t xml:space="preserve"> وزير الداخلية السابق يوري </w:t>
      </w:r>
      <w:proofErr w:type="spellStart"/>
      <w:r>
        <w:rPr>
          <w:rtl/>
        </w:rPr>
        <w:t>زاخارينكو</w:t>
      </w:r>
      <w:proofErr w:type="spellEnd"/>
      <w:r>
        <w:rPr>
          <w:rtl/>
        </w:rPr>
        <w:t xml:space="preserve">. وكان من المقرر تنظيم اعتصام سلمي في ساحة </w:t>
      </w:r>
      <w:proofErr w:type="spellStart"/>
      <w:r>
        <w:rPr>
          <w:rtl/>
        </w:rPr>
        <w:t>أوكتيابرسك</w:t>
      </w:r>
      <w:proofErr w:type="spellEnd"/>
      <w:r>
        <w:rPr>
          <w:rtl/>
        </w:rPr>
        <w:t xml:space="preserve"> في مينسك من الساعة </w:t>
      </w:r>
      <w:r w:rsidRPr="00B608F9">
        <w:rPr>
          <w:rtl/>
        </w:rPr>
        <w:t>6</w:t>
      </w:r>
      <w:r>
        <w:rPr>
          <w:rtl/>
        </w:rPr>
        <w:t xml:space="preserve"> مساء إلى الساعة </w:t>
      </w:r>
      <w:r w:rsidRPr="00B608F9">
        <w:rPr>
          <w:rtl/>
        </w:rPr>
        <w:t>8</w:t>
      </w:r>
      <w:r>
        <w:rPr>
          <w:rtl/>
        </w:rPr>
        <w:t xml:space="preserve"> مساء بمشاركة حوالي </w:t>
      </w:r>
      <w:r w:rsidRPr="00B608F9">
        <w:rPr>
          <w:rtl/>
        </w:rPr>
        <w:t>100</w:t>
      </w:r>
      <w:r>
        <w:rPr>
          <w:rtl/>
        </w:rPr>
        <w:t xml:space="preserve"> شخص. وكانت أهداف هذا الحدث لفت انتباه الجمهور إلى اختفاء بعض الأفراد في بيلاروس وحث السلطات على إجراء تحقيقات فعالة في هذه </w:t>
      </w:r>
      <w:proofErr w:type="spellStart"/>
      <w:r>
        <w:rPr>
          <w:rtl/>
        </w:rPr>
        <w:t>الاختفاءات</w:t>
      </w:r>
      <w:proofErr w:type="spellEnd"/>
      <w:r>
        <w:rPr>
          <w:rtl/>
        </w:rPr>
        <w:t xml:space="preserve"> والتصديق على الاتفاقية الدولية لحماية جميع الأشخاص من الاختفاء القسري.</w:t>
      </w:r>
    </w:p>
    <w:p w14:paraId="027B9061" w14:textId="77777777" w:rsidR="006E2B18" w:rsidRDefault="006E2B18" w:rsidP="006E2B18">
      <w:pPr>
        <w:pStyle w:val="SingleTxtGA"/>
        <w:rPr>
          <w:rtl/>
        </w:rPr>
      </w:pPr>
      <w:r w:rsidRPr="00B608F9">
        <w:rPr>
          <w:rtl/>
        </w:rPr>
        <w:t>2</w:t>
      </w:r>
      <w:r>
        <w:rPr>
          <w:rtl/>
        </w:rPr>
        <w:t>-</w:t>
      </w:r>
      <w:r w:rsidRPr="00B608F9">
        <w:rPr>
          <w:rtl/>
        </w:rPr>
        <w:t>3</w:t>
      </w:r>
      <w:r>
        <w:rPr>
          <w:rtl/>
        </w:rPr>
        <w:tab/>
        <w:t xml:space="preserve">وفي </w:t>
      </w:r>
      <w:r w:rsidRPr="00B608F9">
        <w:rPr>
          <w:rtl/>
        </w:rPr>
        <w:t>28</w:t>
      </w:r>
      <w:r>
        <w:rPr>
          <w:rtl/>
        </w:rPr>
        <w:t xml:space="preserve"> نيسان/أبريل </w:t>
      </w:r>
      <w:r w:rsidRPr="00B608F9">
        <w:rPr>
          <w:rtl/>
        </w:rPr>
        <w:t>2008</w:t>
      </w:r>
      <w:r>
        <w:rPr>
          <w:rtl/>
        </w:rPr>
        <w:t xml:space="preserve">، رفضت لجنة مدينة مينسك التنفيذية، استناداً إلى المادة </w:t>
      </w:r>
      <w:r w:rsidRPr="00B608F9">
        <w:rPr>
          <w:rtl/>
        </w:rPr>
        <w:t>9</w:t>
      </w:r>
      <w:r>
        <w:rPr>
          <w:rtl/>
        </w:rPr>
        <w:t>(</w:t>
      </w:r>
      <w:r w:rsidRPr="00B608F9">
        <w:rPr>
          <w:rtl/>
        </w:rPr>
        <w:t>3</w:t>
      </w:r>
      <w:r>
        <w:rPr>
          <w:rtl/>
        </w:rPr>
        <w:t xml:space="preserve">) من </w:t>
      </w:r>
      <w:r w:rsidRPr="00B608F9">
        <w:rPr>
          <w:spacing w:val="-2"/>
          <w:rtl/>
        </w:rPr>
        <w:t>القانون المنظم للأحداث العامة، الإذن في الاعتصام بحجة أن موقع الحدث المقترح يبعد بأقل من 200 متر</w:t>
      </w:r>
      <w:r>
        <w:rPr>
          <w:rtl/>
        </w:rPr>
        <w:t xml:space="preserve"> عن محطات مترو وممرات تحت الأرض.</w:t>
      </w:r>
    </w:p>
    <w:p w14:paraId="595E78C8" w14:textId="77777777" w:rsidR="006E2B18" w:rsidRPr="0023695B" w:rsidRDefault="006E2B18" w:rsidP="006E2B18">
      <w:pPr>
        <w:pStyle w:val="SingleTxtGA"/>
        <w:rPr>
          <w:spacing w:val="4"/>
          <w:rtl/>
        </w:rPr>
      </w:pPr>
      <w:r w:rsidRPr="00B608F9">
        <w:rPr>
          <w:spacing w:val="4"/>
          <w:rtl/>
        </w:rPr>
        <w:t>2</w:t>
      </w:r>
      <w:r w:rsidRPr="0023695B">
        <w:rPr>
          <w:spacing w:val="4"/>
          <w:rtl/>
        </w:rPr>
        <w:t>-</w:t>
      </w:r>
      <w:r w:rsidRPr="00B608F9">
        <w:rPr>
          <w:spacing w:val="4"/>
          <w:rtl/>
        </w:rPr>
        <w:t>4</w:t>
      </w:r>
      <w:r w:rsidRPr="0023695B">
        <w:rPr>
          <w:spacing w:val="4"/>
          <w:rtl/>
        </w:rPr>
        <w:tab/>
        <w:t xml:space="preserve">وفي </w:t>
      </w:r>
      <w:r w:rsidRPr="00B608F9">
        <w:rPr>
          <w:spacing w:val="4"/>
          <w:rtl/>
        </w:rPr>
        <w:t>26</w:t>
      </w:r>
      <w:r w:rsidRPr="0023695B">
        <w:rPr>
          <w:spacing w:val="4"/>
          <w:rtl/>
        </w:rPr>
        <w:t xml:space="preserve"> أيار/مايو </w:t>
      </w:r>
      <w:r w:rsidRPr="00B608F9">
        <w:rPr>
          <w:spacing w:val="4"/>
          <w:rtl/>
        </w:rPr>
        <w:t>2008</w:t>
      </w:r>
      <w:r w:rsidRPr="0023695B">
        <w:rPr>
          <w:spacing w:val="4"/>
          <w:rtl/>
        </w:rPr>
        <w:t xml:space="preserve">، طعن أصحاب البلاغ في قرار لجنة مدينة مينسك التنفيذية لدى </w:t>
      </w:r>
      <w:r w:rsidRPr="0023695B">
        <w:rPr>
          <w:spacing w:val="2"/>
          <w:rtl/>
        </w:rPr>
        <w:t xml:space="preserve">محكمة منطقة موسكو في مينسك مدّعين انتهاك حقهم في حرية التجمع السلمي الذي تكفله المادة </w:t>
      </w:r>
      <w:r w:rsidRPr="00B608F9">
        <w:rPr>
          <w:spacing w:val="2"/>
          <w:rtl/>
        </w:rPr>
        <w:t>21</w:t>
      </w:r>
      <w:r w:rsidRPr="0023695B">
        <w:rPr>
          <w:spacing w:val="4"/>
          <w:rtl/>
        </w:rPr>
        <w:t xml:space="preserve"> من العهد. </w:t>
      </w:r>
    </w:p>
    <w:p w14:paraId="184C7C8F" w14:textId="77777777" w:rsidR="006E2B18" w:rsidRDefault="006E2B18" w:rsidP="006E2B18">
      <w:pPr>
        <w:pStyle w:val="SingleTxtGA"/>
        <w:rPr>
          <w:rtl/>
        </w:rPr>
      </w:pPr>
      <w:r w:rsidRPr="00B608F9">
        <w:rPr>
          <w:rtl/>
        </w:rPr>
        <w:t>2</w:t>
      </w:r>
      <w:r>
        <w:rPr>
          <w:rtl/>
        </w:rPr>
        <w:t>-</w:t>
      </w:r>
      <w:r w:rsidRPr="00B608F9">
        <w:rPr>
          <w:rtl/>
        </w:rPr>
        <w:t>5</w:t>
      </w:r>
      <w:r>
        <w:rPr>
          <w:rtl/>
        </w:rPr>
        <w:tab/>
      </w:r>
      <w:r w:rsidRPr="006E2B18">
        <w:rPr>
          <w:spacing w:val="-4"/>
          <w:rtl/>
        </w:rPr>
        <w:t xml:space="preserve">وفي </w:t>
      </w:r>
      <w:r w:rsidRPr="00B608F9">
        <w:rPr>
          <w:spacing w:val="-4"/>
          <w:rtl/>
        </w:rPr>
        <w:t>20</w:t>
      </w:r>
      <w:r w:rsidRPr="006E2B18">
        <w:rPr>
          <w:spacing w:val="-4"/>
          <w:rtl/>
        </w:rPr>
        <w:t xml:space="preserve"> حزيران/</w:t>
      </w:r>
      <w:proofErr w:type="gramStart"/>
      <w:r w:rsidRPr="006E2B18">
        <w:rPr>
          <w:spacing w:val="-4"/>
          <w:rtl/>
        </w:rPr>
        <w:t>يونيه</w:t>
      </w:r>
      <w:proofErr w:type="gramEnd"/>
      <w:r w:rsidRPr="006E2B18">
        <w:rPr>
          <w:spacing w:val="-4"/>
          <w:rtl/>
        </w:rPr>
        <w:t xml:space="preserve"> </w:t>
      </w:r>
      <w:r w:rsidRPr="00B608F9">
        <w:rPr>
          <w:spacing w:val="-4"/>
          <w:rtl/>
        </w:rPr>
        <w:t>2008</w:t>
      </w:r>
      <w:r w:rsidRPr="006E2B18">
        <w:rPr>
          <w:spacing w:val="-4"/>
          <w:rtl/>
        </w:rPr>
        <w:t>، وجدت محكمة موسكو المحلية أن قرار لجنة مدينة مينسك التنفيذية</w:t>
      </w:r>
      <w:r>
        <w:rPr>
          <w:rtl/>
        </w:rPr>
        <w:t xml:space="preserve"> يمتثل أحكامَ القانون المنظّم للأحداث العامة ورفضت الطعن. </w:t>
      </w:r>
    </w:p>
    <w:p w14:paraId="495333A5" w14:textId="77777777" w:rsidR="006E2B18" w:rsidRDefault="006E2B18" w:rsidP="006E2B18">
      <w:pPr>
        <w:pStyle w:val="SingleTxtGA"/>
        <w:rPr>
          <w:rtl/>
        </w:rPr>
      </w:pPr>
      <w:r w:rsidRPr="00B608F9">
        <w:rPr>
          <w:rtl/>
        </w:rPr>
        <w:t>2</w:t>
      </w:r>
      <w:r>
        <w:rPr>
          <w:rtl/>
        </w:rPr>
        <w:t>-</w:t>
      </w:r>
      <w:r w:rsidRPr="00B608F9">
        <w:rPr>
          <w:rtl/>
        </w:rPr>
        <w:t>6</w:t>
      </w:r>
      <w:r>
        <w:rPr>
          <w:rtl/>
        </w:rPr>
        <w:tab/>
      </w:r>
      <w:r w:rsidRPr="006E2B18">
        <w:rPr>
          <w:spacing w:val="-4"/>
          <w:rtl/>
        </w:rPr>
        <w:t>وطعن أصحاب البلاغ بالنقض في قرار محكمة موسكو المحلية لدى الدائرة المدنية بمحكمة مدينة</w:t>
      </w:r>
      <w:r>
        <w:rPr>
          <w:rtl/>
        </w:rPr>
        <w:t xml:space="preserve"> </w:t>
      </w:r>
      <w:r w:rsidRPr="00645FDF">
        <w:rPr>
          <w:spacing w:val="-2"/>
          <w:rtl/>
        </w:rPr>
        <w:t>مينسك مدّعين أن قرار محكمة موسكو المحلية غير قانوني وغير مبرر وينتهك حقوقهم المدنية. وادعوا أيضاً</w:t>
      </w:r>
      <w:r>
        <w:rPr>
          <w:rtl/>
        </w:rPr>
        <w:t xml:space="preserve"> </w:t>
      </w:r>
      <w:r w:rsidRPr="00645FDF">
        <w:rPr>
          <w:spacing w:val="-4"/>
          <w:rtl/>
        </w:rPr>
        <w:t xml:space="preserve">أنهم حُرموا حقَّهم في محاكمة عادلة لأن القاضي رفض التماساتهم. وفي </w:t>
      </w:r>
      <w:r w:rsidRPr="00B608F9">
        <w:rPr>
          <w:spacing w:val="-4"/>
          <w:rtl/>
        </w:rPr>
        <w:t>31</w:t>
      </w:r>
      <w:r w:rsidRPr="00645FDF">
        <w:rPr>
          <w:spacing w:val="-4"/>
          <w:rtl/>
        </w:rPr>
        <w:t xml:space="preserve"> تموز/يوليه </w:t>
      </w:r>
      <w:r w:rsidRPr="00B608F9">
        <w:rPr>
          <w:spacing w:val="-4"/>
          <w:rtl/>
        </w:rPr>
        <w:t>2008</w:t>
      </w:r>
      <w:r w:rsidRPr="00645FDF">
        <w:rPr>
          <w:spacing w:val="-4"/>
          <w:rtl/>
        </w:rPr>
        <w:t>، رُفض طعنهم</w:t>
      </w:r>
      <w:r>
        <w:rPr>
          <w:rtl/>
        </w:rPr>
        <w:t xml:space="preserve"> بالنقض بوصفه لا أساس له.</w:t>
      </w:r>
    </w:p>
    <w:p w14:paraId="17F1158A" w14:textId="77777777" w:rsidR="006E2B18" w:rsidRDefault="006E2B18" w:rsidP="006E2B18">
      <w:pPr>
        <w:pStyle w:val="SingleTxtGA"/>
        <w:rPr>
          <w:rtl/>
        </w:rPr>
      </w:pPr>
      <w:r w:rsidRPr="00B608F9">
        <w:rPr>
          <w:rtl/>
        </w:rPr>
        <w:t>2</w:t>
      </w:r>
      <w:r>
        <w:rPr>
          <w:rtl/>
        </w:rPr>
        <w:t>-</w:t>
      </w:r>
      <w:r w:rsidRPr="00B608F9">
        <w:rPr>
          <w:rtl/>
        </w:rPr>
        <w:t>7</w:t>
      </w:r>
      <w:r>
        <w:rPr>
          <w:rtl/>
        </w:rPr>
        <w:tab/>
        <w:t xml:space="preserve">وكانت المحاولة الثانية لتنظيم اعتصام في </w:t>
      </w:r>
      <w:r w:rsidRPr="00B608F9">
        <w:rPr>
          <w:rtl/>
        </w:rPr>
        <w:t>18</w:t>
      </w:r>
      <w:r>
        <w:rPr>
          <w:rtl/>
        </w:rPr>
        <w:t xml:space="preserve"> حزيران/</w:t>
      </w:r>
      <w:proofErr w:type="gramStart"/>
      <w:r>
        <w:rPr>
          <w:rtl/>
        </w:rPr>
        <w:t>يونيه</w:t>
      </w:r>
      <w:proofErr w:type="gramEnd"/>
      <w:r>
        <w:rPr>
          <w:rtl/>
        </w:rPr>
        <w:t xml:space="preserve"> </w:t>
      </w:r>
      <w:r w:rsidRPr="00B608F9">
        <w:rPr>
          <w:rtl/>
        </w:rPr>
        <w:t>2008</w:t>
      </w:r>
      <w:r>
        <w:rPr>
          <w:rtl/>
        </w:rPr>
        <w:t xml:space="preserve"> عندما طلب أصحاب البلاغ من لجنة مدينة مينسك التنفيذية أن ترخّص لهم فيه في </w:t>
      </w:r>
      <w:r w:rsidRPr="00B608F9">
        <w:rPr>
          <w:rtl/>
        </w:rPr>
        <w:t>7</w:t>
      </w:r>
      <w:r>
        <w:rPr>
          <w:rtl/>
        </w:rPr>
        <w:t xml:space="preserve"> تموز/يوليه </w:t>
      </w:r>
      <w:r w:rsidRPr="00B608F9">
        <w:rPr>
          <w:rtl/>
        </w:rPr>
        <w:t>2008</w:t>
      </w:r>
      <w:r>
        <w:rPr>
          <w:rtl/>
        </w:rPr>
        <w:t xml:space="preserve"> بمناسبة الذكرى السنوية لاختفاء ديمتري </w:t>
      </w:r>
      <w:proofErr w:type="spellStart"/>
      <w:r>
        <w:rPr>
          <w:rtl/>
        </w:rPr>
        <w:t>ألكسندروفيتش</w:t>
      </w:r>
      <w:proofErr w:type="spellEnd"/>
      <w:r>
        <w:rPr>
          <w:rtl/>
        </w:rPr>
        <w:t xml:space="preserve"> </w:t>
      </w:r>
      <w:proofErr w:type="spellStart"/>
      <w:r>
        <w:rPr>
          <w:rtl/>
        </w:rPr>
        <w:t>زافادسكي</w:t>
      </w:r>
      <w:proofErr w:type="spellEnd"/>
      <w:r>
        <w:rPr>
          <w:rtl/>
        </w:rPr>
        <w:t xml:space="preserve">، وهو مصور صحفي بيلاروسي. وكان من المقرر تنظيم الحدث في ساحة الحرية في مينسك من الساعة </w:t>
      </w:r>
      <w:r w:rsidRPr="00B608F9">
        <w:rPr>
          <w:rtl/>
        </w:rPr>
        <w:t>7</w:t>
      </w:r>
      <w:r>
        <w:rPr>
          <w:rtl/>
        </w:rPr>
        <w:t xml:space="preserve"> مساء إلى الساعة </w:t>
      </w:r>
      <w:r w:rsidRPr="00B608F9">
        <w:rPr>
          <w:rtl/>
        </w:rPr>
        <w:t>8</w:t>
      </w:r>
      <w:r>
        <w:rPr>
          <w:rtl/>
        </w:rPr>
        <w:t xml:space="preserve"> مساء بمشاركة نحو </w:t>
      </w:r>
      <w:r w:rsidRPr="00B608F9">
        <w:rPr>
          <w:rtl/>
        </w:rPr>
        <w:t>50</w:t>
      </w:r>
      <w:r>
        <w:rPr>
          <w:rtl/>
        </w:rPr>
        <w:t xml:space="preserve"> شخصاً. وكانت أهداف الحدث هي نفسها أهداف الاعتصام الآخر المزمع تنظيمه (انظر الفقرة </w:t>
      </w:r>
      <w:r w:rsidRPr="00B608F9">
        <w:rPr>
          <w:rtl/>
        </w:rPr>
        <w:t>2</w:t>
      </w:r>
      <w:r>
        <w:rPr>
          <w:rtl/>
        </w:rPr>
        <w:t>-</w:t>
      </w:r>
      <w:r w:rsidRPr="00B608F9">
        <w:rPr>
          <w:rtl/>
        </w:rPr>
        <w:t>2</w:t>
      </w:r>
      <w:r>
        <w:rPr>
          <w:rtl/>
        </w:rPr>
        <w:t xml:space="preserve"> أعلاه).</w:t>
      </w:r>
    </w:p>
    <w:p w14:paraId="16D40562" w14:textId="77777777" w:rsidR="006E2B18" w:rsidRDefault="006E2B18" w:rsidP="006E2B18">
      <w:pPr>
        <w:pStyle w:val="SingleTxtGA"/>
        <w:rPr>
          <w:rtl/>
        </w:rPr>
      </w:pPr>
      <w:r w:rsidRPr="00B608F9">
        <w:rPr>
          <w:rtl/>
        </w:rPr>
        <w:t>2</w:t>
      </w:r>
      <w:r>
        <w:rPr>
          <w:rtl/>
        </w:rPr>
        <w:t>-</w:t>
      </w:r>
      <w:r w:rsidRPr="00B608F9">
        <w:rPr>
          <w:rtl/>
        </w:rPr>
        <w:t>8</w:t>
      </w:r>
      <w:r>
        <w:rPr>
          <w:rtl/>
        </w:rPr>
        <w:tab/>
        <w:t xml:space="preserve">وفي </w:t>
      </w:r>
      <w:r w:rsidRPr="00B608F9">
        <w:rPr>
          <w:rtl/>
        </w:rPr>
        <w:t>30</w:t>
      </w:r>
      <w:r>
        <w:rPr>
          <w:rtl/>
        </w:rPr>
        <w:t xml:space="preserve"> حزيران/</w:t>
      </w:r>
      <w:proofErr w:type="gramStart"/>
      <w:r>
        <w:rPr>
          <w:rtl/>
        </w:rPr>
        <w:t>يونيه</w:t>
      </w:r>
      <w:proofErr w:type="gramEnd"/>
      <w:r>
        <w:rPr>
          <w:rtl/>
        </w:rPr>
        <w:t xml:space="preserve"> </w:t>
      </w:r>
      <w:r w:rsidRPr="00B608F9">
        <w:rPr>
          <w:rtl/>
        </w:rPr>
        <w:t>2008</w:t>
      </w:r>
      <w:r>
        <w:rPr>
          <w:rtl/>
        </w:rPr>
        <w:t xml:space="preserve">، رفضت لجنة مدينة مينسك التنفيذية الإذن في الاعتصام بحجة </w:t>
      </w:r>
      <w:r w:rsidRPr="00645FDF">
        <w:rPr>
          <w:spacing w:val="-2"/>
          <w:rtl/>
        </w:rPr>
        <w:t>أن موقع الحدث كان بالقرب من بلدية مينسك ومن شأنه أن يتداخل مع مرور المشاة والمركبات في المنطقة</w:t>
      </w:r>
      <w:r>
        <w:rPr>
          <w:rtl/>
        </w:rPr>
        <w:t xml:space="preserve"> المحيطة به. </w:t>
      </w:r>
    </w:p>
    <w:p w14:paraId="5EDF478F" w14:textId="77777777" w:rsidR="006E2B18" w:rsidRDefault="006E2B18" w:rsidP="006E2B18">
      <w:pPr>
        <w:pStyle w:val="SingleTxtGA"/>
        <w:rPr>
          <w:rtl/>
        </w:rPr>
      </w:pPr>
      <w:r w:rsidRPr="00B608F9">
        <w:rPr>
          <w:rtl/>
        </w:rPr>
        <w:lastRenderedPageBreak/>
        <w:t>2</w:t>
      </w:r>
      <w:r>
        <w:rPr>
          <w:rtl/>
        </w:rPr>
        <w:t>-</w:t>
      </w:r>
      <w:r w:rsidRPr="00B608F9">
        <w:rPr>
          <w:rtl/>
        </w:rPr>
        <w:t>9</w:t>
      </w:r>
      <w:r>
        <w:rPr>
          <w:rtl/>
        </w:rPr>
        <w:tab/>
        <w:t xml:space="preserve">وفي </w:t>
      </w:r>
      <w:r w:rsidRPr="00B608F9">
        <w:rPr>
          <w:rtl/>
        </w:rPr>
        <w:t>29</w:t>
      </w:r>
      <w:r>
        <w:rPr>
          <w:rtl/>
        </w:rPr>
        <w:t xml:space="preserve"> تموز/يوليه </w:t>
      </w:r>
      <w:r w:rsidRPr="00B608F9">
        <w:rPr>
          <w:rtl/>
        </w:rPr>
        <w:t>2008</w:t>
      </w:r>
      <w:r>
        <w:rPr>
          <w:rtl/>
        </w:rPr>
        <w:t xml:space="preserve">، طعن أصحاب البلاغ في قرار لجنة مدينة مينسك التنفيذية لدى محكمة منطقة موسكو في مينسك مدّعين انتهاك حقوقهم في حرية التعبير والتجمع السلمي التي تكفلها </w:t>
      </w:r>
      <w:r w:rsidRPr="006E2B18">
        <w:rPr>
          <w:spacing w:val="-4"/>
          <w:rtl/>
        </w:rPr>
        <w:t xml:space="preserve">المادتان </w:t>
      </w:r>
      <w:r w:rsidRPr="00B608F9">
        <w:rPr>
          <w:spacing w:val="-4"/>
          <w:rtl/>
        </w:rPr>
        <w:t>19</w:t>
      </w:r>
      <w:r w:rsidRPr="006E2B18">
        <w:rPr>
          <w:spacing w:val="-4"/>
          <w:rtl/>
        </w:rPr>
        <w:t xml:space="preserve"> و</w:t>
      </w:r>
      <w:r w:rsidRPr="00B608F9">
        <w:rPr>
          <w:spacing w:val="-4"/>
          <w:rtl/>
        </w:rPr>
        <w:t>21</w:t>
      </w:r>
      <w:r w:rsidRPr="006E2B18">
        <w:rPr>
          <w:spacing w:val="-4"/>
          <w:rtl/>
        </w:rPr>
        <w:t xml:space="preserve"> من العهد. وفي </w:t>
      </w:r>
      <w:r w:rsidRPr="00B608F9">
        <w:rPr>
          <w:spacing w:val="-4"/>
          <w:rtl/>
        </w:rPr>
        <w:t>11</w:t>
      </w:r>
      <w:r w:rsidRPr="006E2B18">
        <w:rPr>
          <w:spacing w:val="-4"/>
          <w:rtl/>
        </w:rPr>
        <w:t xml:space="preserve"> كانون الأول/ديسمبر </w:t>
      </w:r>
      <w:r w:rsidRPr="00B608F9">
        <w:rPr>
          <w:spacing w:val="-4"/>
          <w:rtl/>
        </w:rPr>
        <w:t>2008</w:t>
      </w:r>
      <w:r w:rsidRPr="006E2B18">
        <w:rPr>
          <w:spacing w:val="-4"/>
          <w:rtl/>
        </w:rPr>
        <w:t>، وجدت المحكمة أن قرار اللجنة التنفيذية</w:t>
      </w:r>
      <w:r>
        <w:rPr>
          <w:rtl/>
        </w:rPr>
        <w:t xml:space="preserve"> قانوني ورفضت الطعن.</w:t>
      </w:r>
    </w:p>
    <w:p w14:paraId="36C91350" w14:textId="77777777" w:rsidR="006E2B18" w:rsidRDefault="006E2B18" w:rsidP="006E2B18">
      <w:pPr>
        <w:pStyle w:val="SingleTxtGA"/>
        <w:rPr>
          <w:rtl/>
        </w:rPr>
      </w:pPr>
      <w:r w:rsidRPr="00B608F9">
        <w:rPr>
          <w:rtl/>
        </w:rPr>
        <w:t>2</w:t>
      </w:r>
      <w:r>
        <w:rPr>
          <w:rtl/>
        </w:rPr>
        <w:t>-</w:t>
      </w:r>
      <w:r w:rsidRPr="00B608F9">
        <w:rPr>
          <w:rtl/>
        </w:rPr>
        <w:t>10</w:t>
      </w:r>
      <w:r>
        <w:rPr>
          <w:rtl/>
        </w:rPr>
        <w:tab/>
        <w:t xml:space="preserve">وفي </w:t>
      </w:r>
      <w:r w:rsidRPr="00B608F9">
        <w:rPr>
          <w:rtl/>
        </w:rPr>
        <w:t>22</w:t>
      </w:r>
      <w:r>
        <w:rPr>
          <w:rtl/>
        </w:rPr>
        <w:t xml:space="preserve"> كانون الأول/ديسمبر </w:t>
      </w:r>
      <w:r w:rsidRPr="00B608F9">
        <w:rPr>
          <w:rtl/>
        </w:rPr>
        <w:t>2008</w:t>
      </w:r>
      <w:r>
        <w:rPr>
          <w:rtl/>
        </w:rPr>
        <w:t xml:space="preserve">، طعن أصحاب البلاغ بالنقض في قرار محكمة منطقة موسكو لدى الدائرة المدنية بمحكمة مدينة مينسك، لكن الطعن رفض في </w:t>
      </w:r>
      <w:r w:rsidRPr="00B608F9">
        <w:rPr>
          <w:rtl/>
        </w:rPr>
        <w:t>22</w:t>
      </w:r>
      <w:r>
        <w:rPr>
          <w:rtl/>
        </w:rPr>
        <w:t xml:space="preserve"> كانون الثاني/يناير </w:t>
      </w:r>
      <w:r w:rsidRPr="00B608F9">
        <w:rPr>
          <w:rtl/>
        </w:rPr>
        <w:t>2009</w:t>
      </w:r>
      <w:r>
        <w:rPr>
          <w:rtl/>
        </w:rPr>
        <w:t xml:space="preserve">. </w:t>
      </w:r>
    </w:p>
    <w:p w14:paraId="5AF6C026" w14:textId="77777777" w:rsidR="006E2B18" w:rsidRPr="00B608F9" w:rsidRDefault="006E2B18" w:rsidP="006E2B18">
      <w:pPr>
        <w:pStyle w:val="H23GA"/>
        <w:rPr>
          <w:rtl/>
        </w:rPr>
      </w:pPr>
      <w:r w:rsidRPr="00B608F9">
        <w:rPr>
          <w:rtl/>
        </w:rPr>
        <w:tab/>
      </w:r>
      <w:r w:rsidRPr="00B608F9">
        <w:rPr>
          <w:rtl/>
        </w:rPr>
        <w:tab/>
        <w:t>الشكوى</w:t>
      </w:r>
    </w:p>
    <w:p w14:paraId="473654B6" w14:textId="77777777" w:rsidR="006E2B18" w:rsidRDefault="006E2B18" w:rsidP="006E2B18">
      <w:pPr>
        <w:pStyle w:val="SingleTxtGA"/>
        <w:rPr>
          <w:rtl/>
        </w:rPr>
      </w:pPr>
      <w:r w:rsidRPr="00B608F9">
        <w:rPr>
          <w:rtl/>
        </w:rPr>
        <w:t>3</w:t>
      </w:r>
      <w:r>
        <w:rPr>
          <w:rtl/>
        </w:rPr>
        <w:t>-</w:t>
      </w:r>
      <w:r w:rsidRPr="00B608F9">
        <w:rPr>
          <w:rtl/>
        </w:rPr>
        <w:t>1</w:t>
      </w:r>
      <w:r>
        <w:rPr>
          <w:rtl/>
        </w:rPr>
        <w:tab/>
      </w:r>
      <w:r w:rsidRPr="00256943">
        <w:rPr>
          <w:spacing w:val="-2"/>
          <w:rtl/>
        </w:rPr>
        <w:t>يدعي أصحاب البلاغ أن رفض السلطات المحلية الترخيص في تنظيم الاعتصامين ينتهك حقوقهم</w:t>
      </w:r>
      <w:r>
        <w:rPr>
          <w:rtl/>
        </w:rPr>
        <w:t xml:space="preserve"> بموجب المادتين </w:t>
      </w:r>
      <w:r w:rsidRPr="00B608F9">
        <w:rPr>
          <w:rtl/>
        </w:rPr>
        <w:t>19</w:t>
      </w:r>
      <w:r>
        <w:rPr>
          <w:rtl/>
        </w:rPr>
        <w:t xml:space="preserve"> و</w:t>
      </w:r>
      <w:r w:rsidRPr="00B608F9">
        <w:rPr>
          <w:rtl/>
        </w:rPr>
        <w:t>21</w:t>
      </w:r>
      <w:r>
        <w:rPr>
          <w:rtl/>
        </w:rPr>
        <w:t xml:space="preserve"> مقروءتين بالاقتران مع المادة </w:t>
      </w:r>
      <w:r w:rsidRPr="00B608F9">
        <w:rPr>
          <w:rtl/>
        </w:rPr>
        <w:t>2</w:t>
      </w:r>
      <w:r>
        <w:rPr>
          <w:rtl/>
        </w:rPr>
        <w:t xml:space="preserve"> من العهد.</w:t>
      </w:r>
    </w:p>
    <w:p w14:paraId="0A5C9AF8" w14:textId="2A2F5606" w:rsidR="006E2B18" w:rsidRDefault="006E2B18" w:rsidP="006E2B18">
      <w:pPr>
        <w:pStyle w:val="SingleTxtGA"/>
        <w:rPr>
          <w:rtl/>
        </w:rPr>
      </w:pPr>
      <w:r w:rsidRPr="00B608F9">
        <w:rPr>
          <w:rtl/>
        </w:rPr>
        <w:t>3</w:t>
      </w:r>
      <w:r>
        <w:rPr>
          <w:rtl/>
        </w:rPr>
        <w:t>-</w:t>
      </w:r>
      <w:r w:rsidRPr="00B608F9">
        <w:rPr>
          <w:rtl/>
        </w:rPr>
        <w:t>2</w:t>
      </w:r>
      <w:r>
        <w:rPr>
          <w:rtl/>
        </w:rPr>
        <w:tab/>
        <w:t xml:space="preserve">ويدعي أصحاب البلاغ أيضاً أن القيود التي فرضتها سلطات الدولة على ممارسة حقوقهم في </w:t>
      </w:r>
      <w:r w:rsidRPr="006E2B18">
        <w:rPr>
          <w:spacing w:val="-2"/>
          <w:rtl/>
        </w:rPr>
        <w:t xml:space="preserve">حرية التجمع وحرية التعبير لم تكن مبررة لحماية الأمن </w:t>
      </w:r>
      <w:proofErr w:type="gramStart"/>
      <w:r w:rsidRPr="006E2B18">
        <w:rPr>
          <w:spacing w:val="-2"/>
          <w:rtl/>
        </w:rPr>
        <w:t>الوطن</w:t>
      </w:r>
      <w:r w:rsidRPr="006E2B18">
        <w:rPr>
          <w:rFonts w:hint="cs"/>
          <w:spacing w:val="-2"/>
          <w:rtl/>
        </w:rPr>
        <w:t>ي</w:t>
      </w:r>
      <w:proofErr w:type="gramEnd"/>
      <w:r w:rsidRPr="006E2B18">
        <w:rPr>
          <w:spacing w:val="-2"/>
          <w:rtl/>
        </w:rPr>
        <w:t xml:space="preserve"> أو السلامة العامة أو النظام العام أو الصحة</w:t>
      </w:r>
      <w:r>
        <w:rPr>
          <w:rtl/>
        </w:rPr>
        <w:t xml:space="preserve"> العامة أو الآداب العامة ولا هي كانت ضرورية لحماية حقوق الآخرين وحرياتهم. ويضاف إلى ذلك أن </w:t>
      </w:r>
      <w:r w:rsidRPr="006E2B18">
        <w:rPr>
          <w:spacing w:val="-2"/>
          <w:rtl/>
        </w:rPr>
        <w:t xml:space="preserve">سلطات الدولة لم تستطع أن تثبت أن تنظيم تجمع سلمي على مسافة تقل عن </w:t>
      </w:r>
      <w:r w:rsidRPr="00B608F9">
        <w:rPr>
          <w:spacing w:val="-2"/>
          <w:rtl/>
        </w:rPr>
        <w:t>200</w:t>
      </w:r>
      <w:r w:rsidRPr="006E2B18">
        <w:rPr>
          <w:spacing w:val="-2"/>
          <w:rtl/>
        </w:rPr>
        <w:t xml:space="preserve"> متر من محطات مترو</w:t>
      </w:r>
      <w:r>
        <w:rPr>
          <w:rtl/>
        </w:rPr>
        <w:t xml:space="preserve"> وممرات تحت الأرض أو بالقرب من بلدية مينسك سبب قانوني وعادل لحظر الاعتصامين المطلوبين. </w:t>
      </w:r>
    </w:p>
    <w:p w14:paraId="1DB1CF33" w14:textId="717BD8CE" w:rsidR="006E2B18" w:rsidRDefault="006E2B18" w:rsidP="006E2B18">
      <w:pPr>
        <w:pStyle w:val="SingleTxtGA"/>
        <w:rPr>
          <w:rtl/>
        </w:rPr>
      </w:pPr>
      <w:r w:rsidRPr="00B608F9">
        <w:rPr>
          <w:rtl/>
        </w:rPr>
        <w:t>3</w:t>
      </w:r>
      <w:r>
        <w:rPr>
          <w:rtl/>
        </w:rPr>
        <w:t>-</w:t>
      </w:r>
      <w:r w:rsidRPr="00B608F9">
        <w:rPr>
          <w:rtl/>
        </w:rPr>
        <w:t>3</w:t>
      </w:r>
      <w:r>
        <w:rPr>
          <w:rtl/>
        </w:rPr>
        <w:tab/>
        <w:t>ويدعي أصحاب البلاغ إضافة إلى ذلك انتهاك حقهم في محاكمة عادلة، وهو حق تحميه المادة</w:t>
      </w:r>
      <w:r>
        <w:rPr>
          <w:rFonts w:hint="cs"/>
          <w:rtl/>
        </w:rPr>
        <w:t> </w:t>
      </w:r>
      <w:r w:rsidRPr="00B608F9">
        <w:rPr>
          <w:rtl/>
        </w:rPr>
        <w:t>14</w:t>
      </w:r>
      <w:r>
        <w:rPr>
          <w:rtl/>
        </w:rPr>
        <w:t>(</w:t>
      </w:r>
      <w:r w:rsidRPr="00B608F9">
        <w:rPr>
          <w:rtl/>
        </w:rPr>
        <w:t>1</w:t>
      </w:r>
      <w:r>
        <w:rPr>
          <w:rtl/>
        </w:rPr>
        <w:t>) من العهد، لأنهم يجادلون بأن المحاكم الوطنية تأثرت بلجنة مدينة مينسك التنفيذية ومن ثم لم تكن مستقلة. ويجادلون أيضاً بأن المحاكم كانت متحيزة وتجاهلت طلباتهم دون مسوّغ.</w:t>
      </w:r>
    </w:p>
    <w:p w14:paraId="4966865B" w14:textId="77777777" w:rsidR="006E2B18" w:rsidRPr="00B608F9" w:rsidRDefault="006E2B18" w:rsidP="006E2B18">
      <w:pPr>
        <w:pStyle w:val="H23GA"/>
        <w:rPr>
          <w:rtl/>
        </w:rPr>
      </w:pPr>
      <w:r w:rsidRPr="00B608F9">
        <w:rPr>
          <w:rtl/>
        </w:rPr>
        <w:tab/>
      </w:r>
      <w:r w:rsidRPr="00B608F9">
        <w:rPr>
          <w:rtl/>
        </w:rPr>
        <w:tab/>
        <w:t>ملاحظات الدولة الطرف بشأن المقبولية والأسس الموضوعية</w:t>
      </w:r>
    </w:p>
    <w:p w14:paraId="7D3D3F0D" w14:textId="77777777" w:rsidR="006E2B18" w:rsidRDefault="006E2B18" w:rsidP="006E2B18">
      <w:pPr>
        <w:pStyle w:val="SingleTxtGA"/>
        <w:rPr>
          <w:rtl/>
        </w:rPr>
      </w:pPr>
      <w:r w:rsidRPr="00B608F9">
        <w:rPr>
          <w:rtl/>
        </w:rPr>
        <w:t>4</w:t>
      </w:r>
      <w:r>
        <w:rPr>
          <w:rtl/>
        </w:rPr>
        <w:t>-</w:t>
      </w:r>
      <w:r w:rsidRPr="00B608F9">
        <w:rPr>
          <w:rtl/>
        </w:rPr>
        <w:t>1</w:t>
      </w:r>
      <w:r>
        <w:rPr>
          <w:rtl/>
        </w:rPr>
        <w:tab/>
        <w:t xml:space="preserve">في مذكرة شفوية مؤرخة </w:t>
      </w:r>
      <w:r w:rsidRPr="00B608F9">
        <w:rPr>
          <w:rtl/>
        </w:rPr>
        <w:t>23</w:t>
      </w:r>
      <w:r>
        <w:rPr>
          <w:rtl/>
        </w:rPr>
        <w:t xml:space="preserve"> كانون الثاني/يناير </w:t>
      </w:r>
      <w:r w:rsidRPr="00B608F9">
        <w:rPr>
          <w:rtl/>
        </w:rPr>
        <w:t>2017</w:t>
      </w:r>
      <w:r>
        <w:rPr>
          <w:rtl/>
        </w:rPr>
        <w:t>، قدمت الدولة الطرف ملاحظاتها بشأن المقبولية والأسس الموضوعية فأشارت إلى أنه يجوز للأفراد الذين يدّعون أن حقوقهم التي يكفلها العهد انتهكت والذين استنفدوا جميع سبل الانتصاف الداخلية تقديم بلاغ مكتوب إلى اللجنة، وذلك عملاً بالبروتوكول الاختياري.</w:t>
      </w:r>
    </w:p>
    <w:p w14:paraId="31A8C870" w14:textId="77777777" w:rsidR="006E2B18" w:rsidRDefault="006E2B18" w:rsidP="006E2B18">
      <w:pPr>
        <w:pStyle w:val="SingleTxtGA"/>
        <w:rPr>
          <w:rtl/>
        </w:rPr>
      </w:pPr>
      <w:r w:rsidRPr="00B608F9">
        <w:rPr>
          <w:rtl/>
        </w:rPr>
        <w:t>4</w:t>
      </w:r>
      <w:r>
        <w:rPr>
          <w:rtl/>
        </w:rPr>
        <w:t>-</w:t>
      </w:r>
      <w:r w:rsidRPr="00B608F9">
        <w:rPr>
          <w:rtl/>
        </w:rPr>
        <w:t>2</w:t>
      </w:r>
      <w:r>
        <w:rPr>
          <w:rtl/>
        </w:rPr>
        <w:tab/>
      </w:r>
      <w:r w:rsidRPr="00645FDF">
        <w:rPr>
          <w:spacing w:val="-2"/>
          <w:rtl/>
        </w:rPr>
        <w:t xml:space="preserve">وتلاحظ الدولة الطرف أن لجنة مدينة مينسك التنفيذية رفضت في </w:t>
      </w:r>
      <w:r w:rsidRPr="00B608F9">
        <w:rPr>
          <w:spacing w:val="-2"/>
          <w:rtl/>
        </w:rPr>
        <w:t>30</w:t>
      </w:r>
      <w:r w:rsidRPr="00645FDF">
        <w:rPr>
          <w:spacing w:val="-2"/>
          <w:rtl/>
        </w:rPr>
        <w:t xml:space="preserve"> حزيران/</w:t>
      </w:r>
      <w:proofErr w:type="gramStart"/>
      <w:r w:rsidRPr="00645FDF">
        <w:rPr>
          <w:spacing w:val="-2"/>
          <w:rtl/>
        </w:rPr>
        <w:t>يونيه</w:t>
      </w:r>
      <w:proofErr w:type="gramEnd"/>
      <w:r w:rsidRPr="00645FDF">
        <w:rPr>
          <w:spacing w:val="-2"/>
          <w:rtl/>
        </w:rPr>
        <w:t xml:space="preserve"> </w:t>
      </w:r>
      <w:r w:rsidRPr="00B608F9">
        <w:rPr>
          <w:spacing w:val="-2"/>
          <w:rtl/>
        </w:rPr>
        <w:t>2008</w:t>
      </w:r>
      <w:r w:rsidRPr="00645FDF">
        <w:rPr>
          <w:spacing w:val="-2"/>
          <w:rtl/>
        </w:rPr>
        <w:t xml:space="preserve"> طلبات</w:t>
      </w:r>
      <w:r>
        <w:rPr>
          <w:rtl/>
        </w:rPr>
        <w:t xml:space="preserve"> </w:t>
      </w:r>
      <w:r w:rsidRPr="00645FDF">
        <w:rPr>
          <w:spacing w:val="-2"/>
          <w:rtl/>
        </w:rPr>
        <w:t xml:space="preserve">أصحاب البلاغ تنظيم تجمع في </w:t>
      </w:r>
      <w:r w:rsidRPr="00B608F9">
        <w:rPr>
          <w:spacing w:val="-2"/>
          <w:rtl/>
        </w:rPr>
        <w:t>7</w:t>
      </w:r>
      <w:r w:rsidRPr="00645FDF">
        <w:rPr>
          <w:spacing w:val="-2"/>
          <w:rtl/>
        </w:rPr>
        <w:t xml:space="preserve"> تموز/يوليه </w:t>
      </w:r>
      <w:r w:rsidRPr="00B608F9">
        <w:rPr>
          <w:spacing w:val="-2"/>
          <w:rtl/>
        </w:rPr>
        <w:t>2008</w:t>
      </w:r>
      <w:r w:rsidRPr="00645FDF">
        <w:rPr>
          <w:spacing w:val="-2"/>
          <w:rtl/>
        </w:rPr>
        <w:t xml:space="preserve"> على أساس أن موقع الحدث قريب من بلدية مينسك</w:t>
      </w:r>
      <w:r>
        <w:rPr>
          <w:rtl/>
        </w:rPr>
        <w:t xml:space="preserve">، الأمر الذي من شأنه أن يتداخل مع مرور المشاة والمركبات في المنطقة المحيطة به. </w:t>
      </w:r>
    </w:p>
    <w:p w14:paraId="331E4E20" w14:textId="33D34765" w:rsidR="006E2B18" w:rsidRDefault="006E2B18" w:rsidP="006E2B18">
      <w:pPr>
        <w:pStyle w:val="SingleTxtGA"/>
        <w:rPr>
          <w:rtl/>
        </w:rPr>
      </w:pPr>
      <w:r w:rsidRPr="00B608F9">
        <w:rPr>
          <w:rtl/>
        </w:rPr>
        <w:t>4</w:t>
      </w:r>
      <w:r>
        <w:rPr>
          <w:rtl/>
        </w:rPr>
        <w:t>-</w:t>
      </w:r>
      <w:r w:rsidRPr="00B608F9">
        <w:rPr>
          <w:rtl/>
        </w:rPr>
        <w:t>3</w:t>
      </w:r>
      <w:r>
        <w:rPr>
          <w:rtl/>
        </w:rPr>
        <w:tab/>
        <w:t xml:space="preserve">وتلاحظ الدولة الطرف أيضاً أن محكمة منطقة موسكو والدائرة المدنية بمحكمة مدينة مينسك </w:t>
      </w:r>
      <w:r w:rsidRPr="006E2B18">
        <w:rPr>
          <w:spacing w:val="-2"/>
          <w:rtl/>
        </w:rPr>
        <w:t>رفضتا -</w:t>
      </w:r>
      <w:r>
        <w:rPr>
          <w:rFonts w:hint="cs"/>
          <w:spacing w:val="-2"/>
          <w:rtl/>
        </w:rPr>
        <w:t xml:space="preserve"> </w:t>
      </w:r>
      <w:r w:rsidRPr="006E2B18">
        <w:rPr>
          <w:spacing w:val="-2"/>
          <w:rtl/>
        </w:rPr>
        <w:t>بحقّ</w:t>
      </w:r>
      <w:r>
        <w:rPr>
          <w:rFonts w:hint="cs"/>
          <w:spacing w:val="-2"/>
          <w:rtl/>
        </w:rPr>
        <w:t xml:space="preserve"> </w:t>
      </w:r>
      <w:r w:rsidRPr="006E2B18">
        <w:rPr>
          <w:spacing w:val="-2"/>
          <w:rtl/>
        </w:rPr>
        <w:t xml:space="preserve">- طعون أصحاب البلاغ استناداً إلى المادة </w:t>
      </w:r>
      <w:r w:rsidRPr="00B608F9">
        <w:rPr>
          <w:spacing w:val="-2"/>
          <w:rtl/>
        </w:rPr>
        <w:t>9</w:t>
      </w:r>
      <w:r w:rsidRPr="006E2B18">
        <w:rPr>
          <w:spacing w:val="-2"/>
          <w:rtl/>
        </w:rPr>
        <w:t xml:space="preserve"> من القانون المنظم للأحداث العامة المؤرخ </w:t>
      </w:r>
      <w:r w:rsidRPr="00B608F9">
        <w:rPr>
          <w:spacing w:val="-2"/>
          <w:rtl/>
        </w:rPr>
        <w:t>30</w:t>
      </w:r>
      <w:r>
        <w:rPr>
          <w:rtl/>
        </w:rPr>
        <w:t xml:space="preserve"> </w:t>
      </w:r>
      <w:r w:rsidRPr="006E2B18">
        <w:rPr>
          <w:spacing w:val="-4"/>
          <w:rtl/>
        </w:rPr>
        <w:t xml:space="preserve">كانون الأول/ديسمبر </w:t>
      </w:r>
      <w:r w:rsidRPr="00B608F9">
        <w:rPr>
          <w:spacing w:val="-4"/>
          <w:rtl/>
        </w:rPr>
        <w:t>1997</w:t>
      </w:r>
      <w:r w:rsidRPr="006E2B18">
        <w:rPr>
          <w:spacing w:val="-4"/>
          <w:rtl/>
        </w:rPr>
        <w:t xml:space="preserve"> التي تنص على أنه لا يمكن تنظيم أحداث جماهيرية على مسافة تقل عن </w:t>
      </w:r>
      <w:r w:rsidRPr="00B608F9">
        <w:rPr>
          <w:spacing w:val="-4"/>
          <w:rtl/>
        </w:rPr>
        <w:t>50</w:t>
      </w:r>
      <w:r>
        <w:rPr>
          <w:rtl/>
        </w:rPr>
        <w:t xml:space="preserve"> متراً </w:t>
      </w:r>
      <w:r w:rsidRPr="006E2B18">
        <w:rPr>
          <w:spacing w:val="-6"/>
          <w:rtl/>
        </w:rPr>
        <w:t xml:space="preserve">من مباني المؤسسات العامة، بما في ذلك السلطات </w:t>
      </w:r>
      <w:proofErr w:type="gramStart"/>
      <w:r w:rsidRPr="006E2B18">
        <w:rPr>
          <w:spacing w:val="-6"/>
          <w:rtl/>
        </w:rPr>
        <w:t>التنفيذية</w:t>
      </w:r>
      <w:proofErr w:type="gramEnd"/>
      <w:r w:rsidRPr="006E2B18">
        <w:rPr>
          <w:spacing w:val="-6"/>
          <w:rtl/>
        </w:rPr>
        <w:t xml:space="preserve"> والإدارية المحلية والممثليات الدبلوماسية والقنصليات</w:t>
      </w:r>
      <w:r>
        <w:rPr>
          <w:rtl/>
        </w:rPr>
        <w:t xml:space="preserve">. وتدفع الدولة الطرف بأن الاعتصام المزمع تنظيمه كان من المقرر أن يكون بالقرب من بلدية مينسك. </w:t>
      </w:r>
    </w:p>
    <w:p w14:paraId="2CA7E882" w14:textId="77777777" w:rsidR="006E2B18" w:rsidRDefault="006E2B18" w:rsidP="006E2B18">
      <w:pPr>
        <w:pStyle w:val="SingleTxtGA"/>
        <w:rPr>
          <w:rtl/>
        </w:rPr>
      </w:pPr>
      <w:r w:rsidRPr="00B608F9">
        <w:rPr>
          <w:rtl/>
        </w:rPr>
        <w:t>4</w:t>
      </w:r>
      <w:r>
        <w:rPr>
          <w:rtl/>
        </w:rPr>
        <w:t>-</w:t>
      </w:r>
      <w:r w:rsidRPr="00B608F9">
        <w:rPr>
          <w:rtl/>
        </w:rPr>
        <w:t>4</w:t>
      </w:r>
      <w:r>
        <w:rPr>
          <w:rtl/>
        </w:rPr>
        <w:tab/>
        <w:t xml:space="preserve">وتلاحظ الدولة الطرف إضافة إلى ذلك أن أصحاب البلاغ لم يطعنوا في القرار الصادر بموجب إجراء المراجعة القضائية الرقابية لدى المحكمة العليا أو مكتب المدعي العام أو رئاسة المحكمة العليا، وتجادل من ثم بأنهم قدموا بلاغهم وهم ينتهكون المادة </w:t>
      </w:r>
      <w:r w:rsidRPr="00B608F9">
        <w:rPr>
          <w:rtl/>
        </w:rPr>
        <w:t>2</w:t>
      </w:r>
      <w:r>
        <w:rPr>
          <w:rtl/>
        </w:rPr>
        <w:t xml:space="preserve"> من البروتوكول الاختياري.</w:t>
      </w:r>
    </w:p>
    <w:p w14:paraId="408F969F" w14:textId="77777777" w:rsidR="006E2B18" w:rsidRDefault="006E2B18" w:rsidP="006E2B18">
      <w:pPr>
        <w:pStyle w:val="SingleTxtGA"/>
        <w:rPr>
          <w:rtl/>
        </w:rPr>
      </w:pPr>
      <w:r w:rsidRPr="00B608F9">
        <w:rPr>
          <w:rtl/>
        </w:rPr>
        <w:t>4</w:t>
      </w:r>
      <w:r>
        <w:rPr>
          <w:rtl/>
        </w:rPr>
        <w:t>-</w:t>
      </w:r>
      <w:r w:rsidRPr="00B608F9">
        <w:rPr>
          <w:rtl/>
        </w:rPr>
        <w:t>5</w:t>
      </w:r>
      <w:r>
        <w:rPr>
          <w:rtl/>
        </w:rPr>
        <w:tab/>
      </w:r>
      <w:r w:rsidRPr="006E2B18">
        <w:rPr>
          <w:spacing w:val="-6"/>
          <w:rtl/>
        </w:rPr>
        <w:t>وتدفع الدولة الطرف بأنه ينبغي اعتبار شكاوى أصحاب البلاغ إساءة استعمال للحق في تقديم بلاغ</w:t>
      </w:r>
      <w:r>
        <w:rPr>
          <w:rtl/>
        </w:rPr>
        <w:t xml:space="preserve"> بمقتضى المادة </w:t>
      </w:r>
      <w:r w:rsidRPr="00B608F9">
        <w:rPr>
          <w:rtl/>
        </w:rPr>
        <w:t>3</w:t>
      </w:r>
      <w:r>
        <w:rPr>
          <w:rtl/>
        </w:rPr>
        <w:t xml:space="preserve"> من البروتوكول الاختياري بسبب عدم استنفادهم جميع سبل الانتصاف الداخلية المتاحة.</w:t>
      </w:r>
    </w:p>
    <w:p w14:paraId="5F9231F8" w14:textId="77777777" w:rsidR="006E2B18" w:rsidRPr="00B608F9" w:rsidRDefault="006E2B18" w:rsidP="006E2B18">
      <w:pPr>
        <w:pStyle w:val="H23GA"/>
        <w:rPr>
          <w:rtl/>
        </w:rPr>
      </w:pPr>
      <w:r w:rsidRPr="00B608F9">
        <w:rPr>
          <w:rtl/>
        </w:rPr>
        <w:lastRenderedPageBreak/>
        <w:tab/>
      </w:r>
      <w:r w:rsidRPr="00B608F9">
        <w:rPr>
          <w:rtl/>
        </w:rPr>
        <w:tab/>
        <w:t>تعليقات أصحاب البلاغ على ملاحظات الدولة الطرف</w:t>
      </w:r>
    </w:p>
    <w:p w14:paraId="0693D9A1" w14:textId="77777777" w:rsidR="006E2B18" w:rsidRDefault="006E2B18" w:rsidP="006E2B18">
      <w:pPr>
        <w:pStyle w:val="SingleTxtGA"/>
        <w:rPr>
          <w:rtl/>
        </w:rPr>
      </w:pPr>
      <w:r w:rsidRPr="00B608F9">
        <w:rPr>
          <w:rtl/>
        </w:rPr>
        <w:t>5</w:t>
      </w:r>
      <w:r>
        <w:rPr>
          <w:rtl/>
        </w:rPr>
        <w:t>-</w:t>
      </w:r>
      <w:r w:rsidRPr="00B608F9">
        <w:rPr>
          <w:rtl/>
        </w:rPr>
        <w:t>1</w:t>
      </w:r>
      <w:r>
        <w:rPr>
          <w:rtl/>
        </w:rPr>
        <w:tab/>
        <w:t xml:space="preserve">في </w:t>
      </w:r>
      <w:r w:rsidRPr="00B608F9">
        <w:rPr>
          <w:rtl/>
        </w:rPr>
        <w:t>27</w:t>
      </w:r>
      <w:r>
        <w:rPr>
          <w:rtl/>
        </w:rPr>
        <w:t xml:space="preserve"> كانون الأول/ديسمبر </w:t>
      </w:r>
      <w:r w:rsidRPr="00B608F9">
        <w:rPr>
          <w:rtl/>
        </w:rPr>
        <w:t>2018</w:t>
      </w:r>
      <w:r>
        <w:rPr>
          <w:rtl/>
        </w:rPr>
        <w:t xml:space="preserve">، لاحظ أصحاب البلاغ أن الطعن بموجب إجراء المراجعة القضائية الرقابية ليس سبيل انتصاف فعالاً محتجّين بأن الدولة الطرف لم تحدد بالضبط في ملاحظاتها سبل الانتصاف الداخلية الفعالة التي لم </w:t>
      </w:r>
      <w:proofErr w:type="spellStart"/>
      <w:r>
        <w:rPr>
          <w:rtl/>
        </w:rPr>
        <w:t>يستنفدوها</w:t>
      </w:r>
      <w:proofErr w:type="spellEnd"/>
      <w:r>
        <w:rPr>
          <w:rtl/>
        </w:rPr>
        <w:t>.</w:t>
      </w:r>
    </w:p>
    <w:p w14:paraId="7110A37E" w14:textId="15111498" w:rsidR="006E2B18" w:rsidRDefault="006E2B18" w:rsidP="006E2B18">
      <w:pPr>
        <w:pStyle w:val="SingleTxtGA"/>
        <w:rPr>
          <w:rtl/>
        </w:rPr>
      </w:pPr>
      <w:r w:rsidRPr="00B608F9">
        <w:rPr>
          <w:rtl/>
        </w:rPr>
        <w:t>5</w:t>
      </w:r>
      <w:r>
        <w:rPr>
          <w:rtl/>
        </w:rPr>
        <w:t>-</w:t>
      </w:r>
      <w:r w:rsidRPr="00B608F9">
        <w:rPr>
          <w:rtl/>
        </w:rPr>
        <w:t>2</w:t>
      </w:r>
      <w:r>
        <w:rPr>
          <w:rtl/>
        </w:rPr>
        <w:tab/>
        <w:t xml:space="preserve">ويحيل أصحاب البلاغ إلى اجتهادات اللجنة بشأن استنفاد سبل الانتصاف الداخلية ويلاحظون أن سبل الانتصاف هذه يجب أن تكون متاحة وفعالة على حد سواء. ويدفعون بأنه يجب على الدولة الطرف أن تقدم تفاصيل عن سبل الانتصاف المتاحة لهم مشفوعة بأدلة على وجود احتمال معقول أن تكون سبل الانتصاف هذه </w:t>
      </w:r>
      <w:proofErr w:type="gramStart"/>
      <w:r>
        <w:rPr>
          <w:rtl/>
        </w:rPr>
        <w:t>فعالة</w:t>
      </w:r>
      <w:r w:rsidRPr="006E2B18">
        <w:rPr>
          <w:vertAlign w:val="superscript"/>
          <w:rtl/>
        </w:rPr>
        <w:t>(</w:t>
      </w:r>
      <w:proofErr w:type="gramEnd"/>
      <w:r w:rsidRPr="00B608F9">
        <w:rPr>
          <w:rStyle w:val="FootnoteReference"/>
          <w:szCs w:val="22"/>
          <w:lang w:val="en-US"/>
        </w:rPr>
        <w:footnoteReference w:id="3"/>
      </w:r>
      <w:r w:rsidRPr="006E2B18">
        <w:rPr>
          <w:vertAlign w:val="superscript"/>
          <w:rtl/>
        </w:rPr>
        <w:t>)</w:t>
      </w:r>
      <w:r>
        <w:rPr>
          <w:rtl/>
        </w:rPr>
        <w:t>.</w:t>
      </w:r>
    </w:p>
    <w:p w14:paraId="265D06D8" w14:textId="4B66CF53" w:rsidR="006E2B18" w:rsidRPr="00B608F9" w:rsidRDefault="006E2B18" w:rsidP="006E2B18">
      <w:pPr>
        <w:pStyle w:val="H23GA"/>
        <w:rPr>
          <w:rtl/>
        </w:rPr>
      </w:pPr>
      <w:r w:rsidRPr="00B608F9">
        <w:rPr>
          <w:rtl/>
        </w:rPr>
        <w:tab/>
      </w:r>
      <w:r w:rsidRPr="00B608F9">
        <w:rPr>
          <w:rtl/>
        </w:rPr>
        <w:tab/>
        <w:t>المسائل والإجراءات المعروضة على اللجنة</w:t>
      </w:r>
    </w:p>
    <w:p w14:paraId="59DC5FDD" w14:textId="77777777" w:rsidR="006E2B18" w:rsidRPr="00B608F9" w:rsidRDefault="006E2B18" w:rsidP="006E2B18">
      <w:pPr>
        <w:pStyle w:val="H4GA"/>
        <w:rPr>
          <w:rtl/>
        </w:rPr>
      </w:pPr>
      <w:r w:rsidRPr="00B608F9">
        <w:rPr>
          <w:rtl/>
        </w:rPr>
        <w:tab/>
      </w:r>
      <w:r w:rsidRPr="00B608F9">
        <w:rPr>
          <w:rtl/>
        </w:rPr>
        <w:tab/>
        <w:t>النظر في المقبولية</w:t>
      </w:r>
    </w:p>
    <w:p w14:paraId="7656817D" w14:textId="77777777" w:rsidR="006E2B18" w:rsidRDefault="006E2B18" w:rsidP="006E2B18">
      <w:pPr>
        <w:pStyle w:val="SingleTxtGA"/>
        <w:rPr>
          <w:rtl/>
        </w:rPr>
      </w:pPr>
      <w:r w:rsidRPr="00B608F9">
        <w:rPr>
          <w:rtl/>
        </w:rPr>
        <w:t>6</w:t>
      </w:r>
      <w:r>
        <w:rPr>
          <w:rtl/>
        </w:rPr>
        <w:t>-</w:t>
      </w:r>
      <w:r w:rsidRPr="00B608F9">
        <w:rPr>
          <w:rtl/>
        </w:rPr>
        <w:t>1</w:t>
      </w:r>
      <w:r>
        <w:rPr>
          <w:rtl/>
        </w:rPr>
        <w:tab/>
        <w:t xml:space="preserve">قبل النظر في أي ادعاء يرد في بلاغ ما، يجب أن تبت اللجنة، وفقاً للمادة </w:t>
      </w:r>
      <w:r w:rsidRPr="00B608F9">
        <w:rPr>
          <w:rtl/>
        </w:rPr>
        <w:t>97</w:t>
      </w:r>
      <w:r>
        <w:rPr>
          <w:rtl/>
        </w:rPr>
        <w:t xml:space="preserve"> من نظامها الداخلي، فيما إذا كان البلاغ مقبولاً أم لا بموجب البروتوكول الاختياري.</w:t>
      </w:r>
    </w:p>
    <w:p w14:paraId="6FB2A14D" w14:textId="4729F658" w:rsidR="006E2B18" w:rsidRDefault="006E2B18" w:rsidP="006E2B18">
      <w:pPr>
        <w:pStyle w:val="SingleTxtGA"/>
        <w:rPr>
          <w:rtl/>
        </w:rPr>
      </w:pPr>
      <w:r w:rsidRPr="00B608F9">
        <w:rPr>
          <w:rtl/>
        </w:rPr>
        <w:t>6</w:t>
      </w:r>
      <w:r>
        <w:rPr>
          <w:rtl/>
        </w:rPr>
        <w:t>-</w:t>
      </w:r>
      <w:r w:rsidRPr="00B608F9">
        <w:rPr>
          <w:rtl/>
        </w:rPr>
        <w:t>2</w:t>
      </w:r>
      <w:r>
        <w:rPr>
          <w:rtl/>
        </w:rPr>
        <w:tab/>
        <w:t xml:space="preserve">وقد استيقنت اللجنة، وفقاً لما تقتضيه المادة </w:t>
      </w:r>
      <w:r w:rsidRPr="00B608F9">
        <w:rPr>
          <w:rtl/>
        </w:rPr>
        <w:t>5</w:t>
      </w:r>
      <w:r>
        <w:rPr>
          <w:rtl/>
        </w:rPr>
        <w:t>(</w:t>
      </w:r>
      <w:r w:rsidRPr="00B608F9">
        <w:rPr>
          <w:rtl/>
        </w:rPr>
        <w:t>2</w:t>
      </w:r>
      <w:r>
        <w:rPr>
          <w:rtl/>
        </w:rPr>
        <w:t>)(أ) من البروتوكول الاختياري، من أن المسألة نفسها ليست قيد البحث في إطار إجراء آخر من إجراءات التحقيق الدولي أو التسوية الدولية.</w:t>
      </w:r>
    </w:p>
    <w:p w14:paraId="32E301C8" w14:textId="27C8BE0F" w:rsidR="006E2B18" w:rsidRPr="008C58B8" w:rsidRDefault="006E2B18" w:rsidP="006E2B18">
      <w:pPr>
        <w:pStyle w:val="SingleTxtGA"/>
        <w:rPr>
          <w:spacing w:val="-4"/>
          <w:rtl/>
        </w:rPr>
      </w:pPr>
      <w:r w:rsidRPr="00B608F9">
        <w:rPr>
          <w:rtl/>
        </w:rPr>
        <w:t>6</w:t>
      </w:r>
      <w:r>
        <w:rPr>
          <w:rtl/>
        </w:rPr>
        <w:t>-</w:t>
      </w:r>
      <w:r w:rsidRPr="00B608F9">
        <w:rPr>
          <w:rtl/>
        </w:rPr>
        <w:t>3</w:t>
      </w:r>
      <w:r>
        <w:rPr>
          <w:rtl/>
        </w:rPr>
        <w:tab/>
        <w:t xml:space="preserve">وتحيط اللجنة علماً بملاحظات الدولة الطرف التي تلمح فيها إلى أن أصحاب البلاغ لم يستنفدوا سبل الانتصاف الداخلية المتاحة كلها لأن المدعي العام أو رئاسة المحكمة العليا لم يبحثا طلباتهم إجراء مراجعة قضائية رقابية. وتذكّر باجتهاداتها التي جاء فيها أن التماس مراجعة قضائية رقابية من مكتب مدّع عام، وهو إجراء يخضع للسلطة التقديرية للمدعي العام، من أجل طلب مراجعة قرارات محكمة دخلت </w:t>
      </w:r>
      <w:r w:rsidRPr="008C58B8">
        <w:rPr>
          <w:spacing w:val="-4"/>
          <w:rtl/>
        </w:rPr>
        <w:t xml:space="preserve">حيز النفاذ، ليس سبيل انتصاف فعالا يتعيّن استنفاده لأغراض المادة </w:t>
      </w:r>
      <w:r w:rsidRPr="00B608F9">
        <w:rPr>
          <w:spacing w:val="-4"/>
          <w:rtl/>
        </w:rPr>
        <w:t>5</w:t>
      </w:r>
      <w:r w:rsidRPr="008C58B8">
        <w:rPr>
          <w:spacing w:val="-4"/>
          <w:rtl/>
        </w:rPr>
        <w:t>(</w:t>
      </w:r>
      <w:r w:rsidRPr="00B608F9">
        <w:rPr>
          <w:spacing w:val="-4"/>
          <w:rtl/>
        </w:rPr>
        <w:t>2</w:t>
      </w:r>
      <w:r w:rsidRPr="008C58B8">
        <w:rPr>
          <w:spacing w:val="-4"/>
          <w:rtl/>
        </w:rPr>
        <w:t xml:space="preserve">)(ب) من البروتوكول </w:t>
      </w:r>
      <w:proofErr w:type="gramStart"/>
      <w:r w:rsidRPr="008C58B8">
        <w:rPr>
          <w:spacing w:val="-4"/>
          <w:rtl/>
        </w:rPr>
        <w:t>الاختياري</w:t>
      </w:r>
      <w:r w:rsidRPr="006E2B18">
        <w:rPr>
          <w:vertAlign w:val="superscript"/>
          <w:rtl/>
        </w:rPr>
        <w:t>(</w:t>
      </w:r>
      <w:proofErr w:type="gramEnd"/>
      <w:r w:rsidRPr="00B608F9">
        <w:rPr>
          <w:rStyle w:val="FootnoteReference"/>
          <w:szCs w:val="22"/>
          <w:lang w:val="en-US"/>
        </w:rPr>
        <w:footnoteReference w:id="4"/>
      </w:r>
      <w:r w:rsidRPr="006E2B18">
        <w:rPr>
          <w:vertAlign w:val="superscript"/>
          <w:rtl/>
        </w:rPr>
        <w:t>)</w:t>
      </w:r>
      <w:r>
        <w:rPr>
          <w:rtl/>
        </w:rPr>
        <w:t xml:space="preserve">. وترى أيضاً أن تقديم طلبات إلى رئاسة المحكمة لإجراء مراجعة قضائية رقابية لقرارات المحاكم التي بدأ نفاذها وتخضع لسلطة القاضي التقديرية سبيل انتصاف استثنائي وأن على الدولة الطرف أن تبيّن وجود احتمال معقول أن تتيح هذه الطلبات سبيل انتصاف فعالاً في ملابسات </w:t>
      </w:r>
      <w:proofErr w:type="gramStart"/>
      <w:r>
        <w:rPr>
          <w:rtl/>
        </w:rPr>
        <w:t>القضية</w:t>
      </w:r>
      <w:r w:rsidRPr="006E2B18">
        <w:rPr>
          <w:vertAlign w:val="superscript"/>
          <w:rtl/>
        </w:rPr>
        <w:t>(</w:t>
      </w:r>
      <w:proofErr w:type="gramEnd"/>
      <w:r w:rsidRPr="00B608F9">
        <w:rPr>
          <w:rStyle w:val="FootnoteReference"/>
          <w:szCs w:val="22"/>
          <w:lang w:val="en-US"/>
        </w:rPr>
        <w:footnoteReference w:id="5"/>
      </w:r>
      <w:r w:rsidRPr="006E2B18">
        <w:rPr>
          <w:vertAlign w:val="superscript"/>
          <w:rtl/>
        </w:rPr>
        <w:t>)</w:t>
      </w:r>
      <w:r>
        <w:rPr>
          <w:rtl/>
        </w:rPr>
        <w:t xml:space="preserve">. ولـمّا لم تقدم الدولة </w:t>
      </w:r>
      <w:r w:rsidRPr="008C58B8">
        <w:rPr>
          <w:spacing w:val="-6"/>
          <w:rtl/>
        </w:rPr>
        <w:t xml:space="preserve">الطرف معلومات أو توضيحات إضافية عن القضية محل النظر، ترى اللجنة أن المادة </w:t>
      </w:r>
      <w:r w:rsidRPr="00B608F9">
        <w:rPr>
          <w:spacing w:val="-6"/>
          <w:rtl/>
        </w:rPr>
        <w:t>5</w:t>
      </w:r>
      <w:r w:rsidRPr="008C58B8">
        <w:rPr>
          <w:spacing w:val="-6"/>
          <w:rtl/>
        </w:rPr>
        <w:t>(</w:t>
      </w:r>
      <w:r w:rsidRPr="00B608F9">
        <w:rPr>
          <w:spacing w:val="-6"/>
          <w:rtl/>
        </w:rPr>
        <w:t>2</w:t>
      </w:r>
      <w:r w:rsidRPr="008C58B8">
        <w:rPr>
          <w:spacing w:val="-6"/>
          <w:rtl/>
        </w:rPr>
        <w:t>)(ب) من البروتوكول</w:t>
      </w:r>
      <w:r w:rsidRPr="008C58B8">
        <w:rPr>
          <w:spacing w:val="-4"/>
          <w:rtl/>
        </w:rPr>
        <w:t xml:space="preserve"> الاختياري لا تمنعها من دراسة البلاغ. وتلاحظ أيضاً أن البلاغ قدم في غضون خمس سنوات من استنفاد سبل الانتصاف الداخلية ولا يمكن من ثم أن يشكل إساءة استعمال للحق في تقديم البلاغات المنصوص عليه في المادة </w:t>
      </w:r>
      <w:r w:rsidRPr="00B608F9">
        <w:rPr>
          <w:spacing w:val="-4"/>
          <w:rtl/>
        </w:rPr>
        <w:t>3</w:t>
      </w:r>
      <w:r w:rsidRPr="008C58B8">
        <w:rPr>
          <w:spacing w:val="-4"/>
          <w:rtl/>
        </w:rPr>
        <w:t xml:space="preserve"> من البروتوكول الاختياري والمادة </w:t>
      </w:r>
      <w:r w:rsidRPr="00B608F9">
        <w:rPr>
          <w:spacing w:val="-4"/>
          <w:rtl/>
        </w:rPr>
        <w:t>99</w:t>
      </w:r>
      <w:r w:rsidRPr="008C58B8">
        <w:rPr>
          <w:spacing w:val="-4"/>
          <w:rtl/>
        </w:rPr>
        <w:t>(ج) من نظامها الداخلي على أساس التأخير في تقديم البلاغات.</w:t>
      </w:r>
    </w:p>
    <w:p w14:paraId="49C82468" w14:textId="77777777" w:rsidR="006E2B18" w:rsidRDefault="006E2B18" w:rsidP="006E2B18">
      <w:pPr>
        <w:pStyle w:val="SingleTxtGA"/>
        <w:rPr>
          <w:rtl/>
        </w:rPr>
      </w:pPr>
      <w:r w:rsidRPr="00B608F9">
        <w:rPr>
          <w:rtl/>
        </w:rPr>
        <w:t>6</w:t>
      </w:r>
      <w:r>
        <w:rPr>
          <w:rtl/>
        </w:rPr>
        <w:t>-</w:t>
      </w:r>
      <w:r w:rsidRPr="00B608F9">
        <w:rPr>
          <w:rtl/>
        </w:rPr>
        <w:t>4</w:t>
      </w:r>
      <w:r>
        <w:rPr>
          <w:rtl/>
        </w:rPr>
        <w:tab/>
        <w:t xml:space="preserve">وعن الانتهاكات المزعومة للمادة </w:t>
      </w:r>
      <w:r w:rsidRPr="00B608F9">
        <w:rPr>
          <w:rtl/>
        </w:rPr>
        <w:t>14</w:t>
      </w:r>
      <w:r>
        <w:rPr>
          <w:rtl/>
        </w:rPr>
        <w:t>(</w:t>
      </w:r>
      <w:r w:rsidRPr="00B608F9">
        <w:rPr>
          <w:rtl/>
        </w:rPr>
        <w:t>1</w:t>
      </w:r>
      <w:r>
        <w:rPr>
          <w:rtl/>
        </w:rPr>
        <w:t xml:space="preserve">) من العهد، ترى اللجنة أن ادعاء حرمان أصحاب </w:t>
      </w:r>
      <w:r w:rsidRPr="008C58B8">
        <w:rPr>
          <w:spacing w:val="-4"/>
          <w:rtl/>
        </w:rPr>
        <w:t>البلاغ الحقَّ في محاكمة عادلة لأن المحاكم تأثرت بلجنة مدينة مينسك التنفيذية وتجاهلت طلباتهم دون مبرر</w:t>
      </w:r>
      <w:r>
        <w:rPr>
          <w:rtl/>
        </w:rPr>
        <w:t xml:space="preserve"> </w:t>
      </w:r>
      <w:r w:rsidRPr="008C58B8">
        <w:rPr>
          <w:spacing w:val="-4"/>
          <w:rtl/>
        </w:rPr>
        <w:t>ادعاء غامض ومحدَّد تحديداً فضفاضاً، ومن ثم فهو غير مدعوم بأدلة كافية لأغراض المقبولية. ولذلك ترى</w:t>
      </w:r>
      <w:r>
        <w:rPr>
          <w:rtl/>
        </w:rPr>
        <w:t xml:space="preserve"> أن هذا الجزء من البلاغ غير مقبول بمقتضى المادة </w:t>
      </w:r>
      <w:r w:rsidRPr="00B608F9">
        <w:rPr>
          <w:rtl/>
        </w:rPr>
        <w:t>2</w:t>
      </w:r>
      <w:r>
        <w:rPr>
          <w:rtl/>
        </w:rPr>
        <w:t xml:space="preserve"> من البروتوكول الاختياري.</w:t>
      </w:r>
    </w:p>
    <w:p w14:paraId="1E297FF4" w14:textId="749B4E00" w:rsidR="006E2B18" w:rsidRDefault="006E2B18" w:rsidP="008C58B8">
      <w:pPr>
        <w:pStyle w:val="SingleTxtGA"/>
        <w:spacing w:line="350" w:lineRule="exact"/>
        <w:rPr>
          <w:rtl/>
        </w:rPr>
      </w:pPr>
      <w:r w:rsidRPr="00B608F9">
        <w:rPr>
          <w:rtl/>
        </w:rPr>
        <w:lastRenderedPageBreak/>
        <w:t>6</w:t>
      </w:r>
      <w:r>
        <w:rPr>
          <w:rtl/>
        </w:rPr>
        <w:t>-</w:t>
      </w:r>
      <w:r w:rsidRPr="00B608F9">
        <w:rPr>
          <w:rtl/>
        </w:rPr>
        <w:t>5</w:t>
      </w:r>
      <w:r>
        <w:rPr>
          <w:rtl/>
        </w:rPr>
        <w:tab/>
        <w:t xml:space="preserve">وتحيط اللجنة علماً بادعاءات أصحاب البلاغ بموجب المادتين </w:t>
      </w:r>
      <w:r w:rsidRPr="00B608F9">
        <w:rPr>
          <w:rtl/>
        </w:rPr>
        <w:t>19</w:t>
      </w:r>
      <w:r>
        <w:rPr>
          <w:rtl/>
        </w:rPr>
        <w:t xml:space="preserve"> و</w:t>
      </w:r>
      <w:r w:rsidRPr="00B608F9">
        <w:rPr>
          <w:rtl/>
        </w:rPr>
        <w:t>21</w:t>
      </w:r>
      <w:r>
        <w:rPr>
          <w:rtl/>
        </w:rPr>
        <w:t xml:space="preserve"> مقروءتين بالاقتران مع</w:t>
      </w:r>
      <w:r w:rsidR="008C58B8">
        <w:rPr>
          <w:rFonts w:hint="cs"/>
          <w:rtl/>
        </w:rPr>
        <w:t> </w:t>
      </w:r>
      <w:r>
        <w:rPr>
          <w:rtl/>
        </w:rPr>
        <w:t xml:space="preserve">المادة </w:t>
      </w:r>
      <w:r w:rsidRPr="00B608F9">
        <w:rPr>
          <w:rtl/>
        </w:rPr>
        <w:t>2</w:t>
      </w:r>
      <w:r>
        <w:rPr>
          <w:rtl/>
        </w:rPr>
        <w:t xml:space="preserve"> من العهد. وبالنظر إلى عدم تضمين الملف معلومات وجيهة، ترى اللجنة أن أصحاب البلاغ لم يثبتوا ادعاءاتهم بما يكفي لأغراض المقبولية. وعلى هذا تعلن هذا الجزء من البلاغ غير مقبول بمقتضى المادة </w:t>
      </w:r>
      <w:r w:rsidRPr="00B608F9">
        <w:rPr>
          <w:rtl/>
        </w:rPr>
        <w:t>2</w:t>
      </w:r>
      <w:r>
        <w:rPr>
          <w:rtl/>
        </w:rPr>
        <w:t xml:space="preserve"> من البروتوكول الاختياري.</w:t>
      </w:r>
    </w:p>
    <w:p w14:paraId="391E62C5" w14:textId="77777777" w:rsidR="006E2B18" w:rsidRDefault="006E2B18" w:rsidP="008C58B8">
      <w:pPr>
        <w:pStyle w:val="SingleTxtGA"/>
        <w:spacing w:line="350" w:lineRule="exact"/>
        <w:rPr>
          <w:rtl/>
        </w:rPr>
      </w:pPr>
      <w:r w:rsidRPr="00B608F9">
        <w:rPr>
          <w:rtl/>
        </w:rPr>
        <w:t>6</w:t>
      </w:r>
      <w:r>
        <w:rPr>
          <w:rtl/>
        </w:rPr>
        <w:t>-</w:t>
      </w:r>
      <w:r w:rsidRPr="00B608F9">
        <w:rPr>
          <w:rtl/>
        </w:rPr>
        <w:t>6</w:t>
      </w:r>
      <w:r>
        <w:rPr>
          <w:rtl/>
        </w:rPr>
        <w:tab/>
        <w:t xml:space="preserve">وفي الختام، تشير اللجنة إلى أن ادعاءات أصحاب البلاغ تثير بالطريقة التي قدمت بها قضايا في إطار المادتين </w:t>
      </w:r>
      <w:r w:rsidRPr="00B608F9">
        <w:rPr>
          <w:rtl/>
        </w:rPr>
        <w:t>19</w:t>
      </w:r>
      <w:r>
        <w:rPr>
          <w:rtl/>
        </w:rPr>
        <w:t>(</w:t>
      </w:r>
      <w:r w:rsidRPr="00B608F9">
        <w:rPr>
          <w:rtl/>
        </w:rPr>
        <w:t>2</w:t>
      </w:r>
      <w:r>
        <w:rPr>
          <w:rtl/>
        </w:rPr>
        <w:t>) و</w:t>
      </w:r>
      <w:r w:rsidRPr="00B608F9">
        <w:rPr>
          <w:rtl/>
        </w:rPr>
        <w:t>21</w:t>
      </w:r>
      <w:r>
        <w:rPr>
          <w:rtl/>
        </w:rPr>
        <w:t xml:space="preserve"> من العهد وترى أن هذه الادعاءات ثبتت بما يكفي لأغراض المقبولية وتنتقل إلى النظر في أسس البلاغ الموضوعية.</w:t>
      </w:r>
    </w:p>
    <w:p w14:paraId="5DC00312" w14:textId="77777777" w:rsidR="006E2B18" w:rsidRPr="00B608F9" w:rsidRDefault="006E2B18" w:rsidP="008C58B8">
      <w:pPr>
        <w:pStyle w:val="H4GA"/>
        <w:spacing w:line="350" w:lineRule="exact"/>
        <w:rPr>
          <w:rtl/>
        </w:rPr>
      </w:pPr>
      <w:r w:rsidRPr="00B608F9">
        <w:rPr>
          <w:rtl/>
        </w:rPr>
        <w:tab/>
      </w:r>
      <w:r w:rsidRPr="00B608F9">
        <w:rPr>
          <w:rtl/>
        </w:rPr>
        <w:tab/>
        <w:t>النظر في الأسس الموضوعية</w:t>
      </w:r>
    </w:p>
    <w:p w14:paraId="2A42ABC6" w14:textId="77777777" w:rsidR="006E2B18" w:rsidRDefault="006E2B18" w:rsidP="008C58B8">
      <w:pPr>
        <w:pStyle w:val="SingleTxtGA"/>
        <w:spacing w:line="350" w:lineRule="exact"/>
        <w:rPr>
          <w:rtl/>
        </w:rPr>
      </w:pPr>
      <w:r w:rsidRPr="00B608F9">
        <w:rPr>
          <w:rtl/>
        </w:rPr>
        <w:t>7</w:t>
      </w:r>
      <w:r>
        <w:rPr>
          <w:rtl/>
        </w:rPr>
        <w:t>-</w:t>
      </w:r>
      <w:r w:rsidRPr="00B608F9">
        <w:rPr>
          <w:rtl/>
        </w:rPr>
        <w:t>1</w:t>
      </w:r>
      <w:r>
        <w:rPr>
          <w:rtl/>
        </w:rPr>
        <w:tab/>
        <w:t xml:space="preserve">نظرت اللجنة في هذا البلاغ في ضوء جميع المعلومات التي أتاحها لها الطرفان، وفقاً لما تقتضيه المادة </w:t>
      </w:r>
      <w:r w:rsidRPr="00B608F9">
        <w:rPr>
          <w:rtl/>
        </w:rPr>
        <w:t>5</w:t>
      </w:r>
      <w:r>
        <w:rPr>
          <w:rtl/>
        </w:rPr>
        <w:t>(</w:t>
      </w:r>
      <w:r w:rsidRPr="00B608F9">
        <w:rPr>
          <w:rtl/>
        </w:rPr>
        <w:t>1</w:t>
      </w:r>
      <w:r>
        <w:rPr>
          <w:rtl/>
        </w:rPr>
        <w:t>) من البروتوكول الاختياري.</w:t>
      </w:r>
    </w:p>
    <w:p w14:paraId="5AC4836D" w14:textId="77777777" w:rsidR="006E2B18" w:rsidRDefault="006E2B18" w:rsidP="008C58B8">
      <w:pPr>
        <w:pStyle w:val="SingleTxtGA"/>
        <w:spacing w:line="350" w:lineRule="exact"/>
        <w:rPr>
          <w:rtl/>
        </w:rPr>
      </w:pPr>
      <w:r w:rsidRPr="00B608F9">
        <w:rPr>
          <w:rtl/>
        </w:rPr>
        <w:t>7</w:t>
      </w:r>
      <w:r>
        <w:rPr>
          <w:rtl/>
        </w:rPr>
        <w:t>-</w:t>
      </w:r>
      <w:r w:rsidRPr="00B608F9">
        <w:rPr>
          <w:rtl/>
        </w:rPr>
        <w:t>2</w:t>
      </w:r>
      <w:r>
        <w:rPr>
          <w:rtl/>
        </w:rPr>
        <w:tab/>
      </w:r>
      <w:r w:rsidRPr="008C58B8">
        <w:rPr>
          <w:spacing w:val="-2"/>
          <w:rtl/>
        </w:rPr>
        <w:t>وتحيط اللجنة علماً بادعاءات أصحاب البلاغ أن حقهم في حرية التعبير وحرية التجمع قُيدا تقييداً</w:t>
      </w:r>
      <w:r>
        <w:rPr>
          <w:rtl/>
        </w:rPr>
        <w:t xml:space="preserve"> ينتهك المادتين </w:t>
      </w:r>
      <w:r w:rsidRPr="00B608F9">
        <w:rPr>
          <w:rtl/>
        </w:rPr>
        <w:t>19</w:t>
      </w:r>
      <w:r>
        <w:rPr>
          <w:rtl/>
        </w:rPr>
        <w:t xml:space="preserve"> و</w:t>
      </w:r>
      <w:r w:rsidRPr="00B608F9">
        <w:rPr>
          <w:rtl/>
        </w:rPr>
        <w:t>21</w:t>
      </w:r>
      <w:r>
        <w:rPr>
          <w:rtl/>
        </w:rPr>
        <w:t xml:space="preserve"> من العهد لأنه لم يؤذن لهم في تنظيم تجمعات سلمية تهدف إلى لفت انتباه الجمهور إلى حالات اختفاء بعض الأفراد في بيلاروس وحث السلطات على إجراء تحقيقات فعالة في حالات الاختفاء هذه والتصديق على الاتفاقية الدولية لحماية جميع الأشخاص من الاختفاء القسري. وتحيط علماً أيضاً بادعاءات أصحاب البلاغ أن السلطات لم توضح السبب الذي يجعل فرض قيود على حقهم في تنظيم تجمع إجراءً ضرورياً لحفظ الأمن </w:t>
      </w:r>
      <w:proofErr w:type="gramStart"/>
      <w:r>
        <w:rPr>
          <w:rtl/>
        </w:rPr>
        <w:t>الوطني</w:t>
      </w:r>
      <w:proofErr w:type="gramEnd"/>
      <w:r>
        <w:rPr>
          <w:rtl/>
        </w:rPr>
        <w:t xml:space="preserve"> أو السلامة العامة أو النظام العام أو الصحة العامة أو الآداب العامة أو حقوق الآخرين وحرياتهم على النحو الذي </w:t>
      </w:r>
      <w:proofErr w:type="spellStart"/>
      <w:r>
        <w:rPr>
          <w:rtl/>
        </w:rPr>
        <w:t>تستوجبه</w:t>
      </w:r>
      <w:proofErr w:type="spellEnd"/>
      <w:r>
        <w:rPr>
          <w:rtl/>
        </w:rPr>
        <w:t xml:space="preserve"> المادتان </w:t>
      </w:r>
      <w:r w:rsidRPr="00B608F9">
        <w:rPr>
          <w:rtl/>
        </w:rPr>
        <w:t>19</w:t>
      </w:r>
      <w:r>
        <w:rPr>
          <w:rtl/>
        </w:rPr>
        <w:t>(</w:t>
      </w:r>
      <w:r w:rsidRPr="00B608F9">
        <w:rPr>
          <w:rtl/>
        </w:rPr>
        <w:t>3</w:t>
      </w:r>
      <w:r>
        <w:rPr>
          <w:rtl/>
        </w:rPr>
        <w:t>) و</w:t>
      </w:r>
      <w:r w:rsidRPr="00B608F9">
        <w:rPr>
          <w:rtl/>
        </w:rPr>
        <w:t>21</w:t>
      </w:r>
      <w:r>
        <w:rPr>
          <w:rtl/>
        </w:rPr>
        <w:t xml:space="preserve"> من العهد، ولذلك تعتبر هذه القيود غير قانونية. </w:t>
      </w:r>
    </w:p>
    <w:p w14:paraId="3FF2C4CA" w14:textId="6527C6AD" w:rsidR="006E2B18" w:rsidRDefault="006E2B18" w:rsidP="008C58B8">
      <w:pPr>
        <w:pStyle w:val="SingleTxtGA"/>
        <w:spacing w:line="350" w:lineRule="exact"/>
        <w:rPr>
          <w:rtl/>
        </w:rPr>
      </w:pPr>
      <w:r w:rsidRPr="00B608F9">
        <w:rPr>
          <w:rtl/>
        </w:rPr>
        <w:t>7</w:t>
      </w:r>
      <w:r>
        <w:rPr>
          <w:rtl/>
        </w:rPr>
        <w:t>-</w:t>
      </w:r>
      <w:r w:rsidRPr="00B608F9">
        <w:rPr>
          <w:rtl/>
        </w:rPr>
        <w:t>3</w:t>
      </w:r>
      <w:r>
        <w:rPr>
          <w:rtl/>
        </w:rPr>
        <w:tab/>
      </w:r>
      <w:r w:rsidRPr="008C58B8">
        <w:rPr>
          <w:spacing w:val="-4"/>
          <w:rtl/>
        </w:rPr>
        <w:t xml:space="preserve">وتحيط اللجنة علماً بادعاء أصحاب البلاغ أن حقهم في حرية التجمع السلمي الذي تكفله المادة </w:t>
      </w:r>
      <w:r w:rsidRPr="00B608F9">
        <w:rPr>
          <w:spacing w:val="-4"/>
          <w:rtl/>
        </w:rPr>
        <w:t>21</w:t>
      </w:r>
      <w:r>
        <w:rPr>
          <w:rtl/>
        </w:rPr>
        <w:t xml:space="preserve"> من العهد انتُهك أيضاً برفض لجنة مدينة مينسك التنفيذية الترخيص لهم في تنظيم تجمعات سلمية. وتذكّر </w:t>
      </w:r>
      <w:r w:rsidRPr="008C58B8">
        <w:rPr>
          <w:spacing w:val="-4"/>
          <w:rtl/>
        </w:rPr>
        <w:t xml:space="preserve">بتعليقها العام رقم </w:t>
      </w:r>
      <w:r w:rsidRPr="00B608F9">
        <w:rPr>
          <w:spacing w:val="-4"/>
          <w:rtl/>
        </w:rPr>
        <w:t>37</w:t>
      </w:r>
      <w:r w:rsidRPr="008C58B8">
        <w:rPr>
          <w:spacing w:val="-4"/>
          <w:rtl/>
        </w:rPr>
        <w:t>(</w:t>
      </w:r>
      <w:r w:rsidRPr="00B608F9">
        <w:rPr>
          <w:spacing w:val="-4"/>
          <w:rtl/>
        </w:rPr>
        <w:t>2020</w:t>
      </w:r>
      <w:r w:rsidRPr="008C58B8">
        <w:rPr>
          <w:spacing w:val="-4"/>
          <w:rtl/>
        </w:rPr>
        <w:t>) حيث قالت بجواز تنظيم التجمعات السلمية، من حيث المبدأ، في جميع الأماكن</w:t>
      </w:r>
      <w:r>
        <w:rPr>
          <w:rtl/>
        </w:rPr>
        <w:t xml:space="preserve"> التي يرتادها الناس أو التي ينبغي أن يتاح لهم ارتيادها، مثل الساحات العامة والشوارع. وينبغي عدم إبعاد </w:t>
      </w:r>
      <w:r w:rsidRPr="008C58B8">
        <w:rPr>
          <w:spacing w:val="-4"/>
          <w:rtl/>
        </w:rPr>
        <w:t>التجمعات السلمية إلى مناطق نائية يتعذر فيها جلب اهتمام الفئات المستهدفة أو عامة الناس بفعالية. فالقاعدة</w:t>
      </w:r>
      <w:r>
        <w:rPr>
          <w:rtl/>
        </w:rPr>
        <w:t xml:space="preserve"> العامة هي أنه لا يجوز فرض حظر كلي على جميع التجمعات في العاصمة أو في جميع الأماكن العامة باستثناء موقع واحد محدد داخل مدينة معينة أو خارج وسط المدينة أو على جميع شوارع مدينة </w:t>
      </w:r>
      <w:proofErr w:type="gramStart"/>
      <w:r>
        <w:rPr>
          <w:rtl/>
        </w:rPr>
        <w:t>ما</w:t>
      </w:r>
      <w:r w:rsidRPr="006E2B18">
        <w:rPr>
          <w:vertAlign w:val="superscript"/>
          <w:rtl/>
        </w:rPr>
        <w:t>(</w:t>
      </w:r>
      <w:proofErr w:type="gramEnd"/>
      <w:r w:rsidRPr="00B608F9">
        <w:rPr>
          <w:rStyle w:val="FootnoteReference"/>
          <w:szCs w:val="22"/>
          <w:lang w:val="en-US"/>
        </w:rPr>
        <w:footnoteReference w:id="6"/>
      </w:r>
      <w:r w:rsidRPr="006E2B18">
        <w:rPr>
          <w:vertAlign w:val="superscript"/>
          <w:rtl/>
        </w:rPr>
        <w:t>)</w:t>
      </w:r>
      <w:r>
        <w:rPr>
          <w:rtl/>
        </w:rPr>
        <w:t xml:space="preserve">. </w:t>
      </w:r>
    </w:p>
    <w:p w14:paraId="5F744B34" w14:textId="4C2D27E8" w:rsidR="006E2B18" w:rsidRDefault="006E2B18" w:rsidP="008C58B8">
      <w:pPr>
        <w:pStyle w:val="SingleTxtGA"/>
        <w:spacing w:line="350" w:lineRule="exact"/>
        <w:rPr>
          <w:rtl/>
        </w:rPr>
      </w:pPr>
      <w:r w:rsidRPr="00B608F9">
        <w:rPr>
          <w:rtl/>
        </w:rPr>
        <w:t>7</w:t>
      </w:r>
      <w:r>
        <w:rPr>
          <w:rtl/>
        </w:rPr>
        <w:t>-</w:t>
      </w:r>
      <w:r w:rsidRPr="00B608F9">
        <w:rPr>
          <w:rtl/>
        </w:rPr>
        <w:t>4</w:t>
      </w:r>
      <w:r>
        <w:rPr>
          <w:rtl/>
        </w:rPr>
        <w:tab/>
      </w:r>
      <w:r w:rsidRPr="008C58B8">
        <w:rPr>
          <w:rtl/>
        </w:rPr>
        <w:t xml:space="preserve">وتذكّر اللجنة أيضاً بأن الحق في حرية التجمع السلمي، الذي تكفله المادة </w:t>
      </w:r>
      <w:r w:rsidRPr="00B608F9">
        <w:rPr>
          <w:rtl/>
        </w:rPr>
        <w:t>21</w:t>
      </w:r>
      <w:r w:rsidRPr="008C58B8">
        <w:rPr>
          <w:rtl/>
        </w:rPr>
        <w:t xml:space="preserve"> من العهد، </w:t>
      </w:r>
      <w:r w:rsidRPr="006E79A3">
        <w:rPr>
          <w:spacing w:val="-4"/>
          <w:rtl/>
        </w:rPr>
        <w:t>حق</w:t>
      </w:r>
      <w:r w:rsidR="006E79A3" w:rsidRPr="006E79A3">
        <w:rPr>
          <w:rFonts w:hint="cs"/>
          <w:spacing w:val="-4"/>
          <w:rtl/>
        </w:rPr>
        <w:t> </w:t>
      </w:r>
      <w:r w:rsidRPr="006E79A3">
        <w:rPr>
          <w:spacing w:val="-4"/>
          <w:rtl/>
        </w:rPr>
        <w:t xml:space="preserve">أساسي من حقوق الإنسان لا بد منه لجهر الفرد بآرائه ووجهات نظره ولا غنى عنه في مجتمع </w:t>
      </w:r>
      <w:proofErr w:type="gramStart"/>
      <w:r w:rsidRPr="006E79A3">
        <w:rPr>
          <w:spacing w:val="-4"/>
          <w:rtl/>
        </w:rPr>
        <w:t>ديمقراطي</w:t>
      </w:r>
      <w:r w:rsidRPr="008C58B8">
        <w:rPr>
          <w:vertAlign w:val="superscript"/>
          <w:rtl/>
        </w:rPr>
        <w:t>(</w:t>
      </w:r>
      <w:proofErr w:type="gramEnd"/>
      <w:r w:rsidRPr="00B608F9">
        <w:rPr>
          <w:rStyle w:val="FootnoteReference"/>
          <w:szCs w:val="22"/>
          <w:lang w:val="en-US"/>
        </w:rPr>
        <w:footnoteReference w:id="7"/>
      </w:r>
      <w:r w:rsidRPr="008C58B8">
        <w:rPr>
          <w:vertAlign w:val="superscript"/>
          <w:rtl/>
        </w:rPr>
        <w:t>)</w:t>
      </w:r>
      <w:r w:rsidRPr="008C58B8">
        <w:rPr>
          <w:rtl/>
        </w:rPr>
        <w:t xml:space="preserve">. وتحمي المادة </w:t>
      </w:r>
      <w:r w:rsidRPr="00B608F9">
        <w:rPr>
          <w:rtl/>
        </w:rPr>
        <w:t>21</w:t>
      </w:r>
      <w:r w:rsidRPr="008C58B8">
        <w:rPr>
          <w:rtl/>
        </w:rPr>
        <w:t xml:space="preserve"> من العهد التجمعات السلمية أينما كانت، سواء في الهواء الطلق أو في الأماكن المغلقة </w:t>
      </w:r>
      <w:r w:rsidRPr="006E79A3">
        <w:rPr>
          <w:spacing w:val="-4"/>
          <w:rtl/>
        </w:rPr>
        <w:t>أو عبر الإنترنت أو في الأماكن العامة والخاصة أو في كل ذلك جميعاً. وقد تتّخذ هذه التجمعات أشكالاً عديدة</w:t>
      </w:r>
      <w:r w:rsidRPr="008C58B8">
        <w:rPr>
          <w:spacing w:val="-2"/>
          <w:rtl/>
        </w:rPr>
        <w:t xml:space="preserve">، </w:t>
      </w:r>
      <w:r w:rsidRPr="006E79A3">
        <w:rPr>
          <w:spacing w:val="-4"/>
          <w:rtl/>
        </w:rPr>
        <w:t>بما فيها المظاهرات والاحتجاجات والاجتماعات والمواكب والتجمعات والاعتصامات والوقفات الاحتجاجية على</w:t>
      </w:r>
      <w:r w:rsidRPr="008C58B8">
        <w:rPr>
          <w:rtl/>
        </w:rPr>
        <w:t xml:space="preserve"> ضوء الشموع والتجمعات المفاجئة. وهي محمية بموجب المادة </w:t>
      </w:r>
      <w:r w:rsidRPr="00B608F9">
        <w:rPr>
          <w:rtl/>
        </w:rPr>
        <w:t>21</w:t>
      </w:r>
      <w:r w:rsidRPr="008C58B8">
        <w:rPr>
          <w:rtl/>
        </w:rPr>
        <w:t xml:space="preserve"> سواء أكانت ثابتة، مثل الاعتصامات، أم متنقلة، مثل المواكب أو </w:t>
      </w:r>
      <w:proofErr w:type="gramStart"/>
      <w:r w:rsidRPr="008C58B8">
        <w:rPr>
          <w:rtl/>
        </w:rPr>
        <w:t>المسيرات</w:t>
      </w:r>
      <w:r w:rsidRPr="008C58B8">
        <w:rPr>
          <w:vertAlign w:val="superscript"/>
          <w:rtl/>
        </w:rPr>
        <w:t>(</w:t>
      </w:r>
      <w:proofErr w:type="gramEnd"/>
      <w:r w:rsidRPr="00B608F9">
        <w:rPr>
          <w:rStyle w:val="FootnoteReference"/>
          <w:szCs w:val="22"/>
          <w:lang w:val="en-US"/>
        </w:rPr>
        <w:footnoteReference w:id="8"/>
      </w:r>
      <w:r w:rsidRPr="008C58B8">
        <w:rPr>
          <w:vertAlign w:val="superscript"/>
          <w:rtl/>
        </w:rPr>
        <w:t>)</w:t>
      </w:r>
      <w:r w:rsidRPr="008C58B8">
        <w:rPr>
          <w:rtl/>
        </w:rPr>
        <w:t>. وعموماً، يحق لمنظمي التجمعات أن</w:t>
      </w:r>
      <w:r w:rsidR="008C58B8">
        <w:rPr>
          <w:rFonts w:hint="cs"/>
          <w:rtl/>
        </w:rPr>
        <w:t> </w:t>
      </w:r>
      <w:r w:rsidRPr="008C58B8">
        <w:rPr>
          <w:rtl/>
        </w:rPr>
        <w:t>يختاروا موقعاً على مرأى</w:t>
      </w:r>
      <w:r w:rsidR="006E79A3">
        <w:rPr>
          <w:rFonts w:hint="cs"/>
          <w:rtl/>
        </w:rPr>
        <w:t> </w:t>
      </w:r>
      <w:r w:rsidRPr="008C58B8">
        <w:rPr>
          <w:rtl/>
        </w:rPr>
        <w:t xml:space="preserve">ومسمع من الجمهور </w:t>
      </w:r>
      <w:proofErr w:type="gramStart"/>
      <w:r w:rsidRPr="008C58B8">
        <w:rPr>
          <w:rtl/>
        </w:rPr>
        <w:t>المستهدَف</w:t>
      </w:r>
      <w:r w:rsidRPr="008C58B8">
        <w:rPr>
          <w:vertAlign w:val="superscript"/>
          <w:rtl/>
        </w:rPr>
        <w:t>(</w:t>
      </w:r>
      <w:proofErr w:type="gramEnd"/>
      <w:r w:rsidRPr="00B608F9">
        <w:rPr>
          <w:rStyle w:val="FootnoteReference"/>
          <w:szCs w:val="22"/>
          <w:lang w:val="en-US"/>
        </w:rPr>
        <w:footnoteReference w:id="9"/>
      </w:r>
      <w:r w:rsidRPr="008C58B8">
        <w:rPr>
          <w:vertAlign w:val="superscript"/>
          <w:rtl/>
        </w:rPr>
        <w:t>)</w:t>
      </w:r>
      <w:r w:rsidRPr="008C58B8">
        <w:rPr>
          <w:rtl/>
        </w:rPr>
        <w:t>، ولا يجوز تقييد هذا الحق ما لم يكن (أ)</w:t>
      </w:r>
      <w:r w:rsidR="008C58B8">
        <w:rPr>
          <w:rFonts w:hint="cs"/>
          <w:rtl/>
        </w:rPr>
        <w:t> </w:t>
      </w:r>
      <w:r w:rsidRPr="008C58B8">
        <w:rPr>
          <w:rtl/>
        </w:rPr>
        <w:t>مفروضاً</w:t>
      </w:r>
      <w:r>
        <w:rPr>
          <w:rtl/>
        </w:rPr>
        <w:t xml:space="preserve"> وفق القانون؛ </w:t>
      </w:r>
      <w:r>
        <w:rPr>
          <w:rtl/>
        </w:rPr>
        <w:lastRenderedPageBreak/>
        <w:t xml:space="preserve">(ب) وضرورياً في مجتمع ديمقراطي لحماية الأمن الوطني أو السلامة العامة أو النظام العام أو الصحة العامة أو الآداب العامة أو حقوق الآخرين وحرياتهم. وعندما تفرض دولة طرف قيوداً قصد التوفيق بين حق الفرد في التجمع والمصالح العامة المذكورة آنفاً، ينبغي أن تستهدي بالغرض القاضي بتيسير إعمال هذا الحق عوضاً عن توخّي تقييده بقيود غير ضرورية أو غير </w:t>
      </w:r>
      <w:proofErr w:type="gramStart"/>
      <w:r>
        <w:rPr>
          <w:rtl/>
        </w:rPr>
        <w:t>متناسبة</w:t>
      </w:r>
      <w:r w:rsidRPr="006E2B18">
        <w:rPr>
          <w:vertAlign w:val="superscript"/>
          <w:rtl/>
        </w:rPr>
        <w:t>(</w:t>
      </w:r>
      <w:proofErr w:type="gramEnd"/>
      <w:r w:rsidRPr="00B608F9">
        <w:rPr>
          <w:rStyle w:val="FootnoteReference"/>
          <w:szCs w:val="22"/>
          <w:lang w:val="en-US"/>
        </w:rPr>
        <w:footnoteReference w:id="10"/>
      </w:r>
      <w:r w:rsidRPr="006E2B18">
        <w:rPr>
          <w:vertAlign w:val="superscript"/>
          <w:rtl/>
        </w:rPr>
        <w:t>)</w:t>
      </w:r>
      <w:r>
        <w:rPr>
          <w:rtl/>
        </w:rPr>
        <w:t xml:space="preserve">. وعلى هذا، فالدولة الطرف ملزمة بتبرير تقييدها الحق المشمول بحماية المادة </w:t>
      </w:r>
      <w:r w:rsidRPr="00B608F9">
        <w:rPr>
          <w:rtl/>
        </w:rPr>
        <w:t>21</w:t>
      </w:r>
      <w:r>
        <w:rPr>
          <w:rtl/>
        </w:rPr>
        <w:t xml:space="preserve"> من </w:t>
      </w:r>
      <w:proofErr w:type="gramStart"/>
      <w:r>
        <w:rPr>
          <w:rtl/>
        </w:rPr>
        <w:t>العهد</w:t>
      </w:r>
      <w:r w:rsidRPr="006E2B18">
        <w:rPr>
          <w:vertAlign w:val="superscript"/>
          <w:rtl/>
        </w:rPr>
        <w:t>(</w:t>
      </w:r>
      <w:proofErr w:type="gramEnd"/>
      <w:r w:rsidRPr="00B608F9">
        <w:rPr>
          <w:rStyle w:val="FootnoteReference"/>
          <w:szCs w:val="22"/>
          <w:lang w:val="en-US"/>
        </w:rPr>
        <w:footnoteReference w:id="11"/>
      </w:r>
      <w:r w:rsidRPr="006E2B18">
        <w:rPr>
          <w:vertAlign w:val="superscript"/>
          <w:rtl/>
        </w:rPr>
        <w:t>)</w:t>
      </w:r>
      <w:r>
        <w:rPr>
          <w:rtl/>
        </w:rPr>
        <w:t>.</w:t>
      </w:r>
    </w:p>
    <w:p w14:paraId="0B75F138" w14:textId="51C65BAF" w:rsidR="006E2B18" w:rsidRDefault="006E2B18" w:rsidP="00B423DE">
      <w:pPr>
        <w:pStyle w:val="SingleTxtGA"/>
        <w:spacing w:line="350" w:lineRule="exact"/>
        <w:rPr>
          <w:rtl/>
        </w:rPr>
      </w:pPr>
      <w:r w:rsidRPr="00B608F9">
        <w:rPr>
          <w:rtl/>
        </w:rPr>
        <w:t>7</w:t>
      </w:r>
      <w:r>
        <w:rPr>
          <w:rtl/>
        </w:rPr>
        <w:t>-</w:t>
      </w:r>
      <w:r w:rsidRPr="00B608F9">
        <w:rPr>
          <w:rtl/>
        </w:rPr>
        <w:t>5</w:t>
      </w:r>
      <w:r>
        <w:rPr>
          <w:rtl/>
        </w:rPr>
        <w:tab/>
        <w:t xml:space="preserve">وفي هذه القضية، على اللجنة أن تنظر فيما إن كانت القيود المفروضة على حق أصحاب البلاغ في حرية التجمع السلمي مبررة بموجب أي معيار من المعايير المبيّنة في المادة </w:t>
      </w:r>
      <w:r w:rsidRPr="00B608F9">
        <w:rPr>
          <w:rtl/>
        </w:rPr>
        <w:t>21</w:t>
      </w:r>
      <w:r>
        <w:rPr>
          <w:rtl/>
        </w:rPr>
        <w:t xml:space="preserve"> من العهد. وفي ضوء المعلومات المتاحة في الملف، رفضت السلطات البلدية طلبات أصحاب البلاغ تنظيم تجمّعين محتجّة بأن التجمعين السلميين المقررين سينظمان بالقرب من محطات مترو وممرات تحت الأرض، وكذلك بالقرب من مؤسسات عامة، من بينها بلدية مينسك، ومن ثم فإن من شأنهما أن يعطلا مرور المشاة والمركبات في المنطقة المحيطة بهذه الأماكن، غير أن اللجنة تلاحظ في هذا السياق أنه لا لجنة مدينة مينسك التنفيذية ولا المحاكم المحلية قدمت أي تبرير أو توضيح يبين كيف ستنتهك احتجاجات أصحاب البلاغ عملياً</w:t>
      </w:r>
      <w:r w:rsidR="00B423DE">
        <w:rPr>
          <w:rFonts w:hint="cs"/>
          <w:rtl/>
        </w:rPr>
        <w:t xml:space="preserve"> </w:t>
      </w:r>
      <w:r>
        <w:rPr>
          <w:rtl/>
        </w:rPr>
        <w:t xml:space="preserve">الأمن الوطني أو السلامة العامة أو النظام العام أو حماية الصحة العامة أو الآداب العامة أو حقوق الغير وحرياتهم، وفق ما تنص عليه المادة </w:t>
      </w:r>
      <w:r w:rsidRPr="00B608F9">
        <w:rPr>
          <w:rtl/>
        </w:rPr>
        <w:t>21</w:t>
      </w:r>
      <w:r>
        <w:rPr>
          <w:rtl/>
        </w:rPr>
        <w:t xml:space="preserve"> من العهد، ولم تثبت الدولة الطرف أيضاً أنها اتخذت أي تدابير بديلة لتيسير ممارسة أصحاب البلاغ حقوقهم بمقتضى المادة </w:t>
      </w:r>
      <w:r w:rsidRPr="00B608F9">
        <w:rPr>
          <w:rtl/>
        </w:rPr>
        <w:t>21</w:t>
      </w:r>
      <w:r>
        <w:rPr>
          <w:rtl/>
        </w:rPr>
        <w:t>.</w:t>
      </w:r>
    </w:p>
    <w:p w14:paraId="46B3B754" w14:textId="77777777" w:rsidR="006E2B18" w:rsidRDefault="006E2B18" w:rsidP="00B423DE">
      <w:pPr>
        <w:pStyle w:val="SingleTxtGA"/>
        <w:spacing w:line="350" w:lineRule="exact"/>
        <w:rPr>
          <w:rtl/>
        </w:rPr>
      </w:pPr>
      <w:r w:rsidRPr="00B608F9">
        <w:rPr>
          <w:rtl/>
        </w:rPr>
        <w:t>7</w:t>
      </w:r>
      <w:r>
        <w:rPr>
          <w:rtl/>
        </w:rPr>
        <w:t>-</w:t>
      </w:r>
      <w:r w:rsidRPr="00B608F9">
        <w:rPr>
          <w:rtl/>
        </w:rPr>
        <w:t>6</w:t>
      </w:r>
      <w:r>
        <w:rPr>
          <w:rtl/>
        </w:rPr>
        <w:tab/>
        <w:t xml:space="preserve">وتشير اللجنة إلى أنها نظرت في قضايا مماثلة تتعلق بنفس قوانين الدولة الطرف وممارساتها في عدد من البلاغات السابقة. وفي ضوء عدم ورود أي توضيحات إضافية من الدولة الطرف، تخلَص اللجنة إلى أن الدولة الطرف انتهكت حقوق أصحاب البلاغ بموجب المادة </w:t>
      </w:r>
      <w:r w:rsidRPr="00B608F9">
        <w:rPr>
          <w:rtl/>
        </w:rPr>
        <w:t>21</w:t>
      </w:r>
      <w:r>
        <w:rPr>
          <w:rtl/>
        </w:rPr>
        <w:t xml:space="preserve"> من العهد.</w:t>
      </w:r>
    </w:p>
    <w:p w14:paraId="778CDE04" w14:textId="77777777" w:rsidR="006E2B18" w:rsidRDefault="006E2B18" w:rsidP="00B423DE">
      <w:pPr>
        <w:pStyle w:val="SingleTxtGA"/>
        <w:spacing w:line="350" w:lineRule="exact"/>
        <w:rPr>
          <w:rtl/>
        </w:rPr>
      </w:pPr>
      <w:r w:rsidRPr="00B608F9">
        <w:rPr>
          <w:rtl/>
        </w:rPr>
        <w:t>7</w:t>
      </w:r>
      <w:r>
        <w:rPr>
          <w:rtl/>
        </w:rPr>
        <w:t>-</w:t>
      </w:r>
      <w:r w:rsidRPr="00B608F9">
        <w:rPr>
          <w:rtl/>
        </w:rPr>
        <w:t>7</w:t>
      </w:r>
      <w:r>
        <w:rPr>
          <w:rtl/>
        </w:rPr>
        <w:tab/>
        <w:t xml:space="preserve">وتحيط اللجنة علماً بادعاء أصحاب البلاغ أن حقهم في حرية التعبير قُيّد خارج نطاق القانون إذ إنه رُفض الإذن لهم في تنظيم تجمعين سلميين لإثارة شواغل تتصل بحقوق الإنسان في بيلاروس. وعليه، فإن القضية المعروضة على اللجنة هي تحديد ما إن كان الحظر الذي فرضته السلطات البلدية على أصحاب البلاغ بخصوص تنظيم تجمعين سلميين لتوجيه انتباه الناس إلى حالات اختفاء بعض الأفراد في بيلاروس وحث السلطات على إجراء تحقيقات فعالة في حالات الاختفاء هذه والتصديق على الاتفاقية الدولية لحماية جميع الأشخاص من الاختفاء القسري يبلغ حد انتهاك المادة </w:t>
      </w:r>
      <w:r w:rsidRPr="00B608F9">
        <w:rPr>
          <w:rtl/>
        </w:rPr>
        <w:t>19</w:t>
      </w:r>
      <w:r>
        <w:rPr>
          <w:rtl/>
        </w:rPr>
        <w:t xml:space="preserve"> من العهد.</w:t>
      </w:r>
    </w:p>
    <w:p w14:paraId="722E2ABF" w14:textId="777618FB" w:rsidR="006E2B18" w:rsidRDefault="006E2B18" w:rsidP="00B423DE">
      <w:pPr>
        <w:pStyle w:val="SingleTxtGA"/>
        <w:spacing w:line="350" w:lineRule="exact"/>
        <w:rPr>
          <w:rtl/>
        </w:rPr>
      </w:pPr>
      <w:r w:rsidRPr="00B608F9">
        <w:rPr>
          <w:rtl/>
        </w:rPr>
        <w:t>7</w:t>
      </w:r>
      <w:r>
        <w:rPr>
          <w:rtl/>
        </w:rPr>
        <w:t>-</w:t>
      </w:r>
      <w:r w:rsidRPr="00B608F9">
        <w:rPr>
          <w:rtl/>
        </w:rPr>
        <w:t>8</w:t>
      </w:r>
      <w:r>
        <w:rPr>
          <w:rtl/>
        </w:rPr>
        <w:tab/>
        <w:t xml:space="preserve">وتذكّر اللجنة بتعليقها العام رقم </w:t>
      </w:r>
      <w:r w:rsidRPr="00B608F9">
        <w:rPr>
          <w:rtl/>
        </w:rPr>
        <w:t>34</w:t>
      </w:r>
      <w:r>
        <w:rPr>
          <w:rtl/>
        </w:rPr>
        <w:t>(</w:t>
      </w:r>
      <w:r w:rsidRPr="00B608F9">
        <w:rPr>
          <w:rtl/>
        </w:rPr>
        <w:t>2011</w:t>
      </w:r>
      <w:r>
        <w:rPr>
          <w:rtl/>
        </w:rPr>
        <w:t xml:space="preserve">) حيث أشارت، في جملة أمور، إلى أن حرية التعبير </w:t>
      </w:r>
      <w:r w:rsidRPr="008C58B8">
        <w:rPr>
          <w:spacing w:val="-4"/>
          <w:rtl/>
        </w:rPr>
        <w:t xml:space="preserve">لا غنى عنها لأي مجتمع وهي حجر الزاوية لكل مجتمع تسوده الحرية </w:t>
      </w:r>
      <w:proofErr w:type="gramStart"/>
      <w:r w:rsidRPr="008C58B8">
        <w:rPr>
          <w:spacing w:val="-4"/>
          <w:rtl/>
        </w:rPr>
        <w:t>والديمقراطية</w:t>
      </w:r>
      <w:r w:rsidRPr="008C58B8">
        <w:rPr>
          <w:spacing w:val="-4"/>
          <w:vertAlign w:val="superscript"/>
          <w:rtl/>
        </w:rPr>
        <w:t>(</w:t>
      </w:r>
      <w:proofErr w:type="gramEnd"/>
      <w:r w:rsidRPr="00B608F9">
        <w:rPr>
          <w:rStyle w:val="FootnoteReference"/>
          <w:spacing w:val="-4"/>
          <w:szCs w:val="22"/>
          <w:lang w:val="en-US"/>
        </w:rPr>
        <w:footnoteReference w:id="12"/>
      </w:r>
      <w:r w:rsidRPr="008C58B8">
        <w:rPr>
          <w:spacing w:val="-4"/>
          <w:vertAlign w:val="superscript"/>
          <w:rtl/>
        </w:rPr>
        <w:t>)</w:t>
      </w:r>
      <w:r w:rsidRPr="008C58B8">
        <w:rPr>
          <w:spacing w:val="-4"/>
          <w:rtl/>
        </w:rPr>
        <w:t xml:space="preserve">. ولا تجيز المادة </w:t>
      </w:r>
      <w:r w:rsidRPr="00B608F9">
        <w:rPr>
          <w:spacing w:val="-4"/>
          <w:rtl/>
        </w:rPr>
        <w:t>19</w:t>
      </w:r>
      <w:r w:rsidRPr="008C58B8">
        <w:rPr>
          <w:spacing w:val="-4"/>
          <w:rtl/>
        </w:rPr>
        <w:t>(</w:t>
      </w:r>
      <w:r w:rsidRPr="00B608F9">
        <w:rPr>
          <w:spacing w:val="-4"/>
          <w:rtl/>
        </w:rPr>
        <w:t>3</w:t>
      </w:r>
      <w:r w:rsidRPr="008C58B8">
        <w:rPr>
          <w:spacing w:val="-4"/>
          <w:rtl/>
        </w:rPr>
        <w:t>)</w:t>
      </w:r>
      <w:r>
        <w:rPr>
          <w:rtl/>
        </w:rPr>
        <w:t xml:space="preserve"> </w:t>
      </w:r>
      <w:r w:rsidRPr="008C58B8">
        <w:rPr>
          <w:spacing w:val="-4"/>
          <w:rtl/>
        </w:rPr>
        <w:t>من العهد فرض قيود معينة على حرية التعبير، بما في ذلك حرية نقل المعلومات والأفكار، إلا بقدر ما ينص</w:t>
      </w:r>
      <w:r>
        <w:rPr>
          <w:rtl/>
        </w:rPr>
        <w:t xml:space="preserve"> القانون على هذه القيود وإلا إن اقتضتها الضرورة للسببين الآتيين: (أ) احترام حقوق الآخرين أو سمعتهم؛ (ب) أو حماية الأمن </w:t>
      </w:r>
      <w:proofErr w:type="gramStart"/>
      <w:r>
        <w:rPr>
          <w:rtl/>
        </w:rPr>
        <w:t>الوطني</w:t>
      </w:r>
      <w:proofErr w:type="gramEnd"/>
      <w:r>
        <w:rPr>
          <w:rtl/>
        </w:rPr>
        <w:t xml:space="preserve"> أو النظام العام أو الصحة العامة أو الآداب العامة. وأخيراً، يجب ألّا يكون أي قيد يُفرض على حرية التعبير فضفاضاً للغاية في طابعه، أي أن هذا القيد يجب أن يكون أقل التدابير تدخلاً من بين التدابير التي قد تحقِّق الحماية المطلوبة وأن يتناسب مع المصلحة المراد </w:t>
      </w:r>
      <w:proofErr w:type="gramStart"/>
      <w:r>
        <w:rPr>
          <w:rtl/>
        </w:rPr>
        <w:t>حمايتها</w:t>
      </w:r>
      <w:r w:rsidRPr="006E2B18">
        <w:rPr>
          <w:vertAlign w:val="superscript"/>
          <w:rtl/>
        </w:rPr>
        <w:t>(</w:t>
      </w:r>
      <w:proofErr w:type="gramEnd"/>
      <w:r w:rsidRPr="00B608F9">
        <w:rPr>
          <w:rStyle w:val="FootnoteReference"/>
          <w:szCs w:val="22"/>
          <w:lang w:val="en-US"/>
        </w:rPr>
        <w:footnoteReference w:id="13"/>
      </w:r>
      <w:r w:rsidRPr="006E2B18">
        <w:rPr>
          <w:vertAlign w:val="superscript"/>
          <w:rtl/>
        </w:rPr>
        <w:t>)</w:t>
      </w:r>
      <w:r>
        <w:rPr>
          <w:rtl/>
        </w:rPr>
        <w:t xml:space="preserve">. وتذكّر اللجنة بأنه يقع على عاتق الدولة الطرف إثبات أن القيود المفروضة على حقوق أصحاب البلاغ التي تنص عليها المادة </w:t>
      </w:r>
      <w:r w:rsidRPr="00B608F9">
        <w:rPr>
          <w:rtl/>
        </w:rPr>
        <w:t>19</w:t>
      </w:r>
      <w:r>
        <w:rPr>
          <w:rtl/>
        </w:rPr>
        <w:t xml:space="preserve"> من العهد ضرورية </w:t>
      </w:r>
      <w:proofErr w:type="gramStart"/>
      <w:r>
        <w:rPr>
          <w:rtl/>
        </w:rPr>
        <w:t>ومتناسبة</w:t>
      </w:r>
      <w:r w:rsidRPr="006E2B18">
        <w:rPr>
          <w:vertAlign w:val="superscript"/>
          <w:rtl/>
        </w:rPr>
        <w:t>(</w:t>
      </w:r>
      <w:proofErr w:type="gramEnd"/>
      <w:r w:rsidRPr="00B608F9">
        <w:rPr>
          <w:rStyle w:val="FootnoteReference"/>
          <w:szCs w:val="22"/>
          <w:lang w:val="en-US"/>
        </w:rPr>
        <w:footnoteReference w:id="14"/>
      </w:r>
      <w:r w:rsidRPr="006E2B18">
        <w:rPr>
          <w:vertAlign w:val="superscript"/>
          <w:rtl/>
        </w:rPr>
        <w:t>)</w:t>
      </w:r>
      <w:r>
        <w:rPr>
          <w:rtl/>
        </w:rPr>
        <w:t xml:space="preserve">. </w:t>
      </w:r>
    </w:p>
    <w:p w14:paraId="702AE5C8" w14:textId="7B0619AC" w:rsidR="006E2B18" w:rsidRDefault="006E2B18" w:rsidP="006E2B18">
      <w:pPr>
        <w:pStyle w:val="SingleTxtGA"/>
        <w:rPr>
          <w:rtl/>
        </w:rPr>
      </w:pPr>
      <w:r w:rsidRPr="00B608F9">
        <w:rPr>
          <w:rtl/>
        </w:rPr>
        <w:lastRenderedPageBreak/>
        <w:t>7</w:t>
      </w:r>
      <w:r>
        <w:rPr>
          <w:rtl/>
        </w:rPr>
        <w:t>-</w:t>
      </w:r>
      <w:r w:rsidRPr="00B608F9">
        <w:rPr>
          <w:rtl/>
        </w:rPr>
        <w:t>9</w:t>
      </w:r>
      <w:r>
        <w:rPr>
          <w:rtl/>
        </w:rPr>
        <w:tab/>
        <w:t xml:space="preserve">وتلاحظ اللجنة أن رفض الإذن في الاعتصامين المطلوبين يستند إلى المادة </w:t>
      </w:r>
      <w:r w:rsidRPr="00B608F9">
        <w:rPr>
          <w:rtl/>
        </w:rPr>
        <w:t>9</w:t>
      </w:r>
      <w:r>
        <w:rPr>
          <w:rtl/>
        </w:rPr>
        <w:t xml:space="preserve"> من القانون المنظم للأحداث العامة، التي تنص على عدم جواز تنظيم الأحداث الجماهيرية على مسافة تقل عن </w:t>
      </w:r>
      <w:r w:rsidRPr="00B608F9">
        <w:rPr>
          <w:rtl/>
        </w:rPr>
        <w:t>50</w:t>
      </w:r>
      <w:r>
        <w:rPr>
          <w:rtl/>
        </w:rPr>
        <w:t xml:space="preserve"> </w:t>
      </w:r>
      <w:r w:rsidRPr="001659B6">
        <w:rPr>
          <w:spacing w:val="-4"/>
          <w:rtl/>
        </w:rPr>
        <w:t xml:space="preserve">متراً من مباني المؤسسات العامة أو أقل من </w:t>
      </w:r>
      <w:r w:rsidRPr="00B608F9">
        <w:rPr>
          <w:spacing w:val="-4"/>
          <w:rtl/>
        </w:rPr>
        <w:t>200</w:t>
      </w:r>
      <w:r w:rsidRPr="001659B6">
        <w:rPr>
          <w:spacing w:val="-4"/>
          <w:rtl/>
        </w:rPr>
        <w:t xml:space="preserve"> متر من محطات المترو والممرات تحت الأرض. وتشير إلى أنه لا الدولة الطرف ولا محاكمها الوطنية قدمت أي توضيح للسبب الذي جعل القيود المفروضة</w:t>
      </w:r>
      <w:r>
        <w:rPr>
          <w:rtl/>
        </w:rPr>
        <w:t xml:space="preserve"> ضرورية لغرض </w:t>
      </w:r>
      <w:proofErr w:type="gramStart"/>
      <w:r>
        <w:rPr>
          <w:rtl/>
        </w:rPr>
        <w:t>مشروع</w:t>
      </w:r>
      <w:r w:rsidRPr="006E2B18">
        <w:rPr>
          <w:vertAlign w:val="superscript"/>
          <w:rtl/>
        </w:rPr>
        <w:t>(</w:t>
      </w:r>
      <w:proofErr w:type="gramEnd"/>
      <w:r w:rsidRPr="00B608F9">
        <w:rPr>
          <w:rStyle w:val="FootnoteReference"/>
          <w:szCs w:val="22"/>
          <w:lang w:val="en-US"/>
        </w:rPr>
        <w:footnoteReference w:id="15"/>
      </w:r>
      <w:r w:rsidRPr="006E2B18">
        <w:rPr>
          <w:vertAlign w:val="superscript"/>
          <w:rtl/>
        </w:rPr>
        <w:t>)</w:t>
      </w:r>
      <w:r>
        <w:rPr>
          <w:rtl/>
        </w:rPr>
        <w:t xml:space="preserve">. وبالنظر إلى ملابسات هذه القضية، ترى اللجنة أن القيود المفروضة على أصحاب البلاغ، رغم استنادها إلى القانون الوطني، غير مبررة لأغراض المادة </w:t>
      </w:r>
      <w:r w:rsidRPr="00B608F9">
        <w:rPr>
          <w:rtl/>
        </w:rPr>
        <w:t>19</w:t>
      </w:r>
      <w:r>
        <w:rPr>
          <w:rtl/>
        </w:rPr>
        <w:t>(</w:t>
      </w:r>
      <w:r w:rsidRPr="00B608F9">
        <w:rPr>
          <w:rtl/>
        </w:rPr>
        <w:t>3</w:t>
      </w:r>
      <w:r>
        <w:rPr>
          <w:rtl/>
        </w:rPr>
        <w:t xml:space="preserve">) من العهد. ولـمّا كانت الدولة الطرف لم تقدم أي معلومات أو توضيحات إضافية، فإن اللجنة تخلص إلى أن حقوق أصحاب البلاغ المنصوص عليها في المادة </w:t>
      </w:r>
      <w:r w:rsidRPr="00B608F9">
        <w:rPr>
          <w:rtl/>
        </w:rPr>
        <w:t>19</w:t>
      </w:r>
      <w:r>
        <w:rPr>
          <w:rtl/>
        </w:rPr>
        <w:t xml:space="preserve"> من العهد قد انتُهكت.</w:t>
      </w:r>
    </w:p>
    <w:p w14:paraId="38BE285C" w14:textId="77777777" w:rsidR="006E2B18" w:rsidRDefault="006E2B18" w:rsidP="006E2B18">
      <w:pPr>
        <w:pStyle w:val="SingleTxtGA"/>
        <w:rPr>
          <w:rtl/>
        </w:rPr>
      </w:pPr>
      <w:r w:rsidRPr="00B608F9">
        <w:rPr>
          <w:rtl/>
        </w:rPr>
        <w:t>8</w:t>
      </w:r>
      <w:r>
        <w:rPr>
          <w:rtl/>
        </w:rPr>
        <w:t>-</w:t>
      </w:r>
      <w:r>
        <w:rPr>
          <w:rtl/>
        </w:rPr>
        <w:tab/>
        <w:t xml:space="preserve">وترى اللجنة، وهي تتصرف وفق المادة </w:t>
      </w:r>
      <w:r w:rsidRPr="00B608F9">
        <w:rPr>
          <w:rtl/>
        </w:rPr>
        <w:t>5</w:t>
      </w:r>
      <w:r>
        <w:rPr>
          <w:rtl/>
        </w:rPr>
        <w:t>(</w:t>
      </w:r>
      <w:r w:rsidRPr="00B608F9">
        <w:rPr>
          <w:rtl/>
        </w:rPr>
        <w:t>4</w:t>
      </w:r>
      <w:r>
        <w:rPr>
          <w:rtl/>
        </w:rPr>
        <w:t xml:space="preserve">) من البروتوكول الاختياري، أن الوقائع المعروضة عليها تكشف عن انتهاك الدولة الطرف حقوق أصحاب البلاغ المكفولة بالمادتين </w:t>
      </w:r>
      <w:r w:rsidRPr="00B608F9">
        <w:rPr>
          <w:rtl/>
        </w:rPr>
        <w:t>19</w:t>
      </w:r>
      <w:r>
        <w:rPr>
          <w:rtl/>
        </w:rPr>
        <w:t xml:space="preserve"> و</w:t>
      </w:r>
      <w:r w:rsidRPr="00B608F9">
        <w:rPr>
          <w:rtl/>
        </w:rPr>
        <w:t>21</w:t>
      </w:r>
      <w:r>
        <w:rPr>
          <w:rtl/>
        </w:rPr>
        <w:t xml:space="preserve"> من العهد. </w:t>
      </w:r>
    </w:p>
    <w:p w14:paraId="721F3141" w14:textId="3F6DEF5C" w:rsidR="006E2B18" w:rsidRDefault="006E2B18" w:rsidP="006E2B18">
      <w:pPr>
        <w:pStyle w:val="SingleTxtGA"/>
        <w:rPr>
          <w:rtl/>
        </w:rPr>
      </w:pPr>
      <w:r w:rsidRPr="00B608F9">
        <w:rPr>
          <w:rtl/>
        </w:rPr>
        <w:t>9</w:t>
      </w:r>
      <w:r>
        <w:rPr>
          <w:rtl/>
        </w:rPr>
        <w:t>-</w:t>
      </w:r>
      <w:r>
        <w:rPr>
          <w:rtl/>
        </w:rPr>
        <w:tab/>
        <w:t xml:space="preserve">هذا، والدولة الطرف ملزمة، بمقتضى المادة </w:t>
      </w:r>
      <w:r w:rsidRPr="00B608F9">
        <w:rPr>
          <w:rtl/>
        </w:rPr>
        <w:t>2</w:t>
      </w:r>
      <w:r>
        <w:rPr>
          <w:rtl/>
        </w:rPr>
        <w:t>(</w:t>
      </w:r>
      <w:r w:rsidRPr="00B608F9">
        <w:rPr>
          <w:rtl/>
        </w:rPr>
        <w:t>3</w:t>
      </w:r>
      <w:r>
        <w:rPr>
          <w:rtl/>
        </w:rPr>
        <w:t xml:space="preserve">)(أ) من العهد، بتوفير سبيل انتصاف فعال لأصحاب البلاغ، وهذا يستلزم منها جبر أضرار من انتُهكت حقوقهم التي يكفلها العهد جبراً كاملاً. وبناءً </w:t>
      </w:r>
      <w:r w:rsidRPr="00A54A9D">
        <w:rPr>
          <w:spacing w:val="-2"/>
          <w:rtl/>
        </w:rPr>
        <w:t>على ذلك، فالدولة الطرف ملزمة، في جملة أمور، بتقديم تعويض مناسب لأصحاب البلاغ. والدولة الطرف</w:t>
      </w:r>
      <w:r>
        <w:rPr>
          <w:rtl/>
        </w:rPr>
        <w:t xml:space="preserve"> ملزمة أيضاً بأن تخطو جميع الخطوات اللازمة لمنع حدوث انتهاكات مماثلة في المستقبل. وتشير اللجنة </w:t>
      </w:r>
      <w:r w:rsidRPr="00A54A9D">
        <w:rPr>
          <w:spacing w:val="-2"/>
          <w:rtl/>
        </w:rPr>
        <w:t>في هذا الصدد إلى أنه ينبغي أن تراجع الدولة الطرف إطارها المعياري بشأن الأحداث العامة، وفقاً لالتزامها</w:t>
      </w:r>
      <w:r>
        <w:rPr>
          <w:rtl/>
        </w:rPr>
        <w:t xml:space="preserve"> </w:t>
      </w:r>
      <w:r w:rsidRPr="00A54A9D">
        <w:rPr>
          <w:spacing w:val="-4"/>
          <w:rtl/>
        </w:rPr>
        <w:t xml:space="preserve">بموجب المادة </w:t>
      </w:r>
      <w:r w:rsidRPr="00B608F9">
        <w:rPr>
          <w:spacing w:val="-4"/>
          <w:rtl/>
        </w:rPr>
        <w:t>2</w:t>
      </w:r>
      <w:r w:rsidRPr="00A54A9D">
        <w:rPr>
          <w:spacing w:val="-4"/>
          <w:rtl/>
        </w:rPr>
        <w:t>(</w:t>
      </w:r>
      <w:r w:rsidRPr="00B608F9">
        <w:rPr>
          <w:spacing w:val="-4"/>
          <w:rtl/>
        </w:rPr>
        <w:t>2</w:t>
      </w:r>
      <w:r w:rsidRPr="00A54A9D">
        <w:rPr>
          <w:spacing w:val="-4"/>
          <w:rtl/>
        </w:rPr>
        <w:t xml:space="preserve">) من العهد، كي يتسنى التمتع التام بالحقوق التي تنص عليها المادتان </w:t>
      </w:r>
      <w:r w:rsidRPr="00B608F9">
        <w:rPr>
          <w:spacing w:val="-4"/>
          <w:rtl/>
        </w:rPr>
        <w:t>19</w:t>
      </w:r>
      <w:r w:rsidRPr="00A54A9D">
        <w:rPr>
          <w:spacing w:val="-4"/>
          <w:rtl/>
        </w:rPr>
        <w:t xml:space="preserve"> و</w:t>
      </w:r>
      <w:r w:rsidRPr="00B608F9">
        <w:rPr>
          <w:spacing w:val="-4"/>
          <w:rtl/>
        </w:rPr>
        <w:t>21</w:t>
      </w:r>
      <w:r w:rsidRPr="00A54A9D">
        <w:rPr>
          <w:spacing w:val="-4"/>
          <w:rtl/>
        </w:rPr>
        <w:t xml:space="preserve"> من العهد</w:t>
      </w:r>
      <w:r>
        <w:rPr>
          <w:rtl/>
        </w:rPr>
        <w:t xml:space="preserve"> في الدولة الطرف.</w:t>
      </w:r>
    </w:p>
    <w:p w14:paraId="24B67172" w14:textId="31B170AB" w:rsidR="00464EE8" w:rsidRDefault="006E2B18" w:rsidP="006E2B18">
      <w:pPr>
        <w:pStyle w:val="SingleTxtGA"/>
        <w:rPr>
          <w:rtl/>
        </w:rPr>
      </w:pPr>
      <w:r w:rsidRPr="00B608F9">
        <w:rPr>
          <w:rtl/>
        </w:rPr>
        <w:t>10</w:t>
      </w:r>
      <w:r>
        <w:rPr>
          <w:rtl/>
        </w:rPr>
        <w:t>-</w:t>
      </w:r>
      <w:r>
        <w:rPr>
          <w:rtl/>
        </w:rPr>
        <w:tab/>
        <w:t xml:space="preserve">وإذ تضع اللجنة في اعتبارها أن الدولة الطرف قد اعترفت، بانضمامها إلى البروتوكول الاختياري، باختصاص اللجنة في البتّ في مسألة حدوث انتهاك للعهد من عدمه، وأنها تعهدت، عملاً بالمادة </w:t>
      </w:r>
      <w:r w:rsidRPr="00B608F9">
        <w:rPr>
          <w:rtl/>
        </w:rPr>
        <w:t>2</w:t>
      </w:r>
      <w:r>
        <w:rPr>
          <w:rtl/>
        </w:rPr>
        <w:t xml:space="preserve"> منه، بأن تكفل تمتع جميع الأفراد داخل إقليمها والخاضعين لولايتها بالحقوق المعترف بها في </w:t>
      </w:r>
      <w:r w:rsidRPr="00645FDF">
        <w:rPr>
          <w:spacing w:val="-2"/>
          <w:rtl/>
        </w:rPr>
        <w:t>العهد وتوفر لهم سبل انتصاف فعالة وقابلة للتطبيق متى ثبت وقوع انتهاك، تودّ أن تتلقى من الدولة الطرف</w:t>
      </w:r>
      <w:r>
        <w:rPr>
          <w:rtl/>
        </w:rPr>
        <w:t xml:space="preserve"> في غضون </w:t>
      </w:r>
      <w:r w:rsidRPr="00B608F9">
        <w:rPr>
          <w:rtl/>
        </w:rPr>
        <w:t>180</w:t>
      </w:r>
      <w:r>
        <w:rPr>
          <w:rtl/>
        </w:rPr>
        <w:t xml:space="preserve"> يوماً معلومات عن التدابير المتخذة لإنفاذ آراء اللجنة. ويُطلب إلى الدولة الطرف أيضاً نشر هذه الآراء وتعميمها على نطاق واسع بلغاتها الرسمية.</w:t>
      </w:r>
    </w:p>
    <w:p w14:paraId="3EAD3BDF" w14:textId="16DEB6DA" w:rsidR="006E2B18" w:rsidRPr="006E2B18" w:rsidRDefault="006E2B18" w:rsidP="006E2B18">
      <w:pPr>
        <w:pStyle w:val="SingleTxtGA"/>
        <w:jc w:val="center"/>
        <w:rPr>
          <w:u w:val="single"/>
          <w:rtl/>
        </w:rPr>
      </w:pPr>
      <w:r>
        <w:rPr>
          <w:u w:val="single"/>
          <w:rtl/>
        </w:rPr>
        <w:tab/>
      </w:r>
      <w:r>
        <w:rPr>
          <w:u w:val="single"/>
          <w:rtl/>
        </w:rPr>
        <w:tab/>
      </w:r>
      <w:r>
        <w:rPr>
          <w:u w:val="single"/>
          <w:rtl/>
        </w:rPr>
        <w:tab/>
      </w:r>
    </w:p>
    <w:sectPr w:rsidR="006E2B18" w:rsidRPr="006E2B18" w:rsidSect="00673F7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C0D4" w14:textId="77777777" w:rsidR="003021F0" w:rsidRPr="002901D9" w:rsidRDefault="003021F0" w:rsidP="00DC4D4B">
      <w:pPr>
        <w:spacing w:after="60" w:line="240" w:lineRule="auto"/>
        <w:ind w:left="57"/>
        <w:rPr>
          <w:i/>
          <w:iCs/>
        </w:rPr>
      </w:pPr>
      <w:r>
        <w:rPr>
          <w:rFonts w:hint="cs"/>
          <w:i/>
          <w:iCs/>
          <w:rtl/>
        </w:rPr>
        <w:t>الحواشي</w:t>
      </w:r>
    </w:p>
  </w:endnote>
  <w:endnote w:type="continuationSeparator" w:id="0">
    <w:p w14:paraId="0DCB88EB" w14:textId="77777777" w:rsidR="003021F0" w:rsidRDefault="003021F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208C" w14:textId="0C56A37B" w:rsidR="00464EE8" w:rsidRPr="00464EE8" w:rsidRDefault="00464EE8" w:rsidP="00464EE8">
    <w:pPr>
      <w:pStyle w:val="Footer"/>
      <w:tabs>
        <w:tab w:val="right" w:pos="9638"/>
      </w:tabs>
      <w:rPr>
        <w:b/>
        <w:sz w:val="18"/>
        <w:lang w:val="en-US"/>
      </w:rPr>
    </w:pPr>
    <w:r>
      <w:rPr>
        <w:lang w:val="en-US"/>
      </w:rPr>
      <w:t>GE.22-03025</w:t>
    </w:r>
    <w:r>
      <w:rPr>
        <w:lang w:val="en-US"/>
      </w:rPr>
      <w:tab/>
    </w:r>
    <w:r w:rsidRPr="00464EE8">
      <w:rPr>
        <w:b/>
        <w:sz w:val="18"/>
        <w:lang w:val="en-US"/>
      </w:rPr>
      <w:fldChar w:fldCharType="begin"/>
    </w:r>
    <w:r w:rsidRPr="00464EE8">
      <w:rPr>
        <w:b/>
        <w:sz w:val="18"/>
        <w:lang w:val="en-US"/>
      </w:rPr>
      <w:instrText xml:space="preserve"> PAGE  \* MERGEFORMAT </w:instrText>
    </w:r>
    <w:r w:rsidRPr="00464EE8">
      <w:rPr>
        <w:b/>
        <w:sz w:val="18"/>
        <w:lang w:val="en-US"/>
      </w:rPr>
      <w:fldChar w:fldCharType="separate"/>
    </w:r>
    <w:r w:rsidRPr="00464EE8">
      <w:rPr>
        <w:b/>
        <w:noProof/>
        <w:sz w:val="18"/>
        <w:lang w:val="en-US"/>
      </w:rPr>
      <w:t>2</w:t>
    </w:r>
    <w:r w:rsidRPr="00464EE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4C12" w14:textId="3F539CE9" w:rsidR="006959B0" w:rsidRPr="00464EE8" w:rsidRDefault="00464EE8" w:rsidP="00464EE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GE.22-03025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E1E0" w14:textId="65FBF4BE" w:rsidR="00DE50B1" w:rsidRPr="00464EE8" w:rsidRDefault="00464EE8" w:rsidP="00464EE8">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513DBC5" wp14:editId="5DDDD33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22-03025 (A)</w:t>
    </w:r>
    <w:r>
      <w:rPr>
        <w:noProof/>
        <w:sz w:val="20"/>
        <w:lang w:val="en-US"/>
      </w:rPr>
      <w:drawing>
        <wp:anchor distT="0" distB="0" distL="114300" distR="114300" simplePos="0" relativeHeight="251659264" behindDoc="0" locked="0" layoutInCell="1" allowOverlap="1" wp14:anchorId="7A6987B4" wp14:editId="30A48147">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E5CD" w14:textId="77777777" w:rsidR="003021F0" w:rsidRPr="008A49D2" w:rsidRDefault="003021F0"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68FC2C4" w14:textId="77777777" w:rsidR="003021F0" w:rsidRDefault="003021F0" w:rsidP="00656392">
      <w:pPr>
        <w:spacing w:line="240" w:lineRule="auto"/>
      </w:pPr>
      <w:r>
        <w:continuationSeparator/>
      </w:r>
    </w:p>
  </w:footnote>
  <w:footnote w:id="1">
    <w:p w14:paraId="7B844099" w14:textId="3D04C092" w:rsidR="006E2B18" w:rsidRPr="006E2B18" w:rsidRDefault="006E2B18" w:rsidP="006E2B18">
      <w:pPr>
        <w:pStyle w:val="FootnoteText1"/>
        <w:rPr>
          <w:rtl/>
        </w:rPr>
      </w:pPr>
      <w:r>
        <w:rPr>
          <w:rtl/>
        </w:rPr>
        <w:t>*</w:t>
      </w:r>
      <w:r>
        <w:rPr>
          <w:rtl/>
        </w:rPr>
        <w:tab/>
      </w:r>
      <w:r w:rsidRPr="006E2B18">
        <w:rPr>
          <w:rtl/>
        </w:rPr>
        <w:t xml:space="preserve">اعتمدتها اللجنة في دورتها </w:t>
      </w:r>
      <w:r w:rsidRPr="00B608F9">
        <w:rPr>
          <w:rtl/>
        </w:rPr>
        <w:t>132</w:t>
      </w:r>
      <w:r w:rsidRPr="006E2B18">
        <w:rPr>
          <w:rtl/>
        </w:rPr>
        <w:t xml:space="preserve"> (</w:t>
      </w:r>
      <w:r w:rsidRPr="00B608F9">
        <w:rPr>
          <w:rtl/>
        </w:rPr>
        <w:t>28</w:t>
      </w:r>
      <w:r w:rsidRPr="006E2B18">
        <w:rPr>
          <w:rtl/>
        </w:rPr>
        <w:t xml:space="preserve"> حزيران/</w:t>
      </w:r>
      <w:proofErr w:type="gramStart"/>
      <w:r w:rsidRPr="006E2B18">
        <w:rPr>
          <w:rtl/>
        </w:rPr>
        <w:t>يونيه</w:t>
      </w:r>
      <w:proofErr w:type="gramEnd"/>
      <w:r w:rsidRPr="006E2B18">
        <w:rPr>
          <w:rtl/>
        </w:rPr>
        <w:t xml:space="preserve"> - </w:t>
      </w:r>
      <w:r w:rsidRPr="00B608F9">
        <w:rPr>
          <w:rtl/>
        </w:rPr>
        <w:t>23</w:t>
      </w:r>
      <w:r w:rsidRPr="006E2B18">
        <w:rPr>
          <w:rtl/>
        </w:rPr>
        <w:t xml:space="preserve"> تموز/يوليه </w:t>
      </w:r>
      <w:r w:rsidRPr="00B608F9">
        <w:rPr>
          <w:rtl/>
        </w:rPr>
        <w:t>2021</w:t>
      </w:r>
      <w:r w:rsidRPr="006E2B18">
        <w:rPr>
          <w:rtl/>
        </w:rPr>
        <w:t>).</w:t>
      </w:r>
    </w:p>
  </w:footnote>
  <w:footnote w:id="2">
    <w:p w14:paraId="287B98B5" w14:textId="6267EFD5" w:rsidR="006E2B18" w:rsidRPr="006E79A3" w:rsidRDefault="006E2B18" w:rsidP="006E2B18">
      <w:pPr>
        <w:pStyle w:val="FootnoteText1"/>
        <w:rPr>
          <w:spacing w:val="-4"/>
          <w:rtl/>
        </w:rPr>
      </w:pPr>
      <w:r>
        <w:rPr>
          <w:rtl/>
        </w:rPr>
        <w:t>**</w:t>
      </w:r>
      <w:r>
        <w:rPr>
          <w:rtl/>
        </w:rPr>
        <w:tab/>
      </w:r>
      <w:r w:rsidRPr="006E2B18">
        <w:rPr>
          <w:rtl/>
        </w:rPr>
        <w:t xml:space="preserve">شارك في دراسة هذا البلاغ أعضاء اللجنة التالية أسماؤهم: وفاء أشرف محرم بسيم، وعياض بن عاشور، وعارف بلقان، </w:t>
      </w:r>
      <w:r w:rsidRPr="006E79A3">
        <w:rPr>
          <w:spacing w:val="-4"/>
          <w:rtl/>
        </w:rPr>
        <w:t xml:space="preserve">والمحجوب الهيبة، وكارلوس </w:t>
      </w:r>
      <w:proofErr w:type="spellStart"/>
      <w:r w:rsidRPr="006E79A3">
        <w:rPr>
          <w:spacing w:val="-4"/>
          <w:rtl/>
        </w:rPr>
        <w:t>غوميس</w:t>
      </w:r>
      <w:proofErr w:type="spellEnd"/>
      <w:r w:rsidRPr="006E79A3">
        <w:rPr>
          <w:spacing w:val="-4"/>
          <w:rtl/>
        </w:rPr>
        <w:t xml:space="preserve"> </w:t>
      </w:r>
      <w:proofErr w:type="spellStart"/>
      <w:r w:rsidRPr="006E79A3">
        <w:rPr>
          <w:spacing w:val="-4"/>
          <w:rtl/>
        </w:rPr>
        <w:t>مارتينيس</w:t>
      </w:r>
      <w:proofErr w:type="spellEnd"/>
      <w:r w:rsidRPr="006E79A3">
        <w:rPr>
          <w:spacing w:val="-4"/>
          <w:rtl/>
        </w:rPr>
        <w:t xml:space="preserve">، </w:t>
      </w:r>
      <w:proofErr w:type="spellStart"/>
      <w:r w:rsidRPr="006E79A3">
        <w:rPr>
          <w:spacing w:val="-4"/>
          <w:rtl/>
        </w:rPr>
        <w:t>ودنكان</w:t>
      </w:r>
      <w:proofErr w:type="spellEnd"/>
      <w:r w:rsidRPr="006E79A3">
        <w:rPr>
          <w:spacing w:val="-4"/>
          <w:rtl/>
        </w:rPr>
        <w:t xml:space="preserve"> </w:t>
      </w:r>
      <w:proofErr w:type="spellStart"/>
      <w:r w:rsidRPr="006E79A3">
        <w:rPr>
          <w:spacing w:val="-4"/>
          <w:rtl/>
        </w:rPr>
        <w:t>لاكي</w:t>
      </w:r>
      <w:proofErr w:type="spellEnd"/>
      <w:r w:rsidRPr="006E79A3">
        <w:rPr>
          <w:spacing w:val="-4"/>
          <w:rtl/>
        </w:rPr>
        <w:t xml:space="preserve"> </w:t>
      </w:r>
      <w:proofErr w:type="spellStart"/>
      <w:r w:rsidRPr="006E79A3">
        <w:rPr>
          <w:spacing w:val="-4"/>
          <w:rtl/>
        </w:rPr>
        <w:t>موهوموزا</w:t>
      </w:r>
      <w:proofErr w:type="spellEnd"/>
      <w:r w:rsidRPr="006E79A3">
        <w:rPr>
          <w:spacing w:val="-4"/>
          <w:rtl/>
        </w:rPr>
        <w:t xml:space="preserve">، وفوتيني </w:t>
      </w:r>
      <w:proofErr w:type="spellStart"/>
      <w:r w:rsidRPr="006E79A3">
        <w:rPr>
          <w:spacing w:val="-4"/>
          <w:rtl/>
        </w:rPr>
        <w:t>بزارتزيس</w:t>
      </w:r>
      <w:proofErr w:type="spellEnd"/>
      <w:r w:rsidRPr="006E79A3">
        <w:rPr>
          <w:spacing w:val="-4"/>
          <w:rtl/>
        </w:rPr>
        <w:t xml:space="preserve">، </w:t>
      </w:r>
      <w:proofErr w:type="spellStart"/>
      <w:r w:rsidRPr="006E79A3">
        <w:rPr>
          <w:spacing w:val="-4"/>
          <w:rtl/>
        </w:rPr>
        <w:t>وهيرنان</w:t>
      </w:r>
      <w:proofErr w:type="spellEnd"/>
      <w:r w:rsidRPr="006E79A3">
        <w:rPr>
          <w:spacing w:val="-4"/>
          <w:rtl/>
        </w:rPr>
        <w:t xml:space="preserve"> </w:t>
      </w:r>
      <w:proofErr w:type="spellStart"/>
      <w:r w:rsidRPr="006E79A3">
        <w:rPr>
          <w:spacing w:val="-4"/>
          <w:rtl/>
        </w:rPr>
        <w:t>كيسادا</w:t>
      </w:r>
      <w:proofErr w:type="spellEnd"/>
      <w:r w:rsidRPr="006E79A3">
        <w:rPr>
          <w:spacing w:val="-4"/>
          <w:rtl/>
        </w:rPr>
        <w:t xml:space="preserve"> </w:t>
      </w:r>
      <w:proofErr w:type="spellStart"/>
      <w:r w:rsidRPr="006E79A3">
        <w:rPr>
          <w:spacing w:val="-4"/>
          <w:rtl/>
        </w:rPr>
        <w:t>كابريرا</w:t>
      </w:r>
      <w:proofErr w:type="spellEnd"/>
      <w:r w:rsidRPr="006E79A3">
        <w:rPr>
          <w:spacing w:val="-4"/>
          <w:rtl/>
        </w:rPr>
        <w:t xml:space="preserve">، </w:t>
      </w:r>
      <w:proofErr w:type="spellStart"/>
      <w:r w:rsidRPr="006E79A3">
        <w:rPr>
          <w:spacing w:val="-4"/>
          <w:rtl/>
        </w:rPr>
        <w:t>وفاسيلكا</w:t>
      </w:r>
      <w:proofErr w:type="spellEnd"/>
      <w:r w:rsidRPr="006E79A3">
        <w:rPr>
          <w:spacing w:val="-4"/>
          <w:rtl/>
        </w:rPr>
        <w:t xml:space="preserve"> </w:t>
      </w:r>
      <w:proofErr w:type="spellStart"/>
      <w:r w:rsidRPr="006E79A3">
        <w:rPr>
          <w:spacing w:val="-4"/>
          <w:rtl/>
        </w:rPr>
        <w:t>سانسين</w:t>
      </w:r>
      <w:proofErr w:type="spellEnd"/>
      <w:r w:rsidRPr="006E79A3">
        <w:rPr>
          <w:spacing w:val="-4"/>
          <w:rtl/>
        </w:rPr>
        <w:t>،</w:t>
      </w:r>
      <w:r w:rsidRPr="006E2B18">
        <w:rPr>
          <w:rtl/>
        </w:rPr>
        <w:t xml:space="preserve"> </w:t>
      </w:r>
      <w:r w:rsidRPr="006E79A3">
        <w:rPr>
          <w:spacing w:val="-4"/>
          <w:rtl/>
        </w:rPr>
        <w:t xml:space="preserve">وخوسيه مانويل سانتوس </w:t>
      </w:r>
      <w:proofErr w:type="spellStart"/>
      <w:r w:rsidRPr="006E79A3">
        <w:rPr>
          <w:spacing w:val="-4"/>
          <w:rtl/>
        </w:rPr>
        <w:t>بايس</w:t>
      </w:r>
      <w:proofErr w:type="spellEnd"/>
      <w:r w:rsidRPr="006E79A3">
        <w:rPr>
          <w:spacing w:val="-4"/>
          <w:rtl/>
        </w:rPr>
        <w:t xml:space="preserve">، </w:t>
      </w:r>
      <w:proofErr w:type="spellStart"/>
      <w:r w:rsidRPr="006E79A3">
        <w:rPr>
          <w:spacing w:val="-4"/>
          <w:rtl/>
        </w:rPr>
        <w:t>وسوه</w:t>
      </w:r>
      <w:proofErr w:type="spellEnd"/>
      <w:r w:rsidRPr="006E79A3">
        <w:rPr>
          <w:spacing w:val="-4"/>
          <w:rtl/>
        </w:rPr>
        <w:t xml:space="preserve"> </w:t>
      </w:r>
      <w:proofErr w:type="spellStart"/>
      <w:r w:rsidRPr="006E79A3">
        <w:rPr>
          <w:spacing w:val="-4"/>
          <w:rtl/>
        </w:rPr>
        <w:t>شانغروك</w:t>
      </w:r>
      <w:proofErr w:type="spellEnd"/>
      <w:r w:rsidRPr="006E79A3">
        <w:rPr>
          <w:spacing w:val="-4"/>
          <w:rtl/>
        </w:rPr>
        <w:t xml:space="preserve">، </w:t>
      </w:r>
      <w:proofErr w:type="spellStart"/>
      <w:r w:rsidRPr="006E79A3">
        <w:rPr>
          <w:spacing w:val="-4"/>
          <w:rtl/>
        </w:rPr>
        <w:t>وكوباوياه</w:t>
      </w:r>
      <w:proofErr w:type="spellEnd"/>
      <w:r w:rsidRPr="006E79A3">
        <w:rPr>
          <w:spacing w:val="-4"/>
          <w:rtl/>
        </w:rPr>
        <w:t xml:space="preserve"> </w:t>
      </w:r>
      <w:proofErr w:type="spellStart"/>
      <w:r w:rsidRPr="006E79A3">
        <w:rPr>
          <w:spacing w:val="-4"/>
          <w:rtl/>
        </w:rPr>
        <w:t>تشامدجا</w:t>
      </w:r>
      <w:proofErr w:type="spellEnd"/>
      <w:r w:rsidRPr="006E79A3">
        <w:rPr>
          <w:spacing w:val="-4"/>
          <w:rtl/>
        </w:rPr>
        <w:t xml:space="preserve"> </w:t>
      </w:r>
      <w:proofErr w:type="spellStart"/>
      <w:r w:rsidRPr="006E79A3">
        <w:rPr>
          <w:spacing w:val="-4"/>
          <w:rtl/>
        </w:rPr>
        <w:t>كباتشا</w:t>
      </w:r>
      <w:proofErr w:type="spellEnd"/>
      <w:r w:rsidRPr="006E79A3">
        <w:rPr>
          <w:spacing w:val="-4"/>
          <w:rtl/>
        </w:rPr>
        <w:t xml:space="preserve">، وإيلين </w:t>
      </w:r>
      <w:proofErr w:type="spellStart"/>
      <w:r w:rsidRPr="006E79A3">
        <w:rPr>
          <w:spacing w:val="-4"/>
          <w:rtl/>
        </w:rPr>
        <w:t>تيغرودجا</w:t>
      </w:r>
      <w:proofErr w:type="spellEnd"/>
      <w:r w:rsidRPr="006E79A3">
        <w:rPr>
          <w:spacing w:val="-4"/>
          <w:rtl/>
        </w:rPr>
        <w:t xml:space="preserve">، </w:t>
      </w:r>
      <w:proofErr w:type="spellStart"/>
      <w:r w:rsidRPr="006E79A3">
        <w:rPr>
          <w:spacing w:val="-4"/>
          <w:rtl/>
        </w:rPr>
        <w:t>وإيميرو</w:t>
      </w:r>
      <w:proofErr w:type="spellEnd"/>
      <w:r w:rsidRPr="006E79A3">
        <w:rPr>
          <w:spacing w:val="-4"/>
          <w:rtl/>
        </w:rPr>
        <w:t xml:space="preserve"> </w:t>
      </w:r>
      <w:proofErr w:type="spellStart"/>
      <w:r w:rsidRPr="006E79A3">
        <w:rPr>
          <w:spacing w:val="-4"/>
          <w:rtl/>
        </w:rPr>
        <w:t>تامرات</w:t>
      </w:r>
      <w:proofErr w:type="spellEnd"/>
      <w:r w:rsidRPr="006E79A3">
        <w:rPr>
          <w:spacing w:val="-4"/>
          <w:rtl/>
        </w:rPr>
        <w:t xml:space="preserve"> </w:t>
      </w:r>
      <w:proofErr w:type="spellStart"/>
      <w:r w:rsidRPr="006E79A3">
        <w:rPr>
          <w:spacing w:val="-4"/>
          <w:rtl/>
        </w:rPr>
        <w:t>إغيزو</w:t>
      </w:r>
      <w:proofErr w:type="spellEnd"/>
      <w:r w:rsidRPr="006E79A3">
        <w:rPr>
          <w:spacing w:val="-4"/>
          <w:rtl/>
        </w:rPr>
        <w:t xml:space="preserve">، </w:t>
      </w:r>
      <w:proofErr w:type="spellStart"/>
      <w:r w:rsidRPr="006E79A3">
        <w:rPr>
          <w:spacing w:val="-4"/>
          <w:rtl/>
        </w:rPr>
        <w:t>وجينتيان</w:t>
      </w:r>
      <w:proofErr w:type="spellEnd"/>
      <w:r w:rsidRPr="006E79A3">
        <w:rPr>
          <w:spacing w:val="-4"/>
          <w:rtl/>
        </w:rPr>
        <w:t xml:space="preserve"> زبيري.</w:t>
      </w:r>
    </w:p>
  </w:footnote>
  <w:footnote w:id="3">
    <w:p w14:paraId="4B4FC391" w14:textId="17B6861C"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انظر على سبيل المثال </w:t>
      </w:r>
      <w:r w:rsidR="0067111A" w:rsidRPr="00B608F9">
        <w:rPr>
          <w:i/>
          <w:iCs/>
          <w:rtl/>
        </w:rPr>
        <w:t>توريس راميريز ضد أوروغواي</w:t>
      </w:r>
      <w:r w:rsidR="0067111A" w:rsidRPr="0067111A">
        <w:rPr>
          <w:rtl/>
        </w:rPr>
        <w:t xml:space="preserve">، البلاغ رقم </w:t>
      </w:r>
      <w:r w:rsidR="0067111A" w:rsidRPr="00B608F9">
        <w:rPr>
          <w:rtl/>
        </w:rPr>
        <w:t>4</w:t>
      </w:r>
      <w:r w:rsidR="0067111A" w:rsidRPr="0067111A">
        <w:rPr>
          <w:rtl/>
        </w:rPr>
        <w:t>/</w:t>
      </w:r>
      <w:r w:rsidR="0067111A" w:rsidRPr="00B608F9">
        <w:rPr>
          <w:rtl/>
        </w:rPr>
        <w:t>1977</w:t>
      </w:r>
      <w:r w:rsidR="0067111A" w:rsidRPr="0067111A">
        <w:rPr>
          <w:rtl/>
        </w:rPr>
        <w:t xml:space="preserve">، الفقرة </w:t>
      </w:r>
      <w:r w:rsidR="0067111A" w:rsidRPr="00B608F9">
        <w:rPr>
          <w:rtl/>
        </w:rPr>
        <w:t>5</w:t>
      </w:r>
      <w:r w:rsidR="0067111A" w:rsidRPr="0067111A">
        <w:rPr>
          <w:rtl/>
        </w:rPr>
        <w:t>.</w:t>
      </w:r>
    </w:p>
  </w:footnote>
  <w:footnote w:id="4">
    <w:p w14:paraId="4F3F6A3F" w14:textId="10F55B30" w:rsidR="006E2B18" w:rsidRPr="0067111A" w:rsidRDefault="006E2B18" w:rsidP="006E2B18">
      <w:pPr>
        <w:pStyle w:val="FootnoteText1"/>
        <w:rPr>
          <w:spacing w:val="-2"/>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انظر </w:t>
      </w:r>
      <w:proofErr w:type="spellStart"/>
      <w:r w:rsidR="0067111A" w:rsidRPr="00B608F9">
        <w:rPr>
          <w:i/>
          <w:iCs/>
          <w:rtl/>
        </w:rPr>
        <w:t>ألكسييف</w:t>
      </w:r>
      <w:proofErr w:type="spellEnd"/>
      <w:r w:rsidR="0067111A" w:rsidRPr="00B608F9">
        <w:rPr>
          <w:i/>
          <w:iCs/>
          <w:rtl/>
        </w:rPr>
        <w:t xml:space="preserve"> ضد الاتحاد الروسي</w:t>
      </w:r>
      <w:r w:rsidR="0067111A" w:rsidRPr="0067111A">
        <w:rPr>
          <w:rtl/>
        </w:rPr>
        <w:t xml:space="preserve"> (</w:t>
      </w:r>
      <w:hyperlink r:id="rId1" w:history="1">
        <w:r w:rsidR="0023695B" w:rsidRPr="00951ADF">
          <w:rPr>
            <w:rStyle w:val="Hyperlink"/>
          </w:rPr>
          <w:t>CCPR/C/</w:t>
        </w:r>
        <w:r w:rsidR="0023695B" w:rsidRPr="00B608F9">
          <w:rPr>
            <w:rStyle w:val="Hyperlink"/>
          </w:rPr>
          <w:t>109</w:t>
        </w:r>
        <w:r w:rsidR="0023695B" w:rsidRPr="00951ADF">
          <w:rPr>
            <w:rStyle w:val="Hyperlink"/>
          </w:rPr>
          <w:t>/D/</w:t>
        </w:r>
        <w:r w:rsidR="0023695B" w:rsidRPr="00B608F9">
          <w:rPr>
            <w:rStyle w:val="Hyperlink"/>
          </w:rPr>
          <w:t>1873</w:t>
        </w:r>
        <w:r w:rsidR="0023695B" w:rsidRPr="00951ADF">
          <w:rPr>
            <w:rStyle w:val="Hyperlink"/>
          </w:rPr>
          <w:t>/</w:t>
        </w:r>
        <w:r w:rsidR="0023695B" w:rsidRPr="00B608F9">
          <w:rPr>
            <w:rStyle w:val="Hyperlink"/>
          </w:rPr>
          <w:t>2009</w:t>
        </w:r>
      </w:hyperlink>
      <w:r w:rsidR="0067111A" w:rsidRPr="0067111A">
        <w:rPr>
          <w:rtl/>
        </w:rPr>
        <w:t xml:space="preserve">)، الفقرة </w:t>
      </w:r>
      <w:r w:rsidR="0067111A" w:rsidRPr="00B608F9">
        <w:rPr>
          <w:rtl/>
        </w:rPr>
        <w:t>8</w:t>
      </w:r>
      <w:r w:rsidR="0067111A" w:rsidRPr="0067111A">
        <w:rPr>
          <w:rtl/>
        </w:rPr>
        <w:t>-</w:t>
      </w:r>
      <w:r w:rsidR="0067111A" w:rsidRPr="00B608F9">
        <w:rPr>
          <w:rtl/>
        </w:rPr>
        <w:t>4</w:t>
      </w:r>
      <w:r w:rsidR="0067111A" w:rsidRPr="0067111A">
        <w:rPr>
          <w:rtl/>
        </w:rPr>
        <w:t xml:space="preserve">؛ </w:t>
      </w:r>
      <w:proofErr w:type="spellStart"/>
      <w:r w:rsidR="0067111A" w:rsidRPr="0067111A">
        <w:rPr>
          <w:rtl/>
        </w:rPr>
        <w:t>و</w:t>
      </w:r>
      <w:r w:rsidR="0067111A" w:rsidRPr="00B608F9">
        <w:rPr>
          <w:i/>
          <w:iCs/>
          <w:rtl/>
        </w:rPr>
        <w:t>لوزينكو</w:t>
      </w:r>
      <w:proofErr w:type="spellEnd"/>
      <w:r w:rsidR="0067111A" w:rsidRPr="00B608F9">
        <w:rPr>
          <w:i/>
          <w:iCs/>
          <w:rtl/>
        </w:rPr>
        <w:t xml:space="preserve"> ضد بيلاروس</w:t>
      </w:r>
      <w:r w:rsidR="0067111A" w:rsidRPr="0067111A">
        <w:rPr>
          <w:rtl/>
        </w:rPr>
        <w:t xml:space="preserve"> </w:t>
      </w:r>
      <w:r w:rsidR="0067111A" w:rsidRPr="0067111A">
        <w:rPr>
          <w:spacing w:val="-2"/>
          <w:rtl/>
        </w:rPr>
        <w:t>(</w:t>
      </w:r>
      <w:hyperlink r:id="rId2" w:history="1">
        <w:r w:rsidR="0023695B" w:rsidRPr="00555297">
          <w:rPr>
            <w:rStyle w:val="Hyperlink"/>
            <w:lang w:val="es-ES"/>
          </w:rPr>
          <w:t>CCPR/C/</w:t>
        </w:r>
        <w:r w:rsidR="0023695B" w:rsidRPr="00B608F9">
          <w:rPr>
            <w:rStyle w:val="Hyperlink"/>
            <w:lang w:val="es-ES"/>
          </w:rPr>
          <w:t>112</w:t>
        </w:r>
        <w:r w:rsidR="0023695B" w:rsidRPr="00555297">
          <w:rPr>
            <w:rStyle w:val="Hyperlink"/>
            <w:lang w:val="es-ES"/>
          </w:rPr>
          <w:t>/D/</w:t>
        </w:r>
        <w:r w:rsidR="0023695B" w:rsidRPr="00B608F9">
          <w:rPr>
            <w:rStyle w:val="Hyperlink"/>
            <w:lang w:val="es-ES"/>
          </w:rPr>
          <w:t>1929</w:t>
        </w:r>
        <w:r w:rsidR="0023695B" w:rsidRPr="00555297">
          <w:rPr>
            <w:rStyle w:val="Hyperlink"/>
            <w:lang w:val="es-ES"/>
          </w:rPr>
          <w:t>/</w:t>
        </w:r>
        <w:r w:rsidR="0023695B" w:rsidRPr="00B608F9">
          <w:rPr>
            <w:rStyle w:val="Hyperlink"/>
            <w:lang w:val="es-ES"/>
          </w:rPr>
          <w:t>2010</w:t>
        </w:r>
      </w:hyperlink>
      <w:r w:rsidR="0067111A" w:rsidRPr="0067111A">
        <w:rPr>
          <w:spacing w:val="-2"/>
          <w:rtl/>
        </w:rPr>
        <w:t xml:space="preserve">)، الفقرة </w:t>
      </w:r>
      <w:r w:rsidR="0067111A" w:rsidRPr="00B608F9">
        <w:rPr>
          <w:spacing w:val="-2"/>
          <w:rtl/>
        </w:rPr>
        <w:t>6</w:t>
      </w:r>
      <w:r w:rsidR="0067111A" w:rsidRPr="0067111A">
        <w:rPr>
          <w:spacing w:val="-2"/>
          <w:rtl/>
        </w:rPr>
        <w:t>-</w:t>
      </w:r>
      <w:r w:rsidR="0067111A" w:rsidRPr="00B608F9">
        <w:rPr>
          <w:spacing w:val="-2"/>
          <w:rtl/>
        </w:rPr>
        <w:t>3</w:t>
      </w:r>
      <w:r w:rsidR="0067111A" w:rsidRPr="0067111A">
        <w:rPr>
          <w:spacing w:val="-2"/>
          <w:rtl/>
        </w:rPr>
        <w:t xml:space="preserve">؛ </w:t>
      </w:r>
      <w:proofErr w:type="spellStart"/>
      <w:r w:rsidR="0067111A" w:rsidRPr="0067111A">
        <w:rPr>
          <w:spacing w:val="-2"/>
          <w:rtl/>
        </w:rPr>
        <w:t>و</w:t>
      </w:r>
      <w:r w:rsidR="0067111A" w:rsidRPr="00B608F9">
        <w:rPr>
          <w:i/>
          <w:iCs/>
          <w:spacing w:val="-2"/>
          <w:rtl/>
        </w:rPr>
        <w:t>سودالينكو</w:t>
      </w:r>
      <w:proofErr w:type="spellEnd"/>
      <w:r w:rsidR="0067111A" w:rsidRPr="00B608F9">
        <w:rPr>
          <w:i/>
          <w:iCs/>
          <w:spacing w:val="-2"/>
          <w:rtl/>
        </w:rPr>
        <w:t xml:space="preserve"> ضد بيلاروس</w:t>
      </w:r>
      <w:r w:rsidR="0067111A" w:rsidRPr="0067111A">
        <w:rPr>
          <w:spacing w:val="-2"/>
          <w:rtl/>
        </w:rPr>
        <w:t xml:space="preserve"> (</w:t>
      </w:r>
      <w:hyperlink r:id="rId3" w:history="1">
        <w:r w:rsidR="0023695B" w:rsidRPr="00555297">
          <w:rPr>
            <w:rStyle w:val="Hyperlink"/>
            <w:lang w:val="es-ES"/>
          </w:rPr>
          <w:t>CCPR/C/</w:t>
        </w:r>
        <w:r w:rsidR="0023695B" w:rsidRPr="00B608F9">
          <w:rPr>
            <w:rStyle w:val="Hyperlink"/>
            <w:lang w:val="es-ES"/>
          </w:rPr>
          <w:t>115</w:t>
        </w:r>
        <w:r w:rsidR="0023695B" w:rsidRPr="00555297">
          <w:rPr>
            <w:rStyle w:val="Hyperlink"/>
            <w:lang w:val="es-ES"/>
          </w:rPr>
          <w:t>/D/</w:t>
        </w:r>
        <w:r w:rsidR="0023695B" w:rsidRPr="00B608F9">
          <w:rPr>
            <w:rStyle w:val="Hyperlink"/>
            <w:lang w:val="es-ES"/>
          </w:rPr>
          <w:t>2016</w:t>
        </w:r>
        <w:r w:rsidR="0023695B" w:rsidRPr="00555297">
          <w:rPr>
            <w:rStyle w:val="Hyperlink"/>
            <w:lang w:val="es-ES"/>
          </w:rPr>
          <w:t>/</w:t>
        </w:r>
        <w:r w:rsidR="0023695B" w:rsidRPr="00B608F9">
          <w:rPr>
            <w:rStyle w:val="Hyperlink"/>
            <w:lang w:val="es-ES"/>
          </w:rPr>
          <w:t>2010</w:t>
        </w:r>
      </w:hyperlink>
      <w:r w:rsidR="0067111A" w:rsidRPr="0067111A">
        <w:rPr>
          <w:spacing w:val="-2"/>
          <w:rtl/>
        </w:rPr>
        <w:t xml:space="preserve">)، الفقرة </w:t>
      </w:r>
      <w:r w:rsidR="0067111A" w:rsidRPr="00B608F9">
        <w:rPr>
          <w:spacing w:val="-2"/>
          <w:rtl/>
        </w:rPr>
        <w:t>7</w:t>
      </w:r>
      <w:r w:rsidR="0067111A" w:rsidRPr="0067111A">
        <w:rPr>
          <w:spacing w:val="-2"/>
          <w:rtl/>
        </w:rPr>
        <w:t>-</w:t>
      </w:r>
      <w:r w:rsidR="0067111A" w:rsidRPr="00B608F9">
        <w:rPr>
          <w:spacing w:val="-2"/>
          <w:rtl/>
        </w:rPr>
        <w:t>3</w:t>
      </w:r>
      <w:r w:rsidR="0067111A" w:rsidRPr="0067111A">
        <w:rPr>
          <w:spacing w:val="-2"/>
          <w:rtl/>
        </w:rPr>
        <w:t>.</w:t>
      </w:r>
    </w:p>
  </w:footnote>
  <w:footnote w:id="5">
    <w:p w14:paraId="109A926F" w14:textId="4C2950A2"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انظر </w:t>
      </w:r>
      <w:proofErr w:type="spellStart"/>
      <w:r w:rsidR="0067111A" w:rsidRPr="00B608F9">
        <w:rPr>
          <w:i/>
          <w:iCs/>
          <w:rtl/>
        </w:rPr>
        <w:t>جيلازاوسكاس</w:t>
      </w:r>
      <w:proofErr w:type="spellEnd"/>
      <w:r w:rsidR="0067111A" w:rsidRPr="00B608F9">
        <w:rPr>
          <w:i/>
          <w:iCs/>
          <w:rtl/>
        </w:rPr>
        <w:t xml:space="preserve"> ضد ليتوانيا</w:t>
      </w:r>
      <w:r w:rsidR="0067111A" w:rsidRPr="0067111A">
        <w:rPr>
          <w:rtl/>
        </w:rPr>
        <w:t xml:space="preserve"> (</w:t>
      </w:r>
      <w:hyperlink r:id="rId4" w:history="1">
        <w:r w:rsidR="0023695B" w:rsidRPr="00555297">
          <w:rPr>
            <w:rStyle w:val="Hyperlink"/>
            <w:lang w:val="es-ES"/>
          </w:rPr>
          <w:t>CCPR/C/</w:t>
        </w:r>
        <w:r w:rsidR="0023695B" w:rsidRPr="00B608F9">
          <w:rPr>
            <w:rStyle w:val="Hyperlink"/>
            <w:lang w:val="es-ES"/>
          </w:rPr>
          <w:t>77</w:t>
        </w:r>
        <w:r w:rsidR="0023695B" w:rsidRPr="00555297">
          <w:rPr>
            <w:rStyle w:val="Hyperlink"/>
            <w:lang w:val="es-ES"/>
          </w:rPr>
          <w:t>/D/</w:t>
        </w:r>
        <w:r w:rsidR="0023695B" w:rsidRPr="00B608F9">
          <w:rPr>
            <w:rStyle w:val="Hyperlink"/>
            <w:lang w:val="es-ES"/>
          </w:rPr>
          <w:t>836</w:t>
        </w:r>
        <w:r w:rsidR="0023695B" w:rsidRPr="00555297">
          <w:rPr>
            <w:rStyle w:val="Hyperlink"/>
            <w:lang w:val="es-ES"/>
          </w:rPr>
          <w:t>/</w:t>
        </w:r>
        <w:r w:rsidR="0023695B" w:rsidRPr="00B608F9">
          <w:rPr>
            <w:rStyle w:val="Hyperlink"/>
            <w:lang w:val="es-ES"/>
          </w:rPr>
          <w:t>1998</w:t>
        </w:r>
      </w:hyperlink>
      <w:r w:rsidR="0067111A" w:rsidRPr="0067111A">
        <w:rPr>
          <w:rtl/>
        </w:rPr>
        <w:t xml:space="preserve">)، الفقرة </w:t>
      </w:r>
      <w:r w:rsidR="0067111A" w:rsidRPr="00B608F9">
        <w:rPr>
          <w:rtl/>
        </w:rPr>
        <w:t>7</w:t>
      </w:r>
      <w:r w:rsidR="0067111A" w:rsidRPr="0067111A">
        <w:rPr>
          <w:rtl/>
        </w:rPr>
        <w:t>-</w:t>
      </w:r>
      <w:r w:rsidR="0067111A" w:rsidRPr="00B608F9">
        <w:rPr>
          <w:rtl/>
        </w:rPr>
        <w:t>4</w:t>
      </w:r>
      <w:r w:rsidR="0067111A" w:rsidRPr="0067111A">
        <w:rPr>
          <w:rtl/>
        </w:rPr>
        <w:t xml:space="preserve">؛ </w:t>
      </w:r>
      <w:proofErr w:type="spellStart"/>
      <w:r w:rsidR="0067111A" w:rsidRPr="0067111A">
        <w:rPr>
          <w:rtl/>
        </w:rPr>
        <w:t>و</w:t>
      </w:r>
      <w:r w:rsidR="0067111A" w:rsidRPr="00B608F9">
        <w:rPr>
          <w:i/>
          <w:iCs/>
          <w:rtl/>
        </w:rPr>
        <w:t>سيكيركو</w:t>
      </w:r>
      <w:proofErr w:type="spellEnd"/>
      <w:r w:rsidR="0067111A" w:rsidRPr="00B608F9">
        <w:rPr>
          <w:i/>
          <w:iCs/>
          <w:rtl/>
        </w:rPr>
        <w:t xml:space="preserve"> ضد بيلاروس</w:t>
      </w:r>
      <w:r w:rsidR="0067111A" w:rsidRPr="0067111A">
        <w:rPr>
          <w:rtl/>
        </w:rPr>
        <w:t xml:space="preserve"> (</w:t>
      </w:r>
      <w:hyperlink r:id="rId5" w:history="1">
        <w:r w:rsidR="0023695B" w:rsidRPr="00555297">
          <w:rPr>
            <w:rStyle w:val="Hyperlink"/>
            <w:lang w:val="es-ES"/>
          </w:rPr>
          <w:t>CCPR/C/</w:t>
        </w:r>
        <w:r w:rsidR="0023695B" w:rsidRPr="00B608F9">
          <w:rPr>
            <w:rStyle w:val="Hyperlink"/>
            <w:lang w:val="es-ES"/>
          </w:rPr>
          <w:t>109</w:t>
        </w:r>
        <w:r w:rsidR="0023695B" w:rsidRPr="00555297">
          <w:rPr>
            <w:rStyle w:val="Hyperlink"/>
            <w:lang w:val="es-ES"/>
          </w:rPr>
          <w:t>/D/</w:t>
        </w:r>
        <w:r w:rsidR="0023695B" w:rsidRPr="00B608F9">
          <w:rPr>
            <w:rStyle w:val="Hyperlink"/>
            <w:lang w:val="es-ES"/>
          </w:rPr>
          <w:t>1851</w:t>
        </w:r>
        <w:r w:rsidR="0023695B" w:rsidRPr="00555297">
          <w:rPr>
            <w:rStyle w:val="Hyperlink"/>
            <w:lang w:val="es-ES"/>
          </w:rPr>
          <w:t>/</w:t>
        </w:r>
        <w:r w:rsidR="0023695B" w:rsidRPr="00B608F9">
          <w:rPr>
            <w:rStyle w:val="Hyperlink"/>
            <w:lang w:val="es-ES"/>
          </w:rPr>
          <w:t>2008</w:t>
        </w:r>
      </w:hyperlink>
      <w:r w:rsidR="0067111A" w:rsidRPr="0067111A">
        <w:rPr>
          <w:rtl/>
        </w:rPr>
        <w:t xml:space="preserve">)، الفقرة </w:t>
      </w:r>
      <w:r w:rsidR="0067111A" w:rsidRPr="00B608F9">
        <w:rPr>
          <w:rtl/>
        </w:rPr>
        <w:t>8</w:t>
      </w:r>
      <w:r w:rsidR="0067111A" w:rsidRPr="0067111A">
        <w:rPr>
          <w:rtl/>
        </w:rPr>
        <w:t>-</w:t>
      </w:r>
      <w:r w:rsidR="0067111A" w:rsidRPr="00B608F9">
        <w:rPr>
          <w:rtl/>
        </w:rPr>
        <w:t>3</w:t>
      </w:r>
      <w:r w:rsidR="0067111A" w:rsidRPr="0067111A">
        <w:rPr>
          <w:rtl/>
        </w:rPr>
        <w:t xml:space="preserve">؛ </w:t>
      </w:r>
      <w:proofErr w:type="spellStart"/>
      <w:r w:rsidR="0067111A" w:rsidRPr="0067111A">
        <w:rPr>
          <w:rtl/>
        </w:rPr>
        <w:t>و</w:t>
      </w:r>
      <w:r w:rsidR="0067111A" w:rsidRPr="00B608F9">
        <w:rPr>
          <w:i/>
          <w:iCs/>
          <w:rtl/>
        </w:rPr>
        <w:t>شوميلين</w:t>
      </w:r>
      <w:proofErr w:type="spellEnd"/>
      <w:r w:rsidR="0067111A" w:rsidRPr="00B608F9">
        <w:rPr>
          <w:i/>
          <w:iCs/>
          <w:rtl/>
        </w:rPr>
        <w:t xml:space="preserve"> ضد بيلاروس</w:t>
      </w:r>
      <w:r w:rsidR="0067111A" w:rsidRPr="0067111A">
        <w:rPr>
          <w:rtl/>
        </w:rPr>
        <w:t xml:space="preserve"> (</w:t>
      </w:r>
      <w:hyperlink r:id="rId6" w:history="1">
        <w:r w:rsidR="0023695B" w:rsidRPr="00555297">
          <w:rPr>
            <w:rStyle w:val="Hyperlink"/>
            <w:lang w:val="es-ES"/>
          </w:rPr>
          <w:t>CCPR/C/</w:t>
        </w:r>
        <w:r w:rsidR="0023695B" w:rsidRPr="00B608F9">
          <w:rPr>
            <w:rStyle w:val="Hyperlink"/>
            <w:lang w:val="es-ES"/>
          </w:rPr>
          <w:t>105</w:t>
        </w:r>
        <w:r w:rsidR="0023695B" w:rsidRPr="00555297">
          <w:rPr>
            <w:rStyle w:val="Hyperlink"/>
            <w:lang w:val="es-ES"/>
          </w:rPr>
          <w:t>/D/</w:t>
        </w:r>
        <w:r w:rsidR="0023695B" w:rsidRPr="00B608F9">
          <w:rPr>
            <w:rStyle w:val="Hyperlink"/>
            <w:lang w:val="es-ES"/>
          </w:rPr>
          <w:t>1784</w:t>
        </w:r>
        <w:r w:rsidR="0023695B" w:rsidRPr="00555297">
          <w:rPr>
            <w:rStyle w:val="Hyperlink"/>
            <w:lang w:val="es-ES"/>
          </w:rPr>
          <w:t>/</w:t>
        </w:r>
        <w:r w:rsidR="0023695B" w:rsidRPr="00B608F9">
          <w:rPr>
            <w:rStyle w:val="Hyperlink"/>
            <w:lang w:val="es-ES"/>
          </w:rPr>
          <w:t>2008</w:t>
        </w:r>
      </w:hyperlink>
      <w:r w:rsidR="0067111A" w:rsidRPr="0067111A">
        <w:rPr>
          <w:rtl/>
        </w:rPr>
        <w:t xml:space="preserve">)، الفقرة </w:t>
      </w:r>
      <w:r w:rsidR="0067111A" w:rsidRPr="00B608F9">
        <w:rPr>
          <w:rtl/>
        </w:rPr>
        <w:t>8</w:t>
      </w:r>
      <w:r w:rsidR="0067111A" w:rsidRPr="0067111A">
        <w:rPr>
          <w:rtl/>
        </w:rPr>
        <w:t>-</w:t>
      </w:r>
      <w:r w:rsidR="0067111A" w:rsidRPr="00B608F9">
        <w:rPr>
          <w:rtl/>
        </w:rPr>
        <w:t>3</w:t>
      </w:r>
      <w:r w:rsidR="0067111A" w:rsidRPr="0067111A">
        <w:rPr>
          <w:rtl/>
        </w:rPr>
        <w:t>.</w:t>
      </w:r>
    </w:p>
  </w:footnote>
  <w:footnote w:id="6">
    <w:p w14:paraId="41FDCC5D" w14:textId="1DB28BD9"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التعليق العام رقم </w:t>
      </w:r>
      <w:r w:rsidR="0067111A" w:rsidRPr="00B608F9">
        <w:rPr>
          <w:rtl/>
        </w:rPr>
        <w:t>37</w:t>
      </w:r>
      <w:r w:rsidR="0067111A" w:rsidRPr="0067111A">
        <w:rPr>
          <w:rtl/>
        </w:rPr>
        <w:t>(</w:t>
      </w:r>
      <w:r w:rsidR="0067111A" w:rsidRPr="00B608F9">
        <w:rPr>
          <w:rtl/>
        </w:rPr>
        <w:t>2020</w:t>
      </w:r>
      <w:r w:rsidR="0067111A" w:rsidRPr="0067111A">
        <w:rPr>
          <w:rtl/>
        </w:rPr>
        <w:t xml:space="preserve">)، الفقرة </w:t>
      </w:r>
      <w:r w:rsidR="0067111A" w:rsidRPr="00B608F9">
        <w:rPr>
          <w:rtl/>
        </w:rPr>
        <w:t>55</w:t>
      </w:r>
      <w:r w:rsidR="0067111A" w:rsidRPr="0067111A">
        <w:rPr>
          <w:rtl/>
        </w:rPr>
        <w:t>.</w:t>
      </w:r>
    </w:p>
  </w:footnote>
  <w:footnote w:id="7">
    <w:p w14:paraId="148E431D" w14:textId="5FBAD175"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التعليق العام رقم </w:t>
      </w:r>
      <w:r w:rsidR="0067111A" w:rsidRPr="00B608F9">
        <w:rPr>
          <w:rtl/>
        </w:rPr>
        <w:t>34</w:t>
      </w:r>
      <w:r w:rsidR="0067111A" w:rsidRPr="0067111A">
        <w:rPr>
          <w:rtl/>
        </w:rPr>
        <w:t>(</w:t>
      </w:r>
      <w:r w:rsidR="0067111A" w:rsidRPr="00B608F9">
        <w:rPr>
          <w:rtl/>
        </w:rPr>
        <w:t>2011</w:t>
      </w:r>
      <w:r w:rsidR="0067111A" w:rsidRPr="0067111A">
        <w:rPr>
          <w:rtl/>
        </w:rPr>
        <w:t xml:space="preserve">)، الفقرة </w:t>
      </w:r>
      <w:r w:rsidR="0067111A" w:rsidRPr="00B608F9">
        <w:rPr>
          <w:rtl/>
        </w:rPr>
        <w:t>2</w:t>
      </w:r>
      <w:r w:rsidR="0067111A" w:rsidRPr="0067111A">
        <w:rPr>
          <w:rtl/>
        </w:rPr>
        <w:t>.</w:t>
      </w:r>
    </w:p>
  </w:footnote>
  <w:footnote w:id="8">
    <w:p w14:paraId="3DDBC38B" w14:textId="36C9EE68"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التعليق العام رقم </w:t>
      </w:r>
      <w:r w:rsidR="0067111A" w:rsidRPr="00B608F9">
        <w:rPr>
          <w:rtl/>
        </w:rPr>
        <w:t>37</w:t>
      </w:r>
      <w:r w:rsidR="0067111A" w:rsidRPr="0067111A">
        <w:rPr>
          <w:rtl/>
        </w:rPr>
        <w:t>(</w:t>
      </w:r>
      <w:r w:rsidR="0067111A" w:rsidRPr="00B608F9">
        <w:rPr>
          <w:rtl/>
        </w:rPr>
        <w:t>2020</w:t>
      </w:r>
      <w:r w:rsidR="0067111A" w:rsidRPr="0067111A">
        <w:rPr>
          <w:rtl/>
        </w:rPr>
        <w:t xml:space="preserve">)، الفقرة </w:t>
      </w:r>
      <w:r w:rsidR="0067111A" w:rsidRPr="00B608F9">
        <w:rPr>
          <w:rtl/>
        </w:rPr>
        <w:t>6</w:t>
      </w:r>
      <w:r w:rsidR="0067111A" w:rsidRPr="0067111A">
        <w:rPr>
          <w:rtl/>
        </w:rPr>
        <w:t>.</w:t>
      </w:r>
    </w:p>
  </w:footnote>
  <w:footnote w:id="9">
    <w:p w14:paraId="3C1754F7" w14:textId="1BB8F969"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المرجع نفسه، الفقرة </w:t>
      </w:r>
      <w:r w:rsidR="0067111A" w:rsidRPr="00B608F9">
        <w:rPr>
          <w:rtl/>
        </w:rPr>
        <w:t>22</w:t>
      </w:r>
      <w:r w:rsidR="0067111A" w:rsidRPr="0067111A">
        <w:rPr>
          <w:rtl/>
        </w:rPr>
        <w:t>.</w:t>
      </w:r>
    </w:p>
  </w:footnote>
  <w:footnote w:id="10">
    <w:p w14:paraId="48A60D46" w14:textId="727679BD"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المرجع نفسه، الفقرة </w:t>
      </w:r>
      <w:r w:rsidR="0067111A" w:rsidRPr="00B608F9">
        <w:rPr>
          <w:rtl/>
        </w:rPr>
        <w:t>36</w:t>
      </w:r>
      <w:r w:rsidR="0067111A" w:rsidRPr="0067111A">
        <w:rPr>
          <w:rtl/>
        </w:rPr>
        <w:t>.</w:t>
      </w:r>
    </w:p>
  </w:footnote>
  <w:footnote w:id="11">
    <w:p w14:paraId="2CC1809B" w14:textId="39B6C86B"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انظر على سبيل المثال </w:t>
      </w:r>
      <w:proofErr w:type="spellStart"/>
      <w:r w:rsidR="0067111A" w:rsidRPr="00B608F9">
        <w:rPr>
          <w:i/>
          <w:iCs/>
          <w:rtl/>
        </w:rPr>
        <w:t>بوبلافني</w:t>
      </w:r>
      <w:proofErr w:type="spellEnd"/>
      <w:r w:rsidR="0067111A" w:rsidRPr="00B608F9">
        <w:rPr>
          <w:i/>
          <w:iCs/>
          <w:rtl/>
        </w:rPr>
        <w:t xml:space="preserve"> ضد بيلاروس</w:t>
      </w:r>
      <w:r w:rsidR="0067111A" w:rsidRPr="0067111A">
        <w:rPr>
          <w:rtl/>
        </w:rPr>
        <w:t xml:space="preserve"> (</w:t>
      </w:r>
      <w:hyperlink r:id="rId7" w:history="1">
        <w:r w:rsidR="0023695B" w:rsidRPr="00144F33">
          <w:rPr>
            <w:rStyle w:val="Hyperlink"/>
            <w:lang w:eastAsia="en-GB"/>
          </w:rPr>
          <w:t>CCPR/C/</w:t>
        </w:r>
        <w:r w:rsidR="0023695B" w:rsidRPr="00B608F9">
          <w:rPr>
            <w:rStyle w:val="Hyperlink"/>
            <w:lang w:eastAsia="en-GB"/>
          </w:rPr>
          <w:t>115</w:t>
        </w:r>
        <w:r w:rsidR="0023695B" w:rsidRPr="00144F33">
          <w:rPr>
            <w:rStyle w:val="Hyperlink"/>
            <w:lang w:eastAsia="en-GB"/>
          </w:rPr>
          <w:t>/D/</w:t>
        </w:r>
        <w:r w:rsidR="0023695B" w:rsidRPr="00B608F9">
          <w:rPr>
            <w:rStyle w:val="Hyperlink"/>
            <w:lang w:eastAsia="en-GB"/>
          </w:rPr>
          <w:t>2019</w:t>
        </w:r>
        <w:r w:rsidR="0023695B" w:rsidRPr="00144F33">
          <w:rPr>
            <w:rStyle w:val="Hyperlink"/>
            <w:lang w:eastAsia="en-GB"/>
          </w:rPr>
          <w:t>/</w:t>
        </w:r>
        <w:r w:rsidR="0023695B" w:rsidRPr="00B608F9">
          <w:rPr>
            <w:rStyle w:val="Hyperlink"/>
            <w:lang w:eastAsia="en-GB"/>
          </w:rPr>
          <w:t>2010</w:t>
        </w:r>
      </w:hyperlink>
      <w:r w:rsidR="0067111A" w:rsidRPr="0067111A">
        <w:rPr>
          <w:rtl/>
        </w:rPr>
        <w:t xml:space="preserve">)، الفقرة </w:t>
      </w:r>
      <w:r w:rsidR="0067111A" w:rsidRPr="00B608F9">
        <w:rPr>
          <w:rtl/>
        </w:rPr>
        <w:t>8</w:t>
      </w:r>
      <w:r w:rsidR="0067111A" w:rsidRPr="0067111A">
        <w:rPr>
          <w:rtl/>
        </w:rPr>
        <w:t>-</w:t>
      </w:r>
      <w:r w:rsidR="0067111A" w:rsidRPr="00B608F9">
        <w:rPr>
          <w:rtl/>
        </w:rPr>
        <w:t>4</w:t>
      </w:r>
      <w:r w:rsidR="0067111A" w:rsidRPr="0067111A">
        <w:rPr>
          <w:rtl/>
        </w:rPr>
        <w:t>.</w:t>
      </w:r>
    </w:p>
  </w:footnote>
  <w:footnote w:id="12">
    <w:p w14:paraId="04A28E7A" w14:textId="1606CEA6"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التعليق العام رقم </w:t>
      </w:r>
      <w:r w:rsidR="0067111A" w:rsidRPr="00B608F9">
        <w:rPr>
          <w:rtl/>
        </w:rPr>
        <w:t>34</w:t>
      </w:r>
      <w:r w:rsidR="0067111A" w:rsidRPr="0067111A">
        <w:rPr>
          <w:rtl/>
        </w:rPr>
        <w:t>(</w:t>
      </w:r>
      <w:r w:rsidR="0067111A" w:rsidRPr="00B608F9">
        <w:rPr>
          <w:rtl/>
        </w:rPr>
        <w:t>2011</w:t>
      </w:r>
      <w:r w:rsidR="0067111A" w:rsidRPr="0067111A">
        <w:rPr>
          <w:rtl/>
        </w:rPr>
        <w:t xml:space="preserve">)، الفقرة </w:t>
      </w:r>
      <w:r w:rsidR="0067111A" w:rsidRPr="00B608F9">
        <w:rPr>
          <w:rtl/>
        </w:rPr>
        <w:t>2</w:t>
      </w:r>
      <w:r w:rsidR="0067111A" w:rsidRPr="0067111A">
        <w:rPr>
          <w:rtl/>
        </w:rPr>
        <w:t>.</w:t>
      </w:r>
    </w:p>
  </w:footnote>
  <w:footnote w:id="13">
    <w:p w14:paraId="56EB75D3" w14:textId="3157202E"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المرجع نفسه، الفقرة </w:t>
      </w:r>
      <w:r w:rsidR="0067111A" w:rsidRPr="00B608F9">
        <w:rPr>
          <w:rtl/>
        </w:rPr>
        <w:t>34</w:t>
      </w:r>
      <w:r w:rsidR="0067111A" w:rsidRPr="0067111A">
        <w:rPr>
          <w:rtl/>
        </w:rPr>
        <w:t>.</w:t>
      </w:r>
    </w:p>
  </w:footnote>
  <w:footnote w:id="14">
    <w:p w14:paraId="08A944AE" w14:textId="44727BF2"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proofErr w:type="spellStart"/>
      <w:r w:rsidR="0067111A" w:rsidRPr="00B608F9">
        <w:rPr>
          <w:i/>
          <w:iCs/>
          <w:rtl/>
        </w:rPr>
        <w:t>أندروسينكو</w:t>
      </w:r>
      <w:proofErr w:type="spellEnd"/>
      <w:r w:rsidR="0067111A" w:rsidRPr="00B608F9">
        <w:rPr>
          <w:i/>
          <w:iCs/>
          <w:rtl/>
        </w:rPr>
        <w:t xml:space="preserve"> ضد بيلاروس</w:t>
      </w:r>
      <w:r w:rsidR="0067111A" w:rsidRPr="0067111A">
        <w:rPr>
          <w:rtl/>
        </w:rPr>
        <w:t xml:space="preserve"> (</w:t>
      </w:r>
      <w:hyperlink r:id="rId8" w:history="1">
        <w:r w:rsidR="0023695B" w:rsidRPr="00555297">
          <w:rPr>
            <w:rStyle w:val="Hyperlink"/>
            <w:lang w:val="es-ES"/>
          </w:rPr>
          <w:t>CCPR/C/</w:t>
        </w:r>
        <w:r w:rsidR="0023695B" w:rsidRPr="00B608F9">
          <w:rPr>
            <w:rStyle w:val="Hyperlink"/>
            <w:lang w:val="es-ES"/>
          </w:rPr>
          <w:t>116</w:t>
        </w:r>
        <w:r w:rsidR="0023695B" w:rsidRPr="00555297">
          <w:rPr>
            <w:rStyle w:val="Hyperlink"/>
            <w:lang w:val="es-ES"/>
          </w:rPr>
          <w:t>/D/</w:t>
        </w:r>
        <w:r w:rsidR="0023695B" w:rsidRPr="00B608F9">
          <w:rPr>
            <w:rStyle w:val="Hyperlink"/>
            <w:lang w:val="es-ES"/>
          </w:rPr>
          <w:t>2092</w:t>
        </w:r>
        <w:r w:rsidR="0023695B" w:rsidRPr="00555297">
          <w:rPr>
            <w:rStyle w:val="Hyperlink"/>
            <w:lang w:val="es-ES"/>
          </w:rPr>
          <w:t>/</w:t>
        </w:r>
        <w:r w:rsidR="0023695B" w:rsidRPr="00B608F9">
          <w:rPr>
            <w:rStyle w:val="Hyperlink"/>
            <w:lang w:val="es-ES"/>
          </w:rPr>
          <w:t>2011</w:t>
        </w:r>
      </w:hyperlink>
      <w:r w:rsidR="0067111A" w:rsidRPr="0067111A">
        <w:rPr>
          <w:rtl/>
        </w:rPr>
        <w:t xml:space="preserve">)، الفقرة </w:t>
      </w:r>
      <w:r w:rsidR="0067111A" w:rsidRPr="00B608F9">
        <w:rPr>
          <w:rtl/>
        </w:rPr>
        <w:t>7</w:t>
      </w:r>
      <w:r w:rsidR="0067111A" w:rsidRPr="0067111A">
        <w:rPr>
          <w:rtl/>
        </w:rPr>
        <w:t>-</w:t>
      </w:r>
      <w:r w:rsidR="0067111A" w:rsidRPr="00B608F9">
        <w:rPr>
          <w:rtl/>
        </w:rPr>
        <w:t>3</w:t>
      </w:r>
      <w:r w:rsidR="0067111A" w:rsidRPr="0067111A">
        <w:rPr>
          <w:rtl/>
        </w:rPr>
        <w:t>.</w:t>
      </w:r>
    </w:p>
  </w:footnote>
  <w:footnote w:id="15">
    <w:p w14:paraId="71506150" w14:textId="0A2B41C9" w:rsidR="006E2B18" w:rsidRPr="006E2B18" w:rsidRDefault="006E2B18" w:rsidP="006E2B18">
      <w:pPr>
        <w:pStyle w:val="FootnoteText1"/>
        <w:rPr>
          <w:rtl/>
        </w:rPr>
      </w:pPr>
      <w:r w:rsidRPr="006E2B18">
        <w:rPr>
          <w:rtl/>
        </w:rPr>
        <w:t>(</w:t>
      </w:r>
      <w:r w:rsidRPr="00B608F9">
        <w:rPr>
          <w:rStyle w:val="FootnoteReference"/>
          <w:vertAlign w:val="baseline"/>
        </w:rPr>
        <w:footnoteRef/>
      </w:r>
      <w:r w:rsidRPr="006E2B18">
        <w:rPr>
          <w:rtl/>
        </w:rPr>
        <w:t>)</w:t>
      </w:r>
      <w:r>
        <w:rPr>
          <w:rtl/>
        </w:rPr>
        <w:tab/>
      </w:r>
      <w:r w:rsidR="0067111A" w:rsidRPr="0067111A">
        <w:rPr>
          <w:rtl/>
        </w:rPr>
        <w:t xml:space="preserve">التعليق العام رقم </w:t>
      </w:r>
      <w:r w:rsidR="0067111A" w:rsidRPr="00B608F9">
        <w:rPr>
          <w:rtl/>
        </w:rPr>
        <w:t>34</w:t>
      </w:r>
      <w:r w:rsidR="0067111A" w:rsidRPr="0067111A">
        <w:rPr>
          <w:rtl/>
        </w:rPr>
        <w:t>(</w:t>
      </w:r>
      <w:r w:rsidR="0067111A" w:rsidRPr="00B608F9">
        <w:rPr>
          <w:rtl/>
        </w:rPr>
        <w:t>2011</w:t>
      </w:r>
      <w:r w:rsidR="0067111A" w:rsidRPr="0067111A">
        <w:rPr>
          <w:rtl/>
        </w:rPr>
        <w:t xml:space="preserve">)، الفقرة </w:t>
      </w:r>
      <w:r w:rsidR="0067111A" w:rsidRPr="00B608F9">
        <w:rPr>
          <w:rtl/>
        </w:rPr>
        <w:t>22</w:t>
      </w:r>
      <w:r w:rsidR="0067111A" w:rsidRPr="0067111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7E9C" w14:textId="28EF5938" w:rsidR="00464EE8" w:rsidRPr="00464EE8" w:rsidRDefault="00464EE8" w:rsidP="00464EE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CCPR/C/132/D/2865/2016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4D9A" w14:textId="75B8F48A" w:rsidR="00464EE8" w:rsidRPr="00464EE8" w:rsidRDefault="00464EE8" w:rsidP="00464EE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CCPR/C/132/D/2865/2016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F0"/>
    <w:rsid w:val="000076D5"/>
    <w:rsid w:val="00043663"/>
    <w:rsid w:val="000437B8"/>
    <w:rsid w:val="000505CF"/>
    <w:rsid w:val="000D701C"/>
    <w:rsid w:val="000E2A71"/>
    <w:rsid w:val="00145577"/>
    <w:rsid w:val="00160263"/>
    <w:rsid w:val="001659B6"/>
    <w:rsid w:val="00181F96"/>
    <w:rsid w:val="001872B1"/>
    <w:rsid w:val="001A1371"/>
    <w:rsid w:val="001B043F"/>
    <w:rsid w:val="001B346A"/>
    <w:rsid w:val="001E1CAD"/>
    <w:rsid w:val="001E290D"/>
    <w:rsid w:val="002144FA"/>
    <w:rsid w:val="0023469A"/>
    <w:rsid w:val="0023695B"/>
    <w:rsid w:val="00243C8A"/>
    <w:rsid w:val="00256943"/>
    <w:rsid w:val="00267A0E"/>
    <w:rsid w:val="002901D9"/>
    <w:rsid w:val="002976C2"/>
    <w:rsid w:val="00300562"/>
    <w:rsid w:val="003021F0"/>
    <w:rsid w:val="003068BC"/>
    <w:rsid w:val="003260FF"/>
    <w:rsid w:val="00343D95"/>
    <w:rsid w:val="00363A18"/>
    <w:rsid w:val="00374341"/>
    <w:rsid w:val="003D1062"/>
    <w:rsid w:val="00402051"/>
    <w:rsid w:val="00420D7B"/>
    <w:rsid w:val="00450B21"/>
    <w:rsid w:val="00453B63"/>
    <w:rsid w:val="00455780"/>
    <w:rsid w:val="0046323F"/>
    <w:rsid w:val="00464EE8"/>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45FDF"/>
    <w:rsid w:val="00652221"/>
    <w:rsid w:val="00656392"/>
    <w:rsid w:val="006645EC"/>
    <w:rsid w:val="0067111A"/>
    <w:rsid w:val="00673F74"/>
    <w:rsid w:val="0068781D"/>
    <w:rsid w:val="006959B0"/>
    <w:rsid w:val="006B3E27"/>
    <w:rsid w:val="006B6507"/>
    <w:rsid w:val="006C104C"/>
    <w:rsid w:val="006C632E"/>
    <w:rsid w:val="006E2B18"/>
    <w:rsid w:val="006E79A3"/>
    <w:rsid w:val="00717FB3"/>
    <w:rsid w:val="00730446"/>
    <w:rsid w:val="00733704"/>
    <w:rsid w:val="0078071A"/>
    <w:rsid w:val="00787022"/>
    <w:rsid w:val="00787E1E"/>
    <w:rsid w:val="00852A9A"/>
    <w:rsid w:val="008A49D2"/>
    <w:rsid w:val="008C58B8"/>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54A9D"/>
    <w:rsid w:val="00A97E1F"/>
    <w:rsid w:val="00AB512E"/>
    <w:rsid w:val="00AB6758"/>
    <w:rsid w:val="00AB727F"/>
    <w:rsid w:val="00B13763"/>
    <w:rsid w:val="00B423DE"/>
    <w:rsid w:val="00B477A4"/>
    <w:rsid w:val="00B54045"/>
    <w:rsid w:val="00B608F9"/>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CFE123"/>
  <w15:docId w15:val="{3EB641D3-D5D9-424E-AC25-8D2732FC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CPR/C/116/D/2092/2011" TargetMode="External"/><Relationship Id="rId3" Type="http://schemas.openxmlformats.org/officeDocument/2006/relationships/hyperlink" Target="http://undocs.org/ar/CCPR/C/115/D/2016/2010" TargetMode="External"/><Relationship Id="rId7" Type="http://schemas.openxmlformats.org/officeDocument/2006/relationships/hyperlink" Target="http://undocs.org/ar/CCPR/C/115/D/2019/2010" TargetMode="External"/><Relationship Id="rId2" Type="http://schemas.openxmlformats.org/officeDocument/2006/relationships/hyperlink" Target="http://undocs.org/ar/CCPR/C/112/D/1929/2010" TargetMode="External"/><Relationship Id="rId1" Type="http://schemas.openxmlformats.org/officeDocument/2006/relationships/hyperlink" Target="http://undocs.org/ar/CCPR/C/109/D/1873/2009" TargetMode="External"/><Relationship Id="rId6" Type="http://schemas.openxmlformats.org/officeDocument/2006/relationships/hyperlink" Target="http://undocs.org/ar/CCPR/C/105/D/1784/2008" TargetMode="External"/><Relationship Id="rId5" Type="http://schemas.openxmlformats.org/officeDocument/2006/relationships/hyperlink" Target="http://undocs.org/ar/CCPR/C/109/D/1851/2008" TargetMode="External"/><Relationship Id="rId4" Type="http://schemas.openxmlformats.org/officeDocument/2006/relationships/hyperlink" Target="http://undocs.org/ar/CCPR/C/77/D/836/1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14797</Characters>
  <Application>Microsoft Office Word</Application>
  <DocSecurity>0</DocSecurity>
  <Lines>1644</Lines>
  <Paragraphs>1041</Paragraphs>
  <ScaleCrop>false</ScaleCrop>
  <HeadingPairs>
    <vt:vector size="2" baseType="variant">
      <vt:variant>
        <vt:lpstr>Title</vt:lpstr>
      </vt:variant>
      <vt:variant>
        <vt:i4>1</vt:i4>
      </vt:variant>
    </vt:vector>
  </HeadingPairs>
  <TitlesOfParts>
    <vt:vector size="1" baseType="lpstr">
      <vt:lpstr>CCPR/C/132/D/2865/2016</vt:lpstr>
    </vt:vector>
  </TitlesOfParts>
  <Company>DCM</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CCPR/C/132/D/2865/2016</dc:title>
  <dc:subject>GE.2203025(A)</dc:subject>
  <dc:creator>Gamal MAHMOUD - JFAD75</dc:creator>
  <cp:keywords>GE.2226995(A)</cp:keywords>
  <dc:description>Distr.: General_x000d_
2 March 2022_x000d_
Original: English</dc:description>
  <cp:lastModifiedBy>Gamal Mohamed Abdelhamid Mahmoud</cp:lastModifiedBy>
  <cp:revision>2</cp:revision>
  <dcterms:created xsi:type="dcterms:W3CDTF">2022-04-25T13:15:00Z</dcterms:created>
  <dcterms:modified xsi:type="dcterms:W3CDTF">2022-04-25T13:15:00Z</dcterms:modified>
  <cp:category>Finale</cp:category>
</cp:coreProperties>
</file>