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1DF1FD5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DB34D8" w14:textId="77777777" w:rsidR="002D5AAC" w:rsidRDefault="002D5AAC" w:rsidP="00D717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E871171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EB5071F" w14:textId="2BB26CFF" w:rsidR="002D5AAC" w:rsidRDefault="00D71714" w:rsidP="00D71714">
            <w:pPr>
              <w:jc w:val="right"/>
            </w:pPr>
            <w:r w:rsidRPr="00D71714">
              <w:rPr>
                <w:sz w:val="40"/>
              </w:rPr>
              <w:t>CCPR</w:t>
            </w:r>
            <w:r>
              <w:t>/C/132/D/2865/2016</w:t>
            </w:r>
          </w:p>
        </w:tc>
      </w:tr>
      <w:tr w:rsidR="002D5AAC" w:rsidRPr="0096513E" w14:paraId="36EFFD15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D4F39D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60A55B" wp14:editId="6AB48BA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92A194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3626305" w14:textId="77777777" w:rsidR="002D5AAC" w:rsidRPr="0096513E" w:rsidRDefault="00D71714" w:rsidP="00BC3629">
            <w:pPr>
              <w:spacing w:before="240"/>
              <w:rPr>
                <w:lang w:val="en-US"/>
              </w:rPr>
            </w:pPr>
            <w:r w:rsidRPr="0096513E">
              <w:rPr>
                <w:lang w:val="en-US"/>
              </w:rPr>
              <w:t>Distr.: General</w:t>
            </w:r>
          </w:p>
          <w:p w14:paraId="772CEA19" w14:textId="77777777" w:rsidR="00D71714" w:rsidRPr="0096513E" w:rsidRDefault="00D71714" w:rsidP="00D71714">
            <w:pPr>
              <w:spacing w:line="240" w:lineRule="exact"/>
              <w:rPr>
                <w:lang w:val="en-US"/>
              </w:rPr>
            </w:pPr>
            <w:r w:rsidRPr="0096513E">
              <w:rPr>
                <w:lang w:val="en-US"/>
              </w:rPr>
              <w:t>2 March 2022</w:t>
            </w:r>
          </w:p>
          <w:p w14:paraId="64CA4D98" w14:textId="77777777" w:rsidR="00D71714" w:rsidRPr="0096513E" w:rsidRDefault="00D71714" w:rsidP="00D71714">
            <w:pPr>
              <w:spacing w:line="240" w:lineRule="exact"/>
              <w:rPr>
                <w:lang w:val="en-US"/>
              </w:rPr>
            </w:pPr>
            <w:r w:rsidRPr="0096513E">
              <w:rPr>
                <w:lang w:val="en-US"/>
              </w:rPr>
              <w:t>Russian</w:t>
            </w:r>
          </w:p>
          <w:p w14:paraId="374D98E9" w14:textId="31A74259" w:rsidR="00D71714" w:rsidRPr="0096513E" w:rsidRDefault="00D71714" w:rsidP="00D71714">
            <w:pPr>
              <w:spacing w:line="240" w:lineRule="exact"/>
              <w:rPr>
                <w:lang w:val="en-US"/>
              </w:rPr>
            </w:pPr>
            <w:r w:rsidRPr="0096513E">
              <w:rPr>
                <w:lang w:val="en-US"/>
              </w:rPr>
              <w:t>Original: English</w:t>
            </w:r>
          </w:p>
        </w:tc>
      </w:tr>
    </w:tbl>
    <w:p w14:paraId="20118614" w14:textId="77777777" w:rsidR="00D71714" w:rsidRPr="000E1058" w:rsidRDefault="00D71714" w:rsidP="00D71714">
      <w:pPr>
        <w:spacing w:before="120"/>
        <w:rPr>
          <w:b/>
          <w:bCs/>
          <w:sz w:val="24"/>
          <w:szCs w:val="24"/>
        </w:rPr>
      </w:pPr>
      <w:r w:rsidRPr="000E1058">
        <w:rPr>
          <w:b/>
          <w:bCs/>
          <w:sz w:val="24"/>
          <w:szCs w:val="24"/>
        </w:rPr>
        <w:t>Комитет по правам человека</w:t>
      </w:r>
    </w:p>
    <w:p w14:paraId="5B5172CC" w14:textId="70CCE87A" w:rsidR="00D71714" w:rsidRPr="00BD7B2A" w:rsidRDefault="00D71714" w:rsidP="00D71714">
      <w:pPr>
        <w:pStyle w:val="HChG"/>
      </w:pPr>
      <w:r>
        <w:tab/>
      </w:r>
      <w:r>
        <w:tab/>
      </w:r>
      <w:r>
        <w:rPr>
          <w:bCs/>
        </w:rPr>
        <w:t>Соображения, принятые Комитетом в соответствии с</w:t>
      </w:r>
      <w:r w:rsidR="000E1058">
        <w:rPr>
          <w:bCs/>
          <w:lang w:val="en-US"/>
        </w:rPr>
        <w:t> </w:t>
      </w:r>
      <w:r>
        <w:rPr>
          <w:bCs/>
        </w:rPr>
        <w:t>пунктом 4 статьи 5 Факультативного протокола относительно сообщения № 2865/2016</w:t>
      </w:r>
      <w:r w:rsidRPr="00E02E47">
        <w:rPr>
          <w:rStyle w:val="aa"/>
          <w:b w:val="0"/>
          <w:bCs/>
          <w:sz w:val="20"/>
        </w:rPr>
        <w:footnoteReference w:customMarkFollows="1" w:id="1"/>
        <w:t>*</w:t>
      </w:r>
      <w:r w:rsidR="00970322" w:rsidRPr="00970322">
        <w:rPr>
          <w:b w:val="0"/>
          <w:bCs/>
          <w:sz w:val="20"/>
          <w:vertAlign w:val="superscript"/>
        </w:rPr>
        <w:t xml:space="preserve"> </w:t>
      </w:r>
      <w:r w:rsidRPr="00E02E47">
        <w:rPr>
          <w:rStyle w:val="aa"/>
          <w:b w:val="0"/>
          <w:bCs/>
          <w:sz w:val="20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D71714" w:rsidRPr="00B03EE9" w14:paraId="15ED74EB" w14:textId="77777777" w:rsidTr="0037374D">
        <w:tc>
          <w:tcPr>
            <w:tcW w:w="2933" w:type="dxa"/>
            <w:shd w:val="clear" w:color="auto" w:fill="auto"/>
          </w:tcPr>
          <w:p w14:paraId="2195674E" w14:textId="4E0C0A39" w:rsidR="00D71714" w:rsidRPr="00B03EE9" w:rsidRDefault="00D71714" w:rsidP="0037374D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Сообщение представлено</w:t>
            </w:r>
            <w:r>
              <w:t>:</w:t>
            </w:r>
          </w:p>
        </w:tc>
        <w:tc>
          <w:tcPr>
            <w:tcW w:w="3871" w:type="dxa"/>
            <w:shd w:val="clear" w:color="auto" w:fill="auto"/>
          </w:tcPr>
          <w:p w14:paraId="7BA8CDD6" w14:textId="23146B84" w:rsidR="00D71714" w:rsidRPr="00B03EE9" w:rsidRDefault="00D71714" w:rsidP="0037374D">
            <w:pPr>
              <w:spacing w:after="120"/>
            </w:pPr>
            <w:r>
              <w:t xml:space="preserve">Светланой Завадской и др. (представлены адвокатом Романом </w:t>
            </w:r>
            <w:proofErr w:type="spellStart"/>
            <w:r>
              <w:t>Кисляком</w:t>
            </w:r>
            <w:proofErr w:type="spellEnd"/>
            <w:r>
              <w:t>)</w:t>
            </w:r>
          </w:p>
        </w:tc>
      </w:tr>
      <w:tr w:rsidR="00D71714" w14:paraId="5A76509A" w14:textId="77777777" w:rsidTr="0037374D">
        <w:tc>
          <w:tcPr>
            <w:tcW w:w="2933" w:type="dxa"/>
            <w:shd w:val="clear" w:color="auto" w:fill="auto"/>
          </w:tcPr>
          <w:p w14:paraId="51AB1DAF" w14:textId="75727E64" w:rsidR="00D71714" w:rsidRPr="00B03EE9" w:rsidRDefault="00D71714" w:rsidP="0037374D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Предполагаемые жертвы</w:t>
            </w:r>
            <w:r>
              <w:t>:</w:t>
            </w:r>
          </w:p>
        </w:tc>
        <w:tc>
          <w:tcPr>
            <w:tcW w:w="3871" w:type="dxa"/>
            <w:shd w:val="clear" w:color="auto" w:fill="auto"/>
          </w:tcPr>
          <w:p w14:paraId="2C9E92E6" w14:textId="2522754A" w:rsidR="00D71714" w:rsidRDefault="00D71714" w:rsidP="0037374D">
            <w:pPr>
              <w:spacing w:after="120"/>
            </w:pPr>
            <w:r>
              <w:t>авторы сообщения</w:t>
            </w:r>
          </w:p>
        </w:tc>
      </w:tr>
      <w:tr w:rsidR="00D71714" w14:paraId="4735CF60" w14:textId="77777777" w:rsidTr="0037374D">
        <w:tc>
          <w:tcPr>
            <w:tcW w:w="2933" w:type="dxa"/>
            <w:shd w:val="clear" w:color="auto" w:fill="auto"/>
          </w:tcPr>
          <w:p w14:paraId="07FF15FD" w14:textId="77777777" w:rsidR="00D71714" w:rsidRPr="00B03EE9" w:rsidRDefault="00D71714" w:rsidP="0037374D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14:paraId="5FFB4FEB" w14:textId="0EB80612" w:rsidR="00D71714" w:rsidRDefault="00D71714" w:rsidP="0037374D">
            <w:pPr>
              <w:spacing w:after="120"/>
            </w:pPr>
            <w:r>
              <w:t>Беларусь</w:t>
            </w:r>
          </w:p>
        </w:tc>
      </w:tr>
      <w:tr w:rsidR="00D71714" w14:paraId="6770EF04" w14:textId="77777777" w:rsidTr="0037374D">
        <w:tc>
          <w:tcPr>
            <w:tcW w:w="2933" w:type="dxa"/>
            <w:shd w:val="clear" w:color="auto" w:fill="auto"/>
          </w:tcPr>
          <w:p w14:paraId="76616A04" w14:textId="77777777" w:rsidR="00D71714" w:rsidRPr="00B03EE9" w:rsidRDefault="00D71714" w:rsidP="0037374D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14:paraId="122D1AFC" w14:textId="64497BA3" w:rsidR="00D71714" w:rsidRPr="002A4F6C" w:rsidRDefault="00D71714" w:rsidP="0037374D">
            <w:pPr>
              <w:spacing w:after="120"/>
            </w:pPr>
            <w:r>
              <w:t>21 января 2014 года (первоначальное представление)</w:t>
            </w:r>
          </w:p>
        </w:tc>
      </w:tr>
      <w:tr w:rsidR="00D71714" w14:paraId="71398903" w14:textId="77777777" w:rsidTr="0037374D">
        <w:tc>
          <w:tcPr>
            <w:tcW w:w="2933" w:type="dxa"/>
            <w:shd w:val="clear" w:color="auto" w:fill="auto"/>
          </w:tcPr>
          <w:p w14:paraId="728E5281" w14:textId="77777777" w:rsidR="00D71714" w:rsidRPr="00B03EE9" w:rsidRDefault="00D71714" w:rsidP="0037374D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  <w:shd w:val="clear" w:color="auto" w:fill="auto"/>
          </w:tcPr>
          <w:p w14:paraId="590007D6" w14:textId="3423D290" w:rsidR="00D71714" w:rsidRDefault="00D71714" w:rsidP="0037374D">
            <w:pPr>
              <w:spacing w:after="120"/>
            </w:pPr>
            <w:r>
              <w:t>решение, принятое в соответствии с правилом 92 правил процедуры Комитета, препровожденное государству-участнику 23</w:t>
            </w:r>
            <w:r w:rsidR="000E1058">
              <w:rPr>
                <w:lang w:val="en-US"/>
              </w:rPr>
              <w:t> </w:t>
            </w:r>
            <w:r>
              <w:t>ноября 2016 года (в виде документа не</w:t>
            </w:r>
            <w:r w:rsidR="000E1058">
              <w:rPr>
                <w:lang w:val="en-US"/>
              </w:rPr>
              <w:t> </w:t>
            </w:r>
            <w:r>
              <w:t>издавалось)</w:t>
            </w:r>
          </w:p>
        </w:tc>
      </w:tr>
      <w:tr w:rsidR="00D71714" w14:paraId="55150664" w14:textId="77777777" w:rsidTr="0037374D">
        <w:tc>
          <w:tcPr>
            <w:tcW w:w="2933" w:type="dxa"/>
            <w:shd w:val="clear" w:color="auto" w:fill="auto"/>
          </w:tcPr>
          <w:p w14:paraId="474A23FD" w14:textId="77777777" w:rsidR="00D71714" w:rsidRPr="00B03EE9" w:rsidRDefault="00D71714" w:rsidP="0037374D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proofErr w:type="spellStart"/>
            <w:r w:rsidRPr="00B03EE9">
              <w:rPr>
                <w:i/>
              </w:rPr>
              <w:t>Cоображений</w:t>
            </w:r>
            <w:proofErr w:type="spellEnd"/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  <w:vAlign w:val="bottom"/>
          </w:tcPr>
          <w:p w14:paraId="025369F8" w14:textId="38689661" w:rsidR="00D71714" w:rsidRDefault="00D71714" w:rsidP="0037374D">
            <w:pPr>
              <w:spacing w:after="120"/>
            </w:pPr>
            <w:r>
              <w:t>23 июля 2021 года</w:t>
            </w:r>
          </w:p>
        </w:tc>
      </w:tr>
      <w:tr w:rsidR="00D71714" w14:paraId="0B94CB18" w14:textId="77777777" w:rsidTr="0037374D">
        <w:tc>
          <w:tcPr>
            <w:tcW w:w="2933" w:type="dxa"/>
            <w:shd w:val="clear" w:color="auto" w:fill="auto"/>
          </w:tcPr>
          <w:p w14:paraId="22A3061F" w14:textId="77777777" w:rsidR="00D71714" w:rsidRPr="00B03EE9" w:rsidRDefault="00D71714" w:rsidP="0037374D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14:paraId="632E8AEE" w14:textId="60EECB53" w:rsidR="00D71714" w:rsidRDefault="00D71714" w:rsidP="0037374D">
            <w:pPr>
              <w:spacing w:after="120"/>
            </w:pPr>
            <w:r>
              <w:t>отказ властей в выдаче разрешения на проведение собраний; свободное выражение мнений</w:t>
            </w:r>
          </w:p>
        </w:tc>
      </w:tr>
      <w:tr w:rsidR="00D71714" w14:paraId="32D576AA" w14:textId="77777777" w:rsidTr="0037374D">
        <w:tc>
          <w:tcPr>
            <w:tcW w:w="2933" w:type="dxa"/>
            <w:shd w:val="clear" w:color="auto" w:fill="auto"/>
          </w:tcPr>
          <w:p w14:paraId="66400A25" w14:textId="601CDD9B" w:rsidR="00D71714" w:rsidRPr="00B03EE9" w:rsidRDefault="00D71714" w:rsidP="0037374D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Процедурный вопрос</w:t>
            </w:r>
            <w:r>
              <w:t>:</w:t>
            </w:r>
          </w:p>
        </w:tc>
        <w:tc>
          <w:tcPr>
            <w:tcW w:w="3871" w:type="dxa"/>
            <w:shd w:val="clear" w:color="auto" w:fill="auto"/>
          </w:tcPr>
          <w:p w14:paraId="41D210A6" w14:textId="54055949" w:rsidR="00D71714" w:rsidRDefault="00D71714" w:rsidP="0037374D">
            <w:pPr>
              <w:spacing w:after="120"/>
            </w:pPr>
            <w:r>
              <w:t>исчерпание внутренних средств правовой защиты</w:t>
            </w:r>
          </w:p>
        </w:tc>
      </w:tr>
      <w:tr w:rsidR="00D71714" w14:paraId="6743619A" w14:textId="77777777" w:rsidTr="0037374D">
        <w:tc>
          <w:tcPr>
            <w:tcW w:w="2933" w:type="dxa"/>
            <w:shd w:val="clear" w:color="auto" w:fill="auto"/>
          </w:tcPr>
          <w:p w14:paraId="423620BD" w14:textId="77777777" w:rsidR="00D71714" w:rsidRPr="00B03EE9" w:rsidRDefault="00D71714" w:rsidP="0037374D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14:paraId="3192C95A" w14:textId="4EA55ABA" w:rsidR="00D71714" w:rsidRDefault="00D71714" w:rsidP="0037374D">
            <w:pPr>
              <w:spacing w:after="120"/>
            </w:pPr>
            <w:r>
              <w:t>свобода собраний; свободное выражение мнений; справедливое судебное разбирательство; эффективное средство правовой защиты</w:t>
            </w:r>
          </w:p>
        </w:tc>
      </w:tr>
      <w:tr w:rsidR="00D71714" w14:paraId="63116DB3" w14:textId="77777777" w:rsidTr="0037374D">
        <w:tc>
          <w:tcPr>
            <w:tcW w:w="2933" w:type="dxa"/>
            <w:shd w:val="clear" w:color="auto" w:fill="auto"/>
          </w:tcPr>
          <w:p w14:paraId="1F043DF8" w14:textId="77777777" w:rsidR="00D71714" w:rsidRPr="00B03EE9" w:rsidRDefault="00D71714" w:rsidP="0037374D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14:paraId="00CA1197" w14:textId="07EE27F7" w:rsidR="00D71714" w:rsidRDefault="00D71714" w:rsidP="0037374D">
            <w:pPr>
              <w:spacing w:after="120"/>
            </w:pPr>
            <w:r>
              <w:t>статья 2, пункт 1 статьи 14, пункт 2 статьи</w:t>
            </w:r>
            <w:r w:rsidR="00970322">
              <w:rPr>
                <w:lang w:val="en-US"/>
              </w:rPr>
              <w:t> </w:t>
            </w:r>
            <w:r>
              <w:t>19 и статья 21</w:t>
            </w:r>
          </w:p>
        </w:tc>
      </w:tr>
      <w:tr w:rsidR="00D71714" w14:paraId="293BE15A" w14:textId="77777777" w:rsidTr="0037374D">
        <w:tc>
          <w:tcPr>
            <w:tcW w:w="2933" w:type="dxa"/>
            <w:shd w:val="clear" w:color="auto" w:fill="auto"/>
          </w:tcPr>
          <w:p w14:paraId="2EAA4D70" w14:textId="77777777" w:rsidR="00D71714" w:rsidRPr="00B03EE9" w:rsidRDefault="00D71714" w:rsidP="0037374D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14:paraId="566985B9" w14:textId="201FD669" w:rsidR="00D71714" w:rsidRDefault="00D71714" w:rsidP="0037374D">
            <w:pPr>
              <w:spacing w:after="120"/>
            </w:pPr>
            <w:r>
              <w:t>статьи 2, 3 и пункт 2 b) статьи 5</w:t>
            </w:r>
          </w:p>
        </w:tc>
      </w:tr>
    </w:tbl>
    <w:p w14:paraId="44B72434" w14:textId="1E1A243F" w:rsidR="00D71714" w:rsidRPr="00BD7B2A" w:rsidRDefault="00D71714" w:rsidP="000E1058">
      <w:pPr>
        <w:pStyle w:val="SingleTxtG"/>
        <w:keepNext/>
        <w:keepLines/>
      </w:pPr>
      <w:r>
        <w:lastRenderedPageBreak/>
        <w:t>1.</w:t>
      </w:r>
      <w:r>
        <w:tab/>
        <w:t xml:space="preserve">Авторами сообщения являются Светлана Завадская, Сергей </w:t>
      </w:r>
      <w:proofErr w:type="spellStart"/>
      <w:r>
        <w:t>Бахун</w:t>
      </w:r>
      <w:proofErr w:type="spellEnd"/>
      <w:r>
        <w:t xml:space="preserve">, Ольга Завадская, Валерия Красовская, Валентина Малышева, Тамара </w:t>
      </w:r>
      <w:proofErr w:type="spellStart"/>
      <w:r>
        <w:t>Бахун</w:t>
      </w:r>
      <w:proofErr w:type="spellEnd"/>
      <w:r>
        <w:t xml:space="preserve">, Марина </w:t>
      </w:r>
      <w:proofErr w:type="spellStart"/>
      <w:r>
        <w:t>Коктыш</w:t>
      </w:r>
      <w:proofErr w:type="spellEnd"/>
      <w:r>
        <w:t xml:space="preserve"> и Роман </w:t>
      </w:r>
      <w:proofErr w:type="spellStart"/>
      <w:r>
        <w:t>Кисляк</w:t>
      </w:r>
      <w:proofErr w:type="spellEnd"/>
      <w:r>
        <w:t xml:space="preserve"> </w:t>
      </w:r>
      <w:r w:rsidR="0064231E" w:rsidRPr="0064231E">
        <w:t>—</w:t>
      </w:r>
      <w:r>
        <w:t xml:space="preserve"> граждане Беларуси 1973, 1976, 1947, 1982, 1942, 1949, 1977 и 1975 годов рождения соответственно. Они утверждают, что государство-участник нарушило их права по пункту 1 статьи 14, пункту 2 статьи 19 и статье 21, рассматриваемым в совокупности со статьей 2 Пакта. Факультативный протокол вступил в силу для Беларуси 30 декабря 1992</w:t>
      </w:r>
      <w:r w:rsidR="0064231E" w:rsidRPr="0096513E">
        <w:t xml:space="preserve"> </w:t>
      </w:r>
      <w:r>
        <w:t>года. Авторы представлены адвокатом.</w:t>
      </w:r>
    </w:p>
    <w:p w14:paraId="40F4B07D" w14:textId="77777777" w:rsidR="00D71714" w:rsidRPr="00BD7B2A" w:rsidRDefault="00D71714" w:rsidP="00D71714">
      <w:pPr>
        <w:pStyle w:val="H23G"/>
      </w:pPr>
      <w:r>
        <w:tab/>
      </w:r>
      <w:r>
        <w:tab/>
      </w:r>
      <w:r>
        <w:rPr>
          <w:bCs/>
        </w:rPr>
        <w:t>Факты в изложении авторов</w:t>
      </w:r>
    </w:p>
    <w:p w14:paraId="06237DD6" w14:textId="77777777" w:rsidR="00D71714" w:rsidRPr="00BD7B2A" w:rsidRDefault="00D71714" w:rsidP="00D71714">
      <w:pPr>
        <w:pStyle w:val="SingleTxtG"/>
      </w:pPr>
      <w:r>
        <w:t>2.1</w:t>
      </w:r>
      <w:r>
        <w:tab/>
        <w:t>Авторы утверждают, что городские власти Минска дважды отказывали им в разрешении на проведение пикетов, тем самым нарушая их права на свободу мирных собраний и на свободное выражение мнений.</w:t>
      </w:r>
    </w:p>
    <w:p w14:paraId="1A9F26BA" w14:textId="304B176E" w:rsidR="00D71714" w:rsidRPr="00BD7B2A" w:rsidRDefault="00D71714" w:rsidP="00D71714">
      <w:pPr>
        <w:pStyle w:val="SingleTxtG"/>
      </w:pPr>
      <w:r>
        <w:t>2.2</w:t>
      </w:r>
      <w:r>
        <w:tab/>
        <w:t>Первая попытка была предпринята 21 апреля 2008</w:t>
      </w:r>
      <w:r w:rsidR="00F26022" w:rsidRPr="00F26022">
        <w:t xml:space="preserve"> </w:t>
      </w:r>
      <w:r>
        <w:t>года, когда авторы обратились в Минский городской исполнительный комитет с просьбой дать им разрешение на проведение 7 мая 2008</w:t>
      </w:r>
      <w:r w:rsidR="00F26022" w:rsidRPr="00F26022">
        <w:t xml:space="preserve"> </w:t>
      </w:r>
      <w:r>
        <w:t>года пикета по случаю годовщины исчезновения бывшего министра внутренних дел Юрия Захаренко. Мирный пикет с участием около 100 человек должен был состояться на Октябрьской площади Минска с 18 ч 00 мин до 20 ч 00 мин. Целью мероприятия было привлечь внимание общественности к исчезновениям некоторых лиц в Беларуси, а также настоятельно призвать власти провести эффективное расследование этих исчезновений и ратифицировать Международную конвенцию для защиты всех лиц от насильственных исчезновений.</w:t>
      </w:r>
    </w:p>
    <w:p w14:paraId="669D78F2" w14:textId="4F95E5DB" w:rsidR="00D71714" w:rsidRPr="00BD7B2A" w:rsidRDefault="00D71714" w:rsidP="00D71714">
      <w:pPr>
        <w:pStyle w:val="SingleTxtG"/>
      </w:pPr>
      <w:r>
        <w:t>2.3</w:t>
      </w:r>
      <w:r>
        <w:tab/>
        <w:t>28 апреля 2008</w:t>
      </w:r>
      <w:r w:rsidR="00F26022" w:rsidRPr="00F26022">
        <w:t xml:space="preserve"> </w:t>
      </w:r>
      <w:r>
        <w:t>года на основании пункта 3 статьи 9 закона «О массовых мероприятиях в Республике Беларусь» Минский горисполком отказал в выдаче разрешения на проведение пикета, мотивируя это тем, что место проведения предполагаемого мероприятия находится менее чем в 200 метрах от подземных пешеходных переходов и станций метрополитена.</w:t>
      </w:r>
    </w:p>
    <w:p w14:paraId="4235D1C7" w14:textId="77777777" w:rsidR="00D71714" w:rsidRPr="00BD7B2A" w:rsidRDefault="00D71714" w:rsidP="00D71714">
      <w:pPr>
        <w:pStyle w:val="SingleTxtG"/>
      </w:pPr>
      <w:r>
        <w:t>2.4</w:t>
      </w:r>
      <w:r>
        <w:tab/>
        <w:t xml:space="preserve">26 мая 2008 года авторы обжаловали решение Минского горисполкома в суд Московского района города Минска, заявив о нарушении права на свободу мирных собраний, гарантированного статьей 21 Пакта. </w:t>
      </w:r>
    </w:p>
    <w:p w14:paraId="25BD8E6B" w14:textId="5AE40739" w:rsidR="00D71714" w:rsidRPr="00BD7B2A" w:rsidRDefault="00D71714" w:rsidP="00D71714">
      <w:pPr>
        <w:pStyle w:val="SingleTxtG"/>
      </w:pPr>
      <w:r>
        <w:t>2.5</w:t>
      </w:r>
      <w:r>
        <w:tab/>
        <w:t>20 июня 2008</w:t>
      </w:r>
      <w:r w:rsidR="00502124" w:rsidRPr="00502124">
        <w:t xml:space="preserve"> </w:t>
      </w:r>
      <w:r>
        <w:t xml:space="preserve">года суд Московского района счел, что решение Минского горисполкома соответствует положениям закона «О массовых мероприятиях в Республике Беларусь», и отклонил апелляцию. </w:t>
      </w:r>
    </w:p>
    <w:p w14:paraId="740D7184" w14:textId="77777777" w:rsidR="00D71714" w:rsidRPr="00BD7B2A" w:rsidRDefault="00D71714" w:rsidP="00D71714">
      <w:pPr>
        <w:pStyle w:val="SingleTxtG"/>
      </w:pPr>
      <w:r>
        <w:t>2.6</w:t>
      </w:r>
      <w:r>
        <w:tab/>
        <w:t>Авторы подали кассационную жалобу на решение суда Московского района в Судебную коллегию по гражданским делам Минского городского суда, утверждая, что решение суда Московского района является незаконным, необоснованным и нарушает их гражданские права. Они заявили также, что им было отказано в праве на справедливое разбирательство, поскольку судья отклонил их ходатайства. 31 июля 2008 года кассационная жалоба авторов была отклонена как необоснованная.</w:t>
      </w:r>
    </w:p>
    <w:p w14:paraId="42C8BC34" w14:textId="5C422895" w:rsidR="00D71714" w:rsidRPr="00BD7B2A" w:rsidRDefault="00D71714" w:rsidP="00D71714">
      <w:pPr>
        <w:pStyle w:val="SingleTxtG"/>
      </w:pPr>
      <w:r>
        <w:t>2.7</w:t>
      </w:r>
      <w:r>
        <w:tab/>
        <w:t>Вторая попытка провести пикет была предпринята 18 июня 2008</w:t>
      </w:r>
      <w:r w:rsidR="006744C8" w:rsidRPr="006744C8">
        <w:t xml:space="preserve"> </w:t>
      </w:r>
      <w:r>
        <w:t>года, когда авторы обратились в Минский горисполком с просьбой дать им разрешение на проведение 7 июля 2008</w:t>
      </w:r>
      <w:r w:rsidR="00F26022" w:rsidRPr="00F26022">
        <w:t xml:space="preserve"> </w:t>
      </w:r>
      <w:r>
        <w:t>года пикета по случаю годовщины исчезновения белорусского фотожурналиста Дмитрия Александровича Завадского. Мирный пикет с участием около 50 человек должен был состояться на площади Свободы в Минске с 19 ч 00 мин до 20 ч 00 мин. Цели мероприятия были те же, что и у предыдущего запланированного пикета (см. пункт 2.2 выше).</w:t>
      </w:r>
    </w:p>
    <w:p w14:paraId="29E8FC6C" w14:textId="42CB6622" w:rsidR="00D71714" w:rsidRPr="00BD7B2A" w:rsidRDefault="00D71714" w:rsidP="00D71714">
      <w:pPr>
        <w:pStyle w:val="SingleTxtG"/>
      </w:pPr>
      <w:r>
        <w:t>2.8</w:t>
      </w:r>
      <w:r>
        <w:tab/>
        <w:t>30 июня 2008</w:t>
      </w:r>
      <w:r w:rsidR="00760F45" w:rsidRPr="00760F45">
        <w:t xml:space="preserve"> </w:t>
      </w:r>
      <w:r>
        <w:t xml:space="preserve">года Минский горисполком отказал в разрешении на проведение пикета, мотивируя это тем, что место проведения мероприятия находится рядом с городской ратушей Минска и пикет будет мешать пешеходному и автомобильному движению на прилегающей территории. </w:t>
      </w:r>
    </w:p>
    <w:p w14:paraId="6A28736E" w14:textId="0B14FB7F" w:rsidR="00D71714" w:rsidRPr="00BD7B2A" w:rsidRDefault="00D71714" w:rsidP="00D71714">
      <w:pPr>
        <w:pStyle w:val="SingleTxtG"/>
      </w:pPr>
      <w:r>
        <w:t>2.9</w:t>
      </w:r>
      <w:r>
        <w:tab/>
        <w:t>29 июля 2008</w:t>
      </w:r>
      <w:r w:rsidR="00F26022" w:rsidRPr="00F26022">
        <w:t xml:space="preserve"> </w:t>
      </w:r>
      <w:r>
        <w:t>года авторы обжаловали решение Минского горисполкома в суд Московского района города Минска, заявив о нарушении прав на свободное выражение мнений и на свободу мирных собраний, гарантированных статьями 19 и 21 Пакта. 11 декабря 2008</w:t>
      </w:r>
      <w:r w:rsidR="00A443A4" w:rsidRPr="00A443A4">
        <w:t xml:space="preserve"> </w:t>
      </w:r>
      <w:r>
        <w:t>года суд признал решение Исполнительного комитета законным и отклонил апелляцию.</w:t>
      </w:r>
    </w:p>
    <w:p w14:paraId="2CE125A5" w14:textId="6EEC9D9F" w:rsidR="00D71714" w:rsidRPr="00BD7B2A" w:rsidRDefault="00D71714" w:rsidP="00D71714">
      <w:pPr>
        <w:pStyle w:val="SingleTxtG"/>
      </w:pPr>
      <w:r>
        <w:lastRenderedPageBreak/>
        <w:t>2.10</w:t>
      </w:r>
      <w:r>
        <w:tab/>
        <w:t>22 декабря 2008</w:t>
      </w:r>
      <w:r w:rsidR="00F26022" w:rsidRPr="00F26022">
        <w:t xml:space="preserve"> </w:t>
      </w:r>
      <w:r>
        <w:t>года авторы подали кассационную жалобу на решение суда Московского района в Судебную коллегию по гражданским делам Минского городского суда, которая 22 января 2009</w:t>
      </w:r>
      <w:r w:rsidR="003B5C7A" w:rsidRPr="003B5C7A">
        <w:t xml:space="preserve"> </w:t>
      </w:r>
      <w:r>
        <w:t xml:space="preserve">года оставила ее без удовлетворения. </w:t>
      </w:r>
    </w:p>
    <w:p w14:paraId="546DE6E2" w14:textId="77777777" w:rsidR="00D71714" w:rsidRPr="00BD7B2A" w:rsidRDefault="00D71714" w:rsidP="00D71714">
      <w:pPr>
        <w:pStyle w:val="H23G"/>
      </w:pPr>
      <w:r>
        <w:tab/>
      </w:r>
      <w:r>
        <w:tab/>
      </w:r>
      <w:r>
        <w:rPr>
          <w:bCs/>
        </w:rPr>
        <w:t>Жалоба</w:t>
      </w:r>
    </w:p>
    <w:p w14:paraId="173F51EF" w14:textId="77777777" w:rsidR="00D71714" w:rsidRPr="00BD7B2A" w:rsidRDefault="00D71714" w:rsidP="00D71714">
      <w:pPr>
        <w:pStyle w:val="SingleTxtG"/>
      </w:pPr>
      <w:r>
        <w:t>3.1</w:t>
      </w:r>
      <w:r>
        <w:tab/>
        <w:t>Авторы утверждают, что отказ национальных властей выдать разрешение на проведение двух пикетов равносилен нарушению их прав по статьям 19 и 21, рассматриваемым в совокупности со статьей 2 Пакта.</w:t>
      </w:r>
    </w:p>
    <w:p w14:paraId="7336EB87" w14:textId="1FD5658F" w:rsidR="00D71714" w:rsidRPr="00BD7B2A" w:rsidRDefault="00D71714" w:rsidP="00D71714">
      <w:pPr>
        <w:pStyle w:val="SingleTxtG"/>
      </w:pPr>
      <w:r>
        <w:t>3.2</w:t>
      </w:r>
      <w:r>
        <w:tab/>
        <w:t>Авторы утверждают также, что ограничения, наложенные государственными властями на осуществление их прав на свободу собраний и на свободное выражение мнений, не являются обоснованными для защиты государственной либо общественной безопасности или общественного порядка</w:t>
      </w:r>
      <w:r w:rsidR="00F26022" w:rsidRPr="009A1C75">
        <w:t>,</w:t>
      </w:r>
      <w:r>
        <w:t xml:space="preserve"> либо для охраны здоровья и нравственности населения и не являются необходимыми для защиты прав и свобод других лиц. Более того, государственные органы не смогли продемонстрировать, что организация мирного собрания на расстоянии менее 200 метров от подземных пешеходных переходов и станций метрополитена или возле городской ратуши Минска была законной и справедливой причиной для запрета запрошенных пикетов. </w:t>
      </w:r>
    </w:p>
    <w:p w14:paraId="1CF6929B" w14:textId="77777777" w:rsidR="00D71714" w:rsidRPr="00BD7B2A" w:rsidRDefault="00D71714" w:rsidP="00D71714">
      <w:pPr>
        <w:pStyle w:val="SingleTxtG"/>
      </w:pPr>
      <w:r>
        <w:t>3.3</w:t>
      </w:r>
      <w:r>
        <w:tab/>
        <w:t>Авторы заявляют также о нарушении их права на справедливое разбирательство, которое защищено пунктом 1 статьи 14 Пакта, поскольку, по их мнению, государственные суды находились под давлением со стороны Минского горисполкома и, следовательно, не были независимыми. Кроме того, они утверждают, что суды были предвзяты и необоснованно игнорировали просьбы авторов.</w:t>
      </w:r>
    </w:p>
    <w:p w14:paraId="3A6301D3" w14:textId="77777777" w:rsidR="00D71714" w:rsidRPr="00BD7B2A" w:rsidRDefault="00D71714" w:rsidP="00D71714">
      <w:pPr>
        <w:pStyle w:val="H23G"/>
      </w:pPr>
      <w:r>
        <w:tab/>
      </w:r>
      <w:r>
        <w:tab/>
      </w:r>
      <w:r>
        <w:rPr>
          <w:bCs/>
        </w:rPr>
        <w:t>Замечания государства-участника относительно приемлемости и существа сообщения</w:t>
      </w:r>
    </w:p>
    <w:p w14:paraId="0349DA5E" w14:textId="352B2E2E" w:rsidR="00D71714" w:rsidRPr="00BD7B2A" w:rsidRDefault="00D71714" w:rsidP="00D71714">
      <w:pPr>
        <w:pStyle w:val="SingleTxtG"/>
      </w:pPr>
      <w:r>
        <w:t>4.1</w:t>
      </w:r>
      <w:r>
        <w:tab/>
        <w:t>В вербальной ноте от 23 января 2017</w:t>
      </w:r>
      <w:r w:rsidR="009A1C75" w:rsidRPr="009A1C75">
        <w:t xml:space="preserve"> </w:t>
      </w:r>
      <w:r>
        <w:t>года государство-участник представило свои замечания относительно приемлемости и существа сообщения. Оно отмечает, что в соответствии с Факультативным протоколом представлять на рассмотрение Комитета письменное сообщение могут лица, утверждающие, что были нарушены их права по Пакту, и исчерпавшие все имеющиеся внутренние средства правовой защиты.</w:t>
      </w:r>
    </w:p>
    <w:p w14:paraId="434AEC0A" w14:textId="372581E7" w:rsidR="00D71714" w:rsidRPr="00BD7B2A" w:rsidRDefault="00D71714" w:rsidP="00D71714">
      <w:pPr>
        <w:pStyle w:val="SingleTxtG"/>
      </w:pPr>
      <w:r>
        <w:t>4.2</w:t>
      </w:r>
      <w:r>
        <w:tab/>
        <w:t>Государство-участник отмечает, что 30 июня 2008</w:t>
      </w:r>
      <w:r w:rsidR="00690FC4" w:rsidRPr="00690FC4">
        <w:t xml:space="preserve"> </w:t>
      </w:r>
      <w:r>
        <w:t>года Минский горисполком отклонил просьбу авторов о проведении митинга 7 июля 2008</w:t>
      </w:r>
      <w:r w:rsidR="00690FC4" w:rsidRPr="00690FC4">
        <w:t xml:space="preserve"> </w:t>
      </w:r>
      <w:r>
        <w:t xml:space="preserve">года на том основании, что место проведения мероприятия находится рядом с городской ратушей Минска и пикет будет мешать пешеходному и автомобильному движению на прилегающей территории. </w:t>
      </w:r>
    </w:p>
    <w:p w14:paraId="2C4E15B3" w14:textId="39E890D8" w:rsidR="00D71714" w:rsidRPr="00BD7B2A" w:rsidRDefault="00D71714" w:rsidP="00D71714">
      <w:pPr>
        <w:pStyle w:val="SingleTxtG"/>
      </w:pPr>
      <w:r>
        <w:t>4.3</w:t>
      </w:r>
      <w:r>
        <w:tab/>
        <w:t>Государство-участник отмечает также, что суд Московского района и Судебная коллегия по гражданским делам Минского городского суда правомерно отклонили жалобы авторов на основании статьи 9 закона «О массовых мероприятиях в Республике Беларусь» от 30 декабря 1997</w:t>
      </w:r>
      <w:r w:rsidR="0054106A" w:rsidRPr="0054106A">
        <w:t xml:space="preserve"> </w:t>
      </w:r>
      <w:r>
        <w:t xml:space="preserve">года, в соответствии с которой проведение массовых мероприятий не допускается на расстоянии менее 50 метров от зданий органов государственного управления, включая исполнительные и распорядительные органы, дипломатические представительства и консульства. Государство-участник утверждает, что запланированный пикет должен был состояться возле городской ратуши Минска. </w:t>
      </w:r>
    </w:p>
    <w:p w14:paraId="4AA34B3E" w14:textId="77777777" w:rsidR="00D71714" w:rsidRPr="00BD7B2A" w:rsidRDefault="00D71714" w:rsidP="00D71714">
      <w:pPr>
        <w:pStyle w:val="SingleTxtG"/>
      </w:pPr>
      <w:r>
        <w:t>4.4</w:t>
      </w:r>
      <w:r>
        <w:tab/>
        <w:t>Государство-участник отмечает далее, что авторы не подавали надзорную жалобу в Верховный суд, прокуратуру или Председателю Верховного суда, и поэтому утверждает, что авторы представили свое сообщение в нарушение статьи 2 Факультативного протокола.</w:t>
      </w:r>
    </w:p>
    <w:p w14:paraId="758A73D8" w14:textId="77777777" w:rsidR="00D71714" w:rsidRPr="00BD7B2A" w:rsidRDefault="00D71714" w:rsidP="00D71714">
      <w:pPr>
        <w:pStyle w:val="SingleTxtG"/>
      </w:pPr>
      <w:r>
        <w:t>4.5</w:t>
      </w:r>
      <w:r>
        <w:tab/>
        <w:t>Государство-участник утверждает, что ввиду того, что авторы не исчерпали все имевшиеся в их распоряжении внутренние средства правовой защиты, жалобу следует рассматривать как злоупотребление правом на представление индивидуальных сообщений в соответствии со статьей 3 Факультативного протокола.</w:t>
      </w:r>
    </w:p>
    <w:p w14:paraId="5B8B1C01" w14:textId="77777777" w:rsidR="00D71714" w:rsidRPr="00BD7B2A" w:rsidRDefault="00D71714" w:rsidP="00D71714">
      <w:pPr>
        <w:pStyle w:val="H23G"/>
      </w:pPr>
      <w:r>
        <w:lastRenderedPageBreak/>
        <w:tab/>
      </w:r>
      <w:r>
        <w:tab/>
      </w:r>
      <w:r>
        <w:rPr>
          <w:bCs/>
        </w:rPr>
        <w:t>Комментарии авторов к замечаниям государства-участника</w:t>
      </w:r>
    </w:p>
    <w:p w14:paraId="02BE39FE" w14:textId="515C3706" w:rsidR="00D71714" w:rsidRPr="00BD7B2A" w:rsidRDefault="00D71714" w:rsidP="00D71714">
      <w:pPr>
        <w:pStyle w:val="SingleTxtG"/>
      </w:pPr>
      <w:r>
        <w:t>5.1</w:t>
      </w:r>
      <w:r>
        <w:tab/>
        <w:t>27 декабря 2018</w:t>
      </w:r>
      <w:r w:rsidR="009A1C75" w:rsidRPr="009A1C75">
        <w:t xml:space="preserve"> </w:t>
      </w:r>
      <w:r>
        <w:t>года авторы отметили, что обжалование в порядке надзора не является эффективным средством правовой защиты, заявив, что государство-участник в своих замечаниях не указало, какие именно эффективные внутренние средства правовой защиты они не исчерпали.</w:t>
      </w:r>
    </w:p>
    <w:p w14:paraId="56C380C4" w14:textId="77777777" w:rsidR="00D71714" w:rsidRPr="00BD7B2A" w:rsidRDefault="00D71714" w:rsidP="00D71714">
      <w:pPr>
        <w:pStyle w:val="SingleTxtG"/>
      </w:pPr>
      <w:r>
        <w:t>5.2</w:t>
      </w:r>
      <w:r>
        <w:tab/>
        <w:t>Авторы ссылаются на практику Комитета по исчерпанию внутренних средств правовой защиты и отмечают, что такие средства правовой защиты должны быть как доступными, так и эффективными. Авторы утверждают, что государство-участник должно представить подробную информацию о том, какие средства правовой защиты им доступны, а также доказательства того, что существует разумная перспектива эффективности таких средств правовой защиты</w:t>
      </w:r>
      <w:r w:rsidRPr="00E02E47">
        <w:rPr>
          <w:rStyle w:val="aa"/>
        </w:rPr>
        <w:footnoteReference w:id="3"/>
      </w:r>
      <w:r>
        <w:t>.</w:t>
      </w:r>
    </w:p>
    <w:p w14:paraId="252FC197" w14:textId="77777777" w:rsidR="00D71714" w:rsidRPr="00BD7B2A" w:rsidRDefault="00D71714" w:rsidP="00D71714">
      <w:pPr>
        <w:pStyle w:val="H23G"/>
      </w:pPr>
      <w:r>
        <w:tab/>
      </w: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14:paraId="342274EE" w14:textId="77777777" w:rsidR="00D71714" w:rsidRPr="00BD7B2A" w:rsidRDefault="00D71714" w:rsidP="00D71714">
      <w:pPr>
        <w:pStyle w:val="H4G"/>
      </w:pPr>
      <w:r>
        <w:tab/>
      </w:r>
      <w:r>
        <w:tab/>
      </w:r>
      <w:r>
        <w:rPr>
          <w:iCs/>
        </w:rPr>
        <w:t>Рассмотрение вопроса о приемлемости</w:t>
      </w:r>
    </w:p>
    <w:p w14:paraId="28EC9558" w14:textId="77777777" w:rsidR="00D71714" w:rsidRPr="00BD7B2A" w:rsidRDefault="00D71714" w:rsidP="00D71714">
      <w:pPr>
        <w:pStyle w:val="SingleTxtG"/>
      </w:pPr>
      <w:proofErr w:type="gramStart"/>
      <w:r>
        <w:t>6.1</w:t>
      </w:r>
      <w:r>
        <w:tab/>
        <w:t>Прежде чем</w:t>
      </w:r>
      <w:proofErr w:type="gramEnd"/>
      <w:r>
        <w:t xml:space="preserve"> приступить к рассмотрению любой жалобы, содержащейся в сообщении, Комитет, в соответствии с правилом 97 своих правил процедуры, должен принять решение о том, является ли данное сообщение приемлемым в соответствии с Факультативным протоколом.</w:t>
      </w:r>
    </w:p>
    <w:p w14:paraId="172A245E" w14:textId="77777777" w:rsidR="00D71714" w:rsidRPr="00BD7B2A" w:rsidRDefault="00D71714" w:rsidP="00D71714">
      <w:pPr>
        <w:pStyle w:val="SingleTxtG"/>
      </w:pPr>
      <w:r>
        <w:t>6.2</w:t>
      </w:r>
      <w:r>
        <w:tab/>
        <w:t>Согласно требованиям пункта 2 а)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46C1E3FE" w14:textId="23F7BE40" w:rsidR="00D71714" w:rsidRPr="00BD7B2A" w:rsidRDefault="00D71714" w:rsidP="00D71714">
      <w:pPr>
        <w:pStyle w:val="SingleTxtG"/>
      </w:pPr>
      <w:r>
        <w:t>6.3</w:t>
      </w:r>
      <w:r>
        <w:tab/>
        <w:t>Комитет принимает к сведению замечания государства-участника, в которых указывается, что авторы не исчерпали все имеющиеся внутренние средства правовой защиты, поскольку их надзорные жалобы не были рассмотрены Генеральным прокурором и Председателем Верховного суда. Комитет ссылается на свою правовую практику, согласно которой обращение в прокуратуру с ходатайством о возбуждении надзорного производства для пересмотра вступивших в силу судебных решений, удовлетворение которого зависит от дискреционных полномочий прокурора, не является эффективным средством правовой защиты, подлежащим исчерпанию для целей пункта 2 b) статьи 5 Факультативного протокола</w:t>
      </w:r>
      <w:r w:rsidRPr="00E02E47">
        <w:rPr>
          <w:rStyle w:val="aa"/>
        </w:rPr>
        <w:footnoteReference w:id="4"/>
      </w:r>
      <w:r>
        <w:t>. Он считает также, что обращение к председателю какого-либо суда с ходатайством о пересмотре в порядке надзора судебных решений, вступивших в законную силу и являющихся предметом дискреционных полномочий суда, представляет собой чрезвычайное средство правовой защиты и что государство-участник должно доказать наличие разумных оснований полагать, что в обстоятельствах рассматриваемого дела такое ходатайство будет эффективным средством правовой защиты</w:t>
      </w:r>
      <w:r w:rsidRPr="00E02E47">
        <w:rPr>
          <w:rStyle w:val="aa"/>
        </w:rPr>
        <w:footnoteReference w:id="5"/>
      </w:r>
      <w:r>
        <w:t xml:space="preserve">. Ввиду отсутствия дополнительной информации или разъяснений со стороны </w:t>
      </w:r>
      <w:proofErr w:type="gramStart"/>
      <w:r>
        <w:t>государства-участника по данному сообщению</w:t>
      </w:r>
      <w:proofErr w:type="gramEnd"/>
      <w:r>
        <w:t xml:space="preserve"> Комитет считает, что требования пункта 2 b) статьи 5 Факультативного протокола не препятствуют рассмотрению им сообщения. Комитет отмечает также, что сообщение было представлено в течение пяти лет после исчерпания внутренних средств правовой защиты и поэтому не может являться злоупотреблением правом на представление, предусмотренным статьей 3 Факультативного протокола и правилом</w:t>
      </w:r>
      <w:r w:rsidR="00043023">
        <w:rPr>
          <w:lang w:val="en-US"/>
        </w:rPr>
        <w:t> </w:t>
      </w:r>
      <w:r>
        <w:t>99 с) его правил процедуры, на основании задержки в представлении.</w:t>
      </w:r>
    </w:p>
    <w:p w14:paraId="175469CF" w14:textId="77777777" w:rsidR="00D71714" w:rsidRPr="00BD7B2A" w:rsidRDefault="00D71714" w:rsidP="00D71714">
      <w:pPr>
        <w:pStyle w:val="SingleTxtG"/>
      </w:pPr>
      <w:r>
        <w:t>6.4</w:t>
      </w:r>
      <w:r>
        <w:tab/>
        <w:t xml:space="preserve">Что касается предполагаемых нарушений пункта 1 статьи 14 Пакта, то Комитет считает, что утверждение о том, что авторам было отказано в праве на справедливое разбирательство, поскольку суды находились под давлением со стороны Минского горисполкома и необоснованно игнорировали просьбы авторов, является </w:t>
      </w:r>
      <w:r>
        <w:lastRenderedPageBreak/>
        <w:t>расплывчатым и сформулированным слишком широко, а следовательно, недостаточно обоснованным для целей приемлемости. Комитет считает эту часть сообщения неприемлемой в соответствии со статьей 2 Факультативного протокола.</w:t>
      </w:r>
    </w:p>
    <w:p w14:paraId="1C6BD835" w14:textId="77777777" w:rsidR="00D71714" w:rsidRPr="00BD7B2A" w:rsidRDefault="00D71714" w:rsidP="00D71714">
      <w:pPr>
        <w:pStyle w:val="SingleTxtG"/>
      </w:pPr>
      <w:r>
        <w:t>6.5</w:t>
      </w:r>
      <w:r>
        <w:tab/>
        <w:t>Комитет отмечает утверждения авторов по статьям 19 и 21, рассматриваемым в совокупности со статьей 2 Пакта. Ввиду отсутствия в материалах дела какой-либо информации на этот счет Комитет считает, что авторы не смогли в достаточной степени обосновать эти утверждения для целей приемлемости. Соответственно, Комитет объявляет эту часть сообщения неприемлемой в соответствии со статьей 2 Факультативного протокола.</w:t>
      </w:r>
    </w:p>
    <w:p w14:paraId="705230F5" w14:textId="77777777" w:rsidR="00D71714" w:rsidRPr="00BD7B2A" w:rsidRDefault="00D71714" w:rsidP="00D71714">
      <w:pPr>
        <w:pStyle w:val="SingleTxtG"/>
      </w:pPr>
      <w:r>
        <w:t>6.6</w:t>
      </w:r>
      <w:r>
        <w:tab/>
        <w:t>В заключение Комитет отмечает, что представленные авторами утверждения затрагивают вопросы по пункту 2 статьи 19 и статье 21 Пакта, считает эти утверждения достаточно обоснованными для целей приемлемости и переходит к рассмотрению дела по существу.</w:t>
      </w:r>
    </w:p>
    <w:p w14:paraId="1C2D20B1" w14:textId="77777777" w:rsidR="00D71714" w:rsidRPr="00BD7B2A" w:rsidRDefault="00D71714" w:rsidP="00D71714">
      <w:pPr>
        <w:pStyle w:val="H4G"/>
      </w:pPr>
      <w:r>
        <w:tab/>
      </w:r>
      <w:r>
        <w:tab/>
      </w:r>
      <w:r>
        <w:rPr>
          <w:iCs/>
        </w:rPr>
        <w:t>Рассмотрение сообщения по существу</w:t>
      </w:r>
    </w:p>
    <w:p w14:paraId="0A4BD92E" w14:textId="77777777" w:rsidR="00D71714" w:rsidRPr="00BD7B2A" w:rsidRDefault="00D71714" w:rsidP="00D71714">
      <w:pPr>
        <w:pStyle w:val="SingleTxtG"/>
      </w:pPr>
      <w:r>
        <w:t>7.1</w:t>
      </w:r>
      <w:r>
        <w:tab/>
        <w:t>В соответствии с пунктом 1 статьи 5 Факультативного протокола Комитет по правам человека рассмотрел настоящее сообщение с учетом всей информации, представленной ему сторонами.</w:t>
      </w:r>
    </w:p>
    <w:p w14:paraId="1AD77A01" w14:textId="0694C65B" w:rsidR="00D71714" w:rsidRPr="00BD7B2A" w:rsidRDefault="00D71714" w:rsidP="00D71714">
      <w:pPr>
        <w:pStyle w:val="SingleTxtG"/>
      </w:pPr>
      <w:r>
        <w:t>7.2</w:t>
      </w:r>
      <w:r>
        <w:tab/>
        <w:t>Комитет отмечает утверждения авторов о том, что их права на свободное выражение мнений и на свободу собраний были ограничены в нарушение статей 19 и</w:t>
      </w:r>
      <w:r w:rsidR="007D28FE">
        <w:rPr>
          <w:lang w:val="en-US"/>
        </w:rPr>
        <w:t> </w:t>
      </w:r>
      <w:r>
        <w:t xml:space="preserve">21 Пакта, поскольку им было отказано в выдаче разрешения на организацию мирных митингов, направленных на привлечение внимания общественности к исчезновениям некоторых лиц в Беларуси и на обращение к властям настоятельного призыва провести эффективное расследование этих исчезновений и ратифицировать Международную конвенцию для защиты всех лиц от насильственных исчезновений. Он отмечает также утверждения авторов о том, что власти не объяснили причины, по которым ограничения их прав на проведение митингов были необходимыми для защиты государственной или общественной безопасности, общественного порядка, охраны здоровья и нравственности населения и защиты прав и свобод других лиц, как того требуют пункт 3 статьи 19 и статья 21 Пакта, и поэтому они считают эти ограничения незаконными. </w:t>
      </w:r>
    </w:p>
    <w:p w14:paraId="577025FE" w14:textId="77777777" w:rsidR="00D71714" w:rsidRPr="00BD7B2A" w:rsidRDefault="00D71714" w:rsidP="00D71714">
      <w:pPr>
        <w:pStyle w:val="SingleTxtG"/>
      </w:pPr>
      <w:r>
        <w:t>7.3</w:t>
      </w:r>
      <w:r>
        <w:tab/>
        <w:t>Комитет отмечает утверждение авторов о том, что их право на свободу мирных собраний, гарантируемое статьей 21 Пакта, было нарушено в результате отказа Минского горисполкома в выдаче разрешения на проведение мирных митингов. Комитет ссылается на свое замечание общего порядка № 37 (2020), в котором он заявил, что мирные собрания в принципе могут проводиться во всех местах, в которые имеет или должно иметь доступ население, таких как общественные площади и улицы. Не следует отводить для мирных собраний отдаленные районы, в которых собрание не сможет эффективно привлечь внимание своей целевой аудитории или широких кругов населения. В качестве общего правила не допускается полный запрет всех собраний в столичных городах, во всех общественных местах, за исключением одного определенного места в том или ином городе или за его пределами, или же на всех улицах города</w:t>
      </w:r>
      <w:r w:rsidRPr="00E02E47">
        <w:rPr>
          <w:rStyle w:val="aa"/>
        </w:rPr>
        <w:footnoteReference w:id="6"/>
      </w:r>
      <w:r>
        <w:t xml:space="preserve">. </w:t>
      </w:r>
    </w:p>
    <w:p w14:paraId="046E72DE" w14:textId="77777777" w:rsidR="00D71714" w:rsidRPr="00BD7B2A" w:rsidRDefault="00D71714" w:rsidP="00D71714">
      <w:pPr>
        <w:pStyle w:val="SingleTxtG"/>
      </w:pPr>
      <w:r>
        <w:t>7.4</w:t>
      </w:r>
      <w:r>
        <w:tab/>
        <w:t>Комитет напоминает также, что право на свободу мирных собраний, гарантируемое статьей 21 Пакта, является фундаментальным правом человека, имеющим существенное значение для публичного выражения мнений и убеждений личности и незаменимым в демократическом обществе</w:t>
      </w:r>
      <w:r w:rsidRPr="00E02E47">
        <w:rPr>
          <w:rStyle w:val="aa"/>
        </w:rPr>
        <w:footnoteReference w:id="7"/>
      </w:r>
      <w:r>
        <w:t xml:space="preserve">. Статья 21 Пакта защищает мирные собрания, где бы они ни проводились: на открытом воздухе, в помещении и в онлайн-режиме, в местах общественного и частного пользования или в случае сочетания нескольких из вышеуказанных мест. Такие собрания могут принимать различные формы, включая демонстрации, протесты, собрания, шествия, митинги, сидячие забастовки, протестные или памятные мероприятия при свечах и флешмобы. Они защищены согласно статье 21, независимо от того, осуществляются ли они без </w:t>
      </w:r>
      <w:r>
        <w:lastRenderedPageBreak/>
        <w:t>передвижения, как в случае пикетирования, или с передвижением, как в случае шествия или марша</w:t>
      </w:r>
      <w:r w:rsidRPr="00E02E47">
        <w:rPr>
          <w:rStyle w:val="aa"/>
        </w:rPr>
        <w:footnoteReference w:id="8"/>
      </w:r>
      <w:r>
        <w:t>. Организаторы собрания обычно имеют право выбирать место в пределах видимости и слышимости своей целевой аудитории</w:t>
      </w:r>
      <w:r w:rsidRPr="00E02E47">
        <w:rPr>
          <w:rStyle w:val="aa"/>
        </w:rPr>
        <w:footnoteReference w:id="9"/>
      </w:r>
      <w:r>
        <w:t>, и любое ограничение этого права является недопустимым, за исключением случаев, когда a) оно налагается в соответствии с законом; b) является необходимым в демократическом обществе для защиты государственной или общественной безопасности, общественного порядка, охраны здоровья и нравственности населения или защиты прав и свобод других лиц. Когда государство-участник налагает ограничения для обеспечения баланса между правом человека на собрание и вышеупомянутыми общими интересами, оно должно руководствоваться целью содействия осуществлению этого права, а не стремиться наложить излишние и несоразмерные ограничения</w:t>
      </w:r>
      <w:r w:rsidRPr="00E02E47">
        <w:rPr>
          <w:rStyle w:val="aa"/>
        </w:rPr>
        <w:footnoteReference w:id="10"/>
      </w:r>
      <w:r>
        <w:t>. Государство-участник, таким образом, обязано обосновать ограничение права, защищаемого статьей 21 Пакта</w:t>
      </w:r>
      <w:r w:rsidRPr="00E02E47">
        <w:rPr>
          <w:rStyle w:val="aa"/>
        </w:rPr>
        <w:footnoteReference w:id="11"/>
      </w:r>
      <w:r>
        <w:t>.</w:t>
      </w:r>
    </w:p>
    <w:p w14:paraId="1C397037" w14:textId="77777777" w:rsidR="00D71714" w:rsidRPr="00BD7B2A" w:rsidRDefault="00D71714" w:rsidP="00D71714">
      <w:pPr>
        <w:pStyle w:val="SingleTxtG"/>
      </w:pPr>
      <w:r>
        <w:t>7.5</w:t>
      </w:r>
      <w:r>
        <w:tab/>
        <w:t>В данном случае Комитет должен рассмотреть вопрос о том, являются ли ограничения права авторов на свободу мирных собраний оправданными с точки зрения любого из критериев, закрепленных в статье 21 Пакта. В свете имеющейся в деле информации заявки авторов на проведение двух митингов были отклонены городскими властями, которые утверждали, что запланированные мирные собрания должны были состояться вблизи подземных пешеходных переходов и станций метрополитена, а также вблизи государственных учреждений, включая городскую ратушу Минска, что нарушило бы пешеходное и автомобильное движение на прилегающей территории. В этой связи Комитет отмечает, тем не менее, что ни Минский горисполком, ни национальные суды не представили никакого обоснования или разъяснения в отношении того, каким образом протестные мероприятия авторов на практике противоречили бы интересам государственной или общественной безопасности, общественного порядка, охраны здоровья и нравственности населения или защиты прав и свобод других лиц в соответствии со статьей 21 Пакта. Государство-участник не продемонстрировало также, что были приняты какие-либо альтернативные меры для содействия осуществлению прав авторов в соответствии со статьей 21.</w:t>
      </w:r>
    </w:p>
    <w:p w14:paraId="62929EFB" w14:textId="77777777" w:rsidR="00D71714" w:rsidRPr="00BD7B2A" w:rsidRDefault="00D71714" w:rsidP="00D71714">
      <w:pPr>
        <w:pStyle w:val="SingleTxtG"/>
      </w:pPr>
      <w:r>
        <w:t>7.6</w:t>
      </w:r>
      <w:r>
        <w:tab/>
        <w:t>Комитет отмечает, что он уже рассматривал аналогичные случаи в связи с теми же законами и практикой государства-участника в рамках ряда предыдущих сообщений. Поскольку какие-либо дополнительные разъяснения государства-участника отсутствуют, то Комитет приходит к выводу о том, что государство-участник нарушило права авторов по статье 21 Пакта.</w:t>
      </w:r>
    </w:p>
    <w:p w14:paraId="2DE9FB72" w14:textId="77777777" w:rsidR="00D71714" w:rsidRPr="00BD7B2A" w:rsidRDefault="00D71714" w:rsidP="00D71714">
      <w:pPr>
        <w:pStyle w:val="SingleTxtG"/>
      </w:pPr>
      <w:r>
        <w:t>7.7</w:t>
      </w:r>
      <w:r>
        <w:tab/>
        <w:t>Комитет отмечает также утверждение авторов о том, что их право на свободу выражения мнений было незаконно ограничено, поскольку им было отказано в выдаче разрешения на проведение мирных митингов с целью поднятия вопросов прав человека в Беларуси. Поэтому перед Комитетом стоит вопрос о том, является ли введенный в отношении авторов городскими властями запрет на проведение мирных собраний с целью привлечь внимание общественности к исчезновениям некоторых лиц в Беларуси, а также настоятельно призвать власти провести эффективное расследование этих исчезновений и ратифицировать Международную конвенцию для защиты всех лиц от насильственных исчезновений, нарушением статьи 19 Пакта.</w:t>
      </w:r>
    </w:p>
    <w:p w14:paraId="04600C59" w14:textId="71558BB0" w:rsidR="00D71714" w:rsidRPr="00BD7B2A" w:rsidRDefault="00D71714" w:rsidP="00D71714">
      <w:pPr>
        <w:pStyle w:val="SingleTxtG"/>
      </w:pPr>
      <w:r>
        <w:t>7.8</w:t>
      </w:r>
      <w:r>
        <w:tab/>
        <w:t>Комитет ссылается на свое замечание общего порядка № 34 (2011), в котором он заявил, среди прочего, что свобода выражения мнений имеет ключевое значение для любого общества и является основополагающим элементом любого свободного и демократического общества</w:t>
      </w:r>
      <w:r w:rsidRPr="00E02E47">
        <w:rPr>
          <w:rStyle w:val="aa"/>
        </w:rPr>
        <w:footnoteReference w:id="12"/>
      </w:r>
      <w:r>
        <w:t xml:space="preserve">. Пунктом 3 статьи 19 допускаются некоторые ограничения свободы выражения мнений, включая свободу распространять информацию и идеи, только при том условии, что они установлены законом и являются необходимыми: а) для уважения прав и репутации других лиц; </w:t>
      </w:r>
      <w:r w:rsidR="008F75A3">
        <w:br/>
      </w:r>
      <w:r>
        <w:t xml:space="preserve">или b) для охраны государственной безопасности, общественного порядка, здоровья </w:t>
      </w:r>
      <w:r>
        <w:lastRenderedPageBreak/>
        <w:t>или нравственности населения. Наконец, любое ограничение свободы выражения мнений не должно быть чрезмерно широким по характеру, т.</w:t>
      </w:r>
      <w:r w:rsidR="008F75A3">
        <w:rPr>
          <w:lang w:val="en-US"/>
        </w:rPr>
        <w:t> </w:t>
      </w:r>
      <w:r>
        <w:t>е. оно должно представлять собой наименее ограничительное средство из числа тех, с помощью которых может быть достигнут желаемый результат, и являться соразмерным защищаемому интересу</w:t>
      </w:r>
      <w:r w:rsidRPr="00E02E47">
        <w:rPr>
          <w:rStyle w:val="aa"/>
        </w:rPr>
        <w:footnoteReference w:id="13"/>
      </w:r>
      <w:r>
        <w:t>. Комитет напоминает, что именно государство-участник должно доказать, что ограничения прав авторов по статье 19 Пакта были необходимы и соразмерны</w:t>
      </w:r>
      <w:r w:rsidRPr="00E02E47">
        <w:rPr>
          <w:rStyle w:val="aa"/>
        </w:rPr>
        <w:footnoteReference w:id="14"/>
      </w:r>
      <w:r>
        <w:t xml:space="preserve">. </w:t>
      </w:r>
    </w:p>
    <w:p w14:paraId="73C67431" w14:textId="77777777" w:rsidR="00D71714" w:rsidRPr="00BD7B2A" w:rsidRDefault="00D71714" w:rsidP="00D71714">
      <w:pPr>
        <w:pStyle w:val="SingleTxtG"/>
      </w:pPr>
      <w:r>
        <w:t>7.9</w:t>
      </w:r>
      <w:r>
        <w:tab/>
        <w:t>Комитет отмечает, что отказ в выдаче разрешения на проведение запрошенных пикетов был основан на статье 9 закона «О массовых мероприятиях в Республике Беларусь», в соответствии с которой проведение массовых мероприятий не допускается на расстоянии менее 50 метров от зданий органов государственного управления или менее 200 метров от подземных пешеходных переходов и станций метрополитена. Он отмечает, что ни государство-участник, ни национальные суды не представили никаких разъяснений относительно того, почему введенные ограничения были продиктованы законной целью</w:t>
      </w:r>
      <w:r w:rsidRPr="00E02E47">
        <w:rPr>
          <w:rStyle w:val="aa"/>
        </w:rPr>
        <w:footnoteReference w:id="15"/>
      </w:r>
      <w:r>
        <w:t>. Комитет полагает, что в обстоятельствах данного дела запреты, наложенные на действия авторов, хотя они и опирались на внутреннее законодательство, не были оправданы с точки зрения условий, изложенных в пункте 3 статьи 19 Пакта. Ввиду отсутствия какой-либо дополнительной информации или разъяснений со стороны государства-участника Комитет приходит к выводу о том, что права авторов по статье 19 Пакта были нарушены.</w:t>
      </w:r>
    </w:p>
    <w:p w14:paraId="1F646F0B" w14:textId="77777777" w:rsidR="00D71714" w:rsidRPr="00BD7B2A" w:rsidRDefault="00D71714" w:rsidP="00D71714">
      <w:pPr>
        <w:pStyle w:val="SingleTxtG"/>
      </w:pPr>
      <w:r>
        <w:t>8.</w:t>
      </w:r>
      <w:r>
        <w:tab/>
        <w:t xml:space="preserve">Комитет, действуя в соответствии с пунктом 4 статьи 5 Факультативного протокола, считает, что представленные ему факты свидетельствуют о нарушениях государством-участником прав авторов, предусмотренных статьями 19 и 21 Пакта. </w:t>
      </w:r>
    </w:p>
    <w:p w14:paraId="6B04BA8E" w14:textId="77777777" w:rsidR="00D71714" w:rsidRPr="00BD7B2A" w:rsidRDefault="00D71714" w:rsidP="00D71714">
      <w:pPr>
        <w:pStyle w:val="SingleTxtG"/>
      </w:pPr>
      <w:r>
        <w:t>9.</w:t>
      </w:r>
      <w:r>
        <w:tab/>
        <w:t>В соответствии с пунктом 3 а) статьи 2 Пакта государство-участник обязано обеспечить авторам эффективное средство правовой защиты. Это требует от него полного возмещения ущерба лицам, чьи права, закрепленные в Пакте, были нарушены. Соответственно, государство-участник обязано, в частности, предоставить авторам достаточную компенсацию. Государство-участник обязано также принять все необходимые меры для предотвращения подобных нарушений в будущем. В этой связи Комитет отмечает, что государству-участнику следует пересмотреть свою нормативную базу в отношении массовых мероприятий в соответствии с его обязательствами по пункту 2 статьи 2, с тем чтобы обеспечить полноценное осуществление в государстве-участнике прав, закрепленных в статьях 19 и 21 Пакта.</w:t>
      </w:r>
    </w:p>
    <w:p w14:paraId="2F75D751" w14:textId="77777777" w:rsidR="00D71714" w:rsidRPr="00BD7B2A" w:rsidRDefault="00D71714" w:rsidP="00D71714">
      <w:pPr>
        <w:pStyle w:val="SingleTxtG"/>
      </w:pPr>
      <w:r>
        <w:t>10.</w:t>
      </w:r>
      <w:r>
        <w:tab/>
        <w:t>Принимая во внимание, что, присоединившись к Факультативному протоколу, государство-участник признало компетенцию Комитета определять наличие или отсутствие нарушений Пакта и что согласно статье 2 Пакта государство-участник обязалось обеспечивать всем лицам, находящимся в пределах его территории или под его юрисдикцией, права, признаваемые в Пакте, и предоставлять им эффективные и имеющие исковую силу средства правовой защиты в случае установления факта нарушения, Комитет хотел бы получить от государства-участника в течение 180 дней информацию о мерах, принятых во исполнение настоящих Соображений Комитета. Государству-участнику предлагается также обнародовать и широко распространить их на своих официальных языках.</w:t>
      </w:r>
    </w:p>
    <w:p w14:paraId="56D21079" w14:textId="77777777" w:rsidR="00D71714" w:rsidRPr="00BD7B2A" w:rsidRDefault="00D71714" w:rsidP="00D71714">
      <w:pPr>
        <w:spacing w:before="240"/>
        <w:jc w:val="center"/>
        <w:rPr>
          <w:u w:val="single"/>
        </w:rPr>
      </w:pPr>
      <w:r w:rsidRPr="00BD7B2A">
        <w:rPr>
          <w:u w:val="single"/>
        </w:rPr>
        <w:tab/>
      </w:r>
      <w:r w:rsidRPr="00BD7B2A">
        <w:rPr>
          <w:u w:val="single"/>
        </w:rPr>
        <w:tab/>
      </w:r>
      <w:r w:rsidRPr="00BD7B2A">
        <w:rPr>
          <w:u w:val="single"/>
        </w:rPr>
        <w:tab/>
      </w:r>
    </w:p>
    <w:sectPr w:rsidR="00D71714" w:rsidRPr="00BD7B2A" w:rsidSect="00D7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5CCC" w14:textId="77777777" w:rsidR="009036C8" w:rsidRPr="00A312BC" w:rsidRDefault="009036C8" w:rsidP="00A312BC"/>
  </w:endnote>
  <w:endnote w:type="continuationSeparator" w:id="0">
    <w:p w14:paraId="78F655BE" w14:textId="77777777" w:rsidR="009036C8" w:rsidRPr="00A312BC" w:rsidRDefault="009036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FD8F" w14:textId="5E13ECEF" w:rsidR="00D71714" w:rsidRPr="00D71714" w:rsidRDefault="00D71714">
    <w:pPr>
      <w:pStyle w:val="a8"/>
    </w:pPr>
    <w:r w:rsidRPr="00D71714">
      <w:rPr>
        <w:b/>
        <w:sz w:val="18"/>
      </w:rPr>
      <w:fldChar w:fldCharType="begin"/>
    </w:r>
    <w:r w:rsidRPr="00D71714">
      <w:rPr>
        <w:b/>
        <w:sz w:val="18"/>
      </w:rPr>
      <w:instrText xml:space="preserve"> PAGE  \* MERGEFORMAT </w:instrText>
    </w:r>
    <w:r w:rsidRPr="00D71714">
      <w:rPr>
        <w:b/>
        <w:sz w:val="18"/>
      </w:rPr>
      <w:fldChar w:fldCharType="separate"/>
    </w:r>
    <w:r w:rsidRPr="00D71714">
      <w:rPr>
        <w:b/>
        <w:noProof/>
        <w:sz w:val="18"/>
      </w:rPr>
      <w:t>2</w:t>
    </w:r>
    <w:r w:rsidRPr="00D71714">
      <w:rPr>
        <w:b/>
        <w:sz w:val="18"/>
      </w:rPr>
      <w:fldChar w:fldCharType="end"/>
    </w:r>
    <w:r>
      <w:rPr>
        <w:b/>
        <w:sz w:val="18"/>
      </w:rPr>
      <w:tab/>
    </w:r>
    <w:r>
      <w:t>GE.22-03025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F169" w14:textId="083C2931" w:rsidR="00D71714" w:rsidRPr="00D71714" w:rsidRDefault="00D71714" w:rsidP="00D71714">
    <w:pPr>
      <w:pStyle w:val="a8"/>
      <w:tabs>
        <w:tab w:val="clear" w:pos="9639"/>
        <w:tab w:val="right" w:pos="9638"/>
      </w:tabs>
      <w:rPr>
        <w:b/>
        <w:sz w:val="18"/>
      </w:rPr>
    </w:pPr>
    <w:r>
      <w:t>GE.22-03025</w:t>
    </w:r>
    <w:r>
      <w:tab/>
    </w:r>
    <w:r w:rsidRPr="00D71714">
      <w:rPr>
        <w:b/>
        <w:sz w:val="18"/>
      </w:rPr>
      <w:fldChar w:fldCharType="begin"/>
    </w:r>
    <w:r w:rsidRPr="00D71714">
      <w:rPr>
        <w:b/>
        <w:sz w:val="18"/>
      </w:rPr>
      <w:instrText xml:space="preserve"> PAGE  \* MERGEFORMAT </w:instrText>
    </w:r>
    <w:r w:rsidRPr="00D71714">
      <w:rPr>
        <w:b/>
        <w:sz w:val="18"/>
      </w:rPr>
      <w:fldChar w:fldCharType="separate"/>
    </w:r>
    <w:r w:rsidRPr="00D71714">
      <w:rPr>
        <w:b/>
        <w:noProof/>
        <w:sz w:val="18"/>
      </w:rPr>
      <w:t>3</w:t>
    </w:r>
    <w:r w:rsidRPr="00D717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86AA" w14:textId="7A5BCB86" w:rsidR="00042B72" w:rsidRPr="00D71714" w:rsidRDefault="00D71714" w:rsidP="00D7171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478555" wp14:editId="6C3654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03025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50A118" wp14:editId="67727A9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170522  200622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0EE3" w14:textId="77777777" w:rsidR="009036C8" w:rsidRPr="001075E9" w:rsidRDefault="009036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797197" w14:textId="77777777" w:rsidR="009036C8" w:rsidRDefault="009036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CEC7D3" w14:textId="77777777" w:rsidR="00D71714" w:rsidRPr="00BD7B2A" w:rsidRDefault="00D71714" w:rsidP="00D71714">
      <w:pPr>
        <w:pStyle w:val="ad"/>
      </w:pPr>
      <w:r>
        <w:tab/>
      </w:r>
      <w:r w:rsidRPr="00970322">
        <w:rPr>
          <w:sz w:val="20"/>
        </w:rPr>
        <w:t>*</w:t>
      </w:r>
      <w:r>
        <w:tab/>
        <w:t>Приняты Комитетом на его сто тридцать второй сессии (28 июня — 23 июля 2021 года).</w:t>
      </w:r>
    </w:p>
  </w:footnote>
  <w:footnote w:id="2">
    <w:p w14:paraId="3ED4C9A3" w14:textId="1B50D010" w:rsidR="00D71714" w:rsidRPr="00BD7B2A" w:rsidRDefault="00D71714" w:rsidP="00D71714">
      <w:pPr>
        <w:pStyle w:val="ad"/>
      </w:pPr>
      <w:r>
        <w:tab/>
      </w:r>
      <w:r w:rsidRPr="00970322">
        <w:rPr>
          <w:sz w:val="20"/>
        </w:rPr>
        <w:t>**</w:t>
      </w:r>
      <w:r>
        <w:tab/>
        <w:t>В рассмотрении настоящего сообщения приняли участие следующие члены Комитета: Ариф</w:t>
      </w:r>
      <w:r w:rsidR="000E1058">
        <w:rPr>
          <w:lang w:val="en-US"/>
        </w:rPr>
        <w:t> </w:t>
      </w:r>
      <w:r>
        <w:t xml:space="preserve">Балкан, </w:t>
      </w:r>
      <w:proofErr w:type="spellStart"/>
      <w:r>
        <w:t>Вафа</w:t>
      </w:r>
      <w:proofErr w:type="spellEnd"/>
      <w:r>
        <w:t xml:space="preserve"> Ашраф </w:t>
      </w:r>
      <w:proofErr w:type="spellStart"/>
      <w:r>
        <w:t>Мохаррам</w:t>
      </w:r>
      <w:proofErr w:type="spellEnd"/>
      <w:r>
        <w:t xml:space="preserve"> </w:t>
      </w:r>
      <w:proofErr w:type="spellStart"/>
      <w:r>
        <w:t>Бассим</w:t>
      </w:r>
      <w:proofErr w:type="spellEnd"/>
      <w:r>
        <w:t xml:space="preserve">, Яд Бен Ашур, Карлос Гомес Мартинес, </w:t>
      </w:r>
      <w:proofErr w:type="spellStart"/>
      <w:r>
        <w:t>Гентиан</w:t>
      </w:r>
      <w:proofErr w:type="spellEnd"/>
      <w:r w:rsidR="00181164">
        <w:rPr>
          <w:lang w:val="en-US"/>
        </w:rPr>
        <w:t> </w:t>
      </w:r>
      <w:proofErr w:type="spellStart"/>
      <w:r>
        <w:t>Зюбери</w:t>
      </w:r>
      <w:proofErr w:type="spellEnd"/>
      <w:r>
        <w:t xml:space="preserve">, </w:t>
      </w:r>
      <w:proofErr w:type="spellStart"/>
      <w:r>
        <w:t>Имэру</w:t>
      </w:r>
      <w:proofErr w:type="spellEnd"/>
      <w:r>
        <w:t xml:space="preserve"> </w:t>
      </w:r>
      <w:proofErr w:type="spellStart"/>
      <w:r>
        <w:t>Тэмэрэт</w:t>
      </w:r>
      <w:proofErr w:type="spellEnd"/>
      <w:r>
        <w:t xml:space="preserve"> </w:t>
      </w:r>
      <w:proofErr w:type="spellStart"/>
      <w:r>
        <w:t>Йыгэзу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</w:t>
      </w:r>
      <w:proofErr w:type="spellStart"/>
      <w:r>
        <w:t>Чхангрок</w:t>
      </w:r>
      <w:proofErr w:type="spellEnd"/>
      <w:r>
        <w:t xml:space="preserve"> Со, Элен</w:t>
      </w:r>
      <w:r w:rsidR="00181164">
        <w:rPr>
          <w:lang w:val="en-US"/>
        </w:rPr>
        <w:t> </w:t>
      </w:r>
      <w:proofErr w:type="spellStart"/>
      <w:r>
        <w:t>Тигруджа</w:t>
      </w:r>
      <w:proofErr w:type="spellEnd"/>
      <w:r>
        <w:t xml:space="preserve">, </w:t>
      </w:r>
      <w:proofErr w:type="spellStart"/>
      <w:r>
        <w:t>Кобойя</w:t>
      </w:r>
      <w:proofErr w:type="spellEnd"/>
      <w:r>
        <w:t xml:space="preserve"> </w:t>
      </w:r>
      <w:proofErr w:type="spellStart"/>
      <w:r>
        <w:t>Чамджа</w:t>
      </w:r>
      <w:proofErr w:type="spellEnd"/>
      <w:r>
        <w:t xml:space="preserve"> </w:t>
      </w:r>
      <w:proofErr w:type="spellStart"/>
      <w:r>
        <w:t>Кпача</w:t>
      </w:r>
      <w:proofErr w:type="spellEnd"/>
      <w:r>
        <w:t xml:space="preserve"> и </w:t>
      </w:r>
      <w:proofErr w:type="spellStart"/>
      <w:r>
        <w:t>Махджуб</w:t>
      </w:r>
      <w:proofErr w:type="spellEnd"/>
      <w:r>
        <w:t xml:space="preserve"> эль-</w:t>
      </w:r>
      <w:proofErr w:type="spellStart"/>
      <w:r>
        <w:t>Хайба</w:t>
      </w:r>
      <w:proofErr w:type="spellEnd"/>
      <w:r>
        <w:t>.</w:t>
      </w:r>
    </w:p>
  </w:footnote>
  <w:footnote w:id="3">
    <w:p w14:paraId="04483FD8" w14:textId="77777777" w:rsidR="00D71714" w:rsidRPr="00BD7B2A" w:rsidRDefault="00D71714" w:rsidP="00A83077">
      <w:pPr>
        <w:pStyle w:val="ad"/>
      </w:pPr>
      <w:r w:rsidRPr="00E02E47">
        <w:tab/>
      </w:r>
      <w:r w:rsidRPr="00E02E47">
        <w:rPr>
          <w:rStyle w:val="aa"/>
        </w:rPr>
        <w:footnoteRef/>
      </w:r>
      <w:r>
        <w:tab/>
        <w:t xml:space="preserve">См., например, </w:t>
      </w:r>
      <w:r>
        <w:rPr>
          <w:i/>
          <w:iCs/>
        </w:rPr>
        <w:t xml:space="preserve">Торрес </w:t>
      </w:r>
      <w:proofErr w:type="spellStart"/>
      <w:r>
        <w:rPr>
          <w:i/>
          <w:iCs/>
        </w:rPr>
        <w:t>Рамирес</w:t>
      </w:r>
      <w:proofErr w:type="spellEnd"/>
      <w:r>
        <w:rPr>
          <w:i/>
          <w:iCs/>
        </w:rPr>
        <w:t xml:space="preserve"> против Уругвая</w:t>
      </w:r>
      <w:r>
        <w:t>, сообщение № 4/1977, п. 5.</w:t>
      </w:r>
    </w:p>
  </w:footnote>
  <w:footnote w:id="4">
    <w:p w14:paraId="62C5FBD6" w14:textId="03434327" w:rsidR="00D71714" w:rsidRPr="00BD7B2A" w:rsidRDefault="00D71714" w:rsidP="00A83077">
      <w:pPr>
        <w:pStyle w:val="ad"/>
      </w:pPr>
      <w:r w:rsidRPr="00E02E47">
        <w:tab/>
      </w:r>
      <w:r w:rsidRPr="00E02E47">
        <w:rPr>
          <w:rStyle w:val="aa"/>
        </w:rPr>
        <w:footnoteRef/>
      </w:r>
      <w:r>
        <w:tab/>
        <w:t>См.</w:t>
      </w:r>
      <w:r>
        <w:rPr>
          <w:i/>
          <w:iCs/>
        </w:rPr>
        <w:t xml:space="preserve"> Алексеев против Российской Федерации</w:t>
      </w:r>
      <w:r>
        <w:t xml:space="preserve"> (</w:t>
      </w:r>
      <w:hyperlink r:id="rId1" w:history="1">
        <w:r w:rsidRPr="007D28FE">
          <w:rPr>
            <w:rStyle w:val="af1"/>
          </w:rPr>
          <w:t>CCPR/C/109/D/1873/2009</w:t>
        </w:r>
      </w:hyperlink>
      <w:r>
        <w:t>), п. 8.4</w:t>
      </w:r>
      <w:r w:rsidR="00A83077" w:rsidRPr="00A83077">
        <w:t>;</w:t>
      </w:r>
      <w:r>
        <w:t xml:space="preserve"> </w:t>
      </w:r>
      <w:r w:rsidR="007D28FE">
        <w:br/>
      </w:r>
      <w:proofErr w:type="spellStart"/>
      <w:r>
        <w:rPr>
          <w:i/>
          <w:iCs/>
        </w:rPr>
        <w:t>Лозенко</w:t>
      </w:r>
      <w:proofErr w:type="spellEnd"/>
      <w:r>
        <w:rPr>
          <w:i/>
          <w:iCs/>
        </w:rPr>
        <w:t xml:space="preserve"> против Беларуси</w:t>
      </w:r>
      <w:r>
        <w:t xml:space="preserve"> (</w:t>
      </w:r>
      <w:hyperlink r:id="rId2" w:history="1">
        <w:r w:rsidRPr="007D28FE">
          <w:rPr>
            <w:rStyle w:val="af1"/>
          </w:rPr>
          <w:t>CCPR/C/112/D/1929/2010</w:t>
        </w:r>
      </w:hyperlink>
      <w:r>
        <w:t>), п. 6.3</w:t>
      </w:r>
      <w:r w:rsidR="00A83077" w:rsidRPr="00A83077">
        <w:t>;</w:t>
      </w:r>
      <w:r>
        <w:t xml:space="preserve"> и </w:t>
      </w:r>
      <w:proofErr w:type="spellStart"/>
      <w:r>
        <w:rPr>
          <w:i/>
          <w:iCs/>
        </w:rPr>
        <w:t>Судаленко</w:t>
      </w:r>
      <w:proofErr w:type="spellEnd"/>
      <w:r>
        <w:rPr>
          <w:i/>
          <w:iCs/>
        </w:rPr>
        <w:t xml:space="preserve"> против Беларуси</w:t>
      </w:r>
      <w:r>
        <w:t xml:space="preserve"> (</w:t>
      </w:r>
      <w:hyperlink r:id="rId3" w:history="1">
        <w:r w:rsidRPr="007D28FE">
          <w:rPr>
            <w:rStyle w:val="af1"/>
          </w:rPr>
          <w:t>CCPR/C/115/D/2016/2010</w:t>
        </w:r>
      </w:hyperlink>
      <w:r>
        <w:t>), п. 7.3.</w:t>
      </w:r>
    </w:p>
  </w:footnote>
  <w:footnote w:id="5">
    <w:p w14:paraId="605B2DB0" w14:textId="34759BF6" w:rsidR="00D71714" w:rsidRPr="00BD7B2A" w:rsidRDefault="00D71714" w:rsidP="00A83077">
      <w:pPr>
        <w:pStyle w:val="ad"/>
      </w:pPr>
      <w:r w:rsidRPr="00555297">
        <w:tab/>
      </w:r>
      <w:r w:rsidRPr="00E02E47">
        <w:rPr>
          <w:rStyle w:val="aa"/>
        </w:rPr>
        <w:footnoteRef/>
      </w:r>
      <w:r>
        <w:tab/>
        <w:t xml:space="preserve">См. </w:t>
      </w:r>
      <w:proofErr w:type="spellStart"/>
      <w:r w:rsidRPr="00621BCF">
        <w:rPr>
          <w:i/>
          <w:iCs/>
        </w:rPr>
        <w:t>Гелазаускас</w:t>
      </w:r>
      <w:proofErr w:type="spellEnd"/>
      <w:r w:rsidRPr="00621BCF">
        <w:rPr>
          <w:i/>
          <w:iCs/>
        </w:rPr>
        <w:t xml:space="preserve"> против Литвы</w:t>
      </w:r>
      <w:r>
        <w:t xml:space="preserve"> (</w:t>
      </w:r>
      <w:hyperlink r:id="rId4" w:history="1">
        <w:r w:rsidRPr="007D28FE">
          <w:rPr>
            <w:rStyle w:val="af1"/>
          </w:rPr>
          <w:t>CCPR/C/77/D/836/1998</w:t>
        </w:r>
      </w:hyperlink>
      <w:r>
        <w:t>), п. 7.4</w:t>
      </w:r>
      <w:r w:rsidR="00A83077" w:rsidRPr="00A83077">
        <w:t>;</w:t>
      </w:r>
      <w:r>
        <w:t xml:space="preserve"> </w:t>
      </w:r>
      <w:proofErr w:type="spellStart"/>
      <w:r>
        <w:rPr>
          <w:i/>
          <w:iCs/>
        </w:rPr>
        <w:t>Секерко</w:t>
      </w:r>
      <w:proofErr w:type="spellEnd"/>
      <w:r>
        <w:rPr>
          <w:i/>
          <w:iCs/>
        </w:rPr>
        <w:t xml:space="preserve"> против Беларуси</w:t>
      </w:r>
      <w:r>
        <w:t xml:space="preserve"> (</w:t>
      </w:r>
      <w:hyperlink r:id="rId5" w:history="1">
        <w:r w:rsidRPr="007D28FE">
          <w:rPr>
            <w:rStyle w:val="af1"/>
          </w:rPr>
          <w:t>CCPR/C/109/D/1851/2008</w:t>
        </w:r>
      </w:hyperlink>
      <w:r>
        <w:t>), п. 8.3</w:t>
      </w:r>
      <w:r w:rsidR="00A83077" w:rsidRPr="00A83077">
        <w:t>;</w:t>
      </w:r>
      <w:r>
        <w:t xml:space="preserve"> и </w:t>
      </w:r>
      <w:r>
        <w:rPr>
          <w:i/>
          <w:iCs/>
        </w:rPr>
        <w:t>Шумилин против Беларуси</w:t>
      </w:r>
      <w:r>
        <w:t xml:space="preserve"> (</w:t>
      </w:r>
      <w:hyperlink r:id="rId6" w:history="1">
        <w:r w:rsidRPr="007D28FE">
          <w:rPr>
            <w:rStyle w:val="af1"/>
          </w:rPr>
          <w:t>CCPR/C/105/D/1784/2008</w:t>
        </w:r>
      </w:hyperlink>
      <w:r>
        <w:t>), п.</w:t>
      </w:r>
      <w:r w:rsidR="009A1C75">
        <w:rPr>
          <w:lang w:val="en-US"/>
        </w:rPr>
        <w:t> </w:t>
      </w:r>
      <w:r>
        <w:t xml:space="preserve">8.3. </w:t>
      </w:r>
    </w:p>
  </w:footnote>
  <w:footnote w:id="6">
    <w:p w14:paraId="24F496D3" w14:textId="77777777" w:rsidR="00D71714" w:rsidRPr="00BD7B2A" w:rsidRDefault="00D71714" w:rsidP="00D71714">
      <w:pPr>
        <w:pStyle w:val="ad"/>
      </w:pPr>
      <w:r w:rsidRPr="00555297">
        <w:tab/>
      </w:r>
      <w:r w:rsidRPr="00E02E47">
        <w:rPr>
          <w:rStyle w:val="aa"/>
        </w:rPr>
        <w:footnoteRef/>
      </w:r>
      <w:r>
        <w:tab/>
      </w:r>
      <w:r>
        <w:tab/>
        <w:t>Замечание общего порядка № 37 (2020), п. 55.</w:t>
      </w:r>
    </w:p>
  </w:footnote>
  <w:footnote w:id="7">
    <w:p w14:paraId="564AE6FB" w14:textId="77777777" w:rsidR="00D71714" w:rsidRPr="00BD7B2A" w:rsidRDefault="00D71714" w:rsidP="00D71714">
      <w:pPr>
        <w:pStyle w:val="ad"/>
      </w:pPr>
      <w:r w:rsidRPr="00555297">
        <w:tab/>
      </w:r>
      <w:r w:rsidRPr="00E02E47">
        <w:rPr>
          <w:rStyle w:val="aa"/>
        </w:rPr>
        <w:footnoteRef/>
      </w:r>
      <w:r>
        <w:t xml:space="preserve"> </w:t>
      </w:r>
      <w:r>
        <w:tab/>
        <w:t>Замечание общего порядка № 34 (2011), п. 2.</w:t>
      </w:r>
    </w:p>
  </w:footnote>
  <w:footnote w:id="8">
    <w:p w14:paraId="128C0C38" w14:textId="77777777" w:rsidR="00D71714" w:rsidRPr="00BD7B2A" w:rsidRDefault="00D71714" w:rsidP="00D71714">
      <w:pPr>
        <w:pStyle w:val="ad"/>
      </w:pPr>
      <w:r w:rsidRPr="00555297">
        <w:tab/>
      </w:r>
      <w:r w:rsidRPr="00E02E47">
        <w:rPr>
          <w:rStyle w:val="aa"/>
        </w:rPr>
        <w:footnoteRef/>
      </w:r>
      <w:r>
        <w:tab/>
        <w:t>Замечание общего порядка № 37 (2020), п. 6.</w:t>
      </w:r>
    </w:p>
  </w:footnote>
  <w:footnote w:id="9">
    <w:p w14:paraId="21BD7C70" w14:textId="77777777" w:rsidR="00D71714" w:rsidRPr="00BD7B2A" w:rsidRDefault="00D71714" w:rsidP="00D71714">
      <w:pPr>
        <w:pStyle w:val="ad"/>
      </w:pPr>
      <w:r w:rsidRPr="00555297">
        <w:tab/>
      </w:r>
      <w:r w:rsidRPr="00E02E47">
        <w:rPr>
          <w:rStyle w:val="aa"/>
        </w:rPr>
        <w:footnoteRef/>
      </w:r>
      <w:r>
        <w:tab/>
        <w:t>Там же, п. 22.</w:t>
      </w:r>
    </w:p>
  </w:footnote>
  <w:footnote w:id="10">
    <w:p w14:paraId="7D5BA216" w14:textId="77777777" w:rsidR="00D71714" w:rsidRPr="00BD7B2A" w:rsidRDefault="00D71714" w:rsidP="00D71714">
      <w:pPr>
        <w:pStyle w:val="ad"/>
      </w:pPr>
      <w:r w:rsidRPr="00555297">
        <w:tab/>
      </w:r>
      <w:r w:rsidRPr="00E02E47">
        <w:rPr>
          <w:rStyle w:val="aa"/>
        </w:rPr>
        <w:footnoteRef/>
      </w:r>
      <w:r>
        <w:tab/>
        <w:t>Там же, п. 36.</w:t>
      </w:r>
    </w:p>
  </w:footnote>
  <w:footnote w:id="11">
    <w:p w14:paraId="3F66182F" w14:textId="11A6EC6F" w:rsidR="00D71714" w:rsidRPr="00BD7B2A" w:rsidRDefault="00D71714" w:rsidP="00D71714">
      <w:pPr>
        <w:pStyle w:val="ad"/>
      </w:pPr>
      <w:r w:rsidRPr="00555297">
        <w:tab/>
      </w:r>
      <w:r w:rsidRPr="00E02E47">
        <w:rPr>
          <w:rStyle w:val="aa"/>
        </w:rPr>
        <w:footnoteRef/>
      </w:r>
      <w:r>
        <w:tab/>
        <w:t xml:space="preserve">См. </w:t>
      </w:r>
      <w:proofErr w:type="spellStart"/>
      <w:r>
        <w:rPr>
          <w:i/>
          <w:iCs/>
        </w:rPr>
        <w:t>Поплавный</w:t>
      </w:r>
      <w:proofErr w:type="spellEnd"/>
      <w:r>
        <w:rPr>
          <w:i/>
          <w:iCs/>
        </w:rPr>
        <w:t xml:space="preserve"> против Беларуси</w:t>
      </w:r>
      <w:r>
        <w:t xml:space="preserve"> (</w:t>
      </w:r>
      <w:hyperlink r:id="rId7" w:history="1">
        <w:r w:rsidRPr="00A83077">
          <w:rPr>
            <w:rStyle w:val="af1"/>
          </w:rPr>
          <w:t>CCPR/C/115/D/2019/2010</w:t>
        </w:r>
      </w:hyperlink>
      <w:r>
        <w:t xml:space="preserve">), п. 8.4. </w:t>
      </w:r>
    </w:p>
  </w:footnote>
  <w:footnote w:id="12">
    <w:p w14:paraId="4ABA9605" w14:textId="77777777" w:rsidR="00D71714" w:rsidRPr="00BD7B2A" w:rsidRDefault="00D71714" w:rsidP="00D71714">
      <w:pPr>
        <w:pStyle w:val="ad"/>
      </w:pPr>
      <w:r w:rsidRPr="00555297">
        <w:tab/>
      </w:r>
      <w:r w:rsidRPr="00E02E47">
        <w:rPr>
          <w:rStyle w:val="aa"/>
        </w:rPr>
        <w:footnoteRef/>
      </w:r>
      <w:r>
        <w:tab/>
        <w:t>Замечание общего порядка № 34 (2011), п. 2.</w:t>
      </w:r>
    </w:p>
  </w:footnote>
  <w:footnote w:id="13">
    <w:p w14:paraId="731A1A93" w14:textId="77777777" w:rsidR="00D71714" w:rsidRPr="00BD7B2A" w:rsidRDefault="00D71714" w:rsidP="00D71714">
      <w:pPr>
        <w:pStyle w:val="ad"/>
      </w:pPr>
      <w:r w:rsidRPr="00555297">
        <w:tab/>
      </w:r>
      <w:r w:rsidRPr="00E02E47">
        <w:rPr>
          <w:rStyle w:val="aa"/>
        </w:rPr>
        <w:footnoteRef/>
      </w:r>
      <w:r>
        <w:tab/>
        <w:t>Там же, п. 34.</w:t>
      </w:r>
    </w:p>
  </w:footnote>
  <w:footnote w:id="14">
    <w:p w14:paraId="4B7A74A9" w14:textId="15DC00A0" w:rsidR="00D71714" w:rsidRPr="00BD7B2A" w:rsidRDefault="00D71714" w:rsidP="00D71714">
      <w:pPr>
        <w:pStyle w:val="ad"/>
      </w:pPr>
      <w:r w:rsidRPr="00555297">
        <w:tab/>
      </w:r>
      <w:r w:rsidRPr="00E02E47">
        <w:rPr>
          <w:rStyle w:val="aa"/>
        </w:rPr>
        <w:footnoteRef/>
      </w:r>
      <w:r>
        <w:tab/>
      </w:r>
      <w:r>
        <w:rPr>
          <w:i/>
          <w:iCs/>
        </w:rPr>
        <w:t>Андросенко против Беларуси</w:t>
      </w:r>
      <w:r>
        <w:t xml:space="preserve"> (</w:t>
      </w:r>
      <w:hyperlink r:id="rId8" w:history="1">
        <w:r w:rsidRPr="007D28FE">
          <w:rPr>
            <w:rStyle w:val="af1"/>
          </w:rPr>
          <w:t>CCPR/C/116/D/2092/2011</w:t>
        </w:r>
      </w:hyperlink>
      <w:r>
        <w:t>), п. 7.3.</w:t>
      </w:r>
    </w:p>
  </w:footnote>
  <w:footnote w:id="15">
    <w:p w14:paraId="33DA4998" w14:textId="77777777" w:rsidR="00D71714" w:rsidRPr="00E02E47" w:rsidRDefault="00D71714" w:rsidP="00D71714">
      <w:pPr>
        <w:pStyle w:val="ad"/>
      </w:pPr>
      <w:r w:rsidRPr="00E02E47">
        <w:tab/>
      </w:r>
      <w:r w:rsidRPr="00E02E47">
        <w:rPr>
          <w:rStyle w:val="aa"/>
        </w:rPr>
        <w:footnoteRef/>
      </w:r>
      <w:r>
        <w:tab/>
        <w:t>Замечание общего порядка № 34 (2011), п. 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ABC7" w14:textId="53E22F00" w:rsidR="00D71714" w:rsidRPr="00D71714" w:rsidRDefault="00B77AE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CCPR/C/132/D/2865/2016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1295" w14:textId="411B687E" w:rsidR="00D71714" w:rsidRPr="00D71714" w:rsidRDefault="00B77AEE" w:rsidP="00D7171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CCPR/C/132/D/2865/2016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3E1C" w14:textId="77777777" w:rsidR="00D71714" w:rsidRDefault="00D71714" w:rsidP="00D717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C8"/>
    <w:rsid w:val="00033EE1"/>
    <w:rsid w:val="000358F2"/>
    <w:rsid w:val="00042B72"/>
    <w:rsid w:val="00043023"/>
    <w:rsid w:val="000558BD"/>
    <w:rsid w:val="000B57E7"/>
    <w:rsid w:val="000B6373"/>
    <w:rsid w:val="000E1058"/>
    <w:rsid w:val="000F09DF"/>
    <w:rsid w:val="000F61B2"/>
    <w:rsid w:val="001075E9"/>
    <w:rsid w:val="00180183"/>
    <w:rsid w:val="0018024D"/>
    <w:rsid w:val="00181164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3B5C7A"/>
    <w:rsid w:val="00407B78"/>
    <w:rsid w:val="00424203"/>
    <w:rsid w:val="00452493"/>
    <w:rsid w:val="00454E07"/>
    <w:rsid w:val="00472C5C"/>
    <w:rsid w:val="004969B2"/>
    <w:rsid w:val="0050108D"/>
    <w:rsid w:val="00502124"/>
    <w:rsid w:val="00513081"/>
    <w:rsid w:val="00517901"/>
    <w:rsid w:val="00526683"/>
    <w:rsid w:val="00532364"/>
    <w:rsid w:val="0054106A"/>
    <w:rsid w:val="005709E0"/>
    <w:rsid w:val="00572E19"/>
    <w:rsid w:val="005961C8"/>
    <w:rsid w:val="005D7914"/>
    <w:rsid w:val="005E2B41"/>
    <w:rsid w:val="005F0B42"/>
    <w:rsid w:val="0064231E"/>
    <w:rsid w:val="00666B97"/>
    <w:rsid w:val="006744C8"/>
    <w:rsid w:val="00681A10"/>
    <w:rsid w:val="00690FC4"/>
    <w:rsid w:val="006A1ED8"/>
    <w:rsid w:val="006C2031"/>
    <w:rsid w:val="006D461A"/>
    <w:rsid w:val="006F35EE"/>
    <w:rsid w:val="007021FF"/>
    <w:rsid w:val="00712895"/>
    <w:rsid w:val="0075523D"/>
    <w:rsid w:val="00757357"/>
    <w:rsid w:val="00760F45"/>
    <w:rsid w:val="00787D3A"/>
    <w:rsid w:val="00791B9D"/>
    <w:rsid w:val="007D28FE"/>
    <w:rsid w:val="00802FC4"/>
    <w:rsid w:val="00825F8D"/>
    <w:rsid w:val="00834B71"/>
    <w:rsid w:val="0086445C"/>
    <w:rsid w:val="00894693"/>
    <w:rsid w:val="008A08D7"/>
    <w:rsid w:val="008B6909"/>
    <w:rsid w:val="008F75A3"/>
    <w:rsid w:val="009036C8"/>
    <w:rsid w:val="00906890"/>
    <w:rsid w:val="00911BE4"/>
    <w:rsid w:val="00931A71"/>
    <w:rsid w:val="00951972"/>
    <w:rsid w:val="009608F3"/>
    <w:rsid w:val="0096513E"/>
    <w:rsid w:val="00970322"/>
    <w:rsid w:val="009918E2"/>
    <w:rsid w:val="009A1C75"/>
    <w:rsid w:val="009A24AC"/>
    <w:rsid w:val="009D21FD"/>
    <w:rsid w:val="00A14DA8"/>
    <w:rsid w:val="00A312BC"/>
    <w:rsid w:val="00A34D07"/>
    <w:rsid w:val="00A443A4"/>
    <w:rsid w:val="00A83077"/>
    <w:rsid w:val="00A84021"/>
    <w:rsid w:val="00A84D35"/>
    <w:rsid w:val="00A84FD5"/>
    <w:rsid w:val="00A917B3"/>
    <w:rsid w:val="00AB4B51"/>
    <w:rsid w:val="00AD6F87"/>
    <w:rsid w:val="00B10CC7"/>
    <w:rsid w:val="00B136DB"/>
    <w:rsid w:val="00B539E7"/>
    <w:rsid w:val="00B62458"/>
    <w:rsid w:val="00B77AEE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71714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A502A"/>
    <w:rsid w:val="00ED0BDA"/>
    <w:rsid w:val="00EF1360"/>
    <w:rsid w:val="00EF3220"/>
    <w:rsid w:val="00F26022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502EE"/>
  <w15:docId w15:val="{CB78FF19-19F3-4B3F-8316-454C4726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7D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CPR/C/116/D/2092/2011" TargetMode="External"/><Relationship Id="rId3" Type="http://schemas.openxmlformats.org/officeDocument/2006/relationships/hyperlink" Target="http://undocs.org/ru/CCPR/C/115/D/2016/2010" TargetMode="External"/><Relationship Id="rId7" Type="http://schemas.openxmlformats.org/officeDocument/2006/relationships/hyperlink" Target="http://undocs.org/ru/CCPR/C/115/D/2019/2010" TargetMode="External"/><Relationship Id="rId2" Type="http://schemas.openxmlformats.org/officeDocument/2006/relationships/hyperlink" Target="http://undocs.org/ru/CCPR/C/112/D/1929/2010" TargetMode="External"/><Relationship Id="rId1" Type="http://schemas.openxmlformats.org/officeDocument/2006/relationships/hyperlink" Target="http://undocs.org/ru/CCPR/C/109/D/1873/2009" TargetMode="External"/><Relationship Id="rId6" Type="http://schemas.openxmlformats.org/officeDocument/2006/relationships/hyperlink" Target="http://undocs.org/ru/CCPR/C/105/D/1784/2008" TargetMode="External"/><Relationship Id="rId5" Type="http://schemas.openxmlformats.org/officeDocument/2006/relationships/hyperlink" Target="http://undocs.org/ru/CCPR/C/109/D/1851/2008" TargetMode="External"/><Relationship Id="rId4" Type="http://schemas.openxmlformats.org/officeDocument/2006/relationships/hyperlink" Target="https://documents-dds-ny.un.org/doc/UNDOC/DER/G03/414/90/PDF/G0341490.pdf?OpenEl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11</TotalTime>
  <Pages>7</Pages>
  <Words>2970</Words>
  <Characters>19389</Characters>
  <Application>Microsoft Office Word</Application>
  <DocSecurity>0</DocSecurity>
  <Lines>347</Lines>
  <Paragraphs>77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CCPR/C/132/D/2865/2016</dc:title>
  <dc:subject/>
  <dc:creator>Shuvalova NATALIA</dc:creator>
  <cp:keywords/>
  <cp:lastModifiedBy>Natalia Shuvalova</cp:lastModifiedBy>
  <cp:revision>3</cp:revision>
  <cp:lastPrinted>2022-06-20T14:04:00Z</cp:lastPrinted>
  <dcterms:created xsi:type="dcterms:W3CDTF">2022-06-20T14:04:00Z</dcterms:created>
  <dcterms:modified xsi:type="dcterms:W3CDTF">2022-06-20T14:05:00Z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