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9D92117" w14:textId="77777777" w:rsidTr="005B51C4">
        <w:trPr>
          <w:trHeight w:hRule="exact" w:val="851"/>
        </w:trPr>
        <w:tc>
          <w:tcPr>
            <w:tcW w:w="1274" w:type="dxa"/>
            <w:tcBorders>
              <w:bottom w:val="single" w:sz="4" w:space="0" w:color="auto"/>
            </w:tcBorders>
            <w:shd w:val="clear" w:color="auto" w:fill="auto"/>
          </w:tcPr>
          <w:p w14:paraId="3FEB12A7" w14:textId="77777777" w:rsidR="006B3E27" w:rsidRPr="00C175A6" w:rsidRDefault="006B3E27" w:rsidP="00A3602F">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3837755F"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29E9C25" w14:textId="0FC376D5" w:rsidR="006B3E27" w:rsidRPr="0043590E" w:rsidRDefault="0043590E" w:rsidP="0043590E">
            <w:pPr>
              <w:bidi w:val="0"/>
              <w:rPr>
                <w:szCs w:val="20"/>
              </w:rPr>
            </w:pPr>
            <w:r w:rsidRPr="003C1159">
              <w:rPr>
                <w:sz w:val="40"/>
                <w:szCs w:val="20"/>
              </w:rPr>
              <w:t>CCPR</w:t>
            </w:r>
            <w:r w:rsidRPr="003C1159">
              <w:rPr>
                <w:szCs w:val="20"/>
              </w:rPr>
              <w:t>/C/</w:t>
            </w:r>
            <w:r w:rsidRPr="007B4248">
              <w:rPr>
                <w:szCs w:val="20"/>
              </w:rPr>
              <w:t>133</w:t>
            </w:r>
            <w:r w:rsidRPr="003C1159">
              <w:rPr>
                <w:szCs w:val="20"/>
              </w:rPr>
              <w:t>/D/</w:t>
            </w:r>
            <w:r w:rsidRPr="007B4248">
              <w:rPr>
                <w:szCs w:val="20"/>
              </w:rPr>
              <w:t>2899</w:t>
            </w:r>
            <w:r w:rsidRPr="003C1159">
              <w:rPr>
                <w:szCs w:val="20"/>
              </w:rPr>
              <w:t>/</w:t>
            </w:r>
            <w:r w:rsidRPr="007B4248">
              <w:rPr>
                <w:szCs w:val="20"/>
              </w:rPr>
              <w:t>2016</w:t>
            </w:r>
          </w:p>
        </w:tc>
      </w:tr>
      <w:tr w:rsidR="006B3E27" w:rsidRPr="00C175A6" w14:paraId="5410E556" w14:textId="77777777" w:rsidTr="005B51C4">
        <w:trPr>
          <w:trHeight w:hRule="exact" w:val="2835"/>
        </w:trPr>
        <w:tc>
          <w:tcPr>
            <w:tcW w:w="1274" w:type="dxa"/>
            <w:tcBorders>
              <w:top w:val="single" w:sz="4" w:space="0" w:color="auto"/>
              <w:bottom w:val="single" w:sz="12" w:space="0" w:color="auto"/>
            </w:tcBorders>
            <w:shd w:val="clear" w:color="auto" w:fill="auto"/>
          </w:tcPr>
          <w:p w14:paraId="79D74D8A"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C92AFDF" wp14:editId="4271CF62">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3C68D56" w14:textId="77777777" w:rsidR="006B3E27" w:rsidRPr="007B4248" w:rsidRDefault="00ED7442" w:rsidP="00730446">
            <w:pPr>
              <w:spacing w:before="120" w:after="40" w:line="640" w:lineRule="exact"/>
              <w:ind w:left="57"/>
              <w:rPr>
                <w:b/>
                <w:bCs/>
                <w:sz w:val="46"/>
                <w:szCs w:val="46"/>
              </w:rPr>
            </w:pPr>
            <w:r w:rsidRPr="007B4248">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20B3C53" w14:textId="77777777" w:rsidR="00232907" w:rsidRPr="00232907" w:rsidRDefault="00232907" w:rsidP="00232907">
            <w:pPr>
              <w:bidi w:val="0"/>
              <w:spacing w:before="240"/>
              <w:jc w:val="left"/>
              <w:rPr>
                <w:rFonts w:eastAsia="Times New Roman" w:cs="Times New Roman"/>
                <w:szCs w:val="20"/>
                <w:lang w:val="en-GB"/>
              </w:rPr>
            </w:pPr>
            <w:r w:rsidRPr="00232907">
              <w:rPr>
                <w:rFonts w:eastAsia="Times New Roman" w:cs="Times New Roman"/>
                <w:szCs w:val="20"/>
                <w:lang w:val="en-GB"/>
              </w:rPr>
              <w:t>Distr.: General</w:t>
            </w:r>
          </w:p>
          <w:p w14:paraId="5415EE6E" w14:textId="77777777" w:rsidR="00232907" w:rsidRPr="00232907" w:rsidRDefault="00232907" w:rsidP="00232907">
            <w:pPr>
              <w:bidi w:val="0"/>
              <w:jc w:val="left"/>
              <w:rPr>
                <w:rFonts w:eastAsia="Times New Roman" w:cs="Times New Roman"/>
                <w:szCs w:val="20"/>
                <w:lang w:val="en-GB"/>
              </w:rPr>
            </w:pPr>
            <w:r w:rsidRPr="00232907">
              <w:rPr>
                <w:rFonts w:eastAsia="Times New Roman" w:cs="Times New Roman"/>
                <w:szCs w:val="20"/>
                <w:lang w:val="en-GB"/>
              </w:rPr>
              <w:t>13 January 2022</w:t>
            </w:r>
          </w:p>
          <w:p w14:paraId="6868C73A" w14:textId="5FE119AE" w:rsidR="00232907" w:rsidRPr="00232907" w:rsidRDefault="00232907" w:rsidP="00232907">
            <w:pPr>
              <w:bidi w:val="0"/>
              <w:jc w:val="left"/>
              <w:rPr>
                <w:rFonts w:eastAsia="Times New Roman" w:cs="Times New Roman"/>
                <w:szCs w:val="20"/>
                <w:lang w:val="en-GB"/>
              </w:rPr>
            </w:pPr>
            <w:r>
              <w:rPr>
                <w:rFonts w:eastAsia="Times New Roman" w:cs="Times New Roman"/>
                <w:szCs w:val="20"/>
                <w:lang w:val="en-GB"/>
              </w:rPr>
              <w:t>Arabic</w:t>
            </w:r>
          </w:p>
          <w:p w14:paraId="0328ECCB" w14:textId="16AFF109" w:rsidR="0043590E" w:rsidRPr="00232907" w:rsidRDefault="00232907" w:rsidP="00232907">
            <w:pPr>
              <w:bidi w:val="0"/>
              <w:spacing w:line="240" w:lineRule="exact"/>
              <w:jc w:val="left"/>
              <w:rPr>
                <w:szCs w:val="20"/>
                <w:lang w:val="en-GB"/>
              </w:rPr>
            </w:pPr>
            <w:r w:rsidRPr="00232907">
              <w:rPr>
                <w:rFonts w:eastAsia="Times New Roman" w:cs="Times New Roman"/>
                <w:szCs w:val="20"/>
                <w:lang w:val="en-GB"/>
              </w:rPr>
              <w:t>Original: English</w:t>
            </w:r>
          </w:p>
        </w:tc>
      </w:tr>
    </w:tbl>
    <w:p w14:paraId="7039B467" w14:textId="77777777" w:rsidR="00883A9F" w:rsidRPr="007B4248" w:rsidRDefault="00883A9F" w:rsidP="001A0600">
      <w:pPr>
        <w:pStyle w:val="SingleTxtGA"/>
        <w:spacing w:before="120"/>
        <w:ind w:left="0"/>
        <w:rPr>
          <w:b/>
          <w:bCs/>
          <w:rtl/>
          <w:lang w:val="fr-CH"/>
        </w:rPr>
      </w:pPr>
      <w:r w:rsidRPr="007B4248">
        <w:rPr>
          <w:b/>
          <w:bCs/>
          <w:sz w:val="26"/>
          <w:szCs w:val="26"/>
          <w:rtl/>
          <w:lang w:val="fr-CH"/>
        </w:rPr>
        <w:t>اللجنة المعنية بحقوق الإنسان</w:t>
      </w:r>
    </w:p>
    <w:p w14:paraId="70CAD797" w14:textId="22DFC36D" w:rsidR="00883A9F" w:rsidRPr="007B4248" w:rsidRDefault="00883A9F" w:rsidP="00883A9F">
      <w:pPr>
        <w:pStyle w:val="HChGA"/>
        <w:rPr>
          <w:rtl/>
        </w:rPr>
      </w:pPr>
      <w:r w:rsidRPr="007B4248">
        <w:rPr>
          <w:rtl/>
        </w:rPr>
        <w:tab/>
      </w:r>
      <w:r w:rsidRPr="007B4248">
        <w:rPr>
          <w:rtl/>
        </w:rPr>
        <w:tab/>
        <w:t>آراء اعتمدتها اللجنة بموجب المادة 5(4) من البروتوكول الاختياري</w:t>
      </w:r>
      <w:r w:rsidR="003C1159" w:rsidRPr="007B4248">
        <w:rPr>
          <w:rtl/>
        </w:rPr>
        <w:t>،</w:t>
      </w:r>
      <w:r w:rsidRPr="007B4248">
        <w:rPr>
          <w:rtl/>
        </w:rPr>
        <w:t xml:space="preserve"> بشأن البلاغ رقم 2899</w:t>
      </w:r>
      <w:r w:rsidR="00232907" w:rsidRPr="007B4248">
        <w:rPr>
          <w:rFonts w:hint="cs"/>
          <w:rtl/>
        </w:rPr>
        <w:t>/</w:t>
      </w:r>
      <w:r w:rsidR="00232907" w:rsidRPr="007B4248">
        <w:rPr>
          <w:rtl/>
        </w:rPr>
        <w:t>2016</w:t>
      </w:r>
      <w:r w:rsidR="001A0600" w:rsidRPr="007B4248">
        <w:rPr>
          <w:rStyle w:val="FootnoteReference"/>
          <w:sz w:val="26"/>
          <w:szCs w:val="26"/>
          <w:vertAlign w:val="baseline"/>
          <w:rtl/>
        </w:rPr>
        <w:footnoteReference w:customMarkFollows="1" w:id="1"/>
        <w:t>*</w:t>
      </w:r>
      <w:r w:rsidR="001A0600" w:rsidRPr="007B4248">
        <w:rPr>
          <w:rFonts w:hint="cs"/>
          <w:sz w:val="34"/>
          <w:szCs w:val="34"/>
          <w:rtl/>
        </w:rPr>
        <w:t xml:space="preserve"> </w:t>
      </w:r>
      <w:r w:rsidR="001A0600" w:rsidRPr="007B4248">
        <w:rPr>
          <w:rStyle w:val="FootnoteReference"/>
          <w:sz w:val="26"/>
          <w:szCs w:val="26"/>
          <w:vertAlign w:val="baseline"/>
          <w:rtl/>
        </w:rPr>
        <w:footnoteReference w:customMarkFollows="1" w:id="2"/>
        <w:t>**</w:t>
      </w:r>
    </w:p>
    <w:p w14:paraId="30BDA595" w14:textId="7150542D" w:rsidR="00883A9F" w:rsidRPr="00232907" w:rsidRDefault="00883A9F" w:rsidP="00232907">
      <w:pPr>
        <w:pStyle w:val="SingleTxtGA"/>
        <w:tabs>
          <w:tab w:val="clear" w:pos="1928"/>
          <w:tab w:val="clear" w:pos="2608"/>
          <w:tab w:val="clear" w:pos="3289"/>
          <w:tab w:val="clear" w:pos="3969"/>
          <w:tab w:val="clear" w:pos="4649"/>
          <w:tab w:val="clear" w:pos="5330"/>
        </w:tabs>
        <w:ind w:left="4649" w:hanging="2721"/>
        <w:rPr>
          <w:rtl/>
        </w:rPr>
      </w:pPr>
      <w:r w:rsidRPr="007B4248">
        <w:rPr>
          <w:i/>
          <w:iCs/>
          <w:rtl/>
        </w:rPr>
        <w:t>بلاغ مقدم من</w:t>
      </w:r>
      <w:r w:rsidR="00232907" w:rsidRPr="007B4248">
        <w:rPr>
          <w:i/>
          <w:iCs/>
          <w:rtl/>
        </w:rPr>
        <w:t>:</w:t>
      </w:r>
      <w:r w:rsidR="00232907">
        <w:rPr>
          <w:rtl/>
        </w:rPr>
        <w:tab/>
      </w:r>
      <w:r w:rsidRPr="00232907">
        <w:rPr>
          <w:rtl/>
        </w:rPr>
        <w:t xml:space="preserve">إلينا </w:t>
      </w:r>
      <w:proofErr w:type="spellStart"/>
      <w:r w:rsidRPr="00232907">
        <w:rPr>
          <w:rtl/>
        </w:rPr>
        <w:t>لوتسكوفيتش</w:t>
      </w:r>
      <w:proofErr w:type="spellEnd"/>
      <w:r w:rsidRPr="00232907">
        <w:rPr>
          <w:rtl/>
        </w:rPr>
        <w:t xml:space="preserve"> (يمثلها المحامي ليونيد </w:t>
      </w:r>
      <w:proofErr w:type="spellStart"/>
      <w:r w:rsidRPr="00232907">
        <w:rPr>
          <w:rtl/>
        </w:rPr>
        <w:t>سودالنكو</w:t>
      </w:r>
      <w:proofErr w:type="spellEnd"/>
      <w:r w:rsidRPr="00232907">
        <w:rPr>
          <w:rtl/>
        </w:rPr>
        <w:t>)</w:t>
      </w:r>
    </w:p>
    <w:p w14:paraId="768603FE" w14:textId="30DB3C5C" w:rsidR="00883A9F" w:rsidRPr="00232907" w:rsidRDefault="00883A9F" w:rsidP="00232907">
      <w:pPr>
        <w:pStyle w:val="SingleTxtGA"/>
        <w:tabs>
          <w:tab w:val="clear" w:pos="1928"/>
          <w:tab w:val="clear" w:pos="2608"/>
          <w:tab w:val="clear" w:pos="3289"/>
          <w:tab w:val="clear" w:pos="3969"/>
          <w:tab w:val="clear" w:pos="4649"/>
          <w:tab w:val="clear" w:pos="5330"/>
        </w:tabs>
        <w:ind w:left="4649" w:hanging="2721"/>
        <w:rPr>
          <w:rtl/>
        </w:rPr>
      </w:pPr>
      <w:r w:rsidRPr="007B4248">
        <w:rPr>
          <w:i/>
          <w:iCs/>
          <w:rtl/>
        </w:rPr>
        <w:t>الشخص المدعى أنه ضحية</w:t>
      </w:r>
      <w:r w:rsidR="00232907" w:rsidRPr="007B4248">
        <w:rPr>
          <w:i/>
          <w:iCs/>
          <w:rtl/>
        </w:rPr>
        <w:t>:</w:t>
      </w:r>
      <w:r w:rsidR="00232907">
        <w:rPr>
          <w:rtl/>
        </w:rPr>
        <w:tab/>
      </w:r>
      <w:r w:rsidRPr="00232907">
        <w:rPr>
          <w:rtl/>
        </w:rPr>
        <w:t>صاحبة البلاغ</w:t>
      </w:r>
    </w:p>
    <w:p w14:paraId="0E541054" w14:textId="706D86D4" w:rsidR="00883A9F" w:rsidRPr="00232907" w:rsidRDefault="00883A9F" w:rsidP="00232907">
      <w:pPr>
        <w:pStyle w:val="SingleTxtGA"/>
        <w:tabs>
          <w:tab w:val="clear" w:pos="1928"/>
          <w:tab w:val="clear" w:pos="2608"/>
          <w:tab w:val="clear" w:pos="3289"/>
          <w:tab w:val="clear" w:pos="3969"/>
          <w:tab w:val="clear" w:pos="4649"/>
          <w:tab w:val="clear" w:pos="5330"/>
        </w:tabs>
        <w:ind w:left="4649" w:hanging="2721"/>
        <w:rPr>
          <w:rtl/>
        </w:rPr>
      </w:pPr>
      <w:r w:rsidRPr="007B4248">
        <w:rPr>
          <w:i/>
          <w:iCs/>
          <w:rtl/>
        </w:rPr>
        <w:t>الدولة الطرف</w:t>
      </w:r>
      <w:r w:rsidR="00232907" w:rsidRPr="007B4248">
        <w:rPr>
          <w:i/>
          <w:iCs/>
          <w:rtl/>
        </w:rPr>
        <w:t>:</w:t>
      </w:r>
      <w:r w:rsidR="00232907">
        <w:rPr>
          <w:rtl/>
        </w:rPr>
        <w:tab/>
      </w:r>
      <w:r w:rsidRPr="00232907">
        <w:rPr>
          <w:rtl/>
        </w:rPr>
        <w:t>بيلاروس</w:t>
      </w:r>
    </w:p>
    <w:p w14:paraId="4A030D1A" w14:textId="50D78E91" w:rsidR="00883A9F" w:rsidRPr="00232907" w:rsidRDefault="00883A9F" w:rsidP="00232907">
      <w:pPr>
        <w:pStyle w:val="SingleTxtGA"/>
        <w:tabs>
          <w:tab w:val="clear" w:pos="1928"/>
          <w:tab w:val="clear" w:pos="2608"/>
          <w:tab w:val="clear" w:pos="3289"/>
          <w:tab w:val="clear" w:pos="3969"/>
          <w:tab w:val="clear" w:pos="4649"/>
          <w:tab w:val="clear" w:pos="5330"/>
        </w:tabs>
        <w:ind w:left="4649" w:hanging="2721"/>
        <w:rPr>
          <w:rtl/>
        </w:rPr>
      </w:pPr>
      <w:r w:rsidRPr="007B4248">
        <w:rPr>
          <w:i/>
          <w:iCs/>
          <w:rtl/>
        </w:rPr>
        <w:t>تاريخ تقديم البلاغ</w:t>
      </w:r>
      <w:r w:rsidR="00232907" w:rsidRPr="007B4248">
        <w:rPr>
          <w:i/>
          <w:iCs/>
          <w:rtl/>
        </w:rPr>
        <w:t>:</w:t>
      </w:r>
      <w:r w:rsidR="00232907">
        <w:rPr>
          <w:rtl/>
        </w:rPr>
        <w:tab/>
      </w:r>
      <w:r w:rsidRPr="007B4248">
        <w:rPr>
          <w:rtl/>
        </w:rPr>
        <w:t>1</w:t>
      </w:r>
      <w:r w:rsidRPr="00232907">
        <w:rPr>
          <w:rtl/>
        </w:rPr>
        <w:t xml:space="preserve"> حزيران/</w:t>
      </w:r>
      <w:proofErr w:type="gramStart"/>
      <w:r w:rsidRPr="00232907">
        <w:rPr>
          <w:rtl/>
        </w:rPr>
        <w:t>يونيه</w:t>
      </w:r>
      <w:proofErr w:type="gramEnd"/>
      <w:r w:rsidRPr="00232907">
        <w:rPr>
          <w:rtl/>
        </w:rPr>
        <w:t xml:space="preserve"> </w:t>
      </w:r>
      <w:r w:rsidRPr="007B4248">
        <w:rPr>
          <w:rtl/>
        </w:rPr>
        <w:t>2016</w:t>
      </w:r>
      <w:r w:rsidRPr="00232907">
        <w:rPr>
          <w:rtl/>
        </w:rPr>
        <w:t xml:space="preserve"> (تاريخ الرسالة الأولى)</w:t>
      </w:r>
    </w:p>
    <w:p w14:paraId="721A8D30" w14:textId="58EBE44B" w:rsidR="00883A9F" w:rsidRPr="00232907" w:rsidRDefault="00883A9F" w:rsidP="00232907">
      <w:pPr>
        <w:pStyle w:val="SingleTxtGA"/>
        <w:tabs>
          <w:tab w:val="clear" w:pos="1928"/>
          <w:tab w:val="clear" w:pos="2608"/>
          <w:tab w:val="clear" w:pos="3289"/>
          <w:tab w:val="clear" w:pos="3969"/>
          <w:tab w:val="clear" w:pos="4649"/>
          <w:tab w:val="clear" w:pos="5330"/>
        </w:tabs>
        <w:ind w:left="4649" w:hanging="2721"/>
        <w:rPr>
          <w:rtl/>
        </w:rPr>
      </w:pPr>
      <w:r w:rsidRPr="007B4248">
        <w:rPr>
          <w:i/>
          <w:iCs/>
          <w:rtl/>
        </w:rPr>
        <w:t>الوثائق المرجعية</w:t>
      </w:r>
      <w:r w:rsidR="00232907" w:rsidRPr="007B4248">
        <w:rPr>
          <w:i/>
          <w:iCs/>
          <w:rtl/>
        </w:rPr>
        <w:t>:</w:t>
      </w:r>
      <w:r w:rsidR="00232907">
        <w:rPr>
          <w:rtl/>
        </w:rPr>
        <w:tab/>
      </w:r>
      <w:r w:rsidRPr="00232907">
        <w:rPr>
          <w:rtl/>
        </w:rPr>
        <w:t xml:space="preserve">القرار المتخذ بموجب المادة </w:t>
      </w:r>
      <w:r w:rsidRPr="007B4248">
        <w:rPr>
          <w:rtl/>
        </w:rPr>
        <w:t>92</w:t>
      </w:r>
      <w:r w:rsidRPr="00232907">
        <w:rPr>
          <w:rtl/>
        </w:rPr>
        <w:t xml:space="preserve"> من النظام الداخلي للجنة</w:t>
      </w:r>
      <w:r w:rsidR="003C1159">
        <w:rPr>
          <w:rtl/>
        </w:rPr>
        <w:t>،</w:t>
      </w:r>
      <w:r w:rsidRPr="00232907">
        <w:rPr>
          <w:rtl/>
        </w:rPr>
        <w:t xml:space="preserve"> والمحال إلى الدولة الطرف في </w:t>
      </w:r>
      <w:r w:rsidRPr="007B4248">
        <w:rPr>
          <w:rtl/>
        </w:rPr>
        <w:t>15</w:t>
      </w:r>
      <w:r w:rsidRPr="00232907">
        <w:rPr>
          <w:rtl/>
        </w:rPr>
        <w:t xml:space="preserve"> كانون الأول/</w:t>
      </w:r>
      <w:r w:rsidR="00232907" w:rsidRPr="00232907">
        <w:rPr>
          <w:rFonts w:hint="cs"/>
          <w:rtl/>
        </w:rPr>
        <w:t xml:space="preserve"> </w:t>
      </w:r>
      <w:r w:rsidRPr="00232907">
        <w:rPr>
          <w:rtl/>
        </w:rPr>
        <w:t>ديسمبر (لم يصدر في شكل وثيقة)</w:t>
      </w:r>
    </w:p>
    <w:p w14:paraId="7FA7561B" w14:textId="353DEE08" w:rsidR="00883A9F" w:rsidRPr="00232907" w:rsidRDefault="00883A9F" w:rsidP="00232907">
      <w:pPr>
        <w:pStyle w:val="SingleTxtGA"/>
        <w:tabs>
          <w:tab w:val="clear" w:pos="1928"/>
          <w:tab w:val="clear" w:pos="2608"/>
          <w:tab w:val="clear" w:pos="3289"/>
          <w:tab w:val="clear" w:pos="3969"/>
          <w:tab w:val="clear" w:pos="4649"/>
          <w:tab w:val="clear" w:pos="5330"/>
        </w:tabs>
        <w:ind w:left="4649" w:hanging="2721"/>
        <w:rPr>
          <w:rtl/>
        </w:rPr>
      </w:pPr>
      <w:r w:rsidRPr="007B4248">
        <w:rPr>
          <w:i/>
          <w:iCs/>
          <w:rtl/>
        </w:rPr>
        <w:t>تاريخ اعتماد الآراء</w:t>
      </w:r>
      <w:r w:rsidR="00232907" w:rsidRPr="007B4248">
        <w:rPr>
          <w:i/>
          <w:iCs/>
          <w:rtl/>
        </w:rPr>
        <w:t>:</w:t>
      </w:r>
      <w:r w:rsidR="00232907">
        <w:rPr>
          <w:rtl/>
        </w:rPr>
        <w:tab/>
      </w:r>
      <w:r w:rsidRPr="007B4248">
        <w:rPr>
          <w:rtl/>
        </w:rPr>
        <w:t>19</w:t>
      </w:r>
      <w:r w:rsidRPr="00232907">
        <w:rPr>
          <w:rtl/>
        </w:rPr>
        <w:t xml:space="preserve"> تشرين الأول/أكتوبر </w:t>
      </w:r>
      <w:r w:rsidRPr="007B4248">
        <w:rPr>
          <w:rtl/>
        </w:rPr>
        <w:t>2021</w:t>
      </w:r>
    </w:p>
    <w:p w14:paraId="519F4AC2" w14:textId="2102B3CA" w:rsidR="00883A9F" w:rsidRPr="00232907" w:rsidRDefault="00883A9F" w:rsidP="00232907">
      <w:pPr>
        <w:pStyle w:val="SingleTxtGA"/>
        <w:tabs>
          <w:tab w:val="clear" w:pos="1928"/>
          <w:tab w:val="clear" w:pos="2608"/>
          <w:tab w:val="clear" w:pos="3289"/>
          <w:tab w:val="clear" w:pos="3969"/>
          <w:tab w:val="clear" w:pos="4649"/>
          <w:tab w:val="clear" w:pos="5330"/>
        </w:tabs>
        <w:ind w:left="4649" w:hanging="2721"/>
        <w:rPr>
          <w:rtl/>
        </w:rPr>
      </w:pPr>
      <w:r w:rsidRPr="007B4248">
        <w:rPr>
          <w:i/>
          <w:iCs/>
          <w:rtl/>
        </w:rPr>
        <w:t>الموضوع</w:t>
      </w:r>
      <w:r w:rsidR="00232907" w:rsidRPr="007B4248">
        <w:rPr>
          <w:i/>
          <w:iCs/>
          <w:rtl/>
        </w:rPr>
        <w:t>:</w:t>
      </w:r>
      <w:r w:rsidR="00232907">
        <w:rPr>
          <w:rtl/>
        </w:rPr>
        <w:tab/>
      </w:r>
      <w:r w:rsidRPr="00232907">
        <w:rPr>
          <w:spacing w:val="-6"/>
          <w:rtl/>
        </w:rPr>
        <w:t>فرض غرامة إدارية على صاحبة البلاغ بسبب حمل ملصق</w:t>
      </w:r>
    </w:p>
    <w:p w14:paraId="6703E58B" w14:textId="129F8A9E" w:rsidR="00883A9F" w:rsidRPr="00232907" w:rsidRDefault="00883A9F" w:rsidP="00232907">
      <w:pPr>
        <w:pStyle w:val="SingleTxtGA"/>
        <w:tabs>
          <w:tab w:val="clear" w:pos="1928"/>
          <w:tab w:val="clear" w:pos="2608"/>
          <w:tab w:val="clear" w:pos="3289"/>
          <w:tab w:val="clear" w:pos="3969"/>
          <w:tab w:val="clear" w:pos="4649"/>
          <w:tab w:val="clear" w:pos="5330"/>
        </w:tabs>
        <w:ind w:left="4649" w:hanging="2721"/>
        <w:rPr>
          <w:rtl/>
        </w:rPr>
      </w:pPr>
      <w:r w:rsidRPr="007B4248">
        <w:rPr>
          <w:i/>
          <w:iCs/>
          <w:rtl/>
        </w:rPr>
        <w:t>المسائل الإجرائية</w:t>
      </w:r>
      <w:r w:rsidR="00232907" w:rsidRPr="007B4248">
        <w:rPr>
          <w:i/>
          <w:iCs/>
          <w:rtl/>
        </w:rPr>
        <w:t>:</w:t>
      </w:r>
      <w:r w:rsidR="00232907">
        <w:rPr>
          <w:rtl/>
        </w:rPr>
        <w:tab/>
      </w:r>
      <w:r w:rsidRPr="00232907">
        <w:rPr>
          <w:rtl/>
        </w:rPr>
        <w:t>استنفاد سبل الانتصاف المحلية</w:t>
      </w:r>
    </w:p>
    <w:p w14:paraId="1B89E302" w14:textId="219DCA6F" w:rsidR="00883A9F" w:rsidRPr="00232907" w:rsidRDefault="00883A9F" w:rsidP="00232907">
      <w:pPr>
        <w:pStyle w:val="SingleTxtGA"/>
        <w:tabs>
          <w:tab w:val="clear" w:pos="1928"/>
          <w:tab w:val="clear" w:pos="2608"/>
          <w:tab w:val="clear" w:pos="3289"/>
          <w:tab w:val="clear" w:pos="3969"/>
          <w:tab w:val="clear" w:pos="4649"/>
          <w:tab w:val="clear" w:pos="5330"/>
        </w:tabs>
        <w:ind w:left="4649" w:hanging="2721"/>
        <w:rPr>
          <w:rtl/>
        </w:rPr>
      </w:pPr>
      <w:r w:rsidRPr="007B4248">
        <w:rPr>
          <w:i/>
          <w:iCs/>
          <w:rtl/>
        </w:rPr>
        <w:t>المسائل الموضوعية</w:t>
      </w:r>
      <w:r w:rsidR="00232907" w:rsidRPr="007B4248">
        <w:rPr>
          <w:i/>
          <w:iCs/>
          <w:rtl/>
        </w:rPr>
        <w:t>:</w:t>
      </w:r>
      <w:r w:rsidR="00232907">
        <w:rPr>
          <w:rtl/>
        </w:rPr>
        <w:tab/>
      </w:r>
      <w:r w:rsidRPr="00232907">
        <w:rPr>
          <w:rtl/>
        </w:rPr>
        <w:t>حرية التعبير</w:t>
      </w:r>
    </w:p>
    <w:p w14:paraId="13D69195" w14:textId="09F7170D" w:rsidR="00883A9F" w:rsidRPr="00232907" w:rsidRDefault="00883A9F" w:rsidP="00232907">
      <w:pPr>
        <w:pStyle w:val="SingleTxtGA"/>
        <w:tabs>
          <w:tab w:val="clear" w:pos="1928"/>
          <w:tab w:val="clear" w:pos="2608"/>
          <w:tab w:val="clear" w:pos="3289"/>
          <w:tab w:val="clear" w:pos="3969"/>
          <w:tab w:val="clear" w:pos="4649"/>
          <w:tab w:val="clear" w:pos="5330"/>
        </w:tabs>
        <w:ind w:left="4649" w:hanging="2721"/>
        <w:rPr>
          <w:rtl/>
        </w:rPr>
      </w:pPr>
      <w:r w:rsidRPr="007B4248">
        <w:rPr>
          <w:i/>
          <w:iCs/>
          <w:rtl/>
        </w:rPr>
        <w:t>مواد العهد</w:t>
      </w:r>
      <w:r w:rsidR="00232907" w:rsidRPr="007B4248">
        <w:rPr>
          <w:i/>
          <w:iCs/>
          <w:rtl/>
        </w:rPr>
        <w:t>:</w:t>
      </w:r>
      <w:r w:rsidR="00232907">
        <w:rPr>
          <w:rtl/>
        </w:rPr>
        <w:tab/>
      </w:r>
      <w:r w:rsidRPr="007B4248">
        <w:rPr>
          <w:rtl/>
        </w:rPr>
        <w:t>2</w:t>
      </w:r>
      <w:r w:rsidRPr="00232907">
        <w:rPr>
          <w:rtl/>
        </w:rPr>
        <w:t>(</w:t>
      </w:r>
      <w:r w:rsidRPr="007B4248">
        <w:rPr>
          <w:rtl/>
        </w:rPr>
        <w:t>2</w:t>
      </w:r>
      <w:r w:rsidRPr="00232907">
        <w:rPr>
          <w:rtl/>
        </w:rPr>
        <w:t>)</w:t>
      </w:r>
      <w:r w:rsidR="003C1159">
        <w:rPr>
          <w:rtl/>
        </w:rPr>
        <w:t>،</w:t>
      </w:r>
      <w:r w:rsidRPr="00232907">
        <w:rPr>
          <w:rtl/>
        </w:rPr>
        <w:t xml:space="preserve"> و(</w:t>
      </w:r>
      <w:r w:rsidRPr="007B4248">
        <w:rPr>
          <w:rtl/>
        </w:rPr>
        <w:t>3</w:t>
      </w:r>
      <w:r w:rsidRPr="00232907">
        <w:rPr>
          <w:rtl/>
        </w:rPr>
        <w:t>)</w:t>
      </w:r>
      <w:r w:rsidR="003C1159">
        <w:rPr>
          <w:rtl/>
        </w:rPr>
        <w:t>،</w:t>
      </w:r>
      <w:r w:rsidRPr="00232907">
        <w:rPr>
          <w:rtl/>
        </w:rPr>
        <w:t xml:space="preserve"> و</w:t>
      </w:r>
      <w:r w:rsidRPr="007B4248">
        <w:rPr>
          <w:rtl/>
        </w:rPr>
        <w:t>19</w:t>
      </w:r>
    </w:p>
    <w:p w14:paraId="299BAA0B" w14:textId="6EC797D6" w:rsidR="00883A9F" w:rsidRPr="00232907" w:rsidRDefault="00883A9F" w:rsidP="00232907">
      <w:pPr>
        <w:pStyle w:val="SingleTxtGA"/>
        <w:tabs>
          <w:tab w:val="clear" w:pos="1928"/>
          <w:tab w:val="clear" w:pos="2608"/>
          <w:tab w:val="clear" w:pos="3289"/>
          <w:tab w:val="clear" w:pos="3969"/>
          <w:tab w:val="clear" w:pos="4649"/>
          <w:tab w:val="clear" w:pos="5330"/>
        </w:tabs>
        <w:ind w:left="4649" w:hanging="2721"/>
        <w:rPr>
          <w:rtl/>
        </w:rPr>
      </w:pPr>
      <w:r w:rsidRPr="007B4248">
        <w:rPr>
          <w:i/>
          <w:iCs/>
          <w:rtl/>
        </w:rPr>
        <w:t>مواد البروتوكول الاختياري</w:t>
      </w:r>
      <w:r w:rsidR="00232907" w:rsidRPr="007B4248">
        <w:rPr>
          <w:i/>
          <w:iCs/>
          <w:rtl/>
        </w:rPr>
        <w:t>:</w:t>
      </w:r>
      <w:r w:rsidR="00232907">
        <w:rPr>
          <w:rtl/>
        </w:rPr>
        <w:tab/>
      </w:r>
      <w:r w:rsidRPr="007B4248">
        <w:rPr>
          <w:rtl/>
        </w:rPr>
        <w:t>2</w:t>
      </w:r>
      <w:r w:rsidRPr="00232907">
        <w:rPr>
          <w:rtl/>
        </w:rPr>
        <w:t xml:space="preserve"> و</w:t>
      </w:r>
      <w:r w:rsidRPr="007B4248">
        <w:rPr>
          <w:rtl/>
        </w:rPr>
        <w:t>5</w:t>
      </w:r>
      <w:r w:rsidRPr="00232907">
        <w:rPr>
          <w:rtl/>
        </w:rPr>
        <w:t>(</w:t>
      </w:r>
      <w:r w:rsidRPr="007B4248">
        <w:rPr>
          <w:rtl/>
        </w:rPr>
        <w:t>2</w:t>
      </w:r>
      <w:r w:rsidRPr="00232907">
        <w:rPr>
          <w:rtl/>
        </w:rPr>
        <w:t>)(ب)</w:t>
      </w:r>
    </w:p>
    <w:p w14:paraId="53D72237" w14:textId="2EB05256" w:rsidR="00883A9F" w:rsidRPr="00883A9F" w:rsidRDefault="00883A9F" w:rsidP="00883A9F">
      <w:pPr>
        <w:pStyle w:val="SingleTxtGA"/>
        <w:rPr>
          <w:rtl/>
          <w:lang w:val="fr-CH"/>
        </w:rPr>
      </w:pPr>
      <w:r w:rsidRPr="007B4248">
        <w:rPr>
          <w:rtl/>
          <w:lang w:val="fr-CH"/>
        </w:rPr>
        <w:t>1</w:t>
      </w:r>
      <w:r w:rsidRPr="00883A9F">
        <w:rPr>
          <w:rtl/>
          <w:lang w:val="fr-CH"/>
        </w:rPr>
        <w:t>-</w:t>
      </w:r>
      <w:r w:rsidRPr="00883A9F">
        <w:rPr>
          <w:rtl/>
          <w:lang w:val="fr-CH"/>
        </w:rPr>
        <w:tab/>
        <w:t xml:space="preserve">صاحبة البلاغ هي إيلينا </w:t>
      </w:r>
      <w:proofErr w:type="spellStart"/>
      <w:r w:rsidRPr="00883A9F">
        <w:rPr>
          <w:rtl/>
          <w:lang w:val="fr-CH"/>
        </w:rPr>
        <w:t>لوتسكوفيتش</w:t>
      </w:r>
      <w:proofErr w:type="spellEnd"/>
      <w:r w:rsidR="003C1159">
        <w:rPr>
          <w:rtl/>
          <w:lang w:val="fr-CH"/>
        </w:rPr>
        <w:t>،</w:t>
      </w:r>
      <w:r w:rsidRPr="00883A9F">
        <w:rPr>
          <w:rtl/>
          <w:lang w:val="fr-CH"/>
        </w:rPr>
        <w:t xml:space="preserve"> مواطنة من بيلاروس</w:t>
      </w:r>
      <w:r w:rsidR="003C1159">
        <w:rPr>
          <w:rtl/>
          <w:lang w:val="fr-CH"/>
        </w:rPr>
        <w:t>،</w:t>
      </w:r>
      <w:r w:rsidRPr="00883A9F">
        <w:rPr>
          <w:rtl/>
          <w:lang w:val="fr-CH"/>
        </w:rPr>
        <w:t xml:space="preserve"> مولودة في عام </w:t>
      </w:r>
      <w:r w:rsidRPr="007B4248">
        <w:rPr>
          <w:rtl/>
          <w:lang w:val="fr-CH"/>
        </w:rPr>
        <w:t>1981</w:t>
      </w:r>
      <w:r w:rsidRPr="00883A9F">
        <w:rPr>
          <w:rtl/>
          <w:lang w:val="fr-CH"/>
        </w:rPr>
        <w:t xml:space="preserve">. وهي تدَّعي أن الدولة الطرف انتهكت حقوقها التي تكفلها لها المادتان </w:t>
      </w:r>
      <w:r w:rsidRPr="007B4248">
        <w:rPr>
          <w:rtl/>
          <w:lang w:val="fr-CH"/>
        </w:rPr>
        <w:t>2</w:t>
      </w:r>
      <w:r w:rsidRPr="00883A9F">
        <w:rPr>
          <w:rtl/>
          <w:lang w:val="fr-CH"/>
        </w:rPr>
        <w:t>(</w:t>
      </w:r>
      <w:r w:rsidRPr="007B4248">
        <w:rPr>
          <w:rtl/>
          <w:lang w:val="fr-CH"/>
        </w:rPr>
        <w:t>2</w:t>
      </w:r>
      <w:r w:rsidRPr="00883A9F">
        <w:rPr>
          <w:rtl/>
          <w:lang w:val="fr-CH"/>
        </w:rPr>
        <w:t>) و(</w:t>
      </w:r>
      <w:r w:rsidRPr="007B4248">
        <w:rPr>
          <w:rtl/>
          <w:lang w:val="fr-CH"/>
        </w:rPr>
        <w:t>3</w:t>
      </w:r>
      <w:r w:rsidRPr="00883A9F">
        <w:rPr>
          <w:rtl/>
          <w:lang w:val="fr-CH"/>
        </w:rPr>
        <w:t>) و</w:t>
      </w:r>
      <w:r w:rsidRPr="007B4248">
        <w:rPr>
          <w:rtl/>
          <w:lang w:val="fr-CH"/>
        </w:rPr>
        <w:t>19</w:t>
      </w:r>
      <w:r w:rsidRPr="00883A9F">
        <w:rPr>
          <w:rtl/>
          <w:lang w:val="fr-CH"/>
        </w:rPr>
        <w:t xml:space="preserve"> من العهد. وقد دخل البروتوكول الاختياري حيز النفاذ بالنسبة لبيلاروس في </w:t>
      </w:r>
      <w:r w:rsidRPr="007B4248">
        <w:rPr>
          <w:rtl/>
          <w:lang w:val="fr-CH"/>
        </w:rPr>
        <w:t>30</w:t>
      </w:r>
      <w:r w:rsidRPr="00883A9F">
        <w:rPr>
          <w:rtl/>
          <w:lang w:val="fr-CH"/>
        </w:rPr>
        <w:t xml:space="preserve"> كانون الأول/ديسمبر </w:t>
      </w:r>
      <w:r w:rsidRPr="007B4248">
        <w:rPr>
          <w:rtl/>
          <w:lang w:val="fr-CH"/>
        </w:rPr>
        <w:t>1992</w:t>
      </w:r>
      <w:r w:rsidRPr="00883A9F">
        <w:rPr>
          <w:rtl/>
          <w:lang w:val="fr-CH"/>
        </w:rPr>
        <w:t>. ويمثل محام صاحبَة البلاغ.</w:t>
      </w:r>
    </w:p>
    <w:p w14:paraId="7F4876FC" w14:textId="77777777" w:rsidR="00883A9F" w:rsidRPr="007B4248" w:rsidRDefault="00883A9F" w:rsidP="00232907">
      <w:pPr>
        <w:pStyle w:val="H23GA"/>
        <w:rPr>
          <w:rtl/>
        </w:rPr>
      </w:pPr>
      <w:r w:rsidRPr="007B4248">
        <w:rPr>
          <w:rtl/>
        </w:rPr>
        <w:lastRenderedPageBreak/>
        <w:tab/>
      </w:r>
      <w:r w:rsidRPr="007B4248">
        <w:rPr>
          <w:rtl/>
        </w:rPr>
        <w:tab/>
        <w:t>الوقائع كما عرضتها صاحبة البلاغ</w:t>
      </w:r>
    </w:p>
    <w:p w14:paraId="1A09AE0A" w14:textId="40B66899" w:rsidR="00883A9F" w:rsidRPr="00883A9F" w:rsidRDefault="00883A9F" w:rsidP="00A340FA">
      <w:pPr>
        <w:pStyle w:val="SingleTxtGA"/>
        <w:spacing w:line="350" w:lineRule="exact"/>
        <w:rPr>
          <w:rtl/>
          <w:lang w:val="fr-CH"/>
        </w:rPr>
      </w:pPr>
      <w:r w:rsidRPr="007B4248">
        <w:rPr>
          <w:rtl/>
          <w:lang w:val="fr-CH"/>
        </w:rPr>
        <w:t>2</w:t>
      </w:r>
      <w:r w:rsidRPr="00883A9F">
        <w:rPr>
          <w:rtl/>
          <w:lang w:val="fr-CH"/>
        </w:rPr>
        <w:t>-</w:t>
      </w:r>
      <w:r w:rsidRPr="007B4248">
        <w:rPr>
          <w:rtl/>
          <w:lang w:val="fr-CH"/>
        </w:rPr>
        <w:t>1</w:t>
      </w:r>
      <w:r w:rsidRPr="00883A9F">
        <w:rPr>
          <w:rtl/>
          <w:lang w:val="fr-CH"/>
        </w:rPr>
        <w:tab/>
        <w:t xml:space="preserve">في </w:t>
      </w:r>
      <w:r w:rsidRPr="007B4248">
        <w:rPr>
          <w:rtl/>
          <w:lang w:val="fr-CH"/>
        </w:rPr>
        <w:t>30</w:t>
      </w:r>
      <w:r w:rsidRPr="00883A9F">
        <w:rPr>
          <w:rtl/>
          <w:lang w:val="fr-CH"/>
        </w:rPr>
        <w:t xml:space="preserve"> تشرين الأول/أكتوبر </w:t>
      </w:r>
      <w:r w:rsidRPr="007B4248">
        <w:rPr>
          <w:rtl/>
          <w:lang w:val="fr-CH"/>
        </w:rPr>
        <w:t>2015</w:t>
      </w:r>
      <w:r w:rsidR="003C1159">
        <w:rPr>
          <w:rtl/>
          <w:lang w:val="fr-CH"/>
        </w:rPr>
        <w:t>،</w:t>
      </w:r>
      <w:r w:rsidRPr="00883A9F">
        <w:rPr>
          <w:rtl/>
          <w:lang w:val="fr-CH"/>
        </w:rPr>
        <w:t xml:space="preserve"> نظمت صاحبة البلاغ اعتصام</w:t>
      </w:r>
      <w:r w:rsidR="00DB205B">
        <w:rPr>
          <w:rtl/>
          <w:lang w:val="fr-CH"/>
        </w:rPr>
        <w:t xml:space="preserve">اً </w:t>
      </w:r>
      <w:r w:rsidRPr="00883A9F">
        <w:rPr>
          <w:rtl/>
          <w:lang w:val="fr-CH"/>
        </w:rPr>
        <w:t>فردي</w:t>
      </w:r>
      <w:r w:rsidR="00DB205B">
        <w:rPr>
          <w:rtl/>
          <w:lang w:val="fr-CH"/>
        </w:rPr>
        <w:t xml:space="preserve">اً </w:t>
      </w:r>
      <w:r w:rsidRPr="00883A9F">
        <w:rPr>
          <w:rtl/>
          <w:lang w:val="fr-CH"/>
        </w:rPr>
        <w:t xml:space="preserve">في شارع الاشتراكيين في بلدة </w:t>
      </w:r>
      <w:proofErr w:type="spellStart"/>
      <w:r w:rsidRPr="00883A9F">
        <w:rPr>
          <w:rtl/>
          <w:lang w:val="fr-CH"/>
        </w:rPr>
        <w:t>أوكتيابرسكي</w:t>
      </w:r>
      <w:proofErr w:type="spellEnd"/>
      <w:r w:rsidRPr="00883A9F">
        <w:rPr>
          <w:rtl/>
          <w:lang w:val="fr-CH"/>
        </w:rPr>
        <w:t xml:space="preserve"> بمنطقة غوميل في بيلاروسيا. ورفعت لافتة كتب عليها "لدي دليل على تزوير نتائج الانتخابات"</w:t>
      </w:r>
      <w:r w:rsidR="003C1159">
        <w:rPr>
          <w:rtl/>
          <w:lang w:val="fr-CH"/>
        </w:rPr>
        <w:t>،</w:t>
      </w:r>
      <w:r w:rsidRPr="00883A9F">
        <w:rPr>
          <w:rtl/>
          <w:lang w:val="fr-CH"/>
        </w:rPr>
        <w:t xml:space="preserve"> في إشارة إلى الانتخابات الرئاسية التي جرت في </w:t>
      </w:r>
      <w:r w:rsidRPr="007B4248">
        <w:rPr>
          <w:rtl/>
          <w:lang w:val="fr-CH"/>
        </w:rPr>
        <w:t>11</w:t>
      </w:r>
      <w:r w:rsidRPr="00883A9F">
        <w:rPr>
          <w:rtl/>
          <w:lang w:val="fr-CH"/>
        </w:rPr>
        <w:t xml:space="preserve"> تشرين الأول/أكتوبر </w:t>
      </w:r>
      <w:r w:rsidRPr="007B4248">
        <w:rPr>
          <w:rtl/>
          <w:lang w:val="fr-CH"/>
        </w:rPr>
        <w:t>2015</w:t>
      </w:r>
      <w:r w:rsidRPr="00883A9F">
        <w:rPr>
          <w:rtl/>
          <w:lang w:val="fr-CH"/>
        </w:rPr>
        <w:t>. فاعتقلها أفراد من الشرطة حرروا محضر</w:t>
      </w:r>
      <w:r w:rsidR="00DB205B">
        <w:rPr>
          <w:rtl/>
          <w:lang w:val="fr-CH"/>
        </w:rPr>
        <w:t xml:space="preserve">اً </w:t>
      </w:r>
      <w:r w:rsidRPr="00883A9F">
        <w:rPr>
          <w:rtl/>
          <w:lang w:val="fr-CH"/>
        </w:rPr>
        <w:t xml:space="preserve">بارتكاب مخالفة إدارية بموجب المادة </w:t>
      </w:r>
      <w:r w:rsidRPr="007B4248">
        <w:rPr>
          <w:rtl/>
          <w:lang w:val="fr-CH"/>
        </w:rPr>
        <w:t>23</w:t>
      </w:r>
      <w:r w:rsidRPr="00883A9F">
        <w:rPr>
          <w:rtl/>
          <w:lang w:val="fr-CH"/>
        </w:rPr>
        <w:t>-</w:t>
      </w:r>
      <w:r w:rsidRPr="007B4248">
        <w:rPr>
          <w:rtl/>
          <w:lang w:val="fr-CH"/>
        </w:rPr>
        <w:t>34</w:t>
      </w:r>
      <w:r w:rsidRPr="00883A9F">
        <w:rPr>
          <w:rtl/>
          <w:lang w:val="fr-CH"/>
        </w:rPr>
        <w:t>(</w:t>
      </w:r>
      <w:r w:rsidRPr="007B4248">
        <w:rPr>
          <w:rtl/>
          <w:lang w:val="fr-CH"/>
        </w:rPr>
        <w:t>1</w:t>
      </w:r>
      <w:r w:rsidRPr="00883A9F">
        <w:rPr>
          <w:rtl/>
          <w:lang w:val="fr-CH"/>
        </w:rPr>
        <w:t xml:space="preserve">) من القانون الإداري لانتهاكها الأمر المتعلق بتنظيم وعقد أنشطة جماهيرية. وذكر أفراد الشرطة أن صاحبة البلاغ لم تلتمس </w:t>
      </w:r>
      <w:r w:rsidRPr="00DB205B">
        <w:rPr>
          <w:spacing w:val="-4"/>
          <w:rtl/>
          <w:lang w:val="fr-CH"/>
        </w:rPr>
        <w:t>إذن</w:t>
      </w:r>
      <w:r w:rsidR="00DB205B" w:rsidRPr="00DB205B">
        <w:rPr>
          <w:spacing w:val="-4"/>
          <w:rtl/>
          <w:lang w:val="fr-CH"/>
        </w:rPr>
        <w:t xml:space="preserve">اً </w:t>
      </w:r>
      <w:r w:rsidRPr="00DB205B">
        <w:rPr>
          <w:spacing w:val="-4"/>
          <w:rtl/>
          <w:lang w:val="fr-CH"/>
        </w:rPr>
        <w:t>مسبق</w:t>
      </w:r>
      <w:r w:rsidR="00DB205B" w:rsidRPr="00DB205B">
        <w:rPr>
          <w:spacing w:val="-4"/>
          <w:rtl/>
          <w:lang w:val="fr-CH"/>
        </w:rPr>
        <w:t xml:space="preserve">اً </w:t>
      </w:r>
      <w:r w:rsidRPr="00DB205B">
        <w:rPr>
          <w:spacing w:val="-4"/>
          <w:rtl/>
          <w:lang w:val="fr-CH"/>
        </w:rPr>
        <w:t>من السلطات التنفيذية في المدينة لتنفيذ اعتصامها</w:t>
      </w:r>
      <w:r w:rsidR="003C1159" w:rsidRPr="00DB205B">
        <w:rPr>
          <w:spacing w:val="-4"/>
          <w:rtl/>
          <w:lang w:val="fr-CH"/>
        </w:rPr>
        <w:t>،</w:t>
      </w:r>
      <w:r w:rsidRPr="00DB205B">
        <w:rPr>
          <w:spacing w:val="-4"/>
          <w:rtl/>
          <w:lang w:val="fr-CH"/>
        </w:rPr>
        <w:t xml:space="preserve"> وادعت أنها تعبر عن رأيها الخاص</w:t>
      </w:r>
      <w:r w:rsidR="003C1159" w:rsidRPr="00DB205B">
        <w:rPr>
          <w:spacing w:val="-4"/>
          <w:rtl/>
          <w:lang w:val="fr-CH"/>
        </w:rPr>
        <w:t>،</w:t>
      </w:r>
      <w:r w:rsidRPr="00DB205B">
        <w:rPr>
          <w:spacing w:val="-4"/>
          <w:rtl/>
          <w:lang w:val="fr-CH"/>
        </w:rPr>
        <w:t xml:space="preserve"> ولم</w:t>
      </w:r>
      <w:r w:rsidR="00DB205B" w:rsidRPr="00DB205B">
        <w:rPr>
          <w:rFonts w:hint="cs"/>
          <w:spacing w:val="-4"/>
          <w:rtl/>
          <w:lang w:val="fr-CH"/>
        </w:rPr>
        <w:t> </w:t>
      </w:r>
      <w:r w:rsidRPr="00DB205B">
        <w:rPr>
          <w:spacing w:val="-4"/>
          <w:rtl/>
          <w:lang w:val="fr-CH"/>
        </w:rPr>
        <w:t>تنظم</w:t>
      </w:r>
      <w:r w:rsidRPr="00883A9F">
        <w:rPr>
          <w:rtl/>
          <w:lang w:val="fr-CH"/>
        </w:rPr>
        <w:t xml:space="preserve"> نشاط</w:t>
      </w:r>
      <w:r w:rsidR="00DB205B">
        <w:rPr>
          <w:rtl/>
          <w:lang w:val="fr-CH"/>
        </w:rPr>
        <w:t xml:space="preserve">اً </w:t>
      </w:r>
      <w:r w:rsidRPr="00883A9F">
        <w:rPr>
          <w:rtl/>
          <w:lang w:val="fr-CH"/>
        </w:rPr>
        <w:t>جماهيري</w:t>
      </w:r>
      <w:r w:rsidR="00DB205B">
        <w:rPr>
          <w:rtl/>
          <w:lang w:val="fr-CH"/>
        </w:rPr>
        <w:t>اً.</w:t>
      </w:r>
    </w:p>
    <w:p w14:paraId="00667F4B" w14:textId="3CFDB201" w:rsidR="001A0600" w:rsidRPr="00883A9F" w:rsidRDefault="00883A9F" w:rsidP="00A340FA">
      <w:pPr>
        <w:pStyle w:val="SingleTxtGA"/>
        <w:spacing w:line="350" w:lineRule="exact"/>
        <w:rPr>
          <w:rtl/>
          <w:lang w:val="fr-CH"/>
        </w:rPr>
      </w:pPr>
      <w:r w:rsidRPr="007B4248">
        <w:rPr>
          <w:rtl/>
          <w:lang w:val="fr-CH"/>
        </w:rPr>
        <w:t>2</w:t>
      </w:r>
      <w:r w:rsidRPr="00883A9F">
        <w:rPr>
          <w:rtl/>
          <w:lang w:val="fr-CH"/>
        </w:rPr>
        <w:t>-</w:t>
      </w:r>
      <w:r w:rsidRPr="007B4248">
        <w:rPr>
          <w:rtl/>
          <w:lang w:val="fr-CH"/>
        </w:rPr>
        <w:t>2</w:t>
      </w:r>
      <w:r w:rsidRPr="00883A9F">
        <w:rPr>
          <w:rtl/>
          <w:lang w:val="fr-CH"/>
        </w:rPr>
        <w:tab/>
        <w:t xml:space="preserve">وفي </w:t>
      </w:r>
      <w:r w:rsidRPr="007B4248">
        <w:rPr>
          <w:rtl/>
          <w:lang w:val="fr-CH"/>
        </w:rPr>
        <w:t>4</w:t>
      </w:r>
      <w:r w:rsidRPr="00883A9F">
        <w:rPr>
          <w:rtl/>
          <w:lang w:val="fr-CH"/>
        </w:rPr>
        <w:t xml:space="preserve"> تشرين الثاني/نوفمبر </w:t>
      </w:r>
      <w:r w:rsidRPr="007B4248">
        <w:rPr>
          <w:rtl/>
          <w:lang w:val="fr-CH"/>
        </w:rPr>
        <w:t>2015</w:t>
      </w:r>
      <w:r w:rsidR="003C1159">
        <w:rPr>
          <w:rtl/>
          <w:lang w:val="fr-CH"/>
        </w:rPr>
        <w:t>،</w:t>
      </w:r>
      <w:r w:rsidRPr="00883A9F">
        <w:rPr>
          <w:rtl/>
          <w:lang w:val="fr-CH"/>
        </w:rPr>
        <w:t xml:space="preserve"> أدانت محكمة </w:t>
      </w:r>
      <w:proofErr w:type="spellStart"/>
      <w:r w:rsidRPr="00883A9F">
        <w:rPr>
          <w:rtl/>
          <w:lang w:val="fr-CH"/>
        </w:rPr>
        <w:t>أوكتيابرسكي</w:t>
      </w:r>
      <w:proofErr w:type="spellEnd"/>
      <w:r w:rsidRPr="00883A9F">
        <w:rPr>
          <w:rtl/>
          <w:lang w:val="fr-CH"/>
        </w:rPr>
        <w:t xml:space="preserve"> المحلية في منطقة غوميل صاحبة البلاغ بانتهاك المادة </w:t>
      </w:r>
      <w:r w:rsidRPr="007B4248">
        <w:rPr>
          <w:rtl/>
          <w:lang w:val="fr-CH"/>
        </w:rPr>
        <w:t>23</w:t>
      </w:r>
      <w:r w:rsidRPr="00883A9F">
        <w:rPr>
          <w:rtl/>
          <w:lang w:val="fr-CH"/>
        </w:rPr>
        <w:t>-</w:t>
      </w:r>
      <w:r w:rsidRPr="007B4248">
        <w:rPr>
          <w:rtl/>
          <w:lang w:val="fr-CH"/>
        </w:rPr>
        <w:t>34</w:t>
      </w:r>
      <w:r w:rsidRPr="00883A9F">
        <w:rPr>
          <w:rtl/>
          <w:lang w:val="fr-CH"/>
        </w:rPr>
        <w:t>(</w:t>
      </w:r>
      <w:r w:rsidRPr="007B4248">
        <w:rPr>
          <w:rtl/>
          <w:lang w:val="fr-CH"/>
        </w:rPr>
        <w:t>1</w:t>
      </w:r>
      <w:r w:rsidRPr="00883A9F">
        <w:rPr>
          <w:rtl/>
          <w:lang w:val="fr-CH"/>
        </w:rPr>
        <w:t xml:space="preserve">) من القانون الإداري وفرضت عليها غرامة بقيمة </w:t>
      </w:r>
      <w:r w:rsidRPr="007B4248">
        <w:rPr>
          <w:rtl/>
          <w:lang w:val="fr-CH"/>
        </w:rPr>
        <w:t>000</w:t>
      </w:r>
      <w:r w:rsidRPr="00883A9F">
        <w:rPr>
          <w:rtl/>
          <w:lang w:val="fr-CH"/>
        </w:rPr>
        <w:t xml:space="preserve"> </w:t>
      </w:r>
      <w:r w:rsidRPr="007B4248">
        <w:rPr>
          <w:rtl/>
          <w:lang w:val="fr-CH"/>
        </w:rPr>
        <w:t>700</w:t>
      </w:r>
      <w:r w:rsidRPr="00883A9F">
        <w:rPr>
          <w:rtl/>
          <w:lang w:val="fr-CH"/>
        </w:rPr>
        <w:t xml:space="preserve"> </w:t>
      </w:r>
      <w:r w:rsidRPr="007B4248">
        <w:rPr>
          <w:rtl/>
          <w:lang w:val="fr-CH"/>
        </w:rPr>
        <w:t>2</w:t>
      </w:r>
      <w:r w:rsidRPr="00883A9F">
        <w:rPr>
          <w:rtl/>
          <w:lang w:val="fr-CH"/>
        </w:rPr>
        <w:t xml:space="preserve"> روبل </w:t>
      </w:r>
      <w:proofErr w:type="gramStart"/>
      <w:r w:rsidRPr="00883A9F">
        <w:rPr>
          <w:rtl/>
          <w:lang w:val="fr-CH"/>
        </w:rPr>
        <w:t>بيلاروسي</w:t>
      </w:r>
      <w:r w:rsidR="001A0600" w:rsidRPr="00232907">
        <w:rPr>
          <w:vertAlign w:val="superscript"/>
          <w:rtl/>
          <w:lang w:val="fr-CH"/>
        </w:rPr>
        <w:t>(</w:t>
      </w:r>
      <w:proofErr w:type="gramEnd"/>
      <w:r w:rsidR="001A0600" w:rsidRPr="007B4248">
        <w:rPr>
          <w:rStyle w:val="FootnoteReference"/>
          <w:szCs w:val="22"/>
          <w:lang w:val="en-US"/>
        </w:rPr>
        <w:footnoteReference w:id="3"/>
      </w:r>
      <w:r w:rsidR="001A0600" w:rsidRPr="00232907">
        <w:rPr>
          <w:vertAlign w:val="superscript"/>
          <w:rtl/>
          <w:lang w:val="fr-CH"/>
        </w:rPr>
        <w:t>)</w:t>
      </w:r>
      <w:r w:rsidR="001A0600" w:rsidRPr="00883A9F">
        <w:rPr>
          <w:rtl/>
          <w:lang w:val="fr-CH"/>
        </w:rPr>
        <w:t>. وقدمت صاحبة البلاغ طعن</w:t>
      </w:r>
      <w:r w:rsidR="00DB205B">
        <w:rPr>
          <w:rtl/>
          <w:lang w:val="fr-CH"/>
        </w:rPr>
        <w:t xml:space="preserve">اً </w:t>
      </w:r>
      <w:r w:rsidR="001A0600" w:rsidRPr="00883A9F">
        <w:rPr>
          <w:rtl/>
          <w:lang w:val="fr-CH"/>
        </w:rPr>
        <w:t xml:space="preserve">إلى محكمة غوميل الإقليمية في تاريخ غير معلوم. </w:t>
      </w:r>
      <w:r w:rsidR="001A0600" w:rsidRPr="00232907">
        <w:rPr>
          <w:spacing w:val="-4"/>
          <w:rtl/>
          <w:lang w:val="fr-CH"/>
        </w:rPr>
        <w:t>وأعربت في الطعن عن اعتراضها على الاستنتاجات التي توصلت إليها المحكمة الابتدائية. وادعت أنها تصرفت</w:t>
      </w:r>
      <w:r w:rsidR="001A0600" w:rsidRPr="00883A9F">
        <w:rPr>
          <w:rtl/>
          <w:lang w:val="fr-CH"/>
        </w:rPr>
        <w:t xml:space="preserve"> في إطار أحكام دستور بيلاروس حين أعربت بحرية عن آرائها وأنها لم تشارك قط في "نشاط جماهيري"</w:t>
      </w:r>
      <w:r w:rsidR="003C1159">
        <w:rPr>
          <w:rtl/>
          <w:lang w:val="fr-CH"/>
        </w:rPr>
        <w:t>،</w:t>
      </w:r>
      <w:r w:rsidR="001A0600" w:rsidRPr="00883A9F">
        <w:rPr>
          <w:rtl/>
          <w:lang w:val="fr-CH"/>
        </w:rPr>
        <w:t xml:space="preserve"> كما تدعي المحكمة الابتدائية. </w:t>
      </w:r>
    </w:p>
    <w:p w14:paraId="772E028F" w14:textId="5AFDD7D6" w:rsidR="001A0600" w:rsidRPr="00883A9F" w:rsidRDefault="001A0600" w:rsidP="00A340FA">
      <w:pPr>
        <w:pStyle w:val="SingleTxtGA"/>
        <w:spacing w:line="350" w:lineRule="exact"/>
        <w:rPr>
          <w:rtl/>
          <w:lang w:val="fr-CH"/>
        </w:rPr>
      </w:pPr>
      <w:r w:rsidRPr="007B4248">
        <w:rPr>
          <w:rtl/>
          <w:lang w:val="fr-CH"/>
        </w:rPr>
        <w:t>2</w:t>
      </w:r>
      <w:r w:rsidRPr="00883A9F">
        <w:rPr>
          <w:rtl/>
          <w:lang w:val="fr-CH"/>
        </w:rPr>
        <w:t>-</w:t>
      </w:r>
      <w:r w:rsidRPr="007B4248">
        <w:rPr>
          <w:rtl/>
          <w:lang w:val="fr-CH"/>
        </w:rPr>
        <w:t>3</w:t>
      </w:r>
      <w:r w:rsidRPr="00883A9F">
        <w:rPr>
          <w:rtl/>
          <w:lang w:val="fr-CH"/>
        </w:rPr>
        <w:tab/>
      </w:r>
      <w:r w:rsidRPr="00232907">
        <w:rPr>
          <w:spacing w:val="-4"/>
          <w:rtl/>
          <w:lang w:val="fr-CH"/>
        </w:rPr>
        <w:t xml:space="preserve">وفي </w:t>
      </w:r>
      <w:r w:rsidRPr="007B4248">
        <w:rPr>
          <w:spacing w:val="-4"/>
          <w:rtl/>
          <w:lang w:val="fr-CH"/>
        </w:rPr>
        <w:t>27</w:t>
      </w:r>
      <w:r w:rsidRPr="00232907">
        <w:rPr>
          <w:spacing w:val="-4"/>
          <w:rtl/>
          <w:lang w:val="fr-CH"/>
        </w:rPr>
        <w:t xml:space="preserve"> تشرين الثاني/نوفمبر </w:t>
      </w:r>
      <w:r w:rsidRPr="007B4248">
        <w:rPr>
          <w:spacing w:val="-4"/>
          <w:rtl/>
          <w:lang w:val="fr-CH"/>
        </w:rPr>
        <w:t>2015</w:t>
      </w:r>
      <w:r w:rsidR="003C1159">
        <w:rPr>
          <w:spacing w:val="-4"/>
          <w:rtl/>
          <w:lang w:val="fr-CH"/>
        </w:rPr>
        <w:t>،</w:t>
      </w:r>
      <w:r w:rsidRPr="00232907">
        <w:rPr>
          <w:spacing w:val="-4"/>
          <w:rtl/>
          <w:lang w:val="fr-CH"/>
        </w:rPr>
        <w:t xml:space="preserve"> رفضت المحكمة الإقليمية الطعن الذي قدمته. وأقرت رأي المحكمة الابتدائية استناد</w:t>
      </w:r>
      <w:r w:rsidR="00DB205B">
        <w:rPr>
          <w:spacing w:val="-4"/>
          <w:rtl/>
          <w:lang w:val="fr-CH"/>
        </w:rPr>
        <w:t xml:space="preserve">اً </w:t>
      </w:r>
      <w:r w:rsidRPr="00232907">
        <w:rPr>
          <w:spacing w:val="-4"/>
          <w:rtl/>
          <w:lang w:val="fr-CH"/>
        </w:rPr>
        <w:t>إلى التقارير التي حررها أفراد الشرطة. وتجاهلت المحكمة الحجج التي دفعت بها</w:t>
      </w:r>
      <w:r w:rsidRPr="00883A9F">
        <w:rPr>
          <w:rtl/>
          <w:lang w:val="fr-CH"/>
        </w:rPr>
        <w:t xml:space="preserve"> صاحبة البلاغ بشأن دستور بيلاروس وأحكام العهد المشار إليها في الطعن الذي قدمته. وفي </w:t>
      </w:r>
      <w:r w:rsidRPr="007B4248">
        <w:rPr>
          <w:rtl/>
          <w:lang w:val="fr-CH"/>
        </w:rPr>
        <w:t>23</w:t>
      </w:r>
      <w:r w:rsidRPr="00883A9F">
        <w:rPr>
          <w:rtl/>
          <w:lang w:val="fr-CH"/>
        </w:rPr>
        <w:t xml:space="preserve"> كانون </w:t>
      </w:r>
      <w:r w:rsidRPr="00232907">
        <w:rPr>
          <w:spacing w:val="-4"/>
          <w:rtl/>
          <w:lang w:val="fr-CH"/>
        </w:rPr>
        <w:t xml:space="preserve">الأول/ديسمبر </w:t>
      </w:r>
      <w:r w:rsidRPr="007B4248">
        <w:rPr>
          <w:spacing w:val="-4"/>
          <w:rtl/>
          <w:lang w:val="fr-CH"/>
        </w:rPr>
        <w:t>2015</w:t>
      </w:r>
      <w:r w:rsidRPr="00232907">
        <w:rPr>
          <w:spacing w:val="-4"/>
          <w:rtl/>
          <w:lang w:val="fr-CH"/>
        </w:rPr>
        <w:t xml:space="preserve"> و</w:t>
      </w:r>
      <w:r w:rsidRPr="007B4248">
        <w:rPr>
          <w:spacing w:val="-4"/>
          <w:rtl/>
          <w:lang w:val="fr-CH"/>
        </w:rPr>
        <w:t>24</w:t>
      </w:r>
      <w:r w:rsidRPr="00232907">
        <w:rPr>
          <w:spacing w:val="-4"/>
          <w:rtl/>
          <w:lang w:val="fr-CH"/>
        </w:rPr>
        <w:t xml:space="preserve"> شباط/فبراير </w:t>
      </w:r>
      <w:r w:rsidRPr="007B4248">
        <w:rPr>
          <w:spacing w:val="-4"/>
          <w:rtl/>
          <w:lang w:val="fr-CH"/>
        </w:rPr>
        <w:t>2016</w:t>
      </w:r>
      <w:r w:rsidR="003C1159">
        <w:rPr>
          <w:spacing w:val="-4"/>
          <w:rtl/>
          <w:lang w:val="fr-CH"/>
        </w:rPr>
        <w:t>،</w:t>
      </w:r>
      <w:r w:rsidRPr="00232907">
        <w:rPr>
          <w:spacing w:val="-4"/>
          <w:rtl/>
          <w:lang w:val="fr-CH"/>
        </w:rPr>
        <w:t xml:space="preserve"> طعنت صاحبة البلاغ في الحكم بموجب إجراء الاستعراض</w:t>
      </w:r>
      <w:r w:rsidRPr="00883A9F">
        <w:rPr>
          <w:rtl/>
          <w:lang w:val="fr-CH"/>
        </w:rPr>
        <w:t xml:space="preserve"> القضائي الإشرافي لدى رئيس محكمة غوميل الإقليمية والمحكمة العليا على التوالي. ورفضت الطعون </w:t>
      </w:r>
      <w:r w:rsidRPr="00232907">
        <w:rPr>
          <w:spacing w:val="-2"/>
          <w:rtl/>
          <w:lang w:val="fr-CH"/>
        </w:rPr>
        <w:t>في</w:t>
      </w:r>
      <w:r w:rsidR="00232907" w:rsidRPr="00232907">
        <w:rPr>
          <w:rFonts w:hint="cs"/>
          <w:spacing w:val="-2"/>
          <w:rtl/>
          <w:lang w:val="fr-CH"/>
        </w:rPr>
        <w:t> </w:t>
      </w:r>
      <w:r w:rsidRPr="007B4248">
        <w:rPr>
          <w:spacing w:val="-2"/>
          <w:rtl/>
          <w:lang w:val="fr-CH"/>
        </w:rPr>
        <w:t>4</w:t>
      </w:r>
      <w:r w:rsidRPr="00232907">
        <w:rPr>
          <w:spacing w:val="-2"/>
          <w:rtl/>
          <w:lang w:val="fr-CH"/>
        </w:rPr>
        <w:t xml:space="preserve"> شباط/فبراير و</w:t>
      </w:r>
      <w:r w:rsidRPr="007B4248">
        <w:rPr>
          <w:spacing w:val="-2"/>
          <w:rtl/>
          <w:lang w:val="fr-CH"/>
        </w:rPr>
        <w:t>11</w:t>
      </w:r>
      <w:r w:rsidRPr="00232907">
        <w:rPr>
          <w:spacing w:val="-2"/>
          <w:rtl/>
          <w:lang w:val="fr-CH"/>
        </w:rPr>
        <w:t xml:space="preserve"> نيسان/أبريل </w:t>
      </w:r>
      <w:r w:rsidRPr="007B4248">
        <w:rPr>
          <w:spacing w:val="-2"/>
          <w:rtl/>
          <w:lang w:val="fr-CH"/>
        </w:rPr>
        <w:t>2016</w:t>
      </w:r>
      <w:r w:rsidR="003C1159">
        <w:rPr>
          <w:spacing w:val="-2"/>
          <w:rtl/>
          <w:lang w:val="fr-CH"/>
        </w:rPr>
        <w:t>،</w:t>
      </w:r>
      <w:r w:rsidRPr="00232907">
        <w:rPr>
          <w:spacing w:val="-2"/>
          <w:rtl/>
          <w:lang w:val="fr-CH"/>
        </w:rPr>
        <w:t xml:space="preserve"> فأيد رئيسا كلا المحكمتين بالكامل الاستنتاجات التي توصلت</w:t>
      </w:r>
      <w:r w:rsidRPr="00883A9F">
        <w:rPr>
          <w:rtl/>
          <w:lang w:val="fr-CH"/>
        </w:rPr>
        <w:t xml:space="preserve"> إليها المحكمة الابتدائية.</w:t>
      </w:r>
    </w:p>
    <w:p w14:paraId="3B252F7F" w14:textId="77777777" w:rsidR="001A0600" w:rsidRPr="007B4248" w:rsidRDefault="001A0600" w:rsidP="00232907">
      <w:pPr>
        <w:pStyle w:val="H23GA"/>
        <w:rPr>
          <w:rtl/>
        </w:rPr>
      </w:pPr>
      <w:r w:rsidRPr="007B4248">
        <w:rPr>
          <w:rtl/>
        </w:rPr>
        <w:tab/>
      </w:r>
      <w:r w:rsidRPr="007B4248">
        <w:rPr>
          <w:rtl/>
        </w:rPr>
        <w:tab/>
        <w:t>الشكوى</w:t>
      </w:r>
    </w:p>
    <w:p w14:paraId="1C9BF3A1" w14:textId="6F2CBDDC" w:rsidR="001A0600" w:rsidRPr="00883A9F" w:rsidRDefault="001A0600" w:rsidP="00A340FA">
      <w:pPr>
        <w:pStyle w:val="SingleTxtGA"/>
        <w:spacing w:line="350" w:lineRule="exact"/>
        <w:rPr>
          <w:rtl/>
          <w:lang w:val="fr-CH"/>
        </w:rPr>
      </w:pPr>
      <w:r w:rsidRPr="007B4248">
        <w:rPr>
          <w:rtl/>
          <w:lang w:val="fr-CH"/>
        </w:rPr>
        <w:t>3</w:t>
      </w:r>
      <w:r w:rsidRPr="00883A9F">
        <w:rPr>
          <w:rtl/>
          <w:lang w:val="fr-CH"/>
        </w:rPr>
        <w:t>-</w:t>
      </w:r>
      <w:r w:rsidRPr="007B4248">
        <w:rPr>
          <w:rtl/>
          <w:lang w:val="fr-CH"/>
        </w:rPr>
        <w:t>1</w:t>
      </w:r>
      <w:r w:rsidRPr="00883A9F">
        <w:rPr>
          <w:rtl/>
          <w:lang w:val="fr-CH"/>
        </w:rPr>
        <w:tab/>
      </w:r>
      <w:r w:rsidRPr="00232907">
        <w:rPr>
          <w:spacing w:val="-4"/>
          <w:rtl/>
          <w:lang w:val="fr-CH"/>
        </w:rPr>
        <w:t xml:space="preserve">تدعي صاحبة البلاغ أن حقوقها المكفولة بموجب المادة </w:t>
      </w:r>
      <w:r w:rsidRPr="007B4248">
        <w:rPr>
          <w:spacing w:val="-4"/>
          <w:rtl/>
          <w:lang w:val="fr-CH"/>
        </w:rPr>
        <w:t>19</w:t>
      </w:r>
      <w:r w:rsidR="003C1159">
        <w:rPr>
          <w:spacing w:val="-4"/>
          <w:rtl/>
          <w:lang w:val="fr-CH"/>
        </w:rPr>
        <w:t>،</w:t>
      </w:r>
      <w:r w:rsidRPr="00232907">
        <w:rPr>
          <w:spacing w:val="-4"/>
          <w:rtl/>
          <w:lang w:val="fr-CH"/>
        </w:rPr>
        <w:t xml:space="preserve"> مقترنة بالمادتين </w:t>
      </w:r>
      <w:r w:rsidRPr="007B4248">
        <w:rPr>
          <w:spacing w:val="-4"/>
          <w:rtl/>
          <w:lang w:val="fr-CH"/>
        </w:rPr>
        <w:t>2</w:t>
      </w:r>
      <w:r w:rsidRPr="00232907">
        <w:rPr>
          <w:spacing w:val="-4"/>
          <w:rtl/>
          <w:lang w:val="fr-CH"/>
        </w:rPr>
        <w:t>(</w:t>
      </w:r>
      <w:r w:rsidRPr="007B4248">
        <w:rPr>
          <w:spacing w:val="-4"/>
          <w:rtl/>
          <w:lang w:val="fr-CH"/>
        </w:rPr>
        <w:t>2</w:t>
      </w:r>
      <w:r w:rsidRPr="00232907">
        <w:rPr>
          <w:spacing w:val="-4"/>
          <w:rtl/>
          <w:lang w:val="fr-CH"/>
        </w:rPr>
        <w:t>) و(</w:t>
      </w:r>
      <w:r w:rsidRPr="007B4248">
        <w:rPr>
          <w:spacing w:val="-4"/>
          <w:rtl/>
          <w:lang w:val="fr-CH"/>
        </w:rPr>
        <w:t>3</w:t>
      </w:r>
      <w:r w:rsidRPr="00232907">
        <w:rPr>
          <w:spacing w:val="-4"/>
          <w:rtl/>
          <w:lang w:val="fr-CH"/>
        </w:rPr>
        <w:t>) من العهد</w:t>
      </w:r>
      <w:r w:rsidR="003C1159">
        <w:rPr>
          <w:spacing w:val="-4"/>
          <w:rtl/>
          <w:lang w:val="fr-CH"/>
        </w:rPr>
        <w:t>،</w:t>
      </w:r>
      <w:r w:rsidRPr="00232907">
        <w:rPr>
          <w:spacing w:val="-4"/>
          <w:rtl/>
          <w:lang w:val="fr-CH"/>
        </w:rPr>
        <w:t xml:space="preserve"> </w:t>
      </w:r>
      <w:r w:rsidRPr="00883A9F">
        <w:rPr>
          <w:rtl/>
          <w:lang w:val="fr-CH"/>
        </w:rPr>
        <w:t xml:space="preserve">قد انتهكت بسبب القيود غير الضرورية التي فرضتها السلطات على حقها في حرية التعبير. </w:t>
      </w:r>
    </w:p>
    <w:p w14:paraId="25DE2ED2" w14:textId="09C59262" w:rsidR="001A0600" w:rsidRPr="00883A9F" w:rsidRDefault="001A0600" w:rsidP="00A340FA">
      <w:pPr>
        <w:pStyle w:val="SingleTxtGA"/>
        <w:spacing w:line="350" w:lineRule="exact"/>
        <w:rPr>
          <w:rtl/>
          <w:lang w:val="fr-CH"/>
        </w:rPr>
      </w:pPr>
      <w:r w:rsidRPr="007B4248">
        <w:rPr>
          <w:rtl/>
          <w:lang w:val="fr-CH"/>
        </w:rPr>
        <w:t>3</w:t>
      </w:r>
      <w:r w:rsidRPr="00883A9F">
        <w:rPr>
          <w:rtl/>
          <w:lang w:val="fr-CH"/>
        </w:rPr>
        <w:t>-</w:t>
      </w:r>
      <w:r w:rsidRPr="007B4248">
        <w:rPr>
          <w:rtl/>
          <w:lang w:val="fr-CH"/>
        </w:rPr>
        <w:t>2</w:t>
      </w:r>
      <w:r w:rsidRPr="00883A9F">
        <w:rPr>
          <w:rtl/>
          <w:lang w:val="fr-CH"/>
        </w:rPr>
        <w:tab/>
      </w:r>
      <w:r w:rsidRPr="00232907">
        <w:rPr>
          <w:rtl/>
          <w:lang w:val="fr-CH"/>
        </w:rPr>
        <w:t xml:space="preserve">وتطلب إلى اللجنة أن تقضي بحدوث انتهاك من بيلاروس للمادة </w:t>
      </w:r>
      <w:r w:rsidRPr="007B4248">
        <w:rPr>
          <w:rtl/>
          <w:lang w:val="fr-CH"/>
        </w:rPr>
        <w:t>19</w:t>
      </w:r>
      <w:r w:rsidR="003C1159">
        <w:rPr>
          <w:rtl/>
          <w:lang w:val="fr-CH"/>
        </w:rPr>
        <w:t>،</w:t>
      </w:r>
      <w:r w:rsidRPr="00232907">
        <w:rPr>
          <w:rtl/>
          <w:lang w:val="fr-CH"/>
        </w:rPr>
        <w:t xml:space="preserve"> مقروءة بالاقتران مع المادة </w:t>
      </w:r>
      <w:r w:rsidRPr="007B4248">
        <w:rPr>
          <w:rtl/>
          <w:lang w:val="fr-CH"/>
        </w:rPr>
        <w:t>2</w:t>
      </w:r>
      <w:r w:rsidRPr="00232907">
        <w:rPr>
          <w:rtl/>
          <w:lang w:val="fr-CH"/>
        </w:rPr>
        <w:t>(</w:t>
      </w:r>
      <w:r w:rsidRPr="007B4248">
        <w:rPr>
          <w:rtl/>
          <w:lang w:val="fr-CH"/>
        </w:rPr>
        <w:t>2</w:t>
      </w:r>
      <w:r w:rsidRPr="00232907">
        <w:rPr>
          <w:rtl/>
          <w:lang w:val="fr-CH"/>
        </w:rPr>
        <w:t>)</w:t>
      </w:r>
      <w:r w:rsidRPr="00883A9F">
        <w:rPr>
          <w:rtl/>
          <w:lang w:val="fr-CH"/>
        </w:rPr>
        <w:t xml:space="preserve"> و(</w:t>
      </w:r>
      <w:r w:rsidRPr="007B4248">
        <w:rPr>
          <w:rtl/>
          <w:lang w:val="fr-CH"/>
        </w:rPr>
        <w:t>3</w:t>
      </w:r>
      <w:r w:rsidRPr="00883A9F">
        <w:rPr>
          <w:rtl/>
          <w:lang w:val="fr-CH"/>
        </w:rPr>
        <w:t>) من العهد</w:t>
      </w:r>
      <w:r w:rsidR="003C1159">
        <w:rPr>
          <w:rtl/>
          <w:lang w:val="fr-CH"/>
        </w:rPr>
        <w:t>،</w:t>
      </w:r>
      <w:r w:rsidRPr="00883A9F">
        <w:rPr>
          <w:rtl/>
          <w:lang w:val="fr-CH"/>
        </w:rPr>
        <w:t xml:space="preserve"> وأن تحث الدولة الطرف على مواءمة تشريعاتها بشأن الحق في التجمع السلمي مع الشروط المنصوص عليها في المادتين </w:t>
      </w:r>
      <w:r w:rsidRPr="007B4248">
        <w:rPr>
          <w:rtl/>
          <w:lang w:val="fr-CH"/>
        </w:rPr>
        <w:t>19</w:t>
      </w:r>
      <w:r w:rsidRPr="00883A9F">
        <w:rPr>
          <w:rtl/>
          <w:lang w:val="fr-CH"/>
        </w:rPr>
        <w:t xml:space="preserve"> و</w:t>
      </w:r>
      <w:r w:rsidRPr="007B4248">
        <w:rPr>
          <w:rtl/>
          <w:lang w:val="fr-CH"/>
        </w:rPr>
        <w:t>21</w:t>
      </w:r>
      <w:r w:rsidRPr="00883A9F">
        <w:rPr>
          <w:rtl/>
          <w:lang w:val="fr-CH"/>
        </w:rPr>
        <w:t xml:space="preserve"> من العهد. </w:t>
      </w:r>
    </w:p>
    <w:p w14:paraId="57B70521" w14:textId="77777777" w:rsidR="001A0600" w:rsidRPr="007B4248" w:rsidRDefault="001A0600" w:rsidP="00232907">
      <w:pPr>
        <w:pStyle w:val="H23GA"/>
        <w:rPr>
          <w:rtl/>
        </w:rPr>
      </w:pPr>
      <w:r w:rsidRPr="007B4248">
        <w:rPr>
          <w:rtl/>
        </w:rPr>
        <w:tab/>
      </w:r>
      <w:r w:rsidRPr="007B4248">
        <w:rPr>
          <w:rtl/>
        </w:rPr>
        <w:tab/>
        <w:t>ملاحظات الدولة الطرف بشأن مقبولية البلاغ وأسسه الموضوعية</w:t>
      </w:r>
    </w:p>
    <w:p w14:paraId="234CB0D6" w14:textId="16A7EEB0" w:rsidR="001A0600" w:rsidRPr="00232907" w:rsidRDefault="001A0600" w:rsidP="00A340FA">
      <w:pPr>
        <w:pStyle w:val="SingleTxtGA"/>
        <w:spacing w:line="350" w:lineRule="exact"/>
        <w:rPr>
          <w:spacing w:val="-2"/>
          <w:rtl/>
          <w:lang w:val="fr-CH"/>
        </w:rPr>
      </w:pPr>
      <w:r w:rsidRPr="007B4248">
        <w:rPr>
          <w:spacing w:val="-2"/>
          <w:rtl/>
          <w:lang w:val="fr-CH"/>
        </w:rPr>
        <w:t>4</w:t>
      </w:r>
      <w:r w:rsidRPr="00232907">
        <w:rPr>
          <w:spacing w:val="-2"/>
          <w:rtl/>
          <w:lang w:val="fr-CH"/>
        </w:rPr>
        <w:t>-</w:t>
      </w:r>
      <w:r w:rsidRPr="007B4248">
        <w:rPr>
          <w:spacing w:val="-2"/>
          <w:rtl/>
          <w:lang w:val="fr-CH"/>
        </w:rPr>
        <w:t>1</w:t>
      </w:r>
      <w:r w:rsidRPr="00232907">
        <w:rPr>
          <w:spacing w:val="-2"/>
          <w:rtl/>
          <w:lang w:val="fr-CH"/>
        </w:rPr>
        <w:tab/>
        <w:t>قدمت الدولة الطرف</w:t>
      </w:r>
      <w:r w:rsidR="003C1159">
        <w:rPr>
          <w:spacing w:val="-2"/>
          <w:rtl/>
          <w:lang w:val="fr-CH"/>
        </w:rPr>
        <w:t>،</w:t>
      </w:r>
      <w:r w:rsidRPr="00232907">
        <w:rPr>
          <w:spacing w:val="-2"/>
          <w:rtl/>
          <w:lang w:val="fr-CH"/>
        </w:rPr>
        <w:t xml:space="preserve"> في مذكرة شفوية مؤرخة </w:t>
      </w:r>
      <w:r w:rsidRPr="007B4248">
        <w:rPr>
          <w:spacing w:val="-2"/>
          <w:rtl/>
          <w:lang w:val="fr-CH"/>
        </w:rPr>
        <w:t>10</w:t>
      </w:r>
      <w:r w:rsidRPr="00232907">
        <w:rPr>
          <w:spacing w:val="-2"/>
          <w:rtl/>
          <w:lang w:val="fr-CH"/>
        </w:rPr>
        <w:t xml:space="preserve"> شباط/فبراير </w:t>
      </w:r>
      <w:r w:rsidRPr="007B4248">
        <w:rPr>
          <w:spacing w:val="-2"/>
          <w:rtl/>
          <w:lang w:val="fr-CH"/>
        </w:rPr>
        <w:t>2017</w:t>
      </w:r>
      <w:r w:rsidR="003C1159">
        <w:rPr>
          <w:spacing w:val="-2"/>
          <w:rtl/>
          <w:lang w:val="fr-CH"/>
        </w:rPr>
        <w:t>،</w:t>
      </w:r>
      <w:r w:rsidRPr="00232907">
        <w:rPr>
          <w:spacing w:val="-2"/>
          <w:rtl/>
          <w:lang w:val="fr-CH"/>
        </w:rPr>
        <w:t xml:space="preserve"> ملاحظاتها على مقبولية البلاغ وأسسه الموضوعية. وهي تدفع بأن صاحبة البلاغ قدمت طعنين إلى المحكمة الإقليمية والمحكمة العليا في بيلاروس بموجب إجراء الاستعراض القضائي الإشرافي ولكنها لم تقدم طعن</w:t>
      </w:r>
      <w:r w:rsidR="00DB205B">
        <w:rPr>
          <w:spacing w:val="-2"/>
          <w:rtl/>
          <w:lang w:val="fr-CH"/>
        </w:rPr>
        <w:t xml:space="preserve">اً </w:t>
      </w:r>
      <w:r w:rsidRPr="00232907">
        <w:rPr>
          <w:spacing w:val="-2"/>
          <w:rtl/>
          <w:lang w:val="fr-CH"/>
        </w:rPr>
        <w:t>بموجب إجراء الإشراف القضائي إلى مكتب المدعي العام</w:t>
      </w:r>
      <w:r w:rsidR="003C1159">
        <w:rPr>
          <w:spacing w:val="-2"/>
          <w:rtl/>
          <w:lang w:val="fr-CH"/>
        </w:rPr>
        <w:t>،</w:t>
      </w:r>
      <w:r w:rsidRPr="00232907">
        <w:rPr>
          <w:spacing w:val="-2"/>
          <w:rtl/>
          <w:lang w:val="fr-CH"/>
        </w:rPr>
        <w:t xml:space="preserve"> وفق</w:t>
      </w:r>
      <w:r w:rsidR="00DB205B">
        <w:rPr>
          <w:spacing w:val="-2"/>
          <w:rtl/>
          <w:lang w:val="fr-CH"/>
        </w:rPr>
        <w:t xml:space="preserve">اً </w:t>
      </w:r>
      <w:r w:rsidRPr="00232907">
        <w:rPr>
          <w:spacing w:val="-2"/>
          <w:rtl/>
          <w:lang w:val="fr-CH"/>
        </w:rPr>
        <w:t xml:space="preserve">لمقتضيات المادة </w:t>
      </w:r>
      <w:r w:rsidRPr="007B4248">
        <w:rPr>
          <w:spacing w:val="-2"/>
          <w:rtl/>
          <w:lang w:val="fr-CH"/>
        </w:rPr>
        <w:t>12</w:t>
      </w:r>
      <w:r w:rsidRPr="00232907">
        <w:rPr>
          <w:spacing w:val="-2"/>
          <w:rtl/>
          <w:lang w:val="fr-CH"/>
        </w:rPr>
        <w:t>-</w:t>
      </w:r>
      <w:r w:rsidRPr="007B4248">
        <w:rPr>
          <w:spacing w:val="-2"/>
          <w:rtl/>
          <w:lang w:val="fr-CH"/>
        </w:rPr>
        <w:t>11</w:t>
      </w:r>
      <w:r w:rsidRPr="00232907">
        <w:rPr>
          <w:spacing w:val="-2"/>
          <w:rtl/>
          <w:lang w:val="fr-CH"/>
        </w:rPr>
        <w:t>(</w:t>
      </w:r>
      <w:r w:rsidRPr="007B4248">
        <w:rPr>
          <w:spacing w:val="-2"/>
          <w:rtl/>
          <w:lang w:val="fr-CH"/>
        </w:rPr>
        <w:t>1</w:t>
      </w:r>
      <w:r w:rsidRPr="00232907">
        <w:rPr>
          <w:spacing w:val="-2"/>
          <w:rtl/>
          <w:lang w:val="fr-CH"/>
        </w:rPr>
        <w:t xml:space="preserve">) من القانون الإداري. وعدم تقديم هذا </w:t>
      </w:r>
      <w:r w:rsidRPr="00C845A1">
        <w:rPr>
          <w:spacing w:val="-4"/>
          <w:rtl/>
          <w:lang w:val="fr-CH"/>
        </w:rPr>
        <w:t>الطعن يعني أن صاحبة البلاغ لم تستنفد سبل الانتصاف المحلية المتاحة. وعليه</w:t>
      </w:r>
      <w:r w:rsidR="003C1159" w:rsidRPr="00C845A1">
        <w:rPr>
          <w:spacing w:val="-4"/>
          <w:rtl/>
          <w:lang w:val="fr-CH"/>
        </w:rPr>
        <w:t>،</w:t>
      </w:r>
      <w:r w:rsidRPr="00C845A1">
        <w:rPr>
          <w:spacing w:val="-4"/>
          <w:rtl/>
          <w:lang w:val="fr-CH"/>
        </w:rPr>
        <w:t xml:space="preserve"> يمكن اعتبار بلاغها بمثابة</w:t>
      </w:r>
      <w:r w:rsidRPr="00232907">
        <w:rPr>
          <w:spacing w:val="-2"/>
          <w:rtl/>
          <w:lang w:val="fr-CH"/>
        </w:rPr>
        <w:t xml:space="preserve"> إساءة لاستعمال الحق في تقديم بلاغ إلى اللجنة بموجب المادة </w:t>
      </w:r>
      <w:r w:rsidRPr="007B4248">
        <w:rPr>
          <w:spacing w:val="-2"/>
          <w:rtl/>
          <w:lang w:val="fr-CH"/>
        </w:rPr>
        <w:t>3</w:t>
      </w:r>
      <w:r w:rsidRPr="00232907">
        <w:rPr>
          <w:spacing w:val="-2"/>
          <w:rtl/>
          <w:lang w:val="fr-CH"/>
        </w:rPr>
        <w:t xml:space="preserve"> من البروتوكول الاختياري للعهد. </w:t>
      </w:r>
    </w:p>
    <w:p w14:paraId="5028C028" w14:textId="1EC9D57D" w:rsidR="001A0600" w:rsidRPr="00883A9F" w:rsidRDefault="001A0600" w:rsidP="00A340FA">
      <w:pPr>
        <w:pStyle w:val="SingleTxtGA"/>
        <w:spacing w:line="340" w:lineRule="exact"/>
        <w:rPr>
          <w:rtl/>
          <w:lang w:val="fr-CH"/>
        </w:rPr>
      </w:pPr>
      <w:r w:rsidRPr="007B4248">
        <w:rPr>
          <w:rtl/>
          <w:lang w:val="fr-CH"/>
        </w:rPr>
        <w:lastRenderedPageBreak/>
        <w:t>4</w:t>
      </w:r>
      <w:r w:rsidRPr="00883A9F">
        <w:rPr>
          <w:rtl/>
          <w:lang w:val="fr-CH"/>
        </w:rPr>
        <w:t>-</w:t>
      </w:r>
      <w:r w:rsidRPr="007B4248">
        <w:rPr>
          <w:rtl/>
          <w:lang w:val="fr-CH"/>
        </w:rPr>
        <w:t>2</w:t>
      </w:r>
      <w:r w:rsidRPr="00883A9F">
        <w:rPr>
          <w:rtl/>
          <w:lang w:val="fr-CH"/>
        </w:rPr>
        <w:tab/>
        <w:t xml:space="preserve">وتضيف الدولة الطرف قائلة إن ادعاءات صاحبة البلاغ بشأن انتهاك حقوقها المكفولة بموجب المادتين </w:t>
      </w:r>
      <w:r w:rsidRPr="007B4248">
        <w:rPr>
          <w:rtl/>
          <w:lang w:val="fr-CH"/>
        </w:rPr>
        <w:t>19</w:t>
      </w:r>
      <w:r w:rsidRPr="00883A9F">
        <w:rPr>
          <w:rtl/>
          <w:lang w:val="fr-CH"/>
        </w:rPr>
        <w:t xml:space="preserve"> و</w:t>
      </w:r>
      <w:r w:rsidRPr="007B4248">
        <w:rPr>
          <w:rtl/>
          <w:lang w:val="fr-CH"/>
        </w:rPr>
        <w:t>21</w:t>
      </w:r>
      <w:r w:rsidR="003C1159">
        <w:rPr>
          <w:rtl/>
          <w:lang w:val="fr-CH"/>
        </w:rPr>
        <w:t>،</w:t>
      </w:r>
      <w:r w:rsidRPr="00883A9F">
        <w:rPr>
          <w:rtl/>
          <w:lang w:val="fr-CH"/>
        </w:rPr>
        <w:t xml:space="preserve"> وكذلك المادة </w:t>
      </w:r>
      <w:r w:rsidRPr="007B4248">
        <w:rPr>
          <w:rtl/>
          <w:lang w:val="fr-CH"/>
        </w:rPr>
        <w:t>2</w:t>
      </w:r>
      <w:r w:rsidRPr="00883A9F">
        <w:rPr>
          <w:rtl/>
          <w:lang w:val="fr-CH"/>
        </w:rPr>
        <w:t>(</w:t>
      </w:r>
      <w:r w:rsidRPr="007B4248">
        <w:rPr>
          <w:rtl/>
          <w:lang w:val="fr-CH"/>
        </w:rPr>
        <w:t>2</w:t>
      </w:r>
      <w:r w:rsidRPr="00883A9F">
        <w:rPr>
          <w:rtl/>
          <w:lang w:val="fr-CH"/>
        </w:rPr>
        <w:t>) و(</w:t>
      </w:r>
      <w:r w:rsidRPr="007B4248">
        <w:rPr>
          <w:rtl/>
          <w:lang w:val="fr-CH"/>
        </w:rPr>
        <w:t>3</w:t>
      </w:r>
      <w:r w:rsidRPr="00883A9F">
        <w:rPr>
          <w:rtl/>
          <w:lang w:val="fr-CH"/>
        </w:rPr>
        <w:t>) من العهد</w:t>
      </w:r>
      <w:r w:rsidR="003C1159">
        <w:rPr>
          <w:rtl/>
          <w:lang w:val="fr-CH"/>
        </w:rPr>
        <w:t>،</w:t>
      </w:r>
      <w:r w:rsidRPr="00883A9F">
        <w:rPr>
          <w:rtl/>
          <w:lang w:val="fr-CH"/>
        </w:rPr>
        <w:t xml:space="preserve"> هي أيض</w:t>
      </w:r>
      <w:r w:rsidR="00DB205B">
        <w:rPr>
          <w:rtl/>
          <w:lang w:val="fr-CH"/>
        </w:rPr>
        <w:t xml:space="preserve">اً </w:t>
      </w:r>
      <w:r w:rsidRPr="00883A9F">
        <w:rPr>
          <w:rtl/>
          <w:lang w:val="fr-CH"/>
        </w:rPr>
        <w:t>لا تستند إلى أسس موضوعية. ويكفل دستور بيلاروس</w:t>
      </w:r>
      <w:r w:rsidR="003C1159">
        <w:rPr>
          <w:rtl/>
          <w:lang w:val="fr-CH"/>
        </w:rPr>
        <w:t>،</w:t>
      </w:r>
      <w:r w:rsidRPr="00883A9F">
        <w:rPr>
          <w:rtl/>
          <w:lang w:val="fr-CH"/>
        </w:rPr>
        <w:t xml:space="preserve"> في المادتين </w:t>
      </w:r>
      <w:r w:rsidRPr="007B4248">
        <w:rPr>
          <w:rtl/>
          <w:lang w:val="fr-CH"/>
        </w:rPr>
        <w:t>33</w:t>
      </w:r>
      <w:r w:rsidR="00232907">
        <w:rPr>
          <w:rtl/>
          <w:lang w:val="fr-CH"/>
        </w:rPr>
        <w:t xml:space="preserve"> و</w:t>
      </w:r>
      <w:r w:rsidRPr="007B4248">
        <w:rPr>
          <w:rtl/>
          <w:lang w:val="fr-CH"/>
        </w:rPr>
        <w:t>35</w:t>
      </w:r>
      <w:r w:rsidR="003C1159">
        <w:rPr>
          <w:rtl/>
          <w:lang w:val="fr-CH"/>
        </w:rPr>
        <w:t>،</w:t>
      </w:r>
      <w:r w:rsidRPr="00883A9F">
        <w:rPr>
          <w:rtl/>
          <w:lang w:val="fr-CH"/>
        </w:rPr>
        <w:t xml:space="preserve"> هذه الحقوق لمواطنيها. وينص قانون الأنشطة العامة</w:t>
      </w:r>
      <w:r w:rsidR="003C1159">
        <w:rPr>
          <w:rtl/>
          <w:lang w:val="fr-CH"/>
        </w:rPr>
        <w:t>،</w:t>
      </w:r>
      <w:r w:rsidRPr="00883A9F">
        <w:rPr>
          <w:rtl/>
          <w:lang w:val="fr-CH"/>
        </w:rPr>
        <w:t xml:space="preserve"> الصادر في </w:t>
      </w:r>
      <w:r w:rsidRPr="007B4248">
        <w:rPr>
          <w:rtl/>
          <w:lang w:val="fr-CH"/>
        </w:rPr>
        <w:t>30</w:t>
      </w:r>
      <w:r w:rsidRPr="00883A9F">
        <w:rPr>
          <w:rtl/>
          <w:lang w:val="fr-CH"/>
        </w:rPr>
        <w:t xml:space="preserve"> كانون الأول/ديسمبر </w:t>
      </w:r>
      <w:r w:rsidRPr="007B4248">
        <w:rPr>
          <w:rtl/>
          <w:lang w:val="fr-CH"/>
        </w:rPr>
        <w:t>1997</w:t>
      </w:r>
      <w:r w:rsidR="003C1159">
        <w:rPr>
          <w:rtl/>
          <w:lang w:val="fr-CH"/>
        </w:rPr>
        <w:t>،</w:t>
      </w:r>
      <w:r w:rsidRPr="00883A9F">
        <w:rPr>
          <w:rtl/>
          <w:lang w:val="fr-CH"/>
        </w:rPr>
        <w:t xml:space="preserve"> على ضمانات كاملة لحماية الحقوق الدستورية لمواطني بيلاروس ولا يمكن القول إنه يقيد حقوقهم المكفولة بموجب المادة </w:t>
      </w:r>
      <w:r w:rsidRPr="007B4248">
        <w:rPr>
          <w:rtl/>
          <w:lang w:val="fr-CH"/>
        </w:rPr>
        <w:t>19</w:t>
      </w:r>
      <w:r w:rsidRPr="00883A9F">
        <w:rPr>
          <w:rtl/>
          <w:lang w:val="fr-CH"/>
        </w:rPr>
        <w:t>(</w:t>
      </w:r>
      <w:r w:rsidRPr="007B4248">
        <w:rPr>
          <w:rtl/>
          <w:lang w:val="fr-CH"/>
        </w:rPr>
        <w:t>3</w:t>
      </w:r>
      <w:r w:rsidRPr="00883A9F">
        <w:rPr>
          <w:rtl/>
          <w:lang w:val="fr-CH"/>
        </w:rPr>
        <w:t xml:space="preserve">) من العهد. </w:t>
      </w:r>
    </w:p>
    <w:p w14:paraId="4660A422" w14:textId="77777777" w:rsidR="001A0600" w:rsidRPr="007B4248" w:rsidRDefault="001A0600" w:rsidP="00A340FA">
      <w:pPr>
        <w:pStyle w:val="H23GA"/>
        <w:spacing w:before="200"/>
        <w:rPr>
          <w:rtl/>
        </w:rPr>
      </w:pPr>
      <w:r w:rsidRPr="007B4248">
        <w:rPr>
          <w:rtl/>
        </w:rPr>
        <w:tab/>
      </w:r>
      <w:r w:rsidRPr="007B4248">
        <w:rPr>
          <w:rtl/>
        </w:rPr>
        <w:tab/>
        <w:t xml:space="preserve">تعليقات صاحبة البلاغ على ملاحظات الدولة الطرف </w:t>
      </w:r>
    </w:p>
    <w:p w14:paraId="048591E2" w14:textId="56FF66EB" w:rsidR="001A0600" w:rsidRPr="00883A9F" w:rsidRDefault="001A0600" w:rsidP="00A340FA">
      <w:pPr>
        <w:pStyle w:val="SingleTxtGA"/>
        <w:spacing w:line="340" w:lineRule="exact"/>
        <w:rPr>
          <w:rtl/>
          <w:lang w:val="fr-CH"/>
        </w:rPr>
      </w:pPr>
      <w:r w:rsidRPr="007B4248">
        <w:rPr>
          <w:rtl/>
          <w:lang w:val="fr-CH"/>
        </w:rPr>
        <w:t>5</w:t>
      </w:r>
      <w:r w:rsidRPr="00883A9F">
        <w:rPr>
          <w:rtl/>
          <w:lang w:val="fr-CH"/>
        </w:rPr>
        <w:t>-</w:t>
      </w:r>
      <w:r w:rsidRPr="007B4248">
        <w:rPr>
          <w:rtl/>
          <w:lang w:val="fr-CH"/>
        </w:rPr>
        <w:t>1</w:t>
      </w:r>
      <w:r w:rsidRPr="00883A9F">
        <w:rPr>
          <w:rtl/>
          <w:lang w:val="fr-CH"/>
        </w:rPr>
        <w:tab/>
        <w:t>تدعي صاحبة البلاغ</w:t>
      </w:r>
      <w:r w:rsidR="003C1159">
        <w:rPr>
          <w:rtl/>
          <w:lang w:val="fr-CH"/>
        </w:rPr>
        <w:t>،</w:t>
      </w:r>
      <w:r w:rsidRPr="00883A9F">
        <w:rPr>
          <w:rtl/>
          <w:lang w:val="fr-CH"/>
        </w:rPr>
        <w:t xml:space="preserve"> في ردها على ملاحظات الدولة الطرف في </w:t>
      </w:r>
      <w:r w:rsidRPr="007B4248">
        <w:rPr>
          <w:rtl/>
          <w:lang w:val="fr-CH"/>
        </w:rPr>
        <w:t>17</w:t>
      </w:r>
      <w:r w:rsidRPr="00883A9F">
        <w:rPr>
          <w:rtl/>
          <w:lang w:val="fr-CH"/>
        </w:rPr>
        <w:t xml:space="preserve"> آذار/مارس </w:t>
      </w:r>
      <w:r w:rsidRPr="007B4248">
        <w:rPr>
          <w:rtl/>
          <w:lang w:val="fr-CH"/>
        </w:rPr>
        <w:t>2017</w:t>
      </w:r>
      <w:r w:rsidR="003C1159">
        <w:rPr>
          <w:rtl/>
          <w:lang w:val="fr-CH"/>
        </w:rPr>
        <w:t>،</w:t>
      </w:r>
      <w:r w:rsidRPr="00883A9F">
        <w:rPr>
          <w:rtl/>
          <w:lang w:val="fr-CH"/>
        </w:rPr>
        <w:t xml:space="preserve"> إن نظام الاستعراض القضائي الإشرافي ليس سبيل انتصاف فعال</w:t>
      </w:r>
      <w:r w:rsidR="00DB205B">
        <w:rPr>
          <w:rtl/>
          <w:lang w:val="fr-CH"/>
        </w:rPr>
        <w:t xml:space="preserve">اً </w:t>
      </w:r>
      <w:r w:rsidRPr="00883A9F">
        <w:rPr>
          <w:rtl/>
          <w:lang w:val="fr-CH"/>
        </w:rPr>
        <w:t>ينبغي استنفاده. فنتيجة هذا الاستعراض تعتمد على السلطة التقديرية الممنوحة للقضاة والمدعين العامين</w:t>
      </w:r>
      <w:r w:rsidR="003C1159">
        <w:rPr>
          <w:rtl/>
          <w:lang w:val="fr-CH"/>
        </w:rPr>
        <w:t>،</w:t>
      </w:r>
      <w:r w:rsidRPr="00883A9F">
        <w:rPr>
          <w:rtl/>
          <w:lang w:val="fr-CH"/>
        </w:rPr>
        <w:t xml:space="preserve"> وقد أقرت اللجنة منذ فترة طويلة بأن هذه الطعون غير فعالة وغير </w:t>
      </w:r>
      <w:proofErr w:type="gramStart"/>
      <w:r w:rsidRPr="00883A9F">
        <w:rPr>
          <w:rtl/>
          <w:lang w:val="fr-CH"/>
        </w:rPr>
        <w:t>ضرورية</w:t>
      </w:r>
      <w:r w:rsidRPr="00232907">
        <w:rPr>
          <w:vertAlign w:val="superscript"/>
          <w:rtl/>
          <w:lang w:val="fr-CH"/>
        </w:rPr>
        <w:t>(</w:t>
      </w:r>
      <w:proofErr w:type="gramEnd"/>
      <w:r w:rsidRPr="007B4248">
        <w:rPr>
          <w:rStyle w:val="FootnoteReference"/>
          <w:szCs w:val="22"/>
          <w:lang w:val="en-US"/>
        </w:rPr>
        <w:footnoteReference w:id="4"/>
      </w:r>
      <w:r w:rsidRPr="00232907">
        <w:rPr>
          <w:vertAlign w:val="superscript"/>
          <w:rtl/>
          <w:lang w:val="fr-CH"/>
        </w:rPr>
        <w:t>)</w:t>
      </w:r>
      <w:r w:rsidRPr="00883A9F">
        <w:rPr>
          <w:rtl/>
          <w:lang w:val="fr-CH"/>
        </w:rPr>
        <w:t>. ولم تحاول صاحبة البلاغ الاستفادة من حقها في تقديم طعن إلى مكتب المدعي العام لأنه لا يفضي إلى استعراض كامل للوقائع والأدلة</w:t>
      </w:r>
      <w:r w:rsidR="003C1159">
        <w:rPr>
          <w:rtl/>
          <w:lang w:val="fr-CH"/>
        </w:rPr>
        <w:t>،</w:t>
      </w:r>
      <w:r w:rsidRPr="00883A9F">
        <w:rPr>
          <w:rtl/>
          <w:lang w:val="fr-CH"/>
        </w:rPr>
        <w:t xml:space="preserve"> ويعتمد فقط على السلطة التقديرية للمدعي العام الذي يجري الاستعراض</w:t>
      </w:r>
      <w:r w:rsidR="003C1159">
        <w:rPr>
          <w:rtl/>
          <w:lang w:val="fr-CH"/>
        </w:rPr>
        <w:t>،</w:t>
      </w:r>
      <w:r w:rsidRPr="00883A9F">
        <w:rPr>
          <w:rtl/>
          <w:lang w:val="fr-CH"/>
        </w:rPr>
        <w:t xml:space="preserve"> ولذلك</w:t>
      </w:r>
      <w:r w:rsidR="003C1159">
        <w:rPr>
          <w:rtl/>
          <w:lang w:val="fr-CH"/>
        </w:rPr>
        <w:t>،</w:t>
      </w:r>
      <w:r w:rsidRPr="00883A9F">
        <w:rPr>
          <w:rtl/>
          <w:lang w:val="fr-CH"/>
        </w:rPr>
        <w:t xml:space="preserve"> لا يمكن اعتباره سبيل انتصاف فعال</w:t>
      </w:r>
      <w:r w:rsidR="00DB205B">
        <w:rPr>
          <w:rtl/>
          <w:lang w:val="fr-CH"/>
        </w:rPr>
        <w:t>اً.</w:t>
      </w:r>
      <w:r w:rsidRPr="00883A9F">
        <w:rPr>
          <w:rtl/>
          <w:lang w:val="fr-CH"/>
        </w:rPr>
        <w:t xml:space="preserve"> </w:t>
      </w:r>
    </w:p>
    <w:p w14:paraId="133A434D" w14:textId="1E35D223" w:rsidR="001A0600" w:rsidRPr="00A340FA" w:rsidRDefault="001A0600" w:rsidP="00A340FA">
      <w:pPr>
        <w:pStyle w:val="SingleTxtGA"/>
        <w:spacing w:line="340" w:lineRule="exact"/>
        <w:rPr>
          <w:spacing w:val="-2"/>
          <w:rtl/>
          <w:lang w:val="fr-CH"/>
        </w:rPr>
      </w:pPr>
      <w:r w:rsidRPr="007B4248">
        <w:rPr>
          <w:rtl/>
          <w:lang w:val="fr-CH"/>
        </w:rPr>
        <w:t>5</w:t>
      </w:r>
      <w:r w:rsidRPr="00883A9F">
        <w:rPr>
          <w:rtl/>
          <w:lang w:val="fr-CH"/>
        </w:rPr>
        <w:t>-</w:t>
      </w:r>
      <w:r w:rsidRPr="007B4248">
        <w:rPr>
          <w:rtl/>
          <w:lang w:val="fr-CH"/>
        </w:rPr>
        <w:t>2</w:t>
      </w:r>
      <w:r w:rsidRPr="00883A9F">
        <w:rPr>
          <w:rtl/>
          <w:lang w:val="fr-CH"/>
        </w:rPr>
        <w:tab/>
        <w:t>وتؤكد صاحبة البلاغ أن الدولة الطرف لا تذكر في ملاحظاتها أنها لا تمتثل حتى الآن</w:t>
      </w:r>
      <w:r w:rsidR="003C1159">
        <w:rPr>
          <w:rtl/>
          <w:lang w:val="fr-CH"/>
        </w:rPr>
        <w:t>،</w:t>
      </w:r>
      <w:r w:rsidRPr="00883A9F">
        <w:rPr>
          <w:rtl/>
          <w:lang w:val="fr-CH"/>
        </w:rPr>
        <w:t xml:space="preserve"> للاستنتاجات التي توصلت إليها المفوضية الأوروبية في تقريرها المؤرخ </w:t>
      </w:r>
      <w:r w:rsidRPr="007B4248">
        <w:rPr>
          <w:rtl/>
          <w:lang w:val="fr-CH"/>
        </w:rPr>
        <w:t>16</w:t>
      </w:r>
      <w:r w:rsidRPr="00883A9F">
        <w:rPr>
          <w:rtl/>
          <w:lang w:val="fr-CH"/>
        </w:rPr>
        <w:t>-</w:t>
      </w:r>
      <w:r w:rsidRPr="007B4248">
        <w:rPr>
          <w:rtl/>
          <w:lang w:val="fr-CH"/>
        </w:rPr>
        <w:t>17</w:t>
      </w:r>
      <w:r w:rsidRPr="00883A9F">
        <w:rPr>
          <w:rtl/>
          <w:lang w:val="fr-CH"/>
        </w:rPr>
        <w:t xml:space="preserve"> آذار/مارس </w:t>
      </w:r>
      <w:r w:rsidRPr="007B4248">
        <w:rPr>
          <w:rtl/>
          <w:lang w:val="fr-CH"/>
        </w:rPr>
        <w:t>2012</w:t>
      </w:r>
      <w:r w:rsidR="003C1159">
        <w:rPr>
          <w:rtl/>
          <w:lang w:val="fr-CH"/>
        </w:rPr>
        <w:t>،</w:t>
      </w:r>
      <w:r w:rsidRPr="00883A9F">
        <w:rPr>
          <w:rtl/>
          <w:lang w:val="fr-CH"/>
        </w:rPr>
        <w:t xml:space="preserve"> وهو تقرير تضمن توصيات بإدخال عدد من التعديلات على قانون الأنشطة العامة. وتضيف قائلة إن الدولة الطرف لم تنفذ العديد من آراء اللجنة التي طلبت فيها من بيلاروس مواءمة تشريعاتها مع المعايير الدولية </w:t>
      </w:r>
      <w:r w:rsidRPr="00A340FA">
        <w:rPr>
          <w:spacing w:val="-2"/>
          <w:rtl/>
          <w:lang w:val="fr-CH"/>
        </w:rPr>
        <w:t>لحقوق الإنسان. وتقول صاحبة البلاغ إن القانون</w:t>
      </w:r>
      <w:r w:rsidR="003C1159">
        <w:rPr>
          <w:spacing w:val="-2"/>
          <w:rtl/>
          <w:lang w:val="fr-CH"/>
        </w:rPr>
        <w:t>،</w:t>
      </w:r>
      <w:r w:rsidRPr="00A340FA">
        <w:rPr>
          <w:spacing w:val="-2"/>
          <w:rtl/>
          <w:lang w:val="fr-CH"/>
        </w:rPr>
        <w:t xml:space="preserve"> بالطريقة التي يُنفذ بها حالي</w:t>
      </w:r>
      <w:r w:rsidR="00DB205B">
        <w:rPr>
          <w:spacing w:val="-2"/>
          <w:rtl/>
          <w:lang w:val="fr-CH"/>
        </w:rPr>
        <w:t>اً،</w:t>
      </w:r>
      <w:r w:rsidRPr="00A340FA">
        <w:rPr>
          <w:spacing w:val="-2"/>
          <w:rtl/>
          <w:lang w:val="fr-CH"/>
        </w:rPr>
        <w:t xml:space="preserve"> قد أدى إلى انتهاك حقوقها. </w:t>
      </w:r>
    </w:p>
    <w:p w14:paraId="3D349D4A" w14:textId="77777777" w:rsidR="001A0600" w:rsidRPr="007B4248" w:rsidRDefault="001A0600" w:rsidP="00A340FA">
      <w:pPr>
        <w:pStyle w:val="H23GA"/>
        <w:spacing w:before="200"/>
        <w:rPr>
          <w:rtl/>
        </w:rPr>
      </w:pPr>
      <w:r w:rsidRPr="007B4248">
        <w:rPr>
          <w:rtl/>
        </w:rPr>
        <w:tab/>
      </w:r>
      <w:r w:rsidRPr="007B4248">
        <w:rPr>
          <w:rtl/>
        </w:rPr>
        <w:tab/>
      </w:r>
      <w:r w:rsidRPr="007B4248">
        <w:rPr>
          <w:rtl/>
        </w:rPr>
        <w:tab/>
        <w:t>المسائل والإجراءات المعروضة على اللجنة</w:t>
      </w:r>
    </w:p>
    <w:p w14:paraId="26830231" w14:textId="77777777" w:rsidR="001A0600" w:rsidRPr="007B4248" w:rsidRDefault="001A0600" w:rsidP="00A340FA">
      <w:pPr>
        <w:pStyle w:val="H4GA"/>
        <w:spacing w:before="200"/>
        <w:rPr>
          <w:rtl/>
        </w:rPr>
      </w:pPr>
      <w:r w:rsidRPr="007B4248">
        <w:rPr>
          <w:rtl/>
        </w:rPr>
        <w:tab/>
      </w:r>
      <w:r w:rsidRPr="007B4248">
        <w:rPr>
          <w:rtl/>
        </w:rPr>
        <w:tab/>
        <w:t>النظر في المقبولية</w:t>
      </w:r>
    </w:p>
    <w:p w14:paraId="0AF7D145" w14:textId="44A62A1E" w:rsidR="001A0600" w:rsidRPr="00883A9F" w:rsidRDefault="001A0600" w:rsidP="00A340FA">
      <w:pPr>
        <w:pStyle w:val="SingleTxtGA"/>
        <w:spacing w:line="340" w:lineRule="exact"/>
        <w:rPr>
          <w:rtl/>
          <w:lang w:val="fr-CH"/>
        </w:rPr>
      </w:pPr>
      <w:r w:rsidRPr="007B4248">
        <w:rPr>
          <w:rtl/>
          <w:lang w:val="fr-CH"/>
        </w:rPr>
        <w:t>6</w:t>
      </w:r>
      <w:r w:rsidRPr="00883A9F">
        <w:rPr>
          <w:rtl/>
          <w:lang w:val="fr-CH"/>
        </w:rPr>
        <w:t>-</w:t>
      </w:r>
      <w:r w:rsidRPr="007B4248">
        <w:rPr>
          <w:rtl/>
          <w:lang w:val="fr-CH"/>
        </w:rPr>
        <w:t>1</w:t>
      </w:r>
      <w:r w:rsidRPr="00883A9F">
        <w:rPr>
          <w:rtl/>
          <w:lang w:val="fr-CH"/>
        </w:rPr>
        <w:tab/>
        <w:t>قبل النظر في أي ادعاء يرد في بلاغ ما</w:t>
      </w:r>
      <w:r w:rsidR="003C1159">
        <w:rPr>
          <w:rtl/>
          <w:lang w:val="fr-CH"/>
        </w:rPr>
        <w:t>،</w:t>
      </w:r>
      <w:r w:rsidRPr="00883A9F">
        <w:rPr>
          <w:rtl/>
          <w:lang w:val="fr-CH"/>
        </w:rPr>
        <w:t xml:space="preserve"> يجب على اللجنة أن تقرر</w:t>
      </w:r>
      <w:r w:rsidR="003C1159">
        <w:rPr>
          <w:rtl/>
          <w:lang w:val="fr-CH"/>
        </w:rPr>
        <w:t>،</w:t>
      </w:r>
      <w:r w:rsidRPr="00883A9F">
        <w:rPr>
          <w:rtl/>
          <w:lang w:val="fr-CH"/>
        </w:rPr>
        <w:t xml:space="preserve"> وفقاً للمادة </w:t>
      </w:r>
      <w:r w:rsidRPr="007B4248">
        <w:rPr>
          <w:rtl/>
          <w:lang w:val="fr-CH"/>
        </w:rPr>
        <w:t>97</w:t>
      </w:r>
      <w:r w:rsidRPr="00883A9F">
        <w:rPr>
          <w:rtl/>
          <w:lang w:val="fr-CH"/>
        </w:rPr>
        <w:t xml:space="preserve"> من نظامها الداخلي</w:t>
      </w:r>
      <w:r w:rsidR="003C1159">
        <w:rPr>
          <w:rtl/>
          <w:lang w:val="fr-CH"/>
        </w:rPr>
        <w:t>،</w:t>
      </w:r>
      <w:r w:rsidRPr="00883A9F">
        <w:rPr>
          <w:rtl/>
          <w:lang w:val="fr-CH"/>
        </w:rPr>
        <w:t xml:space="preserve"> ما إذا كان البلاغ مقبولاً أم لا بموجب البروتوكول الاختياري.</w:t>
      </w:r>
    </w:p>
    <w:p w14:paraId="6023F1C5" w14:textId="42056480" w:rsidR="001A0600" w:rsidRPr="00883A9F" w:rsidRDefault="001A0600" w:rsidP="00A340FA">
      <w:pPr>
        <w:pStyle w:val="SingleTxtGA"/>
        <w:spacing w:line="340" w:lineRule="exact"/>
        <w:rPr>
          <w:rtl/>
          <w:lang w:val="fr-CH"/>
        </w:rPr>
      </w:pPr>
      <w:r w:rsidRPr="007B4248">
        <w:rPr>
          <w:rtl/>
          <w:lang w:val="fr-CH"/>
        </w:rPr>
        <w:t>6</w:t>
      </w:r>
      <w:r w:rsidRPr="00883A9F">
        <w:rPr>
          <w:rtl/>
          <w:lang w:val="fr-CH"/>
        </w:rPr>
        <w:t>-</w:t>
      </w:r>
      <w:r w:rsidRPr="007B4248">
        <w:rPr>
          <w:rtl/>
          <w:lang w:val="fr-CH"/>
        </w:rPr>
        <w:t>2</w:t>
      </w:r>
      <w:r w:rsidRPr="00883A9F">
        <w:rPr>
          <w:rtl/>
          <w:lang w:val="fr-CH"/>
        </w:rPr>
        <w:tab/>
        <w:t>وقد تأكدت اللجنة</w:t>
      </w:r>
      <w:r w:rsidR="003C1159">
        <w:rPr>
          <w:rtl/>
          <w:lang w:val="fr-CH"/>
        </w:rPr>
        <w:t>،</w:t>
      </w:r>
      <w:r w:rsidRPr="00883A9F">
        <w:rPr>
          <w:rtl/>
          <w:lang w:val="fr-CH"/>
        </w:rPr>
        <w:t xml:space="preserve"> وفقاً لما تنص عليه المادة </w:t>
      </w:r>
      <w:r w:rsidRPr="007B4248">
        <w:rPr>
          <w:rtl/>
          <w:lang w:val="fr-CH"/>
        </w:rPr>
        <w:t>5</w:t>
      </w:r>
      <w:r w:rsidRPr="00883A9F">
        <w:rPr>
          <w:rtl/>
          <w:lang w:val="fr-CH"/>
        </w:rPr>
        <w:t>(</w:t>
      </w:r>
      <w:r w:rsidRPr="007B4248">
        <w:rPr>
          <w:rtl/>
          <w:lang w:val="fr-CH"/>
        </w:rPr>
        <w:t>2</w:t>
      </w:r>
      <w:r w:rsidRPr="00883A9F">
        <w:rPr>
          <w:rtl/>
          <w:lang w:val="fr-CH"/>
        </w:rPr>
        <w:t>)(أ) من البروتوكول الاختياري</w:t>
      </w:r>
      <w:r w:rsidR="003C1159">
        <w:rPr>
          <w:rtl/>
          <w:lang w:val="fr-CH"/>
        </w:rPr>
        <w:t>،</w:t>
      </w:r>
      <w:r w:rsidRPr="00883A9F">
        <w:rPr>
          <w:rtl/>
          <w:lang w:val="fr-CH"/>
        </w:rPr>
        <w:t xml:space="preserve"> من عدم كون المسألة ذاتها محل دراسة بالفعل من قبل هيئة أخرى من هيئات التحقيق الدولي أو التسوية الدولية. </w:t>
      </w:r>
    </w:p>
    <w:p w14:paraId="5DFF0B20" w14:textId="2ADD2651" w:rsidR="001A0600" w:rsidRPr="00883A9F" w:rsidRDefault="001A0600" w:rsidP="00A340FA">
      <w:pPr>
        <w:pStyle w:val="SingleTxtGA"/>
        <w:spacing w:line="340" w:lineRule="exact"/>
        <w:rPr>
          <w:rtl/>
          <w:lang w:val="fr-CH"/>
        </w:rPr>
      </w:pPr>
      <w:r w:rsidRPr="007B4248">
        <w:rPr>
          <w:rtl/>
          <w:lang w:val="fr-CH"/>
        </w:rPr>
        <w:t>6</w:t>
      </w:r>
      <w:r w:rsidRPr="00883A9F">
        <w:rPr>
          <w:rtl/>
          <w:lang w:val="fr-CH"/>
        </w:rPr>
        <w:t>-</w:t>
      </w:r>
      <w:r w:rsidRPr="007B4248">
        <w:rPr>
          <w:rtl/>
          <w:lang w:val="fr-CH"/>
        </w:rPr>
        <w:t>3</w:t>
      </w:r>
      <w:r w:rsidRPr="00883A9F">
        <w:rPr>
          <w:rtl/>
          <w:lang w:val="fr-CH"/>
        </w:rPr>
        <w:tab/>
      </w:r>
      <w:r w:rsidRPr="00B77F79">
        <w:rPr>
          <w:spacing w:val="-4"/>
          <w:rtl/>
          <w:lang w:val="fr-CH"/>
        </w:rPr>
        <w:t>وتحيط اللجنة علماً بقول الدولة الطرف إن صاحبة البلاغ لم تستنفد جميع سبل الانتصاف المحلية</w:t>
      </w:r>
      <w:r w:rsidR="003C1159" w:rsidRPr="00B77F79">
        <w:rPr>
          <w:spacing w:val="-4"/>
          <w:rtl/>
          <w:lang w:val="fr-CH"/>
        </w:rPr>
        <w:t>،</w:t>
      </w:r>
      <w:r w:rsidRPr="00A340FA">
        <w:rPr>
          <w:spacing w:val="-2"/>
          <w:rtl/>
          <w:lang w:val="fr-CH"/>
        </w:rPr>
        <w:t xml:space="preserve"> </w:t>
      </w:r>
      <w:r w:rsidRPr="00B77F79">
        <w:rPr>
          <w:spacing w:val="-4"/>
          <w:rtl/>
          <w:lang w:val="fr-CH"/>
        </w:rPr>
        <w:t>لأسباب منها على وجه الخصوص</w:t>
      </w:r>
      <w:r w:rsidR="003C1159" w:rsidRPr="00B77F79">
        <w:rPr>
          <w:spacing w:val="-4"/>
          <w:rtl/>
          <w:lang w:val="fr-CH"/>
        </w:rPr>
        <w:t>،</w:t>
      </w:r>
      <w:r w:rsidRPr="00B77F79">
        <w:rPr>
          <w:spacing w:val="-4"/>
          <w:rtl/>
          <w:lang w:val="fr-CH"/>
        </w:rPr>
        <w:t xml:space="preserve"> عدم تقديم طعن إلى المدعي العام بموجب إجراءات الاستعراض القضائي</w:t>
      </w:r>
      <w:r w:rsidRPr="00A340FA">
        <w:rPr>
          <w:spacing w:val="-2"/>
          <w:rtl/>
          <w:lang w:val="fr-CH"/>
        </w:rPr>
        <w:t xml:space="preserve"> الإشرافي. وتحيط اللجنة علم</w:t>
      </w:r>
      <w:r w:rsidR="00DB205B">
        <w:rPr>
          <w:spacing w:val="-2"/>
          <w:rtl/>
          <w:lang w:val="fr-CH"/>
        </w:rPr>
        <w:t xml:space="preserve">اً </w:t>
      </w:r>
      <w:r w:rsidRPr="00A340FA">
        <w:rPr>
          <w:spacing w:val="-2"/>
          <w:rtl/>
          <w:lang w:val="fr-CH"/>
        </w:rPr>
        <w:t>بتأكيد صاحبة البلاغ أن إجراءات الاستعراض القضائي الإشرافي لا تعتبر</w:t>
      </w:r>
      <w:r w:rsidRPr="00883A9F">
        <w:rPr>
          <w:rtl/>
          <w:lang w:val="fr-CH"/>
        </w:rPr>
        <w:t xml:space="preserve"> في رأي اللجنة سبيل انتصاف </w:t>
      </w:r>
      <w:proofErr w:type="gramStart"/>
      <w:r w:rsidRPr="00883A9F">
        <w:rPr>
          <w:rtl/>
          <w:lang w:val="fr-CH"/>
        </w:rPr>
        <w:t>فعالاً</w:t>
      </w:r>
      <w:r w:rsidRPr="00232907">
        <w:rPr>
          <w:vertAlign w:val="superscript"/>
          <w:rtl/>
          <w:lang w:val="fr-CH"/>
        </w:rPr>
        <w:t>(</w:t>
      </w:r>
      <w:proofErr w:type="gramEnd"/>
      <w:r w:rsidRPr="007B4248">
        <w:rPr>
          <w:rStyle w:val="FootnoteReference"/>
          <w:szCs w:val="22"/>
          <w:lang w:val="en-US"/>
        </w:rPr>
        <w:footnoteReference w:id="5"/>
      </w:r>
      <w:r w:rsidRPr="00232907">
        <w:rPr>
          <w:vertAlign w:val="superscript"/>
          <w:rtl/>
          <w:lang w:val="fr-CH"/>
        </w:rPr>
        <w:t>)</w:t>
      </w:r>
      <w:r w:rsidRPr="00883A9F">
        <w:rPr>
          <w:rtl/>
          <w:lang w:val="fr-CH"/>
        </w:rPr>
        <w:t xml:space="preserve">. وتلاحظ اللجنة أن صاحبة البلاغ قدمت شكويين </w:t>
      </w:r>
      <w:r w:rsidRPr="00A340FA">
        <w:rPr>
          <w:spacing w:val="-2"/>
          <w:rtl/>
          <w:lang w:val="fr-CH"/>
        </w:rPr>
        <w:t>لإجراء الاستعراض القضائي الإشرافي</w:t>
      </w:r>
      <w:r w:rsidR="003C1159">
        <w:rPr>
          <w:spacing w:val="-2"/>
          <w:rtl/>
          <w:lang w:val="fr-CH"/>
        </w:rPr>
        <w:t>،</w:t>
      </w:r>
      <w:r w:rsidRPr="00A340FA">
        <w:rPr>
          <w:spacing w:val="-2"/>
          <w:rtl/>
          <w:lang w:val="fr-CH"/>
        </w:rPr>
        <w:t xml:space="preserve"> في </w:t>
      </w:r>
      <w:r w:rsidRPr="007B4248">
        <w:rPr>
          <w:spacing w:val="-2"/>
          <w:rtl/>
          <w:lang w:val="fr-CH"/>
        </w:rPr>
        <w:t>23</w:t>
      </w:r>
      <w:r w:rsidRPr="00A340FA">
        <w:rPr>
          <w:spacing w:val="-2"/>
          <w:rtl/>
          <w:lang w:val="fr-CH"/>
        </w:rPr>
        <w:t xml:space="preserve"> كانون الأول/ديسمبر </w:t>
      </w:r>
      <w:r w:rsidRPr="007B4248">
        <w:rPr>
          <w:spacing w:val="-2"/>
          <w:rtl/>
          <w:lang w:val="fr-CH"/>
        </w:rPr>
        <w:t>2015</w:t>
      </w:r>
      <w:r w:rsidRPr="00A340FA">
        <w:rPr>
          <w:spacing w:val="-2"/>
          <w:rtl/>
          <w:lang w:val="fr-CH"/>
        </w:rPr>
        <w:t xml:space="preserve"> وفي </w:t>
      </w:r>
      <w:r w:rsidRPr="007B4248">
        <w:rPr>
          <w:spacing w:val="-2"/>
          <w:rtl/>
          <w:lang w:val="fr-CH"/>
        </w:rPr>
        <w:t>24</w:t>
      </w:r>
      <w:r w:rsidRPr="00A340FA">
        <w:rPr>
          <w:spacing w:val="-2"/>
          <w:rtl/>
          <w:lang w:val="fr-CH"/>
        </w:rPr>
        <w:t xml:space="preserve"> شباط/فبراير </w:t>
      </w:r>
      <w:r w:rsidRPr="007B4248">
        <w:rPr>
          <w:spacing w:val="-2"/>
          <w:rtl/>
          <w:lang w:val="fr-CH"/>
        </w:rPr>
        <w:t>2016</w:t>
      </w:r>
      <w:r w:rsidR="003C1159">
        <w:rPr>
          <w:spacing w:val="-2"/>
          <w:rtl/>
          <w:lang w:val="fr-CH"/>
        </w:rPr>
        <w:t>،</w:t>
      </w:r>
      <w:r w:rsidRPr="00883A9F">
        <w:rPr>
          <w:rtl/>
          <w:lang w:val="fr-CH"/>
        </w:rPr>
        <w:t xml:space="preserve"> وكلتاهما رفض من رئيس المحكمة الإقليمية والمحكمة العليا (انظر الفقرة </w:t>
      </w:r>
      <w:r w:rsidRPr="007B4248">
        <w:rPr>
          <w:rtl/>
          <w:lang w:val="fr-CH"/>
        </w:rPr>
        <w:t>2</w:t>
      </w:r>
      <w:r w:rsidRPr="00883A9F">
        <w:rPr>
          <w:rtl/>
          <w:lang w:val="fr-CH"/>
        </w:rPr>
        <w:t>-</w:t>
      </w:r>
      <w:r w:rsidRPr="007B4248">
        <w:rPr>
          <w:rtl/>
          <w:lang w:val="fr-CH"/>
        </w:rPr>
        <w:t>3</w:t>
      </w:r>
      <w:r w:rsidRPr="00883A9F">
        <w:rPr>
          <w:rtl/>
          <w:lang w:val="fr-CH"/>
        </w:rPr>
        <w:t xml:space="preserve"> أعلاه). وفي هذا السياق</w:t>
      </w:r>
      <w:r w:rsidR="003C1159">
        <w:rPr>
          <w:rtl/>
          <w:lang w:val="fr-CH"/>
        </w:rPr>
        <w:t>،</w:t>
      </w:r>
      <w:r w:rsidRPr="00883A9F">
        <w:rPr>
          <w:rtl/>
          <w:lang w:val="fr-CH"/>
        </w:rPr>
        <w:t xml:space="preserve"> تشير اللجنة إلى </w:t>
      </w:r>
      <w:r w:rsidRPr="00C845A1">
        <w:rPr>
          <w:spacing w:val="-4"/>
          <w:rtl/>
          <w:lang w:val="fr-CH"/>
        </w:rPr>
        <w:t>اجتهاداتها القضائية السابقة</w:t>
      </w:r>
      <w:r w:rsidR="003C1159" w:rsidRPr="00C845A1">
        <w:rPr>
          <w:spacing w:val="-4"/>
          <w:rtl/>
          <w:lang w:val="fr-CH"/>
        </w:rPr>
        <w:t>،</w:t>
      </w:r>
      <w:r w:rsidRPr="00C845A1">
        <w:rPr>
          <w:spacing w:val="-4"/>
          <w:rtl/>
          <w:lang w:val="fr-CH"/>
        </w:rPr>
        <w:t xml:space="preserve"> التي رأت فيها أن تقديم طلب لإجراء استعراض قضائي إشرافي لقرارات قضائية</w:t>
      </w:r>
      <w:r w:rsidRPr="00883A9F">
        <w:rPr>
          <w:rtl/>
          <w:lang w:val="fr-CH"/>
        </w:rPr>
        <w:t xml:space="preserve"> </w:t>
      </w:r>
      <w:r w:rsidRPr="00C845A1">
        <w:rPr>
          <w:spacing w:val="-4"/>
          <w:rtl/>
          <w:lang w:val="fr-CH"/>
        </w:rPr>
        <w:t>دخلت حيز النفاذ وتعتمد على السلطة التقديرية للمدعي العام لا يشكل سبيل انتصاف يجب استنفاده لأغراض</w:t>
      </w:r>
      <w:r w:rsidRPr="00B77F79">
        <w:rPr>
          <w:spacing w:val="-4"/>
          <w:rtl/>
          <w:lang w:val="fr-CH"/>
        </w:rPr>
        <w:t xml:space="preserve"> </w:t>
      </w:r>
      <w:proofErr w:type="gramStart"/>
      <w:r w:rsidRPr="00B77F79">
        <w:rPr>
          <w:spacing w:val="-4"/>
          <w:rtl/>
          <w:lang w:val="fr-CH"/>
        </w:rPr>
        <w:t>المقبولية</w:t>
      </w:r>
      <w:r w:rsidRPr="00232907">
        <w:rPr>
          <w:vertAlign w:val="superscript"/>
          <w:rtl/>
          <w:lang w:val="fr-CH"/>
        </w:rPr>
        <w:t>(</w:t>
      </w:r>
      <w:proofErr w:type="gramEnd"/>
      <w:r w:rsidRPr="007B4248">
        <w:rPr>
          <w:rStyle w:val="FootnoteReference"/>
          <w:szCs w:val="22"/>
          <w:lang w:val="en-US"/>
        </w:rPr>
        <w:footnoteReference w:id="6"/>
      </w:r>
      <w:r w:rsidRPr="00232907">
        <w:rPr>
          <w:vertAlign w:val="superscript"/>
          <w:rtl/>
          <w:lang w:val="fr-CH"/>
        </w:rPr>
        <w:t>)</w:t>
      </w:r>
      <w:r w:rsidRPr="00883A9F">
        <w:rPr>
          <w:rtl/>
          <w:lang w:val="fr-CH"/>
        </w:rPr>
        <w:t xml:space="preserve">. </w:t>
      </w:r>
      <w:r w:rsidRPr="00C845A1">
        <w:rPr>
          <w:rtl/>
          <w:lang w:val="fr-CH"/>
        </w:rPr>
        <w:t>وبناء على ذلك</w:t>
      </w:r>
      <w:r w:rsidR="003C1159" w:rsidRPr="00C845A1">
        <w:rPr>
          <w:rtl/>
          <w:lang w:val="fr-CH"/>
        </w:rPr>
        <w:t>،</w:t>
      </w:r>
      <w:r w:rsidRPr="00C845A1">
        <w:rPr>
          <w:rtl/>
          <w:lang w:val="fr-CH"/>
        </w:rPr>
        <w:t xml:space="preserve"> ترى اللجنة أن أحكام الفقرة (</w:t>
      </w:r>
      <w:r w:rsidRPr="007B4248">
        <w:rPr>
          <w:rtl/>
          <w:lang w:val="fr-CH"/>
        </w:rPr>
        <w:t>2</w:t>
      </w:r>
      <w:r w:rsidRPr="00C845A1">
        <w:rPr>
          <w:rtl/>
          <w:lang w:val="fr-CH"/>
        </w:rPr>
        <w:t xml:space="preserve">)(ب) من المادة </w:t>
      </w:r>
      <w:r w:rsidRPr="007B4248">
        <w:rPr>
          <w:rtl/>
          <w:lang w:val="fr-CH"/>
        </w:rPr>
        <w:t>5</w:t>
      </w:r>
      <w:r w:rsidRPr="00C845A1">
        <w:rPr>
          <w:rtl/>
          <w:lang w:val="fr-CH"/>
        </w:rPr>
        <w:t xml:space="preserve"> من البروتوكول الاختياري لا تمنعها من </w:t>
      </w:r>
      <w:r w:rsidRPr="00883A9F">
        <w:rPr>
          <w:rtl/>
          <w:lang w:val="fr-CH"/>
        </w:rPr>
        <w:t>النظر في هذا البلاغ.</w:t>
      </w:r>
    </w:p>
    <w:p w14:paraId="1C5AAE6F" w14:textId="12A6D117" w:rsidR="001A0600" w:rsidRPr="00A340FA" w:rsidRDefault="001A0600" w:rsidP="00A340FA">
      <w:pPr>
        <w:pStyle w:val="SingleTxtGA"/>
        <w:spacing w:line="350" w:lineRule="exact"/>
        <w:rPr>
          <w:rtl/>
          <w:lang w:val="fr-CH"/>
        </w:rPr>
      </w:pPr>
      <w:r w:rsidRPr="007B4248">
        <w:rPr>
          <w:spacing w:val="-4"/>
          <w:rtl/>
          <w:lang w:val="fr-CH"/>
        </w:rPr>
        <w:lastRenderedPageBreak/>
        <w:t>6</w:t>
      </w:r>
      <w:r w:rsidRPr="00A340FA">
        <w:rPr>
          <w:spacing w:val="-4"/>
          <w:rtl/>
          <w:lang w:val="fr-CH"/>
        </w:rPr>
        <w:t>-</w:t>
      </w:r>
      <w:r w:rsidRPr="007B4248">
        <w:rPr>
          <w:spacing w:val="-4"/>
          <w:rtl/>
          <w:lang w:val="fr-CH"/>
        </w:rPr>
        <w:t>4</w:t>
      </w:r>
      <w:r w:rsidRPr="00A340FA">
        <w:rPr>
          <w:spacing w:val="-4"/>
          <w:rtl/>
          <w:lang w:val="fr-CH"/>
        </w:rPr>
        <w:tab/>
      </w:r>
      <w:r w:rsidRPr="00A340FA">
        <w:rPr>
          <w:spacing w:val="-6"/>
          <w:rtl/>
          <w:lang w:val="fr-CH"/>
        </w:rPr>
        <w:t xml:space="preserve">وتحيط اللجنة علماً بادعاء صاحبة البلاغ انتهاك الدولة الطرف لحقوقها المكفولة بموجب المادة </w:t>
      </w:r>
      <w:r w:rsidRPr="007B4248">
        <w:rPr>
          <w:spacing w:val="-6"/>
          <w:rtl/>
          <w:lang w:val="fr-CH"/>
        </w:rPr>
        <w:t>2</w:t>
      </w:r>
      <w:r w:rsidRPr="00A340FA">
        <w:rPr>
          <w:spacing w:val="-6"/>
          <w:rtl/>
          <w:lang w:val="fr-CH"/>
        </w:rPr>
        <w:t>(</w:t>
      </w:r>
      <w:r w:rsidRPr="007B4248">
        <w:rPr>
          <w:spacing w:val="-6"/>
          <w:rtl/>
          <w:lang w:val="fr-CH"/>
        </w:rPr>
        <w:t>2</w:t>
      </w:r>
      <w:r w:rsidRPr="00A340FA">
        <w:rPr>
          <w:spacing w:val="-6"/>
          <w:rtl/>
          <w:lang w:val="fr-CH"/>
        </w:rPr>
        <w:t>)</w:t>
      </w:r>
      <w:r w:rsidR="003C1159">
        <w:rPr>
          <w:spacing w:val="-6"/>
          <w:rtl/>
          <w:lang w:val="fr-CH"/>
        </w:rPr>
        <w:t>،</w:t>
      </w:r>
      <w:r w:rsidRPr="00A340FA">
        <w:rPr>
          <w:spacing w:val="-6"/>
          <w:rtl/>
          <w:lang w:val="fr-CH"/>
        </w:rPr>
        <w:t xml:space="preserve"> </w:t>
      </w:r>
      <w:r w:rsidRPr="00A340FA">
        <w:rPr>
          <w:rtl/>
          <w:lang w:val="fr-CH"/>
        </w:rPr>
        <w:t xml:space="preserve">مقروءة بالاقتران مع المادة </w:t>
      </w:r>
      <w:r w:rsidRPr="007B4248">
        <w:rPr>
          <w:rtl/>
          <w:lang w:val="fr-CH"/>
        </w:rPr>
        <w:t>19</w:t>
      </w:r>
      <w:r w:rsidRPr="00A340FA">
        <w:rPr>
          <w:rtl/>
          <w:lang w:val="fr-CH"/>
        </w:rPr>
        <w:t xml:space="preserve"> من العهد. وتؤكد اللجنة من جديد أنه لا يجوز الاحتجاج بأحكام المادة </w:t>
      </w:r>
      <w:r w:rsidRPr="007B4248">
        <w:rPr>
          <w:rtl/>
          <w:lang w:val="fr-CH"/>
        </w:rPr>
        <w:t>2</w:t>
      </w:r>
      <w:r w:rsidRPr="00A340FA">
        <w:rPr>
          <w:rtl/>
          <w:lang w:val="fr-CH"/>
        </w:rPr>
        <w:t xml:space="preserve"> في ادعاء يرد في بلاغ مقدم بموجب البروتوكول الاختياري</w:t>
      </w:r>
      <w:r w:rsidR="003C1159">
        <w:rPr>
          <w:rtl/>
          <w:lang w:val="fr-CH"/>
        </w:rPr>
        <w:t>،</w:t>
      </w:r>
      <w:r w:rsidRPr="00A340FA">
        <w:rPr>
          <w:rtl/>
          <w:lang w:val="fr-CH"/>
        </w:rPr>
        <w:t xml:space="preserve"> بالاقتران مع أحكام أخرى من العهد</w:t>
      </w:r>
      <w:r w:rsidR="003C1159">
        <w:rPr>
          <w:rtl/>
          <w:lang w:val="fr-CH"/>
        </w:rPr>
        <w:t>،</w:t>
      </w:r>
      <w:r w:rsidRPr="00A340FA">
        <w:rPr>
          <w:rtl/>
          <w:lang w:val="fr-CH"/>
        </w:rPr>
        <w:t xml:space="preserve"> إلا إن كان عدم احترام الدولة الطرف </w:t>
      </w:r>
      <w:proofErr w:type="spellStart"/>
      <w:r w:rsidRPr="00A340FA">
        <w:rPr>
          <w:rtl/>
          <w:lang w:val="fr-CH"/>
        </w:rPr>
        <w:t>للالتزاماتها</w:t>
      </w:r>
      <w:proofErr w:type="spellEnd"/>
      <w:r w:rsidRPr="00A340FA">
        <w:rPr>
          <w:rtl/>
          <w:lang w:val="fr-CH"/>
        </w:rPr>
        <w:t xml:space="preserve"> الواقعة عليها بموجب المادة </w:t>
      </w:r>
      <w:r w:rsidRPr="007B4248">
        <w:rPr>
          <w:rtl/>
          <w:lang w:val="fr-CH"/>
        </w:rPr>
        <w:t>2</w:t>
      </w:r>
      <w:r w:rsidRPr="00A340FA">
        <w:rPr>
          <w:rtl/>
          <w:lang w:val="fr-CH"/>
        </w:rPr>
        <w:t xml:space="preserve"> هو السبب القريب لحدوث انتهاك منفصل للعهد يمس مباشرة الشخص الذي يدعي أنه </w:t>
      </w:r>
      <w:proofErr w:type="gramStart"/>
      <w:r w:rsidRPr="00A340FA">
        <w:rPr>
          <w:rtl/>
          <w:lang w:val="fr-CH"/>
        </w:rPr>
        <w:t>ضحية</w:t>
      </w:r>
      <w:r w:rsidRPr="00A340FA">
        <w:rPr>
          <w:vertAlign w:val="superscript"/>
          <w:rtl/>
          <w:lang w:val="fr-CH"/>
        </w:rPr>
        <w:t>(</w:t>
      </w:r>
      <w:proofErr w:type="gramEnd"/>
      <w:r w:rsidRPr="007B4248">
        <w:rPr>
          <w:rStyle w:val="FootnoteReference"/>
          <w:szCs w:val="22"/>
          <w:lang w:val="en-US"/>
        </w:rPr>
        <w:footnoteReference w:id="7"/>
      </w:r>
      <w:r w:rsidRPr="00A340FA">
        <w:rPr>
          <w:vertAlign w:val="superscript"/>
          <w:rtl/>
          <w:lang w:val="fr-CH"/>
        </w:rPr>
        <w:t>)</w:t>
      </w:r>
      <w:r w:rsidRPr="00A340FA">
        <w:rPr>
          <w:rtl/>
          <w:lang w:val="fr-CH"/>
        </w:rPr>
        <w:t xml:space="preserve">. غير أن اللجنة تلاحظ أن صاحبة البلاغ زعمت بالفعل أن حقوقها المكفولة بموجب المادة </w:t>
      </w:r>
      <w:r w:rsidRPr="007B4248">
        <w:rPr>
          <w:rtl/>
          <w:lang w:val="fr-CH"/>
        </w:rPr>
        <w:t>19</w:t>
      </w:r>
      <w:r w:rsidRPr="00A340FA">
        <w:rPr>
          <w:rtl/>
          <w:lang w:val="fr-CH"/>
        </w:rPr>
        <w:t xml:space="preserve"> قد انتهكت من جراء تفسير وتطبيق القوانين السارية </w:t>
      </w:r>
      <w:r w:rsidRPr="00A340FA">
        <w:rPr>
          <w:spacing w:val="-4"/>
          <w:rtl/>
          <w:lang w:val="fr-CH"/>
        </w:rPr>
        <w:t>في الدولة الطرف</w:t>
      </w:r>
      <w:r w:rsidR="003C1159">
        <w:rPr>
          <w:spacing w:val="-4"/>
          <w:rtl/>
          <w:lang w:val="fr-CH"/>
        </w:rPr>
        <w:t>،</w:t>
      </w:r>
      <w:r w:rsidRPr="00A340FA">
        <w:rPr>
          <w:spacing w:val="-4"/>
          <w:rtl/>
          <w:lang w:val="fr-CH"/>
        </w:rPr>
        <w:t xml:space="preserve"> والنظر فيما إذا كانت الدولة الطرف قد انتهكت أيضاً التزاماتها العامة بموجب المادة </w:t>
      </w:r>
      <w:r w:rsidRPr="007B4248">
        <w:rPr>
          <w:spacing w:val="-4"/>
          <w:rtl/>
          <w:lang w:val="fr-CH"/>
        </w:rPr>
        <w:t>2</w:t>
      </w:r>
      <w:r w:rsidRPr="00A340FA">
        <w:rPr>
          <w:spacing w:val="-4"/>
          <w:rtl/>
          <w:lang w:val="fr-CH"/>
        </w:rPr>
        <w:t>(</w:t>
      </w:r>
      <w:r w:rsidRPr="007B4248">
        <w:rPr>
          <w:spacing w:val="-4"/>
          <w:rtl/>
          <w:lang w:val="fr-CH"/>
        </w:rPr>
        <w:t>2</w:t>
      </w:r>
      <w:r w:rsidRPr="00A340FA">
        <w:rPr>
          <w:spacing w:val="-4"/>
          <w:rtl/>
          <w:lang w:val="fr-CH"/>
        </w:rPr>
        <w:t>) من</w:t>
      </w:r>
      <w:r w:rsidRPr="00A340FA">
        <w:rPr>
          <w:rtl/>
          <w:lang w:val="fr-CH"/>
        </w:rPr>
        <w:t xml:space="preserve"> العهد</w:t>
      </w:r>
      <w:r w:rsidR="003C1159">
        <w:rPr>
          <w:rtl/>
          <w:lang w:val="fr-CH"/>
        </w:rPr>
        <w:t>،</w:t>
      </w:r>
      <w:r w:rsidRPr="00A340FA">
        <w:rPr>
          <w:rtl/>
          <w:lang w:val="fr-CH"/>
        </w:rPr>
        <w:t xml:space="preserve"> مقروءة بالاقتران مع المادة </w:t>
      </w:r>
      <w:r w:rsidRPr="007B4248">
        <w:rPr>
          <w:rtl/>
          <w:lang w:val="fr-CH"/>
        </w:rPr>
        <w:t>19</w:t>
      </w:r>
      <w:r w:rsidR="003C1159">
        <w:rPr>
          <w:rtl/>
          <w:lang w:val="fr-CH"/>
        </w:rPr>
        <w:t>،</w:t>
      </w:r>
      <w:r w:rsidRPr="00A340FA">
        <w:rPr>
          <w:rtl/>
          <w:lang w:val="fr-CH"/>
        </w:rPr>
        <w:t xml:space="preserve"> لا يختلف</w:t>
      </w:r>
      <w:r w:rsidR="003C1159">
        <w:rPr>
          <w:rtl/>
          <w:lang w:val="fr-CH"/>
        </w:rPr>
        <w:t>،</w:t>
      </w:r>
      <w:r w:rsidRPr="00A340FA">
        <w:rPr>
          <w:rtl/>
          <w:lang w:val="fr-CH"/>
        </w:rPr>
        <w:t xml:space="preserve"> في رأي اللجنة</w:t>
      </w:r>
      <w:r w:rsidR="003C1159">
        <w:rPr>
          <w:rtl/>
          <w:lang w:val="fr-CH"/>
        </w:rPr>
        <w:t>،</w:t>
      </w:r>
      <w:r w:rsidRPr="00A340FA">
        <w:rPr>
          <w:rtl/>
          <w:lang w:val="fr-CH"/>
        </w:rPr>
        <w:t xml:space="preserve"> عن النظر في مسألة انتهاك حقوق صاحبة البلاغ المكفولة بموجب المادة </w:t>
      </w:r>
      <w:r w:rsidRPr="007B4248">
        <w:rPr>
          <w:rtl/>
          <w:lang w:val="fr-CH"/>
        </w:rPr>
        <w:t>19</w:t>
      </w:r>
      <w:r w:rsidRPr="00A340FA">
        <w:rPr>
          <w:rtl/>
          <w:lang w:val="fr-CH"/>
        </w:rPr>
        <w:t xml:space="preserve"> من العهد. وعليه</w:t>
      </w:r>
      <w:r w:rsidR="003C1159">
        <w:rPr>
          <w:rtl/>
          <w:lang w:val="fr-CH"/>
        </w:rPr>
        <w:t>،</w:t>
      </w:r>
      <w:r w:rsidRPr="00A340FA">
        <w:rPr>
          <w:rtl/>
          <w:lang w:val="fr-CH"/>
        </w:rPr>
        <w:t xml:space="preserve"> فإن اللجنة ترى أن هذا الشق من البلاغ يتعارض مع المادة </w:t>
      </w:r>
      <w:r w:rsidRPr="007B4248">
        <w:rPr>
          <w:rtl/>
          <w:lang w:val="fr-CH"/>
        </w:rPr>
        <w:t>2</w:t>
      </w:r>
      <w:r w:rsidRPr="00A340FA">
        <w:rPr>
          <w:rtl/>
          <w:lang w:val="fr-CH"/>
        </w:rPr>
        <w:t xml:space="preserve"> من العهد</w:t>
      </w:r>
      <w:r w:rsidR="003C1159">
        <w:rPr>
          <w:rtl/>
          <w:lang w:val="fr-CH"/>
        </w:rPr>
        <w:t>،</w:t>
      </w:r>
      <w:r w:rsidRPr="00A340FA">
        <w:rPr>
          <w:rtl/>
          <w:lang w:val="fr-CH"/>
        </w:rPr>
        <w:t xml:space="preserve"> ويعتبر بذلك</w:t>
      </w:r>
      <w:r w:rsidR="003C1159">
        <w:rPr>
          <w:rtl/>
          <w:lang w:val="fr-CH"/>
        </w:rPr>
        <w:t>،</w:t>
      </w:r>
      <w:r w:rsidRPr="00A340FA">
        <w:rPr>
          <w:rtl/>
          <w:lang w:val="fr-CH"/>
        </w:rPr>
        <w:t xml:space="preserve"> غير مقبول بموجب المادة </w:t>
      </w:r>
      <w:r w:rsidRPr="007B4248">
        <w:rPr>
          <w:rtl/>
          <w:lang w:val="fr-CH"/>
        </w:rPr>
        <w:t>3</w:t>
      </w:r>
      <w:r w:rsidRPr="00A340FA">
        <w:rPr>
          <w:rtl/>
          <w:lang w:val="fr-CH"/>
        </w:rPr>
        <w:t xml:space="preserve"> من البروتوكول الاختياري.</w:t>
      </w:r>
    </w:p>
    <w:p w14:paraId="5DE289B3" w14:textId="4D8ADC43" w:rsidR="001A0600" w:rsidRPr="00883A9F" w:rsidRDefault="001A0600" w:rsidP="00A340FA">
      <w:pPr>
        <w:pStyle w:val="SingleTxtGA"/>
        <w:spacing w:line="350" w:lineRule="exact"/>
        <w:rPr>
          <w:rtl/>
          <w:lang w:val="fr-CH"/>
        </w:rPr>
      </w:pPr>
      <w:r w:rsidRPr="007B4248">
        <w:rPr>
          <w:rtl/>
          <w:lang w:val="fr-CH"/>
        </w:rPr>
        <w:t>6</w:t>
      </w:r>
      <w:r w:rsidRPr="00883A9F">
        <w:rPr>
          <w:rtl/>
          <w:lang w:val="fr-CH"/>
        </w:rPr>
        <w:t>-</w:t>
      </w:r>
      <w:r w:rsidRPr="007B4248">
        <w:rPr>
          <w:rtl/>
          <w:lang w:val="fr-CH"/>
        </w:rPr>
        <w:t>5</w:t>
      </w:r>
      <w:r w:rsidRPr="00883A9F">
        <w:rPr>
          <w:rtl/>
          <w:lang w:val="fr-CH"/>
        </w:rPr>
        <w:tab/>
        <w:t>وتحيط اللجنة علم</w:t>
      </w:r>
      <w:r w:rsidR="00DB205B">
        <w:rPr>
          <w:rtl/>
          <w:lang w:val="fr-CH"/>
        </w:rPr>
        <w:t xml:space="preserve">اً </w:t>
      </w:r>
      <w:r w:rsidRPr="00883A9F">
        <w:rPr>
          <w:rtl/>
          <w:lang w:val="fr-CH"/>
        </w:rPr>
        <w:t>أيض</w:t>
      </w:r>
      <w:r w:rsidR="00DB205B">
        <w:rPr>
          <w:rtl/>
          <w:lang w:val="fr-CH"/>
        </w:rPr>
        <w:t xml:space="preserve">اً </w:t>
      </w:r>
      <w:r w:rsidRPr="00883A9F">
        <w:rPr>
          <w:rtl/>
          <w:lang w:val="fr-CH"/>
        </w:rPr>
        <w:t xml:space="preserve">بادعاءات صاحبة البلاغ التي تندرج في إطار المادة </w:t>
      </w:r>
      <w:r w:rsidRPr="007B4248">
        <w:rPr>
          <w:rtl/>
          <w:lang w:val="fr-CH"/>
        </w:rPr>
        <w:t>2</w:t>
      </w:r>
      <w:r w:rsidRPr="00883A9F">
        <w:rPr>
          <w:rtl/>
          <w:lang w:val="fr-CH"/>
        </w:rPr>
        <w:t xml:space="preserve"> (</w:t>
      </w:r>
      <w:r w:rsidRPr="007B4248">
        <w:rPr>
          <w:rtl/>
          <w:lang w:val="fr-CH"/>
        </w:rPr>
        <w:t>3</w:t>
      </w:r>
      <w:r w:rsidRPr="00883A9F">
        <w:rPr>
          <w:rtl/>
          <w:lang w:val="fr-CH"/>
        </w:rPr>
        <w:t>)</w:t>
      </w:r>
      <w:r w:rsidR="003C1159">
        <w:rPr>
          <w:rtl/>
          <w:lang w:val="fr-CH"/>
        </w:rPr>
        <w:t>،</w:t>
      </w:r>
      <w:r w:rsidRPr="00883A9F">
        <w:rPr>
          <w:rtl/>
          <w:lang w:val="fr-CH"/>
        </w:rPr>
        <w:t xml:space="preserve"> مقروءة بالاقتران مع المادة </w:t>
      </w:r>
      <w:r w:rsidRPr="007B4248">
        <w:rPr>
          <w:rtl/>
          <w:lang w:val="fr-CH"/>
        </w:rPr>
        <w:t>19</w:t>
      </w:r>
      <w:r w:rsidRPr="00883A9F">
        <w:rPr>
          <w:rtl/>
          <w:lang w:val="fr-CH"/>
        </w:rPr>
        <w:t xml:space="preserve"> من العهد. وفي ضوء عدم ورود أي معلومات مفيدة أخرى في الملف</w:t>
      </w:r>
      <w:r w:rsidR="003C1159">
        <w:rPr>
          <w:rtl/>
          <w:lang w:val="fr-CH"/>
        </w:rPr>
        <w:t>،</w:t>
      </w:r>
      <w:r w:rsidRPr="00883A9F">
        <w:rPr>
          <w:rtl/>
          <w:lang w:val="fr-CH"/>
        </w:rPr>
        <w:t xml:space="preserve"> ترى اللجنة أن صاحبة البلاغ لم تتمكن من إثبات هذه الادعاءات بالأدلة الكافية لأغراض المقبولية. وبناءً على ذلك</w:t>
      </w:r>
      <w:r w:rsidR="003C1159">
        <w:rPr>
          <w:rtl/>
          <w:lang w:val="fr-CH"/>
        </w:rPr>
        <w:t>،</w:t>
      </w:r>
      <w:r w:rsidRPr="00883A9F">
        <w:rPr>
          <w:rtl/>
          <w:lang w:val="fr-CH"/>
        </w:rPr>
        <w:t xml:space="preserve"> تعلن هذا الشق من البلاغ غير مقبول بموجب المادة </w:t>
      </w:r>
      <w:r w:rsidRPr="007B4248">
        <w:rPr>
          <w:rtl/>
          <w:lang w:val="fr-CH"/>
        </w:rPr>
        <w:t>2</w:t>
      </w:r>
      <w:r w:rsidRPr="00883A9F">
        <w:rPr>
          <w:rtl/>
          <w:lang w:val="fr-CH"/>
        </w:rPr>
        <w:t xml:space="preserve"> من البروتوكول الاختياري.</w:t>
      </w:r>
    </w:p>
    <w:p w14:paraId="56C98CC4" w14:textId="74E87CC1" w:rsidR="001A0600" w:rsidRPr="00883A9F" w:rsidRDefault="001A0600" w:rsidP="00A340FA">
      <w:pPr>
        <w:pStyle w:val="SingleTxtGA"/>
        <w:spacing w:line="350" w:lineRule="exact"/>
        <w:rPr>
          <w:rtl/>
          <w:lang w:val="fr-CH"/>
        </w:rPr>
      </w:pPr>
      <w:r w:rsidRPr="007B4248">
        <w:rPr>
          <w:rtl/>
          <w:lang w:val="fr-CH"/>
        </w:rPr>
        <w:t>6</w:t>
      </w:r>
      <w:r w:rsidRPr="00883A9F">
        <w:rPr>
          <w:rtl/>
          <w:lang w:val="fr-CH"/>
        </w:rPr>
        <w:t>-</w:t>
      </w:r>
      <w:r w:rsidRPr="007B4248">
        <w:rPr>
          <w:rtl/>
          <w:lang w:val="fr-CH"/>
        </w:rPr>
        <w:t>6</w:t>
      </w:r>
      <w:r w:rsidRPr="00883A9F">
        <w:rPr>
          <w:rtl/>
          <w:lang w:val="fr-CH"/>
        </w:rPr>
        <w:tab/>
        <w:t>وترى اللجنة أن الجزء ما تبقى من ادعاءات صاحبة البلاغ</w:t>
      </w:r>
      <w:r w:rsidR="003C1159">
        <w:rPr>
          <w:rtl/>
          <w:lang w:val="fr-CH"/>
        </w:rPr>
        <w:t>،</w:t>
      </w:r>
      <w:r w:rsidRPr="00883A9F">
        <w:rPr>
          <w:rtl/>
          <w:lang w:val="fr-CH"/>
        </w:rPr>
        <w:t xml:space="preserve"> التي تثير قضايا تندرج في إطار المادة </w:t>
      </w:r>
      <w:r w:rsidRPr="007B4248">
        <w:rPr>
          <w:rtl/>
          <w:lang w:val="fr-CH"/>
        </w:rPr>
        <w:t>19</w:t>
      </w:r>
      <w:r w:rsidRPr="00883A9F">
        <w:rPr>
          <w:rtl/>
          <w:lang w:val="fr-CH"/>
        </w:rPr>
        <w:t xml:space="preserve"> من العهد</w:t>
      </w:r>
      <w:r w:rsidR="003C1159">
        <w:rPr>
          <w:rtl/>
          <w:lang w:val="fr-CH"/>
        </w:rPr>
        <w:t>،</w:t>
      </w:r>
      <w:r w:rsidRPr="00883A9F">
        <w:rPr>
          <w:rtl/>
          <w:lang w:val="fr-CH"/>
        </w:rPr>
        <w:t xml:space="preserve"> قد دعمت بما يكفي من الأدلة لأغراض المقبولية</w:t>
      </w:r>
      <w:r w:rsidR="003C1159">
        <w:rPr>
          <w:rtl/>
          <w:lang w:val="fr-CH"/>
        </w:rPr>
        <w:t>،</w:t>
      </w:r>
      <w:r w:rsidRPr="00883A9F">
        <w:rPr>
          <w:rtl/>
          <w:lang w:val="fr-CH"/>
        </w:rPr>
        <w:t xml:space="preserve"> ولذلك</w:t>
      </w:r>
      <w:r w:rsidR="003C1159">
        <w:rPr>
          <w:rtl/>
          <w:lang w:val="fr-CH"/>
        </w:rPr>
        <w:t>،</w:t>
      </w:r>
      <w:r w:rsidRPr="00883A9F">
        <w:rPr>
          <w:rtl/>
          <w:lang w:val="fr-CH"/>
        </w:rPr>
        <w:t xml:space="preserve"> تشرع في النظر في أسسها الموضوعية. </w:t>
      </w:r>
    </w:p>
    <w:p w14:paraId="0D2A14E5" w14:textId="77777777" w:rsidR="001A0600" w:rsidRPr="007B4248" w:rsidRDefault="001A0600" w:rsidP="00A340FA">
      <w:pPr>
        <w:pStyle w:val="H4GA"/>
        <w:spacing w:line="350" w:lineRule="exact"/>
        <w:rPr>
          <w:rtl/>
        </w:rPr>
      </w:pPr>
      <w:r w:rsidRPr="007B4248">
        <w:rPr>
          <w:rtl/>
        </w:rPr>
        <w:tab/>
      </w:r>
      <w:r w:rsidRPr="007B4248">
        <w:rPr>
          <w:rtl/>
        </w:rPr>
        <w:tab/>
        <w:t>النظر في الأسس الموضوعية</w:t>
      </w:r>
    </w:p>
    <w:p w14:paraId="227058EE" w14:textId="21DED641" w:rsidR="001A0600" w:rsidRPr="00883A9F" w:rsidRDefault="001A0600" w:rsidP="00A340FA">
      <w:pPr>
        <w:pStyle w:val="SingleTxtGA"/>
        <w:spacing w:line="350" w:lineRule="exact"/>
        <w:rPr>
          <w:rtl/>
          <w:lang w:val="fr-CH"/>
        </w:rPr>
      </w:pPr>
      <w:r w:rsidRPr="007B4248">
        <w:rPr>
          <w:rtl/>
          <w:lang w:val="fr-CH"/>
        </w:rPr>
        <w:t>7</w:t>
      </w:r>
      <w:r w:rsidRPr="00883A9F">
        <w:rPr>
          <w:rtl/>
          <w:lang w:val="fr-CH"/>
        </w:rPr>
        <w:t>-</w:t>
      </w:r>
      <w:r w:rsidRPr="007B4248">
        <w:rPr>
          <w:rtl/>
          <w:lang w:val="fr-CH"/>
        </w:rPr>
        <w:t>1</w:t>
      </w:r>
      <w:r w:rsidRPr="00883A9F">
        <w:rPr>
          <w:rtl/>
          <w:lang w:val="fr-CH"/>
        </w:rPr>
        <w:tab/>
        <w:t>نظرت اللجنة في القضية في ضوء جميع المعلومات التي أتاحها لها الطرفان</w:t>
      </w:r>
      <w:r w:rsidR="003C1159">
        <w:rPr>
          <w:rtl/>
          <w:lang w:val="fr-CH"/>
        </w:rPr>
        <w:t>،</w:t>
      </w:r>
      <w:r w:rsidRPr="00883A9F">
        <w:rPr>
          <w:rtl/>
          <w:lang w:val="fr-CH"/>
        </w:rPr>
        <w:t xml:space="preserve"> وفقاً للمادة </w:t>
      </w:r>
      <w:r w:rsidRPr="007B4248">
        <w:rPr>
          <w:rtl/>
          <w:lang w:val="fr-CH"/>
        </w:rPr>
        <w:t>5</w:t>
      </w:r>
      <w:r w:rsidRPr="00883A9F">
        <w:rPr>
          <w:rtl/>
          <w:lang w:val="fr-CH"/>
        </w:rPr>
        <w:t>(</w:t>
      </w:r>
      <w:r w:rsidRPr="007B4248">
        <w:rPr>
          <w:rtl/>
          <w:lang w:val="fr-CH"/>
        </w:rPr>
        <w:t>1</w:t>
      </w:r>
      <w:r w:rsidRPr="00883A9F">
        <w:rPr>
          <w:rtl/>
          <w:lang w:val="fr-CH"/>
        </w:rPr>
        <w:t>) من البروتوكول الاختياري.</w:t>
      </w:r>
    </w:p>
    <w:p w14:paraId="4B105DBB" w14:textId="4F248CE4" w:rsidR="001A0600" w:rsidRPr="00883A9F" w:rsidRDefault="001A0600" w:rsidP="00A340FA">
      <w:pPr>
        <w:pStyle w:val="SingleTxtGA"/>
        <w:spacing w:line="350" w:lineRule="exact"/>
        <w:rPr>
          <w:rtl/>
          <w:lang w:val="fr-CH"/>
        </w:rPr>
      </w:pPr>
      <w:r w:rsidRPr="007B4248">
        <w:rPr>
          <w:rtl/>
          <w:lang w:val="fr-CH"/>
        </w:rPr>
        <w:t>7</w:t>
      </w:r>
      <w:r w:rsidRPr="00883A9F">
        <w:rPr>
          <w:rtl/>
          <w:lang w:val="fr-CH"/>
        </w:rPr>
        <w:t>-</w:t>
      </w:r>
      <w:r w:rsidRPr="007B4248">
        <w:rPr>
          <w:rtl/>
          <w:lang w:val="fr-CH"/>
        </w:rPr>
        <w:t>2</w:t>
      </w:r>
      <w:r w:rsidRPr="00883A9F">
        <w:rPr>
          <w:rtl/>
          <w:lang w:val="fr-CH"/>
        </w:rPr>
        <w:tab/>
        <w:t xml:space="preserve">وتلاحظ اللجنة ادعاء صاحبة البلاغ أن حقها في حرية التعبير قد قيد على نحو غير مشروع لأنها أدينت بارتكاب جريمة إدارية وفرضت عليها غرامة بقيمة </w:t>
      </w:r>
      <w:r w:rsidRPr="007B4248">
        <w:rPr>
          <w:rtl/>
          <w:lang w:val="fr-CH"/>
        </w:rPr>
        <w:t>000</w:t>
      </w:r>
      <w:r w:rsidRPr="00883A9F">
        <w:rPr>
          <w:rtl/>
          <w:lang w:val="fr-CH"/>
        </w:rPr>
        <w:t xml:space="preserve"> </w:t>
      </w:r>
      <w:r w:rsidRPr="007B4248">
        <w:rPr>
          <w:rtl/>
          <w:lang w:val="fr-CH"/>
        </w:rPr>
        <w:t>700</w:t>
      </w:r>
      <w:r w:rsidRPr="00883A9F">
        <w:rPr>
          <w:rtl/>
          <w:lang w:val="fr-CH"/>
        </w:rPr>
        <w:t xml:space="preserve"> </w:t>
      </w:r>
      <w:r w:rsidRPr="007B4248">
        <w:rPr>
          <w:rtl/>
          <w:lang w:val="fr-CH"/>
        </w:rPr>
        <w:t>2</w:t>
      </w:r>
      <w:r w:rsidRPr="00883A9F">
        <w:rPr>
          <w:rtl/>
          <w:lang w:val="fr-CH"/>
        </w:rPr>
        <w:t xml:space="preserve"> روبل بسبب مشاركتها في نشاط عام مزعوم</w:t>
      </w:r>
      <w:r w:rsidR="003C1159">
        <w:rPr>
          <w:rtl/>
          <w:lang w:val="fr-CH"/>
        </w:rPr>
        <w:t>،</w:t>
      </w:r>
      <w:r w:rsidRPr="00883A9F">
        <w:rPr>
          <w:rtl/>
          <w:lang w:val="fr-CH"/>
        </w:rPr>
        <w:t xml:space="preserve"> في حين أن ما قامت به هو</w:t>
      </w:r>
      <w:r w:rsidR="003C1159">
        <w:rPr>
          <w:rtl/>
          <w:lang w:val="fr-CH"/>
        </w:rPr>
        <w:t>،</w:t>
      </w:r>
      <w:r w:rsidRPr="00883A9F">
        <w:rPr>
          <w:rtl/>
          <w:lang w:val="fr-CH"/>
        </w:rPr>
        <w:t xml:space="preserve"> بحسب ادعائها</w:t>
      </w:r>
      <w:r w:rsidR="003C1159">
        <w:rPr>
          <w:rtl/>
          <w:lang w:val="fr-CH"/>
        </w:rPr>
        <w:t>،</w:t>
      </w:r>
      <w:r w:rsidRPr="00883A9F">
        <w:rPr>
          <w:rtl/>
          <w:lang w:val="fr-CH"/>
        </w:rPr>
        <w:t xml:space="preserve"> مجرد تعبير عن رأيها في الانتخابات الرئاسية التي جرت في عام </w:t>
      </w:r>
      <w:r w:rsidRPr="007B4248">
        <w:rPr>
          <w:rtl/>
          <w:lang w:val="fr-CH"/>
        </w:rPr>
        <w:t>2015</w:t>
      </w:r>
      <w:r w:rsidRPr="00883A9F">
        <w:rPr>
          <w:rtl/>
          <w:lang w:val="fr-CH"/>
        </w:rPr>
        <w:t>. ولذلك</w:t>
      </w:r>
      <w:r w:rsidR="003C1159">
        <w:rPr>
          <w:rtl/>
          <w:lang w:val="fr-CH"/>
        </w:rPr>
        <w:t>،</w:t>
      </w:r>
      <w:r w:rsidRPr="00883A9F">
        <w:rPr>
          <w:rtl/>
          <w:lang w:val="fr-CH"/>
        </w:rPr>
        <w:t xml:space="preserve"> فإن المسألة المعروضة على اللجنة تتعلق بتحديد ما إذا كانت العقوبة التي فرضتها السلطات المحلية على صاحبة البلاغ تعتبر بمثابة انتهاك للمادة </w:t>
      </w:r>
      <w:r w:rsidRPr="007B4248">
        <w:rPr>
          <w:rtl/>
          <w:lang w:val="fr-CH"/>
        </w:rPr>
        <w:t>19</w:t>
      </w:r>
      <w:r w:rsidRPr="00883A9F">
        <w:rPr>
          <w:rtl/>
          <w:lang w:val="fr-CH"/>
        </w:rPr>
        <w:t xml:space="preserve"> من العهد.</w:t>
      </w:r>
    </w:p>
    <w:p w14:paraId="4DE89C69" w14:textId="1104B390" w:rsidR="001A0600" w:rsidRPr="00883A9F" w:rsidRDefault="001A0600" w:rsidP="00A340FA">
      <w:pPr>
        <w:pStyle w:val="SingleTxtGA"/>
        <w:spacing w:line="350" w:lineRule="exact"/>
        <w:rPr>
          <w:rtl/>
          <w:lang w:val="fr-CH"/>
        </w:rPr>
      </w:pPr>
      <w:r w:rsidRPr="007B4248">
        <w:rPr>
          <w:rtl/>
          <w:lang w:val="fr-CH"/>
        </w:rPr>
        <w:t>7</w:t>
      </w:r>
      <w:r w:rsidRPr="00883A9F">
        <w:rPr>
          <w:rtl/>
          <w:lang w:val="fr-CH"/>
        </w:rPr>
        <w:t>-</w:t>
      </w:r>
      <w:r w:rsidRPr="007B4248">
        <w:rPr>
          <w:rtl/>
          <w:lang w:val="fr-CH"/>
        </w:rPr>
        <w:t>3</w:t>
      </w:r>
      <w:r w:rsidRPr="00883A9F">
        <w:rPr>
          <w:rtl/>
          <w:lang w:val="fr-CH"/>
        </w:rPr>
        <w:tab/>
        <w:t xml:space="preserve">وتشير اللجنة إلى تعليقها العام رقم </w:t>
      </w:r>
      <w:r w:rsidRPr="007B4248">
        <w:rPr>
          <w:rtl/>
          <w:lang w:val="fr-CH"/>
        </w:rPr>
        <w:t>34</w:t>
      </w:r>
      <w:r w:rsidRPr="00883A9F">
        <w:rPr>
          <w:rtl/>
          <w:lang w:val="fr-CH"/>
        </w:rPr>
        <w:t>(</w:t>
      </w:r>
      <w:r w:rsidRPr="007B4248">
        <w:rPr>
          <w:rtl/>
          <w:lang w:val="fr-CH"/>
        </w:rPr>
        <w:t>2011</w:t>
      </w:r>
      <w:r w:rsidRPr="00883A9F">
        <w:rPr>
          <w:rtl/>
          <w:lang w:val="fr-CH"/>
        </w:rPr>
        <w:t>) بشأن حرية الرأي وحرية التعبير</w:t>
      </w:r>
      <w:r w:rsidR="003C1159">
        <w:rPr>
          <w:rtl/>
          <w:lang w:val="fr-CH"/>
        </w:rPr>
        <w:t>،</w:t>
      </w:r>
      <w:r w:rsidRPr="00883A9F">
        <w:rPr>
          <w:rtl/>
          <w:lang w:val="fr-CH"/>
        </w:rPr>
        <w:t xml:space="preserve"> حيث رأت في جملة أمور أن حرية التعبير تمثل عنصر</w:t>
      </w:r>
      <w:r w:rsidR="00DB205B">
        <w:rPr>
          <w:rtl/>
          <w:lang w:val="fr-CH"/>
        </w:rPr>
        <w:t xml:space="preserve">اً </w:t>
      </w:r>
      <w:r w:rsidRPr="00883A9F">
        <w:rPr>
          <w:rtl/>
          <w:lang w:val="fr-CH"/>
        </w:rPr>
        <w:t>أساسي</w:t>
      </w:r>
      <w:r w:rsidR="00DB205B">
        <w:rPr>
          <w:rtl/>
          <w:lang w:val="fr-CH"/>
        </w:rPr>
        <w:t xml:space="preserve">اً </w:t>
      </w:r>
      <w:r w:rsidRPr="00883A9F">
        <w:rPr>
          <w:rtl/>
          <w:lang w:val="fr-CH"/>
        </w:rPr>
        <w:t xml:space="preserve">في أي مجتمع وتشكل حجر الزاوية لكل مجتمع تسوده الحرية </w:t>
      </w:r>
      <w:proofErr w:type="gramStart"/>
      <w:r w:rsidRPr="00883A9F">
        <w:rPr>
          <w:rtl/>
          <w:lang w:val="fr-CH"/>
        </w:rPr>
        <w:t>والديمقراطية</w:t>
      </w:r>
      <w:r w:rsidRPr="00232907">
        <w:rPr>
          <w:vertAlign w:val="superscript"/>
          <w:rtl/>
          <w:lang w:val="fr-CH"/>
        </w:rPr>
        <w:t>(</w:t>
      </w:r>
      <w:proofErr w:type="gramEnd"/>
      <w:r w:rsidRPr="007B4248">
        <w:rPr>
          <w:rStyle w:val="FootnoteReference"/>
          <w:szCs w:val="22"/>
          <w:lang w:val="en-US"/>
        </w:rPr>
        <w:footnoteReference w:id="8"/>
      </w:r>
      <w:r w:rsidRPr="00232907">
        <w:rPr>
          <w:vertAlign w:val="superscript"/>
          <w:rtl/>
          <w:lang w:val="fr-CH"/>
        </w:rPr>
        <w:t>)</w:t>
      </w:r>
      <w:r w:rsidRPr="00883A9F">
        <w:rPr>
          <w:rtl/>
          <w:lang w:val="fr-CH"/>
        </w:rPr>
        <w:t xml:space="preserve">. وتلاحظ أن المادة </w:t>
      </w:r>
      <w:r w:rsidRPr="007B4248">
        <w:rPr>
          <w:rtl/>
          <w:lang w:val="fr-CH"/>
        </w:rPr>
        <w:t>19</w:t>
      </w:r>
      <w:r w:rsidRPr="00883A9F">
        <w:rPr>
          <w:rtl/>
          <w:lang w:val="fr-CH"/>
        </w:rPr>
        <w:t>(</w:t>
      </w:r>
      <w:r w:rsidRPr="007B4248">
        <w:rPr>
          <w:rtl/>
          <w:lang w:val="fr-CH"/>
        </w:rPr>
        <w:t>3</w:t>
      </w:r>
      <w:r w:rsidRPr="00883A9F">
        <w:rPr>
          <w:rtl/>
          <w:lang w:val="fr-CH"/>
        </w:rPr>
        <w:t>) من الاتفاقية لا تجيز فرض قيود معينة على حرية التعبير</w:t>
      </w:r>
      <w:r w:rsidR="003C1159">
        <w:rPr>
          <w:rtl/>
          <w:lang w:val="fr-CH"/>
        </w:rPr>
        <w:t>،</w:t>
      </w:r>
      <w:r w:rsidRPr="00883A9F">
        <w:rPr>
          <w:rtl/>
          <w:lang w:val="fr-CH"/>
        </w:rPr>
        <w:t xml:space="preserve"> بما في ذلك حرية نقل المعلومات والأفكار</w:t>
      </w:r>
      <w:r w:rsidR="003C1159">
        <w:rPr>
          <w:rtl/>
          <w:lang w:val="fr-CH"/>
        </w:rPr>
        <w:t>،</w:t>
      </w:r>
      <w:r w:rsidRPr="00883A9F">
        <w:rPr>
          <w:rtl/>
          <w:lang w:val="fr-CH"/>
        </w:rPr>
        <w:t xml:space="preserve"> ولكن في حدود ما يقرره القانون لفرض هذه القيود وإذا</w:t>
      </w:r>
      <w:r w:rsidR="00A340FA">
        <w:rPr>
          <w:rFonts w:hint="cs"/>
          <w:rtl/>
          <w:lang w:val="fr-CH"/>
        </w:rPr>
        <w:t> </w:t>
      </w:r>
      <w:r w:rsidRPr="00883A9F">
        <w:rPr>
          <w:rtl/>
          <w:lang w:val="fr-CH"/>
        </w:rPr>
        <w:t>استدعتها الضرورة لاحترام حقوق الآخرين أو سمعتهم؛ أو (ب) لحماية الأمن القومي أو النظام العام أو الصحة العامة أو الآداب العامة. وأخيراً</w:t>
      </w:r>
      <w:r w:rsidR="003C1159">
        <w:rPr>
          <w:rtl/>
          <w:lang w:val="fr-CH"/>
        </w:rPr>
        <w:t>،</w:t>
      </w:r>
      <w:r w:rsidRPr="00883A9F">
        <w:rPr>
          <w:rtl/>
          <w:lang w:val="fr-CH"/>
        </w:rPr>
        <w:t xml:space="preserve"> يجب ألّا تكون القيود المفروضة مفرطة بطبيعتها</w:t>
      </w:r>
      <w:r w:rsidR="003C1159">
        <w:rPr>
          <w:rtl/>
          <w:lang w:val="fr-CH"/>
        </w:rPr>
        <w:t>،</w:t>
      </w:r>
      <w:r w:rsidRPr="00883A9F">
        <w:rPr>
          <w:rtl/>
          <w:lang w:val="fr-CH"/>
        </w:rPr>
        <w:t xml:space="preserve"> أي أنها يجب أن تكون أقل الوسائل تدخلاً مقارنة بغيرها من الوسائل التي يمكن أن تحقق الحماية المطلوبة</w:t>
      </w:r>
      <w:r w:rsidR="003C1159">
        <w:rPr>
          <w:rtl/>
          <w:lang w:val="fr-CH"/>
        </w:rPr>
        <w:t>،</w:t>
      </w:r>
      <w:r w:rsidRPr="00883A9F">
        <w:rPr>
          <w:rtl/>
          <w:lang w:val="fr-CH"/>
        </w:rPr>
        <w:t xml:space="preserve"> ويجب أن تكون متناسبة مع المصلحـة الـتي </w:t>
      </w:r>
      <w:proofErr w:type="gramStart"/>
      <w:r w:rsidRPr="00883A9F">
        <w:rPr>
          <w:rtl/>
          <w:lang w:val="fr-CH"/>
        </w:rPr>
        <w:t>ستحميها</w:t>
      </w:r>
      <w:r w:rsidRPr="00232907">
        <w:rPr>
          <w:vertAlign w:val="superscript"/>
          <w:rtl/>
          <w:lang w:val="fr-CH"/>
        </w:rPr>
        <w:t>(</w:t>
      </w:r>
      <w:proofErr w:type="gramEnd"/>
      <w:r w:rsidRPr="007B4248">
        <w:rPr>
          <w:rStyle w:val="FootnoteReference"/>
          <w:szCs w:val="22"/>
          <w:lang w:val="en-US"/>
        </w:rPr>
        <w:footnoteReference w:id="9"/>
      </w:r>
      <w:r w:rsidRPr="00232907">
        <w:rPr>
          <w:vertAlign w:val="superscript"/>
          <w:rtl/>
          <w:lang w:val="fr-CH"/>
        </w:rPr>
        <w:t>)</w:t>
      </w:r>
      <w:r w:rsidRPr="00883A9F">
        <w:rPr>
          <w:rtl/>
          <w:lang w:val="fr-CH"/>
        </w:rPr>
        <w:t>. ولا بد من احترام مبدأ التناسب</w:t>
      </w:r>
      <w:r w:rsidR="003C1159">
        <w:rPr>
          <w:rtl/>
          <w:lang w:val="fr-CH"/>
        </w:rPr>
        <w:t>،</w:t>
      </w:r>
      <w:r w:rsidRPr="00883A9F">
        <w:rPr>
          <w:rtl/>
          <w:lang w:val="fr-CH"/>
        </w:rPr>
        <w:t xml:space="preserve"> ليس في القانون </w:t>
      </w:r>
      <w:r w:rsidRPr="00883A9F">
        <w:rPr>
          <w:rtl/>
          <w:lang w:val="fr-CH"/>
        </w:rPr>
        <w:lastRenderedPageBreak/>
        <w:t>الذي يحدد إطار القيود فحسب</w:t>
      </w:r>
      <w:r w:rsidR="003C1159">
        <w:rPr>
          <w:rtl/>
          <w:lang w:val="fr-CH"/>
        </w:rPr>
        <w:t>،</w:t>
      </w:r>
      <w:r w:rsidRPr="00883A9F">
        <w:rPr>
          <w:rtl/>
          <w:lang w:val="fr-CH"/>
        </w:rPr>
        <w:t xml:space="preserve"> بل عند تطبيق السلطات الإدارية والقضائية القانونَ </w:t>
      </w:r>
      <w:proofErr w:type="gramStart"/>
      <w:r w:rsidRPr="00883A9F">
        <w:rPr>
          <w:rtl/>
          <w:lang w:val="fr-CH"/>
        </w:rPr>
        <w:t>أيضاً</w:t>
      </w:r>
      <w:r w:rsidRPr="00232907">
        <w:rPr>
          <w:vertAlign w:val="superscript"/>
          <w:rtl/>
          <w:lang w:val="fr-CH"/>
        </w:rPr>
        <w:t>(</w:t>
      </w:r>
      <w:proofErr w:type="gramEnd"/>
      <w:r w:rsidRPr="007B4248">
        <w:rPr>
          <w:rStyle w:val="FootnoteReference"/>
          <w:szCs w:val="22"/>
          <w:lang w:val="en-US"/>
        </w:rPr>
        <w:footnoteReference w:id="10"/>
      </w:r>
      <w:r w:rsidRPr="00232907">
        <w:rPr>
          <w:vertAlign w:val="superscript"/>
          <w:rtl/>
          <w:lang w:val="fr-CH"/>
        </w:rPr>
        <w:t>)</w:t>
      </w:r>
      <w:r w:rsidRPr="00883A9F">
        <w:rPr>
          <w:rtl/>
          <w:lang w:val="fr-CH"/>
        </w:rPr>
        <w:t>. وعندما تحتج دولة طرف بأسباب مشروعة لتقييد حرية التعبير</w:t>
      </w:r>
      <w:r w:rsidR="003C1159">
        <w:rPr>
          <w:rtl/>
          <w:lang w:val="fr-CH"/>
        </w:rPr>
        <w:t>،</w:t>
      </w:r>
      <w:r w:rsidRPr="00883A9F">
        <w:rPr>
          <w:rtl/>
          <w:lang w:val="fr-CH"/>
        </w:rPr>
        <w:t xml:space="preserve"> فإن عليها أن تبين على وجه التحديد وبطريقة خاصة </w:t>
      </w:r>
      <w:r w:rsidRPr="00A340FA">
        <w:rPr>
          <w:spacing w:val="-4"/>
          <w:rtl/>
          <w:lang w:val="fr-CH"/>
        </w:rPr>
        <w:t>في كل حالة على حدة</w:t>
      </w:r>
      <w:r w:rsidR="003C1159">
        <w:rPr>
          <w:spacing w:val="-4"/>
          <w:rtl/>
          <w:lang w:val="fr-CH"/>
        </w:rPr>
        <w:t>،</w:t>
      </w:r>
      <w:r w:rsidRPr="00A340FA">
        <w:rPr>
          <w:spacing w:val="-4"/>
          <w:rtl/>
          <w:lang w:val="fr-CH"/>
        </w:rPr>
        <w:t xml:space="preserve"> الطبيعة المحددة للتهديد الذي تشكله حرية التعبير على المصالح المذكورة في الأسباب</w:t>
      </w:r>
      <w:r w:rsidRPr="00883A9F">
        <w:rPr>
          <w:rtl/>
          <w:lang w:val="fr-CH"/>
        </w:rPr>
        <w:t xml:space="preserve"> الموجبة للتقييد المدرجة في المادة </w:t>
      </w:r>
      <w:r w:rsidRPr="007B4248">
        <w:rPr>
          <w:rtl/>
          <w:lang w:val="fr-CH"/>
        </w:rPr>
        <w:t>19</w:t>
      </w:r>
      <w:r w:rsidRPr="00883A9F">
        <w:rPr>
          <w:rtl/>
          <w:lang w:val="fr-CH"/>
        </w:rPr>
        <w:t>(</w:t>
      </w:r>
      <w:r w:rsidRPr="007B4248">
        <w:rPr>
          <w:rtl/>
          <w:lang w:val="fr-CH"/>
        </w:rPr>
        <w:t>3</w:t>
      </w:r>
      <w:r w:rsidRPr="00883A9F">
        <w:rPr>
          <w:rtl/>
          <w:lang w:val="fr-CH"/>
        </w:rPr>
        <w:t>) مما دفعها إلى تقييد هذه الحرية</w:t>
      </w:r>
      <w:r w:rsidR="003C1159">
        <w:rPr>
          <w:rtl/>
          <w:lang w:val="fr-CH"/>
        </w:rPr>
        <w:t>،</w:t>
      </w:r>
      <w:r w:rsidRPr="00883A9F">
        <w:rPr>
          <w:rtl/>
          <w:lang w:val="fr-CH"/>
        </w:rPr>
        <w:t xml:space="preserve"> وتبين كذلك</w:t>
      </w:r>
      <w:r w:rsidR="003C1159">
        <w:rPr>
          <w:rtl/>
          <w:lang w:val="fr-CH"/>
        </w:rPr>
        <w:t>،</w:t>
      </w:r>
      <w:r w:rsidRPr="00883A9F">
        <w:rPr>
          <w:rtl/>
          <w:lang w:val="fr-CH"/>
        </w:rPr>
        <w:t xml:space="preserve"> وجه الضرورة والتناسب في الإجراء المعين المتخذ</w:t>
      </w:r>
      <w:r w:rsidR="003C1159">
        <w:rPr>
          <w:rtl/>
          <w:lang w:val="fr-CH"/>
        </w:rPr>
        <w:t>،</w:t>
      </w:r>
      <w:r w:rsidRPr="00883A9F">
        <w:rPr>
          <w:rtl/>
          <w:lang w:val="fr-CH"/>
        </w:rPr>
        <w:t xml:space="preserve"> ولا سيما بإقامة الدليل على وجود صلة مباشرة وآنية بين التعبير </w:t>
      </w:r>
      <w:proofErr w:type="gramStart"/>
      <w:r w:rsidRPr="00883A9F">
        <w:rPr>
          <w:rtl/>
          <w:lang w:val="fr-CH"/>
        </w:rPr>
        <w:t>والتهديد</w:t>
      </w:r>
      <w:r w:rsidRPr="00232907">
        <w:rPr>
          <w:vertAlign w:val="superscript"/>
          <w:rtl/>
          <w:lang w:val="fr-CH"/>
        </w:rPr>
        <w:t>(</w:t>
      </w:r>
      <w:proofErr w:type="gramEnd"/>
      <w:r w:rsidRPr="007B4248">
        <w:rPr>
          <w:rStyle w:val="FootnoteReference"/>
          <w:szCs w:val="22"/>
          <w:lang w:val="en-US"/>
        </w:rPr>
        <w:footnoteReference w:id="11"/>
      </w:r>
      <w:r w:rsidRPr="00232907">
        <w:rPr>
          <w:vertAlign w:val="superscript"/>
          <w:rtl/>
          <w:lang w:val="fr-CH"/>
        </w:rPr>
        <w:t>)</w:t>
      </w:r>
      <w:r w:rsidRPr="00883A9F">
        <w:rPr>
          <w:rtl/>
          <w:lang w:val="fr-CH"/>
        </w:rPr>
        <w:t>. وتشير اللجنة إلى أن الدولة الطرف تتحمل بذلك</w:t>
      </w:r>
      <w:r w:rsidR="003C1159">
        <w:rPr>
          <w:rtl/>
          <w:lang w:val="fr-CH"/>
        </w:rPr>
        <w:t>،</w:t>
      </w:r>
      <w:r w:rsidRPr="00883A9F">
        <w:rPr>
          <w:rtl/>
          <w:lang w:val="fr-CH"/>
        </w:rPr>
        <w:t xml:space="preserve"> عبء إقامة الدليل على أن القيود المفروضة على حقوق صاحبة البلاغ التي تكفلها المادة </w:t>
      </w:r>
      <w:r w:rsidRPr="007B4248">
        <w:rPr>
          <w:rtl/>
          <w:lang w:val="fr-CH"/>
        </w:rPr>
        <w:t>19</w:t>
      </w:r>
      <w:r w:rsidRPr="00883A9F">
        <w:rPr>
          <w:rtl/>
          <w:lang w:val="fr-CH"/>
        </w:rPr>
        <w:t xml:space="preserve"> من العهد هي قيود ضرورية </w:t>
      </w:r>
      <w:proofErr w:type="gramStart"/>
      <w:r w:rsidRPr="00883A9F">
        <w:rPr>
          <w:rtl/>
          <w:lang w:val="fr-CH"/>
        </w:rPr>
        <w:t>ومتناسبة</w:t>
      </w:r>
      <w:r w:rsidRPr="00232907">
        <w:rPr>
          <w:vertAlign w:val="superscript"/>
          <w:rtl/>
          <w:lang w:val="fr-CH"/>
        </w:rPr>
        <w:t>(</w:t>
      </w:r>
      <w:proofErr w:type="gramEnd"/>
      <w:r w:rsidRPr="007B4248">
        <w:rPr>
          <w:rStyle w:val="FootnoteReference"/>
          <w:szCs w:val="22"/>
          <w:lang w:val="en-US"/>
        </w:rPr>
        <w:footnoteReference w:id="12"/>
      </w:r>
      <w:r w:rsidRPr="00232907">
        <w:rPr>
          <w:vertAlign w:val="superscript"/>
          <w:rtl/>
          <w:lang w:val="fr-CH"/>
        </w:rPr>
        <w:t>)</w:t>
      </w:r>
      <w:r w:rsidRPr="00883A9F">
        <w:rPr>
          <w:rtl/>
          <w:lang w:val="fr-CH"/>
        </w:rPr>
        <w:t xml:space="preserve">. </w:t>
      </w:r>
    </w:p>
    <w:p w14:paraId="6FC53AF0" w14:textId="74F3ADEA" w:rsidR="00883A9F" w:rsidRPr="00883A9F" w:rsidRDefault="001A0600" w:rsidP="00A340FA">
      <w:pPr>
        <w:pStyle w:val="SingleTxtGA"/>
        <w:rPr>
          <w:rtl/>
          <w:lang w:val="fr-CH"/>
        </w:rPr>
      </w:pPr>
      <w:r w:rsidRPr="007B4248">
        <w:rPr>
          <w:rtl/>
          <w:lang w:val="fr-CH"/>
        </w:rPr>
        <w:t>7</w:t>
      </w:r>
      <w:r w:rsidRPr="00883A9F">
        <w:rPr>
          <w:rtl/>
          <w:lang w:val="fr-CH"/>
        </w:rPr>
        <w:t>-</w:t>
      </w:r>
      <w:r w:rsidRPr="007B4248">
        <w:rPr>
          <w:rtl/>
          <w:lang w:val="fr-CH"/>
        </w:rPr>
        <w:t>4</w:t>
      </w:r>
      <w:r w:rsidRPr="00883A9F">
        <w:rPr>
          <w:rtl/>
          <w:lang w:val="fr-CH"/>
        </w:rPr>
        <w:tab/>
      </w:r>
      <w:r w:rsidRPr="00A340FA">
        <w:rPr>
          <w:spacing w:val="-4"/>
          <w:rtl/>
          <w:lang w:val="fr-CH"/>
        </w:rPr>
        <w:t>وتلاحظ اللجنة أن فرض غرامة كبيرة على صاحبة البلاغ لمجرد أنها زعمت أن نتائج الانتخابات</w:t>
      </w:r>
      <w:r w:rsidRPr="00883A9F">
        <w:rPr>
          <w:rtl/>
          <w:lang w:val="fr-CH"/>
        </w:rPr>
        <w:t xml:space="preserve"> </w:t>
      </w:r>
      <w:r w:rsidRPr="00A340FA">
        <w:rPr>
          <w:spacing w:val="-4"/>
          <w:rtl/>
          <w:lang w:val="fr-CH"/>
        </w:rPr>
        <w:t xml:space="preserve">الرئاسية التي جرت في عام </w:t>
      </w:r>
      <w:r w:rsidRPr="007B4248">
        <w:rPr>
          <w:spacing w:val="-4"/>
          <w:rtl/>
          <w:lang w:val="fr-CH"/>
        </w:rPr>
        <w:t>2015</w:t>
      </w:r>
      <w:r w:rsidRPr="00A340FA">
        <w:rPr>
          <w:spacing w:val="-4"/>
          <w:rtl/>
          <w:lang w:val="fr-CH"/>
        </w:rPr>
        <w:t xml:space="preserve"> قد زورت يثير شكوك</w:t>
      </w:r>
      <w:r w:rsidR="00DB205B">
        <w:rPr>
          <w:spacing w:val="-4"/>
          <w:rtl/>
          <w:lang w:val="fr-CH"/>
        </w:rPr>
        <w:t xml:space="preserve">اً </w:t>
      </w:r>
      <w:r w:rsidRPr="00A340FA">
        <w:rPr>
          <w:spacing w:val="-4"/>
          <w:rtl/>
          <w:lang w:val="fr-CH"/>
        </w:rPr>
        <w:t>شديدة في مدى ضرورة وتناسب القيود المفروضة</w:t>
      </w:r>
      <w:r w:rsidRPr="00883A9F">
        <w:rPr>
          <w:rtl/>
          <w:lang w:val="fr-CH"/>
        </w:rPr>
        <w:t xml:space="preserve"> </w:t>
      </w:r>
      <w:r w:rsidRPr="00A340FA">
        <w:rPr>
          <w:spacing w:val="-4"/>
          <w:rtl/>
          <w:lang w:val="fr-CH"/>
        </w:rPr>
        <w:t xml:space="preserve">على حقوق صاحبة البلاغ المكفولة بموجب المادة </w:t>
      </w:r>
      <w:r w:rsidRPr="007B4248">
        <w:rPr>
          <w:spacing w:val="-4"/>
          <w:rtl/>
          <w:lang w:val="fr-CH"/>
        </w:rPr>
        <w:t>19</w:t>
      </w:r>
      <w:r w:rsidRPr="00A340FA">
        <w:rPr>
          <w:spacing w:val="-4"/>
          <w:rtl/>
          <w:lang w:val="fr-CH"/>
        </w:rPr>
        <w:t xml:space="preserve"> من العهد. وتلاحظ اللجنة في هذا الصدد</w:t>
      </w:r>
      <w:r w:rsidR="003C1159">
        <w:rPr>
          <w:spacing w:val="-4"/>
          <w:rtl/>
          <w:lang w:val="fr-CH"/>
        </w:rPr>
        <w:t>،</w:t>
      </w:r>
      <w:r w:rsidRPr="00A340FA">
        <w:rPr>
          <w:spacing w:val="-4"/>
          <w:rtl/>
          <w:lang w:val="fr-CH"/>
        </w:rPr>
        <w:t xml:space="preserve"> أن الدولة</w:t>
      </w:r>
      <w:r w:rsidRPr="00883A9F">
        <w:rPr>
          <w:rtl/>
          <w:lang w:val="fr-CH"/>
        </w:rPr>
        <w:t xml:space="preserve"> </w:t>
      </w:r>
      <w:r w:rsidRPr="00A340FA">
        <w:rPr>
          <w:spacing w:val="-4"/>
          <w:rtl/>
          <w:lang w:val="fr-CH"/>
        </w:rPr>
        <w:t>الطرف لم تحتج بأسباب بعينها تدعم ضرورة فرض هذه القيود</w:t>
      </w:r>
      <w:r w:rsidR="003C1159">
        <w:rPr>
          <w:spacing w:val="-4"/>
          <w:rtl/>
          <w:lang w:val="fr-CH"/>
        </w:rPr>
        <w:t>،</w:t>
      </w:r>
      <w:r w:rsidRPr="00A340FA">
        <w:rPr>
          <w:spacing w:val="-4"/>
          <w:rtl/>
          <w:lang w:val="fr-CH"/>
        </w:rPr>
        <w:t xml:space="preserve"> وفق</w:t>
      </w:r>
      <w:r w:rsidR="00DB205B">
        <w:rPr>
          <w:spacing w:val="-4"/>
          <w:rtl/>
          <w:lang w:val="fr-CH"/>
        </w:rPr>
        <w:t xml:space="preserve">اً </w:t>
      </w:r>
      <w:r w:rsidRPr="00A340FA">
        <w:rPr>
          <w:spacing w:val="-4"/>
          <w:rtl/>
          <w:lang w:val="fr-CH"/>
        </w:rPr>
        <w:t xml:space="preserve">لما تقتضيه المادة </w:t>
      </w:r>
      <w:r w:rsidRPr="007B4248">
        <w:rPr>
          <w:spacing w:val="-4"/>
          <w:rtl/>
          <w:lang w:val="fr-CH"/>
        </w:rPr>
        <w:t>19</w:t>
      </w:r>
      <w:r w:rsidRPr="00A340FA">
        <w:rPr>
          <w:spacing w:val="-4"/>
          <w:rtl/>
          <w:lang w:val="fr-CH"/>
        </w:rPr>
        <w:t>(</w:t>
      </w:r>
      <w:r w:rsidRPr="007B4248">
        <w:rPr>
          <w:spacing w:val="-4"/>
          <w:rtl/>
          <w:lang w:val="fr-CH"/>
        </w:rPr>
        <w:t>3</w:t>
      </w:r>
      <w:r w:rsidRPr="00A340FA">
        <w:rPr>
          <w:spacing w:val="-4"/>
          <w:rtl/>
          <w:lang w:val="fr-CH"/>
        </w:rPr>
        <w:t xml:space="preserve">) من </w:t>
      </w:r>
      <w:proofErr w:type="gramStart"/>
      <w:r w:rsidRPr="00A340FA">
        <w:rPr>
          <w:spacing w:val="-4"/>
          <w:rtl/>
          <w:lang w:val="fr-CH"/>
        </w:rPr>
        <w:t>العهد</w:t>
      </w:r>
      <w:r w:rsidRPr="00232907">
        <w:rPr>
          <w:vertAlign w:val="superscript"/>
          <w:rtl/>
          <w:lang w:val="fr-CH"/>
        </w:rPr>
        <w:t>(</w:t>
      </w:r>
      <w:proofErr w:type="gramEnd"/>
      <w:r w:rsidRPr="007B4248">
        <w:rPr>
          <w:rStyle w:val="FootnoteReference"/>
          <w:szCs w:val="22"/>
          <w:lang w:val="en-US"/>
        </w:rPr>
        <w:footnoteReference w:id="13"/>
      </w:r>
      <w:r w:rsidRPr="00232907">
        <w:rPr>
          <w:vertAlign w:val="superscript"/>
          <w:rtl/>
          <w:lang w:val="fr-CH"/>
        </w:rPr>
        <w:t>)</w:t>
      </w:r>
      <w:r w:rsidRPr="00883A9F">
        <w:rPr>
          <w:rtl/>
          <w:lang w:val="fr-CH"/>
        </w:rPr>
        <w:t xml:space="preserve">. ولم تثبت الدولة الطرف كذلك أن التدابير التي اختيرت هي بطبيعتها أقل الوسائل تدخلاً أو أنها متناسبة </w:t>
      </w:r>
      <w:r w:rsidRPr="00A340FA">
        <w:rPr>
          <w:spacing w:val="-4"/>
          <w:rtl/>
          <w:lang w:val="fr-CH"/>
        </w:rPr>
        <w:t>مع المصلحـة الـتي تتوخى حمايتها. وبالنظر إلى ملابسات هذه القضية</w:t>
      </w:r>
      <w:r w:rsidR="003C1159">
        <w:rPr>
          <w:spacing w:val="-4"/>
          <w:rtl/>
          <w:lang w:val="fr-CH"/>
        </w:rPr>
        <w:t>،</w:t>
      </w:r>
      <w:r w:rsidRPr="00A340FA">
        <w:rPr>
          <w:spacing w:val="-4"/>
          <w:rtl/>
          <w:lang w:val="fr-CH"/>
        </w:rPr>
        <w:t xml:space="preserve"> ترى اللجنة أن القيود المفروضة على</w:t>
      </w:r>
      <w:r w:rsidRPr="00883A9F">
        <w:rPr>
          <w:rtl/>
          <w:lang w:val="fr-CH"/>
        </w:rPr>
        <w:t xml:space="preserve"> </w:t>
      </w:r>
      <w:r w:rsidRPr="00A340FA">
        <w:rPr>
          <w:spacing w:val="-2"/>
          <w:rtl/>
          <w:lang w:val="fr-CH"/>
        </w:rPr>
        <w:t>صاحبة البلاغ</w:t>
      </w:r>
      <w:r w:rsidR="003C1159">
        <w:rPr>
          <w:spacing w:val="-2"/>
          <w:rtl/>
          <w:lang w:val="fr-CH"/>
        </w:rPr>
        <w:t>،</w:t>
      </w:r>
      <w:r w:rsidRPr="00A340FA">
        <w:rPr>
          <w:spacing w:val="-2"/>
          <w:rtl/>
          <w:lang w:val="fr-CH"/>
        </w:rPr>
        <w:t xml:space="preserve"> وإن كانت تستند إلى القانون المحلي</w:t>
      </w:r>
      <w:r w:rsidR="003C1159">
        <w:rPr>
          <w:spacing w:val="-2"/>
          <w:rtl/>
          <w:lang w:val="fr-CH"/>
        </w:rPr>
        <w:t>،</w:t>
      </w:r>
      <w:r w:rsidRPr="00A340FA">
        <w:rPr>
          <w:spacing w:val="-2"/>
          <w:rtl/>
          <w:lang w:val="fr-CH"/>
        </w:rPr>
        <w:t xml:space="preserve"> فإنها غير مبرَّرة في ضوء الشروط المنصوص عليها</w:t>
      </w:r>
      <w:r w:rsidRPr="00883A9F">
        <w:rPr>
          <w:rtl/>
          <w:lang w:val="fr-CH"/>
        </w:rPr>
        <w:t xml:space="preserve"> في المادة </w:t>
      </w:r>
      <w:r w:rsidRPr="007B4248">
        <w:rPr>
          <w:rtl/>
          <w:lang w:val="fr-CH"/>
        </w:rPr>
        <w:t>19</w:t>
      </w:r>
      <w:r w:rsidRPr="00883A9F">
        <w:rPr>
          <w:rtl/>
          <w:lang w:val="fr-CH"/>
        </w:rPr>
        <w:t>(</w:t>
      </w:r>
      <w:r w:rsidRPr="007B4248">
        <w:rPr>
          <w:rtl/>
          <w:lang w:val="fr-CH"/>
        </w:rPr>
        <w:t>3</w:t>
      </w:r>
      <w:r w:rsidRPr="00883A9F">
        <w:rPr>
          <w:rtl/>
          <w:lang w:val="fr-CH"/>
        </w:rPr>
        <w:t>) من العهد. ولذلك</w:t>
      </w:r>
      <w:r w:rsidR="003C1159">
        <w:rPr>
          <w:rtl/>
          <w:lang w:val="fr-CH"/>
        </w:rPr>
        <w:t>،</w:t>
      </w:r>
      <w:r w:rsidRPr="00883A9F">
        <w:rPr>
          <w:rtl/>
          <w:lang w:val="fr-CH"/>
        </w:rPr>
        <w:t xml:space="preserve"> فهي تستنتج حدوث انتهاك لحقوق صاحبة البلاغ المكفولة بموجب المادة </w:t>
      </w:r>
      <w:r w:rsidRPr="007B4248">
        <w:rPr>
          <w:rtl/>
          <w:lang w:val="fr-CH"/>
        </w:rPr>
        <w:t>19</w:t>
      </w:r>
      <w:r w:rsidRPr="00883A9F">
        <w:rPr>
          <w:rtl/>
          <w:lang w:val="fr-CH"/>
        </w:rPr>
        <w:t>(</w:t>
      </w:r>
      <w:r w:rsidRPr="007B4248">
        <w:rPr>
          <w:rtl/>
          <w:lang w:val="fr-CH"/>
        </w:rPr>
        <w:t>2</w:t>
      </w:r>
      <w:r w:rsidRPr="00883A9F">
        <w:rPr>
          <w:rtl/>
          <w:lang w:val="fr-CH"/>
        </w:rPr>
        <w:t xml:space="preserve">) من </w:t>
      </w:r>
      <w:proofErr w:type="gramStart"/>
      <w:r w:rsidRPr="00883A9F">
        <w:rPr>
          <w:rtl/>
          <w:lang w:val="fr-CH"/>
        </w:rPr>
        <w:t>العهد</w:t>
      </w:r>
      <w:r w:rsidRPr="00232907">
        <w:rPr>
          <w:vertAlign w:val="superscript"/>
          <w:rtl/>
          <w:lang w:val="fr-CH"/>
        </w:rPr>
        <w:t>(</w:t>
      </w:r>
      <w:proofErr w:type="gramEnd"/>
      <w:r w:rsidRPr="007B4248">
        <w:rPr>
          <w:rStyle w:val="FootnoteReference"/>
          <w:szCs w:val="22"/>
          <w:lang w:val="en-US"/>
        </w:rPr>
        <w:footnoteReference w:id="14"/>
      </w:r>
      <w:r w:rsidRPr="00232907">
        <w:rPr>
          <w:vertAlign w:val="superscript"/>
          <w:rtl/>
          <w:lang w:val="fr-CH"/>
        </w:rPr>
        <w:t>)</w:t>
      </w:r>
      <w:r w:rsidR="00883A9F" w:rsidRPr="00883A9F">
        <w:rPr>
          <w:rtl/>
          <w:lang w:val="fr-CH"/>
        </w:rPr>
        <w:t xml:space="preserve">. </w:t>
      </w:r>
    </w:p>
    <w:p w14:paraId="7C72FE5F" w14:textId="2F66EFD4" w:rsidR="00883A9F" w:rsidRPr="00883A9F" w:rsidRDefault="00883A9F" w:rsidP="00A340FA">
      <w:pPr>
        <w:pStyle w:val="SingleTxtGA"/>
        <w:rPr>
          <w:rtl/>
          <w:lang w:val="fr-CH"/>
        </w:rPr>
      </w:pPr>
      <w:r w:rsidRPr="007B4248">
        <w:rPr>
          <w:rtl/>
          <w:lang w:val="fr-CH"/>
        </w:rPr>
        <w:t>8</w:t>
      </w:r>
      <w:r w:rsidRPr="00883A9F">
        <w:rPr>
          <w:rtl/>
          <w:lang w:val="fr-CH"/>
        </w:rPr>
        <w:t>-</w:t>
      </w:r>
      <w:r w:rsidRPr="00883A9F">
        <w:rPr>
          <w:rtl/>
          <w:lang w:val="fr-CH"/>
        </w:rPr>
        <w:tab/>
        <w:t>واللجنة</w:t>
      </w:r>
      <w:r w:rsidR="003C1159">
        <w:rPr>
          <w:rtl/>
          <w:lang w:val="fr-CH"/>
        </w:rPr>
        <w:t>،</w:t>
      </w:r>
      <w:r w:rsidRPr="00883A9F">
        <w:rPr>
          <w:rtl/>
          <w:lang w:val="fr-CH"/>
        </w:rPr>
        <w:t xml:space="preserve"> إذ تتصرف بموجب المادة </w:t>
      </w:r>
      <w:r w:rsidRPr="007B4248">
        <w:rPr>
          <w:rtl/>
          <w:lang w:val="fr-CH"/>
        </w:rPr>
        <w:t>5</w:t>
      </w:r>
      <w:r w:rsidRPr="00883A9F">
        <w:rPr>
          <w:rtl/>
          <w:lang w:val="fr-CH"/>
        </w:rPr>
        <w:t>(</w:t>
      </w:r>
      <w:r w:rsidRPr="007B4248">
        <w:rPr>
          <w:rtl/>
          <w:lang w:val="fr-CH"/>
        </w:rPr>
        <w:t>4</w:t>
      </w:r>
      <w:r w:rsidRPr="00883A9F">
        <w:rPr>
          <w:rtl/>
          <w:lang w:val="fr-CH"/>
        </w:rPr>
        <w:t>) من البروتوكول الاختياري</w:t>
      </w:r>
      <w:r w:rsidR="003C1159">
        <w:rPr>
          <w:rtl/>
          <w:lang w:val="fr-CH"/>
        </w:rPr>
        <w:t>،</w:t>
      </w:r>
      <w:r w:rsidRPr="00883A9F">
        <w:rPr>
          <w:rtl/>
          <w:lang w:val="fr-CH"/>
        </w:rPr>
        <w:t xml:space="preserve"> ترى أن الوقائع المعروضة عليها تكشف عن انتهاك الدولة الطرف لحقوق صاحبة البلاغ المكفولة بموجب المادة </w:t>
      </w:r>
      <w:r w:rsidRPr="007B4248">
        <w:rPr>
          <w:rtl/>
          <w:lang w:val="fr-CH"/>
        </w:rPr>
        <w:t>19</w:t>
      </w:r>
      <w:r w:rsidRPr="00883A9F">
        <w:rPr>
          <w:rtl/>
          <w:lang w:val="fr-CH"/>
        </w:rPr>
        <w:t xml:space="preserve"> من العهد. </w:t>
      </w:r>
    </w:p>
    <w:p w14:paraId="62958602" w14:textId="671AB99B" w:rsidR="00883A9F" w:rsidRPr="00883A9F" w:rsidRDefault="00883A9F" w:rsidP="008F2707">
      <w:pPr>
        <w:pStyle w:val="SingleTxtGA"/>
        <w:spacing w:line="350" w:lineRule="exact"/>
        <w:rPr>
          <w:rtl/>
          <w:lang w:val="fr-CH"/>
        </w:rPr>
      </w:pPr>
      <w:r w:rsidRPr="007B4248">
        <w:rPr>
          <w:rtl/>
          <w:lang w:val="fr-CH"/>
        </w:rPr>
        <w:t>9</w:t>
      </w:r>
      <w:r w:rsidRPr="00883A9F">
        <w:rPr>
          <w:rtl/>
          <w:lang w:val="fr-CH"/>
        </w:rPr>
        <w:t>-</w:t>
      </w:r>
      <w:r w:rsidRPr="00883A9F">
        <w:rPr>
          <w:rtl/>
          <w:lang w:val="fr-CH"/>
        </w:rPr>
        <w:tab/>
        <w:t>ومن واجب الدولة الطرف</w:t>
      </w:r>
      <w:r w:rsidR="003C1159">
        <w:rPr>
          <w:rtl/>
          <w:lang w:val="fr-CH"/>
        </w:rPr>
        <w:t>،</w:t>
      </w:r>
      <w:r w:rsidRPr="00883A9F">
        <w:rPr>
          <w:rtl/>
          <w:lang w:val="fr-CH"/>
        </w:rPr>
        <w:t xml:space="preserve"> وفقاً لأحكام الفقرة </w:t>
      </w:r>
      <w:r w:rsidRPr="007B4248">
        <w:rPr>
          <w:rtl/>
          <w:lang w:val="fr-CH"/>
        </w:rPr>
        <w:t>3</w:t>
      </w:r>
      <w:r w:rsidRPr="00883A9F">
        <w:rPr>
          <w:rtl/>
          <w:lang w:val="fr-CH"/>
        </w:rPr>
        <w:t xml:space="preserve">(أ) من المادة </w:t>
      </w:r>
      <w:r w:rsidRPr="007B4248">
        <w:rPr>
          <w:rtl/>
          <w:lang w:val="fr-CH"/>
        </w:rPr>
        <w:t>2</w:t>
      </w:r>
      <w:r w:rsidRPr="00883A9F">
        <w:rPr>
          <w:rtl/>
          <w:lang w:val="fr-CH"/>
        </w:rPr>
        <w:t xml:space="preserve"> من العهد</w:t>
      </w:r>
      <w:r w:rsidR="003C1159">
        <w:rPr>
          <w:rtl/>
          <w:lang w:val="fr-CH"/>
        </w:rPr>
        <w:t>،</w:t>
      </w:r>
      <w:r w:rsidRPr="00883A9F">
        <w:rPr>
          <w:rtl/>
          <w:lang w:val="fr-CH"/>
        </w:rPr>
        <w:t xml:space="preserve"> توفير سبيل انتصاف فعال لصاحبة البلاغ. ويقتضي منها ذلك جبر ضرر من انتُهِكت حقوقهم التي يكفلها العهد جبراً تاماً. وعليه</w:t>
      </w:r>
      <w:r w:rsidR="003C1159">
        <w:rPr>
          <w:rtl/>
          <w:lang w:val="fr-CH"/>
        </w:rPr>
        <w:t>،</w:t>
      </w:r>
      <w:r w:rsidRPr="00883A9F">
        <w:rPr>
          <w:rtl/>
          <w:lang w:val="fr-CH"/>
        </w:rPr>
        <w:t xml:space="preserve"> فإن الدولة الطرف ملزمة</w:t>
      </w:r>
      <w:r w:rsidR="003C1159">
        <w:rPr>
          <w:rtl/>
          <w:lang w:val="fr-CH"/>
        </w:rPr>
        <w:t>،</w:t>
      </w:r>
      <w:r w:rsidRPr="00883A9F">
        <w:rPr>
          <w:rtl/>
          <w:lang w:val="fr-CH"/>
        </w:rPr>
        <w:t xml:space="preserve"> في جملة أمور</w:t>
      </w:r>
      <w:r w:rsidR="003C1159">
        <w:rPr>
          <w:rtl/>
          <w:lang w:val="fr-CH"/>
        </w:rPr>
        <w:t>،</w:t>
      </w:r>
      <w:r w:rsidRPr="00883A9F">
        <w:rPr>
          <w:rtl/>
          <w:lang w:val="fr-CH"/>
        </w:rPr>
        <w:t xml:space="preserve"> بتقديم تعويض كاف لصاحبة البلاغ</w:t>
      </w:r>
      <w:r w:rsidR="003C1159">
        <w:rPr>
          <w:rtl/>
          <w:lang w:val="fr-CH"/>
        </w:rPr>
        <w:t>،</w:t>
      </w:r>
      <w:r w:rsidRPr="00883A9F">
        <w:rPr>
          <w:rtl/>
          <w:lang w:val="fr-CH"/>
        </w:rPr>
        <w:t xml:space="preserve"> بما في ذلك تسديد قيمة الغرامة التي دفعتها وأي تكاليف قانونية تكبدتها. وتلزم الدولة الطرف أيض</w:t>
      </w:r>
      <w:r w:rsidR="00DB205B">
        <w:rPr>
          <w:rtl/>
          <w:lang w:val="fr-CH"/>
        </w:rPr>
        <w:t xml:space="preserve">اً </w:t>
      </w:r>
      <w:r w:rsidRPr="00883A9F">
        <w:rPr>
          <w:rtl/>
          <w:lang w:val="fr-CH"/>
        </w:rPr>
        <w:t>باتخاذ جميع الخطوات اللازمة لمنع وقوع انتهاكات مماثلة في المستقبل</w:t>
      </w:r>
      <w:r w:rsidR="003C1159">
        <w:rPr>
          <w:rtl/>
          <w:lang w:val="fr-CH"/>
        </w:rPr>
        <w:t>،</w:t>
      </w:r>
      <w:r w:rsidRPr="00883A9F">
        <w:rPr>
          <w:rtl/>
          <w:lang w:val="fr-CH"/>
        </w:rPr>
        <w:t xml:space="preserve"> بطرق منها على وجه الخصوص</w:t>
      </w:r>
      <w:r w:rsidR="003C1159">
        <w:rPr>
          <w:rtl/>
          <w:lang w:val="fr-CH"/>
        </w:rPr>
        <w:t>،</w:t>
      </w:r>
      <w:r w:rsidRPr="00883A9F">
        <w:rPr>
          <w:rtl/>
          <w:lang w:val="fr-CH"/>
        </w:rPr>
        <w:t xml:space="preserve"> استعراض تشريعاتها الوطنية المتعلقة بالأنشطة العامة وتنفيذها لمواءمتها مع الالتزامات الواقعة عليها بموجب المادة </w:t>
      </w:r>
      <w:r w:rsidRPr="007B4248">
        <w:rPr>
          <w:rtl/>
          <w:lang w:val="fr-CH"/>
        </w:rPr>
        <w:t>2</w:t>
      </w:r>
      <w:r w:rsidRPr="00883A9F">
        <w:rPr>
          <w:rtl/>
          <w:lang w:val="fr-CH"/>
        </w:rPr>
        <w:t>(</w:t>
      </w:r>
      <w:r w:rsidRPr="007B4248">
        <w:rPr>
          <w:rtl/>
          <w:lang w:val="fr-CH"/>
        </w:rPr>
        <w:t>2</w:t>
      </w:r>
      <w:r w:rsidRPr="00883A9F">
        <w:rPr>
          <w:rtl/>
          <w:lang w:val="fr-CH"/>
        </w:rPr>
        <w:t>) من العهد</w:t>
      </w:r>
      <w:r w:rsidR="003C1159">
        <w:rPr>
          <w:rtl/>
          <w:lang w:val="fr-CH"/>
        </w:rPr>
        <w:t>،</w:t>
      </w:r>
      <w:r w:rsidRPr="00883A9F">
        <w:rPr>
          <w:rtl/>
          <w:lang w:val="fr-CH"/>
        </w:rPr>
        <w:t xml:space="preserve"> وباعتماد تدابير تمكّن من إنفاذ الحقوق المعترف بها في المادة </w:t>
      </w:r>
      <w:r w:rsidRPr="007B4248">
        <w:rPr>
          <w:rtl/>
          <w:lang w:val="fr-CH"/>
        </w:rPr>
        <w:t>19</w:t>
      </w:r>
      <w:r w:rsidRPr="00883A9F">
        <w:rPr>
          <w:rtl/>
          <w:lang w:val="fr-CH"/>
        </w:rPr>
        <w:t xml:space="preserve">. </w:t>
      </w:r>
    </w:p>
    <w:p w14:paraId="1D42F28A" w14:textId="6E17E71D" w:rsidR="00883A9F" w:rsidRPr="00A340FA" w:rsidRDefault="00883A9F" w:rsidP="008F2707">
      <w:pPr>
        <w:pStyle w:val="SingleTxtGA"/>
        <w:spacing w:line="350" w:lineRule="exact"/>
        <w:rPr>
          <w:spacing w:val="-2"/>
          <w:rtl/>
          <w:lang w:val="fr-CH"/>
        </w:rPr>
      </w:pPr>
      <w:r w:rsidRPr="007B4248">
        <w:rPr>
          <w:spacing w:val="-2"/>
          <w:rtl/>
          <w:lang w:val="fr-CH"/>
        </w:rPr>
        <w:t>10</w:t>
      </w:r>
      <w:r w:rsidRPr="00A340FA">
        <w:rPr>
          <w:spacing w:val="-2"/>
          <w:rtl/>
          <w:lang w:val="fr-CH"/>
        </w:rPr>
        <w:t>-</w:t>
      </w:r>
      <w:r w:rsidRPr="00A340FA">
        <w:rPr>
          <w:spacing w:val="-2"/>
          <w:rtl/>
          <w:lang w:val="fr-CH"/>
        </w:rPr>
        <w:tab/>
        <w:t>واللجنة</w:t>
      </w:r>
      <w:r w:rsidR="003C1159">
        <w:rPr>
          <w:spacing w:val="-2"/>
          <w:rtl/>
          <w:lang w:val="fr-CH"/>
        </w:rPr>
        <w:t>،</w:t>
      </w:r>
      <w:r w:rsidRPr="00A340FA">
        <w:rPr>
          <w:spacing w:val="-2"/>
          <w:rtl/>
          <w:lang w:val="fr-CH"/>
        </w:rPr>
        <w:t xml:space="preserve"> إذ تضع في اعتبارها أن الدولة الطرف</w:t>
      </w:r>
      <w:r w:rsidR="003C1159">
        <w:rPr>
          <w:spacing w:val="-2"/>
          <w:rtl/>
          <w:lang w:val="fr-CH"/>
        </w:rPr>
        <w:t>،</w:t>
      </w:r>
      <w:r w:rsidRPr="00A340FA">
        <w:rPr>
          <w:spacing w:val="-2"/>
          <w:rtl/>
          <w:lang w:val="fr-CH"/>
        </w:rPr>
        <w:t xml:space="preserve"> بانضمامها إلى البروتوكول الاختياري</w:t>
      </w:r>
      <w:r w:rsidR="003C1159">
        <w:rPr>
          <w:spacing w:val="-2"/>
          <w:rtl/>
          <w:lang w:val="fr-CH"/>
        </w:rPr>
        <w:t>،</w:t>
      </w:r>
      <w:r w:rsidRPr="00A340FA">
        <w:rPr>
          <w:spacing w:val="-2"/>
          <w:rtl/>
          <w:lang w:val="fr-CH"/>
        </w:rPr>
        <w:t xml:space="preserve"> قد اعترفت باختصاص اللجنة في تحديد ما إذا كان قد وقع انتهاك للعهد</w:t>
      </w:r>
      <w:r w:rsidR="003C1159">
        <w:rPr>
          <w:spacing w:val="-2"/>
          <w:rtl/>
          <w:lang w:val="fr-CH"/>
        </w:rPr>
        <w:t>،</w:t>
      </w:r>
      <w:r w:rsidRPr="00A340FA">
        <w:rPr>
          <w:spacing w:val="-2"/>
          <w:rtl/>
          <w:lang w:val="fr-CH"/>
        </w:rPr>
        <w:t xml:space="preserve"> وأنها قد تعهدت</w:t>
      </w:r>
      <w:r w:rsidR="003C1159">
        <w:rPr>
          <w:spacing w:val="-2"/>
          <w:rtl/>
          <w:lang w:val="fr-CH"/>
        </w:rPr>
        <w:t>،</w:t>
      </w:r>
      <w:r w:rsidRPr="00A340FA">
        <w:rPr>
          <w:spacing w:val="-2"/>
          <w:rtl/>
          <w:lang w:val="fr-CH"/>
        </w:rPr>
        <w:t xml:space="preserve"> عملاً بالمادة </w:t>
      </w:r>
      <w:r w:rsidRPr="007B4248">
        <w:rPr>
          <w:spacing w:val="-2"/>
          <w:rtl/>
          <w:lang w:val="fr-CH"/>
        </w:rPr>
        <w:t>2</w:t>
      </w:r>
      <w:r w:rsidRPr="00A340FA">
        <w:rPr>
          <w:spacing w:val="-2"/>
          <w:rtl/>
          <w:lang w:val="fr-CH"/>
        </w:rPr>
        <w:t xml:space="preserve"> من العهد</w:t>
      </w:r>
      <w:r w:rsidR="003C1159">
        <w:rPr>
          <w:spacing w:val="-2"/>
          <w:rtl/>
          <w:lang w:val="fr-CH"/>
        </w:rPr>
        <w:t>،</w:t>
      </w:r>
      <w:r w:rsidRPr="00A340FA">
        <w:rPr>
          <w:spacing w:val="-2"/>
          <w:rtl/>
          <w:lang w:val="fr-CH"/>
        </w:rPr>
        <w:t xml:space="preserve"> بأن تضمن تمتع جميع الأفراد الموجودين في إقليمها أو الخاضعين لولايتها بالحقوق المعترف بها في العهد</w:t>
      </w:r>
      <w:r w:rsidR="003C1159">
        <w:rPr>
          <w:spacing w:val="-2"/>
          <w:rtl/>
          <w:lang w:val="fr-CH"/>
        </w:rPr>
        <w:t>،</w:t>
      </w:r>
      <w:r w:rsidRPr="00A340FA">
        <w:rPr>
          <w:spacing w:val="-2"/>
          <w:rtl/>
          <w:lang w:val="fr-CH"/>
        </w:rPr>
        <w:t xml:space="preserve"> وأن تكفل لهم سبيل انتصاف فعالاً وقابلاً للإنفاذ في حال ثبوت وقوع انتهاك</w:t>
      </w:r>
      <w:r w:rsidR="003C1159">
        <w:rPr>
          <w:spacing w:val="-2"/>
          <w:rtl/>
          <w:lang w:val="fr-CH"/>
        </w:rPr>
        <w:t>،</w:t>
      </w:r>
      <w:r w:rsidRPr="00A340FA">
        <w:rPr>
          <w:spacing w:val="-2"/>
          <w:rtl/>
          <w:lang w:val="fr-CH"/>
        </w:rPr>
        <w:t xml:space="preserve"> تود أن تتلقى من الدولة الطرف في غضون </w:t>
      </w:r>
      <w:r w:rsidRPr="007B4248">
        <w:rPr>
          <w:spacing w:val="-2"/>
          <w:rtl/>
          <w:lang w:val="fr-CH"/>
        </w:rPr>
        <w:t>180</w:t>
      </w:r>
      <w:r w:rsidRPr="00A340FA">
        <w:rPr>
          <w:spacing w:val="-2"/>
          <w:rtl/>
          <w:lang w:val="fr-CH"/>
        </w:rPr>
        <w:t xml:space="preserve"> يوماً معلومات بشأن التدابير التي اتخذتها لوضع آراء اللجنة هذه موضع التنفيذ. وتطلب اللجنة إلى الدولة الطرف أيضاً نشر هذه الآراء وتعميمها على نطاق واسع بلغاتها الرسمية.</w:t>
      </w:r>
    </w:p>
    <w:p w14:paraId="454CFB8A" w14:textId="355AB3AD" w:rsidR="00883A9F" w:rsidRPr="00883A9F" w:rsidRDefault="00883A9F" w:rsidP="008F2707">
      <w:pPr>
        <w:pStyle w:val="SingleTxtGA"/>
        <w:spacing w:line="300" w:lineRule="exact"/>
        <w:jc w:val="center"/>
        <w:rPr>
          <w:u w:val="single"/>
          <w:rtl/>
        </w:rPr>
      </w:pPr>
      <w:r>
        <w:rPr>
          <w:u w:val="single"/>
          <w:rtl/>
        </w:rPr>
        <w:tab/>
      </w:r>
      <w:r>
        <w:rPr>
          <w:u w:val="single"/>
          <w:rtl/>
        </w:rPr>
        <w:tab/>
      </w:r>
      <w:r>
        <w:rPr>
          <w:u w:val="single"/>
          <w:rtl/>
        </w:rPr>
        <w:tab/>
      </w:r>
    </w:p>
    <w:sectPr w:rsidR="00883A9F" w:rsidRPr="00883A9F" w:rsidSect="0043590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5966" w14:textId="77777777" w:rsidR="00D76224" w:rsidRPr="002901D9" w:rsidRDefault="00D76224" w:rsidP="00DC4D4B">
      <w:pPr>
        <w:spacing w:after="60" w:line="240" w:lineRule="auto"/>
        <w:ind w:left="57"/>
        <w:rPr>
          <w:i/>
          <w:iCs/>
        </w:rPr>
      </w:pPr>
      <w:r>
        <w:rPr>
          <w:rFonts w:hint="cs"/>
          <w:i/>
          <w:iCs/>
          <w:rtl/>
        </w:rPr>
        <w:t>الحواشي</w:t>
      </w:r>
    </w:p>
  </w:endnote>
  <w:endnote w:type="continuationSeparator" w:id="0">
    <w:p w14:paraId="23F7D3FB" w14:textId="77777777" w:rsidR="00D76224" w:rsidRDefault="00D7622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08DA" w14:textId="3C83D47E" w:rsidR="00A3602F" w:rsidRPr="00A3602F" w:rsidRDefault="00A3602F" w:rsidP="00A3602F">
    <w:pPr>
      <w:pStyle w:val="Footer"/>
      <w:tabs>
        <w:tab w:val="right" w:pos="9638"/>
      </w:tabs>
      <w:rPr>
        <w:b/>
        <w:sz w:val="18"/>
        <w:lang w:val="en-US"/>
      </w:rPr>
    </w:pPr>
    <w:r>
      <w:rPr>
        <w:lang w:val="en-US"/>
      </w:rPr>
      <w:t>GE.22-00395</w:t>
    </w:r>
    <w:r>
      <w:rPr>
        <w:lang w:val="en-US"/>
      </w:rPr>
      <w:tab/>
    </w:r>
    <w:r w:rsidRPr="00A3602F">
      <w:rPr>
        <w:b/>
        <w:sz w:val="18"/>
        <w:lang w:val="en-US"/>
      </w:rPr>
      <w:fldChar w:fldCharType="begin"/>
    </w:r>
    <w:r w:rsidRPr="00A3602F">
      <w:rPr>
        <w:b/>
        <w:sz w:val="18"/>
        <w:lang w:val="en-US"/>
      </w:rPr>
      <w:instrText xml:space="preserve"> PAGE  \* MERGEFORMAT </w:instrText>
    </w:r>
    <w:r w:rsidRPr="00A3602F">
      <w:rPr>
        <w:b/>
        <w:sz w:val="18"/>
        <w:lang w:val="en-US"/>
      </w:rPr>
      <w:fldChar w:fldCharType="separate"/>
    </w:r>
    <w:r w:rsidRPr="00A3602F">
      <w:rPr>
        <w:b/>
        <w:noProof/>
        <w:sz w:val="18"/>
        <w:lang w:val="en-US"/>
      </w:rPr>
      <w:t>2</w:t>
    </w:r>
    <w:r w:rsidRPr="00A3602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E867" w14:textId="1010DBFC" w:rsidR="006959B0" w:rsidRPr="00A3602F" w:rsidRDefault="00A3602F" w:rsidP="00A3602F">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GE.22-00395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4EE0" w14:textId="09D63C02" w:rsidR="00DE50B1" w:rsidRPr="00A3602F" w:rsidRDefault="00A3602F" w:rsidP="00A3602F">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38FABB63" wp14:editId="1DB48C7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22-00395 (A)</w:t>
    </w:r>
    <w:r>
      <w:rPr>
        <w:noProof/>
        <w:sz w:val="20"/>
        <w:lang w:val="en-US"/>
      </w:rPr>
      <mc:AlternateContent>
        <mc:Choice Requires="wps">
          <w:drawing>
            <wp:anchor distT="0" distB="0" distL="114300" distR="114300" simplePos="0" relativeHeight="251659264" behindDoc="0" locked="0" layoutInCell="1" allowOverlap="1" wp14:anchorId="3E8A2D02" wp14:editId="1BE94E8D">
              <wp:simplePos x="0" y="0"/>
              <wp:positionH relativeFrom="margin">
                <wp:posOffset>0</wp:posOffset>
              </wp:positionH>
              <wp:positionV relativeFrom="margin">
                <wp:posOffset>8891905</wp:posOffset>
              </wp:positionV>
              <wp:extent cx="2743200" cy="2743200"/>
              <wp:effectExtent l="0" t="0" r="0" b="0"/>
              <wp:wrapNone/>
              <wp:docPr id="3" name="AutoShap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D73F8" id="AutoShape 1" o:spid="_x0000_s1026" alt="امسح الرمز لتصفح الوثيقة أو تحميلها" style="position:absolute;margin-left:0;margin-top:700.15pt;width:3in;height:3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" filled="f" stroked="f">
              <o:lock v:ext="edit" aspectratio="t"/>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DC67C" w14:textId="77777777" w:rsidR="00D76224" w:rsidRPr="008A49D2" w:rsidRDefault="00D76224"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F075BF2" w14:textId="77777777" w:rsidR="00D76224" w:rsidRDefault="00D76224" w:rsidP="00656392">
      <w:pPr>
        <w:spacing w:line="240" w:lineRule="auto"/>
      </w:pPr>
      <w:r>
        <w:continuationSeparator/>
      </w:r>
    </w:p>
  </w:footnote>
  <w:footnote w:id="1">
    <w:p w14:paraId="3823D307" w14:textId="406C7468" w:rsidR="001A0600" w:rsidRPr="001A0600" w:rsidRDefault="001A0600" w:rsidP="001A0600">
      <w:pPr>
        <w:pStyle w:val="FootnoteText1"/>
        <w:rPr>
          <w:rFonts w:hint="cs"/>
          <w:rtl/>
        </w:rPr>
      </w:pPr>
      <w:r>
        <w:rPr>
          <w:rtl/>
        </w:rPr>
        <w:t>*</w:t>
      </w:r>
      <w:r>
        <w:rPr>
          <w:rtl/>
        </w:rPr>
        <w:tab/>
      </w:r>
      <w:r w:rsidRPr="001A0600">
        <w:rPr>
          <w:rtl/>
        </w:rPr>
        <w:t xml:space="preserve">اعتمدتها اللجنة في دورتها </w:t>
      </w:r>
      <w:r w:rsidRPr="007B4248">
        <w:rPr>
          <w:rtl/>
        </w:rPr>
        <w:t>133</w:t>
      </w:r>
      <w:r w:rsidRPr="001A0600">
        <w:rPr>
          <w:rtl/>
        </w:rPr>
        <w:t xml:space="preserve"> (</w:t>
      </w:r>
      <w:r w:rsidRPr="007B4248">
        <w:rPr>
          <w:rtl/>
        </w:rPr>
        <w:t>11</w:t>
      </w:r>
      <w:r w:rsidRPr="001A0600">
        <w:rPr>
          <w:rtl/>
        </w:rPr>
        <w:t xml:space="preserve"> تشرين الأول/أكتوبر</w:t>
      </w:r>
      <w:r w:rsidR="00232907">
        <w:rPr>
          <w:rFonts w:hint="cs"/>
          <w:rtl/>
        </w:rPr>
        <w:t xml:space="preserve"> </w:t>
      </w:r>
      <w:r w:rsidRPr="001A0600">
        <w:rPr>
          <w:rtl/>
        </w:rPr>
        <w:t>-</w:t>
      </w:r>
      <w:r w:rsidR="00232907">
        <w:rPr>
          <w:rFonts w:hint="cs"/>
          <w:rtl/>
        </w:rPr>
        <w:t xml:space="preserve"> </w:t>
      </w:r>
      <w:r w:rsidRPr="007B4248">
        <w:rPr>
          <w:rtl/>
        </w:rPr>
        <w:t>5</w:t>
      </w:r>
      <w:r w:rsidRPr="001A0600">
        <w:rPr>
          <w:rtl/>
        </w:rPr>
        <w:t xml:space="preserve"> تشرين الثاني/نوفمبر </w:t>
      </w:r>
      <w:r w:rsidRPr="007B4248">
        <w:rPr>
          <w:rtl/>
        </w:rPr>
        <w:t>2021</w:t>
      </w:r>
      <w:r w:rsidRPr="001A0600">
        <w:rPr>
          <w:rtl/>
        </w:rPr>
        <w:t>).</w:t>
      </w:r>
    </w:p>
  </w:footnote>
  <w:footnote w:id="2">
    <w:p w14:paraId="0F7866D6" w14:textId="6AF006F8" w:rsidR="001A0600" w:rsidRPr="001A0600" w:rsidRDefault="001A0600" w:rsidP="001A0600">
      <w:pPr>
        <w:pStyle w:val="FootnoteText1"/>
        <w:rPr>
          <w:rFonts w:hint="cs"/>
          <w:rtl/>
        </w:rPr>
      </w:pPr>
      <w:r>
        <w:rPr>
          <w:rtl/>
        </w:rPr>
        <w:t>**</w:t>
      </w:r>
      <w:r>
        <w:rPr>
          <w:rtl/>
        </w:rPr>
        <w:tab/>
      </w:r>
      <w:r w:rsidRPr="001A0600">
        <w:rPr>
          <w:rtl/>
        </w:rPr>
        <w:t>شارك في دراسة هذا البلاغ أعضاء اللجنة التالية أسماؤهم: وفاء أشرف محرم باسم</w:t>
      </w:r>
      <w:r w:rsidR="003C1159">
        <w:rPr>
          <w:rtl/>
        </w:rPr>
        <w:t>،</w:t>
      </w:r>
      <w:r w:rsidRPr="001A0600">
        <w:rPr>
          <w:rtl/>
        </w:rPr>
        <w:t xml:space="preserve"> عياض بن عاشور</w:t>
      </w:r>
      <w:r w:rsidR="003C1159">
        <w:rPr>
          <w:rtl/>
        </w:rPr>
        <w:t>،</w:t>
      </w:r>
      <w:r w:rsidRPr="001A0600">
        <w:rPr>
          <w:rtl/>
        </w:rPr>
        <w:t xml:space="preserve"> كريستوفر عارف بلقان</w:t>
      </w:r>
      <w:r w:rsidR="003C1159">
        <w:rPr>
          <w:rtl/>
        </w:rPr>
        <w:t>،</w:t>
      </w:r>
      <w:r w:rsidRPr="001A0600">
        <w:rPr>
          <w:rtl/>
        </w:rPr>
        <w:t xml:space="preserve"> المحجوب الهيبة</w:t>
      </w:r>
      <w:r w:rsidR="003C1159">
        <w:rPr>
          <w:rtl/>
        </w:rPr>
        <w:t>،</w:t>
      </w:r>
      <w:r w:rsidRPr="001A0600">
        <w:rPr>
          <w:rtl/>
        </w:rPr>
        <w:t xml:space="preserve"> </w:t>
      </w:r>
      <w:proofErr w:type="spellStart"/>
      <w:r w:rsidRPr="001A0600">
        <w:rPr>
          <w:rtl/>
        </w:rPr>
        <w:t>فورويا</w:t>
      </w:r>
      <w:proofErr w:type="spellEnd"/>
      <w:r w:rsidRPr="001A0600">
        <w:rPr>
          <w:rtl/>
        </w:rPr>
        <w:t xml:space="preserve"> </w:t>
      </w:r>
      <w:proofErr w:type="spellStart"/>
      <w:r w:rsidRPr="001A0600">
        <w:rPr>
          <w:rtl/>
        </w:rPr>
        <w:t>شويتشي</w:t>
      </w:r>
      <w:proofErr w:type="spellEnd"/>
      <w:r w:rsidR="003C1159">
        <w:rPr>
          <w:rtl/>
        </w:rPr>
        <w:t>،</w:t>
      </w:r>
      <w:r w:rsidRPr="001A0600">
        <w:rPr>
          <w:rtl/>
        </w:rPr>
        <w:t xml:space="preserve"> كارلوس غوميز مارتينيز</w:t>
      </w:r>
      <w:r w:rsidR="003C1159">
        <w:rPr>
          <w:rtl/>
        </w:rPr>
        <w:t>،</w:t>
      </w:r>
      <w:r w:rsidRPr="001A0600">
        <w:rPr>
          <w:rtl/>
        </w:rPr>
        <w:t xml:space="preserve"> </w:t>
      </w:r>
      <w:proofErr w:type="spellStart"/>
      <w:r w:rsidRPr="001A0600">
        <w:rPr>
          <w:rtl/>
        </w:rPr>
        <w:t>مارسيا</w:t>
      </w:r>
      <w:proofErr w:type="spellEnd"/>
      <w:r w:rsidRPr="001A0600">
        <w:rPr>
          <w:rtl/>
        </w:rPr>
        <w:t xml:space="preserve"> ف. ج. كران</w:t>
      </w:r>
      <w:r w:rsidR="003C1159">
        <w:rPr>
          <w:rtl/>
        </w:rPr>
        <w:t>،</w:t>
      </w:r>
      <w:r w:rsidRPr="001A0600">
        <w:rPr>
          <w:rtl/>
        </w:rPr>
        <w:t xml:space="preserve"> </w:t>
      </w:r>
      <w:proofErr w:type="spellStart"/>
      <w:r w:rsidRPr="001A0600">
        <w:rPr>
          <w:rtl/>
        </w:rPr>
        <w:t>دنكان</w:t>
      </w:r>
      <w:proofErr w:type="spellEnd"/>
      <w:r w:rsidRPr="001A0600">
        <w:rPr>
          <w:rtl/>
        </w:rPr>
        <w:t xml:space="preserve"> </w:t>
      </w:r>
      <w:proofErr w:type="spellStart"/>
      <w:r w:rsidRPr="001A0600">
        <w:rPr>
          <w:rtl/>
        </w:rPr>
        <w:t>لاكي</w:t>
      </w:r>
      <w:proofErr w:type="spellEnd"/>
      <w:r w:rsidRPr="001A0600">
        <w:rPr>
          <w:rtl/>
        </w:rPr>
        <w:t xml:space="preserve"> </w:t>
      </w:r>
      <w:proofErr w:type="spellStart"/>
      <w:r w:rsidRPr="001A0600">
        <w:rPr>
          <w:rtl/>
        </w:rPr>
        <w:t>موهوموزا</w:t>
      </w:r>
      <w:proofErr w:type="spellEnd"/>
      <w:r w:rsidR="003C1159">
        <w:rPr>
          <w:rtl/>
        </w:rPr>
        <w:t>،</w:t>
      </w:r>
      <w:r w:rsidRPr="001A0600">
        <w:rPr>
          <w:rtl/>
        </w:rPr>
        <w:t xml:space="preserve"> فوتيني </w:t>
      </w:r>
      <w:proofErr w:type="spellStart"/>
      <w:r w:rsidRPr="001A0600">
        <w:rPr>
          <w:rtl/>
        </w:rPr>
        <w:t>بازارتزيس</w:t>
      </w:r>
      <w:proofErr w:type="spellEnd"/>
      <w:r w:rsidR="003C1159">
        <w:rPr>
          <w:rtl/>
        </w:rPr>
        <w:t>،</w:t>
      </w:r>
      <w:r w:rsidRPr="001A0600">
        <w:rPr>
          <w:rtl/>
        </w:rPr>
        <w:t xml:space="preserve"> </w:t>
      </w:r>
      <w:proofErr w:type="spellStart"/>
      <w:r w:rsidRPr="00232907">
        <w:rPr>
          <w:spacing w:val="-4"/>
          <w:rtl/>
        </w:rPr>
        <w:t>فاسيلكا</w:t>
      </w:r>
      <w:proofErr w:type="spellEnd"/>
      <w:r w:rsidRPr="00232907">
        <w:rPr>
          <w:spacing w:val="-4"/>
          <w:rtl/>
        </w:rPr>
        <w:t xml:space="preserve"> </w:t>
      </w:r>
      <w:proofErr w:type="spellStart"/>
      <w:r w:rsidRPr="00232907">
        <w:rPr>
          <w:spacing w:val="-4"/>
          <w:rtl/>
        </w:rPr>
        <w:t>سانسين</w:t>
      </w:r>
      <w:proofErr w:type="spellEnd"/>
      <w:r w:rsidR="003C1159">
        <w:rPr>
          <w:spacing w:val="-4"/>
          <w:rtl/>
        </w:rPr>
        <w:t>،</w:t>
      </w:r>
      <w:r w:rsidRPr="00232907">
        <w:rPr>
          <w:spacing w:val="-4"/>
          <w:rtl/>
        </w:rPr>
        <w:t xml:space="preserve"> خوسيه مانويل سانتوس </w:t>
      </w:r>
      <w:proofErr w:type="spellStart"/>
      <w:r w:rsidRPr="00232907">
        <w:rPr>
          <w:spacing w:val="-4"/>
          <w:rtl/>
        </w:rPr>
        <w:t>بايس</w:t>
      </w:r>
      <w:proofErr w:type="spellEnd"/>
      <w:r w:rsidR="003C1159">
        <w:rPr>
          <w:spacing w:val="-4"/>
          <w:rtl/>
        </w:rPr>
        <w:t>،</w:t>
      </w:r>
      <w:r w:rsidRPr="00232907">
        <w:rPr>
          <w:spacing w:val="-4"/>
          <w:rtl/>
        </w:rPr>
        <w:t xml:space="preserve"> </w:t>
      </w:r>
      <w:proofErr w:type="spellStart"/>
      <w:r w:rsidRPr="00232907">
        <w:rPr>
          <w:spacing w:val="-4"/>
          <w:rtl/>
        </w:rPr>
        <w:t>سوه</w:t>
      </w:r>
      <w:proofErr w:type="spellEnd"/>
      <w:r w:rsidRPr="00232907">
        <w:rPr>
          <w:spacing w:val="-4"/>
          <w:rtl/>
        </w:rPr>
        <w:t xml:space="preserve"> </w:t>
      </w:r>
      <w:proofErr w:type="spellStart"/>
      <w:r w:rsidRPr="00232907">
        <w:rPr>
          <w:spacing w:val="-4"/>
          <w:rtl/>
        </w:rPr>
        <w:t>تشانغروك</w:t>
      </w:r>
      <w:proofErr w:type="spellEnd"/>
      <w:r w:rsidR="003C1159">
        <w:rPr>
          <w:spacing w:val="-4"/>
          <w:rtl/>
        </w:rPr>
        <w:t>،</w:t>
      </w:r>
      <w:r w:rsidRPr="00232907">
        <w:rPr>
          <w:spacing w:val="-4"/>
          <w:rtl/>
        </w:rPr>
        <w:t xml:space="preserve"> </w:t>
      </w:r>
      <w:proofErr w:type="spellStart"/>
      <w:r w:rsidRPr="00232907">
        <w:rPr>
          <w:spacing w:val="-4"/>
          <w:rtl/>
        </w:rPr>
        <w:t>كوباويا</w:t>
      </w:r>
      <w:proofErr w:type="spellEnd"/>
      <w:r w:rsidRPr="00232907">
        <w:rPr>
          <w:spacing w:val="-4"/>
          <w:rtl/>
        </w:rPr>
        <w:t xml:space="preserve"> </w:t>
      </w:r>
      <w:proofErr w:type="spellStart"/>
      <w:r w:rsidRPr="00232907">
        <w:rPr>
          <w:spacing w:val="-4"/>
          <w:rtl/>
        </w:rPr>
        <w:t>تشامدجا</w:t>
      </w:r>
      <w:proofErr w:type="spellEnd"/>
      <w:r w:rsidRPr="00232907">
        <w:rPr>
          <w:spacing w:val="-4"/>
          <w:rtl/>
        </w:rPr>
        <w:t xml:space="preserve"> </w:t>
      </w:r>
      <w:proofErr w:type="spellStart"/>
      <w:r w:rsidRPr="00232907">
        <w:rPr>
          <w:spacing w:val="-4"/>
          <w:rtl/>
        </w:rPr>
        <w:t>كباتشا</w:t>
      </w:r>
      <w:proofErr w:type="spellEnd"/>
      <w:r w:rsidR="003C1159">
        <w:rPr>
          <w:spacing w:val="-4"/>
          <w:rtl/>
        </w:rPr>
        <w:t>،</w:t>
      </w:r>
      <w:r w:rsidRPr="00232907">
        <w:rPr>
          <w:spacing w:val="-4"/>
          <w:rtl/>
        </w:rPr>
        <w:t xml:space="preserve"> هيلين </w:t>
      </w:r>
      <w:proofErr w:type="spellStart"/>
      <w:r w:rsidRPr="00232907">
        <w:rPr>
          <w:spacing w:val="-4"/>
          <w:rtl/>
        </w:rPr>
        <w:t>تيغرودجا</w:t>
      </w:r>
      <w:proofErr w:type="spellEnd"/>
      <w:r w:rsidR="003C1159">
        <w:rPr>
          <w:spacing w:val="-4"/>
          <w:rtl/>
        </w:rPr>
        <w:t>،</w:t>
      </w:r>
      <w:r w:rsidRPr="00232907">
        <w:rPr>
          <w:spacing w:val="-4"/>
          <w:rtl/>
        </w:rPr>
        <w:t xml:space="preserve"> </w:t>
      </w:r>
      <w:proofErr w:type="spellStart"/>
      <w:r w:rsidRPr="00232907">
        <w:rPr>
          <w:spacing w:val="-4"/>
          <w:rtl/>
        </w:rPr>
        <w:t>إيميرو</w:t>
      </w:r>
      <w:proofErr w:type="spellEnd"/>
      <w:r w:rsidRPr="00232907">
        <w:rPr>
          <w:spacing w:val="-4"/>
          <w:rtl/>
        </w:rPr>
        <w:t xml:space="preserve"> </w:t>
      </w:r>
      <w:proofErr w:type="spellStart"/>
      <w:r w:rsidRPr="00232907">
        <w:rPr>
          <w:spacing w:val="-4"/>
          <w:rtl/>
        </w:rPr>
        <w:t>تاميرات</w:t>
      </w:r>
      <w:proofErr w:type="spellEnd"/>
      <w:r w:rsidRPr="00232907">
        <w:rPr>
          <w:spacing w:val="-4"/>
          <w:rtl/>
        </w:rPr>
        <w:t xml:space="preserve"> </w:t>
      </w:r>
      <w:proofErr w:type="spellStart"/>
      <w:r w:rsidRPr="00232907">
        <w:rPr>
          <w:spacing w:val="-4"/>
          <w:rtl/>
        </w:rPr>
        <w:t>ييجيزو</w:t>
      </w:r>
      <w:proofErr w:type="spellEnd"/>
      <w:r w:rsidR="003C1159">
        <w:rPr>
          <w:spacing w:val="-4"/>
          <w:rtl/>
        </w:rPr>
        <w:t>،</w:t>
      </w:r>
      <w:r w:rsidRPr="001A0600">
        <w:rPr>
          <w:rtl/>
        </w:rPr>
        <w:t xml:space="preserve"> </w:t>
      </w:r>
      <w:proofErr w:type="spellStart"/>
      <w:r w:rsidRPr="001A0600">
        <w:rPr>
          <w:rtl/>
        </w:rPr>
        <w:t>جنتيان</w:t>
      </w:r>
      <w:proofErr w:type="spellEnd"/>
      <w:r w:rsidRPr="001A0600">
        <w:rPr>
          <w:rtl/>
        </w:rPr>
        <w:t xml:space="preserve"> </w:t>
      </w:r>
      <w:proofErr w:type="spellStart"/>
      <w:r w:rsidRPr="001A0600">
        <w:rPr>
          <w:rtl/>
        </w:rPr>
        <w:t>زيبيري</w:t>
      </w:r>
      <w:proofErr w:type="spellEnd"/>
      <w:r w:rsidRPr="001A0600">
        <w:rPr>
          <w:rtl/>
        </w:rPr>
        <w:t>.</w:t>
      </w:r>
    </w:p>
  </w:footnote>
  <w:footnote w:id="3">
    <w:p w14:paraId="1149D4C4" w14:textId="0BBDFA0D" w:rsidR="001A0600" w:rsidRPr="00232907" w:rsidRDefault="00232907" w:rsidP="00232907">
      <w:pPr>
        <w:pStyle w:val="FootnoteText1"/>
        <w:textDirection w:val="tbRlV"/>
      </w:pPr>
      <w:r w:rsidRPr="00232907">
        <w:rPr>
          <w:rtl/>
        </w:rPr>
        <w:t>(</w:t>
      </w:r>
      <w:r w:rsidRPr="007B4248">
        <w:footnoteRef/>
      </w:r>
      <w:r w:rsidRPr="00232907">
        <w:rPr>
          <w:rtl/>
        </w:rPr>
        <w:t>)</w:t>
      </w:r>
      <w:r>
        <w:rPr>
          <w:rtl/>
        </w:rPr>
        <w:tab/>
      </w:r>
      <w:r w:rsidR="001A0600">
        <w:rPr>
          <w:rtl/>
        </w:rPr>
        <w:t xml:space="preserve">حوالي </w:t>
      </w:r>
      <w:r w:rsidR="001A0600" w:rsidRPr="007B4248">
        <w:rPr>
          <w:rtl/>
        </w:rPr>
        <w:t>140</w:t>
      </w:r>
      <w:r w:rsidR="001A0600">
        <w:rPr>
          <w:rtl/>
        </w:rPr>
        <w:t xml:space="preserve"> يورو اعتبار</w:t>
      </w:r>
      <w:r w:rsidR="00DB205B">
        <w:rPr>
          <w:rtl/>
        </w:rPr>
        <w:t xml:space="preserve">اً </w:t>
      </w:r>
      <w:r w:rsidR="001A0600">
        <w:rPr>
          <w:rtl/>
        </w:rPr>
        <w:t xml:space="preserve">من تشرين الثاني/نوفمبر </w:t>
      </w:r>
      <w:r w:rsidR="001A0600" w:rsidRPr="007B4248">
        <w:rPr>
          <w:rtl/>
        </w:rPr>
        <w:t>2014</w:t>
      </w:r>
      <w:r w:rsidR="001A0600" w:rsidRPr="00232907">
        <w:rPr>
          <w:rtl/>
        </w:rPr>
        <w:t xml:space="preserve"> (</w:t>
      </w:r>
      <w:r w:rsidR="001A0600" w:rsidRPr="007B4248">
        <w:rPr>
          <w:i/>
          <w:iCs/>
          <w:rtl/>
        </w:rPr>
        <w:t>المصدر</w:t>
      </w:r>
      <w:r w:rsidR="001A0600">
        <w:rPr>
          <w:rtl/>
        </w:rPr>
        <w:t>: البنك الوطني لبيلاروس</w:t>
      </w:r>
      <w:r w:rsidR="003C1159">
        <w:rPr>
          <w:rtl/>
        </w:rPr>
        <w:t>،</w:t>
      </w:r>
      <w:r w:rsidR="001A0600">
        <w:rPr>
          <w:rtl/>
        </w:rPr>
        <w:t xml:space="preserve"> </w:t>
      </w:r>
      <w:hyperlink r:id="rId1" w:history="1">
        <w:r w:rsidR="003C1159" w:rsidRPr="00943F23">
          <w:rPr>
            <w:rStyle w:val="Hyperlink"/>
          </w:rPr>
          <w:t>http://www.nbrb.by/statistics/rates/ratesDaily.asp?date=</w:t>
        </w:r>
        <w:r w:rsidR="003C1159" w:rsidRPr="007B4248">
          <w:rPr>
            <w:rStyle w:val="Hyperlink"/>
          </w:rPr>
          <w:t>2015</w:t>
        </w:r>
        <w:r w:rsidR="003C1159" w:rsidRPr="00943F23">
          <w:rPr>
            <w:rStyle w:val="Hyperlink"/>
          </w:rPr>
          <w:t>-</w:t>
        </w:r>
        <w:r w:rsidR="003C1159" w:rsidRPr="007B4248">
          <w:rPr>
            <w:rStyle w:val="Hyperlink"/>
          </w:rPr>
          <w:t>11</w:t>
        </w:r>
        <w:r w:rsidR="003C1159" w:rsidRPr="00943F23">
          <w:rPr>
            <w:rStyle w:val="Hyperlink"/>
          </w:rPr>
          <w:t>-</w:t>
        </w:r>
        <w:r w:rsidR="003C1159" w:rsidRPr="007B4248">
          <w:rPr>
            <w:rStyle w:val="Hyperlink"/>
          </w:rPr>
          <w:t>04</w:t>
        </w:r>
      </w:hyperlink>
      <w:r w:rsidR="003C1159">
        <w:rPr>
          <w:rFonts w:hint="cs"/>
          <w:rtl/>
        </w:rPr>
        <w:t>).</w:t>
      </w:r>
    </w:p>
  </w:footnote>
  <w:footnote w:id="4">
    <w:p w14:paraId="33A84F0D" w14:textId="5868957A" w:rsidR="001A0600" w:rsidRPr="00232907" w:rsidRDefault="00232907" w:rsidP="00A340FA">
      <w:pPr>
        <w:pStyle w:val="FootnoteText1"/>
        <w:spacing w:line="260" w:lineRule="exact"/>
        <w:textDirection w:val="tbRlV"/>
      </w:pPr>
      <w:r w:rsidRPr="00232907">
        <w:rPr>
          <w:rtl/>
        </w:rPr>
        <w:t>(</w:t>
      </w:r>
      <w:r w:rsidRPr="007B4248">
        <w:rPr>
          <w:rStyle w:val="FootnoteReference"/>
          <w:vertAlign w:val="baseline"/>
        </w:rPr>
        <w:footnoteRef/>
      </w:r>
      <w:r w:rsidRPr="00232907">
        <w:rPr>
          <w:rtl/>
        </w:rPr>
        <w:t>)</w:t>
      </w:r>
      <w:r>
        <w:rPr>
          <w:rtl/>
        </w:rPr>
        <w:tab/>
      </w:r>
      <w:r w:rsidR="001A0600">
        <w:rPr>
          <w:rtl/>
        </w:rPr>
        <w:t>تشير صاحبة البلاغ</w:t>
      </w:r>
      <w:r w:rsidR="003C1159">
        <w:rPr>
          <w:rtl/>
        </w:rPr>
        <w:t>،</w:t>
      </w:r>
      <w:r w:rsidR="001A0600">
        <w:rPr>
          <w:rtl/>
        </w:rPr>
        <w:t xml:space="preserve"> في جملة أمور</w:t>
      </w:r>
      <w:r w:rsidR="003C1159">
        <w:rPr>
          <w:rtl/>
        </w:rPr>
        <w:t>،</w:t>
      </w:r>
      <w:r w:rsidR="001A0600">
        <w:rPr>
          <w:rtl/>
        </w:rPr>
        <w:t xml:space="preserve"> إلى قضية </w:t>
      </w:r>
      <w:proofErr w:type="spellStart"/>
      <w:r w:rsidR="001A0600" w:rsidRPr="007B4248">
        <w:rPr>
          <w:i/>
          <w:iCs/>
          <w:rtl/>
        </w:rPr>
        <w:t>غيلازاوسكاس</w:t>
      </w:r>
      <w:proofErr w:type="spellEnd"/>
      <w:r w:rsidR="001A0600" w:rsidRPr="007B4248">
        <w:rPr>
          <w:i/>
          <w:iCs/>
          <w:rtl/>
        </w:rPr>
        <w:t xml:space="preserve"> ضد ليتوانيا</w:t>
      </w:r>
      <w:r w:rsidR="001A0600">
        <w:rPr>
          <w:rtl/>
        </w:rPr>
        <w:t xml:space="preserve"> </w:t>
      </w:r>
      <w:r w:rsidR="001A0600" w:rsidRPr="00232907">
        <w:rPr>
          <w:rtl/>
        </w:rPr>
        <w:t>(</w:t>
      </w:r>
      <w:hyperlink r:id="rId2" w:history="1">
        <w:r w:rsidR="001A0600" w:rsidRPr="003C1159">
          <w:rPr>
            <w:rStyle w:val="Hyperlink"/>
          </w:rPr>
          <w:t>CCPR/C/</w:t>
        </w:r>
        <w:r w:rsidR="001A0600" w:rsidRPr="007B4248">
          <w:rPr>
            <w:rStyle w:val="Hyperlink"/>
          </w:rPr>
          <w:t>77</w:t>
        </w:r>
        <w:r w:rsidR="001A0600" w:rsidRPr="003C1159">
          <w:rPr>
            <w:rStyle w:val="Hyperlink"/>
          </w:rPr>
          <w:t>/D/</w:t>
        </w:r>
        <w:r w:rsidR="001A0600" w:rsidRPr="007B4248">
          <w:rPr>
            <w:rStyle w:val="Hyperlink"/>
          </w:rPr>
          <w:t>836</w:t>
        </w:r>
        <w:r w:rsidR="001A0600" w:rsidRPr="003C1159">
          <w:rPr>
            <w:rStyle w:val="Hyperlink"/>
          </w:rPr>
          <w:t>/</w:t>
        </w:r>
        <w:r w:rsidR="001A0600" w:rsidRPr="007B4248">
          <w:rPr>
            <w:rStyle w:val="Hyperlink"/>
          </w:rPr>
          <w:t>1998</w:t>
        </w:r>
      </w:hyperlink>
      <w:r w:rsidR="001A0600" w:rsidRPr="00232907">
        <w:rPr>
          <w:rtl/>
        </w:rPr>
        <w:t>)</w:t>
      </w:r>
      <w:r w:rsidR="001A0600">
        <w:rPr>
          <w:rtl/>
        </w:rPr>
        <w:t xml:space="preserve">. </w:t>
      </w:r>
    </w:p>
  </w:footnote>
  <w:footnote w:id="5">
    <w:p w14:paraId="6766B829" w14:textId="5EBF1E00" w:rsidR="001A0600" w:rsidRPr="00232907" w:rsidRDefault="00232907" w:rsidP="00A340FA">
      <w:pPr>
        <w:pStyle w:val="FootnoteText1"/>
        <w:spacing w:line="260" w:lineRule="exact"/>
        <w:textDirection w:val="tbRlV"/>
      </w:pPr>
      <w:r w:rsidRPr="00232907">
        <w:rPr>
          <w:rtl/>
        </w:rPr>
        <w:t>(</w:t>
      </w:r>
      <w:r w:rsidRPr="007B4248">
        <w:rPr>
          <w:rStyle w:val="FootnoteReference"/>
          <w:vertAlign w:val="baseline"/>
        </w:rPr>
        <w:footnoteRef/>
      </w:r>
      <w:r w:rsidRPr="00232907">
        <w:rPr>
          <w:rtl/>
        </w:rPr>
        <w:t>)</w:t>
      </w:r>
      <w:r>
        <w:rPr>
          <w:rtl/>
        </w:rPr>
        <w:tab/>
      </w:r>
      <w:r w:rsidR="001A0600">
        <w:rPr>
          <w:rtl/>
        </w:rPr>
        <w:t>على سبيل المثال</w:t>
      </w:r>
      <w:r w:rsidR="003C1159">
        <w:rPr>
          <w:rtl/>
        </w:rPr>
        <w:t>،</w:t>
      </w:r>
      <w:r w:rsidR="001A0600">
        <w:rPr>
          <w:rtl/>
        </w:rPr>
        <w:t xml:space="preserve"> </w:t>
      </w:r>
      <w:proofErr w:type="spellStart"/>
      <w:r w:rsidR="001A0600" w:rsidRPr="007B4248">
        <w:rPr>
          <w:i/>
          <w:iCs/>
          <w:rtl/>
        </w:rPr>
        <w:t>غيراشينكو</w:t>
      </w:r>
      <w:proofErr w:type="spellEnd"/>
      <w:r w:rsidR="001A0600" w:rsidRPr="007B4248">
        <w:rPr>
          <w:i/>
          <w:iCs/>
          <w:rtl/>
        </w:rPr>
        <w:t xml:space="preserve"> ضد بيلاروس</w:t>
      </w:r>
      <w:r w:rsidR="001A0600">
        <w:rPr>
          <w:rtl/>
        </w:rPr>
        <w:t xml:space="preserve"> </w:t>
      </w:r>
      <w:r w:rsidR="001A0600" w:rsidRPr="00232907">
        <w:rPr>
          <w:rtl/>
        </w:rPr>
        <w:t>(</w:t>
      </w:r>
      <w:hyperlink r:id="rId3" w:history="1">
        <w:r w:rsidR="001A0600" w:rsidRPr="003C1159">
          <w:rPr>
            <w:rStyle w:val="Hyperlink"/>
          </w:rPr>
          <w:t>CCPR/C/</w:t>
        </w:r>
        <w:r w:rsidR="001A0600" w:rsidRPr="007B4248">
          <w:rPr>
            <w:rStyle w:val="Hyperlink"/>
          </w:rPr>
          <w:t>97</w:t>
        </w:r>
        <w:r w:rsidR="001A0600" w:rsidRPr="003C1159">
          <w:rPr>
            <w:rStyle w:val="Hyperlink"/>
          </w:rPr>
          <w:t>/D/</w:t>
        </w:r>
        <w:r w:rsidR="001A0600" w:rsidRPr="007B4248">
          <w:rPr>
            <w:rStyle w:val="Hyperlink"/>
          </w:rPr>
          <w:t>1537</w:t>
        </w:r>
        <w:r w:rsidR="001A0600" w:rsidRPr="003C1159">
          <w:rPr>
            <w:rStyle w:val="Hyperlink"/>
          </w:rPr>
          <w:t>/</w:t>
        </w:r>
        <w:r w:rsidR="001A0600" w:rsidRPr="007B4248">
          <w:rPr>
            <w:rStyle w:val="Hyperlink"/>
          </w:rPr>
          <w:t>2006</w:t>
        </w:r>
      </w:hyperlink>
      <w:r w:rsidR="001A0600" w:rsidRPr="00232907">
        <w:rPr>
          <w:rtl/>
        </w:rPr>
        <w:t>)</w:t>
      </w:r>
      <w:r w:rsidR="003C1159">
        <w:rPr>
          <w:rtl/>
        </w:rPr>
        <w:t>،</w:t>
      </w:r>
      <w:r w:rsidR="001A0600">
        <w:rPr>
          <w:rtl/>
        </w:rPr>
        <w:t xml:space="preserve"> الفقرة </w:t>
      </w:r>
      <w:r w:rsidR="001A0600" w:rsidRPr="007B4248">
        <w:rPr>
          <w:rtl/>
        </w:rPr>
        <w:t>6</w:t>
      </w:r>
      <w:r w:rsidR="001A0600" w:rsidRPr="00232907">
        <w:rPr>
          <w:rtl/>
        </w:rPr>
        <w:t>-</w:t>
      </w:r>
      <w:r w:rsidR="001A0600" w:rsidRPr="007B4248">
        <w:rPr>
          <w:rtl/>
        </w:rPr>
        <w:t>3</w:t>
      </w:r>
      <w:r w:rsidR="001A0600">
        <w:rPr>
          <w:rtl/>
        </w:rPr>
        <w:t>.</w:t>
      </w:r>
    </w:p>
  </w:footnote>
  <w:footnote w:id="6">
    <w:p w14:paraId="6235BB59" w14:textId="167A4FC0" w:rsidR="001A0600" w:rsidRPr="00232907" w:rsidRDefault="00232907" w:rsidP="00232907">
      <w:pPr>
        <w:pStyle w:val="FootnoteText1"/>
        <w:textDirection w:val="tbRlV"/>
      </w:pPr>
      <w:r w:rsidRPr="00232907">
        <w:rPr>
          <w:rtl/>
        </w:rPr>
        <w:t>(</w:t>
      </w:r>
      <w:r w:rsidRPr="007B4248">
        <w:rPr>
          <w:rStyle w:val="FootnoteReference"/>
          <w:vertAlign w:val="baseline"/>
        </w:rPr>
        <w:footnoteRef/>
      </w:r>
      <w:r w:rsidRPr="00232907">
        <w:rPr>
          <w:rtl/>
        </w:rPr>
        <w:t>)</w:t>
      </w:r>
      <w:r>
        <w:rPr>
          <w:rtl/>
        </w:rPr>
        <w:tab/>
      </w:r>
      <w:r w:rsidR="001A0600" w:rsidRPr="003C1159">
        <w:rPr>
          <w:spacing w:val="-4"/>
          <w:rtl/>
        </w:rPr>
        <w:t xml:space="preserve">انظر قضية </w:t>
      </w:r>
      <w:proofErr w:type="spellStart"/>
      <w:r w:rsidR="001A0600" w:rsidRPr="007B4248">
        <w:rPr>
          <w:i/>
          <w:iCs/>
          <w:spacing w:val="-4"/>
          <w:rtl/>
        </w:rPr>
        <w:t>جيلازاوسكاس</w:t>
      </w:r>
      <w:proofErr w:type="spellEnd"/>
      <w:r w:rsidR="001A0600" w:rsidRPr="007B4248">
        <w:rPr>
          <w:i/>
          <w:iCs/>
          <w:spacing w:val="-4"/>
          <w:rtl/>
        </w:rPr>
        <w:t xml:space="preserve"> ضد ليتوانيا</w:t>
      </w:r>
      <w:r w:rsidR="003C1159" w:rsidRPr="003C1159">
        <w:rPr>
          <w:spacing w:val="-4"/>
          <w:rtl/>
        </w:rPr>
        <w:t>،</w:t>
      </w:r>
      <w:r w:rsidR="001A0600" w:rsidRPr="003C1159">
        <w:rPr>
          <w:spacing w:val="-4"/>
          <w:rtl/>
        </w:rPr>
        <w:t xml:space="preserve"> الفقرة </w:t>
      </w:r>
      <w:r w:rsidR="001A0600" w:rsidRPr="007B4248">
        <w:rPr>
          <w:spacing w:val="-4"/>
          <w:rtl/>
        </w:rPr>
        <w:t>7</w:t>
      </w:r>
      <w:r w:rsidR="001A0600" w:rsidRPr="003C1159">
        <w:rPr>
          <w:spacing w:val="-4"/>
          <w:rtl/>
        </w:rPr>
        <w:t>-</w:t>
      </w:r>
      <w:r w:rsidR="001A0600" w:rsidRPr="007B4248">
        <w:rPr>
          <w:spacing w:val="-4"/>
          <w:rtl/>
        </w:rPr>
        <w:t>4</w:t>
      </w:r>
      <w:r w:rsidR="003C1159" w:rsidRPr="003C1159">
        <w:rPr>
          <w:spacing w:val="-4"/>
          <w:rtl/>
        </w:rPr>
        <w:t>،</w:t>
      </w:r>
      <w:r w:rsidR="001A0600" w:rsidRPr="003C1159">
        <w:rPr>
          <w:spacing w:val="-4"/>
          <w:rtl/>
        </w:rPr>
        <w:t xml:space="preserve"> وقضية </w:t>
      </w:r>
      <w:proofErr w:type="spellStart"/>
      <w:r w:rsidR="001A0600" w:rsidRPr="007B4248">
        <w:rPr>
          <w:i/>
          <w:iCs/>
          <w:spacing w:val="-4"/>
          <w:rtl/>
        </w:rPr>
        <w:t>سيكيركو</w:t>
      </w:r>
      <w:proofErr w:type="spellEnd"/>
      <w:r w:rsidR="001A0600" w:rsidRPr="007B4248">
        <w:rPr>
          <w:i/>
          <w:iCs/>
          <w:spacing w:val="-4"/>
          <w:rtl/>
        </w:rPr>
        <w:t xml:space="preserve"> ضد بيلاروس</w:t>
      </w:r>
      <w:r w:rsidR="001A0600" w:rsidRPr="003C1159">
        <w:rPr>
          <w:spacing w:val="-4"/>
          <w:rtl/>
        </w:rPr>
        <w:t xml:space="preserve"> (</w:t>
      </w:r>
      <w:hyperlink r:id="rId4" w:history="1">
        <w:r w:rsidR="001A0600" w:rsidRPr="003C1159">
          <w:rPr>
            <w:rStyle w:val="Hyperlink"/>
            <w:spacing w:val="-4"/>
          </w:rPr>
          <w:t>CCPR/C/</w:t>
        </w:r>
        <w:r w:rsidR="001A0600" w:rsidRPr="007B4248">
          <w:rPr>
            <w:rStyle w:val="Hyperlink"/>
            <w:spacing w:val="-4"/>
          </w:rPr>
          <w:t>109</w:t>
        </w:r>
        <w:r w:rsidR="001A0600" w:rsidRPr="003C1159">
          <w:rPr>
            <w:rStyle w:val="Hyperlink"/>
            <w:spacing w:val="-4"/>
          </w:rPr>
          <w:t>/D/</w:t>
        </w:r>
        <w:r w:rsidR="001A0600" w:rsidRPr="007B4248">
          <w:rPr>
            <w:rStyle w:val="Hyperlink"/>
            <w:spacing w:val="-4"/>
          </w:rPr>
          <w:t>1851</w:t>
        </w:r>
        <w:r w:rsidR="001A0600" w:rsidRPr="003C1159">
          <w:rPr>
            <w:rStyle w:val="Hyperlink"/>
            <w:spacing w:val="-4"/>
          </w:rPr>
          <w:t>/</w:t>
        </w:r>
        <w:r w:rsidR="001A0600" w:rsidRPr="007B4248">
          <w:rPr>
            <w:rStyle w:val="Hyperlink"/>
            <w:spacing w:val="-4"/>
          </w:rPr>
          <w:t>2008</w:t>
        </w:r>
      </w:hyperlink>
      <w:r w:rsidR="001A0600" w:rsidRPr="003C1159">
        <w:rPr>
          <w:spacing w:val="-4"/>
          <w:rtl/>
        </w:rPr>
        <w:t>)</w:t>
      </w:r>
      <w:r w:rsidR="003C1159" w:rsidRPr="003C1159">
        <w:rPr>
          <w:spacing w:val="-4"/>
          <w:rtl/>
        </w:rPr>
        <w:t>،</w:t>
      </w:r>
      <w:r w:rsidR="001A0600" w:rsidRPr="003C1159">
        <w:rPr>
          <w:spacing w:val="-4"/>
          <w:rtl/>
        </w:rPr>
        <w:t xml:space="preserve"> الفقرة</w:t>
      </w:r>
      <w:r w:rsidR="00A340FA" w:rsidRPr="003C1159">
        <w:rPr>
          <w:rFonts w:hint="cs"/>
          <w:spacing w:val="-4"/>
          <w:rtl/>
        </w:rPr>
        <w:t> </w:t>
      </w:r>
      <w:r w:rsidR="001A0600" w:rsidRPr="007B4248">
        <w:rPr>
          <w:spacing w:val="-4"/>
          <w:rtl/>
        </w:rPr>
        <w:t>8</w:t>
      </w:r>
      <w:r w:rsidR="001A0600" w:rsidRPr="003C1159">
        <w:rPr>
          <w:spacing w:val="-4"/>
          <w:rtl/>
        </w:rPr>
        <w:t>-</w:t>
      </w:r>
      <w:r w:rsidR="001A0600" w:rsidRPr="007B4248">
        <w:rPr>
          <w:spacing w:val="-4"/>
          <w:rtl/>
        </w:rPr>
        <w:t>3</w:t>
      </w:r>
      <w:r w:rsidR="003C1159" w:rsidRPr="003C1159">
        <w:rPr>
          <w:spacing w:val="-4"/>
          <w:rtl/>
        </w:rPr>
        <w:t>،</w:t>
      </w:r>
      <w:r w:rsidR="001A0600">
        <w:rPr>
          <w:rtl/>
        </w:rPr>
        <w:t xml:space="preserve"> وقضية </w:t>
      </w:r>
      <w:proofErr w:type="spellStart"/>
      <w:r w:rsidR="001A0600" w:rsidRPr="007B4248">
        <w:rPr>
          <w:i/>
          <w:iCs/>
          <w:rtl/>
        </w:rPr>
        <w:t>شوميلين</w:t>
      </w:r>
      <w:proofErr w:type="spellEnd"/>
      <w:r w:rsidR="001A0600" w:rsidRPr="007B4248">
        <w:rPr>
          <w:i/>
          <w:iCs/>
          <w:rtl/>
        </w:rPr>
        <w:t xml:space="preserve"> ضد بيلاروس</w:t>
      </w:r>
      <w:r w:rsidR="001A0600">
        <w:rPr>
          <w:rtl/>
        </w:rPr>
        <w:t xml:space="preserve"> </w:t>
      </w:r>
      <w:r w:rsidR="001A0600" w:rsidRPr="00232907">
        <w:rPr>
          <w:rtl/>
        </w:rPr>
        <w:t>(</w:t>
      </w:r>
      <w:hyperlink r:id="rId5" w:history="1">
        <w:r w:rsidR="001A0600" w:rsidRPr="003C1159">
          <w:rPr>
            <w:rStyle w:val="Hyperlink"/>
          </w:rPr>
          <w:t>CCPR/C/</w:t>
        </w:r>
        <w:r w:rsidR="001A0600" w:rsidRPr="007B4248">
          <w:rPr>
            <w:rStyle w:val="Hyperlink"/>
          </w:rPr>
          <w:t>105</w:t>
        </w:r>
        <w:r w:rsidR="001A0600" w:rsidRPr="003C1159">
          <w:rPr>
            <w:rStyle w:val="Hyperlink"/>
          </w:rPr>
          <w:t>/D/</w:t>
        </w:r>
        <w:r w:rsidR="001A0600" w:rsidRPr="007B4248">
          <w:rPr>
            <w:rStyle w:val="Hyperlink"/>
          </w:rPr>
          <w:t>1784</w:t>
        </w:r>
        <w:r w:rsidR="001A0600" w:rsidRPr="003C1159">
          <w:rPr>
            <w:rStyle w:val="Hyperlink"/>
          </w:rPr>
          <w:t>/</w:t>
        </w:r>
        <w:r w:rsidR="001A0600" w:rsidRPr="007B4248">
          <w:rPr>
            <w:rStyle w:val="Hyperlink"/>
          </w:rPr>
          <w:t>2008</w:t>
        </w:r>
      </w:hyperlink>
      <w:r w:rsidR="001A0600" w:rsidRPr="00232907">
        <w:rPr>
          <w:rtl/>
        </w:rPr>
        <w:t>)</w:t>
      </w:r>
      <w:r w:rsidR="003C1159">
        <w:rPr>
          <w:rtl/>
        </w:rPr>
        <w:t>،</w:t>
      </w:r>
      <w:r w:rsidR="001A0600">
        <w:rPr>
          <w:rtl/>
        </w:rPr>
        <w:t xml:space="preserve"> الفقرة </w:t>
      </w:r>
      <w:r w:rsidR="001A0600" w:rsidRPr="007B4248">
        <w:rPr>
          <w:rtl/>
        </w:rPr>
        <w:t>8</w:t>
      </w:r>
      <w:r w:rsidR="001A0600" w:rsidRPr="00232907">
        <w:rPr>
          <w:rtl/>
        </w:rPr>
        <w:t>-</w:t>
      </w:r>
      <w:r w:rsidR="001A0600" w:rsidRPr="007B4248">
        <w:rPr>
          <w:rtl/>
        </w:rPr>
        <w:t>3</w:t>
      </w:r>
      <w:r w:rsidR="001A0600" w:rsidRPr="00232907">
        <w:rPr>
          <w:rtl/>
        </w:rPr>
        <w:t>.</w:t>
      </w:r>
      <w:r w:rsidR="001A0600">
        <w:rPr>
          <w:rtl/>
        </w:rPr>
        <w:t xml:space="preserve"> </w:t>
      </w:r>
    </w:p>
  </w:footnote>
  <w:footnote w:id="7">
    <w:p w14:paraId="20AEA3FA" w14:textId="217A7F3D" w:rsidR="001A0600" w:rsidRPr="00232907" w:rsidRDefault="00232907" w:rsidP="00232907">
      <w:pPr>
        <w:pStyle w:val="FootnoteText1"/>
        <w:textDirection w:val="tbRlV"/>
      </w:pPr>
      <w:r w:rsidRPr="00232907">
        <w:rPr>
          <w:rtl/>
        </w:rPr>
        <w:t>(</w:t>
      </w:r>
      <w:r w:rsidRPr="007B4248">
        <w:rPr>
          <w:rStyle w:val="FootnoteReference"/>
          <w:vertAlign w:val="baseline"/>
        </w:rPr>
        <w:footnoteRef/>
      </w:r>
      <w:r w:rsidRPr="00232907">
        <w:rPr>
          <w:rtl/>
        </w:rPr>
        <w:t>)</w:t>
      </w:r>
      <w:r>
        <w:rPr>
          <w:rtl/>
        </w:rPr>
        <w:tab/>
      </w:r>
      <w:r w:rsidR="001A0600">
        <w:rPr>
          <w:rtl/>
        </w:rPr>
        <w:t xml:space="preserve">قضية </w:t>
      </w:r>
      <w:proofErr w:type="spellStart"/>
      <w:r w:rsidR="001A0600" w:rsidRPr="007B4248">
        <w:rPr>
          <w:i/>
          <w:iCs/>
          <w:rtl/>
        </w:rPr>
        <w:t>جوكوفسكي</w:t>
      </w:r>
      <w:proofErr w:type="spellEnd"/>
      <w:r w:rsidR="001A0600" w:rsidRPr="007B4248">
        <w:rPr>
          <w:i/>
          <w:iCs/>
          <w:rtl/>
        </w:rPr>
        <w:t xml:space="preserve"> ضد بيلاروس</w:t>
      </w:r>
      <w:r w:rsidR="001A0600">
        <w:rPr>
          <w:rtl/>
        </w:rPr>
        <w:t xml:space="preserve"> </w:t>
      </w:r>
      <w:r w:rsidR="001A0600" w:rsidRPr="00232907">
        <w:rPr>
          <w:rtl/>
        </w:rPr>
        <w:t>(</w:t>
      </w:r>
      <w:hyperlink r:id="rId6" w:history="1">
        <w:r w:rsidR="001A0600" w:rsidRPr="003C1159">
          <w:rPr>
            <w:rStyle w:val="Hyperlink"/>
          </w:rPr>
          <w:t>CCPR/C/</w:t>
        </w:r>
        <w:r w:rsidR="001A0600" w:rsidRPr="007B4248">
          <w:rPr>
            <w:rStyle w:val="Hyperlink"/>
          </w:rPr>
          <w:t>127</w:t>
        </w:r>
        <w:r w:rsidR="001A0600" w:rsidRPr="003C1159">
          <w:rPr>
            <w:rStyle w:val="Hyperlink"/>
          </w:rPr>
          <w:t>/D/</w:t>
        </w:r>
        <w:r w:rsidR="001A0600" w:rsidRPr="007B4248">
          <w:rPr>
            <w:rStyle w:val="Hyperlink"/>
          </w:rPr>
          <w:t>2724</w:t>
        </w:r>
        <w:r w:rsidR="001A0600" w:rsidRPr="003C1159">
          <w:rPr>
            <w:rStyle w:val="Hyperlink"/>
          </w:rPr>
          <w:t>/</w:t>
        </w:r>
        <w:r w:rsidR="001A0600" w:rsidRPr="007B4248">
          <w:rPr>
            <w:rStyle w:val="Hyperlink"/>
          </w:rPr>
          <w:t>2016</w:t>
        </w:r>
      </w:hyperlink>
      <w:r w:rsidR="001A0600" w:rsidRPr="00232907">
        <w:rPr>
          <w:rtl/>
        </w:rPr>
        <w:t>)</w:t>
      </w:r>
      <w:r w:rsidR="003C1159">
        <w:rPr>
          <w:rtl/>
        </w:rPr>
        <w:t>،</w:t>
      </w:r>
      <w:r w:rsidR="001A0600">
        <w:rPr>
          <w:rtl/>
        </w:rPr>
        <w:t xml:space="preserve"> الفقرة </w:t>
      </w:r>
      <w:r w:rsidR="001A0600" w:rsidRPr="007B4248">
        <w:rPr>
          <w:rtl/>
        </w:rPr>
        <w:t>6</w:t>
      </w:r>
      <w:r w:rsidR="001A0600" w:rsidRPr="00232907">
        <w:rPr>
          <w:rtl/>
        </w:rPr>
        <w:t>-</w:t>
      </w:r>
      <w:r w:rsidR="001A0600" w:rsidRPr="007B4248">
        <w:rPr>
          <w:rtl/>
        </w:rPr>
        <w:t>4</w:t>
      </w:r>
      <w:r w:rsidR="001A0600">
        <w:rPr>
          <w:rtl/>
        </w:rPr>
        <w:t xml:space="preserve">؛ وقضية </w:t>
      </w:r>
      <w:proofErr w:type="spellStart"/>
      <w:r w:rsidR="001A0600" w:rsidRPr="007B4248">
        <w:rPr>
          <w:i/>
          <w:iCs/>
          <w:rtl/>
        </w:rPr>
        <w:t>جوكوفسكي</w:t>
      </w:r>
      <w:proofErr w:type="spellEnd"/>
      <w:r w:rsidR="001A0600" w:rsidRPr="007B4248">
        <w:rPr>
          <w:i/>
          <w:iCs/>
          <w:rtl/>
        </w:rPr>
        <w:t xml:space="preserve"> ضد بيلاروس</w:t>
      </w:r>
      <w:r w:rsidR="001A0600">
        <w:rPr>
          <w:rtl/>
        </w:rPr>
        <w:t xml:space="preserve"> </w:t>
      </w:r>
      <w:r w:rsidR="001A0600" w:rsidRPr="00232907">
        <w:rPr>
          <w:rtl/>
        </w:rPr>
        <w:t>(</w:t>
      </w:r>
      <w:hyperlink r:id="rId7" w:history="1">
        <w:r w:rsidR="001A0600" w:rsidRPr="003C1159">
          <w:rPr>
            <w:rStyle w:val="Hyperlink"/>
          </w:rPr>
          <w:t>CCPR/C/</w:t>
        </w:r>
        <w:r w:rsidR="001A0600" w:rsidRPr="007B4248">
          <w:rPr>
            <w:rStyle w:val="Hyperlink"/>
          </w:rPr>
          <w:t>127</w:t>
        </w:r>
        <w:r w:rsidR="001A0600" w:rsidRPr="003C1159">
          <w:rPr>
            <w:rStyle w:val="Hyperlink"/>
          </w:rPr>
          <w:t>/D/</w:t>
        </w:r>
        <w:r w:rsidR="001A0600" w:rsidRPr="007B4248">
          <w:rPr>
            <w:rStyle w:val="Hyperlink"/>
          </w:rPr>
          <w:t>2955</w:t>
        </w:r>
        <w:r w:rsidR="001A0600" w:rsidRPr="003C1159">
          <w:rPr>
            <w:rStyle w:val="Hyperlink"/>
          </w:rPr>
          <w:t>/</w:t>
        </w:r>
        <w:r w:rsidR="001A0600" w:rsidRPr="007B4248">
          <w:rPr>
            <w:rStyle w:val="Hyperlink"/>
          </w:rPr>
          <w:t>2017</w:t>
        </w:r>
      </w:hyperlink>
      <w:r w:rsidR="001A0600" w:rsidRPr="00232907">
        <w:rPr>
          <w:rtl/>
        </w:rPr>
        <w:t>)</w:t>
      </w:r>
      <w:r w:rsidR="003C1159">
        <w:rPr>
          <w:rtl/>
        </w:rPr>
        <w:t>،</w:t>
      </w:r>
      <w:r w:rsidR="001A0600">
        <w:rPr>
          <w:rtl/>
        </w:rPr>
        <w:t xml:space="preserve"> الفقرة </w:t>
      </w:r>
      <w:r w:rsidR="001A0600" w:rsidRPr="007B4248">
        <w:rPr>
          <w:rtl/>
        </w:rPr>
        <w:t>6</w:t>
      </w:r>
      <w:r w:rsidR="001A0600" w:rsidRPr="00232907">
        <w:rPr>
          <w:rtl/>
        </w:rPr>
        <w:t>-</w:t>
      </w:r>
      <w:r w:rsidR="001A0600" w:rsidRPr="007B4248">
        <w:rPr>
          <w:rtl/>
        </w:rPr>
        <w:t>4</w:t>
      </w:r>
      <w:r w:rsidR="001A0600">
        <w:rPr>
          <w:rtl/>
        </w:rPr>
        <w:t xml:space="preserve">؛ وقضية </w:t>
      </w:r>
      <w:proofErr w:type="spellStart"/>
      <w:r w:rsidR="001A0600" w:rsidRPr="007B4248">
        <w:rPr>
          <w:i/>
          <w:iCs/>
          <w:rtl/>
        </w:rPr>
        <w:t>جوكوفسكي</w:t>
      </w:r>
      <w:proofErr w:type="spellEnd"/>
      <w:r w:rsidR="001A0600" w:rsidRPr="007B4248">
        <w:rPr>
          <w:i/>
          <w:iCs/>
          <w:rtl/>
        </w:rPr>
        <w:t xml:space="preserve"> ضد بيلاروس</w:t>
      </w:r>
      <w:r w:rsidR="001A0600">
        <w:rPr>
          <w:rtl/>
        </w:rPr>
        <w:t xml:space="preserve"> </w:t>
      </w:r>
      <w:r w:rsidR="001A0600" w:rsidRPr="00232907">
        <w:rPr>
          <w:rtl/>
        </w:rPr>
        <w:t>(</w:t>
      </w:r>
      <w:hyperlink r:id="rId8" w:history="1">
        <w:r w:rsidR="001A0600" w:rsidRPr="003C1159">
          <w:rPr>
            <w:rStyle w:val="Hyperlink"/>
          </w:rPr>
          <w:t>CCPR/C/</w:t>
        </w:r>
        <w:r w:rsidR="001A0600" w:rsidRPr="007B4248">
          <w:rPr>
            <w:rStyle w:val="Hyperlink"/>
          </w:rPr>
          <w:t>127</w:t>
        </w:r>
        <w:r w:rsidR="001A0600" w:rsidRPr="003C1159">
          <w:rPr>
            <w:rStyle w:val="Hyperlink"/>
          </w:rPr>
          <w:t>/D/</w:t>
        </w:r>
        <w:r w:rsidR="001A0600" w:rsidRPr="007B4248">
          <w:rPr>
            <w:rStyle w:val="Hyperlink"/>
          </w:rPr>
          <w:t>3067</w:t>
        </w:r>
        <w:r w:rsidR="001A0600" w:rsidRPr="003C1159">
          <w:rPr>
            <w:rStyle w:val="Hyperlink"/>
          </w:rPr>
          <w:t>/</w:t>
        </w:r>
        <w:r w:rsidR="001A0600" w:rsidRPr="007B4248">
          <w:rPr>
            <w:rStyle w:val="Hyperlink"/>
          </w:rPr>
          <w:t>2017</w:t>
        </w:r>
      </w:hyperlink>
      <w:r w:rsidR="001A0600" w:rsidRPr="00232907">
        <w:rPr>
          <w:rtl/>
        </w:rPr>
        <w:t>)</w:t>
      </w:r>
      <w:r w:rsidR="003C1159">
        <w:rPr>
          <w:rtl/>
        </w:rPr>
        <w:t>،</w:t>
      </w:r>
      <w:r w:rsidR="001A0600">
        <w:rPr>
          <w:rtl/>
        </w:rPr>
        <w:t xml:space="preserve"> الفقرة </w:t>
      </w:r>
      <w:r w:rsidR="001A0600" w:rsidRPr="007B4248">
        <w:rPr>
          <w:rtl/>
        </w:rPr>
        <w:t>6</w:t>
      </w:r>
      <w:r w:rsidR="001A0600" w:rsidRPr="00232907">
        <w:rPr>
          <w:rtl/>
        </w:rPr>
        <w:t>-</w:t>
      </w:r>
      <w:r w:rsidR="001A0600" w:rsidRPr="007B4248">
        <w:rPr>
          <w:rtl/>
        </w:rPr>
        <w:t>6</w:t>
      </w:r>
      <w:r w:rsidR="00A340FA">
        <w:rPr>
          <w:rFonts w:hint="cs"/>
          <w:rtl/>
        </w:rPr>
        <w:t>.</w:t>
      </w:r>
    </w:p>
  </w:footnote>
  <w:footnote w:id="8">
    <w:p w14:paraId="71EAFF80" w14:textId="3765263E" w:rsidR="001A0600" w:rsidRPr="00232907" w:rsidRDefault="00232907" w:rsidP="00232907">
      <w:pPr>
        <w:pStyle w:val="FootnoteText1"/>
        <w:textDirection w:val="tbRlV"/>
      </w:pPr>
      <w:r w:rsidRPr="00232907">
        <w:rPr>
          <w:rtl/>
        </w:rPr>
        <w:t>(</w:t>
      </w:r>
      <w:r w:rsidRPr="007B4248">
        <w:rPr>
          <w:rStyle w:val="FootnoteReference"/>
          <w:vertAlign w:val="baseline"/>
        </w:rPr>
        <w:footnoteRef/>
      </w:r>
      <w:r w:rsidRPr="00232907">
        <w:rPr>
          <w:rtl/>
        </w:rPr>
        <w:t>)</w:t>
      </w:r>
      <w:r>
        <w:rPr>
          <w:rtl/>
        </w:rPr>
        <w:tab/>
      </w:r>
      <w:r w:rsidR="001A0600">
        <w:rPr>
          <w:rtl/>
        </w:rPr>
        <w:t>اللجنة المعنية بحقوق الإنسان</w:t>
      </w:r>
      <w:r w:rsidR="003C1159">
        <w:rPr>
          <w:rtl/>
        </w:rPr>
        <w:t>،</w:t>
      </w:r>
      <w:r w:rsidR="001A0600">
        <w:rPr>
          <w:rtl/>
        </w:rPr>
        <w:t xml:space="preserve"> التعليق العام رقم </w:t>
      </w:r>
      <w:r w:rsidR="001A0600" w:rsidRPr="007B4248">
        <w:rPr>
          <w:rtl/>
        </w:rPr>
        <w:t>34</w:t>
      </w:r>
      <w:r w:rsidR="001A0600" w:rsidRPr="00232907">
        <w:rPr>
          <w:rtl/>
        </w:rPr>
        <w:t>(</w:t>
      </w:r>
      <w:r w:rsidR="001A0600" w:rsidRPr="007B4248">
        <w:rPr>
          <w:rtl/>
        </w:rPr>
        <w:t>2011</w:t>
      </w:r>
      <w:r w:rsidR="001A0600" w:rsidRPr="00232907">
        <w:rPr>
          <w:rtl/>
        </w:rPr>
        <w:t>)</w:t>
      </w:r>
      <w:r w:rsidR="003C1159">
        <w:rPr>
          <w:rtl/>
        </w:rPr>
        <w:t>،</w:t>
      </w:r>
      <w:r w:rsidR="001A0600">
        <w:rPr>
          <w:rtl/>
        </w:rPr>
        <w:t xml:space="preserve"> الفقرة </w:t>
      </w:r>
      <w:r w:rsidR="001A0600" w:rsidRPr="007B4248">
        <w:rPr>
          <w:rtl/>
        </w:rPr>
        <w:t>2</w:t>
      </w:r>
      <w:r w:rsidR="001A0600">
        <w:rPr>
          <w:rtl/>
        </w:rPr>
        <w:t>.</w:t>
      </w:r>
    </w:p>
  </w:footnote>
  <w:footnote w:id="9">
    <w:p w14:paraId="3320D8F2" w14:textId="3E78882B" w:rsidR="001A0600" w:rsidRPr="00232907" w:rsidRDefault="00232907" w:rsidP="00A340FA">
      <w:pPr>
        <w:pStyle w:val="FootnoteText1"/>
        <w:spacing w:line="260" w:lineRule="exact"/>
        <w:textDirection w:val="tbRlV"/>
      </w:pPr>
      <w:r w:rsidRPr="00232907">
        <w:rPr>
          <w:rtl/>
        </w:rPr>
        <w:t>(</w:t>
      </w:r>
      <w:r w:rsidRPr="007B4248">
        <w:rPr>
          <w:rStyle w:val="FootnoteReference"/>
          <w:vertAlign w:val="baseline"/>
        </w:rPr>
        <w:footnoteRef/>
      </w:r>
      <w:r w:rsidRPr="00232907">
        <w:rPr>
          <w:rtl/>
        </w:rPr>
        <w:t>)</w:t>
      </w:r>
      <w:r>
        <w:rPr>
          <w:rtl/>
        </w:rPr>
        <w:tab/>
      </w:r>
      <w:r w:rsidR="001A0600">
        <w:rPr>
          <w:rtl/>
        </w:rPr>
        <w:t>المرجع نفسه</w:t>
      </w:r>
      <w:r w:rsidR="003C1159">
        <w:rPr>
          <w:rtl/>
        </w:rPr>
        <w:t>،</w:t>
      </w:r>
      <w:r w:rsidR="001A0600">
        <w:rPr>
          <w:rtl/>
        </w:rPr>
        <w:t xml:space="preserve"> الفقرة </w:t>
      </w:r>
      <w:r w:rsidR="001A0600" w:rsidRPr="007B4248">
        <w:rPr>
          <w:rtl/>
        </w:rPr>
        <w:t>34</w:t>
      </w:r>
      <w:r w:rsidR="001A0600">
        <w:rPr>
          <w:rtl/>
        </w:rPr>
        <w:t>.</w:t>
      </w:r>
    </w:p>
  </w:footnote>
  <w:footnote w:id="10">
    <w:p w14:paraId="43E0C9A4" w14:textId="62A43412" w:rsidR="001A0600" w:rsidRPr="00232907" w:rsidRDefault="00232907" w:rsidP="00A340FA">
      <w:pPr>
        <w:pStyle w:val="FootnoteText1"/>
        <w:textDirection w:val="tbRlV"/>
      </w:pPr>
      <w:r w:rsidRPr="00232907">
        <w:rPr>
          <w:rtl/>
        </w:rPr>
        <w:t>(</w:t>
      </w:r>
      <w:r w:rsidRPr="007B4248">
        <w:rPr>
          <w:rStyle w:val="FootnoteReference"/>
          <w:vertAlign w:val="baseline"/>
        </w:rPr>
        <w:footnoteRef/>
      </w:r>
      <w:r w:rsidRPr="00232907">
        <w:rPr>
          <w:rtl/>
        </w:rPr>
        <w:t>)</w:t>
      </w:r>
      <w:r>
        <w:rPr>
          <w:rtl/>
        </w:rPr>
        <w:tab/>
      </w:r>
      <w:r w:rsidR="001A0600">
        <w:rPr>
          <w:rtl/>
        </w:rPr>
        <w:t>المرجع نفسه.</w:t>
      </w:r>
    </w:p>
  </w:footnote>
  <w:footnote w:id="11">
    <w:p w14:paraId="3FD51967" w14:textId="4E5C1267" w:rsidR="001A0600" w:rsidRPr="00232907" w:rsidRDefault="00232907" w:rsidP="00A340FA">
      <w:pPr>
        <w:pStyle w:val="FootnoteText1"/>
        <w:textDirection w:val="tbRlV"/>
      </w:pPr>
      <w:r w:rsidRPr="00232907">
        <w:rPr>
          <w:rtl/>
        </w:rPr>
        <w:t>(</w:t>
      </w:r>
      <w:r w:rsidRPr="007B4248">
        <w:rPr>
          <w:rStyle w:val="FootnoteReference"/>
          <w:vertAlign w:val="baseline"/>
        </w:rPr>
        <w:footnoteRef/>
      </w:r>
      <w:r w:rsidRPr="00232907">
        <w:rPr>
          <w:rtl/>
        </w:rPr>
        <w:t>)</w:t>
      </w:r>
      <w:r>
        <w:rPr>
          <w:rtl/>
        </w:rPr>
        <w:tab/>
      </w:r>
      <w:r w:rsidR="001A0600">
        <w:rPr>
          <w:rtl/>
        </w:rPr>
        <w:t>المرجع نفسه</w:t>
      </w:r>
      <w:r w:rsidR="003C1159">
        <w:rPr>
          <w:rtl/>
        </w:rPr>
        <w:t>،</w:t>
      </w:r>
      <w:r w:rsidR="001A0600">
        <w:rPr>
          <w:rtl/>
        </w:rPr>
        <w:t xml:space="preserve"> الفقرتان </w:t>
      </w:r>
      <w:r w:rsidR="001A0600" w:rsidRPr="007B4248">
        <w:rPr>
          <w:rtl/>
        </w:rPr>
        <w:t>35</w:t>
      </w:r>
      <w:r w:rsidR="001A0600">
        <w:rPr>
          <w:rtl/>
        </w:rPr>
        <w:t xml:space="preserve"> و</w:t>
      </w:r>
      <w:r w:rsidR="001A0600" w:rsidRPr="007B4248">
        <w:rPr>
          <w:rtl/>
        </w:rPr>
        <w:t>36</w:t>
      </w:r>
      <w:r w:rsidR="001A0600">
        <w:rPr>
          <w:rtl/>
        </w:rPr>
        <w:t>.</w:t>
      </w:r>
    </w:p>
  </w:footnote>
  <w:footnote w:id="12">
    <w:p w14:paraId="0D4403DE" w14:textId="14D89BE0" w:rsidR="001A0600" w:rsidRPr="00232907" w:rsidRDefault="00232907" w:rsidP="00A340FA">
      <w:pPr>
        <w:pStyle w:val="FootnoteText1"/>
        <w:textDirection w:val="tbRlV"/>
      </w:pPr>
      <w:r w:rsidRPr="00232907">
        <w:rPr>
          <w:rtl/>
        </w:rPr>
        <w:t>(</w:t>
      </w:r>
      <w:r w:rsidRPr="007B4248">
        <w:rPr>
          <w:rStyle w:val="FootnoteReference"/>
          <w:vertAlign w:val="baseline"/>
        </w:rPr>
        <w:footnoteRef/>
      </w:r>
      <w:r w:rsidRPr="00232907">
        <w:rPr>
          <w:rtl/>
        </w:rPr>
        <w:t>)</w:t>
      </w:r>
      <w:r>
        <w:rPr>
          <w:rtl/>
        </w:rPr>
        <w:tab/>
      </w:r>
      <w:r w:rsidR="001A0600">
        <w:rPr>
          <w:rtl/>
        </w:rPr>
        <w:t xml:space="preserve">قضية </w:t>
      </w:r>
      <w:proofErr w:type="spellStart"/>
      <w:r w:rsidR="001A0600" w:rsidRPr="007B4248">
        <w:rPr>
          <w:i/>
          <w:iCs/>
          <w:rtl/>
        </w:rPr>
        <w:t>أندروسينكو</w:t>
      </w:r>
      <w:proofErr w:type="spellEnd"/>
      <w:r w:rsidR="001A0600" w:rsidRPr="007B4248">
        <w:rPr>
          <w:i/>
          <w:iCs/>
          <w:rtl/>
        </w:rPr>
        <w:t xml:space="preserve"> ضد بيلاروس</w:t>
      </w:r>
      <w:r w:rsidR="001A0600">
        <w:rPr>
          <w:rtl/>
        </w:rPr>
        <w:t xml:space="preserve"> </w:t>
      </w:r>
      <w:r w:rsidR="001A0600" w:rsidRPr="00232907">
        <w:rPr>
          <w:rtl/>
        </w:rPr>
        <w:t>(</w:t>
      </w:r>
      <w:hyperlink r:id="rId9" w:history="1">
        <w:r w:rsidR="001A0600" w:rsidRPr="003C1159">
          <w:rPr>
            <w:rStyle w:val="Hyperlink"/>
          </w:rPr>
          <w:t>CCPR/C/</w:t>
        </w:r>
        <w:r w:rsidR="001A0600" w:rsidRPr="007B4248">
          <w:rPr>
            <w:rStyle w:val="Hyperlink"/>
          </w:rPr>
          <w:t>116</w:t>
        </w:r>
        <w:r w:rsidR="001A0600" w:rsidRPr="003C1159">
          <w:rPr>
            <w:rStyle w:val="Hyperlink"/>
          </w:rPr>
          <w:t>/D/</w:t>
        </w:r>
        <w:r w:rsidR="001A0600" w:rsidRPr="007B4248">
          <w:rPr>
            <w:rStyle w:val="Hyperlink"/>
          </w:rPr>
          <w:t>2092</w:t>
        </w:r>
        <w:r w:rsidR="001A0600" w:rsidRPr="003C1159">
          <w:rPr>
            <w:rStyle w:val="Hyperlink"/>
          </w:rPr>
          <w:t>/</w:t>
        </w:r>
        <w:r w:rsidR="001A0600" w:rsidRPr="007B4248">
          <w:rPr>
            <w:rStyle w:val="Hyperlink"/>
          </w:rPr>
          <w:t>2011</w:t>
        </w:r>
      </w:hyperlink>
      <w:r w:rsidR="001A0600" w:rsidRPr="00232907">
        <w:rPr>
          <w:rtl/>
        </w:rPr>
        <w:t>)</w:t>
      </w:r>
      <w:r w:rsidR="003C1159">
        <w:rPr>
          <w:rtl/>
        </w:rPr>
        <w:t>،</w:t>
      </w:r>
      <w:r w:rsidR="001A0600">
        <w:rPr>
          <w:rtl/>
        </w:rPr>
        <w:t xml:space="preserve"> الفقرة </w:t>
      </w:r>
      <w:r w:rsidR="001A0600" w:rsidRPr="007B4248">
        <w:rPr>
          <w:rtl/>
        </w:rPr>
        <w:t>7</w:t>
      </w:r>
      <w:r w:rsidR="001A0600" w:rsidRPr="00232907">
        <w:rPr>
          <w:rtl/>
        </w:rPr>
        <w:t>-</w:t>
      </w:r>
      <w:r w:rsidR="001A0600" w:rsidRPr="007B4248">
        <w:rPr>
          <w:rtl/>
        </w:rPr>
        <w:t>3</w:t>
      </w:r>
      <w:r w:rsidR="001A0600">
        <w:rPr>
          <w:rtl/>
        </w:rPr>
        <w:t>.</w:t>
      </w:r>
    </w:p>
  </w:footnote>
  <w:footnote w:id="13">
    <w:p w14:paraId="44F92F50" w14:textId="488ECD1B" w:rsidR="001A0600" w:rsidRPr="00232907" w:rsidRDefault="00232907" w:rsidP="00A340FA">
      <w:pPr>
        <w:pStyle w:val="FootnoteText1"/>
        <w:textDirection w:val="tbRlV"/>
      </w:pPr>
      <w:r w:rsidRPr="00232907">
        <w:rPr>
          <w:rtl/>
        </w:rPr>
        <w:t>(</w:t>
      </w:r>
      <w:r w:rsidRPr="007B4248">
        <w:rPr>
          <w:rStyle w:val="FootnoteReference"/>
          <w:vertAlign w:val="baseline"/>
        </w:rPr>
        <w:footnoteRef/>
      </w:r>
      <w:r w:rsidRPr="00232907">
        <w:rPr>
          <w:rtl/>
        </w:rPr>
        <w:t>)</w:t>
      </w:r>
      <w:r>
        <w:rPr>
          <w:rtl/>
        </w:rPr>
        <w:tab/>
      </w:r>
      <w:r w:rsidR="001A0600">
        <w:rPr>
          <w:rtl/>
        </w:rPr>
        <w:t xml:space="preserve">انظر مثلاً قضية </w:t>
      </w:r>
      <w:proofErr w:type="spellStart"/>
      <w:r w:rsidR="001A0600" w:rsidRPr="007B4248">
        <w:rPr>
          <w:i/>
          <w:iCs/>
          <w:rtl/>
        </w:rPr>
        <w:t>زالسكايا</w:t>
      </w:r>
      <w:proofErr w:type="spellEnd"/>
      <w:r w:rsidR="001A0600" w:rsidRPr="007B4248">
        <w:rPr>
          <w:i/>
          <w:iCs/>
          <w:rtl/>
        </w:rPr>
        <w:t xml:space="preserve"> ضد بيلاروس</w:t>
      </w:r>
      <w:r w:rsidR="001A0600">
        <w:rPr>
          <w:rtl/>
        </w:rPr>
        <w:t xml:space="preserve"> </w:t>
      </w:r>
      <w:r w:rsidR="001A0600" w:rsidRPr="00232907">
        <w:rPr>
          <w:rtl/>
        </w:rPr>
        <w:t>(</w:t>
      </w:r>
      <w:hyperlink r:id="rId10" w:history="1">
        <w:r w:rsidR="001A0600" w:rsidRPr="003C1159">
          <w:rPr>
            <w:rStyle w:val="Hyperlink"/>
          </w:rPr>
          <w:t>CCPR/C/</w:t>
        </w:r>
        <w:r w:rsidR="001A0600" w:rsidRPr="007B4248">
          <w:rPr>
            <w:rStyle w:val="Hyperlink"/>
          </w:rPr>
          <w:t>101</w:t>
        </w:r>
        <w:r w:rsidR="001A0600" w:rsidRPr="003C1159">
          <w:rPr>
            <w:rStyle w:val="Hyperlink"/>
          </w:rPr>
          <w:t>/D/</w:t>
        </w:r>
        <w:r w:rsidR="001A0600" w:rsidRPr="007B4248">
          <w:rPr>
            <w:rStyle w:val="Hyperlink"/>
          </w:rPr>
          <w:t>1604</w:t>
        </w:r>
        <w:r w:rsidR="001A0600" w:rsidRPr="003C1159">
          <w:rPr>
            <w:rStyle w:val="Hyperlink"/>
          </w:rPr>
          <w:t>/</w:t>
        </w:r>
        <w:r w:rsidR="001A0600" w:rsidRPr="007B4248">
          <w:rPr>
            <w:rStyle w:val="Hyperlink"/>
          </w:rPr>
          <w:t>2007</w:t>
        </w:r>
      </w:hyperlink>
      <w:r w:rsidR="001A0600" w:rsidRPr="00232907">
        <w:rPr>
          <w:rtl/>
        </w:rPr>
        <w:t>)</w:t>
      </w:r>
      <w:r w:rsidR="003C1159">
        <w:rPr>
          <w:rtl/>
        </w:rPr>
        <w:t>،</w:t>
      </w:r>
      <w:r w:rsidR="001A0600">
        <w:rPr>
          <w:rtl/>
        </w:rPr>
        <w:t xml:space="preserve"> الفقرة </w:t>
      </w:r>
      <w:r w:rsidR="001A0600" w:rsidRPr="007B4248">
        <w:rPr>
          <w:rtl/>
        </w:rPr>
        <w:t>10</w:t>
      </w:r>
      <w:r w:rsidR="001A0600" w:rsidRPr="00232907">
        <w:rPr>
          <w:rtl/>
        </w:rPr>
        <w:t>-</w:t>
      </w:r>
      <w:r w:rsidR="001A0600" w:rsidRPr="007B4248">
        <w:rPr>
          <w:rtl/>
        </w:rPr>
        <w:t>5</w:t>
      </w:r>
      <w:r w:rsidR="001A0600" w:rsidRPr="00232907">
        <w:rPr>
          <w:rtl/>
        </w:rPr>
        <w:t>.</w:t>
      </w:r>
      <w:r w:rsidR="001A0600">
        <w:rPr>
          <w:rtl/>
        </w:rPr>
        <w:t xml:space="preserve"> </w:t>
      </w:r>
    </w:p>
  </w:footnote>
  <w:footnote w:id="14">
    <w:p w14:paraId="44340B3A" w14:textId="5ED57E4B" w:rsidR="001A0600" w:rsidRPr="00232907" w:rsidRDefault="00232907" w:rsidP="00A340FA">
      <w:pPr>
        <w:pStyle w:val="FootnoteText1"/>
        <w:textDirection w:val="tbRlV"/>
      </w:pPr>
      <w:r w:rsidRPr="00232907">
        <w:rPr>
          <w:rtl/>
        </w:rPr>
        <w:t>(</w:t>
      </w:r>
      <w:r w:rsidRPr="007B4248">
        <w:rPr>
          <w:rStyle w:val="FootnoteReference"/>
          <w:vertAlign w:val="baseline"/>
        </w:rPr>
        <w:footnoteRef/>
      </w:r>
      <w:r w:rsidRPr="00232907">
        <w:rPr>
          <w:rtl/>
        </w:rPr>
        <w:t>)</w:t>
      </w:r>
      <w:r>
        <w:rPr>
          <w:rtl/>
        </w:rPr>
        <w:tab/>
      </w:r>
      <w:r w:rsidR="001A0600">
        <w:rPr>
          <w:rtl/>
        </w:rPr>
        <w:t xml:space="preserve">انظر مثلاً قضية </w:t>
      </w:r>
      <w:proofErr w:type="spellStart"/>
      <w:r w:rsidR="001A0600" w:rsidRPr="007B4248">
        <w:rPr>
          <w:i/>
          <w:iCs/>
          <w:rtl/>
        </w:rPr>
        <w:t>سفيتيك</w:t>
      </w:r>
      <w:proofErr w:type="spellEnd"/>
      <w:r w:rsidR="001A0600" w:rsidRPr="007B4248">
        <w:rPr>
          <w:i/>
          <w:iCs/>
          <w:rtl/>
        </w:rPr>
        <w:t xml:space="preserve"> ضد بيلاروس</w:t>
      </w:r>
      <w:r w:rsidR="001A0600">
        <w:rPr>
          <w:rtl/>
        </w:rPr>
        <w:t xml:space="preserve"> </w:t>
      </w:r>
      <w:r w:rsidR="001A0600" w:rsidRPr="00232907">
        <w:rPr>
          <w:rtl/>
        </w:rPr>
        <w:t>(</w:t>
      </w:r>
      <w:hyperlink r:id="rId11" w:history="1">
        <w:r w:rsidR="001A0600" w:rsidRPr="003C1159">
          <w:rPr>
            <w:rStyle w:val="Hyperlink"/>
          </w:rPr>
          <w:t>CCPR/C/</w:t>
        </w:r>
        <w:r w:rsidR="001A0600" w:rsidRPr="007B4248">
          <w:rPr>
            <w:rStyle w:val="Hyperlink"/>
          </w:rPr>
          <w:t>81</w:t>
        </w:r>
        <w:r w:rsidR="001A0600" w:rsidRPr="003C1159">
          <w:rPr>
            <w:rStyle w:val="Hyperlink"/>
          </w:rPr>
          <w:t>/D/</w:t>
        </w:r>
        <w:r w:rsidR="001A0600" w:rsidRPr="007B4248">
          <w:rPr>
            <w:rStyle w:val="Hyperlink"/>
          </w:rPr>
          <w:t>927</w:t>
        </w:r>
        <w:r w:rsidR="001A0600" w:rsidRPr="003C1159">
          <w:rPr>
            <w:rStyle w:val="Hyperlink"/>
          </w:rPr>
          <w:t>/</w:t>
        </w:r>
        <w:r w:rsidR="001A0600" w:rsidRPr="007B4248">
          <w:rPr>
            <w:rStyle w:val="Hyperlink"/>
          </w:rPr>
          <w:t>2000</w:t>
        </w:r>
      </w:hyperlink>
      <w:r w:rsidR="001A0600" w:rsidRPr="00232907">
        <w:rPr>
          <w:rtl/>
        </w:rPr>
        <w:t>)</w:t>
      </w:r>
      <w:r w:rsidR="003C1159">
        <w:rPr>
          <w:rtl/>
        </w:rPr>
        <w:t>،</w:t>
      </w:r>
      <w:r w:rsidR="001A0600">
        <w:rPr>
          <w:rtl/>
        </w:rPr>
        <w:t xml:space="preserve"> الفقرة</w:t>
      </w:r>
      <w:r w:rsidR="00C845A1">
        <w:rPr>
          <w:rFonts w:hint="cs"/>
          <w:rtl/>
        </w:rPr>
        <w:t xml:space="preserve"> 7-3</w:t>
      </w:r>
      <w:r w:rsidR="001A0600" w:rsidRPr="00232907">
        <w:rPr>
          <w:rtl/>
        </w:rPr>
        <w:t>.</w:t>
      </w:r>
      <w:r w:rsidR="001A0600">
        <w:rPr>
          <w:rtl/>
        </w:rPr>
        <w:t xml:space="preserve"> وقضية </w:t>
      </w:r>
      <w:proofErr w:type="spellStart"/>
      <w:r w:rsidR="001A0600" w:rsidRPr="007B4248">
        <w:rPr>
          <w:i/>
          <w:iCs/>
          <w:rtl/>
        </w:rPr>
        <w:t>شيتكو</w:t>
      </w:r>
      <w:proofErr w:type="spellEnd"/>
      <w:r w:rsidR="001A0600" w:rsidRPr="007B4248">
        <w:rPr>
          <w:i/>
          <w:iCs/>
          <w:rtl/>
        </w:rPr>
        <w:t xml:space="preserve"> </w:t>
      </w:r>
      <w:proofErr w:type="spellStart"/>
      <w:r w:rsidR="001A0600" w:rsidRPr="007B4248">
        <w:rPr>
          <w:i/>
          <w:iCs/>
          <w:rtl/>
        </w:rPr>
        <w:t>وشيتكو</w:t>
      </w:r>
      <w:proofErr w:type="spellEnd"/>
      <w:r w:rsidR="001A0600" w:rsidRPr="007B4248">
        <w:rPr>
          <w:i/>
          <w:iCs/>
          <w:rtl/>
        </w:rPr>
        <w:t xml:space="preserve"> ضد بيلاروس</w:t>
      </w:r>
      <w:r w:rsidR="001A0600">
        <w:rPr>
          <w:rtl/>
        </w:rPr>
        <w:t xml:space="preserve"> </w:t>
      </w:r>
      <w:r w:rsidR="001A0600" w:rsidRPr="00232907">
        <w:rPr>
          <w:rtl/>
        </w:rPr>
        <w:t>(</w:t>
      </w:r>
      <w:hyperlink r:id="rId12" w:history="1">
        <w:r w:rsidR="001A0600" w:rsidRPr="003C1159">
          <w:rPr>
            <w:rStyle w:val="Hyperlink"/>
          </w:rPr>
          <w:t>CCPR/C/</w:t>
        </w:r>
        <w:r w:rsidR="001A0600" w:rsidRPr="007B4248">
          <w:rPr>
            <w:rStyle w:val="Hyperlink"/>
          </w:rPr>
          <w:t>87</w:t>
        </w:r>
        <w:r w:rsidR="001A0600" w:rsidRPr="003C1159">
          <w:rPr>
            <w:rStyle w:val="Hyperlink"/>
          </w:rPr>
          <w:t>/D/</w:t>
        </w:r>
        <w:r w:rsidR="001A0600" w:rsidRPr="007B4248">
          <w:rPr>
            <w:rStyle w:val="Hyperlink"/>
          </w:rPr>
          <w:t>1009</w:t>
        </w:r>
        <w:r w:rsidR="001A0600" w:rsidRPr="003C1159">
          <w:rPr>
            <w:rStyle w:val="Hyperlink"/>
          </w:rPr>
          <w:t>/</w:t>
        </w:r>
        <w:r w:rsidR="001A0600" w:rsidRPr="007B4248">
          <w:rPr>
            <w:rStyle w:val="Hyperlink"/>
          </w:rPr>
          <w:t>2001</w:t>
        </w:r>
      </w:hyperlink>
      <w:r w:rsidR="001A0600" w:rsidRPr="00232907">
        <w:rPr>
          <w:rtl/>
        </w:rPr>
        <w:t>)</w:t>
      </w:r>
      <w:r w:rsidR="003C1159">
        <w:rPr>
          <w:rtl/>
        </w:rPr>
        <w:t>،</w:t>
      </w:r>
      <w:r w:rsidR="001A0600">
        <w:rPr>
          <w:rtl/>
        </w:rPr>
        <w:t xml:space="preserve"> الفقرة </w:t>
      </w:r>
      <w:r w:rsidR="001A0600" w:rsidRPr="007B4248">
        <w:rPr>
          <w:rtl/>
        </w:rPr>
        <w:t>7</w:t>
      </w:r>
      <w:r w:rsidR="001A0600" w:rsidRPr="00232907">
        <w:rPr>
          <w:rtl/>
        </w:rPr>
        <w:t>-</w:t>
      </w:r>
      <w:r w:rsidR="001A0600" w:rsidRPr="007B4248">
        <w:rPr>
          <w:rtl/>
        </w:rPr>
        <w:t>5</w:t>
      </w:r>
      <w:r w:rsidR="001A0600">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8786" w14:textId="38F167CD" w:rsidR="00A3602F" w:rsidRPr="00A3602F" w:rsidRDefault="00A3602F" w:rsidP="00A3602F">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CCPR/C/133/D/2899/2016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E9D98" w14:textId="131A5AF0" w:rsidR="00A3602F" w:rsidRPr="00A3602F" w:rsidRDefault="00A3602F" w:rsidP="00A3602F">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CCPR/C/133/D/2899/2016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24"/>
    <w:rsid w:val="000076D5"/>
    <w:rsid w:val="00043663"/>
    <w:rsid w:val="000437B8"/>
    <w:rsid w:val="000505CF"/>
    <w:rsid w:val="000D701C"/>
    <w:rsid w:val="000E2A71"/>
    <w:rsid w:val="00145577"/>
    <w:rsid w:val="00160263"/>
    <w:rsid w:val="00181F96"/>
    <w:rsid w:val="001872B1"/>
    <w:rsid w:val="001A0600"/>
    <w:rsid w:val="001A1371"/>
    <w:rsid w:val="001B043F"/>
    <w:rsid w:val="001B13A1"/>
    <w:rsid w:val="001B346A"/>
    <w:rsid w:val="001E1CAD"/>
    <w:rsid w:val="001E290D"/>
    <w:rsid w:val="002144FA"/>
    <w:rsid w:val="00232907"/>
    <w:rsid w:val="0023469A"/>
    <w:rsid w:val="00243C8A"/>
    <w:rsid w:val="00267A0E"/>
    <w:rsid w:val="002901D9"/>
    <w:rsid w:val="002976C2"/>
    <w:rsid w:val="003068BC"/>
    <w:rsid w:val="003260FF"/>
    <w:rsid w:val="00343D95"/>
    <w:rsid w:val="00363A18"/>
    <w:rsid w:val="00374341"/>
    <w:rsid w:val="003C1159"/>
    <w:rsid w:val="003D1062"/>
    <w:rsid w:val="00402051"/>
    <w:rsid w:val="00420D7B"/>
    <w:rsid w:val="0043590E"/>
    <w:rsid w:val="00450B21"/>
    <w:rsid w:val="00453B63"/>
    <w:rsid w:val="00455780"/>
    <w:rsid w:val="0046323F"/>
    <w:rsid w:val="004B0A1C"/>
    <w:rsid w:val="004B27E0"/>
    <w:rsid w:val="004D298E"/>
    <w:rsid w:val="005044B3"/>
    <w:rsid w:val="00517BC9"/>
    <w:rsid w:val="00522E51"/>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7B4248"/>
    <w:rsid w:val="00852A9A"/>
    <w:rsid w:val="00883A9F"/>
    <w:rsid w:val="008A49D2"/>
    <w:rsid w:val="008F2707"/>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340FA"/>
    <w:rsid w:val="00A3602F"/>
    <w:rsid w:val="00A54828"/>
    <w:rsid w:val="00A97E1F"/>
    <w:rsid w:val="00AB512E"/>
    <w:rsid w:val="00AB6758"/>
    <w:rsid w:val="00AB727F"/>
    <w:rsid w:val="00B13763"/>
    <w:rsid w:val="00B477A4"/>
    <w:rsid w:val="00B54045"/>
    <w:rsid w:val="00B63ADD"/>
    <w:rsid w:val="00B77F79"/>
    <w:rsid w:val="00BB09A0"/>
    <w:rsid w:val="00C175A6"/>
    <w:rsid w:val="00C41DCF"/>
    <w:rsid w:val="00C42AF7"/>
    <w:rsid w:val="00C438D7"/>
    <w:rsid w:val="00C62C20"/>
    <w:rsid w:val="00C81B50"/>
    <w:rsid w:val="00C845A1"/>
    <w:rsid w:val="00C902EF"/>
    <w:rsid w:val="00CB0011"/>
    <w:rsid w:val="00CB6622"/>
    <w:rsid w:val="00CD1801"/>
    <w:rsid w:val="00CF56F9"/>
    <w:rsid w:val="00CF65C6"/>
    <w:rsid w:val="00D00A89"/>
    <w:rsid w:val="00D10EF1"/>
    <w:rsid w:val="00D42810"/>
    <w:rsid w:val="00D60DD5"/>
    <w:rsid w:val="00D76224"/>
    <w:rsid w:val="00D914A7"/>
    <w:rsid w:val="00DB205B"/>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FADC03"/>
  <w15:docId w15:val="{F1AD6435-9A42-4AB3-A176-3F96BA9D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CPR/C/127/D/3067/2017" TargetMode="External"/><Relationship Id="rId3" Type="http://schemas.openxmlformats.org/officeDocument/2006/relationships/hyperlink" Target="http://undocs.org/ar/CCPR/C/97/D/1537/2006" TargetMode="External"/><Relationship Id="rId7" Type="http://schemas.openxmlformats.org/officeDocument/2006/relationships/hyperlink" Target="http://undocs.org/ar/CCPR/C/127/D/2955/2017" TargetMode="External"/><Relationship Id="rId12" Type="http://schemas.openxmlformats.org/officeDocument/2006/relationships/hyperlink" Target="http://undocs.org/ar/CCPR/C/87/D/1009/2001" TargetMode="External"/><Relationship Id="rId2" Type="http://schemas.openxmlformats.org/officeDocument/2006/relationships/hyperlink" Target="http://undocs.org/ar/CCPR/C/77/D/836/1998" TargetMode="External"/><Relationship Id="rId1" Type="http://schemas.openxmlformats.org/officeDocument/2006/relationships/hyperlink" Target="http://www.nbrb.by/statistics/rates/ratesDaily.asp?date=2015-11-04" TargetMode="External"/><Relationship Id="rId6" Type="http://schemas.openxmlformats.org/officeDocument/2006/relationships/hyperlink" Target="http://undocs.org/ar/CCPR/C/127/D/2724/2016" TargetMode="External"/><Relationship Id="rId11" Type="http://schemas.openxmlformats.org/officeDocument/2006/relationships/hyperlink" Target="http://undocs.org/ar/CCPR/C/81/D/927/2000" TargetMode="External"/><Relationship Id="rId5" Type="http://schemas.openxmlformats.org/officeDocument/2006/relationships/hyperlink" Target="http://undocs.org/ar/CCPR/C/105/D/1784/2008" TargetMode="External"/><Relationship Id="rId10" Type="http://schemas.openxmlformats.org/officeDocument/2006/relationships/hyperlink" Target="http://undocs.org/ar/CCPR/C/101/D/1604/2007" TargetMode="External"/><Relationship Id="rId4" Type="http://schemas.openxmlformats.org/officeDocument/2006/relationships/hyperlink" Target="http://undocs.org/ar/CCPR/C/109/D/1851/2008" TargetMode="External"/><Relationship Id="rId9" Type="http://schemas.openxmlformats.org/officeDocument/2006/relationships/hyperlink" Target="http://undocs.org/ar/CCPR/C/116/D/2092/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1385</Words>
  <Characters>10958</Characters>
  <Application>Microsoft Office Word</Application>
  <DocSecurity>0</DocSecurity>
  <Lines>1217</Lines>
  <Paragraphs>771</Paragraphs>
  <ScaleCrop>false</ScaleCrop>
  <HeadingPairs>
    <vt:vector size="2" baseType="variant">
      <vt:variant>
        <vt:lpstr>Title</vt:lpstr>
      </vt:variant>
      <vt:variant>
        <vt:i4>1</vt:i4>
      </vt:variant>
    </vt:vector>
  </HeadingPairs>
  <TitlesOfParts>
    <vt:vector size="1" baseType="lpstr">
      <vt:lpstr>CCPR/C/133/D/2899/2016</vt:lpstr>
    </vt:vector>
  </TitlesOfParts>
  <Company>DCM</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CCPR/C/133/D/2899/2016</dc:title>
  <dc:subject>GE.2200395(A)</dc:subject>
  <dc:creator>Gamal MAHMOUD - BOUC</dc:creator>
  <cp:keywords>GE.2200554(A)</cp:keywords>
  <dc:description>Distr.: General_x000d_
13 January 2022_x000d_
Original: English</dc:description>
  <cp:lastModifiedBy>Gamal MAHMOUD</cp:lastModifiedBy>
  <cp:revision>2</cp:revision>
  <dcterms:created xsi:type="dcterms:W3CDTF">2022-01-21T14:03:00Z</dcterms:created>
  <dcterms:modified xsi:type="dcterms:W3CDTF">2022-01-21T14:03:00Z</dcterms:modified>
  <cp:category>Finale</cp:category>
</cp:coreProperties>
</file>