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B53332C" w14:textId="77777777" w:rsidTr="002B7BC7">
        <w:trPr>
          <w:trHeight w:hRule="exact" w:val="851"/>
        </w:trPr>
        <w:tc>
          <w:tcPr>
            <w:tcW w:w="1276" w:type="dxa"/>
            <w:tcBorders>
              <w:bottom w:val="single" w:sz="4" w:space="0" w:color="auto"/>
            </w:tcBorders>
          </w:tcPr>
          <w:p w14:paraId="54CA1828" w14:textId="77777777" w:rsidR="006F71EA" w:rsidRPr="00DB58B5" w:rsidRDefault="006F71EA" w:rsidP="00606C21"/>
        </w:tc>
        <w:tc>
          <w:tcPr>
            <w:tcW w:w="2268" w:type="dxa"/>
            <w:tcBorders>
              <w:bottom w:val="single" w:sz="4" w:space="0" w:color="auto"/>
            </w:tcBorders>
            <w:vAlign w:val="bottom"/>
          </w:tcPr>
          <w:p w14:paraId="680D96B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5CB330" w14:textId="22C5AF8B" w:rsidR="006F71EA" w:rsidRPr="00DB58B5" w:rsidRDefault="00606C21" w:rsidP="00606C21">
            <w:pPr>
              <w:jc w:val="right"/>
            </w:pPr>
            <w:r w:rsidRPr="00606C21">
              <w:rPr>
                <w:sz w:val="40"/>
              </w:rPr>
              <w:t>CCPR</w:t>
            </w:r>
            <w:r>
              <w:t>/C/132/D/2691/2015</w:t>
            </w:r>
          </w:p>
        </w:tc>
      </w:tr>
      <w:tr w:rsidR="006F71EA" w:rsidRPr="00DB58B5" w14:paraId="744AD60F" w14:textId="77777777" w:rsidTr="002B7BC7">
        <w:trPr>
          <w:trHeight w:hRule="exact" w:val="2835"/>
        </w:trPr>
        <w:tc>
          <w:tcPr>
            <w:tcW w:w="1276" w:type="dxa"/>
            <w:tcBorders>
              <w:top w:val="single" w:sz="4" w:space="0" w:color="auto"/>
              <w:bottom w:val="single" w:sz="12" w:space="0" w:color="auto"/>
            </w:tcBorders>
          </w:tcPr>
          <w:p w14:paraId="01DEE6D8" w14:textId="77777777" w:rsidR="006F71EA" w:rsidRPr="00DB58B5" w:rsidRDefault="006F71EA" w:rsidP="002B7BC7">
            <w:pPr>
              <w:spacing w:before="120"/>
              <w:jc w:val="center"/>
            </w:pPr>
            <w:r>
              <w:rPr>
                <w:noProof/>
                <w:lang w:eastAsia="fr-CH"/>
              </w:rPr>
              <w:drawing>
                <wp:inline distT="0" distB="0" distL="0" distR="0" wp14:anchorId="7F798DD8" wp14:editId="754390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4AA75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6979502" w14:textId="77777777" w:rsidR="006F71EA" w:rsidRDefault="00606C21" w:rsidP="002B7BC7">
            <w:pPr>
              <w:spacing w:before="240"/>
            </w:pPr>
            <w:proofErr w:type="spellStart"/>
            <w:r>
              <w:t>Distr</w:t>
            </w:r>
            <w:proofErr w:type="spellEnd"/>
            <w:r>
              <w:t>. générale</w:t>
            </w:r>
          </w:p>
          <w:p w14:paraId="7C600297" w14:textId="77777777" w:rsidR="00606C21" w:rsidRDefault="00606C21" w:rsidP="00606C21">
            <w:pPr>
              <w:spacing w:line="240" w:lineRule="exact"/>
            </w:pPr>
            <w:r>
              <w:t>11 mars 2022</w:t>
            </w:r>
          </w:p>
          <w:p w14:paraId="3283E0FB" w14:textId="77777777" w:rsidR="00606C21" w:rsidRDefault="00606C21" w:rsidP="00606C21">
            <w:pPr>
              <w:spacing w:line="240" w:lineRule="exact"/>
            </w:pPr>
            <w:r>
              <w:t>Français</w:t>
            </w:r>
          </w:p>
          <w:p w14:paraId="4E036BC9" w14:textId="1E0F28D7" w:rsidR="00606C21" w:rsidRPr="00DB58B5" w:rsidRDefault="00606C21" w:rsidP="00606C21">
            <w:pPr>
              <w:spacing w:line="240" w:lineRule="exact"/>
            </w:pPr>
            <w:r>
              <w:t>Original : anglais</w:t>
            </w:r>
          </w:p>
        </w:tc>
      </w:tr>
    </w:tbl>
    <w:p w14:paraId="7602E7B2" w14:textId="77777777" w:rsidR="006F71EA" w:rsidRDefault="006F71EA" w:rsidP="006F71EA">
      <w:pPr>
        <w:spacing w:before="120"/>
        <w:rPr>
          <w:b/>
          <w:sz w:val="24"/>
          <w:szCs w:val="24"/>
        </w:rPr>
      </w:pPr>
      <w:r w:rsidRPr="00DF3BF1">
        <w:rPr>
          <w:b/>
          <w:sz w:val="24"/>
          <w:szCs w:val="24"/>
        </w:rPr>
        <w:t>Comité des droits de l’homme</w:t>
      </w:r>
    </w:p>
    <w:p w14:paraId="296FEDF9" w14:textId="2FCFDC1F" w:rsidR="00EC6846" w:rsidRPr="001306FA" w:rsidRDefault="00EC6846" w:rsidP="001306FA">
      <w:pPr>
        <w:pStyle w:val="HChG"/>
        <w:rPr>
          <w:lang w:val="fr-FR"/>
        </w:rPr>
      </w:pPr>
      <w:r w:rsidRPr="00E30DFB">
        <w:rPr>
          <w:lang w:val="fr-FR"/>
        </w:rPr>
        <w:tab/>
      </w:r>
      <w:r w:rsidRPr="00E30DFB">
        <w:rPr>
          <w:lang w:val="fr-FR"/>
        </w:rPr>
        <w:tab/>
      </w:r>
      <w:r w:rsidRPr="005669CD">
        <w:t>C</w:t>
      </w:r>
      <w:r>
        <w:t xml:space="preserve">onstatations adoptées par le Comité au titre </w:t>
      </w:r>
      <w:r w:rsidR="001306FA">
        <w:br/>
      </w:r>
      <w:r>
        <w:t>de l’article</w:t>
      </w:r>
      <w:r w:rsidR="001306FA">
        <w:t> </w:t>
      </w:r>
      <w:r>
        <w:t xml:space="preserve">5 </w:t>
      </w:r>
      <w:r w:rsidR="00BC297B">
        <w:t>(par. </w:t>
      </w:r>
      <w:r>
        <w:t xml:space="preserve">4) du Protocole facultatif, </w:t>
      </w:r>
      <w:r w:rsidR="001306FA">
        <w:br/>
      </w:r>
      <w:r>
        <w:t>concernant la c</w:t>
      </w:r>
      <w:r w:rsidRPr="005669CD">
        <w:t>ommunication</w:t>
      </w:r>
      <w:r w:rsidRPr="00E30DFB">
        <w:rPr>
          <w:lang w:val="fr-FR"/>
        </w:rPr>
        <w:t xml:space="preserve"> </w:t>
      </w:r>
      <w:r w:rsidRPr="00E721D9">
        <w:rPr>
          <w:rFonts w:eastAsia="MS Mincho"/>
          <w:lang w:val="fr-FR"/>
        </w:rPr>
        <w:t>n</w:t>
      </w:r>
      <w:r w:rsidRPr="00E721D9">
        <w:rPr>
          <w:rFonts w:eastAsia="MS Mincho"/>
          <w:vertAlign w:val="superscript"/>
          <w:lang w:val="fr-FR"/>
        </w:rPr>
        <w:t>o</w:t>
      </w:r>
      <w:r>
        <w:rPr>
          <w:lang w:val="fr-FR"/>
        </w:rPr>
        <w:t> </w:t>
      </w:r>
      <w:r w:rsidRPr="00E30DFB">
        <w:rPr>
          <w:lang w:val="fr-FR"/>
        </w:rPr>
        <w:t>2691/2015</w:t>
      </w:r>
      <w:r w:rsidRPr="001306FA">
        <w:rPr>
          <w:rStyle w:val="Appelnotedebasdep"/>
          <w:b w:val="0"/>
          <w:bCs/>
          <w:sz w:val="20"/>
          <w:vertAlign w:val="baseline"/>
        </w:rPr>
        <w:footnoteReference w:customMarkFollows="1" w:id="2"/>
        <w:t>*</w:t>
      </w:r>
      <w:r w:rsidRPr="001306FA">
        <w:rPr>
          <w:b w:val="0"/>
          <w:bCs/>
          <w:position w:val="6"/>
          <w:sz w:val="18"/>
          <w:vertAlign w:val="superscript"/>
        </w:rPr>
        <w:t>,</w:t>
      </w:r>
      <w:r w:rsidRPr="001306FA">
        <w:rPr>
          <w:b w:val="0"/>
          <w:bCs/>
          <w:sz w:val="20"/>
          <w:vertAlign w:val="superscript"/>
        </w:rPr>
        <w:t xml:space="preserve"> </w:t>
      </w:r>
      <w:r w:rsidRPr="001306FA">
        <w:rPr>
          <w:rStyle w:val="Appelnotedebasdep"/>
          <w:b w:val="0"/>
          <w:bCs/>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EC6846" w14:paraId="342E006E" w14:textId="77777777" w:rsidTr="00BC297B">
        <w:tc>
          <w:tcPr>
            <w:tcW w:w="2835" w:type="dxa"/>
          </w:tcPr>
          <w:p w14:paraId="4609367C" w14:textId="77777777" w:rsidR="00EC6846" w:rsidRDefault="00EC6846" w:rsidP="000C3715">
            <w:pPr>
              <w:pStyle w:val="SingleTxtG"/>
              <w:ind w:left="0" w:right="0"/>
              <w:jc w:val="left"/>
              <w:rPr>
                <w:i/>
              </w:rPr>
            </w:pPr>
            <w:r>
              <w:rPr>
                <w:i/>
              </w:rPr>
              <w:t>Communication présentée par</w:t>
            </w:r>
            <w:r>
              <w:t> :</w:t>
            </w:r>
          </w:p>
        </w:tc>
        <w:tc>
          <w:tcPr>
            <w:tcW w:w="3970" w:type="dxa"/>
          </w:tcPr>
          <w:p w14:paraId="6A7C0DE5" w14:textId="01E54E87" w:rsidR="00EC6846" w:rsidRDefault="00EC6846" w:rsidP="000C3715">
            <w:pPr>
              <w:pStyle w:val="SingleTxtG"/>
              <w:ind w:left="0" w:right="0"/>
              <w:jc w:val="left"/>
            </w:pPr>
            <w:r w:rsidRPr="00780FCF">
              <w:rPr>
                <w:lang w:val="fr-FR"/>
              </w:rPr>
              <w:t xml:space="preserve">Leonid </w:t>
            </w:r>
            <w:proofErr w:type="spellStart"/>
            <w:r w:rsidRPr="00780FCF">
              <w:rPr>
                <w:lang w:val="fr-FR"/>
              </w:rPr>
              <w:t>Sudalenko</w:t>
            </w:r>
            <w:proofErr w:type="spellEnd"/>
            <w:r w:rsidRPr="00780FCF">
              <w:rPr>
                <w:lang w:val="fr-FR"/>
              </w:rPr>
              <w:t xml:space="preserve"> et Anatoly </w:t>
            </w:r>
            <w:proofErr w:type="spellStart"/>
            <w:r w:rsidRPr="00780FCF">
              <w:rPr>
                <w:lang w:val="fr-FR"/>
              </w:rPr>
              <w:t>Poplavny</w:t>
            </w:r>
            <w:proofErr w:type="spellEnd"/>
            <w:r w:rsidRPr="00780FCF">
              <w:rPr>
                <w:lang w:val="fr-FR"/>
              </w:rPr>
              <w:t xml:space="preserve"> </w:t>
            </w:r>
            <w:r w:rsidR="00BC297B">
              <w:rPr>
                <w:lang w:val="fr-FR"/>
              </w:rPr>
              <w:br/>
            </w:r>
            <w:r w:rsidRPr="00780FCF">
              <w:rPr>
                <w:lang w:val="fr-FR"/>
              </w:rPr>
              <w:t>(non représentés par un conseil)</w:t>
            </w:r>
          </w:p>
        </w:tc>
      </w:tr>
      <w:tr w:rsidR="00EC6846" w14:paraId="69CBAC9A" w14:textId="77777777" w:rsidTr="00BC297B">
        <w:tc>
          <w:tcPr>
            <w:tcW w:w="2835" w:type="dxa"/>
          </w:tcPr>
          <w:p w14:paraId="63D34790" w14:textId="77777777" w:rsidR="00EC6846" w:rsidRDefault="00EC6846" w:rsidP="000C3715">
            <w:pPr>
              <w:pStyle w:val="SingleTxtG"/>
              <w:ind w:left="0" w:right="0"/>
              <w:jc w:val="left"/>
              <w:rPr>
                <w:i/>
              </w:rPr>
            </w:pPr>
            <w:r w:rsidRPr="00780FCF">
              <w:rPr>
                <w:i/>
                <w:iCs/>
                <w:lang w:val="fr-FR"/>
              </w:rPr>
              <w:t>Victime(s) présumée(s) </w:t>
            </w:r>
            <w:r w:rsidRPr="00780FCF">
              <w:rPr>
                <w:lang w:val="fr-FR"/>
              </w:rPr>
              <w:t>:</w:t>
            </w:r>
          </w:p>
        </w:tc>
        <w:tc>
          <w:tcPr>
            <w:tcW w:w="3970" w:type="dxa"/>
          </w:tcPr>
          <w:p w14:paraId="3B6D43B8" w14:textId="77777777" w:rsidR="00EC6846" w:rsidRDefault="00EC6846" w:rsidP="000C3715">
            <w:pPr>
              <w:pStyle w:val="SingleTxtG"/>
              <w:ind w:left="0" w:right="0"/>
              <w:jc w:val="left"/>
            </w:pPr>
            <w:r w:rsidRPr="00780FCF">
              <w:rPr>
                <w:lang w:val="fr-FR"/>
              </w:rPr>
              <w:t>Les auteurs</w:t>
            </w:r>
          </w:p>
        </w:tc>
      </w:tr>
      <w:tr w:rsidR="00EC6846" w14:paraId="1D754792" w14:textId="77777777" w:rsidTr="00BC297B">
        <w:tc>
          <w:tcPr>
            <w:tcW w:w="2835" w:type="dxa"/>
          </w:tcPr>
          <w:p w14:paraId="45A98A14" w14:textId="77777777" w:rsidR="00EC6846" w:rsidRDefault="00EC6846" w:rsidP="000C3715">
            <w:pPr>
              <w:pStyle w:val="SingleTxtG"/>
              <w:ind w:left="0" w:right="0"/>
              <w:jc w:val="left"/>
              <w:rPr>
                <w:i/>
              </w:rPr>
            </w:pPr>
            <w:r>
              <w:rPr>
                <w:i/>
              </w:rPr>
              <w:t>État partie</w:t>
            </w:r>
            <w:r>
              <w:t> :</w:t>
            </w:r>
          </w:p>
        </w:tc>
        <w:tc>
          <w:tcPr>
            <w:tcW w:w="3970" w:type="dxa"/>
          </w:tcPr>
          <w:p w14:paraId="1422FDF4" w14:textId="77777777" w:rsidR="00EC6846" w:rsidRDefault="00EC6846" w:rsidP="000C3715">
            <w:pPr>
              <w:pStyle w:val="SingleTxtG"/>
              <w:ind w:left="0" w:right="0"/>
              <w:jc w:val="left"/>
            </w:pPr>
            <w:r w:rsidRPr="00780FCF">
              <w:rPr>
                <w:lang w:val="fr-FR"/>
              </w:rPr>
              <w:t>Bélarus</w:t>
            </w:r>
          </w:p>
        </w:tc>
      </w:tr>
      <w:tr w:rsidR="00EC6846" w14:paraId="18AB24C4" w14:textId="77777777" w:rsidTr="00BC297B">
        <w:tc>
          <w:tcPr>
            <w:tcW w:w="2835" w:type="dxa"/>
          </w:tcPr>
          <w:p w14:paraId="37475BEB" w14:textId="77777777" w:rsidR="00EC6846" w:rsidRDefault="00EC6846" w:rsidP="000C3715">
            <w:pPr>
              <w:pStyle w:val="SingleTxtG"/>
              <w:ind w:left="0" w:right="0"/>
              <w:jc w:val="left"/>
              <w:rPr>
                <w:i/>
              </w:rPr>
            </w:pPr>
            <w:r w:rsidRPr="00780FCF">
              <w:rPr>
                <w:i/>
                <w:iCs/>
                <w:lang w:val="fr-FR"/>
              </w:rPr>
              <w:t>Date de la communication </w:t>
            </w:r>
            <w:r w:rsidRPr="00780FCF">
              <w:rPr>
                <w:lang w:val="fr-FR"/>
              </w:rPr>
              <w:t>:</w:t>
            </w:r>
          </w:p>
        </w:tc>
        <w:tc>
          <w:tcPr>
            <w:tcW w:w="3970" w:type="dxa"/>
          </w:tcPr>
          <w:p w14:paraId="479E22D5" w14:textId="77777777" w:rsidR="00EC6846" w:rsidRDefault="00EC6846" w:rsidP="000C3715">
            <w:pPr>
              <w:pStyle w:val="SingleTxtG"/>
              <w:ind w:left="0" w:right="0"/>
              <w:jc w:val="left"/>
            </w:pPr>
            <w:r w:rsidRPr="00780FCF">
              <w:rPr>
                <w:lang w:val="fr-FR"/>
              </w:rPr>
              <w:t>6 avril 2015 (date de la lettre initiale)</w:t>
            </w:r>
          </w:p>
        </w:tc>
      </w:tr>
      <w:tr w:rsidR="00EC6846" w14:paraId="511FC6C6" w14:textId="77777777" w:rsidTr="00BC297B">
        <w:tc>
          <w:tcPr>
            <w:tcW w:w="2835" w:type="dxa"/>
          </w:tcPr>
          <w:p w14:paraId="78AE2F71" w14:textId="77777777" w:rsidR="00EC6846" w:rsidRDefault="00EC6846" w:rsidP="000C3715">
            <w:pPr>
              <w:pStyle w:val="SingleTxtG"/>
              <w:ind w:left="0" w:right="0"/>
              <w:jc w:val="left"/>
              <w:rPr>
                <w:i/>
              </w:rPr>
            </w:pPr>
            <w:r w:rsidRPr="00780FCF">
              <w:rPr>
                <w:i/>
                <w:iCs/>
                <w:lang w:val="fr-FR"/>
              </w:rPr>
              <w:t>Références </w:t>
            </w:r>
            <w:r>
              <w:t>:</w:t>
            </w:r>
          </w:p>
        </w:tc>
        <w:tc>
          <w:tcPr>
            <w:tcW w:w="3970" w:type="dxa"/>
            <w:vAlign w:val="bottom"/>
          </w:tcPr>
          <w:p w14:paraId="4D5F03C0" w14:textId="77777777" w:rsidR="00EC6846" w:rsidRDefault="00EC6846" w:rsidP="000C3715">
            <w:pPr>
              <w:pStyle w:val="SingleTxtG"/>
              <w:ind w:left="0" w:right="0"/>
              <w:jc w:val="left"/>
            </w:pPr>
            <w:r w:rsidRPr="00780FCF">
              <w:rPr>
                <w:lang w:val="fr-FR"/>
              </w:rPr>
              <w:t>Décision prise en application de l</w:t>
            </w:r>
            <w:r>
              <w:rPr>
                <w:lang w:val="fr-FR"/>
              </w:rPr>
              <w:t>’</w:t>
            </w:r>
            <w:r w:rsidRPr="00780FCF">
              <w:rPr>
                <w:lang w:val="fr-FR"/>
              </w:rPr>
              <w:t>article 92 du règlement intérieur du Comité, communiquée à l</w:t>
            </w:r>
            <w:r>
              <w:rPr>
                <w:lang w:val="fr-FR"/>
              </w:rPr>
              <w:t>’</w:t>
            </w:r>
            <w:r w:rsidRPr="00780FCF">
              <w:rPr>
                <w:lang w:val="fr-FR"/>
              </w:rPr>
              <w:t>État partie le 1</w:t>
            </w:r>
            <w:r w:rsidRPr="00780FCF">
              <w:rPr>
                <w:vertAlign w:val="superscript"/>
                <w:lang w:val="fr-FR"/>
              </w:rPr>
              <w:t>er</w:t>
            </w:r>
            <w:r w:rsidRPr="00780FCF">
              <w:rPr>
                <w:lang w:val="fr-FR"/>
              </w:rPr>
              <w:t> décembre 2015 (non publiée sous forme de document)</w:t>
            </w:r>
          </w:p>
        </w:tc>
      </w:tr>
      <w:tr w:rsidR="00EC6846" w14:paraId="0D4A705A" w14:textId="77777777" w:rsidTr="00BC297B">
        <w:tc>
          <w:tcPr>
            <w:tcW w:w="2835" w:type="dxa"/>
          </w:tcPr>
          <w:p w14:paraId="4B197498" w14:textId="77777777" w:rsidR="00EC6846" w:rsidRDefault="00EC6846" w:rsidP="000C3715">
            <w:pPr>
              <w:pStyle w:val="SingleTxtG"/>
              <w:ind w:left="0" w:right="0"/>
              <w:jc w:val="left"/>
              <w:rPr>
                <w:i/>
              </w:rPr>
            </w:pPr>
            <w:r w:rsidRPr="00780FCF">
              <w:rPr>
                <w:i/>
                <w:iCs/>
                <w:lang w:val="fr-FR"/>
              </w:rPr>
              <w:t>Date des constatations </w:t>
            </w:r>
            <w:r w:rsidRPr="00780FCF">
              <w:rPr>
                <w:lang w:val="fr-FR"/>
              </w:rPr>
              <w:t>:</w:t>
            </w:r>
          </w:p>
        </w:tc>
        <w:tc>
          <w:tcPr>
            <w:tcW w:w="3970" w:type="dxa"/>
            <w:vAlign w:val="bottom"/>
          </w:tcPr>
          <w:p w14:paraId="2A9ABCD1" w14:textId="77777777" w:rsidR="00EC6846" w:rsidRPr="00780FCF" w:rsidRDefault="00EC6846" w:rsidP="000C3715">
            <w:pPr>
              <w:pStyle w:val="SingleTxtG"/>
              <w:ind w:left="0" w:right="0"/>
              <w:jc w:val="left"/>
              <w:rPr>
                <w:lang w:val="fr-FR"/>
              </w:rPr>
            </w:pPr>
            <w:r>
              <w:rPr>
                <w:lang w:val="fr-FR"/>
              </w:rPr>
              <w:t>23 juillet</w:t>
            </w:r>
            <w:r w:rsidRPr="00780FCF">
              <w:rPr>
                <w:lang w:val="fr-FR"/>
              </w:rPr>
              <w:t xml:space="preserve"> 2021</w:t>
            </w:r>
          </w:p>
        </w:tc>
      </w:tr>
      <w:tr w:rsidR="00EC6846" w14:paraId="663BAE81" w14:textId="77777777" w:rsidTr="00BC297B">
        <w:tc>
          <w:tcPr>
            <w:tcW w:w="2835" w:type="dxa"/>
          </w:tcPr>
          <w:p w14:paraId="7BC4D8AD" w14:textId="77777777" w:rsidR="00EC6846" w:rsidRDefault="00EC6846" w:rsidP="000C3715">
            <w:pPr>
              <w:pStyle w:val="SingleTxtG"/>
              <w:ind w:left="0" w:right="0"/>
              <w:jc w:val="left"/>
            </w:pPr>
            <w:r>
              <w:rPr>
                <w:i/>
              </w:rPr>
              <w:t>Objet</w:t>
            </w:r>
            <w:r>
              <w:t> :</w:t>
            </w:r>
          </w:p>
        </w:tc>
        <w:tc>
          <w:tcPr>
            <w:tcW w:w="3970" w:type="dxa"/>
            <w:vAlign w:val="bottom"/>
          </w:tcPr>
          <w:p w14:paraId="49B95697" w14:textId="77777777" w:rsidR="00EC6846" w:rsidRDefault="00EC6846" w:rsidP="000C3715">
            <w:pPr>
              <w:pStyle w:val="SingleTxtG"/>
              <w:ind w:left="0" w:right="0"/>
              <w:jc w:val="left"/>
            </w:pPr>
            <w:r w:rsidRPr="00780FCF">
              <w:rPr>
                <w:lang w:val="fr-FR"/>
              </w:rPr>
              <w:t>Refus des autorités d</w:t>
            </w:r>
            <w:r>
              <w:rPr>
                <w:lang w:val="fr-FR"/>
              </w:rPr>
              <w:t>’</w:t>
            </w:r>
            <w:r w:rsidRPr="00780FCF">
              <w:rPr>
                <w:lang w:val="fr-FR"/>
              </w:rPr>
              <w:t>autoriser la tenue d</w:t>
            </w:r>
            <w:r>
              <w:rPr>
                <w:lang w:val="fr-FR"/>
              </w:rPr>
              <w:t>’</w:t>
            </w:r>
            <w:r w:rsidRPr="00780FCF">
              <w:rPr>
                <w:lang w:val="fr-FR"/>
              </w:rPr>
              <w:t>un rassemblement pacifique ; liberté d</w:t>
            </w:r>
            <w:r>
              <w:rPr>
                <w:lang w:val="fr-FR"/>
              </w:rPr>
              <w:t>’</w:t>
            </w:r>
            <w:r w:rsidRPr="00780FCF">
              <w:rPr>
                <w:lang w:val="fr-FR"/>
              </w:rPr>
              <w:t>expression ; recours utile</w:t>
            </w:r>
          </w:p>
        </w:tc>
      </w:tr>
      <w:tr w:rsidR="00EC6846" w14:paraId="4FCE4B80" w14:textId="77777777" w:rsidTr="00BC297B">
        <w:tc>
          <w:tcPr>
            <w:tcW w:w="2835" w:type="dxa"/>
          </w:tcPr>
          <w:p w14:paraId="1AA267ED" w14:textId="77777777" w:rsidR="00EC6846" w:rsidRDefault="00EC6846" w:rsidP="000C3715">
            <w:pPr>
              <w:pStyle w:val="SingleTxtG"/>
              <w:ind w:left="0" w:right="0"/>
              <w:jc w:val="left"/>
            </w:pPr>
            <w:r>
              <w:rPr>
                <w:i/>
              </w:rPr>
              <w:t>Question(s) de procédure</w:t>
            </w:r>
            <w:r>
              <w:t> :</w:t>
            </w:r>
          </w:p>
        </w:tc>
        <w:tc>
          <w:tcPr>
            <w:tcW w:w="3970" w:type="dxa"/>
            <w:vAlign w:val="bottom"/>
          </w:tcPr>
          <w:p w14:paraId="6379B980" w14:textId="77777777" w:rsidR="00EC6846" w:rsidRDefault="00EC6846" w:rsidP="000C3715">
            <w:pPr>
              <w:pStyle w:val="SingleTxtG"/>
              <w:ind w:left="0" w:right="0"/>
              <w:jc w:val="left"/>
            </w:pPr>
            <w:r w:rsidRPr="00780FCF">
              <w:rPr>
                <w:lang w:val="fr-FR"/>
              </w:rPr>
              <w:t>Épuisement des recours internes</w:t>
            </w:r>
          </w:p>
        </w:tc>
      </w:tr>
      <w:tr w:rsidR="00EC6846" w14:paraId="172C9CA0" w14:textId="77777777" w:rsidTr="00BC297B">
        <w:tc>
          <w:tcPr>
            <w:tcW w:w="2835" w:type="dxa"/>
          </w:tcPr>
          <w:p w14:paraId="38334BD6" w14:textId="77777777" w:rsidR="00EC6846" w:rsidRDefault="00EC6846" w:rsidP="000C3715">
            <w:pPr>
              <w:pStyle w:val="SingleTxtG"/>
              <w:ind w:left="0" w:right="0"/>
              <w:jc w:val="left"/>
            </w:pPr>
            <w:r>
              <w:rPr>
                <w:i/>
              </w:rPr>
              <w:t>Question(s) de fond</w:t>
            </w:r>
            <w:r>
              <w:t> :</w:t>
            </w:r>
          </w:p>
        </w:tc>
        <w:tc>
          <w:tcPr>
            <w:tcW w:w="3970" w:type="dxa"/>
            <w:vAlign w:val="bottom"/>
          </w:tcPr>
          <w:p w14:paraId="22F11E85" w14:textId="77777777" w:rsidR="00EC6846" w:rsidRDefault="00EC6846" w:rsidP="000C3715">
            <w:pPr>
              <w:pStyle w:val="SingleTxtG"/>
              <w:ind w:left="0" w:right="0"/>
              <w:jc w:val="left"/>
            </w:pPr>
            <w:r w:rsidRPr="00780FCF">
              <w:rPr>
                <w:lang w:val="fr-FR"/>
              </w:rPr>
              <w:t>Liberté de réunion ; liberté d</w:t>
            </w:r>
            <w:r>
              <w:rPr>
                <w:lang w:val="fr-FR"/>
              </w:rPr>
              <w:t>’</w:t>
            </w:r>
            <w:r w:rsidRPr="00780FCF">
              <w:rPr>
                <w:lang w:val="fr-FR"/>
              </w:rPr>
              <w:t>expression ; recours utile</w:t>
            </w:r>
          </w:p>
        </w:tc>
      </w:tr>
      <w:tr w:rsidR="00EC6846" w14:paraId="195292F0" w14:textId="77777777" w:rsidTr="00BC297B">
        <w:tc>
          <w:tcPr>
            <w:tcW w:w="2835" w:type="dxa"/>
          </w:tcPr>
          <w:p w14:paraId="25816478" w14:textId="77777777" w:rsidR="00EC6846" w:rsidRDefault="00EC6846" w:rsidP="000C3715">
            <w:pPr>
              <w:pStyle w:val="SingleTxtG"/>
              <w:ind w:left="0" w:right="0"/>
              <w:jc w:val="left"/>
            </w:pPr>
            <w:r w:rsidRPr="00780FCF">
              <w:rPr>
                <w:i/>
                <w:iCs/>
                <w:lang w:val="fr-FR"/>
              </w:rPr>
              <w:t>Article(s) du Pacte </w:t>
            </w:r>
            <w:r w:rsidRPr="00780FCF">
              <w:rPr>
                <w:lang w:val="fr-FR"/>
              </w:rPr>
              <w:t>:</w:t>
            </w:r>
          </w:p>
        </w:tc>
        <w:tc>
          <w:tcPr>
            <w:tcW w:w="3970" w:type="dxa"/>
            <w:vAlign w:val="bottom"/>
          </w:tcPr>
          <w:p w14:paraId="6FF807DD" w14:textId="6B8F2BC8" w:rsidR="00EC6846" w:rsidRDefault="00EC6846" w:rsidP="000C3715">
            <w:pPr>
              <w:pStyle w:val="SingleTxtG"/>
              <w:ind w:left="0" w:right="0"/>
              <w:jc w:val="left"/>
            </w:pPr>
            <w:r w:rsidRPr="00780FCF">
              <w:rPr>
                <w:lang w:val="fr-FR"/>
              </w:rPr>
              <w:t>2</w:t>
            </w:r>
            <w:r w:rsidR="00513C6B">
              <w:rPr>
                <w:lang w:val="fr-FR"/>
              </w:rPr>
              <w:t xml:space="preserve"> </w:t>
            </w:r>
            <w:r w:rsidR="00BC297B">
              <w:rPr>
                <w:lang w:val="fr-FR"/>
              </w:rPr>
              <w:t>(par. </w:t>
            </w:r>
            <w:r w:rsidRPr="00780FCF">
              <w:rPr>
                <w:lang w:val="fr-FR"/>
              </w:rPr>
              <w:t>2 et 3), 19 et 21</w:t>
            </w:r>
          </w:p>
        </w:tc>
      </w:tr>
      <w:tr w:rsidR="00EC6846" w14:paraId="730DB9CA" w14:textId="77777777" w:rsidTr="00BC297B">
        <w:tc>
          <w:tcPr>
            <w:tcW w:w="2835" w:type="dxa"/>
          </w:tcPr>
          <w:p w14:paraId="0FDBB92A" w14:textId="77777777" w:rsidR="00EC6846" w:rsidRDefault="00EC6846" w:rsidP="000C3715">
            <w:pPr>
              <w:pStyle w:val="SingleTxtG"/>
              <w:ind w:left="0" w:right="0"/>
              <w:jc w:val="left"/>
              <w:rPr>
                <w:i/>
              </w:rPr>
            </w:pPr>
            <w:r w:rsidRPr="00780FCF">
              <w:rPr>
                <w:i/>
                <w:iCs/>
                <w:lang w:val="fr-FR"/>
              </w:rPr>
              <w:t>Article(s) du Protocole facultatif :</w:t>
            </w:r>
          </w:p>
        </w:tc>
        <w:tc>
          <w:tcPr>
            <w:tcW w:w="3970" w:type="dxa"/>
            <w:vAlign w:val="bottom"/>
          </w:tcPr>
          <w:p w14:paraId="7B5B27AB" w14:textId="1326C2AD" w:rsidR="00EC6846" w:rsidRPr="00780FCF" w:rsidRDefault="00EC6846" w:rsidP="000C3715">
            <w:pPr>
              <w:pStyle w:val="SingleTxtG"/>
              <w:ind w:left="0" w:right="0"/>
              <w:jc w:val="left"/>
              <w:rPr>
                <w:lang w:val="fr-FR"/>
              </w:rPr>
            </w:pPr>
            <w:r w:rsidRPr="00780FCF">
              <w:rPr>
                <w:lang w:val="fr-FR"/>
              </w:rPr>
              <w:t>2 et 5</w:t>
            </w:r>
            <w:r w:rsidR="00513C6B">
              <w:rPr>
                <w:lang w:val="fr-FR"/>
              </w:rPr>
              <w:t xml:space="preserve"> </w:t>
            </w:r>
            <w:r w:rsidR="00BC297B">
              <w:rPr>
                <w:lang w:val="fr-FR"/>
              </w:rPr>
              <w:t>(par. </w:t>
            </w:r>
            <w:r w:rsidRPr="00780FCF">
              <w:rPr>
                <w:lang w:val="fr-FR"/>
              </w:rPr>
              <w:t>2 b))</w:t>
            </w:r>
          </w:p>
        </w:tc>
      </w:tr>
    </w:tbl>
    <w:p w14:paraId="709D5F29" w14:textId="247682D8" w:rsidR="00EC6846" w:rsidRPr="00780FCF" w:rsidRDefault="00EC6846" w:rsidP="00BC297B">
      <w:pPr>
        <w:pStyle w:val="SingleTxtG"/>
        <w:spacing w:before="120"/>
        <w:rPr>
          <w:lang w:val="fr-FR"/>
        </w:rPr>
      </w:pPr>
      <w:r w:rsidRPr="00780FCF">
        <w:rPr>
          <w:lang w:val="fr-FR"/>
        </w:rPr>
        <w:t>1.</w:t>
      </w:r>
      <w:r w:rsidRPr="00780FCF">
        <w:rPr>
          <w:lang w:val="fr-FR"/>
        </w:rPr>
        <w:tab/>
        <w:t xml:space="preserve">Les auteurs de la communication sont Leonid </w:t>
      </w:r>
      <w:proofErr w:type="spellStart"/>
      <w:r w:rsidRPr="00780FCF">
        <w:rPr>
          <w:lang w:val="fr-FR"/>
        </w:rPr>
        <w:t>Sudalenko</w:t>
      </w:r>
      <w:proofErr w:type="spellEnd"/>
      <w:r w:rsidRPr="00780FCF">
        <w:rPr>
          <w:lang w:val="fr-FR"/>
        </w:rPr>
        <w:t xml:space="preserve"> et Anatoly </w:t>
      </w:r>
      <w:proofErr w:type="spellStart"/>
      <w:r w:rsidRPr="00780FCF">
        <w:rPr>
          <w:lang w:val="fr-FR"/>
        </w:rPr>
        <w:t>Poplavny</w:t>
      </w:r>
      <w:proofErr w:type="spellEnd"/>
      <w:r w:rsidRPr="00780FCF">
        <w:rPr>
          <w:lang w:val="fr-FR"/>
        </w:rPr>
        <w:t xml:space="preserve">, </w:t>
      </w:r>
      <w:r>
        <w:rPr>
          <w:lang w:val="fr-FR"/>
        </w:rPr>
        <w:t xml:space="preserve">tous deux </w:t>
      </w:r>
      <w:r w:rsidRPr="00780FCF">
        <w:rPr>
          <w:lang w:val="fr-FR"/>
        </w:rPr>
        <w:t>de nationalité bélarussienne, nés en 1966 et 1958. Ils affirment que l</w:t>
      </w:r>
      <w:r>
        <w:rPr>
          <w:lang w:val="fr-FR"/>
        </w:rPr>
        <w:t>’</w:t>
      </w:r>
      <w:r w:rsidRPr="00780FCF">
        <w:rPr>
          <w:lang w:val="fr-FR"/>
        </w:rPr>
        <w:t>État partie a violé les droits qu</w:t>
      </w:r>
      <w:r>
        <w:rPr>
          <w:lang w:val="fr-FR"/>
        </w:rPr>
        <w:t>’</w:t>
      </w:r>
      <w:r w:rsidRPr="00780FCF">
        <w:rPr>
          <w:lang w:val="fr-FR"/>
        </w:rPr>
        <w:t>ils tiennent des articles 19 et 21 du Pacte, lus conjointement avec l</w:t>
      </w:r>
      <w:r>
        <w:rPr>
          <w:lang w:val="fr-FR"/>
        </w:rPr>
        <w:t>’</w:t>
      </w:r>
      <w:r w:rsidRPr="00780FCF">
        <w:rPr>
          <w:lang w:val="fr-FR"/>
        </w:rPr>
        <w:t xml:space="preserve">article 2 </w:t>
      </w:r>
      <w:r w:rsidR="00BC297B">
        <w:rPr>
          <w:lang w:val="fr-FR"/>
        </w:rPr>
        <w:t>(par. </w:t>
      </w:r>
      <w:r w:rsidRPr="00780FCF">
        <w:rPr>
          <w:lang w:val="fr-FR"/>
        </w:rPr>
        <w:t>2 et 3). Le Protocole facultatif est entré en vigueur pour le Bélarus le 30 décembre 1992. Les auteurs ne sont pas représentés par un conseil.</w:t>
      </w:r>
    </w:p>
    <w:p w14:paraId="1ABD7EA7" w14:textId="77777777" w:rsidR="009921B3" w:rsidRDefault="009921B3">
      <w:pPr>
        <w:suppressAutoHyphens w:val="0"/>
        <w:kinsoku/>
        <w:overflowPunct/>
        <w:autoSpaceDE/>
        <w:autoSpaceDN/>
        <w:adjustRightInd/>
        <w:snapToGrid/>
        <w:spacing w:after="200" w:line="276" w:lineRule="auto"/>
        <w:rPr>
          <w:b/>
          <w:lang w:val="fr-FR"/>
        </w:rPr>
      </w:pPr>
      <w:r>
        <w:rPr>
          <w:lang w:val="fr-FR"/>
        </w:rPr>
        <w:br w:type="page"/>
      </w:r>
    </w:p>
    <w:p w14:paraId="60588D92" w14:textId="1263D3B5" w:rsidR="00EC6846" w:rsidRPr="00780FCF" w:rsidRDefault="00EC6846" w:rsidP="00465800">
      <w:pPr>
        <w:pStyle w:val="H23G"/>
        <w:rPr>
          <w:lang w:val="fr-FR"/>
        </w:rPr>
      </w:pPr>
      <w:r w:rsidRPr="00780FCF">
        <w:rPr>
          <w:lang w:val="fr-FR"/>
        </w:rPr>
        <w:lastRenderedPageBreak/>
        <w:tab/>
      </w:r>
      <w:r w:rsidRPr="00780FCF">
        <w:rPr>
          <w:lang w:val="fr-FR"/>
        </w:rPr>
        <w:tab/>
        <w:t xml:space="preserve">Rappel des faits présentés par </w:t>
      </w:r>
      <w:r w:rsidRPr="00BB39F6">
        <w:t>les</w:t>
      </w:r>
      <w:r w:rsidRPr="00780FCF">
        <w:rPr>
          <w:lang w:val="fr-FR"/>
        </w:rPr>
        <w:t xml:space="preserve"> auteurs</w:t>
      </w:r>
    </w:p>
    <w:p w14:paraId="403C069C" w14:textId="77777777" w:rsidR="00EC6846" w:rsidRPr="00780FCF" w:rsidRDefault="00EC6846" w:rsidP="00F60443">
      <w:pPr>
        <w:pStyle w:val="SingleTxtG"/>
        <w:rPr>
          <w:lang w:val="fr-FR"/>
        </w:rPr>
      </w:pPr>
      <w:r w:rsidRPr="00780FCF">
        <w:rPr>
          <w:lang w:val="fr-FR"/>
        </w:rPr>
        <w:t>2.1</w:t>
      </w:r>
      <w:r w:rsidRPr="00780FCF">
        <w:rPr>
          <w:lang w:val="fr-FR"/>
        </w:rPr>
        <w:tab/>
        <w:t>Le</w:t>
      </w:r>
      <w:r>
        <w:rPr>
          <w:lang w:val="fr-FR"/>
        </w:rPr>
        <w:t xml:space="preserve"> </w:t>
      </w:r>
      <w:r w:rsidRPr="00780FCF">
        <w:rPr>
          <w:lang w:val="fr-FR"/>
        </w:rPr>
        <w:t>10 juillet 2014, les auteurs ont demandé au Comité exécutif de la ville de Gomel l</w:t>
      </w:r>
      <w:r>
        <w:rPr>
          <w:lang w:val="fr-FR"/>
        </w:rPr>
        <w:t>’</w:t>
      </w:r>
      <w:r w:rsidRPr="00780FCF">
        <w:rPr>
          <w:lang w:val="fr-FR"/>
        </w:rPr>
        <w:t>autorisation d</w:t>
      </w:r>
      <w:r>
        <w:rPr>
          <w:lang w:val="fr-FR"/>
        </w:rPr>
        <w:t>’</w:t>
      </w:r>
      <w:r w:rsidRPr="00780FCF">
        <w:rPr>
          <w:lang w:val="fr-FR"/>
        </w:rPr>
        <w:t xml:space="preserve">organiser un rassemblement pacifique </w:t>
      </w:r>
      <w:r>
        <w:rPr>
          <w:lang w:val="fr-FR"/>
        </w:rPr>
        <w:t xml:space="preserve">(un piquet) place de la Rébellion, </w:t>
      </w:r>
      <w:r w:rsidRPr="00780FCF">
        <w:rPr>
          <w:lang w:val="fr-FR"/>
        </w:rPr>
        <w:t>l</w:t>
      </w:r>
      <w:r>
        <w:rPr>
          <w:lang w:val="fr-FR"/>
        </w:rPr>
        <w:t>’</w:t>
      </w:r>
      <w:r w:rsidRPr="00780FCF">
        <w:rPr>
          <w:lang w:val="fr-FR"/>
        </w:rPr>
        <w:t>une des places du centre-ville, le 4 août 2014, afin d</w:t>
      </w:r>
      <w:r>
        <w:rPr>
          <w:lang w:val="fr-FR"/>
        </w:rPr>
        <w:t>’</w:t>
      </w:r>
      <w:r w:rsidRPr="00780FCF">
        <w:rPr>
          <w:lang w:val="fr-FR"/>
        </w:rPr>
        <w:t xml:space="preserve">exprimer leur soutien aux prisonniers politiques du Bélarus, de </w:t>
      </w:r>
      <w:r w:rsidRPr="00BB39F6">
        <w:t>demander</w:t>
      </w:r>
      <w:r w:rsidRPr="00780FCF">
        <w:rPr>
          <w:lang w:val="fr-FR"/>
        </w:rPr>
        <w:t xml:space="preserve"> la libération de ces prisonniers et de protester contre la pratique consistant à emprisonner les opposants.</w:t>
      </w:r>
    </w:p>
    <w:p w14:paraId="59D67014" w14:textId="7C7CA1E1" w:rsidR="00EC6846" w:rsidRPr="00780FCF" w:rsidRDefault="00EC6846" w:rsidP="00F60443">
      <w:pPr>
        <w:pStyle w:val="SingleTxtG"/>
        <w:rPr>
          <w:lang w:val="fr-FR"/>
        </w:rPr>
      </w:pPr>
      <w:r w:rsidRPr="00780FCF">
        <w:rPr>
          <w:lang w:val="fr-FR"/>
        </w:rPr>
        <w:t>2.2</w:t>
      </w:r>
      <w:r w:rsidRPr="00780FCF">
        <w:rPr>
          <w:lang w:val="fr-FR"/>
        </w:rPr>
        <w:tab/>
        <w:t>Le</w:t>
      </w:r>
      <w:r>
        <w:rPr>
          <w:lang w:val="fr-FR"/>
        </w:rPr>
        <w:t xml:space="preserve"> </w:t>
      </w:r>
      <w:r w:rsidRPr="00780FCF">
        <w:rPr>
          <w:lang w:val="fr-FR"/>
        </w:rPr>
        <w:t>17 juillet 2014, le Comité exécutif de Gomel a refusé d</w:t>
      </w:r>
      <w:r>
        <w:rPr>
          <w:lang w:val="fr-FR"/>
        </w:rPr>
        <w:t>’</w:t>
      </w:r>
      <w:r w:rsidRPr="00780FCF">
        <w:rPr>
          <w:lang w:val="fr-FR"/>
        </w:rPr>
        <w:t>accorder l</w:t>
      </w:r>
      <w:r>
        <w:rPr>
          <w:lang w:val="fr-FR"/>
        </w:rPr>
        <w:t>’</w:t>
      </w:r>
      <w:r w:rsidRPr="00780FCF">
        <w:rPr>
          <w:lang w:val="fr-FR"/>
        </w:rPr>
        <w:t>autorisation demandée au motif que les auteurs n</w:t>
      </w:r>
      <w:r>
        <w:rPr>
          <w:lang w:val="fr-FR"/>
        </w:rPr>
        <w:t>’</w:t>
      </w:r>
      <w:r w:rsidRPr="00780FCF">
        <w:rPr>
          <w:lang w:val="fr-FR"/>
        </w:rPr>
        <w:t xml:space="preserve">avaient conclu de contrats </w:t>
      </w:r>
      <w:r>
        <w:rPr>
          <w:lang w:val="fr-FR"/>
        </w:rPr>
        <w:t xml:space="preserve">ni </w:t>
      </w:r>
      <w:r w:rsidRPr="00780FCF">
        <w:rPr>
          <w:lang w:val="fr-FR"/>
        </w:rPr>
        <w:t xml:space="preserve">avec les services </w:t>
      </w:r>
      <w:r>
        <w:rPr>
          <w:lang w:val="fr-FR"/>
        </w:rPr>
        <w:t>d’</w:t>
      </w:r>
      <w:r w:rsidRPr="00780FCF">
        <w:rPr>
          <w:lang w:val="fr-FR"/>
        </w:rPr>
        <w:t>assistance médicale d</w:t>
      </w:r>
      <w:r>
        <w:rPr>
          <w:lang w:val="fr-FR"/>
        </w:rPr>
        <w:t>’</w:t>
      </w:r>
      <w:r w:rsidRPr="00780FCF">
        <w:rPr>
          <w:lang w:val="fr-FR"/>
        </w:rPr>
        <w:t>urgence</w:t>
      </w:r>
      <w:r>
        <w:rPr>
          <w:lang w:val="fr-FR"/>
        </w:rPr>
        <w:t xml:space="preserve"> de Gomel</w:t>
      </w:r>
      <w:r w:rsidR="00F82C99">
        <w:rPr>
          <w:lang w:val="fr-FR"/>
        </w:rPr>
        <w:t xml:space="preserve"> </w:t>
      </w:r>
      <w:r>
        <w:rPr>
          <w:lang w:val="fr-FR"/>
        </w:rPr>
        <w:t xml:space="preserve">ni avec la société chargée </w:t>
      </w:r>
      <w:r w:rsidRPr="00780FCF">
        <w:rPr>
          <w:lang w:val="fr-FR"/>
        </w:rPr>
        <w:t xml:space="preserve">de la voirie pour </w:t>
      </w:r>
      <w:r>
        <w:rPr>
          <w:lang w:val="fr-FR"/>
        </w:rPr>
        <w:t xml:space="preserve">qu’elle nettoie </w:t>
      </w:r>
      <w:r w:rsidRPr="00780FCF">
        <w:rPr>
          <w:lang w:val="fr-FR"/>
        </w:rPr>
        <w:t>la place après la manifestation</w:t>
      </w:r>
      <w:r>
        <w:rPr>
          <w:lang w:val="fr-FR"/>
        </w:rPr>
        <w:t xml:space="preserve">. Il est nécessaire de conclure de tels contrats afin de se conformer à </w:t>
      </w:r>
      <w:r w:rsidRPr="00780FCF">
        <w:rPr>
          <w:lang w:val="fr-FR"/>
        </w:rPr>
        <w:t>l</w:t>
      </w:r>
      <w:r>
        <w:rPr>
          <w:lang w:val="fr-FR"/>
        </w:rPr>
        <w:t>’</w:t>
      </w:r>
      <w:r w:rsidRPr="00780FCF">
        <w:rPr>
          <w:lang w:val="fr-FR"/>
        </w:rPr>
        <w:t xml:space="preserve">article 3 de la décision </w:t>
      </w:r>
      <w:r w:rsidRPr="00E721D9">
        <w:rPr>
          <w:rFonts w:eastAsia="MS Mincho"/>
          <w:lang w:val="fr-FR"/>
        </w:rPr>
        <w:t>n</w:t>
      </w:r>
      <w:r w:rsidRPr="00E721D9">
        <w:rPr>
          <w:rFonts w:eastAsia="MS Mincho"/>
          <w:vertAlign w:val="superscript"/>
          <w:lang w:val="fr-FR"/>
        </w:rPr>
        <w:t>o</w:t>
      </w:r>
      <w:r>
        <w:rPr>
          <w:lang w:val="fr-FR"/>
        </w:rPr>
        <w:t> </w:t>
      </w:r>
      <w:r w:rsidRPr="00780FCF">
        <w:rPr>
          <w:lang w:val="fr-FR"/>
        </w:rPr>
        <w:t xml:space="preserve">775 du Comité exécutif </w:t>
      </w:r>
      <w:r>
        <w:rPr>
          <w:lang w:val="fr-FR"/>
        </w:rPr>
        <w:t xml:space="preserve">de Gomel </w:t>
      </w:r>
      <w:r w:rsidRPr="00780FCF">
        <w:rPr>
          <w:lang w:val="fr-FR"/>
        </w:rPr>
        <w:t>en date du 15 août 2013</w:t>
      </w:r>
      <w:r w:rsidR="00F82C99">
        <w:rPr>
          <w:lang w:val="fr-FR"/>
        </w:rPr>
        <w:t>,</w:t>
      </w:r>
      <w:r w:rsidRPr="00780FCF">
        <w:rPr>
          <w:lang w:val="fr-FR"/>
        </w:rPr>
        <w:t xml:space="preserve"> sur la tenue de manifestations de masse </w:t>
      </w:r>
      <w:r>
        <w:rPr>
          <w:lang w:val="fr-FR"/>
        </w:rPr>
        <w:t xml:space="preserve">à </w:t>
      </w:r>
      <w:r w:rsidRPr="00780FCF">
        <w:rPr>
          <w:lang w:val="fr-FR"/>
        </w:rPr>
        <w:t>Gomel</w:t>
      </w:r>
      <w:r w:rsidR="00F82C99">
        <w:rPr>
          <w:lang w:val="fr-FR"/>
        </w:rPr>
        <w:t>,</w:t>
      </w:r>
      <w:r>
        <w:rPr>
          <w:lang w:val="fr-FR"/>
        </w:rPr>
        <w:t xml:space="preserve"> et à</w:t>
      </w:r>
      <w:r w:rsidRPr="00780FCF">
        <w:rPr>
          <w:lang w:val="fr-FR"/>
        </w:rPr>
        <w:t xml:space="preserve"> l</w:t>
      </w:r>
      <w:r>
        <w:rPr>
          <w:lang w:val="fr-FR"/>
        </w:rPr>
        <w:t>’</w:t>
      </w:r>
      <w:r w:rsidRPr="00780FCF">
        <w:rPr>
          <w:lang w:val="fr-FR"/>
        </w:rPr>
        <w:t xml:space="preserve">article 5 de la loi sur les manifestations </w:t>
      </w:r>
      <w:r>
        <w:rPr>
          <w:lang w:val="fr-FR"/>
        </w:rPr>
        <w:t>publiques</w:t>
      </w:r>
      <w:r w:rsidRPr="00780FCF">
        <w:rPr>
          <w:lang w:val="fr-FR"/>
        </w:rPr>
        <w:t>. Le refus était également motivé par le fait que le lieu choisi par les auteurs pour leur rassemblement se trouvait au centre-ville.</w:t>
      </w:r>
    </w:p>
    <w:p w14:paraId="12968E34" w14:textId="7B167BBE" w:rsidR="00EC6846" w:rsidRPr="00780FCF" w:rsidRDefault="00EC6846" w:rsidP="00F60443">
      <w:pPr>
        <w:pStyle w:val="SingleTxtG"/>
        <w:rPr>
          <w:lang w:val="fr-FR"/>
        </w:rPr>
      </w:pPr>
      <w:r w:rsidRPr="00780FCF">
        <w:rPr>
          <w:lang w:val="fr-FR"/>
        </w:rPr>
        <w:t>2.3</w:t>
      </w:r>
      <w:r w:rsidRPr="00780FCF">
        <w:rPr>
          <w:lang w:val="fr-FR"/>
        </w:rPr>
        <w:tab/>
        <w:t>Le</w:t>
      </w:r>
      <w:r>
        <w:rPr>
          <w:lang w:val="fr-FR"/>
        </w:rPr>
        <w:t xml:space="preserve"> </w:t>
      </w:r>
      <w:r w:rsidRPr="00780FCF">
        <w:rPr>
          <w:lang w:val="fr-FR"/>
        </w:rPr>
        <w:t>26 juillet 2014, les auteurs ont contesté la décision du Comité exécutif</w:t>
      </w:r>
      <w:r>
        <w:rPr>
          <w:lang w:val="fr-FR"/>
        </w:rPr>
        <w:t xml:space="preserve"> de Gomel</w:t>
      </w:r>
      <w:r w:rsidRPr="00780FCF">
        <w:rPr>
          <w:lang w:val="fr-FR"/>
        </w:rPr>
        <w:t xml:space="preserve"> devant le tribunal du district central de Gomel, soutenant que cette décision limitait leur</w:t>
      </w:r>
      <w:r>
        <w:rPr>
          <w:lang w:val="fr-FR"/>
        </w:rPr>
        <w:t>s</w:t>
      </w:r>
      <w:r w:rsidRPr="00780FCF">
        <w:rPr>
          <w:lang w:val="fr-FR"/>
        </w:rPr>
        <w:t xml:space="preserve"> droit</w:t>
      </w:r>
      <w:r>
        <w:rPr>
          <w:lang w:val="fr-FR"/>
        </w:rPr>
        <w:t>s</w:t>
      </w:r>
      <w:r w:rsidRPr="00780FCF">
        <w:rPr>
          <w:lang w:val="fr-FR"/>
        </w:rPr>
        <w:t xml:space="preserve"> à la liberté de réunion et à la liberté d</w:t>
      </w:r>
      <w:r>
        <w:rPr>
          <w:lang w:val="fr-FR"/>
        </w:rPr>
        <w:t>’</w:t>
      </w:r>
      <w:r w:rsidRPr="00780FCF">
        <w:rPr>
          <w:lang w:val="fr-FR"/>
        </w:rPr>
        <w:t xml:space="preserve">expression, à la fois au regard du droit interne et du droit international. Bien que sa décision fût fondée en droit, le Comité exécutif </w:t>
      </w:r>
      <w:r>
        <w:rPr>
          <w:lang w:val="fr-FR"/>
        </w:rPr>
        <w:t xml:space="preserve">de Gomel </w:t>
      </w:r>
      <w:r w:rsidRPr="00780FCF">
        <w:rPr>
          <w:lang w:val="fr-FR"/>
        </w:rPr>
        <w:t>n</w:t>
      </w:r>
      <w:r>
        <w:rPr>
          <w:lang w:val="fr-FR"/>
        </w:rPr>
        <w:t>’</w:t>
      </w:r>
      <w:r w:rsidRPr="00780FCF">
        <w:rPr>
          <w:lang w:val="fr-FR"/>
        </w:rPr>
        <w:t xml:space="preserve">avait pas démontré que cette limitation était nécessaire pour servir les but légitimes énoncés dans la Constitution et </w:t>
      </w:r>
      <w:r>
        <w:rPr>
          <w:lang w:val="fr-FR"/>
        </w:rPr>
        <w:t xml:space="preserve">dans </w:t>
      </w:r>
      <w:r w:rsidRPr="00780FCF">
        <w:rPr>
          <w:lang w:val="fr-FR"/>
        </w:rPr>
        <w:t>les articles 19 et 21</w:t>
      </w:r>
      <w:r w:rsidR="009921B3">
        <w:rPr>
          <w:lang w:val="fr-FR"/>
        </w:rPr>
        <w:t xml:space="preserve"> </w:t>
      </w:r>
      <w:r w:rsidRPr="00780FCF">
        <w:rPr>
          <w:lang w:val="fr-FR"/>
        </w:rPr>
        <w:t xml:space="preserve">du Pacte. </w:t>
      </w:r>
      <w:r>
        <w:rPr>
          <w:lang w:val="fr-FR"/>
        </w:rPr>
        <w:t xml:space="preserve">Le </w:t>
      </w:r>
      <w:r w:rsidRPr="00780FCF">
        <w:rPr>
          <w:lang w:val="fr-FR"/>
        </w:rPr>
        <w:t xml:space="preserve">22 septembre 2014, les auteurs ont été déboutés par le tribunal du district central, qui a considéré que la décision du Comité exécutif </w:t>
      </w:r>
      <w:r>
        <w:rPr>
          <w:lang w:val="fr-FR"/>
        </w:rPr>
        <w:t xml:space="preserve">de Gomel </w:t>
      </w:r>
      <w:r w:rsidRPr="00780FCF">
        <w:rPr>
          <w:lang w:val="fr-FR"/>
        </w:rPr>
        <w:t xml:space="preserve">était conforme au droit interne et </w:t>
      </w:r>
      <w:r>
        <w:rPr>
          <w:lang w:val="fr-FR"/>
        </w:rPr>
        <w:t xml:space="preserve">donc </w:t>
      </w:r>
      <w:r w:rsidRPr="00780FCF">
        <w:rPr>
          <w:lang w:val="fr-FR"/>
        </w:rPr>
        <w:t xml:space="preserve">légale. </w:t>
      </w:r>
    </w:p>
    <w:p w14:paraId="34DA19B0" w14:textId="77777777" w:rsidR="00EC6846" w:rsidRPr="00780FCF" w:rsidRDefault="00EC6846" w:rsidP="00F60443">
      <w:pPr>
        <w:pStyle w:val="SingleTxtG"/>
        <w:rPr>
          <w:lang w:val="fr-FR"/>
        </w:rPr>
      </w:pPr>
      <w:r w:rsidRPr="00780FCF">
        <w:rPr>
          <w:lang w:val="fr-FR"/>
        </w:rPr>
        <w:t>2.4</w:t>
      </w:r>
      <w:r w:rsidRPr="00780FCF">
        <w:rPr>
          <w:lang w:val="fr-FR"/>
        </w:rPr>
        <w:tab/>
      </w:r>
      <w:r>
        <w:rPr>
          <w:lang w:val="fr-FR"/>
        </w:rPr>
        <w:t xml:space="preserve">Le </w:t>
      </w:r>
      <w:r w:rsidRPr="00780FCF">
        <w:rPr>
          <w:lang w:val="fr-FR"/>
        </w:rPr>
        <w:t>1</w:t>
      </w:r>
      <w:r w:rsidRPr="00780FCF">
        <w:rPr>
          <w:vertAlign w:val="superscript"/>
          <w:lang w:val="fr-FR"/>
        </w:rPr>
        <w:t>er</w:t>
      </w:r>
      <w:r w:rsidRPr="00780FCF">
        <w:rPr>
          <w:lang w:val="fr-FR"/>
        </w:rPr>
        <w:t> octobre 2014, les auteurs ont formé un recours en cassation contre la décision du tribunal du district central devant le tribunal régional de Gomel, recours qui a été rejeté le 28 octobre 2014.</w:t>
      </w:r>
      <w:r>
        <w:rPr>
          <w:lang w:val="fr-FR"/>
        </w:rPr>
        <w:t xml:space="preserve"> </w:t>
      </w:r>
    </w:p>
    <w:p w14:paraId="2E1842A4" w14:textId="77777777" w:rsidR="00EC6846" w:rsidRPr="00780FCF" w:rsidRDefault="00EC6846" w:rsidP="00F60443">
      <w:pPr>
        <w:pStyle w:val="SingleTxtG"/>
        <w:rPr>
          <w:lang w:val="fr-FR"/>
        </w:rPr>
      </w:pPr>
      <w:r w:rsidRPr="00780FCF">
        <w:rPr>
          <w:lang w:val="fr-FR"/>
        </w:rPr>
        <w:t>2.5</w:t>
      </w:r>
      <w:r w:rsidRPr="00780FCF">
        <w:rPr>
          <w:lang w:val="fr-FR"/>
        </w:rPr>
        <w:tab/>
      </w:r>
      <w:r>
        <w:rPr>
          <w:lang w:val="fr-FR"/>
        </w:rPr>
        <w:t xml:space="preserve">Le </w:t>
      </w:r>
      <w:r w:rsidRPr="00780FCF">
        <w:rPr>
          <w:lang w:val="fr-FR"/>
        </w:rPr>
        <w:t xml:space="preserve">2 janvier 2015, les auteurs ont présenté une demande de contrôle de la décision du tribunal régional auprès du Président de cette juridiction. </w:t>
      </w:r>
      <w:r>
        <w:rPr>
          <w:lang w:val="fr-FR"/>
        </w:rPr>
        <w:t xml:space="preserve">Le </w:t>
      </w:r>
      <w:r w:rsidRPr="00780FCF">
        <w:rPr>
          <w:lang w:val="fr-FR"/>
        </w:rPr>
        <w:t>11 février 2015, ils ont présenté une nouvelle demande de contrôle, auprès du Président de la Cour suprême. Ces demandes ont été rejetées respectivement le 10 février et le 26 mars 2015. Les auteurs n</w:t>
      </w:r>
      <w:r>
        <w:rPr>
          <w:lang w:val="fr-FR"/>
        </w:rPr>
        <w:t>’</w:t>
      </w:r>
      <w:r w:rsidRPr="00780FCF">
        <w:rPr>
          <w:lang w:val="fr-FR"/>
        </w:rPr>
        <w:t>ont pas prié les services du Procureur général d</w:t>
      </w:r>
      <w:r>
        <w:rPr>
          <w:lang w:val="fr-FR"/>
        </w:rPr>
        <w:t>’</w:t>
      </w:r>
      <w:r w:rsidRPr="00780FCF">
        <w:rPr>
          <w:lang w:val="fr-FR"/>
        </w:rPr>
        <w:t xml:space="preserve">engager une procédure de contrôle car ils estimaient que ce mécanisme ne constituait pas un recours interne utile. </w:t>
      </w:r>
    </w:p>
    <w:p w14:paraId="73C14EEA" w14:textId="77777777" w:rsidR="00EC6846" w:rsidRPr="00780FCF" w:rsidRDefault="00EC6846" w:rsidP="009921B3">
      <w:pPr>
        <w:pStyle w:val="H23G"/>
        <w:rPr>
          <w:lang w:val="fr-FR"/>
        </w:rPr>
      </w:pPr>
      <w:r w:rsidRPr="00780FCF">
        <w:rPr>
          <w:lang w:val="fr-FR"/>
        </w:rPr>
        <w:tab/>
      </w:r>
      <w:r w:rsidRPr="00780FCF">
        <w:rPr>
          <w:lang w:val="fr-FR"/>
        </w:rPr>
        <w:tab/>
        <w:t>Teneur de la plainte</w:t>
      </w:r>
    </w:p>
    <w:p w14:paraId="59FD4FD5" w14:textId="77BD280E" w:rsidR="00EC6846" w:rsidRPr="00780FCF" w:rsidRDefault="00EC6846" w:rsidP="00F60443">
      <w:pPr>
        <w:pStyle w:val="SingleTxtG"/>
        <w:rPr>
          <w:lang w:val="fr-FR"/>
        </w:rPr>
      </w:pPr>
      <w:r w:rsidRPr="00780FCF">
        <w:rPr>
          <w:lang w:val="fr-FR"/>
        </w:rPr>
        <w:t>3.1</w:t>
      </w:r>
      <w:r w:rsidRPr="00780FCF">
        <w:rPr>
          <w:lang w:val="fr-FR"/>
        </w:rPr>
        <w:tab/>
        <w:t xml:space="preserve">Les auteurs soutiennent que le </w:t>
      </w:r>
      <w:r>
        <w:rPr>
          <w:lang w:val="fr-FR"/>
        </w:rPr>
        <w:t>refus d</w:t>
      </w:r>
      <w:r w:rsidRPr="00780FCF">
        <w:rPr>
          <w:lang w:val="fr-FR"/>
        </w:rPr>
        <w:t>es autorités nationales d</w:t>
      </w:r>
      <w:r>
        <w:rPr>
          <w:lang w:val="fr-FR"/>
        </w:rPr>
        <w:t xml:space="preserve">e les </w:t>
      </w:r>
      <w:r w:rsidRPr="00780FCF">
        <w:rPr>
          <w:lang w:val="fr-FR"/>
        </w:rPr>
        <w:t>autoris</w:t>
      </w:r>
      <w:r>
        <w:rPr>
          <w:lang w:val="fr-FR"/>
        </w:rPr>
        <w:t>er à organiser un</w:t>
      </w:r>
      <w:r w:rsidRPr="00780FCF">
        <w:rPr>
          <w:lang w:val="fr-FR"/>
        </w:rPr>
        <w:t xml:space="preserve"> rassemblement constitue une violation des droits qu</w:t>
      </w:r>
      <w:r>
        <w:rPr>
          <w:lang w:val="fr-FR"/>
        </w:rPr>
        <w:t>’</w:t>
      </w:r>
      <w:r w:rsidRPr="00780FCF">
        <w:rPr>
          <w:lang w:val="fr-FR"/>
        </w:rPr>
        <w:t>ils tiennent des articles 19 et 21 du Pacte, lus conjointement avec l</w:t>
      </w:r>
      <w:r>
        <w:rPr>
          <w:lang w:val="fr-FR"/>
        </w:rPr>
        <w:t>’</w:t>
      </w:r>
      <w:r w:rsidRPr="00780FCF">
        <w:rPr>
          <w:lang w:val="fr-FR"/>
        </w:rPr>
        <w:t xml:space="preserve">article 2 </w:t>
      </w:r>
      <w:r w:rsidR="00BC297B">
        <w:rPr>
          <w:lang w:val="fr-FR"/>
        </w:rPr>
        <w:t>(par. </w:t>
      </w:r>
      <w:r w:rsidRPr="00780FCF">
        <w:rPr>
          <w:lang w:val="fr-FR"/>
        </w:rPr>
        <w:t>2 et 3).</w:t>
      </w:r>
    </w:p>
    <w:p w14:paraId="65EC7CB6" w14:textId="77777777" w:rsidR="00EC6846" w:rsidRPr="00780FCF" w:rsidRDefault="00EC6846" w:rsidP="00F60443">
      <w:pPr>
        <w:pStyle w:val="SingleTxtG"/>
        <w:rPr>
          <w:lang w:val="fr-FR"/>
        </w:rPr>
      </w:pPr>
      <w:r w:rsidRPr="00780FCF">
        <w:rPr>
          <w:lang w:val="fr-FR"/>
        </w:rPr>
        <w:t>3.2</w:t>
      </w:r>
      <w:r w:rsidRPr="00780FCF">
        <w:rPr>
          <w:lang w:val="fr-FR"/>
        </w:rPr>
        <w:tab/>
        <w:t>Les auteurs expliquent que ni le Comité exécutif de Gomel ni les tribunaux n</w:t>
      </w:r>
      <w:r>
        <w:rPr>
          <w:lang w:val="fr-FR"/>
        </w:rPr>
        <w:t>’</w:t>
      </w:r>
      <w:r w:rsidRPr="00780FCF">
        <w:rPr>
          <w:lang w:val="fr-FR"/>
        </w:rPr>
        <w:t xml:space="preserve">ont examiné la question de savoir si les restrictions imposées à leurs droits par la décision </w:t>
      </w:r>
      <w:r w:rsidRPr="00E721D9">
        <w:rPr>
          <w:rFonts w:eastAsia="MS Mincho"/>
          <w:lang w:val="fr-FR"/>
        </w:rPr>
        <w:t>n</w:t>
      </w:r>
      <w:r w:rsidRPr="00E721D9">
        <w:rPr>
          <w:rFonts w:eastAsia="MS Mincho"/>
          <w:vertAlign w:val="superscript"/>
          <w:lang w:val="fr-FR"/>
        </w:rPr>
        <w:t>o</w:t>
      </w:r>
      <w:r>
        <w:rPr>
          <w:lang w:val="fr-FR"/>
        </w:rPr>
        <w:t> </w:t>
      </w:r>
      <w:r w:rsidRPr="00780FCF">
        <w:rPr>
          <w:lang w:val="fr-FR"/>
        </w:rPr>
        <w:t>775 étaient justifiées par la nécessité de protéger la sécurité nationale</w:t>
      </w:r>
      <w:r>
        <w:rPr>
          <w:lang w:val="fr-FR"/>
        </w:rPr>
        <w:t>,</w:t>
      </w:r>
      <w:r w:rsidRPr="00780FCF">
        <w:rPr>
          <w:lang w:val="fr-FR"/>
        </w:rPr>
        <w:t xml:space="preserve"> la sûreté publique, l</w:t>
      </w:r>
      <w:r>
        <w:rPr>
          <w:lang w:val="fr-FR"/>
        </w:rPr>
        <w:t>’</w:t>
      </w:r>
      <w:r w:rsidRPr="00780FCF">
        <w:rPr>
          <w:lang w:val="fr-FR"/>
        </w:rPr>
        <w:t>ordre public, la santé ou la moralité publiques, ou les droits et libertés d</w:t>
      </w:r>
      <w:r>
        <w:rPr>
          <w:lang w:val="fr-FR"/>
        </w:rPr>
        <w:t>’</w:t>
      </w:r>
      <w:r w:rsidRPr="00780FCF">
        <w:rPr>
          <w:lang w:val="fr-FR"/>
        </w:rPr>
        <w:t>autrui. Ils soutiennent qu</w:t>
      </w:r>
      <w:r>
        <w:rPr>
          <w:lang w:val="fr-FR"/>
        </w:rPr>
        <w:t>’</w:t>
      </w:r>
      <w:r w:rsidRPr="00780FCF">
        <w:rPr>
          <w:lang w:val="fr-FR"/>
        </w:rPr>
        <w:t>en disposant que les manifestations publiques organisées à Gomel ne peuvent se tenir qu</w:t>
      </w:r>
      <w:r>
        <w:rPr>
          <w:lang w:val="fr-FR"/>
        </w:rPr>
        <w:t>’</w:t>
      </w:r>
      <w:r w:rsidRPr="00780FCF">
        <w:rPr>
          <w:lang w:val="fr-FR"/>
        </w:rPr>
        <w:t xml:space="preserve">en deux lieux éloignés et à la condition que les organisateurs aient au préalable conclu des contrats de prestation de services avec la municipalité, la décision </w:t>
      </w:r>
      <w:r w:rsidRPr="00E721D9">
        <w:rPr>
          <w:rFonts w:eastAsia="MS Mincho"/>
          <w:lang w:val="fr-FR"/>
        </w:rPr>
        <w:t>n</w:t>
      </w:r>
      <w:r w:rsidRPr="00E721D9">
        <w:rPr>
          <w:rFonts w:eastAsia="MS Mincho"/>
          <w:vertAlign w:val="superscript"/>
          <w:lang w:val="fr-FR"/>
        </w:rPr>
        <w:t>o</w:t>
      </w:r>
      <w:r>
        <w:rPr>
          <w:lang w:val="fr-FR"/>
        </w:rPr>
        <w:t> </w:t>
      </w:r>
      <w:r w:rsidRPr="00780FCF">
        <w:rPr>
          <w:lang w:val="fr-FR"/>
        </w:rPr>
        <w:t xml:space="preserve">775 restreint inutilement les droits consacrés par les articles 19 et 21 du Pacte et porte atteinte à leur fondement même. </w:t>
      </w:r>
    </w:p>
    <w:p w14:paraId="3C794642" w14:textId="246AA19E" w:rsidR="00EC6846" w:rsidRPr="00780FCF" w:rsidRDefault="00EC6846" w:rsidP="00F60443">
      <w:pPr>
        <w:pStyle w:val="SingleTxtG"/>
        <w:rPr>
          <w:lang w:val="fr-FR"/>
        </w:rPr>
      </w:pPr>
      <w:r w:rsidRPr="00780FCF">
        <w:rPr>
          <w:lang w:val="fr-FR"/>
        </w:rPr>
        <w:t>3.3</w:t>
      </w:r>
      <w:r w:rsidRPr="00780FCF">
        <w:rPr>
          <w:lang w:val="fr-FR"/>
        </w:rPr>
        <w:tab/>
        <w:t>Les auteurs avancent qu</w:t>
      </w:r>
      <w:r>
        <w:rPr>
          <w:lang w:val="fr-FR"/>
        </w:rPr>
        <w:t>’</w:t>
      </w:r>
      <w:r w:rsidRPr="00780FCF">
        <w:rPr>
          <w:lang w:val="fr-FR"/>
        </w:rPr>
        <w:t>en ratifiant le Pacte, l</w:t>
      </w:r>
      <w:r>
        <w:rPr>
          <w:lang w:val="fr-FR"/>
        </w:rPr>
        <w:t>’</w:t>
      </w:r>
      <w:r w:rsidRPr="00780FCF">
        <w:rPr>
          <w:lang w:val="fr-FR"/>
        </w:rPr>
        <w:t>État partie s</w:t>
      </w:r>
      <w:r>
        <w:rPr>
          <w:lang w:val="fr-FR"/>
        </w:rPr>
        <w:t>’</w:t>
      </w:r>
      <w:r w:rsidRPr="00780FCF">
        <w:rPr>
          <w:lang w:val="fr-FR"/>
        </w:rPr>
        <w:t>est engagé à respecter et à garantir à tous les individus les droits reconnus dans le Pacte, ainsi qu</w:t>
      </w:r>
      <w:r>
        <w:rPr>
          <w:lang w:val="fr-FR"/>
        </w:rPr>
        <w:t>’</w:t>
      </w:r>
      <w:r w:rsidRPr="00780FCF">
        <w:rPr>
          <w:lang w:val="fr-FR"/>
        </w:rPr>
        <w:t>à adopter toutes mesures d</w:t>
      </w:r>
      <w:r>
        <w:rPr>
          <w:lang w:val="fr-FR"/>
        </w:rPr>
        <w:t>’</w:t>
      </w:r>
      <w:r w:rsidRPr="00780FCF">
        <w:rPr>
          <w:lang w:val="fr-FR"/>
        </w:rPr>
        <w:t>ordre législatif ou autre propres à donner effet auxdits droits (art. 2). Ils</w:t>
      </w:r>
      <w:r w:rsidR="009921B3">
        <w:rPr>
          <w:lang w:val="fr-FR"/>
        </w:rPr>
        <w:t> </w:t>
      </w:r>
      <w:r w:rsidRPr="00780FCF">
        <w:rPr>
          <w:lang w:val="fr-FR"/>
        </w:rPr>
        <w:t>soutiennent que l</w:t>
      </w:r>
      <w:r>
        <w:rPr>
          <w:lang w:val="fr-FR"/>
        </w:rPr>
        <w:t>’</w:t>
      </w:r>
      <w:r w:rsidRPr="00780FCF">
        <w:rPr>
          <w:lang w:val="fr-FR"/>
        </w:rPr>
        <w:t>État partie ne respecte pas les obligations mises à sa charge par l</w:t>
      </w:r>
      <w:r>
        <w:rPr>
          <w:lang w:val="fr-FR"/>
        </w:rPr>
        <w:t>’</w:t>
      </w:r>
      <w:r w:rsidRPr="00780FCF">
        <w:rPr>
          <w:lang w:val="fr-FR"/>
        </w:rPr>
        <w:t xml:space="preserve">article 2 </w:t>
      </w:r>
      <w:r w:rsidR="00BC297B">
        <w:rPr>
          <w:lang w:val="fr-FR"/>
        </w:rPr>
        <w:t>(par. </w:t>
      </w:r>
      <w:r w:rsidRPr="00780FCF">
        <w:rPr>
          <w:lang w:val="fr-FR"/>
        </w:rPr>
        <w:t xml:space="preserve">2) du Pacte, lu conjointement avec les articles 19 et 21, car la loi sur les manifestations </w:t>
      </w:r>
      <w:r>
        <w:rPr>
          <w:lang w:val="fr-FR"/>
        </w:rPr>
        <w:t xml:space="preserve">publiques </w:t>
      </w:r>
      <w:r w:rsidRPr="00780FCF">
        <w:rPr>
          <w:lang w:val="fr-FR"/>
        </w:rPr>
        <w:t>contient des dispositions vagues et ambiguës. Par exemple, l</w:t>
      </w:r>
      <w:r>
        <w:rPr>
          <w:lang w:val="fr-FR"/>
        </w:rPr>
        <w:t>’</w:t>
      </w:r>
      <w:r w:rsidRPr="00780FCF">
        <w:rPr>
          <w:lang w:val="fr-FR"/>
        </w:rPr>
        <w:t>article 9 de cette loi donne aux responsables des comités exécutifs locaux toute discrétion pour déterminer, sans avoir à justifier leur choix, les lieux où les réunions pacifiques peuvent être organisées.</w:t>
      </w:r>
    </w:p>
    <w:p w14:paraId="13891A49" w14:textId="77777777" w:rsidR="00EC6846" w:rsidRPr="00780FCF" w:rsidRDefault="00EC6846" w:rsidP="00F60443">
      <w:pPr>
        <w:pStyle w:val="SingleTxtG"/>
        <w:rPr>
          <w:lang w:val="fr-FR"/>
        </w:rPr>
      </w:pPr>
      <w:r w:rsidRPr="00780FCF">
        <w:rPr>
          <w:lang w:val="fr-FR"/>
        </w:rPr>
        <w:lastRenderedPageBreak/>
        <w:t>3.4</w:t>
      </w:r>
      <w:r w:rsidRPr="00780FCF">
        <w:rPr>
          <w:lang w:val="fr-FR"/>
        </w:rPr>
        <w:tab/>
        <w:t>Dans ces circonstances, les auteurs prient le Comité de recommander à l</w:t>
      </w:r>
      <w:r>
        <w:rPr>
          <w:lang w:val="fr-FR"/>
        </w:rPr>
        <w:t>’</w:t>
      </w:r>
      <w:r w:rsidRPr="00780FCF">
        <w:rPr>
          <w:lang w:val="fr-FR"/>
        </w:rPr>
        <w:t xml:space="preserve">État partie de mettre sa législation, en particulier la loi sur les manifestations </w:t>
      </w:r>
      <w:r>
        <w:rPr>
          <w:lang w:val="fr-FR"/>
        </w:rPr>
        <w:t>publiques</w:t>
      </w:r>
      <w:r w:rsidRPr="00780FCF">
        <w:rPr>
          <w:lang w:val="fr-FR"/>
        </w:rPr>
        <w:t xml:space="preserve"> et la décision </w:t>
      </w:r>
      <w:r w:rsidRPr="00E721D9">
        <w:rPr>
          <w:rFonts w:eastAsia="MS Mincho"/>
          <w:lang w:val="fr-FR"/>
        </w:rPr>
        <w:t>n</w:t>
      </w:r>
      <w:r w:rsidRPr="00E721D9">
        <w:rPr>
          <w:rFonts w:eastAsia="MS Mincho"/>
          <w:vertAlign w:val="superscript"/>
          <w:lang w:val="fr-FR"/>
        </w:rPr>
        <w:t>o</w:t>
      </w:r>
      <w:r>
        <w:rPr>
          <w:lang w:val="fr-FR"/>
        </w:rPr>
        <w:t> </w:t>
      </w:r>
      <w:r w:rsidRPr="00780FCF">
        <w:rPr>
          <w:lang w:val="fr-FR"/>
        </w:rPr>
        <w:t xml:space="preserve">775 du Comité exécutif de Gomel, en conformité avec les normes internationales énoncées aux articles 19 et 21 du Pacte. </w:t>
      </w:r>
    </w:p>
    <w:p w14:paraId="0DC220DD" w14:textId="77777777" w:rsidR="00EC6846" w:rsidRPr="00780FCF" w:rsidRDefault="00EC6846" w:rsidP="009921B3">
      <w:pPr>
        <w:pStyle w:val="H23G"/>
        <w:rPr>
          <w:lang w:val="fr-FR"/>
        </w:rPr>
      </w:pPr>
      <w:r w:rsidRPr="00780FCF">
        <w:rPr>
          <w:lang w:val="fr-FR"/>
        </w:rPr>
        <w:tab/>
      </w:r>
      <w:r w:rsidRPr="00780FCF">
        <w:rPr>
          <w:lang w:val="fr-FR"/>
        </w:rPr>
        <w:tab/>
        <w:t>Observations de l</w:t>
      </w:r>
      <w:r>
        <w:rPr>
          <w:lang w:val="fr-FR"/>
        </w:rPr>
        <w:t>’</w:t>
      </w:r>
      <w:r w:rsidRPr="00780FCF">
        <w:rPr>
          <w:lang w:val="fr-FR"/>
        </w:rPr>
        <w:t>État partie sur la recevabilité</w:t>
      </w:r>
    </w:p>
    <w:p w14:paraId="6B73768E" w14:textId="77777777" w:rsidR="00EC6846" w:rsidRPr="00780FCF" w:rsidRDefault="00EC6846" w:rsidP="00F60443">
      <w:pPr>
        <w:pStyle w:val="SingleTxtG"/>
        <w:rPr>
          <w:lang w:val="fr-FR"/>
        </w:rPr>
      </w:pPr>
      <w:r w:rsidRPr="00780FCF">
        <w:rPr>
          <w:lang w:val="fr-FR"/>
        </w:rPr>
        <w:t>4.1</w:t>
      </w:r>
      <w:r w:rsidRPr="00780FCF">
        <w:rPr>
          <w:lang w:val="fr-FR"/>
        </w:rPr>
        <w:tab/>
        <w:t xml:space="preserve">Dans une note verbale </w:t>
      </w:r>
      <w:r>
        <w:rPr>
          <w:lang w:val="fr-FR"/>
        </w:rPr>
        <w:t xml:space="preserve">datée </w:t>
      </w:r>
      <w:r w:rsidRPr="00780FCF">
        <w:rPr>
          <w:lang w:val="fr-FR"/>
        </w:rPr>
        <w:t>du</w:t>
      </w:r>
      <w:r>
        <w:rPr>
          <w:lang w:val="fr-FR"/>
        </w:rPr>
        <w:t xml:space="preserve"> </w:t>
      </w:r>
      <w:r w:rsidRPr="00780FCF">
        <w:rPr>
          <w:lang w:val="fr-FR"/>
        </w:rPr>
        <w:t>29 janvier 2016, l</w:t>
      </w:r>
      <w:r>
        <w:rPr>
          <w:lang w:val="fr-FR"/>
        </w:rPr>
        <w:t>’</w:t>
      </w:r>
      <w:r w:rsidRPr="00780FCF">
        <w:rPr>
          <w:lang w:val="fr-FR"/>
        </w:rPr>
        <w:t>État partie signale que, selon les dispositions du Protocole facultatif, tout particulier qui prétend être victime d</w:t>
      </w:r>
      <w:r>
        <w:rPr>
          <w:lang w:val="fr-FR"/>
        </w:rPr>
        <w:t>’</w:t>
      </w:r>
      <w:r w:rsidRPr="00780FCF">
        <w:rPr>
          <w:lang w:val="fr-FR"/>
        </w:rPr>
        <w:t>une violation de l</w:t>
      </w:r>
      <w:r>
        <w:rPr>
          <w:lang w:val="fr-FR"/>
        </w:rPr>
        <w:t>’</w:t>
      </w:r>
      <w:r w:rsidRPr="00780FCF">
        <w:rPr>
          <w:lang w:val="fr-FR"/>
        </w:rPr>
        <w:t>un quelconque des droits énoncés dans le Pacte et qui a épuisé toutes les voies de recours internes qui lui étaient ouvertes peut soumettre une communication écrite au Comité.</w:t>
      </w:r>
    </w:p>
    <w:p w14:paraId="47980F3C" w14:textId="1C797013" w:rsidR="00EC6846" w:rsidRPr="00780FCF" w:rsidRDefault="00EC6846" w:rsidP="00F60443">
      <w:pPr>
        <w:pStyle w:val="SingleTxtG"/>
        <w:rPr>
          <w:lang w:val="fr-FR"/>
        </w:rPr>
      </w:pPr>
      <w:r w:rsidRPr="00780FCF">
        <w:rPr>
          <w:lang w:val="fr-FR"/>
        </w:rPr>
        <w:t>4.2</w:t>
      </w:r>
      <w:r w:rsidRPr="00780FCF">
        <w:rPr>
          <w:lang w:val="fr-FR"/>
        </w:rPr>
        <w:tab/>
        <w:t>L</w:t>
      </w:r>
      <w:r>
        <w:rPr>
          <w:lang w:val="fr-FR"/>
        </w:rPr>
        <w:t>’</w:t>
      </w:r>
      <w:r w:rsidRPr="00780FCF">
        <w:rPr>
          <w:lang w:val="fr-FR"/>
        </w:rPr>
        <w:t>État partie constate que, le</w:t>
      </w:r>
      <w:r>
        <w:rPr>
          <w:lang w:val="fr-FR"/>
        </w:rPr>
        <w:t xml:space="preserve"> </w:t>
      </w:r>
      <w:r w:rsidRPr="00780FCF">
        <w:rPr>
          <w:lang w:val="fr-FR"/>
        </w:rPr>
        <w:t>17 juillet 2014, le Comité exécutif de Gomel a refusé d</w:t>
      </w:r>
      <w:r>
        <w:rPr>
          <w:lang w:val="fr-FR"/>
        </w:rPr>
        <w:t>’</w:t>
      </w:r>
      <w:r w:rsidRPr="00780FCF">
        <w:rPr>
          <w:lang w:val="fr-FR"/>
        </w:rPr>
        <w:t>accorder aux auteurs l</w:t>
      </w:r>
      <w:r>
        <w:rPr>
          <w:lang w:val="fr-FR"/>
        </w:rPr>
        <w:t>’</w:t>
      </w:r>
      <w:r w:rsidRPr="00780FCF">
        <w:rPr>
          <w:lang w:val="fr-FR"/>
        </w:rPr>
        <w:t>autorisation qu</w:t>
      </w:r>
      <w:r>
        <w:rPr>
          <w:lang w:val="fr-FR"/>
        </w:rPr>
        <w:t>’</w:t>
      </w:r>
      <w:r w:rsidRPr="00780FCF">
        <w:rPr>
          <w:lang w:val="fr-FR"/>
        </w:rPr>
        <w:t xml:space="preserve">ils demandaient </w:t>
      </w:r>
      <w:r>
        <w:rPr>
          <w:lang w:val="fr-FR"/>
        </w:rPr>
        <w:t xml:space="preserve">afin </w:t>
      </w:r>
      <w:r w:rsidRPr="00780FCF">
        <w:rPr>
          <w:lang w:val="fr-FR"/>
        </w:rPr>
        <w:t>d</w:t>
      </w:r>
      <w:r>
        <w:rPr>
          <w:lang w:val="fr-FR"/>
        </w:rPr>
        <w:t xml:space="preserve">’organiser </w:t>
      </w:r>
      <w:r w:rsidRPr="00780FCF">
        <w:rPr>
          <w:lang w:val="fr-FR"/>
        </w:rPr>
        <w:t>un rassemblement le</w:t>
      </w:r>
      <w:r>
        <w:rPr>
          <w:lang w:val="fr-FR"/>
        </w:rPr>
        <w:t xml:space="preserve"> </w:t>
      </w:r>
      <w:r w:rsidRPr="00780FCF">
        <w:rPr>
          <w:lang w:val="fr-FR"/>
        </w:rPr>
        <w:t>4</w:t>
      </w:r>
      <w:r w:rsidR="00244214">
        <w:rPr>
          <w:lang w:val="fr-FR"/>
        </w:rPr>
        <w:t> </w:t>
      </w:r>
      <w:r w:rsidRPr="00780FCF">
        <w:rPr>
          <w:lang w:val="fr-FR"/>
        </w:rPr>
        <w:t xml:space="preserve">août 2014, en se fondant sur la loi du 30 décembre 1997 sur les manifestations </w:t>
      </w:r>
      <w:r>
        <w:rPr>
          <w:lang w:val="fr-FR"/>
        </w:rPr>
        <w:t>publiques</w:t>
      </w:r>
      <w:r w:rsidRPr="00780FCF">
        <w:rPr>
          <w:lang w:val="fr-FR"/>
        </w:rPr>
        <w:t xml:space="preserve"> et sur la décision </w:t>
      </w:r>
      <w:r w:rsidRPr="00E721D9">
        <w:rPr>
          <w:rFonts w:eastAsia="MS Mincho"/>
          <w:lang w:val="fr-FR"/>
        </w:rPr>
        <w:t>n</w:t>
      </w:r>
      <w:r w:rsidRPr="00E721D9">
        <w:rPr>
          <w:rFonts w:eastAsia="MS Mincho"/>
          <w:vertAlign w:val="superscript"/>
          <w:lang w:val="fr-FR"/>
        </w:rPr>
        <w:t>o</w:t>
      </w:r>
      <w:r>
        <w:rPr>
          <w:lang w:val="fr-FR"/>
        </w:rPr>
        <w:t> </w:t>
      </w:r>
      <w:r w:rsidRPr="00780FCF">
        <w:rPr>
          <w:lang w:val="fr-FR"/>
        </w:rPr>
        <w:t>775 du Comité exécutif du 15 août 2013 sur la tenue de manifestations publiques dans la ville de Gomel.</w:t>
      </w:r>
      <w:r>
        <w:rPr>
          <w:lang w:val="fr-FR"/>
        </w:rPr>
        <w:t xml:space="preserve"> </w:t>
      </w:r>
      <w:r w:rsidRPr="00780FCF">
        <w:rPr>
          <w:lang w:val="fr-FR"/>
        </w:rPr>
        <w:t xml:space="preserve"> </w:t>
      </w:r>
    </w:p>
    <w:p w14:paraId="2F8D4F22" w14:textId="0B14A4AF" w:rsidR="00EC6846" w:rsidRPr="00780FCF" w:rsidRDefault="00EC6846" w:rsidP="00F60443">
      <w:pPr>
        <w:pStyle w:val="SingleTxtG"/>
        <w:rPr>
          <w:lang w:val="fr-FR"/>
        </w:rPr>
      </w:pPr>
      <w:r w:rsidRPr="00780FCF">
        <w:rPr>
          <w:lang w:val="fr-FR"/>
        </w:rPr>
        <w:t>4.3</w:t>
      </w:r>
      <w:r w:rsidRPr="00780FCF">
        <w:rPr>
          <w:lang w:val="fr-FR"/>
        </w:rPr>
        <w:tab/>
        <w:t xml:space="preserve">La décision du Comité exécutif </w:t>
      </w:r>
      <w:r>
        <w:rPr>
          <w:lang w:val="fr-FR"/>
        </w:rPr>
        <w:t xml:space="preserve">de Gomel </w:t>
      </w:r>
      <w:r w:rsidRPr="00780FCF">
        <w:rPr>
          <w:lang w:val="fr-FR"/>
        </w:rPr>
        <w:t xml:space="preserve">a été confirmée par le tribunal du district central de Gomel. Les auteurs ont été déboutés de leurs recours par le tribunal régional de Gomel. Les demandes introduites </w:t>
      </w:r>
      <w:r>
        <w:rPr>
          <w:lang w:val="fr-FR"/>
        </w:rPr>
        <w:t xml:space="preserve">par la suite </w:t>
      </w:r>
      <w:r w:rsidRPr="00780FCF">
        <w:rPr>
          <w:lang w:val="fr-FR"/>
        </w:rPr>
        <w:t>par les auteurs au titre de la procédure de contrôle ont également été rejetées. Cependant, l</w:t>
      </w:r>
      <w:r>
        <w:rPr>
          <w:lang w:val="fr-FR"/>
        </w:rPr>
        <w:t>’</w:t>
      </w:r>
      <w:r w:rsidRPr="00780FCF">
        <w:rPr>
          <w:lang w:val="fr-FR"/>
        </w:rPr>
        <w:t>État partie fait observer que les auteurs n</w:t>
      </w:r>
      <w:r>
        <w:rPr>
          <w:lang w:val="fr-FR"/>
        </w:rPr>
        <w:t>’</w:t>
      </w:r>
      <w:r w:rsidRPr="00780FCF">
        <w:rPr>
          <w:lang w:val="fr-FR"/>
        </w:rPr>
        <w:t>ont pas épuisé toutes les voies de recours internes qui leur étaient ouvertes puisque les demandes qu</w:t>
      </w:r>
      <w:r>
        <w:rPr>
          <w:lang w:val="fr-FR"/>
        </w:rPr>
        <w:t>’</w:t>
      </w:r>
      <w:r w:rsidRPr="00780FCF">
        <w:rPr>
          <w:lang w:val="fr-FR"/>
        </w:rPr>
        <w:t>ils avaient introduites au titre de la procédure de contrôle n</w:t>
      </w:r>
      <w:r>
        <w:rPr>
          <w:lang w:val="fr-FR"/>
        </w:rPr>
        <w:t>’</w:t>
      </w:r>
      <w:r w:rsidRPr="00780FCF">
        <w:rPr>
          <w:lang w:val="fr-FR"/>
        </w:rPr>
        <w:t>ont pas été examinées par le Procureur général ni par le Président de la Cour suprême. En ce qui concerne l</w:t>
      </w:r>
      <w:r>
        <w:rPr>
          <w:lang w:val="fr-FR"/>
        </w:rPr>
        <w:t>’</w:t>
      </w:r>
      <w:r w:rsidRPr="00780FCF">
        <w:rPr>
          <w:lang w:val="fr-FR"/>
        </w:rPr>
        <w:t xml:space="preserve">efficacité </w:t>
      </w:r>
      <w:r>
        <w:rPr>
          <w:lang w:val="fr-FR"/>
        </w:rPr>
        <w:t xml:space="preserve">du </w:t>
      </w:r>
      <w:r w:rsidRPr="00780FCF">
        <w:rPr>
          <w:lang w:val="fr-FR"/>
        </w:rPr>
        <w:t>réexamen au titre de la procédure de contrôle, l</w:t>
      </w:r>
      <w:r>
        <w:rPr>
          <w:lang w:val="fr-FR"/>
        </w:rPr>
        <w:t>’</w:t>
      </w:r>
      <w:r w:rsidRPr="00780FCF">
        <w:rPr>
          <w:lang w:val="fr-FR"/>
        </w:rPr>
        <w:t>État partie fait observer qu</w:t>
      </w:r>
      <w:r>
        <w:rPr>
          <w:lang w:val="fr-FR"/>
        </w:rPr>
        <w:t>’</w:t>
      </w:r>
      <w:r w:rsidRPr="00780FCF">
        <w:rPr>
          <w:lang w:val="fr-FR"/>
        </w:rPr>
        <w:t xml:space="preserve">en 2015, 2 782 demandes civiles de recours en cassation et de réexamen au titre de la procédure de contrôle </w:t>
      </w:r>
      <w:r>
        <w:rPr>
          <w:lang w:val="fr-FR"/>
        </w:rPr>
        <w:t>ont été présentées</w:t>
      </w:r>
      <w:r w:rsidR="00090ED5">
        <w:rPr>
          <w:lang w:val="fr-FR"/>
        </w:rPr>
        <w:t xml:space="preserve"> </w:t>
      </w:r>
      <w:r>
        <w:rPr>
          <w:lang w:val="fr-FR"/>
        </w:rPr>
        <w:t>et, après examen de ces demandes, le Procureur général a autorisé la tenue de 1</w:t>
      </w:r>
      <w:r w:rsidR="009921B3">
        <w:rPr>
          <w:lang w:val="fr-FR"/>
        </w:rPr>
        <w:t> </w:t>
      </w:r>
      <w:r>
        <w:rPr>
          <w:lang w:val="fr-FR"/>
        </w:rPr>
        <w:t>487</w:t>
      </w:r>
      <w:r w:rsidR="009921B3">
        <w:rPr>
          <w:lang w:val="fr-FR"/>
        </w:rPr>
        <w:t> </w:t>
      </w:r>
      <w:r>
        <w:rPr>
          <w:lang w:val="fr-FR"/>
        </w:rPr>
        <w:t>manifestations</w:t>
      </w:r>
      <w:r w:rsidRPr="00780FCF">
        <w:rPr>
          <w:lang w:val="fr-FR"/>
        </w:rPr>
        <w:t>.</w:t>
      </w:r>
    </w:p>
    <w:p w14:paraId="5B219920" w14:textId="735211BB" w:rsidR="00EC6846" w:rsidRPr="00780FCF" w:rsidRDefault="00EC6846" w:rsidP="00A45B13">
      <w:pPr>
        <w:pStyle w:val="SingleTxtG"/>
        <w:rPr>
          <w:lang w:val="fr-FR"/>
        </w:rPr>
      </w:pPr>
      <w:r w:rsidRPr="00780FCF">
        <w:rPr>
          <w:lang w:val="fr-FR"/>
        </w:rPr>
        <w:t>4.4</w:t>
      </w:r>
      <w:r w:rsidRPr="00780FCF">
        <w:rPr>
          <w:lang w:val="fr-FR"/>
        </w:rPr>
        <w:tab/>
        <w:t>L</w:t>
      </w:r>
      <w:r>
        <w:rPr>
          <w:lang w:val="fr-FR"/>
        </w:rPr>
        <w:t>’</w:t>
      </w:r>
      <w:r w:rsidRPr="00780FCF">
        <w:rPr>
          <w:lang w:val="fr-FR"/>
        </w:rPr>
        <w:t>État partie soutient que le rassemblement a été interdit parce que les auteurs n</w:t>
      </w:r>
      <w:r>
        <w:rPr>
          <w:lang w:val="fr-FR"/>
        </w:rPr>
        <w:t>’</w:t>
      </w:r>
      <w:r w:rsidRPr="00780FCF">
        <w:rPr>
          <w:lang w:val="fr-FR"/>
        </w:rPr>
        <w:t>avaient pas présenté les contrats conclus avec les prestataires de services municipaux respectivement chargés d</w:t>
      </w:r>
      <w:r>
        <w:rPr>
          <w:lang w:val="fr-FR"/>
        </w:rPr>
        <w:t>’</w:t>
      </w:r>
      <w:r w:rsidRPr="00780FCF">
        <w:rPr>
          <w:lang w:val="fr-FR"/>
        </w:rPr>
        <w:t xml:space="preserve">assurer une assistance médicale pendant la manifestation </w:t>
      </w:r>
      <w:r>
        <w:rPr>
          <w:lang w:val="fr-FR"/>
        </w:rPr>
        <w:t xml:space="preserve">envisagée </w:t>
      </w:r>
      <w:r w:rsidRPr="00780FCF">
        <w:rPr>
          <w:lang w:val="fr-FR"/>
        </w:rPr>
        <w:t>et le nettoyage des lieux après celle-ci, comme l</w:t>
      </w:r>
      <w:r>
        <w:rPr>
          <w:lang w:val="fr-FR"/>
        </w:rPr>
        <w:t>’</w:t>
      </w:r>
      <w:r w:rsidRPr="00780FCF">
        <w:rPr>
          <w:lang w:val="fr-FR"/>
        </w:rPr>
        <w:t>exige l</w:t>
      </w:r>
      <w:r>
        <w:rPr>
          <w:lang w:val="fr-FR"/>
        </w:rPr>
        <w:t>’</w:t>
      </w:r>
      <w:r w:rsidRPr="00780FCF">
        <w:rPr>
          <w:lang w:val="fr-FR"/>
        </w:rPr>
        <w:t xml:space="preserve">article 3 de la décision </w:t>
      </w:r>
      <w:r w:rsidRPr="00687000">
        <w:rPr>
          <w:rFonts w:eastAsia="MS Mincho"/>
          <w:lang w:val="fr-FR"/>
        </w:rPr>
        <w:t>n</w:t>
      </w:r>
      <w:r w:rsidRPr="00687000">
        <w:rPr>
          <w:rFonts w:eastAsia="MS Mincho"/>
          <w:vertAlign w:val="superscript"/>
          <w:lang w:val="fr-FR"/>
        </w:rPr>
        <w:t>o</w:t>
      </w:r>
      <w:r>
        <w:rPr>
          <w:lang w:val="fr-FR"/>
        </w:rPr>
        <w:t> </w:t>
      </w:r>
      <w:r w:rsidRPr="00780FCF">
        <w:rPr>
          <w:lang w:val="fr-FR"/>
        </w:rPr>
        <w:t>775. De</w:t>
      </w:r>
      <w:r w:rsidR="009921B3">
        <w:rPr>
          <w:lang w:val="fr-FR"/>
        </w:rPr>
        <w:t> </w:t>
      </w:r>
      <w:r w:rsidRPr="00780FCF">
        <w:rPr>
          <w:lang w:val="fr-FR"/>
        </w:rPr>
        <w:t xml:space="preserve">plus, le rassemblement </w:t>
      </w:r>
      <w:r>
        <w:rPr>
          <w:lang w:val="fr-FR"/>
        </w:rPr>
        <w:t xml:space="preserve">proposé </w:t>
      </w:r>
      <w:r w:rsidRPr="00780FCF">
        <w:rPr>
          <w:lang w:val="fr-FR"/>
        </w:rPr>
        <w:t xml:space="preserve">devait se tenir sur la place de la Rébellion, </w:t>
      </w:r>
      <w:r>
        <w:rPr>
          <w:lang w:val="fr-FR"/>
        </w:rPr>
        <w:t>laquelle</w:t>
      </w:r>
      <w:r w:rsidRPr="00780FCF">
        <w:rPr>
          <w:lang w:val="fr-FR"/>
        </w:rPr>
        <w:t xml:space="preserve"> ne faisait pas partie des lieux </w:t>
      </w:r>
      <w:r>
        <w:rPr>
          <w:lang w:val="fr-FR"/>
        </w:rPr>
        <w:t>retenus</w:t>
      </w:r>
      <w:r w:rsidRPr="00780FCF">
        <w:rPr>
          <w:lang w:val="fr-FR"/>
        </w:rPr>
        <w:t xml:space="preserve"> dans </w:t>
      </w:r>
      <w:r>
        <w:rPr>
          <w:lang w:val="fr-FR"/>
        </w:rPr>
        <w:t>l</w:t>
      </w:r>
      <w:r w:rsidRPr="00780FCF">
        <w:rPr>
          <w:lang w:val="fr-FR"/>
        </w:rPr>
        <w:t>a décision</w:t>
      </w:r>
      <w:r>
        <w:rPr>
          <w:lang w:val="fr-FR"/>
        </w:rPr>
        <w:t xml:space="preserve"> </w:t>
      </w:r>
      <w:r w:rsidRPr="00687000">
        <w:rPr>
          <w:rFonts w:eastAsia="MS Mincho"/>
          <w:lang w:val="fr-FR"/>
        </w:rPr>
        <w:t>n</w:t>
      </w:r>
      <w:r w:rsidRPr="00687000">
        <w:rPr>
          <w:rFonts w:eastAsia="MS Mincho"/>
          <w:vertAlign w:val="superscript"/>
          <w:lang w:val="fr-FR"/>
        </w:rPr>
        <w:t>o</w:t>
      </w:r>
      <w:r>
        <w:rPr>
          <w:lang w:val="fr-FR"/>
        </w:rPr>
        <w:t> </w:t>
      </w:r>
      <w:r w:rsidRPr="00780FCF">
        <w:rPr>
          <w:lang w:val="fr-FR"/>
        </w:rPr>
        <w:t>775</w:t>
      </w:r>
      <w:r>
        <w:rPr>
          <w:lang w:val="fr-FR"/>
        </w:rPr>
        <w:t xml:space="preserve"> aux fins de la tenue de manifestations publiques</w:t>
      </w:r>
      <w:r w:rsidRPr="00780FCF">
        <w:rPr>
          <w:lang w:val="fr-FR"/>
        </w:rPr>
        <w:t>.</w:t>
      </w:r>
    </w:p>
    <w:p w14:paraId="32FC4F4C" w14:textId="0E6B21DF" w:rsidR="00EC6846" w:rsidRPr="00780FCF" w:rsidRDefault="00EC6846" w:rsidP="00A45B13">
      <w:pPr>
        <w:pStyle w:val="SingleTxtG"/>
        <w:rPr>
          <w:lang w:val="fr-FR"/>
        </w:rPr>
      </w:pPr>
      <w:r w:rsidRPr="00780FCF">
        <w:rPr>
          <w:lang w:val="fr-FR"/>
        </w:rPr>
        <w:t>4.5</w:t>
      </w:r>
      <w:r w:rsidRPr="00780FCF">
        <w:rPr>
          <w:lang w:val="fr-FR"/>
        </w:rPr>
        <w:tab/>
        <w:t>L</w:t>
      </w:r>
      <w:r>
        <w:rPr>
          <w:lang w:val="fr-FR"/>
        </w:rPr>
        <w:t>’</w:t>
      </w:r>
      <w:r w:rsidRPr="00780FCF">
        <w:rPr>
          <w:lang w:val="fr-FR"/>
        </w:rPr>
        <w:t>État partie rejette les allégations des auteurs selon lesquelles les droits qui leur sont reconnus par les articles 19 et 21</w:t>
      </w:r>
      <w:r w:rsidR="000443C1">
        <w:rPr>
          <w:lang w:val="fr-FR"/>
        </w:rPr>
        <w:t xml:space="preserve"> du Pacte</w:t>
      </w:r>
      <w:r w:rsidRPr="00780FCF">
        <w:rPr>
          <w:lang w:val="fr-FR"/>
        </w:rPr>
        <w:t>, lus conjointement avec l</w:t>
      </w:r>
      <w:r>
        <w:rPr>
          <w:lang w:val="fr-FR"/>
        </w:rPr>
        <w:t>’</w:t>
      </w:r>
      <w:r w:rsidRPr="00780FCF">
        <w:rPr>
          <w:lang w:val="fr-FR"/>
        </w:rPr>
        <w:t xml:space="preserve">article 2 </w:t>
      </w:r>
      <w:r w:rsidR="00BC297B">
        <w:rPr>
          <w:lang w:val="fr-FR"/>
        </w:rPr>
        <w:t>(par. </w:t>
      </w:r>
      <w:r w:rsidRPr="00780FCF">
        <w:rPr>
          <w:lang w:val="fr-FR"/>
        </w:rPr>
        <w:t>2 et 3), auraient été violés. Il fait observer que ces droits sont garantis par les articles 23, 33 et 35 de la Constitution</w:t>
      </w:r>
      <w:r>
        <w:rPr>
          <w:lang w:val="fr-FR"/>
        </w:rPr>
        <w:t xml:space="preserve"> du Bélarus</w:t>
      </w:r>
      <w:r w:rsidRPr="00780FCF">
        <w:rPr>
          <w:lang w:val="fr-FR"/>
        </w:rPr>
        <w:t xml:space="preserve">. Il conclut que les dispositions de la </w:t>
      </w:r>
      <w:r>
        <w:rPr>
          <w:lang w:val="fr-FR"/>
        </w:rPr>
        <w:t xml:space="preserve">loi sur </w:t>
      </w:r>
      <w:r w:rsidRPr="00780FCF">
        <w:rPr>
          <w:lang w:val="fr-FR"/>
        </w:rPr>
        <w:t>l</w:t>
      </w:r>
      <w:r>
        <w:rPr>
          <w:lang w:val="fr-FR"/>
        </w:rPr>
        <w:t>’</w:t>
      </w:r>
      <w:r w:rsidRPr="00780FCF">
        <w:rPr>
          <w:lang w:val="fr-FR"/>
        </w:rPr>
        <w:t xml:space="preserve">organisation et la tenue de manifestations </w:t>
      </w:r>
      <w:r>
        <w:rPr>
          <w:lang w:val="fr-FR"/>
        </w:rPr>
        <w:t xml:space="preserve">publiques </w:t>
      </w:r>
      <w:r w:rsidRPr="00780FCF">
        <w:rPr>
          <w:lang w:val="fr-FR"/>
        </w:rPr>
        <w:t xml:space="preserve">sont conformes </w:t>
      </w:r>
      <w:r>
        <w:rPr>
          <w:lang w:val="fr-FR"/>
        </w:rPr>
        <w:t>aux</w:t>
      </w:r>
      <w:r w:rsidRPr="00780FCF">
        <w:rPr>
          <w:lang w:val="fr-FR"/>
        </w:rPr>
        <w:t xml:space="preserve"> article</w:t>
      </w:r>
      <w:r>
        <w:rPr>
          <w:lang w:val="fr-FR"/>
        </w:rPr>
        <w:t>s</w:t>
      </w:r>
      <w:r w:rsidRPr="00780FCF">
        <w:rPr>
          <w:lang w:val="fr-FR"/>
        </w:rPr>
        <w:t xml:space="preserve"> 19 </w:t>
      </w:r>
      <w:r w:rsidR="00BC297B">
        <w:rPr>
          <w:lang w:val="fr-FR"/>
        </w:rPr>
        <w:t>(par. </w:t>
      </w:r>
      <w:r w:rsidRPr="00780FCF">
        <w:rPr>
          <w:lang w:val="fr-FR"/>
        </w:rPr>
        <w:t xml:space="preserve">3) et 21 du Pacte et ne </w:t>
      </w:r>
      <w:r>
        <w:rPr>
          <w:lang w:val="fr-FR"/>
        </w:rPr>
        <w:t>devraient pas</w:t>
      </w:r>
      <w:r w:rsidRPr="00780FCF">
        <w:rPr>
          <w:lang w:val="fr-FR"/>
        </w:rPr>
        <w:t xml:space="preserve"> être considérées comme une restriction du droit à la liberté d</w:t>
      </w:r>
      <w:r>
        <w:rPr>
          <w:lang w:val="fr-FR"/>
        </w:rPr>
        <w:t>’</w:t>
      </w:r>
      <w:r w:rsidRPr="00780FCF">
        <w:rPr>
          <w:lang w:val="fr-FR"/>
        </w:rPr>
        <w:t>expression et à la liberté de r</w:t>
      </w:r>
      <w:r>
        <w:rPr>
          <w:lang w:val="fr-FR"/>
        </w:rPr>
        <w:t>é</w:t>
      </w:r>
      <w:r w:rsidRPr="00780FCF">
        <w:rPr>
          <w:lang w:val="fr-FR"/>
        </w:rPr>
        <w:t>union pacifique.</w:t>
      </w:r>
    </w:p>
    <w:p w14:paraId="147AD4F4" w14:textId="77777777" w:rsidR="00EC6846" w:rsidRPr="00780FCF" w:rsidRDefault="00EC6846" w:rsidP="00A45B13">
      <w:pPr>
        <w:pStyle w:val="SingleTxtG"/>
        <w:rPr>
          <w:lang w:val="fr-FR"/>
        </w:rPr>
      </w:pPr>
      <w:r w:rsidRPr="00780FCF">
        <w:rPr>
          <w:lang w:val="fr-FR"/>
        </w:rPr>
        <w:t>4.6</w:t>
      </w:r>
      <w:r w:rsidRPr="00780FCF">
        <w:rPr>
          <w:lang w:val="fr-FR"/>
        </w:rPr>
        <w:tab/>
      </w:r>
      <w:r>
        <w:rPr>
          <w:lang w:val="fr-FR"/>
        </w:rPr>
        <w:t xml:space="preserve">Le </w:t>
      </w:r>
      <w:r w:rsidRPr="00780FCF">
        <w:rPr>
          <w:lang w:val="fr-FR"/>
        </w:rPr>
        <w:t>9 novembre 2018, l</w:t>
      </w:r>
      <w:r>
        <w:rPr>
          <w:lang w:val="fr-FR"/>
        </w:rPr>
        <w:t>’</w:t>
      </w:r>
      <w:r w:rsidRPr="00780FCF">
        <w:rPr>
          <w:lang w:val="fr-FR"/>
        </w:rPr>
        <w:t xml:space="preserve">État partie renouvelle ses observations sur la recevabilité et sur le fond. </w:t>
      </w:r>
    </w:p>
    <w:p w14:paraId="47484CE9" w14:textId="77777777" w:rsidR="00EC6846" w:rsidRPr="00780FCF" w:rsidRDefault="00EC6846" w:rsidP="00F8099B">
      <w:pPr>
        <w:pStyle w:val="H23G"/>
        <w:rPr>
          <w:lang w:val="fr-FR"/>
        </w:rPr>
      </w:pPr>
      <w:r w:rsidRPr="00780FCF">
        <w:rPr>
          <w:lang w:val="fr-FR"/>
        </w:rPr>
        <w:tab/>
      </w:r>
      <w:r w:rsidRPr="00780FCF">
        <w:rPr>
          <w:lang w:val="fr-FR"/>
        </w:rPr>
        <w:tab/>
        <w:t>Commentaires des auteurs sur les observations de l</w:t>
      </w:r>
      <w:r>
        <w:rPr>
          <w:lang w:val="fr-FR"/>
        </w:rPr>
        <w:t>’</w:t>
      </w:r>
      <w:r w:rsidRPr="00780FCF">
        <w:rPr>
          <w:lang w:val="fr-FR"/>
        </w:rPr>
        <w:t>État partie</w:t>
      </w:r>
    </w:p>
    <w:p w14:paraId="3BBB704B" w14:textId="77777777" w:rsidR="00EC6846" w:rsidRPr="00780FCF" w:rsidRDefault="00EC6846" w:rsidP="00A45B13">
      <w:pPr>
        <w:pStyle w:val="SingleTxtG"/>
        <w:rPr>
          <w:lang w:val="fr-FR"/>
        </w:rPr>
      </w:pPr>
      <w:r w:rsidRPr="00780FCF">
        <w:rPr>
          <w:lang w:val="fr-FR"/>
        </w:rPr>
        <w:t>5.1</w:t>
      </w:r>
      <w:r w:rsidRPr="00780FCF">
        <w:rPr>
          <w:lang w:val="fr-FR"/>
        </w:rPr>
        <w:tab/>
      </w:r>
      <w:r>
        <w:rPr>
          <w:lang w:val="fr-FR"/>
        </w:rPr>
        <w:t xml:space="preserve">Le </w:t>
      </w:r>
      <w:r w:rsidRPr="00780FCF">
        <w:rPr>
          <w:lang w:val="fr-FR"/>
        </w:rPr>
        <w:t>26 février 2016, les auteurs ont fait observer qu</w:t>
      </w:r>
      <w:r>
        <w:rPr>
          <w:lang w:val="fr-FR"/>
        </w:rPr>
        <w:t>’</w:t>
      </w:r>
      <w:r w:rsidRPr="00780FCF">
        <w:rPr>
          <w:lang w:val="fr-FR"/>
        </w:rPr>
        <w:t>une demande de réexamen au titre de la procédure de contrôle ne constituait pas un recours utile</w:t>
      </w:r>
      <w:r w:rsidRPr="007672FF">
        <w:rPr>
          <w:rStyle w:val="Appelnotedebasdep"/>
        </w:rPr>
        <w:footnoteReference w:id="4"/>
      </w:r>
      <w:r w:rsidRPr="00780FCF">
        <w:rPr>
          <w:lang w:val="fr-FR"/>
        </w:rPr>
        <w:t>. Ils soutiennent que cette procédure est à la discrétion d</w:t>
      </w:r>
      <w:r>
        <w:rPr>
          <w:lang w:val="fr-FR"/>
        </w:rPr>
        <w:t>’</w:t>
      </w:r>
      <w:r w:rsidRPr="00780FCF">
        <w:rPr>
          <w:lang w:val="fr-FR"/>
        </w:rPr>
        <w:t>un procureur ou d</w:t>
      </w:r>
      <w:r>
        <w:rPr>
          <w:lang w:val="fr-FR"/>
        </w:rPr>
        <w:t>’</w:t>
      </w:r>
      <w:r w:rsidRPr="00780FCF">
        <w:rPr>
          <w:lang w:val="fr-FR"/>
        </w:rPr>
        <w:t>un juge et qu</w:t>
      </w:r>
      <w:r>
        <w:rPr>
          <w:lang w:val="fr-FR"/>
        </w:rPr>
        <w:t>’</w:t>
      </w:r>
      <w:r w:rsidRPr="00780FCF">
        <w:rPr>
          <w:lang w:val="fr-FR"/>
        </w:rPr>
        <w:t>elle n</w:t>
      </w:r>
      <w:r>
        <w:rPr>
          <w:lang w:val="fr-FR"/>
        </w:rPr>
        <w:t>’</w:t>
      </w:r>
      <w:r w:rsidRPr="00780FCF">
        <w:rPr>
          <w:lang w:val="fr-FR"/>
        </w:rPr>
        <w:t>implique pas d</w:t>
      </w:r>
      <w:r>
        <w:rPr>
          <w:lang w:val="fr-FR"/>
        </w:rPr>
        <w:t>’</w:t>
      </w:r>
      <w:r w:rsidRPr="00780FCF">
        <w:rPr>
          <w:lang w:val="fr-FR"/>
        </w:rPr>
        <w:t>examen au fond. Ainsi, ils ont introduit</w:t>
      </w:r>
      <w:r>
        <w:rPr>
          <w:lang w:val="fr-FR"/>
        </w:rPr>
        <w:t>,</w:t>
      </w:r>
      <w:r w:rsidRPr="00780FCF">
        <w:rPr>
          <w:lang w:val="fr-FR"/>
        </w:rPr>
        <w:t xml:space="preserve"> sans succès</w:t>
      </w:r>
      <w:r>
        <w:rPr>
          <w:lang w:val="fr-FR"/>
        </w:rPr>
        <w:t>,</w:t>
      </w:r>
      <w:r w:rsidRPr="00780FCF">
        <w:rPr>
          <w:lang w:val="fr-FR"/>
        </w:rPr>
        <w:t xml:space="preserve"> des demandes de réexamen au titre de la procédure de contrôle notamment auprès du Président de la Cour suprême (</w:t>
      </w:r>
      <w:r>
        <w:rPr>
          <w:lang w:val="fr-FR"/>
        </w:rPr>
        <w:t>mais</w:t>
      </w:r>
      <w:r w:rsidRPr="00780FCF">
        <w:rPr>
          <w:lang w:val="fr-FR"/>
        </w:rPr>
        <w:t xml:space="preserve"> n</w:t>
      </w:r>
      <w:r>
        <w:rPr>
          <w:lang w:val="fr-FR"/>
        </w:rPr>
        <w:t>’</w:t>
      </w:r>
      <w:r w:rsidRPr="00780FCF">
        <w:rPr>
          <w:lang w:val="fr-FR"/>
        </w:rPr>
        <w:t>ont pas présenté de demande au Procureur général </w:t>
      </w:r>
      <w:r>
        <w:rPr>
          <w:lang w:val="fr-FR"/>
        </w:rPr>
        <w:t>−</w:t>
      </w:r>
      <w:r w:rsidRPr="00780FCF">
        <w:rPr>
          <w:lang w:val="fr-FR"/>
        </w:rPr>
        <w:t> voir par. 2.5</w:t>
      </w:r>
      <w:r>
        <w:rPr>
          <w:lang w:val="fr-FR"/>
        </w:rPr>
        <w:t xml:space="preserve"> ci-dessus</w:t>
      </w:r>
      <w:r w:rsidRPr="00780FCF">
        <w:rPr>
          <w:lang w:val="fr-FR"/>
        </w:rPr>
        <w:t>).</w:t>
      </w:r>
    </w:p>
    <w:p w14:paraId="20CFCB6F" w14:textId="77777777" w:rsidR="00EC6846" w:rsidRPr="00780FCF" w:rsidRDefault="00EC6846" w:rsidP="00F8099B">
      <w:pPr>
        <w:pStyle w:val="SingleTxtG"/>
        <w:keepLines/>
        <w:rPr>
          <w:lang w:val="fr-FR"/>
        </w:rPr>
      </w:pPr>
      <w:r w:rsidRPr="00780FCF">
        <w:rPr>
          <w:lang w:val="fr-FR"/>
        </w:rPr>
        <w:lastRenderedPageBreak/>
        <w:t>5.2</w:t>
      </w:r>
      <w:r w:rsidRPr="00780FCF">
        <w:rPr>
          <w:lang w:val="fr-FR"/>
        </w:rPr>
        <w:tab/>
      </w:r>
      <w:r>
        <w:rPr>
          <w:lang w:val="fr-FR"/>
        </w:rPr>
        <w:t xml:space="preserve">Le </w:t>
      </w:r>
      <w:r w:rsidRPr="00780FCF">
        <w:rPr>
          <w:lang w:val="fr-FR"/>
        </w:rPr>
        <w:t>12 novembre 2016, en réaction aux observations de l</w:t>
      </w:r>
      <w:r>
        <w:rPr>
          <w:lang w:val="fr-FR"/>
        </w:rPr>
        <w:t>’</w:t>
      </w:r>
      <w:r w:rsidRPr="00780FCF">
        <w:rPr>
          <w:lang w:val="fr-FR"/>
        </w:rPr>
        <w:t xml:space="preserve">État partie concernant les dispositions de sa législation, les auteurs </w:t>
      </w:r>
      <w:r>
        <w:rPr>
          <w:lang w:val="fr-FR"/>
        </w:rPr>
        <w:t xml:space="preserve">ont </w:t>
      </w:r>
      <w:r w:rsidRPr="00780FCF">
        <w:rPr>
          <w:lang w:val="fr-FR"/>
        </w:rPr>
        <w:t>appel</w:t>
      </w:r>
      <w:r>
        <w:rPr>
          <w:lang w:val="fr-FR"/>
        </w:rPr>
        <w:t>é</w:t>
      </w:r>
      <w:r w:rsidRPr="00780FCF">
        <w:rPr>
          <w:lang w:val="fr-FR"/>
        </w:rPr>
        <w:t xml:space="preserve"> l</w:t>
      </w:r>
      <w:r>
        <w:rPr>
          <w:lang w:val="fr-FR"/>
        </w:rPr>
        <w:t>’</w:t>
      </w:r>
      <w:r w:rsidRPr="00780FCF">
        <w:rPr>
          <w:lang w:val="fr-FR"/>
        </w:rPr>
        <w:t>attention du Comité sur le fait que l</w:t>
      </w:r>
      <w:r>
        <w:rPr>
          <w:lang w:val="fr-FR"/>
        </w:rPr>
        <w:t>’</w:t>
      </w:r>
      <w:r w:rsidRPr="00780FCF">
        <w:rPr>
          <w:lang w:val="fr-FR"/>
        </w:rPr>
        <w:t>État partie n</w:t>
      </w:r>
      <w:r>
        <w:rPr>
          <w:lang w:val="fr-FR"/>
        </w:rPr>
        <w:t>’</w:t>
      </w:r>
      <w:r w:rsidRPr="00780FCF">
        <w:rPr>
          <w:lang w:val="fr-FR"/>
        </w:rPr>
        <w:t>a</w:t>
      </w:r>
      <w:r>
        <w:rPr>
          <w:lang w:val="fr-FR"/>
        </w:rPr>
        <w:t>vait</w:t>
      </w:r>
      <w:r w:rsidRPr="00780FCF">
        <w:rPr>
          <w:lang w:val="fr-FR"/>
        </w:rPr>
        <w:t xml:space="preserve"> pas mis en </w:t>
      </w:r>
      <w:r>
        <w:rPr>
          <w:lang w:val="fr-FR"/>
        </w:rPr>
        <w:t>application</w:t>
      </w:r>
      <w:r w:rsidRPr="00780FCF">
        <w:rPr>
          <w:lang w:val="fr-FR"/>
        </w:rPr>
        <w:t xml:space="preserve"> les recommandations des organisations internationales tendant à ce qu</w:t>
      </w:r>
      <w:r>
        <w:rPr>
          <w:lang w:val="fr-FR"/>
        </w:rPr>
        <w:t>’</w:t>
      </w:r>
      <w:r w:rsidRPr="00780FCF">
        <w:rPr>
          <w:lang w:val="fr-FR"/>
        </w:rPr>
        <w:t xml:space="preserve">il modifie la loi sur les manifestations </w:t>
      </w:r>
      <w:r>
        <w:rPr>
          <w:lang w:val="fr-FR"/>
        </w:rPr>
        <w:t>publiques</w:t>
      </w:r>
      <w:r w:rsidRPr="00780FCF">
        <w:rPr>
          <w:lang w:val="fr-FR"/>
        </w:rPr>
        <w:t xml:space="preserve"> pour la rendre conforme aux normes internationales</w:t>
      </w:r>
      <w:r w:rsidRPr="007672FF">
        <w:rPr>
          <w:rStyle w:val="Appelnotedebasdep"/>
        </w:rPr>
        <w:footnoteReference w:id="5"/>
      </w:r>
      <w:r w:rsidRPr="00780FCF">
        <w:rPr>
          <w:lang w:val="fr-FR"/>
        </w:rPr>
        <w:t>. Ils relèvent que l</w:t>
      </w:r>
      <w:r>
        <w:rPr>
          <w:lang w:val="fr-FR"/>
        </w:rPr>
        <w:t>’</w:t>
      </w:r>
      <w:r w:rsidRPr="00780FCF">
        <w:rPr>
          <w:lang w:val="fr-FR"/>
        </w:rPr>
        <w:t>État partie n</w:t>
      </w:r>
      <w:r>
        <w:rPr>
          <w:lang w:val="fr-FR"/>
        </w:rPr>
        <w:t>’</w:t>
      </w:r>
      <w:r w:rsidRPr="00780FCF">
        <w:rPr>
          <w:lang w:val="fr-FR"/>
        </w:rPr>
        <w:t xml:space="preserve">a pas </w:t>
      </w:r>
      <w:r>
        <w:rPr>
          <w:lang w:val="fr-FR"/>
        </w:rPr>
        <w:t xml:space="preserve">non plus </w:t>
      </w:r>
      <w:r w:rsidRPr="00780FCF">
        <w:rPr>
          <w:lang w:val="fr-FR"/>
        </w:rPr>
        <w:t>donné suite aux constatations du Comité, qui lui avait demandé de réviser sa législation pour la rendre compatible avec les obligations mises à sa charge. Pour ce qui est des données statistiques communiquées par l</w:t>
      </w:r>
      <w:r>
        <w:rPr>
          <w:lang w:val="fr-FR"/>
        </w:rPr>
        <w:t>’</w:t>
      </w:r>
      <w:r w:rsidRPr="00780FCF">
        <w:rPr>
          <w:lang w:val="fr-FR"/>
        </w:rPr>
        <w:t>État partie, les auteurs constatent que l</w:t>
      </w:r>
      <w:r>
        <w:rPr>
          <w:lang w:val="fr-FR"/>
        </w:rPr>
        <w:t>’</w:t>
      </w:r>
      <w:r w:rsidRPr="00780FCF">
        <w:rPr>
          <w:lang w:val="fr-FR"/>
        </w:rPr>
        <w:t xml:space="preserve">État partie ne précise pas combien de requêtes concernant des droits civils et politiques, en particulier le droit </w:t>
      </w:r>
      <w:r>
        <w:rPr>
          <w:lang w:val="fr-FR"/>
        </w:rPr>
        <w:t xml:space="preserve">à la liberté </w:t>
      </w:r>
      <w:r w:rsidRPr="00780FCF">
        <w:rPr>
          <w:lang w:val="fr-FR"/>
        </w:rPr>
        <w:t>de réunion pacifique et le droit à la liberté d</w:t>
      </w:r>
      <w:r>
        <w:rPr>
          <w:lang w:val="fr-FR"/>
        </w:rPr>
        <w:t>’</w:t>
      </w:r>
      <w:r w:rsidRPr="00780FCF">
        <w:rPr>
          <w:lang w:val="fr-FR"/>
        </w:rPr>
        <w:t>expression, ont été rejetées.</w:t>
      </w:r>
    </w:p>
    <w:p w14:paraId="5EBC2129" w14:textId="77777777" w:rsidR="00EC6846" w:rsidRPr="00780FCF" w:rsidRDefault="00EC6846" w:rsidP="00A45B13">
      <w:pPr>
        <w:pStyle w:val="SingleTxtG"/>
        <w:rPr>
          <w:lang w:val="fr-FR"/>
        </w:rPr>
      </w:pPr>
      <w:r w:rsidRPr="00780FCF">
        <w:rPr>
          <w:lang w:val="fr-FR"/>
        </w:rPr>
        <w:t>5.3</w:t>
      </w:r>
      <w:r w:rsidRPr="00780FCF">
        <w:rPr>
          <w:lang w:val="fr-FR"/>
        </w:rPr>
        <w:tab/>
      </w:r>
      <w:r>
        <w:rPr>
          <w:lang w:val="fr-FR"/>
        </w:rPr>
        <w:t xml:space="preserve">Le </w:t>
      </w:r>
      <w:r w:rsidRPr="00780FCF">
        <w:rPr>
          <w:lang w:val="fr-FR"/>
        </w:rPr>
        <w:t xml:space="preserve">27 février 2019, les auteurs ont de nouveau fait valoir leurs principaux arguments. </w:t>
      </w:r>
    </w:p>
    <w:p w14:paraId="725118CE" w14:textId="77777777" w:rsidR="00EC6846" w:rsidRPr="00780FCF" w:rsidRDefault="00EC6846" w:rsidP="00F8099B">
      <w:pPr>
        <w:pStyle w:val="H23G"/>
        <w:rPr>
          <w:lang w:val="fr-FR"/>
        </w:rPr>
      </w:pPr>
      <w:r w:rsidRPr="00780FCF">
        <w:rPr>
          <w:lang w:val="fr-FR"/>
        </w:rPr>
        <w:tab/>
      </w:r>
      <w:r w:rsidRPr="00780FCF">
        <w:rPr>
          <w:lang w:val="fr-FR"/>
        </w:rPr>
        <w:tab/>
      </w:r>
      <w:r w:rsidRPr="00780FCF">
        <w:rPr>
          <w:lang w:val="fr-FR"/>
        </w:rPr>
        <w:tab/>
        <w:t>Délibérations du Comité</w:t>
      </w:r>
    </w:p>
    <w:p w14:paraId="2C317ACB" w14:textId="77777777" w:rsidR="00EC6846" w:rsidRPr="00780FCF" w:rsidRDefault="00EC6846" w:rsidP="00F8099B">
      <w:pPr>
        <w:pStyle w:val="H4G"/>
        <w:rPr>
          <w:lang w:val="fr-FR"/>
        </w:rPr>
      </w:pPr>
      <w:r w:rsidRPr="00780FCF">
        <w:rPr>
          <w:lang w:val="fr-FR"/>
        </w:rPr>
        <w:tab/>
      </w:r>
      <w:r w:rsidRPr="00780FCF">
        <w:rPr>
          <w:lang w:val="fr-FR"/>
        </w:rPr>
        <w:tab/>
        <w:t>Examen de la recevabilité</w:t>
      </w:r>
    </w:p>
    <w:p w14:paraId="01407D37" w14:textId="77777777" w:rsidR="00EC6846" w:rsidRPr="00780FCF" w:rsidRDefault="00EC6846" w:rsidP="00A45B13">
      <w:pPr>
        <w:pStyle w:val="SingleTxtG"/>
        <w:rPr>
          <w:lang w:val="fr-FR"/>
        </w:rPr>
      </w:pPr>
      <w:r w:rsidRPr="00780FCF">
        <w:rPr>
          <w:lang w:val="fr-FR"/>
        </w:rPr>
        <w:t>6.1</w:t>
      </w:r>
      <w:r w:rsidRPr="00780FCF">
        <w:rPr>
          <w:lang w:val="fr-FR"/>
        </w:rPr>
        <w:tab/>
        <w:t>Avant d</w:t>
      </w:r>
      <w:r>
        <w:rPr>
          <w:lang w:val="fr-FR"/>
        </w:rPr>
        <w:t>’</w:t>
      </w:r>
      <w:r w:rsidRPr="00780FCF">
        <w:rPr>
          <w:lang w:val="fr-FR"/>
        </w:rPr>
        <w:t>examiner tout grief formulé dans une communication, le Comité doit, conformément à l</w:t>
      </w:r>
      <w:r>
        <w:rPr>
          <w:lang w:val="fr-FR"/>
        </w:rPr>
        <w:t>’</w:t>
      </w:r>
      <w:r w:rsidRPr="00780FCF">
        <w:rPr>
          <w:lang w:val="fr-FR"/>
        </w:rPr>
        <w:t>article 97 de son règlement intérieur, déterminer si la communication est recevable au regard du Protocole facultatif.</w:t>
      </w:r>
      <w:r>
        <w:rPr>
          <w:lang w:val="fr-FR"/>
        </w:rPr>
        <w:t xml:space="preserve"> </w:t>
      </w:r>
    </w:p>
    <w:p w14:paraId="221054B0" w14:textId="6BA0DC4F" w:rsidR="00EC6846" w:rsidRPr="00780FCF" w:rsidRDefault="00EC6846" w:rsidP="00A45B13">
      <w:pPr>
        <w:pStyle w:val="SingleTxtG"/>
        <w:rPr>
          <w:lang w:val="fr-FR"/>
        </w:rPr>
      </w:pPr>
      <w:r w:rsidRPr="00780FCF">
        <w:rPr>
          <w:lang w:val="fr-FR"/>
        </w:rPr>
        <w:t>6.2</w:t>
      </w:r>
      <w:r w:rsidRPr="00780FCF">
        <w:rPr>
          <w:lang w:val="fr-FR"/>
        </w:rPr>
        <w:tab/>
        <w:t>Le Comité s</w:t>
      </w:r>
      <w:r>
        <w:rPr>
          <w:lang w:val="fr-FR"/>
        </w:rPr>
        <w:t>’</w:t>
      </w:r>
      <w:r w:rsidRPr="00780FCF">
        <w:rPr>
          <w:lang w:val="fr-FR"/>
        </w:rPr>
        <w:t>est assuré, comme il est tenu de le faire conformément à l</w:t>
      </w:r>
      <w:r>
        <w:rPr>
          <w:lang w:val="fr-FR"/>
        </w:rPr>
        <w:t>’</w:t>
      </w:r>
      <w:r w:rsidRPr="00780FCF">
        <w:rPr>
          <w:lang w:val="fr-FR"/>
        </w:rPr>
        <w:t xml:space="preserve">article 5 </w:t>
      </w:r>
      <w:r w:rsidR="00BC297B">
        <w:rPr>
          <w:lang w:val="fr-FR"/>
        </w:rPr>
        <w:t>(par. </w:t>
      </w:r>
      <w:r w:rsidRPr="00780FCF">
        <w:rPr>
          <w:lang w:val="fr-FR"/>
        </w:rPr>
        <w:t>2</w:t>
      </w:r>
      <w:r>
        <w:rPr>
          <w:lang w:val="fr-FR"/>
        </w:rPr>
        <w:t> </w:t>
      </w:r>
      <w:r w:rsidRPr="00780FCF">
        <w:rPr>
          <w:lang w:val="fr-FR"/>
        </w:rPr>
        <w:t>a)) du Protocole facultatif, que la même question n</w:t>
      </w:r>
      <w:r>
        <w:rPr>
          <w:lang w:val="fr-FR"/>
        </w:rPr>
        <w:t>’</w:t>
      </w:r>
      <w:r w:rsidRPr="00780FCF">
        <w:rPr>
          <w:lang w:val="fr-FR"/>
        </w:rPr>
        <w:t>était pas déjà en cours d</w:t>
      </w:r>
      <w:r>
        <w:rPr>
          <w:lang w:val="fr-FR"/>
        </w:rPr>
        <w:t>’</w:t>
      </w:r>
      <w:r w:rsidRPr="00780FCF">
        <w:rPr>
          <w:lang w:val="fr-FR"/>
        </w:rPr>
        <w:t>examen devant une autre instance internationale d</w:t>
      </w:r>
      <w:r>
        <w:rPr>
          <w:lang w:val="fr-FR"/>
        </w:rPr>
        <w:t>’</w:t>
      </w:r>
      <w:r w:rsidRPr="00780FCF">
        <w:rPr>
          <w:lang w:val="fr-FR"/>
        </w:rPr>
        <w:t>enquête ou de règlement.</w:t>
      </w:r>
    </w:p>
    <w:p w14:paraId="678DB622" w14:textId="764DCBAC" w:rsidR="00EC6846" w:rsidRPr="00780FCF" w:rsidRDefault="00EC6846" w:rsidP="00A45B13">
      <w:pPr>
        <w:pStyle w:val="SingleTxtG"/>
        <w:rPr>
          <w:lang w:val="fr-FR"/>
        </w:rPr>
      </w:pPr>
      <w:r w:rsidRPr="00780FCF">
        <w:rPr>
          <w:lang w:val="fr-FR"/>
        </w:rPr>
        <w:t>6.3</w:t>
      </w:r>
      <w:r w:rsidRPr="00780FCF">
        <w:rPr>
          <w:lang w:val="fr-FR"/>
        </w:rPr>
        <w:tab/>
      </w:r>
      <w:r w:rsidRPr="00780FCF">
        <w:t>Le Comité prend note des observations de l</w:t>
      </w:r>
      <w:r>
        <w:t>’</w:t>
      </w:r>
      <w:r w:rsidRPr="00780FCF">
        <w:t>État partie, selon lesquelles les auteurs n</w:t>
      </w:r>
      <w:r>
        <w:t>’</w:t>
      </w:r>
      <w:r w:rsidRPr="00780FCF">
        <w:t>ont pas épuisé les voies de recours internes qui leur étaient ouvertes puisque les demandes de réexamen qu</w:t>
      </w:r>
      <w:r>
        <w:t>’</w:t>
      </w:r>
      <w:r w:rsidRPr="00780FCF">
        <w:t>ils ont introduites au titre de la procédure de contrôle n</w:t>
      </w:r>
      <w:r>
        <w:t>’</w:t>
      </w:r>
      <w:r w:rsidRPr="00780FCF">
        <w:t xml:space="preserve">ont pas été examinées par le Procureur général ni par le Président de la Cour suprême. </w:t>
      </w:r>
      <w:r w:rsidRPr="00780FCF">
        <w:rPr>
          <w:lang w:val="fr-FR"/>
        </w:rPr>
        <w:t xml:space="preserve">Il prend aussi note des allégations des auteurs, qui disent avoir bel et bien </w:t>
      </w:r>
      <w:r w:rsidRPr="00780FCF">
        <w:t xml:space="preserve">introduit des demandes de réexamen </w:t>
      </w:r>
      <w:r w:rsidRPr="00780FCF">
        <w:rPr>
          <w:lang w:val="fr-FR"/>
        </w:rPr>
        <w:t>des décisions de justice rendues dans leur affaire</w:t>
      </w:r>
      <w:r w:rsidRPr="00780FCF">
        <w:t xml:space="preserve"> au titre de la procédure de contrôle, auprès du Président de la Cour </w:t>
      </w:r>
      <w:r w:rsidRPr="00780FCF">
        <w:rPr>
          <w:lang w:val="fr-FR"/>
        </w:rPr>
        <w:t>suprême</w:t>
      </w:r>
      <w:r>
        <w:rPr>
          <w:lang w:val="fr-FR"/>
        </w:rPr>
        <w:t>,</w:t>
      </w:r>
      <w:r w:rsidRPr="00780FCF">
        <w:rPr>
          <w:lang w:val="fr-FR"/>
        </w:rPr>
        <w:t xml:space="preserve"> mais sans</w:t>
      </w:r>
      <w:r w:rsidRPr="00780FCF">
        <w:t xml:space="preserve"> succès, </w:t>
      </w:r>
      <w:r w:rsidRPr="00780FCF">
        <w:rPr>
          <w:lang w:val="fr-FR"/>
        </w:rPr>
        <w:t>et considèrent qu</w:t>
      </w:r>
      <w:r>
        <w:rPr>
          <w:lang w:val="fr-FR"/>
        </w:rPr>
        <w:t>’</w:t>
      </w:r>
      <w:r w:rsidRPr="00780FCF">
        <w:rPr>
          <w:lang w:val="fr-FR"/>
        </w:rPr>
        <w:t>une demande de réexamen par la Cour suprême ou le Procureur général ne constitue pas un recours utile.</w:t>
      </w:r>
      <w:r w:rsidRPr="00780FCF">
        <w:t xml:space="preserve"> À ce sujet, le Comité rappelle sa jurisprudence, dont il ressort que l</w:t>
      </w:r>
      <w:r>
        <w:t>’</w:t>
      </w:r>
      <w:r w:rsidRPr="00780FCF">
        <w:t>introduction auprès du ministère public d</w:t>
      </w:r>
      <w:r>
        <w:t>’</w:t>
      </w:r>
      <w:r w:rsidRPr="00780FCF">
        <w:t>une demande de réexamen au titre de la procédure de contrôle de décisions de justice devenues exécutoires, demande dont l</w:t>
      </w:r>
      <w:r>
        <w:t>’</w:t>
      </w:r>
      <w:r w:rsidRPr="00780FCF">
        <w:t>issue relève du pouvoir discrétionnaire du procureur, ne constitue pas un recours utile qui doit être épuisé aux fins de l</w:t>
      </w:r>
      <w:r>
        <w:t>’</w:t>
      </w:r>
      <w:r w:rsidRPr="00780FCF">
        <w:t>article 5</w:t>
      </w:r>
      <w:r w:rsidR="00F8099B">
        <w:t xml:space="preserve"> </w:t>
      </w:r>
      <w:r w:rsidR="00BC297B">
        <w:t>(par. </w:t>
      </w:r>
      <w:r w:rsidRPr="00780FCF">
        <w:t>2</w:t>
      </w:r>
      <w:r w:rsidR="00F8099B">
        <w:t> </w:t>
      </w:r>
      <w:r w:rsidRPr="00780FCF">
        <w:t xml:space="preserve">b)) du Protocole </w:t>
      </w:r>
      <w:proofErr w:type="spellStart"/>
      <w:r w:rsidRPr="00780FCF">
        <w:t>facultati</w:t>
      </w:r>
      <w:proofErr w:type="spellEnd"/>
      <w:r w:rsidRPr="00780FCF">
        <w:rPr>
          <w:lang w:val="fr-FR"/>
        </w:rPr>
        <w:t>f</w:t>
      </w:r>
      <w:r w:rsidRPr="007672FF">
        <w:rPr>
          <w:rStyle w:val="Appelnotedebasdep"/>
        </w:rPr>
        <w:footnoteReference w:id="6"/>
      </w:r>
      <w:r w:rsidRPr="00780FCF">
        <w:rPr>
          <w:lang w:val="fr-FR"/>
        </w:rPr>
        <w:t xml:space="preserve">. </w:t>
      </w:r>
      <w:r w:rsidRPr="00780FCF">
        <w:t>De surcroît, il estime que saisir le Président d</w:t>
      </w:r>
      <w:r>
        <w:t>’</w:t>
      </w:r>
      <w:r w:rsidRPr="00780FCF">
        <w:t>un tribunal d</w:t>
      </w:r>
      <w:r>
        <w:t>’</w:t>
      </w:r>
      <w:r w:rsidRPr="00780FCF">
        <w:t>une demande de contrôle juridictionnel d</w:t>
      </w:r>
      <w:r>
        <w:t>’</w:t>
      </w:r>
      <w:r w:rsidRPr="00780FCF">
        <w:t>une décision judiciaire ayant force de chose jugée, dont l</w:t>
      </w:r>
      <w:r>
        <w:t>’</w:t>
      </w:r>
      <w:r w:rsidRPr="00780FCF">
        <w:t>issue dépend du pouvoir discrétionnaire d</w:t>
      </w:r>
      <w:r>
        <w:t>’</w:t>
      </w:r>
      <w:r w:rsidRPr="00780FCF">
        <w:t>un juge, constitue un recours extraordinaire, et que l</w:t>
      </w:r>
      <w:r>
        <w:t>’</w:t>
      </w:r>
      <w:r w:rsidRPr="00780FCF">
        <w:t>État partie doit montrer qu</w:t>
      </w:r>
      <w:r>
        <w:t>’</w:t>
      </w:r>
      <w:r w:rsidRPr="00780FCF">
        <w:t>il existe une possibilité raisonnable qu</w:t>
      </w:r>
      <w:r>
        <w:t>’</w:t>
      </w:r>
      <w:r w:rsidRPr="00780FCF">
        <w:t>une telle demande constitue un recours utile dans les circonstances de l</w:t>
      </w:r>
      <w:r>
        <w:t>’</w:t>
      </w:r>
      <w:r w:rsidRPr="00780FCF">
        <w:t>espèce</w:t>
      </w:r>
      <w:r w:rsidRPr="007672FF">
        <w:rPr>
          <w:rStyle w:val="Appelnotedebasdep"/>
        </w:rPr>
        <w:footnoteReference w:id="7"/>
      </w:r>
      <w:r w:rsidRPr="00780FCF">
        <w:t>.</w:t>
      </w:r>
      <w:r w:rsidRPr="00780FCF">
        <w:rPr>
          <w:lang w:val="fr-FR"/>
        </w:rPr>
        <w:t xml:space="preserve"> </w:t>
      </w:r>
      <w:r w:rsidRPr="00780FCF">
        <w:t>En l</w:t>
      </w:r>
      <w:r>
        <w:t>’</w:t>
      </w:r>
      <w:r w:rsidRPr="00780FCF">
        <w:t>absence d</w:t>
      </w:r>
      <w:r>
        <w:t>’</w:t>
      </w:r>
      <w:r w:rsidRPr="00780FCF">
        <w:t>explications complémentaires de l</w:t>
      </w:r>
      <w:r>
        <w:t>’</w:t>
      </w:r>
      <w:r w:rsidRPr="00780FCF">
        <w:t>État partie, le Comité estime que les dispositions de l</w:t>
      </w:r>
      <w:r>
        <w:t>’</w:t>
      </w:r>
      <w:r w:rsidRPr="00780FCF">
        <w:t>article 5</w:t>
      </w:r>
      <w:r w:rsidR="00F8099B">
        <w:t xml:space="preserve"> </w:t>
      </w:r>
      <w:r w:rsidR="00BC297B">
        <w:t>(par. </w:t>
      </w:r>
      <w:r w:rsidRPr="00780FCF">
        <w:t>2</w:t>
      </w:r>
      <w:r w:rsidR="00F8099B">
        <w:t> </w:t>
      </w:r>
      <w:r w:rsidRPr="00780FCF">
        <w:t>b)) du Protocole facultatif ne font pas obstacle à l</w:t>
      </w:r>
      <w:r>
        <w:t>’</w:t>
      </w:r>
      <w:r w:rsidRPr="00780FCF">
        <w:t>examen de la communication.</w:t>
      </w:r>
    </w:p>
    <w:p w14:paraId="429125A8" w14:textId="38D8D0BC" w:rsidR="00EC6846" w:rsidRPr="00780FCF" w:rsidRDefault="00EC6846" w:rsidP="00A45B13">
      <w:pPr>
        <w:pStyle w:val="SingleTxtG"/>
        <w:rPr>
          <w:lang w:val="fr-FR"/>
        </w:rPr>
      </w:pPr>
      <w:r w:rsidRPr="00780FCF">
        <w:rPr>
          <w:lang w:val="fr-FR"/>
        </w:rPr>
        <w:t>6.4</w:t>
      </w:r>
      <w:r w:rsidRPr="00780FCF">
        <w:rPr>
          <w:lang w:val="fr-FR"/>
        </w:rPr>
        <w:tab/>
      </w:r>
      <w:r w:rsidRPr="00780FCF">
        <w:t>Le Comité prend note des allégations des auteurs selon lesquelles l</w:t>
      </w:r>
      <w:r>
        <w:t>’</w:t>
      </w:r>
      <w:r w:rsidRPr="00780FCF">
        <w:t>État partie a violé les droits qu</w:t>
      </w:r>
      <w:r>
        <w:t>’</w:t>
      </w:r>
      <w:r w:rsidRPr="00780FCF">
        <w:t>ils tiennent des articles 19 et 21</w:t>
      </w:r>
      <w:r>
        <w:t xml:space="preserve"> du Pacte</w:t>
      </w:r>
      <w:r w:rsidRPr="00780FCF">
        <w:t>, lus conjointement avec l</w:t>
      </w:r>
      <w:r>
        <w:t>’</w:t>
      </w:r>
      <w:r w:rsidRPr="00780FCF">
        <w:t>article 2</w:t>
      </w:r>
      <w:r>
        <w:t xml:space="preserve"> </w:t>
      </w:r>
      <w:r w:rsidR="00BC297B">
        <w:t>(par. </w:t>
      </w:r>
      <w:r w:rsidRPr="00780FCF">
        <w:t>2). Il rappelle que les dispositions de l</w:t>
      </w:r>
      <w:r>
        <w:t>’</w:t>
      </w:r>
      <w:r w:rsidRPr="00780FCF">
        <w:t>article 2 ne peuvent pas être invoquées en conjonction avec d</w:t>
      </w:r>
      <w:r>
        <w:t>’</w:t>
      </w:r>
      <w:r w:rsidRPr="00780FCF">
        <w:t>autres dispositions du Pacte pour fonder une communication présentée en vertu du Protocole facultatif, sauf lorsque le manquement de l</w:t>
      </w:r>
      <w:r>
        <w:t>’</w:t>
      </w:r>
      <w:r w:rsidRPr="00780FCF">
        <w:t>État partie aux obligations que lui impose cet article est la cause immédiate d</w:t>
      </w:r>
      <w:r>
        <w:t>’</w:t>
      </w:r>
      <w:r w:rsidRPr="00780FCF">
        <w:t>une violation distincte du Pacte portant directement atteinte à la personne qui se dit victime</w:t>
      </w:r>
      <w:r w:rsidRPr="007672FF">
        <w:rPr>
          <w:rStyle w:val="Appelnotedebasdep"/>
        </w:rPr>
        <w:footnoteReference w:id="8"/>
      </w:r>
      <w:r w:rsidRPr="00780FCF">
        <w:t>.</w:t>
      </w:r>
      <w:r w:rsidRPr="00780FCF">
        <w:rPr>
          <w:lang w:val="fr-FR"/>
        </w:rPr>
        <w:t xml:space="preserve"> Le Comité </w:t>
      </w:r>
      <w:r w:rsidRPr="00780FCF">
        <w:t xml:space="preserve">constate toutefois que les </w:t>
      </w:r>
      <w:r w:rsidRPr="00780FCF">
        <w:lastRenderedPageBreak/>
        <w:t>auteurs affirment que l</w:t>
      </w:r>
      <w:r>
        <w:t>’</w:t>
      </w:r>
      <w:r w:rsidRPr="00780FCF">
        <w:t>interprétation et l</w:t>
      </w:r>
      <w:r>
        <w:t>’</w:t>
      </w:r>
      <w:r w:rsidRPr="00780FCF">
        <w:t>application des lois en vigueur dans l</w:t>
      </w:r>
      <w:r>
        <w:t>’</w:t>
      </w:r>
      <w:r w:rsidRPr="00780FCF">
        <w:t xml:space="preserve">État partie </w:t>
      </w:r>
      <w:r>
        <w:t>ont</w:t>
      </w:r>
      <w:r w:rsidRPr="00780FCF">
        <w:t xml:space="preserve"> entraîné une violation des droits qu</w:t>
      </w:r>
      <w:r>
        <w:t>’</w:t>
      </w:r>
      <w:r w:rsidRPr="00780FCF">
        <w:t>ils tiennent des articles 19 et 21 du Pacte, et il estime qu</w:t>
      </w:r>
      <w:r>
        <w:t>’</w:t>
      </w:r>
      <w:r w:rsidRPr="00780FCF">
        <w:t>examiner la question de savoir si l</w:t>
      </w:r>
      <w:r>
        <w:t>’</w:t>
      </w:r>
      <w:r w:rsidRPr="00780FCF">
        <w:t>État partie a manqué aux obligations générales mises à sa charge par l</w:t>
      </w:r>
      <w:r>
        <w:t>’</w:t>
      </w:r>
      <w:r w:rsidRPr="00780FCF">
        <w:t xml:space="preserve">article 2 </w:t>
      </w:r>
      <w:r w:rsidR="00BC297B">
        <w:t>(par. </w:t>
      </w:r>
      <w:r w:rsidRPr="00780FCF">
        <w:t>2) du Pacte, lu conjointement avec les articles 19 et 21, revient à examiner la question de savoir si l</w:t>
      </w:r>
      <w:r>
        <w:t>’</w:t>
      </w:r>
      <w:r w:rsidRPr="00780FCF">
        <w:t>État partie a porté atteinte aux droits qui sont reconnus aux auteurs par les articles 19 et 21 du Pacte.</w:t>
      </w:r>
      <w:r w:rsidRPr="00780FCF">
        <w:rPr>
          <w:lang w:val="fr-FR"/>
        </w:rPr>
        <w:t xml:space="preserve"> Le Comité estime donc que les griefs des auteurs à cet égard sont incompatibles avec l</w:t>
      </w:r>
      <w:r>
        <w:rPr>
          <w:lang w:val="fr-FR"/>
        </w:rPr>
        <w:t>’</w:t>
      </w:r>
      <w:r w:rsidRPr="00780FCF">
        <w:rPr>
          <w:lang w:val="fr-FR"/>
        </w:rPr>
        <w:t>article 2 du Pacte et, partant, qu</w:t>
      </w:r>
      <w:r>
        <w:rPr>
          <w:lang w:val="fr-FR"/>
        </w:rPr>
        <w:t>’</w:t>
      </w:r>
      <w:r w:rsidRPr="00780FCF">
        <w:rPr>
          <w:lang w:val="fr-FR"/>
        </w:rPr>
        <w:t>ils sont irrecevables au regard de l</w:t>
      </w:r>
      <w:r>
        <w:rPr>
          <w:lang w:val="fr-FR"/>
        </w:rPr>
        <w:t>’</w:t>
      </w:r>
      <w:r w:rsidRPr="00780FCF">
        <w:rPr>
          <w:lang w:val="fr-FR"/>
        </w:rPr>
        <w:t xml:space="preserve">article 3 du Protocole facultatif. </w:t>
      </w:r>
    </w:p>
    <w:p w14:paraId="555E8462" w14:textId="72583D84" w:rsidR="00EC6846" w:rsidRPr="00780FCF" w:rsidRDefault="00EC6846" w:rsidP="00A45B13">
      <w:pPr>
        <w:pStyle w:val="SingleTxtG"/>
        <w:rPr>
          <w:lang w:val="fr-FR"/>
        </w:rPr>
      </w:pPr>
      <w:r w:rsidRPr="00780FCF">
        <w:rPr>
          <w:lang w:val="fr-FR"/>
        </w:rPr>
        <w:t>6.5</w:t>
      </w:r>
      <w:r w:rsidRPr="00780FCF">
        <w:rPr>
          <w:lang w:val="fr-FR"/>
        </w:rPr>
        <w:tab/>
        <w:t xml:space="preserve">Le Comité prend note </w:t>
      </w:r>
      <w:r>
        <w:rPr>
          <w:lang w:val="fr-FR"/>
        </w:rPr>
        <w:t>également</w:t>
      </w:r>
      <w:r w:rsidRPr="00780FCF">
        <w:rPr>
          <w:lang w:val="fr-FR"/>
        </w:rPr>
        <w:t xml:space="preserve"> des griefs tirés par les auteurs des articles 19 et 21</w:t>
      </w:r>
      <w:r>
        <w:rPr>
          <w:lang w:val="fr-FR"/>
        </w:rPr>
        <w:t xml:space="preserve"> du Pacte</w:t>
      </w:r>
      <w:r w:rsidRPr="00780FCF">
        <w:rPr>
          <w:lang w:val="fr-FR"/>
        </w:rPr>
        <w:t>, lus conjointement avec l</w:t>
      </w:r>
      <w:r>
        <w:rPr>
          <w:lang w:val="fr-FR"/>
        </w:rPr>
        <w:t>’</w:t>
      </w:r>
      <w:r w:rsidRPr="00780FCF">
        <w:rPr>
          <w:lang w:val="fr-FR"/>
        </w:rPr>
        <w:t>article 2</w:t>
      </w:r>
      <w:r>
        <w:rPr>
          <w:lang w:val="fr-FR"/>
        </w:rPr>
        <w:t xml:space="preserve"> </w:t>
      </w:r>
      <w:r w:rsidR="00BC297B">
        <w:rPr>
          <w:lang w:val="fr-FR"/>
        </w:rPr>
        <w:t>(par. </w:t>
      </w:r>
      <w:r w:rsidRPr="00780FCF">
        <w:rPr>
          <w:lang w:val="fr-FR"/>
        </w:rPr>
        <w:t>3). En l</w:t>
      </w:r>
      <w:r>
        <w:rPr>
          <w:lang w:val="fr-FR"/>
        </w:rPr>
        <w:t>’</w:t>
      </w:r>
      <w:r w:rsidRPr="00780FCF">
        <w:rPr>
          <w:lang w:val="fr-FR"/>
        </w:rPr>
        <w:t>absence de tout autre élément utile dans le dossier, le Comité estime que les auteurs n</w:t>
      </w:r>
      <w:r>
        <w:rPr>
          <w:lang w:val="fr-FR"/>
        </w:rPr>
        <w:t>’</w:t>
      </w:r>
      <w:r w:rsidRPr="00780FCF">
        <w:rPr>
          <w:lang w:val="fr-FR"/>
        </w:rPr>
        <w:t>ont pas suffisamment étayé ces griefs aux fins de la recevabilité. En conséquence, il déclare cette partie de la communication irrecevable au regard de l</w:t>
      </w:r>
      <w:r>
        <w:rPr>
          <w:lang w:val="fr-FR"/>
        </w:rPr>
        <w:t>’</w:t>
      </w:r>
      <w:r w:rsidRPr="00780FCF">
        <w:rPr>
          <w:lang w:val="fr-FR"/>
        </w:rPr>
        <w:t>article 2 du Protocole facultatif.</w:t>
      </w:r>
      <w:r>
        <w:rPr>
          <w:lang w:val="fr-FR"/>
        </w:rPr>
        <w:t xml:space="preserve"> </w:t>
      </w:r>
    </w:p>
    <w:p w14:paraId="26098217" w14:textId="4072BA82" w:rsidR="00EC6846" w:rsidRPr="00780FCF" w:rsidRDefault="00EC6846" w:rsidP="00A45B13">
      <w:pPr>
        <w:pStyle w:val="SingleTxtG"/>
        <w:rPr>
          <w:lang w:val="fr-FR"/>
        </w:rPr>
      </w:pPr>
      <w:r w:rsidRPr="00780FCF">
        <w:rPr>
          <w:lang w:val="fr-FR"/>
        </w:rPr>
        <w:t>6.6</w:t>
      </w:r>
      <w:r w:rsidRPr="00780FCF">
        <w:rPr>
          <w:lang w:val="fr-FR"/>
        </w:rPr>
        <w:tab/>
        <w:t>En</w:t>
      </w:r>
      <w:r>
        <w:rPr>
          <w:lang w:val="fr-FR"/>
        </w:rPr>
        <w:t xml:space="preserve"> conclusion</w:t>
      </w:r>
      <w:r w:rsidRPr="00780FCF">
        <w:rPr>
          <w:lang w:val="fr-FR"/>
        </w:rPr>
        <w:t>, le Comité constate que les griefs formulés par les auteurs soulèvent des questions au regard des articles 19</w:t>
      </w:r>
      <w:r>
        <w:rPr>
          <w:lang w:val="fr-FR"/>
        </w:rPr>
        <w:t xml:space="preserve"> </w:t>
      </w:r>
      <w:r w:rsidR="00BC297B">
        <w:rPr>
          <w:lang w:val="fr-FR"/>
        </w:rPr>
        <w:t>(par. </w:t>
      </w:r>
      <w:r w:rsidRPr="00780FCF">
        <w:rPr>
          <w:lang w:val="fr-FR"/>
        </w:rPr>
        <w:t>2) et 21 du Pacte. Il estime que ces griefs ont été suffisamment étayés aux fins de la recevabilité et passe à leur examen au fond.</w:t>
      </w:r>
      <w:r>
        <w:rPr>
          <w:lang w:val="fr-FR"/>
        </w:rPr>
        <w:t xml:space="preserve"> </w:t>
      </w:r>
    </w:p>
    <w:p w14:paraId="55D061B4" w14:textId="77777777" w:rsidR="00EC6846" w:rsidRPr="00780FCF" w:rsidRDefault="00EC6846" w:rsidP="00A45B13">
      <w:pPr>
        <w:pStyle w:val="H4G"/>
        <w:rPr>
          <w:lang w:val="fr-FR"/>
        </w:rPr>
      </w:pPr>
      <w:r w:rsidRPr="00780FCF">
        <w:rPr>
          <w:lang w:val="fr-FR"/>
        </w:rPr>
        <w:tab/>
      </w:r>
      <w:r w:rsidRPr="00780FCF">
        <w:rPr>
          <w:lang w:val="fr-FR"/>
        </w:rPr>
        <w:tab/>
      </w:r>
      <w:r w:rsidRPr="005F1F10">
        <w:rPr>
          <w:lang w:val="fr-FR"/>
        </w:rPr>
        <w:t>Examen au fond</w:t>
      </w:r>
    </w:p>
    <w:p w14:paraId="36411CD2" w14:textId="52A4CD72" w:rsidR="00EC6846" w:rsidRPr="00780FCF" w:rsidRDefault="00EC6846" w:rsidP="00A45B13">
      <w:pPr>
        <w:pStyle w:val="SingleTxtG"/>
        <w:rPr>
          <w:lang w:val="fr-FR"/>
        </w:rPr>
      </w:pPr>
      <w:r w:rsidRPr="00780FCF">
        <w:rPr>
          <w:lang w:val="fr-FR"/>
        </w:rPr>
        <w:t>7.1</w:t>
      </w:r>
      <w:r w:rsidRPr="00780FCF">
        <w:rPr>
          <w:lang w:val="fr-FR"/>
        </w:rPr>
        <w:tab/>
      </w:r>
      <w:r w:rsidRPr="00780FCF">
        <w:t>Conformément à l</w:t>
      </w:r>
      <w:r>
        <w:t>’</w:t>
      </w:r>
      <w:r w:rsidRPr="00780FCF">
        <w:t>article 5</w:t>
      </w:r>
      <w:r>
        <w:t xml:space="preserve"> </w:t>
      </w:r>
      <w:r w:rsidR="00BC297B">
        <w:t>(par. </w:t>
      </w:r>
      <w:r w:rsidRPr="00780FCF">
        <w:t>1) du Protocole facultatif, le Comité a examiné la présente communication en tenant compte de toutes les informations que lui ont communiquées les parties.</w:t>
      </w:r>
    </w:p>
    <w:p w14:paraId="7AFB6360" w14:textId="6A6A5D8C" w:rsidR="00EC6846" w:rsidRPr="00780FCF" w:rsidRDefault="00EC6846" w:rsidP="00A45B13">
      <w:pPr>
        <w:pStyle w:val="SingleTxtG"/>
        <w:rPr>
          <w:lang w:val="fr-FR"/>
        </w:rPr>
      </w:pPr>
      <w:r w:rsidRPr="00780FCF">
        <w:rPr>
          <w:lang w:val="fr-FR"/>
        </w:rPr>
        <w:t>7.2</w:t>
      </w:r>
      <w:r w:rsidRPr="00780FCF">
        <w:rPr>
          <w:lang w:val="fr-FR"/>
        </w:rPr>
        <w:tab/>
        <w:t>Le Comité prend note des griefs des auteurs, qui soutiennent que leurs droits à la liberté d</w:t>
      </w:r>
      <w:r>
        <w:rPr>
          <w:lang w:val="fr-FR"/>
        </w:rPr>
        <w:t>’</w:t>
      </w:r>
      <w:r w:rsidRPr="00780FCF">
        <w:rPr>
          <w:lang w:val="fr-FR"/>
        </w:rPr>
        <w:t>expression et à la liberté de réunion ont été restreints, en violation de</w:t>
      </w:r>
      <w:r>
        <w:rPr>
          <w:lang w:val="fr-FR"/>
        </w:rPr>
        <w:t xml:space="preserve">s </w:t>
      </w:r>
      <w:r w:rsidRPr="00780FCF">
        <w:rPr>
          <w:lang w:val="fr-FR"/>
        </w:rPr>
        <w:t>article</w:t>
      </w:r>
      <w:r>
        <w:rPr>
          <w:lang w:val="fr-FR"/>
        </w:rPr>
        <w:t>s</w:t>
      </w:r>
      <w:r w:rsidRPr="00780FCF">
        <w:rPr>
          <w:lang w:val="fr-FR"/>
        </w:rPr>
        <w:t> 19 et 21 du Pacte, car ils se sont vu refuser l</w:t>
      </w:r>
      <w:r>
        <w:rPr>
          <w:lang w:val="fr-FR"/>
        </w:rPr>
        <w:t>’</w:t>
      </w:r>
      <w:r w:rsidRPr="00780FCF">
        <w:rPr>
          <w:lang w:val="fr-FR"/>
        </w:rPr>
        <w:t>autorisation d</w:t>
      </w:r>
      <w:r>
        <w:rPr>
          <w:lang w:val="fr-FR"/>
        </w:rPr>
        <w:t>’</w:t>
      </w:r>
      <w:r w:rsidRPr="00780FCF">
        <w:rPr>
          <w:lang w:val="fr-FR"/>
        </w:rPr>
        <w:t>organiser un rassemblement pacifique en soutien aux prisonniers politiques du Bélarus. Il relève également que, d</w:t>
      </w:r>
      <w:r>
        <w:rPr>
          <w:lang w:val="fr-FR"/>
        </w:rPr>
        <w:t>’</w:t>
      </w:r>
      <w:r w:rsidRPr="00780FCF">
        <w:rPr>
          <w:lang w:val="fr-FR"/>
        </w:rPr>
        <w:t>après les auteurs, les autorités n</w:t>
      </w:r>
      <w:r>
        <w:rPr>
          <w:lang w:val="fr-FR"/>
        </w:rPr>
        <w:t>’</w:t>
      </w:r>
      <w:r w:rsidRPr="00780FCF">
        <w:rPr>
          <w:lang w:val="fr-FR"/>
        </w:rPr>
        <w:t xml:space="preserve">ont pas expliqué en quoi les restrictions imposées à </w:t>
      </w:r>
      <w:r>
        <w:rPr>
          <w:lang w:val="fr-FR"/>
        </w:rPr>
        <w:t>leur droit de tenir un</w:t>
      </w:r>
      <w:r w:rsidRPr="00780FCF">
        <w:rPr>
          <w:lang w:val="fr-FR"/>
        </w:rPr>
        <w:t xml:space="preserve"> rassemblement étaient nécessaires dans l</w:t>
      </w:r>
      <w:r>
        <w:rPr>
          <w:lang w:val="fr-FR"/>
        </w:rPr>
        <w:t>’</w:t>
      </w:r>
      <w:r w:rsidRPr="00780FCF">
        <w:rPr>
          <w:lang w:val="fr-FR"/>
        </w:rPr>
        <w:t>intérêt de la sécurité nationale, de la sûreté publique ou de l</w:t>
      </w:r>
      <w:r>
        <w:rPr>
          <w:lang w:val="fr-FR"/>
        </w:rPr>
        <w:t>’</w:t>
      </w:r>
      <w:r w:rsidRPr="00780FCF">
        <w:rPr>
          <w:lang w:val="fr-FR"/>
        </w:rPr>
        <w:t>ordre public, ou pour protéger la santé ou la moralité publiques ou les droits et libertés d</w:t>
      </w:r>
      <w:r>
        <w:rPr>
          <w:lang w:val="fr-FR"/>
        </w:rPr>
        <w:t>’</w:t>
      </w:r>
      <w:r w:rsidRPr="00780FCF">
        <w:rPr>
          <w:lang w:val="fr-FR"/>
        </w:rPr>
        <w:t xml:space="preserve">autrui, comme prévu </w:t>
      </w:r>
      <w:r>
        <w:rPr>
          <w:lang w:val="fr-FR"/>
        </w:rPr>
        <w:t xml:space="preserve">aux </w:t>
      </w:r>
      <w:r w:rsidRPr="00780FCF">
        <w:rPr>
          <w:lang w:val="fr-FR"/>
        </w:rPr>
        <w:t>article</w:t>
      </w:r>
      <w:r>
        <w:rPr>
          <w:lang w:val="fr-FR"/>
        </w:rPr>
        <w:t>s</w:t>
      </w:r>
      <w:r w:rsidRPr="00780FCF">
        <w:rPr>
          <w:lang w:val="fr-FR"/>
        </w:rPr>
        <w:t> 19</w:t>
      </w:r>
      <w:r>
        <w:rPr>
          <w:lang w:val="fr-FR"/>
        </w:rPr>
        <w:t xml:space="preserve"> </w:t>
      </w:r>
      <w:r w:rsidR="00BC297B">
        <w:rPr>
          <w:lang w:val="fr-FR"/>
        </w:rPr>
        <w:t>(par. </w:t>
      </w:r>
      <w:r w:rsidRPr="00780FCF">
        <w:rPr>
          <w:lang w:val="fr-FR"/>
        </w:rPr>
        <w:t>3) et 21 du Pacte, et que, partant, les intéressés considèrent que les restrictions en question étaient illégales.</w:t>
      </w:r>
      <w:r>
        <w:rPr>
          <w:lang w:val="fr-FR"/>
        </w:rPr>
        <w:t xml:space="preserve"> </w:t>
      </w:r>
      <w:r w:rsidRPr="00780FCF">
        <w:rPr>
          <w:lang w:val="fr-FR"/>
        </w:rPr>
        <w:t xml:space="preserve"> </w:t>
      </w:r>
    </w:p>
    <w:p w14:paraId="192057D5" w14:textId="77777777" w:rsidR="00EC6846" w:rsidRPr="00780FCF" w:rsidRDefault="00EC6846" w:rsidP="00A45B13">
      <w:pPr>
        <w:pStyle w:val="SingleTxtG"/>
        <w:rPr>
          <w:lang w:val="fr-FR"/>
        </w:rPr>
      </w:pPr>
      <w:r w:rsidRPr="00780FCF">
        <w:rPr>
          <w:lang w:val="fr-FR"/>
        </w:rPr>
        <w:t>7.3</w:t>
      </w:r>
      <w:r w:rsidRPr="00780FCF">
        <w:rPr>
          <w:lang w:val="fr-FR"/>
        </w:rPr>
        <w:tab/>
        <w:t xml:space="preserve">Le Comité prend note des allégations des auteurs selon lesquelles leur droit </w:t>
      </w:r>
      <w:r>
        <w:rPr>
          <w:lang w:val="fr-FR"/>
        </w:rPr>
        <w:t>à la liberté de</w:t>
      </w:r>
      <w:r w:rsidRPr="00780FCF">
        <w:rPr>
          <w:lang w:val="fr-FR"/>
        </w:rPr>
        <w:t xml:space="preserve"> réunion pacifique</w:t>
      </w:r>
      <w:r>
        <w:rPr>
          <w:lang w:val="fr-FR"/>
        </w:rPr>
        <w:t>,</w:t>
      </w:r>
      <w:r w:rsidRPr="00780FCF">
        <w:rPr>
          <w:lang w:val="fr-FR"/>
        </w:rPr>
        <w:t xml:space="preserve"> garanti par l</w:t>
      </w:r>
      <w:r>
        <w:rPr>
          <w:lang w:val="fr-FR"/>
        </w:rPr>
        <w:t>’</w:t>
      </w:r>
      <w:r w:rsidRPr="00780FCF">
        <w:rPr>
          <w:lang w:val="fr-FR"/>
        </w:rPr>
        <w:t>article 21 du Pacte</w:t>
      </w:r>
      <w:r>
        <w:rPr>
          <w:lang w:val="fr-FR"/>
        </w:rPr>
        <w:t>,</w:t>
      </w:r>
      <w:r w:rsidRPr="00780FCF">
        <w:rPr>
          <w:lang w:val="fr-FR"/>
        </w:rPr>
        <w:t xml:space="preserve"> a été violé du fait du refus par le Comité exécutif de Gomel d</w:t>
      </w:r>
      <w:r>
        <w:rPr>
          <w:lang w:val="fr-FR"/>
        </w:rPr>
        <w:t xml:space="preserve">e les </w:t>
      </w:r>
      <w:r w:rsidRPr="00780FCF">
        <w:rPr>
          <w:lang w:val="fr-FR"/>
        </w:rPr>
        <w:t xml:space="preserve">autoriser </w:t>
      </w:r>
      <w:r>
        <w:rPr>
          <w:lang w:val="fr-FR"/>
        </w:rPr>
        <w:t xml:space="preserve">à tenir </w:t>
      </w:r>
      <w:r w:rsidRPr="00780FCF">
        <w:rPr>
          <w:lang w:val="fr-FR"/>
        </w:rPr>
        <w:t xml:space="preserve">un rassemblement pacifique. </w:t>
      </w:r>
      <w:r>
        <w:rPr>
          <w:lang w:val="fr-FR"/>
        </w:rPr>
        <w:t xml:space="preserve">Il rappelle </w:t>
      </w:r>
      <w:r w:rsidRPr="00780FCF">
        <w:rPr>
          <w:lang w:val="fr-FR"/>
        </w:rPr>
        <w:t xml:space="preserve">son observation générale </w:t>
      </w:r>
      <w:r w:rsidRPr="00687000">
        <w:rPr>
          <w:rFonts w:eastAsia="MS Mincho"/>
          <w:lang w:val="fr-FR"/>
        </w:rPr>
        <w:t>n</w:t>
      </w:r>
      <w:r w:rsidRPr="00687000">
        <w:rPr>
          <w:rFonts w:eastAsia="MS Mincho"/>
          <w:vertAlign w:val="superscript"/>
          <w:lang w:val="fr-FR"/>
        </w:rPr>
        <w:t>o</w:t>
      </w:r>
      <w:r>
        <w:rPr>
          <w:lang w:val="fr-FR"/>
        </w:rPr>
        <w:t> </w:t>
      </w:r>
      <w:r w:rsidRPr="00780FCF">
        <w:rPr>
          <w:lang w:val="fr-FR"/>
        </w:rPr>
        <w:t>37</w:t>
      </w:r>
      <w:r>
        <w:rPr>
          <w:lang w:val="fr-FR"/>
        </w:rPr>
        <w:t xml:space="preserve"> </w:t>
      </w:r>
      <w:r w:rsidRPr="00780FCF">
        <w:rPr>
          <w:lang w:val="fr-FR"/>
        </w:rPr>
        <w:t xml:space="preserve">(2020), </w:t>
      </w:r>
      <w:r>
        <w:rPr>
          <w:lang w:val="fr-FR"/>
        </w:rPr>
        <w:t xml:space="preserve">dans laquelle </w:t>
      </w:r>
      <w:r w:rsidRPr="00780FCF">
        <w:rPr>
          <w:lang w:val="fr-FR"/>
        </w:rPr>
        <w:t xml:space="preserve">il indique que les réunions pacifiques peuvent en principe être organisées en tout lieu accessible au public ou auquel le public devrait avoir accès, comme les places publiques et la voie publique. Les réunions pacifiques ne devraient pas être reléguées dans des </w:t>
      </w:r>
      <w:r>
        <w:rPr>
          <w:lang w:val="fr-FR"/>
        </w:rPr>
        <w:t>en</w:t>
      </w:r>
      <w:r w:rsidRPr="00780FCF">
        <w:rPr>
          <w:lang w:val="fr-FR"/>
        </w:rPr>
        <w:t>droits isolés où elles ne peuvent pas attirer l</w:t>
      </w:r>
      <w:r>
        <w:rPr>
          <w:lang w:val="fr-FR"/>
        </w:rPr>
        <w:t>’</w:t>
      </w:r>
      <w:r w:rsidRPr="00780FCF">
        <w:rPr>
          <w:lang w:val="fr-FR"/>
        </w:rPr>
        <w:t>attention de ceux à qui elles s</w:t>
      </w:r>
      <w:r>
        <w:rPr>
          <w:lang w:val="fr-FR"/>
        </w:rPr>
        <w:t>’</w:t>
      </w:r>
      <w:r w:rsidRPr="00780FCF">
        <w:rPr>
          <w:lang w:val="fr-FR"/>
        </w:rPr>
        <w:t>adressent ou du grand public. En règle générale, il ne peut être imposé d</w:t>
      </w:r>
      <w:r>
        <w:rPr>
          <w:lang w:val="fr-FR"/>
        </w:rPr>
        <w:t>’</w:t>
      </w:r>
      <w:r w:rsidRPr="00780FCF">
        <w:rPr>
          <w:lang w:val="fr-FR"/>
        </w:rPr>
        <w:t>interdictions générales d</w:t>
      </w:r>
      <w:r>
        <w:rPr>
          <w:lang w:val="fr-FR"/>
        </w:rPr>
        <w:t>’</w:t>
      </w:r>
      <w:r w:rsidRPr="00780FCF">
        <w:rPr>
          <w:lang w:val="fr-FR"/>
        </w:rPr>
        <w:t>organiser des rassemblements en tous lieux de la capitale, en tous lieux publics à l</w:t>
      </w:r>
      <w:r>
        <w:rPr>
          <w:lang w:val="fr-FR"/>
        </w:rPr>
        <w:t>’</w:t>
      </w:r>
      <w:r w:rsidRPr="00780FCF">
        <w:rPr>
          <w:lang w:val="fr-FR"/>
        </w:rPr>
        <w:t>exception d</w:t>
      </w:r>
      <w:r>
        <w:rPr>
          <w:lang w:val="fr-FR"/>
        </w:rPr>
        <w:t>’</w:t>
      </w:r>
      <w:r w:rsidRPr="00780FCF">
        <w:rPr>
          <w:lang w:val="fr-FR"/>
        </w:rPr>
        <w:t>un lieu unique en ville ou en dehors du centre</w:t>
      </w:r>
      <w:r w:rsidRPr="00780FCF">
        <w:rPr>
          <w:lang w:val="fr-FR"/>
        </w:rPr>
        <w:noBreakHyphen/>
        <w:t>ville, ou sur l</w:t>
      </w:r>
      <w:r>
        <w:rPr>
          <w:lang w:val="fr-FR"/>
        </w:rPr>
        <w:t>’</w:t>
      </w:r>
      <w:r w:rsidRPr="00780FCF">
        <w:rPr>
          <w:lang w:val="fr-FR"/>
        </w:rPr>
        <w:t>ensemble de la voie publique d</w:t>
      </w:r>
      <w:r>
        <w:rPr>
          <w:lang w:val="fr-FR"/>
        </w:rPr>
        <w:t>’</w:t>
      </w:r>
      <w:r w:rsidRPr="00780FCF">
        <w:rPr>
          <w:lang w:val="fr-FR"/>
        </w:rPr>
        <w:t>une ville</w:t>
      </w:r>
      <w:r w:rsidRPr="007672FF">
        <w:rPr>
          <w:rStyle w:val="Appelnotedebasdep"/>
        </w:rPr>
        <w:footnoteReference w:id="9"/>
      </w:r>
      <w:r w:rsidRPr="00780FCF">
        <w:rPr>
          <w:lang w:val="fr-FR"/>
        </w:rPr>
        <w:t xml:space="preserve">. </w:t>
      </w:r>
      <w:r>
        <w:rPr>
          <w:lang w:val="fr-FR"/>
        </w:rPr>
        <w:t xml:space="preserve">De plus, </w:t>
      </w:r>
      <w:r w:rsidRPr="00780FCF">
        <w:rPr>
          <w:lang w:val="fr-FR"/>
        </w:rPr>
        <w:t>exiger des participants ou des organisateurs qu</w:t>
      </w:r>
      <w:r>
        <w:rPr>
          <w:lang w:val="fr-FR"/>
        </w:rPr>
        <w:t>’</w:t>
      </w:r>
      <w:r w:rsidRPr="00780FCF">
        <w:rPr>
          <w:lang w:val="fr-FR"/>
        </w:rPr>
        <w:t>ils assurent l</w:t>
      </w:r>
      <w:r>
        <w:rPr>
          <w:lang w:val="fr-FR"/>
        </w:rPr>
        <w:t>’</w:t>
      </w:r>
      <w:r w:rsidRPr="00780FCF">
        <w:rPr>
          <w:lang w:val="fr-FR"/>
        </w:rPr>
        <w:t>encadrement et le maintien de l</w:t>
      </w:r>
      <w:r>
        <w:rPr>
          <w:lang w:val="fr-FR"/>
        </w:rPr>
        <w:t>’</w:t>
      </w:r>
      <w:r w:rsidRPr="00780FCF">
        <w:rPr>
          <w:lang w:val="fr-FR"/>
        </w:rPr>
        <w:t>ordre et la fourniture de soins médicaux pendant les rassemblements pacifiques et le nettoyage du site après la réunion ou tous autres services publics connexes et qu</w:t>
      </w:r>
      <w:r>
        <w:rPr>
          <w:lang w:val="fr-FR"/>
        </w:rPr>
        <w:t>’</w:t>
      </w:r>
      <w:r w:rsidRPr="00780FCF">
        <w:rPr>
          <w:lang w:val="fr-FR"/>
        </w:rPr>
        <w:t>ils en assument les coûts n</w:t>
      </w:r>
      <w:r>
        <w:rPr>
          <w:lang w:val="fr-FR"/>
        </w:rPr>
        <w:t>’</w:t>
      </w:r>
      <w:r w:rsidRPr="00780FCF">
        <w:rPr>
          <w:lang w:val="fr-FR"/>
        </w:rPr>
        <w:t>est généralement pas compatible avec l</w:t>
      </w:r>
      <w:r>
        <w:rPr>
          <w:lang w:val="fr-FR"/>
        </w:rPr>
        <w:t>’</w:t>
      </w:r>
      <w:r w:rsidRPr="00780FCF">
        <w:rPr>
          <w:lang w:val="fr-FR"/>
        </w:rPr>
        <w:t>article 21</w:t>
      </w:r>
      <w:r w:rsidRPr="007672FF">
        <w:rPr>
          <w:rStyle w:val="Appelnotedebasdep"/>
        </w:rPr>
        <w:footnoteReference w:id="10"/>
      </w:r>
      <w:r w:rsidRPr="00780FCF">
        <w:rPr>
          <w:lang w:val="fr-FR"/>
        </w:rPr>
        <w:t>.</w:t>
      </w:r>
    </w:p>
    <w:p w14:paraId="08D646E5" w14:textId="4BF4B849" w:rsidR="00EC6846" w:rsidRPr="00780FCF" w:rsidRDefault="00EC6846" w:rsidP="00A45B13">
      <w:pPr>
        <w:pStyle w:val="SingleTxtG"/>
        <w:rPr>
          <w:lang w:val="fr-FR"/>
        </w:rPr>
      </w:pPr>
      <w:r w:rsidRPr="00780FCF">
        <w:rPr>
          <w:lang w:val="fr-FR"/>
        </w:rPr>
        <w:t>7.4</w:t>
      </w:r>
      <w:r w:rsidRPr="00780FCF">
        <w:rPr>
          <w:lang w:val="fr-FR"/>
        </w:rPr>
        <w:tab/>
        <w:t xml:space="preserve">Le Comité rappelle </w:t>
      </w:r>
      <w:r>
        <w:rPr>
          <w:lang w:val="fr-FR"/>
        </w:rPr>
        <w:t xml:space="preserve">aussi </w:t>
      </w:r>
      <w:r w:rsidRPr="00780FCF">
        <w:rPr>
          <w:lang w:val="fr-FR"/>
        </w:rPr>
        <w:t>que le droit</w:t>
      </w:r>
      <w:r>
        <w:rPr>
          <w:lang w:val="fr-FR"/>
        </w:rPr>
        <w:t xml:space="preserve"> à la liberté</w:t>
      </w:r>
      <w:r w:rsidRPr="00780FCF">
        <w:rPr>
          <w:lang w:val="fr-FR"/>
        </w:rPr>
        <w:t xml:space="preserve"> de réunion pacifique, garanti par l</w:t>
      </w:r>
      <w:r>
        <w:rPr>
          <w:lang w:val="fr-FR"/>
        </w:rPr>
        <w:t>’</w:t>
      </w:r>
      <w:r w:rsidRPr="00780FCF">
        <w:rPr>
          <w:lang w:val="fr-FR"/>
        </w:rPr>
        <w:t>article 21 du Pacte, est un droit de l</w:t>
      </w:r>
      <w:r>
        <w:rPr>
          <w:lang w:val="fr-FR"/>
        </w:rPr>
        <w:t>’</w:t>
      </w:r>
      <w:r w:rsidRPr="00780FCF">
        <w:rPr>
          <w:lang w:val="fr-FR"/>
        </w:rPr>
        <w:t>homme fondamental, essentiel à l</w:t>
      </w:r>
      <w:r>
        <w:rPr>
          <w:lang w:val="fr-FR"/>
        </w:rPr>
        <w:t>’</w:t>
      </w:r>
      <w:r w:rsidRPr="00780FCF">
        <w:rPr>
          <w:lang w:val="fr-FR"/>
        </w:rPr>
        <w:t>expression publique des points de vue et opinions de chacun et indispensable à une société démocratique</w:t>
      </w:r>
      <w:r w:rsidRPr="007672FF">
        <w:rPr>
          <w:rStyle w:val="Appelnotedebasdep"/>
        </w:rPr>
        <w:footnoteReference w:id="11"/>
      </w:r>
      <w:r w:rsidRPr="00780FCF">
        <w:rPr>
          <w:lang w:val="fr-FR"/>
        </w:rPr>
        <w:t>. L</w:t>
      </w:r>
      <w:r>
        <w:rPr>
          <w:lang w:val="fr-FR"/>
        </w:rPr>
        <w:t>’</w:t>
      </w:r>
      <w:r w:rsidRPr="00780FCF">
        <w:rPr>
          <w:lang w:val="fr-FR"/>
        </w:rPr>
        <w:t>article 21 du Pacte protège les réunions pacifiques, qu</w:t>
      </w:r>
      <w:r>
        <w:rPr>
          <w:lang w:val="fr-FR"/>
        </w:rPr>
        <w:t>’</w:t>
      </w:r>
      <w:r w:rsidRPr="00780FCF">
        <w:rPr>
          <w:lang w:val="fr-FR"/>
        </w:rPr>
        <w:t>elles se déroulent partiellement ou intégralement à l</w:t>
      </w:r>
      <w:r>
        <w:rPr>
          <w:lang w:val="fr-FR"/>
        </w:rPr>
        <w:t>’</w:t>
      </w:r>
      <w:r w:rsidRPr="00780FCF">
        <w:rPr>
          <w:lang w:val="fr-FR"/>
        </w:rPr>
        <w:t>extérieur, à l</w:t>
      </w:r>
      <w:r>
        <w:rPr>
          <w:lang w:val="fr-FR"/>
        </w:rPr>
        <w:t>’</w:t>
      </w:r>
      <w:r w:rsidRPr="00780FCF">
        <w:rPr>
          <w:lang w:val="fr-FR"/>
        </w:rPr>
        <w:t xml:space="preserve">intérieur ou en ligne, en public ou en privé. Ces réunions peuvent prendre de nombreuses formes, notamment celles de manifestations, protestations, rassemblements, défilés, sit-in, veillées à la bougie et mobilisations éclair. Elles sont </w:t>
      </w:r>
      <w:r w:rsidRPr="00780FCF">
        <w:rPr>
          <w:lang w:val="fr-FR"/>
        </w:rPr>
        <w:lastRenderedPageBreak/>
        <w:t>protégées au titre de l</w:t>
      </w:r>
      <w:r>
        <w:rPr>
          <w:lang w:val="fr-FR"/>
        </w:rPr>
        <w:t>’</w:t>
      </w:r>
      <w:r w:rsidRPr="00780FCF">
        <w:rPr>
          <w:lang w:val="fr-FR"/>
        </w:rPr>
        <w:t>article 21, qu</w:t>
      </w:r>
      <w:r>
        <w:rPr>
          <w:lang w:val="fr-FR"/>
        </w:rPr>
        <w:t>’</w:t>
      </w:r>
      <w:r w:rsidRPr="00780FCF">
        <w:rPr>
          <w:lang w:val="fr-FR"/>
        </w:rPr>
        <w:t>elles soient statiques, comme les piquets, ou mobiles, comme les défilés et les marches</w:t>
      </w:r>
      <w:r w:rsidRPr="007672FF">
        <w:rPr>
          <w:rStyle w:val="Appelnotedebasdep"/>
        </w:rPr>
        <w:footnoteReference w:id="12"/>
      </w:r>
      <w:r w:rsidRPr="00780FCF">
        <w:rPr>
          <w:lang w:val="fr-FR"/>
        </w:rPr>
        <w:t>. Les organisateurs d</w:t>
      </w:r>
      <w:r>
        <w:rPr>
          <w:lang w:val="fr-FR"/>
        </w:rPr>
        <w:t>’</w:t>
      </w:r>
      <w:r w:rsidRPr="00780FCF">
        <w:rPr>
          <w:lang w:val="fr-FR"/>
        </w:rPr>
        <w:t>un rassemblement ont, en principe, le droit de choisir un lieu à portée de vue et de voix du public cible</w:t>
      </w:r>
      <w:r w:rsidRPr="007672FF">
        <w:rPr>
          <w:rStyle w:val="Appelnotedebasdep"/>
        </w:rPr>
        <w:footnoteReference w:id="13"/>
      </w:r>
      <w:r>
        <w:rPr>
          <w:lang w:val="fr-FR"/>
        </w:rPr>
        <w:t>,</w:t>
      </w:r>
      <w:r w:rsidRPr="00780FCF">
        <w:rPr>
          <w:lang w:val="fr-FR"/>
        </w:rPr>
        <w:t xml:space="preserve"> et l</w:t>
      </w:r>
      <w:r>
        <w:rPr>
          <w:lang w:val="fr-FR"/>
        </w:rPr>
        <w:t>’</w:t>
      </w:r>
      <w:r w:rsidRPr="00780FCF">
        <w:rPr>
          <w:lang w:val="fr-FR"/>
        </w:rPr>
        <w:t>exercice de ce droit ne peut faire l</w:t>
      </w:r>
      <w:r>
        <w:rPr>
          <w:lang w:val="fr-FR"/>
        </w:rPr>
        <w:t>’</w:t>
      </w:r>
      <w:r w:rsidRPr="00780FCF">
        <w:rPr>
          <w:lang w:val="fr-FR"/>
        </w:rPr>
        <w:t>objet que des seules restrictions</w:t>
      </w:r>
      <w:r w:rsidR="00D14989">
        <w:rPr>
          <w:lang w:val="fr-FR"/>
        </w:rPr>
        <w:t xml:space="preserve"> : </w:t>
      </w:r>
      <w:r w:rsidRPr="00780FCF">
        <w:rPr>
          <w:lang w:val="fr-FR"/>
        </w:rPr>
        <w:t>a) imposées conformément à la loi ; b) nécessaires dans une société démocratique, dans l</w:t>
      </w:r>
      <w:r>
        <w:rPr>
          <w:lang w:val="fr-FR"/>
        </w:rPr>
        <w:t>’</w:t>
      </w:r>
      <w:r w:rsidRPr="00780FCF">
        <w:rPr>
          <w:lang w:val="fr-FR"/>
        </w:rPr>
        <w:t>intérêt de la sécurité nationale, de la sûreté publique, de l</w:t>
      </w:r>
      <w:r>
        <w:rPr>
          <w:lang w:val="fr-FR"/>
        </w:rPr>
        <w:t>’</w:t>
      </w:r>
      <w:r w:rsidRPr="00780FCF">
        <w:rPr>
          <w:lang w:val="fr-FR"/>
        </w:rPr>
        <w:t>ordre public ou pour protéger la santé ou la moralité publiques, ou les droits et libertés d</w:t>
      </w:r>
      <w:r>
        <w:rPr>
          <w:lang w:val="fr-FR"/>
        </w:rPr>
        <w:t>’</w:t>
      </w:r>
      <w:r w:rsidRPr="00780FCF">
        <w:rPr>
          <w:lang w:val="fr-FR"/>
        </w:rPr>
        <w:t>autrui. Lorsqu</w:t>
      </w:r>
      <w:r>
        <w:rPr>
          <w:lang w:val="fr-FR"/>
        </w:rPr>
        <w:t>’</w:t>
      </w:r>
      <w:r w:rsidRPr="00780FCF">
        <w:rPr>
          <w:lang w:val="fr-FR"/>
        </w:rPr>
        <w:t>il impose des restrictions au droit de réunion des particuliers afin de concilier ce droit avec l</w:t>
      </w:r>
      <w:r>
        <w:rPr>
          <w:lang w:val="fr-FR"/>
        </w:rPr>
        <w:t>’</w:t>
      </w:r>
      <w:r w:rsidRPr="00780FCF">
        <w:rPr>
          <w:lang w:val="fr-FR"/>
        </w:rPr>
        <w:t>intérêt général, l</w:t>
      </w:r>
      <w:r>
        <w:rPr>
          <w:lang w:val="fr-FR"/>
        </w:rPr>
        <w:t>’</w:t>
      </w:r>
      <w:r w:rsidRPr="00780FCF">
        <w:rPr>
          <w:lang w:val="fr-FR"/>
        </w:rPr>
        <w:t>État partie doit chercher à faciliter l</w:t>
      </w:r>
      <w:r>
        <w:rPr>
          <w:lang w:val="fr-FR"/>
        </w:rPr>
        <w:t>’</w:t>
      </w:r>
      <w:r w:rsidRPr="00780FCF">
        <w:rPr>
          <w:lang w:val="fr-FR"/>
        </w:rPr>
        <w:t>exercice de ce droit et non s</w:t>
      </w:r>
      <w:r>
        <w:rPr>
          <w:lang w:val="fr-FR"/>
        </w:rPr>
        <w:t>’</w:t>
      </w:r>
      <w:r w:rsidRPr="00780FCF">
        <w:rPr>
          <w:lang w:val="fr-FR"/>
        </w:rPr>
        <w:t>employer à le restreindre par des moyens qui ne sont ni nécessaires ni proportionnés</w:t>
      </w:r>
      <w:r w:rsidRPr="007672FF">
        <w:rPr>
          <w:rStyle w:val="Appelnotedebasdep"/>
        </w:rPr>
        <w:footnoteReference w:id="14"/>
      </w:r>
      <w:r w:rsidRPr="00780FCF">
        <w:rPr>
          <w:lang w:val="fr-FR"/>
        </w:rPr>
        <w:t>. Il est donc tenu de justifier la limitation du droit garanti par l</w:t>
      </w:r>
      <w:r>
        <w:rPr>
          <w:lang w:val="fr-FR"/>
        </w:rPr>
        <w:t>’</w:t>
      </w:r>
      <w:r w:rsidRPr="00780FCF">
        <w:rPr>
          <w:lang w:val="fr-FR"/>
        </w:rPr>
        <w:t>article 21 du Pacte</w:t>
      </w:r>
      <w:r w:rsidRPr="007672FF">
        <w:rPr>
          <w:rStyle w:val="Appelnotedebasdep"/>
        </w:rPr>
        <w:footnoteReference w:id="15"/>
      </w:r>
      <w:r w:rsidRPr="00780FCF">
        <w:rPr>
          <w:lang w:val="fr-FR"/>
        </w:rPr>
        <w:t>.</w:t>
      </w:r>
      <w:r>
        <w:rPr>
          <w:lang w:val="fr-FR"/>
        </w:rPr>
        <w:t xml:space="preserve"> </w:t>
      </w:r>
    </w:p>
    <w:p w14:paraId="1F6A81BB" w14:textId="77777777" w:rsidR="00EC6846" w:rsidRPr="00780FCF" w:rsidRDefault="00EC6846" w:rsidP="00A45B13">
      <w:pPr>
        <w:pStyle w:val="SingleTxtG"/>
        <w:rPr>
          <w:lang w:val="fr-FR"/>
        </w:rPr>
      </w:pPr>
      <w:r w:rsidRPr="00780FCF">
        <w:rPr>
          <w:lang w:val="fr-FR"/>
        </w:rPr>
        <w:t>7.5</w:t>
      </w:r>
      <w:r w:rsidRPr="00780FCF">
        <w:rPr>
          <w:lang w:val="fr-FR"/>
        </w:rPr>
        <w:tab/>
        <w:t>En l</w:t>
      </w:r>
      <w:r>
        <w:rPr>
          <w:lang w:val="fr-FR"/>
        </w:rPr>
        <w:t>’</w:t>
      </w:r>
      <w:r w:rsidRPr="00780FCF">
        <w:rPr>
          <w:lang w:val="fr-FR"/>
        </w:rPr>
        <w:t>espèce, le Comité doit déterminer si les restrictions imposées au droit des auteurs à la liberté de réunion pacifique sont justifiées au regard de l</w:t>
      </w:r>
      <w:r>
        <w:rPr>
          <w:lang w:val="fr-FR"/>
        </w:rPr>
        <w:t>’</w:t>
      </w:r>
      <w:r w:rsidRPr="00780FCF">
        <w:rPr>
          <w:lang w:val="fr-FR"/>
        </w:rPr>
        <w:t xml:space="preserve">un quelconque des critères énoncés </w:t>
      </w:r>
      <w:r>
        <w:rPr>
          <w:lang w:val="fr-FR"/>
        </w:rPr>
        <w:t>à</w:t>
      </w:r>
      <w:r w:rsidRPr="00780FCF">
        <w:rPr>
          <w:lang w:val="fr-FR"/>
        </w:rPr>
        <w:t xml:space="preserve"> l</w:t>
      </w:r>
      <w:r>
        <w:rPr>
          <w:lang w:val="fr-FR"/>
        </w:rPr>
        <w:t>’</w:t>
      </w:r>
      <w:r w:rsidRPr="00780FCF">
        <w:rPr>
          <w:lang w:val="fr-FR"/>
        </w:rPr>
        <w:t>article 21 du Pacte. Il ressort des éléments versés au dossier que la demande d</w:t>
      </w:r>
      <w:r>
        <w:rPr>
          <w:lang w:val="fr-FR"/>
        </w:rPr>
        <w:t>’</w:t>
      </w:r>
      <w:r w:rsidRPr="00780FCF">
        <w:rPr>
          <w:lang w:val="fr-FR"/>
        </w:rPr>
        <w:t>autorisation déposée par les auteurs en vue de la tenue d</w:t>
      </w:r>
      <w:r>
        <w:rPr>
          <w:lang w:val="fr-FR"/>
        </w:rPr>
        <w:t>’</w:t>
      </w:r>
      <w:r w:rsidRPr="00780FCF">
        <w:rPr>
          <w:lang w:val="fr-FR"/>
        </w:rPr>
        <w:t>un rassemblement a été rejetée parce que le lieu choisi n</w:t>
      </w:r>
      <w:r>
        <w:rPr>
          <w:lang w:val="fr-FR"/>
        </w:rPr>
        <w:t>’</w:t>
      </w:r>
      <w:r w:rsidRPr="00780FCF">
        <w:rPr>
          <w:lang w:val="fr-FR"/>
        </w:rPr>
        <w:t>était pas l</w:t>
      </w:r>
      <w:r>
        <w:rPr>
          <w:lang w:val="fr-FR"/>
        </w:rPr>
        <w:t>’</w:t>
      </w:r>
      <w:r w:rsidRPr="00780FCF">
        <w:rPr>
          <w:lang w:val="fr-FR"/>
        </w:rPr>
        <w:t>un de ceux qui étaient prévus à cet effet par les autorités municipales, mais la place de la Rébellion</w:t>
      </w:r>
      <w:r>
        <w:rPr>
          <w:lang w:val="fr-FR"/>
        </w:rPr>
        <w:t>,</w:t>
      </w:r>
      <w:r w:rsidRPr="00780FCF">
        <w:rPr>
          <w:lang w:val="fr-FR"/>
        </w:rPr>
        <w:t xml:space="preserve"> dans le centre-ville, et </w:t>
      </w:r>
      <w:r>
        <w:rPr>
          <w:lang w:val="fr-FR"/>
        </w:rPr>
        <w:t xml:space="preserve">parce </w:t>
      </w:r>
      <w:r w:rsidRPr="00780FCF">
        <w:rPr>
          <w:lang w:val="fr-FR"/>
        </w:rPr>
        <w:t>que les auteurs n</w:t>
      </w:r>
      <w:r>
        <w:rPr>
          <w:lang w:val="fr-FR"/>
        </w:rPr>
        <w:t>’</w:t>
      </w:r>
      <w:r w:rsidRPr="00780FCF">
        <w:rPr>
          <w:lang w:val="fr-FR"/>
        </w:rPr>
        <w:t>avaient pas présenté les contrats conclus avec les prestataires de services municipaux respectivement chargés d</w:t>
      </w:r>
      <w:r>
        <w:rPr>
          <w:lang w:val="fr-FR"/>
        </w:rPr>
        <w:t>’</w:t>
      </w:r>
      <w:r w:rsidRPr="00780FCF">
        <w:rPr>
          <w:lang w:val="fr-FR"/>
        </w:rPr>
        <w:t>assurer une assistance médicale pendant la manifestation et le nettoyage des lieux après celle-ci. Dans ce contexte, le Comité constate que ni le Comité exécutif de Gomel ni les juridictions internes n</w:t>
      </w:r>
      <w:r>
        <w:rPr>
          <w:lang w:val="fr-FR"/>
        </w:rPr>
        <w:t>’</w:t>
      </w:r>
      <w:r w:rsidRPr="00780FCF">
        <w:rPr>
          <w:lang w:val="fr-FR"/>
        </w:rPr>
        <w:t xml:space="preserve">ont justifié leur décision ou expliqué en quoi, </w:t>
      </w:r>
      <w:r>
        <w:rPr>
          <w:lang w:val="fr-FR"/>
        </w:rPr>
        <w:t>concrètement</w:t>
      </w:r>
      <w:r w:rsidRPr="00780FCF">
        <w:rPr>
          <w:lang w:val="fr-FR"/>
        </w:rPr>
        <w:t>, la manifestation que les auteurs souhaitaient organiser aurait menacé les intérêts visés à l</w:t>
      </w:r>
      <w:r>
        <w:rPr>
          <w:lang w:val="fr-FR"/>
        </w:rPr>
        <w:t>’</w:t>
      </w:r>
      <w:r w:rsidRPr="00780FCF">
        <w:rPr>
          <w:lang w:val="fr-FR"/>
        </w:rPr>
        <w:t>article 21 du Pacte, à savoir la sécurité nationale ou la sûreté publique, l</w:t>
      </w:r>
      <w:r>
        <w:rPr>
          <w:lang w:val="fr-FR"/>
        </w:rPr>
        <w:t>’</w:t>
      </w:r>
      <w:r w:rsidRPr="00780FCF">
        <w:rPr>
          <w:lang w:val="fr-FR"/>
        </w:rPr>
        <w:t>ordre public, la santé ou la moralité publiques ou les droits et libertés d</w:t>
      </w:r>
      <w:r>
        <w:rPr>
          <w:lang w:val="fr-FR"/>
        </w:rPr>
        <w:t>’</w:t>
      </w:r>
      <w:r w:rsidRPr="00780FCF">
        <w:rPr>
          <w:lang w:val="fr-FR"/>
        </w:rPr>
        <w:t xml:space="preserve">autrui. </w:t>
      </w:r>
      <w:r w:rsidRPr="00780FCF">
        <w:t>L</w:t>
      </w:r>
      <w:r>
        <w:t>’</w:t>
      </w:r>
      <w:r w:rsidRPr="00780FCF">
        <w:t>État partie n</w:t>
      </w:r>
      <w:r>
        <w:t>’</w:t>
      </w:r>
      <w:r w:rsidRPr="00780FCF">
        <w:t>a pas non plus montré que d</w:t>
      </w:r>
      <w:r>
        <w:t>’</w:t>
      </w:r>
      <w:r w:rsidRPr="00780FCF">
        <w:t>autres mesures avaient été prises pour faciliter l</w:t>
      </w:r>
      <w:r>
        <w:t>’</w:t>
      </w:r>
      <w:r w:rsidRPr="00780FCF">
        <w:t>exercice des droits que les auteurs tiennent de l</w:t>
      </w:r>
      <w:r>
        <w:t>’</w:t>
      </w:r>
      <w:r w:rsidRPr="00780FCF">
        <w:t>article 21.</w:t>
      </w:r>
    </w:p>
    <w:p w14:paraId="53FFA1CC" w14:textId="77777777" w:rsidR="00EC6846" w:rsidRPr="00780FCF" w:rsidRDefault="00EC6846" w:rsidP="00A45B13">
      <w:pPr>
        <w:pStyle w:val="SingleTxtG"/>
        <w:rPr>
          <w:lang w:val="fr-FR"/>
        </w:rPr>
      </w:pPr>
      <w:r w:rsidRPr="00780FCF">
        <w:rPr>
          <w:lang w:val="fr-FR"/>
        </w:rPr>
        <w:t>7.6</w:t>
      </w:r>
      <w:r w:rsidRPr="00780FCF">
        <w:rPr>
          <w:lang w:val="fr-FR"/>
        </w:rPr>
        <w:tab/>
      </w:r>
      <w:r>
        <w:rPr>
          <w:lang w:val="fr-FR"/>
        </w:rPr>
        <w:t>Le Comité constate qu’il a déjà examiné des cas similaires, concernant les mêmes lois et pratiques de l’État partie,</w:t>
      </w:r>
      <w:r w:rsidRPr="002B29EA">
        <w:rPr>
          <w:lang w:val="fr-FR"/>
        </w:rPr>
        <w:t xml:space="preserve"> </w:t>
      </w:r>
      <w:r>
        <w:rPr>
          <w:lang w:val="fr-FR"/>
        </w:rPr>
        <w:t xml:space="preserve">dans plusieurs communications. </w:t>
      </w:r>
      <w:r w:rsidRPr="00780FCF">
        <w:rPr>
          <w:lang w:val="fr-FR"/>
        </w:rPr>
        <w:t>En l</w:t>
      </w:r>
      <w:r>
        <w:rPr>
          <w:lang w:val="fr-FR"/>
        </w:rPr>
        <w:t>’</w:t>
      </w:r>
      <w:r w:rsidRPr="00780FCF">
        <w:rPr>
          <w:lang w:val="fr-FR"/>
        </w:rPr>
        <w:t>absence d</w:t>
      </w:r>
      <w:r>
        <w:rPr>
          <w:lang w:val="fr-FR"/>
        </w:rPr>
        <w:t>’</w:t>
      </w:r>
      <w:r w:rsidRPr="00780FCF">
        <w:rPr>
          <w:lang w:val="fr-FR"/>
        </w:rPr>
        <w:t xml:space="preserve">explications </w:t>
      </w:r>
      <w:r>
        <w:rPr>
          <w:lang w:val="fr-FR"/>
        </w:rPr>
        <w:t xml:space="preserve">supplémentaires </w:t>
      </w:r>
      <w:r w:rsidRPr="00780FCF">
        <w:rPr>
          <w:lang w:val="fr-FR"/>
        </w:rPr>
        <w:t>de la part de l</w:t>
      </w:r>
      <w:r>
        <w:rPr>
          <w:lang w:val="fr-FR"/>
        </w:rPr>
        <w:t>’</w:t>
      </w:r>
      <w:r w:rsidRPr="00780FCF">
        <w:rPr>
          <w:lang w:val="fr-FR"/>
        </w:rPr>
        <w:t>État partie, le Comité conclut que celui-ci a violé les droits garantis aux auteurs par l</w:t>
      </w:r>
      <w:r>
        <w:rPr>
          <w:lang w:val="fr-FR"/>
        </w:rPr>
        <w:t>’</w:t>
      </w:r>
      <w:r w:rsidRPr="00780FCF">
        <w:rPr>
          <w:lang w:val="fr-FR"/>
        </w:rPr>
        <w:t>article 21 du Pacte.</w:t>
      </w:r>
      <w:r>
        <w:rPr>
          <w:lang w:val="fr-FR"/>
        </w:rPr>
        <w:t xml:space="preserve"> </w:t>
      </w:r>
    </w:p>
    <w:p w14:paraId="10EEF829" w14:textId="77777777" w:rsidR="00EC6846" w:rsidRPr="00780FCF" w:rsidRDefault="00EC6846" w:rsidP="00A45B13">
      <w:pPr>
        <w:pStyle w:val="SingleTxtG"/>
        <w:rPr>
          <w:lang w:val="fr-FR"/>
        </w:rPr>
      </w:pPr>
      <w:r w:rsidRPr="00780FCF">
        <w:rPr>
          <w:lang w:val="fr-FR"/>
        </w:rPr>
        <w:t>7.7</w:t>
      </w:r>
      <w:r w:rsidRPr="00780FCF">
        <w:rPr>
          <w:lang w:val="fr-FR"/>
        </w:rPr>
        <w:tab/>
        <w:t>Le Comité prend également note des allégations des auteurs selon lesquelles leur droit à la liberté d</w:t>
      </w:r>
      <w:r>
        <w:rPr>
          <w:lang w:val="fr-FR"/>
        </w:rPr>
        <w:t>’</w:t>
      </w:r>
      <w:r w:rsidRPr="00780FCF">
        <w:rPr>
          <w:lang w:val="fr-FR"/>
        </w:rPr>
        <w:t>expression a été restreint illégalement, en ce qu</w:t>
      </w:r>
      <w:r>
        <w:rPr>
          <w:lang w:val="fr-FR"/>
        </w:rPr>
        <w:t>’</w:t>
      </w:r>
      <w:r w:rsidRPr="00780FCF">
        <w:rPr>
          <w:lang w:val="fr-FR"/>
        </w:rPr>
        <w:t>on leur a refusé l</w:t>
      </w:r>
      <w:r>
        <w:rPr>
          <w:lang w:val="fr-FR"/>
        </w:rPr>
        <w:t>’</w:t>
      </w:r>
      <w:r w:rsidRPr="00780FCF">
        <w:rPr>
          <w:lang w:val="fr-FR"/>
        </w:rPr>
        <w:t>autorisation de tenir un rassemblement pour exprimer publiquement leur soutien aux prisonniers politiques du Bélarus. Il doit donc déterminer si l</w:t>
      </w:r>
      <w:r>
        <w:rPr>
          <w:lang w:val="fr-FR"/>
        </w:rPr>
        <w:t>’</w:t>
      </w:r>
      <w:r w:rsidRPr="00780FCF">
        <w:rPr>
          <w:lang w:val="fr-FR"/>
        </w:rPr>
        <w:t>interdiction imposée aux auteurs par les autorités municipales constitue une violation de l</w:t>
      </w:r>
      <w:r>
        <w:rPr>
          <w:lang w:val="fr-FR"/>
        </w:rPr>
        <w:t>’</w:t>
      </w:r>
      <w:r w:rsidRPr="00780FCF">
        <w:rPr>
          <w:lang w:val="fr-FR"/>
        </w:rPr>
        <w:t>article 19 du Pacte.</w:t>
      </w:r>
      <w:r>
        <w:rPr>
          <w:lang w:val="fr-FR"/>
        </w:rPr>
        <w:t xml:space="preserve"> </w:t>
      </w:r>
    </w:p>
    <w:p w14:paraId="3AB309B2" w14:textId="76996538" w:rsidR="00EC6846" w:rsidRPr="00780FCF" w:rsidRDefault="00EC6846" w:rsidP="00A45B13">
      <w:pPr>
        <w:pStyle w:val="SingleTxtG"/>
        <w:rPr>
          <w:lang w:val="fr-FR"/>
        </w:rPr>
      </w:pPr>
      <w:r w:rsidRPr="00780FCF">
        <w:rPr>
          <w:lang w:val="fr-FR"/>
        </w:rPr>
        <w:t>7.8</w:t>
      </w:r>
      <w:r w:rsidRPr="00780FCF">
        <w:rPr>
          <w:lang w:val="fr-FR"/>
        </w:rPr>
        <w:tab/>
        <w:t xml:space="preserve">Le Comité rappelle son observation générale </w:t>
      </w:r>
      <w:r w:rsidRPr="00687000">
        <w:rPr>
          <w:rFonts w:eastAsia="MS Mincho"/>
          <w:lang w:val="fr-FR"/>
        </w:rPr>
        <w:t>n</w:t>
      </w:r>
      <w:r w:rsidRPr="00687000">
        <w:rPr>
          <w:rFonts w:eastAsia="MS Mincho"/>
          <w:vertAlign w:val="superscript"/>
          <w:lang w:val="fr-FR"/>
        </w:rPr>
        <w:t>o</w:t>
      </w:r>
      <w:r>
        <w:rPr>
          <w:lang w:val="fr-FR"/>
        </w:rPr>
        <w:t> </w:t>
      </w:r>
      <w:r w:rsidRPr="00780FCF">
        <w:rPr>
          <w:lang w:val="fr-FR"/>
        </w:rPr>
        <w:t>34</w:t>
      </w:r>
      <w:r>
        <w:rPr>
          <w:lang w:val="fr-FR"/>
        </w:rPr>
        <w:t xml:space="preserve"> </w:t>
      </w:r>
      <w:r w:rsidRPr="00780FCF">
        <w:rPr>
          <w:lang w:val="fr-FR"/>
        </w:rPr>
        <w:t>(2011), dans laquelle il a souligné, entre autres, que la liberté d</w:t>
      </w:r>
      <w:r>
        <w:rPr>
          <w:lang w:val="fr-FR"/>
        </w:rPr>
        <w:t>’</w:t>
      </w:r>
      <w:r w:rsidRPr="00780FCF">
        <w:rPr>
          <w:lang w:val="fr-FR"/>
        </w:rPr>
        <w:t>expression est essentielle pour toute société et constitue le fondement de toute société libre et démocratique</w:t>
      </w:r>
      <w:r w:rsidRPr="007672FF">
        <w:rPr>
          <w:rStyle w:val="Appelnotedebasdep"/>
        </w:rPr>
        <w:footnoteReference w:id="16"/>
      </w:r>
      <w:r w:rsidRPr="00780FCF">
        <w:rPr>
          <w:lang w:val="fr-FR"/>
        </w:rPr>
        <w:t xml:space="preserve">. </w:t>
      </w:r>
      <w:r>
        <w:rPr>
          <w:lang w:val="fr-FR"/>
        </w:rPr>
        <w:t>L’</w:t>
      </w:r>
      <w:r w:rsidRPr="00780FCF">
        <w:rPr>
          <w:lang w:val="fr-FR"/>
        </w:rPr>
        <w:t xml:space="preserve">article 19 </w:t>
      </w:r>
      <w:r w:rsidR="00BC297B">
        <w:rPr>
          <w:lang w:val="fr-FR"/>
        </w:rPr>
        <w:t>(par. </w:t>
      </w:r>
      <w:r w:rsidRPr="00780FCF">
        <w:rPr>
          <w:lang w:val="fr-FR"/>
        </w:rPr>
        <w:t xml:space="preserve">3) </w:t>
      </w:r>
      <w:r>
        <w:rPr>
          <w:lang w:val="fr-FR"/>
        </w:rPr>
        <w:t>du Pacte</w:t>
      </w:r>
      <w:r w:rsidRPr="00780FCF">
        <w:rPr>
          <w:lang w:val="fr-FR"/>
        </w:rPr>
        <w:t xml:space="preserve"> autorise l</w:t>
      </w:r>
      <w:r>
        <w:rPr>
          <w:lang w:val="fr-FR"/>
        </w:rPr>
        <w:t>’</w:t>
      </w:r>
      <w:r w:rsidRPr="00780FCF">
        <w:rPr>
          <w:lang w:val="fr-FR"/>
        </w:rPr>
        <w:t>application de restrictions à la liberté d</w:t>
      </w:r>
      <w:r>
        <w:rPr>
          <w:lang w:val="fr-FR"/>
        </w:rPr>
        <w:t>’</w:t>
      </w:r>
      <w:r w:rsidRPr="00780FCF">
        <w:rPr>
          <w:lang w:val="fr-FR"/>
        </w:rPr>
        <w:t>expression, y compris à la liberté de répandre des informations et des idées, dans la seule mesure où ces restrictions sont fixées par la loi et sont nécessaires : a) au respect des droits ou de la réputation d</w:t>
      </w:r>
      <w:r>
        <w:rPr>
          <w:lang w:val="fr-FR"/>
        </w:rPr>
        <w:t>’</w:t>
      </w:r>
      <w:r w:rsidRPr="00780FCF">
        <w:rPr>
          <w:lang w:val="fr-FR"/>
        </w:rPr>
        <w:t>autrui ; ou b) à la sauvegarde de la sécurité nationale, de l</w:t>
      </w:r>
      <w:r>
        <w:rPr>
          <w:lang w:val="fr-FR"/>
        </w:rPr>
        <w:t>’</w:t>
      </w:r>
      <w:r w:rsidRPr="00780FCF">
        <w:rPr>
          <w:lang w:val="fr-FR"/>
        </w:rPr>
        <w:t>ordre public, de la santé ou de la moralité publiques. Enfin, aucune restriction de la liberté d</w:t>
      </w:r>
      <w:r>
        <w:rPr>
          <w:lang w:val="fr-FR"/>
        </w:rPr>
        <w:t>’</w:t>
      </w:r>
      <w:r w:rsidRPr="00780FCF">
        <w:rPr>
          <w:lang w:val="fr-FR"/>
        </w:rPr>
        <w:t>expression ne doit avoir une portée trop large : elle doit constituer le moyen le moins perturbateur parmi ceux qui pourraient permettre d</w:t>
      </w:r>
      <w:r>
        <w:rPr>
          <w:lang w:val="fr-FR"/>
        </w:rPr>
        <w:t>’</w:t>
      </w:r>
      <w:r w:rsidRPr="00780FCF">
        <w:rPr>
          <w:lang w:val="fr-FR"/>
        </w:rPr>
        <w:t>obtenir le résultat recherché, et doit être proportionnée à l</w:t>
      </w:r>
      <w:r>
        <w:rPr>
          <w:lang w:val="fr-FR"/>
        </w:rPr>
        <w:t>’</w:t>
      </w:r>
      <w:r w:rsidRPr="00780FCF">
        <w:rPr>
          <w:lang w:val="fr-FR"/>
        </w:rPr>
        <w:t>intérêt protégé</w:t>
      </w:r>
      <w:r w:rsidRPr="007672FF">
        <w:rPr>
          <w:rStyle w:val="Appelnotedebasdep"/>
        </w:rPr>
        <w:footnoteReference w:id="17"/>
      </w:r>
      <w:r w:rsidRPr="00780FCF">
        <w:rPr>
          <w:lang w:val="fr-FR"/>
        </w:rPr>
        <w:t>. Le Comité rappelle que c</w:t>
      </w:r>
      <w:r>
        <w:rPr>
          <w:lang w:val="fr-FR"/>
        </w:rPr>
        <w:t>’</w:t>
      </w:r>
      <w:r w:rsidRPr="00780FCF">
        <w:rPr>
          <w:lang w:val="fr-FR"/>
        </w:rPr>
        <w:t>est à l</w:t>
      </w:r>
      <w:r>
        <w:rPr>
          <w:lang w:val="fr-FR"/>
        </w:rPr>
        <w:t>’</w:t>
      </w:r>
      <w:r w:rsidRPr="00780FCF">
        <w:rPr>
          <w:lang w:val="fr-FR"/>
        </w:rPr>
        <w:t>État partie qu</w:t>
      </w:r>
      <w:r>
        <w:rPr>
          <w:lang w:val="fr-FR"/>
        </w:rPr>
        <w:t>’</w:t>
      </w:r>
      <w:r w:rsidRPr="00780FCF">
        <w:rPr>
          <w:lang w:val="fr-FR"/>
        </w:rPr>
        <w:t>il incombe de démontrer que les restrictions apportées aux droits que les auteurs tiennent de l</w:t>
      </w:r>
      <w:r>
        <w:rPr>
          <w:lang w:val="fr-FR"/>
        </w:rPr>
        <w:t>’</w:t>
      </w:r>
      <w:r w:rsidRPr="00780FCF">
        <w:rPr>
          <w:lang w:val="fr-FR"/>
        </w:rPr>
        <w:t>article 19 du Pacte étaient nécessaires et proportionnées</w:t>
      </w:r>
      <w:r w:rsidRPr="007672FF">
        <w:rPr>
          <w:rStyle w:val="Appelnotedebasdep"/>
        </w:rPr>
        <w:footnoteReference w:id="18"/>
      </w:r>
      <w:r w:rsidRPr="00780FCF">
        <w:rPr>
          <w:lang w:val="fr-FR"/>
        </w:rPr>
        <w:t>.</w:t>
      </w:r>
    </w:p>
    <w:p w14:paraId="0187D27A" w14:textId="1673F3B9" w:rsidR="00EC6846" w:rsidRPr="00780FCF" w:rsidRDefault="00EC6846" w:rsidP="00A45B13">
      <w:pPr>
        <w:pStyle w:val="SingleTxtG"/>
        <w:rPr>
          <w:lang w:val="fr-FR"/>
        </w:rPr>
      </w:pPr>
      <w:r w:rsidRPr="00780FCF">
        <w:rPr>
          <w:lang w:val="fr-FR"/>
        </w:rPr>
        <w:lastRenderedPageBreak/>
        <w:t>7.9</w:t>
      </w:r>
      <w:r w:rsidRPr="00780FCF">
        <w:rPr>
          <w:lang w:val="fr-FR"/>
        </w:rPr>
        <w:tab/>
        <w:t xml:space="preserve">Le Comité fait observer que le fait de </w:t>
      </w:r>
      <w:r>
        <w:rPr>
          <w:lang w:val="fr-FR"/>
        </w:rPr>
        <w:t>n’autoriser</w:t>
      </w:r>
      <w:r w:rsidRPr="00780FCF">
        <w:rPr>
          <w:lang w:val="fr-FR"/>
        </w:rPr>
        <w:t xml:space="preserve"> la tenue de rassemblements </w:t>
      </w:r>
      <w:r>
        <w:rPr>
          <w:lang w:val="fr-FR"/>
        </w:rPr>
        <w:t>que dans</w:t>
      </w:r>
      <w:r w:rsidRPr="00780FCF">
        <w:rPr>
          <w:lang w:val="fr-FR"/>
        </w:rPr>
        <w:t xml:space="preserve"> certains </w:t>
      </w:r>
      <w:r>
        <w:rPr>
          <w:lang w:val="fr-FR"/>
        </w:rPr>
        <w:t>lieux</w:t>
      </w:r>
      <w:r w:rsidRPr="00780FCF">
        <w:rPr>
          <w:lang w:val="fr-FR"/>
        </w:rPr>
        <w:t xml:space="preserve"> désignés à l</w:t>
      </w:r>
      <w:r>
        <w:rPr>
          <w:lang w:val="fr-FR"/>
        </w:rPr>
        <w:t>’</w:t>
      </w:r>
      <w:r w:rsidRPr="00780FCF">
        <w:rPr>
          <w:lang w:val="fr-FR"/>
        </w:rPr>
        <w:t>avance ne semble pas répondre aux critères de nécessité et de proportionnalité énoncés à l</w:t>
      </w:r>
      <w:r>
        <w:rPr>
          <w:lang w:val="fr-FR"/>
        </w:rPr>
        <w:t>’</w:t>
      </w:r>
      <w:r w:rsidRPr="00780FCF">
        <w:rPr>
          <w:lang w:val="fr-FR"/>
        </w:rPr>
        <w:t>article 19 du Pacte. Il relève qu</w:t>
      </w:r>
      <w:r>
        <w:rPr>
          <w:lang w:val="fr-FR"/>
        </w:rPr>
        <w:t>’en l’espèce,</w:t>
      </w:r>
      <w:r w:rsidRPr="00780FCF">
        <w:rPr>
          <w:lang w:val="fr-FR"/>
        </w:rPr>
        <w:t xml:space="preserve"> ni l</w:t>
      </w:r>
      <w:r>
        <w:rPr>
          <w:lang w:val="fr-FR"/>
        </w:rPr>
        <w:t>’</w:t>
      </w:r>
      <w:r w:rsidRPr="00780FCF">
        <w:rPr>
          <w:lang w:val="fr-FR"/>
        </w:rPr>
        <w:t>État partie ni les juridictions nationales n</w:t>
      </w:r>
      <w:r>
        <w:rPr>
          <w:lang w:val="fr-FR"/>
        </w:rPr>
        <w:t>’</w:t>
      </w:r>
      <w:r w:rsidRPr="00780FCF">
        <w:rPr>
          <w:lang w:val="fr-FR"/>
        </w:rPr>
        <w:t>ont expliqué en quoi la restriction imposée était nécessaire en ce qu</w:t>
      </w:r>
      <w:r>
        <w:rPr>
          <w:lang w:val="fr-FR"/>
        </w:rPr>
        <w:t>’</w:t>
      </w:r>
      <w:r w:rsidRPr="00780FCF">
        <w:rPr>
          <w:lang w:val="fr-FR"/>
        </w:rPr>
        <w:t>elle servait un but légitime</w:t>
      </w:r>
      <w:r w:rsidRPr="007672FF">
        <w:rPr>
          <w:rStyle w:val="Appelnotedebasdep"/>
        </w:rPr>
        <w:footnoteReference w:id="19"/>
      </w:r>
      <w:r w:rsidRPr="00780FCF">
        <w:rPr>
          <w:lang w:val="fr-FR"/>
        </w:rPr>
        <w:t>. Le Comité considère que, dans les circonstances de l</w:t>
      </w:r>
      <w:r>
        <w:rPr>
          <w:lang w:val="fr-FR"/>
        </w:rPr>
        <w:t>’</w:t>
      </w:r>
      <w:r w:rsidRPr="00780FCF">
        <w:rPr>
          <w:lang w:val="fr-FR"/>
        </w:rPr>
        <w:t>espèce, les restrictions imposées aux auteurs, bien que fondées sur le droit interne, n</w:t>
      </w:r>
      <w:r>
        <w:rPr>
          <w:lang w:val="fr-FR"/>
        </w:rPr>
        <w:t>’</w:t>
      </w:r>
      <w:r w:rsidRPr="00780FCF">
        <w:rPr>
          <w:lang w:val="fr-FR"/>
        </w:rPr>
        <w:t>étaient pas justifiées au regard de l</w:t>
      </w:r>
      <w:r>
        <w:rPr>
          <w:lang w:val="fr-FR"/>
        </w:rPr>
        <w:t>’</w:t>
      </w:r>
      <w:r w:rsidRPr="00780FCF">
        <w:rPr>
          <w:lang w:val="fr-FR"/>
        </w:rPr>
        <w:t>article 19</w:t>
      </w:r>
      <w:r w:rsidR="000C59FA">
        <w:rPr>
          <w:lang w:val="fr-FR"/>
        </w:rPr>
        <w:t xml:space="preserve"> </w:t>
      </w:r>
      <w:r w:rsidR="00BC297B">
        <w:rPr>
          <w:lang w:val="fr-FR"/>
        </w:rPr>
        <w:t>(par. </w:t>
      </w:r>
      <w:r w:rsidRPr="00780FCF">
        <w:rPr>
          <w:lang w:val="fr-FR"/>
        </w:rPr>
        <w:t>3) du Pacte. En l</w:t>
      </w:r>
      <w:r>
        <w:rPr>
          <w:lang w:val="fr-FR"/>
        </w:rPr>
        <w:t>’</w:t>
      </w:r>
      <w:r w:rsidRPr="00780FCF">
        <w:rPr>
          <w:lang w:val="fr-FR"/>
        </w:rPr>
        <w:t>absence de toute explication de la part de l</w:t>
      </w:r>
      <w:r>
        <w:rPr>
          <w:lang w:val="fr-FR"/>
        </w:rPr>
        <w:t>’</w:t>
      </w:r>
      <w:r w:rsidRPr="00780FCF">
        <w:rPr>
          <w:lang w:val="fr-FR"/>
        </w:rPr>
        <w:t>État partie, il conclut que les droits que les auteurs tiennent de l</w:t>
      </w:r>
      <w:r>
        <w:rPr>
          <w:lang w:val="fr-FR"/>
        </w:rPr>
        <w:t>’</w:t>
      </w:r>
      <w:r w:rsidRPr="00780FCF">
        <w:rPr>
          <w:lang w:val="fr-FR"/>
        </w:rPr>
        <w:t>article 19 du Pacte ont été violés.</w:t>
      </w:r>
      <w:r>
        <w:rPr>
          <w:lang w:val="fr-FR"/>
        </w:rPr>
        <w:t xml:space="preserve"> </w:t>
      </w:r>
    </w:p>
    <w:p w14:paraId="52A23982" w14:textId="5B15E916" w:rsidR="00EC6846" w:rsidRPr="00780FCF" w:rsidRDefault="00EC6846" w:rsidP="00A45B13">
      <w:pPr>
        <w:pStyle w:val="SingleTxtG"/>
        <w:rPr>
          <w:lang w:val="fr-FR"/>
        </w:rPr>
      </w:pPr>
      <w:r w:rsidRPr="00780FCF">
        <w:rPr>
          <w:lang w:val="fr-FR"/>
        </w:rPr>
        <w:t>8.</w:t>
      </w:r>
      <w:r w:rsidRPr="00780FCF">
        <w:rPr>
          <w:lang w:val="fr-FR"/>
        </w:rPr>
        <w:tab/>
      </w:r>
      <w:r w:rsidRPr="00780FCF">
        <w:t>Le Comité, agissant en vertu de l</w:t>
      </w:r>
      <w:r>
        <w:t>’</w:t>
      </w:r>
      <w:r w:rsidRPr="00780FCF">
        <w:t>article 5</w:t>
      </w:r>
      <w:r>
        <w:t xml:space="preserve"> </w:t>
      </w:r>
      <w:r w:rsidR="00BC297B">
        <w:t>(par. </w:t>
      </w:r>
      <w:r w:rsidRPr="00780FCF">
        <w:t xml:space="preserve">4) du Protocole facultatif, constate que les faits dont il est saisi font apparaître une violation </w:t>
      </w:r>
      <w:r>
        <w:t xml:space="preserve">par l’État partie des droits que les auteurs tiennent </w:t>
      </w:r>
      <w:r w:rsidRPr="00780FCF">
        <w:t>des articles 19 et 21 du Pacte.</w:t>
      </w:r>
    </w:p>
    <w:p w14:paraId="348509FE" w14:textId="73126118" w:rsidR="00EC6846" w:rsidRPr="00780FCF" w:rsidRDefault="00EC6846" w:rsidP="00A45B13">
      <w:pPr>
        <w:pStyle w:val="SingleTxtG"/>
      </w:pPr>
      <w:r w:rsidRPr="00780FCF">
        <w:rPr>
          <w:lang w:val="fr-FR"/>
        </w:rPr>
        <w:t>9.</w:t>
      </w:r>
      <w:r w:rsidRPr="00780FCF">
        <w:rPr>
          <w:lang w:val="fr-FR"/>
        </w:rPr>
        <w:tab/>
      </w:r>
      <w:r w:rsidRPr="00780FCF">
        <w:t>Conformément à l</w:t>
      </w:r>
      <w:r>
        <w:t>’</w:t>
      </w:r>
      <w:r w:rsidRPr="00780FCF">
        <w:t>article 2</w:t>
      </w:r>
      <w:r>
        <w:t xml:space="preserve"> </w:t>
      </w:r>
      <w:r w:rsidR="00BC297B">
        <w:t>(par. </w:t>
      </w:r>
      <w:r w:rsidRPr="00780FCF">
        <w:t>3 a)) du Pacte, l</w:t>
      </w:r>
      <w:r>
        <w:t>’</w:t>
      </w:r>
      <w:r w:rsidRPr="00780FCF">
        <w:t>État partie est tenu d</w:t>
      </w:r>
      <w:r>
        <w:t>’</w:t>
      </w:r>
      <w:r w:rsidRPr="00780FCF">
        <w:t>assurer aux auteurs un recours utile. Il a l</w:t>
      </w:r>
      <w:r>
        <w:t>’</w:t>
      </w:r>
      <w:r w:rsidRPr="00780FCF">
        <w:t>obligation d</w:t>
      </w:r>
      <w:r>
        <w:t>’</w:t>
      </w:r>
      <w:r w:rsidRPr="00780FCF">
        <w:t>accorder une réparation intégrale aux individus dont les droits garantis par le Pacte ont été violés</w:t>
      </w:r>
      <w:r w:rsidRPr="00780FCF">
        <w:rPr>
          <w:lang w:val="fr-FR"/>
        </w:rPr>
        <w:t xml:space="preserve">. </w:t>
      </w:r>
      <w:r w:rsidRPr="00780FCF">
        <w:t>En conséquence, l</w:t>
      </w:r>
      <w:r>
        <w:t>’</w:t>
      </w:r>
      <w:r w:rsidRPr="00780FCF">
        <w:t>État partie est tenu, entre autres, d</w:t>
      </w:r>
      <w:r>
        <w:t>’</w:t>
      </w:r>
      <w:r w:rsidRPr="00780FCF">
        <w:t>accorder aux auteurs une indemnisation suffisante</w:t>
      </w:r>
      <w:r w:rsidRPr="00780FCF">
        <w:rPr>
          <w:lang w:val="fr-FR"/>
        </w:rPr>
        <w:t xml:space="preserve">. </w:t>
      </w:r>
      <w:r w:rsidRPr="00780FCF">
        <w:t>Il est également tenu de veiller à ce que des violations analogues ne se reproduisent pas</w:t>
      </w:r>
      <w:r w:rsidRPr="00780FCF">
        <w:rPr>
          <w:lang w:val="fr-FR"/>
        </w:rPr>
        <w:t xml:space="preserve">. </w:t>
      </w:r>
      <w:r w:rsidRPr="00780FCF">
        <w:t>À cet égard, le Comité fait observer que l</w:t>
      </w:r>
      <w:r>
        <w:t>’</w:t>
      </w:r>
      <w:r w:rsidRPr="00780FCF">
        <w:t>État partie devrait réviser son cadre normatif relatif aux manifestations publiques, conformément à l</w:t>
      </w:r>
      <w:r>
        <w:t>’</w:t>
      </w:r>
      <w:r w:rsidRPr="00780FCF">
        <w:t>obligation qui lui incombe au titre de l</w:t>
      </w:r>
      <w:r>
        <w:t>’</w:t>
      </w:r>
      <w:r w:rsidRPr="00780FCF">
        <w:t>article 2</w:t>
      </w:r>
      <w:r>
        <w:t xml:space="preserve"> </w:t>
      </w:r>
      <w:r w:rsidR="00BC297B">
        <w:t>(par. </w:t>
      </w:r>
      <w:r w:rsidRPr="00780FCF">
        <w:t>2), afin de garantir la pleine jouissance des droits consacrés par les articles 19 et 21 du Pacte sur son territoire</w:t>
      </w:r>
      <w:r w:rsidRPr="00780FCF">
        <w:rPr>
          <w:lang w:val="fr-FR"/>
        </w:rPr>
        <w:t>.</w:t>
      </w:r>
    </w:p>
    <w:p w14:paraId="40113A57" w14:textId="3FA516A3" w:rsidR="00E85C42" w:rsidRDefault="00EC6846" w:rsidP="00A45B13">
      <w:pPr>
        <w:pStyle w:val="SingleTxtG"/>
        <w:rPr>
          <w:lang w:val="fr-FR"/>
        </w:rPr>
      </w:pPr>
      <w:r w:rsidRPr="00780FCF">
        <w:rPr>
          <w:lang w:val="fr-FR"/>
        </w:rPr>
        <w:t>10</w:t>
      </w:r>
      <w:r>
        <w:rPr>
          <w:lang w:val="fr-FR"/>
        </w:rPr>
        <w:t>.</w:t>
      </w:r>
      <w:r w:rsidRPr="00780FCF">
        <w:rPr>
          <w:lang w:val="fr-FR"/>
        </w:rPr>
        <w:tab/>
      </w:r>
      <w:r w:rsidRPr="00780FCF">
        <w:t>Étant donné qu</w:t>
      </w:r>
      <w:r>
        <w:t>’</w:t>
      </w:r>
      <w:r w:rsidRPr="00780FCF">
        <w:t>en adhérant au Protocole facultatif, l</w:t>
      </w:r>
      <w:r>
        <w:t>’</w:t>
      </w:r>
      <w:r w:rsidRPr="00780FCF">
        <w:t>État partie a reconnu que le Comité a compétence pour déterminer s</w:t>
      </w:r>
      <w:r>
        <w:t>’</w:t>
      </w:r>
      <w:r w:rsidRPr="00780FCF">
        <w:t>il y a ou non violation du Pacte et que, conformément à l</w:t>
      </w:r>
      <w:r>
        <w:t>’</w:t>
      </w:r>
      <w:r w:rsidRPr="00780FCF">
        <w:t>article 2 du Pacte, il s</w:t>
      </w:r>
      <w:r>
        <w:t>’</w:t>
      </w:r>
      <w:r w:rsidRPr="00780FCF">
        <w:t>est engagé à garantir à tous les individus se trouvant sur son territoire et relevant de sa juridiction les droits reconnus dans le Pacte et à assurer un recours utile et une réparation exécutoire lorsqu</w:t>
      </w:r>
      <w:r>
        <w:t>e la réalité d’</w:t>
      </w:r>
      <w:r w:rsidRPr="00780FCF">
        <w:t>une violation a été établie, le Comité souhaite recevoir de l</w:t>
      </w:r>
      <w:r>
        <w:t>’</w:t>
      </w:r>
      <w:r w:rsidRPr="00780FCF">
        <w:t xml:space="preserve">État partie, dans un délai de cent quatre-vingts jours, des renseignements sur les mesures prises pour donner effet aux </w:t>
      </w:r>
      <w:r w:rsidRPr="00BB39F6">
        <w:t>présentes</w:t>
      </w:r>
      <w:r w:rsidRPr="00780FCF">
        <w:t xml:space="preserve"> constatations. L</w:t>
      </w:r>
      <w:r>
        <w:t>’</w:t>
      </w:r>
      <w:r w:rsidRPr="00780FCF">
        <w:t>État partie est invité en outre à rendre celles-ci publiques et à les diffuser largement dans ses langues officielles</w:t>
      </w:r>
      <w:r w:rsidRPr="00780FCF">
        <w:rPr>
          <w:lang w:val="fr-FR"/>
        </w:rPr>
        <w:t>.</w:t>
      </w:r>
    </w:p>
    <w:p w14:paraId="3B624BCC" w14:textId="4502B01E" w:rsidR="00A45B13" w:rsidRPr="00A45B13" w:rsidRDefault="00A45B13" w:rsidP="00A45B13">
      <w:pPr>
        <w:pStyle w:val="SingleTxtG"/>
        <w:spacing w:before="240" w:after="0"/>
        <w:jc w:val="center"/>
        <w:rPr>
          <w:u w:val="single"/>
        </w:rPr>
      </w:pPr>
      <w:r>
        <w:rPr>
          <w:u w:val="single"/>
        </w:rPr>
        <w:tab/>
      </w:r>
      <w:r>
        <w:rPr>
          <w:u w:val="single"/>
        </w:rPr>
        <w:tab/>
      </w:r>
      <w:r>
        <w:rPr>
          <w:u w:val="single"/>
        </w:rPr>
        <w:tab/>
      </w:r>
    </w:p>
    <w:sectPr w:rsidR="00A45B13" w:rsidRPr="00A45B13" w:rsidSect="00606C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3C7F" w14:textId="77777777" w:rsidR="00A878C7" w:rsidRDefault="00A878C7" w:rsidP="00F95C08">
      <w:pPr>
        <w:spacing w:line="240" w:lineRule="auto"/>
      </w:pPr>
    </w:p>
  </w:endnote>
  <w:endnote w:type="continuationSeparator" w:id="0">
    <w:p w14:paraId="79A90FE7" w14:textId="77777777" w:rsidR="00A878C7" w:rsidRPr="00AC3823" w:rsidRDefault="00A878C7" w:rsidP="00AC3823">
      <w:pPr>
        <w:pStyle w:val="Pieddepage"/>
      </w:pPr>
    </w:p>
  </w:endnote>
  <w:endnote w:type="continuationNotice" w:id="1">
    <w:p w14:paraId="100F8D23" w14:textId="77777777" w:rsidR="00A878C7" w:rsidRDefault="00A87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51D5" w14:textId="5902A236" w:rsidR="00606C21" w:rsidRPr="00606C21" w:rsidRDefault="00606C21" w:rsidP="00606C21">
    <w:pPr>
      <w:pStyle w:val="Pieddepage"/>
      <w:tabs>
        <w:tab w:val="right" w:pos="9638"/>
      </w:tabs>
    </w:pPr>
    <w:r w:rsidRPr="00606C21">
      <w:rPr>
        <w:b/>
        <w:sz w:val="18"/>
      </w:rPr>
      <w:fldChar w:fldCharType="begin"/>
    </w:r>
    <w:r w:rsidRPr="00606C21">
      <w:rPr>
        <w:b/>
        <w:sz w:val="18"/>
      </w:rPr>
      <w:instrText xml:space="preserve"> PAGE  \* MERGEFORMAT </w:instrText>
    </w:r>
    <w:r w:rsidRPr="00606C21">
      <w:rPr>
        <w:b/>
        <w:sz w:val="18"/>
      </w:rPr>
      <w:fldChar w:fldCharType="separate"/>
    </w:r>
    <w:r w:rsidRPr="00606C21">
      <w:rPr>
        <w:b/>
        <w:noProof/>
        <w:sz w:val="18"/>
      </w:rPr>
      <w:t>2</w:t>
    </w:r>
    <w:r w:rsidRPr="00606C21">
      <w:rPr>
        <w:b/>
        <w:sz w:val="18"/>
      </w:rPr>
      <w:fldChar w:fldCharType="end"/>
    </w:r>
    <w:r>
      <w:rPr>
        <w:b/>
        <w:sz w:val="18"/>
      </w:rPr>
      <w:tab/>
    </w:r>
    <w:r>
      <w:t>GE.22-03645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E7D6" w14:textId="7302D087" w:rsidR="00606C21" w:rsidRPr="00606C21" w:rsidRDefault="00606C21" w:rsidP="00606C21">
    <w:pPr>
      <w:pStyle w:val="Pieddepage"/>
      <w:tabs>
        <w:tab w:val="right" w:pos="9638"/>
      </w:tabs>
      <w:rPr>
        <w:b/>
        <w:sz w:val="18"/>
      </w:rPr>
    </w:pPr>
    <w:r>
      <w:t>GE.22-03645</w:t>
    </w:r>
    <w:r>
      <w:tab/>
    </w:r>
    <w:r w:rsidRPr="00606C21">
      <w:rPr>
        <w:b/>
        <w:sz w:val="18"/>
      </w:rPr>
      <w:fldChar w:fldCharType="begin"/>
    </w:r>
    <w:r w:rsidRPr="00606C21">
      <w:rPr>
        <w:b/>
        <w:sz w:val="18"/>
      </w:rPr>
      <w:instrText xml:space="preserve"> PAGE  \* MERGEFORMAT </w:instrText>
    </w:r>
    <w:r w:rsidRPr="00606C21">
      <w:rPr>
        <w:b/>
        <w:sz w:val="18"/>
      </w:rPr>
      <w:fldChar w:fldCharType="separate"/>
    </w:r>
    <w:r w:rsidRPr="00606C21">
      <w:rPr>
        <w:b/>
        <w:noProof/>
        <w:sz w:val="18"/>
      </w:rPr>
      <w:t>3</w:t>
    </w:r>
    <w:r w:rsidRPr="00606C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929D" w14:textId="4A087AF1" w:rsidR="001B379B" w:rsidRPr="00606C21" w:rsidRDefault="00606C21" w:rsidP="00606C2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92C7622" wp14:editId="633CD92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22-03645  (F)</w:t>
    </w:r>
    <w:r>
      <w:rPr>
        <w:noProof/>
        <w:sz w:val="20"/>
      </w:rPr>
      <w:drawing>
        <wp:anchor distT="0" distB="0" distL="114300" distR="114300" simplePos="0" relativeHeight="251660288" behindDoc="0" locked="0" layoutInCell="1" allowOverlap="1" wp14:anchorId="4890E4BC" wp14:editId="61465E52">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230522    </w:t>
    </w:r>
    <w:r w:rsidR="006F5E75">
      <w:rPr>
        <w:sz w:val="20"/>
      </w:rPr>
      <w:t>230522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205E" w14:textId="77777777" w:rsidR="00A878C7" w:rsidRPr="00AC3823" w:rsidRDefault="00A878C7" w:rsidP="00AC3823">
      <w:pPr>
        <w:pStyle w:val="Pieddepage"/>
        <w:tabs>
          <w:tab w:val="right" w:pos="2155"/>
        </w:tabs>
        <w:spacing w:after="80" w:line="240" w:lineRule="atLeast"/>
        <w:ind w:left="680"/>
        <w:rPr>
          <w:u w:val="single"/>
        </w:rPr>
      </w:pPr>
      <w:r>
        <w:rPr>
          <w:u w:val="single"/>
        </w:rPr>
        <w:tab/>
      </w:r>
    </w:p>
  </w:footnote>
  <w:footnote w:type="continuationSeparator" w:id="0">
    <w:p w14:paraId="1135A123" w14:textId="77777777" w:rsidR="00A878C7" w:rsidRPr="00AC3823" w:rsidRDefault="00A878C7" w:rsidP="00AC3823">
      <w:pPr>
        <w:pStyle w:val="Pieddepage"/>
        <w:tabs>
          <w:tab w:val="right" w:pos="2155"/>
        </w:tabs>
        <w:spacing w:after="80" w:line="240" w:lineRule="atLeast"/>
        <w:ind w:left="680"/>
        <w:rPr>
          <w:u w:val="single"/>
        </w:rPr>
      </w:pPr>
      <w:r>
        <w:rPr>
          <w:u w:val="single"/>
        </w:rPr>
        <w:tab/>
      </w:r>
    </w:p>
  </w:footnote>
  <w:footnote w:type="continuationNotice" w:id="1">
    <w:p w14:paraId="536F48A1" w14:textId="77777777" w:rsidR="00A878C7" w:rsidRPr="00AC3823" w:rsidRDefault="00A878C7">
      <w:pPr>
        <w:spacing w:line="240" w:lineRule="auto"/>
        <w:rPr>
          <w:sz w:val="2"/>
          <w:szCs w:val="2"/>
        </w:rPr>
      </w:pPr>
    </w:p>
  </w:footnote>
  <w:footnote w:id="2">
    <w:p w14:paraId="35D8638B" w14:textId="38E592C8" w:rsidR="00EC6846" w:rsidRPr="0079619F" w:rsidRDefault="00EC6846" w:rsidP="00EC6846">
      <w:pPr>
        <w:pStyle w:val="Notedebasdepage"/>
      </w:pPr>
      <w:r>
        <w:rPr>
          <w:rStyle w:val="Appelnotedebasdep"/>
        </w:rPr>
        <w:tab/>
      </w:r>
      <w:r w:rsidRPr="009949E2">
        <w:rPr>
          <w:rStyle w:val="Appelnotedebasdep"/>
          <w:sz w:val="20"/>
          <w:vertAlign w:val="baseline"/>
        </w:rPr>
        <w:t>*</w:t>
      </w:r>
      <w:r>
        <w:rPr>
          <w:rStyle w:val="Appelnotedebasdep"/>
          <w:sz w:val="20"/>
        </w:rPr>
        <w:tab/>
      </w:r>
      <w:r w:rsidRPr="002D0239">
        <w:t>Ado</w:t>
      </w:r>
      <w:r>
        <w:t>ptées par le Comité à sa 132</w:t>
      </w:r>
      <w:r w:rsidRPr="007672FF">
        <w:rPr>
          <w:vertAlign w:val="superscript"/>
        </w:rPr>
        <w:t>e</w:t>
      </w:r>
      <w:r>
        <w:t xml:space="preserve"> session (28 juin</w:t>
      </w:r>
      <w:r w:rsidR="009949E2">
        <w:t>-</w:t>
      </w:r>
      <w:r>
        <w:t xml:space="preserve">23 juillet </w:t>
      </w:r>
      <w:r w:rsidRPr="002D0239">
        <w:t>2021)</w:t>
      </w:r>
      <w:r>
        <w:t>.</w:t>
      </w:r>
    </w:p>
  </w:footnote>
  <w:footnote w:id="3">
    <w:p w14:paraId="496FAF13" w14:textId="5E8C2AF3" w:rsidR="00EC6846" w:rsidRPr="0079619F" w:rsidRDefault="00EC6846" w:rsidP="00EC6846">
      <w:pPr>
        <w:pStyle w:val="Notedebasdepage"/>
      </w:pPr>
      <w:r w:rsidRPr="009949E2">
        <w:rPr>
          <w:rStyle w:val="Appelnotedebasdep"/>
          <w:vertAlign w:val="baseline"/>
        </w:rPr>
        <w:tab/>
      </w:r>
      <w:r w:rsidRPr="009949E2">
        <w:rPr>
          <w:rStyle w:val="Appelnotedebasdep"/>
          <w:rFonts w:eastAsia="SimSun"/>
          <w:sz w:val="20"/>
          <w:vertAlign w:val="baseline"/>
          <w:lang w:eastAsia="zh-CN"/>
        </w:rPr>
        <w:t>**</w:t>
      </w:r>
      <w:r>
        <w:rPr>
          <w:rStyle w:val="Appelnotedebasdep"/>
          <w:sz w:val="20"/>
        </w:rPr>
        <w:tab/>
      </w:r>
      <w:r>
        <w:t>Les membres du Comité dont le nom suit ont participé à l’examen de la communication</w:t>
      </w:r>
      <w:r w:rsidR="009949E2">
        <w:t> </w:t>
      </w:r>
      <w:r>
        <w:t xml:space="preserve">: </w:t>
      </w:r>
      <w:proofErr w:type="spellStart"/>
      <w:r w:rsidRPr="00A06D1D">
        <w:t>Wafaa</w:t>
      </w:r>
      <w:proofErr w:type="spellEnd"/>
      <w:r w:rsidR="009949E2">
        <w:t> </w:t>
      </w:r>
      <w:r w:rsidRPr="00A06D1D">
        <w:t xml:space="preserve">Ashraf </w:t>
      </w:r>
      <w:proofErr w:type="spellStart"/>
      <w:r w:rsidRPr="00A06D1D">
        <w:t>Moharram</w:t>
      </w:r>
      <w:proofErr w:type="spellEnd"/>
      <w:r>
        <w:t xml:space="preserve"> </w:t>
      </w:r>
      <w:proofErr w:type="spellStart"/>
      <w:r>
        <w:t>Bassim</w:t>
      </w:r>
      <w:proofErr w:type="spellEnd"/>
      <w:r>
        <w:t xml:space="preserve">, </w:t>
      </w:r>
      <w:proofErr w:type="spellStart"/>
      <w:r w:rsidRPr="00B2629C">
        <w:t>Yadh</w:t>
      </w:r>
      <w:proofErr w:type="spellEnd"/>
      <w:r w:rsidRPr="00B2629C">
        <w:t xml:space="preserve"> Ben Achour, </w:t>
      </w:r>
      <w:r>
        <w:t xml:space="preserve">Arif </w:t>
      </w:r>
      <w:proofErr w:type="spellStart"/>
      <w:r>
        <w:t>Bulkan</w:t>
      </w:r>
      <w:proofErr w:type="spellEnd"/>
      <w:r>
        <w:t xml:space="preserve">, Mahjoub El </w:t>
      </w:r>
      <w:proofErr w:type="spellStart"/>
      <w:r>
        <w:t>Haiba</w:t>
      </w:r>
      <w:proofErr w:type="spellEnd"/>
      <w:r>
        <w:t xml:space="preserve">, </w:t>
      </w:r>
      <w:r w:rsidRPr="00A06D1D">
        <w:t xml:space="preserve">Carlos </w:t>
      </w:r>
      <w:r>
        <w:t>Gómez</w:t>
      </w:r>
      <w:r w:rsidRPr="00B2629C">
        <w:t xml:space="preserve"> </w:t>
      </w:r>
      <w:proofErr w:type="spellStart"/>
      <w:r>
        <w:t>Martínez</w:t>
      </w:r>
      <w:proofErr w:type="spellEnd"/>
      <w:r>
        <w:t xml:space="preserve">, </w:t>
      </w:r>
      <w:r w:rsidRPr="00B2629C">
        <w:t xml:space="preserve">Duncan </w:t>
      </w:r>
      <w:r>
        <w:t xml:space="preserve">Laki </w:t>
      </w:r>
      <w:proofErr w:type="spellStart"/>
      <w:r>
        <w:t>Muhumuza</w:t>
      </w:r>
      <w:proofErr w:type="spellEnd"/>
      <w:r w:rsidRPr="00B2629C">
        <w:t>,</w:t>
      </w:r>
      <w:r w:rsidRPr="00314001">
        <w:t xml:space="preserve"> </w:t>
      </w:r>
      <w:proofErr w:type="spellStart"/>
      <w:r w:rsidRPr="00DA33D1">
        <w:t>Photini</w:t>
      </w:r>
      <w:proofErr w:type="spellEnd"/>
      <w:r w:rsidRPr="00DA33D1">
        <w:t xml:space="preserve"> </w:t>
      </w:r>
      <w:proofErr w:type="spellStart"/>
      <w:r w:rsidRPr="00DA33D1">
        <w:t>Pazartzis</w:t>
      </w:r>
      <w:proofErr w:type="spellEnd"/>
      <w:r>
        <w:t>,</w:t>
      </w:r>
      <w:r w:rsidRPr="00B2629C">
        <w:t xml:space="preserve"> </w:t>
      </w:r>
      <w:r>
        <w:t xml:space="preserve">Hernán </w:t>
      </w:r>
      <w:proofErr w:type="spellStart"/>
      <w:r>
        <w:t>Quezada</w:t>
      </w:r>
      <w:proofErr w:type="spellEnd"/>
      <w:r>
        <w:t xml:space="preserve"> Cabrera, </w:t>
      </w:r>
      <w:proofErr w:type="spellStart"/>
      <w:r w:rsidRPr="00B2629C">
        <w:t>Vasilka</w:t>
      </w:r>
      <w:proofErr w:type="spellEnd"/>
      <w:r w:rsidRPr="00B2629C">
        <w:t xml:space="preserve"> </w:t>
      </w:r>
      <w:proofErr w:type="spellStart"/>
      <w:r>
        <w:t>Sancin</w:t>
      </w:r>
      <w:proofErr w:type="spellEnd"/>
      <w:r>
        <w:t>, José</w:t>
      </w:r>
      <w:r w:rsidR="009949E2">
        <w:t> </w:t>
      </w:r>
      <w:r>
        <w:t>Manuel Santos Pais,</w:t>
      </w:r>
      <w:r w:rsidRPr="00314001">
        <w:t xml:space="preserve"> </w:t>
      </w:r>
      <w:proofErr w:type="spellStart"/>
      <w:r>
        <w:t>Soh</w:t>
      </w:r>
      <w:proofErr w:type="spellEnd"/>
      <w:r>
        <w:t xml:space="preserve"> </w:t>
      </w:r>
      <w:proofErr w:type="spellStart"/>
      <w:r>
        <w:t>Changrok</w:t>
      </w:r>
      <w:proofErr w:type="spellEnd"/>
      <w:r>
        <w:t xml:space="preserve">, </w:t>
      </w:r>
      <w:proofErr w:type="spellStart"/>
      <w:r>
        <w:t>Kobauyah</w:t>
      </w:r>
      <w:proofErr w:type="spellEnd"/>
      <w:r>
        <w:t xml:space="preserve"> </w:t>
      </w:r>
      <w:proofErr w:type="spellStart"/>
      <w:r>
        <w:t>Tchamdja</w:t>
      </w:r>
      <w:proofErr w:type="spellEnd"/>
      <w:r>
        <w:t xml:space="preserve"> </w:t>
      </w:r>
      <w:proofErr w:type="spellStart"/>
      <w:r>
        <w:t>Kpatcha</w:t>
      </w:r>
      <w:proofErr w:type="spellEnd"/>
      <w:r>
        <w:t xml:space="preserve">,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et </w:t>
      </w:r>
      <w:proofErr w:type="spellStart"/>
      <w:r>
        <w:t>Gentian</w:t>
      </w:r>
      <w:proofErr w:type="spellEnd"/>
      <w:r>
        <w:t xml:space="preserve"> </w:t>
      </w:r>
      <w:proofErr w:type="spellStart"/>
      <w:r>
        <w:t>Zyberi</w:t>
      </w:r>
      <w:proofErr w:type="spellEnd"/>
      <w:r>
        <w:t>.</w:t>
      </w:r>
    </w:p>
  </w:footnote>
  <w:footnote w:id="4">
    <w:p w14:paraId="5C9C551A" w14:textId="7592ADAF" w:rsidR="00EC6846" w:rsidRPr="003153E9" w:rsidRDefault="00EC6846" w:rsidP="00EC6846">
      <w:pPr>
        <w:pStyle w:val="Notedebasdepage"/>
      </w:pPr>
      <w:r w:rsidRPr="003153E9">
        <w:tab/>
      </w:r>
      <w:r w:rsidRPr="007672FF">
        <w:rPr>
          <w:rStyle w:val="Appelnotedebasdep"/>
        </w:rPr>
        <w:footnoteRef/>
      </w:r>
      <w:r w:rsidRPr="003153E9">
        <w:tab/>
      </w:r>
      <w:r>
        <w:t>Les auteurs renvoient à la jurisprudence du Comité, voir </w:t>
      </w:r>
      <w:proofErr w:type="spellStart"/>
      <w:r w:rsidRPr="003153E9">
        <w:rPr>
          <w:i/>
        </w:rPr>
        <w:t>Iskiyaev</w:t>
      </w:r>
      <w:proofErr w:type="spellEnd"/>
      <w:r w:rsidRPr="003153E9">
        <w:rPr>
          <w:i/>
        </w:rPr>
        <w:t xml:space="preserve"> </w:t>
      </w:r>
      <w:r>
        <w:rPr>
          <w:i/>
        </w:rPr>
        <w:t>c. Ouzbé</w:t>
      </w:r>
      <w:r w:rsidRPr="003153E9">
        <w:rPr>
          <w:i/>
        </w:rPr>
        <w:t xml:space="preserve">kistan </w:t>
      </w:r>
      <w:r w:rsidRPr="003153E9">
        <w:t>(</w:t>
      </w:r>
      <w:hyperlink r:id="rId1" w:history="1">
        <w:r w:rsidRPr="002B2A14">
          <w:rPr>
            <w:rStyle w:val="Lienhypertexte"/>
          </w:rPr>
          <w:t>CCPR/C/95/D/1</w:t>
        </w:r>
        <w:r w:rsidRPr="002B2A14">
          <w:rPr>
            <w:rStyle w:val="Lienhypertexte"/>
          </w:rPr>
          <w:t>4</w:t>
        </w:r>
        <w:r w:rsidRPr="002B2A14">
          <w:rPr>
            <w:rStyle w:val="Lienhypertexte"/>
          </w:rPr>
          <w:t>18/2005</w:t>
        </w:r>
      </w:hyperlink>
      <w:r w:rsidRPr="003153E9">
        <w:t>).</w:t>
      </w:r>
    </w:p>
  </w:footnote>
  <w:footnote w:id="5">
    <w:p w14:paraId="7479A12E" w14:textId="0152705A" w:rsidR="00EC6846" w:rsidRPr="0047524C" w:rsidRDefault="00EC6846" w:rsidP="00EC6846">
      <w:pPr>
        <w:pStyle w:val="Notedebasdepage"/>
      </w:pPr>
      <w:r w:rsidRPr="003153E9">
        <w:tab/>
      </w:r>
      <w:r w:rsidRPr="007672FF">
        <w:rPr>
          <w:rStyle w:val="Appelnotedebasdep"/>
        </w:rPr>
        <w:footnoteRef/>
      </w:r>
      <w:r w:rsidRPr="003153E9">
        <w:tab/>
      </w:r>
      <w:r>
        <w:t>Les auteurs renvoient aux affaires</w:t>
      </w:r>
      <w:r w:rsidRPr="003153E9">
        <w:t xml:space="preserve"> </w:t>
      </w:r>
      <w:r w:rsidRPr="003153E9">
        <w:rPr>
          <w:i/>
        </w:rPr>
        <w:t xml:space="preserve">Poliakov </w:t>
      </w:r>
      <w:r>
        <w:rPr>
          <w:i/>
        </w:rPr>
        <w:t>c. </w:t>
      </w:r>
      <w:r w:rsidRPr="003153E9">
        <w:rPr>
          <w:i/>
        </w:rPr>
        <w:t>B</w:t>
      </w:r>
      <w:r>
        <w:rPr>
          <w:i/>
        </w:rPr>
        <w:t>é</w:t>
      </w:r>
      <w:r w:rsidRPr="003153E9">
        <w:rPr>
          <w:i/>
        </w:rPr>
        <w:t>larus</w:t>
      </w:r>
      <w:r w:rsidRPr="003153E9">
        <w:t xml:space="preserve"> (</w:t>
      </w:r>
      <w:hyperlink r:id="rId2" w:history="1">
        <w:r w:rsidRPr="002B2A14">
          <w:rPr>
            <w:rStyle w:val="Lienhypertexte"/>
          </w:rPr>
          <w:t>CCPR/C/111/D/2030/2011</w:t>
        </w:r>
      </w:hyperlink>
      <w:r w:rsidRPr="003153E9">
        <w:t>), par.</w:t>
      </w:r>
      <w:r>
        <w:t> </w:t>
      </w:r>
      <w:r w:rsidRPr="003153E9">
        <w:t>8.3</w:t>
      </w:r>
      <w:r>
        <w:t>,</w:t>
      </w:r>
      <w:r w:rsidRPr="003153E9">
        <w:t xml:space="preserve"> </w:t>
      </w:r>
      <w:r>
        <w:t>et</w:t>
      </w:r>
      <w:r w:rsidRPr="003153E9">
        <w:t xml:space="preserve"> </w:t>
      </w:r>
      <w:proofErr w:type="spellStart"/>
      <w:r w:rsidRPr="003153E9">
        <w:rPr>
          <w:i/>
        </w:rPr>
        <w:t>Sekerko</w:t>
      </w:r>
      <w:proofErr w:type="spellEnd"/>
      <w:r w:rsidRPr="003153E9">
        <w:rPr>
          <w:i/>
        </w:rPr>
        <w:t xml:space="preserve"> </w:t>
      </w:r>
      <w:r>
        <w:rPr>
          <w:i/>
        </w:rPr>
        <w:t>c. </w:t>
      </w:r>
      <w:r w:rsidRPr="003153E9">
        <w:rPr>
          <w:i/>
        </w:rPr>
        <w:t>B</w:t>
      </w:r>
      <w:r>
        <w:rPr>
          <w:i/>
        </w:rPr>
        <w:t>é</w:t>
      </w:r>
      <w:r w:rsidRPr="003153E9">
        <w:rPr>
          <w:i/>
        </w:rPr>
        <w:t>larus</w:t>
      </w:r>
      <w:r w:rsidRPr="003153E9">
        <w:t xml:space="preserve"> (</w:t>
      </w:r>
      <w:hyperlink r:id="rId3" w:history="1">
        <w:r w:rsidRPr="002B2A14">
          <w:rPr>
            <w:rStyle w:val="Lienhypertexte"/>
          </w:rPr>
          <w:t>CCPR/C/109/D/1851/2008</w:t>
        </w:r>
      </w:hyperlink>
      <w:r w:rsidRPr="003153E9">
        <w:t>), par.</w:t>
      </w:r>
      <w:r>
        <w:t> </w:t>
      </w:r>
      <w:r w:rsidRPr="003153E9">
        <w:t>9.6.</w:t>
      </w:r>
    </w:p>
  </w:footnote>
  <w:footnote w:id="6">
    <w:p w14:paraId="792960A3" w14:textId="16A4F050" w:rsidR="00EC6846" w:rsidRPr="000123CA" w:rsidRDefault="00EC6846" w:rsidP="00EC6846">
      <w:pPr>
        <w:pStyle w:val="Notedebasdepage"/>
      </w:pPr>
      <w:r w:rsidRPr="000123CA">
        <w:tab/>
      </w:r>
      <w:r w:rsidRPr="007672FF">
        <w:rPr>
          <w:rStyle w:val="Appelnotedebasdep"/>
        </w:rPr>
        <w:footnoteRef/>
      </w:r>
      <w:r w:rsidRPr="000123CA">
        <w:tab/>
      </w:r>
      <w:r>
        <w:t xml:space="preserve">Voir </w:t>
      </w:r>
      <w:proofErr w:type="spellStart"/>
      <w:r w:rsidRPr="000123CA">
        <w:rPr>
          <w:i/>
        </w:rPr>
        <w:t>Alekseev</w:t>
      </w:r>
      <w:proofErr w:type="spellEnd"/>
      <w:r w:rsidRPr="000123CA">
        <w:rPr>
          <w:i/>
        </w:rPr>
        <w:t xml:space="preserve"> </w:t>
      </w:r>
      <w:r>
        <w:rPr>
          <w:i/>
        </w:rPr>
        <w:t>c</w:t>
      </w:r>
      <w:r w:rsidRPr="000123CA">
        <w:rPr>
          <w:i/>
        </w:rPr>
        <w:t>.</w:t>
      </w:r>
      <w:r>
        <w:rPr>
          <w:i/>
        </w:rPr>
        <w:t> Fédération de Russie</w:t>
      </w:r>
      <w:r w:rsidRPr="000123CA">
        <w:t xml:space="preserve"> (</w:t>
      </w:r>
      <w:hyperlink r:id="rId4" w:history="1">
        <w:r w:rsidRPr="002B2A14">
          <w:rPr>
            <w:rStyle w:val="Lienhypertexte"/>
          </w:rPr>
          <w:t>CCPR/C/109/D/1873/2009</w:t>
        </w:r>
      </w:hyperlink>
      <w:r w:rsidRPr="000123CA">
        <w:t>), par.</w:t>
      </w:r>
      <w:r>
        <w:t> </w:t>
      </w:r>
      <w:r w:rsidRPr="000123CA">
        <w:t>8.4</w:t>
      </w:r>
      <w:r>
        <w:t>,</w:t>
      </w:r>
      <w:r w:rsidRPr="000123CA">
        <w:t xml:space="preserve"> </w:t>
      </w:r>
      <w:proofErr w:type="spellStart"/>
      <w:r w:rsidRPr="000123CA">
        <w:rPr>
          <w:i/>
        </w:rPr>
        <w:t>Lozenko</w:t>
      </w:r>
      <w:proofErr w:type="spellEnd"/>
      <w:r w:rsidRPr="000123CA">
        <w:rPr>
          <w:i/>
        </w:rPr>
        <w:t xml:space="preserve"> </w:t>
      </w:r>
      <w:r>
        <w:rPr>
          <w:i/>
        </w:rPr>
        <w:t>c</w:t>
      </w:r>
      <w:r w:rsidRPr="000123CA">
        <w:rPr>
          <w:i/>
        </w:rPr>
        <w:t>.</w:t>
      </w:r>
      <w:r>
        <w:rPr>
          <w:i/>
        </w:rPr>
        <w:t> </w:t>
      </w:r>
      <w:r w:rsidRPr="000123CA">
        <w:rPr>
          <w:i/>
        </w:rPr>
        <w:t>B</w:t>
      </w:r>
      <w:r>
        <w:rPr>
          <w:i/>
        </w:rPr>
        <w:t>é</w:t>
      </w:r>
      <w:r w:rsidRPr="000123CA">
        <w:rPr>
          <w:i/>
        </w:rPr>
        <w:t>larus</w:t>
      </w:r>
      <w:r w:rsidRPr="000123CA">
        <w:t xml:space="preserve"> (</w:t>
      </w:r>
      <w:hyperlink r:id="rId5" w:history="1">
        <w:r w:rsidRPr="002B2A14">
          <w:rPr>
            <w:rStyle w:val="Lienhypertexte"/>
          </w:rPr>
          <w:t>CCPR/C/112/D/1929/2010</w:t>
        </w:r>
      </w:hyperlink>
      <w:r w:rsidRPr="000123CA">
        <w:t>), par.</w:t>
      </w:r>
      <w:r>
        <w:t> </w:t>
      </w:r>
      <w:r w:rsidRPr="000123CA">
        <w:t>6.3</w:t>
      </w:r>
      <w:r>
        <w:t>, et</w:t>
      </w:r>
      <w:r w:rsidRPr="000123CA">
        <w:t xml:space="preserve"> </w:t>
      </w:r>
      <w:proofErr w:type="spellStart"/>
      <w:r w:rsidRPr="000123CA">
        <w:rPr>
          <w:i/>
        </w:rPr>
        <w:t>Sudalenko</w:t>
      </w:r>
      <w:proofErr w:type="spellEnd"/>
      <w:r w:rsidRPr="000123CA">
        <w:rPr>
          <w:i/>
        </w:rPr>
        <w:t xml:space="preserve"> </w:t>
      </w:r>
      <w:r>
        <w:rPr>
          <w:i/>
        </w:rPr>
        <w:t>c</w:t>
      </w:r>
      <w:r w:rsidRPr="000123CA">
        <w:rPr>
          <w:i/>
        </w:rPr>
        <w:t>.</w:t>
      </w:r>
      <w:r>
        <w:rPr>
          <w:i/>
        </w:rPr>
        <w:t> </w:t>
      </w:r>
      <w:r w:rsidRPr="000123CA">
        <w:rPr>
          <w:i/>
        </w:rPr>
        <w:t>B</w:t>
      </w:r>
      <w:r>
        <w:rPr>
          <w:i/>
        </w:rPr>
        <w:t>é</w:t>
      </w:r>
      <w:r w:rsidRPr="000123CA">
        <w:rPr>
          <w:i/>
        </w:rPr>
        <w:t>larus</w:t>
      </w:r>
      <w:r w:rsidRPr="000123CA">
        <w:t xml:space="preserve"> (</w:t>
      </w:r>
      <w:hyperlink r:id="rId6" w:history="1">
        <w:r w:rsidRPr="002B2A14">
          <w:rPr>
            <w:rStyle w:val="Lienhypertexte"/>
          </w:rPr>
          <w:t>CCPR/C/115/D/2016/2010</w:t>
        </w:r>
      </w:hyperlink>
      <w:r w:rsidRPr="000123CA">
        <w:t>), par</w:t>
      </w:r>
      <w:r>
        <w:t>. </w:t>
      </w:r>
      <w:r w:rsidRPr="000123CA">
        <w:t>7.3.</w:t>
      </w:r>
    </w:p>
  </w:footnote>
  <w:footnote w:id="7">
    <w:p w14:paraId="436D4207" w14:textId="2E30FB37" w:rsidR="00EC6846" w:rsidRPr="000123CA" w:rsidRDefault="00EC6846" w:rsidP="00EC6846">
      <w:pPr>
        <w:pStyle w:val="Notedebasdepage"/>
      </w:pPr>
      <w:r w:rsidRPr="000123CA">
        <w:tab/>
      </w:r>
      <w:r w:rsidRPr="007672FF">
        <w:rPr>
          <w:rStyle w:val="Appelnotedebasdep"/>
        </w:rPr>
        <w:footnoteRef/>
      </w:r>
      <w:r w:rsidRPr="000123CA">
        <w:tab/>
      </w:r>
      <w:r>
        <w:t>Voir</w:t>
      </w:r>
      <w:r w:rsidRPr="000123CA">
        <w:t xml:space="preserve"> </w:t>
      </w:r>
      <w:proofErr w:type="spellStart"/>
      <w:r w:rsidRPr="000123CA">
        <w:rPr>
          <w:i/>
        </w:rPr>
        <w:t>Gelazauskas</w:t>
      </w:r>
      <w:proofErr w:type="spellEnd"/>
      <w:r w:rsidRPr="000123CA">
        <w:rPr>
          <w:i/>
        </w:rPr>
        <w:t xml:space="preserve"> </w:t>
      </w:r>
      <w:r>
        <w:rPr>
          <w:i/>
        </w:rPr>
        <w:t>c</w:t>
      </w:r>
      <w:r w:rsidRPr="000123CA">
        <w:rPr>
          <w:i/>
        </w:rPr>
        <w:t>.</w:t>
      </w:r>
      <w:r>
        <w:rPr>
          <w:i/>
        </w:rPr>
        <w:t> </w:t>
      </w:r>
      <w:r w:rsidRPr="000123CA">
        <w:rPr>
          <w:i/>
        </w:rPr>
        <w:t>Lituani</w:t>
      </w:r>
      <w:r>
        <w:rPr>
          <w:i/>
        </w:rPr>
        <w:t xml:space="preserve">e </w:t>
      </w:r>
      <w:r w:rsidRPr="000123CA">
        <w:t>(</w:t>
      </w:r>
      <w:hyperlink r:id="rId7" w:history="1">
        <w:r w:rsidRPr="002B2A14">
          <w:rPr>
            <w:rStyle w:val="Lienhypertexte"/>
          </w:rPr>
          <w:t>CCPR/C/77/D/836/1998</w:t>
        </w:r>
      </w:hyperlink>
      <w:r w:rsidRPr="000123CA">
        <w:t>), par.</w:t>
      </w:r>
      <w:r>
        <w:t> </w:t>
      </w:r>
      <w:r w:rsidRPr="000123CA">
        <w:t xml:space="preserve">7.4, </w:t>
      </w:r>
      <w:proofErr w:type="spellStart"/>
      <w:r w:rsidRPr="000123CA">
        <w:rPr>
          <w:i/>
        </w:rPr>
        <w:t>Sekerko</w:t>
      </w:r>
      <w:proofErr w:type="spellEnd"/>
      <w:r w:rsidRPr="000123CA">
        <w:rPr>
          <w:i/>
        </w:rPr>
        <w:t xml:space="preserve"> </w:t>
      </w:r>
      <w:r>
        <w:rPr>
          <w:i/>
        </w:rPr>
        <w:t>c</w:t>
      </w:r>
      <w:r w:rsidRPr="000123CA">
        <w:rPr>
          <w:i/>
        </w:rPr>
        <w:t>.</w:t>
      </w:r>
      <w:r>
        <w:rPr>
          <w:i/>
        </w:rPr>
        <w:t> </w:t>
      </w:r>
      <w:r w:rsidRPr="000123CA">
        <w:rPr>
          <w:i/>
        </w:rPr>
        <w:t>B</w:t>
      </w:r>
      <w:r>
        <w:rPr>
          <w:i/>
        </w:rPr>
        <w:t>é</w:t>
      </w:r>
      <w:r w:rsidRPr="000123CA">
        <w:rPr>
          <w:i/>
        </w:rPr>
        <w:t>larus</w:t>
      </w:r>
      <w:r w:rsidRPr="000123CA">
        <w:t>, par.</w:t>
      </w:r>
      <w:r>
        <w:t> </w:t>
      </w:r>
      <w:r w:rsidRPr="000123CA">
        <w:t xml:space="preserve">8.3, </w:t>
      </w:r>
      <w:r>
        <w:t>et</w:t>
      </w:r>
      <w:r w:rsidRPr="000123CA">
        <w:t xml:space="preserve"> </w:t>
      </w:r>
      <w:proofErr w:type="spellStart"/>
      <w:r w:rsidRPr="00C60176">
        <w:rPr>
          <w:i/>
          <w:iCs/>
        </w:rPr>
        <w:t>Schumilin</w:t>
      </w:r>
      <w:proofErr w:type="spellEnd"/>
      <w:r w:rsidRPr="00C60176">
        <w:rPr>
          <w:i/>
          <w:iCs/>
        </w:rPr>
        <w:t xml:space="preserve"> </w:t>
      </w:r>
      <w:r>
        <w:rPr>
          <w:i/>
        </w:rPr>
        <w:t>c</w:t>
      </w:r>
      <w:r w:rsidRPr="000123CA">
        <w:rPr>
          <w:i/>
        </w:rPr>
        <w:t>.</w:t>
      </w:r>
      <w:r>
        <w:rPr>
          <w:i/>
        </w:rPr>
        <w:t> </w:t>
      </w:r>
      <w:r w:rsidRPr="000123CA">
        <w:rPr>
          <w:i/>
        </w:rPr>
        <w:t>B</w:t>
      </w:r>
      <w:r>
        <w:rPr>
          <w:i/>
        </w:rPr>
        <w:t>é</w:t>
      </w:r>
      <w:r w:rsidRPr="000123CA">
        <w:rPr>
          <w:i/>
        </w:rPr>
        <w:t xml:space="preserve">larus </w:t>
      </w:r>
      <w:r w:rsidRPr="000123CA">
        <w:t>(</w:t>
      </w:r>
      <w:hyperlink r:id="rId8" w:history="1">
        <w:r w:rsidRPr="002B2A14">
          <w:rPr>
            <w:rStyle w:val="Lienhypertexte"/>
          </w:rPr>
          <w:t>CCPR/C/105/D/1784/2008</w:t>
        </w:r>
      </w:hyperlink>
      <w:r w:rsidRPr="000123CA">
        <w:t xml:space="preserve">), </w:t>
      </w:r>
      <w:r>
        <w:t>par. </w:t>
      </w:r>
      <w:r w:rsidRPr="000123CA">
        <w:t xml:space="preserve">8.3. </w:t>
      </w:r>
    </w:p>
  </w:footnote>
  <w:footnote w:id="8">
    <w:p w14:paraId="518AE746" w14:textId="360B0497" w:rsidR="00EC6846" w:rsidRPr="0047524C" w:rsidRDefault="00EC6846" w:rsidP="00EC6846">
      <w:pPr>
        <w:pStyle w:val="Notedebasdepage"/>
      </w:pPr>
      <w:r w:rsidRPr="000123CA">
        <w:tab/>
      </w:r>
      <w:r w:rsidRPr="007672FF">
        <w:rPr>
          <w:rStyle w:val="Appelnotedebasdep"/>
        </w:rPr>
        <w:footnoteRef/>
      </w:r>
      <w:r w:rsidRPr="000123CA">
        <w:tab/>
      </w:r>
      <w:r>
        <w:t>Voir</w:t>
      </w:r>
      <w:r w:rsidRPr="000123CA">
        <w:t xml:space="preserve"> </w:t>
      </w:r>
      <w:proofErr w:type="spellStart"/>
      <w:r w:rsidRPr="000123CA">
        <w:rPr>
          <w:i/>
        </w:rPr>
        <w:t>Zhukovsky</w:t>
      </w:r>
      <w:proofErr w:type="spellEnd"/>
      <w:r w:rsidRPr="000123CA">
        <w:rPr>
          <w:i/>
        </w:rPr>
        <w:t xml:space="preserve"> </w:t>
      </w:r>
      <w:r>
        <w:rPr>
          <w:i/>
        </w:rPr>
        <w:t>c</w:t>
      </w:r>
      <w:r w:rsidRPr="000123CA">
        <w:rPr>
          <w:i/>
        </w:rPr>
        <w:t>.</w:t>
      </w:r>
      <w:r>
        <w:rPr>
          <w:i/>
        </w:rPr>
        <w:t> Bé</w:t>
      </w:r>
      <w:r w:rsidRPr="00AD5C99">
        <w:rPr>
          <w:i/>
          <w:iCs/>
        </w:rPr>
        <w:t>larus</w:t>
      </w:r>
      <w:r w:rsidRPr="000123CA">
        <w:t xml:space="preserve"> (</w:t>
      </w:r>
      <w:hyperlink r:id="rId9" w:history="1">
        <w:r w:rsidRPr="002B2A14">
          <w:rPr>
            <w:rStyle w:val="Lienhypertexte"/>
          </w:rPr>
          <w:t>CCPR/C/127/D/2724/2016</w:t>
        </w:r>
      </w:hyperlink>
      <w:r w:rsidRPr="000123CA">
        <w:t>), par.</w:t>
      </w:r>
      <w:r>
        <w:t> </w:t>
      </w:r>
      <w:r w:rsidRPr="000123CA">
        <w:t>6.4</w:t>
      </w:r>
      <w:r>
        <w:t>,</w:t>
      </w:r>
      <w:r w:rsidRPr="000123CA">
        <w:t xml:space="preserve"> </w:t>
      </w:r>
      <w:proofErr w:type="spellStart"/>
      <w:r w:rsidRPr="000123CA">
        <w:rPr>
          <w:i/>
        </w:rPr>
        <w:t>Zhukovsky</w:t>
      </w:r>
      <w:proofErr w:type="spellEnd"/>
      <w:r w:rsidRPr="000123CA">
        <w:rPr>
          <w:i/>
        </w:rPr>
        <w:t xml:space="preserve"> </w:t>
      </w:r>
      <w:r>
        <w:rPr>
          <w:i/>
        </w:rPr>
        <w:t>c</w:t>
      </w:r>
      <w:r w:rsidRPr="000123CA">
        <w:rPr>
          <w:i/>
        </w:rPr>
        <w:t>.</w:t>
      </w:r>
      <w:r>
        <w:rPr>
          <w:i/>
        </w:rPr>
        <w:t> </w:t>
      </w:r>
      <w:r w:rsidRPr="000123CA">
        <w:rPr>
          <w:i/>
        </w:rPr>
        <w:t>B</w:t>
      </w:r>
      <w:r>
        <w:rPr>
          <w:i/>
        </w:rPr>
        <w:t>é</w:t>
      </w:r>
      <w:r w:rsidRPr="000123CA">
        <w:rPr>
          <w:i/>
        </w:rPr>
        <w:t>larus</w:t>
      </w:r>
      <w:r w:rsidRPr="000123CA">
        <w:t xml:space="preserve"> (</w:t>
      </w:r>
      <w:hyperlink r:id="rId10" w:history="1">
        <w:r w:rsidRPr="002B2A14">
          <w:rPr>
            <w:rStyle w:val="Lienhypertexte"/>
          </w:rPr>
          <w:t>CCPR/C/127/D/2955/2017</w:t>
        </w:r>
      </w:hyperlink>
      <w:r w:rsidRPr="000123CA">
        <w:t>), par.</w:t>
      </w:r>
      <w:r>
        <w:t> </w:t>
      </w:r>
      <w:r w:rsidRPr="000123CA">
        <w:t>6.4</w:t>
      </w:r>
      <w:r>
        <w:t>,</w:t>
      </w:r>
      <w:r w:rsidRPr="000123CA">
        <w:t xml:space="preserve"> </w:t>
      </w:r>
      <w:proofErr w:type="spellStart"/>
      <w:r w:rsidRPr="00AD5C99">
        <w:rPr>
          <w:i/>
          <w:iCs/>
        </w:rPr>
        <w:t>Zhukovsky</w:t>
      </w:r>
      <w:proofErr w:type="spellEnd"/>
      <w:r w:rsidRPr="000123CA">
        <w:rPr>
          <w:i/>
        </w:rPr>
        <w:t xml:space="preserve"> </w:t>
      </w:r>
      <w:r>
        <w:rPr>
          <w:i/>
        </w:rPr>
        <w:t>c</w:t>
      </w:r>
      <w:r w:rsidRPr="000123CA">
        <w:rPr>
          <w:i/>
        </w:rPr>
        <w:t>.</w:t>
      </w:r>
      <w:r>
        <w:rPr>
          <w:i/>
        </w:rPr>
        <w:t> </w:t>
      </w:r>
      <w:r w:rsidRPr="000123CA">
        <w:rPr>
          <w:i/>
        </w:rPr>
        <w:t>B</w:t>
      </w:r>
      <w:r>
        <w:rPr>
          <w:i/>
        </w:rPr>
        <w:t>é</w:t>
      </w:r>
      <w:r w:rsidRPr="000123CA">
        <w:rPr>
          <w:i/>
        </w:rPr>
        <w:t>larus</w:t>
      </w:r>
      <w:r w:rsidRPr="000123CA">
        <w:t xml:space="preserve"> (</w:t>
      </w:r>
      <w:hyperlink r:id="rId11" w:history="1">
        <w:r w:rsidRPr="002B2A14">
          <w:rPr>
            <w:rStyle w:val="Lienhypertexte"/>
          </w:rPr>
          <w:t>CCPR/C/127/D/3067/2017</w:t>
        </w:r>
      </w:hyperlink>
      <w:r w:rsidRPr="000123CA">
        <w:t>), par.</w:t>
      </w:r>
      <w:r>
        <w:t> </w:t>
      </w:r>
      <w:r w:rsidRPr="000123CA">
        <w:t>6.6</w:t>
      </w:r>
      <w:r>
        <w:t>, et</w:t>
      </w:r>
      <w:r w:rsidRPr="000123CA">
        <w:t xml:space="preserve"> </w:t>
      </w:r>
      <w:proofErr w:type="spellStart"/>
      <w:r w:rsidRPr="000123CA">
        <w:rPr>
          <w:i/>
        </w:rPr>
        <w:t>Belova</w:t>
      </w:r>
      <w:proofErr w:type="spellEnd"/>
      <w:r>
        <w:rPr>
          <w:i/>
        </w:rPr>
        <w:t xml:space="preserve"> et consorts</w:t>
      </w:r>
      <w:r w:rsidRPr="000123CA">
        <w:rPr>
          <w:i/>
        </w:rPr>
        <w:t xml:space="preserve"> </w:t>
      </w:r>
      <w:r>
        <w:rPr>
          <w:i/>
        </w:rPr>
        <w:t>c. </w:t>
      </w:r>
      <w:r w:rsidRPr="000123CA">
        <w:rPr>
          <w:i/>
        </w:rPr>
        <w:t>B</w:t>
      </w:r>
      <w:r>
        <w:rPr>
          <w:i/>
        </w:rPr>
        <w:t>é</w:t>
      </w:r>
      <w:r w:rsidRPr="000123CA">
        <w:rPr>
          <w:i/>
        </w:rPr>
        <w:t>larus</w:t>
      </w:r>
      <w:r w:rsidRPr="000123CA">
        <w:t xml:space="preserve"> (</w:t>
      </w:r>
      <w:hyperlink r:id="rId12" w:history="1">
        <w:r w:rsidRPr="002B2A14">
          <w:rPr>
            <w:rStyle w:val="Lienhypertexte"/>
          </w:rPr>
          <w:t>CCPR/C/131/D/2891/2016</w:t>
        </w:r>
      </w:hyperlink>
      <w:r w:rsidRPr="000123CA">
        <w:t>), par</w:t>
      </w:r>
      <w:r>
        <w:t>. </w:t>
      </w:r>
      <w:r w:rsidRPr="000123CA">
        <w:t>6.4.</w:t>
      </w:r>
    </w:p>
  </w:footnote>
  <w:footnote w:id="9">
    <w:p w14:paraId="58D75560" w14:textId="1283E3A6" w:rsidR="00EC6846" w:rsidRPr="007672FF" w:rsidRDefault="00EC6846" w:rsidP="00EC6846">
      <w:pPr>
        <w:pStyle w:val="Notedebasdepage"/>
      </w:pPr>
      <w:r w:rsidRPr="007672FF">
        <w:tab/>
      </w:r>
      <w:r w:rsidRPr="007672FF">
        <w:rPr>
          <w:rStyle w:val="Appelnotedebasdep"/>
        </w:rPr>
        <w:footnoteRef/>
      </w:r>
      <w:r w:rsidRPr="007672FF">
        <w:t xml:space="preserve"> </w:t>
      </w:r>
      <w:r w:rsidRPr="007672FF">
        <w:tab/>
        <w:t xml:space="preserve">Observation générale </w:t>
      </w:r>
      <w:r w:rsidR="00ED6ABB">
        <w:rPr>
          <w:rFonts w:eastAsia="MS Mincho"/>
        </w:rPr>
        <w:t>n</w:t>
      </w:r>
      <w:r w:rsidR="00ED6ABB">
        <w:rPr>
          <w:rFonts w:eastAsia="MS Mincho"/>
          <w:vertAlign w:val="superscript"/>
        </w:rPr>
        <w:t>o</w:t>
      </w:r>
      <w:r w:rsidR="00ED6ABB">
        <w:t> </w:t>
      </w:r>
      <w:r w:rsidRPr="007672FF">
        <w:t>37 (2020), par. 55.</w:t>
      </w:r>
    </w:p>
  </w:footnote>
  <w:footnote w:id="10">
    <w:p w14:paraId="57F321C2" w14:textId="77777777" w:rsidR="00EC6846" w:rsidRPr="00C11690" w:rsidRDefault="00EC6846" w:rsidP="00EC6846">
      <w:pPr>
        <w:pStyle w:val="Notedebasdepage"/>
        <w:rPr>
          <w:szCs w:val="24"/>
        </w:rPr>
      </w:pPr>
      <w:r w:rsidRPr="000123CA">
        <w:rPr>
          <w:szCs w:val="24"/>
        </w:rPr>
        <w:tab/>
      </w:r>
      <w:r w:rsidRPr="007672FF">
        <w:rPr>
          <w:rStyle w:val="Appelnotedebasdep"/>
        </w:rPr>
        <w:footnoteRef/>
      </w:r>
      <w:r w:rsidRPr="000123CA">
        <w:rPr>
          <w:szCs w:val="24"/>
        </w:rPr>
        <w:tab/>
        <w:t>Ibid., par</w:t>
      </w:r>
      <w:r>
        <w:rPr>
          <w:szCs w:val="24"/>
        </w:rPr>
        <w:t>. </w:t>
      </w:r>
      <w:r w:rsidRPr="000123CA">
        <w:rPr>
          <w:szCs w:val="24"/>
        </w:rPr>
        <w:t>64.</w:t>
      </w:r>
    </w:p>
  </w:footnote>
  <w:footnote w:id="11">
    <w:p w14:paraId="2563002C" w14:textId="611B0D23" w:rsidR="00EC6846" w:rsidRPr="007672FF" w:rsidRDefault="00EC6846" w:rsidP="00EC6846">
      <w:pPr>
        <w:pStyle w:val="Notedebasdepage"/>
      </w:pPr>
      <w:r w:rsidRPr="007672FF">
        <w:tab/>
      </w:r>
      <w:r w:rsidRPr="007672FF">
        <w:rPr>
          <w:rStyle w:val="Appelnotedebasdep"/>
        </w:rPr>
        <w:footnoteRef/>
      </w:r>
      <w:r w:rsidRPr="007672FF">
        <w:t xml:space="preserve"> </w:t>
      </w:r>
      <w:r w:rsidRPr="007672FF">
        <w:tab/>
        <w:t xml:space="preserve">Observation générale </w:t>
      </w:r>
      <w:r w:rsidR="00ED6ABB">
        <w:rPr>
          <w:rFonts w:eastAsia="MS Mincho"/>
        </w:rPr>
        <w:t>n</w:t>
      </w:r>
      <w:r w:rsidR="00ED6ABB">
        <w:rPr>
          <w:rFonts w:eastAsia="MS Mincho"/>
          <w:vertAlign w:val="superscript"/>
        </w:rPr>
        <w:t>o</w:t>
      </w:r>
      <w:r w:rsidR="00ED6ABB">
        <w:t> </w:t>
      </w:r>
      <w:r w:rsidRPr="007672FF">
        <w:t>34 (2011), par. 2.</w:t>
      </w:r>
    </w:p>
  </w:footnote>
  <w:footnote w:id="12">
    <w:p w14:paraId="620A52A7" w14:textId="03082A3B" w:rsidR="00EC6846" w:rsidRPr="00C11690" w:rsidRDefault="00EC6846" w:rsidP="00EC6846">
      <w:pPr>
        <w:pStyle w:val="Notedebasdepage"/>
        <w:rPr>
          <w:szCs w:val="24"/>
        </w:rPr>
      </w:pPr>
      <w:r w:rsidRPr="00C11690">
        <w:rPr>
          <w:szCs w:val="24"/>
        </w:rPr>
        <w:tab/>
      </w:r>
      <w:r w:rsidRPr="007672FF">
        <w:rPr>
          <w:rStyle w:val="Appelnotedebasdep"/>
        </w:rPr>
        <w:footnoteRef/>
      </w:r>
      <w:r w:rsidRPr="00C11690">
        <w:rPr>
          <w:szCs w:val="24"/>
        </w:rPr>
        <w:tab/>
      </w:r>
      <w:r>
        <w:rPr>
          <w:szCs w:val="24"/>
        </w:rPr>
        <w:t xml:space="preserve">Observation générale </w:t>
      </w:r>
      <w:r w:rsidR="00ED6ABB">
        <w:rPr>
          <w:rFonts w:eastAsia="MS Mincho"/>
        </w:rPr>
        <w:t>n</w:t>
      </w:r>
      <w:r w:rsidR="00ED6ABB">
        <w:rPr>
          <w:rFonts w:eastAsia="MS Mincho"/>
          <w:vertAlign w:val="superscript"/>
        </w:rPr>
        <w:t>o</w:t>
      </w:r>
      <w:r w:rsidR="00ED6ABB">
        <w:t> </w:t>
      </w:r>
      <w:r>
        <w:rPr>
          <w:szCs w:val="24"/>
        </w:rPr>
        <w:t>37 (2020)</w:t>
      </w:r>
      <w:r w:rsidRPr="00C11690">
        <w:rPr>
          <w:szCs w:val="24"/>
        </w:rPr>
        <w:t>, par</w:t>
      </w:r>
      <w:r>
        <w:rPr>
          <w:szCs w:val="24"/>
        </w:rPr>
        <w:t>. </w:t>
      </w:r>
      <w:r w:rsidRPr="00C11690">
        <w:rPr>
          <w:szCs w:val="24"/>
        </w:rPr>
        <w:t>6.</w:t>
      </w:r>
    </w:p>
  </w:footnote>
  <w:footnote w:id="13">
    <w:p w14:paraId="4111B320" w14:textId="77777777" w:rsidR="00EC6846" w:rsidRPr="00C11690" w:rsidRDefault="00EC6846" w:rsidP="00EC6846">
      <w:pPr>
        <w:pStyle w:val="Notedebasdepage"/>
        <w:rPr>
          <w:szCs w:val="24"/>
        </w:rPr>
      </w:pPr>
      <w:r w:rsidRPr="00C11690">
        <w:rPr>
          <w:szCs w:val="24"/>
        </w:rPr>
        <w:tab/>
      </w:r>
      <w:r w:rsidRPr="007672FF">
        <w:rPr>
          <w:rStyle w:val="Appelnotedebasdep"/>
        </w:rPr>
        <w:footnoteRef/>
      </w:r>
      <w:r w:rsidRPr="00C11690">
        <w:rPr>
          <w:szCs w:val="24"/>
        </w:rPr>
        <w:tab/>
        <w:t>Ibid., par.</w:t>
      </w:r>
      <w:r>
        <w:rPr>
          <w:szCs w:val="24"/>
        </w:rPr>
        <w:t> </w:t>
      </w:r>
      <w:r w:rsidRPr="00C11690">
        <w:rPr>
          <w:szCs w:val="24"/>
        </w:rPr>
        <w:t>22.</w:t>
      </w:r>
    </w:p>
  </w:footnote>
  <w:footnote w:id="14">
    <w:p w14:paraId="5F11A006" w14:textId="77777777" w:rsidR="00EC6846" w:rsidRPr="00C11690" w:rsidRDefault="00EC6846" w:rsidP="00EC6846">
      <w:pPr>
        <w:pStyle w:val="Notedebasdepage"/>
        <w:rPr>
          <w:szCs w:val="24"/>
        </w:rPr>
      </w:pPr>
      <w:r w:rsidRPr="00C11690">
        <w:rPr>
          <w:szCs w:val="24"/>
        </w:rPr>
        <w:tab/>
      </w:r>
      <w:r w:rsidRPr="007672FF">
        <w:rPr>
          <w:rStyle w:val="Appelnotedebasdep"/>
        </w:rPr>
        <w:footnoteRef/>
      </w:r>
      <w:r w:rsidRPr="00C11690">
        <w:rPr>
          <w:szCs w:val="24"/>
        </w:rPr>
        <w:tab/>
        <w:t>Ibid., par</w:t>
      </w:r>
      <w:r>
        <w:rPr>
          <w:szCs w:val="24"/>
        </w:rPr>
        <w:t>. </w:t>
      </w:r>
      <w:r w:rsidRPr="00C11690">
        <w:rPr>
          <w:szCs w:val="24"/>
        </w:rPr>
        <w:t>36.</w:t>
      </w:r>
    </w:p>
  </w:footnote>
  <w:footnote w:id="15">
    <w:p w14:paraId="4234F85F" w14:textId="5AF3F7AD" w:rsidR="00EC6846" w:rsidRPr="0047524C" w:rsidRDefault="00EC6846" w:rsidP="00EC6846">
      <w:pPr>
        <w:pStyle w:val="Notedebasdepage"/>
      </w:pPr>
      <w:r w:rsidRPr="00C11690">
        <w:rPr>
          <w:szCs w:val="24"/>
        </w:rPr>
        <w:tab/>
      </w:r>
      <w:r w:rsidRPr="007672FF">
        <w:rPr>
          <w:rStyle w:val="Appelnotedebasdep"/>
        </w:rPr>
        <w:footnoteRef/>
      </w:r>
      <w:r w:rsidRPr="00C11690">
        <w:rPr>
          <w:szCs w:val="24"/>
        </w:rPr>
        <w:tab/>
      </w:r>
      <w:r>
        <w:rPr>
          <w:szCs w:val="24"/>
        </w:rPr>
        <w:t>Voir, par exemple,</w:t>
      </w:r>
      <w:r w:rsidRPr="00C11690">
        <w:rPr>
          <w:szCs w:val="24"/>
        </w:rPr>
        <w:t xml:space="preserve"> </w:t>
      </w:r>
      <w:proofErr w:type="spellStart"/>
      <w:r w:rsidRPr="00C11690">
        <w:rPr>
          <w:i/>
          <w:iCs/>
          <w:szCs w:val="24"/>
          <w:lang w:eastAsia="en-GB"/>
        </w:rPr>
        <w:t>Poplavny</w:t>
      </w:r>
      <w:proofErr w:type="spellEnd"/>
      <w:r w:rsidRPr="00C11690">
        <w:rPr>
          <w:i/>
          <w:iCs/>
          <w:szCs w:val="24"/>
          <w:lang w:eastAsia="en-GB"/>
        </w:rPr>
        <w:t xml:space="preserve"> </w:t>
      </w:r>
      <w:r w:rsidRPr="00E8148C">
        <w:rPr>
          <w:i/>
          <w:iCs/>
          <w:szCs w:val="24"/>
          <w:lang w:eastAsia="en-GB"/>
        </w:rPr>
        <w:t xml:space="preserve">c. Bélarus </w:t>
      </w:r>
      <w:r w:rsidRPr="00C11690">
        <w:rPr>
          <w:szCs w:val="24"/>
          <w:lang w:eastAsia="en-GB"/>
        </w:rPr>
        <w:t>(</w:t>
      </w:r>
      <w:hyperlink r:id="rId13" w:history="1">
        <w:r w:rsidRPr="00ED6ABB">
          <w:rPr>
            <w:rStyle w:val="Lienhypertexte"/>
            <w:szCs w:val="24"/>
            <w:lang w:eastAsia="en-GB"/>
          </w:rPr>
          <w:t>CCPR/C/115/D/2019/2010</w:t>
        </w:r>
      </w:hyperlink>
      <w:r w:rsidRPr="00C11690">
        <w:rPr>
          <w:szCs w:val="24"/>
          <w:lang w:eastAsia="en-GB"/>
        </w:rPr>
        <w:t>), par.</w:t>
      </w:r>
      <w:r>
        <w:rPr>
          <w:szCs w:val="24"/>
          <w:lang w:eastAsia="en-GB"/>
        </w:rPr>
        <w:t> </w:t>
      </w:r>
      <w:r w:rsidRPr="00C11690">
        <w:rPr>
          <w:szCs w:val="24"/>
          <w:lang w:eastAsia="en-GB"/>
        </w:rPr>
        <w:t>8.4</w:t>
      </w:r>
      <w:r w:rsidR="00E32A10">
        <w:rPr>
          <w:szCs w:val="24"/>
          <w:lang w:eastAsia="en-GB"/>
        </w:rPr>
        <w:t>,</w:t>
      </w:r>
      <w:r w:rsidRPr="00C11690">
        <w:rPr>
          <w:szCs w:val="24"/>
          <w:lang w:eastAsia="en-GB"/>
        </w:rPr>
        <w:t xml:space="preserve"> </w:t>
      </w:r>
      <w:r>
        <w:rPr>
          <w:szCs w:val="24"/>
          <w:lang w:eastAsia="en-GB"/>
        </w:rPr>
        <w:t xml:space="preserve">et </w:t>
      </w:r>
      <w:proofErr w:type="spellStart"/>
      <w:r w:rsidRPr="00C11690">
        <w:rPr>
          <w:i/>
          <w:szCs w:val="24"/>
          <w:lang w:eastAsia="en-GB"/>
        </w:rPr>
        <w:t>Belova</w:t>
      </w:r>
      <w:proofErr w:type="spellEnd"/>
      <w:r>
        <w:rPr>
          <w:i/>
          <w:szCs w:val="24"/>
          <w:lang w:eastAsia="en-GB"/>
        </w:rPr>
        <w:t xml:space="preserve"> et consorts</w:t>
      </w:r>
      <w:r w:rsidRPr="00C11690">
        <w:rPr>
          <w:i/>
          <w:szCs w:val="24"/>
          <w:lang w:eastAsia="en-GB"/>
        </w:rPr>
        <w:t xml:space="preserve"> </w:t>
      </w:r>
      <w:r>
        <w:rPr>
          <w:i/>
          <w:szCs w:val="24"/>
          <w:lang w:eastAsia="en-GB"/>
        </w:rPr>
        <w:t>c. </w:t>
      </w:r>
      <w:r w:rsidRPr="00C11690">
        <w:rPr>
          <w:i/>
          <w:szCs w:val="24"/>
          <w:lang w:eastAsia="en-GB"/>
        </w:rPr>
        <w:t>B</w:t>
      </w:r>
      <w:r>
        <w:rPr>
          <w:i/>
          <w:szCs w:val="24"/>
          <w:lang w:eastAsia="en-GB"/>
        </w:rPr>
        <w:t>é</w:t>
      </w:r>
      <w:r w:rsidRPr="00C11690">
        <w:rPr>
          <w:i/>
          <w:szCs w:val="24"/>
          <w:lang w:eastAsia="en-GB"/>
        </w:rPr>
        <w:t>larus</w:t>
      </w:r>
      <w:r w:rsidRPr="00C11690">
        <w:rPr>
          <w:szCs w:val="24"/>
          <w:lang w:eastAsia="en-GB"/>
        </w:rPr>
        <w:t>, par.</w:t>
      </w:r>
      <w:r>
        <w:rPr>
          <w:szCs w:val="24"/>
          <w:lang w:eastAsia="en-GB"/>
        </w:rPr>
        <w:t> </w:t>
      </w:r>
      <w:r w:rsidRPr="00C11690">
        <w:rPr>
          <w:szCs w:val="24"/>
          <w:lang w:eastAsia="en-GB"/>
        </w:rPr>
        <w:t>7.4.</w:t>
      </w:r>
      <w:r w:rsidRPr="0047524C">
        <w:t xml:space="preserve"> </w:t>
      </w:r>
    </w:p>
  </w:footnote>
  <w:footnote w:id="16">
    <w:p w14:paraId="05292776" w14:textId="77777777" w:rsidR="00EC6846" w:rsidRPr="00C11690" w:rsidRDefault="00EC6846" w:rsidP="00EC6846">
      <w:pPr>
        <w:pStyle w:val="Notedebasdepage"/>
        <w:rPr>
          <w:szCs w:val="24"/>
        </w:rPr>
      </w:pPr>
      <w:r w:rsidRPr="00C11690">
        <w:rPr>
          <w:szCs w:val="24"/>
        </w:rPr>
        <w:tab/>
      </w:r>
      <w:r w:rsidRPr="007672FF">
        <w:rPr>
          <w:rStyle w:val="Appelnotedebasdep"/>
        </w:rPr>
        <w:footnoteRef/>
      </w:r>
      <w:r w:rsidRPr="00C11690">
        <w:rPr>
          <w:szCs w:val="24"/>
        </w:rPr>
        <w:tab/>
      </w:r>
      <w:r w:rsidRPr="00E20870">
        <w:rPr>
          <w:szCs w:val="24"/>
          <w:lang w:val="fr-FR"/>
        </w:rPr>
        <w:t>Observation générale n</w:t>
      </w:r>
      <w:r w:rsidRPr="00E20870">
        <w:rPr>
          <w:szCs w:val="24"/>
          <w:vertAlign w:val="superscript"/>
          <w:lang w:val="fr-FR"/>
        </w:rPr>
        <w:t>o</w:t>
      </w:r>
      <w:r w:rsidRPr="00E20870">
        <w:rPr>
          <w:szCs w:val="24"/>
          <w:lang w:val="fr-FR"/>
        </w:rPr>
        <w:t> 34</w:t>
      </w:r>
      <w:r>
        <w:rPr>
          <w:szCs w:val="24"/>
          <w:lang w:val="fr-FR"/>
        </w:rPr>
        <w:t xml:space="preserve"> </w:t>
      </w:r>
      <w:r w:rsidRPr="00E20870">
        <w:rPr>
          <w:szCs w:val="24"/>
          <w:lang w:val="fr-FR"/>
        </w:rPr>
        <w:t>(2011), par</w:t>
      </w:r>
      <w:r w:rsidRPr="00C11690">
        <w:rPr>
          <w:szCs w:val="24"/>
        </w:rPr>
        <w:t>.</w:t>
      </w:r>
      <w:r>
        <w:rPr>
          <w:szCs w:val="24"/>
        </w:rPr>
        <w:t> </w:t>
      </w:r>
      <w:r w:rsidRPr="00C11690">
        <w:rPr>
          <w:szCs w:val="24"/>
        </w:rPr>
        <w:t>2.</w:t>
      </w:r>
    </w:p>
  </w:footnote>
  <w:footnote w:id="17">
    <w:p w14:paraId="16DB9045" w14:textId="58CE2454" w:rsidR="00EC6846" w:rsidRPr="007E4F06" w:rsidRDefault="00EC6846" w:rsidP="00EC6846">
      <w:pPr>
        <w:pStyle w:val="Notedebasdepage"/>
        <w:rPr>
          <w:szCs w:val="24"/>
        </w:rPr>
      </w:pPr>
      <w:r w:rsidRPr="00C11690">
        <w:rPr>
          <w:szCs w:val="24"/>
        </w:rPr>
        <w:tab/>
      </w:r>
      <w:r w:rsidRPr="007672FF">
        <w:rPr>
          <w:rStyle w:val="Appelnotedebasdep"/>
        </w:rPr>
        <w:footnoteRef/>
      </w:r>
      <w:r w:rsidRPr="00C11690">
        <w:rPr>
          <w:szCs w:val="24"/>
        </w:rPr>
        <w:tab/>
      </w:r>
      <w:r w:rsidR="00867D3E">
        <w:rPr>
          <w:szCs w:val="24"/>
          <w:lang w:val="fr-FR"/>
        </w:rPr>
        <w:t>Ibid.</w:t>
      </w:r>
      <w:r w:rsidRPr="007E4F06">
        <w:rPr>
          <w:szCs w:val="24"/>
          <w:lang w:val="fr-FR"/>
        </w:rPr>
        <w:t>,</w:t>
      </w:r>
      <w:r w:rsidRPr="007E4F06">
        <w:rPr>
          <w:szCs w:val="24"/>
        </w:rPr>
        <w:t xml:space="preserve"> par. 34.</w:t>
      </w:r>
    </w:p>
  </w:footnote>
  <w:footnote w:id="18">
    <w:p w14:paraId="003A559A" w14:textId="1614E4E7" w:rsidR="00EC6846" w:rsidRPr="00C11690" w:rsidRDefault="00EC6846" w:rsidP="00EC6846">
      <w:pPr>
        <w:pStyle w:val="Notedebasdepage"/>
        <w:rPr>
          <w:szCs w:val="24"/>
        </w:rPr>
      </w:pPr>
      <w:r w:rsidRPr="00C11690">
        <w:rPr>
          <w:szCs w:val="24"/>
        </w:rPr>
        <w:tab/>
      </w:r>
      <w:r w:rsidRPr="007672FF">
        <w:rPr>
          <w:rStyle w:val="Appelnotedebasdep"/>
        </w:rPr>
        <w:footnoteRef/>
      </w:r>
      <w:r w:rsidRPr="00C11690">
        <w:rPr>
          <w:szCs w:val="24"/>
        </w:rPr>
        <w:tab/>
      </w:r>
      <w:proofErr w:type="spellStart"/>
      <w:r w:rsidRPr="00C11690">
        <w:rPr>
          <w:i/>
          <w:szCs w:val="24"/>
        </w:rPr>
        <w:t>Androsenko</w:t>
      </w:r>
      <w:proofErr w:type="spellEnd"/>
      <w:r w:rsidRPr="00C11690">
        <w:rPr>
          <w:i/>
          <w:szCs w:val="24"/>
        </w:rPr>
        <w:t xml:space="preserve"> </w:t>
      </w:r>
      <w:r>
        <w:rPr>
          <w:i/>
          <w:szCs w:val="24"/>
        </w:rPr>
        <w:t>c</w:t>
      </w:r>
      <w:r w:rsidRPr="00C11690">
        <w:rPr>
          <w:i/>
          <w:szCs w:val="24"/>
        </w:rPr>
        <w:t>.</w:t>
      </w:r>
      <w:r>
        <w:rPr>
          <w:i/>
          <w:szCs w:val="24"/>
        </w:rPr>
        <w:t> </w:t>
      </w:r>
      <w:r w:rsidRPr="00C11690">
        <w:rPr>
          <w:i/>
          <w:szCs w:val="24"/>
        </w:rPr>
        <w:t>B</w:t>
      </w:r>
      <w:r>
        <w:rPr>
          <w:i/>
          <w:szCs w:val="24"/>
        </w:rPr>
        <w:t>é</w:t>
      </w:r>
      <w:r w:rsidRPr="00C11690">
        <w:rPr>
          <w:i/>
          <w:szCs w:val="24"/>
        </w:rPr>
        <w:t>larus</w:t>
      </w:r>
      <w:r w:rsidRPr="00C11690">
        <w:rPr>
          <w:szCs w:val="24"/>
        </w:rPr>
        <w:t xml:space="preserve"> (</w:t>
      </w:r>
      <w:hyperlink r:id="rId14" w:history="1">
        <w:r w:rsidRPr="00ED6ABB">
          <w:rPr>
            <w:rStyle w:val="Lienhypertexte"/>
            <w:szCs w:val="24"/>
          </w:rPr>
          <w:t>CCPR/C/1</w:t>
        </w:r>
        <w:r w:rsidRPr="00ED6ABB">
          <w:rPr>
            <w:rStyle w:val="Lienhypertexte"/>
            <w:szCs w:val="24"/>
          </w:rPr>
          <w:t>1</w:t>
        </w:r>
        <w:r w:rsidRPr="00ED6ABB">
          <w:rPr>
            <w:rStyle w:val="Lienhypertexte"/>
            <w:szCs w:val="24"/>
          </w:rPr>
          <w:t>6/D/2092/2011</w:t>
        </w:r>
      </w:hyperlink>
      <w:r w:rsidRPr="00C11690">
        <w:rPr>
          <w:szCs w:val="24"/>
        </w:rPr>
        <w:t>), par</w:t>
      </w:r>
      <w:r>
        <w:rPr>
          <w:szCs w:val="24"/>
        </w:rPr>
        <w:t>. </w:t>
      </w:r>
      <w:r w:rsidRPr="00C11690">
        <w:rPr>
          <w:szCs w:val="24"/>
        </w:rPr>
        <w:t>7.3.</w:t>
      </w:r>
    </w:p>
  </w:footnote>
  <w:footnote w:id="19">
    <w:p w14:paraId="58F2A0B4" w14:textId="2DF9B4C1" w:rsidR="00EC6846" w:rsidRPr="0047524C" w:rsidRDefault="00EC6846" w:rsidP="00EC6846">
      <w:pPr>
        <w:pStyle w:val="Notedebasdepage"/>
      </w:pPr>
      <w:r w:rsidRPr="00C11690">
        <w:rPr>
          <w:szCs w:val="24"/>
        </w:rPr>
        <w:tab/>
      </w:r>
      <w:r w:rsidRPr="007672FF">
        <w:rPr>
          <w:rStyle w:val="Appelnotedebasdep"/>
        </w:rPr>
        <w:footnoteRef/>
      </w:r>
      <w:r w:rsidRPr="007E4F06">
        <w:rPr>
          <w:szCs w:val="24"/>
        </w:rPr>
        <w:tab/>
      </w:r>
      <w:r w:rsidRPr="007E4F06">
        <w:rPr>
          <w:szCs w:val="24"/>
          <w:lang w:val="fr-FR"/>
        </w:rPr>
        <w:t xml:space="preserve">Observation générale </w:t>
      </w:r>
      <w:r w:rsidRPr="007E4F06">
        <w:rPr>
          <w:rFonts w:eastAsia="MS Mincho"/>
          <w:szCs w:val="24"/>
          <w:lang w:val="fr-FR"/>
        </w:rPr>
        <w:t>n</w:t>
      </w:r>
      <w:r w:rsidRPr="007E4F06">
        <w:rPr>
          <w:rFonts w:eastAsia="MS Mincho"/>
          <w:szCs w:val="24"/>
          <w:vertAlign w:val="superscript"/>
          <w:lang w:val="fr-FR"/>
        </w:rPr>
        <w:t>o</w:t>
      </w:r>
      <w:r w:rsidRPr="007E4F06">
        <w:rPr>
          <w:szCs w:val="24"/>
          <w:lang w:val="fr-FR"/>
        </w:rPr>
        <w:t> 34</w:t>
      </w:r>
      <w:r w:rsidR="0023579E">
        <w:rPr>
          <w:szCs w:val="24"/>
          <w:lang w:val="fr-FR"/>
        </w:rPr>
        <w:t xml:space="preserve"> </w:t>
      </w:r>
      <w:r w:rsidRPr="007E4F06">
        <w:rPr>
          <w:szCs w:val="24"/>
          <w:lang w:val="fr-FR"/>
        </w:rPr>
        <w:t>(2011), par</w:t>
      </w:r>
      <w:r w:rsidRPr="007E4F06">
        <w:rPr>
          <w:szCs w:val="24"/>
        </w:rPr>
        <w:t>.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EFC8" w14:textId="12AD346A" w:rsidR="00606C21" w:rsidRPr="00606C21" w:rsidRDefault="00606C21">
    <w:pPr>
      <w:pStyle w:val="En-tte"/>
    </w:pPr>
    <w:fldSimple w:instr=" TITLE  \* MERGEFORMAT ">
      <w:r>
        <w:t>CCPR/C/132/D/2691/2015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CB10" w14:textId="20BB4CCA" w:rsidR="00606C21" w:rsidRPr="00606C21" w:rsidRDefault="00606C21" w:rsidP="00606C21">
    <w:pPr>
      <w:pStyle w:val="En-tte"/>
      <w:jc w:val="right"/>
    </w:pPr>
    <w:fldSimple w:instr=" TITLE  \* MERGEFORMAT ">
      <w:r>
        <w:t>CCPR/C/132/D/2691/2015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C7"/>
    <w:rsid w:val="00017F94"/>
    <w:rsid w:val="00023842"/>
    <w:rsid w:val="000334F9"/>
    <w:rsid w:val="000443C1"/>
    <w:rsid w:val="0007796D"/>
    <w:rsid w:val="00090ED5"/>
    <w:rsid w:val="000919AD"/>
    <w:rsid w:val="000B7790"/>
    <w:rsid w:val="000C2225"/>
    <w:rsid w:val="000C59FA"/>
    <w:rsid w:val="00111F2F"/>
    <w:rsid w:val="001306FA"/>
    <w:rsid w:val="0014365E"/>
    <w:rsid w:val="00176178"/>
    <w:rsid w:val="001B379B"/>
    <w:rsid w:val="001F525A"/>
    <w:rsid w:val="00223272"/>
    <w:rsid w:val="0023579E"/>
    <w:rsid w:val="00244214"/>
    <w:rsid w:val="0024779E"/>
    <w:rsid w:val="002B2A14"/>
    <w:rsid w:val="002B7BC7"/>
    <w:rsid w:val="002E2D46"/>
    <w:rsid w:val="00303CA1"/>
    <w:rsid w:val="0032225A"/>
    <w:rsid w:val="003265B7"/>
    <w:rsid w:val="003402F1"/>
    <w:rsid w:val="00351332"/>
    <w:rsid w:val="003A6E96"/>
    <w:rsid w:val="00446FE5"/>
    <w:rsid w:val="00452396"/>
    <w:rsid w:val="00465800"/>
    <w:rsid w:val="00513C6B"/>
    <w:rsid w:val="005505B7"/>
    <w:rsid w:val="00573BE5"/>
    <w:rsid w:val="00586ED3"/>
    <w:rsid w:val="00591480"/>
    <w:rsid w:val="00596AA9"/>
    <w:rsid w:val="005F1F10"/>
    <w:rsid w:val="00606C21"/>
    <w:rsid w:val="006558C1"/>
    <w:rsid w:val="006D1448"/>
    <w:rsid w:val="006F5E75"/>
    <w:rsid w:val="006F7144"/>
    <w:rsid w:val="006F71EA"/>
    <w:rsid w:val="0071601D"/>
    <w:rsid w:val="00793E85"/>
    <w:rsid w:val="007A611C"/>
    <w:rsid w:val="007A62E6"/>
    <w:rsid w:val="007E2032"/>
    <w:rsid w:val="0080684C"/>
    <w:rsid w:val="008560DB"/>
    <w:rsid w:val="00867D3E"/>
    <w:rsid w:val="00871C75"/>
    <w:rsid w:val="008776DC"/>
    <w:rsid w:val="00923C58"/>
    <w:rsid w:val="009705C8"/>
    <w:rsid w:val="009921B3"/>
    <w:rsid w:val="009949E2"/>
    <w:rsid w:val="009B1E6C"/>
    <w:rsid w:val="009E2C6A"/>
    <w:rsid w:val="00A45B13"/>
    <w:rsid w:val="00A57411"/>
    <w:rsid w:val="00A878C7"/>
    <w:rsid w:val="00A9151D"/>
    <w:rsid w:val="00A92823"/>
    <w:rsid w:val="00AA6A35"/>
    <w:rsid w:val="00AC3823"/>
    <w:rsid w:val="00AE323C"/>
    <w:rsid w:val="00B00181"/>
    <w:rsid w:val="00B765F7"/>
    <w:rsid w:val="00BA0CA9"/>
    <w:rsid w:val="00BC297B"/>
    <w:rsid w:val="00C01ACF"/>
    <w:rsid w:val="00C02897"/>
    <w:rsid w:val="00CA7BC4"/>
    <w:rsid w:val="00CD3286"/>
    <w:rsid w:val="00D05667"/>
    <w:rsid w:val="00D14989"/>
    <w:rsid w:val="00D22C9C"/>
    <w:rsid w:val="00D3439C"/>
    <w:rsid w:val="00D744E5"/>
    <w:rsid w:val="00D83177"/>
    <w:rsid w:val="00D938F1"/>
    <w:rsid w:val="00DB1831"/>
    <w:rsid w:val="00DB5E7F"/>
    <w:rsid w:val="00DD3BFD"/>
    <w:rsid w:val="00DF6678"/>
    <w:rsid w:val="00E32A10"/>
    <w:rsid w:val="00E512A9"/>
    <w:rsid w:val="00E85C42"/>
    <w:rsid w:val="00EC30D5"/>
    <w:rsid w:val="00EC6846"/>
    <w:rsid w:val="00ED6ABB"/>
    <w:rsid w:val="00EE1BD4"/>
    <w:rsid w:val="00EE1EF0"/>
    <w:rsid w:val="00F12152"/>
    <w:rsid w:val="00F60443"/>
    <w:rsid w:val="00F660DF"/>
    <w:rsid w:val="00F8099B"/>
    <w:rsid w:val="00F82C99"/>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1B986"/>
  <w15:docId w15:val="{C9822DEE-A78A-4132-8D4D-4CFFD8E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B5E7F"/>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B5E7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B5E7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C684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2B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105/D/1784/2008" TargetMode="External"/><Relationship Id="rId13" Type="http://schemas.openxmlformats.org/officeDocument/2006/relationships/hyperlink" Target="https://undocs.org/fr/CCPR/C/115/D/2019/2010" TargetMode="External"/><Relationship Id="rId3" Type="http://schemas.openxmlformats.org/officeDocument/2006/relationships/hyperlink" Target="https://undocs.org/fr/CCPR/C/109/D/1851/2008" TargetMode="External"/><Relationship Id="rId7" Type="http://schemas.openxmlformats.org/officeDocument/2006/relationships/hyperlink" Target="https://undocs.org/fr/CCPR/C/77/D/836/1998" TargetMode="External"/><Relationship Id="rId12" Type="http://schemas.openxmlformats.org/officeDocument/2006/relationships/hyperlink" Target="https://undocs.org/fr/CCPR/C/131/D/2891/2016" TargetMode="External"/><Relationship Id="rId2" Type="http://schemas.openxmlformats.org/officeDocument/2006/relationships/hyperlink" Target="https://undocs.org/fr/CCPR/C/111/D/2030/2011" TargetMode="External"/><Relationship Id="rId1" Type="http://schemas.openxmlformats.org/officeDocument/2006/relationships/hyperlink" Target="https://undocs.org/fr/CCPR/C/95/D/1418/2005" TargetMode="External"/><Relationship Id="rId6" Type="http://schemas.openxmlformats.org/officeDocument/2006/relationships/hyperlink" Target="https://undocs.org/fr/CCPR/C/115/D/2016/2010" TargetMode="External"/><Relationship Id="rId11" Type="http://schemas.openxmlformats.org/officeDocument/2006/relationships/hyperlink" Target="https://undocs.org/fr/CCPR/C/127/D/3067/2017" TargetMode="External"/><Relationship Id="rId5" Type="http://schemas.openxmlformats.org/officeDocument/2006/relationships/hyperlink" Target="https://undocs.org/fr/CCPR/C/112/D/1929/2010" TargetMode="External"/><Relationship Id="rId10" Type="http://schemas.openxmlformats.org/officeDocument/2006/relationships/hyperlink" Target="https://undocs.org/fr/CCPR/C/127/D/2955/2017" TargetMode="External"/><Relationship Id="rId4" Type="http://schemas.openxmlformats.org/officeDocument/2006/relationships/hyperlink" Target="https://undocs.org/fr/CCPR/C/109/D/1873/2009" TargetMode="External"/><Relationship Id="rId9" Type="http://schemas.openxmlformats.org/officeDocument/2006/relationships/hyperlink" Target="https://undocs.org/fr/CCPR/C/127/D/2724/2016" TargetMode="External"/><Relationship Id="rId14" Type="http://schemas.openxmlformats.org/officeDocument/2006/relationships/hyperlink" Target="https://undocs.org/fr/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7</TotalTime>
  <Pages>7</Pages>
  <Words>3634</Words>
  <Characters>21300</Characters>
  <Application>Microsoft Office Word</Application>
  <DocSecurity>0</DocSecurity>
  <Lines>1936</Lines>
  <Paragraphs>831</Paragraphs>
  <ScaleCrop>false</ScaleCrop>
  <HeadingPairs>
    <vt:vector size="2" baseType="variant">
      <vt:variant>
        <vt:lpstr>Titre</vt:lpstr>
      </vt:variant>
      <vt:variant>
        <vt:i4>1</vt:i4>
      </vt:variant>
    </vt:vector>
  </HeadingPairs>
  <TitlesOfParts>
    <vt:vector size="1" baseType="lpstr">
      <vt:lpstr>CCPR/C/132/D/2691/2015</vt:lpstr>
    </vt:vector>
  </TitlesOfParts>
  <Company>DCM</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CCPR/C/132/D/2691/2015</dc:title>
  <dc:subject/>
  <dc:creator>Nathalie VITTOZ</dc:creator>
  <cp:keywords/>
  <cp:lastModifiedBy>Nathalie Vittoz</cp:lastModifiedBy>
  <cp:revision>2</cp:revision>
  <cp:lastPrinted>2014-05-14T10:59:00Z</cp:lastPrinted>
  <dcterms:created xsi:type="dcterms:W3CDTF">2022-05-23T13:53:00Z</dcterms:created>
  <dcterms:modified xsi:type="dcterms:W3CDTF">2022-05-23T13:53:00Z</dcterms:modified>
</cp:coreProperties>
</file>